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C7C53">
      <w:pPr>
        <w:spacing w:line="480" w:lineRule="auto"/>
        <w:jc w:val="center"/>
        <w:rPr>
          <w:rFonts w:hint="eastAsia" w:ascii="等线" w:hAnsi="等线" w:eastAsia="等线" w:cs="等线"/>
          <w:b/>
          <w:bCs/>
          <w:sz w:val="52"/>
          <w:szCs w:val="52"/>
        </w:rPr>
      </w:pPr>
    </w:p>
    <w:p w14:paraId="2B66B102">
      <w:pPr>
        <w:spacing w:line="480" w:lineRule="auto"/>
        <w:jc w:val="center"/>
        <w:rPr>
          <w:rFonts w:hint="eastAsia" w:ascii="等线" w:hAnsi="等线" w:eastAsia="等线" w:cs="等线"/>
          <w:b/>
          <w:bCs/>
          <w:sz w:val="52"/>
          <w:szCs w:val="52"/>
        </w:rPr>
      </w:pPr>
    </w:p>
    <w:p w14:paraId="6A464AEA">
      <w:pPr>
        <w:spacing w:line="480" w:lineRule="auto"/>
        <w:jc w:val="center"/>
        <w:rPr>
          <w:rFonts w:hint="eastAsia" w:ascii="等线" w:hAnsi="等线" w:eastAsia="等线" w:cs="等线"/>
          <w:b/>
          <w:bCs/>
          <w:sz w:val="52"/>
          <w:szCs w:val="52"/>
        </w:rPr>
      </w:pPr>
    </w:p>
    <w:p w14:paraId="0316BD4F">
      <w:pPr>
        <w:spacing w:line="480" w:lineRule="auto"/>
        <w:jc w:val="center"/>
        <w:rPr>
          <w:rFonts w:hint="eastAsia" w:ascii="等线" w:hAnsi="等线" w:eastAsia="等线" w:cs="等线"/>
          <w:b/>
          <w:bCs/>
          <w:sz w:val="52"/>
          <w:szCs w:val="52"/>
        </w:rPr>
      </w:pPr>
      <w:r>
        <w:rPr>
          <w:rFonts w:hint="eastAsia" w:ascii="等线" w:hAnsi="等线" w:eastAsia="等线" w:cs="等线"/>
          <w:b/>
          <w:bCs/>
          <w:sz w:val="52"/>
          <w:szCs w:val="52"/>
        </w:rPr>
        <w:t>小学教育专业202</w:t>
      </w:r>
      <w:r>
        <w:rPr>
          <w:rFonts w:hint="eastAsia" w:ascii="等线" w:hAnsi="等线" w:eastAsia="等线" w:cs="等线"/>
          <w:b/>
          <w:bCs/>
          <w:sz w:val="52"/>
          <w:szCs w:val="52"/>
          <w:lang w:val="en-US" w:eastAsia="zh-CN"/>
        </w:rPr>
        <w:t>4</w:t>
      </w:r>
      <w:r>
        <w:rPr>
          <w:rFonts w:hint="eastAsia" w:ascii="等线" w:hAnsi="等线" w:eastAsia="等线" w:cs="等线"/>
          <w:b/>
          <w:bCs/>
          <w:sz w:val="52"/>
          <w:szCs w:val="52"/>
        </w:rPr>
        <w:t>级课程教学大纲</w:t>
      </w:r>
    </w:p>
    <w:p w14:paraId="7F7525FA">
      <w:pPr>
        <w:spacing w:line="480" w:lineRule="auto"/>
        <w:jc w:val="center"/>
        <w:rPr>
          <w:rFonts w:hint="eastAsia" w:ascii="等线" w:hAnsi="等线" w:eastAsia="等线" w:cs="等线"/>
          <w:b/>
          <w:bCs/>
          <w:sz w:val="44"/>
          <w:szCs w:val="44"/>
        </w:rPr>
      </w:pPr>
    </w:p>
    <w:p w14:paraId="22E4CD8C">
      <w:pPr>
        <w:spacing w:line="480" w:lineRule="auto"/>
        <w:jc w:val="center"/>
        <w:rPr>
          <w:rFonts w:hint="eastAsia" w:ascii="等线" w:hAnsi="等线" w:eastAsia="等线" w:cs="等线"/>
          <w:b/>
          <w:bCs/>
          <w:sz w:val="44"/>
          <w:szCs w:val="44"/>
        </w:rPr>
      </w:pPr>
    </w:p>
    <w:p w14:paraId="05C2346E">
      <w:pPr>
        <w:spacing w:line="480" w:lineRule="auto"/>
        <w:jc w:val="center"/>
        <w:rPr>
          <w:rFonts w:hint="eastAsia" w:ascii="等线" w:hAnsi="等线" w:eastAsia="等线" w:cs="等线"/>
          <w:b/>
          <w:bCs/>
          <w:sz w:val="44"/>
          <w:szCs w:val="44"/>
        </w:rPr>
      </w:pPr>
      <w:r>
        <w:rPr>
          <w:rFonts w:hint="eastAsia" w:ascii="等线" w:hAnsi="等线" w:eastAsia="等线" w:cs="等线"/>
          <w:b/>
          <w:bCs/>
          <w:sz w:val="44"/>
          <w:szCs w:val="44"/>
        </w:rPr>
        <w:t>小学教育（文）</w:t>
      </w:r>
    </w:p>
    <w:p w14:paraId="188A440D">
      <w:pPr>
        <w:spacing w:line="480" w:lineRule="auto"/>
        <w:jc w:val="center"/>
        <w:rPr>
          <w:rFonts w:hint="eastAsia" w:ascii="等线" w:hAnsi="等线" w:eastAsia="等线" w:cs="等线"/>
          <w:b/>
          <w:bCs/>
          <w:sz w:val="44"/>
          <w:szCs w:val="44"/>
        </w:rPr>
      </w:pPr>
    </w:p>
    <w:p w14:paraId="1C300820">
      <w:pPr>
        <w:spacing w:line="480" w:lineRule="auto"/>
        <w:jc w:val="center"/>
        <w:rPr>
          <w:rFonts w:hint="eastAsia" w:ascii="等线" w:hAnsi="等线" w:eastAsia="等线" w:cs="等线"/>
          <w:b/>
          <w:bCs/>
          <w:sz w:val="44"/>
          <w:szCs w:val="44"/>
        </w:rPr>
      </w:pPr>
    </w:p>
    <w:p w14:paraId="3EA249F0">
      <w:pPr>
        <w:spacing w:line="480" w:lineRule="auto"/>
        <w:jc w:val="center"/>
        <w:rPr>
          <w:rFonts w:hint="eastAsia" w:ascii="等线" w:hAnsi="等线" w:eastAsia="等线" w:cs="等线"/>
          <w:b/>
          <w:bCs/>
          <w:sz w:val="44"/>
          <w:szCs w:val="44"/>
        </w:rPr>
      </w:pPr>
    </w:p>
    <w:p w14:paraId="19106C7A">
      <w:pPr>
        <w:spacing w:line="480" w:lineRule="auto"/>
        <w:jc w:val="center"/>
        <w:rPr>
          <w:rFonts w:hint="eastAsia" w:ascii="等线" w:hAnsi="等线" w:eastAsia="等线" w:cs="等线"/>
          <w:b/>
          <w:bCs/>
          <w:sz w:val="44"/>
          <w:szCs w:val="44"/>
        </w:rPr>
      </w:pPr>
    </w:p>
    <w:p w14:paraId="0B6F4433">
      <w:pPr>
        <w:spacing w:line="480" w:lineRule="auto"/>
        <w:jc w:val="center"/>
        <w:rPr>
          <w:rFonts w:hint="eastAsia" w:ascii="等线" w:hAnsi="等线" w:eastAsia="等线" w:cs="等线"/>
          <w:b/>
          <w:bCs/>
          <w:sz w:val="44"/>
          <w:szCs w:val="44"/>
        </w:rPr>
      </w:pPr>
    </w:p>
    <w:p w14:paraId="1F9B19E8">
      <w:pPr>
        <w:spacing w:line="480" w:lineRule="auto"/>
        <w:jc w:val="center"/>
        <w:rPr>
          <w:rFonts w:hint="eastAsia" w:ascii="等线" w:hAnsi="等线" w:eastAsia="等线" w:cs="等线"/>
          <w:b/>
          <w:bCs/>
          <w:sz w:val="44"/>
          <w:szCs w:val="44"/>
        </w:rPr>
      </w:pPr>
    </w:p>
    <w:p w14:paraId="5DCB7E29">
      <w:pPr>
        <w:spacing w:line="480" w:lineRule="auto"/>
        <w:jc w:val="center"/>
        <w:rPr>
          <w:rFonts w:hint="eastAsia" w:ascii="等线" w:hAnsi="等线" w:eastAsia="等线" w:cs="等线"/>
          <w:b/>
          <w:bCs/>
          <w:sz w:val="44"/>
          <w:szCs w:val="44"/>
        </w:rPr>
      </w:pPr>
    </w:p>
    <w:p w14:paraId="10DEAE6B">
      <w:pPr>
        <w:spacing w:line="720" w:lineRule="auto"/>
        <w:jc w:val="center"/>
        <w:rPr>
          <w:rFonts w:hint="eastAsia" w:ascii="等线" w:hAnsi="等线" w:eastAsia="等线" w:cs="等线"/>
          <w:b/>
          <w:bCs/>
          <w:sz w:val="36"/>
          <w:szCs w:val="36"/>
        </w:rPr>
      </w:pPr>
      <w:r>
        <w:rPr>
          <w:rFonts w:hint="eastAsia" w:ascii="等线" w:hAnsi="等线" w:eastAsia="等线" w:cs="等线"/>
          <w:b/>
          <w:bCs/>
          <w:sz w:val="36"/>
          <w:szCs w:val="36"/>
        </w:rPr>
        <w:t>师范学院小学教育系</w:t>
      </w:r>
    </w:p>
    <w:p w14:paraId="19A5258A">
      <w:pPr>
        <w:spacing w:line="720" w:lineRule="auto"/>
        <w:jc w:val="center"/>
        <w:rPr>
          <w:rFonts w:hint="eastAsia" w:ascii="等线" w:hAnsi="等线" w:eastAsia="等线" w:cs="等线"/>
          <w:b/>
          <w:bCs/>
          <w:sz w:val="36"/>
          <w:szCs w:val="36"/>
        </w:rPr>
      </w:pPr>
      <w:r>
        <w:rPr>
          <w:rFonts w:hint="eastAsia" w:ascii="等线" w:hAnsi="等线" w:eastAsia="等线" w:cs="等线"/>
          <w:b/>
          <w:bCs/>
          <w:sz w:val="36"/>
          <w:szCs w:val="36"/>
        </w:rPr>
        <w:t>202</w:t>
      </w:r>
      <w:r>
        <w:rPr>
          <w:rFonts w:hint="eastAsia" w:ascii="等线" w:hAnsi="等线" w:eastAsia="等线" w:cs="等线"/>
          <w:b/>
          <w:bCs/>
          <w:sz w:val="36"/>
          <w:szCs w:val="36"/>
          <w:lang w:val="en-US" w:eastAsia="zh-CN"/>
        </w:rPr>
        <w:t>4</w:t>
      </w:r>
      <w:r>
        <w:rPr>
          <w:rFonts w:hint="eastAsia" w:ascii="等线" w:hAnsi="等线" w:eastAsia="等线" w:cs="等线"/>
          <w:b/>
          <w:bCs/>
          <w:sz w:val="36"/>
          <w:szCs w:val="36"/>
        </w:rPr>
        <w:t>年9月</w:t>
      </w:r>
    </w:p>
    <w:p w14:paraId="7FF54EA6">
      <w:pPr>
        <w:spacing w:line="720" w:lineRule="auto"/>
        <w:jc w:val="center"/>
        <w:rPr>
          <w:rFonts w:hint="eastAsia" w:ascii="等线" w:hAnsi="等线" w:eastAsia="等线" w:cs="等线"/>
          <w:b/>
          <w:bCs/>
          <w:sz w:val="36"/>
          <w:szCs w:val="36"/>
        </w:rPr>
      </w:pPr>
    </w:p>
    <w:p w14:paraId="12CCBE0C">
      <w:pPr>
        <w:rPr>
          <w:rFonts w:hint="eastAsia" w:ascii="等线" w:hAnsi="等线" w:eastAsia="等线" w:cs="等线"/>
          <w:b/>
          <w:bCs/>
          <w:sz w:val="36"/>
          <w:szCs w:val="36"/>
        </w:rPr>
      </w:pPr>
      <w:r>
        <w:rPr>
          <w:rFonts w:hint="eastAsia" w:ascii="等线" w:hAnsi="等线" w:eastAsia="等线" w:cs="等线"/>
          <w:b/>
          <w:bCs/>
          <w:sz w:val="36"/>
          <w:szCs w:val="36"/>
        </w:rPr>
        <w:br w:type="page"/>
      </w:r>
    </w:p>
    <w:p w14:paraId="0841956D">
      <w:pPr>
        <w:pStyle w:val="8"/>
        <w:tabs>
          <w:tab w:val="right" w:leader="dot" w:pos="8306"/>
        </w:tabs>
      </w:pPr>
      <w:r>
        <w:rPr>
          <w:rFonts w:hint="eastAsia" w:ascii="等线" w:hAnsi="等线" w:eastAsia="等线" w:cs="等线"/>
          <w:b/>
          <w:bCs/>
          <w:sz w:val="36"/>
          <w:szCs w:val="36"/>
        </w:rPr>
        <w:fldChar w:fldCharType="begin"/>
      </w:r>
      <w:r>
        <w:rPr>
          <w:rFonts w:hint="eastAsia" w:ascii="等线" w:hAnsi="等线" w:eastAsia="等线" w:cs="等线"/>
          <w:b/>
          <w:bCs/>
          <w:sz w:val="36"/>
          <w:szCs w:val="36"/>
        </w:rPr>
        <w:instrText xml:space="preserve">TOC \o "1-1" \h \u </w:instrText>
      </w:r>
      <w:r>
        <w:rPr>
          <w:rFonts w:hint="eastAsia" w:ascii="等线" w:hAnsi="等线" w:eastAsia="等线" w:cs="等线"/>
          <w:b/>
          <w:bCs/>
          <w:sz w:val="36"/>
          <w:szCs w:val="36"/>
        </w:rPr>
        <w:fldChar w:fldCharType="separate"/>
      </w: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_Toc29887 </w:instrText>
      </w:r>
      <w:r>
        <w:rPr>
          <w:rFonts w:hint="eastAsia" w:ascii="等线" w:hAnsi="等线" w:eastAsia="等线" w:cs="等线"/>
          <w:bCs/>
          <w:szCs w:val="36"/>
        </w:rPr>
        <w:fldChar w:fldCharType="separate"/>
      </w:r>
      <w:r>
        <w:rPr>
          <w:rFonts w:hint="eastAsia"/>
          <w:lang w:val="en-US" w:eastAsia="zh-CN"/>
        </w:rPr>
        <w:t>《思想道德与法治》课程教学大纲</w:t>
      </w:r>
      <w:r>
        <w:tab/>
      </w:r>
      <w:r>
        <w:fldChar w:fldCharType="begin"/>
      </w:r>
      <w:r>
        <w:instrText xml:space="preserve"> PAGEREF _Toc29887 </w:instrText>
      </w:r>
      <w:r>
        <w:fldChar w:fldCharType="separate"/>
      </w:r>
      <w:r>
        <w:t>4</w:t>
      </w:r>
      <w:r>
        <w:fldChar w:fldCharType="end"/>
      </w:r>
      <w:r>
        <w:rPr>
          <w:rFonts w:hint="eastAsia" w:ascii="等线" w:hAnsi="等线" w:eastAsia="等线" w:cs="等线"/>
          <w:bCs/>
          <w:szCs w:val="36"/>
        </w:rPr>
        <w:fldChar w:fldCharType="end"/>
      </w:r>
    </w:p>
    <w:p w14:paraId="6D39469F">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_Toc22148 </w:instrText>
      </w:r>
      <w:r>
        <w:rPr>
          <w:rFonts w:hint="eastAsia" w:ascii="等线" w:hAnsi="等线" w:eastAsia="等线" w:cs="等线"/>
          <w:bCs/>
          <w:szCs w:val="36"/>
        </w:rPr>
        <w:fldChar w:fldCharType="separate"/>
      </w:r>
      <w:r>
        <w:rPr>
          <w:rFonts w:hint="eastAsia"/>
          <w:lang w:eastAsia="zh-CN"/>
        </w:rPr>
        <w:t>《</w:t>
      </w:r>
      <w:r>
        <w:rPr>
          <w:rFonts w:hint="eastAsia"/>
        </w:rPr>
        <w:t>中国近现代史纲要</w:t>
      </w:r>
      <w:r>
        <w:rPr>
          <w:rFonts w:hint="eastAsia"/>
          <w:lang w:eastAsia="zh-CN"/>
        </w:rPr>
        <w:t>》</w:t>
      </w:r>
      <w:r>
        <w:rPr>
          <w:rFonts w:hint="eastAsia"/>
        </w:rPr>
        <w:t>课程教学大纲</w:t>
      </w:r>
      <w:r>
        <w:tab/>
      </w:r>
      <w:r>
        <w:fldChar w:fldCharType="begin"/>
      </w:r>
      <w:r>
        <w:instrText xml:space="preserve"> PAGEREF _Toc22148 </w:instrText>
      </w:r>
      <w:r>
        <w:fldChar w:fldCharType="separate"/>
      </w:r>
      <w:r>
        <w:t>9</w:t>
      </w:r>
      <w:r>
        <w:fldChar w:fldCharType="end"/>
      </w:r>
      <w:r>
        <w:rPr>
          <w:rFonts w:hint="eastAsia" w:ascii="等线" w:hAnsi="等线" w:eastAsia="等线" w:cs="等线"/>
          <w:bCs/>
          <w:szCs w:val="36"/>
        </w:rPr>
        <w:fldChar w:fldCharType="end"/>
      </w:r>
    </w:p>
    <w:p w14:paraId="0EF7B71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_Toc11000 </w:instrText>
      </w:r>
      <w:r>
        <w:rPr>
          <w:rFonts w:hint="eastAsia" w:ascii="等线" w:hAnsi="等线" w:eastAsia="等线" w:cs="等线"/>
          <w:bCs/>
          <w:szCs w:val="36"/>
        </w:rPr>
        <w:fldChar w:fldCharType="separate"/>
      </w:r>
      <w:r>
        <w:rPr>
          <w:rFonts w:hint="eastAsia"/>
        </w:rPr>
        <w:t>《马克思主义基本原理》课程教学大纲</w:t>
      </w:r>
      <w:r>
        <w:tab/>
      </w:r>
      <w:r>
        <w:fldChar w:fldCharType="begin"/>
      </w:r>
      <w:r>
        <w:instrText xml:space="preserve"> PAGEREF _Toc11000 </w:instrText>
      </w:r>
      <w:r>
        <w:fldChar w:fldCharType="separate"/>
      </w:r>
      <w:r>
        <w:t>19</w:t>
      </w:r>
      <w:r>
        <w:fldChar w:fldCharType="end"/>
      </w:r>
      <w:r>
        <w:rPr>
          <w:rFonts w:hint="eastAsia" w:ascii="等线" w:hAnsi="等线" w:eastAsia="等线" w:cs="等线"/>
          <w:bCs/>
          <w:szCs w:val="36"/>
        </w:rPr>
        <w:fldChar w:fldCharType="end"/>
      </w:r>
    </w:p>
    <w:p w14:paraId="51DB0D26">
      <w:pPr>
        <w:pStyle w:val="8"/>
        <w:tabs>
          <w:tab w:val="right" w:leader="dot" w:pos="8306"/>
        </w:tabs>
      </w:pPr>
      <w:r>
        <w:rPr>
          <w:rFonts w:hint="eastAsia" w:asciiTheme="minorEastAsia" w:hAnsiTheme="minorEastAsia" w:eastAsiaTheme="minorEastAsia" w:cstheme="minorEastAsia"/>
          <w:bCs/>
          <w:szCs w:val="36"/>
          <w:lang w:eastAsia="zh-CN"/>
        </w:rPr>
        <w:t>《</w:t>
      </w: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_Toc4290 </w:instrText>
      </w:r>
      <w:r>
        <w:rPr>
          <w:rFonts w:hint="eastAsia" w:ascii="等线" w:hAnsi="等线" w:eastAsia="等线" w:cs="等线"/>
          <w:bCs/>
          <w:szCs w:val="36"/>
        </w:rPr>
        <w:fldChar w:fldCharType="separate"/>
      </w:r>
      <w:r>
        <w:rPr>
          <w:rFonts w:hint="eastAsia"/>
        </w:rPr>
        <w:t>习近平新时代中国特色社会主义思想概论</w:t>
      </w:r>
      <w:r>
        <w:rPr>
          <w:rFonts w:hint="eastAsia"/>
          <w:lang w:eastAsia="zh-CN"/>
        </w:rPr>
        <w:t>》</w:t>
      </w:r>
      <w:r>
        <w:rPr>
          <w:rFonts w:hint="eastAsia"/>
        </w:rPr>
        <w:t>课程教学大纲</w:t>
      </w:r>
      <w:r>
        <w:tab/>
      </w:r>
      <w:r>
        <w:fldChar w:fldCharType="begin"/>
      </w:r>
      <w:r>
        <w:instrText xml:space="preserve"> PAGEREF _Toc4290 </w:instrText>
      </w:r>
      <w:r>
        <w:fldChar w:fldCharType="separate"/>
      </w:r>
      <w:r>
        <w:t>25</w:t>
      </w:r>
      <w:r>
        <w:fldChar w:fldCharType="end"/>
      </w:r>
      <w:r>
        <w:rPr>
          <w:rFonts w:hint="eastAsia" w:ascii="等线" w:hAnsi="等线" w:eastAsia="等线" w:cs="等线"/>
          <w:bCs/>
          <w:szCs w:val="36"/>
        </w:rPr>
        <w:fldChar w:fldCharType="end"/>
      </w:r>
    </w:p>
    <w:p w14:paraId="7681C5F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_Toc32548 </w:instrText>
      </w:r>
      <w:r>
        <w:rPr>
          <w:rFonts w:hint="eastAsia" w:ascii="等线" w:hAnsi="等线" w:eastAsia="等线" w:cs="等线"/>
          <w:bCs/>
          <w:szCs w:val="36"/>
        </w:rPr>
        <w:fldChar w:fldCharType="separate"/>
      </w:r>
      <w:r>
        <w:rPr>
          <w:rFonts w:hint="eastAsia"/>
          <w:lang w:val="en-US" w:eastAsia="zh-CN"/>
        </w:rPr>
        <w:t>《形势与政策》课程教学大纲</w:t>
      </w:r>
      <w:r>
        <w:tab/>
      </w:r>
      <w:r>
        <w:fldChar w:fldCharType="begin"/>
      </w:r>
      <w:r>
        <w:instrText xml:space="preserve"> PAGEREF _Toc32548 </w:instrText>
      </w:r>
      <w:r>
        <w:fldChar w:fldCharType="separate"/>
      </w:r>
      <w:r>
        <w:t>35</w:t>
      </w:r>
      <w:r>
        <w:fldChar w:fldCharType="end"/>
      </w:r>
      <w:r>
        <w:rPr>
          <w:rFonts w:hint="eastAsia" w:ascii="等线" w:hAnsi="等线" w:eastAsia="等线" w:cs="等线"/>
          <w:bCs/>
          <w:szCs w:val="36"/>
        </w:rPr>
        <w:fldChar w:fldCharType="end"/>
      </w:r>
    </w:p>
    <w:p w14:paraId="51A7AE95">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_Toc17417 </w:instrText>
      </w:r>
      <w:r>
        <w:rPr>
          <w:rFonts w:hint="eastAsia" w:ascii="等线" w:hAnsi="等线" w:eastAsia="等线" w:cs="等线"/>
          <w:bCs/>
          <w:szCs w:val="36"/>
        </w:rPr>
        <w:fldChar w:fldCharType="separate"/>
      </w:r>
      <w:r>
        <w:rPr>
          <w:rFonts w:hint="eastAsia"/>
          <w:lang w:val="en-US" w:eastAsia="zh-CN"/>
        </w:rPr>
        <w:t>《体育I》课程教学大纲</w:t>
      </w:r>
      <w:r>
        <w:tab/>
      </w:r>
      <w:r>
        <w:fldChar w:fldCharType="begin"/>
      </w:r>
      <w:r>
        <w:instrText xml:space="preserve"> PAGEREF _Toc17417 </w:instrText>
      </w:r>
      <w:r>
        <w:fldChar w:fldCharType="separate"/>
      </w:r>
      <w:r>
        <w:t>39</w:t>
      </w:r>
      <w:r>
        <w:fldChar w:fldCharType="end"/>
      </w:r>
      <w:r>
        <w:rPr>
          <w:rFonts w:hint="eastAsia" w:ascii="等线" w:hAnsi="等线" w:eastAsia="等线" w:cs="等线"/>
          <w:bCs/>
          <w:szCs w:val="36"/>
        </w:rPr>
        <w:fldChar w:fldCharType="end"/>
      </w:r>
    </w:p>
    <w:p w14:paraId="7B3789C2">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_Toc28073 </w:instrText>
      </w:r>
      <w:r>
        <w:rPr>
          <w:rFonts w:hint="eastAsia" w:ascii="等线" w:hAnsi="等线" w:eastAsia="等线" w:cs="等线"/>
          <w:bCs/>
          <w:szCs w:val="36"/>
        </w:rPr>
        <w:fldChar w:fldCharType="separate"/>
      </w:r>
      <w:r>
        <w:rPr>
          <w:rFonts w:hint="eastAsia"/>
          <w:lang w:val="en-US" w:eastAsia="zh-CN"/>
        </w:rPr>
        <w:t>《体育II》课程教学大纲</w:t>
      </w:r>
      <w:r>
        <w:tab/>
      </w:r>
      <w:r>
        <w:fldChar w:fldCharType="begin"/>
      </w:r>
      <w:r>
        <w:instrText xml:space="preserve"> PAGEREF _Toc28073 </w:instrText>
      </w:r>
      <w:r>
        <w:fldChar w:fldCharType="separate"/>
      </w:r>
      <w:r>
        <w:t>44</w:t>
      </w:r>
      <w:r>
        <w:fldChar w:fldCharType="end"/>
      </w:r>
      <w:r>
        <w:rPr>
          <w:rFonts w:hint="eastAsia" w:ascii="等线" w:hAnsi="等线" w:eastAsia="等线" w:cs="等线"/>
          <w:bCs/>
          <w:szCs w:val="36"/>
        </w:rPr>
        <w:fldChar w:fldCharType="end"/>
      </w:r>
    </w:p>
    <w:p w14:paraId="33DC5F3D">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_Toc8181 </w:instrText>
      </w:r>
      <w:r>
        <w:rPr>
          <w:rFonts w:hint="eastAsia" w:ascii="等线" w:hAnsi="等线" w:eastAsia="等线" w:cs="等线"/>
          <w:bCs/>
          <w:szCs w:val="36"/>
        </w:rPr>
        <w:fldChar w:fldCharType="separate"/>
      </w:r>
      <w:r>
        <w:rPr>
          <w:rFonts w:hint="eastAsia"/>
          <w:lang w:val="en-US" w:eastAsia="zh-CN"/>
        </w:rPr>
        <w:t>《体育III》课程教学大纲</w:t>
      </w:r>
      <w:r>
        <w:tab/>
      </w:r>
      <w:r>
        <w:fldChar w:fldCharType="begin"/>
      </w:r>
      <w:r>
        <w:instrText xml:space="preserve"> PAGEREF _Toc8181 </w:instrText>
      </w:r>
      <w:r>
        <w:fldChar w:fldCharType="separate"/>
      </w:r>
      <w:r>
        <w:t>48</w:t>
      </w:r>
      <w:r>
        <w:fldChar w:fldCharType="end"/>
      </w:r>
      <w:r>
        <w:rPr>
          <w:rFonts w:hint="eastAsia" w:ascii="等线" w:hAnsi="等线" w:eastAsia="等线" w:cs="等线"/>
          <w:bCs/>
          <w:szCs w:val="36"/>
        </w:rPr>
        <w:fldChar w:fldCharType="end"/>
      </w:r>
    </w:p>
    <w:p w14:paraId="636B82F9">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_Toc21004 </w:instrText>
      </w:r>
      <w:r>
        <w:rPr>
          <w:rFonts w:hint="eastAsia" w:ascii="等线" w:hAnsi="等线" w:eastAsia="等线" w:cs="等线"/>
          <w:bCs/>
          <w:szCs w:val="36"/>
        </w:rPr>
        <w:fldChar w:fldCharType="separate"/>
      </w:r>
      <w:r>
        <w:rPr>
          <w:rFonts w:hint="eastAsia"/>
          <w:lang w:val="en-US" w:eastAsia="zh-CN"/>
        </w:rPr>
        <w:t>《体育IV》课程教学大纲</w:t>
      </w:r>
      <w:r>
        <w:tab/>
      </w:r>
      <w:r>
        <w:fldChar w:fldCharType="begin"/>
      </w:r>
      <w:r>
        <w:instrText xml:space="preserve"> PAGEREF _Toc21004 </w:instrText>
      </w:r>
      <w:r>
        <w:fldChar w:fldCharType="separate"/>
      </w:r>
      <w:r>
        <w:t>53</w:t>
      </w:r>
      <w:r>
        <w:fldChar w:fldCharType="end"/>
      </w:r>
      <w:r>
        <w:rPr>
          <w:rFonts w:hint="eastAsia" w:ascii="等线" w:hAnsi="等线" w:eastAsia="等线" w:cs="等线"/>
          <w:bCs/>
          <w:szCs w:val="36"/>
        </w:rPr>
        <w:fldChar w:fldCharType="end"/>
      </w:r>
    </w:p>
    <w:p w14:paraId="531A2D1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_Toc26184 </w:instrText>
      </w:r>
      <w:r>
        <w:rPr>
          <w:rFonts w:hint="eastAsia" w:ascii="等线" w:hAnsi="等线" w:eastAsia="等线" w:cs="等线"/>
          <w:bCs/>
          <w:szCs w:val="36"/>
        </w:rPr>
        <w:fldChar w:fldCharType="separate"/>
      </w:r>
      <w:r>
        <w:rPr>
          <w:rFonts w:hint="eastAsia"/>
          <w:lang w:val="en-US" w:eastAsia="zh-CN"/>
        </w:rPr>
        <w:t>《体育Ⅴ》课程教学大纲</w:t>
      </w:r>
      <w:r>
        <w:tab/>
      </w:r>
      <w:r>
        <w:fldChar w:fldCharType="begin"/>
      </w:r>
      <w:r>
        <w:instrText xml:space="preserve"> PAGEREF _Toc26184 </w:instrText>
      </w:r>
      <w:r>
        <w:fldChar w:fldCharType="separate"/>
      </w:r>
      <w:r>
        <w:t>58</w:t>
      </w:r>
      <w:r>
        <w:fldChar w:fldCharType="end"/>
      </w:r>
      <w:r>
        <w:rPr>
          <w:rFonts w:hint="eastAsia" w:ascii="等线" w:hAnsi="等线" w:eastAsia="等线" w:cs="等线"/>
          <w:bCs/>
          <w:szCs w:val="36"/>
        </w:rPr>
        <w:fldChar w:fldCharType="end"/>
      </w:r>
    </w:p>
    <w:p w14:paraId="0DCAC0B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_Toc13720 </w:instrText>
      </w:r>
      <w:r>
        <w:rPr>
          <w:rFonts w:hint="eastAsia" w:ascii="等线" w:hAnsi="等线" w:eastAsia="等线" w:cs="等线"/>
          <w:bCs/>
          <w:szCs w:val="36"/>
        </w:rPr>
        <w:fldChar w:fldCharType="separate"/>
      </w:r>
      <w:r>
        <w:rPr>
          <w:rFonts w:hint="eastAsia"/>
          <w:lang w:val="en-US" w:eastAsia="zh-CN"/>
        </w:rPr>
        <w:t>《体育Ⅵ》课程教学大纲</w:t>
      </w:r>
      <w:r>
        <w:tab/>
      </w:r>
      <w:r>
        <w:fldChar w:fldCharType="begin"/>
      </w:r>
      <w:r>
        <w:instrText xml:space="preserve"> PAGEREF _Toc13720 </w:instrText>
      </w:r>
      <w:r>
        <w:fldChar w:fldCharType="separate"/>
      </w:r>
      <w:r>
        <w:t>62</w:t>
      </w:r>
      <w:r>
        <w:fldChar w:fldCharType="end"/>
      </w:r>
      <w:r>
        <w:rPr>
          <w:rFonts w:hint="eastAsia" w:ascii="等线" w:hAnsi="等线" w:eastAsia="等线" w:cs="等线"/>
          <w:bCs/>
          <w:szCs w:val="36"/>
        </w:rPr>
        <w:fldChar w:fldCharType="end"/>
      </w:r>
    </w:p>
    <w:p w14:paraId="4FECD48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_Toc743 </w:instrText>
      </w:r>
      <w:r>
        <w:rPr>
          <w:rFonts w:hint="eastAsia" w:ascii="等线" w:hAnsi="等线" w:eastAsia="等线" w:cs="等线"/>
          <w:bCs/>
          <w:szCs w:val="36"/>
        </w:rPr>
        <w:fldChar w:fldCharType="separate"/>
      </w:r>
      <w:r>
        <w:rPr>
          <w:rFonts w:hint="eastAsia"/>
        </w:rPr>
        <w:t>《</w:t>
      </w:r>
      <w:r>
        <w:t>大学生创新创业基础</w:t>
      </w:r>
      <w:r>
        <w:rPr>
          <w:rFonts w:hint="eastAsia"/>
        </w:rPr>
        <w:t>》课程教学大纲</w:t>
      </w:r>
      <w:r>
        <w:tab/>
      </w:r>
      <w:r>
        <w:fldChar w:fldCharType="begin"/>
      </w:r>
      <w:r>
        <w:instrText xml:space="preserve"> PAGEREF _Toc743 </w:instrText>
      </w:r>
      <w:r>
        <w:fldChar w:fldCharType="separate"/>
      </w:r>
      <w:r>
        <w:t>66</w:t>
      </w:r>
      <w:r>
        <w:fldChar w:fldCharType="end"/>
      </w:r>
      <w:r>
        <w:rPr>
          <w:rFonts w:hint="eastAsia" w:ascii="等线" w:hAnsi="等线" w:eastAsia="等线" w:cs="等线"/>
          <w:bCs/>
          <w:szCs w:val="36"/>
        </w:rPr>
        <w:fldChar w:fldCharType="end"/>
      </w:r>
    </w:p>
    <w:p w14:paraId="37302F41">
      <w:pPr>
        <w:pStyle w:val="8"/>
        <w:tabs>
          <w:tab w:val="right" w:leader="dot" w:pos="8306"/>
        </w:tabs>
        <w:rPr>
          <w:rFonts w:hint="default" w:eastAsiaTheme="minorEastAsia"/>
          <w:lang w:val="en-US" w:eastAsia="zh-CN"/>
        </w:rPr>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_Toc25836 </w:instrText>
      </w:r>
      <w:r>
        <w:rPr>
          <w:rFonts w:hint="eastAsia" w:ascii="等线" w:hAnsi="等线" w:eastAsia="等线" w:cs="等线"/>
          <w:bCs/>
          <w:szCs w:val="36"/>
        </w:rPr>
        <w:fldChar w:fldCharType="separate"/>
      </w:r>
      <w:r>
        <w:rPr>
          <w:rFonts w:hint="eastAsia"/>
          <w:lang w:val="en-US" w:eastAsia="zh-CN"/>
        </w:rPr>
        <w:t>《大学英语</w:t>
      </w:r>
      <w:r>
        <w:rPr>
          <w:lang w:val="en-US" w:eastAsia="zh-CN"/>
        </w:rPr>
        <w:t>B</w:t>
      </w:r>
      <w:r>
        <w:rPr>
          <w:rFonts w:hint="eastAsia"/>
          <w:lang w:val="en-US" w:eastAsia="zh-CN"/>
        </w:rPr>
        <w:t>（I）》课程教学大纲</w:t>
      </w:r>
      <w:r>
        <w:tab/>
      </w:r>
      <w:r>
        <w:rPr>
          <w:rFonts w:hint="eastAsia"/>
          <w:lang w:val="en-US" w:eastAsia="zh-CN"/>
        </w:rPr>
        <w:t>74</w:t>
      </w:r>
    </w:p>
    <w:p w14:paraId="457F1FAB">
      <w:pPr>
        <w:pStyle w:val="8"/>
        <w:tabs>
          <w:tab w:val="right" w:leader="dot" w:pos="8306"/>
        </w:tabs>
        <w:rPr>
          <w:rFonts w:hint="eastAsia" w:eastAsia="等线"/>
          <w:lang w:val="en-US" w:eastAsia="zh-CN"/>
        </w:rPr>
      </w:pPr>
      <w:r>
        <w:rPr>
          <w:rFonts w:hint="eastAsia"/>
          <w:lang w:val="en-US" w:eastAsia="zh-CN"/>
        </w:rPr>
        <w:t>《大学英语</w:t>
      </w:r>
      <w:r>
        <w:rPr>
          <w:lang w:val="en-US" w:eastAsia="zh-CN"/>
        </w:rPr>
        <w:t>B</w:t>
      </w:r>
      <w:r>
        <w:rPr>
          <w:rFonts w:hint="eastAsia"/>
          <w:lang w:val="en-US" w:eastAsia="zh-CN"/>
        </w:rPr>
        <w:t>（Ⅱ）》课程教学大纲</w:t>
      </w:r>
      <w:r>
        <w:tab/>
      </w:r>
      <w:r>
        <w:rPr>
          <w:rFonts w:hint="eastAsia"/>
          <w:lang w:val="en-US" w:eastAsia="zh-CN"/>
        </w:rPr>
        <w:t>8</w:t>
      </w:r>
      <w:r>
        <w:rPr>
          <w:rFonts w:hint="eastAsia" w:ascii="等线" w:hAnsi="等线" w:eastAsia="等线" w:cs="等线"/>
          <w:bCs/>
          <w:szCs w:val="36"/>
        </w:rPr>
        <w:fldChar w:fldCharType="end"/>
      </w:r>
      <w:r>
        <w:rPr>
          <w:rFonts w:hint="eastAsia" w:ascii="等线" w:hAnsi="等线" w:eastAsia="等线" w:cs="等线"/>
          <w:bCs/>
          <w:szCs w:val="36"/>
          <w:lang w:val="en-US" w:eastAsia="zh-CN"/>
        </w:rPr>
        <w:t>2</w:t>
      </w:r>
    </w:p>
    <w:p w14:paraId="38732B4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_Toc11271 </w:instrText>
      </w:r>
      <w:r>
        <w:rPr>
          <w:rFonts w:hint="eastAsia" w:ascii="等线" w:hAnsi="等线" w:eastAsia="等线" w:cs="等线"/>
          <w:bCs/>
          <w:szCs w:val="36"/>
        </w:rPr>
        <w:fldChar w:fldCharType="separate"/>
      </w:r>
      <w:r>
        <w:rPr>
          <w:rFonts w:hint="eastAsia"/>
          <w:lang w:val="en-US" w:eastAsia="zh-CN"/>
        </w:rPr>
        <w:t>《专业导学》课程教学大纲</w:t>
      </w:r>
      <w:r>
        <w:tab/>
      </w:r>
      <w:r>
        <w:fldChar w:fldCharType="begin"/>
      </w:r>
      <w:r>
        <w:instrText xml:space="preserve"> PAGEREF _Toc11271 </w:instrText>
      </w:r>
      <w:r>
        <w:fldChar w:fldCharType="separate"/>
      </w:r>
      <w:r>
        <w:t>89</w:t>
      </w:r>
      <w:r>
        <w:fldChar w:fldCharType="end"/>
      </w:r>
      <w:r>
        <w:rPr>
          <w:rFonts w:hint="eastAsia" w:ascii="等线" w:hAnsi="等线" w:eastAsia="等线" w:cs="等线"/>
          <w:bCs/>
          <w:szCs w:val="36"/>
        </w:rPr>
        <w:fldChar w:fldCharType="end"/>
      </w:r>
    </w:p>
    <w:p w14:paraId="7E28703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_Toc1888 </w:instrText>
      </w:r>
      <w:r>
        <w:rPr>
          <w:rFonts w:hint="eastAsia" w:ascii="等线" w:hAnsi="等线" w:eastAsia="等线" w:cs="等线"/>
          <w:bCs/>
          <w:szCs w:val="36"/>
        </w:rPr>
        <w:fldChar w:fldCharType="separate"/>
      </w:r>
      <w:r>
        <w:rPr>
          <w:rFonts w:hint="eastAsia"/>
        </w:rPr>
        <w:t>《大学生职业生涯规划》课程教学大纲</w:t>
      </w:r>
      <w:r>
        <w:tab/>
      </w:r>
      <w:r>
        <w:fldChar w:fldCharType="begin"/>
      </w:r>
      <w:r>
        <w:instrText xml:space="preserve"> PAGEREF _Toc1888 </w:instrText>
      </w:r>
      <w:r>
        <w:fldChar w:fldCharType="separate"/>
      </w:r>
      <w:r>
        <w:t>94</w:t>
      </w:r>
      <w:r>
        <w:fldChar w:fldCharType="end"/>
      </w:r>
      <w:r>
        <w:rPr>
          <w:rFonts w:hint="eastAsia" w:ascii="等线" w:hAnsi="等线" w:eastAsia="等线" w:cs="等线"/>
          <w:bCs/>
          <w:szCs w:val="36"/>
        </w:rPr>
        <w:fldChar w:fldCharType="end"/>
      </w:r>
    </w:p>
    <w:p w14:paraId="0654F85E">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_Toc20249 </w:instrText>
      </w:r>
      <w:r>
        <w:rPr>
          <w:rFonts w:hint="eastAsia" w:ascii="等线" w:hAnsi="等线" w:eastAsia="等线" w:cs="等线"/>
          <w:bCs/>
          <w:szCs w:val="36"/>
        </w:rPr>
        <w:fldChar w:fldCharType="separate"/>
      </w:r>
      <w:r>
        <w:rPr>
          <w:rFonts w:hint="eastAsia"/>
        </w:rPr>
        <w:t>《大学生就业指导》课程教学大纲</w:t>
      </w:r>
      <w:r>
        <w:tab/>
      </w:r>
      <w:r>
        <w:fldChar w:fldCharType="begin"/>
      </w:r>
      <w:r>
        <w:instrText xml:space="preserve"> PAGEREF _Toc20249 </w:instrText>
      </w:r>
      <w:r>
        <w:fldChar w:fldCharType="separate"/>
      </w:r>
      <w:r>
        <w:t>99</w:t>
      </w:r>
      <w:r>
        <w:fldChar w:fldCharType="end"/>
      </w:r>
      <w:r>
        <w:rPr>
          <w:rFonts w:hint="eastAsia" w:ascii="等线" w:hAnsi="等线" w:eastAsia="等线" w:cs="等线"/>
          <w:bCs/>
          <w:szCs w:val="36"/>
        </w:rPr>
        <w:fldChar w:fldCharType="end"/>
      </w:r>
    </w:p>
    <w:p w14:paraId="2485A46C">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_Toc5651 </w:instrText>
      </w:r>
      <w:r>
        <w:rPr>
          <w:rFonts w:hint="eastAsia" w:ascii="等线" w:hAnsi="等线" w:eastAsia="等线" w:cs="等线"/>
          <w:bCs/>
          <w:szCs w:val="36"/>
        </w:rPr>
        <w:fldChar w:fldCharType="separate"/>
      </w:r>
      <w:r>
        <w:rPr>
          <w:rFonts w:hint="eastAsia"/>
          <w:lang w:val="en-US" w:eastAsia="zh-CN"/>
        </w:rPr>
        <w:t>《大学生劳动教育》课程教学大纲</w:t>
      </w:r>
      <w:r>
        <w:tab/>
      </w:r>
      <w:r>
        <w:fldChar w:fldCharType="begin"/>
      </w:r>
      <w:r>
        <w:instrText xml:space="preserve"> PAGEREF _Toc5651 </w:instrText>
      </w:r>
      <w:r>
        <w:fldChar w:fldCharType="separate"/>
      </w:r>
      <w:r>
        <w:t>105</w:t>
      </w:r>
      <w:r>
        <w:fldChar w:fldCharType="end"/>
      </w:r>
      <w:r>
        <w:rPr>
          <w:rFonts w:hint="eastAsia" w:ascii="等线" w:hAnsi="等线" w:eastAsia="等线" w:cs="等线"/>
          <w:bCs/>
          <w:szCs w:val="36"/>
        </w:rPr>
        <w:fldChar w:fldCharType="end"/>
      </w:r>
    </w:p>
    <w:p w14:paraId="39DEB5A1">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_Toc25635 </w:instrText>
      </w:r>
      <w:r>
        <w:rPr>
          <w:rFonts w:hint="eastAsia" w:ascii="等线" w:hAnsi="等线" w:eastAsia="等线" w:cs="等线"/>
          <w:bCs/>
          <w:szCs w:val="36"/>
        </w:rPr>
        <w:fldChar w:fldCharType="separate"/>
      </w:r>
      <w:r>
        <w:rPr>
          <w:rFonts w:hint="eastAsia"/>
          <w:lang w:eastAsia="zh-CN"/>
        </w:rPr>
        <w:t>《</w:t>
      </w:r>
      <w:r>
        <w:rPr>
          <w:rFonts w:hint="eastAsia"/>
        </w:rPr>
        <w:t>军事理论</w:t>
      </w:r>
      <w:r>
        <w:rPr>
          <w:rFonts w:hint="eastAsia"/>
          <w:lang w:eastAsia="zh-CN"/>
        </w:rPr>
        <w:t>》</w:t>
      </w:r>
      <w:r>
        <w:rPr>
          <w:rFonts w:hint="eastAsia"/>
        </w:rPr>
        <w:t>课程教学大纲</w:t>
      </w:r>
      <w:r>
        <w:tab/>
      </w:r>
      <w:r>
        <w:fldChar w:fldCharType="begin"/>
      </w:r>
      <w:r>
        <w:instrText xml:space="preserve"> PAGEREF _Toc25635 </w:instrText>
      </w:r>
      <w:r>
        <w:fldChar w:fldCharType="separate"/>
      </w:r>
      <w:r>
        <w:t>112</w:t>
      </w:r>
      <w:r>
        <w:fldChar w:fldCharType="end"/>
      </w:r>
      <w:r>
        <w:rPr>
          <w:rFonts w:hint="eastAsia" w:ascii="等线" w:hAnsi="等线" w:eastAsia="等线" w:cs="等线"/>
          <w:bCs/>
          <w:szCs w:val="36"/>
        </w:rPr>
        <w:fldChar w:fldCharType="end"/>
      </w:r>
    </w:p>
    <w:p w14:paraId="430294A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_Toc30282 </w:instrText>
      </w:r>
      <w:r>
        <w:rPr>
          <w:rFonts w:hint="eastAsia" w:ascii="等线" w:hAnsi="等线" w:eastAsia="等线" w:cs="等线"/>
          <w:bCs/>
          <w:szCs w:val="36"/>
        </w:rPr>
        <w:fldChar w:fldCharType="separate"/>
      </w:r>
      <w:r>
        <w:rPr>
          <w:rFonts w:hint="eastAsia"/>
        </w:rPr>
        <w:t>《大学生心理健康教育》课程教学大纲</w:t>
      </w:r>
      <w:r>
        <w:tab/>
      </w:r>
      <w:r>
        <w:fldChar w:fldCharType="begin"/>
      </w:r>
      <w:r>
        <w:instrText xml:space="preserve"> PAGEREF _Toc30282 </w:instrText>
      </w:r>
      <w:r>
        <w:fldChar w:fldCharType="separate"/>
      </w:r>
      <w:r>
        <w:t>117</w:t>
      </w:r>
      <w:r>
        <w:fldChar w:fldCharType="end"/>
      </w:r>
      <w:r>
        <w:rPr>
          <w:rFonts w:hint="eastAsia" w:ascii="等线" w:hAnsi="等线" w:eastAsia="等线" w:cs="等线"/>
          <w:bCs/>
          <w:szCs w:val="36"/>
        </w:rPr>
        <w:fldChar w:fldCharType="end"/>
      </w:r>
    </w:p>
    <w:p w14:paraId="1F6E6A3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_Toc20191 </w:instrText>
      </w:r>
      <w:r>
        <w:rPr>
          <w:rFonts w:hint="eastAsia" w:ascii="等线" w:hAnsi="等线" w:eastAsia="等线" w:cs="等线"/>
          <w:bCs/>
          <w:szCs w:val="36"/>
        </w:rPr>
        <w:fldChar w:fldCharType="separate"/>
      </w:r>
      <w:r>
        <w:rPr>
          <w:rFonts w:hint="eastAsia"/>
          <w:lang w:eastAsia="zh-CN"/>
        </w:rPr>
        <w:t>《</w:t>
      </w:r>
      <w:r>
        <w:rPr>
          <w:rFonts w:hint="eastAsia"/>
        </w:rPr>
        <w:t>大学生安全教育</w:t>
      </w:r>
      <w:r>
        <w:rPr>
          <w:rFonts w:hint="eastAsia"/>
          <w:lang w:eastAsia="zh-CN"/>
        </w:rPr>
        <w:t>》</w:t>
      </w:r>
      <w:r>
        <w:rPr>
          <w:rFonts w:hint="eastAsia"/>
        </w:rPr>
        <w:t>课程教学大纲</w:t>
      </w:r>
      <w:r>
        <w:tab/>
      </w:r>
      <w:r>
        <w:fldChar w:fldCharType="begin"/>
      </w:r>
      <w:r>
        <w:instrText xml:space="preserve"> PAGEREF _Toc20191 </w:instrText>
      </w:r>
      <w:r>
        <w:fldChar w:fldCharType="separate"/>
      </w:r>
      <w:r>
        <w:t>123</w:t>
      </w:r>
      <w:r>
        <w:fldChar w:fldCharType="end"/>
      </w:r>
      <w:r>
        <w:rPr>
          <w:rFonts w:hint="eastAsia" w:ascii="等线" w:hAnsi="等线" w:eastAsia="等线" w:cs="等线"/>
          <w:bCs/>
          <w:szCs w:val="36"/>
        </w:rPr>
        <w:fldChar w:fldCharType="end"/>
      </w:r>
    </w:p>
    <w:p w14:paraId="0E5175E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_Toc22645 </w:instrText>
      </w:r>
      <w:r>
        <w:rPr>
          <w:rFonts w:hint="eastAsia" w:ascii="等线" w:hAnsi="等线" w:eastAsia="等线" w:cs="等线"/>
          <w:bCs/>
          <w:szCs w:val="36"/>
        </w:rPr>
        <w:fldChar w:fldCharType="separate"/>
      </w:r>
      <w:r>
        <w:rPr>
          <w:rFonts w:hint="eastAsia"/>
          <w:lang w:val="en-US" w:eastAsia="zh-CN"/>
        </w:rPr>
        <w:t>《</w:t>
      </w:r>
      <w:r>
        <w:rPr>
          <w:lang w:val="en-US" w:eastAsia="zh-CN"/>
        </w:rPr>
        <w:t>经典阅读与学术素养</w:t>
      </w:r>
      <w:r>
        <w:rPr>
          <w:rFonts w:hint="eastAsia"/>
          <w:lang w:val="en-US" w:eastAsia="zh-CN"/>
        </w:rPr>
        <w:t>》课程教学大纲</w:t>
      </w:r>
      <w:r>
        <w:tab/>
      </w:r>
      <w:r>
        <w:fldChar w:fldCharType="begin"/>
      </w:r>
      <w:r>
        <w:instrText xml:space="preserve"> PAGEREF _Toc22645 </w:instrText>
      </w:r>
      <w:r>
        <w:fldChar w:fldCharType="separate"/>
      </w:r>
      <w:r>
        <w:t>132</w:t>
      </w:r>
      <w:r>
        <w:fldChar w:fldCharType="end"/>
      </w:r>
      <w:r>
        <w:rPr>
          <w:rFonts w:hint="eastAsia" w:ascii="等线" w:hAnsi="等线" w:eastAsia="等线" w:cs="等线"/>
          <w:bCs/>
          <w:szCs w:val="36"/>
        </w:rPr>
        <w:fldChar w:fldCharType="end"/>
      </w:r>
    </w:p>
    <w:p w14:paraId="0616E477">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_Toc13290 </w:instrText>
      </w:r>
      <w:r>
        <w:rPr>
          <w:rFonts w:hint="eastAsia" w:ascii="等线" w:hAnsi="等线" w:eastAsia="等线" w:cs="等线"/>
          <w:bCs/>
          <w:szCs w:val="36"/>
        </w:rPr>
        <w:fldChar w:fldCharType="separate"/>
      </w:r>
      <w:r>
        <w:rPr>
          <w:rFonts w:hint="eastAsia"/>
        </w:rPr>
        <w:t>《国家安全教育》</w:t>
      </w:r>
      <w:r>
        <w:rPr>
          <w:rFonts w:hint="eastAsia"/>
          <w:lang w:eastAsia="zh-CN"/>
        </w:rPr>
        <w:t>课程教学大纲</w:t>
      </w:r>
      <w:r>
        <w:tab/>
      </w:r>
      <w:r>
        <w:fldChar w:fldCharType="begin"/>
      </w:r>
      <w:r>
        <w:instrText xml:space="preserve"> PAGEREF _Toc13290 </w:instrText>
      </w:r>
      <w:r>
        <w:fldChar w:fldCharType="separate"/>
      </w:r>
      <w:r>
        <w:t>139</w:t>
      </w:r>
      <w:r>
        <w:fldChar w:fldCharType="end"/>
      </w:r>
      <w:r>
        <w:rPr>
          <w:rFonts w:hint="eastAsia" w:ascii="等线" w:hAnsi="等线" w:eastAsia="等线" w:cs="等线"/>
          <w:bCs/>
          <w:szCs w:val="36"/>
        </w:rPr>
        <w:fldChar w:fldCharType="end"/>
      </w:r>
    </w:p>
    <w:p w14:paraId="4D78AB5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_Toc31898 </w:instrText>
      </w:r>
      <w:r>
        <w:rPr>
          <w:rFonts w:hint="eastAsia" w:ascii="等线" w:hAnsi="等线" w:eastAsia="等线" w:cs="等线"/>
          <w:bCs/>
          <w:szCs w:val="36"/>
        </w:rPr>
        <w:fldChar w:fldCharType="separate"/>
      </w:r>
      <w:r>
        <w:rPr>
          <w:rFonts w:hint="eastAsia"/>
          <w:lang w:val="en-US" w:eastAsia="zh-CN"/>
        </w:rPr>
        <w:t>《书写技能》课程教学大纲</w:t>
      </w:r>
      <w:r>
        <w:tab/>
      </w:r>
      <w:r>
        <w:fldChar w:fldCharType="begin"/>
      </w:r>
      <w:r>
        <w:instrText xml:space="preserve"> PAGEREF _Toc31898 </w:instrText>
      </w:r>
      <w:r>
        <w:fldChar w:fldCharType="separate"/>
      </w:r>
      <w:r>
        <w:t>144</w:t>
      </w:r>
      <w:r>
        <w:fldChar w:fldCharType="end"/>
      </w:r>
      <w:r>
        <w:rPr>
          <w:rFonts w:hint="eastAsia" w:ascii="等线" w:hAnsi="等线" w:eastAsia="等线" w:cs="等线"/>
          <w:bCs/>
          <w:szCs w:val="36"/>
        </w:rPr>
        <w:fldChar w:fldCharType="end"/>
      </w:r>
    </w:p>
    <w:p w14:paraId="7F8655C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_Toc23792 </w:instrText>
      </w:r>
      <w:r>
        <w:rPr>
          <w:rFonts w:hint="eastAsia" w:ascii="等线" w:hAnsi="等线" w:eastAsia="等线" w:cs="等线"/>
          <w:bCs/>
          <w:szCs w:val="36"/>
        </w:rPr>
        <w:fldChar w:fldCharType="separate"/>
      </w:r>
      <w:r>
        <w:rPr>
          <w:rFonts w:hint="eastAsia"/>
          <w:lang w:eastAsia="zh-CN"/>
        </w:rPr>
        <w:t>《</w:t>
      </w:r>
      <w:r>
        <w:rPr>
          <w:rFonts w:hint="eastAsia"/>
        </w:rPr>
        <w:t>普通话训练指导</w:t>
      </w:r>
      <w:r>
        <w:rPr>
          <w:rFonts w:hint="eastAsia"/>
          <w:lang w:eastAsia="zh-CN"/>
        </w:rPr>
        <w:t>》</w:t>
      </w:r>
      <w:r>
        <w:rPr>
          <w:rFonts w:hint="eastAsia"/>
        </w:rPr>
        <w:t>课程教学大纲</w:t>
      </w:r>
      <w:r>
        <w:tab/>
      </w:r>
      <w:r>
        <w:fldChar w:fldCharType="begin"/>
      </w:r>
      <w:r>
        <w:instrText xml:space="preserve"> PAGEREF _Toc23792 </w:instrText>
      </w:r>
      <w:r>
        <w:fldChar w:fldCharType="separate"/>
      </w:r>
      <w:r>
        <w:t>149</w:t>
      </w:r>
      <w:r>
        <w:fldChar w:fldCharType="end"/>
      </w:r>
      <w:r>
        <w:rPr>
          <w:rFonts w:hint="eastAsia" w:ascii="等线" w:hAnsi="等线" w:eastAsia="等线" w:cs="等线"/>
          <w:bCs/>
          <w:szCs w:val="36"/>
        </w:rPr>
        <w:fldChar w:fldCharType="end"/>
      </w:r>
    </w:p>
    <w:p w14:paraId="09309E87">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_Toc26924 </w:instrText>
      </w:r>
      <w:r>
        <w:rPr>
          <w:rFonts w:hint="eastAsia" w:ascii="等线" w:hAnsi="等线" w:eastAsia="等线" w:cs="等线"/>
          <w:bCs/>
          <w:szCs w:val="36"/>
        </w:rPr>
        <w:fldChar w:fldCharType="separate"/>
      </w:r>
      <w:r>
        <w:rPr>
          <w:rFonts w:hint="eastAsia"/>
          <w:lang w:val="en-US" w:eastAsia="zh-CN"/>
        </w:rPr>
        <w:t>《小学心理学》课程教学大纲</w:t>
      </w:r>
      <w:r>
        <w:tab/>
      </w:r>
      <w:r>
        <w:fldChar w:fldCharType="begin"/>
      </w:r>
      <w:r>
        <w:instrText xml:space="preserve"> PAGEREF _Toc26924 </w:instrText>
      </w:r>
      <w:r>
        <w:fldChar w:fldCharType="separate"/>
      </w:r>
      <w:r>
        <w:t>155</w:t>
      </w:r>
      <w:r>
        <w:fldChar w:fldCharType="end"/>
      </w:r>
      <w:r>
        <w:rPr>
          <w:rFonts w:hint="eastAsia" w:ascii="等线" w:hAnsi="等线" w:eastAsia="等线" w:cs="等线"/>
          <w:bCs/>
          <w:szCs w:val="36"/>
        </w:rPr>
        <w:fldChar w:fldCharType="end"/>
      </w:r>
    </w:p>
    <w:p w14:paraId="21A8285D">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_Toc29617 </w:instrText>
      </w:r>
      <w:r>
        <w:rPr>
          <w:rFonts w:hint="eastAsia" w:ascii="等线" w:hAnsi="等线" w:eastAsia="等线" w:cs="等线"/>
          <w:bCs/>
          <w:szCs w:val="36"/>
        </w:rPr>
        <w:fldChar w:fldCharType="separate"/>
      </w:r>
      <w:r>
        <w:rPr>
          <w:rFonts w:hint="eastAsia"/>
          <w:lang w:val="en-US" w:eastAsia="zh-CN"/>
        </w:rPr>
        <w:t>《教育原理》课程教学大纲</w:t>
      </w:r>
      <w:r>
        <w:tab/>
      </w:r>
      <w:r>
        <w:fldChar w:fldCharType="begin"/>
      </w:r>
      <w:r>
        <w:instrText xml:space="preserve"> PAGEREF _Toc29617 </w:instrText>
      </w:r>
      <w:r>
        <w:fldChar w:fldCharType="separate"/>
      </w:r>
      <w:r>
        <w:t>162</w:t>
      </w:r>
      <w:r>
        <w:fldChar w:fldCharType="end"/>
      </w:r>
      <w:r>
        <w:rPr>
          <w:rFonts w:hint="eastAsia" w:ascii="等线" w:hAnsi="等线" w:eastAsia="等线" w:cs="等线"/>
          <w:bCs/>
          <w:szCs w:val="36"/>
        </w:rPr>
        <w:fldChar w:fldCharType="end"/>
      </w:r>
    </w:p>
    <w:p w14:paraId="7851463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_Toc23569 </w:instrText>
      </w:r>
      <w:r>
        <w:rPr>
          <w:rFonts w:hint="eastAsia" w:ascii="等线" w:hAnsi="等线" w:eastAsia="等线" w:cs="等线"/>
          <w:bCs/>
          <w:szCs w:val="36"/>
        </w:rPr>
        <w:fldChar w:fldCharType="separate"/>
      </w:r>
      <w:r>
        <w:rPr>
          <w:rFonts w:hint="eastAsia"/>
          <w:lang w:val="en-US" w:eastAsia="zh-CN"/>
        </w:rPr>
        <w:t>《中国教育史》课程教学大纲</w:t>
      </w:r>
      <w:r>
        <w:tab/>
      </w:r>
      <w:r>
        <w:fldChar w:fldCharType="begin"/>
      </w:r>
      <w:r>
        <w:instrText xml:space="preserve"> PAGEREF _Toc23569 </w:instrText>
      </w:r>
      <w:r>
        <w:fldChar w:fldCharType="separate"/>
      </w:r>
      <w:r>
        <w:t>170</w:t>
      </w:r>
      <w:r>
        <w:fldChar w:fldCharType="end"/>
      </w:r>
      <w:r>
        <w:rPr>
          <w:rFonts w:hint="eastAsia" w:ascii="等线" w:hAnsi="等线" w:eastAsia="等线" w:cs="等线"/>
          <w:bCs/>
          <w:szCs w:val="36"/>
        </w:rPr>
        <w:fldChar w:fldCharType="end"/>
      </w:r>
    </w:p>
    <w:p w14:paraId="1B705A4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_Toc856 </w:instrText>
      </w:r>
      <w:r>
        <w:rPr>
          <w:rFonts w:hint="eastAsia" w:ascii="等线" w:hAnsi="等线" w:eastAsia="等线" w:cs="等线"/>
          <w:bCs/>
          <w:szCs w:val="36"/>
        </w:rPr>
        <w:fldChar w:fldCharType="separate"/>
      </w:r>
      <w:r>
        <w:rPr>
          <w:rFonts w:hint="eastAsia"/>
          <w:lang w:val="en-US" w:eastAsia="zh-CN"/>
        </w:rPr>
        <w:t>《外国教育史》课程与教学大纲</w:t>
      </w:r>
      <w:r>
        <w:tab/>
      </w:r>
      <w:r>
        <w:fldChar w:fldCharType="begin"/>
      </w:r>
      <w:r>
        <w:instrText xml:space="preserve"> PAGEREF _Toc856 </w:instrText>
      </w:r>
      <w:r>
        <w:fldChar w:fldCharType="separate"/>
      </w:r>
      <w:r>
        <w:t>177</w:t>
      </w:r>
      <w:r>
        <w:fldChar w:fldCharType="end"/>
      </w:r>
      <w:r>
        <w:rPr>
          <w:rFonts w:hint="eastAsia" w:ascii="等线" w:hAnsi="等线" w:eastAsia="等线" w:cs="等线"/>
          <w:bCs/>
          <w:szCs w:val="36"/>
        </w:rPr>
        <w:fldChar w:fldCharType="end"/>
      </w:r>
    </w:p>
    <w:p w14:paraId="1182C2AA">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_Toc23130 </w:instrText>
      </w:r>
      <w:r>
        <w:rPr>
          <w:rFonts w:hint="eastAsia" w:ascii="等线" w:hAnsi="等线" w:eastAsia="等线" w:cs="等线"/>
          <w:bCs/>
          <w:szCs w:val="36"/>
        </w:rPr>
        <w:fldChar w:fldCharType="separate"/>
      </w:r>
      <w:r>
        <w:rPr>
          <w:rFonts w:hint="eastAsia"/>
          <w:lang w:eastAsia="zh-CN"/>
        </w:rPr>
        <w:t>《</w:t>
      </w:r>
      <w:r>
        <w:rPr>
          <w:rFonts w:hint="eastAsia"/>
        </w:rPr>
        <w:t>小学教育政策与法规</w:t>
      </w:r>
      <w:r>
        <w:rPr>
          <w:rFonts w:hint="eastAsia"/>
          <w:lang w:eastAsia="zh-CN"/>
        </w:rPr>
        <w:t>》</w:t>
      </w:r>
      <w:r>
        <w:rPr>
          <w:rFonts w:hint="eastAsia"/>
        </w:rPr>
        <w:t>课程与教学大纲</w:t>
      </w:r>
      <w:r>
        <w:tab/>
      </w:r>
      <w:r>
        <w:fldChar w:fldCharType="begin"/>
      </w:r>
      <w:r>
        <w:instrText xml:space="preserve"> PAGEREF _Toc23130 </w:instrText>
      </w:r>
      <w:r>
        <w:fldChar w:fldCharType="separate"/>
      </w:r>
      <w:r>
        <w:t>189</w:t>
      </w:r>
      <w:r>
        <w:fldChar w:fldCharType="end"/>
      </w:r>
      <w:r>
        <w:rPr>
          <w:rFonts w:hint="eastAsia" w:ascii="等线" w:hAnsi="等线" w:eastAsia="等线" w:cs="等线"/>
          <w:bCs/>
          <w:szCs w:val="36"/>
        </w:rPr>
        <w:fldChar w:fldCharType="end"/>
      </w:r>
    </w:p>
    <w:p w14:paraId="77E4DDEE">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_Toc30594 </w:instrText>
      </w:r>
      <w:r>
        <w:rPr>
          <w:rFonts w:hint="eastAsia" w:ascii="等线" w:hAnsi="等线" w:eastAsia="等线" w:cs="等线"/>
          <w:bCs/>
          <w:szCs w:val="36"/>
        </w:rPr>
        <w:fldChar w:fldCharType="separate"/>
      </w:r>
      <w:r>
        <w:rPr>
          <w:rFonts w:hint="eastAsia"/>
          <w:lang w:val="en-US" w:eastAsia="zh-CN"/>
        </w:rPr>
        <w:t>《教师职业道德》课程教学大纲</w:t>
      </w:r>
      <w:r>
        <w:tab/>
      </w:r>
      <w:r>
        <w:fldChar w:fldCharType="begin"/>
      </w:r>
      <w:r>
        <w:instrText xml:space="preserve"> PAGEREF _Toc30594 </w:instrText>
      </w:r>
      <w:r>
        <w:fldChar w:fldCharType="separate"/>
      </w:r>
      <w:r>
        <w:t>199</w:t>
      </w:r>
      <w:r>
        <w:fldChar w:fldCharType="end"/>
      </w:r>
      <w:r>
        <w:rPr>
          <w:rFonts w:hint="eastAsia" w:ascii="等线" w:hAnsi="等线" w:eastAsia="等线" w:cs="等线"/>
          <w:bCs/>
          <w:szCs w:val="36"/>
        </w:rPr>
        <w:fldChar w:fldCharType="end"/>
      </w:r>
    </w:p>
    <w:p w14:paraId="617A9FF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_Toc25663 </w:instrText>
      </w:r>
      <w:r>
        <w:rPr>
          <w:rFonts w:hint="eastAsia" w:ascii="等线" w:hAnsi="等线" w:eastAsia="等线" w:cs="等线"/>
          <w:bCs/>
          <w:szCs w:val="36"/>
        </w:rPr>
        <w:fldChar w:fldCharType="separate"/>
      </w:r>
      <w:r>
        <w:rPr>
          <w:rFonts w:hint="eastAsia"/>
          <w:lang w:val="en-US" w:eastAsia="zh-CN"/>
        </w:rPr>
        <w:t>《课程与教学论》课程教学大纲</w:t>
      </w:r>
      <w:r>
        <w:tab/>
      </w:r>
      <w:r>
        <w:fldChar w:fldCharType="begin"/>
      </w:r>
      <w:r>
        <w:instrText xml:space="preserve"> PAGEREF _Toc25663 </w:instrText>
      </w:r>
      <w:r>
        <w:fldChar w:fldCharType="separate"/>
      </w:r>
      <w:r>
        <w:t>204</w:t>
      </w:r>
      <w:r>
        <w:fldChar w:fldCharType="end"/>
      </w:r>
      <w:r>
        <w:rPr>
          <w:rFonts w:hint="eastAsia" w:ascii="等线" w:hAnsi="等线" w:eastAsia="等线" w:cs="等线"/>
          <w:bCs/>
          <w:szCs w:val="36"/>
        </w:rPr>
        <w:fldChar w:fldCharType="end"/>
      </w:r>
    </w:p>
    <w:p w14:paraId="168F7A6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_Toc14336 </w:instrText>
      </w:r>
      <w:r>
        <w:rPr>
          <w:rFonts w:hint="eastAsia" w:ascii="等线" w:hAnsi="等线" w:eastAsia="等线" w:cs="等线"/>
          <w:bCs/>
          <w:szCs w:val="36"/>
        </w:rPr>
        <w:fldChar w:fldCharType="separate"/>
      </w:r>
      <w:r>
        <w:rPr>
          <w:rFonts w:hint="eastAsia"/>
          <w:lang w:eastAsia="zh-CN"/>
        </w:rPr>
        <w:t>《</w:t>
      </w:r>
      <w:r>
        <w:rPr>
          <w:rFonts w:hint="eastAsia"/>
        </w:rPr>
        <w:t>教育心理学</w:t>
      </w:r>
      <w:r>
        <w:rPr>
          <w:rFonts w:hint="eastAsia"/>
          <w:lang w:eastAsia="zh-CN"/>
        </w:rPr>
        <w:t>》</w:t>
      </w:r>
      <w:r>
        <w:rPr>
          <w:rFonts w:hint="eastAsia"/>
        </w:rPr>
        <w:t>课程教学大纲</w:t>
      </w:r>
      <w:r>
        <w:tab/>
      </w:r>
      <w:r>
        <w:fldChar w:fldCharType="begin"/>
      </w:r>
      <w:r>
        <w:instrText xml:space="preserve"> PAGEREF _Toc14336 </w:instrText>
      </w:r>
      <w:r>
        <w:fldChar w:fldCharType="separate"/>
      </w:r>
      <w:r>
        <w:t>213</w:t>
      </w:r>
      <w:r>
        <w:fldChar w:fldCharType="end"/>
      </w:r>
      <w:r>
        <w:rPr>
          <w:rFonts w:hint="eastAsia" w:ascii="等线" w:hAnsi="等线" w:eastAsia="等线" w:cs="等线"/>
          <w:bCs/>
          <w:szCs w:val="36"/>
        </w:rPr>
        <w:fldChar w:fldCharType="end"/>
      </w:r>
    </w:p>
    <w:p w14:paraId="57EDE57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_Toc6289 </w:instrText>
      </w:r>
      <w:r>
        <w:rPr>
          <w:rFonts w:hint="eastAsia" w:ascii="等线" w:hAnsi="等线" w:eastAsia="等线" w:cs="等线"/>
          <w:bCs/>
          <w:szCs w:val="36"/>
        </w:rPr>
        <w:fldChar w:fldCharType="separate"/>
      </w:r>
      <w:r>
        <w:rPr>
          <w:rFonts w:hint="eastAsia"/>
          <w:lang w:val="en-US" w:eastAsia="zh-CN"/>
        </w:rPr>
        <w:t>《现代教育技术》课程教学大纲</w:t>
      </w:r>
      <w:r>
        <w:tab/>
      </w:r>
      <w:r>
        <w:fldChar w:fldCharType="begin"/>
      </w:r>
      <w:r>
        <w:instrText xml:space="preserve"> PAGEREF _Toc6289 </w:instrText>
      </w:r>
      <w:r>
        <w:fldChar w:fldCharType="separate"/>
      </w:r>
      <w:r>
        <w:t>220</w:t>
      </w:r>
      <w:r>
        <w:fldChar w:fldCharType="end"/>
      </w:r>
      <w:r>
        <w:rPr>
          <w:rFonts w:hint="eastAsia" w:ascii="等线" w:hAnsi="等线" w:eastAsia="等线" w:cs="等线"/>
          <w:bCs/>
          <w:szCs w:val="36"/>
        </w:rPr>
        <w:fldChar w:fldCharType="end"/>
      </w:r>
    </w:p>
    <w:p w14:paraId="44DCE5AE">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_Toc22958 </w:instrText>
      </w:r>
      <w:r>
        <w:rPr>
          <w:rFonts w:hint="eastAsia" w:ascii="等线" w:hAnsi="等线" w:eastAsia="等线" w:cs="等线"/>
          <w:bCs/>
          <w:szCs w:val="36"/>
        </w:rPr>
        <w:fldChar w:fldCharType="separate"/>
      </w:r>
      <w:r>
        <w:rPr>
          <w:rFonts w:hint="eastAsia"/>
          <w:lang w:val="en-US" w:eastAsia="zh-CN"/>
        </w:rPr>
        <w:t>《教育科学研究方法》课程教学大纲</w:t>
      </w:r>
      <w:r>
        <w:tab/>
      </w:r>
      <w:r>
        <w:fldChar w:fldCharType="begin"/>
      </w:r>
      <w:r>
        <w:instrText xml:space="preserve"> PAGEREF _Toc22958 </w:instrText>
      </w:r>
      <w:r>
        <w:fldChar w:fldCharType="separate"/>
      </w:r>
      <w:r>
        <w:t>228</w:t>
      </w:r>
      <w:r>
        <w:fldChar w:fldCharType="end"/>
      </w:r>
      <w:r>
        <w:rPr>
          <w:rFonts w:hint="eastAsia" w:ascii="等线" w:hAnsi="等线" w:eastAsia="等线" w:cs="等线"/>
          <w:bCs/>
          <w:szCs w:val="36"/>
        </w:rPr>
        <w:fldChar w:fldCharType="end"/>
      </w:r>
    </w:p>
    <w:p w14:paraId="6A522F99">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_Toc28756 </w:instrText>
      </w:r>
      <w:r>
        <w:rPr>
          <w:rFonts w:hint="eastAsia" w:ascii="等线" w:hAnsi="等线" w:eastAsia="等线" w:cs="等线"/>
          <w:bCs/>
          <w:szCs w:val="36"/>
        </w:rPr>
        <w:fldChar w:fldCharType="separate"/>
      </w:r>
      <w:r>
        <w:rPr>
          <w:rFonts w:hint="eastAsia"/>
          <w:lang w:eastAsia="zh-CN"/>
        </w:rPr>
        <w:t>《</w:t>
      </w:r>
      <w:r>
        <w:rPr>
          <w:rFonts w:hint="eastAsia"/>
        </w:rPr>
        <w:t>教育科学研究方法</w:t>
      </w:r>
      <w:r>
        <w:rPr>
          <w:rFonts w:hint="eastAsia"/>
          <w:lang w:eastAsia="zh-CN"/>
        </w:rPr>
        <w:t>》</w:t>
      </w:r>
      <w:r>
        <w:rPr>
          <w:rFonts w:hint="eastAsia"/>
        </w:rPr>
        <w:t>课程教学大纲</w:t>
      </w:r>
      <w:r>
        <w:tab/>
      </w:r>
      <w:r>
        <w:fldChar w:fldCharType="begin"/>
      </w:r>
      <w:r>
        <w:instrText xml:space="preserve"> PAGEREF _Toc28756 </w:instrText>
      </w:r>
      <w:r>
        <w:fldChar w:fldCharType="separate"/>
      </w:r>
      <w:r>
        <w:t>236</w:t>
      </w:r>
      <w:r>
        <w:fldChar w:fldCharType="end"/>
      </w:r>
      <w:r>
        <w:rPr>
          <w:rFonts w:hint="eastAsia" w:ascii="等线" w:hAnsi="等线" w:eastAsia="等线" w:cs="等线"/>
          <w:bCs/>
          <w:szCs w:val="36"/>
        </w:rPr>
        <w:fldChar w:fldCharType="end"/>
      </w:r>
    </w:p>
    <w:p w14:paraId="776C609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_Toc28982 </w:instrText>
      </w:r>
      <w:r>
        <w:rPr>
          <w:rFonts w:hint="eastAsia" w:ascii="等线" w:hAnsi="等线" w:eastAsia="等线" w:cs="等线"/>
          <w:bCs/>
          <w:szCs w:val="36"/>
        </w:rPr>
        <w:fldChar w:fldCharType="separate"/>
      </w:r>
      <w:r>
        <w:rPr>
          <w:rFonts w:hint="eastAsia"/>
          <w:lang w:val="en-US" w:eastAsia="zh-CN"/>
        </w:rPr>
        <w:t>《小学班队管理》课程教学大纲</w:t>
      </w:r>
      <w:r>
        <w:tab/>
      </w:r>
      <w:r>
        <w:fldChar w:fldCharType="begin"/>
      </w:r>
      <w:r>
        <w:instrText xml:space="preserve"> PAGEREF _Toc28982 </w:instrText>
      </w:r>
      <w:r>
        <w:fldChar w:fldCharType="separate"/>
      </w:r>
      <w:r>
        <w:t>245</w:t>
      </w:r>
      <w:r>
        <w:fldChar w:fldCharType="end"/>
      </w:r>
      <w:r>
        <w:rPr>
          <w:rFonts w:hint="eastAsia" w:ascii="等线" w:hAnsi="等线" w:eastAsia="等线" w:cs="等线"/>
          <w:bCs/>
          <w:szCs w:val="36"/>
        </w:rPr>
        <w:fldChar w:fldCharType="end"/>
      </w:r>
    </w:p>
    <w:p w14:paraId="2980179E">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_Toc4786 </w:instrText>
      </w:r>
      <w:r>
        <w:rPr>
          <w:rFonts w:hint="eastAsia" w:ascii="等线" w:hAnsi="等线" w:eastAsia="等线" w:cs="等线"/>
          <w:bCs/>
          <w:szCs w:val="36"/>
        </w:rPr>
        <w:fldChar w:fldCharType="separate"/>
      </w:r>
      <w:r>
        <w:rPr>
          <w:rFonts w:hint="eastAsia"/>
          <w:lang w:eastAsia="zh-CN"/>
        </w:rPr>
        <w:t>《</w:t>
      </w:r>
      <w:r>
        <w:rPr>
          <w:rFonts w:hint="eastAsia"/>
        </w:rPr>
        <w:t>教师口语与礼仪</w:t>
      </w:r>
      <w:r>
        <w:rPr>
          <w:rFonts w:hint="eastAsia"/>
          <w:lang w:eastAsia="zh-CN"/>
        </w:rPr>
        <w:t>》</w:t>
      </w:r>
      <w:r>
        <w:rPr>
          <w:rFonts w:hint="eastAsia"/>
          <w:lang w:val="en-US" w:eastAsia="zh-CN"/>
        </w:rPr>
        <w:t>课程教学大纲</w:t>
      </w:r>
      <w:r>
        <w:tab/>
      </w:r>
      <w:r>
        <w:fldChar w:fldCharType="begin"/>
      </w:r>
      <w:r>
        <w:instrText xml:space="preserve"> PAGEREF _Toc4786 </w:instrText>
      </w:r>
      <w:r>
        <w:fldChar w:fldCharType="separate"/>
      </w:r>
      <w:r>
        <w:t>252</w:t>
      </w:r>
      <w:r>
        <w:fldChar w:fldCharType="end"/>
      </w:r>
      <w:r>
        <w:rPr>
          <w:rFonts w:hint="eastAsia" w:ascii="等线" w:hAnsi="等线" w:eastAsia="等线" w:cs="等线"/>
          <w:bCs/>
          <w:szCs w:val="36"/>
        </w:rPr>
        <w:fldChar w:fldCharType="end"/>
      </w:r>
    </w:p>
    <w:p w14:paraId="6302A0B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_Toc13052 </w:instrText>
      </w:r>
      <w:r>
        <w:rPr>
          <w:rFonts w:hint="eastAsia" w:ascii="等线" w:hAnsi="等线" w:eastAsia="等线" w:cs="等线"/>
          <w:bCs/>
          <w:szCs w:val="36"/>
        </w:rPr>
        <w:fldChar w:fldCharType="separate"/>
      </w:r>
      <w:r>
        <w:rPr>
          <w:rFonts w:hint="eastAsia"/>
          <w:lang w:val="en-US" w:eastAsia="zh-CN"/>
        </w:rPr>
        <w:t>《教育统计与测量》课程教学大纲</w:t>
      </w:r>
      <w:r>
        <w:tab/>
      </w:r>
      <w:r>
        <w:fldChar w:fldCharType="begin"/>
      </w:r>
      <w:r>
        <w:instrText xml:space="preserve"> PAGEREF _Toc13052 </w:instrText>
      </w:r>
      <w:r>
        <w:fldChar w:fldCharType="separate"/>
      </w:r>
      <w:r>
        <w:t>260</w:t>
      </w:r>
      <w:r>
        <w:fldChar w:fldCharType="end"/>
      </w:r>
      <w:r>
        <w:rPr>
          <w:rFonts w:hint="eastAsia" w:ascii="等线" w:hAnsi="等线" w:eastAsia="等线" w:cs="等线"/>
          <w:bCs/>
          <w:szCs w:val="36"/>
        </w:rPr>
        <w:fldChar w:fldCharType="end"/>
      </w:r>
    </w:p>
    <w:p w14:paraId="663FD5FC">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_Toc8091 </w:instrText>
      </w:r>
      <w:r>
        <w:rPr>
          <w:rFonts w:hint="eastAsia" w:ascii="等线" w:hAnsi="等线" w:eastAsia="等线" w:cs="等线"/>
          <w:bCs/>
          <w:szCs w:val="36"/>
        </w:rPr>
        <w:fldChar w:fldCharType="separate"/>
      </w:r>
      <w:r>
        <w:rPr>
          <w:rFonts w:hint="eastAsia"/>
          <w:lang w:val="en-US" w:eastAsia="zh-CN"/>
        </w:rPr>
        <w:t>《中外基础教育改革热点》</w:t>
      </w:r>
      <w:r>
        <w:rPr>
          <w:lang w:val="en-US" w:eastAsia="zh-CN"/>
        </w:rPr>
        <w:t>课程教学大纲</w:t>
      </w:r>
      <w:r>
        <w:tab/>
      </w:r>
      <w:r>
        <w:fldChar w:fldCharType="begin"/>
      </w:r>
      <w:r>
        <w:instrText xml:space="preserve"> PAGEREF _Toc8091 </w:instrText>
      </w:r>
      <w:r>
        <w:fldChar w:fldCharType="separate"/>
      </w:r>
      <w:r>
        <w:t>266</w:t>
      </w:r>
      <w:r>
        <w:fldChar w:fldCharType="end"/>
      </w:r>
      <w:r>
        <w:rPr>
          <w:rFonts w:hint="eastAsia" w:ascii="等线" w:hAnsi="等线" w:eastAsia="等线" w:cs="等线"/>
          <w:bCs/>
          <w:szCs w:val="36"/>
        </w:rPr>
        <w:fldChar w:fldCharType="end"/>
      </w:r>
    </w:p>
    <w:p w14:paraId="63B65BC7">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_Toc11683 </w:instrText>
      </w:r>
      <w:r>
        <w:rPr>
          <w:rFonts w:hint="eastAsia" w:ascii="等线" w:hAnsi="等线" w:eastAsia="等线" w:cs="等线"/>
          <w:bCs/>
          <w:szCs w:val="36"/>
        </w:rPr>
        <w:fldChar w:fldCharType="separate"/>
      </w:r>
      <w:r>
        <w:rPr>
          <w:rFonts w:hint="eastAsia"/>
          <w:lang w:eastAsia="zh-CN"/>
        </w:rPr>
        <w:t>《</w:t>
      </w:r>
      <w:r>
        <w:rPr>
          <w:rFonts w:hint="eastAsia"/>
        </w:rPr>
        <w:t>教育哲学</w:t>
      </w:r>
      <w:r>
        <w:rPr>
          <w:rFonts w:hint="eastAsia"/>
          <w:lang w:eastAsia="zh-CN"/>
        </w:rPr>
        <w:t>》</w:t>
      </w:r>
      <w:r>
        <w:rPr>
          <w:rFonts w:hint="eastAsia"/>
        </w:rPr>
        <w:t>课程教学大纲</w:t>
      </w:r>
      <w:r>
        <w:tab/>
      </w:r>
      <w:r>
        <w:fldChar w:fldCharType="begin"/>
      </w:r>
      <w:r>
        <w:instrText xml:space="preserve"> PAGEREF _Toc11683 </w:instrText>
      </w:r>
      <w:r>
        <w:fldChar w:fldCharType="separate"/>
      </w:r>
      <w:r>
        <w:t>277</w:t>
      </w:r>
      <w:r>
        <w:fldChar w:fldCharType="end"/>
      </w:r>
      <w:r>
        <w:rPr>
          <w:rFonts w:hint="eastAsia" w:ascii="等线" w:hAnsi="等线" w:eastAsia="等线" w:cs="等线"/>
          <w:bCs/>
          <w:szCs w:val="36"/>
        </w:rPr>
        <w:fldChar w:fldCharType="end"/>
      </w:r>
    </w:p>
    <w:p w14:paraId="08DAECEC">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_Toc13673 </w:instrText>
      </w:r>
      <w:r>
        <w:rPr>
          <w:rFonts w:hint="eastAsia" w:ascii="等线" w:hAnsi="等线" w:eastAsia="等线" w:cs="等线"/>
          <w:bCs/>
          <w:szCs w:val="36"/>
        </w:rPr>
        <w:fldChar w:fldCharType="separate"/>
      </w:r>
      <w:r>
        <w:rPr>
          <w:rFonts w:hint="eastAsia"/>
          <w:lang w:val="en-US" w:eastAsia="zh-CN"/>
        </w:rPr>
        <w:t>《教育社会学》课程与教学大纲</w:t>
      </w:r>
      <w:r>
        <w:tab/>
      </w:r>
      <w:r>
        <w:fldChar w:fldCharType="begin"/>
      </w:r>
      <w:r>
        <w:instrText xml:space="preserve"> PAGEREF _Toc13673 </w:instrText>
      </w:r>
      <w:r>
        <w:fldChar w:fldCharType="separate"/>
      </w:r>
      <w:r>
        <w:t>286</w:t>
      </w:r>
      <w:r>
        <w:fldChar w:fldCharType="end"/>
      </w:r>
      <w:r>
        <w:rPr>
          <w:rFonts w:hint="eastAsia" w:ascii="等线" w:hAnsi="等线" w:eastAsia="等线" w:cs="等线"/>
          <w:bCs/>
          <w:szCs w:val="36"/>
        </w:rPr>
        <w:fldChar w:fldCharType="end"/>
      </w:r>
    </w:p>
    <w:p w14:paraId="4166925A">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_Toc2182 </w:instrText>
      </w:r>
      <w:r>
        <w:rPr>
          <w:rFonts w:hint="eastAsia" w:ascii="等线" w:hAnsi="等线" w:eastAsia="等线" w:cs="等线"/>
          <w:bCs/>
          <w:szCs w:val="36"/>
        </w:rPr>
        <w:fldChar w:fldCharType="separate"/>
      </w:r>
      <w:r>
        <w:rPr>
          <w:rFonts w:hint="eastAsia"/>
          <w:lang w:val="en-US" w:eastAsia="zh-CN"/>
        </w:rPr>
        <w:t>《家校社协同育人》课程教学大纲</w:t>
      </w:r>
      <w:r>
        <w:tab/>
      </w:r>
      <w:r>
        <w:fldChar w:fldCharType="begin"/>
      </w:r>
      <w:r>
        <w:instrText xml:space="preserve"> PAGEREF _Toc2182 </w:instrText>
      </w:r>
      <w:r>
        <w:fldChar w:fldCharType="separate"/>
      </w:r>
      <w:r>
        <w:t>295</w:t>
      </w:r>
      <w:r>
        <w:fldChar w:fldCharType="end"/>
      </w:r>
      <w:r>
        <w:rPr>
          <w:rFonts w:hint="eastAsia" w:ascii="等线" w:hAnsi="等线" w:eastAsia="等线" w:cs="等线"/>
          <w:bCs/>
          <w:szCs w:val="36"/>
        </w:rPr>
        <w:fldChar w:fldCharType="end"/>
      </w:r>
    </w:p>
    <w:p w14:paraId="0E1706D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_Toc25841 </w:instrText>
      </w:r>
      <w:r>
        <w:rPr>
          <w:rFonts w:hint="eastAsia" w:ascii="等线" w:hAnsi="等线" w:eastAsia="等线" w:cs="等线"/>
          <w:bCs/>
          <w:szCs w:val="36"/>
        </w:rPr>
        <w:fldChar w:fldCharType="separate"/>
      </w:r>
      <w:r>
        <w:rPr>
          <w:rFonts w:hint="eastAsia"/>
          <w:lang w:val="en-US" w:eastAsia="zh-CN"/>
        </w:rPr>
        <w:t>《中外教育名著导读》课程教学大纲</w:t>
      </w:r>
      <w:r>
        <w:tab/>
      </w:r>
      <w:r>
        <w:fldChar w:fldCharType="begin"/>
      </w:r>
      <w:r>
        <w:instrText xml:space="preserve"> PAGEREF _Toc25841 </w:instrText>
      </w:r>
      <w:r>
        <w:fldChar w:fldCharType="separate"/>
      </w:r>
      <w:r>
        <w:t>302</w:t>
      </w:r>
      <w:r>
        <w:fldChar w:fldCharType="end"/>
      </w:r>
      <w:r>
        <w:rPr>
          <w:rFonts w:hint="eastAsia" w:ascii="等线" w:hAnsi="等线" w:eastAsia="等线" w:cs="等线"/>
          <w:bCs/>
          <w:szCs w:val="36"/>
        </w:rPr>
        <w:fldChar w:fldCharType="end"/>
      </w:r>
    </w:p>
    <w:p w14:paraId="77AC1712">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_Toc4241 </w:instrText>
      </w:r>
      <w:r>
        <w:rPr>
          <w:rFonts w:hint="eastAsia" w:ascii="等线" w:hAnsi="等线" w:eastAsia="等线" w:cs="等线"/>
          <w:bCs/>
          <w:szCs w:val="36"/>
        </w:rPr>
        <w:fldChar w:fldCharType="separate"/>
      </w:r>
      <w:r>
        <w:rPr>
          <w:rFonts w:hint="eastAsia"/>
        </w:rPr>
        <w:t>《课堂观察与模拟教学》课程教学大纲</w:t>
      </w:r>
      <w:r>
        <w:tab/>
      </w:r>
      <w:r>
        <w:fldChar w:fldCharType="begin"/>
      </w:r>
      <w:r>
        <w:instrText xml:space="preserve"> PAGEREF _Toc4241 </w:instrText>
      </w:r>
      <w:r>
        <w:fldChar w:fldCharType="separate"/>
      </w:r>
      <w:r>
        <w:t>307</w:t>
      </w:r>
      <w:r>
        <w:fldChar w:fldCharType="end"/>
      </w:r>
      <w:r>
        <w:rPr>
          <w:rFonts w:hint="eastAsia" w:ascii="等线" w:hAnsi="等线" w:eastAsia="等线" w:cs="等线"/>
          <w:bCs/>
          <w:szCs w:val="36"/>
        </w:rPr>
        <w:fldChar w:fldCharType="end"/>
      </w:r>
    </w:p>
    <w:p w14:paraId="296B21BC">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_Toc15968 </w:instrText>
      </w:r>
      <w:r>
        <w:rPr>
          <w:rFonts w:hint="eastAsia" w:ascii="等线" w:hAnsi="等线" w:eastAsia="等线" w:cs="等线"/>
          <w:bCs/>
          <w:szCs w:val="36"/>
        </w:rPr>
        <w:fldChar w:fldCharType="separate"/>
      </w:r>
      <w:r>
        <w:rPr>
          <w:rFonts w:hint="eastAsia"/>
          <w:lang w:val="en-US" w:eastAsia="zh-CN"/>
        </w:rPr>
        <w:t>《校本课程开发》课程教学大纲</w:t>
      </w:r>
      <w:r>
        <w:tab/>
      </w:r>
      <w:r>
        <w:fldChar w:fldCharType="begin"/>
      </w:r>
      <w:r>
        <w:instrText xml:space="preserve"> PAGEREF _Toc15968 </w:instrText>
      </w:r>
      <w:r>
        <w:fldChar w:fldCharType="separate"/>
      </w:r>
      <w:r>
        <w:t>313</w:t>
      </w:r>
      <w:r>
        <w:fldChar w:fldCharType="end"/>
      </w:r>
      <w:r>
        <w:rPr>
          <w:rFonts w:hint="eastAsia" w:ascii="等线" w:hAnsi="等线" w:eastAsia="等线" w:cs="等线"/>
          <w:bCs/>
          <w:szCs w:val="36"/>
        </w:rPr>
        <w:fldChar w:fldCharType="end"/>
      </w:r>
    </w:p>
    <w:p w14:paraId="2851CA65">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_Toc18253 </w:instrText>
      </w:r>
      <w:r>
        <w:rPr>
          <w:rFonts w:hint="eastAsia" w:ascii="等线" w:hAnsi="等线" w:eastAsia="等线" w:cs="等线"/>
          <w:bCs/>
          <w:szCs w:val="36"/>
        </w:rPr>
        <w:fldChar w:fldCharType="separate"/>
      </w:r>
      <w:r>
        <w:rPr>
          <w:rFonts w:hint="eastAsia"/>
          <w:lang w:val="en-US" w:eastAsia="zh-CN"/>
        </w:rPr>
        <w:t>《小学生心理辅导》课程教学大纲</w:t>
      </w:r>
      <w:r>
        <w:tab/>
      </w:r>
      <w:r>
        <w:fldChar w:fldCharType="begin"/>
      </w:r>
      <w:r>
        <w:instrText xml:space="preserve"> PAGEREF _Toc18253 </w:instrText>
      </w:r>
      <w:r>
        <w:fldChar w:fldCharType="separate"/>
      </w:r>
      <w:r>
        <w:t>320</w:t>
      </w:r>
      <w:r>
        <w:fldChar w:fldCharType="end"/>
      </w:r>
      <w:r>
        <w:rPr>
          <w:rFonts w:hint="eastAsia" w:ascii="等线" w:hAnsi="等线" w:eastAsia="等线" w:cs="等线"/>
          <w:bCs/>
          <w:szCs w:val="36"/>
        </w:rPr>
        <w:fldChar w:fldCharType="end"/>
      </w:r>
    </w:p>
    <w:p w14:paraId="3625FFD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_Toc15401 </w:instrText>
      </w:r>
      <w:r>
        <w:rPr>
          <w:rFonts w:hint="eastAsia" w:ascii="等线" w:hAnsi="等线" w:eastAsia="等线" w:cs="等线"/>
          <w:bCs/>
          <w:szCs w:val="36"/>
        </w:rPr>
        <w:fldChar w:fldCharType="separate"/>
      </w:r>
      <w:r>
        <w:rPr>
          <w:rFonts w:hint="eastAsia"/>
          <w:lang w:val="en-US" w:eastAsia="zh-CN"/>
        </w:rPr>
        <w:t>《小学跨学科学习》课程教学大纲</w:t>
      </w:r>
      <w:r>
        <w:tab/>
      </w:r>
      <w:r>
        <w:fldChar w:fldCharType="begin"/>
      </w:r>
      <w:r>
        <w:instrText xml:space="preserve"> PAGEREF _Toc15401 </w:instrText>
      </w:r>
      <w:r>
        <w:fldChar w:fldCharType="separate"/>
      </w:r>
      <w:r>
        <w:t>328</w:t>
      </w:r>
      <w:r>
        <w:fldChar w:fldCharType="end"/>
      </w:r>
      <w:r>
        <w:rPr>
          <w:rFonts w:hint="eastAsia" w:ascii="等线" w:hAnsi="等线" w:eastAsia="等线" w:cs="等线"/>
          <w:bCs/>
          <w:szCs w:val="36"/>
        </w:rPr>
        <w:fldChar w:fldCharType="end"/>
      </w:r>
    </w:p>
    <w:p w14:paraId="76C30AC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_Toc27102 </w:instrText>
      </w:r>
      <w:r>
        <w:rPr>
          <w:rFonts w:hint="eastAsia" w:ascii="等线" w:hAnsi="等线" w:eastAsia="等线" w:cs="等线"/>
          <w:bCs/>
          <w:szCs w:val="36"/>
        </w:rPr>
        <w:fldChar w:fldCharType="separate"/>
      </w:r>
      <w:r>
        <w:rPr>
          <w:rFonts w:hint="eastAsia"/>
          <w:lang w:val="en-US" w:eastAsia="zh-CN"/>
        </w:rPr>
        <w:t>《教育论文写作》课程教学大纲</w:t>
      </w:r>
      <w:r>
        <w:tab/>
      </w:r>
      <w:r>
        <w:fldChar w:fldCharType="begin"/>
      </w:r>
      <w:r>
        <w:instrText xml:space="preserve"> PAGEREF _Toc27102 </w:instrText>
      </w:r>
      <w:r>
        <w:fldChar w:fldCharType="separate"/>
      </w:r>
      <w:r>
        <w:t>333</w:t>
      </w:r>
      <w:r>
        <w:fldChar w:fldCharType="end"/>
      </w:r>
      <w:r>
        <w:rPr>
          <w:rFonts w:hint="eastAsia" w:ascii="等线" w:hAnsi="等线" w:eastAsia="等线" w:cs="等线"/>
          <w:bCs/>
          <w:szCs w:val="36"/>
        </w:rPr>
        <w:fldChar w:fldCharType="end"/>
      </w:r>
    </w:p>
    <w:p w14:paraId="24299BD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_Toc17180 </w:instrText>
      </w:r>
      <w:r>
        <w:rPr>
          <w:rFonts w:hint="eastAsia" w:ascii="等线" w:hAnsi="等线" w:eastAsia="等线" w:cs="等线"/>
          <w:bCs/>
          <w:szCs w:val="36"/>
        </w:rPr>
        <w:fldChar w:fldCharType="separate"/>
      </w:r>
      <w:r>
        <w:rPr>
          <w:rFonts w:hint="eastAsia"/>
          <w:lang w:val="en-US" w:eastAsia="zh-CN"/>
        </w:rPr>
        <w:t>《古代汉语》课程教学大纲</w:t>
      </w:r>
      <w:r>
        <w:tab/>
      </w:r>
      <w:r>
        <w:fldChar w:fldCharType="begin"/>
      </w:r>
      <w:r>
        <w:instrText xml:space="preserve"> PAGEREF _Toc17180 </w:instrText>
      </w:r>
      <w:r>
        <w:fldChar w:fldCharType="separate"/>
      </w:r>
      <w:r>
        <w:t>341</w:t>
      </w:r>
      <w:r>
        <w:fldChar w:fldCharType="end"/>
      </w:r>
      <w:r>
        <w:rPr>
          <w:rFonts w:hint="eastAsia" w:ascii="等线" w:hAnsi="等线" w:eastAsia="等线" w:cs="等线"/>
          <w:bCs/>
          <w:szCs w:val="36"/>
        </w:rPr>
        <w:fldChar w:fldCharType="end"/>
      </w:r>
    </w:p>
    <w:p w14:paraId="3591F8F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_Toc11405 </w:instrText>
      </w:r>
      <w:r>
        <w:rPr>
          <w:rFonts w:hint="eastAsia" w:ascii="等线" w:hAnsi="等线" w:eastAsia="等线" w:cs="等线"/>
          <w:bCs/>
          <w:szCs w:val="36"/>
        </w:rPr>
        <w:fldChar w:fldCharType="separate"/>
      </w:r>
      <w:r>
        <w:rPr>
          <w:rFonts w:hint="eastAsia"/>
          <w:lang w:val="en-US" w:eastAsia="zh-CN"/>
        </w:rPr>
        <w:t>《现代汉语》课程教学大纲</w:t>
      </w:r>
      <w:r>
        <w:tab/>
      </w:r>
      <w:r>
        <w:fldChar w:fldCharType="begin"/>
      </w:r>
      <w:r>
        <w:instrText xml:space="preserve"> PAGEREF _Toc11405 </w:instrText>
      </w:r>
      <w:r>
        <w:fldChar w:fldCharType="separate"/>
      </w:r>
      <w:r>
        <w:t>350</w:t>
      </w:r>
      <w:r>
        <w:fldChar w:fldCharType="end"/>
      </w:r>
      <w:r>
        <w:rPr>
          <w:rFonts w:hint="eastAsia" w:ascii="等线" w:hAnsi="等线" w:eastAsia="等线" w:cs="等线"/>
          <w:bCs/>
          <w:szCs w:val="36"/>
        </w:rPr>
        <w:fldChar w:fldCharType="end"/>
      </w:r>
    </w:p>
    <w:p w14:paraId="637FF4EC">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_Toc15613 </w:instrText>
      </w:r>
      <w:r>
        <w:rPr>
          <w:rFonts w:hint="eastAsia" w:ascii="等线" w:hAnsi="等线" w:eastAsia="等线" w:cs="等线"/>
          <w:bCs/>
          <w:szCs w:val="36"/>
        </w:rPr>
        <w:fldChar w:fldCharType="separate"/>
      </w:r>
      <w:r>
        <w:rPr>
          <w:rFonts w:hint="eastAsia"/>
          <w:lang w:val="en-US" w:eastAsia="zh-CN"/>
        </w:rPr>
        <w:t>《中国古代文学》课程教学大纲</w:t>
      </w:r>
      <w:r>
        <w:tab/>
      </w:r>
      <w:r>
        <w:fldChar w:fldCharType="begin"/>
      </w:r>
      <w:r>
        <w:instrText xml:space="preserve"> PAGEREF _Toc15613 </w:instrText>
      </w:r>
      <w:r>
        <w:fldChar w:fldCharType="separate"/>
      </w:r>
      <w:r>
        <w:t>358</w:t>
      </w:r>
      <w:r>
        <w:fldChar w:fldCharType="end"/>
      </w:r>
      <w:r>
        <w:rPr>
          <w:rFonts w:hint="eastAsia" w:ascii="等线" w:hAnsi="等线" w:eastAsia="等线" w:cs="等线"/>
          <w:bCs/>
          <w:szCs w:val="36"/>
        </w:rPr>
        <w:fldChar w:fldCharType="end"/>
      </w:r>
    </w:p>
    <w:p w14:paraId="6523CEA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_Toc7750 </w:instrText>
      </w:r>
      <w:r>
        <w:rPr>
          <w:rFonts w:hint="eastAsia" w:ascii="等线" w:hAnsi="等线" w:eastAsia="等线" w:cs="等线"/>
          <w:bCs/>
          <w:szCs w:val="36"/>
        </w:rPr>
        <w:fldChar w:fldCharType="separate"/>
      </w:r>
      <w:r>
        <w:rPr>
          <w:rFonts w:hint="eastAsia"/>
          <w:lang w:val="en-US" w:eastAsia="zh-CN"/>
        </w:rPr>
        <w:t>《中国现当代文学》课程教学大纲</w:t>
      </w:r>
      <w:r>
        <w:tab/>
      </w:r>
      <w:r>
        <w:fldChar w:fldCharType="begin"/>
      </w:r>
      <w:r>
        <w:instrText xml:space="preserve"> PAGEREF _Toc7750 </w:instrText>
      </w:r>
      <w:r>
        <w:fldChar w:fldCharType="separate"/>
      </w:r>
      <w:r>
        <w:t>365</w:t>
      </w:r>
      <w:r>
        <w:fldChar w:fldCharType="end"/>
      </w:r>
      <w:r>
        <w:rPr>
          <w:rFonts w:hint="eastAsia" w:ascii="等线" w:hAnsi="等线" w:eastAsia="等线" w:cs="等线"/>
          <w:bCs/>
          <w:szCs w:val="36"/>
        </w:rPr>
        <w:fldChar w:fldCharType="end"/>
      </w:r>
    </w:p>
    <w:p w14:paraId="4B4D98EF">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_Toc3921 </w:instrText>
      </w:r>
      <w:r>
        <w:rPr>
          <w:rFonts w:hint="eastAsia" w:ascii="等线" w:hAnsi="等线" w:eastAsia="等线" w:cs="等线"/>
          <w:bCs/>
          <w:szCs w:val="36"/>
        </w:rPr>
        <w:fldChar w:fldCharType="separate"/>
      </w:r>
      <w:r>
        <w:rPr>
          <w:rFonts w:hint="eastAsia"/>
          <w:lang w:val="en-US" w:eastAsia="zh-CN"/>
        </w:rPr>
        <w:t>《文学概论》课程</w:t>
      </w:r>
      <w:r>
        <w:rPr>
          <w:lang w:val="en-US" w:eastAsia="zh-CN"/>
        </w:rPr>
        <w:t>教学大纲</w:t>
      </w:r>
      <w:r>
        <w:tab/>
      </w:r>
      <w:r>
        <w:fldChar w:fldCharType="begin"/>
      </w:r>
      <w:r>
        <w:instrText xml:space="preserve"> PAGEREF _Toc3921 </w:instrText>
      </w:r>
      <w:r>
        <w:fldChar w:fldCharType="separate"/>
      </w:r>
      <w:r>
        <w:t>374</w:t>
      </w:r>
      <w:r>
        <w:fldChar w:fldCharType="end"/>
      </w:r>
      <w:r>
        <w:rPr>
          <w:rFonts w:hint="eastAsia" w:ascii="等线" w:hAnsi="等线" w:eastAsia="等线" w:cs="等线"/>
          <w:bCs/>
          <w:szCs w:val="36"/>
        </w:rPr>
        <w:fldChar w:fldCharType="end"/>
      </w:r>
    </w:p>
    <w:p w14:paraId="665E418C">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_Toc19580 </w:instrText>
      </w:r>
      <w:r>
        <w:rPr>
          <w:rFonts w:hint="eastAsia" w:ascii="等线" w:hAnsi="等线" w:eastAsia="等线" w:cs="等线"/>
          <w:bCs/>
          <w:szCs w:val="36"/>
        </w:rPr>
        <w:fldChar w:fldCharType="separate"/>
      </w:r>
      <w:r>
        <w:rPr>
          <w:rFonts w:hint="eastAsia"/>
          <w:lang w:val="en-US" w:eastAsia="zh-CN"/>
        </w:rPr>
        <w:t>《儿童文学》</w:t>
      </w:r>
      <w:r>
        <w:rPr>
          <w:lang w:val="en-US" w:eastAsia="zh-CN"/>
        </w:rPr>
        <w:t>课程教学大纲</w:t>
      </w:r>
      <w:r>
        <w:tab/>
      </w:r>
      <w:r>
        <w:fldChar w:fldCharType="begin"/>
      </w:r>
      <w:r>
        <w:instrText xml:space="preserve"> PAGEREF _Toc19580 </w:instrText>
      </w:r>
      <w:r>
        <w:fldChar w:fldCharType="separate"/>
      </w:r>
      <w:r>
        <w:t>381</w:t>
      </w:r>
      <w:r>
        <w:fldChar w:fldCharType="end"/>
      </w:r>
      <w:r>
        <w:rPr>
          <w:rFonts w:hint="eastAsia" w:ascii="等线" w:hAnsi="等线" w:eastAsia="等线" w:cs="等线"/>
          <w:bCs/>
          <w:szCs w:val="36"/>
        </w:rPr>
        <w:fldChar w:fldCharType="end"/>
      </w:r>
    </w:p>
    <w:p w14:paraId="4B20EF79">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_Toc22048 </w:instrText>
      </w:r>
      <w:r>
        <w:rPr>
          <w:rFonts w:hint="eastAsia" w:ascii="等线" w:hAnsi="等线" w:eastAsia="等线" w:cs="等线"/>
          <w:bCs/>
          <w:szCs w:val="36"/>
        </w:rPr>
        <w:fldChar w:fldCharType="separate"/>
      </w:r>
      <w:r>
        <w:rPr>
          <w:rFonts w:hint="eastAsia"/>
          <w:lang w:val="en-US" w:eastAsia="zh-CN"/>
        </w:rPr>
        <w:t>《外国文学》课程教学大纲</w:t>
      </w:r>
      <w:r>
        <w:tab/>
      </w:r>
      <w:r>
        <w:fldChar w:fldCharType="begin"/>
      </w:r>
      <w:r>
        <w:instrText xml:space="preserve"> PAGEREF _Toc22048 </w:instrText>
      </w:r>
      <w:r>
        <w:fldChar w:fldCharType="separate"/>
      </w:r>
      <w:r>
        <w:t>388</w:t>
      </w:r>
      <w:r>
        <w:fldChar w:fldCharType="end"/>
      </w:r>
      <w:r>
        <w:rPr>
          <w:rFonts w:hint="eastAsia" w:ascii="等线" w:hAnsi="等线" w:eastAsia="等线" w:cs="等线"/>
          <w:bCs/>
          <w:szCs w:val="36"/>
        </w:rPr>
        <w:fldChar w:fldCharType="end"/>
      </w:r>
    </w:p>
    <w:p w14:paraId="6359A72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_Toc25051 </w:instrText>
      </w:r>
      <w:r>
        <w:rPr>
          <w:rFonts w:hint="eastAsia" w:ascii="等线" w:hAnsi="等线" w:eastAsia="等线" w:cs="等线"/>
          <w:bCs/>
          <w:szCs w:val="36"/>
        </w:rPr>
        <w:fldChar w:fldCharType="separate"/>
      </w:r>
      <w:r>
        <w:rPr>
          <w:rFonts w:hint="eastAsia"/>
          <w:lang w:val="en-US" w:eastAsia="zh-CN"/>
        </w:rPr>
        <w:t>《写作》课程教学大纲</w:t>
      </w:r>
      <w:r>
        <w:tab/>
      </w:r>
      <w:r>
        <w:fldChar w:fldCharType="begin"/>
      </w:r>
      <w:r>
        <w:instrText xml:space="preserve"> PAGEREF _Toc25051 </w:instrText>
      </w:r>
      <w:r>
        <w:fldChar w:fldCharType="separate"/>
      </w:r>
      <w:r>
        <w:t>398</w:t>
      </w:r>
      <w:r>
        <w:fldChar w:fldCharType="end"/>
      </w:r>
      <w:r>
        <w:rPr>
          <w:rFonts w:hint="eastAsia" w:ascii="等线" w:hAnsi="等线" w:eastAsia="等线" w:cs="等线"/>
          <w:bCs/>
          <w:szCs w:val="36"/>
        </w:rPr>
        <w:fldChar w:fldCharType="end"/>
      </w:r>
    </w:p>
    <w:p w14:paraId="26F68367">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_Toc14947 </w:instrText>
      </w:r>
      <w:r>
        <w:rPr>
          <w:rFonts w:hint="eastAsia" w:ascii="等线" w:hAnsi="等线" w:eastAsia="等线" w:cs="等线"/>
          <w:bCs/>
          <w:szCs w:val="36"/>
        </w:rPr>
        <w:fldChar w:fldCharType="separate"/>
      </w:r>
      <w:r>
        <w:rPr>
          <w:rFonts w:hint="eastAsia"/>
          <w:lang w:val="en-US" w:eastAsia="zh-CN"/>
        </w:rPr>
        <w:t>《小学语文课程标准与教材分析》课程教学大纲</w:t>
      </w:r>
      <w:r>
        <w:tab/>
      </w:r>
      <w:r>
        <w:fldChar w:fldCharType="begin"/>
      </w:r>
      <w:r>
        <w:instrText xml:space="preserve"> PAGEREF _Toc14947 </w:instrText>
      </w:r>
      <w:r>
        <w:fldChar w:fldCharType="separate"/>
      </w:r>
      <w:r>
        <w:t>407</w:t>
      </w:r>
      <w:r>
        <w:fldChar w:fldCharType="end"/>
      </w:r>
      <w:r>
        <w:rPr>
          <w:rFonts w:hint="eastAsia" w:ascii="等线" w:hAnsi="等线" w:eastAsia="等线" w:cs="等线"/>
          <w:bCs/>
          <w:szCs w:val="36"/>
        </w:rPr>
        <w:fldChar w:fldCharType="end"/>
      </w:r>
    </w:p>
    <w:p w14:paraId="5AE3CBE3">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_Toc18734 </w:instrText>
      </w:r>
      <w:r>
        <w:rPr>
          <w:rFonts w:hint="eastAsia" w:ascii="等线" w:hAnsi="等线" w:eastAsia="等线" w:cs="等线"/>
          <w:bCs/>
          <w:szCs w:val="36"/>
        </w:rPr>
        <w:fldChar w:fldCharType="separate"/>
      </w:r>
      <w:r>
        <w:rPr>
          <w:rFonts w:hint="eastAsia"/>
          <w:lang w:val="en-US" w:eastAsia="zh-CN"/>
        </w:rPr>
        <w:t>《小学道德与法治课程与教学论》课程教学大纲</w:t>
      </w:r>
      <w:r>
        <w:tab/>
      </w:r>
      <w:r>
        <w:fldChar w:fldCharType="begin"/>
      </w:r>
      <w:r>
        <w:instrText xml:space="preserve"> PAGEREF _Toc18734 </w:instrText>
      </w:r>
      <w:r>
        <w:fldChar w:fldCharType="separate"/>
      </w:r>
      <w:r>
        <w:t>416</w:t>
      </w:r>
      <w:r>
        <w:fldChar w:fldCharType="end"/>
      </w:r>
      <w:r>
        <w:rPr>
          <w:rFonts w:hint="eastAsia" w:ascii="等线" w:hAnsi="等线" w:eastAsia="等线" w:cs="等线"/>
          <w:bCs/>
          <w:szCs w:val="36"/>
        </w:rPr>
        <w:fldChar w:fldCharType="end"/>
      </w:r>
    </w:p>
    <w:p w14:paraId="5DC7E3C2">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_Toc30866 </w:instrText>
      </w:r>
      <w:r>
        <w:rPr>
          <w:rFonts w:hint="eastAsia" w:ascii="等线" w:hAnsi="等线" w:eastAsia="等线" w:cs="等线"/>
          <w:bCs/>
          <w:szCs w:val="36"/>
        </w:rPr>
        <w:fldChar w:fldCharType="separate"/>
      </w:r>
      <w:r>
        <w:rPr>
          <w:rFonts w:hint="eastAsia"/>
          <w:lang w:val="en-US" w:eastAsia="zh-CN"/>
        </w:rPr>
        <w:t>《小学语文教学设计与实施》课程教学大纲</w:t>
      </w:r>
      <w:r>
        <w:tab/>
      </w:r>
      <w:r>
        <w:fldChar w:fldCharType="begin"/>
      </w:r>
      <w:r>
        <w:instrText xml:space="preserve"> PAGEREF _Toc30866 </w:instrText>
      </w:r>
      <w:r>
        <w:fldChar w:fldCharType="separate"/>
      </w:r>
      <w:r>
        <w:t>423</w:t>
      </w:r>
      <w:r>
        <w:fldChar w:fldCharType="end"/>
      </w:r>
      <w:r>
        <w:rPr>
          <w:rFonts w:hint="eastAsia" w:ascii="等线" w:hAnsi="等线" w:eastAsia="等线" w:cs="等线"/>
          <w:bCs/>
          <w:szCs w:val="36"/>
        </w:rPr>
        <w:fldChar w:fldCharType="end"/>
      </w:r>
    </w:p>
    <w:p w14:paraId="686422D0">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_Toc25107 </w:instrText>
      </w:r>
      <w:r>
        <w:rPr>
          <w:rFonts w:hint="eastAsia" w:ascii="等线" w:hAnsi="等线" w:eastAsia="等线" w:cs="等线"/>
          <w:bCs/>
          <w:szCs w:val="36"/>
        </w:rPr>
        <w:fldChar w:fldCharType="separate"/>
      </w:r>
      <w:r>
        <w:rPr>
          <w:rFonts w:hint="eastAsia"/>
          <w:lang w:eastAsia="zh-CN"/>
        </w:rPr>
        <w:t>《</w:t>
      </w:r>
      <w:r>
        <w:rPr>
          <w:rFonts w:hint="eastAsia"/>
        </w:rPr>
        <w:t>教师口语与礼仪</w:t>
      </w:r>
      <w:r>
        <w:rPr>
          <w:rFonts w:hint="eastAsia"/>
          <w:lang w:eastAsia="zh-CN"/>
        </w:rPr>
        <w:t>》</w:t>
      </w:r>
      <w:r>
        <w:rPr>
          <w:rFonts w:hint="eastAsia"/>
          <w:lang w:val="en-US" w:eastAsia="zh-CN"/>
        </w:rPr>
        <w:t>课程教学大纲</w:t>
      </w:r>
      <w:r>
        <w:tab/>
      </w:r>
      <w:r>
        <w:fldChar w:fldCharType="begin"/>
      </w:r>
      <w:r>
        <w:instrText xml:space="preserve"> PAGEREF _Toc25107 </w:instrText>
      </w:r>
      <w:r>
        <w:fldChar w:fldCharType="separate"/>
      </w:r>
      <w:r>
        <w:t>432</w:t>
      </w:r>
      <w:r>
        <w:fldChar w:fldCharType="end"/>
      </w:r>
      <w:r>
        <w:rPr>
          <w:rFonts w:hint="eastAsia" w:ascii="等线" w:hAnsi="等线" w:eastAsia="等线" w:cs="等线"/>
          <w:bCs/>
          <w:szCs w:val="36"/>
        </w:rPr>
        <w:fldChar w:fldCharType="end"/>
      </w:r>
    </w:p>
    <w:p w14:paraId="3348FD7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_Toc3688 </w:instrText>
      </w:r>
      <w:r>
        <w:rPr>
          <w:rFonts w:hint="eastAsia" w:ascii="等线" w:hAnsi="等线" w:eastAsia="等线" w:cs="等线"/>
          <w:bCs/>
          <w:szCs w:val="36"/>
        </w:rPr>
        <w:fldChar w:fldCharType="separate"/>
      </w:r>
      <w:r>
        <w:rPr>
          <w:rFonts w:hint="eastAsia"/>
          <w:lang w:val="en-US" w:eastAsia="zh-CN"/>
        </w:rPr>
        <w:t>《社会学概论》课程与教学大纲</w:t>
      </w:r>
      <w:r>
        <w:tab/>
      </w:r>
      <w:r>
        <w:fldChar w:fldCharType="begin"/>
      </w:r>
      <w:r>
        <w:instrText xml:space="preserve"> PAGEREF _Toc3688 </w:instrText>
      </w:r>
      <w:r>
        <w:fldChar w:fldCharType="separate"/>
      </w:r>
      <w:r>
        <w:t>440</w:t>
      </w:r>
      <w:r>
        <w:fldChar w:fldCharType="end"/>
      </w:r>
      <w:r>
        <w:rPr>
          <w:rFonts w:hint="eastAsia" w:ascii="等线" w:hAnsi="等线" w:eastAsia="等线" w:cs="等线"/>
          <w:bCs/>
          <w:szCs w:val="36"/>
        </w:rPr>
        <w:fldChar w:fldCharType="end"/>
      </w:r>
    </w:p>
    <w:p w14:paraId="3EF58A40">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_Toc29723 </w:instrText>
      </w:r>
      <w:r>
        <w:rPr>
          <w:rFonts w:hint="eastAsia" w:ascii="等线" w:hAnsi="等线" w:eastAsia="等线" w:cs="等线"/>
          <w:bCs/>
          <w:szCs w:val="36"/>
        </w:rPr>
        <w:fldChar w:fldCharType="separate"/>
      </w:r>
      <w:r>
        <w:rPr>
          <w:rFonts w:hint="eastAsia"/>
          <w:lang w:val="en-US" w:eastAsia="zh-CN"/>
        </w:rPr>
        <w:t>《美术基础》课程与教学大纲</w:t>
      </w:r>
      <w:r>
        <w:rPr>
          <w:rFonts w:hint="eastAsia"/>
          <w:lang w:val="en-US" w:eastAsia="zh-Hans"/>
        </w:rPr>
        <w:t>（文）</w:t>
      </w:r>
      <w:r>
        <w:tab/>
      </w:r>
      <w:r>
        <w:fldChar w:fldCharType="begin"/>
      </w:r>
      <w:r>
        <w:instrText xml:space="preserve"> PAGEREF _Toc29723 </w:instrText>
      </w:r>
      <w:r>
        <w:fldChar w:fldCharType="separate"/>
      </w:r>
      <w:r>
        <w:t>445</w:t>
      </w:r>
      <w:r>
        <w:fldChar w:fldCharType="end"/>
      </w:r>
      <w:r>
        <w:rPr>
          <w:rFonts w:hint="eastAsia" w:ascii="等线" w:hAnsi="等线" w:eastAsia="等线" w:cs="等线"/>
          <w:bCs/>
          <w:szCs w:val="36"/>
        </w:rPr>
        <w:fldChar w:fldCharType="end"/>
      </w:r>
    </w:p>
    <w:p w14:paraId="510F62FA">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_Toc15293 </w:instrText>
      </w:r>
      <w:r>
        <w:rPr>
          <w:rFonts w:hint="eastAsia" w:ascii="等线" w:hAnsi="等线" w:eastAsia="等线" w:cs="等线"/>
          <w:bCs/>
          <w:szCs w:val="36"/>
        </w:rPr>
        <w:fldChar w:fldCharType="separate"/>
      </w:r>
      <w:r>
        <w:rPr>
          <w:rFonts w:hint="eastAsia"/>
        </w:rPr>
        <w:t>《音乐基础》课程教学大纲</w:t>
      </w:r>
      <w:r>
        <w:tab/>
      </w:r>
      <w:r>
        <w:fldChar w:fldCharType="begin"/>
      </w:r>
      <w:r>
        <w:instrText xml:space="preserve"> PAGEREF _Toc15293 </w:instrText>
      </w:r>
      <w:r>
        <w:fldChar w:fldCharType="separate"/>
      </w:r>
      <w:r>
        <w:t>452</w:t>
      </w:r>
      <w:r>
        <w:fldChar w:fldCharType="end"/>
      </w:r>
      <w:r>
        <w:rPr>
          <w:rFonts w:hint="eastAsia" w:ascii="等线" w:hAnsi="等线" w:eastAsia="等线" w:cs="等线"/>
          <w:bCs/>
          <w:szCs w:val="36"/>
        </w:rPr>
        <w:fldChar w:fldCharType="end"/>
      </w:r>
    </w:p>
    <w:p w14:paraId="338EEF79">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_Toc30427 </w:instrText>
      </w:r>
      <w:r>
        <w:rPr>
          <w:rFonts w:hint="eastAsia" w:ascii="等线" w:hAnsi="等线" w:eastAsia="等线" w:cs="等线"/>
          <w:bCs/>
          <w:szCs w:val="36"/>
        </w:rPr>
        <w:fldChar w:fldCharType="separate"/>
      </w:r>
      <w:r>
        <w:rPr>
          <w:rFonts w:hint="eastAsia"/>
          <w:lang w:val="en-US" w:eastAsia="zh-CN"/>
        </w:rPr>
        <w:t>《儿童戏剧》课程与教学大纲</w:t>
      </w:r>
      <w:r>
        <w:tab/>
      </w:r>
      <w:r>
        <w:fldChar w:fldCharType="begin"/>
      </w:r>
      <w:r>
        <w:instrText xml:space="preserve"> PAGEREF _Toc30427 </w:instrText>
      </w:r>
      <w:r>
        <w:fldChar w:fldCharType="separate"/>
      </w:r>
      <w:r>
        <w:t>459</w:t>
      </w:r>
      <w:r>
        <w:fldChar w:fldCharType="end"/>
      </w:r>
      <w:r>
        <w:rPr>
          <w:rFonts w:hint="eastAsia" w:ascii="等线" w:hAnsi="等线" w:eastAsia="等线" w:cs="等线"/>
          <w:bCs/>
          <w:szCs w:val="36"/>
        </w:rPr>
        <w:fldChar w:fldCharType="end"/>
      </w:r>
    </w:p>
    <w:p w14:paraId="4323E96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_Toc1688 </w:instrText>
      </w:r>
      <w:r>
        <w:rPr>
          <w:rFonts w:hint="eastAsia" w:ascii="等线" w:hAnsi="等线" w:eastAsia="等线" w:cs="等线"/>
          <w:bCs/>
          <w:szCs w:val="36"/>
        </w:rPr>
        <w:fldChar w:fldCharType="separate"/>
      </w:r>
      <w:r>
        <w:rPr>
          <w:rFonts w:hint="eastAsia"/>
          <w:lang w:val="en-US" w:eastAsia="zh-CN"/>
        </w:rPr>
        <w:t>《社会统计软件》课程教学大纲</w:t>
      </w:r>
      <w:r>
        <w:tab/>
      </w:r>
      <w:r>
        <w:fldChar w:fldCharType="begin"/>
      </w:r>
      <w:r>
        <w:instrText xml:space="preserve"> PAGEREF _Toc1688 </w:instrText>
      </w:r>
      <w:r>
        <w:fldChar w:fldCharType="separate"/>
      </w:r>
      <w:r>
        <w:t>468</w:t>
      </w:r>
      <w:r>
        <w:fldChar w:fldCharType="end"/>
      </w:r>
      <w:r>
        <w:rPr>
          <w:rFonts w:hint="eastAsia" w:ascii="等线" w:hAnsi="等线" w:eastAsia="等线" w:cs="等线"/>
          <w:bCs/>
          <w:szCs w:val="36"/>
        </w:rPr>
        <w:fldChar w:fldCharType="end"/>
      </w:r>
    </w:p>
    <w:p w14:paraId="187FC4D3">
      <w:pPr>
        <w:pStyle w:val="8"/>
        <w:tabs>
          <w:tab w:val="right" w:leader="dot" w:pos="8306"/>
        </w:tabs>
      </w:pPr>
      <w:r>
        <w:rPr>
          <w:rFonts w:hint="eastAsia" w:ascii="等线" w:hAnsi="等线" w:eastAsia="等线" w:cs="等线"/>
          <w:bCs/>
          <w:szCs w:val="36"/>
          <w:lang w:eastAsia="zh-CN"/>
        </w:rPr>
        <w:t>《</w:t>
      </w: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_Toc16112 </w:instrText>
      </w:r>
      <w:r>
        <w:rPr>
          <w:rFonts w:hint="eastAsia" w:ascii="等线" w:hAnsi="等线" w:eastAsia="等线" w:cs="等线"/>
          <w:bCs/>
          <w:szCs w:val="36"/>
        </w:rPr>
        <w:fldChar w:fldCharType="separate"/>
      </w:r>
      <w:r>
        <w:rPr>
          <w:rFonts w:hint="eastAsia"/>
        </w:rPr>
        <w:t>习近平总书记关于教育的重要论述研究</w:t>
      </w:r>
      <w:r>
        <w:rPr>
          <w:rFonts w:hint="eastAsia"/>
          <w:lang w:eastAsia="zh-CN"/>
        </w:rPr>
        <w:t>》</w:t>
      </w:r>
      <w:r>
        <w:rPr>
          <w:rFonts w:hint="eastAsia"/>
        </w:rPr>
        <w:t>课程教学大纲</w:t>
      </w:r>
      <w:r>
        <w:tab/>
      </w:r>
      <w:r>
        <w:fldChar w:fldCharType="begin"/>
      </w:r>
      <w:r>
        <w:instrText xml:space="preserve"> PAGEREF _Toc16112 </w:instrText>
      </w:r>
      <w:r>
        <w:fldChar w:fldCharType="separate"/>
      </w:r>
      <w:r>
        <w:t>474</w:t>
      </w:r>
      <w:r>
        <w:fldChar w:fldCharType="end"/>
      </w:r>
      <w:r>
        <w:rPr>
          <w:rFonts w:hint="eastAsia" w:ascii="等线" w:hAnsi="等线" w:eastAsia="等线" w:cs="等线"/>
          <w:bCs/>
          <w:szCs w:val="36"/>
        </w:rPr>
        <w:fldChar w:fldCharType="end"/>
      </w:r>
    </w:p>
    <w:p w14:paraId="1005AC97">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_Toc20691 </w:instrText>
      </w:r>
      <w:r>
        <w:rPr>
          <w:rFonts w:hint="eastAsia" w:ascii="等线" w:hAnsi="等线" w:eastAsia="等线" w:cs="等线"/>
          <w:bCs/>
          <w:szCs w:val="36"/>
        </w:rPr>
        <w:fldChar w:fldCharType="separate"/>
      </w:r>
      <w:r>
        <w:rPr>
          <w:rFonts w:hint="eastAsia"/>
        </w:rPr>
        <w:t>《</w:t>
      </w:r>
      <w:r>
        <w:rPr>
          <w:rFonts w:hint="eastAsia"/>
          <w:lang w:val="en-US" w:eastAsia="zh-CN"/>
        </w:rPr>
        <w:t>汉语修辞学</w:t>
      </w:r>
      <w:r>
        <w:rPr>
          <w:rFonts w:hint="eastAsia"/>
        </w:rPr>
        <w:t>》课程教学大纲</w:t>
      </w:r>
      <w:r>
        <w:tab/>
      </w:r>
      <w:r>
        <w:fldChar w:fldCharType="begin"/>
      </w:r>
      <w:r>
        <w:instrText xml:space="preserve"> PAGEREF _Toc20691 </w:instrText>
      </w:r>
      <w:r>
        <w:fldChar w:fldCharType="separate"/>
      </w:r>
      <w:r>
        <w:t>479</w:t>
      </w:r>
      <w:r>
        <w:fldChar w:fldCharType="end"/>
      </w:r>
      <w:r>
        <w:rPr>
          <w:rFonts w:hint="eastAsia" w:ascii="等线" w:hAnsi="等线" w:eastAsia="等线" w:cs="等线"/>
          <w:bCs/>
          <w:szCs w:val="36"/>
        </w:rPr>
        <w:fldChar w:fldCharType="end"/>
      </w:r>
    </w:p>
    <w:p w14:paraId="7DDBAA03">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_Toc9620 </w:instrText>
      </w:r>
      <w:r>
        <w:rPr>
          <w:rFonts w:hint="eastAsia" w:ascii="等线" w:hAnsi="等线" w:eastAsia="等线" w:cs="等线"/>
          <w:bCs/>
          <w:szCs w:val="36"/>
        </w:rPr>
        <w:fldChar w:fldCharType="separate"/>
      </w:r>
      <w:r>
        <w:rPr>
          <w:rFonts w:hint="eastAsia"/>
          <w:lang w:val="en-US" w:eastAsia="zh-CN"/>
        </w:rPr>
        <w:t>《逻辑学》课程教学大纲</w:t>
      </w:r>
      <w:r>
        <w:tab/>
      </w:r>
      <w:r>
        <w:fldChar w:fldCharType="begin"/>
      </w:r>
      <w:r>
        <w:instrText xml:space="preserve"> PAGEREF _Toc9620 </w:instrText>
      </w:r>
      <w:r>
        <w:fldChar w:fldCharType="separate"/>
      </w:r>
      <w:r>
        <w:t>486</w:t>
      </w:r>
      <w:r>
        <w:fldChar w:fldCharType="end"/>
      </w:r>
      <w:r>
        <w:rPr>
          <w:rFonts w:hint="eastAsia" w:ascii="等线" w:hAnsi="等线" w:eastAsia="等线" w:cs="等线"/>
          <w:bCs/>
          <w:szCs w:val="36"/>
        </w:rPr>
        <w:fldChar w:fldCharType="end"/>
      </w:r>
    </w:p>
    <w:p w14:paraId="7FF39AB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_Toc2063 </w:instrText>
      </w:r>
      <w:r>
        <w:rPr>
          <w:rFonts w:hint="eastAsia" w:ascii="等线" w:hAnsi="等线" w:eastAsia="等线" w:cs="等线"/>
          <w:bCs/>
          <w:szCs w:val="36"/>
        </w:rPr>
        <w:fldChar w:fldCharType="separate"/>
      </w:r>
      <w:r>
        <w:rPr>
          <w:rFonts w:hint="eastAsia" w:ascii="Times New Roman" w:hAnsi="Times New Roman" w:eastAsia="宋体" w:cs="Arial"/>
          <w:bCs/>
          <w:kern w:val="2"/>
          <w:szCs w:val="24"/>
          <w:lang w:val="en-US" w:eastAsia="zh-CN" w:bidi="ar-SA"/>
        </w:rPr>
        <w:t>《中国文化概论》课程教学大纲</w:t>
      </w:r>
      <w:r>
        <w:tab/>
      </w:r>
      <w:r>
        <w:fldChar w:fldCharType="begin"/>
      </w:r>
      <w:r>
        <w:instrText xml:space="preserve"> PAGEREF _Toc2063 </w:instrText>
      </w:r>
      <w:r>
        <w:fldChar w:fldCharType="separate"/>
      </w:r>
      <w:r>
        <w:t>493</w:t>
      </w:r>
      <w:r>
        <w:fldChar w:fldCharType="end"/>
      </w:r>
      <w:r>
        <w:rPr>
          <w:rFonts w:hint="eastAsia" w:ascii="等线" w:hAnsi="等线" w:eastAsia="等线" w:cs="等线"/>
          <w:bCs/>
          <w:szCs w:val="36"/>
        </w:rPr>
        <w:fldChar w:fldCharType="end"/>
      </w:r>
    </w:p>
    <w:p w14:paraId="1A7762CD">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_Toc28800 </w:instrText>
      </w:r>
      <w:r>
        <w:rPr>
          <w:rFonts w:hint="eastAsia" w:ascii="等线" w:hAnsi="等线" w:eastAsia="等线" w:cs="等线"/>
          <w:bCs/>
          <w:szCs w:val="36"/>
        </w:rPr>
        <w:fldChar w:fldCharType="separate"/>
      </w:r>
      <w:r>
        <w:rPr>
          <w:rFonts w:hint="eastAsia"/>
          <w:lang w:val="en-US" w:eastAsia="zh-CN"/>
        </w:rPr>
        <w:t>《科学概论》课程教学大纲</w:t>
      </w:r>
      <w:r>
        <w:tab/>
      </w:r>
      <w:r>
        <w:fldChar w:fldCharType="begin"/>
      </w:r>
      <w:r>
        <w:instrText xml:space="preserve"> PAGEREF _Toc28800 </w:instrText>
      </w:r>
      <w:r>
        <w:fldChar w:fldCharType="separate"/>
      </w:r>
      <w:r>
        <w:t>510</w:t>
      </w:r>
      <w:r>
        <w:fldChar w:fldCharType="end"/>
      </w:r>
      <w:r>
        <w:rPr>
          <w:rFonts w:hint="eastAsia" w:ascii="等线" w:hAnsi="等线" w:eastAsia="等线" w:cs="等线"/>
          <w:bCs/>
          <w:szCs w:val="36"/>
        </w:rPr>
        <w:fldChar w:fldCharType="end"/>
      </w:r>
    </w:p>
    <w:p w14:paraId="47925DD0">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_Toc21927 </w:instrText>
      </w:r>
      <w:r>
        <w:rPr>
          <w:rFonts w:hint="eastAsia" w:ascii="等线" w:hAnsi="等线" w:eastAsia="等线" w:cs="等线"/>
          <w:bCs/>
          <w:szCs w:val="36"/>
        </w:rPr>
        <w:fldChar w:fldCharType="separate"/>
      </w:r>
      <w:r>
        <w:rPr>
          <w:rFonts w:hint="eastAsia"/>
          <w:lang w:val="en-US" w:eastAsia="zh-CN"/>
        </w:rPr>
        <w:t>《STEAM课程设计》课程教学大纲</w:t>
      </w:r>
      <w:r>
        <w:tab/>
      </w:r>
      <w:r>
        <w:fldChar w:fldCharType="begin"/>
      </w:r>
      <w:r>
        <w:instrText xml:space="preserve"> PAGEREF _Toc21927 </w:instrText>
      </w:r>
      <w:r>
        <w:fldChar w:fldCharType="separate"/>
      </w:r>
      <w:r>
        <w:t>516</w:t>
      </w:r>
      <w:r>
        <w:fldChar w:fldCharType="end"/>
      </w:r>
      <w:r>
        <w:rPr>
          <w:rFonts w:hint="eastAsia" w:ascii="等线" w:hAnsi="等线" w:eastAsia="等线" w:cs="等线"/>
          <w:bCs/>
          <w:szCs w:val="36"/>
        </w:rPr>
        <w:fldChar w:fldCharType="end"/>
      </w:r>
    </w:p>
    <w:p w14:paraId="629FA953">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_Toc10386 </w:instrText>
      </w:r>
      <w:r>
        <w:rPr>
          <w:rFonts w:hint="eastAsia" w:ascii="等线" w:hAnsi="等线" w:eastAsia="等线" w:cs="等线"/>
          <w:bCs/>
          <w:szCs w:val="36"/>
        </w:rPr>
        <w:fldChar w:fldCharType="separate"/>
      </w:r>
      <w:r>
        <w:rPr>
          <w:rFonts w:hint="eastAsia"/>
          <w:lang w:val="en-US" w:eastAsia="zh-CN"/>
        </w:rPr>
        <w:t>《综合实践活动设计》课程教学大纲</w:t>
      </w:r>
      <w:r>
        <w:tab/>
      </w:r>
      <w:r>
        <w:fldChar w:fldCharType="begin"/>
      </w:r>
      <w:r>
        <w:instrText xml:space="preserve"> PAGEREF _Toc10386 </w:instrText>
      </w:r>
      <w:r>
        <w:fldChar w:fldCharType="separate"/>
      </w:r>
      <w:r>
        <w:t>522</w:t>
      </w:r>
      <w:r>
        <w:fldChar w:fldCharType="end"/>
      </w:r>
      <w:r>
        <w:rPr>
          <w:rFonts w:hint="eastAsia" w:ascii="等线" w:hAnsi="等线" w:eastAsia="等线" w:cs="等线"/>
          <w:bCs/>
          <w:szCs w:val="36"/>
        </w:rPr>
        <w:fldChar w:fldCharType="end"/>
      </w:r>
    </w:p>
    <w:p w14:paraId="6BC7E14B">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_Toc14553 </w:instrText>
      </w:r>
      <w:r>
        <w:rPr>
          <w:rFonts w:hint="eastAsia" w:ascii="等线" w:hAnsi="等线" w:eastAsia="等线" w:cs="等线"/>
          <w:bCs/>
          <w:szCs w:val="36"/>
        </w:rPr>
        <w:fldChar w:fldCharType="separate"/>
      </w:r>
      <w:r>
        <w:rPr>
          <w:rFonts w:hint="eastAsia"/>
          <w:lang w:val="en-US" w:eastAsia="zh-CN"/>
        </w:rPr>
        <w:t>《影视文学》课程教学大纲</w:t>
      </w:r>
      <w:r>
        <w:tab/>
      </w:r>
      <w:r>
        <w:fldChar w:fldCharType="begin"/>
      </w:r>
      <w:r>
        <w:instrText xml:space="preserve"> PAGEREF _Toc14553 </w:instrText>
      </w:r>
      <w:r>
        <w:fldChar w:fldCharType="separate"/>
      </w:r>
      <w:r>
        <w:t>529</w:t>
      </w:r>
      <w:r>
        <w:fldChar w:fldCharType="end"/>
      </w:r>
      <w:r>
        <w:rPr>
          <w:rFonts w:hint="eastAsia" w:ascii="等线" w:hAnsi="等线" w:eastAsia="等线" w:cs="等线"/>
          <w:bCs/>
          <w:szCs w:val="36"/>
        </w:rPr>
        <w:fldChar w:fldCharType="end"/>
      </w:r>
    </w:p>
    <w:p w14:paraId="77C9874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_Toc3073 </w:instrText>
      </w:r>
      <w:r>
        <w:rPr>
          <w:rFonts w:hint="eastAsia" w:ascii="等线" w:hAnsi="等线" w:eastAsia="等线" w:cs="等线"/>
          <w:bCs/>
          <w:szCs w:val="36"/>
        </w:rPr>
        <w:fldChar w:fldCharType="separate"/>
      </w:r>
      <w:r>
        <w:rPr>
          <w:rFonts w:hint="eastAsia"/>
        </w:rPr>
        <w:t>《</w:t>
      </w:r>
      <w:r>
        <w:rPr>
          <w:rFonts w:hint="eastAsia"/>
          <w:lang w:val="en-US" w:eastAsia="zh-CN"/>
        </w:rPr>
        <w:t>美学基础</w:t>
      </w:r>
      <w:r>
        <w:rPr>
          <w:rFonts w:hint="eastAsia"/>
        </w:rPr>
        <w:t>》课程教学大纲</w:t>
      </w:r>
      <w:r>
        <w:tab/>
      </w:r>
      <w:r>
        <w:fldChar w:fldCharType="begin"/>
      </w:r>
      <w:r>
        <w:instrText xml:space="preserve"> PAGEREF _Toc3073 </w:instrText>
      </w:r>
      <w:r>
        <w:fldChar w:fldCharType="separate"/>
      </w:r>
      <w:r>
        <w:t>536</w:t>
      </w:r>
      <w:r>
        <w:fldChar w:fldCharType="end"/>
      </w:r>
      <w:r>
        <w:rPr>
          <w:rFonts w:hint="eastAsia" w:ascii="等线" w:hAnsi="等线" w:eastAsia="等线" w:cs="等线"/>
          <w:bCs/>
          <w:szCs w:val="36"/>
        </w:rPr>
        <w:fldChar w:fldCharType="end"/>
      </w:r>
    </w:p>
    <w:p w14:paraId="2E8853E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_Toc27685 </w:instrText>
      </w:r>
      <w:r>
        <w:rPr>
          <w:rFonts w:hint="eastAsia" w:ascii="等线" w:hAnsi="等线" w:eastAsia="等线" w:cs="等线"/>
          <w:bCs/>
          <w:szCs w:val="36"/>
        </w:rPr>
        <w:fldChar w:fldCharType="separate"/>
      </w:r>
      <w:r>
        <w:rPr>
          <w:rFonts w:hint="eastAsia"/>
          <w:lang w:val="en-US" w:eastAsia="zh-CN"/>
        </w:rPr>
        <w:t>《中国古代文学名家选讲》课程教学大纲</w:t>
      </w:r>
      <w:r>
        <w:tab/>
      </w:r>
      <w:r>
        <w:fldChar w:fldCharType="begin"/>
      </w:r>
      <w:r>
        <w:instrText xml:space="preserve"> PAGEREF _Toc27685 </w:instrText>
      </w:r>
      <w:r>
        <w:fldChar w:fldCharType="separate"/>
      </w:r>
      <w:r>
        <w:t>543</w:t>
      </w:r>
      <w:r>
        <w:fldChar w:fldCharType="end"/>
      </w:r>
      <w:r>
        <w:rPr>
          <w:rFonts w:hint="eastAsia" w:ascii="等线" w:hAnsi="等线" w:eastAsia="等线" w:cs="等线"/>
          <w:bCs/>
          <w:szCs w:val="36"/>
        </w:rPr>
        <w:fldChar w:fldCharType="end"/>
      </w:r>
    </w:p>
    <w:p w14:paraId="7D6E6763">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_Toc2636 </w:instrText>
      </w:r>
      <w:r>
        <w:rPr>
          <w:rFonts w:hint="eastAsia" w:ascii="等线" w:hAnsi="等线" w:eastAsia="等线" w:cs="等线"/>
          <w:bCs/>
          <w:szCs w:val="36"/>
        </w:rPr>
        <w:fldChar w:fldCharType="separate"/>
      </w:r>
      <w:r>
        <w:rPr>
          <w:rFonts w:hint="eastAsia"/>
          <w:lang w:val="en-US" w:eastAsia="zh-CN"/>
        </w:rPr>
        <w:t>《中国现当代文学名家选讲》课程教学大纲</w:t>
      </w:r>
      <w:r>
        <w:tab/>
      </w:r>
      <w:r>
        <w:fldChar w:fldCharType="begin"/>
      </w:r>
      <w:r>
        <w:instrText xml:space="preserve"> PAGEREF _Toc2636 </w:instrText>
      </w:r>
      <w:r>
        <w:fldChar w:fldCharType="separate"/>
      </w:r>
      <w:r>
        <w:t>553</w:t>
      </w:r>
      <w:r>
        <w:fldChar w:fldCharType="end"/>
      </w:r>
      <w:r>
        <w:rPr>
          <w:rFonts w:hint="eastAsia" w:ascii="等线" w:hAnsi="等线" w:eastAsia="等线" w:cs="等线"/>
          <w:bCs/>
          <w:szCs w:val="36"/>
        </w:rPr>
        <w:fldChar w:fldCharType="end"/>
      </w:r>
    </w:p>
    <w:p w14:paraId="2842A1C3">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_Toc27150 </w:instrText>
      </w:r>
      <w:r>
        <w:rPr>
          <w:rFonts w:hint="eastAsia" w:ascii="等线" w:hAnsi="等线" w:eastAsia="等线" w:cs="等线"/>
          <w:bCs/>
          <w:szCs w:val="36"/>
        </w:rPr>
        <w:fldChar w:fldCharType="separate"/>
      </w:r>
      <w:r>
        <w:rPr>
          <w:rFonts w:hint="eastAsia"/>
          <w:lang w:val="en-US" w:eastAsia="zh-CN"/>
        </w:rPr>
        <w:t>《小学道德与法治教学案例研究》课程教学大纲</w:t>
      </w:r>
      <w:r>
        <w:tab/>
      </w:r>
      <w:r>
        <w:fldChar w:fldCharType="begin"/>
      </w:r>
      <w:r>
        <w:instrText xml:space="preserve"> PAGEREF _Toc27150 </w:instrText>
      </w:r>
      <w:r>
        <w:fldChar w:fldCharType="separate"/>
      </w:r>
      <w:r>
        <w:t>563</w:t>
      </w:r>
      <w:r>
        <w:fldChar w:fldCharType="end"/>
      </w:r>
      <w:r>
        <w:rPr>
          <w:rFonts w:hint="eastAsia" w:ascii="等线" w:hAnsi="等线" w:eastAsia="等线" w:cs="等线"/>
          <w:bCs/>
          <w:szCs w:val="36"/>
        </w:rPr>
        <w:fldChar w:fldCharType="end"/>
      </w:r>
    </w:p>
    <w:p w14:paraId="32783CAF">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_Toc32283 </w:instrText>
      </w:r>
      <w:r>
        <w:rPr>
          <w:rFonts w:hint="eastAsia" w:ascii="等线" w:hAnsi="等线" w:eastAsia="等线" w:cs="等线"/>
          <w:bCs/>
          <w:szCs w:val="36"/>
        </w:rPr>
        <w:fldChar w:fldCharType="separate"/>
      </w:r>
      <w:r>
        <w:rPr>
          <w:rFonts w:hint="eastAsia"/>
          <w:lang w:val="en-US" w:eastAsia="zh-CN"/>
        </w:rPr>
        <w:t>《小学语文教学案例研究》课程教学大纲</w:t>
      </w:r>
      <w:r>
        <w:tab/>
      </w:r>
      <w:r>
        <w:fldChar w:fldCharType="begin"/>
      </w:r>
      <w:r>
        <w:instrText xml:space="preserve"> PAGEREF _Toc32283 </w:instrText>
      </w:r>
      <w:r>
        <w:fldChar w:fldCharType="separate"/>
      </w:r>
      <w:r>
        <w:t>569</w:t>
      </w:r>
      <w:r>
        <w:fldChar w:fldCharType="end"/>
      </w:r>
      <w:r>
        <w:rPr>
          <w:rFonts w:hint="eastAsia" w:ascii="等线" w:hAnsi="等线" w:eastAsia="等线" w:cs="等线"/>
          <w:bCs/>
          <w:szCs w:val="36"/>
        </w:rPr>
        <w:fldChar w:fldCharType="end"/>
      </w:r>
    </w:p>
    <w:p w14:paraId="12DFE966">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_Toc24247 </w:instrText>
      </w:r>
      <w:r>
        <w:rPr>
          <w:rFonts w:hint="eastAsia" w:ascii="等线" w:hAnsi="等线" w:eastAsia="等线" w:cs="等线"/>
          <w:bCs/>
          <w:szCs w:val="36"/>
        </w:rPr>
        <w:fldChar w:fldCharType="separate"/>
      </w:r>
      <w:r>
        <w:rPr>
          <w:rFonts w:hint="eastAsia"/>
          <w:lang w:val="en-US" w:eastAsia="zh-CN"/>
        </w:rPr>
        <w:t>《认知实习》课程教学大纲</w:t>
      </w:r>
      <w:r>
        <w:tab/>
      </w:r>
      <w:r>
        <w:fldChar w:fldCharType="begin"/>
      </w:r>
      <w:r>
        <w:instrText xml:space="preserve"> PAGEREF _Toc24247 </w:instrText>
      </w:r>
      <w:r>
        <w:fldChar w:fldCharType="separate"/>
      </w:r>
      <w:r>
        <w:t>577</w:t>
      </w:r>
      <w:r>
        <w:fldChar w:fldCharType="end"/>
      </w:r>
      <w:r>
        <w:rPr>
          <w:rFonts w:hint="eastAsia" w:ascii="等线" w:hAnsi="等线" w:eastAsia="等线" w:cs="等线"/>
          <w:bCs/>
          <w:szCs w:val="36"/>
        </w:rPr>
        <w:fldChar w:fldCharType="end"/>
      </w:r>
    </w:p>
    <w:p w14:paraId="32715F64">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_Toc6857 </w:instrText>
      </w:r>
      <w:r>
        <w:rPr>
          <w:rFonts w:hint="eastAsia" w:ascii="等线" w:hAnsi="等线" w:eastAsia="等线" w:cs="等线"/>
          <w:bCs/>
          <w:szCs w:val="36"/>
        </w:rPr>
        <w:fldChar w:fldCharType="separate"/>
      </w:r>
      <w:r>
        <w:rPr>
          <w:rFonts w:hint="eastAsia"/>
        </w:rPr>
        <w:t>《教育见习I》课程</w:t>
      </w:r>
      <w:r>
        <w:t>教学大纲</w:t>
      </w:r>
      <w:r>
        <w:tab/>
      </w:r>
      <w:r>
        <w:fldChar w:fldCharType="begin"/>
      </w:r>
      <w:r>
        <w:instrText xml:space="preserve"> PAGEREF _Toc6857 </w:instrText>
      </w:r>
      <w:r>
        <w:fldChar w:fldCharType="separate"/>
      </w:r>
      <w:r>
        <w:t>583</w:t>
      </w:r>
      <w:r>
        <w:fldChar w:fldCharType="end"/>
      </w:r>
      <w:r>
        <w:rPr>
          <w:rFonts w:hint="eastAsia" w:ascii="等线" w:hAnsi="等线" w:eastAsia="等线" w:cs="等线"/>
          <w:bCs/>
          <w:szCs w:val="36"/>
        </w:rPr>
        <w:fldChar w:fldCharType="end"/>
      </w:r>
    </w:p>
    <w:p w14:paraId="091D9ADC">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_Toc1165 </w:instrText>
      </w:r>
      <w:r>
        <w:rPr>
          <w:rFonts w:hint="eastAsia" w:ascii="等线" w:hAnsi="等线" w:eastAsia="等线" w:cs="等线"/>
          <w:bCs/>
          <w:szCs w:val="36"/>
        </w:rPr>
        <w:fldChar w:fldCharType="separate"/>
      </w:r>
      <w:r>
        <w:rPr>
          <w:rFonts w:hint="eastAsia"/>
          <w:lang w:val="en-US" w:eastAsia="zh-CN"/>
        </w:rPr>
        <w:t>《教育见习Ⅱ》教学大纲</w:t>
      </w:r>
      <w:r>
        <w:tab/>
      </w:r>
      <w:r>
        <w:fldChar w:fldCharType="begin"/>
      </w:r>
      <w:r>
        <w:instrText xml:space="preserve"> PAGEREF _Toc1165 </w:instrText>
      </w:r>
      <w:r>
        <w:fldChar w:fldCharType="separate"/>
      </w:r>
      <w:r>
        <w:t>588</w:t>
      </w:r>
      <w:r>
        <w:fldChar w:fldCharType="end"/>
      </w:r>
      <w:r>
        <w:rPr>
          <w:rFonts w:hint="eastAsia" w:ascii="等线" w:hAnsi="等线" w:eastAsia="等线" w:cs="等线"/>
          <w:bCs/>
          <w:szCs w:val="36"/>
        </w:rPr>
        <w:fldChar w:fldCharType="end"/>
      </w:r>
    </w:p>
    <w:p w14:paraId="0D42F028">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_Toc17448 </w:instrText>
      </w:r>
      <w:r>
        <w:rPr>
          <w:rFonts w:hint="eastAsia" w:ascii="等线" w:hAnsi="等线" w:eastAsia="等线" w:cs="等线"/>
          <w:bCs/>
          <w:szCs w:val="36"/>
        </w:rPr>
        <w:fldChar w:fldCharType="separate"/>
      </w:r>
      <w:r>
        <w:rPr>
          <w:rFonts w:hint="eastAsia"/>
          <w:lang w:val="en-US" w:eastAsia="zh-CN"/>
        </w:rPr>
        <w:t>《教学实训》课程教学大纲</w:t>
      </w:r>
      <w:r>
        <w:tab/>
      </w:r>
      <w:r>
        <w:fldChar w:fldCharType="begin"/>
      </w:r>
      <w:r>
        <w:instrText xml:space="preserve"> PAGEREF _Toc17448 </w:instrText>
      </w:r>
      <w:r>
        <w:fldChar w:fldCharType="separate"/>
      </w:r>
      <w:r>
        <w:t>594</w:t>
      </w:r>
      <w:r>
        <w:fldChar w:fldCharType="end"/>
      </w:r>
      <w:r>
        <w:rPr>
          <w:rFonts w:hint="eastAsia" w:ascii="等线" w:hAnsi="等线" w:eastAsia="等线" w:cs="等线"/>
          <w:bCs/>
          <w:szCs w:val="36"/>
        </w:rPr>
        <w:fldChar w:fldCharType="end"/>
      </w:r>
    </w:p>
    <w:p w14:paraId="5568444E">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_Toc4240 </w:instrText>
      </w:r>
      <w:r>
        <w:rPr>
          <w:rFonts w:hint="eastAsia" w:ascii="等线" w:hAnsi="等线" w:eastAsia="等线" w:cs="等线"/>
          <w:bCs/>
          <w:szCs w:val="36"/>
        </w:rPr>
        <w:fldChar w:fldCharType="separate"/>
      </w:r>
      <w:r>
        <w:rPr>
          <w:rFonts w:hint="eastAsia"/>
          <w:lang w:val="en-US" w:eastAsia="zh-CN"/>
        </w:rPr>
        <w:t>《教育实习I》课程教学大纲</w:t>
      </w:r>
      <w:r>
        <w:tab/>
      </w:r>
      <w:r>
        <w:fldChar w:fldCharType="begin"/>
      </w:r>
      <w:r>
        <w:instrText xml:space="preserve"> PAGEREF _Toc4240 </w:instrText>
      </w:r>
      <w:r>
        <w:fldChar w:fldCharType="separate"/>
      </w:r>
      <w:r>
        <w:t>599</w:t>
      </w:r>
      <w:r>
        <w:fldChar w:fldCharType="end"/>
      </w:r>
      <w:r>
        <w:rPr>
          <w:rFonts w:hint="eastAsia" w:ascii="等线" w:hAnsi="等线" w:eastAsia="等线" w:cs="等线"/>
          <w:bCs/>
          <w:szCs w:val="36"/>
        </w:rPr>
        <w:fldChar w:fldCharType="end"/>
      </w:r>
    </w:p>
    <w:p w14:paraId="4E05C2D3">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_Toc28086 </w:instrText>
      </w:r>
      <w:r>
        <w:rPr>
          <w:rFonts w:hint="eastAsia" w:ascii="等线" w:hAnsi="等线" w:eastAsia="等线" w:cs="等线"/>
          <w:bCs/>
          <w:szCs w:val="36"/>
        </w:rPr>
        <w:fldChar w:fldCharType="separate"/>
      </w:r>
      <w:r>
        <w:rPr>
          <w:rFonts w:hint="eastAsia"/>
          <w:lang w:eastAsia="zh-CN"/>
        </w:rPr>
        <w:t>《</w:t>
      </w:r>
      <w:r>
        <w:rPr>
          <w:rFonts w:hint="eastAsia"/>
        </w:rPr>
        <w:t>教育研习</w:t>
      </w:r>
      <w:r>
        <w:rPr>
          <w:rFonts w:hint="eastAsia"/>
          <w:lang w:eastAsia="zh-CN"/>
        </w:rPr>
        <w:t>》</w:t>
      </w:r>
      <w:r>
        <w:rPr>
          <w:rFonts w:hint="eastAsia"/>
        </w:rPr>
        <w:t>课程</w:t>
      </w:r>
      <w:r>
        <w:t>教学大纲</w:t>
      </w:r>
      <w:r>
        <w:tab/>
      </w:r>
      <w:r>
        <w:fldChar w:fldCharType="begin"/>
      </w:r>
      <w:r>
        <w:instrText xml:space="preserve"> PAGEREF _Toc28086 </w:instrText>
      </w:r>
      <w:r>
        <w:fldChar w:fldCharType="separate"/>
      </w:r>
      <w:r>
        <w:t>605</w:t>
      </w:r>
      <w:r>
        <w:fldChar w:fldCharType="end"/>
      </w:r>
      <w:r>
        <w:rPr>
          <w:rFonts w:hint="eastAsia" w:ascii="等线" w:hAnsi="等线" w:eastAsia="等线" w:cs="等线"/>
          <w:bCs/>
          <w:szCs w:val="36"/>
        </w:rPr>
        <w:fldChar w:fldCharType="end"/>
      </w:r>
    </w:p>
    <w:p w14:paraId="0194927D">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_Toc15800 </w:instrText>
      </w:r>
      <w:r>
        <w:rPr>
          <w:rFonts w:hint="eastAsia" w:ascii="等线" w:hAnsi="等线" w:eastAsia="等线" w:cs="等线"/>
          <w:bCs/>
          <w:szCs w:val="36"/>
        </w:rPr>
        <w:fldChar w:fldCharType="separate"/>
      </w:r>
      <w:r>
        <w:rPr>
          <w:rFonts w:hint="eastAsia"/>
          <w:lang w:val="en-US" w:eastAsia="zh-CN"/>
        </w:rPr>
        <w:t>《教育实习II》课程教学大纲</w:t>
      </w:r>
      <w:r>
        <w:tab/>
      </w:r>
      <w:r>
        <w:fldChar w:fldCharType="begin"/>
      </w:r>
      <w:r>
        <w:instrText xml:space="preserve"> PAGEREF _Toc15800 </w:instrText>
      </w:r>
      <w:r>
        <w:fldChar w:fldCharType="separate"/>
      </w:r>
      <w:r>
        <w:t>612</w:t>
      </w:r>
      <w:r>
        <w:fldChar w:fldCharType="end"/>
      </w:r>
      <w:r>
        <w:rPr>
          <w:rFonts w:hint="eastAsia" w:ascii="等线" w:hAnsi="等线" w:eastAsia="等线" w:cs="等线"/>
          <w:bCs/>
          <w:szCs w:val="36"/>
        </w:rPr>
        <w:fldChar w:fldCharType="end"/>
      </w:r>
    </w:p>
    <w:p w14:paraId="5BB64FA0">
      <w:pPr>
        <w:pStyle w:val="8"/>
        <w:tabs>
          <w:tab w:val="right" w:leader="dot" w:pos="8306"/>
        </w:tabs>
      </w:pPr>
      <w:r>
        <w:rPr>
          <w:rFonts w:hint="eastAsia" w:ascii="等线" w:hAnsi="等线" w:eastAsia="等线" w:cs="等线"/>
          <w:bCs/>
          <w:szCs w:val="36"/>
        </w:rPr>
        <w:fldChar w:fldCharType="begin"/>
      </w:r>
      <w:r>
        <w:rPr>
          <w:rFonts w:hint="eastAsia" w:ascii="等线" w:hAnsi="等线" w:eastAsia="等线" w:cs="等线"/>
          <w:bCs/>
          <w:szCs w:val="36"/>
        </w:rPr>
        <w:instrText xml:space="preserve"> HYPERLINK \l _Toc8479 </w:instrText>
      </w:r>
      <w:r>
        <w:rPr>
          <w:rFonts w:hint="eastAsia" w:ascii="等线" w:hAnsi="等线" w:eastAsia="等线" w:cs="等线"/>
          <w:bCs/>
          <w:szCs w:val="36"/>
        </w:rPr>
        <w:fldChar w:fldCharType="separate"/>
      </w:r>
      <w:r>
        <w:rPr>
          <w:rFonts w:hint="eastAsia"/>
          <w:lang w:val="en-US" w:eastAsia="zh-CN"/>
        </w:rPr>
        <w:t>《毕业论文》课程教学大纲</w:t>
      </w:r>
      <w:r>
        <w:tab/>
      </w:r>
      <w:r>
        <w:fldChar w:fldCharType="begin"/>
      </w:r>
      <w:r>
        <w:instrText xml:space="preserve"> PAGEREF _Toc8479 </w:instrText>
      </w:r>
      <w:r>
        <w:fldChar w:fldCharType="separate"/>
      </w:r>
      <w:r>
        <w:t>618</w:t>
      </w:r>
      <w:r>
        <w:fldChar w:fldCharType="end"/>
      </w:r>
      <w:r>
        <w:rPr>
          <w:rFonts w:hint="eastAsia" w:ascii="等线" w:hAnsi="等线" w:eastAsia="等线" w:cs="等线"/>
          <w:bCs/>
          <w:szCs w:val="36"/>
        </w:rPr>
        <w:fldChar w:fldCharType="end"/>
      </w:r>
    </w:p>
    <w:p w14:paraId="71B90B47">
      <w:pPr>
        <w:pStyle w:val="2"/>
        <w:bidi w:val="0"/>
        <w:rPr>
          <w:lang w:val="en-US" w:eastAsia="zh-CN"/>
        </w:rPr>
      </w:pPr>
      <w:r>
        <w:rPr>
          <w:rFonts w:hint="eastAsia" w:ascii="等线" w:hAnsi="等线" w:eastAsia="等线" w:cs="等线"/>
          <w:bCs/>
          <w:szCs w:val="36"/>
        </w:rPr>
        <w:fldChar w:fldCharType="end"/>
      </w:r>
      <w:bookmarkStart w:id="0" w:name="_Toc5411"/>
      <w:bookmarkStart w:id="1" w:name="_Toc29887"/>
      <w:bookmarkStart w:id="2" w:name="_Toc16291"/>
      <w:bookmarkStart w:id="3" w:name="_Toc32482"/>
      <w:r>
        <w:rPr>
          <w:rFonts w:hint="eastAsia"/>
          <w:lang w:val="en-US" w:eastAsia="zh-CN"/>
        </w:rPr>
        <w:t>《思想道德与法治》课程教学大纲</w:t>
      </w:r>
      <w:bookmarkEnd w:id="0"/>
      <w:bookmarkEnd w:id="1"/>
    </w:p>
    <w:p w14:paraId="6096CF82">
      <w:pPr>
        <w:pStyle w:val="2"/>
        <w:bidi w:val="0"/>
      </w:pPr>
      <w:bookmarkStart w:id="4" w:name="_Toc2070"/>
      <w:bookmarkStart w:id="5" w:name="_Toc16613"/>
      <w:bookmarkStart w:id="6" w:name="_Toc17756"/>
      <w:bookmarkStart w:id="7" w:name="_Toc19119"/>
      <w:bookmarkStart w:id="8" w:name="_Toc24151"/>
      <w:r>
        <w:t>（Ideological Morality and Rule of Law）</w:t>
      </w:r>
      <w:bookmarkEnd w:id="4"/>
      <w:bookmarkEnd w:id="5"/>
      <w:bookmarkEnd w:id="6"/>
      <w:bookmarkEnd w:id="7"/>
      <w:bookmarkEnd w:id="8"/>
    </w:p>
    <w:p w14:paraId="01528665">
      <w:pPr>
        <w:pStyle w:val="3"/>
      </w:pPr>
    </w:p>
    <w:p w14:paraId="134B257A">
      <w:pPr>
        <w:spacing w:line="360" w:lineRule="auto"/>
        <w:ind w:firstLine="482" w:firstLineChars="20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课程名称：思想道德与法治</w:t>
      </w:r>
    </w:p>
    <w:p w14:paraId="58D8496B">
      <w:pPr>
        <w:spacing w:line="360" w:lineRule="auto"/>
        <w:ind w:firstLine="482" w:firstLineChars="200"/>
        <w:rPr>
          <w:rFonts w:ascii="Times New Roman" w:hAnsi="Times New Roman" w:eastAsia="宋体" w:cs="Times New Roman"/>
          <w:b/>
          <w:bCs/>
          <w:sz w:val="28"/>
          <w:szCs w:val="28"/>
        </w:rPr>
      </w:pPr>
      <w:r>
        <w:rPr>
          <w:rFonts w:ascii="Times New Roman" w:hAnsi="Times New Roman" w:eastAsia="宋体" w:cs="Times New Roman"/>
          <w:b/>
          <w:bCs/>
          <w:kern w:val="0"/>
          <w:sz w:val="24"/>
          <w:szCs w:val="24"/>
        </w:rPr>
        <w:t>课程代码：</w:t>
      </w:r>
      <w:r>
        <w:rPr>
          <w:rFonts w:hint="eastAsia" w:ascii="Times New Roman" w:hAnsi="Times New Roman" w:eastAsia="宋体" w:cs="Times New Roman"/>
          <w:b/>
          <w:bCs/>
          <w:kern w:val="0"/>
          <w:sz w:val="24"/>
          <w:szCs w:val="24"/>
        </w:rPr>
        <w:t>10010</w:t>
      </w:r>
      <w:r>
        <w:rPr>
          <w:rFonts w:ascii="Times New Roman" w:hAnsi="Times New Roman" w:eastAsia="宋体" w:cs="Times New Roman"/>
          <w:b/>
          <w:bCs/>
          <w:kern w:val="0"/>
          <w:sz w:val="24"/>
          <w:szCs w:val="24"/>
        </w:rPr>
        <w:t>3</w:t>
      </w:r>
      <w:r>
        <w:rPr>
          <w:rFonts w:hint="eastAsia" w:ascii="Times New Roman" w:hAnsi="Times New Roman" w:eastAsia="宋体" w:cs="Times New Roman"/>
          <w:b/>
          <w:bCs/>
          <w:kern w:val="0"/>
          <w:sz w:val="24"/>
          <w:szCs w:val="24"/>
        </w:rPr>
        <w:t>1</w:t>
      </w:r>
    </w:p>
    <w:p w14:paraId="27A7B051">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学    分：</w:t>
      </w:r>
      <w:r>
        <w:rPr>
          <w:rFonts w:hint="eastAsia" w:ascii="Times New Roman" w:hAnsi="Times New Roman" w:eastAsia="宋体" w:cs="Times New Roman"/>
          <w:b/>
          <w:bCs/>
          <w:kern w:val="0"/>
          <w:sz w:val="24"/>
          <w:szCs w:val="24"/>
        </w:rPr>
        <w:t>3</w:t>
      </w:r>
    </w:p>
    <w:p w14:paraId="1FD887B6">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学    时：</w:t>
      </w:r>
      <w:r>
        <w:rPr>
          <w:rFonts w:hint="eastAsia" w:ascii="Times New Roman" w:hAnsi="Times New Roman" w:eastAsia="宋体" w:cs="Times New Roman"/>
          <w:b/>
          <w:bCs/>
          <w:kern w:val="0"/>
          <w:sz w:val="24"/>
          <w:szCs w:val="24"/>
        </w:rPr>
        <w:t>48</w:t>
      </w:r>
      <w:r>
        <w:rPr>
          <w:rFonts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rPr>
        <w:t>（其中：讲授学时42， 实践学时6）</w:t>
      </w:r>
    </w:p>
    <w:p w14:paraId="74F15C12">
      <w:pPr>
        <w:spacing w:line="360" w:lineRule="auto"/>
        <w:ind w:firstLine="482" w:firstLineChars="200"/>
        <w:rPr>
          <w:rFonts w:hint="eastAsia" w:ascii="宋体" w:hAnsi="宋体" w:eastAsia="宋体" w:cs="Times New Roman"/>
          <w:b/>
          <w:bCs/>
          <w:kern w:val="0"/>
          <w:sz w:val="24"/>
          <w:szCs w:val="24"/>
        </w:rPr>
      </w:pPr>
      <w:r>
        <w:rPr>
          <w:rFonts w:ascii="宋体" w:hAnsi="宋体" w:eastAsia="宋体" w:cs="Times New Roman"/>
          <w:b/>
          <w:bCs/>
          <w:kern w:val="0"/>
          <w:sz w:val="24"/>
          <w:szCs w:val="24"/>
        </w:rPr>
        <w:t>先修课程：</w:t>
      </w:r>
      <w:r>
        <w:rPr>
          <w:rFonts w:hint="eastAsia" w:ascii="宋体" w:hAnsi="宋体" w:eastAsia="宋体" w:cs="Times New Roman"/>
          <w:b/>
          <w:bCs/>
          <w:kern w:val="0"/>
          <w:sz w:val="24"/>
          <w:szCs w:val="24"/>
        </w:rPr>
        <w:t>无</w:t>
      </w:r>
    </w:p>
    <w:p w14:paraId="2113CDE5">
      <w:pPr>
        <w:spacing w:line="360" w:lineRule="auto"/>
        <w:ind w:firstLine="482" w:firstLineChars="200"/>
        <w:rPr>
          <w:rFonts w:hint="eastAsia" w:ascii="宋体" w:hAnsi="宋体" w:eastAsia="宋体" w:cs="Times New Roman"/>
          <w:b/>
          <w:bCs/>
          <w:kern w:val="0"/>
          <w:sz w:val="24"/>
          <w:szCs w:val="24"/>
        </w:rPr>
      </w:pPr>
      <w:r>
        <w:rPr>
          <w:rFonts w:ascii="宋体" w:hAnsi="宋体" w:eastAsia="宋体" w:cs="Times New Roman"/>
          <w:b/>
          <w:bCs/>
          <w:kern w:val="0"/>
          <w:sz w:val="24"/>
          <w:szCs w:val="24"/>
        </w:rPr>
        <w:t>适用专业：</w:t>
      </w:r>
      <w:r>
        <w:rPr>
          <w:rFonts w:hint="eastAsia" w:ascii="宋体" w:hAnsi="宋体" w:eastAsia="宋体" w:cs="Times New Roman"/>
          <w:b/>
          <w:bCs/>
          <w:kern w:val="0"/>
          <w:sz w:val="24"/>
          <w:szCs w:val="24"/>
        </w:rPr>
        <w:t>小学教育</w:t>
      </w:r>
    </w:p>
    <w:p w14:paraId="27F82233">
      <w:pPr>
        <w:spacing w:line="360" w:lineRule="auto"/>
        <w:ind w:firstLine="482" w:firstLineChars="200"/>
        <w:rPr>
          <w:rFonts w:ascii="Times New Roman" w:hAnsi="Times New Roman" w:eastAsia="宋体" w:cs="Times New Roman"/>
          <w:b/>
          <w:bCs/>
          <w:kern w:val="0"/>
          <w:sz w:val="24"/>
          <w:szCs w:val="24"/>
        </w:rPr>
      </w:pPr>
    </w:p>
    <w:p w14:paraId="3C274D31">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5719D324">
      <w:pPr>
        <w:spacing w:line="360"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kern w:val="0"/>
          <w:szCs w:val="21"/>
        </w:rPr>
        <w:t>本课程是面向小学教育专业开设的通识必修课。通过本课程的学习，培养学生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劳全面发展的社会主义事业的合格建设者和可靠接班人。</w:t>
      </w:r>
    </w:p>
    <w:p w14:paraId="4796BCB3">
      <w:pPr>
        <w:spacing w:line="360" w:lineRule="auto"/>
        <w:jc w:val="left"/>
        <w:rPr>
          <w:rFonts w:hint="eastAsia" w:ascii="宋体" w:hAnsi="宋体" w:eastAsia="宋体" w:cs="Times New Roman"/>
          <w:b/>
          <w:color w:val="000000"/>
          <w:sz w:val="24"/>
          <w:szCs w:val="24"/>
        </w:rPr>
      </w:pPr>
    </w:p>
    <w:p w14:paraId="402C8847">
      <w:pPr>
        <w:spacing w:line="360" w:lineRule="auto"/>
        <w:jc w:val="left"/>
        <w:rPr>
          <w:rFonts w:ascii="Times New Roman" w:hAnsi="Times New Roman" w:eastAsia="宋体" w:cs="Times New Roman"/>
          <w:b/>
          <w:bCs w:val="0"/>
          <w:sz w:val="24"/>
          <w:szCs w:val="24"/>
        </w:rPr>
      </w:pPr>
      <w:r>
        <w:rPr>
          <w:rFonts w:hint="eastAsia" w:ascii="宋体" w:hAnsi="宋体" w:eastAsia="宋体" w:cs="Times New Roman"/>
          <w:b/>
          <w:bCs w:val="0"/>
          <w:color w:val="000000"/>
          <w:sz w:val="24"/>
          <w:szCs w:val="24"/>
        </w:rPr>
        <w:t>二</w:t>
      </w:r>
      <w:r>
        <w:rPr>
          <w:rFonts w:ascii="宋体" w:hAnsi="宋体" w:eastAsia="宋体" w:cs="Times New Roman"/>
          <w:b/>
          <w:bCs w:val="0"/>
          <w:color w:val="000000"/>
          <w:sz w:val="24"/>
          <w:szCs w:val="24"/>
        </w:rPr>
        <w:t>、课程目标</w:t>
      </w:r>
    </w:p>
    <w:p w14:paraId="0281DB49">
      <w:pPr>
        <w:spacing w:line="360" w:lineRule="auto"/>
        <w:ind w:firstLine="422" w:firstLineChars="200"/>
        <w:rPr>
          <w:rFonts w:hint="eastAsia" w:ascii="宋体" w:hAnsi="宋体" w:eastAsia="宋体" w:cs="Times New Roman"/>
          <w:b/>
          <w:color w:val="000000"/>
          <w:szCs w:val="21"/>
        </w:rPr>
      </w:pPr>
      <w:bookmarkStart w:id="9" w:name="_Toc27847297"/>
      <w:bookmarkStart w:id="10" w:name="_Toc27846279"/>
      <w:r>
        <w:rPr>
          <w:rFonts w:hint="eastAsia" w:ascii="宋体" w:hAnsi="宋体" w:eastAsia="宋体" w:cs="Times New Roman"/>
          <w:b/>
          <w:color w:val="000000"/>
          <w:szCs w:val="21"/>
        </w:rPr>
        <w:t>（一）课程具体目标</w:t>
      </w:r>
      <w:bookmarkEnd w:id="9"/>
      <w:bookmarkEnd w:id="10"/>
    </w:p>
    <w:p w14:paraId="1D956A0D">
      <w:pPr>
        <w:snapToGrid w:val="0"/>
        <w:spacing w:line="360" w:lineRule="auto"/>
        <w:ind w:firstLine="413" w:firstLineChars="196"/>
        <w:rPr>
          <w:rFonts w:hint="eastAsia" w:ascii="宋体" w:hAnsi="宋体" w:eastAsia="宋体"/>
          <w:kern w:val="0"/>
          <w:szCs w:val="21"/>
        </w:rPr>
      </w:pPr>
      <w:r>
        <w:rPr>
          <w:rFonts w:hint="eastAsia" w:ascii="宋体" w:hAnsi="宋体" w:eastAsia="宋体"/>
          <w:b/>
          <w:bCs/>
          <w:color w:val="000000"/>
          <w:kern w:val="0"/>
          <w:szCs w:val="21"/>
        </w:rPr>
        <w:t>目标1：</w:t>
      </w:r>
      <w:r>
        <w:rPr>
          <w:rFonts w:hint="eastAsia" w:ascii="宋体" w:hAnsi="宋体" w:eastAsia="宋体"/>
          <w:kern w:val="0"/>
          <w:szCs w:val="21"/>
        </w:rPr>
        <w:t>坚定科学的理想信念，树立正确的人生观和价值观，能够科学认识社会，理解和认同社会主义核心价值观。</w:t>
      </w:r>
    </w:p>
    <w:p w14:paraId="43554D7C">
      <w:pPr>
        <w:snapToGrid w:val="0"/>
        <w:spacing w:line="360" w:lineRule="auto"/>
        <w:ind w:firstLine="413" w:firstLineChars="196"/>
        <w:rPr>
          <w:rFonts w:hint="eastAsia" w:ascii="宋体" w:hAnsi="宋体" w:eastAsia="宋体"/>
          <w:color w:val="000000"/>
          <w:kern w:val="0"/>
          <w:szCs w:val="21"/>
        </w:rPr>
      </w:pPr>
      <w:r>
        <w:rPr>
          <w:rFonts w:hint="eastAsia" w:ascii="宋体" w:hAnsi="宋体" w:eastAsia="宋体"/>
          <w:b/>
          <w:bCs/>
          <w:color w:val="000000"/>
          <w:kern w:val="0"/>
          <w:szCs w:val="21"/>
        </w:rPr>
        <w:t>目标2：</w:t>
      </w:r>
      <w:r>
        <w:rPr>
          <w:rFonts w:hint="eastAsia" w:ascii="Times New Roman" w:hAnsi="Times New Roman" w:eastAsia="宋体" w:cs="Times New Roman"/>
          <w:kern w:val="0"/>
          <w:szCs w:val="21"/>
        </w:rPr>
        <w:t>了解社会主义法治体系，</w:t>
      </w:r>
      <w:r>
        <w:rPr>
          <w:rFonts w:hint="eastAsia" w:ascii="宋体" w:hAnsi="宋体" w:eastAsia="宋体"/>
          <w:kern w:val="0"/>
          <w:szCs w:val="21"/>
        </w:rPr>
        <w:t>能够掌握与专业相关的法律规范，具备</w:t>
      </w:r>
      <w:r>
        <w:rPr>
          <w:rFonts w:hint="eastAsia" w:ascii="Times New Roman" w:hAnsi="Times New Roman" w:eastAsia="宋体" w:cs="Times New Roman"/>
          <w:kern w:val="0"/>
          <w:szCs w:val="21"/>
        </w:rPr>
        <w:t>良好的</w:t>
      </w:r>
      <w:r>
        <w:rPr>
          <w:rFonts w:hint="eastAsia" w:ascii="宋体" w:hAnsi="宋体" w:eastAsia="宋体"/>
          <w:kern w:val="0"/>
          <w:szCs w:val="21"/>
        </w:rPr>
        <w:t>法律素养。</w:t>
      </w:r>
    </w:p>
    <w:p w14:paraId="56839084">
      <w:pPr>
        <w:snapToGrid w:val="0"/>
        <w:spacing w:line="360" w:lineRule="auto"/>
        <w:ind w:firstLine="413" w:firstLineChars="196"/>
        <w:rPr>
          <w:rFonts w:hint="eastAsia" w:ascii="宋体" w:hAnsi="宋体" w:eastAsia="宋体"/>
          <w:b/>
          <w:bCs/>
          <w:kern w:val="0"/>
          <w:szCs w:val="21"/>
        </w:rPr>
      </w:pPr>
      <w:r>
        <w:rPr>
          <w:rFonts w:hint="eastAsia" w:ascii="宋体" w:hAnsi="宋体" w:eastAsia="宋体"/>
          <w:b/>
          <w:bCs/>
          <w:color w:val="000000"/>
          <w:kern w:val="0"/>
          <w:szCs w:val="21"/>
        </w:rPr>
        <w:t>目标3：</w:t>
      </w:r>
      <w:r>
        <w:rPr>
          <w:rFonts w:hint="eastAsia" w:ascii="Times New Roman" w:hAnsi="Times New Roman" w:eastAsia="宋体" w:cs="Times New Roman"/>
          <w:kern w:val="0"/>
          <w:szCs w:val="21"/>
        </w:rPr>
        <w:t>了解社会主义核心价值体系和社会主义道德规范，</w:t>
      </w:r>
      <w:r>
        <w:rPr>
          <w:rFonts w:hint="eastAsia" w:ascii="宋体" w:hAnsi="宋体" w:eastAsia="宋体"/>
          <w:kern w:val="0"/>
          <w:szCs w:val="21"/>
        </w:rPr>
        <w:t>具备良好的思想道德素质。</w:t>
      </w:r>
      <w:r>
        <w:rPr>
          <w:rFonts w:hint="eastAsia" w:ascii="宋体" w:hAnsi="宋体" w:eastAsia="宋体"/>
          <w:b/>
          <w:bCs/>
          <w:kern w:val="0"/>
          <w:szCs w:val="21"/>
        </w:rPr>
        <w:t xml:space="preserve"> </w:t>
      </w:r>
    </w:p>
    <w:p w14:paraId="2489CEF4">
      <w:pPr>
        <w:snapToGrid w:val="0"/>
        <w:spacing w:line="360" w:lineRule="auto"/>
        <w:ind w:firstLine="413" w:firstLineChars="196"/>
        <w:rPr>
          <w:rFonts w:hint="eastAsia" w:ascii="宋体" w:hAnsi="宋体" w:eastAsia="宋体"/>
          <w:b/>
          <w:bCs/>
          <w:color w:val="000000"/>
          <w:kern w:val="0"/>
          <w:szCs w:val="21"/>
        </w:rPr>
      </w:pPr>
    </w:p>
    <w:p w14:paraId="5A355F58">
      <w:pPr>
        <w:snapToGrid w:val="0"/>
        <w:spacing w:line="360" w:lineRule="auto"/>
        <w:ind w:firstLine="413" w:firstLineChars="196"/>
        <w:rPr>
          <w:rFonts w:hint="eastAsia" w:ascii="宋体" w:hAnsi="宋体" w:eastAsia="宋体"/>
          <w:b/>
          <w:bCs/>
          <w:color w:val="000000"/>
          <w:szCs w:val="21"/>
        </w:rPr>
      </w:pPr>
      <w:r>
        <w:rPr>
          <w:rFonts w:hint="eastAsia" w:ascii="宋体" w:hAnsi="宋体" w:eastAsia="宋体"/>
          <w:b/>
          <w:bCs/>
          <w:color w:val="000000"/>
          <w:szCs w:val="21"/>
        </w:rPr>
        <w:t>（二）</w:t>
      </w:r>
      <w:r>
        <w:rPr>
          <w:rFonts w:ascii="宋体" w:hAnsi="宋体" w:eastAsia="宋体"/>
          <w:b/>
          <w:bCs/>
          <w:color w:val="000000"/>
          <w:szCs w:val="21"/>
        </w:rPr>
        <w:t>课程目标</w:t>
      </w:r>
      <w:r>
        <w:rPr>
          <w:rFonts w:hint="eastAsia" w:ascii="宋体" w:hAnsi="宋体" w:eastAsia="宋体"/>
          <w:b/>
          <w:bCs/>
          <w:color w:val="000000"/>
          <w:szCs w:val="21"/>
        </w:rPr>
        <w:t>及其</w:t>
      </w:r>
      <w:r>
        <w:rPr>
          <w:rFonts w:ascii="宋体" w:hAnsi="宋体" w:eastAsia="宋体"/>
          <w:b/>
          <w:bCs/>
          <w:color w:val="000000"/>
          <w:szCs w:val="21"/>
        </w:rPr>
        <w:t>对毕业要求指标点的支撑</w:t>
      </w:r>
    </w:p>
    <w:tbl>
      <w:tblPr>
        <w:tblStyle w:val="11"/>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2165"/>
        <w:gridCol w:w="5228"/>
        <w:gridCol w:w="1110"/>
      </w:tblGrid>
      <w:tr w14:paraId="5B4C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15" w:hRule="atLeast"/>
        </w:trPr>
        <w:tc>
          <w:tcPr>
            <w:tcW w:w="2165" w:type="dxa"/>
            <w:tcBorders>
              <w:top w:val="single" w:color="000000" w:sz="8" w:space="0"/>
              <w:left w:val="single" w:color="000000" w:sz="8" w:space="0"/>
              <w:bottom w:val="single" w:color="000000" w:sz="8" w:space="0"/>
              <w:right w:val="single" w:color="000000" w:sz="8" w:space="0"/>
            </w:tcBorders>
          </w:tcPr>
          <w:p w14:paraId="7ECF8564">
            <w:pPr>
              <w:snapToGrid w:val="0"/>
              <w:spacing w:before="178"/>
              <w:ind w:left="112" w:right="102"/>
              <w:jc w:val="center"/>
              <w:rPr>
                <w:rFonts w:hint="eastAsia" w:ascii="宋体" w:hAnsi="宋体" w:eastAsia="宋体"/>
                <w:b/>
                <w:bCs/>
                <w:color w:val="000000"/>
                <w:kern w:val="0"/>
                <w:szCs w:val="21"/>
              </w:rPr>
            </w:pPr>
            <w:r>
              <w:rPr>
                <w:rFonts w:hint="eastAsia" w:ascii="宋体" w:hAnsi="宋体" w:eastAsia="宋体"/>
                <w:b/>
                <w:bCs/>
                <w:color w:val="000000"/>
                <w:kern w:val="0"/>
                <w:szCs w:val="21"/>
              </w:rPr>
              <w:t>毕业要求</w:t>
            </w:r>
          </w:p>
        </w:tc>
        <w:tc>
          <w:tcPr>
            <w:tcW w:w="5228" w:type="dxa"/>
            <w:tcBorders>
              <w:top w:val="single" w:color="000000" w:sz="8" w:space="0"/>
              <w:left w:val="single" w:color="000000" w:sz="8" w:space="0"/>
              <w:bottom w:val="single" w:color="000000" w:sz="8" w:space="0"/>
              <w:right w:val="single" w:color="000000" w:sz="8" w:space="0"/>
            </w:tcBorders>
          </w:tcPr>
          <w:p w14:paraId="0CF22F95">
            <w:pPr>
              <w:snapToGrid w:val="0"/>
              <w:spacing w:before="178"/>
              <w:ind w:left="442"/>
              <w:jc w:val="center"/>
              <w:rPr>
                <w:rFonts w:hint="eastAsia" w:ascii="宋体" w:hAnsi="宋体" w:eastAsia="宋体"/>
                <w:b/>
                <w:bCs/>
                <w:color w:val="000000"/>
                <w:kern w:val="0"/>
                <w:szCs w:val="21"/>
              </w:rPr>
            </w:pPr>
            <w:r>
              <w:rPr>
                <w:rFonts w:ascii="宋体" w:hAnsi="宋体" w:eastAsia="宋体"/>
                <w:b/>
                <w:bCs/>
                <w:color w:val="000000"/>
                <w:kern w:val="0"/>
                <w:szCs w:val="21"/>
              </w:rPr>
              <w:t>支撑毕业要求指标点</w:t>
            </w:r>
          </w:p>
        </w:tc>
        <w:tc>
          <w:tcPr>
            <w:tcW w:w="1110" w:type="dxa"/>
            <w:tcBorders>
              <w:top w:val="single" w:color="000000" w:sz="8" w:space="0"/>
              <w:left w:val="single" w:color="000000" w:sz="8" w:space="0"/>
              <w:bottom w:val="single" w:color="000000" w:sz="8" w:space="0"/>
              <w:right w:val="single" w:color="000000" w:sz="8" w:space="0"/>
            </w:tcBorders>
          </w:tcPr>
          <w:p w14:paraId="07C3812A">
            <w:pPr>
              <w:snapToGrid w:val="0"/>
              <w:spacing w:before="178"/>
              <w:ind w:left="64" w:right="60"/>
              <w:jc w:val="center"/>
              <w:rPr>
                <w:rFonts w:hint="eastAsia" w:ascii="宋体" w:hAnsi="宋体" w:eastAsia="宋体"/>
                <w:b/>
                <w:bCs/>
                <w:color w:val="000000"/>
                <w:kern w:val="0"/>
                <w:szCs w:val="21"/>
              </w:rPr>
            </w:pPr>
            <w:r>
              <w:rPr>
                <w:rFonts w:hint="eastAsia" w:ascii="宋体" w:hAnsi="宋体" w:eastAsia="宋体"/>
                <w:b/>
                <w:bCs/>
                <w:color w:val="000000"/>
                <w:kern w:val="0"/>
                <w:szCs w:val="21"/>
              </w:rPr>
              <w:t>课程目标</w:t>
            </w:r>
          </w:p>
        </w:tc>
      </w:tr>
      <w:tr w14:paraId="68F3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9" w:hRule="atLeast"/>
        </w:trPr>
        <w:tc>
          <w:tcPr>
            <w:tcW w:w="2165" w:type="dxa"/>
            <w:tcBorders>
              <w:top w:val="single" w:color="000000" w:sz="8" w:space="0"/>
              <w:left w:val="single" w:color="000000" w:sz="8" w:space="0"/>
              <w:bottom w:val="single" w:color="000000" w:sz="8" w:space="0"/>
              <w:right w:val="single" w:color="000000" w:sz="8" w:space="0"/>
            </w:tcBorders>
            <w:vAlign w:val="center"/>
          </w:tcPr>
          <w:p w14:paraId="24070370">
            <w:pPr>
              <w:snapToGrid w:val="0"/>
              <w:jc w:val="center"/>
              <w:rPr>
                <w:rFonts w:hint="eastAsia" w:ascii="宋体" w:hAnsi="宋体" w:eastAsia="宋体"/>
                <w:color w:val="000000"/>
                <w:kern w:val="0"/>
                <w:szCs w:val="21"/>
              </w:rPr>
            </w:pPr>
            <w:r>
              <w:rPr>
                <w:rFonts w:hint="eastAsia" w:ascii="Times New Roman" w:hAnsi="Times New Roman" w:eastAsia="宋体" w:cs="Times New Roman"/>
                <w:b/>
                <w:bCs/>
                <w:szCs w:val="21"/>
              </w:rPr>
              <w:t>毕业要求1：师德规范</w:t>
            </w:r>
          </w:p>
        </w:tc>
        <w:tc>
          <w:tcPr>
            <w:tcW w:w="5228" w:type="dxa"/>
            <w:tcBorders>
              <w:top w:val="single" w:color="000000" w:sz="8" w:space="0"/>
              <w:left w:val="single" w:color="000000" w:sz="8" w:space="0"/>
              <w:bottom w:val="single" w:color="000000" w:sz="8" w:space="0"/>
              <w:right w:val="single" w:color="000000" w:sz="8" w:space="0"/>
            </w:tcBorders>
            <w:vAlign w:val="center"/>
          </w:tcPr>
          <w:p w14:paraId="517E17C9">
            <w:pPr>
              <w:snapToGrid w:val="0"/>
              <w:ind w:left="1" w:hanging="1"/>
              <w:jc w:val="left"/>
              <w:rPr>
                <w:rFonts w:hint="eastAsia" w:ascii="宋体" w:hAnsi="宋体" w:eastAsia="宋体"/>
                <w:color w:val="000000"/>
                <w:kern w:val="0"/>
                <w:szCs w:val="21"/>
              </w:rPr>
            </w:pPr>
            <w:r>
              <w:rPr>
                <w:rFonts w:hint="eastAsia" w:ascii="宋体" w:hAnsi="宋体" w:eastAsia="宋体"/>
                <w:b/>
                <w:bCs/>
                <w:color w:val="000000"/>
                <w:kern w:val="0"/>
                <w:szCs w:val="21"/>
              </w:rPr>
              <w:t>指标点1-1：</w:t>
            </w:r>
            <w:r>
              <w:rPr>
                <w:rFonts w:hint="eastAsia" w:ascii="宋体" w:hAnsi="宋体" w:eastAsia="宋体"/>
                <w:color w:val="000000"/>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10" w:type="dxa"/>
            <w:tcBorders>
              <w:top w:val="single" w:color="000000" w:sz="8" w:space="0"/>
              <w:left w:val="single" w:color="000000" w:sz="8" w:space="0"/>
              <w:bottom w:val="single" w:color="000000" w:sz="8" w:space="0"/>
              <w:right w:val="single" w:color="000000" w:sz="8" w:space="0"/>
            </w:tcBorders>
            <w:vAlign w:val="center"/>
          </w:tcPr>
          <w:p w14:paraId="44DCBD91">
            <w:pPr>
              <w:snapToGrid w:val="0"/>
              <w:jc w:val="center"/>
              <w:rPr>
                <w:rFonts w:hint="eastAsia" w:ascii="宋体" w:hAnsi="宋体" w:eastAsia="宋体"/>
                <w:color w:val="000000"/>
                <w:kern w:val="0"/>
                <w:szCs w:val="21"/>
              </w:rPr>
            </w:pPr>
            <w:r>
              <w:rPr>
                <w:rFonts w:hint="eastAsia" w:ascii="Times New Roman" w:hAnsi="Times New Roman" w:eastAsia="宋体" w:cs="Times New Roman"/>
                <w:szCs w:val="21"/>
              </w:rPr>
              <w:t>课程目标1</w:t>
            </w:r>
          </w:p>
        </w:tc>
      </w:tr>
      <w:tr w14:paraId="7250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712" w:hRule="atLeast"/>
        </w:trPr>
        <w:tc>
          <w:tcPr>
            <w:tcW w:w="2165" w:type="dxa"/>
            <w:tcBorders>
              <w:top w:val="single" w:color="000000" w:sz="8" w:space="0"/>
              <w:left w:val="single" w:color="000000" w:sz="8" w:space="0"/>
              <w:bottom w:val="single" w:color="000000" w:sz="8" w:space="0"/>
              <w:right w:val="single" w:color="000000" w:sz="8" w:space="0"/>
            </w:tcBorders>
            <w:vAlign w:val="center"/>
          </w:tcPr>
          <w:p w14:paraId="6001B168">
            <w:pPr>
              <w:snapToGrid w:val="0"/>
              <w:jc w:val="center"/>
              <w:rPr>
                <w:rFonts w:hint="eastAsia" w:ascii="宋体" w:hAnsi="宋体" w:eastAsia="宋体"/>
                <w:color w:val="000000"/>
                <w:kern w:val="0"/>
                <w:szCs w:val="21"/>
              </w:rPr>
            </w:pPr>
            <w:r>
              <w:rPr>
                <w:rFonts w:hint="eastAsia" w:ascii="Times New Roman" w:hAnsi="Times New Roman" w:eastAsia="宋体" w:cs="Times New Roman"/>
                <w:b/>
                <w:bCs/>
                <w:szCs w:val="21"/>
              </w:rPr>
              <w:t>毕业要求1：师德规范</w:t>
            </w:r>
          </w:p>
        </w:tc>
        <w:tc>
          <w:tcPr>
            <w:tcW w:w="5228" w:type="dxa"/>
            <w:tcBorders>
              <w:top w:val="single" w:color="000000" w:sz="8" w:space="0"/>
              <w:left w:val="single" w:color="000000" w:sz="8" w:space="0"/>
              <w:bottom w:val="single" w:color="000000" w:sz="8" w:space="0"/>
              <w:right w:val="single" w:color="000000" w:sz="8" w:space="0"/>
            </w:tcBorders>
            <w:vAlign w:val="center"/>
          </w:tcPr>
          <w:p w14:paraId="089D2A95">
            <w:pPr>
              <w:snapToGrid w:val="0"/>
              <w:ind w:left="1" w:hanging="1"/>
              <w:jc w:val="left"/>
              <w:rPr>
                <w:rFonts w:hint="eastAsia" w:ascii="宋体" w:hAnsi="宋体" w:eastAsia="宋体"/>
                <w:color w:val="000000"/>
                <w:kern w:val="0"/>
                <w:szCs w:val="21"/>
              </w:rPr>
            </w:pPr>
            <w:r>
              <w:rPr>
                <w:rFonts w:hint="eastAsia" w:ascii="宋体" w:hAnsi="宋体" w:eastAsia="宋体"/>
                <w:b/>
                <w:bCs/>
                <w:color w:val="000000"/>
                <w:kern w:val="0"/>
                <w:szCs w:val="21"/>
              </w:rPr>
              <w:t>指标点1-2：</w:t>
            </w:r>
            <w:r>
              <w:rPr>
                <w:rFonts w:hint="eastAsia" w:ascii="宋体" w:hAnsi="宋体" w:eastAsia="宋体"/>
                <w:color w:val="000000"/>
                <w:kern w:val="0"/>
                <w:szCs w:val="21"/>
              </w:rPr>
              <w:t xml:space="preserve">【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 </w:t>
            </w:r>
          </w:p>
        </w:tc>
        <w:tc>
          <w:tcPr>
            <w:tcW w:w="1110" w:type="dxa"/>
            <w:tcBorders>
              <w:top w:val="single" w:color="000000" w:sz="8" w:space="0"/>
              <w:left w:val="single" w:color="000000" w:sz="8" w:space="0"/>
              <w:bottom w:val="single" w:color="000000" w:sz="8" w:space="0"/>
              <w:right w:val="single" w:color="000000" w:sz="8" w:space="0"/>
            </w:tcBorders>
            <w:vAlign w:val="center"/>
          </w:tcPr>
          <w:p w14:paraId="30894F33">
            <w:pPr>
              <w:snapToGrid w:val="0"/>
              <w:jc w:val="center"/>
              <w:rPr>
                <w:rFonts w:hint="eastAsia" w:ascii="宋体" w:hAnsi="宋体" w:eastAsia="宋体"/>
                <w:color w:val="000000"/>
                <w:kern w:val="0"/>
                <w:szCs w:val="21"/>
              </w:rPr>
            </w:pPr>
            <w:r>
              <w:rPr>
                <w:rFonts w:hint="eastAsia" w:ascii="Times New Roman" w:hAnsi="Times New Roman" w:eastAsia="宋体" w:cs="Times New Roman"/>
                <w:szCs w:val="21"/>
              </w:rPr>
              <w:t>课程目标2</w:t>
            </w:r>
          </w:p>
        </w:tc>
      </w:tr>
      <w:tr w14:paraId="7221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193" w:hRule="atLeast"/>
        </w:trPr>
        <w:tc>
          <w:tcPr>
            <w:tcW w:w="21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CA9FB6">
            <w:pPr>
              <w:widowControl/>
              <w:spacing w:line="340" w:lineRule="exact"/>
              <w:rPr>
                <w:b/>
                <w:bCs/>
                <w:szCs w:val="23"/>
              </w:rPr>
            </w:pPr>
            <w:r>
              <w:rPr>
                <w:b/>
                <w:bCs/>
                <w:color w:val="000000"/>
                <w:kern w:val="0"/>
                <w:szCs w:val="21"/>
              </w:rPr>
              <w:t>毕业要求2：</w:t>
            </w:r>
            <w:r>
              <w:rPr>
                <w:b/>
                <w:bCs/>
                <w:szCs w:val="23"/>
              </w:rPr>
              <w:t>教育情怀</w:t>
            </w:r>
          </w:p>
          <w:p w14:paraId="4CB2418A">
            <w:pPr>
              <w:snapToGrid w:val="0"/>
              <w:jc w:val="center"/>
              <w:rPr>
                <w:rFonts w:ascii="Times New Roman" w:hAnsi="Times New Roman" w:eastAsia="宋体" w:cs="Times New Roman"/>
                <w:b/>
                <w:bCs/>
                <w:szCs w:val="21"/>
              </w:rPr>
            </w:pPr>
          </w:p>
        </w:tc>
        <w:tc>
          <w:tcPr>
            <w:tcW w:w="52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B2CE4E">
            <w:pPr>
              <w:snapToGrid w:val="0"/>
              <w:ind w:left="1" w:hanging="1"/>
              <w:jc w:val="left"/>
              <w:rPr>
                <w:rFonts w:hint="eastAsia" w:ascii="宋体" w:hAnsi="宋体" w:eastAsia="宋体"/>
                <w:b/>
                <w:bCs/>
                <w:color w:val="000000"/>
                <w:kern w:val="0"/>
                <w:szCs w:val="21"/>
              </w:rPr>
            </w:pPr>
            <w:r>
              <w:rPr>
                <w:rFonts w:hint="eastAsia" w:ascii="宋体" w:hAnsi="宋体" w:eastAsia="宋体"/>
                <w:b/>
                <w:bCs/>
                <w:color w:val="000000"/>
                <w:kern w:val="0"/>
                <w:szCs w:val="21"/>
              </w:rPr>
              <w:t>指标点2-3：</w:t>
            </w:r>
            <w:r>
              <w:rPr>
                <w:rFonts w:hint="eastAsia" w:ascii="宋体" w:hAnsi="宋体" w:eastAsia="宋体"/>
                <w:color w:val="000000"/>
                <w:kern w:val="0"/>
                <w:szCs w:val="21"/>
              </w:rPr>
              <w:t>【自身修养良好】具有较好的人文艺术底蕴与科学精神，言行举止符合教师职业标准，情感积极，人格健全，身心健康。</w:t>
            </w:r>
          </w:p>
        </w:tc>
        <w:tc>
          <w:tcPr>
            <w:tcW w:w="11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942BF7">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04249B64">
      <w:pPr>
        <w:snapToGrid w:val="0"/>
        <w:spacing w:line="360" w:lineRule="auto"/>
        <w:rPr>
          <w:rFonts w:hint="eastAsia" w:ascii="宋体" w:hAnsi="宋体" w:eastAsia="宋体"/>
          <w:b/>
          <w:bCs/>
          <w:color w:val="000000"/>
          <w:sz w:val="28"/>
          <w:szCs w:val="28"/>
        </w:rPr>
      </w:pPr>
    </w:p>
    <w:p w14:paraId="23ACD25E">
      <w:pPr>
        <w:snapToGrid w:val="0"/>
        <w:spacing w:line="360" w:lineRule="auto"/>
        <w:rPr>
          <w:rFonts w:hint="eastAsia" w:ascii="宋体" w:hAnsi="宋体" w:eastAsia="宋体"/>
          <w:b/>
          <w:bCs/>
          <w:color w:val="000000"/>
          <w:sz w:val="24"/>
          <w:szCs w:val="24"/>
        </w:rPr>
      </w:pPr>
      <w:r>
        <w:rPr>
          <w:rFonts w:ascii="宋体" w:hAnsi="宋体" w:eastAsia="宋体"/>
          <w:b/>
          <w:bCs/>
          <w:color w:val="000000"/>
          <w:sz w:val="24"/>
          <w:szCs w:val="24"/>
        </w:rPr>
        <w:t>三、课程内容及要求</w:t>
      </w:r>
    </w:p>
    <w:tbl>
      <w:tblPr>
        <w:tblStyle w:val="10"/>
        <w:tblW w:w="1092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97"/>
        <w:gridCol w:w="2577"/>
        <w:gridCol w:w="1082"/>
        <w:gridCol w:w="3586"/>
        <w:gridCol w:w="1571"/>
        <w:gridCol w:w="708"/>
      </w:tblGrid>
      <w:tr w14:paraId="581B3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79F79813">
            <w:pPr>
              <w:jc w:val="center"/>
              <w:rPr>
                <w:rFonts w:hint="eastAsia" w:ascii="宋体" w:hAnsi="宋体" w:eastAsia="宋体" w:cs="宋体"/>
                <w:b/>
                <w:bCs/>
                <w:szCs w:val="21"/>
              </w:rPr>
            </w:pPr>
            <w:r>
              <w:rPr>
                <w:rFonts w:hint="eastAsia" w:ascii="宋体" w:hAnsi="宋体" w:eastAsia="宋体" w:cs="宋体"/>
                <w:b/>
                <w:bCs/>
                <w:szCs w:val="21"/>
              </w:rPr>
              <w:t>知识单元</w:t>
            </w:r>
          </w:p>
        </w:tc>
        <w:tc>
          <w:tcPr>
            <w:tcW w:w="2577" w:type="dxa"/>
            <w:shd w:val="clear" w:color="auto" w:fill="auto"/>
            <w:vAlign w:val="center"/>
          </w:tcPr>
          <w:p w14:paraId="6E0CF43F">
            <w:pPr>
              <w:jc w:val="center"/>
              <w:rPr>
                <w:rFonts w:hint="eastAsia" w:ascii="宋体" w:hAnsi="宋体" w:eastAsia="宋体" w:cs="宋体"/>
                <w:b/>
                <w:bCs/>
                <w:szCs w:val="21"/>
              </w:rPr>
            </w:pPr>
            <w:r>
              <w:rPr>
                <w:rFonts w:hint="eastAsia" w:ascii="宋体" w:hAnsi="宋体" w:eastAsia="宋体" w:cs="宋体"/>
                <w:b/>
                <w:bCs/>
                <w:szCs w:val="21"/>
              </w:rPr>
              <w:t>知识点</w:t>
            </w:r>
          </w:p>
        </w:tc>
        <w:tc>
          <w:tcPr>
            <w:tcW w:w="1082" w:type="dxa"/>
            <w:shd w:val="clear" w:color="auto" w:fill="auto"/>
            <w:vAlign w:val="center"/>
          </w:tcPr>
          <w:p w14:paraId="3E1E2215">
            <w:pPr>
              <w:jc w:val="center"/>
              <w:rPr>
                <w:rFonts w:hint="eastAsia" w:ascii="宋体" w:hAnsi="宋体" w:eastAsia="宋体" w:cs="宋体"/>
                <w:b/>
                <w:color w:val="000000"/>
                <w:szCs w:val="21"/>
              </w:rPr>
            </w:pPr>
            <w:r>
              <w:rPr>
                <w:rFonts w:hint="eastAsia" w:ascii="宋体" w:hAnsi="宋体" w:eastAsia="宋体" w:cs="宋体"/>
                <w:b/>
                <w:color w:val="000000"/>
                <w:szCs w:val="21"/>
              </w:rPr>
              <w:t>对应</w:t>
            </w:r>
          </w:p>
          <w:p w14:paraId="2526ACE0">
            <w:pPr>
              <w:jc w:val="center"/>
              <w:rPr>
                <w:rFonts w:hint="eastAsia" w:ascii="宋体" w:hAnsi="宋体" w:eastAsia="宋体" w:cs="宋体"/>
                <w:b/>
                <w:bCs/>
                <w:szCs w:val="21"/>
              </w:rPr>
            </w:pPr>
            <w:r>
              <w:rPr>
                <w:rFonts w:hint="eastAsia" w:ascii="宋体" w:hAnsi="宋体" w:eastAsia="宋体" w:cs="宋体"/>
                <w:b/>
                <w:color w:val="000000"/>
                <w:szCs w:val="21"/>
              </w:rPr>
              <w:t>课程目标</w:t>
            </w:r>
          </w:p>
        </w:tc>
        <w:tc>
          <w:tcPr>
            <w:tcW w:w="3586" w:type="dxa"/>
            <w:shd w:val="clear" w:color="auto" w:fill="auto"/>
            <w:vAlign w:val="center"/>
          </w:tcPr>
          <w:p w14:paraId="7A2D6DFC">
            <w:pPr>
              <w:jc w:val="center"/>
              <w:rPr>
                <w:rFonts w:hint="eastAsia" w:ascii="宋体" w:hAnsi="宋体" w:eastAsia="宋体" w:cs="宋体"/>
                <w:b/>
                <w:bCs/>
                <w:szCs w:val="21"/>
              </w:rPr>
            </w:pPr>
            <w:r>
              <w:rPr>
                <w:rFonts w:hint="eastAsia" w:ascii="宋体" w:hAnsi="宋体" w:eastAsia="宋体" w:cs="宋体"/>
                <w:b/>
                <w:bCs/>
                <w:szCs w:val="21"/>
              </w:rPr>
              <w:t>预期学习成效</w:t>
            </w:r>
          </w:p>
        </w:tc>
        <w:tc>
          <w:tcPr>
            <w:tcW w:w="1571" w:type="dxa"/>
            <w:shd w:val="clear" w:color="auto" w:fill="auto"/>
            <w:vAlign w:val="center"/>
          </w:tcPr>
          <w:p w14:paraId="7753D142">
            <w:pPr>
              <w:jc w:val="center"/>
              <w:rPr>
                <w:rFonts w:hint="eastAsia" w:ascii="宋体" w:hAnsi="宋体" w:eastAsia="宋体" w:cs="宋体"/>
                <w:b/>
                <w:bCs/>
                <w:szCs w:val="21"/>
              </w:rPr>
            </w:pPr>
            <w:r>
              <w:rPr>
                <w:rFonts w:hint="eastAsia" w:ascii="宋体" w:hAnsi="宋体" w:eastAsia="宋体" w:cs="宋体"/>
                <w:b/>
                <w:bCs/>
                <w:szCs w:val="21"/>
              </w:rPr>
              <w:t>实现</w:t>
            </w:r>
          </w:p>
          <w:p w14:paraId="7A2D0DC5">
            <w:pPr>
              <w:jc w:val="center"/>
              <w:rPr>
                <w:rFonts w:hint="eastAsia" w:ascii="宋体" w:hAnsi="宋体" w:eastAsia="宋体" w:cs="宋体"/>
                <w:b/>
                <w:bCs/>
                <w:szCs w:val="21"/>
              </w:rPr>
            </w:pPr>
            <w:r>
              <w:rPr>
                <w:rFonts w:hint="eastAsia" w:ascii="宋体" w:hAnsi="宋体" w:eastAsia="宋体" w:cs="宋体"/>
                <w:b/>
                <w:bCs/>
                <w:szCs w:val="21"/>
              </w:rPr>
              <w:t>环节</w:t>
            </w:r>
          </w:p>
        </w:tc>
        <w:tc>
          <w:tcPr>
            <w:tcW w:w="708" w:type="dxa"/>
            <w:shd w:val="clear" w:color="auto" w:fill="auto"/>
            <w:vAlign w:val="center"/>
          </w:tcPr>
          <w:p w14:paraId="46D57ED5">
            <w:pPr>
              <w:jc w:val="center"/>
              <w:rPr>
                <w:rFonts w:hint="eastAsia" w:ascii="宋体" w:hAnsi="宋体" w:eastAsia="宋体" w:cs="宋体"/>
                <w:b/>
                <w:bCs/>
                <w:szCs w:val="21"/>
              </w:rPr>
            </w:pPr>
            <w:r>
              <w:rPr>
                <w:rFonts w:hint="eastAsia" w:ascii="宋体" w:hAnsi="宋体" w:eastAsia="宋体" w:cs="宋体"/>
                <w:b/>
                <w:bCs/>
                <w:szCs w:val="21"/>
              </w:rPr>
              <w:t>学时</w:t>
            </w:r>
          </w:p>
        </w:tc>
      </w:tr>
      <w:tr w14:paraId="15FD8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7" w:hRule="atLeast"/>
          <w:jc w:val="center"/>
        </w:trPr>
        <w:tc>
          <w:tcPr>
            <w:tcW w:w="1397" w:type="dxa"/>
            <w:shd w:val="clear" w:color="auto" w:fill="auto"/>
            <w:vAlign w:val="center"/>
          </w:tcPr>
          <w:p w14:paraId="124EA11C">
            <w:pPr>
              <w:adjustRightInd w:val="0"/>
              <w:snapToGrid w:val="0"/>
              <w:jc w:val="center"/>
              <w:rPr>
                <w:rFonts w:hint="eastAsia" w:ascii="宋体" w:hAnsi="宋体" w:eastAsia="宋体" w:cs="宋体"/>
                <w:szCs w:val="21"/>
              </w:rPr>
            </w:pPr>
            <w:r>
              <w:rPr>
                <w:rFonts w:hint="eastAsia" w:ascii="宋体" w:hAnsi="宋体" w:eastAsia="宋体" w:cs="宋体"/>
                <w:bCs/>
                <w:szCs w:val="21"/>
              </w:rPr>
              <w:t>绪论 担当复兴大任 成就时代新人</w:t>
            </w:r>
          </w:p>
        </w:tc>
        <w:tc>
          <w:tcPr>
            <w:tcW w:w="2577" w:type="dxa"/>
            <w:shd w:val="clear" w:color="auto" w:fill="auto"/>
            <w:vAlign w:val="center"/>
          </w:tcPr>
          <w:p w14:paraId="5A732447">
            <w:pPr>
              <w:adjustRightInd w:val="0"/>
              <w:snapToGrid w:val="0"/>
              <w:rPr>
                <w:rFonts w:hint="eastAsia" w:ascii="宋体" w:hAnsi="宋体" w:eastAsia="宋体" w:cs="宋体"/>
                <w:szCs w:val="21"/>
              </w:rPr>
            </w:pPr>
            <w:r>
              <w:rPr>
                <w:rFonts w:hint="eastAsia" w:ascii="宋体" w:hAnsi="宋体" w:eastAsia="宋体" w:cs="宋体"/>
                <w:szCs w:val="21"/>
              </w:rPr>
              <w:t>（1）我们处在中国特色社会主义新时代</w:t>
            </w:r>
          </w:p>
          <w:p w14:paraId="10852626">
            <w:pPr>
              <w:adjustRightInd w:val="0"/>
              <w:snapToGrid w:val="0"/>
              <w:rPr>
                <w:rFonts w:hint="eastAsia" w:ascii="宋体" w:hAnsi="宋体" w:eastAsia="宋体" w:cs="宋体"/>
                <w:szCs w:val="21"/>
              </w:rPr>
            </w:pPr>
            <w:r>
              <w:rPr>
                <w:rFonts w:hint="eastAsia" w:ascii="宋体" w:hAnsi="宋体" w:eastAsia="宋体" w:cs="宋体"/>
                <w:szCs w:val="21"/>
              </w:rPr>
              <w:t>（2）新时代呼唤民族复兴大任的时代新人</w:t>
            </w:r>
          </w:p>
          <w:p w14:paraId="451696DC">
            <w:pPr>
              <w:adjustRightInd w:val="0"/>
              <w:snapToGrid w:val="0"/>
              <w:rPr>
                <w:rFonts w:hint="eastAsia" w:ascii="宋体" w:hAnsi="宋体" w:eastAsia="宋体" w:cs="宋体"/>
                <w:szCs w:val="21"/>
              </w:rPr>
            </w:pPr>
            <w:r>
              <w:rPr>
                <w:rFonts w:hint="eastAsia" w:ascii="宋体" w:hAnsi="宋体" w:eastAsia="宋体" w:cs="宋体"/>
                <w:szCs w:val="21"/>
              </w:rPr>
              <w:t>（3）不断提升思想道德素质和法治素养</w:t>
            </w:r>
          </w:p>
          <w:p w14:paraId="7E793326">
            <w:pPr>
              <w:adjustRightInd w:val="0"/>
              <w:snapToGrid w:val="0"/>
              <w:rPr>
                <w:rFonts w:hint="eastAsia" w:ascii="宋体" w:hAnsi="宋体" w:eastAsia="宋体" w:cs="宋体"/>
                <w:szCs w:val="21"/>
              </w:rPr>
            </w:pPr>
          </w:p>
        </w:tc>
        <w:tc>
          <w:tcPr>
            <w:tcW w:w="1082" w:type="dxa"/>
            <w:shd w:val="clear" w:color="auto" w:fill="auto"/>
            <w:vAlign w:val="center"/>
          </w:tcPr>
          <w:p w14:paraId="4DBD1BEB">
            <w:pPr>
              <w:jc w:val="center"/>
              <w:rPr>
                <w:rFonts w:hint="eastAsia" w:ascii="宋体" w:hAnsi="宋体" w:eastAsia="宋体" w:cs="宋体"/>
                <w:szCs w:val="21"/>
              </w:rPr>
            </w:pPr>
            <w:r>
              <w:rPr>
                <w:rFonts w:hint="eastAsia" w:ascii="宋体" w:hAnsi="宋体" w:eastAsia="宋体" w:cs="宋体"/>
                <w:szCs w:val="21"/>
              </w:rPr>
              <w:t>目标1</w:t>
            </w:r>
          </w:p>
          <w:p w14:paraId="3ACBE1A2">
            <w:pPr>
              <w:jc w:val="center"/>
              <w:rPr>
                <w:rFonts w:hint="eastAsia" w:ascii="宋体" w:hAnsi="宋体" w:eastAsia="宋体" w:cs="宋体"/>
                <w:szCs w:val="21"/>
              </w:rPr>
            </w:pPr>
            <w:r>
              <w:rPr>
                <w:rFonts w:hint="eastAsia" w:ascii="宋体" w:hAnsi="宋体" w:eastAsia="宋体" w:cs="宋体"/>
                <w:szCs w:val="21"/>
              </w:rPr>
              <w:t>目标2</w:t>
            </w:r>
          </w:p>
          <w:p w14:paraId="3ACD7325">
            <w:pPr>
              <w:jc w:val="center"/>
              <w:rPr>
                <w:rFonts w:hint="eastAsia" w:ascii="宋体" w:hAnsi="宋体" w:eastAsia="宋体" w:cs="宋体"/>
                <w:szCs w:val="21"/>
              </w:rPr>
            </w:pPr>
            <w:r>
              <w:rPr>
                <w:rFonts w:hint="eastAsia" w:ascii="宋体" w:hAnsi="宋体" w:eastAsia="宋体" w:cs="宋体"/>
                <w:szCs w:val="21"/>
              </w:rPr>
              <w:t>目标3</w:t>
            </w:r>
          </w:p>
        </w:tc>
        <w:tc>
          <w:tcPr>
            <w:tcW w:w="3586" w:type="dxa"/>
            <w:shd w:val="clear" w:color="auto" w:fill="auto"/>
            <w:vAlign w:val="center"/>
          </w:tcPr>
          <w:p w14:paraId="45B085D4">
            <w:pPr>
              <w:autoSpaceDE w:val="0"/>
              <w:autoSpaceDN w:val="0"/>
              <w:adjustRightInd w:val="0"/>
              <w:rPr>
                <w:rFonts w:hint="eastAsia" w:ascii="宋体" w:hAnsi="宋体" w:eastAsia="宋体" w:cs="宋体"/>
                <w:kern w:val="0"/>
                <w:szCs w:val="21"/>
              </w:rPr>
            </w:pPr>
            <w:r>
              <w:rPr>
                <w:rFonts w:hint="eastAsia" w:ascii="宋体" w:hAnsi="宋体" w:eastAsia="宋体" w:cs="宋体"/>
                <w:kern w:val="0"/>
                <w:szCs w:val="21"/>
              </w:rPr>
              <w:t>了解中国发展的新方位，中国特色社会主义进入了新时代；理解中国特色社会主义进入新时代的实践价值和世界意义；掌握学习本课程的学习方法，增强学习的积极性和主动性，明确自己肩负的历史使命和时代责任</w:t>
            </w:r>
          </w:p>
        </w:tc>
        <w:tc>
          <w:tcPr>
            <w:tcW w:w="1571" w:type="dxa"/>
            <w:shd w:val="clear" w:color="auto" w:fill="auto"/>
            <w:vAlign w:val="center"/>
          </w:tcPr>
          <w:p w14:paraId="6B9D7DA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C49B6A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188E8BB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26F3CE34">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6F541DAB">
            <w:pPr>
              <w:jc w:val="center"/>
              <w:rPr>
                <w:rFonts w:hint="eastAsia" w:ascii="宋体" w:hAnsi="宋体" w:eastAsia="宋体" w:cs="宋体"/>
                <w:szCs w:val="21"/>
              </w:rPr>
            </w:pPr>
            <w:r>
              <w:rPr>
                <w:rFonts w:hint="eastAsia" w:ascii="宋体" w:hAnsi="宋体" w:eastAsia="宋体" w:cs="宋体"/>
                <w:szCs w:val="21"/>
              </w:rPr>
              <w:t>2</w:t>
            </w:r>
          </w:p>
        </w:tc>
      </w:tr>
      <w:tr w14:paraId="0C097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767802EB">
            <w:pPr>
              <w:adjustRightInd w:val="0"/>
              <w:snapToGrid w:val="0"/>
              <w:jc w:val="center"/>
              <w:rPr>
                <w:rFonts w:hint="eastAsia" w:ascii="宋体" w:hAnsi="宋体" w:eastAsia="宋体" w:cs="宋体"/>
                <w:szCs w:val="21"/>
              </w:rPr>
            </w:pPr>
            <w:r>
              <w:rPr>
                <w:rFonts w:hint="eastAsia" w:ascii="宋体" w:hAnsi="宋体" w:eastAsia="宋体" w:cs="宋体"/>
                <w:szCs w:val="21"/>
              </w:rPr>
              <w:t>第一章 领悟人生真谛 把握人生方向</w:t>
            </w:r>
          </w:p>
        </w:tc>
        <w:tc>
          <w:tcPr>
            <w:tcW w:w="2577" w:type="dxa"/>
            <w:shd w:val="clear" w:color="auto" w:fill="auto"/>
            <w:vAlign w:val="center"/>
          </w:tcPr>
          <w:p w14:paraId="1E07C434">
            <w:pPr>
              <w:rPr>
                <w:rFonts w:hint="eastAsia" w:ascii="宋体" w:hAnsi="宋体" w:eastAsia="宋体" w:cs="宋体"/>
                <w:color w:val="000000"/>
                <w:szCs w:val="21"/>
              </w:rPr>
            </w:pPr>
            <w:r>
              <w:rPr>
                <w:rFonts w:hint="eastAsia" w:ascii="宋体" w:hAnsi="宋体" w:eastAsia="宋体" w:cs="宋体"/>
                <w:color w:val="000000"/>
                <w:szCs w:val="21"/>
              </w:rPr>
              <w:t>（1）人生观是对人生的总看法</w:t>
            </w:r>
          </w:p>
          <w:p w14:paraId="54FC6684">
            <w:pPr>
              <w:rPr>
                <w:rFonts w:hint="eastAsia" w:ascii="宋体" w:hAnsi="宋体" w:eastAsia="宋体" w:cs="宋体"/>
                <w:color w:val="000000"/>
                <w:szCs w:val="21"/>
              </w:rPr>
            </w:pPr>
            <w:r>
              <w:rPr>
                <w:rFonts w:hint="eastAsia" w:ascii="宋体" w:hAnsi="宋体" w:eastAsia="宋体" w:cs="宋体"/>
                <w:color w:val="000000"/>
                <w:szCs w:val="21"/>
              </w:rPr>
              <w:t>（2）正确的人生观</w:t>
            </w:r>
          </w:p>
          <w:p w14:paraId="1A9F3DB6">
            <w:pPr>
              <w:rPr>
                <w:rFonts w:hint="eastAsia" w:ascii="宋体" w:hAnsi="宋体" w:eastAsia="宋体" w:cs="宋体"/>
                <w:color w:val="000000"/>
                <w:szCs w:val="21"/>
              </w:rPr>
            </w:pPr>
            <w:r>
              <w:rPr>
                <w:rFonts w:hint="eastAsia" w:ascii="宋体" w:hAnsi="宋体" w:eastAsia="宋体" w:cs="宋体"/>
                <w:color w:val="000000"/>
                <w:szCs w:val="21"/>
              </w:rPr>
              <w:t>（3）创造有意义的人生</w:t>
            </w:r>
            <w:bookmarkStart w:id="11" w:name="_Toc45149937"/>
          </w:p>
          <w:bookmarkEnd w:id="11"/>
          <w:p w14:paraId="4733A9D8">
            <w:pPr>
              <w:rPr>
                <w:rFonts w:hint="eastAsia" w:ascii="宋体" w:hAnsi="宋体" w:eastAsia="宋体" w:cs="宋体"/>
                <w:szCs w:val="21"/>
              </w:rPr>
            </w:pPr>
          </w:p>
        </w:tc>
        <w:tc>
          <w:tcPr>
            <w:tcW w:w="1082" w:type="dxa"/>
            <w:shd w:val="clear" w:color="auto" w:fill="auto"/>
            <w:vAlign w:val="center"/>
          </w:tcPr>
          <w:p w14:paraId="6893ECA8">
            <w:pPr>
              <w:jc w:val="center"/>
              <w:rPr>
                <w:rFonts w:hint="eastAsia" w:ascii="宋体" w:hAnsi="宋体" w:eastAsia="宋体" w:cs="宋体"/>
                <w:szCs w:val="21"/>
              </w:rPr>
            </w:pPr>
            <w:r>
              <w:rPr>
                <w:rFonts w:hint="eastAsia" w:ascii="宋体" w:hAnsi="宋体" w:eastAsia="宋体" w:cs="宋体"/>
                <w:szCs w:val="21"/>
              </w:rPr>
              <w:t>目标1</w:t>
            </w:r>
          </w:p>
        </w:tc>
        <w:tc>
          <w:tcPr>
            <w:tcW w:w="3586" w:type="dxa"/>
            <w:shd w:val="clear" w:color="auto" w:fill="auto"/>
            <w:vAlign w:val="center"/>
          </w:tcPr>
          <w:p w14:paraId="5D4ABE82">
            <w:pPr>
              <w:rPr>
                <w:rFonts w:hint="eastAsia" w:ascii="宋体" w:hAnsi="宋体" w:eastAsia="宋体" w:cs="宋体"/>
                <w:szCs w:val="21"/>
              </w:rPr>
            </w:pPr>
            <w:r>
              <w:rPr>
                <w:rFonts w:hint="eastAsia" w:ascii="宋体" w:hAnsi="宋体" w:eastAsia="宋体" w:cs="宋体"/>
                <w:szCs w:val="21"/>
              </w:rPr>
              <w:t>了解人生观的基本内涵以及对人生的重要作用；理解树立为人民服务的人生观的重要意义；掌握处理各种关系的方法，立志在实践中创造有价值的人生，做到和谐发展</w:t>
            </w:r>
          </w:p>
        </w:tc>
        <w:tc>
          <w:tcPr>
            <w:tcW w:w="1571" w:type="dxa"/>
            <w:shd w:val="clear" w:color="auto" w:fill="auto"/>
            <w:vAlign w:val="center"/>
          </w:tcPr>
          <w:p w14:paraId="02C1BE0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3AA91E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41A2F4F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3EBDA09B">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6761CF78">
            <w:pPr>
              <w:jc w:val="center"/>
              <w:rPr>
                <w:rFonts w:hint="eastAsia" w:ascii="宋体" w:hAnsi="宋体" w:eastAsia="宋体" w:cs="宋体"/>
                <w:szCs w:val="21"/>
              </w:rPr>
            </w:pPr>
            <w:r>
              <w:rPr>
                <w:rFonts w:hint="eastAsia" w:ascii="宋体" w:hAnsi="宋体" w:eastAsia="宋体" w:cs="宋体"/>
                <w:szCs w:val="21"/>
              </w:rPr>
              <w:t>6</w:t>
            </w:r>
          </w:p>
        </w:tc>
      </w:tr>
      <w:tr w14:paraId="6949F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6B8DE38E">
            <w:pPr>
              <w:jc w:val="center"/>
              <w:rPr>
                <w:rFonts w:hint="eastAsia" w:ascii="宋体" w:hAnsi="宋体" w:eastAsia="宋体" w:cs="宋体"/>
                <w:szCs w:val="21"/>
              </w:rPr>
            </w:pPr>
            <w:r>
              <w:rPr>
                <w:rFonts w:hint="eastAsia" w:ascii="宋体" w:hAnsi="宋体" w:eastAsia="宋体" w:cs="宋体"/>
                <w:szCs w:val="21"/>
              </w:rPr>
              <w:t>第二章 追求远大理想 坚定崇高信念</w:t>
            </w:r>
          </w:p>
        </w:tc>
        <w:tc>
          <w:tcPr>
            <w:tcW w:w="2577" w:type="dxa"/>
            <w:shd w:val="clear" w:color="auto" w:fill="auto"/>
            <w:vAlign w:val="center"/>
          </w:tcPr>
          <w:p w14:paraId="03741846">
            <w:pPr>
              <w:rPr>
                <w:rFonts w:hint="eastAsia" w:ascii="宋体" w:hAnsi="宋体" w:eastAsia="宋体" w:cs="宋体"/>
                <w:szCs w:val="21"/>
              </w:rPr>
            </w:pPr>
            <w:r>
              <w:rPr>
                <w:rFonts w:hint="eastAsia" w:ascii="宋体" w:hAnsi="宋体" w:eastAsia="宋体" w:cs="宋体"/>
                <w:szCs w:val="21"/>
              </w:rPr>
              <w:t>（1）理想信念的内涵及重要性</w:t>
            </w:r>
          </w:p>
          <w:p w14:paraId="13C46DA4">
            <w:pPr>
              <w:rPr>
                <w:rFonts w:hint="eastAsia" w:ascii="宋体" w:hAnsi="宋体" w:eastAsia="宋体" w:cs="宋体"/>
                <w:szCs w:val="21"/>
              </w:rPr>
            </w:pPr>
            <w:r>
              <w:rPr>
                <w:rFonts w:hint="eastAsia" w:ascii="宋体" w:hAnsi="宋体" w:eastAsia="宋体" w:cs="宋体"/>
                <w:szCs w:val="21"/>
              </w:rPr>
              <w:t>（2）坚定信仰信念信心</w:t>
            </w:r>
          </w:p>
          <w:p w14:paraId="3B4EDF5A">
            <w:pPr>
              <w:rPr>
                <w:rFonts w:hint="eastAsia" w:ascii="宋体" w:hAnsi="宋体" w:eastAsia="宋体" w:cs="宋体"/>
                <w:szCs w:val="21"/>
              </w:rPr>
            </w:pPr>
            <w:r>
              <w:rPr>
                <w:rFonts w:hint="eastAsia" w:ascii="宋体" w:hAnsi="宋体" w:eastAsia="宋体" w:cs="宋体"/>
                <w:szCs w:val="21"/>
              </w:rPr>
              <w:t>（3）在实现中国梦的实践中放飞青春梦想</w:t>
            </w:r>
          </w:p>
          <w:p w14:paraId="44A3D3DD">
            <w:pPr>
              <w:rPr>
                <w:rFonts w:hint="eastAsia" w:ascii="宋体" w:hAnsi="宋体" w:eastAsia="宋体" w:cs="宋体"/>
                <w:color w:val="000000"/>
                <w:szCs w:val="21"/>
              </w:rPr>
            </w:pPr>
          </w:p>
        </w:tc>
        <w:tc>
          <w:tcPr>
            <w:tcW w:w="1082" w:type="dxa"/>
            <w:shd w:val="clear" w:color="auto" w:fill="auto"/>
            <w:vAlign w:val="center"/>
          </w:tcPr>
          <w:p w14:paraId="5067CE3F">
            <w:pPr>
              <w:jc w:val="center"/>
              <w:rPr>
                <w:rFonts w:hint="eastAsia" w:ascii="宋体" w:hAnsi="宋体" w:eastAsia="宋体" w:cs="宋体"/>
                <w:szCs w:val="21"/>
              </w:rPr>
            </w:pPr>
            <w:r>
              <w:rPr>
                <w:rFonts w:hint="eastAsia" w:ascii="宋体" w:hAnsi="宋体" w:eastAsia="宋体" w:cs="宋体"/>
                <w:szCs w:val="21"/>
              </w:rPr>
              <w:t>目标1</w:t>
            </w:r>
          </w:p>
        </w:tc>
        <w:tc>
          <w:tcPr>
            <w:tcW w:w="3586" w:type="dxa"/>
            <w:shd w:val="clear" w:color="auto" w:fill="auto"/>
            <w:vAlign w:val="center"/>
          </w:tcPr>
          <w:p w14:paraId="034852B8">
            <w:pPr>
              <w:rPr>
                <w:rFonts w:hint="eastAsia" w:ascii="宋体" w:hAnsi="宋体" w:eastAsia="宋体" w:cs="宋体"/>
                <w:szCs w:val="21"/>
              </w:rPr>
            </w:pPr>
            <w:r>
              <w:rPr>
                <w:rFonts w:hint="eastAsia" w:ascii="宋体" w:hAnsi="宋体" w:eastAsia="宋体" w:cs="宋体"/>
                <w:szCs w:val="21"/>
              </w:rPr>
              <w:t>了解理想信念、共同理想的含义和特征；理解理想信念对大学生成才的重要意义，树立马克思主义的崇高的理想信念；掌握把理想转化为现实，实现中国梦的基本条件</w:t>
            </w:r>
          </w:p>
        </w:tc>
        <w:tc>
          <w:tcPr>
            <w:tcW w:w="1571" w:type="dxa"/>
            <w:shd w:val="clear" w:color="auto" w:fill="auto"/>
            <w:vAlign w:val="center"/>
          </w:tcPr>
          <w:p w14:paraId="2AE76DB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D8E0ED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39DEA7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70C381BA">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7A08994F">
            <w:pPr>
              <w:jc w:val="center"/>
              <w:rPr>
                <w:rFonts w:hint="eastAsia" w:ascii="宋体" w:hAnsi="宋体" w:eastAsia="宋体" w:cs="宋体"/>
                <w:szCs w:val="21"/>
              </w:rPr>
            </w:pPr>
            <w:r>
              <w:rPr>
                <w:rFonts w:hint="eastAsia" w:ascii="宋体" w:hAnsi="宋体" w:eastAsia="宋体" w:cs="宋体"/>
                <w:szCs w:val="21"/>
              </w:rPr>
              <w:t>6</w:t>
            </w:r>
          </w:p>
        </w:tc>
      </w:tr>
      <w:tr w14:paraId="238F1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2A11AFD7">
            <w:pPr>
              <w:jc w:val="center"/>
              <w:rPr>
                <w:rFonts w:hint="eastAsia" w:ascii="宋体" w:hAnsi="宋体" w:eastAsia="宋体" w:cs="宋体"/>
                <w:szCs w:val="21"/>
              </w:rPr>
            </w:pPr>
            <w:r>
              <w:rPr>
                <w:rFonts w:hint="eastAsia" w:ascii="宋体" w:hAnsi="宋体" w:eastAsia="宋体" w:cs="宋体"/>
                <w:szCs w:val="21"/>
              </w:rPr>
              <w:t>第三章 继承优良传统 弘扬中国精神</w:t>
            </w:r>
          </w:p>
        </w:tc>
        <w:tc>
          <w:tcPr>
            <w:tcW w:w="2577" w:type="dxa"/>
            <w:shd w:val="clear" w:color="auto" w:fill="auto"/>
            <w:vAlign w:val="center"/>
          </w:tcPr>
          <w:p w14:paraId="108AF9E5">
            <w:pPr>
              <w:rPr>
                <w:rFonts w:hint="eastAsia" w:ascii="宋体" w:hAnsi="宋体" w:eastAsia="宋体" w:cs="宋体"/>
                <w:szCs w:val="21"/>
              </w:rPr>
            </w:pPr>
            <w:r>
              <w:rPr>
                <w:rFonts w:hint="eastAsia" w:ascii="宋体" w:hAnsi="宋体" w:eastAsia="宋体" w:cs="宋体"/>
                <w:szCs w:val="21"/>
              </w:rPr>
              <w:t>（1）中国精神是兴国强国之魂；</w:t>
            </w:r>
          </w:p>
          <w:p w14:paraId="0CBCF9BD">
            <w:pPr>
              <w:rPr>
                <w:rFonts w:hint="eastAsia" w:ascii="宋体" w:hAnsi="宋体" w:eastAsia="宋体" w:cs="宋体"/>
                <w:szCs w:val="21"/>
              </w:rPr>
            </w:pPr>
            <w:r>
              <w:rPr>
                <w:rFonts w:hint="eastAsia" w:ascii="宋体" w:hAnsi="宋体" w:eastAsia="宋体" w:cs="宋体"/>
                <w:szCs w:val="21"/>
              </w:rPr>
              <w:t>（2）做新时代的忠诚爱国者</w:t>
            </w:r>
          </w:p>
          <w:p w14:paraId="56EB7399">
            <w:pPr>
              <w:rPr>
                <w:rFonts w:hint="eastAsia" w:ascii="宋体" w:hAnsi="宋体" w:eastAsia="宋体" w:cs="宋体"/>
                <w:color w:val="000000"/>
                <w:szCs w:val="21"/>
              </w:rPr>
            </w:pPr>
            <w:r>
              <w:rPr>
                <w:rFonts w:hint="eastAsia" w:ascii="宋体" w:hAnsi="宋体" w:eastAsia="宋体" w:cs="宋体"/>
                <w:szCs w:val="21"/>
              </w:rPr>
              <w:t>（3）让改革创新成为青春远航的动力</w:t>
            </w:r>
          </w:p>
        </w:tc>
        <w:tc>
          <w:tcPr>
            <w:tcW w:w="1082" w:type="dxa"/>
            <w:shd w:val="clear" w:color="auto" w:fill="auto"/>
            <w:vAlign w:val="center"/>
          </w:tcPr>
          <w:p w14:paraId="5F399B98">
            <w:pPr>
              <w:jc w:val="center"/>
              <w:rPr>
                <w:rFonts w:hint="eastAsia" w:ascii="宋体" w:hAnsi="宋体" w:eastAsia="宋体" w:cs="宋体"/>
                <w:szCs w:val="21"/>
              </w:rPr>
            </w:pPr>
            <w:r>
              <w:rPr>
                <w:rFonts w:hint="eastAsia" w:ascii="宋体" w:hAnsi="宋体" w:eastAsia="宋体" w:cs="宋体"/>
                <w:szCs w:val="21"/>
              </w:rPr>
              <w:t>目标1</w:t>
            </w:r>
          </w:p>
        </w:tc>
        <w:tc>
          <w:tcPr>
            <w:tcW w:w="3586" w:type="dxa"/>
            <w:shd w:val="clear" w:color="auto" w:fill="auto"/>
            <w:vAlign w:val="center"/>
          </w:tcPr>
          <w:p w14:paraId="1A950EB9">
            <w:pPr>
              <w:autoSpaceDE w:val="0"/>
              <w:autoSpaceDN w:val="0"/>
              <w:adjustRightInd w:val="0"/>
              <w:rPr>
                <w:rFonts w:hint="eastAsia" w:ascii="宋体" w:hAnsi="宋体" w:eastAsia="宋体" w:cs="宋体"/>
                <w:szCs w:val="21"/>
              </w:rPr>
            </w:pPr>
            <w:r>
              <w:rPr>
                <w:rFonts w:hint="eastAsia" w:ascii="宋体" w:hAnsi="宋体" w:eastAsia="宋体" w:cs="宋体"/>
                <w:szCs w:val="21"/>
              </w:rPr>
              <w:t>了解中国精神的科学内涵，实现中国梦必须弘扬中国精神；理解爱国主义的科学内涵和民族精神的优良传统，创新创造是中华民族的民族禀赋；掌握做忠诚的爱国者及改革创新实践者的途径</w:t>
            </w:r>
          </w:p>
        </w:tc>
        <w:tc>
          <w:tcPr>
            <w:tcW w:w="1571" w:type="dxa"/>
            <w:shd w:val="clear" w:color="auto" w:fill="auto"/>
            <w:vAlign w:val="center"/>
          </w:tcPr>
          <w:p w14:paraId="3CB6226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A5C07E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47E482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6E54369E">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245EA3FF">
            <w:pPr>
              <w:jc w:val="center"/>
              <w:rPr>
                <w:rFonts w:hint="eastAsia" w:ascii="宋体" w:hAnsi="宋体" w:eastAsia="宋体" w:cs="宋体"/>
                <w:szCs w:val="21"/>
              </w:rPr>
            </w:pPr>
            <w:r>
              <w:rPr>
                <w:rFonts w:hint="eastAsia" w:ascii="宋体" w:hAnsi="宋体" w:eastAsia="宋体" w:cs="宋体"/>
                <w:szCs w:val="21"/>
              </w:rPr>
              <w:t>6</w:t>
            </w:r>
          </w:p>
        </w:tc>
      </w:tr>
      <w:tr w14:paraId="0925C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146F4495">
            <w:pPr>
              <w:jc w:val="center"/>
              <w:rPr>
                <w:rFonts w:hint="eastAsia" w:ascii="宋体" w:hAnsi="宋体" w:eastAsia="宋体" w:cs="宋体"/>
                <w:szCs w:val="21"/>
              </w:rPr>
            </w:pPr>
            <w:r>
              <w:rPr>
                <w:rFonts w:hint="eastAsia" w:ascii="宋体" w:hAnsi="宋体" w:eastAsia="宋体" w:cs="宋体"/>
                <w:szCs w:val="21"/>
              </w:rPr>
              <w:t>第四章 明确价值要求 践行价值准则</w:t>
            </w:r>
          </w:p>
        </w:tc>
        <w:tc>
          <w:tcPr>
            <w:tcW w:w="2577" w:type="dxa"/>
            <w:shd w:val="clear" w:color="auto" w:fill="auto"/>
            <w:vAlign w:val="center"/>
          </w:tcPr>
          <w:p w14:paraId="3BBF922B">
            <w:pPr>
              <w:adjustRightInd w:val="0"/>
              <w:snapToGrid w:val="0"/>
              <w:rPr>
                <w:rFonts w:hint="eastAsia" w:ascii="宋体" w:hAnsi="宋体" w:eastAsia="宋体" w:cs="宋体"/>
                <w:szCs w:val="21"/>
              </w:rPr>
            </w:pPr>
            <w:r>
              <w:rPr>
                <w:rFonts w:hint="eastAsia" w:ascii="宋体" w:hAnsi="宋体" w:eastAsia="宋体" w:cs="宋体"/>
                <w:szCs w:val="21"/>
              </w:rPr>
              <w:t>（1）全体人民共同的价值追求</w:t>
            </w:r>
          </w:p>
          <w:p w14:paraId="35A5D0B4">
            <w:pPr>
              <w:adjustRightInd w:val="0"/>
              <w:snapToGrid w:val="0"/>
              <w:rPr>
                <w:rFonts w:hint="eastAsia" w:ascii="宋体" w:hAnsi="宋体" w:eastAsia="宋体" w:cs="宋体"/>
                <w:szCs w:val="21"/>
              </w:rPr>
            </w:pPr>
            <w:r>
              <w:rPr>
                <w:rFonts w:hint="eastAsia" w:ascii="宋体" w:hAnsi="宋体" w:eastAsia="宋体" w:cs="宋体"/>
                <w:szCs w:val="21"/>
              </w:rPr>
              <w:t>（2)社会主义核心价值观的显著特征</w:t>
            </w:r>
          </w:p>
          <w:p w14:paraId="48539A0D">
            <w:pPr>
              <w:adjustRightInd w:val="0"/>
              <w:snapToGrid w:val="0"/>
              <w:rPr>
                <w:rFonts w:hint="eastAsia" w:ascii="宋体" w:hAnsi="宋体" w:eastAsia="宋体" w:cs="宋体"/>
                <w:szCs w:val="21"/>
              </w:rPr>
            </w:pPr>
            <w:r>
              <w:rPr>
                <w:rFonts w:hint="eastAsia" w:ascii="宋体" w:hAnsi="宋体" w:eastAsia="宋体" w:cs="宋体"/>
                <w:szCs w:val="21"/>
              </w:rPr>
              <w:t>(3)积极践行社会主义核心价值观</w:t>
            </w:r>
          </w:p>
          <w:p w14:paraId="5DC1349A">
            <w:pPr>
              <w:adjustRightInd w:val="0"/>
              <w:snapToGrid w:val="0"/>
              <w:rPr>
                <w:rFonts w:hint="eastAsia" w:ascii="宋体" w:hAnsi="宋体" w:eastAsia="宋体" w:cs="宋体"/>
                <w:szCs w:val="21"/>
              </w:rPr>
            </w:pPr>
          </w:p>
        </w:tc>
        <w:tc>
          <w:tcPr>
            <w:tcW w:w="1082" w:type="dxa"/>
            <w:shd w:val="clear" w:color="auto" w:fill="auto"/>
            <w:vAlign w:val="center"/>
          </w:tcPr>
          <w:p w14:paraId="5DDE54C7">
            <w:pPr>
              <w:jc w:val="center"/>
              <w:rPr>
                <w:rFonts w:hint="eastAsia" w:ascii="宋体" w:hAnsi="宋体" w:eastAsia="宋体" w:cs="宋体"/>
                <w:szCs w:val="21"/>
              </w:rPr>
            </w:pPr>
            <w:r>
              <w:rPr>
                <w:rFonts w:hint="eastAsia" w:ascii="宋体" w:hAnsi="宋体" w:eastAsia="宋体" w:cs="宋体"/>
                <w:szCs w:val="21"/>
              </w:rPr>
              <w:t>目标1</w:t>
            </w:r>
          </w:p>
          <w:p w14:paraId="0CD5DB52">
            <w:pPr>
              <w:jc w:val="center"/>
              <w:rPr>
                <w:rFonts w:hint="eastAsia" w:ascii="宋体" w:hAnsi="宋体" w:eastAsia="宋体" w:cs="宋体"/>
                <w:szCs w:val="21"/>
              </w:rPr>
            </w:pPr>
            <w:r>
              <w:rPr>
                <w:rFonts w:hint="eastAsia" w:ascii="宋体" w:hAnsi="宋体" w:eastAsia="宋体" w:cs="宋体"/>
                <w:szCs w:val="21"/>
              </w:rPr>
              <w:t>目标2</w:t>
            </w:r>
          </w:p>
        </w:tc>
        <w:tc>
          <w:tcPr>
            <w:tcW w:w="3586" w:type="dxa"/>
            <w:shd w:val="clear" w:color="auto" w:fill="auto"/>
            <w:vAlign w:val="center"/>
          </w:tcPr>
          <w:p w14:paraId="7E611EAE">
            <w:pPr>
              <w:rPr>
                <w:rFonts w:hint="eastAsia" w:ascii="宋体" w:hAnsi="宋体" w:eastAsia="宋体" w:cs="宋体"/>
                <w:szCs w:val="21"/>
              </w:rPr>
            </w:pPr>
            <w:r>
              <w:rPr>
                <w:rFonts w:hint="eastAsia" w:ascii="宋体" w:hAnsi="宋体" w:eastAsia="宋体" w:cs="宋体"/>
                <w:szCs w:val="21"/>
              </w:rPr>
              <w:t>了解社会主义核心价值观的基本内容；理解社会主义核心价值观的历史底蕴、现实基础、道义力量；掌握积极努力做社会主义核心价值观的践行者，扣好人生的第一个扣子</w:t>
            </w:r>
          </w:p>
          <w:p w14:paraId="5D7F8D8A">
            <w:pPr>
              <w:rPr>
                <w:rFonts w:hint="eastAsia" w:ascii="宋体" w:hAnsi="宋体" w:eastAsia="宋体" w:cs="宋体"/>
                <w:szCs w:val="21"/>
              </w:rPr>
            </w:pPr>
          </w:p>
        </w:tc>
        <w:tc>
          <w:tcPr>
            <w:tcW w:w="1571" w:type="dxa"/>
            <w:shd w:val="clear" w:color="auto" w:fill="auto"/>
            <w:vAlign w:val="center"/>
          </w:tcPr>
          <w:p w14:paraId="799C305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7BDAC78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28949F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78991E13">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55CFDD97">
            <w:pPr>
              <w:jc w:val="center"/>
              <w:rPr>
                <w:rFonts w:hint="eastAsia" w:ascii="宋体" w:hAnsi="宋体" w:eastAsia="宋体" w:cs="宋体"/>
                <w:szCs w:val="21"/>
              </w:rPr>
            </w:pPr>
            <w:r>
              <w:rPr>
                <w:rFonts w:hint="eastAsia" w:ascii="宋体" w:hAnsi="宋体" w:eastAsia="宋体" w:cs="宋体"/>
                <w:szCs w:val="21"/>
              </w:rPr>
              <w:t>6</w:t>
            </w:r>
          </w:p>
        </w:tc>
      </w:tr>
      <w:tr w14:paraId="34929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397" w:type="dxa"/>
            <w:shd w:val="clear" w:color="auto" w:fill="auto"/>
            <w:vAlign w:val="center"/>
          </w:tcPr>
          <w:p w14:paraId="7BF84BD6">
            <w:pPr>
              <w:jc w:val="center"/>
              <w:rPr>
                <w:rFonts w:hint="eastAsia" w:ascii="宋体" w:hAnsi="宋体" w:eastAsia="宋体" w:cs="宋体"/>
                <w:szCs w:val="21"/>
              </w:rPr>
            </w:pPr>
            <w:r>
              <w:rPr>
                <w:rFonts w:hint="eastAsia" w:ascii="宋体" w:hAnsi="宋体" w:eastAsia="宋体" w:cs="宋体"/>
                <w:szCs w:val="21"/>
              </w:rPr>
              <w:t>第五章 遵守道德规范 锤炼道德品格</w:t>
            </w:r>
          </w:p>
        </w:tc>
        <w:tc>
          <w:tcPr>
            <w:tcW w:w="2577" w:type="dxa"/>
            <w:shd w:val="clear" w:color="auto" w:fill="auto"/>
            <w:vAlign w:val="center"/>
          </w:tcPr>
          <w:p w14:paraId="43F17042">
            <w:pPr>
              <w:rPr>
                <w:rFonts w:hint="eastAsia" w:ascii="宋体" w:hAnsi="宋体" w:eastAsia="宋体" w:cs="宋体"/>
                <w:szCs w:val="21"/>
              </w:rPr>
            </w:pPr>
            <w:r>
              <w:rPr>
                <w:rFonts w:hint="eastAsia" w:ascii="宋体" w:hAnsi="宋体" w:eastAsia="宋体" w:cs="宋体"/>
                <w:szCs w:val="21"/>
              </w:rPr>
              <w:t>(1)社会主义道德的核心与原则</w:t>
            </w:r>
          </w:p>
          <w:p w14:paraId="7FE5B59F">
            <w:pPr>
              <w:rPr>
                <w:rFonts w:hint="eastAsia" w:ascii="宋体" w:hAnsi="宋体" w:eastAsia="宋体" w:cs="宋体"/>
                <w:szCs w:val="21"/>
              </w:rPr>
            </w:pPr>
            <w:r>
              <w:rPr>
                <w:rFonts w:hint="eastAsia" w:ascii="宋体" w:hAnsi="宋体" w:eastAsia="宋体" w:cs="宋体"/>
                <w:szCs w:val="21"/>
              </w:rPr>
              <w:t>(2)吸收借鉴优秀道德成果</w:t>
            </w:r>
          </w:p>
          <w:p w14:paraId="20E1D07D">
            <w:pPr>
              <w:rPr>
                <w:rFonts w:hint="eastAsia" w:ascii="宋体" w:hAnsi="宋体" w:eastAsia="宋体" w:cs="宋体"/>
                <w:szCs w:val="21"/>
              </w:rPr>
            </w:pPr>
            <w:r>
              <w:rPr>
                <w:rFonts w:hint="eastAsia" w:ascii="宋体" w:hAnsi="宋体" w:eastAsia="宋体" w:cs="宋体"/>
                <w:szCs w:val="21"/>
              </w:rPr>
              <w:t>(3)投身崇德向善的道德实践</w:t>
            </w:r>
          </w:p>
          <w:p w14:paraId="75ADC2EA">
            <w:pPr>
              <w:rPr>
                <w:rFonts w:hint="eastAsia" w:ascii="宋体" w:hAnsi="宋体" w:eastAsia="宋体" w:cs="宋体"/>
                <w:szCs w:val="21"/>
              </w:rPr>
            </w:pPr>
          </w:p>
        </w:tc>
        <w:tc>
          <w:tcPr>
            <w:tcW w:w="1082" w:type="dxa"/>
            <w:shd w:val="clear" w:color="auto" w:fill="auto"/>
            <w:vAlign w:val="center"/>
          </w:tcPr>
          <w:p w14:paraId="0E2E701A">
            <w:pPr>
              <w:jc w:val="center"/>
              <w:rPr>
                <w:rFonts w:hint="eastAsia" w:ascii="宋体" w:hAnsi="宋体" w:eastAsia="宋体" w:cs="宋体"/>
                <w:szCs w:val="21"/>
              </w:rPr>
            </w:pPr>
            <w:r>
              <w:rPr>
                <w:rFonts w:hint="eastAsia" w:ascii="宋体" w:hAnsi="宋体" w:eastAsia="宋体" w:cs="宋体"/>
                <w:szCs w:val="21"/>
              </w:rPr>
              <w:t>目标1</w:t>
            </w:r>
          </w:p>
          <w:p w14:paraId="514B385F">
            <w:pPr>
              <w:jc w:val="center"/>
              <w:rPr>
                <w:rFonts w:hint="eastAsia" w:ascii="宋体" w:hAnsi="宋体" w:eastAsia="宋体" w:cs="宋体"/>
                <w:kern w:val="0"/>
                <w:szCs w:val="21"/>
              </w:rPr>
            </w:pPr>
            <w:r>
              <w:rPr>
                <w:rFonts w:hint="eastAsia" w:ascii="宋体" w:hAnsi="宋体" w:eastAsia="宋体" w:cs="宋体"/>
                <w:szCs w:val="21"/>
              </w:rPr>
              <w:t>目标3</w:t>
            </w:r>
          </w:p>
        </w:tc>
        <w:tc>
          <w:tcPr>
            <w:tcW w:w="3586" w:type="dxa"/>
            <w:shd w:val="clear" w:color="auto" w:fill="auto"/>
            <w:vAlign w:val="center"/>
          </w:tcPr>
          <w:p w14:paraId="2887F9E5">
            <w:pPr>
              <w:rPr>
                <w:rFonts w:hint="eastAsia" w:ascii="宋体" w:hAnsi="宋体" w:eastAsia="宋体" w:cs="宋体"/>
                <w:kern w:val="0"/>
                <w:szCs w:val="21"/>
              </w:rPr>
            </w:pPr>
            <w:r>
              <w:rPr>
                <w:rFonts w:hint="eastAsia" w:ascii="宋体" w:hAnsi="宋体" w:eastAsia="宋体" w:cs="宋体"/>
                <w:kern w:val="0"/>
                <w:szCs w:val="21"/>
              </w:rPr>
              <w:t>了解道德的历史演变、功能、作用和中华民族优良道德传统、革命道德；理解公共生活、职业生活、婚姻家庭生活中的道德与法律的内容；正确的择业观、职业观、恋爱观、婚姻观及公德意识的养成；掌握学习和掌握社会生活领域的道德规范和法律规范，自觉加强道德修养和法律修养，锤炼高尚品格</w:t>
            </w:r>
          </w:p>
        </w:tc>
        <w:tc>
          <w:tcPr>
            <w:tcW w:w="1571" w:type="dxa"/>
            <w:shd w:val="clear" w:color="auto" w:fill="auto"/>
            <w:vAlign w:val="center"/>
          </w:tcPr>
          <w:p w14:paraId="1A2C94D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73D9F8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05B043F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236FEB5D">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67F6E8EE">
            <w:pPr>
              <w:jc w:val="center"/>
              <w:rPr>
                <w:rFonts w:hint="eastAsia" w:ascii="宋体" w:hAnsi="宋体" w:eastAsia="宋体" w:cs="宋体"/>
                <w:szCs w:val="21"/>
              </w:rPr>
            </w:pPr>
            <w:r>
              <w:rPr>
                <w:rFonts w:hint="eastAsia" w:ascii="宋体" w:hAnsi="宋体" w:eastAsia="宋体" w:cs="宋体"/>
                <w:szCs w:val="21"/>
              </w:rPr>
              <w:t>8</w:t>
            </w:r>
          </w:p>
        </w:tc>
      </w:tr>
      <w:tr w14:paraId="69415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6E89F6C6">
            <w:pPr>
              <w:jc w:val="center"/>
              <w:rPr>
                <w:rFonts w:hint="eastAsia" w:ascii="宋体" w:hAnsi="宋体" w:eastAsia="宋体" w:cs="宋体"/>
                <w:szCs w:val="21"/>
              </w:rPr>
            </w:pPr>
            <w:r>
              <w:rPr>
                <w:rFonts w:hint="eastAsia" w:ascii="宋体" w:hAnsi="宋体" w:eastAsia="宋体" w:cs="宋体"/>
                <w:szCs w:val="21"/>
              </w:rPr>
              <w:t>第六章 学习法治思想 提升法治素养</w:t>
            </w:r>
          </w:p>
        </w:tc>
        <w:tc>
          <w:tcPr>
            <w:tcW w:w="2577" w:type="dxa"/>
            <w:shd w:val="clear" w:color="auto" w:fill="auto"/>
            <w:vAlign w:val="center"/>
          </w:tcPr>
          <w:p w14:paraId="093557EE">
            <w:pPr>
              <w:rPr>
                <w:rFonts w:hint="eastAsia" w:ascii="宋体" w:hAnsi="宋体" w:eastAsia="宋体" w:cs="宋体"/>
                <w:szCs w:val="21"/>
              </w:rPr>
            </w:pPr>
            <w:r>
              <w:rPr>
                <w:rFonts w:hint="eastAsia" w:ascii="宋体" w:hAnsi="宋体" w:eastAsia="宋体" w:cs="宋体"/>
                <w:szCs w:val="21"/>
              </w:rPr>
              <w:t>（1）社会主义法律的特征和运行</w:t>
            </w:r>
          </w:p>
          <w:p w14:paraId="04CE66B0">
            <w:pPr>
              <w:rPr>
                <w:rFonts w:hint="eastAsia" w:ascii="宋体" w:hAnsi="宋体" w:eastAsia="宋体" w:cs="宋体"/>
                <w:szCs w:val="21"/>
              </w:rPr>
            </w:pPr>
            <w:r>
              <w:rPr>
                <w:rFonts w:hint="eastAsia" w:ascii="宋体" w:hAnsi="宋体" w:eastAsia="宋体" w:cs="宋体"/>
                <w:szCs w:val="21"/>
              </w:rPr>
              <w:t>（2）坚持全面依法治国；</w:t>
            </w:r>
          </w:p>
          <w:p w14:paraId="0CE1385E">
            <w:pPr>
              <w:rPr>
                <w:rFonts w:hint="eastAsia" w:ascii="宋体" w:hAnsi="宋体" w:eastAsia="宋体" w:cs="宋体"/>
                <w:szCs w:val="21"/>
              </w:rPr>
            </w:pPr>
            <w:r>
              <w:rPr>
                <w:rFonts w:hint="eastAsia" w:ascii="宋体" w:hAnsi="宋体" w:eastAsia="宋体" w:cs="宋体"/>
                <w:szCs w:val="21"/>
              </w:rPr>
              <w:t>（3）维护宪法权威</w:t>
            </w:r>
          </w:p>
          <w:p w14:paraId="46A8B9F2">
            <w:pPr>
              <w:rPr>
                <w:rFonts w:hint="eastAsia" w:ascii="宋体" w:hAnsi="宋体" w:eastAsia="宋体" w:cs="宋体"/>
                <w:szCs w:val="21"/>
              </w:rPr>
            </w:pPr>
            <w:r>
              <w:rPr>
                <w:rFonts w:hint="eastAsia" w:ascii="宋体" w:hAnsi="宋体" w:eastAsia="宋体" w:cs="宋体"/>
                <w:szCs w:val="21"/>
              </w:rPr>
              <w:t>（4）自觉尊法学法守法用法</w:t>
            </w:r>
          </w:p>
          <w:p w14:paraId="1F82139B">
            <w:pPr>
              <w:rPr>
                <w:rFonts w:hint="eastAsia" w:ascii="宋体" w:hAnsi="宋体" w:eastAsia="宋体" w:cs="宋体"/>
                <w:szCs w:val="21"/>
              </w:rPr>
            </w:pPr>
          </w:p>
        </w:tc>
        <w:tc>
          <w:tcPr>
            <w:tcW w:w="1082" w:type="dxa"/>
            <w:shd w:val="clear" w:color="auto" w:fill="auto"/>
            <w:vAlign w:val="center"/>
          </w:tcPr>
          <w:p w14:paraId="0F63ED58">
            <w:pPr>
              <w:jc w:val="center"/>
              <w:rPr>
                <w:rFonts w:hint="eastAsia" w:ascii="宋体" w:hAnsi="宋体" w:eastAsia="宋体" w:cs="宋体"/>
                <w:szCs w:val="21"/>
              </w:rPr>
            </w:pPr>
            <w:r>
              <w:rPr>
                <w:rFonts w:hint="eastAsia" w:ascii="宋体" w:hAnsi="宋体" w:eastAsia="宋体" w:cs="宋体"/>
                <w:szCs w:val="21"/>
              </w:rPr>
              <w:t>目标1</w:t>
            </w:r>
          </w:p>
          <w:p w14:paraId="74E726AF">
            <w:pPr>
              <w:jc w:val="center"/>
              <w:rPr>
                <w:rFonts w:hint="eastAsia" w:ascii="宋体" w:hAnsi="宋体" w:eastAsia="宋体" w:cs="宋体"/>
                <w:szCs w:val="21"/>
              </w:rPr>
            </w:pPr>
            <w:r>
              <w:rPr>
                <w:rFonts w:hint="eastAsia" w:ascii="宋体" w:hAnsi="宋体" w:eastAsia="宋体" w:cs="宋体"/>
                <w:szCs w:val="21"/>
              </w:rPr>
              <w:t>目标2</w:t>
            </w:r>
          </w:p>
          <w:p w14:paraId="5572C899">
            <w:pPr>
              <w:jc w:val="center"/>
              <w:rPr>
                <w:rFonts w:hint="eastAsia" w:ascii="宋体" w:hAnsi="宋体" w:eastAsia="宋体" w:cs="宋体"/>
                <w:kern w:val="0"/>
                <w:szCs w:val="21"/>
              </w:rPr>
            </w:pPr>
          </w:p>
        </w:tc>
        <w:tc>
          <w:tcPr>
            <w:tcW w:w="3586" w:type="dxa"/>
            <w:shd w:val="clear" w:color="auto" w:fill="auto"/>
            <w:vAlign w:val="center"/>
          </w:tcPr>
          <w:p w14:paraId="60979D98">
            <w:pPr>
              <w:rPr>
                <w:rFonts w:hint="eastAsia" w:ascii="宋体" w:hAnsi="宋体" w:eastAsia="宋体" w:cs="宋体"/>
                <w:kern w:val="0"/>
                <w:szCs w:val="21"/>
              </w:rPr>
            </w:pPr>
            <w:r>
              <w:rPr>
                <w:rFonts w:hint="eastAsia" w:ascii="宋体" w:hAnsi="宋体" w:eastAsia="宋体" w:cs="宋体"/>
                <w:kern w:val="0"/>
                <w:szCs w:val="21"/>
              </w:rPr>
              <w:t>了解法律的概念与历史发展，宪法规定的基本制度、实体法律部门和程序法律部门，社会主义法治思维方式与法律的至上地位，法律权利与义务以及二者的关系；理解社会主义法治观念的主要内容、社主义法治思维方式的基本含义和特征，我国宪法法律规定的权利和义务；掌握中国特色社会主义法治体系，不断增强维护法律尊严的自觉性和责任感；树立法治理念，培养法治思维，维护法律权威，成为具有良好的法律素质的社会主义建设者和接班人，如何依法行使权利和履行义务</w:t>
            </w:r>
          </w:p>
        </w:tc>
        <w:tc>
          <w:tcPr>
            <w:tcW w:w="1571" w:type="dxa"/>
            <w:shd w:val="clear" w:color="auto" w:fill="auto"/>
            <w:vAlign w:val="center"/>
          </w:tcPr>
          <w:p w14:paraId="4C1048E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6E212B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7D8D3B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18623599">
            <w:pPr>
              <w:rPr>
                <w:rFonts w:hint="eastAsia" w:ascii="宋体" w:hAnsi="宋体" w:eastAsia="宋体" w:cs="宋体"/>
                <w:szCs w:val="21"/>
              </w:rPr>
            </w:pPr>
            <w:r>
              <w:rPr>
                <w:rFonts w:hint="eastAsia" w:ascii="宋体" w:hAnsi="宋体" w:eastAsia="宋体" w:cs="Times New Roman"/>
                <w:color w:val="000000"/>
                <w:szCs w:val="21"/>
              </w:rPr>
              <w:t>4.单元测验</w:t>
            </w:r>
          </w:p>
        </w:tc>
        <w:tc>
          <w:tcPr>
            <w:tcW w:w="708" w:type="dxa"/>
            <w:shd w:val="clear" w:color="auto" w:fill="auto"/>
            <w:vAlign w:val="center"/>
          </w:tcPr>
          <w:p w14:paraId="64D7DBAA">
            <w:pPr>
              <w:jc w:val="center"/>
              <w:rPr>
                <w:rFonts w:hint="eastAsia" w:ascii="宋体" w:hAnsi="宋体" w:eastAsia="宋体" w:cs="宋体"/>
                <w:szCs w:val="21"/>
              </w:rPr>
            </w:pPr>
            <w:r>
              <w:rPr>
                <w:rFonts w:hint="eastAsia" w:ascii="宋体" w:hAnsi="宋体" w:eastAsia="宋体" w:cs="宋体"/>
                <w:szCs w:val="21"/>
              </w:rPr>
              <w:t>8</w:t>
            </w:r>
          </w:p>
        </w:tc>
      </w:tr>
      <w:tr w14:paraId="549D0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97" w:type="dxa"/>
            <w:shd w:val="clear" w:color="auto" w:fill="auto"/>
            <w:vAlign w:val="center"/>
          </w:tcPr>
          <w:p w14:paraId="7EFD118A">
            <w:pPr>
              <w:jc w:val="center"/>
              <w:rPr>
                <w:rFonts w:hint="eastAsia" w:ascii="宋体" w:hAnsi="宋体" w:eastAsia="宋体" w:cs="宋体"/>
                <w:szCs w:val="21"/>
              </w:rPr>
            </w:pPr>
            <w:r>
              <w:rPr>
                <w:rFonts w:hint="eastAsia" w:ascii="宋体" w:hAnsi="宋体" w:eastAsia="宋体" w:cs="宋体"/>
                <w:bCs/>
                <w:szCs w:val="21"/>
              </w:rPr>
              <w:t>思想政治理论课实践</w:t>
            </w:r>
          </w:p>
        </w:tc>
        <w:tc>
          <w:tcPr>
            <w:tcW w:w="8816" w:type="dxa"/>
            <w:gridSpan w:val="4"/>
            <w:shd w:val="clear" w:color="auto" w:fill="auto"/>
            <w:vAlign w:val="center"/>
          </w:tcPr>
          <w:p w14:paraId="34BF9415">
            <w:pPr>
              <w:rPr>
                <w:rFonts w:hint="eastAsia" w:ascii="宋体" w:hAnsi="宋体" w:eastAsia="宋体" w:cs="宋体"/>
                <w:szCs w:val="21"/>
              </w:rPr>
            </w:pPr>
            <w:r>
              <w:rPr>
                <w:rFonts w:hint="eastAsia" w:ascii="宋体" w:hAnsi="宋体" w:eastAsia="宋体" w:cs="宋体"/>
                <w:bCs/>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708" w:type="dxa"/>
            <w:shd w:val="clear" w:color="auto" w:fill="auto"/>
            <w:vAlign w:val="center"/>
          </w:tcPr>
          <w:p w14:paraId="40A69D68">
            <w:pPr>
              <w:jc w:val="center"/>
              <w:rPr>
                <w:rFonts w:hint="eastAsia" w:ascii="宋体" w:hAnsi="宋体" w:eastAsia="宋体" w:cs="宋体"/>
                <w:szCs w:val="21"/>
              </w:rPr>
            </w:pPr>
            <w:r>
              <w:rPr>
                <w:rFonts w:hint="eastAsia" w:ascii="宋体" w:hAnsi="宋体" w:eastAsia="宋体" w:cs="宋体"/>
                <w:szCs w:val="21"/>
              </w:rPr>
              <w:t>6</w:t>
            </w:r>
          </w:p>
        </w:tc>
      </w:tr>
    </w:tbl>
    <w:p w14:paraId="3F18BB32">
      <w:pPr>
        <w:snapToGrid w:val="0"/>
        <w:spacing w:line="360" w:lineRule="auto"/>
        <w:ind w:firstLine="281" w:firstLineChars="100"/>
        <w:rPr>
          <w:rFonts w:hint="eastAsia" w:ascii="宋体" w:hAnsi="宋体" w:eastAsia="宋体"/>
          <w:b/>
          <w:bCs/>
          <w:color w:val="000000"/>
          <w:sz w:val="28"/>
          <w:szCs w:val="28"/>
        </w:rPr>
      </w:pPr>
    </w:p>
    <w:p w14:paraId="7917538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37E4AE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AFE608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7BD8D1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2010"/>
        <w:gridCol w:w="1553"/>
        <w:gridCol w:w="1335"/>
        <w:gridCol w:w="1494"/>
        <w:gridCol w:w="815"/>
      </w:tblGrid>
      <w:tr w14:paraId="7D3F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14:paraId="22F304A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392" w:type="dxa"/>
            <w:gridSpan w:val="4"/>
            <w:vAlign w:val="center"/>
          </w:tcPr>
          <w:p w14:paraId="5810A8F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815" w:type="dxa"/>
            <w:vMerge w:val="restart"/>
            <w:vAlign w:val="center"/>
          </w:tcPr>
          <w:p w14:paraId="78C4A60A">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153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783803E9">
            <w:pPr>
              <w:spacing w:line="360" w:lineRule="auto"/>
              <w:jc w:val="center"/>
              <w:rPr>
                <w:rFonts w:hint="eastAsia" w:ascii="宋体" w:hAnsi="宋体" w:eastAsia="宋体" w:cs="Times New Roman"/>
                <w:szCs w:val="21"/>
              </w:rPr>
            </w:pPr>
          </w:p>
        </w:tc>
        <w:tc>
          <w:tcPr>
            <w:tcW w:w="2010" w:type="dxa"/>
            <w:vAlign w:val="center"/>
          </w:tcPr>
          <w:p w14:paraId="539356A0">
            <w:pPr>
              <w:spacing w:line="360" w:lineRule="auto"/>
              <w:jc w:val="center"/>
              <w:rPr>
                <w:rFonts w:hint="eastAsia" w:ascii="宋体" w:hAnsi="宋体" w:eastAsia="宋体" w:cs="Times New Roman"/>
                <w:szCs w:val="21"/>
              </w:rPr>
            </w:pPr>
            <w:r>
              <w:rPr>
                <w:rFonts w:hint="eastAsia" w:ascii="宋体" w:hAnsi="宋体" w:eastAsia="宋体" w:cs="Times New Roman"/>
                <w:szCs w:val="21"/>
              </w:rPr>
              <w:t>网络课堂学习</w:t>
            </w:r>
          </w:p>
        </w:tc>
        <w:tc>
          <w:tcPr>
            <w:tcW w:w="1553" w:type="dxa"/>
            <w:vAlign w:val="center"/>
          </w:tcPr>
          <w:p w14:paraId="16E36076">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平时表现</w:t>
            </w:r>
          </w:p>
        </w:tc>
        <w:tc>
          <w:tcPr>
            <w:tcW w:w="1335" w:type="dxa"/>
            <w:vAlign w:val="center"/>
          </w:tcPr>
          <w:p w14:paraId="4F943B8F">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p>
        </w:tc>
        <w:tc>
          <w:tcPr>
            <w:tcW w:w="1494" w:type="dxa"/>
            <w:vAlign w:val="center"/>
          </w:tcPr>
          <w:p w14:paraId="78CD0EE8">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815" w:type="dxa"/>
            <w:vMerge w:val="continue"/>
            <w:vAlign w:val="center"/>
          </w:tcPr>
          <w:p w14:paraId="6818E91E">
            <w:pPr>
              <w:spacing w:line="360" w:lineRule="auto"/>
              <w:jc w:val="center"/>
              <w:rPr>
                <w:rFonts w:hint="eastAsia" w:ascii="宋体" w:hAnsi="宋体" w:eastAsia="宋体" w:cs="Times New Roman"/>
                <w:szCs w:val="21"/>
              </w:rPr>
            </w:pPr>
          </w:p>
        </w:tc>
      </w:tr>
      <w:tr w14:paraId="0946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3AF1184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010" w:type="dxa"/>
            <w:vAlign w:val="center"/>
          </w:tcPr>
          <w:p w14:paraId="2081E01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3" w:type="dxa"/>
            <w:vAlign w:val="center"/>
          </w:tcPr>
          <w:p w14:paraId="65009CE5">
            <w:pPr>
              <w:spacing w:line="360" w:lineRule="auto"/>
              <w:jc w:val="center"/>
              <w:rPr>
                <w:rFonts w:hint="eastAsia" w:ascii="宋体" w:hAnsi="宋体" w:eastAsia="宋体" w:cs="Times New Roman"/>
                <w:szCs w:val="21"/>
              </w:rPr>
            </w:pPr>
          </w:p>
        </w:tc>
        <w:tc>
          <w:tcPr>
            <w:tcW w:w="1335" w:type="dxa"/>
            <w:vAlign w:val="center"/>
          </w:tcPr>
          <w:p w14:paraId="0D3EA90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27E397B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03F97A7D">
            <w:pPr>
              <w:spacing w:line="360" w:lineRule="auto"/>
              <w:jc w:val="center"/>
              <w:rPr>
                <w:rFonts w:hint="eastAsia" w:ascii="宋体" w:hAnsi="宋体" w:eastAsia="宋体" w:cs="Times New Roman"/>
                <w:szCs w:val="21"/>
              </w:rPr>
            </w:pPr>
            <w:r>
              <w:rPr>
                <w:rFonts w:hint="eastAsia" w:ascii="宋体" w:hAnsi="宋体" w:eastAsia="宋体" w:cs="Times New Roman"/>
                <w:szCs w:val="21"/>
              </w:rPr>
              <w:t>36</w:t>
            </w:r>
          </w:p>
        </w:tc>
      </w:tr>
      <w:tr w14:paraId="4560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781BEC2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010" w:type="dxa"/>
            <w:vAlign w:val="center"/>
          </w:tcPr>
          <w:p w14:paraId="205F7D64">
            <w:pPr>
              <w:spacing w:line="360" w:lineRule="auto"/>
              <w:jc w:val="center"/>
              <w:rPr>
                <w:rFonts w:hint="eastAsia" w:ascii="宋体" w:hAnsi="宋体" w:eastAsia="宋体" w:cs="Times New Roman"/>
                <w:szCs w:val="21"/>
              </w:rPr>
            </w:pPr>
          </w:p>
        </w:tc>
        <w:tc>
          <w:tcPr>
            <w:tcW w:w="1553" w:type="dxa"/>
            <w:vAlign w:val="center"/>
          </w:tcPr>
          <w:p w14:paraId="354D0BD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22260C3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5A4566F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1B3D00EB">
            <w:pPr>
              <w:spacing w:line="360" w:lineRule="auto"/>
              <w:jc w:val="center"/>
              <w:rPr>
                <w:rFonts w:hint="eastAsia" w:ascii="宋体" w:hAnsi="宋体" w:eastAsia="宋体" w:cs="Times New Roman"/>
                <w:szCs w:val="21"/>
              </w:rPr>
            </w:pPr>
            <w:r>
              <w:rPr>
                <w:rFonts w:hint="eastAsia" w:ascii="宋体" w:hAnsi="宋体" w:eastAsia="宋体" w:cs="Times New Roman"/>
                <w:szCs w:val="21"/>
              </w:rPr>
              <w:t>42</w:t>
            </w:r>
          </w:p>
        </w:tc>
      </w:tr>
      <w:tr w14:paraId="7C0B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6B1300C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010" w:type="dxa"/>
            <w:vAlign w:val="center"/>
          </w:tcPr>
          <w:p w14:paraId="0F29624C">
            <w:pPr>
              <w:spacing w:line="360" w:lineRule="auto"/>
              <w:jc w:val="center"/>
              <w:rPr>
                <w:rFonts w:hint="eastAsia" w:ascii="宋体" w:hAnsi="宋体" w:eastAsia="宋体" w:cs="Times New Roman"/>
                <w:szCs w:val="21"/>
              </w:rPr>
            </w:pPr>
          </w:p>
        </w:tc>
        <w:tc>
          <w:tcPr>
            <w:tcW w:w="1553" w:type="dxa"/>
            <w:vAlign w:val="center"/>
          </w:tcPr>
          <w:p w14:paraId="0ACA23B1">
            <w:pPr>
              <w:spacing w:line="360" w:lineRule="auto"/>
              <w:jc w:val="center"/>
              <w:rPr>
                <w:rFonts w:hint="eastAsia" w:ascii="宋体" w:hAnsi="宋体" w:eastAsia="宋体" w:cs="Times New Roman"/>
                <w:szCs w:val="21"/>
              </w:rPr>
            </w:pPr>
          </w:p>
        </w:tc>
        <w:tc>
          <w:tcPr>
            <w:tcW w:w="1335" w:type="dxa"/>
            <w:vAlign w:val="center"/>
          </w:tcPr>
          <w:p w14:paraId="1C519A0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1E81F9C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23A7E07B">
            <w:pPr>
              <w:spacing w:line="360" w:lineRule="auto"/>
              <w:jc w:val="center"/>
              <w:rPr>
                <w:rFonts w:hint="eastAsia" w:ascii="宋体" w:hAnsi="宋体" w:eastAsia="宋体" w:cs="Times New Roman"/>
                <w:szCs w:val="21"/>
              </w:rPr>
            </w:pPr>
            <w:r>
              <w:rPr>
                <w:rFonts w:hint="eastAsia" w:ascii="宋体" w:hAnsi="宋体" w:eastAsia="宋体" w:cs="Times New Roman"/>
                <w:szCs w:val="21"/>
              </w:rPr>
              <w:t>22</w:t>
            </w:r>
          </w:p>
        </w:tc>
      </w:tr>
      <w:tr w14:paraId="4499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14:paraId="635C115C">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010" w:type="dxa"/>
            <w:vAlign w:val="center"/>
          </w:tcPr>
          <w:p w14:paraId="04B30F7E">
            <w:pPr>
              <w:spacing w:line="360" w:lineRule="auto"/>
              <w:jc w:val="center"/>
              <w:rPr>
                <w:rFonts w:hint="eastAsia" w:ascii="宋体" w:hAnsi="宋体" w:eastAsia="宋体" w:cs="Times New Roman"/>
                <w:szCs w:val="21"/>
              </w:rPr>
            </w:pPr>
          </w:p>
        </w:tc>
        <w:tc>
          <w:tcPr>
            <w:tcW w:w="1553" w:type="dxa"/>
            <w:vAlign w:val="center"/>
          </w:tcPr>
          <w:p w14:paraId="5125C696">
            <w:pPr>
              <w:spacing w:line="360" w:lineRule="auto"/>
              <w:jc w:val="center"/>
              <w:rPr>
                <w:rFonts w:hint="eastAsia" w:ascii="宋体" w:hAnsi="宋体" w:eastAsia="宋体" w:cs="Times New Roman"/>
                <w:szCs w:val="21"/>
              </w:rPr>
            </w:pPr>
          </w:p>
        </w:tc>
        <w:tc>
          <w:tcPr>
            <w:tcW w:w="1335" w:type="dxa"/>
            <w:vAlign w:val="center"/>
          </w:tcPr>
          <w:p w14:paraId="032D7253">
            <w:pPr>
              <w:spacing w:line="360" w:lineRule="auto"/>
              <w:jc w:val="center"/>
              <w:rPr>
                <w:rFonts w:hint="eastAsia" w:ascii="宋体" w:hAnsi="宋体" w:eastAsia="宋体" w:cs="Times New Roman"/>
                <w:szCs w:val="21"/>
              </w:rPr>
            </w:pPr>
          </w:p>
        </w:tc>
        <w:tc>
          <w:tcPr>
            <w:tcW w:w="1494" w:type="dxa"/>
            <w:vAlign w:val="center"/>
          </w:tcPr>
          <w:p w14:paraId="2CDB697C">
            <w:pPr>
              <w:spacing w:line="360" w:lineRule="auto"/>
              <w:jc w:val="center"/>
              <w:rPr>
                <w:rFonts w:hint="eastAsia" w:ascii="宋体" w:hAnsi="宋体" w:eastAsia="宋体" w:cs="Times New Roman"/>
                <w:szCs w:val="21"/>
              </w:rPr>
            </w:pPr>
          </w:p>
        </w:tc>
        <w:tc>
          <w:tcPr>
            <w:tcW w:w="815" w:type="dxa"/>
            <w:vAlign w:val="center"/>
          </w:tcPr>
          <w:p w14:paraId="6FD07A4F">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9B17FE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5904E5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890342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5FC4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08CEA27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2D9CEB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CDC553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DD4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117B412">
            <w:pPr>
              <w:jc w:val="center"/>
              <w:rPr>
                <w:rFonts w:ascii="Times New Roman" w:hAnsi="Times New Roman" w:eastAsia="宋体" w:cs="Times New Roman"/>
                <w:b/>
                <w:bCs/>
                <w:szCs w:val="21"/>
              </w:rPr>
            </w:pPr>
            <w:r>
              <w:rPr>
                <w:rFonts w:hint="eastAsia" w:ascii="Times New Roman" w:hAnsi="Times New Roman" w:eastAsia="宋体" w:cs="Times New Roman"/>
                <w:szCs w:val="21"/>
              </w:rPr>
              <w:t>网络课堂学习</w:t>
            </w:r>
          </w:p>
        </w:tc>
        <w:tc>
          <w:tcPr>
            <w:tcW w:w="7141" w:type="dxa"/>
            <w:vAlign w:val="center"/>
          </w:tcPr>
          <w:p w14:paraId="5B7AF6EC">
            <w:pPr>
              <w:jc w:val="center"/>
              <w:rPr>
                <w:rFonts w:ascii="Times New Roman" w:hAnsi="Times New Roman" w:eastAsia="宋体" w:cs="Times New Roman"/>
                <w:szCs w:val="21"/>
              </w:rPr>
            </w:pPr>
            <w:r>
              <w:rPr>
                <w:rFonts w:hint="eastAsia" w:ascii="Times New Roman" w:hAnsi="Times New Roman" w:eastAsia="宋体" w:cs="Times New Roman"/>
                <w:szCs w:val="21"/>
              </w:rPr>
              <w:t>通过网络视频观看、互动讨论等，考核对思想道德与法治理论的理解和运用</w:t>
            </w:r>
          </w:p>
        </w:tc>
        <w:tc>
          <w:tcPr>
            <w:tcW w:w="0" w:type="auto"/>
            <w:vAlign w:val="center"/>
          </w:tcPr>
          <w:p w14:paraId="772E6EDC">
            <w:pPr>
              <w:jc w:val="center"/>
              <w:rPr>
                <w:rFonts w:hint="eastAsia" w:ascii="宋体" w:hAnsi="宋体" w:eastAsia="宋体" w:cs="宋体"/>
                <w:szCs w:val="21"/>
              </w:rPr>
            </w:pPr>
            <w:r>
              <w:rPr>
                <w:rFonts w:hint="eastAsia" w:ascii="宋体" w:hAnsi="宋体" w:eastAsia="宋体" w:cs="宋体"/>
                <w:szCs w:val="21"/>
              </w:rPr>
              <w:t>10%</w:t>
            </w:r>
          </w:p>
        </w:tc>
      </w:tr>
      <w:tr w14:paraId="2EA6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346074">
            <w:pP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7141" w:type="dxa"/>
            <w:vAlign w:val="center"/>
          </w:tcPr>
          <w:p w14:paraId="3D9B0F60">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通过出勤情况、听课表现、学习互动等，考核对思想道德与法治理论的理解和运用。</w:t>
            </w:r>
          </w:p>
        </w:tc>
        <w:tc>
          <w:tcPr>
            <w:tcW w:w="0" w:type="auto"/>
            <w:vAlign w:val="center"/>
          </w:tcPr>
          <w:p w14:paraId="34B55453">
            <w:pPr>
              <w:jc w:val="center"/>
              <w:rPr>
                <w:rFonts w:hint="eastAsia" w:ascii="宋体" w:hAnsi="宋体" w:eastAsia="宋体" w:cs="宋体"/>
                <w:szCs w:val="21"/>
              </w:rPr>
            </w:pPr>
            <w:r>
              <w:rPr>
                <w:rFonts w:hint="eastAsia" w:ascii="宋体" w:hAnsi="宋体" w:eastAsia="宋体" w:cs="宋体"/>
                <w:szCs w:val="21"/>
              </w:rPr>
              <w:t>20%</w:t>
            </w:r>
          </w:p>
        </w:tc>
      </w:tr>
      <w:tr w14:paraId="77BF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077D5B8">
            <w:pP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7141" w:type="dxa"/>
            <w:vAlign w:val="center"/>
          </w:tcPr>
          <w:p w14:paraId="16F52E54">
            <w:pPr>
              <w:widowControl/>
              <w:spacing w:line="264" w:lineRule="auto"/>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平时作业共3次。</w:t>
            </w:r>
            <w:r>
              <w:rPr>
                <w:rFonts w:hint="eastAsia" w:ascii="宋体" w:hAnsi="宋体" w:eastAsia="宋体" w:cs="宋体"/>
                <w:color w:val="000000"/>
                <w:kern w:val="0"/>
                <w:szCs w:val="21"/>
                <w:lang w:bidi="ar"/>
              </w:rPr>
              <w:t>一</w:t>
            </w:r>
            <w:r>
              <w:rPr>
                <w:rFonts w:hint="eastAsia" w:ascii="Times New Roman" w:hAnsi="Times New Roman" w:eastAsia="宋体" w:cs="Times New Roman"/>
                <w:szCs w:val="21"/>
              </w:rPr>
              <w:t>和二为主观题，以小论文或分析报告等的规范性、准确性、逻辑性及整洁性等为评分的主要依据。三为单元测试题，</w:t>
            </w:r>
            <w:r>
              <w:rPr>
                <w:rFonts w:hint="eastAsia" w:ascii="宋体" w:hAnsi="宋体" w:eastAsia="宋体" w:cs="宋体"/>
                <w:color w:val="000000"/>
                <w:kern w:val="0"/>
                <w:szCs w:val="21"/>
                <w:lang w:bidi="ar"/>
              </w:rPr>
              <w:t>主要考查基础知识和基本理论的掌握，以题目的正确率为得分依据。</w:t>
            </w:r>
          </w:p>
        </w:tc>
        <w:tc>
          <w:tcPr>
            <w:tcW w:w="0" w:type="auto"/>
            <w:vAlign w:val="center"/>
          </w:tcPr>
          <w:p w14:paraId="4928DDF2">
            <w:pPr>
              <w:jc w:val="center"/>
              <w:rPr>
                <w:rFonts w:hint="eastAsia" w:ascii="宋体" w:hAnsi="宋体" w:eastAsia="宋体" w:cs="宋体"/>
                <w:szCs w:val="21"/>
              </w:rPr>
            </w:pPr>
            <w:r>
              <w:rPr>
                <w:rFonts w:hint="eastAsia" w:ascii="宋体" w:hAnsi="宋体" w:eastAsia="宋体" w:cs="宋体"/>
                <w:szCs w:val="21"/>
              </w:rPr>
              <w:t>30%</w:t>
            </w:r>
          </w:p>
        </w:tc>
      </w:tr>
      <w:tr w14:paraId="17FF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4680F3">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E852FE6">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单项选择题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多项选择题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判断题、填空题、论述题</w:t>
            </w:r>
            <w:r>
              <w:rPr>
                <w:rFonts w:ascii="Times New Roman" w:hAnsi="Times New Roman" w:eastAsia="宋体" w:cs="Times New Roman"/>
                <w:color w:val="000000"/>
                <w:szCs w:val="21"/>
              </w:rPr>
              <w:t>等，以卷面成绩的</w:t>
            </w:r>
            <w:r>
              <w:rPr>
                <w:rFonts w:hint="eastAsia" w:ascii="Times New Roman" w:hAnsi="Times New Roman" w:eastAsia="宋体" w:cs="Times New Roman"/>
                <w:color w:val="000000"/>
                <w:szCs w:val="21"/>
              </w:rPr>
              <w:t>40</w:t>
            </w:r>
            <w:r>
              <w:rPr>
                <w:rFonts w:ascii="Times New Roman" w:hAnsi="Times New Roman" w:eastAsia="宋体" w:cs="Times New Roman"/>
                <w:color w:val="000000"/>
                <w:szCs w:val="21"/>
              </w:rPr>
              <w:t>%计入课程总成绩。其中考核</w:t>
            </w:r>
            <w:r>
              <w:rPr>
                <w:rFonts w:hint="eastAsia" w:ascii="Times New Roman" w:hAnsi="Times New Roman" w:eastAsia="宋体" w:cs="Times New Roman"/>
                <w:color w:val="000000"/>
                <w:szCs w:val="21"/>
              </w:rPr>
              <w:t>思想道德与法治基本理论和知识型题目占5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%；考核学生运用思想道德与法治基本理论知识进行分析问题和解决问题能力的题型占5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4E5F2602">
            <w:pPr>
              <w:jc w:val="center"/>
              <w:rPr>
                <w:rFonts w:hint="eastAsia" w:ascii="宋体" w:hAnsi="宋体" w:eastAsia="宋体" w:cs="宋体"/>
                <w:szCs w:val="21"/>
              </w:rPr>
            </w:pPr>
            <w:r>
              <w:rPr>
                <w:rFonts w:hint="eastAsia" w:ascii="宋体" w:hAnsi="宋体" w:eastAsia="宋体" w:cs="宋体"/>
                <w:szCs w:val="21"/>
              </w:rPr>
              <w:t>40%</w:t>
            </w:r>
          </w:p>
        </w:tc>
      </w:tr>
      <w:tr w14:paraId="080D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5FDD32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CC9202A">
            <w:pPr>
              <w:jc w:val="left"/>
              <w:rPr>
                <w:rFonts w:ascii="Times New Roman" w:hAnsi="Times New Roman" w:eastAsia="宋体" w:cs="Times New Roman"/>
                <w:szCs w:val="21"/>
              </w:rPr>
            </w:pPr>
          </w:p>
        </w:tc>
        <w:tc>
          <w:tcPr>
            <w:tcW w:w="0" w:type="auto"/>
            <w:vAlign w:val="center"/>
          </w:tcPr>
          <w:p w14:paraId="5A4DE2E4">
            <w:pPr>
              <w:jc w:val="center"/>
              <w:rPr>
                <w:rFonts w:hint="eastAsia" w:ascii="宋体" w:hAnsi="宋体" w:eastAsia="宋体" w:cs="宋体"/>
                <w:szCs w:val="21"/>
              </w:rPr>
            </w:pPr>
            <w:r>
              <w:rPr>
                <w:rFonts w:hint="eastAsia" w:ascii="宋体" w:hAnsi="宋体" w:eastAsia="宋体" w:cs="宋体"/>
                <w:szCs w:val="21"/>
              </w:rPr>
              <w:t>100%</w:t>
            </w:r>
          </w:p>
        </w:tc>
      </w:tr>
    </w:tbl>
    <w:p w14:paraId="1EC95D14">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B16D15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335055D">
      <w:pPr>
        <w:snapToGrid w:val="0"/>
        <w:spacing w:line="360" w:lineRule="auto"/>
        <w:ind w:firstLine="210" w:firstLineChars="100"/>
        <w:rPr>
          <w:rFonts w:hint="eastAsia" w:ascii="宋体" w:hAnsi="宋体" w:eastAsia="宋体"/>
          <w:b/>
          <w:bCs/>
          <w:color w:val="000000"/>
          <w:sz w:val="28"/>
          <w:szCs w:val="28"/>
        </w:rPr>
      </w:pPr>
      <w:r>
        <w:rPr>
          <w:rFonts w:ascii="宋体" w:hAnsi="宋体" w:eastAsia="宋体" w:cs="Times New Roman"/>
          <w:color w:val="000000"/>
          <w:szCs w:val="21"/>
        </w:rPr>
        <w:object>
          <v:shape id="_x0000_i1025" o:spt="75" type="#_x0000_t75" style="height:25pt;width:404.45pt;" o:ole="t" filled="f" o:preferrelative="t" stroked="f" coordsize="21600,21600">
            <v:path/>
            <v:fill on="f" focussize="0,0"/>
            <v:stroke on="f" joinstyle="miter"/>
            <v:imagedata r:id="rId5" o:title=""/>
            <o:lock v:ext="edit" aspectratio="t"/>
            <w10:wrap type="none"/>
            <w10:anchorlock/>
          </v:shape>
          <o:OLEObject Type="Embed" ProgID="Equation.3" ShapeID="_x0000_i1025" DrawAspect="Content" ObjectID="_1468075725" r:id="rId4">
            <o:LockedField>false</o:LockedField>
          </o:OLEObject>
        </w:object>
      </w:r>
    </w:p>
    <w:p w14:paraId="237B6017">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五</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有关说明</w:t>
      </w:r>
    </w:p>
    <w:p w14:paraId="326B8022">
      <w:pPr>
        <w:spacing w:line="360" w:lineRule="auto"/>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（一）持续改进</w:t>
      </w:r>
    </w:p>
    <w:p w14:paraId="334A9261">
      <w:pPr>
        <w:spacing w:line="360" w:lineRule="auto"/>
        <w:ind w:firstLine="420" w:firstLineChars="200"/>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本课程根据网络课堂学习、平时表现、作业和期末考试等考核情况，以及学生、教学督导等反馈，及时对教学中不足之处进行改进，并在下一轮课程教学中整改完善，确保相应毕业要求观测点达成。</w:t>
      </w:r>
    </w:p>
    <w:p w14:paraId="0E08867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28A0247">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 xml:space="preserve">《思想道德与法治》，本书编写组主编，高等教育出版社，2023年2月版 </w:t>
      </w:r>
    </w:p>
    <w:p w14:paraId="3F838F8D">
      <w:pPr>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（三）</w:t>
      </w:r>
      <w:r>
        <w:rPr>
          <w:rFonts w:ascii="Times New Roman" w:hAnsi="Times New Roman" w:eastAsia="宋体" w:cs="Times New Roman"/>
          <w:b/>
          <w:szCs w:val="21"/>
        </w:rPr>
        <w:t>参考书目</w:t>
      </w:r>
    </w:p>
    <w:p w14:paraId="63864494">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1.《习近平谈治国理政》第一卷，外文出版社，2018</w:t>
      </w:r>
    </w:p>
    <w:p w14:paraId="60E28ED3">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2.《习近平关于实现中华民族伟大复兴的中国梦论述摘编》，中央文献出版社，2013</w:t>
      </w:r>
    </w:p>
    <w:p w14:paraId="5F20C2C8">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3.《新时代爱国主义教育实施纲要》，人民出版社，2019</w:t>
      </w:r>
    </w:p>
    <w:p w14:paraId="276B3FDE">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4.《新时代公民道德建设实施纲要》，人民出版社，2019</w:t>
      </w:r>
    </w:p>
    <w:p w14:paraId="63BB2778">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5.《中华人民共和国民法典》，法律出版社，2020</w:t>
      </w:r>
    </w:p>
    <w:p w14:paraId="4E747946">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6.《习近平法治思想概论》，高等教育出版社，2021</w:t>
      </w:r>
    </w:p>
    <w:p w14:paraId="14D69B26">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7.《习近平法治思想学习纲要》，人民出版社、学习出版社，2021</w:t>
      </w:r>
    </w:p>
    <w:p w14:paraId="4617E479">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8.《习近平关于社会主义精神文明建设论述摘编》，中央文献出版社，2022</w:t>
      </w:r>
    </w:p>
    <w:p w14:paraId="48740659">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9. 毛泽东：《为人民服务》，《毛泽东选集》第3卷，人民出版社，1991</w:t>
      </w:r>
    </w:p>
    <w:p w14:paraId="4D698482">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10. 习近平：《在纪念马克思诞辰200周年大会上的讲话》，人民出版社，2018</w:t>
      </w:r>
    </w:p>
    <w:p w14:paraId="3D67AE85">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11. 习近平：《论坚持全面依法治国》，中央文献出版社，2020</w:t>
      </w:r>
    </w:p>
    <w:p w14:paraId="775BFC93">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12. 习近平：《高举中国特色社会主义伟大旗帜 为全面建设社会主义现代化国家而团结奋斗——在中国共产党第二十次全国代表大会上的报告》，人民出版社，2022</w:t>
      </w:r>
    </w:p>
    <w:p w14:paraId="4E3030EA">
      <w:pPr>
        <w:autoSpaceDE w:val="0"/>
        <w:autoSpaceDN w:val="0"/>
        <w:adjustRightInd w:val="0"/>
        <w:spacing w:line="360" w:lineRule="auto"/>
        <w:ind w:firstLine="422" w:firstLineChars="200"/>
        <w:jc w:val="left"/>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（四）教学改革</w:t>
      </w:r>
    </w:p>
    <w:p w14:paraId="6F9A157C">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本课程的教学改革，需制定相应的教学方案。</w:t>
      </w:r>
    </w:p>
    <w:p w14:paraId="4EDDF0A0">
      <w:pPr>
        <w:spacing w:line="360" w:lineRule="auto"/>
        <w:ind w:firstLine="420" w:firstLineChars="200"/>
        <w:rPr>
          <w:rFonts w:ascii="Times New Roman" w:hAnsi="Times New Roman" w:eastAsia="宋体" w:cs="Times New Roman"/>
          <w:szCs w:val="21"/>
        </w:rPr>
      </w:pPr>
    </w:p>
    <w:p w14:paraId="59F27889">
      <w:pPr>
        <w:autoSpaceDE w:val="0"/>
        <w:autoSpaceDN w:val="0"/>
        <w:adjustRightInd w:val="0"/>
        <w:spacing w:line="360" w:lineRule="auto"/>
        <w:ind w:firstLine="4935" w:firstLineChars="2350"/>
        <w:jc w:val="left"/>
        <w:rPr>
          <w:rFonts w:ascii="Times New Roman" w:hAnsi="Times New Roman" w:eastAsia="宋体" w:cs="Times New Roman"/>
          <w:kern w:val="0"/>
          <w:szCs w:val="21"/>
        </w:rPr>
      </w:pPr>
    </w:p>
    <w:p w14:paraId="5BAA62E4">
      <w:pPr>
        <w:autoSpaceDE w:val="0"/>
        <w:autoSpaceDN w:val="0"/>
        <w:adjustRightInd w:val="0"/>
        <w:spacing w:line="360" w:lineRule="auto"/>
        <w:ind w:firstLine="4935" w:firstLineChars="2350"/>
        <w:jc w:val="right"/>
        <w:rPr>
          <w:rFonts w:ascii="Times New Roman" w:hAnsi="Times New Roman" w:eastAsia="宋体" w:cs="Times New Roman"/>
          <w:kern w:val="0"/>
          <w:szCs w:val="21"/>
        </w:rPr>
      </w:pPr>
      <w:r>
        <w:rPr>
          <w:rFonts w:ascii="Times New Roman" w:hAnsi="Times New Roman" w:eastAsia="宋体" w:cs="Times New Roman"/>
          <w:kern w:val="0"/>
          <w:szCs w:val="21"/>
        </w:rPr>
        <w:t>执笔人：</w:t>
      </w:r>
      <w:r>
        <w:rPr>
          <w:rFonts w:hint="eastAsia" w:ascii="Times New Roman" w:hAnsi="Times New Roman" w:eastAsia="宋体" w:cs="Times New Roman"/>
          <w:kern w:val="0"/>
          <w:szCs w:val="21"/>
        </w:rPr>
        <w:t xml:space="preserve">陈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瑶</w:t>
      </w:r>
    </w:p>
    <w:p w14:paraId="77EF684E">
      <w:pPr>
        <w:autoSpaceDE w:val="0"/>
        <w:autoSpaceDN w:val="0"/>
        <w:adjustRightInd w:val="0"/>
        <w:spacing w:line="360" w:lineRule="auto"/>
        <w:ind w:left="5670" w:leftChars="2700"/>
        <w:jc w:val="right"/>
        <w:rPr>
          <w:rFonts w:ascii="Times New Roman" w:hAnsi="Times New Roman" w:eastAsia="宋体" w:cs="Times New Roman"/>
          <w:kern w:val="0"/>
          <w:szCs w:val="21"/>
        </w:rPr>
      </w:pPr>
      <w:r>
        <w:rPr>
          <w:rFonts w:ascii="Times New Roman" w:hAnsi="Times New Roman" w:eastAsia="宋体" w:cs="Times New Roman"/>
          <w:kern w:val="0"/>
          <w:szCs w:val="21"/>
        </w:rPr>
        <w:t>审定人：</w:t>
      </w:r>
      <w:r>
        <w:rPr>
          <w:rFonts w:hint="eastAsia" w:ascii="Times New Roman" w:hAnsi="Times New Roman" w:eastAsia="宋体" w:cs="Times New Roman"/>
          <w:kern w:val="0"/>
          <w:szCs w:val="21"/>
        </w:rPr>
        <w:t>夏天静</w:t>
      </w:r>
    </w:p>
    <w:p w14:paraId="53574EC3">
      <w:pPr>
        <w:autoSpaceDE w:val="0"/>
        <w:autoSpaceDN w:val="0"/>
        <w:adjustRightInd w:val="0"/>
        <w:spacing w:line="360" w:lineRule="auto"/>
        <w:ind w:left="5670" w:leftChars="2700"/>
        <w:jc w:val="right"/>
        <w:rPr>
          <w:rFonts w:ascii="Times New Roman" w:hAnsi="Times New Roman" w:eastAsia="宋体" w:cs="Times New Roman"/>
          <w:kern w:val="0"/>
          <w:szCs w:val="21"/>
        </w:rPr>
      </w:pPr>
      <w:r>
        <w:rPr>
          <w:rFonts w:hint="eastAsia" w:ascii="Times New Roman" w:hAnsi="Times New Roman" w:eastAsia="宋体" w:cs="Times New Roman"/>
          <w:kern w:val="0"/>
          <w:szCs w:val="21"/>
        </w:rPr>
        <w:t>审批</w:t>
      </w:r>
      <w:r>
        <w:rPr>
          <w:rFonts w:ascii="Times New Roman" w:hAnsi="Times New Roman" w:eastAsia="宋体" w:cs="Times New Roman"/>
          <w:kern w:val="0"/>
          <w:szCs w:val="21"/>
        </w:rPr>
        <w:t>人：</w:t>
      </w:r>
      <w:r>
        <w:rPr>
          <w:rFonts w:hint="eastAsia" w:ascii="Times New Roman" w:hAnsi="Times New Roman" w:eastAsia="宋体" w:cs="Times New Roman"/>
          <w:kern w:val="0"/>
          <w:szCs w:val="21"/>
        </w:rPr>
        <w:t>熊焱生</w:t>
      </w:r>
    </w:p>
    <w:p w14:paraId="1569713D">
      <w:pPr>
        <w:autoSpaceDE w:val="0"/>
        <w:autoSpaceDN w:val="0"/>
        <w:adjustRightInd w:val="0"/>
        <w:spacing w:line="360" w:lineRule="auto"/>
        <w:ind w:firstLine="4620" w:firstLineChars="2200"/>
        <w:jc w:val="right"/>
        <w:rPr>
          <w:rFonts w:ascii="Times New Roman" w:hAnsi="Times New Roman" w:eastAsia="宋体" w:cs="Times New Roman"/>
          <w:szCs w:val="21"/>
        </w:rPr>
      </w:pPr>
      <w:r>
        <w:rPr>
          <w:rFonts w:hint="eastAsia" w:ascii="Times New Roman" w:hAnsi="Times New Roman" w:eastAsia="宋体" w:cs="Times New Roman"/>
          <w:kern w:val="0"/>
          <w:szCs w:val="21"/>
          <w:lang w:val="en-US" w:eastAsia="zh-CN"/>
        </w:rPr>
        <w:t>批准时间：</w:t>
      </w:r>
      <w:r>
        <w:rPr>
          <w:rFonts w:hint="eastAsia" w:ascii="Times New Roman" w:hAnsi="Times New Roman" w:eastAsia="宋体" w:cs="Times New Roman"/>
          <w:kern w:val="0"/>
          <w:szCs w:val="21"/>
        </w:rPr>
        <w:t>2024年9月1日</w:t>
      </w:r>
    </w:p>
    <w:p w14:paraId="6E1FA457">
      <w:pPr>
        <w:rPr>
          <w:rFonts w:hint="eastAsia"/>
          <w:lang w:eastAsia="zh-CN"/>
        </w:rPr>
      </w:pPr>
      <w:bookmarkStart w:id="12" w:name="_Toc45149938"/>
      <w:bookmarkStart w:id="13" w:name="_Toc72821551"/>
      <w:r>
        <w:rPr>
          <w:rFonts w:hint="eastAsia"/>
          <w:lang w:eastAsia="zh-CN"/>
        </w:rPr>
        <w:br w:type="page"/>
      </w:r>
    </w:p>
    <w:p w14:paraId="2293538D">
      <w:pPr>
        <w:pStyle w:val="2"/>
        <w:bidi w:val="0"/>
      </w:pPr>
      <w:bookmarkStart w:id="14" w:name="_Toc22148"/>
      <w:r>
        <w:rPr>
          <w:rFonts w:hint="eastAsia"/>
          <w:lang w:eastAsia="zh-CN"/>
        </w:rPr>
        <w:t>《</w:t>
      </w:r>
      <w:r>
        <w:rPr>
          <w:rFonts w:hint="eastAsia"/>
        </w:rPr>
        <w:t>中国近现代史纲要</w:t>
      </w:r>
      <w:r>
        <w:rPr>
          <w:rFonts w:hint="eastAsia"/>
          <w:lang w:eastAsia="zh-CN"/>
        </w:rPr>
        <w:t>》</w:t>
      </w:r>
      <w:r>
        <w:rPr>
          <w:rFonts w:hint="eastAsia"/>
        </w:rPr>
        <w:t>课程教学大纲</w:t>
      </w:r>
      <w:bookmarkEnd w:id="12"/>
      <w:bookmarkEnd w:id="13"/>
      <w:bookmarkEnd w:id="14"/>
    </w:p>
    <w:p w14:paraId="701A329E">
      <w:pPr>
        <w:pStyle w:val="2"/>
        <w:bidi w:val="0"/>
      </w:pPr>
      <w:bookmarkStart w:id="15" w:name="_Toc25505"/>
      <w:bookmarkStart w:id="16" w:name="_Toc19437"/>
      <w:r>
        <w:t>（</w:t>
      </w:r>
      <w:r>
        <w:rPr>
          <w:rFonts w:hint="eastAsia"/>
        </w:rPr>
        <w:t>Introduction to Chinese Modern and Contemporary History</w:t>
      </w:r>
      <w:r>
        <w:t>）</w:t>
      </w:r>
      <w:bookmarkEnd w:id="15"/>
      <w:bookmarkEnd w:id="16"/>
    </w:p>
    <w:p w14:paraId="21722F67">
      <w:pPr>
        <w:rPr>
          <w:b/>
          <w:bCs/>
          <w:sz w:val="30"/>
        </w:rPr>
      </w:pPr>
    </w:p>
    <w:p w14:paraId="1EED38DA">
      <w:pPr>
        <w:spacing w:line="360" w:lineRule="auto"/>
        <w:ind w:firstLine="562" w:firstLineChars="200"/>
        <w:rPr>
          <w:b/>
          <w:sz w:val="28"/>
          <w:szCs w:val="28"/>
        </w:rPr>
      </w:pPr>
      <w:r>
        <w:rPr>
          <w:b/>
          <w:sz w:val="28"/>
          <w:szCs w:val="28"/>
        </w:rPr>
        <w:t>一、课程概况</w:t>
      </w:r>
    </w:p>
    <w:p w14:paraId="34572F94">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10020</w:t>
      </w:r>
      <w:r>
        <w:rPr>
          <w:kern w:val="0"/>
          <w:sz w:val="24"/>
        </w:rPr>
        <w:t>31</w:t>
      </w:r>
    </w:p>
    <w:p w14:paraId="03215720">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3</w:t>
      </w:r>
    </w:p>
    <w:p w14:paraId="5171AE96">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48（其中：讲授学时4</w:t>
      </w:r>
      <w:r>
        <w:rPr>
          <w:kern w:val="0"/>
          <w:sz w:val="24"/>
        </w:rPr>
        <w:t>2</w:t>
      </w:r>
      <w:r>
        <w:rPr>
          <w:rFonts w:hint="eastAsia"/>
          <w:kern w:val="0"/>
          <w:sz w:val="24"/>
        </w:rPr>
        <w:t>，实践学时6）</w:t>
      </w:r>
    </w:p>
    <w:p w14:paraId="4FFE3705">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思想道德与法治</w:t>
      </w:r>
    </w:p>
    <w:p w14:paraId="194CBC39">
      <w:pPr>
        <w:spacing w:line="360" w:lineRule="auto"/>
        <w:ind w:firstLine="482" w:firstLineChars="200"/>
        <w:rPr>
          <w:bCs/>
          <w:kern w:val="0"/>
          <w:sz w:val="24"/>
        </w:rPr>
      </w:pPr>
      <w:r>
        <w:rPr>
          <w:b/>
          <w:bCs/>
          <w:kern w:val="0"/>
          <w:sz w:val="24"/>
        </w:rPr>
        <w:t>适用专业</w:t>
      </w:r>
      <w:r>
        <w:rPr>
          <w:b/>
          <w:kern w:val="0"/>
          <w:sz w:val="24"/>
        </w:rPr>
        <w:t>：</w:t>
      </w:r>
      <w:r>
        <w:rPr>
          <w:rFonts w:hint="eastAsia"/>
          <w:bCs/>
          <w:kern w:val="0"/>
          <w:sz w:val="24"/>
        </w:rPr>
        <w:t>所有本科专业</w:t>
      </w:r>
    </w:p>
    <w:p w14:paraId="5AFCE4B5">
      <w:pPr>
        <w:spacing w:line="360" w:lineRule="auto"/>
        <w:ind w:firstLine="482" w:firstLineChars="200"/>
        <w:rPr>
          <w:kern w:val="0"/>
          <w:sz w:val="24"/>
        </w:rPr>
      </w:pPr>
      <w:r>
        <w:rPr>
          <w:b/>
          <w:bCs/>
          <w:kern w:val="0"/>
          <w:sz w:val="24"/>
        </w:rPr>
        <w:t>教    材</w:t>
      </w:r>
      <w:r>
        <w:rPr>
          <w:b/>
          <w:kern w:val="0"/>
          <w:sz w:val="24"/>
        </w:rPr>
        <w:t>：</w:t>
      </w:r>
      <w:r>
        <w:rPr>
          <w:rFonts w:hint="eastAsia"/>
          <w:bCs/>
          <w:kern w:val="0"/>
          <w:sz w:val="24"/>
        </w:rPr>
        <w:t>《中国近现代史纲要》</w:t>
      </w:r>
      <w:r>
        <w:rPr>
          <w:bCs/>
          <w:kern w:val="0"/>
          <w:sz w:val="24"/>
        </w:rPr>
        <w:t>，</w:t>
      </w:r>
      <w:r>
        <w:rPr>
          <w:rFonts w:hint="eastAsia"/>
          <w:sz w:val="24"/>
          <w:szCs w:val="21"/>
        </w:rPr>
        <w:t>本书编写组主编，</w:t>
      </w:r>
      <w:r>
        <w:rPr>
          <w:rFonts w:hint="eastAsia"/>
          <w:kern w:val="0"/>
          <w:sz w:val="24"/>
        </w:rPr>
        <w:t>高等教育</w:t>
      </w:r>
      <w:r>
        <w:rPr>
          <w:kern w:val="0"/>
          <w:sz w:val="24"/>
        </w:rPr>
        <w:t>出版社，</w:t>
      </w:r>
      <w:r>
        <w:rPr>
          <w:rFonts w:hint="eastAsia"/>
          <w:kern w:val="0"/>
          <w:sz w:val="24"/>
        </w:rPr>
        <w:t>20</w:t>
      </w:r>
      <w:r>
        <w:rPr>
          <w:kern w:val="0"/>
          <w:sz w:val="24"/>
        </w:rPr>
        <w:t>23</w:t>
      </w:r>
      <w:r>
        <w:rPr>
          <w:rFonts w:hint="eastAsia"/>
          <w:kern w:val="0"/>
          <w:sz w:val="24"/>
        </w:rPr>
        <w:t>年版</w:t>
      </w:r>
    </w:p>
    <w:p w14:paraId="2C09847E">
      <w:pPr>
        <w:spacing w:line="360" w:lineRule="auto"/>
        <w:ind w:firstLine="482" w:firstLineChars="200"/>
        <w:rPr>
          <w:kern w:val="0"/>
          <w:sz w:val="24"/>
        </w:rPr>
      </w:pPr>
      <w:r>
        <w:rPr>
          <w:b/>
          <w:bCs/>
          <w:kern w:val="0"/>
          <w:sz w:val="24"/>
        </w:rPr>
        <w:t>课程归口：</w:t>
      </w:r>
      <w:r>
        <w:rPr>
          <w:rFonts w:hint="eastAsia"/>
          <w:bCs/>
          <w:kern w:val="0"/>
          <w:sz w:val="24"/>
        </w:rPr>
        <w:t>马克思主义</w:t>
      </w:r>
      <w:r>
        <w:rPr>
          <w:kern w:val="0"/>
          <w:sz w:val="24"/>
        </w:rPr>
        <w:t>学院</w:t>
      </w:r>
    </w:p>
    <w:p w14:paraId="0E517C2F">
      <w:pPr>
        <w:spacing w:line="360" w:lineRule="auto"/>
        <w:ind w:firstLine="482" w:firstLineChars="200"/>
        <w:rPr>
          <w:bCs/>
          <w:color w:val="000000"/>
          <w:sz w:val="24"/>
        </w:rPr>
      </w:pPr>
      <w:r>
        <w:rPr>
          <w:b/>
          <w:bCs/>
          <w:kern w:val="0"/>
          <w:sz w:val="24"/>
        </w:rPr>
        <w:t>课程</w:t>
      </w:r>
      <w:r>
        <w:rPr>
          <w:rFonts w:hint="eastAsia"/>
          <w:b/>
          <w:bCs/>
          <w:kern w:val="0"/>
          <w:sz w:val="24"/>
        </w:rPr>
        <w:t>性质与</w:t>
      </w:r>
      <w:r>
        <w:rPr>
          <w:b/>
          <w:bCs/>
          <w:kern w:val="0"/>
          <w:sz w:val="24"/>
        </w:rPr>
        <w:t>任务：</w:t>
      </w:r>
      <w:r>
        <w:rPr>
          <w:rFonts w:hint="eastAsia"/>
          <w:bCs/>
          <w:color w:val="000000"/>
          <w:sz w:val="24"/>
        </w:rPr>
        <w:t>本课程是</w:t>
      </w:r>
      <w:r>
        <w:rPr>
          <w:rFonts w:hint="eastAsia"/>
          <w:bCs/>
          <w:kern w:val="0"/>
          <w:sz w:val="24"/>
        </w:rPr>
        <w:t>所有本科</w:t>
      </w:r>
      <w:r>
        <w:rPr>
          <w:rFonts w:hint="eastAsia"/>
          <w:bCs/>
          <w:color w:val="000000"/>
          <w:sz w:val="24"/>
        </w:rPr>
        <w:t>专业的通识必修课。通过本课程的学习，培养学生</w:t>
      </w:r>
      <w:r>
        <w:rPr>
          <w:rFonts w:hint="eastAsia"/>
          <w:sz w:val="24"/>
        </w:rPr>
        <w:t>树立马克思主义唯物史观、正确党史观和大历史观；帮助学生了解国史、国情，深刻领会历史和人民是怎样选择了马克思主义，选择了中国共产党，选择了社会主义道路、选择了改革开放，深刻领会中国共产党为什么能、马克思主义为什么行、中国特色社会主义为什么好，</w:t>
      </w:r>
      <w:r>
        <w:rPr>
          <w:rFonts w:hint="eastAsia"/>
          <w:bCs/>
          <w:color w:val="000000"/>
          <w:sz w:val="24"/>
        </w:rPr>
        <w:t>为后续思想政治理论课及思想政治理论课实践环节奠定基础。</w:t>
      </w:r>
    </w:p>
    <w:p w14:paraId="6FFA0CB6">
      <w:pPr>
        <w:spacing w:line="360" w:lineRule="auto"/>
        <w:ind w:firstLine="562" w:firstLineChars="200"/>
        <w:rPr>
          <w:b/>
          <w:sz w:val="28"/>
          <w:szCs w:val="28"/>
        </w:rPr>
      </w:pPr>
      <w:r>
        <w:rPr>
          <w:b/>
          <w:sz w:val="28"/>
          <w:szCs w:val="28"/>
        </w:rPr>
        <w:t>二、课程目标</w:t>
      </w:r>
    </w:p>
    <w:p w14:paraId="46807CAF">
      <w:pPr>
        <w:spacing w:line="360" w:lineRule="auto"/>
        <w:ind w:firstLine="480" w:firstLineChars="200"/>
        <w:rPr>
          <w:sz w:val="24"/>
        </w:rPr>
      </w:pPr>
      <w:r>
        <w:rPr>
          <w:rFonts w:hint="eastAsia"/>
          <w:sz w:val="24"/>
        </w:rPr>
        <w:t>目标1.坚持四项基本原则，具有人文社会科学素养，了解国史国情，树立唯物史观，自觉维护国家利益。</w:t>
      </w:r>
    </w:p>
    <w:p w14:paraId="15F2F352">
      <w:pPr>
        <w:spacing w:line="360" w:lineRule="auto"/>
        <w:ind w:firstLine="480" w:firstLineChars="200"/>
        <w:rPr>
          <w:color w:val="000000"/>
          <w:sz w:val="24"/>
        </w:rPr>
      </w:pPr>
      <w:r>
        <w:rPr>
          <w:color w:val="000000"/>
          <w:sz w:val="24"/>
        </w:rPr>
        <w:t>本课程支撑</w:t>
      </w:r>
      <w:r>
        <w:rPr>
          <w:sz w:val="24"/>
        </w:rPr>
        <w:t>专业</w:t>
      </w:r>
      <w:r>
        <w:rPr>
          <w:rFonts w:hint="eastAsia"/>
          <w:sz w:val="24"/>
        </w:rPr>
        <w:t>人才</w:t>
      </w:r>
      <w:r>
        <w:rPr>
          <w:sz w:val="24"/>
        </w:rPr>
        <w:t>培养</w:t>
      </w:r>
      <w:r>
        <w:rPr>
          <w:rFonts w:hint="eastAsia"/>
          <w:sz w:val="24"/>
        </w:rPr>
        <w:t>方案</w:t>
      </w:r>
      <w:r>
        <w:rPr>
          <w:color w:val="000000"/>
          <w:sz w:val="24"/>
        </w:rPr>
        <w:t>中毕业要求</w:t>
      </w:r>
      <w:r>
        <w:rPr>
          <w:rFonts w:hint="eastAsia"/>
          <w:color w:val="000000"/>
          <w:sz w:val="24"/>
        </w:rPr>
        <w:t>8</w:t>
      </w:r>
      <w:r>
        <w:rPr>
          <w:color w:val="000000"/>
          <w:sz w:val="24"/>
        </w:rPr>
        <w:t>-1</w:t>
      </w:r>
      <w:r>
        <w:rPr>
          <w:rFonts w:hint="eastAsia"/>
          <w:color w:val="000000"/>
          <w:sz w:val="24"/>
        </w:rPr>
        <w:t>，对应关系如表所示。</w:t>
      </w:r>
    </w:p>
    <w:tbl>
      <w:tblPr>
        <w:tblStyle w:val="10"/>
        <w:tblW w:w="8408" w:type="dxa"/>
        <w:tblInd w:w="-5" w:type="dxa"/>
        <w:tblLayout w:type="fixed"/>
        <w:tblCellMar>
          <w:top w:w="0" w:type="dxa"/>
          <w:left w:w="108" w:type="dxa"/>
          <w:bottom w:w="0" w:type="dxa"/>
          <w:right w:w="108" w:type="dxa"/>
        </w:tblCellMar>
      </w:tblPr>
      <w:tblGrid>
        <w:gridCol w:w="1791"/>
        <w:gridCol w:w="944"/>
        <w:gridCol w:w="944"/>
        <w:gridCol w:w="945"/>
        <w:gridCol w:w="945"/>
        <w:gridCol w:w="945"/>
        <w:gridCol w:w="945"/>
        <w:gridCol w:w="949"/>
      </w:tblGrid>
      <w:tr w14:paraId="34BEF3F3">
        <w:tblPrEx>
          <w:tblCellMar>
            <w:top w:w="0" w:type="dxa"/>
            <w:left w:w="108" w:type="dxa"/>
            <w:bottom w:w="0" w:type="dxa"/>
            <w:right w:w="108" w:type="dxa"/>
          </w:tblCellMar>
        </w:tblPrEx>
        <w:trPr>
          <w:trHeight w:val="514" w:hRule="atLeast"/>
        </w:trPr>
        <w:tc>
          <w:tcPr>
            <w:tcW w:w="1791"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CEA3099">
            <w:pPr>
              <w:widowControl/>
              <w:jc w:val="center"/>
              <w:rPr>
                <w:kern w:val="0"/>
                <w:szCs w:val="21"/>
              </w:rPr>
            </w:pPr>
            <w:bookmarkStart w:id="17" w:name="_Hlk143980636"/>
            <w:r>
              <w:rPr>
                <w:kern w:val="0"/>
                <w:szCs w:val="21"/>
              </w:rPr>
              <w:t>毕业要求</w:t>
            </w:r>
          </w:p>
          <w:p w14:paraId="567EA041">
            <w:pPr>
              <w:widowControl/>
              <w:jc w:val="center"/>
              <w:rPr>
                <w:kern w:val="0"/>
                <w:szCs w:val="21"/>
              </w:rPr>
            </w:pPr>
            <w:r>
              <w:rPr>
                <w:kern w:val="0"/>
                <w:szCs w:val="21"/>
              </w:rPr>
              <w:t>指标点</w:t>
            </w:r>
            <w:bookmarkEnd w:id="17"/>
          </w:p>
        </w:tc>
        <w:tc>
          <w:tcPr>
            <w:tcW w:w="6617" w:type="dxa"/>
            <w:gridSpan w:val="7"/>
            <w:tcBorders>
              <w:top w:val="single" w:color="auto" w:sz="4" w:space="0"/>
              <w:left w:val="nil"/>
              <w:bottom w:val="single" w:color="auto" w:sz="4" w:space="0"/>
              <w:right w:val="single" w:color="auto" w:sz="4" w:space="0"/>
            </w:tcBorders>
            <w:shd w:val="clear" w:color="auto" w:fill="FFFFFF"/>
            <w:vAlign w:val="center"/>
          </w:tcPr>
          <w:p w14:paraId="035EED7A">
            <w:pPr>
              <w:widowControl/>
              <w:jc w:val="center"/>
              <w:rPr>
                <w:kern w:val="0"/>
                <w:szCs w:val="21"/>
              </w:rPr>
            </w:pPr>
            <w:r>
              <w:rPr>
                <w:kern w:val="0"/>
                <w:szCs w:val="21"/>
              </w:rPr>
              <w:t>课程目标</w:t>
            </w:r>
          </w:p>
        </w:tc>
      </w:tr>
      <w:tr w14:paraId="0E128671">
        <w:tblPrEx>
          <w:tblCellMar>
            <w:top w:w="0" w:type="dxa"/>
            <w:left w:w="108" w:type="dxa"/>
            <w:bottom w:w="0" w:type="dxa"/>
            <w:right w:w="108" w:type="dxa"/>
          </w:tblCellMar>
        </w:tblPrEx>
        <w:trPr>
          <w:trHeight w:val="491" w:hRule="atLeast"/>
        </w:trPr>
        <w:tc>
          <w:tcPr>
            <w:tcW w:w="1791"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66BEC78">
            <w:pPr>
              <w:widowControl/>
              <w:jc w:val="center"/>
              <w:rPr>
                <w:kern w:val="0"/>
                <w:szCs w:val="21"/>
              </w:rPr>
            </w:pPr>
          </w:p>
        </w:tc>
        <w:tc>
          <w:tcPr>
            <w:tcW w:w="944" w:type="dxa"/>
            <w:tcBorders>
              <w:top w:val="nil"/>
              <w:left w:val="nil"/>
              <w:bottom w:val="single" w:color="auto" w:sz="4" w:space="0"/>
              <w:right w:val="single" w:color="auto" w:sz="4" w:space="0"/>
            </w:tcBorders>
            <w:shd w:val="clear" w:color="auto" w:fill="FFFFFF"/>
            <w:vAlign w:val="center"/>
          </w:tcPr>
          <w:p w14:paraId="4D369A03">
            <w:pPr>
              <w:widowControl/>
              <w:jc w:val="center"/>
              <w:rPr>
                <w:kern w:val="0"/>
                <w:szCs w:val="21"/>
              </w:rPr>
            </w:pPr>
            <w:r>
              <w:rPr>
                <w:kern w:val="0"/>
                <w:szCs w:val="21"/>
              </w:rPr>
              <w:t>目标1</w:t>
            </w:r>
          </w:p>
        </w:tc>
        <w:tc>
          <w:tcPr>
            <w:tcW w:w="944" w:type="dxa"/>
            <w:tcBorders>
              <w:top w:val="nil"/>
              <w:left w:val="nil"/>
              <w:bottom w:val="single" w:color="auto" w:sz="4" w:space="0"/>
              <w:right w:val="single" w:color="auto" w:sz="4" w:space="0"/>
            </w:tcBorders>
            <w:shd w:val="clear" w:color="auto" w:fill="FFFFFF"/>
            <w:vAlign w:val="center"/>
          </w:tcPr>
          <w:p w14:paraId="6D81B879">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5B310859">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42EF119E">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0B4DA616">
            <w:pPr>
              <w:widowControl/>
              <w:jc w:val="center"/>
              <w:rPr>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78133046">
            <w:pPr>
              <w:widowControl/>
              <w:jc w:val="center"/>
              <w:rPr>
                <w:kern w:val="0"/>
                <w:szCs w:val="21"/>
              </w:rPr>
            </w:pPr>
          </w:p>
        </w:tc>
        <w:tc>
          <w:tcPr>
            <w:tcW w:w="949" w:type="dxa"/>
            <w:tcBorders>
              <w:top w:val="nil"/>
              <w:left w:val="nil"/>
              <w:bottom w:val="single" w:color="auto" w:sz="4" w:space="0"/>
              <w:right w:val="single" w:color="auto" w:sz="4" w:space="0"/>
            </w:tcBorders>
            <w:shd w:val="clear" w:color="auto" w:fill="FFFFFF"/>
            <w:vAlign w:val="center"/>
          </w:tcPr>
          <w:p w14:paraId="3024E49D">
            <w:pPr>
              <w:widowControl/>
              <w:jc w:val="center"/>
              <w:rPr>
                <w:kern w:val="0"/>
                <w:szCs w:val="21"/>
              </w:rPr>
            </w:pPr>
          </w:p>
        </w:tc>
      </w:tr>
      <w:tr w14:paraId="73203A13">
        <w:tblPrEx>
          <w:tblCellMar>
            <w:top w:w="0" w:type="dxa"/>
            <w:left w:w="108" w:type="dxa"/>
            <w:bottom w:w="0" w:type="dxa"/>
            <w:right w:w="108" w:type="dxa"/>
          </w:tblCellMar>
        </w:tblPrEx>
        <w:trPr>
          <w:trHeight w:val="481" w:hRule="atLeast"/>
        </w:trPr>
        <w:tc>
          <w:tcPr>
            <w:tcW w:w="1791" w:type="dxa"/>
            <w:tcBorders>
              <w:top w:val="nil"/>
              <w:left w:val="single" w:color="auto" w:sz="4" w:space="0"/>
              <w:bottom w:val="single" w:color="auto" w:sz="4" w:space="0"/>
              <w:right w:val="single" w:color="auto" w:sz="4" w:space="0"/>
            </w:tcBorders>
            <w:vAlign w:val="center"/>
          </w:tcPr>
          <w:p w14:paraId="22450796">
            <w:pPr>
              <w:widowControl/>
              <w:jc w:val="center"/>
              <w:rPr>
                <w:rFonts w:hint="eastAsia" w:ascii="宋体" w:hAnsi="宋体"/>
                <w:kern w:val="0"/>
                <w:szCs w:val="21"/>
              </w:rPr>
            </w:pPr>
            <w:r>
              <w:rPr>
                <w:rFonts w:ascii="宋体" w:hAnsi="宋体"/>
                <w:kern w:val="0"/>
                <w:szCs w:val="21"/>
              </w:rPr>
              <w:t>毕业要求</w:t>
            </w:r>
            <w:r>
              <w:rPr>
                <w:rFonts w:ascii="宋体" w:hAnsi="宋体"/>
                <w:szCs w:val="21"/>
              </w:rPr>
              <w:t>8-1</w:t>
            </w:r>
          </w:p>
        </w:tc>
        <w:tc>
          <w:tcPr>
            <w:tcW w:w="944" w:type="dxa"/>
            <w:tcBorders>
              <w:top w:val="nil"/>
              <w:left w:val="nil"/>
              <w:bottom w:val="single" w:color="auto" w:sz="4" w:space="0"/>
              <w:right w:val="single" w:color="auto" w:sz="4" w:space="0"/>
            </w:tcBorders>
            <w:vAlign w:val="center"/>
          </w:tcPr>
          <w:p w14:paraId="5EF6006F">
            <w:pPr>
              <w:widowControl/>
              <w:jc w:val="center"/>
              <w:rPr>
                <w:kern w:val="0"/>
                <w:szCs w:val="21"/>
              </w:rPr>
            </w:pPr>
            <w:r>
              <w:rPr>
                <w:rFonts w:hint="eastAsia"/>
                <w:kern w:val="0"/>
                <w:szCs w:val="21"/>
              </w:rPr>
              <w:t>√</w:t>
            </w:r>
          </w:p>
        </w:tc>
        <w:tc>
          <w:tcPr>
            <w:tcW w:w="944" w:type="dxa"/>
            <w:tcBorders>
              <w:top w:val="nil"/>
              <w:left w:val="nil"/>
              <w:bottom w:val="single" w:color="auto" w:sz="4" w:space="0"/>
              <w:right w:val="single" w:color="auto" w:sz="4" w:space="0"/>
            </w:tcBorders>
            <w:vAlign w:val="center"/>
          </w:tcPr>
          <w:p w14:paraId="433DCF3C">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64F0F93C">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699EDA4A">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27B4D35B">
            <w:pPr>
              <w:widowControl/>
              <w:jc w:val="center"/>
              <w:rPr>
                <w:kern w:val="0"/>
                <w:szCs w:val="21"/>
              </w:rPr>
            </w:pPr>
          </w:p>
        </w:tc>
        <w:tc>
          <w:tcPr>
            <w:tcW w:w="945" w:type="dxa"/>
            <w:tcBorders>
              <w:top w:val="nil"/>
              <w:left w:val="nil"/>
              <w:bottom w:val="single" w:color="auto" w:sz="4" w:space="0"/>
              <w:right w:val="single" w:color="auto" w:sz="4" w:space="0"/>
            </w:tcBorders>
            <w:vAlign w:val="center"/>
          </w:tcPr>
          <w:p w14:paraId="41EB418E">
            <w:pPr>
              <w:widowControl/>
              <w:jc w:val="center"/>
              <w:rPr>
                <w:kern w:val="0"/>
                <w:szCs w:val="21"/>
              </w:rPr>
            </w:pPr>
          </w:p>
        </w:tc>
        <w:tc>
          <w:tcPr>
            <w:tcW w:w="949" w:type="dxa"/>
            <w:tcBorders>
              <w:top w:val="nil"/>
              <w:left w:val="nil"/>
              <w:bottom w:val="single" w:color="auto" w:sz="4" w:space="0"/>
              <w:right w:val="single" w:color="auto" w:sz="4" w:space="0"/>
            </w:tcBorders>
            <w:vAlign w:val="center"/>
          </w:tcPr>
          <w:p w14:paraId="43D9E618">
            <w:pPr>
              <w:widowControl/>
              <w:jc w:val="center"/>
              <w:rPr>
                <w:kern w:val="0"/>
                <w:szCs w:val="21"/>
              </w:rPr>
            </w:pPr>
          </w:p>
        </w:tc>
      </w:tr>
    </w:tbl>
    <w:p w14:paraId="232EEDD6">
      <w:pPr>
        <w:spacing w:line="360" w:lineRule="auto"/>
        <w:ind w:firstLine="562" w:firstLineChars="200"/>
        <w:rPr>
          <w:b/>
          <w:sz w:val="28"/>
          <w:szCs w:val="28"/>
        </w:rPr>
      </w:pPr>
      <w:r>
        <w:rPr>
          <w:b/>
          <w:sz w:val="28"/>
          <w:szCs w:val="28"/>
        </w:rPr>
        <w:t>三、</w:t>
      </w:r>
      <w:r>
        <w:rPr>
          <w:rFonts w:hint="eastAsia"/>
          <w:b/>
          <w:sz w:val="28"/>
          <w:szCs w:val="28"/>
        </w:rPr>
        <w:t>教学</w:t>
      </w:r>
      <w:r>
        <w:rPr>
          <w:b/>
          <w:sz w:val="28"/>
          <w:szCs w:val="28"/>
        </w:rPr>
        <w:t>内容及要求</w:t>
      </w:r>
    </w:p>
    <w:p w14:paraId="7DBF5FF8">
      <w:pPr>
        <w:spacing w:line="360" w:lineRule="auto"/>
        <w:ind w:firstLine="482" w:firstLineChars="200"/>
        <w:rPr>
          <w:rFonts w:hint="eastAsia" w:ascii="宋体" w:hAnsi="宋体"/>
          <w:b/>
          <w:bCs/>
          <w:sz w:val="24"/>
          <w:szCs w:val="28"/>
        </w:rPr>
      </w:pPr>
      <w:r>
        <w:rPr>
          <w:rFonts w:hint="eastAsia" w:ascii="宋体" w:hAnsi="宋体"/>
          <w:b/>
          <w:sz w:val="24"/>
        </w:rPr>
        <w:t>（一）</w:t>
      </w:r>
      <w:r>
        <w:rPr>
          <w:rFonts w:hint="eastAsia" w:ascii="宋体" w:hAnsi="宋体"/>
          <w:b/>
          <w:bCs/>
          <w:sz w:val="24"/>
          <w:szCs w:val="28"/>
        </w:rPr>
        <w:t>导言</w:t>
      </w:r>
    </w:p>
    <w:p w14:paraId="3ACAB51F">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21DB5695">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中国近代史综述</w:t>
      </w:r>
    </w:p>
    <w:p w14:paraId="5DF01F5F">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中国现代史综述</w:t>
      </w:r>
    </w:p>
    <w:p w14:paraId="683D5A9A">
      <w:pPr>
        <w:spacing w:line="360" w:lineRule="auto"/>
        <w:ind w:firstLine="480" w:firstLineChars="200"/>
        <w:rPr>
          <w:rFonts w:hint="eastAsia" w:ascii="宋体" w:hAnsi="宋体"/>
          <w:b/>
          <w:bCs/>
          <w:sz w:val="24"/>
          <w:szCs w:val="28"/>
        </w:rPr>
      </w:pPr>
      <w:r>
        <w:rPr>
          <w:rFonts w:ascii="宋体" w:hAnsi="宋体"/>
          <w:sz w:val="24"/>
        </w:rPr>
        <w:t>（3）</w:t>
      </w:r>
      <w:r>
        <w:rPr>
          <w:rFonts w:hint="eastAsia" w:ascii="宋体" w:hAnsi="宋体"/>
          <w:sz w:val="24"/>
        </w:rPr>
        <w:t>学习中国近现代史的目的和要求</w:t>
      </w:r>
    </w:p>
    <w:p w14:paraId="0F8CCD2B">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34EE2CD4">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理解中国近现代史的主流和本质</w:t>
      </w:r>
    </w:p>
    <w:p w14:paraId="74F83A4D">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认识学习中国近现代史的目的和要求</w:t>
      </w:r>
    </w:p>
    <w:p w14:paraId="2F502DA0">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149A00EE">
      <w:pPr>
        <w:spacing w:line="360" w:lineRule="auto"/>
        <w:ind w:firstLine="480" w:firstLineChars="200"/>
        <w:rPr>
          <w:rFonts w:hint="eastAsia" w:ascii="宋体" w:hAnsi="宋体"/>
          <w:color w:val="000000"/>
          <w:sz w:val="24"/>
        </w:rPr>
      </w:pPr>
      <w:r>
        <w:rPr>
          <w:rFonts w:hint="eastAsia" w:ascii="宋体" w:hAnsi="宋体"/>
          <w:color w:val="000000"/>
          <w:sz w:val="24"/>
        </w:rPr>
        <w:t>（1）中国近现代史的主流和本质</w:t>
      </w:r>
    </w:p>
    <w:p w14:paraId="3B8F334D">
      <w:pPr>
        <w:spacing w:line="360" w:lineRule="auto"/>
        <w:ind w:firstLine="480" w:firstLineChars="200"/>
        <w:rPr>
          <w:rFonts w:hint="eastAsia" w:ascii="宋体" w:hAnsi="宋体"/>
          <w:color w:val="000000"/>
          <w:sz w:val="24"/>
        </w:rPr>
      </w:pPr>
      <w:r>
        <w:rPr>
          <w:rFonts w:hint="eastAsia" w:ascii="宋体" w:hAnsi="宋体"/>
          <w:color w:val="000000"/>
          <w:sz w:val="24"/>
        </w:rPr>
        <w:t>（2）学习中国近现代史的目的</w:t>
      </w:r>
    </w:p>
    <w:p w14:paraId="747FD0EF">
      <w:pPr>
        <w:spacing w:line="360" w:lineRule="auto"/>
        <w:ind w:firstLine="482" w:firstLineChars="200"/>
        <w:rPr>
          <w:rFonts w:hint="eastAsia" w:ascii="宋体" w:hAnsi="宋体"/>
          <w:b/>
          <w:bCs/>
          <w:sz w:val="24"/>
          <w:szCs w:val="28"/>
        </w:rPr>
      </w:pPr>
      <w:r>
        <w:rPr>
          <w:rFonts w:hint="eastAsia" w:ascii="宋体" w:hAnsi="宋体"/>
          <w:b/>
          <w:sz w:val="24"/>
        </w:rPr>
        <w:t>（二）</w:t>
      </w:r>
      <w:r>
        <w:rPr>
          <w:rFonts w:hint="eastAsia" w:ascii="宋体" w:hAnsi="宋体"/>
          <w:b/>
          <w:bCs/>
          <w:sz w:val="24"/>
          <w:szCs w:val="28"/>
        </w:rPr>
        <w:t>进入近代后中华民族的磨难与抗争</w:t>
      </w:r>
    </w:p>
    <w:p w14:paraId="6C575E8C">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372EF519">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鸦片战争前后的中国与世界</w:t>
      </w:r>
    </w:p>
    <w:p w14:paraId="3C9B1107">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西方列强对中国的侵略</w:t>
      </w:r>
    </w:p>
    <w:p w14:paraId="0531E679">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反抗外国武装侵略的斗争</w:t>
      </w:r>
    </w:p>
    <w:p w14:paraId="090B9321">
      <w:pPr>
        <w:spacing w:line="360" w:lineRule="auto"/>
        <w:ind w:firstLine="480" w:firstLineChars="200"/>
        <w:rPr>
          <w:rFonts w:hint="eastAsia" w:ascii="宋体" w:hAnsi="宋体"/>
          <w:color w:val="000000"/>
          <w:sz w:val="24"/>
        </w:rPr>
      </w:pPr>
      <w:r>
        <w:rPr>
          <w:rFonts w:ascii="宋体" w:hAnsi="宋体"/>
          <w:sz w:val="24"/>
        </w:rPr>
        <w:t>（4）</w:t>
      </w:r>
      <w:r>
        <w:rPr>
          <w:rFonts w:hint="eastAsia" w:ascii="宋体" w:hAnsi="宋体"/>
          <w:sz w:val="24"/>
        </w:rPr>
        <w:t>反侵略战争的失败与民族意识的觉醒</w:t>
      </w:r>
    </w:p>
    <w:p w14:paraId="3AB3D9BF">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71C809F">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认识近代以来西方列强对中国的侵略</w:t>
      </w:r>
    </w:p>
    <w:p w14:paraId="27028576">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了解近代以来中国人民的反侵略斗争</w:t>
      </w:r>
    </w:p>
    <w:p w14:paraId="3ECECB48">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理解反侵略战争的失败如何引起民族意识的觉醒</w:t>
      </w:r>
    </w:p>
    <w:p w14:paraId="555E182A">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69CE665C">
      <w:pPr>
        <w:spacing w:line="360" w:lineRule="auto"/>
        <w:ind w:firstLine="480" w:firstLineChars="200"/>
        <w:rPr>
          <w:rFonts w:hint="eastAsia" w:ascii="宋体" w:hAnsi="宋体"/>
          <w:color w:val="000000"/>
          <w:sz w:val="24"/>
        </w:rPr>
      </w:pPr>
      <w:r>
        <w:rPr>
          <w:rFonts w:hint="eastAsia" w:ascii="宋体" w:hAnsi="宋体"/>
          <w:color w:val="000000"/>
          <w:sz w:val="24"/>
        </w:rPr>
        <w:t>（1）反侵略战争失败的根本原因</w:t>
      </w:r>
    </w:p>
    <w:p w14:paraId="724CB544">
      <w:pPr>
        <w:spacing w:line="360" w:lineRule="auto"/>
        <w:ind w:firstLine="480" w:firstLineChars="200"/>
        <w:rPr>
          <w:rFonts w:hint="eastAsia" w:ascii="宋体" w:hAnsi="宋体"/>
          <w:color w:val="000000"/>
          <w:sz w:val="24"/>
        </w:rPr>
      </w:pPr>
      <w:r>
        <w:rPr>
          <w:rFonts w:hint="eastAsia" w:ascii="宋体" w:hAnsi="宋体"/>
          <w:color w:val="000000"/>
          <w:sz w:val="24"/>
        </w:rPr>
        <w:t>（2）反侵略战争失败的历史教训</w:t>
      </w:r>
    </w:p>
    <w:p w14:paraId="3407F404">
      <w:pPr>
        <w:spacing w:line="360" w:lineRule="auto"/>
        <w:ind w:firstLine="482" w:firstLineChars="200"/>
        <w:rPr>
          <w:rFonts w:hint="eastAsia" w:ascii="宋体" w:hAnsi="宋体"/>
          <w:b/>
          <w:bCs/>
          <w:sz w:val="24"/>
          <w:szCs w:val="28"/>
        </w:rPr>
      </w:pPr>
      <w:r>
        <w:rPr>
          <w:rFonts w:hint="eastAsia" w:ascii="宋体" w:hAnsi="宋体"/>
          <w:b/>
          <w:sz w:val="24"/>
        </w:rPr>
        <w:t>（三）</w:t>
      </w:r>
      <w:r>
        <w:rPr>
          <w:rFonts w:hint="eastAsia" w:ascii="宋体" w:hAnsi="宋体"/>
          <w:b/>
          <w:bCs/>
          <w:sz w:val="24"/>
          <w:szCs w:val="28"/>
        </w:rPr>
        <w:t>不同社会力量对国家出路的早期探索</w:t>
      </w:r>
    </w:p>
    <w:p w14:paraId="5AC04815">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1987BC68">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太平天国运动的起落</w:t>
      </w:r>
    </w:p>
    <w:p w14:paraId="4F490C40">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洋务运动的兴衰</w:t>
      </w:r>
    </w:p>
    <w:p w14:paraId="11DF30A2">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维新运动的兴起和夭折</w:t>
      </w:r>
    </w:p>
    <w:p w14:paraId="34DCCEC1">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5113CB46">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认识近代中国不同社会力量对国家出路的早期探索过程</w:t>
      </w:r>
    </w:p>
    <w:p w14:paraId="759BD96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理解近代中国不同社会力量对国家出路早期探索失败的原因</w:t>
      </w:r>
    </w:p>
    <w:p w14:paraId="2C35C0B5">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17EC6AE6">
      <w:pPr>
        <w:spacing w:line="360" w:lineRule="auto"/>
        <w:ind w:firstLine="480" w:firstLineChars="200"/>
        <w:rPr>
          <w:rFonts w:hint="eastAsia" w:ascii="宋体" w:hAnsi="宋体"/>
          <w:color w:val="000000"/>
          <w:sz w:val="24"/>
        </w:rPr>
      </w:pPr>
      <w:r>
        <w:rPr>
          <w:rFonts w:hint="eastAsia" w:ascii="宋体" w:hAnsi="宋体"/>
          <w:color w:val="000000"/>
          <w:sz w:val="24"/>
        </w:rPr>
        <w:t>（1）太平天国运动的意义</w:t>
      </w:r>
    </w:p>
    <w:p w14:paraId="002BEBDD">
      <w:pPr>
        <w:spacing w:line="360" w:lineRule="auto"/>
        <w:ind w:firstLine="480" w:firstLineChars="200"/>
        <w:rPr>
          <w:rFonts w:hint="eastAsia" w:ascii="宋体" w:hAnsi="宋体"/>
          <w:color w:val="000000"/>
          <w:sz w:val="24"/>
        </w:rPr>
      </w:pPr>
      <w:r>
        <w:rPr>
          <w:rFonts w:hint="eastAsia" w:ascii="宋体" w:hAnsi="宋体"/>
          <w:color w:val="000000"/>
          <w:sz w:val="24"/>
        </w:rPr>
        <w:t>（2）洋务运动失败的原因</w:t>
      </w:r>
    </w:p>
    <w:p w14:paraId="7BE794A8">
      <w:pPr>
        <w:spacing w:line="360" w:lineRule="auto"/>
        <w:ind w:firstLine="480" w:firstLineChars="200"/>
        <w:rPr>
          <w:rFonts w:hint="eastAsia" w:ascii="宋体" w:hAnsi="宋体"/>
          <w:color w:val="000000"/>
          <w:sz w:val="24"/>
        </w:rPr>
      </w:pPr>
      <w:r>
        <w:rPr>
          <w:rFonts w:hint="eastAsia" w:ascii="宋体" w:hAnsi="宋体"/>
          <w:color w:val="000000"/>
          <w:sz w:val="24"/>
        </w:rPr>
        <w:t>（</w:t>
      </w:r>
      <w:r>
        <w:rPr>
          <w:rFonts w:ascii="宋体" w:hAnsi="宋体"/>
          <w:color w:val="000000"/>
          <w:sz w:val="24"/>
        </w:rPr>
        <w:t>3</w:t>
      </w:r>
      <w:r>
        <w:rPr>
          <w:rFonts w:hint="eastAsia" w:ascii="宋体" w:hAnsi="宋体"/>
          <w:color w:val="000000"/>
          <w:sz w:val="24"/>
        </w:rPr>
        <w:t>）维新运动失败的教训</w:t>
      </w:r>
    </w:p>
    <w:p w14:paraId="6949DBD3">
      <w:pPr>
        <w:spacing w:line="360" w:lineRule="auto"/>
        <w:ind w:firstLine="482" w:firstLineChars="200"/>
        <w:rPr>
          <w:rFonts w:hint="eastAsia" w:ascii="宋体" w:hAnsi="宋体"/>
          <w:b/>
          <w:bCs/>
          <w:sz w:val="24"/>
          <w:szCs w:val="28"/>
        </w:rPr>
      </w:pPr>
      <w:r>
        <w:rPr>
          <w:rFonts w:hint="eastAsia" w:ascii="宋体" w:hAnsi="宋体"/>
          <w:b/>
          <w:sz w:val="24"/>
        </w:rPr>
        <w:t>（四）</w:t>
      </w:r>
      <w:r>
        <w:rPr>
          <w:rFonts w:hint="eastAsia" w:ascii="宋体" w:hAnsi="宋体"/>
          <w:b/>
          <w:bCs/>
          <w:sz w:val="24"/>
          <w:szCs w:val="28"/>
        </w:rPr>
        <w:t>辛亥革命与君主专制制度的终结</w:t>
      </w:r>
    </w:p>
    <w:p w14:paraId="2B268B43">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53E762AA">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举起近代民族民主革命的旗帜</w:t>
      </w:r>
    </w:p>
    <w:p w14:paraId="580324FC">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辛亥革命与中华民国的建立</w:t>
      </w:r>
    </w:p>
    <w:p w14:paraId="38936D37">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北洋军阀统治与旧民主主义革命的失败</w:t>
      </w:r>
    </w:p>
    <w:p w14:paraId="46F00E99">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B4B7D24">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了解辛亥革命爆发的历史条件</w:t>
      </w:r>
    </w:p>
    <w:p w14:paraId="7966206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认识辛亥革命的历史意义</w:t>
      </w:r>
    </w:p>
    <w:p w14:paraId="70CEB061">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理解辛亥革命失败的原因</w:t>
      </w:r>
    </w:p>
    <w:p w14:paraId="5B024F14">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3F92418E">
      <w:pPr>
        <w:spacing w:line="360" w:lineRule="auto"/>
        <w:ind w:firstLine="480" w:firstLineChars="200"/>
        <w:rPr>
          <w:rFonts w:hint="eastAsia" w:ascii="宋体" w:hAnsi="宋体"/>
          <w:color w:val="000000"/>
          <w:sz w:val="24"/>
        </w:rPr>
      </w:pPr>
      <w:r>
        <w:rPr>
          <w:rFonts w:hint="eastAsia" w:ascii="宋体" w:hAnsi="宋体"/>
          <w:color w:val="000000"/>
          <w:sz w:val="24"/>
        </w:rPr>
        <w:t>（1）辛亥革命爆发的历史条件</w:t>
      </w:r>
    </w:p>
    <w:p w14:paraId="58D024C5">
      <w:pPr>
        <w:spacing w:line="360" w:lineRule="auto"/>
        <w:ind w:firstLine="480" w:firstLineChars="200"/>
        <w:rPr>
          <w:rFonts w:hint="eastAsia" w:ascii="宋体" w:hAnsi="宋体"/>
          <w:color w:val="000000"/>
          <w:sz w:val="24"/>
        </w:rPr>
      </w:pPr>
      <w:r>
        <w:rPr>
          <w:rFonts w:hint="eastAsia" w:ascii="宋体" w:hAnsi="宋体"/>
          <w:color w:val="000000"/>
          <w:sz w:val="24"/>
        </w:rPr>
        <w:t>（2）辛亥革命失败的教训</w:t>
      </w:r>
    </w:p>
    <w:p w14:paraId="3138BCFD">
      <w:pPr>
        <w:spacing w:line="360" w:lineRule="auto"/>
        <w:ind w:firstLine="482" w:firstLineChars="200"/>
        <w:rPr>
          <w:rFonts w:hint="eastAsia" w:ascii="宋体" w:hAnsi="宋体"/>
          <w:b/>
          <w:bCs/>
          <w:sz w:val="24"/>
          <w:szCs w:val="28"/>
        </w:rPr>
      </w:pPr>
      <w:r>
        <w:rPr>
          <w:rFonts w:hint="eastAsia" w:ascii="宋体" w:hAnsi="宋体"/>
          <w:b/>
          <w:sz w:val="24"/>
        </w:rPr>
        <w:t>（五）</w:t>
      </w:r>
      <w:r>
        <w:rPr>
          <w:rFonts w:hint="eastAsia" w:ascii="宋体" w:hAnsi="宋体"/>
          <w:b/>
          <w:bCs/>
          <w:sz w:val="24"/>
          <w:szCs w:val="28"/>
        </w:rPr>
        <w:t>中国共产党成立和中国革命新局面</w:t>
      </w:r>
    </w:p>
    <w:p w14:paraId="75AB1709">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33C613DE">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新文化运动和五四运动</w:t>
      </w:r>
    </w:p>
    <w:p w14:paraId="2D2B7DE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马克思主义广泛传播与中国共产党诞生</w:t>
      </w:r>
    </w:p>
    <w:p w14:paraId="3C761F6F">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中国革命的新局面</w:t>
      </w:r>
    </w:p>
    <w:p w14:paraId="45479EBB">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2E0B50E3">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认识五四运动的历史意义</w:t>
      </w:r>
    </w:p>
    <w:p w14:paraId="5D4CB842">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认识中国共产党成立的背景和过程</w:t>
      </w:r>
    </w:p>
    <w:p w14:paraId="5B22942A">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认识中国共产党推动中国革命出现新局面</w:t>
      </w:r>
    </w:p>
    <w:p w14:paraId="1443AE8A">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2BF67930">
      <w:pPr>
        <w:spacing w:line="360" w:lineRule="auto"/>
        <w:ind w:firstLine="480" w:firstLineChars="200"/>
        <w:rPr>
          <w:rFonts w:hint="eastAsia" w:ascii="宋体" w:hAnsi="宋体"/>
          <w:color w:val="000000"/>
          <w:sz w:val="24"/>
        </w:rPr>
      </w:pPr>
      <w:r>
        <w:rPr>
          <w:rFonts w:hint="eastAsia" w:ascii="宋体" w:hAnsi="宋体"/>
          <w:color w:val="000000"/>
          <w:sz w:val="24"/>
        </w:rPr>
        <w:t>（1）五四运动与五四精神</w:t>
      </w:r>
    </w:p>
    <w:p w14:paraId="498D004E">
      <w:pPr>
        <w:spacing w:line="360" w:lineRule="auto"/>
        <w:ind w:firstLine="480" w:firstLineChars="200"/>
        <w:rPr>
          <w:rFonts w:hint="eastAsia" w:ascii="宋体" w:hAnsi="宋体"/>
          <w:color w:val="000000"/>
          <w:sz w:val="24"/>
        </w:rPr>
      </w:pPr>
      <w:r>
        <w:rPr>
          <w:rFonts w:hint="eastAsia" w:ascii="宋体" w:hAnsi="宋体"/>
          <w:color w:val="000000"/>
          <w:sz w:val="24"/>
        </w:rPr>
        <w:t>（2）中国共产党成立的历史必然性</w:t>
      </w:r>
    </w:p>
    <w:p w14:paraId="42F3A359">
      <w:pPr>
        <w:spacing w:line="360" w:lineRule="auto"/>
        <w:ind w:firstLine="480" w:firstLineChars="200"/>
        <w:rPr>
          <w:rFonts w:hint="eastAsia" w:ascii="宋体" w:hAnsi="宋体"/>
          <w:color w:val="000000"/>
          <w:sz w:val="24"/>
        </w:rPr>
      </w:pPr>
      <w:r>
        <w:rPr>
          <w:rFonts w:hint="eastAsia" w:ascii="宋体" w:hAnsi="宋体"/>
          <w:color w:val="000000"/>
          <w:sz w:val="24"/>
        </w:rPr>
        <w:t>（3）中国共产党成立的伟大意义</w:t>
      </w:r>
    </w:p>
    <w:p w14:paraId="762D726F">
      <w:pPr>
        <w:spacing w:line="360" w:lineRule="auto"/>
        <w:ind w:firstLine="482" w:firstLineChars="200"/>
        <w:rPr>
          <w:rFonts w:hint="eastAsia" w:ascii="宋体" w:hAnsi="宋体"/>
          <w:b/>
          <w:bCs/>
          <w:sz w:val="24"/>
          <w:szCs w:val="28"/>
        </w:rPr>
      </w:pPr>
      <w:r>
        <w:rPr>
          <w:rFonts w:hint="eastAsia" w:ascii="宋体" w:hAnsi="宋体"/>
          <w:b/>
          <w:sz w:val="24"/>
        </w:rPr>
        <w:t>（六）</w:t>
      </w:r>
      <w:r>
        <w:rPr>
          <w:rFonts w:hint="eastAsia" w:ascii="宋体" w:hAnsi="宋体"/>
          <w:b/>
          <w:bCs/>
          <w:sz w:val="24"/>
          <w:szCs w:val="28"/>
        </w:rPr>
        <w:t>中国革命的新道路</w:t>
      </w:r>
    </w:p>
    <w:p w14:paraId="112FB56B">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28032AD8">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中国共产党对革命新道路的探索</w:t>
      </w:r>
    </w:p>
    <w:p w14:paraId="4E886081">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中国革命在曲折中前进</w:t>
      </w:r>
    </w:p>
    <w:p w14:paraId="6DAA2A4A">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3DA4DC61">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认识国民党统治及其本质</w:t>
      </w:r>
    </w:p>
    <w:p w14:paraId="37219BEC">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了解</w:t>
      </w:r>
      <w:bookmarkStart w:id="18" w:name="_Hlk144221413"/>
      <w:r>
        <w:rPr>
          <w:rFonts w:hint="eastAsia" w:ascii="宋体" w:hAnsi="宋体"/>
          <w:sz w:val="24"/>
        </w:rPr>
        <w:t>中国共产党探索革命新道路的艰辛历程</w:t>
      </w:r>
      <w:bookmarkEnd w:id="18"/>
    </w:p>
    <w:p w14:paraId="71DDB6F6">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理解中国革命如何实现伟大转折</w:t>
      </w:r>
    </w:p>
    <w:p w14:paraId="175C3A3F">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0F548DD1">
      <w:pPr>
        <w:spacing w:line="360" w:lineRule="auto"/>
        <w:ind w:firstLine="480" w:firstLineChars="200"/>
        <w:rPr>
          <w:rFonts w:hint="eastAsia" w:ascii="宋体" w:hAnsi="宋体"/>
          <w:color w:val="000000"/>
          <w:sz w:val="24"/>
        </w:rPr>
      </w:pPr>
      <w:r>
        <w:rPr>
          <w:rFonts w:hint="eastAsia" w:ascii="宋体" w:hAnsi="宋体"/>
          <w:color w:val="000000"/>
          <w:sz w:val="24"/>
        </w:rPr>
        <w:t>（1）中国革命新道路的开辟</w:t>
      </w:r>
    </w:p>
    <w:p w14:paraId="2DC7C51E">
      <w:pPr>
        <w:spacing w:line="360" w:lineRule="auto"/>
        <w:ind w:firstLine="480" w:firstLineChars="200"/>
        <w:rPr>
          <w:rFonts w:hint="eastAsia" w:ascii="宋体" w:hAnsi="宋体"/>
          <w:color w:val="000000"/>
          <w:sz w:val="24"/>
        </w:rPr>
      </w:pPr>
      <w:r>
        <w:rPr>
          <w:rFonts w:hint="eastAsia" w:ascii="宋体" w:hAnsi="宋体"/>
          <w:color w:val="000000"/>
          <w:sz w:val="24"/>
        </w:rPr>
        <w:t>（2）遵义会议及其历史意义</w:t>
      </w:r>
    </w:p>
    <w:p w14:paraId="046C906F">
      <w:pPr>
        <w:spacing w:line="360" w:lineRule="auto"/>
        <w:ind w:firstLine="480" w:firstLineChars="200"/>
        <w:rPr>
          <w:rFonts w:hint="eastAsia" w:ascii="宋体" w:hAnsi="宋体"/>
          <w:color w:val="000000"/>
          <w:sz w:val="24"/>
        </w:rPr>
      </w:pPr>
      <w:r>
        <w:rPr>
          <w:rFonts w:hint="eastAsia" w:ascii="宋体" w:hAnsi="宋体"/>
          <w:color w:val="000000"/>
          <w:sz w:val="24"/>
        </w:rPr>
        <w:t>（3）长征精神及其当代价值</w:t>
      </w:r>
    </w:p>
    <w:p w14:paraId="39BA5EA1">
      <w:pPr>
        <w:spacing w:line="360" w:lineRule="auto"/>
        <w:ind w:firstLine="482" w:firstLineChars="200"/>
        <w:rPr>
          <w:rFonts w:hint="eastAsia" w:ascii="宋体" w:hAnsi="宋体"/>
          <w:b/>
          <w:bCs/>
          <w:sz w:val="24"/>
          <w:szCs w:val="28"/>
        </w:rPr>
      </w:pPr>
      <w:r>
        <w:rPr>
          <w:rFonts w:hint="eastAsia" w:ascii="宋体" w:hAnsi="宋体"/>
          <w:b/>
          <w:sz w:val="24"/>
        </w:rPr>
        <w:t>（七）</w:t>
      </w:r>
      <w:r>
        <w:rPr>
          <w:rFonts w:hint="eastAsia" w:ascii="宋体" w:hAnsi="宋体"/>
          <w:b/>
          <w:bCs/>
          <w:sz w:val="24"/>
          <w:szCs w:val="28"/>
        </w:rPr>
        <w:t>中华民族的抗日战争</w:t>
      </w:r>
    </w:p>
    <w:p w14:paraId="611EE341">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775B8DA5">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日本发动企图灭亡中国的侵略战争</w:t>
      </w:r>
    </w:p>
    <w:p w14:paraId="7BFC5404">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中国人民奋起抗击日本侵略者</w:t>
      </w:r>
    </w:p>
    <w:p w14:paraId="37933698">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抗日战争的正面战场</w:t>
      </w:r>
    </w:p>
    <w:p w14:paraId="43FBD089">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抗日战争的中流砥柱</w:t>
      </w:r>
    </w:p>
    <w:p w14:paraId="0AFA0F06">
      <w:pPr>
        <w:spacing w:line="360" w:lineRule="auto"/>
        <w:ind w:firstLine="480" w:firstLineChars="200"/>
        <w:rPr>
          <w:rFonts w:hint="eastAsia" w:ascii="宋体" w:hAnsi="宋体"/>
          <w:color w:val="000000"/>
          <w:sz w:val="24"/>
        </w:rPr>
      </w:pPr>
      <w:bookmarkStart w:id="19" w:name="_Hlk144228850"/>
      <w:r>
        <w:rPr>
          <w:rFonts w:ascii="宋体" w:hAnsi="宋体"/>
          <w:sz w:val="24"/>
        </w:rPr>
        <w:t>（5）</w:t>
      </w:r>
      <w:r>
        <w:rPr>
          <w:rFonts w:hint="eastAsia" w:ascii="宋体" w:hAnsi="宋体"/>
          <w:sz w:val="24"/>
        </w:rPr>
        <w:t>抗日战争的胜利及其意义</w:t>
      </w:r>
      <w:bookmarkEnd w:id="19"/>
    </w:p>
    <w:p w14:paraId="54094662">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64F11CF0">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认识抗日战争的历史进程、主流和本质</w:t>
      </w:r>
    </w:p>
    <w:p w14:paraId="13CBFCE0">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理解中国共产党是全民族抗战的中流砥柱</w:t>
      </w:r>
    </w:p>
    <w:p w14:paraId="6E5A1D9B">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认识抗日战争胜利的重大意义</w:t>
      </w:r>
    </w:p>
    <w:p w14:paraId="55F2249A">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504B0E36">
      <w:pPr>
        <w:spacing w:line="360" w:lineRule="auto"/>
        <w:ind w:firstLine="480" w:firstLineChars="200"/>
        <w:rPr>
          <w:rFonts w:hint="eastAsia" w:ascii="宋体" w:hAnsi="宋体"/>
          <w:color w:val="000000"/>
          <w:sz w:val="24"/>
        </w:rPr>
      </w:pPr>
      <w:r>
        <w:rPr>
          <w:rFonts w:hint="eastAsia" w:ascii="宋体" w:hAnsi="宋体"/>
          <w:color w:val="000000"/>
          <w:sz w:val="24"/>
        </w:rPr>
        <w:t>（1）日本发动企图灭亡中国的侵略战争给中华民族带来的深重灾难</w:t>
      </w:r>
    </w:p>
    <w:p w14:paraId="634BAAAB">
      <w:pPr>
        <w:spacing w:line="360" w:lineRule="auto"/>
        <w:ind w:firstLine="480" w:firstLineChars="200"/>
        <w:rPr>
          <w:rFonts w:hint="eastAsia" w:ascii="宋体" w:hAnsi="宋体"/>
          <w:color w:val="000000"/>
          <w:sz w:val="24"/>
        </w:rPr>
      </w:pPr>
      <w:r>
        <w:rPr>
          <w:rFonts w:hint="eastAsia" w:ascii="宋体" w:hAnsi="宋体"/>
          <w:color w:val="000000"/>
          <w:sz w:val="24"/>
        </w:rPr>
        <w:t>（2）抗日民族统一战线建立和巩固的艰难历程</w:t>
      </w:r>
    </w:p>
    <w:p w14:paraId="74778091">
      <w:pPr>
        <w:spacing w:line="360" w:lineRule="auto"/>
        <w:ind w:firstLine="480" w:firstLineChars="200"/>
        <w:rPr>
          <w:rFonts w:hint="eastAsia" w:ascii="宋体" w:hAnsi="宋体"/>
          <w:color w:val="000000"/>
          <w:sz w:val="24"/>
        </w:rPr>
      </w:pPr>
      <w:r>
        <w:rPr>
          <w:rFonts w:hint="eastAsia" w:ascii="宋体" w:hAnsi="宋体"/>
          <w:color w:val="000000"/>
          <w:sz w:val="24"/>
        </w:rPr>
        <w:t>（3）中国共产党是抗日战争的中流砥柱</w:t>
      </w:r>
    </w:p>
    <w:p w14:paraId="488A99E3">
      <w:pPr>
        <w:spacing w:line="360" w:lineRule="auto"/>
        <w:ind w:firstLine="480" w:firstLineChars="200"/>
        <w:rPr>
          <w:rFonts w:hint="eastAsia" w:ascii="宋体" w:hAnsi="宋体"/>
          <w:color w:val="000000"/>
          <w:sz w:val="24"/>
        </w:rPr>
      </w:pPr>
      <w:r>
        <w:rPr>
          <w:rFonts w:hint="eastAsia" w:ascii="宋体" w:hAnsi="宋体"/>
          <w:color w:val="000000"/>
          <w:sz w:val="24"/>
        </w:rPr>
        <w:t>（4）抗战胜利的伟大意义</w:t>
      </w:r>
    </w:p>
    <w:p w14:paraId="208AF3A9">
      <w:pPr>
        <w:spacing w:line="360" w:lineRule="auto"/>
        <w:ind w:firstLine="482" w:firstLineChars="200"/>
        <w:rPr>
          <w:rFonts w:hint="eastAsia" w:ascii="宋体" w:hAnsi="宋体"/>
          <w:b/>
          <w:bCs/>
          <w:sz w:val="24"/>
          <w:szCs w:val="28"/>
        </w:rPr>
      </w:pPr>
      <w:bookmarkStart w:id="20" w:name="_Hlk144228698"/>
      <w:r>
        <w:rPr>
          <w:rFonts w:hint="eastAsia" w:ascii="宋体" w:hAnsi="宋体"/>
          <w:b/>
          <w:sz w:val="24"/>
        </w:rPr>
        <w:t>（八）</w:t>
      </w:r>
      <w:r>
        <w:rPr>
          <w:rFonts w:hint="eastAsia" w:ascii="宋体" w:hAnsi="宋体"/>
          <w:b/>
          <w:bCs/>
          <w:sz w:val="24"/>
          <w:szCs w:val="28"/>
        </w:rPr>
        <w:t>为建立新中国而奋斗</w:t>
      </w:r>
    </w:p>
    <w:p w14:paraId="3CF5197E">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0B3C9AF1">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从争取和平民主到击退国民党的军事进攻</w:t>
      </w:r>
    </w:p>
    <w:p w14:paraId="2BE8C7C5">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全国解放战争的发展和第二条战线的形成</w:t>
      </w:r>
    </w:p>
    <w:p w14:paraId="0A88273E">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中国共产党与民主党派的团结合作</w:t>
      </w:r>
    </w:p>
    <w:p w14:paraId="65F072B6">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建立人民民主专政的新中国</w:t>
      </w:r>
    </w:p>
    <w:p w14:paraId="7492240B">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EEE5B6D">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认识第二条战线形成和发展的重要意义</w:t>
      </w:r>
    </w:p>
    <w:p w14:paraId="4F7ACD5A">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认识中华人民共和国的建立和中国共产党执政地位的确立是历史和人民的选择</w:t>
      </w:r>
    </w:p>
    <w:p w14:paraId="480852DE">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1E9154A7">
      <w:pPr>
        <w:spacing w:line="360" w:lineRule="auto"/>
        <w:ind w:firstLine="480" w:firstLineChars="200"/>
        <w:rPr>
          <w:rFonts w:hint="eastAsia" w:ascii="宋体" w:hAnsi="宋体"/>
          <w:color w:val="000000"/>
          <w:sz w:val="24"/>
        </w:rPr>
      </w:pPr>
      <w:r>
        <w:rPr>
          <w:rFonts w:hint="eastAsia" w:ascii="宋体" w:hAnsi="宋体"/>
          <w:color w:val="000000"/>
          <w:sz w:val="24"/>
        </w:rPr>
        <w:t>（1）三种建国方案与两个中国命运形成的历史背景</w:t>
      </w:r>
    </w:p>
    <w:p w14:paraId="3B448A27">
      <w:pPr>
        <w:spacing w:line="360" w:lineRule="auto"/>
        <w:ind w:firstLine="480" w:firstLineChars="200"/>
        <w:rPr>
          <w:rFonts w:hint="eastAsia" w:ascii="宋体" w:hAnsi="宋体"/>
          <w:color w:val="000000"/>
          <w:sz w:val="24"/>
        </w:rPr>
      </w:pPr>
      <w:r>
        <w:rPr>
          <w:rFonts w:hint="eastAsia" w:ascii="宋体" w:hAnsi="宋体"/>
          <w:color w:val="000000"/>
          <w:sz w:val="24"/>
        </w:rPr>
        <w:t>（2）新民主主义革命胜利的原因和基本经验</w:t>
      </w:r>
      <w:bookmarkEnd w:id="20"/>
    </w:p>
    <w:p w14:paraId="60A663DD">
      <w:pPr>
        <w:spacing w:line="360" w:lineRule="auto"/>
        <w:ind w:firstLine="482" w:firstLineChars="200"/>
        <w:rPr>
          <w:rFonts w:hint="eastAsia" w:ascii="宋体" w:hAnsi="宋体"/>
          <w:b/>
          <w:bCs/>
          <w:sz w:val="24"/>
          <w:szCs w:val="28"/>
        </w:rPr>
      </w:pPr>
      <w:r>
        <w:rPr>
          <w:rFonts w:hint="eastAsia" w:ascii="宋体" w:hAnsi="宋体"/>
          <w:b/>
          <w:sz w:val="24"/>
        </w:rPr>
        <w:t>（九）</w:t>
      </w:r>
      <w:r>
        <w:rPr>
          <w:rFonts w:hint="eastAsia" w:ascii="宋体" w:hAnsi="宋体"/>
          <w:b/>
          <w:bCs/>
          <w:sz w:val="24"/>
          <w:szCs w:val="28"/>
        </w:rPr>
        <w:t>中华人民共和国的成立与中国社会主义建设道路的探索</w:t>
      </w:r>
    </w:p>
    <w:p w14:paraId="54C7AF40">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73E311AF">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中华人民共和国的成立和新生人民政权的巩固</w:t>
      </w:r>
    </w:p>
    <w:p w14:paraId="596033F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党在过渡时期的总路线及其实施</w:t>
      </w:r>
    </w:p>
    <w:p w14:paraId="3C89A842">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初步确立社会主义基本制度</w:t>
      </w:r>
    </w:p>
    <w:p w14:paraId="1845A2DF">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全面建设社会主义的良好开端</w:t>
      </w:r>
    </w:p>
    <w:p w14:paraId="4FC9B396">
      <w:pPr>
        <w:spacing w:line="360" w:lineRule="auto"/>
        <w:ind w:firstLine="480" w:firstLineChars="200"/>
        <w:rPr>
          <w:rFonts w:hint="eastAsia" w:ascii="宋体" w:hAnsi="宋体"/>
          <w:sz w:val="24"/>
        </w:rPr>
      </w:pPr>
      <w:r>
        <w:rPr>
          <w:rFonts w:ascii="宋体" w:hAnsi="宋体"/>
          <w:sz w:val="24"/>
        </w:rPr>
        <w:t>（5）</w:t>
      </w:r>
      <w:r>
        <w:rPr>
          <w:rFonts w:hint="eastAsia" w:ascii="宋体" w:hAnsi="宋体"/>
          <w:sz w:val="24"/>
        </w:rPr>
        <w:t>社会主义道路的艰辛探索和曲折发展</w:t>
      </w:r>
    </w:p>
    <w:p w14:paraId="0E9F750F">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4FD3FFAB">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了解中华人民共和国的成立和新生人民政权巩固的过程</w:t>
      </w:r>
    </w:p>
    <w:p w14:paraId="36A486C7">
      <w:pPr>
        <w:spacing w:line="360" w:lineRule="auto"/>
        <w:ind w:firstLine="480" w:firstLineChars="200"/>
        <w:rPr>
          <w:rFonts w:hint="eastAsia" w:ascii="宋体" w:hAnsi="宋体"/>
          <w:sz w:val="24"/>
        </w:rPr>
      </w:pPr>
      <w:bookmarkStart w:id="21" w:name="_Hlk144229035"/>
      <w:r>
        <w:rPr>
          <w:rFonts w:ascii="宋体" w:hAnsi="宋体"/>
          <w:sz w:val="24"/>
        </w:rPr>
        <w:t>（2）</w:t>
      </w:r>
      <w:r>
        <w:rPr>
          <w:rFonts w:hint="eastAsia" w:ascii="宋体" w:hAnsi="宋体"/>
          <w:sz w:val="24"/>
        </w:rPr>
        <w:t>认识中华人民共和国走上社会主义道路是历史</w:t>
      </w:r>
      <w:bookmarkEnd w:id="21"/>
      <w:r>
        <w:rPr>
          <w:rFonts w:hint="eastAsia" w:ascii="宋体" w:hAnsi="宋体"/>
          <w:sz w:val="24"/>
        </w:rPr>
        <w:t>和人民的选择</w:t>
      </w:r>
    </w:p>
    <w:p w14:paraId="6904FBB9">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认识中华人民共和国确立社会主义基本制度的历史意义</w:t>
      </w:r>
    </w:p>
    <w:p w14:paraId="7F03431C">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7839AD4B">
      <w:pPr>
        <w:spacing w:line="360" w:lineRule="auto"/>
        <w:ind w:firstLine="480" w:firstLineChars="200"/>
        <w:rPr>
          <w:rFonts w:hint="eastAsia" w:ascii="宋体" w:hAnsi="宋体"/>
          <w:color w:val="000000"/>
          <w:sz w:val="24"/>
        </w:rPr>
      </w:pPr>
      <w:r>
        <w:rPr>
          <w:rFonts w:hint="eastAsia" w:ascii="宋体" w:hAnsi="宋体"/>
          <w:color w:val="000000"/>
          <w:sz w:val="24"/>
        </w:rPr>
        <w:t>（1）社会主义制度在中国的确立是历史和人民的选择</w:t>
      </w:r>
    </w:p>
    <w:p w14:paraId="15CA43BA">
      <w:pPr>
        <w:spacing w:line="360" w:lineRule="auto"/>
        <w:ind w:firstLine="480" w:firstLineChars="200"/>
        <w:rPr>
          <w:rFonts w:hint="eastAsia" w:ascii="宋体" w:hAnsi="宋体"/>
          <w:color w:val="000000"/>
          <w:sz w:val="24"/>
        </w:rPr>
      </w:pPr>
      <w:r>
        <w:rPr>
          <w:rFonts w:hint="eastAsia" w:ascii="宋体" w:hAnsi="宋体"/>
          <w:color w:val="000000"/>
          <w:sz w:val="24"/>
        </w:rPr>
        <w:t>（2）全面建设社会主义的成就和历史经验</w:t>
      </w:r>
    </w:p>
    <w:p w14:paraId="1C26DF11">
      <w:pPr>
        <w:spacing w:line="360" w:lineRule="auto"/>
        <w:ind w:firstLine="482" w:firstLineChars="200"/>
        <w:rPr>
          <w:rFonts w:hint="eastAsia" w:ascii="宋体" w:hAnsi="宋体"/>
          <w:b/>
          <w:bCs/>
          <w:sz w:val="24"/>
          <w:szCs w:val="28"/>
        </w:rPr>
      </w:pPr>
      <w:r>
        <w:rPr>
          <w:rFonts w:hint="eastAsia" w:ascii="宋体" w:hAnsi="宋体"/>
          <w:b/>
          <w:sz w:val="24"/>
        </w:rPr>
        <w:t>（十）</w:t>
      </w:r>
      <w:r>
        <w:rPr>
          <w:rFonts w:hint="eastAsia" w:ascii="宋体" w:hAnsi="宋体"/>
          <w:b/>
          <w:bCs/>
          <w:sz w:val="24"/>
          <w:szCs w:val="28"/>
        </w:rPr>
        <w:t>改革开放与中国特色社会主义的开创和发展</w:t>
      </w:r>
    </w:p>
    <w:p w14:paraId="4A42A10D">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4714106B">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历史性的伟大转折和改革开放的起步</w:t>
      </w:r>
    </w:p>
    <w:p w14:paraId="7D762339">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改革开放和社会主义现代化建设新局面</w:t>
      </w:r>
    </w:p>
    <w:p w14:paraId="52B9425B">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把中国特色社会主义推向21世纪</w:t>
      </w:r>
    </w:p>
    <w:p w14:paraId="6485EAC4">
      <w:pPr>
        <w:spacing w:line="360" w:lineRule="auto"/>
        <w:ind w:firstLine="480" w:firstLineChars="200"/>
        <w:rPr>
          <w:rFonts w:hint="eastAsia" w:ascii="宋体" w:hAnsi="宋体"/>
          <w:sz w:val="24"/>
        </w:rPr>
      </w:pPr>
      <w:r>
        <w:rPr>
          <w:rFonts w:ascii="宋体" w:hAnsi="宋体"/>
          <w:sz w:val="24"/>
        </w:rPr>
        <w:t>（4）</w:t>
      </w:r>
      <w:r>
        <w:rPr>
          <w:rFonts w:hint="eastAsia" w:ascii="宋体" w:hAnsi="宋体"/>
          <w:sz w:val="24"/>
        </w:rPr>
        <w:t>在新形势下坚持和发展中国特色社会主义</w:t>
      </w:r>
    </w:p>
    <w:p w14:paraId="377599E9">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7806405E">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认识历史性的伟大转折和社会主义现代化建设新局面</w:t>
      </w:r>
    </w:p>
    <w:p w14:paraId="391916C6">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认识改革开放和社会主义现代化建设发展的历史进程</w:t>
      </w:r>
    </w:p>
    <w:p w14:paraId="7DF4C8DF">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32B81707">
      <w:pPr>
        <w:spacing w:line="360" w:lineRule="auto"/>
        <w:ind w:firstLine="480" w:firstLineChars="200"/>
        <w:rPr>
          <w:rFonts w:hint="eastAsia" w:ascii="宋体" w:hAnsi="宋体"/>
          <w:color w:val="000000"/>
          <w:sz w:val="24"/>
        </w:rPr>
      </w:pPr>
      <w:r>
        <w:rPr>
          <w:rFonts w:hint="eastAsia" w:ascii="宋体" w:hAnsi="宋体"/>
          <w:color w:val="000000"/>
          <w:sz w:val="24"/>
        </w:rPr>
        <w:t>（1）改革开放的发展成就和历史意义</w:t>
      </w:r>
    </w:p>
    <w:p w14:paraId="3A7EDD46">
      <w:pPr>
        <w:spacing w:line="360" w:lineRule="auto"/>
        <w:ind w:firstLine="480" w:firstLineChars="200"/>
        <w:rPr>
          <w:rFonts w:hint="eastAsia" w:ascii="宋体" w:hAnsi="宋体"/>
          <w:b/>
          <w:sz w:val="28"/>
          <w:szCs w:val="28"/>
        </w:rPr>
      </w:pPr>
      <w:r>
        <w:rPr>
          <w:rFonts w:hint="eastAsia" w:ascii="宋体" w:hAnsi="宋体"/>
          <w:color w:val="000000"/>
          <w:sz w:val="24"/>
        </w:rPr>
        <w:t>（2）中国特色社会主义的开创和发展</w:t>
      </w:r>
    </w:p>
    <w:p w14:paraId="6D6745CB">
      <w:pPr>
        <w:spacing w:line="360" w:lineRule="auto"/>
        <w:ind w:firstLine="482" w:firstLineChars="200"/>
        <w:rPr>
          <w:rFonts w:hint="eastAsia" w:ascii="宋体" w:hAnsi="宋体"/>
          <w:b/>
          <w:bCs/>
          <w:sz w:val="24"/>
          <w:szCs w:val="28"/>
        </w:rPr>
      </w:pPr>
      <w:r>
        <w:rPr>
          <w:rFonts w:hint="eastAsia" w:ascii="宋体" w:hAnsi="宋体"/>
          <w:b/>
          <w:sz w:val="24"/>
        </w:rPr>
        <w:t>（十一）</w:t>
      </w:r>
      <w:r>
        <w:rPr>
          <w:rFonts w:hint="eastAsia" w:ascii="宋体" w:hAnsi="宋体"/>
          <w:b/>
          <w:bCs/>
          <w:sz w:val="24"/>
          <w:szCs w:val="28"/>
        </w:rPr>
        <w:t>中国特色社会主义进入新时代</w:t>
      </w:r>
    </w:p>
    <w:p w14:paraId="12678D3E">
      <w:pPr>
        <w:spacing w:line="360" w:lineRule="auto"/>
        <w:ind w:firstLine="480" w:firstLineChars="200"/>
        <w:rPr>
          <w:rFonts w:hint="eastAsia" w:ascii="宋体" w:hAnsi="宋体"/>
          <w:color w:val="000000"/>
          <w:sz w:val="24"/>
        </w:rPr>
      </w:pPr>
      <w:r>
        <w:rPr>
          <w:rFonts w:ascii="宋体" w:hAnsi="宋体"/>
          <w:color w:val="000000"/>
          <w:sz w:val="24"/>
        </w:rPr>
        <w:t>1.</w:t>
      </w:r>
      <w:r>
        <w:rPr>
          <w:rFonts w:hint="eastAsia" w:ascii="宋体" w:hAnsi="宋体"/>
          <w:color w:val="000000"/>
          <w:sz w:val="24"/>
        </w:rPr>
        <w:t>教学内容</w:t>
      </w:r>
    </w:p>
    <w:p w14:paraId="6F9E581E">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开拓中国特色社会主义更为广阔的发展前景</w:t>
      </w:r>
    </w:p>
    <w:p w14:paraId="4D85379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把新时代中国特色社会主义不断推向前进</w:t>
      </w:r>
    </w:p>
    <w:p w14:paraId="21A21D85">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开启全面建设社会主义现代化国家新征程</w:t>
      </w:r>
    </w:p>
    <w:p w14:paraId="25E5C14E">
      <w:pPr>
        <w:spacing w:line="360" w:lineRule="auto"/>
        <w:ind w:firstLine="480" w:firstLineChars="200"/>
        <w:rPr>
          <w:rFonts w:hint="eastAsia" w:ascii="宋体" w:hAnsi="宋体"/>
          <w:color w:val="000000"/>
          <w:sz w:val="24"/>
        </w:rPr>
      </w:pPr>
      <w:r>
        <w:rPr>
          <w:rFonts w:ascii="宋体" w:hAnsi="宋体"/>
          <w:color w:val="000000"/>
          <w:sz w:val="24"/>
        </w:rPr>
        <w:t>2.基本要求</w:t>
      </w:r>
    </w:p>
    <w:p w14:paraId="24AAC506">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了解中国特色社会主义进入新时代的发展成就</w:t>
      </w:r>
    </w:p>
    <w:p w14:paraId="4D52226D">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认识习近平新时代中国特色社会主义思想的意义</w:t>
      </w:r>
    </w:p>
    <w:p w14:paraId="05E2FA17">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认识中国共产党的百年奋斗重大成就和历史经验</w:t>
      </w:r>
    </w:p>
    <w:p w14:paraId="5739A1AD">
      <w:pPr>
        <w:spacing w:line="360" w:lineRule="auto"/>
        <w:ind w:firstLine="480" w:firstLineChars="200"/>
        <w:rPr>
          <w:rFonts w:hint="eastAsia" w:ascii="宋体" w:hAnsi="宋体"/>
          <w:color w:val="000000"/>
          <w:sz w:val="24"/>
        </w:rPr>
      </w:pPr>
      <w:r>
        <w:rPr>
          <w:rFonts w:ascii="宋体" w:hAnsi="宋体"/>
          <w:color w:val="000000"/>
          <w:sz w:val="24"/>
        </w:rPr>
        <w:t>3.</w:t>
      </w:r>
      <w:r>
        <w:rPr>
          <w:rFonts w:hint="eastAsia" w:ascii="宋体" w:hAnsi="宋体"/>
          <w:color w:val="000000"/>
          <w:sz w:val="24"/>
        </w:rPr>
        <w:t>重点难点</w:t>
      </w:r>
    </w:p>
    <w:p w14:paraId="5ADF99D7">
      <w:pPr>
        <w:spacing w:line="360" w:lineRule="auto"/>
        <w:ind w:firstLine="480" w:firstLineChars="200"/>
        <w:rPr>
          <w:rFonts w:hint="eastAsia" w:ascii="宋体" w:hAnsi="宋体"/>
          <w:color w:val="000000"/>
          <w:sz w:val="24"/>
        </w:rPr>
      </w:pPr>
      <w:r>
        <w:rPr>
          <w:rFonts w:hint="eastAsia" w:ascii="宋体" w:hAnsi="宋体"/>
          <w:color w:val="000000"/>
          <w:sz w:val="24"/>
        </w:rPr>
        <w:t>（1）中国特色社会主义进入新时代的历史方位</w:t>
      </w:r>
    </w:p>
    <w:p w14:paraId="1B37B748">
      <w:pPr>
        <w:spacing w:line="360" w:lineRule="auto"/>
        <w:ind w:firstLine="480" w:firstLineChars="200"/>
        <w:rPr>
          <w:rFonts w:hint="eastAsia" w:ascii="宋体" w:hAnsi="宋体"/>
          <w:color w:val="000000"/>
          <w:sz w:val="24"/>
        </w:rPr>
      </w:pPr>
      <w:r>
        <w:rPr>
          <w:rFonts w:hint="eastAsia" w:ascii="宋体" w:hAnsi="宋体"/>
          <w:color w:val="000000"/>
          <w:sz w:val="24"/>
        </w:rPr>
        <w:t>（2）习近平新时代中国特色社会主义思想的指导地位</w:t>
      </w:r>
    </w:p>
    <w:p w14:paraId="67DC521D">
      <w:pPr>
        <w:spacing w:line="360" w:lineRule="auto"/>
        <w:ind w:firstLine="480" w:firstLineChars="200"/>
        <w:rPr>
          <w:rFonts w:hint="eastAsia" w:ascii="宋体" w:hAnsi="宋体"/>
          <w:color w:val="000000"/>
          <w:sz w:val="24"/>
        </w:rPr>
      </w:pPr>
      <w:r>
        <w:rPr>
          <w:rFonts w:hint="eastAsia" w:ascii="宋体" w:hAnsi="宋体"/>
          <w:color w:val="000000"/>
          <w:sz w:val="24"/>
        </w:rPr>
        <w:t>（3）以中国式现代化全面推进中华民族伟大复兴</w:t>
      </w:r>
    </w:p>
    <w:p w14:paraId="4395C0F4">
      <w:pPr>
        <w:spacing w:line="360" w:lineRule="auto"/>
        <w:ind w:firstLine="480" w:firstLineChars="200"/>
        <w:rPr>
          <w:color w:val="000000"/>
          <w:sz w:val="24"/>
        </w:rPr>
      </w:pPr>
      <w:r>
        <w:rPr>
          <w:rFonts w:hint="eastAsia"/>
          <w:color w:val="000000"/>
          <w:sz w:val="24"/>
        </w:rPr>
        <w:t>教学内容与</w:t>
      </w:r>
      <w:r>
        <w:rPr>
          <w:color w:val="000000"/>
          <w:sz w:val="24"/>
        </w:rPr>
        <w:t>课程目标的</w:t>
      </w:r>
      <w:r>
        <w:rPr>
          <w:rFonts w:hint="eastAsia"/>
          <w:color w:val="000000"/>
          <w:sz w:val="24"/>
        </w:rPr>
        <w:t>对应关系及</w:t>
      </w:r>
      <w:r>
        <w:rPr>
          <w:color w:val="000000"/>
          <w:sz w:val="24"/>
        </w:rPr>
        <w:t>学时分配</w:t>
      </w:r>
      <w:r>
        <w:rPr>
          <w:rFonts w:hint="eastAsia"/>
          <w:color w:val="000000"/>
          <w:sz w:val="24"/>
        </w:rPr>
        <w:t>如表所示。</w:t>
      </w:r>
    </w:p>
    <w:tbl>
      <w:tblPr>
        <w:tblStyle w:val="10"/>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647"/>
        <w:gridCol w:w="1275"/>
        <w:gridCol w:w="1134"/>
        <w:gridCol w:w="709"/>
        <w:gridCol w:w="709"/>
      </w:tblGrid>
      <w:tr w14:paraId="2392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shd w:val="clear" w:color="auto" w:fill="FFFFFF"/>
            <w:vAlign w:val="center"/>
          </w:tcPr>
          <w:p w14:paraId="391478FD">
            <w:pPr>
              <w:jc w:val="center"/>
              <w:rPr>
                <w:color w:val="000000"/>
                <w:szCs w:val="21"/>
              </w:rPr>
            </w:pPr>
            <w:r>
              <w:rPr>
                <w:rFonts w:hint="eastAsia"/>
                <w:color w:val="000000"/>
                <w:szCs w:val="21"/>
              </w:rPr>
              <w:t>序号</w:t>
            </w:r>
          </w:p>
        </w:tc>
        <w:tc>
          <w:tcPr>
            <w:tcW w:w="3647" w:type="dxa"/>
            <w:shd w:val="clear" w:color="auto" w:fill="FFFFFF"/>
            <w:vAlign w:val="center"/>
          </w:tcPr>
          <w:p w14:paraId="4E021DC3">
            <w:pPr>
              <w:jc w:val="center"/>
              <w:rPr>
                <w:color w:val="000000"/>
                <w:szCs w:val="21"/>
              </w:rPr>
            </w:pPr>
            <w:r>
              <w:rPr>
                <w:color w:val="000000"/>
                <w:szCs w:val="21"/>
              </w:rPr>
              <w:t>教学内容</w:t>
            </w:r>
          </w:p>
        </w:tc>
        <w:tc>
          <w:tcPr>
            <w:tcW w:w="1275" w:type="dxa"/>
            <w:shd w:val="clear" w:color="auto" w:fill="FFFFFF"/>
            <w:vAlign w:val="center"/>
          </w:tcPr>
          <w:p w14:paraId="5BEA8C79">
            <w:pPr>
              <w:jc w:val="center"/>
              <w:rPr>
                <w:szCs w:val="21"/>
              </w:rPr>
            </w:pPr>
            <w:r>
              <w:rPr>
                <w:szCs w:val="21"/>
              </w:rPr>
              <w:t>支撑</w:t>
            </w:r>
            <w:r>
              <w:rPr>
                <w:rFonts w:hint="eastAsia"/>
                <w:szCs w:val="21"/>
              </w:rPr>
              <w:t>的</w:t>
            </w:r>
          </w:p>
          <w:p w14:paraId="49C38755">
            <w:pPr>
              <w:jc w:val="center"/>
              <w:rPr>
                <w:szCs w:val="21"/>
              </w:rPr>
            </w:pPr>
            <w:r>
              <w:rPr>
                <w:szCs w:val="21"/>
              </w:rPr>
              <w:t>课程目标</w:t>
            </w:r>
          </w:p>
        </w:tc>
        <w:tc>
          <w:tcPr>
            <w:tcW w:w="1134" w:type="dxa"/>
            <w:shd w:val="clear" w:color="auto" w:fill="FFFFFF"/>
            <w:vAlign w:val="center"/>
          </w:tcPr>
          <w:p w14:paraId="73000BF7">
            <w:pPr>
              <w:jc w:val="center"/>
              <w:rPr>
                <w:szCs w:val="21"/>
              </w:rPr>
            </w:pPr>
            <w:r>
              <w:rPr>
                <w:szCs w:val="21"/>
              </w:rPr>
              <w:t>支撑</w:t>
            </w:r>
            <w:r>
              <w:rPr>
                <w:rFonts w:hint="eastAsia"/>
                <w:szCs w:val="21"/>
              </w:rPr>
              <w:t>的</w:t>
            </w:r>
          </w:p>
          <w:p w14:paraId="23079841">
            <w:pPr>
              <w:jc w:val="center"/>
              <w:rPr>
                <w:szCs w:val="21"/>
              </w:rPr>
            </w:pPr>
            <w:r>
              <w:rPr>
                <w:szCs w:val="21"/>
              </w:rPr>
              <w:t>毕业要求</w:t>
            </w:r>
          </w:p>
          <w:p w14:paraId="568FC471">
            <w:pPr>
              <w:jc w:val="center"/>
              <w:rPr>
                <w:szCs w:val="21"/>
              </w:rPr>
            </w:pPr>
            <w:r>
              <w:rPr>
                <w:szCs w:val="21"/>
              </w:rPr>
              <w:t>指标点</w:t>
            </w:r>
          </w:p>
        </w:tc>
        <w:tc>
          <w:tcPr>
            <w:tcW w:w="709" w:type="dxa"/>
            <w:shd w:val="clear" w:color="auto" w:fill="FFFFFF"/>
            <w:vAlign w:val="center"/>
          </w:tcPr>
          <w:p w14:paraId="61AB1D4A">
            <w:pPr>
              <w:jc w:val="center"/>
              <w:rPr>
                <w:szCs w:val="21"/>
              </w:rPr>
            </w:pPr>
            <w:r>
              <w:rPr>
                <w:szCs w:val="21"/>
              </w:rPr>
              <w:t>讲</w:t>
            </w:r>
            <w:r>
              <w:rPr>
                <w:rFonts w:hint="eastAsia"/>
                <w:szCs w:val="21"/>
              </w:rPr>
              <w:t>授</w:t>
            </w:r>
          </w:p>
          <w:p w14:paraId="34030990">
            <w:pPr>
              <w:jc w:val="center"/>
              <w:rPr>
                <w:szCs w:val="21"/>
              </w:rPr>
            </w:pPr>
            <w:r>
              <w:rPr>
                <w:szCs w:val="21"/>
              </w:rPr>
              <w:t>学时</w:t>
            </w:r>
          </w:p>
        </w:tc>
        <w:tc>
          <w:tcPr>
            <w:tcW w:w="709" w:type="dxa"/>
            <w:shd w:val="clear" w:color="auto" w:fill="FFFFFF"/>
            <w:vAlign w:val="center"/>
          </w:tcPr>
          <w:p w14:paraId="6348D22E">
            <w:pPr>
              <w:jc w:val="center"/>
              <w:rPr>
                <w:szCs w:val="21"/>
              </w:rPr>
            </w:pPr>
            <w:r>
              <w:rPr>
                <w:rFonts w:hint="eastAsia"/>
                <w:szCs w:val="21"/>
              </w:rPr>
              <w:t>实践</w:t>
            </w:r>
          </w:p>
          <w:p w14:paraId="4277CC2E">
            <w:pPr>
              <w:jc w:val="center"/>
              <w:rPr>
                <w:szCs w:val="21"/>
              </w:rPr>
            </w:pPr>
            <w:r>
              <w:rPr>
                <w:szCs w:val="21"/>
              </w:rPr>
              <w:t>学时</w:t>
            </w:r>
          </w:p>
        </w:tc>
      </w:tr>
      <w:tr w14:paraId="403C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002B676B">
            <w:pPr>
              <w:jc w:val="center"/>
              <w:rPr>
                <w:szCs w:val="21"/>
              </w:rPr>
            </w:pPr>
            <w:r>
              <w:rPr>
                <w:rFonts w:hint="eastAsia"/>
                <w:szCs w:val="21"/>
              </w:rPr>
              <w:t>1</w:t>
            </w:r>
          </w:p>
        </w:tc>
        <w:tc>
          <w:tcPr>
            <w:tcW w:w="3647" w:type="dxa"/>
            <w:vAlign w:val="center"/>
          </w:tcPr>
          <w:p w14:paraId="2273E190">
            <w:pPr>
              <w:jc w:val="left"/>
              <w:rPr>
                <w:color w:val="000000"/>
                <w:szCs w:val="21"/>
              </w:rPr>
            </w:pPr>
            <w:r>
              <w:rPr>
                <w:rFonts w:hint="eastAsia"/>
                <w:color w:val="000000"/>
                <w:szCs w:val="21"/>
              </w:rPr>
              <w:t>导言</w:t>
            </w:r>
          </w:p>
        </w:tc>
        <w:tc>
          <w:tcPr>
            <w:tcW w:w="1275" w:type="dxa"/>
            <w:vAlign w:val="center"/>
          </w:tcPr>
          <w:p w14:paraId="6084CCF2">
            <w:pPr>
              <w:jc w:val="center"/>
              <w:rPr>
                <w:color w:val="000000"/>
                <w:szCs w:val="21"/>
              </w:rPr>
            </w:pPr>
            <w:r>
              <w:rPr>
                <w:color w:val="000000"/>
                <w:szCs w:val="21"/>
              </w:rPr>
              <w:t>目标</w:t>
            </w:r>
            <w:r>
              <w:rPr>
                <w:rFonts w:hint="eastAsia"/>
                <w:szCs w:val="21"/>
              </w:rPr>
              <w:t>1</w:t>
            </w:r>
          </w:p>
        </w:tc>
        <w:tc>
          <w:tcPr>
            <w:tcW w:w="1134" w:type="dxa"/>
            <w:vAlign w:val="center"/>
          </w:tcPr>
          <w:p w14:paraId="45ABD71B">
            <w:pPr>
              <w:jc w:val="center"/>
              <w:rPr>
                <w:szCs w:val="21"/>
              </w:rPr>
            </w:pPr>
            <w:r>
              <w:rPr>
                <w:szCs w:val="21"/>
              </w:rPr>
              <w:t>8-1</w:t>
            </w:r>
          </w:p>
        </w:tc>
        <w:tc>
          <w:tcPr>
            <w:tcW w:w="709" w:type="dxa"/>
            <w:vAlign w:val="center"/>
          </w:tcPr>
          <w:p w14:paraId="053A29E6">
            <w:pPr>
              <w:jc w:val="center"/>
              <w:rPr>
                <w:szCs w:val="21"/>
              </w:rPr>
            </w:pPr>
            <w:r>
              <w:rPr>
                <w:rFonts w:hint="eastAsia"/>
                <w:szCs w:val="21"/>
              </w:rPr>
              <w:t>3</w:t>
            </w:r>
          </w:p>
        </w:tc>
        <w:tc>
          <w:tcPr>
            <w:tcW w:w="709" w:type="dxa"/>
            <w:vAlign w:val="center"/>
          </w:tcPr>
          <w:p w14:paraId="1EC57CFD">
            <w:pPr>
              <w:jc w:val="center"/>
              <w:rPr>
                <w:szCs w:val="21"/>
              </w:rPr>
            </w:pPr>
          </w:p>
        </w:tc>
      </w:tr>
      <w:tr w14:paraId="1E5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8505E57">
            <w:pPr>
              <w:jc w:val="center"/>
              <w:rPr>
                <w:szCs w:val="21"/>
              </w:rPr>
            </w:pPr>
            <w:r>
              <w:rPr>
                <w:rFonts w:hint="eastAsia"/>
                <w:szCs w:val="21"/>
              </w:rPr>
              <w:t>2</w:t>
            </w:r>
          </w:p>
        </w:tc>
        <w:tc>
          <w:tcPr>
            <w:tcW w:w="3647" w:type="dxa"/>
            <w:vAlign w:val="center"/>
          </w:tcPr>
          <w:p w14:paraId="6AFFC7CE">
            <w:pPr>
              <w:jc w:val="left"/>
              <w:rPr>
                <w:color w:val="000000"/>
                <w:szCs w:val="21"/>
              </w:rPr>
            </w:pPr>
            <w:r>
              <w:rPr>
                <w:rFonts w:hint="eastAsia"/>
                <w:color w:val="000000"/>
                <w:szCs w:val="21"/>
              </w:rPr>
              <w:t>进入近代后中华民族的磨难与抗争</w:t>
            </w:r>
          </w:p>
        </w:tc>
        <w:tc>
          <w:tcPr>
            <w:tcW w:w="1275" w:type="dxa"/>
            <w:vAlign w:val="center"/>
          </w:tcPr>
          <w:p w14:paraId="1522FC93">
            <w:pPr>
              <w:jc w:val="center"/>
              <w:rPr>
                <w:color w:val="000000"/>
                <w:szCs w:val="21"/>
              </w:rPr>
            </w:pPr>
            <w:r>
              <w:rPr>
                <w:rFonts w:hint="eastAsia"/>
                <w:color w:val="000000"/>
                <w:szCs w:val="21"/>
              </w:rPr>
              <w:t>目标1</w:t>
            </w:r>
          </w:p>
        </w:tc>
        <w:tc>
          <w:tcPr>
            <w:tcW w:w="1134" w:type="dxa"/>
            <w:vAlign w:val="center"/>
          </w:tcPr>
          <w:p w14:paraId="4D180471">
            <w:pPr>
              <w:jc w:val="center"/>
              <w:rPr>
                <w:szCs w:val="21"/>
              </w:rPr>
            </w:pPr>
            <w:r>
              <w:rPr>
                <w:szCs w:val="21"/>
              </w:rPr>
              <w:t>8-1</w:t>
            </w:r>
          </w:p>
        </w:tc>
        <w:tc>
          <w:tcPr>
            <w:tcW w:w="709" w:type="dxa"/>
            <w:vAlign w:val="center"/>
          </w:tcPr>
          <w:p w14:paraId="1CF0FCA8">
            <w:pPr>
              <w:jc w:val="center"/>
              <w:rPr>
                <w:szCs w:val="21"/>
              </w:rPr>
            </w:pPr>
            <w:r>
              <w:rPr>
                <w:rFonts w:hint="eastAsia"/>
                <w:szCs w:val="21"/>
              </w:rPr>
              <w:t>3</w:t>
            </w:r>
          </w:p>
        </w:tc>
        <w:tc>
          <w:tcPr>
            <w:tcW w:w="709" w:type="dxa"/>
            <w:vAlign w:val="center"/>
          </w:tcPr>
          <w:p w14:paraId="32522D2E">
            <w:pPr>
              <w:jc w:val="center"/>
              <w:rPr>
                <w:szCs w:val="21"/>
              </w:rPr>
            </w:pPr>
          </w:p>
        </w:tc>
      </w:tr>
      <w:tr w14:paraId="34B8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11F17214">
            <w:pPr>
              <w:jc w:val="center"/>
              <w:rPr>
                <w:szCs w:val="21"/>
              </w:rPr>
            </w:pPr>
            <w:r>
              <w:rPr>
                <w:rFonts w:hint="eastAsia"/>
                <w:szCs w:val="21"/>
              </w:rPr>
              <w:t>3</w:t>
            </w:r>
          </w:p>
        </w:tc>
        <w:tc>
          <w:tcPr>
            <w:tcW w:w="3647" w:type="dxa"/>
            <w:vAlign w:val="center"/>
          </w:tcPr>
          <w:p w14:paraId="4BFBAA67">
            <w:pPr>
              <w:jc w:val="left"/>
              <w:rPr>
                <w:color w:val="000000"/>
                <w:szCs w:val="21"/>
              </w:rPr>
            </w:pPr>
            <w:r>
              <w:rPr>
                <w:rFonts w:hint="eastAsia"/>
                <w:color w:val="000000"/>
                <w:szCs w:val="21"/>
              </w:rPr>
              <w:t>不同社会力量对国家出路的早期探索</w:t>
            </w:r>
          </w:p>
        </w:tc>
        <w:tc>
          <w:tcPr>
            <w:tcW w:w="1275" w:type="dxa"/>
            <w:vAlign w:val="center"/>
          </w:tcPr>
          <w:p w14:paraId="4FD59752">
            <w:pPr>
              <w:jc w:val="center"/>
              <w:rPr>
                <w:color w:val="000000"/>
                <w:szCs w:val="21"/>
              </w:rPr>
            </w:pPr>
            <w:r>
              <w:rPr>
                <w:rFonts w:hint="eastAsia"/>
                <w:color w:val="000000"/>
                <w:szCs w:val="21"/>
              </w:rPr>
              <w:t>目标1</w:t>
            </w:r>
          </w:p>
        </w:tc>
        <w:tc>
          <w:tcPr>
            <w:tcW w:w="1134" w:type="dxa"/>
            <w:vAlign w:val="center"/>
          </w:tcPr>
          <w:p w14:paraId="0AABE827">
            <w:pPr>
              <w:jc w:val="center"/>
              <w:rPr>
                <w:szCs w:val="21"/>
              </w:rPr>
            </w:pPr>
            <w:r>
              <w:rPr>
                <w:szCs w:val="21"/>
              </w:rPr>
              <w:t>8-1</w:t>
            </w:r>
          </w:p>
        </w:tc>
        <w:tc>
          <w:tcPr>
            <w:tcW w:w="709" w:type="dxa"/>
            <w:vAlign w:val="center"/>
          </w:tcPr>
          <w:p w14:paraId="06F2B21C">
            <w:pPr>
              <w:jc w:val="center"/>
              <w:rPr>
                <w:szCs w:val="21"/>
              </w:rPr>
            </w:pPr>
            <w:r>
              <w:rPr>
                <w:rFonts w:hint="eastAsia"/>
                <w:szCs w:val="21"/>
              </w:rPr>
              <w:t>3</w:t>
            </w:r>
          </w:p>
        </w:tc>
        <w:tc>
          <w:tcPr>
            <w:tcW w:w="709" w:type="dxa"/>
            <w:vAlign w:val="center"/>
          </w:tcPr>
          <w:p w14:paraId="369BC3DE">
            <w:pPr>
              <w:jc w:val="center"/>
              <w:rPr>
                <w:szCs w:val="21"/>
              </w:rPr>
            </w:pPr>
          </w:p>
        </w:tc>
      </w:tr>
      <w:tr w14:paraId="78A5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6441A6E">
            <w:pPr>
              <w:jc w:val="center"/>
              <w:rPr>
                <w:szCs w:val="21"/>
              </w:rPr>
            </w:pPr>
            <w:r>
              <w:rPr>
                <w:rFonts w:hint="eastAsia"/>
                <w:szCs w:val="21"/>
              </w:rPr>
              <w:t>4</w:t>
            </w:r>
          </w:p>
        </w:tc>
        <w:tc>
          <w:tcPr>
            <w:tcW w:w="3647" w:type="dxa"/>
            <w:vAlign w:val="center"/>
          </w:tcPr>
          <w:p w14:paraId="2327A338">
            <w:pPr>
              <w:jc w:val="left"/>
              <w:rPr>
                <w:b/>
                <w:sz w:val="24"/>
              </w:rPr>
            </w:pPr>
            <w:r>
              <w:rPr>
                <w:rFonts w:hint="eastAsia"/>
                <w:color w:val="000000"/>
                <w:szCs w:val="21"/>
              </w:rPr>
              <w:t>辛亥革命与君主专制制度的终结</w:t>
            </w:r>
          </w:p>
        </w:tc>
        <w:tc>
          <w:tcPr>
            <w:tcW w:w="1275" w:type="dxa"/>
            <w:vAlign w:val="center"/>
          </w:tcPr>
          <w:p w14:paraId="4DA82EE7">
            <w:pPr>
              <w:jc w:val="center"/>
              <w:rPr>
                <w:color w:val="000000"/>
                <w:szCs w:val="21"/>
              </w:rPr>
            </w:pPr>
            <w:r>
              <w:rPr>
                <w:rFonts w:hint="eastAsia"/>
                <w:color w:val="000000"/>
                <w:szCs w:val="21"/>
              </w:rPr>
              <w:t>目标1</w:t>
            </w:r>
          </w:p>
        </w:tc>
        <w:tc>
          <w:tcPr>
            <w:tcW w:w="1134" w:type="dxa"/>
            <w:vAlign w:val="center"/>
          </w:tcPr>
          <w:p w14:paraId="5179203F">
            <w:pPr>
              <w:jc w:val="center"/>
              <w:rPr>
                <w:szCs w:val="21"/>
              </w:rPr>
            </w:pPr>
            <w:r>
              <w:rPr>
                <w:szCs w:val="21"/>
              </w:rPr>
              <w:t>8-1</w:t>
            </w:r>
          </w:p>
        </w:tc>
        <w:tc>
          <w:tcPr>
            <w:tcW w:w="709" w:type="dxa"/>
            <w:vAlign w:val="center"/>
          </w:tcPr>
          <w:p w14:paraId="00CCF7E3">
            <w:pPr>
              <w:jc w:val="center"/>
              <w:rPr>
                <w:szCs w:val="21"/>
              </w:rPr>
            </w:pPr>
            <w:r>
              <w:rPr>
                <w:rFonts w:hint="eastAsia"/>
                <w:szCs w:val="21"/>
              </w:rPr>
              <w:t>3</w:t>
            </w:r>
          </w:p>
        </w:tc>
        <w:tc>
          <w:tcPr>
            <w:tcW w:w="709" w:type="dxa"/>
            <w:vAlign w:val="center"/>
          </w:tcPr>
          <w:p w14:paraId="2B03E86A">
            <w:pPr>
              <w:jc w:val="center"/>
              <w:rPr>
                <w:szCs w:val="21"/>
              </w:rPr>
            </w:pPr>
          </w:p>
        </w:tc>
      </w:tr>
      <w:tr w14:paraId="2295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08FB839">
            <w:pPr>
              <w:jc w:val="center"/>
              <w:rPr>
                <w:szCs w:val="21"/>
              </w:rPr>
            </w:pPr>
            <w:r>
              <w:rPr>
                <w:rFonts w:hint="eastAsia"/>
                <w:szCs w:val="21"/>
              </w:rPr>
              <w:t>5</w:t>
            </w:r>
          </w:p>
        </w:tc>
        <w:tc>
          <w:tcPr>
            <w:tcW w:w="3647" w:type="dxa"/>
            <w:vAlign w:val="center"/>
          </w:tcPr>
          <w:p w14:paraId="2B3D9B0C">
            <w:pPr>
              <w:jc w:val="left"/>
              <w:rPr>
                <w:b/>
                <w:sz w:val="24"/>
              </w:rPr>
            </w:pPr>
            <w:r>
              <w:rPr>
                <w:rFonts w:hint="eastAsia"/>
                <w:color w:val="000000"/>
                <w:szCs w:val="21"/>
              </w:rPr>
              <w:t>中国共产党成立和中国革命新局面</w:t>
            </w:r>
          </w:p>
        </w:tc>
        <w:tc>
          <w:tcPr>
            <w:tcW w:w="1275" w:type="dxa"/>
            <w:vAlign w:val="center"/>
          </w:tcPr>
          <w:p w14:paraId="54ED46B4">
            <w:pPr>
              <w:jc w:val="center"/>
              <w:rPr>
                <w:color w:val="000000"/>
                <w:szCs w:val="21"/>
              </w:rPr>
            </w:pPr>
            <w:r>
              <w:rPr>
                <w:rFonts w:hint="eastAsia"/>
                <w:color w:val="000000"/>
                <w:szCs w:val="21"/>
              </w:rPr>
              <w:t>目标1</w:t>
            </w:r>
          </w:p>
        </w:tc>
        <w:tc>
          <w:tcPr>
            <w:tcW w:w="1134" w:type="dxa"/>
            <w:vAlign w:val="center"/>
          </w:tcPr>
          <w:p w14:paraId="04163CE6">
            <w:pPr>
              <w:jc w:val="center"/>
              <w:rPr>
                <w:szCs w:val="21"/>
              </w:rPr>
            </w:pPr>
            <w:r>
              <w:rPr>
                <w:szCs w:val="21"/>
              </w:rPr>
              <w:t>8-1</w:t>
            </w:r>
          </w:p>
        </w:tc>
        <w:tc>
          <w:tcPr>
            <w:tcW w:w="709" w:type="dxa"/>
            <w:vAlign w:val="center"/>
          </w:tcPr>
          <w:p w14:paraId="06F9354B">
            <w:pPr>
              <w:jc w:val="center"/>
              <w:rPr>
                <w:szCs w:val="21"/>
              </w:rPr>
            </w:pPr>
            <w:r>
              <w:rPr>
                <w:szCs w:val="21"/>
              </w:rPr>
              <w:t>6</w:t>
            </w:r>
          </w:p>
        </w:tc>
        <w:tc>
          <w:tcPr>
            <w:tcW w:w="709" w:type="dxa"/>
            <w:vAlign w:val="center"/>
          </w:tcPr>
          <w:p w14:paraId="4AB7B188">
            <w:pPr>
              <w:jc w:val="center"/>
              <w:rPr>
                <w:szCs w:val="21"/>
              </w:rPr>
            </w:pPr>
          </w:p>
        </w:tc>
      </w:tr>
      <w:tr w14:paraId="483B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5C11FAF3">
            <w:pPr>
              <w:jc w:val="center"/>
              <w:rPr>
                <w:szCs w:val="21"/>
              </w:rPr>
            </w:pPr>
            <w:r>
              <w:rPr>
                <w:rFonts w:hint="eastAsia"/>
                <w:szCs w:val="21"/>
              </w:rPr>
              <w:t>6</w:t>
            </w:r>
          </w:p>
        </w:tc>
        <w:tc>
          <w:tcPr>
            <w:tcW w:w="3647" w:type="dxa"/>
            <w:vAlign w:val="center"/>
          </w:tcPr>
          <w:p w14:paraId="1597900E">
            <w:pPr>
              <w:jc w:val="left"/>
              <w:rPr>
                <w:b/>
                <w:sz w:val="24"/>
              </w:rPr>
            </w:pPr>
            <w:r>
              <w:rPr>
                <w:rFonts w:hint="eastAsia"/>
                <w:color w:val="000000"/>
                <w:szCs w:val="21"/>
              </w:rPr>
              <w:t>中国革命的新道路</w:t>
            </w:r>
          </w:p>
        </w:tc>
        <w:tc>
          <w:tcPr>
            <w:tcW w:w="1275" w:type="dxa"/>
            <w:vAlign w:val="center"/>
          </w:tcPr>
          <w:p w14:paraId="3E8BBA31">
            <w:pPr>
              <w:jc w:val="center"/>
              <w:rPr>
                <w:color w:val="000000"/>
                <w:szCs w:val="21"/>
              </w:rPr>
            </w:pPr>
            <w:r>
              <w:rPr>
                <w:rFonts w:hint="eastAsia"/>
                <w:color w:val="000000"/>
                <w:szCs w:val="21"/>
              </w:rPr>
              <w:t>目标1</w:t>
            </w:r>
          </w:p>
        </w:tc>
        <w:tc>
          <w:tcPr>
            <w:tcW w:w="1134" w:type="dxa"/>
            <w:vAlign w:val="center"/>
          </w:tcPr>
          <w:p w14:paraId="17636BBB">
            <w:pPr>
              <w:jc w:val="center"/>
              <w:rPr>
                <w:szCs w:val="21"/>
              </w:rPr>
            </w:pPr>
            <w:r>
              <w:rPr>
                <w:szCs w:val="21"/>
              </w:rPr>
              <w:t>8-1</w:t>
            </w:r>
          </w:p>
        </w:tc>
        <w:tc>
          <w:tcPr>
            <w:tcW w:w="709" w:type="dxa"/>
            <w:vAlign w:val="center"/>
          </w:tcPr>
          <w:p w14:paraId="59831DF8">
            <w:pPr>
              <w:jc w:val="center"/>
              <w:rPr>
                <w:szCs w:val="21"/>
              </w:rPr>
            </w:pPr>
            <w:r>
              <w:rPr>
                <w:rFonts w:hint="eastAsia"/>
                <w:szCs w:val="21"/>
              </w:rPr>
              <w:t>3</w:t>
            </w:r>
          </w:p>
        </w:tc>
        <w:tc>
          <w:tcPr>
            <w:tcW w:w="709" w:type="dxa"/>
            <w:vAlign w:val="center"/>
          </w:tcPr>
          <w:p w14:paraId="374051CF">
            <w:pPr>
              <w:jc w:val="center"/>
              <w:rPr>
                <w:szCs w:val="21"/>
              </w:rPr>
            </w:pPr>
          </w:p>
        </w:tc>
      </w:tr>
      <w:tr w14:paraId="0C92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553EAED7">
            <w:pPr>
              <w:jc w:val="center"/>
              <w:rPr>
                <w:szCs w:val="21"/>
              </w:rPr>
            </w:pPr>
            <w:r>
              <w:rPr>
                <w:rFonts w:hint="eastAsia"/>
                <w:szCs w:val="21"/>
              </w:rPr>
              <w:t>7</w:t>
            </w:r>
          </w:p>
        </w:tc>
        <w:tc>
          <w:tcPr>
            <w:tcW w:w="3647" w:type="dxa"/>
            <w:vAlign w:val="center"/>
          </w:tcPr>
          <w:p w14:paraId="129E0C9B">
            <w:pPr>
              <w:jc w:val="left"/>
              <w:rPr>
                <w:b/>
                <w:sz w:val="24"/>
              </w:rPr>
            </w:pPr>
            <w:r>
              <w:rPr>
                <w:rFonts w:hint="eastAsia"/>
                <w:color w:val="000000"/>
                <w:szCs w:val="21"/>
              </w:rPr>
              <w:t>中华民族的抗日战争</w:t>
            </w:r>
          </w:p>
        </w:tc>
        <w:tc>
          <w:tcPr>
            <w:tcW w:w="1275" w:type="dxa"/>
            <w:vAlign w:val="center"/>
          </w:tcPr>
          <w:p w14:paraId="56371824">
            <w:pPr>
              <w:jc w:val="center"/>
              <w:rPr>
                <w:color w:val="000000"/>
                <w:szCs w:val="21"/>
              </w:rPr>
            </w:pPr>
            <w:r>
              <w:rPr>
                <w:rFonts w:hint="eastAsia"/>
                <w:color w:val="000000"/>
                <w:szCs w:val="21"/>
              </w:rPr>
              <w:t>目标1</w:t>
            </w:r>
          </w:p>
        </w:tc>
        <w:tc>
          <w:tcPr>
            <w:tcW w:w="1134" w:type="dxa"/>
            <w:vAlign w:val="center"/>
          </w:tcPr>
          <w:p w14:paraId="6B072F7F">
            <w:pPr>
              <w:jc w:val="center"/>
              <w:rPr>
                <w:szCs w:val="21"/>
              </w:rPr>
            </w:pPr>
            <w:r>
              <w:rPr>
                <w:szCs w:val="21"/>
              </w:rPr>
              <w:t>8-1</w:t>
            </w:r>
          </w:p>
        </w:tc>
        <w:tc>
          <w:tcPr>
            <w:tcW w:w="709" w:type="dxa"/>
            <w:vAlign w:val="center"/>
          </w:tcPr>
          <w:p w14:paraId="768D1766">
            <w:pPr>
              <w:jc w:val="center"/>
              <w:rPr>
                <w:szCs w:val="21"/>
              </w:rPr>
            </w:pPr>
            <w:r>
              <w:rPr>
                <w:rFonts w:hint="eastAsia"/>
                <w:szCs w:val="21"/>
              </w:rPr>
              <w:t>6</w:t>
            </w:r>
          </w:p>
        </w:tc>
        <w:tc>
          <w:tcPr>
            <w:tcW w:w="709" w:type="dxa"/>
            <w:vAlign w:val="center"/>
          </w:tcPr>
          <w:p w14:paraId="52C70B56">
            <w:pPr>
              <w:jc w:val="center"/>
              <w:rPr>
                <w:szCs w:val="21"/>
              </w:rPr>
            </w:pPr>
          </w:p>
        </w:tc>
      </w:tr>
      <w:tr w14:paraId="61EB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1C0BDF94">
            <w:pPr>
              <w:jc w:val="center"/>
              <w:rPr>
                <w:szCs w:val="21"/>
              </w:rPr>
            </w:pPr>
            <w:r>
              <w:rPr>
                <w:rFonts w:hint="eastAsia"/>
                <w:szCs w:val="21"/>
              </w:rPr>
              <w:t>8</w:t>
            </w:r>
          </w:p>
        </w:tc>
        <w:tc>
          <w:tcPr>
            <w:tcW w:w="3647" w:type="dxa"/>
            <w:vAlign w:val="center"/>
          </w:tcPr>
          <w:p w14:paraId="35010FC7">
            <w:pPr>
              <w:jc w:val="left"/>
              <w:rPr>
                <w:b/>
                <w:sz w:val="24"/>
              </w:rPr>
            </w:pPr>
            <w:r>
              <w:rPr>
                <w:rFonts w:hint="eastAsia"/>
                <w:color w:val="000000"/>
                <w:szCs w:val="21"/>
              </w:rPr>
              <w:t>为建立新中国而奋斗</w:t>
            </w:r>
          </w:p>
        </w:tc>
        <w:tc>
          <w:tcPr>
            <w:tcW w:w="1275" w:type="dxa"/>
            <w:vAlign w:val="center"/>
          </w:tcPr>
          <w:p w14:paraId="646DD7A6">
            <w:pPr>
              <w:jc w:val="center"/>
              <w:rPr>
                <w:color w:val="000000"/>
                <w:szCs w:val="21"/>
              </w:rPr>
            </w:pPr>
            <w:r>
              <w:rPr>
                <w:rFonts w:hint="eastAsia"/>
                <w:color w:val="000000"/>
                <w:szCs w:val="21"/>
              </w:rPr>
              <w:t>目标1</w:t>
            </w:r>
          </w:p>
        </w:tc>
        <w:tc>
          <w:tcPr>
            <w:tcW w:w="1134" w:type="dxa"/>
            <w:vAlign w:val="center"/>
          </w:tcPr>
          <w:p w14:paraId="308BA606">
            <w:pPr>
              <w:jc w:val="center"/>
              <w:rPr>
                <w:szCs w:val="21"/>
              </w:rPr>
            </w:pPr>
            <w:r>
              <w:rPr>
                <w:szCs w:val="21"/>
              </w:rPr>
              <w:t>8-1</w:t>
            </w:r>
          </w:p>
        </w:tc>
        <w:tc>
          <w:tcPr>
            <w:tcW w:w="709" w:type="dxa"/>
            <w:vAlign w:val="center"/>
          </w:tcPr>
          <w:p w14:paraId="10A88571">
            <w:pPr>
              <w:jc w:val="center"/>
              <w:rPr>
                <w:szCs w:val="21"/>
              </w:rPr>
            </w:pPr>
            <w:r>
              <w:rPr>
                <w:rFonts w:hint="eastAsia"/>
                <w:szCs w:val="21"/>
              </w:rPr>
              <w:t>3</w:t>
            </w:r>
          </w:p>
        </w:tc>
        <w:tc>
          <w:tcPr>
            <w:tcW w:w="709" w:type="dxa"/>
            <w:vAlign w:val="center"/>
          </w:tcPr>
          <w:p w14:paraId="691FF580">
            <w:pPr>
              <w:jc w:val="center"/>
              <w:rPr>
                <w:szCs w:val="21"/>
              </w:rPr>
            </w:pPr>
          </w:p>
        </w:tc>
      </w:tr>
      <w:tr w14:paraId="7C50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F6D2980">
            <w:pPr>
              <w:jc w:val="center"/>
              <w:rPr>
                <w:szCs w:val="21"/>
              </w:rPr>
            </w:pPr>
            <w:r>
              <w:rPr>
                <w:rFonts w:hint="eastAsia"/>
                <w:szCs w:val="21"/>
              </w:rPr>
              <w:t>9</w:t>
            </w:r>
          </w:p>
        </w:tc>
        <w:tc>
          <w:tcPr>
            <w:tcW w:w="3647" w:type="dxa"/>
            <w:vAlign w:val="center"/>
          </w:tcPr>
          <w:p w14:paraId="0CB7F5F2">
            <w:pPr>
              <w:jc w:val="left"/>
              <w:rPr>
                <w:b/>
                <w:sz w:val="24"/>
              </w:rPr>
            </w:pPr>
            <w:r>
              <w:rPr>
                <w:rFonts w:hint="eastAsia"/>
                <w:color w:val="000000"/>
                <w:szCs w:val="21"/>
              </w:rPr>
              <w:t>中华人民共和国的成立与中国社会主义建设道路的探索</w:t>
            </w:r>
          </w:p>
        </w:tc>
        <w:tc>
          <w:tcPr>
            <w:tcW w:w="1275" w:type="dxa"/>
            <w:vAlign w:val="center"/>
          </w:tcPr>
          <w:p w14:paraId="1747AA73">
            <w:pPr>
              <w:jc w:val="center"/>
              <w:rPr>
                <w:color w:val="000000"/>
                <w:szCs w:val="21"/>
              </w:rPr>
            </w:pPr>
            <w:r>
              <w:rPr>
                <w:rFonts w:hint="eastAsia"/>
                <w:color w:val="000000"/>
                <w:szCs w:val="21"/>
              </w:rPr>
              <w:t>目标1</w:t>
            </w:r>
          </w:p>
        </w:tc>
        <w:tc>
          <w:tcPr>
            <w:tcW w:w="1134" w:type="dxa"/>
            <w:vAlign w:val="center"/>
          </w:tcPr>
          <w:p w14:paraId="6C18969A">
            <w:pPr>
              <w:jc w:val="center"/>
              <w:rPr>
                <w:szCs w:val="21"/>
              </w:rPr>
            </w:pPr>
            <w:r>
              <w:rPr>
                <w:szCs w:val="21"/>
              </w:rPr>
              <w:t>8-1</w:t>
            </w:r>
          </w:p>
        </w:tc>
        <w:tc>
          <w:tcPr>
            <w:tcW w:w="709" w:type="dxa"/>
            <w:vAlign w:val="center"/>
          </w:tcPr>
          <w:p w14:paraId="7995D881">
            <w:pPr>
              <w:jc w:val="center"/>
              <w:rPr>
                <w:szCs w:val="21"/>
              </w:rPr>
            </w:pPr>
            <w:r>
              <w:rPr>
                <w:rFonts w:hint="eastAsia"/>
                <w:szCs w:val="21"/>
              </w:rPr>
              <w:t>3</w:t>
            </w:r>
          </w:p>
        </w:tc>
        <w:tc>
          <w:tcPr>
            <w:tcW w:w="709" w:type="dxa"/>
            <w:vAlign w:val="center"/>
          </w:tcPr>
          <w:p w14:paraId="1B7BA25E">
            <w:pPr>
              <w:jc w:val="center"/>
              <w:rPr>
                <w:szCs w:val="21"/>
              </w:rPr>
            </w:pPr>
          </w:p>
        </w:tc>
      </w:tr>
      <w:tr w14:paraId="4FA9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4079A828">
            <w:pPr>
              <w:jc w:val="center"/>
              <w:rPr>
                <w:szCs w:val="21"/>
              </w:rPr>
            </w:pPr>
            <w:r>
              <w:rPr>
                <w:rFonts w:hint="eastAsia"/>
                <w:szCs w:val="21"/>
              </w:rPr>
              <w:t>1</w:t>
            </w:r>
            <w:r>
              <w:rPr>
                <w:szCs w:val="21"/>
              </w:rPr>
              <w:t>0</w:t>
            </w:r>
          </w:p>
        </w:tc>
        <w:tc>
          <w:tcPr>
            <w:tcW w:w="3647" w:type="dxa"/>
            <w:vAlign w:val="center"/>
          </w:tcPr>
          <w:p w14:paraId="730D6FE9">
            <w:pPr>
              <w:jc w:val="left"/>
              <w:rPr>
                <w:b/>
                <w:sz w:val="24"/>
              </w:rPr>
            </w:pPr>
            <w:r>
              <w:rPr>
                <w:rFonts w:hint="eastAsia"/>
                <w:color w:val="000000"/>
                <w:szCs w:val="21"/>
              </w:rPr>
              <w:t>改革开放与中国特色社会主义的开创和发展</w:t>
            </w:r>
          </w:p>
        </w:tc>
        <w:tc>
          <w:tcPr>
            <w:tcW w:w="1275" w:type="dxa"/>
            <w:vAlign w:val="center"/>
          </w:tcPr>
          <w:p w14:paraId="07831953">
            <w:pPr>
              <w:jc w:val="center"/>
              <w:rPr>
                <w:color w:val="000000"/>
                <w:szCs w:val="21"/>
              </w:rPr>
            </w:pPr>
            <w:r>
              <w:rPr>
                <w:rFonts w:hint="eastAsia"/>
                <w:color w:val="000000"/>
                <w:szCs w:val="21"/>
              </w:rPr>
              <w:t>目标1</w:t>
            </w:r>
          </w:p>
        </w:tc>
        <w:tc>
          <w:tcPr>
            <w:tcW w:w="1134" w:type="dxa"/>
            <w:vAlign w:val="center"/>
          </w:tcPr>
          <w:p w14:paraId="547206B0">
            <w:pPr>
              <w:jc w:val="center"/>
              <w:rPr>
                <w:szCs w:val="21"/>
              </w:rPr>
            </w:pPr>
            <w:r>
              <w:rPr>
                <w:szCs w:val="21"/>
              </w:rPr>
              <w:t>8-1</w:t>
            </w:r>
          </w:p>
        </w:tc>
        <w:tc>
          <w:tcPr>
            <w:tcW w:w="709" w:type="dxa"/>
            <w:vAlign w:val="center"/>
          </w:tcPr>
          <w:p w14:paraId="6152716B">
            <w:pPr>
              <w:jc w:val="center"/>
              <w:rPr>
                <w:szCs w:val="21"/>
              </w:rPr>
            </w:pPr>
            <w:r>
              <w:rPr>
                <w:rFonts w:hint="eastAsia"/>
                <w:szCs w:val="21"/>
              </w:rPr>
              <w:t>3</w:t>
            </w:r>
          </w:p>
        </w:tc>
        <w:tc>
          <w:tcPr>
            <w:tcW w:w="709" w:type="dxa"/>
            <w:vAlign w:val="center"/>
          </w:tcPr>
          <w:p w14:paraId="207E8EC5">
            <w:pPr>
              <w:jc w:val="center"/>
              <w:rPr>
                <w:szCs w:val="21"/>
              </w:rPr>
            </w:pPr>
          </w:p>
        </w:tc>
      </w:tr>
      <w:tr w14:paraId="0220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2395A23D">
            <w:pPr>
              <w:jc w:val="center"/>
              <w:rPr>
                <w:szCs w:val="21"/>
              </w:rPr>
            </w:pPr>
            <w:r>
              <w:rPr>
                <w:rFonts w:hint="eastAsia"/>
                <w:szCs w:val="21"/>
              </w:rPr>
              <w:t>1</w:t>
            </w:r>
            <w:r>
              <w:rPr>
                <w:szCs w:val="21"/>
              </w:rPr>
              <w:t>1</w:t>
            </w:r>
          </w:p>
        </w:tc>
        <w:tc>
          <w:tcPr>
            <w:tcW w:w="3647" w:type="dxa"/>
            <w:vAlign w:val="center"/>
          </w:tcPr>
          <w:p w14:paraId="234B4468">
            <w:pPr>
              <w:jc w:val="left"/>
              <w:rPr>
                <w:color w:val="000000"/>
                <w:szCs w:val="21"/>
              </w:rPr>
            </w:pPr>
            <w:r>
              <w:rPr>
                <w:rFonts w:hint="eastAsia"/>
                <w:color w:val="000000"/>
                <w:szCs w:val="21"/>
              </w:rPr>
              <w:t>中国特色社会主义进入新时代</w:t>
            </w:r>
          </w:p>
        </w:tc>
        <w:tc>
          <w:tcPr>
            <w:tcW w:w="1275" w:type="dxa"/>
            <w:vAlign w:val="center"/>
          </w:tcPr>
          <w:p w14:paraId="28774B4A">
            <w:pPr>
              <w:jc w:val="center"/>
              <w:rPr>
                <w:color w:val="000000"/>
                <w:szCs w:val="21"/>
              </w:rPr>
            </w:pPr>
            <w:r>
              <w:rPr>
                <w:rFonts w:hint="eastAsia"/>
                <w:color w:val="000000"/>
                <w:szCs w:val="21"/>
              </w:rPr>
              <w:t>目标1</w:t>
            </w:r>
          </w:p>
        </w:tc>
        <w:tc>
          <w:tcPr>
            <w:tcW w:w="1134" w:type="dxa"/>
            <w:vAlign w:val="center"/>
          </w:tcPr>
          <w:p w14:paraId="779AE723">
            <w:pPr>
              <w:jc w:val="center"/>
              <w:rPr>
                <w:szCs w:val="21"/>
              </w:rPr>
            </w:pPr>
            <w:r>
              <w:rPr>
                <w:szCs w:val="21"/>
              </w:rPr>
              <w:t>8-1</w:t>
            </w:r>
          </w:p>
        </w:tc>
        <w:tc>
          <w:tcPr>
            <w:tcW w:w="709" w:type="dxa"/>
            <w:vAlign w:val="center"/>
          </w:tcPr>
          <w:p w14:paraId="2EC63941">
            <w:pPr>
              <w:jc w:val="center"/>
              <w:rPr>
                <w:szCs w:val="21"/>
              </w:rPr>
            </w:pPr>
            <w:r>
              <w:rPr>
                <w:rFonts w:hint="eastAsia"/>
                <w:szCs w:val="21"/>
              </w:rPr>
              <w:t>6</w:t>
            </w:r>
          </w:p>
        </w:tc>
        <w:tc>
          <w:tcPr>
            <w:tcW w:w="709" w:type="dxa"/>
            <w:vAlign w:val="center"/>
          </w:tcPr>
          <w:p w14:paraId="3778A4BC">
            <w:pPr>
              <w:jc w:val="center"/>
              <w:rPr>
                <w:szCs w:val="21"/>
              </w:rPr>
            </w:pPr>
          </w:p>
        </w:tc>
      </w:tr>
      <w:tr w14:paraId="5DE4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 w:type="dxa"/>
            <w:vAlign w:val="center"/>
          </w:tcPr>
          <w:p w14:paraId="765CEA20">
            <w:pPr>
              <w:jc w:val="center"/>
              <w:rPr>
                <w:szCs w:val="21"/>
              </w:rPr>
            </w:pPr>
            <w:r>
              <w:rPr>
                <w:rFonts w:hint="eastAsia"/>
                <w:szCs w:val="21"/>
              </w:rPr>
              <w:t>1</w:t>
            </w:r>
            <w:r>
              <w:rPr>
                <w:szCs w:val="21"/>
              </w:rPr>
              <w:t>2</w:t>
            </w:r>
          </w:p>
        </w:tc>
        <w:tc>
          <w:tcPr>
            <w:tcW w:w="3647" w:type="dxa"/>
            <w:vAlign w:val="center"/>
          </w:tcPr>
          <w:p w14:paraId="33865D11">
            <w:pPr>
              <w:jc w:val="left"/>
              <w:rPr>
                <w:color w:val="000000"/>
                <w:szCs w:val="21"/>
              </w:rPr>
            </w:pPr>
            <w:r>
              <w:rPr>
                <w:rFonts w:hint="eastAsia"/>
                <w:color w:val="000000"/>
                <w:szCs w:val="21"/>
              </w:rPr>
              <w:t>思想政治理论课实践</w:t>
            </w:r>
          </w:p>
        </w:tc>
        <w:tc>
          <w:tcPr>
            <w:tcW w:w="1275" w:type="dxa"/>
            <w:vAlign w:val="center"/>
          </w:tcPr>
          <w:p w14:paraId="2849C9F4">
            <w:pPr>
              <w:jc w:val="center"/>
              <w:rPr>
                <w:color w:val="000000"/>
                <w:szCs w:val="21"/>
              </w:rPr>
            </w:pPr>
          </w:p>
        </w:tc>
        <w:tc>
          <w:tcPr>
            <w:tcW w:w="1134" w:type="dxa"/>
            <w:vAlign w:val="center"/>
          </w:tcPr>
          <w:p w14:paraId="45B8EF4C">
            <w:pPr>
              <w:jc w:val="center"/>
              <w:rPr>
                <w:szCs w:val="21"/>
              </w:rPr>
            </w:pPr>
          </w:p>
        </w:tc>
        <w:tc>
          <w:tcPr>
            <w:tcW w:w="709" w:type="dxa"/>
            <w:vAlign w:val="center"/>
          </w:tcPr>
          <w:p w14:paraId="6370E47D">
            <w:pPr>
              <w:jc w:val="center"/>
              <w:rPr>
                <w:szCs w:val="21"/>
              </w:rPr>
            </w:pPr>
          </w:p>
        </w:tc>
        <w:tc>
          <w:tcPr>
            <w:tcW w:w="709" w:type="dxa"/>
            <w:vAlign w:val="center"/>
          </w:tcPr>
          <w:p w14:paraId="074AC578">
            <w:pPr>
              <w:jc w:val="center"/>
              <w:rPr>
                <w:szCs w:val="21"/>
              </w:rPr>
            </w:pPr>
            <w:r>
              <w:rPr>
                <w:rFonts w:hint="eastAsia"/>
                <w:szCs w:val="21"/>
              </w:rPr>
              <w:t>6</w:t>
            </w:r>
          </w:p>
        </w:tc>
      </w:tr>
      <w:tr w14:paraId="3D11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6" w:type="dxa"/>
            <w:gridSpan w:val="4"/>
            <w:vAlign w:val="center"/>
          </w:tcPr>
          <w:p w14:paraId="6BB3D46E">
            <w:pPr>
              <w:jc w:val="center"/>
              <w:rPr>
                <w:szCs w:val="21"/>
              </w:rPr>
            </w:pPr>
            <w:r>
              <w:rPr>
                <w:szCs w:val="21"/>
              </w:rPr>
              <w:t>合计</w:t>
            </w:r>
          </w:p>
        </w:tc>
        <w:tc>
          <w:tcPr>
            <w:tcW w:w="709" w:type="dxa"/>
            <w:vAlign w:val="center"/>
          </w:tcPr>
          <w:p w14:paraId="2DA2AC47">
            <w:pPr>
              <w:jc w:val="center"/>
              <w:rPr>
                <w:szCs w:val="21"/>
              </w:rPr>
            </w:pPr>
            <w:r>
              <w:rPr>
                <w:rFonts w:hint="eastAsia"/>
                <w:szCs w:val="21"/>
              </w:rPr>
              <w:t>4</w:t>
            </w:r>
            <w:r>
              <w:rPr>
                <w:szCs w:val="21"/>
              </w:rPr>
              <w:t>2</w:t>
            </w:r>
          </w:p>
        </w:tc>
        <w:tc>
          <w:tcPr>
            <w:tcW w:w="709" w:type="dxa"/>
            <w:vAlign w:val="center"/>
          </w:tcPr>
          <w:p w14:paraId="5968C3D8">
            <w:pPr>
              <w:jc w:val="center"/>
              <w:rPr>
                <w:szCs w:val="21"/>
              </w:rPr>
            </w:pPr>
            <w:r>
              <w:rPr>
                <w:rFonts w:hint="eastAsia"/>
                <w:szCs w:val="21"/>
              </w:rPr>
              <w:t>6</w:t>
            </w:r>
          </w:p>
        </w:tc>
      </w:tr>
    </w:tbl>
    <w:p w14:paraId="13F3316A">
      <w:pPr>
        <w:spacing w:line="360" w:lineRule="auto"/>
        <w:ind w:firstLine="562" w:firstLineChars="200"/>
        <w:rPr>
          <w:b/>
          <w:sz w:val="28"/>
          <w:szCs w:val="28"/>
        </w:rPr>
      </w:pPr>
      <w:r>
        <w:rPr>
          <w:rFonts w:hint="eastAsia"/>
          <w:b/>
          <w:sz w:val="28"/>
          <w:szCs w:val="28"/>
        </w:rPr>
        <w:t>四、课程实施</w:t>
      </w:r>
    </w:p>
    <w:p w14:paraId="54F1BE2A">
      <w:pPr>
        <w:spacing w:line="360" w:lineRule="auto"/>
        <w:ind w:firstLine="482" w:firstLineChars="200"/>
        <w:rPr>
          <w:b/>
          <w:sz w:val="24"/>
        </w:rPr>
      </w:pPr>
      <w:r>
        <w:rPr>
          <w:rFonts w:hint="eastAsia"/>
          <w:b/>
          <w:sz w:val="24"/>
        </w:rPr>
        <w:t>（一）教学组织</w:t>
      </w:r>
    </w:p>
    <w:p w14:paraId="76C1F9F5">
      <w:pPr>
        <w:spacing w:line="360" w:lineRule="auto"/>
        <w:ind w:firstLine="480" w:firstLineChars="200"/>
        <w:rPr>
          <w:sz w:val="24"/>
        </w:rPr>
      </w:pPr>
      <w:r>
        <w:rPr>
          <w:rFonts w:hint="eastAsia"/>
          <w:sz w:val="24"/>
        </w:rPr>
        <w:t>1.教研室组织任课教师按教学计划进度表在讲授课时内完成理论教学任务，组织对学生的网络学习考核、平时表现考核、作业考核和期末考核，评定学生的课程成绩。</w:t>
      </w:r>
    </w:p>
    <w:p w14:paraId="56E3EE71">
      <w:pPr>
        <w:spacing w:line="360" w:lineRule="auto"/>
        <w:ind w:firstLine="480" w:firstLineChars="200"/>
        <w:rPr>
          <w:sz w:val="24"/>
        </w:rPr>
      </w:pPr>
      <w:r>
        <w:rPr>
          <w:rFonts w:hint="eastAsia"/>
          <w:sz w:val="24"/>
        </w:rPr>
        <w:t>2.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p w14:paraId="4E25A49B">
      <w:pPr>
        <w:spacing w:line="360" w:lineRule="auto"/>
        <w:ind w:firstLine="482" w:firstLineChars="200"/>
        <w:rPr>
          <w:b/>
          <w:sz w:val="24"/>
        </w:rPr>
      </w:pPr>
      <w:r>
        <w:rPr>
          <w:rFonts w:hint="eastAsia"/>
          <w:b/>
          <w:sz w:val="24"/>
        </w:rPr>
        <w:t>（二）教学方法与教学手段</w:t>
      </w:r>
    </w:p>
    <w:p w14:paraId="5258BC02">
      <w:pPr>
        <w:spacing w:line="360" w:lineRule="auto"/>
        <w:ind w:firstLine="480" w:firstLineChars="200"/>
        <w:rPr>
          <w:sz w:val="24"/>
        </w:rPr>
      </w:pPr>
      <w:r>
        <w:rPr>
          <w:sz w:val="24"/>
        </w:rPr>
        <w:t>1.</w:t>
      </w:r>
      <w:r>
        <w:rPr>
          <w:rFonts w:hint="eastAsia"/>
          <w:sz w:val="24"/>
        </w:rPr>
        <w:t>采用研究式、启发式、讨论式、案例式等教学法，结合实际让学生真正了解并掌握中国近现代史的主流和本质，使学生树立正确的历史观念，从而具备社会主义核心价值观和良好的人文科学素养。</w:t>
      </w:r>
    </w:p>
    <w:p w14:paraId="37D82D9B">
      <w:pPr>
        <w:spacing w:line="360" w:lineRule="auto"/>
        <w:ind w:firstLine="480" w:firstLineChars="200"/>
        <w:rPr>
          <w:sz w:val="24"/>
        </w:rPr>
      </w:pPr>
      <w:r>
        <w:rPr>
          <w:sz w:val="24"/>
        </w:rPr>
        <w:t>2.</w:t>
      </w:r>
      <w:r>
        <w:rPr>
          <w:rFonts w:hint="eastAsia"/>
          <w:sz w:val="24"/>
        </w:rPr>
        <w:t>采用多媒体教学手段，结合时事政治和案例分析，引导学生认真思考，在保证讲课进度的同时，注意学生的掌握程度和课堂气氛。</w:t>
      </w:r>
    </w:p>
    <w:p w14:paraId="7D3D2CC8">
      <w:pPr>
        <w:spacing w:line="360" w:lineRule="auto"/>
        <w:ind w:firstLine="482" w:firstLineChars="200"/>
        <w:rPr>
          <w:b/>
          <w:sz w:val="24"/>
        </w:rPr>
      </w:pPr>
      <w:r>
        <w:rPr>
          <w:rFonts w:hint="eastAsia"/>
          <w:b/>
          <w:sz w:val="24"/>
        </w:rPr>
        <w:t>（三）主要教学环节质量要求如表所示。</w:t>
      </w:r>
    </w:p>
    <w:tbl>
      <w:tblPr>
        <w:tblStyle w:val="10"/>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93"/>
        <w:gridCol w:w="6757"/>
      </w:tblGrid>
      <w:tr w14:paraId="6D1E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55" w:type="dxa"/>
            <w:gridSpan w:val="2"/>
            <w:tcMar>
              <w:left w:w="28" w:type="dxa"/>
              <w:right w:w="28" w:type="dxa"/>
            </w:tcMar>
            <w:vAlign w:val="center"/>
          </w:tcPr>
          <w:p w14:paraId="5CEDF2F1">
            <w:pPr>
              <w:jc w:val="center"/>
              <w:rPr>
                <w:szCs w:val="21"/>
              </w:rPr>
            </w:pPr>
            <w:r>
              <w:rPr>
                <w:bCs/>
                <w:szCs w:val="21"/>
              </w:rPr>
              <w:t>主要教学环节</w:t>
            </w:r>
          </w:p>
        </w:tc>
        <w:tc>
          <w:tcPr>
            <w:tcW w:w="6757" w:type="dxa"/>
            <w:vAlign w:val="center"/>
          </w:tcPr>
          <w:p w14:paraId="7C95DE2F">
            <w:pPr>
              <w:jc w:val="center"/>
              <w:rPr>
                <w:szCs w:val="21"/>
              </w:rPr>
            </w:pPr>
            <w:r>
              <w:rPr>
                <w:bCs/>
                <w:szCs w:val="21"/>
              </w:rPr>
              <w:t>质量</w:t>
            </w:r>
            <w:r>
              <w:rPr>
                <w:rFonts w:hint="eastAsia"/>
                <w:bCs/>
                <w:szCs w:val="21"/>
              </w:rPr>
              <w:t>要求</w:t>
            </w:r>
          </w:p>
        </w:tc>
      </w:tr>
      <w:tr w14:paraId="34F5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562" w:type="dxa"/>
            <w:vAlign w:val="center"/>
          </w:tcPr>
          <w:p w14:paraId="28A0DAA1">
            <w:pPr>
              <w:jc w:val="center"/>
              <w:rPr>
                <w:szCs w:val="21"/>
              </w:rPr>
            </w:pPr>
            <w:r>
              <w:rPr>
                <w:szCs w:val="21"/>
              </w:rPr>
              <w:t>1</w:t>
            </w:r>
          </w:p>
        </w:tc>
        <w:tc>
          <w:tcPr>
            <w:tcW w:w="993" w:type="dxa"/>
            <w:tcMar>
              <w:left w:w="28" w:type="dxa"/>
              <w:right w:w="28" w:type="dxa"/>
            </w:tcMar>
            <w:vAlign w:val="center"/>
          </w:tcPr>
          <w:p w14:paraId="5923636F">
            <w:pPr>
              <w:jc w:val="center"/>
              <w:rPr>
                <w:szCs w:val="21"/>
              </w:rPr>
            </w:pPr>
            <w:r>
              <w:rPr>
                <w:szCs w:val="21"/>
              </w:rPr>
              <w:t>备课</w:t>
            </w:r>
          </w:p>
        </w:tc>
        <w:tc>
          <w:tcPr>
            <w:tcW w:w="6757" w:type="dxa"/>
            <w:vAlign w:val="center"/>
          </w:tcPr>
          <w:p w14:paraId="07A73CCC">
            <w:pPr>
              <w:rPr>
                <w:szCs w:val="21"/>
              </w:rPr>
            </w:pPr>
            <w:r>
              <w:rPr>
                <w:rFonts w:hint="eastAsia"/>
                <w:szCs w:val="21"/>
              </w:rPr>
              <w:t>1.掌握本课程教学大纲内容，严格按照教学大纲要求进行本课程教学内容的组织；</w:t>
            </w:r>
          </w:p>
          <w:p w14:paraId="6954579B">
            <w:pPr>
              <w:rPr>
                <w:szCs w:val="21"/>
              </w:rPr>
            </w:pPr>
            <w:r>
              <w:rPr>
                <w:rFonts w:hint="eastAsia"/>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5867D0C4">
            <w:pPr>
              <w:rPr>
                <w:szCs w:val="21"/>
              </w:rPr>
            </w:pPr>
            <w:r>
              <w:rPr>
                <w:szCs w:val="21"/>
              </w:rPr>
              <w:t>3.</w:t>
            </w:r>
            <w:r>
              <w:rPr>
                <w:rFonts w:hint="eastAsia"/>
                <w:szCs w:val="21"/>
              </w:rPr>
              <w:t>结合课程特点，制作课件，运用多媒体教学手段讲授部分教学内容；</w:t>
            </w:r>
          </w:p>
          <w:p w14:paraId="08563506">
            <w:pPr>
              <w:rPr>
                <w:szCs w:val="21"/>
              </w:rPr>
            </w:pPr>
            <w:r>
              <w:rPr>
                <w:szCs w:val="21"/>
              </w:rPr>
              <w:t>4.</w:t>
            </w:r>
            <w:r>
              <w:rPr>
                <w:rFonts w:hint="eastAsia"/>
                <w:szCs w:val="21"/>
              </w:rPr>
              <w:t>确定各章节课程内容的教学方法，构思授课思路、技巧和方法。</w:t>
            </w:r>
          </w:p>
        </w:tc>
      </w:tr>
      <w:tr w14:paraId="3F2E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jc w:val="center"/>
        </w:trPr>
        <w:tc>
          <w:tcPr>
            <w:tcW w:w="562" w:type="dxa"/>
            <w:vAlign w:val="center"/>
          </w:tcPr>
          <w:p w14:paraId="6602013B">
            <w:pPr>
              <w:jc w:val="center"/>
              <w:rPr>
                <w:szCs w:val="21"/>
              </w:rPr>
            </w:pPr>
            <w:r>
              <w:rPr>
                <w:szCs w:val="21"/>
              </w:rPr>
              <w:t>2</w:t>
            </w:r>
          </w:p>
        </w:tc>
        <w:tc>
          <w:tcPr>
            <w:tcW w:w="993" w:type="dxa"/>
            <w:tcMar>
              <w:left w:w="28" w:type="dxa"/>
              <w:right w:w="28" w:type="dxa"/>
            </w:tcMar>
            <w:vAlign w:val="center"/>
          </w:tcPr>
          <w:p w14:paraId="6A07F948">
            <w:pPr>
              <w:jc w:val="center"/>
              <w:rPr>
                <w:szCs w:val="21"/>
              </w:rPr>
            </w:pPr>
            <w:r>
              <w:rPr>
                <w:szCs w:val="21"/>
              </w:rPr>
              <w:t>讲授</w:t>
            </w:r>
          </w:p>
        </w:tc>
        <w:tc>
          <w:tcPr>
            <w:tcW w:w="6757" w:type="dxa"/>
            <w:vAlign w:val="center"/>
          </w:tcPr>
          <w:p w14:paraId="35B8FEE2">
            <w:pPr>
              <w:rPr>
                <w:szCs w:val="21"/>
              </w:rPr>
            </w:pPr>
            <w:r>
              <w:rPr>
                <w:szCs w:val="21"/>
              </w:rPr>
              <w:t>1.</w:t>
            </w:r>
            <w:r>
              <w:rPr>
                <w:rFonts w:hint="eastAsia"/>
                <w:szCs w:val="21"/>
              </w:rPr>
              <w:t>要点准确，推理正确，条理清晰，重点突出，理论联系实际，熟练地解答和讲解例题；</w:t>
            </w:r>
          </w:p>
          <w:p w14:paraId="3B52085E">
            <w:pPr>
              <w:rPr>
                <w:szCs w:val="21"/>
              </w:rPr>
            </w:pPr>
            <w:r>
              <w:rPr>
                <w:szCs w:val="21"/>
              </w:rPr>
              <w:t>2.</w:t>
            </w:r>
            <w:r>
              <w:rPr>
                <w:rFonts w:hint="eastAsia"/>
                <w:szCs w:val="21"/>
              </w:rPr>
              <w:t>采用多种教学方式（如启发式教学、讨论式教学、案例式教学等），注重培养学生的思想政治素质，提高学生发现、分析和解决问题的能力，以便让学生能体会和领略学科研究的思路和方法；</w:t>
            </w:r>
          </w:p>
          <w:p w14:paraId="4990E44C">
            <w:pPr>
              <w:rPr>
                <w:szCs w:val="21"/>
              </w:rPr>
            </w:pPr>
            <w:r>
              <w:rPr>
                <w:szCs w:val="21"/>
              </w:rPr>
              <w:t>3.</w:t>
            </w:r>
            <w:r>
              <w:rPr>
                <w:rFonts w:hint="eastAsia"/>
                <w:szCs w:val="21"/>
              </w:rPr>
              <w:t>运用多媒体教学手段、课堂讨论、辩论、演讲等多种形式开展教学，以培养学生分析问题和解决问题的能力，培养学生语言组织与表达的能力；</w:t>
            </w:r>
          </w:p>
          <w:p w14:paraId="4931D877">
            <w:pPr>
              <w:rPr>
                <w:szCs w:val="21"/>
              </w:rPr>
            </w:pPr>
            <w:r>
              <w:rPr>
                <w:szCs w:val="21"/>
              </w:rPr>
              <w:t>4.</w:t>
            </w:r>
            <w:r>
              <w:rPr>
                <w:rFonts w:hint="eastAsia"/>
                <w:szCs w:val="21"/>
              </w:rPr>
              <w:t>表达方式尽量便于学生理解、接受，力求形象生动，使学生在掌握知识的过程中，保持较为浓厚的兴趣。</w:t>
            </w:r>
          </w:p>
        </w:tc>
      </w:tr>
      <w:tr w14:paraId="64E7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562" w:type="dxa"/>
            <w:vAlign w:val="center"/>
          </w:tcPr>
          <w:p w14:paraId="31FB7955">
            <w:pPr>
              <w:jc w:val="center"/>
              <w:rPr>
                <w:szCs w:val="21"/>
              </w:rPr>
            </w:pPr>
            <w:r>
              <w:rPr>
                <w:szCs w:val="21"/>
              </w:rPr>
              <w:t>3</w:t>
            </w:r>
          </w:p>
        </w:tc>
        <w:tc>
          <w:tcPr>
            <w:tcW w:w="993" w:type="dxa"/>
            <w:tcMar>
              <w:left w:w="28" w:type="dxa"/>
              <w:right w:w="28" w:type="dxa"/>
            </w:tcMar>
            <w:vAlign w:val="center"/>
          </w:tcPr>
          <w:p w14:paraId="3FCC0BC8">
            <w:pPr>
              <w:jc w:val="center"/>
              <w:rPr>
                <w:szCs w:val="21"/>
              </w:rPr>
            </w:pPr>
            <w:r>
              <w:rPr>
                <w:szCs w:val="21"/>
              </w:rPr>
              <w:t>作业布置</w:t>
            </w:r>
          </w:p>
          <w:p w14:paraId="46B5F2C3">
            <w:pPr>
              <w:jc w:val="center"/>
              <w:rPr>
                <w:szCs w:val="21"/>
              </w:rPr>
            </w:pPr>
            <w:r>
              <w:rPr>
                <w:szCs w:val="21"/>
              </w:rPr>
              <w:t>与批改</w:t>
            </w:r>
          </w:p>
        </w:tc>
        <w:tc>
          <w:tcPr>
            <w:tcW w:w="6757" w:type="dxa"/>
            <w:vAlign w:val="center"/>
          </w:tcPr>
          <w:p w14:paraId="1BF85317">
            <w:pPr>
              <w:rPr>
                <w:szCs w:val="21"/>
              </w:rPr>
            </w:pPr>
            <w:r>
              <w:rPr>
                <w:rFonts w:hint="eastAsia"/>
                <w:szCs w:val="21"/>
              </w:rPr>
              <w:t>学生完成作业必须达到以下基本要求：</w:t>
            </w:r>
          </w:p>
          <w:p w14:paraId="1DA5F77B">
            <w:pPr>
              <w:rPr>
                <w:szCs w:val="21"/>
              </w:rPr>
            </w:pPr>
            <w:r>
              <w:rPr>
                <w:rFonts w:hint="eastAsia"/>
                <w:szCs w:val="21"/>
              </w:rPr>
              <w:t>1</w:t>
            </w:r>
            <w:r>
              <w:rPr>
                <w:szCs w:val="21"/>
              </w:rPr>
              <w:t>.</w:t>
            </w:r>
            <w:r>
              <w:rPr>
                <w:rFonts w:hint="eastAsia"/>
                <w:szCs w:val="21"/>
              </w:rPr>
              <w:t>按时按量完成作业，不缺交，不抄袭；</w:t>
            </w:r>
          </w:p>
          <w:p w14:paraId="4AED032B">
            <w:pPr>
              <w:rPr>
                <w:szCs w:val="21"/>
              </w:rPr>
            </w:pPr>
            <w:r>
              <w:rPr>
                <w:rFonts w:hint="eastAsia"/>
                <w:szCs w:val="21"/>
              </w:rPr>
              <w:t>2</w:t>
            </w:r>
            <w:r>
              <w:rPr>
                <w:szCs w:val="21"/>
              </w:rPr>
              <w:t>.</w:t>
            </w:r>
            <w:r>
              <w:rPr>
                <w:rFonts w:hint="eastAsia"/>
                <w:szCs w:val="21"/>
              </w:rPr>
              <w:t>作业本规范，书写清晰；</w:t>
            </w:r>
          </w:p>
          <w:p w14:paraId="18CA6A6E">
            <w:pPr>
              <w:rPr>
                <w:szCs w:val="21"/>
              </w:rPr>
            </w:pPr>
            <w:r>
              <w:rPr>
                <w:rFonts w:hint="eastAsia"/>
                <w:szCs w:val="21"/>
              </w:rPr>
              <w:t>3</w:t>
            </w:r>
            <w:r>
              <w:rPr>
                <w:szCs w:val="21"/>
              </w:rPr>
              <w:t>.</w:t>
            </w:r>
            <w:r>
              <w:rPr>
                <w:rFonts w:hint="eastAsia"/>
                <w:szCs w:val="21"/>
              </w:rPr>
              <w:t>作业要结构完整、层次分明、逻辑严密，符合学科语言表达规范。</w:t>
            </w:r>
          </w:p>
          <w:p w14:paraId="3ED7938B">
            <w:pPr>
              <w:rPr>
                <w:szCs w:val="21"/>
              </w:rPr>
            </w:pPr>
            <w:r>
              <w:rPr>
                <w:rFonts w:hint="eastAsia"/>
                <w:szCs w:val="21"/>
              </w:rPr>
              <w:t>教师批改或讲评作业要求如下：</w:t>
            </w:r>
          </w:p>
          <w:p w14:paraId="49E8A929">
            <w:pPr>
              <w:rPr>
                <w:szCs w:val="21"/>
              </w:rPr>
            </w:pPr>
            <w:r>
              <w:rPr>
                <w:rFonts w:hint="eastAsia"/>
                <w:szCs w:val="21"/>
              </w:rPr>
              <w:t>1</w:t>
            </w:r>
            <w:r>
              <w:rPr>
                <w:szCs w:val="21"/>
              </w:rPr>
              <w:t>.</w:t>
            </w:r>
            <w:r>
              <w:rPr>
                <w:rFonts w:hint="eastAsia"/>
                <w:szCs w:val="21"/>
              </w:rPr>
              <w:t>学生的作业要全批全改，并按时批改、讲评学生每次交来的作业；</w:t>
            </w:r>
          </w:p>
          <w:p w14:paraId="12799C99">
            <w:pPr>
              <w:rPr>
                <w:szCs w:val="21"/>
              </w:rPr>
            </w:pPr>
            <w:r>
              <w:rPr>
                <w:rFonts w:hint="eastAsia"/>
                <w:szCs w:val="21"/>
              </w:rPr>
              <w:t>2</w:t>
            </w:r>
            <w:r>
              <w:rPr>
                <w:szCs w:val="21"/>
              </w:rPr>
              <w:t>.</w:t>
            </w:r>
            <w:r>
              <w:rPr>
                <w:rFonts w:hint="eastAsia"/>
                <w:szCs w:val="21"/>
              </w:rPr>
              <w:t>教师批改或讲评作业要认真、细致，每次批改或讲评作业后，按百分制评定成绩，并写明日期；</w:t>
            </w:r>
          </w:p>
          <w:p w14:paraId="119E623A">
            <w:pPr>
              <w:rPr>
                <w:szCs w:val="21"/>
              </w:rPr>
            </w:pPr>
            <w:r>
              <w:rPr>
                <w:rFonts w:hint="eastAsia"/>
                <w:szCs w:val="21"/>
              </w:rPr>
              <w:t>3</w:t>
            </w:r>
            <w:r>
              <w:rPr>
                <w:szCs w:val="21"/>
              </w:rPr>
              <w:t>.</w:t>
            </w:r>
            <w:r>
              <w:rPr>
                <w:rFonts w:hint="eastAsia"/>
                <w:szCs w:val="21"/>
              </w:rPr>
              <w:t>期末按每个学生作业的平均成绩，作为本课程总评成绩中平时成绩的重要组成部分。</w:t>
            </w:r>
          </w:p>
        </w:tc>
      </w:tr>
      <w:tr w14:paraId="2B7D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62" w:type="dxa"/>
            <w:vAlign w:val="center"/>
          </w:tcPr>
          <w:p w14:paraId="191551E4">
            <w:pPr>
              <w:jc w:val="center"/>
              <w:rPr>
                <w:szCs w:val="21"/>
              </w:rPr>
            </w:pPr>
            <w:r>
              <w:rPr>
                <w:rFonts w:hint="eastAsia"/>
                <w:szCs w:val="21"/>
              </w:rPr>
              <w:t>4</w:t>
            </w:r>
          </w:p>
        </w:tc>
        <w:tc>
          <w:tcPr>
            <w:tcW w:w="993" w:type="dxa"/>
            <w:tcMar>
              <w:left w:w="28" w:type="dxa"/>
              <w:right w:w="28" w:type="dxa"/>
            </w:tcMar>
            <w:vAlign w:val="center"/>
          </w:tcPr>
          <w:p w14:paraId="2DBC8C51">
            <w:pPr>
              <w:jc w:val="center"/>
              <w:rPr>
                <w:szCs w:val="21"/>
              </w:rPr>
            </w:pPr>
            <w:r>
              <w:rPr>
                <w:szCs w:val="21"/>
              </w:rPr>
              <w:t>课外答疑</w:t>
            </w:r>
          </w:p>
        </w:tc>
        <w:tc>
          <w:tcPr>
            <w:tcW w:w="6757" w:type="dxa"/>
            <w:vAlign w:val="center"/>
          </w:tcPr>
          <w:p w14:paraId="4DADA0CF">
            <w:pPr>
              <w:rPr>
                <w:szCs w:val="21"/>
              </w:rPr>
            </w:pPr>
            <w:r>
              <w:rPr>
                <w:rFonts w:hint="eastAsia"/>
                <w:szCs w:val="21"/>
              </w:rPr>
              <w:t>任课教师安排时间进行课外答疑与辅导工作。</w:t>
            </w:r>
          </w:p>
        </w:tc>
      </w:tr>
      <w:tr w14:paraId="494F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562" w:type="dxa"/>
            <w:vAlign w:val="center"/>
          </w:tcPr>
          <w:p w14:paraId="732C2A15">
            <w:pPr>
              <w:jc w:val="center"/>
              <w:rPr>
                <w:szCs w:val="21"/>
              </w:rPr>
            </w:pPr>
            <w:r>
              <w:rPr>
                <w:rFonts w:hint="eastAsia"/>
                <w:szCs w:val="21"/>
              </w:rPr>
              <w:t>5</w:t>
            </w:r>
          </w:p>
        </w:tc>
        <w:tc>
          <w:tcPr>
            <w:tcW w:w="993" w:type="dxa"/>
            <w:tcMar>
              <w:left w:w="28" w:type="dxa"/>
              <w:right w:w="28" w:type="dxa"/>
            </w:tcMar>
            <w:vAlign w:val="center"/>
          </w:tcPr>
          <w:p w14:paraId="2E18D73D">
            <w:pPr>
              <w:jc w:val="center"/>
              <w:rPr>
                <w:szCs w:val="21"/>
              </w:rPr>
            </w:pPr>
            <w:r>
              <w:rPr>
                <w:szCs w:val="21"/>
              </w:rPr>
              <w:t>成绩考核</w:t>
            </w:r>
          </w:p>
        </w:tc>
        <w:tc>
          <w:tcPr>
            <w:tcW w:w="6757" w:type="dxa"/>
            <w:vAlign w:val="center"/>
          </w:tcPr>
          <w:p w14:paraId="5AA7BEFF">
            <w:pPr>
              <w:rPr>
                <w:szCs w:val="21"/>
              </w:rPr>
            </w:pPr>
            <w:r>
              <w:rPr>
                <w:rFonts w:hint="eastAsia"/>
                <w:szCs w:val="21"/>
              </w:rPr>
              <w:t>本课程期末考核的方式为闭卷考试，采取教考分离方式。总评成绩的评定见课程考核方案。期末考核成绩低于40分，总评成绩不及格。有下列情况之一，取消其考核资格，该课程期末成绩标记为“停考”，总评成绩以零分计算，必须重修：</w:t>
            </w:r>
          </w:p>
          <w:p w14:paraId="5CFB1286">
            <w:pPr>
              <w:rPr>
                <w:szCs w:val="21"/>
              </w:rPr>
            </w:pPr>
            <w:r>
              <w:rPr>
                <w:szCs w:val="21"/>
              </w:rPr>
              <w:t>1.</w:t>
            </w:r>
            <w:r>
              <w:rPr>
                <w:rFonts w:hint="eastAsia"/>
                <w:szCs w:val="21"/>
              </w:rPr>
              <w:t>缺交作业达全学期总量的三分之一及以上；</w:t>
            </w:r>
          </w:p>
          <w:p w14:paraId="6E0B5F25">
            <w:pPr>
              <w:rPr>
                <w:szCs w:val="21"/>
              </w:rPr>
            </w:pPr>
            <w:r>
              <w:rPr>
                <w:rFonts w:hint="eastAsia"/>
                <w:szCs w:val="21"/>
              </w:rPr>
              <w:t>2</w:t>
            </w:r>
            <w:r>
              <w:rPr>
                <w:szCs w:val="21"/>
              </w:rPr>
              <w:t>.</w:t>
            </w:r>
            <w:r>
              <w:rPr>
                <w:rFonts w:hint="eastAsia"/>
                <w:szCs w:val="21"/>
              </w:rPr>
              <w:t>缺课达讲授总学时数的三分之一及以上。</w:t>
            </w:r>
          </w:p>
        </w:tc>
      </w:tr>
    </w:tbl>
    <w:p w14:paraId="1958B01B">
      <w:pPr>
        <w:spacing w:line="360" w:lineRule="auto"/>
        <w:ind w:firstLine="562" w:firstLineChars="200"/>
        <w:rPr>
          <w:b/>
          <w:sz w:val="28"/>
          <w:szCs w:val="28"/>
        </w:rPr>
      </w:pPr>
      <w:r>
        <w:rPr>
          <w:rFonts w:hint="eastAsia"/>
          <w:b/>
          <w:sz w:val="28"/>
          <w:szCs w:val="28"/>
        </w:rPr>
        <w:t>五、课程</w:t>
      </w:r>
      <w:r>
        <w:rPr>
          <w:b/>
          <w:sz w:val="28"/>
          <w:szCs w:val="28"/>
        </w:rPr>
        <w:t>考核</w:t>
      </w:r>
    </w:p>
    <w:p w14:paraId="78304526">
      <w:pPr>
        <w:spacing w:line="360" w:lineRule="auto"/>
        <w:ind w:firstLine="480" w:firstLineChars="200"/>
        <w:rPr>
          <w:sz w:val="24"/>
        </w:rPr>
      </w:pPr>
      <w:r>
        <w:rPr>
          <w:rFonts w:hint="eastAsia"/>
          <w:sz w:val="24"/>
        </w:rPr>
        <w:t>（一）课程考核包括期末考试、网络学习、平时表现、作业考核等，课程考核不包括实践考核，期末考试采用闭卷方式。</w:t>
      </w:r>
    </w:p>
    <w:p w14:paraId="0F2E4A4E">
      <w:pPr>
        <w:spacing w:line="360" w:lineRule="auto"/>
        <w:ind w:firstLine="480" w:firstLineChars="200"/>
        <w:rPr>
          <w:sz w:val="24"/>
        </w:rPr>
      </w:pPr>
      <w:r>
        <w:rPr>
          <w:rFonts w:hint="eastAsia"/>
          <w:sz w:val="24"/>
        </w:rPr>
        <w:t>（二）课程总评成绩=网络学习成绩×1</w:t>
      </w:r>
      <w:r>
        <w:rPr>
          <w:sz w:val="24"/>
        </w:rPr>
        <w:t>0%</w:t>
      </w:r>
      <w:r>
        <w:rPr>
          <w:rFonts w:hint="eastAsia"/>
          <w:sz w:val="24"/>
        </w:rPr>
        <w:t>+平时表现成绩×2</w:t>
      </w:r>
      <w:r>
        <w:rPr>
          <w:sz w:val="24"/>
        </w:rPr>
        <w:t>0</w:t>
      </w:r>
      <w:r>
        <w:rPr>
          <w:rFonts w:hint="eastAsia"/>
          <w:sz w:val="24"/>
        </w:rPr>
        <w:t>%+作业成绩×30%+期末考试成绩×40%，课程总评成绩不包含实践成绩，具体内容和比例如表所示。</w:t>
      </w:r>
    </w:p>
    <w:tbl>
      <w:tblPr>
        <w:tblStyle w:val="10"/>
        <w:tblpPr w:leftFromText="180" w:rightFromText="180" w:vertAnchor="text" w:horzAnchor="margin" w:tblpXSpec="center" w:tblpY="244"/>
        <w:tblW w:w="8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134"/>
        <w:gridCol w:w="4252"/>
        <w:gridCol w:w="1479"/>
      </w:tblGrid>
      <w:tr w14:paraId="0B88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413" w:type="dxa"/>
            <w:shd w:val="clear" w:color="auto" w:fill="FFFFFF"/>
            <w:tcMar>
              <w:left w:w="57" w:type="dxa"/>
              <w:right w:w="57" w:type="dxa"/>
            </w:tcMar>
            <w:vAlign w:val="center"/>
          </w:tcPr>
          <w:p w14:paraId="6F47CB74">
            <w:pPr>
              <w:pStyle w:val="29"/>
              <w:jc w:val="center"/>
              <w:rPr>
                <w:rFonts w:eastAsia="宋体"/>
              </w:rPr>
            </w:pPr>
            <w:r>
              <w:rPr>
                <w:rFonts w:hint="eastAsia" w:eastAsia="宋体"/>
              </w:rPr>
              <w:t>考核环节</w:t>
            </w:r>
          </w:p>
        </w:tc>
        <w:tc>
          <w:tcPr>
            <w:tcW w:w="1134" w:type="dxa"/>
            <w:shd w:val="clear" w:color="auto" w:fill="FFFFFF"/>
            <w:vAlign w:val="center"/>
          </w:tcPr>
          <w:p w14:paraId="63EAD118">
            <w:pPr>
              <w:pStyle w:val="29"/>
              <w:jc w:val="center"/>
              <w:rPr>
                <w:rFonts w:eastAsia="宋体"/>
              </w:rPr>
            </w:pPr>
            <w:r>
              <w:rPr>
                <w:rFonts w:hint="eastAsia" w:eastAsia="宋体"/>
              </w:rPr>
              <w:t>成绩比例</w:t>
            </w:r>
          </w:p>
        </w:tc>
        <w:tc>
          <w:tcPr>
            <w:tcW w:w="4252" w:type="dxa"/>
            <w:shd w:val="clear" w:color="auto" w:fill="FFFFFF"/>
            <w:vAlign w:val="center"/>
          </w:tcPr>
          <w:p w14:paraId="03F44B88">
            <w:pPr>
              <w:pStyle w:val="29"/>
              <w:jc w:val="center"/>
              <w:rPr>
                <w:rFonts w:eastAsia="宋体"/>
              </w:rPr>
            </w:pPr>
            <w:r>
              <w:rPr>
                <w:rFonts w:eastAsia="宋体"/>
              </w:rPr>
              <w:t>考核</w:t>
            </w:r>
            <w:r>
              <w:rPr>
                <w:rFonts w:hint="eastAsia" w:eastAsia="宋体"/>
              </w:rPr>
              <w:t>内容</w:t>
            </w:r>
          </w:p>
        </w:tc>
        <w:tc>
          <w:tcPr>
            <w:tcW w:w="1479" w:type="dxa"/>
            <w:shd w:val="clear" w:color="auto" w:fill="FFFFFF"/>
            <w:vAlign w:val="center"/>
          </w:tcPr>
          <w:p w14:paraId="3EB57C45">
            <w:pPr>
              <w:pStyle w:val="29"/>
              <w:jc w:val="center"/>
              <w:rPr>
                <w:rFonts w:eastAsia="宋体"/>
              </w:rPr>
            </w:pPr>
            <w:r>
              <w:rPr>
                <w:rFonts w:hint="eastAsia" w:eastAsia="宋体"/>
              </w:rPr>
              <w:t>支撑目标</w:t>
            </w:r>
          </w:p>
        </w:tc>
      </w:tr>
      <w:tr w14:paraId="6274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shd w:val="clear" w:color="auto" w:fill="FFFFFF"/>
            <w:tcMar>
              <w:left w:w="57" w:type="dxa"/>
              <w:right w:w="57" w:type="dxa"/>
            </w:tcMar>
            <w:vAlign w:val="center"/>
          </w:tcPr>
          <w:p w14:paraId="511A9675">
            <w:pPr>
              <w:pStyle w:val="29"/>
              <w:jc w:val="center"/>
              <w:rPr>
                <w:rFonts w:eastAsia="宋体"/>
              </w:rPr>
            </w:pPr>
            <w:r>
              <w:rPr>
                <w:rFonts w:hint="eastAsia" w:eastAsia="宋体"/>
              </w:rPr>
              <w:t>网络学习</w:t>
            </w:r>
          </w:p>
        </w:tc>
        <w:tc>
          <w:tcPr>
            <w:tcW w:w="1134" w:type="dxa"/>
            <w:shd w:val="clear" w:color="auto" w:fill="FFFFFF"/>
            <w:vAlign w:val="center"/>
          </w:tcPr>
          <w:p w14:paraId="7B767BAA">
            <w:pPr>
              <w:pStyle w:val="29"/>
              <w:jc w:val="center"/>
              <w:rPr>
                <w:rFonts w:eastAsia="宋体"/>
              </w:rPr>
            </w:pPr>
            <w:r>
              <w:rPr>
                <w:rFonts w:hint="eastAsia" w:eastAsia="宋体"/>
              </w:rPr>
              <w:t>1</w:t>
            </w:r>
            <w:r>
              <w:rPr>
                <w:rFonts w:eastAsia="宋体"/>
              </w:rPr>
              <w:t>0%</w:t>
            </w:r>
          </w:p>
        </w:tc>
        <w:tc>
          <w:tcPr>
            <w:tcW w:w="4252" w:type="dxa"/>
            <w:shd w:val="clear" w:color="auto" w:fill="FFFFFF"/>
            <w:vAlign w:val="center"/>
          </w:tcPr>
          <w:p w14:paraId="3859DABF">
            <w:pPr>
              <w:pStyle w:val="29"/>
              <w:rPr>
                <w:rFonts w:eastAsia="宋体"/>
                <w:color w:val="000000"/>
                <w:szCs w:val="21"/>
              </w:rPr>
            </w:pPr>
            <w:r>
              <w:rPr>
                <w:rFonts w:hint="eastAsia" w:eastAsia="宋体"/>
                <w:color w:val="000000"/>
                <w:szCs w:val="21"/>
              </w:rPr>
              <w:t>通过视频学习、互动讨论等考核对课程理论的理解和运用</w:t>
            </w:r>
          </w:p>
        </w:tc>
        <w:tc>
          <w:tcPr>
            <w:tcW w:w="1479" w:type="dxa"/>
            <w:shd w:val="clear" w:color="auto" w:fill="FFFFFF"/>
            <w:vAlign w:val="center"/>
          </w:tcPr>
          <w:p w14:paraId="12F5FDAE">
            <w:pPr>
              <w:pStyle w:val="29"/>
              <w:jc w:val="center"/>
              <w:rPr>
                <w:rFonts w:eastAsia="宋体"/>
              </w:rPr>
            </w:pPr>
            <w:r>
              <w:rPr>
                <w:rFonts w:hint="eastAsia" w:eastAsia="宋体"/>
              </w:rPr>
              <w:t>目标1</w:t>
            </w:r>
          </w:p>
        </w:tc>
      </w:tr>
      <w:tr w14:paraId="65BE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tcMar>
              <w:left w:w="57" w:type="dxa"/>
              <w:right w:w="57" w:type="dxa"/>
            </w:tcMar>
            <w:vAlign w:val="center"/>
          </w:tcPr>
          <w:p w14:paraId="20BEFB1C">
            <w:pPr>
              <w:pStyle w:val="29"/>
              <w:jc w:val="center"/>
              <w:rPr>
                <w:rFonts w:eastAsia="宋体"/>
              </w:rPr>
            </w:pPr>
            <w:r>
              <w:rPr>
                <w:rFonts w:hint="eastAsia" w:eastAsia="宋体"/>
              </w:rPr>
              <w:t>平时表现</w:t>
            </w:r>
          </w:p>
        </w:tc>
        <w:tc>
          <w:tcPr>
            <w:tcW w:w="1134" w:type="dxa"/>
            <w:vAlign w:val="center"/>
          </w:tcPr>
          <w:p w14:paraId="681EDA1F">
            <w:pPr>
              <w:pStyle w:val="29"/>
              <w:jc w:val="center"/>
              <w:rPr>
                <w:rFonts w:eastAsia="宋体"/>
              </w:rPr>
            </w:pPr>
            <w:r>
              <w:rPr>
                <w:rFonts w:hint="eastAsia" w:eastAsia="宋体"/>
              </w:rPr>
              <w:t>2</w:t>
            </w:r>
            <w:r>
              <w:rPr>
                <w:rFonts w:eastAsia="宋体"/>
              </w:rPr>
              <w:t>0%</w:t>
            </w:r>
          </w:p>
        </w:tc>
        <w:tc>
          <w:tcPr>
            <w:tcW w:w="4252" w:type="dxa"/>
            <w:vAlign w:val="center"/>
          </w:tcPr>
          <w:p w14:paraId="5496B6A6">
            <w:pPr>
              <w:pStyle w:val="29"/>
              <w:rPr>
                <w:rFonts w:eastAsia="宋体"/>
                <w:szCs w:val="21"/>
              </w:rPr>
            </w:pPr>
            <w:r>
              <w:rPr>
                <w:rFonts w:hint="eastAsia" w:eastAsia="宋体"/>
                <w:color w:val="000000"/>
                <w:szCs w:val="21"/>
              </w:rPr>
              <w:t>通过课堂互动、听课表现等考核对课程理论的理解和运用</w:t>
            </w:r>
          </w:p>
        </w:tc>
        <w:tc>
          <w:tcPr>
            <w:tcW w:w="1479" w:type="dxa"/>
            <w:shd w:val="clear" w:color="auto" w:fill="FFFFFF"/>
            <w:vAlign w:val="center"/>
          </w:tcPr>
          <w:p w14:paraId="1B3E9378">
            <w:pPr>
              <w:pStyle w:val="29"/>
              <w:jc w:val="center"/>
              <w:rPr>
                <w:rFonts w:eastAsia="宋体"/>
                <w:color w:val="000000"/>
                <w:szCs w:val="21"/>
              </w:rPr>
            </w:pPr>
            <w:r>
              <w:rPr>
                <w:rFonts w:hint="eastAsia" w:eastAsia="宋体"/>
              </w:rPr>
              <w:t>目标1</w:t>
            </w:r>
          </w:p>
        </w:tc>
      </w:tr>
      <w:tr w14:paraId="729E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tcMar>
              <w:left w:w="57" w:type="dxa"/>
              <w:right w:w="57" w:type="dxa"/>
            </w:tcMar>
            <w:vAlign w:val="center"/>
          </w:tcPr>
          <w:p w14:paraId="62AECEA4">
            <w:pPr>
              <w:pStyle w:val="29"/>
              <w:jc w:val="center"/>
              <w:rPr>
                <w:rFonts w:eastAsia="宋体"/>
              </w:rPr>
            </w:pPr>
            <w:r>
              <w:rPr>
                <w:rFonts w:hint="eastAsia" w:eastAsia="宋体"/>
              </w:rPr>
              <w:t>作业</w:t>
            </w:r>
          </w:p>
        </w:tc>
        <w:tc>
          <w:tcPr>
            <w:tcW w:w="1134" w:type="dxa"/>
            <w:vAlign w:val="center"/>
          </w:tcPr>
          <w:p w14:paraId="154A5B19">
            <w:pPr>
              <w:pStyle w:val="29"/>
              <w:jc w:val="center"/>
              <w:rPr>
                <w:rFonts w:eastAsia="宋体"/>
              </w:rPr>
            </w:pPr>
            <w:r>
              <w:rPr>
                <w:rFonts w:eastAsia="宋体"/>
              </w:rPr>
              <w:t>30%</w:t>
            </w:r>
            <w:r>
              <w:rPr>
                <w:rFonts w:hint="eastAsia" w:eastAsia="宋体"/>
              </w:rPr>
              <w:t xml:space="preserve"> </w:t>
            </w:r>
          </w:p>
        </w:tc>
        <w:tc>
          <w:tcPr>
            <w:tcW w:w="4252" w:type="dxa"/>
            <w:vAlign w:val="center"/>
          </w:tcPr>
          <w:p w14:paraId="699D0FC7">
            <w:pPr>
              <w:pStyle w:val="29"/>
              <w:rPr>
                <w:rFonts w:eastAsia="宋体"/>
                <w:color w:val="000000"/>
                <w:szCs w:val="21"/>
              </w:rPr>
            </w:pPr>
            <w:r>
              <w:rPr>
                <w:rFonts w:hint="eastAsia" w:eastAsia="宋体"/>
                <w:color w:val="000000"/>
                <w:szCs w:val="21"/>
              </w:rPr>
              <w:t>通过章节测验、思考题等考核对课程理论的理解和运用</w:t>
            </w:r>
          </w:p>
        </w:tc>
        <w:tc>
          <w:tcPr>
            <w:tcW w:w="1479" w:type="dxa"/>
            <w:tcBorders>
              <w:bottom w:val="single" w:color="auto" w:sz="4" w:space="0"/>
            </w:tcBorders>
            <w:shd w:val="clear" w:color="auto" w:fill="FFFFFF"/>
            <w:vAlign w:val="center"/>
          </w:tcPr>
          <w:p w14:paraId="112C34F1">
            <w:pPr>
              <w:pStyle w:val="29"/>
              <w:jc w:val="center"/>
              <w:rPr>
                <w:rFonts w:eastAsia="宋体"/>
                <w:color w:val="000000"/>
                <w:szCs w:val="21"/>
              </w:rPr>
            </w:pPr>
            <w:r>
              <w:rPr>
                <w:rFonts w:hint="eastAsia" w:eastAsia="宋体"/>
              </w:rPr>
              <w:t>目标1</w:t>
            </w:r>
          </w:p>
        </w:tc>
      </w:tr>
      <w:tr w14:paraId="14BC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13" w:type="dxa"/>
            <w:tcMar>
              <w:left w:w="57" w:type="dxa"/>
              <w:right w:w="57" w:type="dxa"/>
            </w:tcMar>
            <w:vAlign w:val="center"/>
          </w:tcPr>
          <w:p w14:paraId="05100FD2">
            <w:pPr>
              <w:pStyle w:val="29"/>
              <w:jc w:val="center"/>
              <w:rPr>
                <w:rFonts w:eastAsia="宋体"/>
              </w:rPr>
            </w:pPr>
            <w:r>
              <w:rPr>
                <w:rFonts w:hint="eastAsia" w:eastAsia="宋体"/>
              </w:rPr>
              <w:t>期末考试</w:t>
            </w:r>
          </w:p>
        </w:tc>
        <w:tc>
          <w:tcPr>
            <w:tcW w:w="1134" w:type="dxa"/>
            <w:vAlign w:val="center"/>
          </w:tcPr>
          <w:p w14:paraId="509CC0DF">
            <w:pPr>
              <w:pStyle w:val="29"/>
              <w:jc w:val="center"/>
              <w:rPr>
                <w:rFonts w:eastAsia="宋体"/>
              </w:rPr>
            </w:pPr>
            <w:r>
              <w:rPr>
                <w:rFonts w:hint="eastAsia" w:eastAsia="宋体"/>
              </w:rPr>
              <w:t xml:space="preserve">40% </w:t>
            </w:r>
          </w:p>
        </w:tc>
        <w:tc>
          <w:tcPr>
            <w:tcW w:w="4252" w:type="dxa"/>
            <w:tcBorders>
              <w:left w:val="single" w:color="auto" w:sz="4" w:space="0"/>
            </w:tcBorders>
            <w:vAlign w:val="center"/>
          </w:tcPr>
          <w:p w14:paraId="2EE9CEDA">
            <w:pPr>
              <w:pStyle w:val="29"/>
              <w:rPr>
                <w:rFonts w:eastAsia="宋体"/>
                <w:color w:val="000000"/>
                <w:szCs w:val="21"/>
              </w:rPr>
            </w:pPr>
            <w:r>
              <w:rPr>
                <w:rFonts w:hint="eastAsia" w:eastAsia="宋体"/>
                <w:color w:val="000000"/>
                <w:szCs w:val="21"/>
              </w:rPr>
              <w:t>通过选择题、填空题和论述题等考核对课程理论的理解和运用</w:t>
            </w:r>
          </w:p>
        </w:tc>
        <w:tc>
          <w:tcPr>
            <w:tcW w:w="1479" w:type="dxa"/>
            <w:shd w:val="clear" w:color="auto" w:fill="FFFFFF"/>
            <w:vAlign w:val="center"/>
          </w:tcPr>
          <w:p w14:paraId="48E1ADBB">
            <w:pPr>
              <w:widowControl/>
              <w:jc w:val="center"/>
            </w:pPr>
            <w:r>
              <w:rPr>
                <w:rFonts w:hint="eastAsia"/>
              </w:rPr>
              <w:t>目标1</w:t>
            </w:r>
          </w:p>
        </w:tc>
      </w:tr>
    </w:tbl>
    <w:p w14:paraId="24B95AF6">
      <w:pPr>
        <w:spacing w:line="360" w:lineRule="auto"/>
        <w:rPr>
          <w:sz w:val="24"/>
          <w:szCs w:val="22"/>
        </w:rPr>
      </w:pPr>
      <w:r>
        <w:rPr>
          <w:rFonts w:hint="eastAsia"/>
          <w:sz w:val="24"/>
          <w:szCs w:val="22"/>
        </w:rPr>
        <w:t>备注：</w:t>
      </w:r>
      <w:r>
        <w:rPr>
          <w:sz w:val="24"/>
          <w:szCs w:val="22"/>
        </w:rPr>
        <w:t>课程目标达成度计算方法如下：</w:t>
      </w:r>
    </w:p>
    <w:p w14:paraId="52F920A8">
      <w:pPr>
        <w:spacing w:line="360" w:lineRule="auto"/>
        <w:jc w:val="center"/>
        <w:rPr>
          <w:sz w:val="24"/>
          <w:szCs w:val="22"/>
        </w:rPr>
      </w:pPr>
      <w:r>
        <w:rPr>
          <w:position w:val="-26"/>
          <w:sz w:val="24"/>
          <w:szCs w:val="22"/>
        </w:rPr>
        <w:object>
          <v:shape id="_x0000_i1026" o:spt="75" type="#_x0000_t75" style="height:33.2pt;width:338.1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p>
    <w:p w14:paraId="78EA0133">
      <w:pPr>
        <w:spacing w:line="360" w:lineRule="auto"/>
        <w:ind w:firstLine="562" w:firstLineChars="200"/>
        <w:rPr>
          <w:b/>
          <w:sz w:val="28"/>
          <w:szCs w:val="28"/>
        </w:rPr>
      </w:pPr>
      <w:r>
        <w:rPr>
          <w:rFonts w:hint="eastAsia"/>
          <w:b/>
          <w:sz w:val="28"/>
          <w:szCs w:val="28"/>
        </w:rPr>
        <w:t>六</w:t>
      </w:r>
      <w:r>
        <w:rPr>
          <w:b/>
          <w:sz w:val="28"/>
          <w:szCs w:val="28"/>
        </w:rPr>
        <w:t>、</w:t>
      </w:r>
      <w:r>
        <w:rPr>
          <w:rFonts w:hint="eastAsia"/>
          <w:b/>
          <w:sz w:val="28"/>
          <w:szCs w:val="28"/>
        </w:rPr>
        <w:t>有关说明</w:t>
      </w:r>
    </w:p>
    <w:p w14:paraId="2532464F">
      <w:pPr>
        <w:spacing w:line="360" w:lineRule="auto"/>
        <w:ind w:firstLine="482" w:firstLineChars="200"/>
        <w:rPr>
          <w:b/>
          <w:color w:val="000000"/>
          <w:sz w:val="24"/>
          <w:szCs w:val="22"/>
        </w:rPr>
      </w:pPr>
      <w:r>
        <w:rPr>
          <w:rFonts w:hint="eastAsia"/>
          <w:b/>
          <w:color w:val="000000"/>
          <w:sz w:val="24"/>
          <w:szCs w:val="22"/>
        </w:rPr>
        <w:t>（一）持续改进</w:t>
      </w:r>
    </w:p>
    <w:p w14:paraId="3A36E347">
      <w:pPr>
        <w:spacing w:line="360" w:lineRule="auto"/>
        <w:ind w:firstLine="480" w:firstLineChars="200"/>
        <w:rPr>
          <w:color w:val="000000"/>
          <w:sz w:val="24"/>
        </w:rPr>
      </w:pPr>
      <w:r>
        <w:rPr>
          <w:rFonts w:hint="eastAsia"/>
          <w:color w:val="000000"/>
          <w:sz w:val="24"/>
        </w:rPr>
        <w:t>本课程根据网络学习、平时表现、作业和期末考试等考核情况，以及学生、教学督导等反馈，及时对教学中不足之处进行改进，并在下一轮课程教学中整改完善，确保相应毕业要求观测点达成。</w:t>
      </w:r>
    </w:p>
    <w:p w14:paraId="4A789DF5">
      <w:pPr>
        <w:spacing w:line="360" w:lineRule="auto"/>
        <w:ind w:firstLine="482" w:firstLineChars="200"/>
        <w:rPr>
          <w:b/>
          <w:color w:val="000000"/>
          <w:sz w:val="24"/>
          <w:szCs w:val="22"/>
        </w:rPr>
      </w:pPr>
      <w:r>
        <w:rPr>
          <w:rFonts w:hint="eastAsia"/>
          <w:b/>
          <w:color w:val="000000"/>
          <w:sz w:val="24"/>
          <w:szCs w:val="22"/>
        </w:rPr>
        <w:t>（二）</w:t>
      </w:r>
      <w:r>
        <w:rPr>
          <w:b/>
          <w:color w:val="000000"/>
          <w:sz w:val="24"/>
          <w:szCs w:val="22"/>
        </w:rPr>
        <w:t>参考书目及学习资料</w:t>
      </w:r>
    </w:p>
    <w:p w14:paraId="5E2DE102">
      <w:pPr>
        <w:autoSpaceDE w:val="0"/>
        <w:autoSpaceDN w:val="0"/>
        <w:adjustRightInd w:val="0"/>
        <w:spacing w:line="360" w:lineRule="auto"/>
        <w:ind w:firstLine="480" w:firstLineChars="200"/>
        <w:jc w:val="left"/>
        <w:rPr>
          <w:sz w:val="24"/>
          <w:szCs w:val="21"/>
        </w:rPr>
      </w:pPr>
      <w:r>
        <w:rPr>
          <w:sz w:val="24"/>
          <w:szCs w:val="21"/>
        </w:rPr>
        <w:t>1.</w:t>
      </w:r>
      <w:r>
        <w:rPr>
          <w:rFonts w:hint="eastAsia"/>
          <w:sz w:val="24"/>
        </w:rPr>
        <w:t>《从鸦片战争到五四运动》，人民出版社，</w:t>
      </w:r>
      <w:r>
        <w:rPr>
          <w:sz w:val="24"/>
        </w:rPr>
        <w:t>1998</w:t>
      </w:r>
    </w:p>
    <w:p w14:paraId="57B3BD83">
      <w:pPr>
        <w:spacing w:line="360" w:lineRule="auto"/>
        <w:ind w:firstLine="480" w:firstLineChars="200"/>
        <w:rPr>
          <w:sz w:val="24"/>
        </w:rPr>
      </w:pPr>
      <w:r>
        <w:rPr>
          <w:sz w:val="24"/>
          <w:szCs w:val="21"/>
        </w:rPr>
        <w:t>2.</w:t>
      </w:r>
      <w:r>
        <w:rPr>
          <w:rFonts w:hint="eastAsia"/>
          <w:sz w:val="24"/>
        </w:rPr>
        <w:t>《习近平新时代中国特色社会主义思想学习问答</w:t>
      </w:r>
      <w:r>
        <w:rPr>
          <w:sz w:val="24"/>
        </w:rPr>
        <w:t>》</w:t>
      </w:r>
      <w:r>
        <w:rPr>
          <w:rFonts w:hint="eastAsia"/>
          <w:sz w:val="24"/>
        </w:rPr>
        <w:t>，学习出版社、人民出版社，2021</w:t>
      </w:r>
    </w:p>
    <w:p w14:paraId="5B46A8E8">
      <w:pPr>
        <w:spacing w:line="360" w:lineRule="auto"/>
        <w:ind w:firstLine="480" w:firstLineChars="200"/>
        <w:rPr>
          <w:sz w:val="24"/>
        </w:rPr>
      </w:pPr>
      <w:r>
        <w:rPr>
          <w:sz w:val="24"/>
          <w:szCs w:val="21"/>
        </w:rPr>
        <w:t>3.</w:t>
      </w:r>
      <w:r>
        <w:rPr>
          <w:rFonts w:hint="eastAsia"/>
          <w:sz w:val="24"/>
        </w:rPr>
        <w:t>《中国共产党简史》，人民出版社，2</w:t>
      </w:r>
      <w:r>
        <w:rPr>
          <w:sz w:val="24"/>
        </w:rPr>
        <w:t>021</w:t>
      </w:r>
    </w:p>
    <w:p w14:paraId="5D8489BD">
      <w:pPr>
        <w:autoSpaceDE w:val="0"/>
        <w:autoSpaceDN w:val="0"/>
        <w:adjustRightInd w:val="0"/>
        <w:spacing w:line="360" w:lineRule="auto"/>
        <w:ind w:firstLine="480" w:firstLineChars="200"/>
        <w:jc w:val="left"/>
        <w:rPr>
          <w:color w:val="FF0000"/>
          <w:sz w:val="24"/>
        </w:rPr>
      </w:pPr>
      <w:r>
        <w:rPr>
          <w:sz w:val="24"/>
          <w:szCs w:val="21"/>
        </w:rPr>
        <w:t>4.</w:t>
      </w:r>
      <w:r>
        <w:rPr>
          <w:rFonts w:hint="eastAsia"/>
          <w:sz w:val="24"/>
          <w:szCs w:val="21"/>
        </w:rPr>
        <w:t>《中国共产党的一百年》，中共党史出版社，</w:t>
      </w:r>
      <w:r>
        <w:rPr>
          <w:sz w:val="24"/>
        </w:rPr>
        <w:t>2022</w:t>
      </w:r>
    </w:p>
    <w:p w14:paraId="054F59A7">
      <w:pPr>
        <w:autoSpaceDE w:val="0"/>
        <w:autoSpaceDN w:val="0"/>
        <w:adjustRightInd w:val="0"/>
        <w:spacing w:line="360" w:lineRule="auto"/>
        <w:ind w:firstLine="480" w:firstLineChars="200"/>
        <w:jc w:val="left"/>
        <w:rPr>
          <w:sz w:val="24"/>
        </w:rPr>
      </w:pPr>
      <w:r>
        <w:rPr>
          <w:sz w:val="24"/>
        </w:rPr>
        <w:t>5</w:t>
      </w:r>
      <w:r>
        <w:rPr>
          <w:rFonts w:hint="eastAsia"/>
          <w:sz w:val="24"/>
        </w:rPr>
        <w:t>.《党的二十届三中全会</w:t>
      </w:r>
      <w:r>
        <w:rPr>
          <w:rFonts w:hint="eastAsia" w:ascii="宋体" w:hAnsi="宋体"/>
          <w:sz w:val="24"/>
        </w:rPr>
        <w:t>〈</w:t>
      </w:r>
      <w:r>
        <w:rPr>
          <w:rFonts w:hint="eastAsia"/>
          <w:sz w:val="24"/>
        </w:rPr>
        <w:t>决定</w:t>
      </w:r>
      <w:r>
        <w:rPr>
          <w:rFonts w:hint="eastAsia" w:ascii="宋体" w:hAnsi="宋体"/>
          <w:sz w:val="24"/>
        </w:rPr>
        <w:t>〉</w:t>
      </w:r>
      <w:r>
        <w:rPr>
          <w:rFonts w:hint="eastAsia"/>
          <w:sz w:val="24"/>
        </w:rPr>
        <w:t>学习辅导百问》，党建读物出版社、学习出版社，2</w:t>
      </w:r>
      <w:r>
        <w:rPr>
          <w:sz w:val="24"/>
        </w:rPr>
        <w:t>02</w:t>
      </w:r>
      <w:r>
        <w:rPr>
          <w:rFonts w:hint="eastAsia"/>
          <w:sz w:val="24"/>
        </w:rPr>
        <w:t>4</w:t>
      </w:r>
    </w:p>
    <w:p w14:paraId="6A50E6F6">
      <w:pPr>
        <w:spacing w:line="360" w:lineRule="auto"/>
        <w:ind w:firstLine="482" w:firstLineChars="200"/>
        <w:rPr>
          <w:b/>
          <w:color w:val="000000"/>
          <w:sz w:val="24"/>
          <w:szCs w:val="22"/>
        </w:rPr>
      </w:pPr>
      <w:r>
        <w:rPr>
          <w:rFonts w:hint="eastAsia"/>
          <w:b/>
          <w:color w:val="000000"/>
          <w:sz w:val="24"/>
          <w:szCs w:val="22"/>
        </w:rPr>
        <w:t>（三）教学改革</w:t>
      </w:r>
    </w:p>
    <w:p w14:paraId="59148187">
      <w:pPr>
        <w:autoSpaceDE w:val="0"/>
        <w:autoSpaceDN w:val="0"/>
        <w:adjustRightInd w:val="0"/>
        <w:spacing w:line="360" w:lineRule="auto"/>
        <w:ind w:firstLine="480" w:firstLineChars="200"/>
        <w:jc w:val="left"/>
        <w:rPr>
          <w:sz w:val="24"/>
        </w:rPr>
      </w:pPr>
      <w:r>
        <w:rPr>
          <w:rFonts w:hint="eastAsia"/>
          <w:sz w:val="24"/>
        </w:rPr>
        <w:t>本课程的教学改革，需制定相应的教学方案。</w:t>
      </w:r>
    </w:p>
    <w:p w14:paraId="6F1B3CE2">
      <w:pPr>
        <w:autoSpaceDE w:val="0"/>
        <w:autoSpaceDN w:val="0"/>
        <w:adjustRightInd w:val="0"/>
        <w:spacing w:line="360" w:lineRule="auto"/>
        <w:ind w:firstLine="480" w:firstLineChars="200"/>
        <w:jc w:val="right"/>
        <w:rPr>
          <w:kern w:val="0"/>
          <w:sz w:val="24"/>
          <w:szCs w:val="21"/>
        </w:rPr>
      </w:pPr>
      <w:r>
        <w:rPr>
          <w:kern w:val="0"/>
          <w:sz w:val="24"/>
          <w:szCs w:val="21"/>
        </w:rPr>
        <w:t>执笔人：</w:t>
      </w:r>
      <w:r>
        <w:rPr>
          <w:rFonts w:hint="eastAsia"/>
          <w:kern w:val="0"/>
          <w:sz w:val="24"/>
          <w:szCs w:val="21"/>
        </w:rPr>
        <w:t>王若颖</w:t>
      </w:r>
    </w:p>
    <w:p w14:paraId="1833BA11">
      <w:pPr>
        <w:autoSpaceDE w:val="0"/>
        <w:autoSpaceDN w:val="0"/>
        <w:adjustRightInd w:val="0"/>
        <w:spacing w:line="360" w:lineRule="auto"/>
        <w:jc w:val="right"/>
        <w:rPr>
          <w:kern w:val="0"/>
          <w:sz w:val="24"/>
          <w:szCs w:val="21"/>
        </w:rPr>
      </w:pPr>
      <w:r>
        <w:rPr>
          <w:kern w:val="0"/>
          <w:sz w:val="24"/>
          <w:szCs w:val="21"/>
        </w:rPr>
        <w:t>审定人：</w:t>
      </w:r>
      <w:bookmarkStart w:id="22" w:name="_Hlk143874663"/>
      <w:r>
        <w:rPr>
          <w:rFonts w:hint="eastAsia"/>
          <w:kern w:val="0"/>
          <w:sz w:val="24"/>
          <w:szCs w:val="21"/>
        </w:rPr>
        <w:t>夏天静</w:t>
      </w:r>
      <w:bookmarkEnd w:id="22"/>
    </w:p>
    <w:p w14:paraId="45A7856C">
      <w:pPr>
        <w:wordWrap w:val="0"/>
        <w:autoSpaceDE w:val="0"/>
        <w:autoSpaceDN w:val="0"/>
        <w:adjustRightInd w:val="0"/>
        <w:spacing w:line="360" w:lineRule="auto"/>
        <w:jc w:val="right"/>
        <w:rPr>
          <w:kern w:val="0"/>
          <w:sz w:val="24"/>
          <w:szCs w:val="21"/>
        </w:rPr>
      </w:pPr>
      <w:r>
        <w:rPr>
          <w:kern w:val="0"/>
          <w:sz w:val="24"/>
          <w:szCs w:val="21"/>
        </w:rPr>
        <w:t>审批人：</w:t>
      </w:r>
      <w:r>
        <w:rPr>
          <w:rFonts w:hint="eastAsia"/>
          <w:kern w:val="0"/>
          <w:sz w:val="24"/>
          <w:szCs w:val="21"/>
        </w:rPr>
        <w:t>熊焱生</w:t>
      </w:r>
    </w:p>
    <w:p w14:paraId="33843E3D">
      <w:pPr>
        <w:autoSpaceDE w:val="0"/>
        <w:autoSpaceDN w:val="0"/>
        <w:adjustRightInd w:val="0"/>
        <w:spacing w:line="360" w:lineRule="auto"/>
        <w:jc w:val="right"/>
        <w:rPr>
          <w:rFonts w:hint="eastAsia"/>
          <w:kern w:val="0"/>
          <w:sz w:val="24"/>
          <w:szCs w:val="21"/>
        </w:rPr>
      </w:pPr>
      <w:r>
        <w:rPr>
          <w:rFonts w:hint="eastAsia"/>
          <w:kern w:val="0"/>
          <w:sz w:val="24"/>
          <w:szCs w:val="21"/>
        </w:rPr>
        <w:t>批准时间：</w:t>
      </w:r>
      <w:r>
        <w:rPr>
          <w:kern w:val="0"/>
          <w:sz w:val="24"/>
          <w:szCs w:val="21"/>
        </w:rPr>
        <w:t>202</w:t>
      </w:r>
      <w:r>
        <w:rPr>
          <w:rFonts w:hint="eastAsia"/>
          <w:kern w:val="0"/>
          <w:sz w:val="24"/>
          <w:szCs w:val="21"/>
        </w:rPr>
        <w:t>4年0</w:t>
      </w:r>
      <w:r>
        <w:rPr>
          <w:kern w:val="0"/>
          <w:sz w:val="24"/>
          <w:szCs w:val="21"/>
        </w:rPr>
        <w:t>8</w:t>
      </w:r>
      <w:r>
        <w:rPr>
          <w:rFonts w:hint="eastAsia"/>
          <w:kern w:val="0"/>
          <w:sz w:val="24"/>
          <w:szCs w:val="21"/>
        </w:rPr>
        <w:t>月</w:t>
      </w:r>
      <w:r>
        <w:rPr>
          <w:kern w:val="0"/>
          <w:sz w:val="24"/>
          <w:szCs w:val="21"/>
        </w:rPr>
        <w:t>30</w:t>
      </w:r>
      <w:r>
        <w:rPr>
          <w:rFonts w:hint="eastAsia"/>
          <w:kern w:val="0"/>
          <w:sz w:val="24"/>
          <w:szCs w:val="21"/>
        </w:rPr>
        <w:t>日</w:t>
      </w:r>
    </w:p>
    <w:p w14:paraId="2A696AF5">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5A118882">
      <w:pPr>
        <w:pStyle w:val="2"/>
        <w:bidi w:val="0"/>
      </w:pPr>
      <w:bookmarkStart w:id="23" w:name="_Toc11000"/>
      <w:r>
        <w:rPr>
          <w:rFonts w:hint="eastAsia"/>
        </w:rPr>
        <w:t>《马克思主义基本原理》课程教学大纲</w:t>
      </w:r>
      <w:bookmarkEnd w:id="23"/>
    </w:p>
    <w:p w14:paraId="4C374E5D">
      <w:pPr>
        <w:pStyle w:val="2"/>
        <w:bidi w:val="0"/>
      </w:pPr>
      <w:bookmarkStart w:id="24" w:name="_Toc21883"/>
      <w:r>
        <w:rPr>
          <w:rFonts w:hint="eastAsia"/>
        </w:rPr>
        <w:t>（Basic Principles of Marxism）</w:t>
      </w:r>
      <w:bookmarkEnd w:id="24"/>
    </w:p>
    <w:p w14:paraId="5C024038">
      <w:pPr>
        <w:pStyle w:val="2"/>
        <w:bidi w:val="0"/>
      </w:pPr>
    </w:p>
    <w:p w14:paraId="05F1B421">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课程名称：马克思主义基本原理</w:t>
      </w:r>
    </w:p>
    <w:p w14:paraId="08939C6F">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课程代码：1003031</w:t>
      </w:r>
    </w:p>
    <w:p w14:paraId="693FCD31">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 xml:space="preserve">学 </w:t>
      </w:r>
      <w:r>
        <w:rPr>
          <w:rFonts w:ascii="宋体" w:hAnsi="宋体" w:eastAsia="宋体" w:cs="Times New Roman"/>
          <w:b/>
          <w:sz w:val="24"/>
          <w:szCs w:val="24"/>
        </w:rPr>
        <w:t xml:space="preserve">   </w:t>
      </w:r>
      <w:r>
        <w:rPr>
          <w:rFonts w:hint="eastAsia" w:ascii="宋体" w:hAnsi="宋体" w:eastAsia="宋体" w:cs="Times New Roman"/>
          <w:b/>
          <w:sz w:val="24"/>
          <w:szCs w:val="24"/>
        </w:rPr>
        <w:t>分：3</w:t>
      </w:r>
    </w:p>
    <w:p w14:paraId="45850838">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 xml:space="preserve">学 </w:t>
      </w:r>
      <w:r>
        <w:rPr>
          <w:rFonts w:ascii="宋体" w:hAnsi="宋体" w:eastAsia="宋体" w:cs="Times New Roman"/>
          <w:b/>
          <w:sz w:val="24"/>
          <w:szCs w:val="24"/>
        </w:rPr>
        <w:t xml:space="preserve">   </w:t>
      </w:r>
      <w:r>
        <w:rPr>
          <w:rFonts w:hint="eastAsia" w:ascii="宋体" w:hAnsi="宋体" w:eastAsia="宋体" w:cs="Times New Roman"/>
          <w:b/>
          <w:sz w:val="24"/>
          <w:szCs w:val="24"/>
        </w:rPr>
        <w:t>时：48（其中：讲授学时42，实践学时6）</w:t>
      </w:r>
    </w:p>
    <w:p w14:paraId="452264C5">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先修课程：思想道德与法治、中国近现代史纲要</w:t>
      </w:r>
    </w:p>
    <w:p w14:paraId="4D489FA7">
      <w:pPr>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适用专业：小学教育</w:t>
      </w:r>
    </w:p>
    <w:p w14:paraId="0E7C163B">
      <w:pPr>
        <w:spacing w:line="360" w:lineRule="auto"/>
        <w:jc w:val="left"/>
        <w:rPr>
          <w:rFonts w:ascii="Times New Roman" w:hAnsi="Times New Roman" w:eastAsia="宋体" w:cs="Times New Roman"/>
          <w:b/>
          <w:sz w:val="24"/>
          <w:szCs w:val="24"/>
        </w:rPr>
      </w:pPr>
    </w:p>
    <w:p w14:paraId="3CD5E7EC">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724D61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面向小学教育专业开设的通识必修课。通过本课程的学习，使学生理解马克思主义基本原理相关理论，掌握辩证唯物主义和历史唯物主义的基本观点，认识资本主义本质和社会主义建立、实践和发展的必然性，学会运用马克思主义的立场、观点、方法来认识、分析和解决问题，树立马克思主义的世界观、人生观和价值观，为后续思想政治理论课及思想政治理论课实践环节奠定基础，从而完成人才培养目标。</w:t>
      </w:r>
    </w:p>
    <w:p w14:paraId="6DFB0DA9">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30758BA">
      <w:pPr>
        <w:spacing w:line="360" w:lineRule="auto"/>
        <w:ind w:firstLine="422" w:firstLineChars="200"/>
        <w:rPr>
          <w:rFonts w:ascii="宋体" w:hAnsi="宋体" w:eastAsia="宋体" w:cs="Times New Roman"/>
          <w:b/>
          <w:color w:val="000000"/>
          <w:szCs w:val="21"/>
        </w:rPr>
      </w:pPr>
      <w:bookmarkStart w:id="25" w:name="_Hlk187778138"/>
      <w:r>
        <w:rPr>
          <w:rFonts w:hint="eastAsia" w:ascii="宋体" w:hAnsi="宋体" w:eastAsia="宋体" w:cs="Times New Roman"/>
          <w:b/>
          <w:color w:val="000000"/>
          <w:szCs w:val="21"/>
        </w:rPr>
        <w:t>（一）课程具体目标</w:t>
      </w:r>
    </w:p>
    <w:p w14:paraId="1A18E07F">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w:t>
      </w:r>
      <w:r>
        <w:rPr>
          <w:rFonts w:ascii="Times New Roman" w:hAnsi="Times New Roman" w:eastAsia="宋体" w:cs="Times New Roman"/>
          <w:bCs/>
          <w:szCs w:val="21"/>
        </w:rPr>
        <w:t>培养学生立足国情认知与全球视野，系统理解新时代中国特色社会主义思想理论体系，准确把握其对中国式现代化建设的核心指导价值。坚定中国特色社会主义政治认同，自觉践行社会主义核心价值观，将党的教育方针转化为育人实践的行动自觉。深植教师职业价值认同，铸就</w:t>
      </w:r>
      <w:r>
        <w:rPr>
          <w:rFonts w:hint="eastAsia" w:ascii="Times New Roman" w:hAnsi="Times New Roman" w:eastAsia="宋体" w:cs="Times New Roman"/>
          <w:bCs/>
          <w:szCs w:val="21"/>
        </w:rPr>
        <w:t>“</w:t>
      </w:r>
      <w:r>
        <w:rPr>
          <w:rFonts w:ascii="Times New Roman" w:hAnsi="Times New Roman" w:eastAsia="宋体" w:cs="Times New Roman"/>
          <w:bCs/>
          <w:szCs w:val="21"/>
        </w:rPr>
        <w:t>四有</w:t>
      </w:r>
      <w:r>
        <w:rPr>
          <w:rFonts w:hint="eastAsia" w:ascii="Times New Roman" w:hAnsi="Times New Roman" w:eastAsia="宋体" w:cs="Times New Roman"/>
          <w:bCs/>
          <w:szCs w:val="21"/>
        </w:rPr>
        <w:t>”</w:t>
      </w:r>
      <w:r>
        <w:rPr>
          <w:rFonts w:ascii="Times New Roman" w:hAnsi="Times New Roman" w:eastAsia="宋体" w:cs="Times New Roman"/>
          <w:bCs/>
          <w:szCs w:val="21"/>
        </w:rPr>
        <w:t>教师核心素养。</w:t>
      </w:r>
    </w:p>
    <w:p w14:paraId="3501060B">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在马克思主义理论指导下培养学生的</w:t>
      </w:r>
      <w:r>
        <w:rPr>
          <w:rFonts w:ascii="Times New Roman" w:hAnsi="Times New Roman" w:eastAsia="宋体" w:cs="Times New Roman"/>
          <w:bCs/>
          <w:szCs w:val="21"/>
        </w:rPr>
        <w:t>人文艺术涵养与求实科学精神，恪守教师职业行为规范，保持正向情感状态，形成健全人格特质，实现身心协调发展</w:t>
      </w:r>
      <w:r>
        <w:rPr>
          <w:rFonts w:hint="eastAsia" w:ascii="Times New Roman" w:hAnsi="Times New Roman" w:eastAsia="宋体" w:cs="Times New Roman"/>
          <w:bCs/>
          <w:szCs w:val="21"/>
        </w:rPr>
        <w:t>。</w:t>
      </w:r>
    </w:p>
    <w:p w14:paraId="2F99BB88">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bookmarkEnd w:id="25"/>
      <w:r>
        <w:rPr>
          <w:rFonts w:hint="eastAsia" w:ascii="Times New Roman" w:hAnsi="Times New Roman" w:eastAsia="宋体" w:cs="Times New Roman"/>
          <w:bCs/>
          <w:szCs w:val="21"/>
        </w:rPr>
        <w:t>科学地运用马克思主义的世界观和方法论，帮助学生培养与小学教育本科专业相应的自然科学和人文社会科学知识素养，并将其运用到教育实践中。</w:t>
      </w:r>
    </w:p>
    <w:p w14:paraId="44208ADA">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Cs/>
          <w:szCs w:val="21"/>
        </w:rPr>
        <w:t>培养反思意识和批判性思维素养，对在日常学习和教育实践中发现的教育现象和问题，能运用辩证唯物主义和历史唯物主义的方法进行探索和研究，通过持续反思优化教学实践。</w:t>
      </w:r>
    </w:p>
    <w:p w14:paraId="7E5B290D">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381"/>
        <w:gridCol w:w="1281"/>
      </w:tblGrid>
      <w:tr w14:paraId="2C09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3949FDE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81" w:type="dxa"/>
            <w:vAlign w:val="center"/>
          </w:tcPr>
          <w:p w14:paraId="726BDE0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81" w:type="dxa"/>
            <w:vAlign w:val="center"/>
          </w:tcPr>
          <w:p w14:paraId="42ECC36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1DF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0F696C1E">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毕业要求1：师德规范</w:t>
            </w:r>
          </w:p>
        </w:tc>
        <w:tc>
          <w:tcPr>
            <w:tcW w:w="5381" w:type="dxa"/>
            <w:vAlign w:val="center"/>
          </w:tcPr>
          <w:p w14:paraId="687115BF">
            <w:pPr>
              <w:spacing w:line="276" w:lineRule="auto"/>
              <w:jc w:val="left"/>
              <w:rPr>
                <w:rFonts w:ascii="Times New Roman" w:hAnsi="Times New Roman" w:eastAsia="宋体" w:cs="Times New Roman"/>
                <w:szCs w:val="21"/>
              </w:rPr>
            </w:pPr>
            <w:r>
              <w:rPr>
                <w:rFonts w:hint="eastAsia" w:ascii="Times New Roman" w:hAnsi="Times New Roman" w:eastAsia="宋体" w:cs="Times New Roman"/>
                <w:b/>
                <w:bCs/>
                <w:szCs w:val="21"/>
              </w:rPr>
              <w:t>指标点</w:t>
            </w:r>
            <w:r>
              <w:rPr>
                <w:rFonts w:ascii="Times New Roman" w:hAnsi="Times New Roman" w:eastAsia="宋体" w:cs="Times New Roman"/>
                <w:b/>
                <w:bCs/>
                <w:szCs w:val="21"/>
              </w:rPr>
              <w:t>1-1</w:t>
            </w:r>
            <w:r>
              <w:rPr>
                <w:rFonts w:hint="eastAsia" w:ascii="Times New Roman" w:hAnsi="Times New Roman" w:eastAsia="宋体" w:cs="Times New Roman"/>
                <w:b/>
                <w:bCs/>
                <w:szCs w:val="21"/>
              </w:rPr>
              <w:t>：</w:t>
            </w:r>
            <w:r>
              <w:rPr>
                <w:rFonts w:hint="eastAsia" w:ascii="Times New Roman" w:hAnsi="Times New Roman" w:eastAsia="宋体" w:cs="Times New Roman"/>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281" w:type="dxa"/>
            <w:vAlign w:val="center"/>
          </w:tcPr>
          <w:p w14:paraId="281383C2">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2340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71966B43">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毕业要求2：教育情怀</w:t>
            </w:r>
          </w:p>
        </w:tc>
        <w:tc>
          <w:tcPr>
            <w:tcW w:w="5381" w:type="dxa"/>
            <w:vAlign w:val="center"/>
          </w:tcPr>
          <w:p w14:paraId="78F90F6C">
            <w:pPr>
              <w:spacing w:line="276" w:lineRule="auto"/>
              <w:jc w:val="left"/>
              <w:rPr>
                <w:rFonts w:ascii="Times New Roman" w:hAnsi="Times New Roman" w:eastAsia="宋体" w:cs="Times New Roman"/>
                <w:szCs w:val="21"/>
              </w:rPr>
            </w:pPr>
            <w:r>
              <w:rPr>
                <w:rFonts w:hint="eastAsia" w:ascii="宋体" w:hAnsi="宋体" w:eastAsia="宋体" w:cs="Times New Roman"/>
                <w:b/>
                <w:bCs/>
                <w:color w:val="000000"/>
                <w:spacing w:val="2"/>
                <w:kern w:val="0"/>
                <w:szCs w:val="21"/>
              </w:rPr>
              <w:t>指标点2-3：</w:t>
            </w:r>
            <w:r>
              <w:rPr>
                <w:rFonts w:hint="eastAsia" w:ascii="宋体" w:hAnsi="宋体" w:eastAsia="宋体" w:cs="Times New Roman"/>
                <w:color w:val="000000"/>
                <w:spacing w:val="2"/>
                <w:kern w:val="0"/>
                <w:szCs w:val="21"/>
              </w:rPr>
              <w:t>【自身修养良好】具有较好的人文艺术底蕴与科学精神，言行举止符合教师职业标准，情感积极，人格健全，身心健康。</w:t>
            </w:r>
          </w:p>
        </w:tc>
        <w:tc>
          <w:tcPr>
            <w:tcW w:w="1281" w:type="dxa"/>
            <w:vAlign w:val="center"/>
          </w:tcPr>
          <w:p w14:paraId="3740A76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7914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3DD9A5E1">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毕业要求3：学科素养</w:t>
            </w:r>
          </w:p>
        </w:tc>
        <w:tc>
          <w:tcPr>
            <w:tcW w:w="5381" w:type="dxa"/>
            <w:vAlign w:val="center"/>
          </w:tcPr>
          <w:p w14:paraId="54E6E858">
            <w:pPr>
              <w:spacing w:line="276" w:lineRule="auto"/>
              <w:jc w:val="left"/>
              <w:rPr>
                <w:rFonts w:ascii="宋体" w:hAnsi="宋体" w:eastAsia="宋体" w:cs="Times New Roman"/>
                <w:color w:val="000000"/>
                <w:spacing w:val="2"/>
                <w:kern w:val="0"/>
                <w:szCs w:val="21"/>
              </w:rPr>
            </w:pPr>
            <w:r>
              <w:rPr>
                <w:rFonts w:hint="eastAsia" w:ascii="宋体" w:hAnsi="宋体" w:eastAsia="宋体" w:cs="Times New Roman"/>
                <w:b/>
                <w:bCs/>
                <w:color w:val="000000"/>
                <w:spacing w:val="2"/>
                <w:kern w:val="0"/>
                <w:szCs w:val="21"/>
              </w:rPr>
              <w:t>指标点3-1：</w:t>
            </w:r>
            <w:r>
              <w:rPr>
                <w:rFonts w:hint="eastAsia" w:ascii="宋体" w:hAnsi="宋体" w:eastAsia="宋体" w:cs="Times New Roman"/>
                <w:color w:val="000000"/>
                <w:spacing w:val="2"/>
                <w:kern w:val="0"/>
                <w:szCs w:val="21"/>
              </w:rPr>
              <w:t>【通识知识广博】具有小学教育本科专业相应的自然科学和人文社会科学知识素养。</w:t>
            </w:r>
          </w:p>
        </w:tc>
        <w:tc>
          <w:tcPr>
            <w:tcW w:w="1281" w:type="dxa"/>
            <w:vAlign w:val="center"/>
          </w:tcPr>
          <w:p w14:paraId="251B1F3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7ED0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765DFF97">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毕业要求7：学会反思</w:t>
            </w:r>
          </w:p>
        </w:tc>
        <w:tc>
          <w:tcPr>
            <w:tcW w:w="5381" w:type="dxa"/>
            <w:vAlign w:val="center"/>
          </w:tcPr>
          <w:p w14:paraId="7715E668">
            <w:pPr>
              <w:spacing w:line="276" w:lineRule="auto"/>
              <w:jc w:val="left"/>
              <w:rPr>
                <w:rFonts w:ascii="Times New Roman" w:hAnsi="Times New Roman" w:eastAsia="宋体" w:cs="Times New Roman"/>
                <w:szCs w:val="21"/>
              </w:rPr>
            </w:pPr>
            <w:r>
              <w:rPr>
                <w:rFonts w:hint="eastAsia" w:ascii="宋体" w:hAnsi="宋体" w:eastAsia="宋体" w:cs="Times New Roman"/>
                <w:b/>
                <w:bCs/>
                <w:color w:val="000000"/>
                <w:kern w:val="0"/>
                <w:szCs w:val="21"/>
              </w:rPr>
              <w:t>指标点</w:t>
            </w:r>
            <w:r>
              <w:rPr>
                <w:rFonts w:ascii="宋体" w:hAnsi="宋体" w:eastAsia="宋体" w:cs="Times New Roman"/>
                <w:b/>
                <w:bCs/>
                <w:color w:val="000000"/>
                <w:kern w:val="0"/>
                <w:szCs w:val="21"/>
              </w:rPr>
              <w:t>7-3：</w:t>
            </w:r>
            <w:r>
              <w:rPr>
                <w:rFonts w:hint="eastAsia" w:ascii="宋体" w:hAnsi="宋体" w:eastAsia="宋体" w:cs="Times New Roman"/>
                <w:color w:val="000000"/>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281" w:type="dxa"/>
            <w:vAlign w:val="center"/>
          </w:tcPr>
          <w:p w14:paraId="63B6238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481D5751">
      <w:pPr>
        <w:spacing w:line="360" w:lineRule="auto"/>
        <w:jc w:val="left"/>
        <w:rPr>
          <w:rFonts w:ascii="宋体" w:hAnsi="宋体" w:eastAsia="宋体" w:cs="Times New Roman"/>
          <w:b/>
          <w:color w:val="000000"/>
          <w:sz w:val="28"/>
          <w:szCs w:val="28"/>
        </w:rPr>
      </w:pPr>
    </w:p>
    <w:p w14:paraId="69992766">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635"/>
        <w:gridCol w:w="1134"/>
        <w:gridCol w:w="3260"/>
        <w:gridCol w:w="1342"/>
        <w:gridCol w:w="656"/>
      </w:tblGrid>
      <w:tr w14:paraId="47FC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BD2520D">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0F8804F3">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635" w:type="dxa"/>
            <w:vAlign w:val="center"/>
          </w:tcPr>
          <w:p w14:paraId="7D6354E6">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8058244">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CEE5096">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28EAF664">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42" w:type="dxa"/>
            <w:vAlign w:val="center"/>
          </w:tcPr>
          <w:p w14:paraId="73CDE775">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56" w:type="dxa"/>
            <w:vAlign w:val="center"/>
          </w:tcPr>
          <w:p w14:paraId="75F833B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6C68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0E86EC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1.导论</w:t>
            </w:r>
          </w:p>
        </w:tc>
        <w:tc>
          <w:tcPr>
            <w:tcW w:w="1635" w:type="dxa"/>
            <w:vAlign w:val="center"/>
          </w:tcPr>
          <w:p w14:paraId="5E07188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（1）什么是马克思主义</w:t>
            </w:r>
          </w:p>
          <w:p w14:paraId="167D836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（2）马克思主义的创立与发展（3）马克思主义的鲜明特征（4）马克思主义的当代价值</w:t>
            </w:r>
          </w:p>
          <w:p w14:paraId="2612269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（5）自觉学习和运用马克思主义</w:t>
            </w:r>
          </w:p>
        </w:tc>
        <w:tc>
          <w:tcPr>
            <w:tcW w:w="1134" w:type="dxa"/>
            <w:vAlign w:val="center"/>
          </w:tcPr>
          <w:p w14:paraId="636573C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3EFB7B0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47058E8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p w14:paraId="12AF9B7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505ECE8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学生能够从总体上理解和把握什么是马克思主义，；</w:t>
            </w:r>
          </w:p>
          <w:p w14:paraId="178770A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了解马克思主义产生的历史过程和发展阶段；</w:t>
            </w:r>
          </w:p>
          <w:p w14:paraId="006DEF2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掌握马克思主义的鲜明特征；</w:t>
            </w:r>
          </w:p>
          <w:p w14:paraId="5CC9761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4.认识马克思主义的当代价值；</w:t>
            </w:r>
          </w:p>
          <w:p w14:paraId="0B59A28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ascii="宋体" w:hAnsi="宋体" w:eastAsia="宋体" w:cs="Times New Roman"/>
                <w:color w:val="000000"/>
                <w:szCs w:val="21"/>
              </w:rPr>
              <w:t>理解为什么要学习马克思主义，掌握学习、运用科学理论的原则和方法。</w:t>
            </w:r>
          </w:p>
        </w:tc>
        <w:tc>
          <w:tcPr>
            <w:tcW w:w="1342" w:type="dxa"/>
            <w:vAlign w:val="center"/>
          </w:tcPr>
          <w:p w14:paraId="19BF22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F7BD2C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661F93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3CE09F1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15CB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3F66A1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2.世界的物质性及发展规律</w:t>
            </w:r>
          </w:p>
        </w:tc>
        <w:tc>
          <w:tcPr>
            <w:tcW w:w="1635" w:type="dxa"/>
            <w:vAlign w:val="center"/>
          </w:tcPr>
          <w:p w14:paraId="61E8ED0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（1）世界多样性与物质统一性</w:t>
            </w:r>
          </w:p>
          <w:p w14:paraId="1F2FBA2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（2）事物的普遍联系和变化发展</w:t>
            </w:r>
          </w:p>
          <w:p w14:paraId="73751D4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（3）唯物辩证法是认识世界和改造世界的根本方法</w:t>
            </w:r>
          </w:p>
        </w:tc>
        <w:tc>
          <w:tcPr>
            <w:tcW w:w="1134" w:type="dxa"/>
            <w:vAlign w:val="center"/>
          </w:tcPr>
          <w:p w14:paraId="0D4F52E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5738BDA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p w14:paraId="356566C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39D066F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1.掌握辩证唯物主义基本原理，把握物质与意识的辩证关系以及世界的物质统一性；</w:t>
            </w:r>
          </w:p>
          <w:p w14:paraId="17911C4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rPr>
              <w:t>理解</w:t>
            </w:r>
            <w:r>
              <w:rPr>
                <w:rFonts w:hint="eastAsia" w:ascii="宋体" w:hAnsi="宋体" w:eastAsia="宋体" w:cs="Times New Roman"/>
                <w:color w:val="000000"/>
                <w:szCs w:val="21"/>
              </w:rPr>
              <w:t>事</w:t>
            </w:r>
            <w:r>
              <w:rPr>
                <w:rFonts w:hint="eastAsia" w:ascii="宋体" w:hAnsi="宋体" w:eastAsia="宋体"/>
              </w:rPr>
              <w:t>物联系和发展</w:t>
            </w:r>
            <w:r>
              <w:rPr>
                <w:rFonts w:hint="eastAsia" w:ascii="宋体" w:hAnsi="宋体" w:eastAsia="宋体" w:cs="Times New Roman"/>
                <w:color w:val="000000"/>
                <w:szCs w:val="21"/>
              </w:rPr>
              <w:t>的基本规律和基本环节；</w:t>
            </w:r>
          </w:p>
          <w:p w14:paraId="1CE988A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3.坚持科学的世界观和方法论，运用唯物辩证法分析和解决问题，不断增强思维能力</w:t>
            </w:r>
            <w:r>
              <w:rPr>
                <w:rFonts w:ascii="宋体" w:hAnsi="宋体" w:eastAsia="宋体" w:cs="Times New Roman"/>
                <w:color w:val="000000"/>
                <w:szCs w:val="21"/>
              </w:rPr>
              <w:t>。</w:t>
            </w:r>
          </w:p>
        </w:tc>
        <w:tc>
          <w:tcPr>
            <w:tcW w:w="1342" w:type="dxa"/>
            <w:vAlign w:val="center"/>
          </w:tcPr>
          <w:p w14:paraId="36A1901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0BF7FB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38A88AB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49E159C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9</w:t>
            </w:r>
          </w:p>
        </w:tc>
      </w:tr>
      <w:tr w14:paraId="75FB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9E7BB0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3.实践与认识及其发展规律</w:t>
            </w:r>
          </w:p>
        </w:tc>
        <w:tc>
          <w:tcPr>
            <w:tcW w:w="1635" w:type="dxa"/>
            <w:vAlign w:val="center"/>
          </w:tcPr>
          <w:p w14:paraId="2A0287A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（1）实践与认识</w:t>
            </w:r>
          </w:p>
          <w:p w14:paraId="0D4EC1F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（2）真理与价值</w:t>
            </w:r>
          </w:p>
          <w:p w14:paraId="3E7A853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（3）认识世界和改造世界</w:t>
            </w:r>
          </w:p>
        </w:tc>
        <w:tc>
          <w:tcPr>
            <w:tcW w:w="1134" w:type="dxa"/>
            <w:vAlign w:val="center"/>
          </w:tcPr>
          <w:p w14:paraId="2288BCB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p w14:paraId="44D9CC6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3CF661D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1.了解马克思主义的实践观、认识论和价值论的基本观点；</w:t>
            </w:r>
          </w:p>
          <w:p w14:paraId="741633E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2.掌握实践、认识、真理、价值的本质及其相互关系，树立实践第一的观点，树立正确的价值观；</w:t>
            </w:r>
          </w:p>
          <w:p w14:paraId="6AC99FE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rPr>
              <w:t>理解如何</w:t>
            </w:r>
            <w:r>
              <w:rPr>
                <w:rFonts w:hint="eastAsia" w:ascii="宋体" w:hAnsi="宋体" w:eastAsia="宋体" w:cs="Times New Roman"/>
                <w:color w:val="000000"/>
                <w:szCs w:val="21"/>
              </w:rPr>
              <w:t>在改造客观世界的同时改造主观世界，努力实现理论创新和实践创新的良性互动</w:t>
            </w:r>
            <w:r>
              <w:rPr>
                <w:rFonts w:ascii="宋体" w:hAnsi="宋体" w:eastAsia="宋体" w:cs="Times New Roman"/>
                <w:color w:val="000000"/>
                <w:szCs w:val="21"/>
              </w:rPr>
              <w:t>。</w:t>
            </w:r>
          </w:p>
        </w:tc>
        <w:tc>
          <w:tcPr>
            <w:tcW w:w="1342" w:type="dxa"/>
            <w:vAlign w:val="center"/>
          </w:tcPr>
          <w:p w14:paraId="30E102B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BEE552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00DAC12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36904E3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610C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B384897">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4.人类社会及其发展规律</w:t>
            </w:r>
          </w:p>
        </w:tc>
        <w:tc>
          <w:tcPr>
            <w:tcW w:w="1635" w:type="dxa"/>
            <w:vAlign w:val="center"/>
          </w:tcPr>
          <w:p w14:paraId="5D3DDC6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（1）人类社会的存在与发展（2）社会历史发展的动力</w:t>
            </w:r>
          </w:p>
          <w:p w14:paraId="21AF1D0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（3）人民群众在历史发展中的作用</w:t>
            </w:r>
          </w:p>
        </w:tc>
        <w:tc>
          <w:tcPr>
            <w:tcW w:w="1134" w:type="dxa"/>
            <w:vAlign w:val="center"/>
          </w:tcPr>
          <w:p w14:paraId="5D16862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2446E77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04E1940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1.学习和把握历史唯物主义的基本原理，着重了解社会存在与社会意识的辩证关系；</w:t>
            </w:r>
          </w:p>
          <w:p w14:paraId="03FD130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rPr>
              <w:t>理解</w:t>
            </w:r>
            <w:r>
              <w:rPr>
                <w:rFonts w:hint="eastAsia" w:ascii="宋体" w:hAnsi="宋体" w:eastAsia="宋体" w:cs="Times New Roman"/>
                <w:color w:val="000000"/>
                <w:szCs w:val="21"/>
              </w:rPr>
              <w:t>社会基本矛盾及其运动规律、社会发展的动力以及人民群众和个人在社会历史中的作用；</w:t>
            </w:r>
          </w:p>
          <w:p w14:paraId="619A48B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3.提高运用历史唯物主义正确认识历史和现实、正确认识社会发展规律的自觉性和能力。</w:t>
            </w:r>
          </w:p>
        </w:tc>
        <w:tc>
          <w:tcPr>
            <w:tcW w:w="1342" w:type="dxa"/>
            <w:vAlign w:val="center"/>
          </w:tcPr>
          <w:p w14:paraId="318BB59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B24103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2083AEB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1F17753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4E83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2FDEF5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5.资本主义的本质及规律</w:t>
            </w:r>
          </w:p>
        </w:tc>
        <w:tc>
          <w:tcPr>
            <w:tcW w:w="1635" w:type="dxa"/>
            <w:vAlign w:val="center"/>
          </w:tcPr>
          <w:p w14:paraId="0D1E9E8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（1）商品经济和价值规律（2）资本主义经济制度的本质</w:t>
            </w:r>
          </w:p>
          <w:p w14:paraId="3BDC03B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（3）资本主义政治制度和意识形态</w:t>
            </w:r>
          </w:p>
        </w:tc>
        <w:tc>
          <w:tcPr>
            <w:tcW w:w="1134" w:type="dxa"/>
            <w:vAlign w:val="center"/>
          </w:tcPr>
          <w:p w14:paraId="5B04E11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tc>
        <w:tc>
          <w:tcPr>
            <w:tcW w:w="3260" w:type="dxa"/>
            <w:vAlign w:val="center"/>
          </w:tcPr>
          <w:p w14:paraId="708596E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1.运用马克思主义的立场观点方法，准确认识资本主义生产方式的基本矛盾；</w:t>
            </w:r>
          </w:p>
          <w:p w14:paraId="649E467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2.深刻理解资本主义经济制度的本质，正确把握社会化大生产和商品经济运动的一般规律；</w:t>
            </w:r>
          </w:p>
          <w:p w14:paraId="3AAAA36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3.正确认识和把握资本主义政治制度、意识形态及其本质。</w:t>
            </w:r>
          </w:p>
        </w:tc>
        <w:tc>
          <w:tcPr>
            <w:tcW w:w="1342" w:type="dxa"/>
            <w:vAlign w:val="center"/>
          </w:tcPr>
          <w:p w14:paraId="41F0096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41CD0C1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4A51A21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2D97241C">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5920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86F31D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6.资本主义的发展及其趋势</w:t>
            </w:r>
          </w:p>
        </w:tc>
        <w:tc>
          <w:tcPr>
            <w:tcW w:w="1635" w:type="dxa"/>
            <w:vAlign w:val="center"/>
          </w:tcPr>
          <w:p w14:paraId="719C7A6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（1）垄断资本主义的形成与发展</w:t>
            </w:r>
          </w:p>
          <w:p w14:paraId="7783FA8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（2）正确认识当代资本主义的新变化</w:t>
            </w:r>
          </w:p>
          <w:p w14:paraId="59A15D6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（3）资本主义的历史地位和发展趋势</w:t>
            </w:r>
          </w:p>
        </w:tc>
        <w:tc>
          <w:tcPr>
            <w:tcW w:w="1134" w:type="dxa"/>
            <w:vAlign w:val="center"/>
          </w:tcPr>
          <w:p w14:paraId="7CE80BC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641188E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目标4</w:t>
            </w:r>
          </w:p>
        </w:tc>
        <w:tc>
          <w:tcPr>
            <w:tcW w:w="3260" w:type="dxa"/>
            <w:vAlign w:val="center"/>
          </w:tcPr>
          <w:p w14:paraId="44AD1CF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1.了解资本主义从自由竞争发展到垄断的进程，科学认识国家垄断资本主义和经济全球化；</w:t>
            </w:r>
          </w:p>
          <w:p w14:paraId="40807A0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2.正确认识第二次世界大战后资本主义的变化及其实质，当代资本主义变化的新特征，世界大变局下资本主义的矛盾与冲突；</w:t>
            </w:r>
          </w:p>
          <w:p w14:paraId="47501A0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rPr>
              <w:t xml:space="preserve"> </w:t>
            </w:r>
            <w:r>
              <w:rPr>
                <w:rFonts w:hint="eastAsia" w:ascii="宋体" w:hAnsi="宋体" w:eastAsia="宋体" w:cs="Times New Roman"/>
                <w:color w:val="000000"/>
                <w:szCs w:val="21"/>
              </w:rPr>
              <w:t>深刻理解资本主义的历史地位及其为社会主义所代替的历史必然性，坚定资本主义必然灭亡、社会主义必然胜利的信念。</w:t>
            </w:r>
          </w:p>
        </w:tc>
        <w:tc>
          <w:tcPr>
            <w:tcW w:w="1342" w:type="dxa"/>
            <w:vAlign w:val="center"/>
          </w:tcPr>
          <w:p w14:paraId="7C78886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4D05D9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3A2875D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5EDFA71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2B3C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724D2E9">
            <w:pPr>
              <w:spacing w:line="276" w:lineRule="auto"/>
              <w:jc w:val="center"/>
              <w:rPr>
                <w:rFonts w:ascii="宋体" w:hAnsi="宋体" w:eastAsia="宋体" w:cs="Times New Roman"/>
                <w:szCs w:val="21"/>
              </w:rPr>
            </w:pPr>
            <w:r>
              <w:rPr>
                <w:rFonts w:hint="eastAsia" w:ascii="宋体" w:hAnsi="宋体" w:eastAsia="宋体" w:cs="Times New Roman"/>
                <w:szCs w:val="21"/>
              </w:rPr>
              <w:t>7.</w:t>
            </w:r>
            <w:r>
              <w:rPr>
                <w:rFonts w:hint="eastAsia"/>
              </w:rPr>
              <w:t xml:space="preserve"> </w:t>
            </w:r>
            <w:r>
              <w:rPr>
                <w:rFonts w:hint="eastAsia" w:ascii="宋体" w:hAnsi="宋体" w:eastAsia="宋体" w:cs="Times New Roman"/>
                <w:szCs w:val="21"/>
              </w:rPr>
              <w:t>社会主义的发展及其规律</w:t>
            </w:r>
          </w:p>
        </w:tc>
        <w:tc>
          <w:tcPr>
            <w:tcW w:w="1635" w:type="dxa"/>
            <w:vAlign w:val="center"/>
          </w:tcPr>
          <w:p w14:paraId="069058CC">
            <w:pPr>
              <w:spacing w:line="276" w:lineRule="auto"/>
              <w:jc w:val="left"/>
              <w:rPr>
                <w:rFonts w:ascii="宋体" w:hAnsi="宋体" w:eastAsia="宋体" w:cs="Times New Roman"/>
                <w:szCs w:val="21"/>
              </w:rPr>
            </w:pPr>
            <w:r>
              <w:rPr>
                <w:rFonts w:hint="eastAsia" w:ascii="宋体" w:hAnsi="宋体" w:eastAsia="宋体" w:cs="Times New Roman"/>
                <w:szCs w:val="21"/>
              </w:rPr>
              <w:t>（1）社会主义五百年的历史进程</w:t>
            </w:r>
          </w:p>
          <w:p w14:paraId="2C1EECC2">
            <w:pPr>
              <w:spacing w:line="276" w:lineRule="auto"/>
              <w:jc w:val="left"/>
              <w:rPr>
                <w:rFonts w:ascii="宋体" w:hAnsi="宋体" w:eastAsia="宋体" w:cs="Times New Roman"/>
                <w:szCs w:val="21"/>
              </w:rPr>
            </w:pPr>
            <w:r>
              <w:rPr>
                <w:rFonts w:hint="eastAsia" w:ascii="宋体" w:hAnsi="宋体" w:eastAsia="宋体" w:cs="Times New Roman"/>
                <w:szCs w:val="21"/>
              </w:rPr>
              <w:t>（2）科学社会主义基本原则（3）在实践中探索现实社会主义的发展规律</w:t>
            </w:r>
          </w:p>
        </w:tc>
        <w:tc>
          <w:tcPr>
            <w:tcW w:w="1134" w:type="dxa"/>
            <w:vAlign w:val="center"/>
          </w:tcPr>
          <w:p w14:paraId="6FDA7A5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01A02E0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774A019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tc>
        <w:tc>
          <w:tcPr>
            <w:tcW w:w="3260" w:type="dxa"/>
            <w:vAlign w:val="center"/>
          </w:tcPr>
          <w:p w14:paraId="4F5D743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1.学习和了解社会主义五百年的发展历程，把握科学社会主义基本原则；</w:t>
            </w:r>
          </w:p>
          <w:p w14:paraId="04F315C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2.认识社会主义建设过程的长期性，明确社会主义发展道路的多样性，把握新时代中国特色社会主义在社会主义发展史上的里程碑意义；</w:t>
            </w:r>
          </w:p>
          <w:p w14:paraId="4FEE073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3.能够遵循社会主义在实践中开拓前进的发展规律，以昂扬奋进的姿态推进社会主义事业走向光明未来。</w:t>
            </w:r>
          </w:p>
        </w:tc>
        <w:tc>
          <w:tcPr>
            <w:tcW w:w="1342" w:type="dxa"/>
            <w:vAlign w:val="center"/>
          </w:tcPr>
          <w:p w14:paraId="73FA41C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48DA333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598244F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063C367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5247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C89D96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8.共产主义崇高理想及其最终实现</w:t>
            </w:r>
          </w:p>
        </w:tc>
        <w:tc>
          <w:tcPr>
            <w:tcW w:w="1635" w:type="dxa"/>
            <w:vAlign w:val="center"/>
          </w:tcPr>
          <w:p w14:paraId="14E6645F">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（1）展望未来共产主义新社会（2）实现共产主义是历史发展的必然趋势</w:t>
            </w:r>
          </w:p>
          <w:p w14:paraId="37338100">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（3）共产主义远大理想与中国特色社会主义共同理想</w:t>
            </w:r>
          </w:p>
        </w:tc>
        <w:tc>
          <w:tcPr>
            <w:tcW w:w="1134" w:type="dxa"/>
            <w:vAlign w:val="center"/>
          </w:tcPr>
          <w:p w14:paraId="31C43D0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p w14:paraId="2A8F31F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目标2</w:t>
            </w:r>
          </w:p>
          <w:p w14:paraId="3902B1A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目标3</w:t>
            </w:r>
          </w:p>
        </w:tc>
        <w:tc>
          <w:tcPr>
            <w:tcW w:w="3260" w:type="dxa"/>
            <w:vAlign w:val="center"/>
          </w:tcPr>
          <w:p w14:paraId="5FB81020">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1.掌握预见未来社会的方法论原则，把握共产主义社会的基本特征；</w:t>
            </w:r>
          </w:p>
          <w:p w14:paraId="40EEDE38">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2.深刻认识实现共产主义的历史必然性和长期性；</w:t>
            </w:r>
          </w:p>
          <w:p w14:paraId="108582E2">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3.帮助学生正确处理理想与现实、个人理想和社会理想、远大理想与共同理想的关系，坚定理想信念，投身新时代中国特色社会主义事业。</w:t>
            </w:r>
          </w:p>
        </w:tc>
        <w:tc>
          <w:tcPr>
            <w:tcW w:w="1342" w:type="dxa"/>
            <w:vAlign w:val="center"/>
          </w:tcPr>
          <w:p w14:paraId="0180C95C">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4FFFBAB">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2.课堂教学</w:t>
            </w:r>
          </w:p>
          <w:p w14:paraId="6A405B60">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3.单元测验</w:t>
            </w:r>
          </w:p>
        </w:tc>
        <w:tc>
          <w:tcPr>
            <w:tcW w:w="656" w:type="dxa"/>
            <w:vAlign w:val="center"/>
          </w:tcPr>
          <w:p w14:paraId="1C42D2E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538D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271" w:type="dxa"/>
            <w:vAlign w:val="center"/>
          </w:tcPr>
          <w:p w14:paraId="0F22394A">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思想政治理论课实践</w:t>
            </w:r>
          </w:p>
        </w:tc>
        <w:tc>
          <w:tcPr>
            <w:tcW w:w="7371" w:type="dxa"/>
            <w:gridSpan w:val="4"/>
            <w:vAlign w:val="center"/>
          </w:tcPr>
          <w:p w14:paraId="54F84BC8">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656" w:type="dxa"/>
            <w:vAlign w:val="center"/>
          </w:tcPr>
          <w:p w14:paraId="613BD53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bl>
    <w:p w14:paraId="063F499C">
      <w:pPr>
        <w:spacing w:line="360" w:lineRule="auto"/>
        <w:jc w:val="left"/>
        <w:rPr>
          <w:rFonts w:ascii="Times New Roman" w:hAnsi="Times New Roman" w:eastAsia="宋体" w:cs="Times New Roman"/>
          <w:sz w:val="24"/>
          <w:szCs w:val="24"/>
        </w:rPr>
      </w:pPr>
    </w:p>
    <w:p w14:paraId="5B66803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1A0E197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43AD771">
      <w:pPr>
        <w:spacing w:line="360" w:lineRule="auto"/>
        <w:ind w:firstLine="420" w:firstLineChars="200"/>
        <w:jc w:val="left"/>
        <w:rPr>
          <w:rFonts w:ascii="Times New Roman" w:hAnsi="Times New Roman" w:eastAsia="宋体" w:cs="Times New Roman"/>
          <w:b/>
          <w:bCs/>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FADFD27">
      <w:pPr>
        <w:spacing w:line="360" w:lineRule="auto"/>
        <w:jc w:val="center"/>
        <w:rPr>
          <w:rFonts w:ascii="Times New Roman" w:hAnsi="Times New Roman" w:eastAsia="宋体" w:cs="Times New Roman"/>
          <w:b/>
          <w:bCs/>
          <w:szCs w:val="21"/>
        </w:rPr>
      </w:pPr>
    </w:p>
    <w:p w14:paraId="63447F0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616"/>
        <w:gridCol w:w="1560"/>
        <w:gridCol w:w="1559"/>
        <w:gridCol w:w="1559"/>
        <w:gridCol w:w="992"/>
      </w:tblGrid>
      <w:tr w14:paraId="32DC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56546277">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294" w:type="dxa"/>
            <w:gridSpan w:val="4"/>
            <w:vAlign w:val="center"/>
          </w:tcPr>
          <w:p w14:paraId="0EBAC318">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992" w:type="dxa"/>
            <w:vMerge w:val="restart"/>
            <w:vAlign w:val="center"/>
          </w:tcPr>
          <w:p w14:paraId="55491ED9">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6D45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38C51B13">
            <w:pPr>
              <w:spacing w:line="360" w:lineRule="auto"/>
              <w:jc w:val="center"/>
              <w:rPr>
                <w:rFonts w:ascii="宋体" w:hAnsi="宋体" w:eastAsia="宋体" w:cs="Times New Roman"/>
                <w:szCs w:val="21"/>
              </w:rPr>
            </w:pPr>
          </w:p>
        </w:tc>
        <w:tc>
          <w:tcPr>
            <w:tcW w:w="1616" w:type="dxa"/>
          </w:tcPr>
          <w:p w14:paraId="191E0D87">
            <w:pPr>
              <w:spacing w:line="360" w:lineRule="auto"/>
              <w:jc w:val="center"/>
              <w:rPr>
                <w:rFonts w:hint="eastAsia" w:ascii="宋体" w:hAnsi="宋体" w:eastAsia="宋体" w:cs="Times New Roman"/>
                <w:szCs w:val="21"/>
              </w:rPr>
            </w:pPr>
            <w:r>
              <w:rPr>
                <w:rFonts w:hint="eastAsia" w:ascii="宋体" w:hAnsi="宋体" w:eastAsia="宋体" w:cs="Times New Roman"/>
                <w:szCs w:val="21"/>
              </w:rPr>
              <w:t>网络学习</w:t>
            </w:r>
          </w:p>
        </w:tc>
        <w:tc>
          <w:tcPr>
            <w:tcW w:w="1560" w:type="dxa"/>
            <w:vAlign w:val="center"/>
          </w:tcPr>
          <w:p w14:paraId="44835791">
            <w:pPr>
              <w:spacing w:line="360" w:lineRule="auto"/>
              <w:jc w:val="center"/>
              <w:rPr>
                <w:rFonts w:ascii="宋体" w:hAnsi="宋体" w:eastAsia="宋体" w:cs="Times New Roman"/>
                <w:szCs w:val="21"/>
              </w:rPr>
            </w:pPr>
            <w:r>
              <w:rPr>
                <w:rFonts w:hint="eastAsia" w:ascii="宋体" w:hAnsi="宋体" w:eastAsia="宋体" w:cs="Times New Roman"/>
                <w:szCs w:val="21"/>
              </w:rPr>
              <w:t>平时表现</w:t>
            </w:r>
          </w:p>
        </w:tc>
        <w:tc>
          <w:tcPr>
            <w:tcW w:w="1559" w:type="dxa"/>
            <w:vAlign w:val="center"/>
          </w:tcPr>
          <w:p w14:paraId="6C12BE03">
            <w:pPr>
              <w:spacing w:line="360" w:lineRule="auto"/>
              <w:jc w:val="center"/>
              <w:rPr>
                <w:rFonts w:ascii="宋体" w:hAnsi="宋体" w:eastAsia="宋体" w:cs="Times New Roman"/>
                <w:szCs w:val="21"/>
              </w:rPr>
            </w:pPr>
            <w:r>
              <w:rPr>
                <w:rFonts w:hint="eastAsia" w:ascii="宋体" w:hAnsi="宋体" w:eastAsia="宋体" w:cs="Times New Roman"/>
                <w:szCs w:val="21"/>
              </w:rPr>
              <w:t>作业</w:t>
            </w:r>
          </w:p>
        </w:tc>
        <w:tc>
          <w:tcPr>
            <w:tcW w:w="1559" w:type="dxa"/>
            <w:vAlign w:val="center"/>
          </w:tcPr>
          <w:p w14:paraId="7A0FFAAA">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992" w:type="dxa"/>
            <w:vMerge w:val="continue"/>
            <w:vAlign w:val="center"/>
          </w:tcPr>
          <w:p w14:paraId="208DB07D">
            <w:pPr>
              <w:spacing w:line="360" w:lineRule="auto"/>
              <w:jc w:val="center"/>
              <w:rPr>
                <w:rFonts w:ascii="宋体" w:hAnsi="宋体" w:eastAsia="宋体" w:cs="Times New Roman"/>
                <w:szCs w:val="21"/>
              </w:rPr>
            </w:pPr>
          </w:p>
        </w:tc>
      </w:tr>
      <w:tr w14:paraId="0367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C60E46E">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616" w:type="dxa"/>
          </w:tcPr>
          <w:p w14:paraId="45127B4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01BC91F5">
            <w:pPr>
              <w:spacing w:line="360" w:lineRule="auto"/>
              <w:jc w:val="center"/>
              <w:rPr>
                <w:rFonts w:ascii="宋体" w:hAnsi="宋体" w:eastAsia="宋体" w:cs="Times New Roman"/>
                <w:szCs w:val="21"/>
              </w:rPr>
            </w:pPr>
          </w:p>
        </w:tc>
        <w:tc>
          <w:tcPr>
            <w:tcW w:w="1559" w:type="dxa"/>
            <w:vAlign w:val="center"/>
          </w:tcPr>
          <w:p w14:paraId="6E8D21E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73F396F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087C12A2">
            <w:pPr>
              <w:spacing w:line="360" w:lineRule="auto"/>
              <w:jc w:val="center"/>
              <w:rPr>
                <w:rFonts w:ascii="宋体" w:hAnsi="宋体" w:eastAsia="宋体" w:cs="Times New Roman"/>
                <w:szCs w:val="21"/>
              </w:rPr>
            </w:pPr>
            <w:r>
              <w:rPr>
                <w:rFonts w:hint="eastAsia" w:ascii="宋体" w:hAnsi="宋体" w:eastAsia="宋体" w:cs="Times New Roman"/>
                <w:szCs w:val="21"/>
              </w:rPr>
              <w:t>26</w:t>
            </w:r>
          </w:p>
        </w:tc>
      </w:tr>
      <w:tr w14:paraId="5602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AF9680A">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616" w:type="dxa"/>
          </w:tcPr>
          <w:p w14:paraId="2264F45B">
            <w:pPr>
              <w:spacing w:line="360" w:lineRule="auto"/>
              <w:jc w:val="center"/>
              <w:rPr>
                <w:rFonts w:ascii="宋体" w:hAnsi="宋体" w:eastAsia="宋体" w:cs="Times New Roman"/>
                <w:szCs w:val="21"/>
              </w:rPr>
            </w:pPr>
          </w:p>
        </w:tc>
        <w:tc>
          <w:tcPr>
            <w:tcW w:w="1560" w:type="dxa"/>
            <w:vAlign w:val="center"/>
          </w:tcPr>
          <w:p w14:paraId="41750B3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5429122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3F0B8E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12BCEB63">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3</w:t>
            </w:r>
          </w:p>
        </w:tc>
      </w:tr>
      <w:tr w14:paraId="5D50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61BF395">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616" w:type="dxa"/>
          </w:tcPr>
          <w:p w14:paraId="399161C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0FBB5BD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16A01BA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06E08FA">
            <w:pPr>
              <w:spacing w:line="360" w:lineRule="auto"/>
              <w:jc w:val="center"/>
              <w:rPr>
                <w:rFonts w:ascii="宋体" w:hAnsi="宋体" w:eastAsia="宋体" w:cs="Times New Roman"/>
                <w:szCs w:val="21"/>
              </w:rPr>
            </w:pPr>
          </w:p>
        </w:tc>
        <w:tc>
          <w:tcPr>
            <w:tcW w:w="992" w:type="dxa"/>
            <w:vAlign w:val="center"/>
          </w:tcPr>
          <w:p w14:paraId="0A557BFA">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5</w:t>
            </w:r>
          </w:p>
        </w:tc>
      </w:tr>
      <w:tr w14:paraId="1584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4B38CED0">
            <w:pPr>
              <w:spacing w:line="360" w:lineRule="auto"/>
              <w:jc w:val="center"/>
              <w:rPr>
                <w:rFonts w:ascii="宋体" w:hAnsi="宋体" w:eastAsia="宋体" w:cs="Times New Roman"/>
                <w:szCs w:val="21"/>
              </w:rPr>
            </w:pPr>
            <w:r>
              <w:rPr>
                <w:rFonts w:hint="eastAsia" w:ascii="宋体" w:hAnsi="宋体" w:eastAsia="宋体" w:cs="Times New Roman"/>
                <w:szCs w:val="21"/>
              </w:rPr>
              <w:t>课程目标4</w:t>
            </w:r>
          </w:p>
        </w:tc>
        <w:tc>
          <w:tcPr>
            <w:tcW w:w="1616" w:type="dxa"/>
          </w:tcPr>
          <w:p w14:paraId="2238468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1280DDF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2FAEE2F0">
            <w:pPr>
              <w:spacing w:line="360" w:lineRule="auto"/>
              <w:jc w:val="center"/>
              <w:rPr>
                <w:rFonts w:ascii="宋体" w:hAnsi="宋体" w:eastAsia="宋体" w:cs="Times New Roman"/>
                <w:szCs w:val="21"/>
              </w:rPr>
            </w:pPr>
          </w:p>
        </w:tc>
        <w:tc>
          <w:tcPr>
            <w:tcW w:w="1559" w:type="dxa"/>
            <w:vAlign w:val="center"/>
          </w:tcPr>
          <w:p w14:paraId="549639E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0E557863">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6</w:t>
            </w:r>
          </w:p>
        </w:tc>
      </w:tr>
      <w:tr w14:paraId="40C0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CFC05BF">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616" w:type="dxa"/>
          </w:tcPr>
          <w:p w14:paraId="533870B4">
            <w:pPr>
              <w:spacing w:line="360" w:lineRule="auto"/>
              <w:jc w:val="center"/>
              <w:rPr>
                <w:rFonts w:ascii="宋体" w:hAnsi="宋体" w:eastAsia="宋体" w:cs="Times New Roman"/>
                <w:szCs w:val="21"/>
              </w:rPr>
            </w:pPr>
          </w:p>
        </w:tc>
        <w:tc>
          <w:tcPr>
            <w:tcW w:w="1560" w:type="dxa"/>
            <w:vAlign w:val="center"/>
          </w:tcPr>
          <w:p w14:paraId="4DDB1A9E">
            <w:pPr>
              <w:spacing w:line="360" w:lineRule="auto"/>
              <w:jc w:val="center"/>
              <w:rPr>
                <w:rFonts w:ascii="宋体" w:hAnsi="宋体" w:eastAsia="宋体" w:cs="Times New Roman"/>
                <w:szCs w:val="21"/>
              </w:rPr>
            </w:pPr>
          </w:p>
        </w:tc>
        <w:tc>
          <w:tcPr>
            <w:tcW w:w="1559" w:type="dxa"/>
            <w:vAlign w:val="center"/>
          </w:tcPr>
          <w:p w14:paraId="20761BCC">
            <w:pPr>
              <w:spacing w:line="360" w:lineRule="auto"/>
              <w:jc w:val="center"/>
              <w:rPr>
                <w:rFonts w:ascii="宋体" w:hAnsi="宋体" w:eastAsia="宋体" w:cs="Times New Roman"/>
                <w:szCs w:val="21"/>
              </w:rPr>
            </w:pPr>
          </w:p>
        </w:tc>
        <w:tc>
          <w:tcPr>
            <w:tcW w:w="1559" w:type="dxa"/>
            <w:vAlign w:val="center"/>
          </w:tcPr>
          <w:p w14:paraId="4D724FB9">
            <w:pPr>
              <w:spacing w:line="360" w:lineRule="auto"/>
              <w:jc w:val="center"/>
              <w:rPr>
                <w:rFonts w:ascii="宋体" w:hAnsi="宋体" w:eastAsia="宋体" w:cs="Times New Roman"/>
                <w:szCs w:val="21"/>
              </w:rPr>
            </w:pPr>
          </w:p>
        </w:tc>
        <w:tc>
          <w:tcPr>
            <w:tcW w:w="992" w:type="dxa"/>
            <w:vAlign w:val="center"/>
          </w:tcPr>
          <w:p w14:paraId="6E1E5891">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1770A4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EC67FA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8F2BD26">
      <w:pPr>
        <w:jc w:val="center"/>
        <w:rPr>
          <w:rFonts w:ascii="Times New Roman" w:hAnsi="Times New Roman" w:eastAsia="宋体" w:cs="Times New Roman"/>
          <w:b/>
          <w:bCs/>
          <w:szCs w:val="21"/>
        </w:rPr>
      </w:pPr>
    </w:p>
    <w:p w14:paraId="30E4F55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7126"/>
        <w:gridCol w:w="850"/>
      </w:tblGrid>
      <w:tr w14:paraId="46EB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720DC81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26" w:type="dxa"/>
            <w:vAlign w:val="center"/>
          </w:tcPr>
          <w:p w14:paraId="67DEE5A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850" w:type="dxa"/>
            <w:vAlign w:val="center"/>
          </w:tcPr>
          <w:p w14:paraId="7C507CE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D2D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vAlign w:val="center"/>
          </w:tcPr>
          <w:p w14:paraId="2672DCC3">
            <w:pPr>
              <w:jc w:val="center"/>
              <w:rPr>
                <w:rFonts w:ascii="宋体" w:hAnsi="宋体" w:eastAsia="宋体"/>
              </w:rPr>
            </w:pPr>
            <w:r>
              <w:rPr>
                <w:rFonts w:hint="eastAsia" w:ascii="宋体" w:hAnsi="宋体" w:eastAsia="宋体"/>
              </w:rPr>
              <w:t>网络学习</w:t>
            </w:r>
          </w:p>
        </w:tc>
        <w:tc>
          <w:tcPr>
            <w:tcW w:w="7126" w:type="dxa"/>
            <w:vAlign w:val="center"/>
          </w:tcPr>
          <w:p w14:paraId="351CA054">
            <w:pPr>
              <w:spacing w:line="264" w:lineRule="auto"/>
              <w:jc w:val="left"/>
              <w:rPr>
                <w:rFonts w:ascii="宋体" w:hAnsi="宋体" w:eastAsia="宋体"/>
              </w:rPr>
            </w:pPr>
            <w:r>
              <w:rPr>
                <w:rFonts w:hint="eastAsia" w:ascii="宋体" w:hAnsi="宋体" w:eastAsia="宋体"/>
              </w:rPr>
              <w:t>通过视频学习，互动讨论等考核对课程理论的理解和运用</w:t>
            </w:r>
          </w:p>
        </w:tc>
        <w:tc>
          <w:tcPr>
            <w:tcW w:w="850" w:type="dxa"/>
            <w:vAlign w:val="center"/>
          </w:tcPr>
          <w:p w14:paraId="39286391">
            <w:pPr>
              <w:jc w:val="center"/>
              <w:rPr>
                <w:rFonts w:ascii="宋体" w:hAnsi="宋体" w:eastAsia="宋体" w:cs="Times New Roman"/>
                <w:szCs w:val="21"/>
              </w:rPr>
            </w:pPr>
            <w:r>
              <w:rPr>
                <w:rFonts w:hint="eastAsia"/>
              </w:rPr>
              <w:t>10%</w:t>
            </w:r>
          </w:p>
        </w:tc>
      </w:tr>
      <w:tr w14:paraId="24AF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3E69EA7D">
            <w:pPr>
              <w:jc w:val="center"/>
              <w:rPr>
                <w:rFonts w:ascii="宋体" w:hAnsi="宋体" w:eastAsia="宋体"/>
              </w:rPr>
            </w:pPr>
            <w:r>
              <w:rPr>
                <w:rFonts w:hint="eastAsia" w:ascii="宋体" w:hAnsi="宋体" w:eastAsia="宋体"/>
              </w:rPr>
              <w:t>平时表现</w:t>
            </w:r>
          </w:p>
        </w:tc>
        <w:tc>
          <w:tcPr>
            <w:tcW w:w="7126" w:type="dxa"/>
            <w:vAlign w:val="center"/>
          </w:tcPr>
          <w:p w14:paraId="655D86CA">
            <w:pPr>
              <w:spacing w:line="264" w:lineRule="auto"/>
              <w:jc w:val="left"/>
              <w:rPr>
                <w:rFonts w:ascii="宋体" w:hAnsi="宋体" w:eastAsia="宋体" w:cs="Times New Roman"/>
                <w:szCs w:val="21"/>
              </w:rPr>
            </w:pPr>
            <w:r>
              <w:rPr>
                <w:rFonts w:hint="eastAsia" w:ascii="宋体" w:hAnsi="宋体" w:eastAsia="宋体"/>
              </w:rPr>
              <w:t>通过课堂互动、听课表现等考核学生对马克思主义基本原理的理解和运用。</w:t>
            </w:r>
          </w:p>
        </w:tc>
        <w:tc>
          <w:tcPr>
            <w:tcW w:w="850" w:type="dxa"/>
            <w:vAlign w:val="center"/>
          </w:tcPr>
          <w:p w14:paraId="167DB369">
            <w:pPr>
              <w:jc w:val="center"/>
              <w:rPr>
                <w:rFonts w:ascii="宋体" w:hAnsi="宋体" w:eastAsia="宋体" w:cs="Times New Roman"/>
                <w:szCs w:val="21"/>
              </w:rPr>
            </w:pPr>
            <w:r>
              <w:rPr>
                <w:rFonts w:hint="eastAsia"/>
              </w:rPr>
              <w:t>20%</w:t>
            </w:r>
          </w:p>
        </w:tc>
      </w:tr>
      <w:tr w14:paraId="4DD4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0A48B5B0">
            <w:pPr>
              <w:jc w:val="center"/>
              <w:rPr>
                <w:rFonts w:ascii="宋体" w:hAnsi="宋体" w:eastAsia="宋体"/>
              </w:rPr>
            </w:pPr>
            <w:r>
              <w:rPr>
                <w:rFonts w:hint="eastAsia" w:ascii="宋体" w:hAnsi="宋体" w:eastAsia="宋体"/>
              </w:rPr>
              <w:t>作业</w:t>
            </w:r>
          </w:p>
        </w:tc>
        <w:tc>
          <w:tcPr>
            <w:tcW w:w="7126" w:type="dxa"/>
            <w:vAlign w:val="center"/>
          </w:tcPr>
          <w:p w14:paraId="46662BD8">
            <w:pPr>
              <w:widowControl/>
              <w:spacing w:line="264" w:lineRule="auto"/>
              <w:jc w:val="left"/>
              <w:rPr>
                <w:rFonts w:ascii="宋体" w:hAnsi="宋体" w:eastAsia="宋体" w:cs="宋体"/>
                <w:color w:val="000000"/>
                <w:kern w:val="0"/>
                <w:szCs w:val="21"/>
                <w:lang w:bidi="ar"/>
              </w:rPr>
            </w:pPr>
            <w:r>
              <w:rPr>
                <w:rFonts w:hint="eastAsia" w:ascii="宋体" w:hAnsi="宋体" w:eastAsia="宋体"/>
              </w:rPr>
              <w:t>通过章节测验、思考题等考核学生对课程知识点的理解和应用；对每次作业完成情况做记录并百分制打分，计算全部作业的平均成绩。</w:t>
            </w:r>
          </w:p>
        </w:tc>
        <w:tc>
          <w:tcPr>
            <w:tcW w:w="850" w:type="dxa"/>
            <w:vAlign w:val="center"/>
          </w:tcPr>
          <w:p w14:paraId="4B2C3AC5">
            <w:pPr>
              <w:jc w:val="center"/>
              <w:rPr>
                <w:rFonts w:ascii="宋体" w:hAnsi="宋体" w:eastAsia="宋体" w:cs="Times New Roman"/>
                <w:szCs w:val="21"/>
              </w:rPr>
            </w:pPr>
            <w:r>
              <w:rPr>
                <w:rFonts w:hint="eastAsia"/>
              </w:rPr>
              <w:t>30%</w:t>
            </w:r>
          </w:p>
        </w:tc>
      </w:tr>
      <w:tr w14:paraId="51AF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1622712F">
            <w:pPr>
              <w:jc w:val="center"/>
              <w:rPr>
                <w:rFonts w:ascii="宋体" w:hAnsi="宋体" w:eastAsia="宋体"/>
              </w:rPr>
            </w:pPr>
            <w:r>
              <w:rPr>
                <w:rFonts w:hint="eastAsia" w:ascii="宋体" w:hAnsi="宋体" w:eastAsia="宋体"/>
              </w:rPr>
              <w:t>期末考试</w:t>
            </w:r>
          </w:p>
        </w:tc>
        <w:tc>
          <w:tcPr>
            <w:tcW w:w="7126" w:type="dxa"/>
            <w:vAlign w:val="center"/>
          </w:tcPr>
          <w:p w14:paraId="0C1A8CE6">
            <w:pPr>
              <w:widowControl/>
              <w:spacing w:line="264" w:lineRule="auto"/>
              <w:jc w:val="left"/>
              <w:rPr>
                <w:rFonts w:ascii="宋体" w:hAnsi="宋体" w:eastAsia="宋体" w:cs="宋体"/>
                <w:color w:val="000000"/>
                <w:kern w:val="0"/>
                <w:szCs w:val="21"/>
                <w:lang w:bidi="ar"/>
              </w:rPr>
            </w:pPr>
            <w:r>
              <w:rPr>
                <w:rFonts w:hint="eastAsia" w:ascii="宋体" w:hAnsi="宋体" w:eastAsia="宋体"/>
              </w:rPr>
              <w:t>通过单项选择题、多项选择题、填空题、判断题和论述题等，考核思想政治理论基础知识和马克思主义的立场、观点和方法的运用。</w:t>
            </w:r>
          </w:p>
        </w:tc>
        <w:tc>
          <w:tcPr>
            <w:tcW w:w="850" w:type="dxa"/>
            <w:vAlign w:val="center"/>
          </w:tcPr>
          <w:p w14:paraId="0D24F1AB">
            <w:pPr>
              <w:jc w:val="center"/>
              <w:rPr>
                <w:rFonts w:ascii="宋体" w:hAnsi="宋体" w:eastAsia="宋体" w:cs="Times New Roman"/>
                <w:szCs w:val="21"/>
              </w:rPr>
            </w:pPr>
            <w:r>
              <w:rPr>
                <w:rFonts w:hint="eastAsia"/>
              </w:rPr>
              <w:t>40%</w:t>
            </w:r>
          </w:p>
        </w:tc>
      </w:tr>
      <w:tr w14:paraId="22A7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tcPr>
          <w:p w14:paraId="48B8280C">
            <w:pPr>
              <w:rPr>
                <w:rFonts w:ascii="宋体" w:hAnsi="宋体" w:eastAsia="宋体" w:cs="Times New Roman"/>
                <w:szCs w:val="21"/>
              </w:rPr>
            </w:pPr>
            <w:r>
              <w:rPr>
                <w:rFonts w:hint="eastAsia" w:ascii="宋体" w:hAnsi="宋体" w:eastAsia="宋体"/>
              </w:rPr>
              <w:t>合计</w:t>
            </w:r>
          </w:p>
        </w:tc>
        <w:tc>
          <w:tcPr>
            <w:tcW w:w="7126" w:type="dxa"/>
          </w:tcPr>
          <w:p w14:paraId="6C122F51">
            <w:pPr>
              <w:spacing w:line="264" w:lineRule="auto"/>
              <w:jc w:val="left"/>
              <w:rPr>
                <w:rFonts w:ascii="宋体" w:hAnsi="宋体" w:eastAsia="宋体" w:cs="Times New Roman"/>
                <w:szCs w:val="21"/>
              </w:rPr>
            </w:pPr>
          </w:p>
        </w:tc>
        <w:tc>
          <w:tcPr>
            <w:tcW w:w="850" w:type="dxa"/>
            <w:vAlign w:val="center"/>
          </w:tcPr>
          <w:p w14:paraId="37D79A9F">
            <w:pPr>
              <w:jc w:val="center"/>
              <w:rPr>
                <w:rFonts w:ascii="宋体" w:hAnsi="宋体" w:eastAsia="宋体" w:cs="Times New Roman"/>
                <w:szCs w:val="21"/>
              </w:rPr>
            </w:pPr>
            <w:r>
              <w:rPr>
                <w:rFonts w:hint="eastAsia" w:ascii="宋体" w:hAnsi="宋体" w:eastAsia="宋体" w:cs="Times New Roman"/>
                <w:szCs w:val="21"/>
              </w:rPr>
              <w:t>100%</w:t>
            </w:r>
          </w:p>
        </w:tc>
      </w:tr>
    </w:tbl>
    <w:p w14:paraId="1B461A71">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8CF5AB8">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B8CD8E7">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27" o:spt="75" type="#_x0000_t75" style="height:25.3pt;width:404.3pt;" o:ole="t" filled="f" o:preferrelative="t" stroked="f" coordsize="21600,21600">
            <v:path/>
            <v:fill on="f" focussize="0,0"/>
            <v:stroke on="f" joinstyle="miter"/>
            <v:imagedata r:id="rId5" o:title=""/>
            <o:lock v:ext="edit" aspectratio="t"/>
            <w10:wrap type="none"/>
            <w10:anchorlock/>
          </v:shape>
          <o:OLEObject Type="Embed" ProgID="Equation.3" ShapeID="_x0000_i1027" DrawAspect="Content" ObjectID="_1468075727" r:id="rId8">
            <o:LockedField>false</o:LockedField>
          </o:OLEObject>
        </w:object>
      </w:r>
    </w:p>
    <w:p w14:paraId="7D12B481">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五、有关说明</w:t>
      </w:r>
    </w:p>
    <w:p w14:paraId="3DC7883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B4E631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本课程根据学生作业、课堂讨论、平时考核情况，以及学生、教学督导等反馈，及时对教学中不足之处进行改进，并在下一轮课程教学中整改完善，确保相应毕业要求指标点达成。</w:t>
      </w:r>
    </w:p>
    <w:p w14:paraId="7CE2327C">
      <w:pPr>
        <w:spacing w:line="360" w:lineRule="auto"/>
        <w:jc w:val="left"/>
        <w:rPr>
          <w:rFonts w:ascii="Times New Roman" w:hAnsi="Times New Roman" w:eastAsia="宋体" w:cs="Times New Roman"/>
          <w:b/>
          <w:szCs w:val="21"/>
        </w:rPr>
      </w:pPr>
    </w:p>
    <w:p w14:paraId="5B07DAB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846C740">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《马克思主义基本原理》，本书编写组主编，高等教育出版社，2023年2月</w:t>
      </w:r>
    </w:p>
    <w:p w14:paraId="1000960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E17A637">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1.《马克思恩格斯选集》（1-4卷），人民出版社，2012</w:t>
      </w:r>
    </w:p>
    <w:p w14:paraId="5C92F423">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2.《列宁选集》（1-4卷），人民出版社，2012</w:t>
      </w:r>
    </w:p>
    <w:p w14:paraId="56EB5116">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3.《毛泽东选集》（1-4卷），人民出版社，1991</w:t>
      </w:r>
    </w:p>
    <w:p w14:paraId="68BDEB61">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4.《邓小平文选》（1-3卷），人民出版社，1995</w:t>
      </w:r>
    </w:p>
    <w:p w14:paraId="67054184">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5.《江泽民文选》（1-3卷），人民出版社，2006</w:t>
      </w:r>
    </w:p>
    <w:p w14:paraId="6503DC72">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6.《胡锦涛文选》（1-3卷），人民出版社，2016</w:t>
      </w:r>
    </w:p>
    <w:p w14:paraId="3619351C">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7.《习近平著作选读》（第一卷），人民出版社，2023</w:t>
      </w:r>
    </w:p>
    <w:p w14:paraId="07B191C3">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8.《习近平著作选读》（第二卷），人民出版社，2023</w:t>
      </w:r>
    </w:p>
    <w:p w14:paraId="764B148A">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9.《习近平经济思想学习纲要》，人民出版社、学习出版社，2022</w:t>
      </w:r>
    </w:p>
    <w:p w14:paraId="1B0A9B27">
      <w:pPr>
        <w:spacing w:line="360" w:lineRule="auto"/>
        <w:rPr>
          <w:rFonts w:ascii="宋体" w:hAnsi="宋体" w:eastAsia="宋体" w:cs="Times New Roman"/>
          <w:bCs/>
          <w:color w:val="000000"/>
          <w:szCs w:val="21"/>
        </w:rPr>
      </w:pPr>
      <w:r>
        <w:rPr>
          <w:rFonts w:hint="eastAsia" w:ascii="宋体" w:hAnsi="宋体" w:eastAsia="宋体" w:cs="Times New Roman"/>
          <w:bCs/>
          <w:color w:val="000000"/>
          <w:szCs w:val="21"/>
        </w:rPr>
        <w:t>10.《习近平新时代中国特色社会主义思想专题摘编》，党建读物出版社，2023</w:t>
      </w:r>
    </w:p>
    <w:p w14:paraId="5F16234E">
      <w:pPr>
        <w:spacing w:line="360" w:lineRule="auto"/>
        <w:rPr>
          <w:rFonts w:ascii="宋体" w:hAnsi="宋体" w:eastAsia="宋体"/>
          <w:b/>
          <w:bCs/>
        </w:rPr>
      </w:pPr>
      <w:r>
        <w:rPr>
          <w:rFonts w:hint="eastAsia" w:ascii="宋体" w:hAnsi="宋体" w:eastAsia="宋体"/>
          <w:b/>
          <w:bCs/>
        </w:rPr>
        <w:t>（四）教学改革</w:t>
      </w:r>
    </w:p>
    <w:p w14:paraId="112C3579">
      <w:pPr>
        <w:spacing w:line="360" w:lineRule="auto"/>
        <w:rPr>
          <w:rFonts w:ascii="宋体" w:hAnsi="宋体" w:eastAsia="宋体"/>
        </w:rPr>
      </w:pPr>
      <w:r>
        <w:rPr>
          <w:rFonts w:hint="eastAsia" w:ascii="宋体" w:hAnsi="宋体" w:eastAsia="宋体"/>
        </w:rPr>
        <w:t>本课程的教学改革，需制定相应的教学方案。</w:t>
      </w:r>
    </w:p>
    <w:p w14:paraId="0DD0C933">
      <w:pPr>
        <w:spacing w:line="360" w:lineRule="auto"/>
        <w:rPr>
          <w:rFonts w:ascii="宋体" w:hAnsi="宋体" w:eastAsia="宋体"/>
        </w:rPr>
      </w:pPr>
    </w:p>
    <w:p w14:paraId="1FCE8F11"/>
    <w:p w14:paraId="494E1CA0">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p>
    <w:p w14:paraId="418E0982">
      <w:pPr>
        <w:spacing w:line="360" w:lineRule="auto"/>
        <w:ind w:firstLine="5520" w:firstLineChars="2300"/>
        <w:rPr>
          <w:rFonts w:ascii="宋体" w:hAnsi="宋体" w:eastAsia="宋体"/>
          <w:sz w:val="24"/>
          <w:szCs w:val="24"/>
        </w:rPr>
      </w:pPr>
      <w:r>
        <w:rPr>
          <w:rFonts w:hint="eastAsia" w:ascii="Times New Roman" w:hAnsi="Times New Roman" w:eastAsia="宋体" w:cs="Times New Roman"/>
          <w:sz w:val="24"/>
          <w:szCs w:val="24"/>
        </w:rPr>
        <w:t xml:space="preserve"> </w:t>
      </w:r>
      <w:r>
        <w:rPr>
          <w:rFonts w:hint="eastAsia" w:ascii="宋体" w:hAnsi="宋体" w:eastAsia="宋体"/>
          <w:sz w:val="24"/>
          <w:szCs w:val="24"/>
        </w:rPr>
        <w:t xml:space="preserve">执 笔 人：赵菲菲    </w:t>
      </w:r>
    </w:p>
    <w:p w14:paraId="4CD232B6">
      <w:pPr>
        <w:spacing w:line="360" w:lineRule="auto"/>
        <w:rPr>
          <w:rFonts w:ascii="宋体" w:hAnsi="宋体" w:eastAsia="宋体"/>
          <w:sz w:val="24"/>
          <w:szCs w:val="24"/>
        </w:rPr>
      </w:pPr>
      <w:r>
        <w:rPr>
          <w:rFonts w:hint="eastAsia" w:ascii="宋体" w:hAnsi="宋体" w:eastAsia="宋体"/>
          <w:sz w:val="24"/>
          <w:szCs w:val="24"/>
        </w:rPr>
        <w:t xml:space="preserve">                                               审 定 人：夏天静</w:t>
      </w:r>
    </w:p>
    <w:p w14:paraId="4E39130F">
      <w:pPr>
        <w:spacing w:line="360" w:lineRule="auto"/>
        <w:rPr>
          <w:rFonts w:ascii="Times New Roman" w:hAnsi="Times New Roman" w:eastAsia="宋体" w:cs="Times New Roman"/>
          <w:sz w:val="24"/>
          <w:szCs w:val="24"/>
        </w:rPr>
      </w:pPr>
      <w:r>
        <w:rPr>
          <w:rFonts w:hint="eastAsia" w:ascii="宋体" w:hAnsi="宋体" w:eastAsia="宋体"/>
          <w:sz w:val="24"/>
          <w:szCs w:val="24"/>
        </w:rPr>
        <w:t xml:space="preserve">                                               审 批 人：熊焱生</w:t>
      </w:r>
    </w:p>
    <w:p w14:paraId="0BB92AE1">
      <w:pPr>
        <w:spacing w:line="360" w:lineRule="auto"/>
        <w:jc w:val="center"/>
        <w:rPr>
          <w:rFonts w:ascii="宋体" w:hAnsi="宋体" w:eastAsia="宋体" w:cs="Times New Roman"/>
          <w:sz w:val="24"/>
          <w:szCs w:val="24"/>
        </w:rPr>
      </w:pPr>
      <w:r>
        <w:rPr>
          <w:rFonts w:hint="eastAsia" w:ascii="Times New Roman" w:hAnsi="Times New Roman" w:eastAsia="宋体" w:cs="Times New Roman"/>
          <w:sz w:val="24"/>
          <w:szCs w:val="24"/>
        </w:rPr>
        <w:t xml:space="preserve">                  </w:t>
      </w:r>
      <w:r>
        <w:rPr>
          <w:rFonts w:hint="eastAsia" w:ascii="宋体" w:hAnsi="宋体" w:eastAsia="宋体" w:cs="Times New Roman"/>
          <w:sz w:val="24"/>
          <w:szCs w:val="24"/>
        </w:rPr>
        <w:t xml:space="preserve">                      批准时间： 2024</w:t>
      </w:r>
      <w:r>
        <w:rPr>
          <w:rFonts w:hint="eastAsia" w:ascii="宋体" w:hAnsi="宋体" w:eastAsia="宋体" w:cs="Times New Roman"/>
          <w:sz w:val="24"/>
          <w:szCs w:val="24"/>
          <w:lang w:val="en-US" w:eastAsia="zh-CN"/>
        </w:rPr>
        <w:t>年</w:t>
      </w:r>
      <w:r>
        <w:rPr>
          <w:rFonts w:hint="eastAsia" w:ascii="宋体" w:hAnsi="宋体" w:eastAsia="宋体" w:cs="Times New Roman"/>
          <w:sz w:val="24"/>
          <w:szCs w:val="24"/>
        </w:rPr>
        <w:t>8</w:t>
      </w:r>
      <w:r>
        <w:rPr>
          <w:rFonts w:hint="eastAsia" w:ascii="宋体" w:hAnsi="宋体" w:eastAsia="宋体" w:cs="Times New Roman"/>
          <w:sz w:val="24"/>
          <w:szCs w:val="24"/>
          <w:lang w:val="en-US" w:eastAsia="zh-CN"/>
        </w:rPr>
        <w:t>月30</w:t>
      </w:r>
      <w:r>
        <w:rPr>
          <w:rFonts w:ascii="宋体" w:hAnsi="宋体" w:eastAsia="宋体" w:cs="Times New Roman"/>
          <w:sz w:val="24"/>
          <w:szCs w:val="24"/>
        </w:rPr>
        <w:t>日</w:t>
      </w:r>
    </w:p>
    <w:p w14:paraId="2233020C">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4DD44540">
      <w:pPr>
        <w:pStyle w:val="2"/>
        <w:bidi w:val="0"/>
      </w:pPr>
      <w:bookmarkStart w:id="26" w:name="_Toc4290"/>
      <w:r>
        <w:rPr>
          <w:rFonts w:hint="eastAsia"/>
          <w:lang w:eastAsia="zh-CN"/>
        </w:rPr>
        <w:t>《</w:t>
      </w:r>
      <w:r>
        <w:rPr>
          <w:rFonts w:hint="eastAsia"/>
        </w:rPr>
        <w:t>习近平新时代中国特色社会主义思想概论</w:t>
      </w:r>
      <w:r>
        <w:rPr>
          <w:rFonts w:hint="eastAsia"/>
          <w:lang w:eastAsia="zh-CN"/>
        </w:rPr>
        <w:t>》</w:t>
      </w:r>
      <w:r>
        <w:rPr>
          <w:rFonts w:hint="eastAsia"/>
        </w:rPr>
        <w:t>课程教学大纲</w:t>
      </w:r>
      <w:bookmarkEnd w:id="26"/>
    </w:p>
    <w:p w14:paraId="4B528435">
      <w:pPr>
        <w:pStyle w:val="2"/>
        <w:bidi w:val="0"/>
      </w:pPr>
      <w:bookmarkStart w:id="27" w:name="_Toc875"/>
      <w:r>
        <w:rPr>
          <w:rFonts w:hint="eastAsia"/>
        </w:rPr>
        <w:t>（Introduction to Xi Jinping Thought on Socialism with Chinese Characteristics for a New Era）</w:t>
      </w:r>
      <w:bookmarkEnd w:id="27"/>
    </w:p>
    <w:p w14:paraId="5AB88CB1">
      <w:pPr>
        <w:pStyle w:val="2"/>
        <w:bidi w:val="0"/>
      </w:pPr>
    </w:p>
    <w:p w14:paraId="1510BA6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课程名称：习近平新时代中国特色社会主义概论</w:t>
      </w:r>
    </w:p>
    <w:p w14:paraId="094C8CEF">
      <w:pPr>
        <w:spacing w:line="336" w:lineRule="auto"/>
        <w:ind w:firstLine="482" w:firstLineChars="200"/>
        <w:rPr>
          <w:rFonts w:ascii="Times New Roman" w:hAnsi="Times New Roman" w:eastAsia="宋体" w:cs="Times New Roman"/>
          <w:b/>
          <w:bCs/>
          <w:sz w:val="28"/>
          <w:szCs w:val="28"/>
        </w:rPr>
      </w:pPr>
      <w:r>
        <w:rPr>
          <w:rFonts w:ascii="Times New Roman" w:hAnsi="Times New Roman" w:eastAsia="宋体" w:cs="Times New Roman"/>
          <w:b/>
          <w:bCs/>
          <w:kern w:val="0"/>
          <w:sz w:val="24"/>
          <w:szCs w:val="24"/>
        </w:rPr>
        <w:t>课程代码：1005031</w:t>
      </w:r>
    </w:p>
    <w:p w14:paraId="47DA53F6">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学    分：3</w:t>
      </w:r>
    </w:p>
    <w:p w14:paraId="4353F124">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学    时：48</w:t>
      </w:r>
    </w:p>
    <w:p w14:paraId="7385B9A8">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hint="eastAsia" w:ascii="Times New Roman" w:hAnsi="Times New Roman" w:eastAsia="宋体" w:cs="Times New Roman"/>
          <w:b/>
          <w:bCs/>
          <w:kern w:val="0"/>
          <w:sz w:val="24"/>
          <w:szCs w:val="24"/>
        </w:rPr>
        <w:t>思想道德与法治、中国近现代史纲要、马克思主义基本原理</w:t>
      </w:r>
    </w:p>
    <w:p w14:paraId="479853F3">
      <w:pPr>
        <w:spacing w:line="336"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适用专业：</w:t>
      </w:r>
      <w:r>
        <w:rPr>
          <w:rFonts w:hint="eastAsia" w:ascii="Times New Roman" w:hAnsi="Times New Roman" w:eastAsia="宋体" w:cs="Times New Roman"/>
          <w:b/>
          <w:bCs/>
          <w:kern w:val="0"/>
          <w:sz w:val="24"/>
          <w:szCs w:val="24"/>
        </w:rPr>
        <w:t>小学教育</w:t>
      </w:r>
    </w:p>
    <w:p w14:paraId="587375BA">
      <w:pPr>
        <w:spacing w:line="336" w:lineRule="auto"/>
        <w:ind w:firstLine="482" w:firstLineChars="200"/>
        <w:rPr>
          <w:rFonts w:hint="eastAsia" w:ascii="Times New Roman" w:hAnsi="Times New Roman" w:eastAsia="宋体" w:cs="Times New Roman"/>
          <w:b/>
          <w:bCs/>
          <w:kern w:val="0"/>
          <w:sz w:val="24"/>
          <w:szCs w:val="24"/>
        </w:rPr>
      </w:pPr>
    </w:p>
    <w:p w14:paraId="02ACDC4D">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一、课程</w:t>
      </w:r>
      <w:r>
        <w:rPr>
          <w:rFonts w:hint="eastAsia" w:ascii="Times New Roman" w:hAnsi="Times New Roman" w:eastAsia="宋体" w:cs="Times New Roman"/>
          <w:b/>
          <w:sz w:val="24"/>
          <w:szCs w:val="24"/>
        </w:rPr>
        <w:t>简介</w:t>
      </w:r>
    </w:p>
    <w:p w14:paraId="36A09B6D">
      <w:pPr>
        <w:autoSpaceDE w:val="0"/>
        <w:autoSpaceDN w:val="0"/>
        <w:adjustRightInd w:val="0"/>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kern w:val="0"/>
          <w:szCs w:val="21"/>
        </w:rPr>
        <w:t>本课程</w:t>
      </w:r>
      <w:r>
        <w:rPr>
          <w:rFonts w:ascii="Times New Roman" w:hAnsi="Times New Roman" w:eastAsia="宋体" w:cs="Times New Roman"/>
          <w:kern w:val="0"/>
          <w:szCs w:val="21"/>
        </w:rPr>
        <w:t>是</w:t>
      </w:r>
      <w:r>
        <w:rPr>
          <w:rFonts w:hint="eastAsia" w:ascii="Times New Roman" w:hAnsi="Times New Roman" w:eastAsia="宋体" w:cs="Times New Roman"/>
          <w:kern w:val="0"/>
          <w:szCs w:val="21"/>
        </w:rPr>
        <w:t>小学教育本科专业的通识必修</w:t>
      </w:r>
      <w:r>
        <w:rPr>
          <w:rFonts w:ascii="Times New Roman" w:hAnsi="Times New Roman" w:eastAsia="宋体" w:cs="Times New Roman"/>
          <w:kern w:val="0"/>
          <w:szCs w:val="21"/>
        </w:rPr>
        <w:t>课</w:t>
      </w:r>
      <w:r>
        <w:rPr>
          <w:rFonts w:ascii="Times New Roman" w:hAnsi="Times New Roman" w:eastAsia="宋体" w:cs="Times New Roman"/>
          <w:szCs w:val="21"/>
        </w:rPr>
        <w:t>。</w:t>
      </w:r>
      <w:r>
        <w:rPr>
          <w:rFonts w:hint="eastAsia" w:ascii="Times New Roman" w:hAnsi="Times New Roman" w:eastAsia="宋体" w:cs="Times New Roman"/>
          <w:szCs w:val="21"/>
        </w:rPr>
        <w:t>本课程围绕科学回答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而展开，通过系统讲授习近平新时代中国特色社会主义思想形成的时代背景、核心要义、精神实质、丰富内涵、重大意义、历史地位和实践要求，帮助大学生掌握党的最新理论创新成果，提升理论素养，树牢“四个意识”</w:t>
      </w:r>
      <w:r>
        <w:rPr>
          <w:rFonts w:ascii="Times New Roman" w:hAnsi="Times New Roman" w:eastAsia="宋体" w:cs="Times New Roman"/>
          <w:szCs w:val="21"/>
        </w:rPr>
        <w:t>，坚定</w:t>
      </w:r>
      <w:r>
        <w:rPr>
          <w:rFonts w:hint="eastAsia" w:ascii="Times New Roman" w:hAnsi="Times New Roman" w:eastAsia="宋体" w:cs="Times New Roman"/>
          <w:szCs w:val="21"/>
        </w:rPr>
        <w:t>“四个自信”</w:t>
      </w:r>
      <w:r>
        <w:rPr>
          <w:rFonts w:ascii="Times New Roman" w:hAnsi="Times New Roman" w:eastAsia="宋体" w:cs="Times New Roman"/>
          <w:szCs w:val="21"/>
        </w:rPr>
        <w:t>，坚决做到</w:t>
      </w:r>
      <w:r>
        <w:rPr>
          <w:rFonts w:hint="eastAsia" w:ascii="Times New Roman" w:hAnsi="Times New Roman" w:eastAsia="宋体" w:cs="Times New Roman"/>
          <w:szCs w:val="21"/>
        </w:rPr>
        <w:t>“两个维护”</w:t>
      </w:r>
      <w:r>
        <w:rPr>
          <w:rFonts w:ascii="Times New Roman" w:hAnsi="Times New Roman" w:eastAsia="宋体" w:cs="Times New Roman"/>
          <w:szCs w:val="21"/>
        </w:rPr>
        <w:t>，有助于学生更好把握中国特色社会主义</w:t>
      </w:r>
      <w:r>
        <w:rPr>
          <w:rFonts w:hint="eastAsia" w:ascii="Times New Roman" w:hAnsi="Times New Roman" w:eastAsia="宋体" w:cs="Times New Roman"/>
          <w:szCs w:val="21"/>
        </w:rPr>
        <w:t>的理论精髓与实践要义，自觉投身到建设新时代中国特色社会主义的伟大历史进程中去，成为中国特色社会主义事业的建设者和接班人。</w:t>
      </w:r>
    </w:p>
    <w:p w14:paraId="4D3BCFBA">
      <w:pPr>
        <w:spacing w:line="360" w:lineRule="auto"/>
        <w:rPr>
          <w:rFonts w:ascii="Times New Roman" w:hAnsi="Times New Roman" w:eastAsia="宋体" w:cs="Times New Roman"/>
          <w:b/>
          <w:sz w:val="28"/>
          <w:szCs w:val="28"/>
        </w:rPr>
      </w:pPr>
    </w:p>
    <w:p w14:paraId="401D6A43">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二、课程目标及对毕业要求的支撑</w:t>
      </w:r>
    </w:p>
    <w:p w14:paraId="4A05860D">
      <w:pPr>
        <w:spacing w:line="360" w:lineRule="auto"/>
        <w:ind w:firstLine="422" w:firstLineChars="200"/>
        <w:rPr>
          <w:rFonts w:ascii="宋体" w:hAnsi="宋体" w:eastAsia="宋体" w:cs="宋体"/>
          <w:b/>
          <w:szCs w:val="21"/>
        </w:rPr>
      </w:pPr>
      <w:r>
        <w:rPr>
          <w:rFonts w:hint="eastAsia" w:ascii="宋体" w:hAnsi="宋体" w:eastAsia="宋体" w:cs="宋体"/>
          <w:b/>
          <w:szCs w:val="21"/>
        </w:rPr>
        <w:t>（一）课程具体目标</w:t>
      </w:r>
    </w:p>
    <w:p w14:paraId="38AC0480">
      <w:pPr>
        <w:spacing w:line="360" w:lineRule="auto"/>
        <w:ind w:firstLine="422" w:firstLineChars="200"/>
        <w:rPr>
          <w:rFonts w:ascii="宋体" w:hAnsi="宋体" w:eastAsia="宋体" w:cs="宋体"/>
          <w:bCs/>
          <w:szCs w:val="21"/>
        </w:rPr>
      </w:pPr>
      <w:r>
        <w:rPr>
          <w:rFonts w:hint="eastAsia" w:ascii="宋体" w:hAnsi="宋体" w:eastAsia="宋体" w:cs="宋体"/>
          <w:b/>
          <w:szCs w:val="21"/>
        </w:rPr>
        <w:t>目标1.</w:t>
      </w:r>
      <w:r>
        <w:rPr>
          <w:rFonts w:hint="eastAsia" w:ascii="宋体" w:hAnsi="宋体" w:eastAsia="宋体" w:cs="宋体"/>
          <w:bCs/>
          <w:szCs w:val="21"/>
        </w:rPr>
        <w:t xml:space="preserve"> 能够掌握党的最新理论创新成果，更好把握中国特色社会主义的理论精髓，提升理论素养。认同中国特色社会主义，自觉践行社会主义核心价值观，贯彻党的教育方针。</w:t>
      </w:r>
    </w:p>
    <w:p w14:paraId="5821F033">
      <w:pPr>
        <w:spacing w:line="360" w:lineRule="auto"/>
        <w:ind w:firstLine="422" w:firstLineChars="200"/>
        <w:rPr>
          <w:rFonts w:ascii="宋体" w:hAnsi="宋体" w:eastAsia="宋体" w:cs="宋体"/>
          <w:bCs/>
          <w:szCs w:val="21"/>
        </w:rPr>
      </w:pPr>
      <w:r>
        <w:rPr>
          <w:rFonts w:hint="eastAsia" w:ascii="宋体" w:hAnsi="宋体" w:eastAsia="宋体" w:cs="宋体"/>
          <w:b/>
          <w:szCs w:val="21"/>
        </w:rPr>
        <w:t>目标 2.</w:t>
      </w:r>
      <w:r>
        <w:rPr>
          <w:rFonts w:hint="eastAsia" w:ascii="宋体" w:hAnsi="宋体" w:eastAsia="宋体" w:cs="宋体"/>
          <w:bCs/>
          <w:szCs w:val="21"/>
        </w:rPr>
        <w:t>能够掌握习</w:t>
      </w:r>
      <w:bookmarkStart w:id="28" w:name="_Hlk187841676"/>
      <w:r>
        <w:rPr>
          <w:rFonts w:hint="eastAsia" w:ascii="宋体" w:hAnsi="宋体" w:eastAsia="宋体" w:cs="宋体"/>
          <w:bCs/>
          <w:szCs w:val="21"/>
        </w:rPr>
        <w:t>近平新时代中国特色社会主义思想</w:t>
      </w:r>
      <w:bookmarkEnd w:id="28"/>
      <w:r>
        <w:rPr>
          <w:rFonts w:hint="eastAsia" w:ascii="宋体" w:hAnsi="宋体" w:eastAsia="宋体" w:cs="宋体"/>
          <w:bCs/>
          <w:szCs w:val="21"/>
        </w:rPr>
        <w:t>的核心要义、方法论、根本立场，增强运用习近平新时代中国特色社会主义思想指导实践的能力，提高科学思维能力，增强分析问题、解决问题的实践本领。</w:t>
      </w:r>
    </w:p>
    <w:p w14:paraId="1D83ECB8">
      <w:pPr>
        <w:spacing w:line="360" w:lineRule="auto"/>
        <w:ind w:firstLine="422" w:firstLineChars="200"/>
        <w:rPr>
          <w:rFonts w:ascii="宋体" w:hAnsi="宋体" w:eastAsia="宋体" w:cs="宋体"/>
          <w:bCs/>
          <w:szCs w:val="21"/>
        </w:rPr>
      </w:pPr>
      <w:r>
        <w:rPr>
          <w:rFonts w:hint="eastAsia" w:ascii="宋体" w:hAnsi="宋体" w:eastAsia="宋体" w:cs="宋体"/>
          <w:b/>
          <w:szCs w:val="21"/>
        </w:rPr>
        <w:t>目标</w:t>
      </w:r>
      <w:r>
        <w:rPr>
          <w:rFonts w:ascii="宋体" w:hAnsi="宋体" w:eastAsia="宋体" w:cs="宋体"/>
          <w:b/>
          <w:szCs w:val="21"/>
        </w:rPr>
        <w:t>3</w:t>
      </w:r>
      <w:r>
        <w:rPr>
          <w:rFonts w:hint="eastAsia" w:ascii="宋体" w:hAnsi="宋体" w:eastAsia="宋体" w:cs="宋体"/>
          <w:b/>
          <w:szCs w:val="21"/>
        </w:rPr>
        <w:t>.</w:t>
      </w:r>
      <w:r>
        <w:rPr>
          <w:rFonts w:hint="eastAsia" w:ascii="宋体" w:hAnsi="宋体" w:eastAsia="宋体" w:cs="宋体"/>
          <w:bCs/>
          <w:szCs w:val="21"/>
        </w:rPr>
        <w:t>能够掌握近平新时代中国特色社会主义思想主要内容，掌握“十个明确”“十四个坚持”“十三个方面成就”所涉及的相关知识。</w:t>
      </w:r>
    </w:p>
    <w:p w14:paraId="2A9653E0">
      <w:pPr>
        <w:spacing w:line="360" w:lineRule="auto"/>
        <w:ind w:firstLine="422" w:firstLineChars="200"/>
        <w:rPr>
          <w:rFonts w:ascii="宋体" w:hAnsi="宋体" w:eastAsia="宋体" w:cs="宋体"/>
          <w:b/>
          <w:szCs w:val="21"/>
        </w:rPr>
      </w:pPr>
      <w:r>
        <w:rPr>
          <w:rFonts w:hint="eastAsia" w:ascii="宋体" w:hAnsi="宋体" w:eastAsia="宋体" w:cs="宋体"/>
          <w:b/>
          <w:szCs w:val="21"/>
        </w:rPr>
        <w:t>（二）课程目标及其对毕业要求指标点的支撑</w:t>
      </w:r>
    </w:p>
    <w:tbl>
      <w:tblPr>
        <w:tblStyle w:val="10"/>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4961"/>
        <w:gridCol w:w="1345"/>
      </w:tblGrid>
      <w:tr w14:paraId="2FF4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122" w:type="dxa"/>
            <w:shd w:val="clear" w:color="auto" w:fill="auto"/>
            <w:noWrap/>
            <w:vAlign w:val="center"/>
          </w:tcPr>
          <w:p w14:paraId="1144FEF5">
            <w:pPr>
              <w:widowControl/>
              <w:jc w:val="center"/>
              <w:rPr>
                <w:rFonts w:ascii="宋体" w:hAnsi="宋体" w:eastAsia="宋体" w:cs="宋体"/>
                <w:b/>
                <w:bCs/>
                <w:kern w:val="0"/>
                <w:szCs w:val="21"/>
              </w:rPr>
            </w:pPr>
            <w:r>
              <w:rPr>
                <w:rFonts w:hint="eastAsia" w:ascii="宋体" w:hAnsi="宋体" w:eastAsia="宋体" w:cs="宋体"/>
                <w:b/>
                <w:bCs/>
                <w:kern w:val="0"/>
                <w:szCs w:val="21"/>
              </w:rPr>
              <w:t>毕业要求</w:t>
            </w:r>
          </w:p>
        </w:tc>
        <w:tc>
          <w:tcPr>
            <w:tcW w:w="4961" w:type="dxa"/>
            <w:shd w:val="clear" w:color="auto" w:fill="auto"/>
            <w:noWrap/>
            <w:vAlign w:val="center"/>
          </w:tcPr>
          <w:p w14:paraId="6A98706C">
            <w:pPr>
              <w:widowControl/>
              <w:jc w:val="center"/>
              <w:rPr>
                <w:rFonts w:ascii="宋体" w:hAnsi="宋体" w:eastAsia="宋体" w:cs="宋体"/>
                <w:b/>
                <w:bCs/>
                <w:kern w:val="0"/>
                <w:szCs w:val="21"/>
              </w:rPr>
            </w:pPr>
            <w:r>
              <w:rPr>
                <w:rFonts w:hint="eastAsia" w:ascii="宋体" w:hAnsi="宋体" w:eastAsia="宋体" w:cs="宋体"/>
                <w:b/>
                <w:bCs/>
                <w:kern w:val="0"/>
                <w:szCs w:val="21"/>
              </w:rPr>
              <w:t>毕业要求指标点</w:t>
            </w:r>
          </w:p>
        </w:tc>
        <w:tc>
          <w:tcPr>
            <w:tcW w:w="1345" w:type="dxa"/>
            <w:shd w:val="clear" w:color="auto" w:fill="auto"/>
            <w:noWrap/>
            <w:vAlign w:val="center"/>
          </w:tcPr>
          <w:p w14:paraId="5ACA057E">
            <w:pPr>
              <w:widowControl/>
              <w:jc w:val="center"/>
              <w:rPr>
                <w:rFonts w:ascii="宋体" w:hAnsi="宋体" w:eastAsia="宋体" w:cs="宋体"/>
                <w:b/>
                <w:bCs/>
                <w:kern w:val="0"/>
                <w:szCs w:val="21"/>
              </w:rPr>
            </w:pPr>
            <w:r>
              <w:rPr>
                <w:rFonts w:hint="eastAsia" w:ascii="宋体" w:hAnsi="宋体" w:eastAsia="宋体" w:cs="宋体"/>
                <w:b/>
                <w:bCs/>
                <w:kern w:val="0"/>
                <w:szCs w:val="21"/>
              </w:rPr>
              <w:t>课程目标</w:t>
            </w:r>
          </w:p>
        </w:tc>
      </w:tr>
      <w:tr w14:paraId="6244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122" w:type="dxa"/>
            <w:shd w:val="clear" w:color="auto" w:fill="auto"/>
            <w:noWrap/>
            <w:vAlign w:val="center"/>
          </w:tcPr>
          <w:p w14:paraId="7C9E39AF">
            <w:pPr>
              <w:widowControl/>
              <w:jc w:val="center"/>
              <w:rPr>
                <w:rFonts w:ascii="宋体" w:hAnsi="宋体" w:eastAsia="宋体" w:cs="宋体"/>
                <w:kern w:val="0"/>
                <w:szCs w:val="21"/>
              </w:rPr>
            </w:pPr>
            <w:r>
              <w:rPr>
                <w:rFonts w:hint="eastAsia" w:ascii="宋体" w:hAnsi="宋体" w:eastAsia="宋体" w:cs="宋体"/>
                <w:kern w:val="0"/>
                <w:szCs w:val="21"/>
              </w:rPr>
              <w:t>毕业要求1师德规范</w:t>
            </w:r>
          </w:p>
        </w:tc>
        <w:tc>
          <w:tcPr>
            <w:tcW w:w="4961" w:type="dxa"/>
            <w:shd w:val="clear" w:color="auto" w:fill="auto"/>
            <w:noWrap/>
            <w:vAlign w:val="center"/>
          </w:tcPr>
          <w:p w14:paraId="062777F9">
            <w:pPr>
              <w:rPr>
                <w:rFonts w:ascii="宋体" w:hAnsi="宋体" w:eastAsia="宋体" w:cs="宋体"/>
                <w:bCs/>
                <w:kern w:val="0"/>
                <w:szCs w:val="21"/>
              </w:rPr>
            </w:pPr>
            <w:r>
              <w:rPr>
                <w:rFonts w:hint="eastAsia" w:ascii="宋体" w:hAnsi="宋体" w:eastAsia="宋体" w:cs="宋体"/>
                <w:bCs/>
                <w:kern w:val="0"/>
                <w:szCs w:val="21"/>
              </w:rPr>
              <w:t>指标点</w:t>
            </w:r>
            <w:r>
              <w:rPr>
                <w:rFonts w:ascii="宋体" w:hAnsi="宋体" w:eastAsia="宋体" w:cs="宋体"/>
                <w:bCs/>
                <w:kern w:val="0"/>
                <w:szCs w:val="21"/>
              </w:rPr>
              <w:t>1-1：【理想信念坚定】了解我国国情及国际局势，深刻</w:t>
            </w:r>
            <w:r>
              <w:rPr>
                <w:rFonts w:hint="eastAsia" w:ascii="宋体" w:hAnsi="宋体" w:eastAsia="宋体" w:cs="宋体"/>
                <w:bCs/>
                <w:kern w:val="0"/>
                <w:szCs w:val="21"/>
              </w:rPr>
              <w:t>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45" w:type="dxa"/>
            <w:shd w:val="clear" w:color="auto" w:fill="auto"/>
            <w:noWrap/>
            <w:vAlign w:val="center"/>
          </w:tcPr>
          <w:p w14:paraId="056D33D3">
            <w:pPr>
              <w:widowControl/>
              <w:rPr>
                <w:rFonts w:ascii="宋体" w:hAnsi="宋体" w:eastAsia="宋体" w:cs="宋体"/>
                <w:bCs/>
                <w:kern w:val="0"/>
                <w:szCs w:val="21"/>
              </w:rPr>
            </w:pPr>
            <w:r>
              <w:rPr>
                <w:rFonts w:hint="eastAsia" w:ascii="宋体" w:hAnsi="宋体" w:eastAsia="宋体" w:cs="宋体"/>
                <w:bCs/>
                <w:kern w:val="0"/>
                <w:szCs w:val="21"/>
              </w:rPr>
              <w:t>课程目标1</w:t>
            </w:r>
          </w:p>
        </w:tc>
      </w:tr>
      <w:tr w14:paraId="3F74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122" w:type="dxa"/>
            <w:shd w:val="clear" w:color="auto" w:fill="auto"/>
            <w:noWrap/>
            <w:vAlign w:val="center"/>
          </w:tcPr>
          <w:p w14:paraId="10EF7302">
            <w:pPr>
              <w:widowControl/>
              <w:jc w:val="center"/>
              <w:rPr>
                <w:rFonts w:ascii="宋体" w:hAnsi="宋体" w:eastAsia="宋体" w:cs="宋体"/>
                <w:kern w:val="0"/>
                <w:szCs w:val="21"/>
              </w:rPr>
            </w:pPr>
            <w:r>
              <w:rPr>
                <w:rFonts w:hint="eastAsia" w:ascii="宋体" w:hAnsi="宋体" w:eastAsia="宋体" w:cs="宋体"/>
                <w:kern w:val="0"/>
                <w:szCs w:val="21"/>
              </w:rPr>
              <w:t>毕业要求2教育情怀</w:t>
            </w:r>
          </w:p>
        </w:tc>
        <w:tc>
          <w:tcPr>
            <w:tcW w:w="4961" w:type="dxa"/>
            <w:shd w:val="clear" w:color="auto" w:fill="auto"/>
            <w:noWrap/>
            <w:vAlign w:val="center"/>
          </w:tcPr>
          <w:p w14:paraId="1B1C71FF">
            <w:pPr>
              <w:rPr>
                <w:rFonts w:ascii="宋体" w:hAnsi="宋体" w:eastAsia="宋体" w:cs="宋体"/>
                <w:bCs/>
                <w:kern w:val="0"/>
                <w:szCs w:val="21"/>
              </w:rPr>
            </w:pPr>
            <w:r>
              <w:rPr>
                <w:rFonts w:hint="eastAsia" w:ascii="宋体" w:hAnsi="宋体" w:eastAsia="宋体" w:cs="宋体"/>
                <w:bCs/>
                <w:kern w:val="0"/>
                <w:szCs w:val="21"/>
              </w:rPr>
              <w:t>指标点</w:t>
            </w:r>
            <w:r>
              <w:rPr>
                <w:rFonts w:ascii="宋体" w:hAnsi="宋体" w:eastAsia="宋体" w:cs="宋体"/>
                <w:bCs/>
                <w:kern w:val="0"/>
                <w:szCs w:val="21"/>
              </w:rPr>
              <w:t>2-3：【自身修养良好】具有较好的人文艺术底蕴与科学</w:t>
            </w:r>
            <w:r>
              <w:rPr>
                <w:rFonts w:hint="eastAsia" w:ascii="宋体" w:hAnsi="宋体" w:eastAsia="宋体" w:cs="宋体"/>
                <w:bCs/>
                <w:kern w:val="0"/>
                <w:szCs w:val="21"/>
              </w:rPr>
              <w:t>精神，言行举止符合教师职业标准，情感积极，人格健全，身心健康。</w:t>
            </w:r>
          </w:p>
        </w:tc>
        <w:tc>
          <w:tcPr>
            <w:tcW w:w="1345" w:type="dxa"/>
            <w:shd w:val="clear" w:color="auto" w:fill="auto"/>
            <w:noWrap/>
            <w:vAlign w:val="center"/>
          </w:tcPr>
          <w:p w14:paraId="2301866A">
            <w:pPr>
              <w:widowControl/>
              <w:rPr>
                <w:rFonts w:ascii="宋体" w:hAnsi="宋体" w:eastAsia="宋体" w:cs="宋体"/>
                <w:bCs/>
                <w:kern w:val="0"/>
                <w:szCs w:val="21"/>
              </w:rPr>
            </w:pPr>
            <w:r>
              <w:rPr>
                <w:rFonts w:hint="eastAsia" w:ascii="宋体" w:hAnsi="宋体" w:eastAsia="宋体" w:cs="宋体"/>
                <w:bCs/>
                <w:kern w:val="0"/>
                <w:szCs w:val="21"/>
              </w:rPr>
              <w:t>课程目标2</w:t>
            </w:r>
          </w:p>
        </w:tc>
      </w:tr>
      <w:tr w14:paraId="0FBD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122" w:type="dxa"/>
            <w:shd w:val="clear" w:color="auto" w:fill="auto"/>
            <w:noWrap/>
            <w:vAlign w:val="center"/>
          </w:tcPr>
          <w:p w14:paraId="792B7169">
            <w:pPr>
              <w:widowControl/>
              <w:jc w:val="center"/>
              <w:rPr>
                <w:rFonts w:ascii="宋体" w:hAnsi="宋体" w:eastAsia="宋体" w:cs="宋体"/>
                <w:kern w:val="0"/>
                <w:szCs w:val="21"/>
              </w:rPr>
            </w:pPr>
            <w:r>
              <w:rPr>
                <w:rFonts w:hint="eastAsia" w:ascii="宋体" w:hAnsi="宋体" w:eastAsia="宋体" w:cs="宋体"/>
                <w:kern w:val="0"/>
                <w:szCs w:val="21"/>
              </w:rPr>
              <w:t>毕业要求7学会反思</w:t>
            </w:r>
          </w:p>
        </w:tc>
        <w:tc>
          <w:tcPr>
            <w:tcW w:w="4961" w:type="dxa"/>
            <w:shd w:val="clear" w:color="auto" w:fill="auto"/>
            <w:noWrap/>
            <w:vAlign w:val="center"/>
          </w:tcPr>
          <w:p w14:paraId="651B5B78">
            <w:pPr>
              <w:widowControl/>
              <w:rPr>
                <w:rFonts w:ascii="宋体" w:hAnsi="宋体" w:eastAsia="宋体" w:cs="宋体"/>
                <w:kern w:val="0"/>
                <w:szCs w:val="21"/>
              </w:rPr>
            </w:pPr>
            <w:r>
              <w:rPr>
                <w:rFonts w:hint="eastAsia" w:ascii="宋体" w:hAnsi="宋体" w:eastAsia="宋体" w:cs="宋体"/>
                <w:kern w:val="0"/>
                <w:szCs w:val="21"/>
              </w:rPr>
              <w:t>指标点</w:t>
            </w:r>
            <w:r>
              <w:rPr>
                <w:rFonts w:ascii="宋体" w:hAnsi="宋体" w:eastAsia="宋体" w:cs="宋体"/>
                <w:kern w:val="0"/>
                <w:szCs w:val="21"/>
              </w:rPr>
              <w:t>7-1：【教育视野开阔】积极关注基础教育领域的国内外</w:t>
            </w:r>
            <w:r>
              <w:rPr>
                <w:rFonts w:hint="eastAsia" w:ascii="宋体" w:hAnsi="宋体" w:eastAsia="宋体" w:cs="宋体"/>
                <w:kern w:val="0"/>
                <w:szCs w:val="21"/>
              </w:rPr>
              <w:t>交流进展，了解国内外基础教育改革发展的动态，具有宽广的教育视野，能够主动适应新时代和教育发展需求。</w:t>
            </w:r>
          </w:p>
        </w:tc>
        <w:tc>
          <w:tcPr>
            <w:tcW w:w="1345" w:type="dxa"/>
            <w:shd w:val="clear" w:color="auto" w:fill="auto"/>
            <w:noWrap/>
            <w:vAlign w:val="center"/>
          </w:tcPr>
          <w:p w14:paraId="7EA5F42F">
            <w:pPr>
              <w:widowControl/>
              <w:ind w:right="34" w:rightChars="16"/>
              <w:rPr>
                <w:rFonts w:ascii="宋体" w:hAnsi="宋体" w:eastAsia="宋体" w:cs="宋体"/>
                <w:bCs/>
                <w:kern w:val="0"/>
                <w:szCs w:val="21"/>
              </w:rPr>
            </w:pPr>
            <w:r>
              <w:rPr>
                <w:rFonts w:hint="eastAsia" w:ascii="宋体" w:hAnsi="宋体" w:eastAsia="宋体" w:cs="宋体"/>
                <w:bCs/>
                <w:kern w:val="0"/>
                <w:szCs w:val="21"/>
              </w:rPr>
              <w:t>课程目标</w:t>
            </w:r>
            <w:r>
              <w:rPr>
                <w:rFonts w:ascii="宋体" w:hAnsi="宋体" w:eastAsia="宋体" w:cs="宋体"/>
                <w:bCs/>
                <w:kern w:val="0"/>
                <w:szCs w:val="21"/>
              </w:rPr>
              <w:t>3</w:t>
            </w:r>
          </w:p>
        </w:tc>
      </w:tr>
    </w:tbl>
    <w:p w14:paraId="61F300E7">
      <w:pPr>
        <w:spacing w:line="360" w:lineRule="auto"/>
        <w:ind w:firstLine="482" w:firstLineChars="200"/>
        <w:rPr>
          <w:rFonts w:ascii="Times New Roman" w:hAnsi="Times New Roman" w:eastAsia="宋体" w:cs="Times New Roman"/>
          <w:b/>
          <w:sz w:val="24"/>
          <w:szCs w:val="24"/>
        </w:rPr>
      </w:pPr>
    </w:p>
    <w:p w14:paraId="5602DD24">
      <w:pPr>
        <w:spacing w:line="360" w:lineRule="auto"/>
        <w:ind w:firstLine="482" w:firstLineChars="200"/>
        <w:rPr>
          <w:rFonts w:hint="eastAsia" w:ascii="Times New Roman" w:hAnsi="Times New Roman" w:eastAsia="宋体" w:cs="Times New Roman"/>
          <w:b/>
          <w:sz w:val="24"/>
          <w:szCs w:val="24"/>
        </w:rPr>
      </w:pPr>
      <w:r>
        <w:rPr>
          <w:rFonts w:ascii="Times New Roman" w:hAnsi="Times New Roman" w:eastAsia="宋体" w:cs="Times New Roman"/>
          <w:b/>
          <w:sz w:val="24"/>
          <w:szCs w:val="24"/>
        </w:rPr>
        <w:t>三、</w:t>
      </w:r>
      <w:r>
        <w:rPr>
          <w:rFonts w:hint="eastAsia" w:ascii="Times New Roman" w:hAnsi="Times New Roman" w:eastAsia="宋体" w:cs="Times New Roman"/>
          <w:b/>
          <w:sz w:val="24"/>
          <w:szCs w:val="24"/>
        </w:rPr>
        <w:t>教学内容与预期学习成效</w:t>
      </w:r>
    </w:p>
    <w:tbl>
      <w:tblPr>
        <w:tblStyle w:val="10"/>
        <w:tblW w:w="892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126"/>
        <w:gridCol w:w="1276"/>
        <w:gridCol w:w="2268"/>
        <w:gridCol w:w="1559"/>
        <w:gridCol w:w="709"/>
      </w:tblGrid>
      <w:tr w14:paraId="5C4F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shd w:val="clear" w:color="auto" w:fill="FFFFFF"/>
            <w:vAlign w:val="center"/>
          </w:tcPr>
          <w:p w14:paraId="0D9DFF59">
            <w:pPr>
              <w:jc w:val="center"/>
              <w:rPr>
                <w:rFonts w:ascii="宋体" w:hAnsi="宋体" w:eastAsia="宋体" w:cs="Times New Roman"/>
                <w:szCs w:val="21"/>
              </w:rPr>
            </w:pPr>
            <w:r>
              <w:rPr>
                <w:rFonts w:hint="eastAsia" w:ascii="宋体" w:hAnsi="宋体" w:eastAsia="宋体" w:cs="Times New Roman"/>
                <w:szCs w:val="21"/>
              </w:rPr>
              <w:t>知识单元</w:t>
            </w:r>
          </w:p>
        </w:tc>
        <w:tc>
          <w:tcPr>
            <w:tcW w:w="2126" w:type="dxa"/>
            <w:shd w:val="clear" w:color="auto" w:fill="FFFFFF"/>
            <w:vAlign w:val="center"/>
          </w:tcPr>
          <w:p w14:paraId="3D34FF0B">
            <w:pPr>
              <w:jc w:val="center"/>
              <w:rPr>
                <w:rFonts w:ascii="宋体" w:hAnsi="宋体" w:eastAsia="宋体" w:cs="Times New Roman"/>
                <w:szCs w:val="21"/>
              </w:rPr>
            </w:pPr>
            <w:r>
              <w:rPr>
                <w:rFonts w:hint="eastAsia" w:ascii="宋体" w:hAnsi="宋体" w:eastAsia="宋体" w:cs="Times New Roman"/>
                <w:szCs w:val="21"/>
              </w:rPr>
              <w:t>知识点</w:t>
            </w:r>
          </w:p>
        </w:tc>
        <w:tc>
          <w:tcPr>
            <w:tcW w:w="1276" w:type="dxa"/>
            <w:shd w:val="clear" w:color="auto" w:fill="FFFFFF"/>
            <w:vAlign w:val="center"/>
          </w:tcPr>
          <w:p w14:paraId="2585AABC">
            <w:pPr>
              <w:jc w:val="center"/>
              <w:rPr>
                <w:rFonts w:ascii="宋体" w:hAnsi="宋体" w:eastAsia="宋体" w:cs="宋体"/>
                <w:szCs w:val="21"/>
              </w:rPr>
            </w:pPr>
            <w:r>
              <w:rPr>
                <w:rFonts w:hint="eastAsia" w:ascii="宋体" w:hAnsi="宋体" w:eastAsia="宋体" w:cs="宋体"/>
                <w:szCs w:val="21"/>
              </w:rPr>
              <w:t>对应</w:t>
            </w:r>
          </w:p>
          <w:p w14:paraId="7350D0CD">
            <w:pPr>
              <w:jc w:val="center"/>
              <w:rPr>
                <w:rFonts w:hint="eastAsia" w:ascii="宋体" w:hAnsi="宋体" w:eastAsia="宋体" w:cs="Times New Roman"/>
                <w:szCs w:val="21"/>
              </w:rPr>
            </w:pPr>
            <w:r>
              <w:rPr>
                <w:rFonts w:hint="eastAsia" w:ascii="宋体" w:hAnsi="宋体" w:eastAsia="宋体" w:cs="宋体"/>
                <w:szCs w:val="21"/>
              </w:rPr>
              <w:t>课程目标</w:t>
            </w:r>
          </w:p>
        </w:tc>
        <w:tc>
          <w:tcPr>
            <w:tcW w:w="2268" w:type="dxa"/>
            <w:shd w:val="clear" w:color="auto" w:fill="FFFFFF"/>
            <w:vAlign w:val="center"/>
          </w:tcPr>
          <w:p w14:paraId="11680406">
            <w:pPr>
              <w:jc w:val="center"/>
              <w:rPr>
                <w:rFonts w:ascii="宋体" w:hAnsi="宋体" w:eastAsia="宋体" w:cs="Times New Roman"/>
                <w:szCs w:val="21"/>
              </w:rPr>
            </w:pPr>
            <w:r>
              <w:rPr>
                <w:rFonts w:hint="eastAsia" w:ascii="宋体" w:hAnsi="宋体" w:eastAsia="宋体" w:cs="Times New Roman"/>
                <w:szCs w:val="21"/>
              </w:rPr>
              <w:t>预期学习成果</w:t>
            </w:r>
          </w:p>
        </w:tc>
        <w:tc>
          <w:tcPr>
            <w:tcW w:w="1559" w:type="dxa"/>
            <w:shd w:val="clear" w:color="auto" w:fill="FFFFFF"/>
            <w:vAlign w:val="center"/>
          </w:tcPr>
          <w:p w14:paraId="0F5DA51E">
            <w:pPr>
              <w:jc w:val="center"/>
              <w:rPr>
                <w:rFonts w:hint="eastAsia" w:ascii="宋体" w:hAnsi="宋体" w:eastAsia="宋体" w:cs="Times New Roman"/>
                <w:szCs w:val="21"/>
              </w:rPr>
            </w:pPr>
            <w:r>
              <w:rPr>
                <w:rFonts w:hint="eastAsia" w:ascii="宋体" w:hAnsi="宋体" w:eastAsia="宋体" w:cs="宋体"/>
                <w:szCs w:val="21"/>
              </w:rPr>
              <w:t>实现环节</w:t>
            </w:r>
          </w:p>
        </w:tc>
        <w:tc>
          <w:tcPr>
            <w:tcW w:w="709" w:type="dxa"/>
            <w:shd w:val="clear" w:color="auto" w:fill="FFFFFF"/>
            <w:vAlign w:val="center"/>
          </w:tcPr>
          <w:p w14:paraId="20358BBE">
            <w:pPr>
              <w:jc w:val="center"/>
              <w:rPr>
                <w:rFonts w:ascii="宋体" w:hAnsi="宋体" w:eastAsia="宋体" w:cs="Times New Roman"/>
                <w:szCs w:val="21"/>
              </w:rPr>
            </w:pPr>
            <w:r>
              <w:rPr>
                <w:rFonts w:hint="eastAsia" w:ascii="宋体" w:hAnsi="宋体" w:eastAsia="宋体" w:cs="Times New Roman"/>
                <w:szCs w:val="21"/>
              </w:rPr>
              <w:t>学时</w:t>
            </w:r>
          </w:p>
        </w:tc>
      </w:tr>
      <w:tr w14:paraId="58B6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51DBD9EC">
            <w:pPr>
              <w:jc w:val="center"/>
              <w:rPr>
                <w:rFonts w:ascii="宋体" w:hAnsi="宋体" w:eastAsia="宋体" w:cs="Times New Roman"/>
                <w:szCs w:val="21"/>
              </w:rPr>
            </w:pPr>
            <w:r>
              <w:rPr>
                <w:rFonts w:hint="eastAsia" w:ascii="宋体" w:hAnsi="宋体" w:eastAsia="宋体" w:cs="Times New Roman"/>
                <w:szCs w:val="21"/>
              </w:rPr>
              <w:t>1.导论</w:t>
            </w:r>
          </w:p>
        </w:tc>
        <w:tc>
          <w:tcPr>
            <w:tcW w:w="2126" w:type="dxa"/>
            <w:vAlign w:val="center"/>
          </w:tcPr>
          <w:p w14:paraId="307A20A5">
            <w:pPr>
              <w:jc w:val="left"/>
              <w:rPr>
                <w:rFonts w:ascii="宋体" w:hAnsi="宋体" w:eastAsia="宋体" w:cs="Times New Roman"/>
                <w:b/>
                <w:bCs/>
                <w:szCs w:val="21"/>
              </w:rPr>
            </w:pPr>
          </w:p>
          <w:p w14:paraId="20380E8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1）习近平新时代中国特色社会主义思想创立的时代背景</w:t>
            </w:r>
          </w:p>
          <w:p w14:paraId="59B12EF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2）习近平新时代中国特色社会主义思想是“两个结合”的重大成果</w:t>
            </w:r>
          </w:p>
          <w:p w14:paraId="0FA87BE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3）习近平新时代中国特色社会主义思想是完整的科学体系</w:t>
            </w:r>
          </w:p>
          <w:p w14:paraId="6FB45A9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4）习近平新时代中国特色社会主义思想的历史地位</w:t>
            </w:r>
          </w:p>
          <w:p w14:paraId="369A078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5）深刻领悟“两个确立”的决定性意义</w:t>
            </w:r>
          </w:p>
          <w:p w14:paraId="0256377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6）学好用好习近平新时代中国特色社会主义思想</w:t>
            </w:r>
          </w:p>
          <w:p w14:paraId="4AA35985">
            <w:pPr>
              <w:jc w:val="left"/>
              <w:rPr>
                <w:rFonts w:ascii="宋体" w:hAnsi="宋体" w:eastAsia="宋体" w:cs="Times New Roman"/>
                <w:szCs w:val="21"/>
              </w:rPr>
            </w:pPr>
          </w:p>
        </w:tc>
        <w:tc>
          <w:tcPr>
            <w:tcW w:w="1276" w:type="dxa"/>
            <w:vAlign w:val="center"/>
          </w:tcPr>
          <w:p w14:paraId="0645DF7E">
            <w:pPr>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w:t>
            </w: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课程目标</w:t>
            </w:r>
            <w:r>
              <w:rPr>
                <w:rFonts w:ascii="宋体" w:hAnsi="宋体" w:eastAsia="宋体" w:cs="Times New Roman"/>
                <w:szCs w:val="21"/>
              </w:rPr>
              <w:t>3</w:t>
            </w:r>
          </w:p>
        </w:tc>
        <w:tc>
          <w:tcPr>
            <w:tcW w:w="2268" w:type="dxa"/>
            <w:vAlign w:val="center"/>
          </w:tcPr>
          <w:p w14:paraId="4AE43F3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1）掌握习近平新时代中国特色社会主义思想形成的时代背景、核心要义、精神实质、丰富内涵</w:t>
            </w:r>
          </w:p>
          <w:p w14:paraId="21A1C54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2）理解习近平新时代中国特色社会主义思想的重大意义、历史地位和实践要求</w:t>
            </w:r>
          </w:p>
          <w:p w14:paraId="2067BD9C">
            <w:pPr>
              <w:jc w:val="left"/>
              <w:rPr>
                <w:rFonts w:ascii="宋体" w:hAnsi="宋体" w:eastAsia="宋体" w:cs="Times New Roman"/>
                <w:szCs w:val="21"/>
              </w:rPr>
            </w:pPr>
          </w:p>
        </w:tc>
        <w:tc>
          <w:tcPr>
            <w:tcW w:w="1559" w:type="dxa"/>
            <w:vAlign w:val="center"/>
          </w:tcPr>
          <w:p w14:paraId="0A94F17A">
            <w:pPr>
              <w:jc w:val="left"/>
              <w:rPr>
                <w:rFonts w:ascii="宋体" w:hAnsi="宋体" w:eastAsia="宋体" w:cs="Times New Roman"/>
                <w:szCs w:val="21"/>
              </w:rPr>
            </w:pPr>
            <w:r>
              <w:rPr>
                <w:rFonts w:ascii="宋体" w:hAnsi="宋体" w:eastAsia="宋体" w:cs="Times New Roman"/>
                <w:szCs w:val="21"/>
              </w:rPr>
              <w:t>1.线上学习</w:t>
            </w:r>
          </w:p>
          <w:p w14:paraId="3A87C9D3">
            <w:pPr>
              <w:jc w:val="left"/>
              <w:rPr>
                <w:rFonts w:ascii="宋体" w:hAnsi="宋体" w:eastAsia="宋体" w:cs="Times New Roman"/>
                <w:szCs w:val="21"/>
              </w:rPr>
            </w:pPr>
            <w:r>
              <w:rPr>
                <w:rFonts w:ascii="宋体" w:hAnsi="宋体" w:eastAsia="宋体" w:cs="Times New Roman"/>
                <w:szCs w:val="21"/>
              </w:rPr>
              <w:t>2.多媒体教学</w:t>
            </w:r>
          </w:p>
          <w:p w14:paraId="4D41C5DE">
            <w:pPr>
              <w:jc w:val="left"/>
              <w:rPr>
                <w:rFonts w:ascii="宋体" w:hAnsi="宋体" w:eastAsia="宋体" w:cs="Times New Roman"/>
                <w:szCs w:val="21"/>
              </w:rPr>
            </w:pPr>
            <w:r>
              <w:rPr>
                <w:rFonts w:ascii="宋体" w:hAnsi="宋体" w:eastAsia="宋体" w:cs="Times New Roman"/>
                <w:szCs w:val="21"/>
              </w:rPr>
              <w:t>3.课堂讨论</w:t>
            </w:r>
          </w:p>
          <w:p w14:paraId="39B0B9DA">
            <w:pPr>
              <w:jc w:val="left"/>
              <w:rPr>
                <w:rFonts w:hint="eastAsia" w:ascii="宋体" w:hAnsi="宋体" w:eastAsia="宋体" w:cs="Times New Roman"/>
                <w:szCs w:val="21"/>
              </w:rPr>
            </w:pPr>
            <w:r>
              <w:rPr>
                <w:rFonts w:ascii="宋体" w:hAnsi="宋体" w:eastAsia="宋体" w:cs="Times New Roman"/>
                <w:szCs w:val="21"/>
              </w:rPr>
              <w:t>4.单元测验</w:t>
            </w:r>
          </w:p>
        </w:tc>
        <w:tc>
          <w:tcPr>
            <w:tcW w:w="709" w:type="dxa"/>
            <w:vAlign w:val="center"/>
          </w:tcPr>
          <w:p w14:paraId="39439F31">
            <w:pPr>
              <w:jc w:val="center"/>
              <w:rPr>
                <w:rFonts w:ascii="宋体" w:hAnsi="宋体" w:eastAsia="宋体" w:cs="Times New Roman"/>
                <w:szCs w:val="21"/>
              </w:rPr>
            </w:pPr>
            <w:r>
              <w:rPr>
                <w:rFonts w:hint="eastAsia" w:ascii="宋体" w:hAnsi="宋体" w:eastAsia="宋体" w:cs="Times New Roman"/>
                <w:szCs w:val="21"/>
              </w:rPr>
              <w:t>3</w:t>
            </w:r>
          </w:p>
        </w:tc>
      </w:tr>
      <w:tr w14:paraId="29F8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2EC11A1F">
            <w:pPr>
              <w:jc w:val="left"/>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新时代坚持和发展中国特色社会主义</w:t>
            </w:r>
          </w:p>
          <w:p w14:paraId="092E35BF">
            <w:pPr>
              <w:jc w:val="center"/>
              <w:rPr>
                <w:rFonts w:ascii="宋体" w:hAnsi="宋体" w:eastAsia="宋体" w:cs="Times New Roman"/>
                <w:szCs w:val="21"/>
              </w:rPr>
            </w:pPr>
          </w:p>
        </w:tc>
        <w:tc>
          <w:tcPr>
            <w:tcW w:w="2126" w:type="dxa"/>
            <w:vAlign w:val="center"/>
          </w:tcPr>
          <w:p w14:paraId="7885023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1）方向决定道路，道路决定命运</w:t>
            </w:r>
          </w:p>
          <w:p w14:paraId="47FD209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2）中国特色社会主义进入新时代</w:t>
            </w:r>
            <w:r>
              <w:rPr>
                <w:rFonts w:ascii="宋体" w:hAnsi="宋体" w:eastAsia="宋体" w:cs="Times New Roman"/>
                <w:szCs w:val="21"/>
              </w:rPr>
              <w:tab/>
            </w:r>
          </w:p>
          <w:p w14:paraId="10086FC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3）新时代坚持和发展中国特色社会主义要一以贯之</w:t>
            </w:r>
          </w:p>
          <w:p w14:paraId="16C86C88">
            <w:pPr>
              <w:jc w:val="left"/>
              <w:rPr>
                <w:rFonts w:ascii="宋体" w:hAnsi="宋体" w:eastAsia="宋体" w:cs="Times New Roman"/>
                <w:szCs w:val="21"/>
              </w:rPr>
            </w:pPr>
          </w:p>
        </w:tc>
        <w:tc>
          <w:tcPr>
            <w:tcW w:w="1276" w:type="dxa"/>
            <w:vAlign w:val="center"/>
          </w:tcPr>
          <w:p w14:paraId="7B4FB947">
            <w:pPr>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1课程目标2课程目标3</w:t>
            </w:r>
          </w:p>
        </w:tc>
        <w:tc>
          <w:tcPr>
            <w:tcW w:w="2268" w:type="dxa"/>
            <w:vAlign w:val="center"/>
          </w:tcPr>
          <w:p w14:paraId="314875A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1）理解中国特色社会主义是历史和人民的选择</w:t>
            </w:r>
          </w:p>
          <w:p w14:paraId="5E96AC9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2）掌握中国特色社会主义新时代的科学内涵、新时代伟大变革及其里程碑意义</w:t>
            </w:r>
          </w:p>
          <w:p w14:paraId="54A3DED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3）理解全面贯彻党的基本理论、基本路线、基本方略，统筹推进“五位一体”总体布局和协调推进“四个全面”战略布局的重大意义</w:t>
            </w:r>
          </w:p>
        </w:tc>
        <w:tc>
          <w:tcPr>
            <w:tcW w:w="1559" w:type="dxa"/>
            <w:vAlign w:val="center"/>
          </w:tcPr>
          <w:p w14:paraId="67FE0E7E">
            <w:pPr>
              <w:jc w:val="left"/>
              <w:rPr>
                <w:rFonts w:ascii="宋体" w:hAnsi="宋体" w:eastAsia="宋体"/>
                <w:szCs w:val="21"/>
              </w:rPr>
            </w:pPr>
            <w:r>
              <w:rPr>
                <w:rFonts w:ascii="宋体" w:hAnsi="宋体" w:eastAsia="宋体"/>
                <w:szCs w:val="21"/>
              </w:rPr>
              <w:t>1.线上学习</w:t>
            </w:r>
          </w:p>
          <w:p w14:paraId="7D299C3C">
            <w:pPr>
              <w:jc w:val="left"/>
              <w:rPr>
                <w:rFonts w:ascii="宋体" w:hAnsi="宋体" w:eastAsia="宋体"/>
                <w:szCs w:val="21"/>
              </w:rPr>
            </w:pPr>
            <w:r>
              <w:rPr>
                <w:rFonts w:ascii="宋体" w:hAnsi="宋体" w:eastAsia="宋体"/>
                <w:szCs w:val="21"/>
              </w:rPr>
              <w:t>2.多媒体教学</w:t>
            </w:r>
          </w:p>
          <w:p w14:paraId="3BB7AEDE">
            <w:pPr>
              <w:jc w:val="left"/>
              <w:rPr>
                <w:rFonts w:ascii="宋体" w:hAnsi="宋体" w:eastAsia="宋体"/>
                <w:szCs w:val="21"/>
              </w:rPr>
            </w:pPr>
            <w:r>
              <w:rPr>
                <w:rFonts w:ascii="宋体" w:hAnsi="宋体" w:eastAsia="宋体"/>
                <w:szCs w:val="21"/>
              </w:rPr>
              <w:t>3.课堂讨论</w:t>
            </w:r>
          </w:p>
          <w:p w14:paraId="4044F11D">
            <w:pPr>
              <w:jc w:val="left"/>
              <w:rPr>
                <w:rFonts w:ascii="宋体" w:hAnsi="宋体" w:eastAsia="宋体"/>
                <w:szCs w:val="21"/>
              </w:rPr>
            </w:pPr>
            <w:r>
              <w:rPr>
                <w:rFonts w:ascii="宋体" w:hAnsi="宋体" w:eastAsia="宋体"/>
                <w:szCs w:val="21"/>
              </w:rPr>
              <w:t>4.单元测验</w:t>
            </w:r>
          </w:p>
        </w:tc>
        <w:tc>
          <w:tcPr>
            <w:tcW w:w="709" w:type="dxa"/>
            <w:vMerge w:val="restart"/>
            <w:vAlign w:val="center"/>
          </w:tcPr>
          <w:p w14:paraId="420426AF">
            <w:pPr>
              <w:jc w:val="center"/>
              <w:rPr>
                <w:rFonts w:ascii="宋体" w:hAnsi="宋体" w:eastAsia="宋体" w:cs="Times New Roman"/>
                <w:szCs w:val="21"/>
              </w:rPr>
            </w:pPr>
            <w:r>
              <w:rPr>
                <w:rFonts w:ascii="宋体" w:hAnsi="宋体" w:eastAsia="宋体"/>
                <w:szCs w:val="21"/>
              </w:rPr>
              <w:t>3</w:t>
            </w:r>
          </w:p>
          <w:p w14:paraId="11F0773A">
            <w:pPr>
              <w:jc w:val="center"/>
              <w:rPr>
                <w:rFonts w:ascii="宋体" w:hAnsi="宋体" w:eastAsia="宋体" w:cs="Times New Roman"/>
                <w:szCs w:val="21"/>
              </w:rPr>
            </w:pPr>
          </w:p>
        </w:tc>
      </w:tr>
      <w:tr w14:paraId="5F62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238401C6">
            <w:pPr>
              <w:jc w:val="cente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以中国式现代化全面推进中华民族伟大复兴</w:t>
            </w:r>
          </w:p>
        </w:tc>
        <w:tc>
          <w:tcPr>
            <w:tcW w:w="2126" w:type="dxa"/>
            <w:vAlign w:val="center"/>
          </w:tcPr>
          <w:p w14:paraId="6D5E432B">
            <w:pPr>
              <w:jc w:val="left"/>
              <w:rPr>
                <w:rFonts w:ascii="宋体" w:hAnsi="宋体" w:eastAsia="宋体" w:cs="Times New Roman"/>
                <w:szCs w:val="21"/>
              </w:rPr>
            </w:pPr>
          </w:p>
          <w:p w14:paraId="6E1ACF4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1）中华民族近代以来最伟大的梦想</w:t>
            </w:r>
          </w:p>
          <w:p w14:paraId="207888D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2）中国式现代化是强国建设、民族复兴的唯一正确道路</w:t>
            </w:r>
          </w:p>
          <w:p w14:paraId="6784981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3）推进中国式现代化行稳致远</w:t>
            </w:r>
          </w:p>
          <w:p w14:paraId="76D6005F">
            <w:pPr>
              <w:jc w:val="left"/>
              <w:rPr>
                <w:rFonts w:ascii="宋体" w:hAnsi="宋体" w:eastAsia="宋体" w:cs="Times New Roman"/>
                <w:szCs w:val="21"/>
              </w:rPr>
            </w:pPr>
          </w:p>
        </w:tc>
        <w:tc>
          <w:tcPr>
            <w:tcW w:w="1276" w:type="dxa"/>
            <w:vAlign w:val="center"/>
          </w:tcPr>
          <w:p w14:paraId="1EE18B4D">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75174E3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1）理解中华民族伟大复兴中国梦的内涵</w:t>
            </w:r>
          </w:p>
          <w:p w14:paraId="293A15F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2）理解全面建成小康社会的里程碑意义</w:t>
            </w:r>
          </w:p>
          <w:p w14:paraId="6324B17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3）掌握中国式现代化的中国特色、本质要求和重大原则</w:t>
            </w:r>
          </w:p>
          <w:p w14:paraId="5751953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4）掌握推进中国式现代化需要正确处理的重大关系</w:t>
            </w:r>
          </w:p>
        </w:tc>
        <w:tc>
          <w:tcPr>
            <w:tcW w:w="1559" w:type="dxa"/>
            <w:vAlign w:val="center"/>
          </w:tcPr>
          <w:p w14:paraId="42DC6904">
            <w:pPr>
              <w:jc w:val="left"/>
              <w:rPr>
                <w:rFonts w:ascii="宋体" w:hAnsi="宋体" w:eastAsia="宋体" w:cs="Times New Roman"/>
                <w:szCs w:val="21"/>
              </w:rPr>
            </w:pPr>
            <w:r>
              <w:rPr>
                <w:rFonts w:ascii="宋体" w:hAnsi="宋体" w:eastAsia="宋体" w:cs="Times New Roman"/>
                <w:szCs w:val="21"/>
              </w:rPr>
              <w:t>1.线上学习</w:t>
            </w:r>
          </w:p>
          <w:p w14:paraId="4F2B4EB3">
            <w:pPr>
              <w:jc w:val="left"/>
              <w:rPr>
                <w:rFonts w:ascii="宋体" w:hAnsi="宋体" w:eastAsia="宋体" w:cs="Times New Roman"/>
                <w:szCs w:val="21"/>
              </w:rPr>
            </w:pPr>
            <w:r>
              <w:rPr>
                <w:rFonts w:ascii="宋体" w:hAnsi="宋体" w:eastAsia="宋体" w:cs="Times New Roman"/>
                <w:szCs w:val="21"/>
              </w:rPr>
              <w:t>2.多媒体教学</w:t>
            </w:r>
          </w:p>
          <w:p w14:paraId="7F70D2A6">
            <w:pPr>
              <w:jc w:val="left"/>
              <w:rPr>
                <w:rFonts w:ascii="宋体" w:hAnsi="宋体" w:eastAsia="宋体" w:cs="Times New Roman"/>
                <w:szCs w:val="21"/>
              </w:rPr>
            </w:pPr>
            <w:r>
              <w:rPr>
                <w:rFonts w:ascii="宋体" w:hAnsi="宋体" w:eastAsia="宋体" w:cs="Times New Roman"/>
                <w:szCs w:val="21"/>
              </w:rPr>
              <w:t>3.课堂讨论</w:t>
            </w:r>
          </w:p>
          <w:p w14:paraId="5C3C29C7">
            <w:pPr>
              <w:jc w:val="left"/>
              <w:rPr>
                <w:rFonts w:ascii="宋体" w:hAnsi="宋体" w:eastAsia="宋体" w:cs="Times New Roman"/>
                <w:szCs w:val="21"/>
              </w:rPr>
            </w:pPr>
            <w:r>
              <w:rPr>
                <w:rFonts w:ascii="宋体" w:hAnsi="宋体" w:eastAsia="宋体" w:cs="Times New Roman"/>
                <w:szCs w:val="21"/>
              </w:rPr>
              <w:t>4.单元测验</w:t>
            </w:r>
          </w:p>
        </w:tc>
        <w:tc>
          <w:tcPr>
            <w:tcW w:w="709" w:type="dxa"/>
            <w:vMerge w:val="continue"/>
            <w:vAlign w:val="center"/>
          </w:tcPr>
          <w:p w14:paraId="098115DB">
            <w:pPr>
              <w:jc w:val="center"/>
              <w:rPr>
                <w:rFonts w:ascii="宋体" w:hAnsi="宋体" w:eastAsia="宋体" w:cs="Times New Roman"/>
                <w:szCs w:val="21"/>
              </w:rPr>
            </w:pPr>
          </w:p>
        </w:tc>
      </w:tr>
      <w:tr w14:paraId="2CF8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201FEB3B">
            <w:pPr>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坚持党的全面领导</w:t>
            </w:r>
          </w:p>
          <w:p w14:paraId="4DCCFE2B">
            <w:pPr>
              <w:jc w:val="center"/>
              <w:rPr>
                <w:rFonts w:ascii="宋体" w:hAnsi="宋体" w:eastAsia="宋体" w:cs="Times New Roman"/>
                <w:szCs w:val="21"/>
              </w:rPr>
            </w:pPr>
          </w:p>
        </w:tc>
        <w:tc>
          <w:tcPr>
            <w:tcW w:w="2126" w:type="dxa"/>
            <w:vAlign w:val="center"/>
          </w:tcPr>
          <w:p w14:paraId="53F1118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1）中国共产党领导是中国特色社会主义最本质的特征</w:t>
            </w:r>
          </w:p>
          <w:p w14:paraId="778E4A2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2）坚持党对一切工作的领导</w:t>
            </w:r>
          </w:p>
          <w:p w14:paraId="71D8070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3）健全和完善党的领导制度体系</w:t>
            </w:r>
          </w:p>
          <w:p w14:paraId="01AE1D4F">
            <w:pPr>
              <w:jc w:val="left"/>
              <w:rPr>
                <w:rFonts w:ascii="宋体" w:hAnsi="宋体" w:eastAsia="宋体" w:cs="Times New Roman"/>
                <w:szCs w:val="21"/>
              </w:rPr>
            </w:pPr>
          </w:p>
        </w:tc>
        <w:tc>
          <w:tcPr>
            <w:tcW w:w="1276" w:type="dxa"/>
            <w:vAlign w:val="center"/>
          </w:tcPr>
          <w:p w14:paraId="241A808C">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5FEE934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1）掌握中国共产党领导是中国特色社会主义最本质的特征，党的领导制度是我国的根本领导制度</w:t>
            </w:r>
          </w:p>
          <w:p w14:paraId="2497073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2）掌握坚持党对一切工作的领导的重大意义、科学内涵、历史必然性和现实紧迫性</w:t>
            </w:r>
          </w:p>
          <w:p w14:paraId="5847DC1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3）理解党的领导是全面的、系统的、整体的，自觉在思想上政治上行动上同以习近平同志为核心的党中央保持高度一致</w:t>
            </w:r>
          </w:p>
          <w:p w14:paraId="23459394">
            <w:pPr>
              <w:jc w:val="left"/>
              <w:rPr>
                <w:rFonts w:ascii="宋体" w:hAnsi="宋体" w:eastAsia="宋体" w:cs="Times New Roman"/>
                <w:szCs w:val="21"/>
              </w:rPr>
            </w:pPr>
          </w:p>
        </w:tc>
        <w:tc>
          <w:tcPr>
            <w:tcW w:w="1559" w:type="dxa"/>
            <w:vAlign w:val="center"/>
          </w:tcPr>
          <w:p w14:paraId="7AFB7828">
            <w:pPr>
              <w:jc w:val="left"/>
              <w:rPr>
                <w:rFonts w:ascii="宋体" w:hAnsi="宋体" w:eastAsia="宋体"/>
                <w:szCs w:val="21"/>
              </w:rPr>
            </w:pPr>
            <w:r>
              <w:rPr>
                <w:rFonts w:ascii="宋体" w:hAnsi="宋体" w:eastAsia="宋体"/>
                <w:szCs w:val="21"/>
              </w:rPr>
              <w:t>1.线上学习</w:t>
            </w:r>
          </w:p>
          <w:p w14:paraId="541C82C8">
            <w:pPr>
              <w:jc w:val="left"/>
              <w:rPr>
                <w:rFonts w:ascii="宋体" w:hAnsi="宋体" w:eastAsia="宋体"/>
                <w:szCs w:val="21"/>
              </w:rPr>
            </w:pPr>
            <w:r>
              <w:rPr>
                <w:rFonts w:ascii="宋体" w:hAnsi="宋体" w:eastAsia="宋体"/>
                <w:szCs w:val="21"/>
              </w:rPr>
              <w:t>2.多媒体教学</w:t>
            </w:r>
          </w:p>
          <w:p w14:paraId="35E86614">
            <w:pPr>
              <w:jc w:val="left"/>
              <w:rPr>
                <w:rFonts w:ascii="宋体" w:hAnsi="宋体" w:eastAsia="宋体"/>
                <w:szCs w:val="21"/>
              </w:rPr>
            </w:pPr>
            <w:r>
              <w:rPr>
                <w:rFonts w:ascii="宋体" w:hAnsi="宋体" w:eastAsia="宋体"/>
                <w:szCs w:val="21"/>
              </w:rPr>
              <w:t>3.课堂讨论</w:t>
            </w:r>
          </w:p>
          <w:p w14:paraId="00D4F945">
            <w:pPr>
              <w:jc w:val="left"/>
              <w:rPr>
                <w:rFonts w:ascii="宋体" w:hAnsi="宋体" w:eastAsia="宋体"/>
                <w:szCs w:val="21"/>
              </w:rPr>
            </w:pPr>
            <w:r>
              <w:rPr>
                <w:rFonts w:ascii="宋体" w:hAnsi="宋体" w:eastAsia="宋体"/>
                <w:szCs w:val="21"/>
              </w:rPr>
              <w:t>4.单元测验</w:t>
            </w:r>
          </w:p>
        </w:tc>
        <w:tc>
          <w:tcPr>
            <w:tcW w:w="709" w:type="dxa"/>
            <w:vAlign w:val="center"/>
          </w:tcPr>
          <w:p w14:paraId="5D13F3A7">
            <w:pPr>
              <w:jc w:val="center"/>
              <w:rPr>
                <w:rFonts w:ascii="宋体" w:hAnsi="宋体" w:eastAsia="宋体" w:cs="Times New Roman"/>
                <w:szCs w:val="21"/>
              </w:rPr>
            </w:pPr>
            <w:r>
              <w:rPr>
                <w:rFonts w:ascii="宋体" w:hAnsi="宋体" w:eastAsia="宋体"/>
                <w:szCs w:val="21"/>
              </w:rPr>
              <w:t>3</w:t>
            </w:r>
          </w:p>
        </w:tc>
      </w:tr>
      <w:tr w14:paraId="6214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1465206E">
            <w:pPr>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ascii="宋体" w:hAnsi="宋体" w:eastAsia="宋体" w:cs="Times New Roman"/>
                <w:szCs w:val="21"/>
              </w:rPr>
              <w:t>坚持以人民为中心</w:t>
            </w:r>
          </w:p>
        </w:tc>
        <w:tc>
          <w:tcPr>
            <w:tcW w:w="2126" w:type="dxa"/>
            <w:vAlign w:val="center"/>
          </w:tcPr>
          <w:p w14:paraId="7E49834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1）江山就是人民，人民就是江山</w:t>
            </w:r>
          </w:p>
          <w:p w14:paraId="2088F49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2）坚持人民至上</w:t>
            </w:r>
          </w:p>
          <w:p w14:paraId="04E7956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3）全面落实以人民为中心的发展思想</w:t>
            </w:r>
          </w:p>
          <w:p w14:paraId="05AA3F53">
            <w:pPr>
              <w:jc w:val="left"/>
              <w:rPr>
                <w:rFonts w:ascii="宋体" w:hAnsi="宋体" w:eastAsia="宋体" w:cs="Times New Roman"/>
                <w:szCs w:val="21"/>
              </w:rPr>
            </w:pPr>
          </w:p>
        </w:tc>
        <w:tc>
          <w:tcPr>
            <w:tcW w:w="1276" w:type="dxa"/>
            <w:vAlign w:val="center"/>
          </w:tcPr>
          <w:p w14:paraId="7D167D27">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38CB958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1）理解“江山就是人民，人民就是江山”的深刻内涵</w:t>
            </w:r>
          </w:p>
          <w:p w14:paraId="063F387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2）掌握坚持人民至上的实践要求</w:t>
            </w:r>
          </w:p>
          <w:p w14:paraId="1134E8E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3）掌握坚持以人民为中心的发展思想的基本内涵</w:t>
            </w:r>
          </w:p>
          <w:p w14:paraId="1B42CC8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4）掌握扎实推动全体人民共同富裕的原则和思路</w:t>
            </w:r>
          </w:p>
          <w:p w14:paraId="24DA5C57">
            <w:pPr>
              <w:jc w:val="left"/>
              <w:rPr>
                <w:rFonts w:ascii="宋体" w:hAnsi="宋体" w:eastAsia="宋体" w:cs="Times New Roman"/>
                <w:szCs w:val="21"/>
              </w:rPr>
            </w:pPr>
          </w:p>
        </w:tc>
        <w:tc>
          <w:tcPr>
            <w:tcW w:w="1559" w:type="dxa"/>
            <w:vAlign w:val="center"/>
          </w:tcPr>
          <w:p w14:paraId="571D8847">
            <w:pPr>
              <w:jc w:val="left"/>
              <w:rPr>
                <w:rFonts w:ascii="宋体" w:hAnsi="宋体" w:eastAsia="宋体"/>
                <w:szCs w:val="21"/>
              </w:rPr>
            </w:pPr>
            <w:r>
              <w:rPr>
                <w:rFonts w:ascii="宋体" w:hAnsi="宋体" w:eastAsia="宋体"/>
                <w:szCs w:val="21"/>
              </w:rPr>
              <w:t>1.线上学习</w:t>
            </w:r>
          </w:p>
          <w:p w14:paraId="0030C385">
            <w:pPr>
              <w:jc w:val="left"/>
              <w:rPr>
                <w:rFonts w:ascii="宋体" w:hAnsi="宋体" w:eastAsia="宋体"/>
                <w:szCs w:val="21"/>
              </w:rPr>
            </w:pPr>
            <w:r>
              <w:rPr>
                <w:rFonts w:ascii="宋体" w:hAnsi="宋体" w:eastAsia="宋体"/>
                <w:szCs w:val="21"/>
              </w:rPr>
              <w:t>2.多媒体教学</w:t>
            </w:r>
          </w:p>
          <w:p w14:paraId="38791BB4">
            <w:pPr>
              <w:jc w:val="left"/>
              <w:rPr>
                <w:rFonts w:ascii="宋体" w:hAnsi="宋体" w:eastAsia="宋体"/>
                <w:szCs w:val="21"/>
              </w:rPr>
            </w:pPr>
            <w:r>
              <w:rPr>
                <w:rFonts w:ascii="宋体" w:hAnsi="宋体" w:eastAsia="宋体"/>
                <w:szCs w:val="21"/>
              </w:rPr>
              <w:t>3.课堂讨论</w:t>
            </w:r>
          </w:p>
          <w:p w14:paraId="65525C23">
            <w:pPr>
              <w:jc w:val="left"/>
              <w:rPr>
                <w:rFonts w:ascii="宋体" w:hAnsi="宋体" w:eastAsia="宋体"/>
                <w:szCs w:val="21"/>
              </w:rPr>
            </w:pPr>
            <w:r>
              <w:rPr>
                <w:rFonts w:ascii="宋体" w:hAnsi="宋体" w:eastAsia="宋体"/>
                <w:szCs w:val="21"/>
              </w:rPr>
              <w:t>4.单元测验</w:t>
            </w:r>
          </w:p>
        </w:tc>
        <w:tc>
          <w:tcPr>
            <w:tcW w:w="709" w:type="dxa"/>
            <w:vAlign w:val="center"/>
          </w:tcPr>
          <w:p w14:paraId="1EDE9EF6">
            <w:pPr>
              <w:jc w:val="center"/>
              <w:rPr>
                <w:rFonts w:ascii="宋体" w:hAnsi="宋体" w:eastAsia="宋体" w:cs="Times New Roman"/>
                <w:szCs w:val="21"/>
              </w:rPr>
            </w:pPr>
            <w:r>
              <w:rPr>
                <w:rFonts w:ascii="宋体" w:hAnsi="宋体" w:eastAsia="宋体"/>
                <w:szCs w:val="21"/>
              </w:rPr>
              <w:t>3</w:t>
            </w:r>
          </w:p>
        </w:tc>
      </w:tr>
      <w:tr w14:paraId="73B0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3092BB72">
            <w:pPr>
              <w:jc w:val="left"/>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全面深化改革开放</w:t>
            </w:r>
          </w:p>
          <w:p w14:paraId="05D1327B">
            <w:pPr>
              <w:jc w:val="center"/>
              <w:rPr>
                <w:rFonts w:ascii="宋体" w:hAnsi="宋体" w:eastAsia="宋体" w:cs="Times New Roman"/>
                <w:szCs w:val="21"/>
              </w:rPr>
            </w:pPr>
          </w:p>
        </w:tc>
        <w:tc>
          <w:tcPr>
            <w:tcW w:w="2126" w:type="dxa"/>
            <w:vAlign w:val="center"/>
          </w:tcPr>
          <w:p w14:paraId="0BE01E1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1）改革开放是决定当代中国命运的关键一招</w:t>
            </w:r>
          </w:p>
          <w:p w14:paraId="65AB359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2）统筹推进各领域各方面改革开放</w:t>
            </w:r>
          </w:p>
          <w:p w14:paraId="2DC04B6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3）将改革开放进行到底</w:t>
            </w:r>
          </w:p>
        </w:tc>
        <w:tc>
          <w:tcPr>
            <w:tcW w:w="1276" w:type="dxa"/>
            <w:vAlign w:val="center"/>
          </w:tcPr>
          <w:p w14:paraId="1AC7355E">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6799B8A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1）理解新时代全面深化改革开放是一场深刻革命</w:t>
            </w:r>
          </w:p>
          <w:p w14:paraId="269A494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2）掌握坚持全面深化改革开放的正确方向，全面深化改革的重大意义、总目标、重大部署、方法论等。</w:t>
            </w:r>
          </w:p>
          <w:p w14:paraId="73E971DB">
            <w:pPr>
              <w:jc w:val="left"/>
              <w:rPr>
                <w:rFonts w:ascii="宋体" w:hAnsi="宋体" w:eastAsia="宋体" w:cs="Times New Roman"/>
                <w:szCs w:val="21"/>
              </w:rPr>
            </w:pPr>
          </w:p>
        </w:tc>
        <w:tc>
          <w:tcPr>
            <w:tcW w:w="1559" w:type="dxa"/>
            <w:vAlign w:val="center"/>
          </w:tcPr>
          <w:p w14:paraId="36A81252">
            <w:pPr>
              <w:jc w:val="left"/>
              <w:rPr>
                <w:rFonts w:ascii="宋体" w:hAnsi="宋体" w:eastAsia="宋体"/>
                <w:szCs w:val="21"/>
              </w:rPr>
            </w:pPr>
            <w:r>
              <w:rPr>
                <w:rFonts w:ascii="宋体" w:hAnsi="宋体" w:eastAsia="宋体"/>
                <w:szCs w:val="21"/>
              </w:rPr>
              <w:t>1.线上学习</w:t>
            </w:r>
          </w:p>
          <w:p w14:paraId="2BA55597">
            <w:pPr>
              <w:jc w:val="left"/>
              <w:rPr>
                <w:rFonts w:ascii="宋体" w:hAnsi="宋体" w:eastAsia="宋体"/>
                <w:szCs w:val="21"/>
              </w:rPr>
            </w:pPr>
            <w:r>
              <w:rPr>
                <w:rFonts w:ascii="宋体" w:hAnsi="宋体" w:eastAsia="宋体"/>
                <w:szCs w:val="21"/>
              </w:rPr>
              <w:t>2.多媒体教学</w:t>
            </w:r>
          </w:p>
          <w:p w14:paraId="5B655D96">
            <w:pPr>
              <w:jc w:val="left"/>
              <w:rPr>
                <w:rFonts w:ascii="宋体" w:hAnsi="宋体" w:eastAsia="宋体"/>
                <w:szCs w:val="21"/>
              </w:rPr>
            </w:pPr>
            <w:r>
              <w:rPr>
                <w:rFonts w:ascii="宋体" w:hAnsi="宋体" w:eastAsia="宋体"/>
                <w:szCs w:val="21"/>
              </w:rPr>
              <w:t>3.课堂讨论</w:t>
            </w:r>
          </w:p>
          <w:p w14:paraId="582808E3">
            <w:pPr>
              <w:jc w:val="left"/>
              <w:rPr>
                <w:rFonts w:ascii="宋体" w:hAnsi="宋体" w:eastAsia="宋体"/>
                <w:szCs w:val="21"/>
              </w:rPr>
            </w:pPr>
            <w:r>
              <w:rPr>
                <w:rFonts w:ascii="宋体" w:hAnsi="宋体" w:eastAsia="宋体"/>
                <w:szCs w:val="21"/>
              </w:rPr>
              <w:t>4.单元测验</w:t>
            </w:r>
          </w:p>
        </w:tc>
        <w:tc>
          <w:tcPr>
            <w:tcW w:w="709" w:type="dxa"/>
            <w:vAlign w:val="center"/>
          </w:tcPr>
          <w:p w14:paraId="676EA538">
            <w:pPr>
              <w:jc w:val="center"/>
              <w:rPr>
                <w:rFonts w:ascii="宋体" w:hAnsi="宋体" w:eastAsia="宋体" w:cs="Times New Roman"/>
                <w:szCs w:val="21"/>
              </w:rPr>
            </w:pPr>
            <w:r>
              <w:rPr>
                <w:rFonts w:ascii="宋体" w:hAnsi="宋体" w:eastAsia="宋体"/>
                <w:szCs w:val="21"/>
              </w:rPr>
              <w:t>3</w:t>
            </w:r>
          </w:p>
        </w:tc>
      </w:tr>
      <w:tr w14:paraId="684B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6B035B80">
            <w:pPr>
              <w:jc w:val="left"/>
              <w:rPr>
                <w:rFonts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w:t>
            </w:r>
            <w:r>
              <w:rPr>
                <w:rFonts w:hint="eastAsia" w:ascii="宋体" w:hAnsi="宋体" w:eastAsia="宋体" w:cs="Times New Roman"/>
                <w:szCs w:val="21"/>
              </w:rPr>
              <w:t>推动高质量发展</w:t>
            </w:r>
          </w:p>
          <w:p w14:paraId="14D50D62">
            <w:pPr>
              <w:jc w:val="center"/>
              <w:rPr>
                <w:rFonts w:ascii="宋体" w:hAnsi="宋体" w:eastAsia="宋体" w:cs="Times New Roman"/>
                <w:szCs w:val="21"/>
              </w:rPr>
            </w:pPr>
          </w:p>
        </w:tc>
        <w:tc>
          <w:tcPr>
            <w:tcW w:w="2126" w:type="dxa"/>
            <w:vAlign w:val="center"/>
          </w:tcPr>
          <w:p w14:paraId="4D38303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1）完整、准确、全面贯彻新发展理念</w:t>
            </w:r>
          </w:p>
          <w:p w14:paraId="778C92B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2）坚持和完善社会主义基本经济制度</w:t>
            </w:r>
          </w:p>
          <w:p w14:paraId="5B5B509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3）加快构建新发展格局</w:t>
            </w:r>
          </w:p>
          <w:p w14:paraId="7699C3F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4）建设现代化经济体系</w:t>
            </w:r>
          </w:p>
        </w:tc>
        <w:tc>
          <w:tcPr>
            <w:tcW w:w="1276" w:type="dxa"/>
            <w:vAlign w:val="center"/>
          </w:tcPr>
          <w:p w14:paraId="0B44C682">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7FAD064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1）理解新发展理念的形成背景、科学内涵和实践要求</w:t>
            </w:r>
          </w:p>
          <w:p w14:paraId="70C04C8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2）理解我国经济转向高质量发展的深刻内涵和重大意义</w:t>
            </w:r>
          </w:p>
          <w:p w14:paraId="6D8D9B7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3）掌握坚持和完善社会主义基本经济制度的内涵和重大意义</w:t>
            </w:r>
          </w:p>
          <w:p w14:paraId="20289CE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4）掌握构建以国内大循环为主体、国内国际双循环相互促进的新发展格局</w:t>
            </w:r>
          </w:p>
        </w:tc>
        <w:tc>
          <w:tcPr>
            <w:tcW w:w="1559" w:type="dxa"/>
            <w:vAlign w:val="center"/>
          </w:tcPr>
          <w:p w14:paraId="73C5B098">
            <w:pPr>
              <w:jc w:val="left"/>
              <w:rPr>
                <w:rFonts w:ascii="宋体" w:hAnsi="宋体" w:eastAsia="宋体"/>
                <w:szCs w:val="21"/>
              </w:rPr>
            </w:pPr>
            <w:r>
              <w:rPr>
                <w:rFonts w:ascii="宋体" w:hAnsi="宋体" w:eastAsia="宋体"/>
                <w:szCs w:val="21"/>
              </w:rPr>
              <w:t>1.线上学习</w:t>
            </w:r>
          </w:p>
          <w:p w14:paraId="6174A488">
            <w:pPr>
              <w:jc w:val="left"/>
              <w:rPr>
                <w:rFonts w:ascii="宋体" w:hAnsi="宋体" w:eastAsia="宋体"/>
                <w:szCs w:val="21"/>
              </w:rPr>
            </w:pPr>
            <w:r>
              <w:rPr>
                <w:rFonts w:ascii="宋体" w:hAnsi="宋体" w:eastAsia="宋体"/>
                <w:szCs w:val="21"/>
              </w:rPr>
              <w:t>2.多媒体教学</w:t>
            </w:r>
          </w:p>
          <w:p w14:paraId="5FE33915">
            <w:pPr>
              <w:jc w:val="left"/>
              <w:rPr>
                <w:rFonts w:ascii="宋体" w:hAnsi="宋体" w:eastAsia="宋体"/>
                <w:szCs w:val="21"/>
              </w:rPr>
            </w:pPr>
            <w:r>
              <w:rPr>
                <w:rFonts w:ascii="宋体" w:hAnsi="宋体" w:eastAsia="宋体"/>
                <w:szCs w:val="21"/>
              </w:rPr>
              <w:t>3.课堂讨论</w:t>
            </w:r>
          </w:p>
          <w:p w14:paraId="5010F033">
            <w:pPr>
              <w:jc w:val="left"/>
              <w:rPr>
                <w:rFonts w:ascii="宋体" w:hAnsi="宋体" w:eastAsia="宋体"/>
                <w:szCs w:val="21"/>
              </w:rPr>
            </w:pPr>
            <w:r>
              <w:rPr>
                <w:rFonts w:ascii="宋体" w:hAnsi="宋体" w:eastAsia="宋体"/>
                <w:szCs w:val="21"/>
              </w:rPr>
              <w:t>4.单元测验</w:t>
            </w:r>
          </w:p>
        </w:tc>
        <w:tc>
          <w:tcPr>
            <w:tcW w:w="709" w:type="dxa"/>
            <w:vAlign w:val="center"/>
          </w:tcPr>
          <w:p w14:paraId="35769ED0">
            <w:pPr>
              <w:jc w:val="center"/>
              <w:rPr>
                <w:rFonts w:ascii="宋体" w:hAnsi="宋体" w:eastAsia="宋体" w:cs="Times New Roman"/>
                <w:szCs w:val="21"/>
              </w:rPr>
            </w:pPr>
            <w:r>
              <w:rPr>
                <w:rFonts w:ascii="宋体" w:hAnsi="宋体" w:eastAsia="宋体"/>
                <w:szCs w:val="21"/>
              </w:rPr>
              <w:t>3</w:t>
            </w:r>
          </w:p>
        </w:tc>
      </w:tr>
      <w:tr w14:paraId="05B9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06B0FEBC">
            <w:pPr>
              <w:jc w:val="center"/>
              <w:rPr>
                <w:rFonts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社会主义现代化建设的教育、科技、人才战略</w:t>
            </w:r>
          </w:p>
        </w:tc>
        <w:tc>
          <w:tcPr>
            <w:tcW w:w="2126" w:type="dxa"/>
            <w:vAlign w:val="center"/>
          </w:tcPr>
          <w:p w14:paraId="6612C4CB">
            <w:pPr>
              <w:jc w:val="left"/>
              <w:rPr>
                <w:rFonts w:ascii="宋体" w:hAnsi="宋体" w:eastAsia="宋体" w:cs="Times New Roman"/>
                <w:szCs w:val="21"/>
              </w:rPr>
            </w:pPr>
          </w:p>
          <w:p w14:paraId="7DC15BD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1）全面建设社会主义现代化国家的基础性、战略性支撑</w:t>
            </w:r>
          </w:p>
          <w:p w14:paraId="77CF9FA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2）加快建设教育强国</w:t>
            </w:r>
          </w:p>
          <w:p w14:paraId="2478D3A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3）加快建设科技强国</w:t>
            </w:r>
          </w:p>
          <w:p w14:paraId="1B93B1C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4）加快建设人才强国</w:t>
            </w:r>
          </w:p>
          <w:p w14:paraId="527F0A7B">
            <w:pPr>
              <w:jc w:val="left"/>
              <w:rPr>
                <w:rFonts w:ascii="宋体" w:hAnsi="宋体" w:eastAsia="宋体" w:cs="Times New Roman"/>
                <w:szCs w:val="21"/>
              </w:rPr>
            </w:pPr>
          </w:p>
        </w:tc>
        <w:tc>
          <w:tcPr>
            <w:tcW w:w="1276" w:type="dxa"/>
            <w:vAlign w:val="center"/>
          </w:tcPr>
          <w:p w14:paraId="299C9905">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0623B90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1）理解教育、科技、人才是全面建设社会主义现代化国家的基础性、战略性支撑</w:t>
            </w:r>
          </w:p>
          <w:p w14:paraId="7AF4F89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2）理解教育是国之大计、党之大计、在国家发展中的基础性先导性全局性地位</w:t>
            </w:r>
          </w:p>
          <w:p w14:paraId="09ED3E1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3）理解科技自立自强是国家强盛之基、安全之要，人才是实现民族振兴、赢得国际竞争主动的战略资源</w:t>
            </w:r>
          </w:p>
          <w:p w14:paraId="713710C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4）掌握建设教育强国、科技强国、人才强国的内在一致性和相互支撑性</w:t>
            </w:r>
          </w:p>
        </w:tc>
        <w:tc>
          <w:tcPr>
            <w:tcW w:w="1559" w:type="dxa"/>
            <w:vAlign w:val="center"/>
          </w:tcPr>
          <w:p w14:paraId="50400CF9">
            <w:pPr>
              <w:jc w:val="left"/>
              <w:rPr>
                <w:rFonts w:ascii="宋体" w:hAnsi="宋体" w:eastAsia="宋体"/>
                <w:szCs w:val="21"/>
              </w:rPr>
            </w:pPr>
            <w:r>
              <w:rPr>
                <w:rFonts w:ascii="宋体" w:hAnsi="宋体" w:eastAsia="宋体"/>
                <w:szCs w:val="21"/>
              </w:rPr>
              <w:t>1.线上学习</w:t>
            </w:r>
          </w:p>
          <w:p w14:paraId="206CE3DC">
            <w:pPr>
              <w:jc w:val="left"/>
              <w:rPr>
                <w:rFonts w:ascii="宋体" w:hAnsi="宋体" w:eastAsia="宋体"/>
                <w:szCs w:val="21"/>
              </w:rPr>
            </w:pPr>
            <w:r>
              <w:rPr>
                <w:rFonts w:ascii="宋体" w:hAnsi="宋体" w:eastAsia="宋体"/>
                <w:szCs w:val="21"/>
              </w:rPr>
              <w:t>2.多媒体教学</w:t>
            </w:r>
          </w:p>
          <w:p w14:paraId="13CCB295">
            <w:pPr>
              <w:jc w:val="left"/>
              <w:rPr>
                <w:rFonts w:ascii="宋体" w:hAnsi="宋体" w:eastAsia="宋体"/>
                <w:szCs w:val="21"/>
              </w:rPr>
            </w:pPr>
            <w:r>
              <w:rPr>
                <w:rFonts w:ascii="宋体" w:hAnsi="宋体" w:eastAsia="宋体"/>
                <w:szCs w:val="21"/>
              </w:rPr>
              <w:t>3.课堂讨论</w:t>
            </w:r>
          </w:p>
          <w:p w14:paraId="0AB33A46">
            <w:pPr>
              <w:jc w:val="left"/>
              <w:rPr>
                <w:rFonts w:ascii="宋体" w:hAnsi="宋体" w:eastAsia="宋体"/>
                <w:szCs w:val="21"/>
              </w:rPr>
            </w:pPr>
            <w:r>
              <w:rPr>
                <w:rFonts w:ascii="宋体" w:hAnsi="宋体" w:eastAsia="宋体"/>
                <w:szCs w:val="21"/>
              </w:rPr>
              <w:t>4.单元测验</w:t>
            </w:r>
          </w:p>
        </w:tc>
        <w:tc>
          <w:tcPr>
            <w:tcW w:w="709" w:type="dxa"/>
            <w:vAlign w:val="center"/>
          </w:tcPr>
          <w:p w14:paraId="40271F5B">
            <w:pPr>
              <w:jc w:val="center"/>
              <w:rPr>
                <w:rFonts w:ascii="宋体" w:hAnsi="宋体" w:eastAsia="宋体" w:cs="Times New Roman"/>
                <w:szCs w:val="21"/>
              </w:rPr>
            </w:pPr>
            <w:r>
              <w:rPr>
                <w:rFonts w:ascii="宋体" w:hAnsi="宋体" w:eastAsia="宋体"/>
                <w:szCs w:val="21"/>
              </w:rPr>
              <w:t>3</w:t>
            </w:r>
          </w:p>
        </w:tc>
      </w:tr>
      <w:tr w14:paraId="6CE2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44F81578">
            <w:pPr>
              <w:jc w:val="left"/>
              <w:rPr>
                <w:rFonts w:hint="eastAsia" w:ascii="宋体" w:hAnsi="宋体" w:eastAsia="宋体" w:cs="Times New Roman"/>
                <w:szCs w:val="21"/>
              </w:rPr>
            </w:pPr>
            <w:r>
              <w:rPr>
                <w:rFonts w:hint="eastAsia" w:ascii="宋体" w:hAnsi="宋体" w:eastAsia="宋体" w:cs="Times New Roman"/>
                <w:szCs w:val="21"/>
              </w:rPr>
              <w:t>9</w:t>
            </w:r>
            <w:r>
              <w:rPr>
                <w:rFonts w:ascii="宋体" w:hAnsi="宋体" w:eastAsia="宋体" w:cs="Times New Roman"/>
                <w:szCs w:val="21"/>
              </w:rPr>
              <w:t>.</w:t>
            </w:r>
            <w:r>
              <w:rPr>
                <w:rFonts w:hint="eastAsia" w:ascii="宋体" w:hAnsi="宋体" w:eastAsia="宋体" w:cs="Times New Roman"/>
                <w:szCs w:val="21"/>
              </w:rPr>
              <w:t>发展全过程人民民主</w:t>
            </w:r>
          </w:p>
        </w:tc>
        <w:tc>
          <w:tcPr>
            <w:tcW w:w="2126" w:type="dxa"/>
            <w:vAlign w:val="center"/>
          </w:tcPr>
          <w:p w14:paraId="4B6B962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1）坚定中国特色社会主义政治制度自信</w:t>
            </w:r>
          </w:p>
          <w:p w14:paraId="40EBADD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2）全过程人民民主是社会主义民主政治的本质属性</w:t>
            </w:r>
          </w:p>
          <w:p w14:paraId="5200332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3）健全人民当家作主的制度体系</w:t>
            </w:r>
          </w:p>
          <w:p w14:paraId="6BD96A2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4）巩固和发展新时代爱国统一战线</w:t>
            </w:r>
          </w:p>
        </w:tc>
        <w:tc>
          <w:tcPr>
            <w:tcW w:w="1276" w:type="dxa"/>
            <w:vAlign w:val="center"/>
          </w:tcPr>
          <w:p w14:paraId="4EBAA54E">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740AC44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1）理解全过程人民民主是社会主义民主政治的本质属性</w:t>
            </w:r>
          </w:p>
          <w:p w14:paraId="365C6EF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2）掌握全过程人民民主的基本内涵，发展全过程人民民主的重大意义和实践要求，人民当家作主制度体系的主要内容</w:t>
            </w:r>
          </w:p>
          <w:p w14:paraId="53A45B9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3）理解巩固和发展新时代爱国统一战线的重要意义</w:t>
            </w:r>
          </w:p>
          <w:p w14:paraId="05F8C6F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4）掌握坚定不移走中国特色社会主义政治发展道路意义与内涵</w:t>
            </w:r>
          </w:p>
          <w:p w14:paraId="01DFE1A2">
            <w:pPr>
              <w:jc w:val="left"/>
              <w:rPr>
                <w:rFonts w:ascii="宋体" w:hAnsi="宋体" w:eastAsia="宋体" w:cs="Times New Roman"/>
                <w:szCs w:val="21"/>
              </w:rPr>
            </w:pPr>
          </w:p>
          <w:p w14:paraId="189E5081">
            <w:pPr>
              <w:jc w:val="left"/>
              <w:rPr>
                <w:rFonts w:ascii="宋体" w:hAnsi="宋体" w:eastAsia="宋体" w:cs="Times New Roman"/>
                <w:szCs w:val="21"/>
              </w:rPr>
            </w:pPr>
          </w:p>
        </w:tc>
        <w:tc>
          <w:tcPr>
            <w:tcW w:w="1559" w:type="dxa"/>
            <w:vAlign w:val="center"/>
          </w:tcPr>
          <w:p w14:paraId="34D956F1">
            <w:pPr>
              <w:jc w:val="left"/>
              <w:rPr>
                <w:rFonts w:ascii="宋体" w:hAnsi="宋体" w:eastAsia="宋体"/>
                <w:szCs w:val="21"/>
              </w:rPr>
            </w:pPr>
            <w:r>
              <w:rPr>
                <w:rFonts w:ascii="宋体" w:hAnsi="宋体" w:eastAsia="宋体"/>
                <w:szCs w:val="21"/>
              </w:rPr>
              <w:t>1.线上学习</w:t>
            </w:r>
          </w:p>
          <w:p w14:paraId="14AB251A">
            <w:pPr>
              <w:jc w:val="left"/>
              <w:rPr>
                <w:rFonts w:ascii="宋体" w:hAnsi="宋体" w:eastAsia="宋体"/>
                <w:szCs w:val="21"/>
              </w:rPr>
            </w:pPr>
            <w:r>
              <w:rPr>
                <w:rFonts w:ascii="宋体" w:hAnsi="宋体" w:eastAsia="宋体"/>
                <w:szCs w:val="21"/>
              </w:rPr>
              <w:t>2.多媒体教学</w:t>
            </w:r>
          </w:p>
          <w:p w14:paraId="076CBC92">
            <w:pPr>
              <w:jc w:val="left"/>
              <w:rPr>
                <w:rFonts w:ascii="宋体" w:hAnsi="宋体" w:eastAsia="宋体"/>
                <w:szCs w:val="21"/>
              </w:rPr>
            </w:pPr>
            <w:r>
              <w:rPr>
                <w:rFonts w:ascii="宋体" w:hAnsi="宋体" w:eastAsia="宋体"/>
                <w:szCs w:val="21"/>
              </w:rPr>
              <w:t>3.课堂讨论</w:t>
            </w:r>
          </w:p>
          <w:p w14:paraId="2FD4C9A0">
            <w:pPr>
              <w:jc w:val="left"/>
              <w:rPr>
                <w:rFonts w:ascii="宋体" w:hAnsi="宋体" w:eastAsia="宋体"/>
                <w:szCs w:val="21"/>
              </w:rPr>
            </w:pPr>
            <w:r>
              <w:rPr>
                <w:rFonts w:ascii="宋体" w:hAnsi="宋体" w:eastAsia="宋体"/>
                <w:szCs w:val="21"/>
              </w:rPr>
              <w:t>4.单元测验</w:t>
            </w:r>
          </w:p>
        </w:tc>
        <w:tc>
          <w:tcPr>
            <w:tcW w:w="709" w:type="dxa"/>
            <w:vAlign w:val="center"/>
          </w:tcPr>
          <w:p w14:paraId="377C6D4D">
            <w:pPr>
              <w:jc w:val="center"/>
              <w:rPr>
                <w:rFonts w:ascii="宋体" w:hAnsi="宋体" w:eastAsia="宋体" w:cs="Times New Roman"/>
                <w:szCs w:val="21"/>
              </w:rPr>
            </w:pPr>
            <w:r>
              <w:rPr>
                <w:rFonts w:ascii="宋体" w:hAnsi="宋体" w:eastAsia="宋体"/>
                <w:szCs w:val="21"/>
              </w:rPr>
              <w:t>3</w:t>
            </w:r>
          </w:p>
        </w:tc>
      </w:tr>
      <w:tr w14:paraId="5A05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5" w:type="dxa"/>
            <w:vAlign w:val="center"/>
          </w:tcPr>
          <w:p w14:paraId="3B516D29">
            <w:pPr>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全面依法治国</w:t>
            </w:r>
          </w:p>
        </w:tc>
        <w:tc>
          <w:tcPr>
            <w:tcW w:w="2126" w:type="dxa"/>
            <w:vAlign w:val="center"/>
          </w:tcPr>
          <w:p w14:paraId="7D19749B">
            <w:pPr>
              <w:jc w:val="left"/>
              <w:rPr>
                <w:rFonts w:ascii="宋体" w:hAnsi="宋体" w:eastAsia="宋体" w:cs="Times New Roman"/>
                <w:b/>
                <w:szCs w:val="21"/>
              </w:rPr>
            </w:pPr>
          </w:p>
          <w:p w14:paraId="3F674818">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1）坚持中国特色社会主义法治道路</w:t>
            </w:r>
          </w:p>
          <w:p w14:paraId="7AE01A9F">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2）建设中国特色社会主义法治体系</w:t>
            </w:r>
          </w:p>
          <w:p w14:paraId="44FCFCE7">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3）加快建设法治中国</w:t>
            </w:r>
          </w:p>
          <w:p w14:paraId="07BAF5DC">
            <w:pPr>
              <w:jc w:val="left"/>
              <w:rPr>
                <w:rFonts w:ascii="宋体" w:hAnsi="宋体" w:eastAsia="宋体" w:cs="Times New Roman"/>
                <w:bCs/>
                <w:szCs w:val="21"/>
              </w:rPr>
            </w:pPr>
          </w:p>
        </w:tc>
        <w:tc>
          <w:tcPr>
            <w:tcW w:w="1276" w:type="dxa"/>
            <w:vAlign w:val="center"/>
          </w:tcPr>
          <w:p w14:paraId="7B1E1B69">
            <w:pPr>
              <w:jc w:val="left"/>
              <w:rPr>
                <w:rFonts w:hint="eastAsia" w:ascii="宋体" w:hAnsi="宋体" w:eastAsia="宋体" w:cs="Times New Roman"/>
                <w:bCs/>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2CD5F042">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1）掌握全面依法治国的总目标，全面依法治国的重大意义和实践要求</w:t>
            </w:r>
          </w:p>
          <w:p w14:paraId="55ABD543">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2）掌握中国特色社会主义法治道路的核心要义和基本原则，中国特色社会主义法治体系的主要内容</w:t>
            </w:r>
          </w:p>
          <w:p w14:paraId="2592900C">
            <w:pPr>
              <w:jc w:val="left"/>
              <w:rPr>
                <w:rFonts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2）了解加快推进法治中国建设的主要任务</w:t>
            </w:r>
          </w:p>
          <w:p w14:paraId="5D9F9300">
            <w:pPr>
              <w:jc w:val="center"/>
              <w:rPr>
                <w:rFonts w:ascii="宋体" w:hAnsi="宋体" w:eastAsia="宋体" w:cs="Times New Roman"/>
                <w:szCs w:val="21"/>
              </w:rPr>
            </w:pPr>
          </w:p>
        </w:tc>
        <w:tc>
          <w:tcPr>
            <w:tcW w:w="1559" w:type="dxa"/>
            <w:vAlign w:val="center"/>
          </w:tcPr>
          <w:p w14:paraId="65429FC7">
            <w:pPr>
              <w:jc w:val="left"/>
              <w:rPr>
                <w:rFonts w:ascii="宋体" w:hAnsi="宋体" w:eastAsia="宋体"/>
                <w:szCs w:val="21"/>
              </w:rPr>
            </w:pPr>
            <w:r>
              <w:rPr>
                <w:rFonts w:ascii="宋体" w:hAnsi="宋体" w:eastAsia="宋体"/>
                <w:szCs w:val="21"/>
              </w:rPr>
              <w:t>1.线上学习</w:t>
            </w:r>
          </w:p>
          <w:p w14:paraId="398B7F35">
            <w:pPr>
              <w:jc w:val="left"/>
              <w:rPr>
                <w:rFonts w:ascii="宋体" w:hAnsi="宋体" w:eastAsia="宋体"/>
                <w:szCs w:val="21"/>
              </w:rPr>
            </w:pPr>
            <w:r>
              <w:rPr>
                <w:rFonts w:ascii="宋体" w:hAnsi="宋体" w:eastAsia="宋体"/>
                <w:szCs w:val="21"/>
              </w:rPr>
              <w:t>2.多媒体教学</w:t>
            </w:r>
          </w:p>
          <w:p w14:paraId="66B964D4">
            <w:pPr>
              <w:jc w:val="left"/>
              <w:rPr>
                <w:rFonts w:ascii="宋体" w:hAnsi="宋体" w:eastAsia="宋体"/>
                <w:szCs w:val="21"/>
              </w:rPr>
            </w:pPr>
            <w:r>
              <w:rPr>
                <w:rFonts w:ascii="宋体" w:hAnsi="宋体" w:eastAsia="宋体"/>
                <w:szCs w:val="21"/>
              </w:rPr>
              <w:t>3.课堂讨论</w:t>
            </w:r>
          </w:p>
          <w:p w14:paraId="67F86ADD">
            <w:pPr>
              <w:jc w:val="left"/>
              <w:rPr>
                <w:rFonts w:ascii="宋体" w:hAnsi="宋体" w:eastAsia="宋体"/>
                <w:szCs w:val="21"/>
              </w:rPr>
            </w:pPr>
            <w:r>
              <w:rPr>
                <w:rFonts w:ascii="宋体" w:hAnsi="宋体" w:eastAsia="宋体"/>
                <w:szCs w:val="21"/>
              </w:rPr>
              <w:t>4.单元测验</w:t>
            </w:r>
          </w:p>
        </w:tc>
        <w:tc>
          <w:tcPr>
            <w:tcW w:w="709" w:type="dxa"/>
            <w:vAlign w:val="center"/>
          </w:tcPr>
          <w:p w14:paraId="35C438EA">
            <w:pPr>
              <w:jc w:val="center"/>
              <w:rPr>
                <w:rFonts w:ascii="宋体" w:hAnsi="宋体" w:eastAsia="宋体" w:cs="Times New Roman"/>
                <w:szCs w:val="21"/>
              </w:rPr>
            </w:pPr>
            <w:r>
              <w:rPr>
                <w:rFonts w:ascii="宋体" w:hAnsi="宋体" w:eastAsia="宋体"/>
                <w:szCs w:val="21"/>
              </w:rPr>
              <w:t>3</w:t>
            </w:r>
          </w:p>
        </w:tc>
      </w:tr>
      <w:tr w14:paraId="0861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1B63AF6A">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建设社会主义文化强国</w:t>
            </w:r>
          </w:p>
          <w:p w14:paraId="6511A367">
            <w:pPr>
              <w:jc w:val="center"/>
              <w:rPr>
                <w:rFonts w:ascii="宋体" w:hAnsi="宋体" w:eastAsia="宋体" w:cs="Times New Roman"/>
                <w:szCs w:val="21"/>
              </w:rPr>
            </w:pPr>
          </w:p>
        </w:tc>
        <w:tc>
          <w:tcPr>
            <w:tcW w:w="2126" w:type="dxa"/>
            <w:vAlign w:val="center"/>
          </w:tcPr>
          <w:p w14:paraId="218A78C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1）文化是民族生存和发展的重要力量</w:t>
            </w:r>
          </w:p>
          <w:p w14:paraId="732B295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2）建设具有强大凝聚力和引领力的社会主义意识形态</w:t>
            </w:r>
          </w:p>
          <w:p w14:paraId="5E7558F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3）以社会主义核心价值观引领文化建设</w:t>
            </w:r>
          </w:p>
          <w:p w14:paraId="6393988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4）铸就社会主义文化新辉煌</w:t>
            </w:r>
          </w:p>
          <w:p w14:paraId="77BD2BDF">
            <w:pPr>
              <w:jc w:val="left"/>
              <w:rPr>
                <w:rFonts w:ascii="宋体" w:hAnsi="宋体" w:eastAsia="宋体" w:cs="Times New Roman"/>
                <w:szCs w:val="21"/>
              </w:rPr>
            </w:pPr>
          </w:p>
        </w:tc>
        <w:tc>
          <w:tcPr>
            <w:tcW w:w="1276" w:type="dxa"/>
            <w:vAlign w:val="center"/>
          </w:tcPr>
          <w:p w14:paraId="03750E1B">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63D4226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1）理解文化自信是实现中华民族伟大复兴的强大精神力量</w:t>
            </w:r>
          </w:p>
          <w:p w14:paraId="7DDCB98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2）掌握建设中国特色社会主义文化、坚持马克思主义在意识形态领域指导地位的根本制度、用社会主义核心价值观凝心聚力的重大意义，理解提升国家文化软实力和中华文化影响力的实践要求</w:t>
            </w:r>
            <w:r>
              <w:rPr>
                <w:rFonts w:ascii="宋体" w:hAnsi="宋体" w:eastAsia="宋体" w:cs="Times New Roman"/>
                <w:szCs w:val="21"/>
              </w:rPr>
              <w:tab/>
            </w:r>
          </w:p>
          <w:p w14:paraId="2F5F0DF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3）掌握培育和践行社会主义核心价值观的基本要求</w:t>
            </w:r>
          </w:p>
          <w:p w14:paraId="110E326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4）了解中华文明的突出特性</w:t>
            </w:r>
          </w:p>
          <w:p w14:paraId="6A5106AB">
            <w:pPr>
              <w:jc w:val="left"/>
              <w:rPr>
                <w:rFonts w:ascii="宋体" w:hAnsi="宋体" w:eastAsia="宋体" w:cs="Times New Roman"/>
                <w:szCs w:val="21"/>
              </w:rPr>
            </w:pPr>
          </w:p>
        </w:tc>
        <w:tc>
          <w:tcPr>
            <w:tcW w:w="1559" w:type="dxa"/>
            <w:vAlign w:val="center"/>
          </w:tcPr>
          <w:p w14:paraId="19A95EE5">
            <w:pPr>
              <w:jc w:val="left"/>
              <w:rPr>
                <w:rFonts w:ascii="宋体" w:hAnsi="宋体" w:eastAsia="宋体"/>
                <w:szCs w:val="21"/>
              </w:rPr>
            </w:pPr>
          </w:p>
        </w:tc>
        <w:tc>
          <w:tcPr>
            <w:tcW w:w="709" w:type="dxa"/>
            <w:vAlign w:val="center"/>
          </w:tcPr>
          <w:p w14:paraId="0113C2C5">
            <w:pPr>
              <w:jc w:val="center"/>
              <w:rPr>
                <w:rFonts w:ascii="宋体" w:hAnsi="宋体" w:eastAsia="宋体" w:cs="Times New Roman"/>
                <w:szCs w:val="21"/>
              </w:rPr>
            </w:pPr>
            <w:r>
              <w:rPr>
                <w:rFonts w:ascii="宋体" w:hAnsi="宋体" w:eastAsia="宋体"/>
                <w:szCs w:val="21"/>
              </w:rPr>
              <w:t>3</w:t>
            </w:r>
          </w:p>
        </w:tc>
      </w:tr>
      <w:tr w14:paraId="6569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431DEA6A">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以保障和改善民生为重点加强社会建设</w:t>
            </w:r>
          </w:p>
          <w:p w14:paraId="1030BDAF">
            <w:pPr>
              <w:jc w:val="center"/>
              <w:rPr>
                <w:rFonts w:ascii="宋体" w:hAnsi="宋体" w:eastAsia="宋体" w:cs="Times New Roman"/>
                <w:szCs w:val="21"/>
              </w:rPr>
            </w:pPr>
          </w:p>
        </w:tc>
        <w:tc>
          <w:tcPr>
            <w:tcW w:w="2126" w:type="dxa"/>
            <w:vAlign w:val="center"/>
          </w:tcPr>
          <w:p w14:paraId="13C2C1D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1）让人民生活幸福是“国之大者”</w:t>
            </w:r>
          </w:p>
          <w:p w14:paraId="18D3978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2）不断提高人民生活品质</w:t>
            </w:r>
          </w:p>
          <w:p w14:paraId="666CA32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3）在共建共治共享中推进社会治理现代化</w:t>
            </w:r>
          </w:p>
          <w:p w14:paraId="65CBA342">
            <w:pPr>
              <w:jc w:val="left"/>
              <w:rPr>
                <w:rFonts w:ascii="宋体" w:hAnsi="宋体" w:eastAsia="宋体" w:cs="Times New Roman"/>
                <w:szCs w:val="21"/>
              </w:rPr>
            </w:pPr>
          </w:p>
        </w:tc>
        <w:tc>
          <w:tcPr>
            <w:tcW w:w="1276" w:type="dxa"/>
            <w:vAlign w:val="center"/>
          </w:tcPr>
          <w:p w14:paraId="571DB17C">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43B44E6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1）理解在发展中增进民生福祉</w:t>
            </w:r>
          </w:p>
          <w:p w14:paraId="3C1CD39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2）理解提高人民生活品质的主要着力点</w:t>
            </w:r>
          </w:p>
          <w:p w14:paraId="6BC7970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3）理解以民生为重点的社会建设的重大意义，理解增强人民获得感、幸福感、安全感，推进社会治理现代化的实践要求。</w:t>
            </w:r>
          </w:p>
          <w:p w14:paraId="01CBA9B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4）掌握加强和创新社会治理的意义和要求</w:t>
            </w:r>
          </w:p>
          <w:p w14:paraId="1AAE9A98">
            <w:pPr>
              <w:jc w:val="left"/>
              <w:rPr>
                <w:rFonts w:ascii="宋体" w:hAnsi="宋体" w:eastAsia="宋体" w:cs="Times New Roman"/>
                <w:szCs w:val="21"/>
              </w:rPr>
            </w:pPr>
          </w:p>
        </w:tc>
        <w:tc>
          <w:tcPr>
            <w:tcW w:w="1559" w:type="dxa"/>
            <w:vAlign w:val="center"/>
          </w:tcPr>
          <w:p w14:paraId="00543851">
            <w:pPr>
              <w:jc w:val="left"/>
              <w:rPr>
                <w:rFonts w:ascii="宋体" w:hAnsi="宋体" w:eastAsia="宋体"/>
                <w:szCs w:val="21"/>
              </w:rPr>
            </w:pPr>
            <w:r>
              <w:rPr>
                <w:rFonts w:ascii="宋体" w:hAnsi="宋体" w:eastAsia="宋体"/>
                <w:szCs w:val="21"/>
              </w:rPr>
              <w:t>1.线上学习</w:t>
            </w:r>
          </w:p>
          <w:p w14:paraId="08CC720B">
            <w:pPr>
              <w:jc w:val="left"/>
              <w:rPr>
                <w:rFonts w:ascii="宋体" w:hAnsi="宋体" w:eastAsia="宋体"/>
                <w:szCs w:val="21"/>
              </w:rPr>
            </w:pPr>
            <w:r>
              <w:rPr>
                <w:rFonts w:ascii="宋体" w:hAnsi="宋体" w:eastAsia="宋体"/>
                <w:szCs w:val="21"/>
              </w:rPr>
              <w:t>2.多媒体教学</w:t>
            </w:r>
          </w:p>
          <w:p w14:paraId="30674FE0">
            <w:pPr>
              <w:jc w:val="left"/>
              <w:rPr>
                <w:rFonts w:ascii="宋体" w:hAnsi="宋体" w:eastAsia="宋体"/>
                <w:szCs w:val="21"/>
              </w:rPr>
            </w:pPr>
            <w:r>
              <w:rPr>
                <w:rFonts w:ascii="宋体" w:hAnsi="宋体" w:eastAsia="宋体"/>
                <w:szCs w:val="21"/>
              </w:rPr>
              <w:t>3.课堂讨论</w:t>
            </w:r>
          </w:p>
          <w:p w14:paraId="71A64CF2">
            <w:pPr>
              <w:jc w:val="left"/>
              <w:rPr>
                <w:rFonts w:ascii="宋体" w:hAnsi="宋体" w:eastAsia="宋体"/>
                <w:szCs w:val="21"/>
              </w:rPr>
            </w:pPr>
            <w:r>
              <w:rPr>
                <w:rFonts w:ascii="宋体" w:hAnsi="宋体" w:eastAsia="宋体"/>
                <w:szCs w:val="21"/>
              </w:rPr>
              <w:t>4.单元测验</w:t>
            </w:r>
          </w:p>
        </w:tc>
        <w:tc>
          <w:tcPr>
            <w:tcW w:w="709" w:type="dxa"/>
            <w:vAlign w:val="center"/>
          </w:tcPr>
          <w:p w14:paraId="62003989">
            <w:pPr>
              <w:jc w:val="center"/>
              <w:rPr>
                <w:rFonts w:ascii="宋体" w:hAnsi="宋体" w:eastAsia="宋体" w:cs="Times New Roman"/>
                <w:szCs w:val="21"/>
              </w:rPr>
            </w:pPr>
            <w:r>
              <w:rPr>
                <w:rFonts w:ascii="宋体" w:hAnsi="宋体" w:eastAsia="宋体"/>
                <w:szCs w:val="21"/>
              </w:rPr>
              <w:t>3</w:t>
            </w:r>
          </w:p>
        </w:tc>
      </w:tr>
      <w:tr w14:paraId="55A2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1039F809">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3.</w:t>
            </w:r>
            <w:r>
              <w:rPr>
                <w:rFonts w:hint="eastAsia" w:ascii="宋体" w:hAnsi="宋体" w:eastAsia="宋体" w:cs="Times New Roman"/>
                <w:szCs w:val="21"/>
              </w:rPr>
              <w:t>建设社会主义生态文明</w:t>
            </w:r>
          </w:p>
          <w:p w14:paraId="48387C15">
            <w:pPr>
              <w:jc w:val="center"/>
              <w:rPr>
                <w:rFonts w:ascii="宋体" w:hAnsi="宋体" w:eastAsia="宋体" w:cs="Times New Roman"/>
                <w:szCs w:val="21"/>
              </w:rPr>
            </w:pPr>
          </w:p>
        </w:tc>
        <w:tc>
          <w:tcPr>
            <w:tcW w:w="2126" w:type="dxa"/>
            <w:vAlign w:val="center"/>
          </w:tcPr>
          <w:p w14:paraId="405F3DB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1）坚持人与自然和谐共生</w:t>
            </w:r>
          </w:p>
          <w:p w14:paraId="59C63DA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2）建设美丽中国</w:t>
            </w:r>
          </w:p>
          <w:p w14:paraId="0D659C9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3）共谋全球生态文明建设之路</w:t>
            </w:r>
          </w:p>
          <w:p w14:paraId="588355D5">
            <w:pPr>
              <w:jc w:val="left"/>
              <w:rPr>
                <w:rFonts w:ascii="宋体" w:hAnsi="宋体" w:eastAsia="宋体" w:cs="Times New Roman"/>
                <w:szCs w:val="21"/>
              </w:rPr>
            </w:pPr>
          </w:p>
        </w:tc>
        <w:tc>
          <w:tcPr>
            <w:tcW w:w="1276" w:type="dxa"/>
            <w:vAlign w:val="center"/>
          </w:tcPr>
          <w:p w14:paraId="09276BB2">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3387266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1）掌握社会主义生态文明的科学内涵</w:t>
            </w:r>
          </w:p>
          <w:p w14:paraId="6BAE58A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2）理解建设生态文明的重大意义和实践要求</w:t>
            </w:r>
          </w:p>
          <w:p w14:paraId="4B01530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3）掌握绿水青山就是金山银山的科学内涵</w:t>
            </w:r>
          </w:p>
          <w:p w14:paraId="19864AB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4）了解建设美丽中国的主要任务</w:t>
            </w:r>
          </w:p>
          <w:p w14:paraId="5A55638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5）了解全球环境治理的中国方案</w:t>
            </w:r>
          </w:p>
          <w:p w14:paraId="2974C60D">
            <w:pPr>
              <w:jc w:val="left"/>
              <w:rPr>
                <w:rFonts w:ascii="宋体" w:hAnsi="宋体" w:eastAsia="宋体" w:cs="Times New Roman"/>
                <w:szCs w:val="21"/>
              </w:rPr>
            </w:pPr>
          </w:p>
        </w:tc>
        <w:tc>
          <w:tcPr>
            <w:tcW w:w="1559" w:type="dxa"/>
            <w:vAlign w:val="center"/>
          </w:tcPr>
          <w:p w14:paraId="4BC2CDCB">
            <w:pPr>
              <w:jc w:val="left"/>
              <w:rPr>
                <w:rFonts w:ascii="宋体" w:hAnsi="宋体" w:eastAsia="宋体"/>
                <w:szCs w:val="21"/>
              </w:rPr>
            </w:pPr>
            <w:r>
              <w:rPr>
                <w:rFonts w:ascii="宋体" w:hAnsi="宋体" w:eastAsia="宋体"/>
                <w:szCs w:val="21"/>
              </w:rPr>
              <w:t>1.线上学习</w:t>
            </w:r>
          </w:p>
          <w:p w14:paraId="6CDA5EA9">
            <w:pPr>
              <w:jc w:val="left"/>
              <w:rPr>
                <w:rFonts w:ascii="宋体" w:hAnsi="宋体" w:eastAsia="宋体"/>
                <w:szCs w:val="21"/>
              </w:rPr>
            </w:pPr>
            <w:r>
              <w:rPr>
                <w:rFonts w:ascii="宋体" w:hAnsi="宋体" w:eastAsia="宋体"/>
                <w:szCs w:val="21"/>
              </w:rPr>
              <w:t>2.多媒体教学</w:t>
            </w:r>
          </w:p>
          <w:p w14:paraId="793DFE94">
            <w:pPr>
              <w:jc w:val="left"/>
              <w:rPr>
                <w:rFonts w:ascii="宋体" w:hAnsi="宋体" w:eastAsia="宋体"/>
                <w:szCs w:val="21"/>
              </w:rPr>
            </w:pPr>
            <w:r>
              <w:rPr>
                <w:rFonts w:ascii="宋体" w:hAnsi="宋体" w:eastAsia="宋体"/>
                <w:szCs w:val="21"/>
              </w:rPr>
              <w:t>3.课堂讨论</w:t>
            </w:r>
          </w:p>
          <w:p w14:paraId="4C5788C3">
            <w:pPr>
              <w:jc w:val="left"/>
              <w:rPr>
                <w:rFonts w:ascii="宋体" w:hAnsi="宋体" w:eastAsia="宋体"/>
                <w:szCs w:val="21"/>
              </w:rPr>
            </w:pPr>
            <w:r>
              <w:rPr>
                <w:rFonts w:ascii="宋体" w:hAnsi="宋体" w:eastAsia="宋体"/>
                <w:szCs w:val="21"/>
              </w:rPr>
              <w:t>4.单元测验</w:t>
            </w:r>
          </w:p>
        </w:tc>
        <w:tc>
          <w:tcPr>
            <w:tcW w:w="709" w:type="dxa"/>
            <w:vAlign w:val="center"/>
          </w:tcPr>
          <w:p w14:paraId="3521E134">
            <w:pPr>
              <w:jc w:val="center"/>
              <w:rPr>
                <w:rFonts w:ascii="宋体" w:hAnsi="宋体" w:eastAsia="宋体" w:cs="Times New Roman"/>
                <w:szCs w:val="21"/>
              </w:rPr>
            </w:pPr>
            <w:r>
              <w:rPr>
                <w:rFonts w:ascii="宋体" w:hAnsi="宋体" w:eastAsia="宋体"/>
                <w:szCs w:val="21"/>
              </w:rPr>
              <w:t>3</w:t>
            </w:r>
          </w:p>
        </w:tc>
      </w:tr>
      <w:tr w14:paraId="4CD2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72A36DD2">
            <w:pPr>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4.</w:t>
            </w:r>
            <w:r>
              <w:rPr>
                <w:rFonts w:hint="eastAsia" w:ascii="宋体" w:hAnsi="宋体" w:eastAsia="宋体" w:cs="Times New Roman"/>
                <w:szCs w:val="21"/>
              </w:rPr>
              <w:t>维护和塑造国家安全</w:t>
            </w:r>
          </w:p>
        </w:tc>
        <w:tc>
          <w:tcPr>
            <w:tcW w:w="2126" w:type="dxa"/>
            <w:vAlign w:val="center"/>
          </w:tcPr>
          <w:p w14:paraId="3B1A5CAE">
            <w:pPr>
              <w:jc w:val="left"/>
              <w:rPr>
                <w:rFonts w:ascii="宋体" w:hAnsi="宋体" w:eastAsia="宋体" w:cs="Times New Roman"/>
                <w:b/>
                <w:bCs/>
                <w:szCs w:val="21"/>
              </w:rPr>
            </w:pPr>
          </w:p>
          <w:p w14:paraId="6C7438A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1）坚持总体国家安全观</w:t>
            </w:r>
          </w:p>
          <w:p w14:paraId="783A577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2）构建统筹各领域安全的新安全格局</w:t>
            </w:r>
          </w:p>
          <w:p w14:paraId="2B273BF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3）开创新时代国家安全工作新局面</w:t>
            </w:r>
          </w:p>
        </w:tc>
        <w:tc>
          <w:tcPr>
            <w:tcW w:w="1276" w:type="dxa"/>
            <w:vAlign w:val="center"/>
          </w:tcPr>
          <w:p w14:paraId="151A394E">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206006A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1）理解国家安全是民族复兴的根基</w:t>
            </w:r>
          </w:p>
          <w:p w14:paraId="4033C05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2）理解总体国家安全观的丰富内涵和指导意义</w:t>
            </w:r>
          </w:p>
          <w:p w14:paraId="344EE75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3）掌握构建统筹各领域安全的新安全格局</w:t>
            </w:r>
          </w:p>
          <w:p w14:paraId="4882666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4）掌握推进国家安全体系和能力现代化</w:t>
            </w:r>
          </w:p>
          <w:p w14:paraId="64DA5E43">
            <w:pPr>
              <w:jc w:val="center"/>
              <w:rPr>
                <w:rFonts w:ascii="宋体" w:hAnsi="宋体" w:eastAsia="宋体" w:cs="Times New Roman"/>
                <w:szCs w:val="21"/>
              </w:rPr>
            </w:pPr>
          </w:p>
        </w:tc>
        <w:tc>
          <w:tcPr>
            <w:tcW w:w="1559" w:type="dxa"/>
            <w:vAlign w:val="center"/>
          </w:tcPr>
          <w:p w14:paraId="623DF6CA">
            <w:pPr>
              <w:jc w:val="left"/>
              <w:rPr>
                <w:rFonts w:ascii="宋体" w:hAnsi="宋体" w:eastAsia="宋体"/>
                <w:szCs w:val="21"/>
              </w:rPr>
            </w:pPr>
            <w:r>
              <w:rPr>
                <w:rFonts w:ascii="宋体" w:hAnsi="宋体" w:eastAsia="宋体"/>
                <w:szCs w:val="21"/>
              </w:rPr>
              <w:t>1.线上学习</w:t>
            </w:r>
          </w:p>
          <w:p w14:paraId="395A1BD2">
            <w:pPr>
              <w:jc w:val="left"/>
              <w:rPr>
                <w:rFonts w:ascii="宋体" w:hAnsi="宋体" w:eastAsia="宋体"/>
                <w:szCs w:val="21"/>
              </w:rPr>
            </w:pPr>
            <w:r>
              <w:rPr>
                <w:rFonts w:ascii="宋体" w:hAnsi="宋体" w:eastAsia="宋体"/>
                <w:szCs w:val="21"/>
              </w:rPr>
              <w:t>2.多媒体教学</w:t>
            </w:r>
          </w:p>
          <w:p w14:paraId="752FC35B">
            <w:pPr>
              <w:jc w:val="left"/>
              <w:rPr>
                <w:rFonts w:ascii="宋体" w:hAnsi="宋体" w:eastAsia="宋体"/>
                <w:szCs w:val="21"/>
              </w:rPr>
            </w:pPr>
            <w:r>
              <w:rPr>
                <w:rFonts w:ascii="宋体" w:hAnsi="宋体" w:eastAsia="宋体"/>
                <w:szCs w:val="21"/>
              </w:rPr>
              <w:t>3.课堂讨论</w:t>
            </w:r>
          </w:p>
          <w:p w14:paraId="082315D1">
            <w:pPr>
              <w:jc w:val="left"/>
              <w:rPr>
                <w:rFonts w:ascii="宋体" w:hAnsi="宋体" w:eastAsia="宋体"/>
                <w:szCs w:val="21"/>
              </w:rPr>
            </w:pPr>
            <w:r>
              <w:rPr>
                <w:rFonts w:ascii="宋体" w:hAnsi="宋体" w:eastAsia="宋体"/>
                <w:szCs w:val="21"/>
              </w:rPr>
              <w:t>4.单元测验</w:t>
            </w:r>
          </w:p>
        </w:tc>
        <w:tc>
          <w:tcPr>
            <w:tcW w:w="709" w:type="dxa"/>
            <w:vAlign w:val="center"/>
          </w:tcPr>
          <w:p w14:paraId="172E7E32">
            <w:pPr>
              <w:jc w:val="center"/>
              <w:rPr>
                <w:rFonts w:ascii="宋体" w:hAnsi="宋体" w:eastAsia="宋体" w:cs="Times New Roman"/>
                <w:szCs w:val="21"/>
              </w:rPr>
            </w:pPr>
            <w:r>
              <w:rPr>
                <w:rFonts w:ascii="宋体" w:hAnsi="宋体" w:eastAsia="宋体"/>
                <w:szCs w:val="21"/>
              </w:rPr>
              <w:t>3</w:t>
            </w:r>
          </w:p>
        </w:tc>
      </w:tr>
      <w:tr w14:paraId="6C7D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001863D7">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5.</w:t>
            </w:r>
            <w:r>
              <w:rPr>
                <w:rFonts w:hint="eastAsia" w:ascii="宋体" w:hAnsi="宋体" w:eastAsia="宋体" w:cs="Times New Roman"/>
                <w:szCs w:val="21"/>
              </w:rPr>
              <w:t>建设巩固国防和强大人民军队</w:t>
            </w:r>
          </w:p>
          <w:p w14:paraId="739FB009">
            <w:pPr>
              <w:jc w:val="center"/>
              <w:rPr>
                <w:rFonts w:ascii="宋体" w:hAnsi="宋体" w:eastAsia="宋体" w:cs="Times New Roman"/>
                <w:szCs w:val="21"/>
              </w:rPr>
            </w:pPr>
          </w:p>
        </w:tc>
        <w:tc>
          <w:tcPr>
            <w:tcW w:w="2126" w:type="dxa"/>
            <w:vAlign w:val="center"/>
          </w:tcPr>
          <w:p w14:paraId="4E8DFA9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1）强国必须强军，军强才能国安</w:t>
            </w:r>
          </w:p>
          <w:p w14:paraId="5781F54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2）实现党在新时代的强军目标</w:t>
            </w:r>
          </w:p>
          <w:p w14:paraId="262AC07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3）加快推进国防和军队现代化</w:t>
            </w:r>
          </w:p>
          <w:p w14:paraId="7A592D40">
            <w:pPr>
              <w:jc w:val="left"/>
              <w:rPr>
                <w:rFonts w:ascii="宋体" w:hAnsi="宋体" w:eastAsia="宋体" w:cs="Times New Roman"/>
                <w:szCs w:val="21"/>
              </w:rPr>
            </w:pPr>
          </w:p>
        </w:tc>
        <w:tc>
          <w:tcPr>
            <w:tcW w:w="1276" w:type="dxa"/>
            <w:vAlign w:val="center"/>
          </w:tcPr>
          <w:p w14:paraId="1EC22E8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0FD8280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1）理解建设巩固国防和强大人民军队的重大意义</w:t>
            </w:r>
          </w:p>
          <w:p w14:paraId="0BDDA49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2）理解党在新时代的强军目标</w:t>
            </w:r>
          </w:p>
          <w:p w14:paraId="411F48E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3）掌握坚持党对人民军队绝对领导的根本原则和制度</w:t>
            </w:r>
          </w:p>
          <w:p w14:paraId="1EAD1E9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4）掌握习近平强军思想的重大意义、丰富内涵和精神实质</w:t>
            </w:r>
          </w:p>
          <w:p w14:paraId="41AA5B8C">
            <w:pPr>
              <w:jc w:val="left"/>
              <w:rPr>
                <w:rFonts w:ascii="宋体" w:hAnsi="宋体" w:eastAsia="宋体" w:cs="Times New Roman"/>
                <w:szCs w:val="21"/>
              </w:rPr>
            </w:pPr>
          </w:p>
        </w:tc>
        <w:tc>
          <w:tcPr>
            <w:tcW w:w="1559" w:type="dxa"/>
            <w:vAlign w:val="center"/>
          </w:tcPr>
          <w:p w14:paraId="0222248B">
            <w:pPr>
              <w:jc w:val="left"/>
              <w:rPr>
                <w:rFonts w:ascii="宋体" w:hAnsi="宋体" w:eastAsia="宋体"/>
                <w:szCs w:val="21"/>
              </w:rPr>
            </w:pPr>
            <w:r>
              <w:rPr>
                <w:rFonts w:ascii="宋体" w:hAnsi="宋体" w:eastAsia="宋体"/>
                <w:szCs w:val="21"/>
              </w:rPr>
              <w:t>1.线上学习</w:t>
            </w:r>
          </w:p>
          <w:p w14:paraId="732C6304">
            <w:pPr>
              <w:jc w:val="left"/>
              <w:rPr>
                <w:rFonts w:ascii="宋体" w:hAnsi="宋体" w:eastAsia="宋体"/>
                <w:szCs w:val="21"/>
              </w:rPr>
            </w:pPr>
            <w:r>
              <w:rPr>
                <w:rFonts w:ascii="宋体" w:hAnsi="宋体" w:eastAsia="宋体"/>
                <w:szCs w:val="21"/>
              </w:rPr>
              <w:t>2.多媒体教学</w:t>
            </w:r>
          </w:p>
          <w:p w14:paraId="2891A977">
            <w:pPr>
              <w:jc w:val="left"/>
              <w:rPr>
                <w:rFonts w:ascii="宋体" w:hAnsi="宋体" w:eastAsia="宋体"/>
                <w:szCs w:val="21"/>
              </w:rPr>
            </w:pPr>
            <w:r>
              <w:rPr>
                <w:rFonts w:ascii="宋体" w:hAnsi="宋体" w:eastAsia="宋体"/>
                <w:szCs w:val="21"/>
              </w:rPr>
              <w:t>3.课堂讨论</w:t>
            </w:r>
          </w:p>
          <w:p w14:paraId="3D1DB46E">
            <w:pPr>
              <w:jc w:val="left"/>
              <w:rPr>
                <w:rFonts w:ascii="宋体" w:hAnsi="宋体" w:eastAsia="宋体"/>
                <w:szCs w:val="21"/>
              </w:rPr>
            </w:pPr>
            <w:r>
              <w:rPr>
                <w:rFonts w:ascii="宋体" w:hAnsi="宋体" w:eastAsia="宋体"/>
                <w:szCs w:val="21"/>
              </w:rPr>
              <w:t>4.单元测验</w:t>
            </w:r>
          </w:p>
        </w:tc>
        <w:tc>
          <w:tcPr>
            <w:tcW w:w="709" w:type="dxa"/>
            <w:vMerge w:val="restart"/>
            <w:vAlign w:val="center"/>
          </w:tcPr>
          <w:p w14:paraId="23987160">
            <w:pPr>
              <w:jc w:val="center"/>
              <w:rPr>
                <w:rFonts w:ascii="宋体" w:hAnsi="宋体" w:eastAsia="宋体" w:cs="Times New Roman"/>
                <w:szCs w:val="21"/>
              </w:rPr>
            </w:pPr>
            <w:r>
              <w:rPr>
                <w:rFonts w:ascii="宋体" w:hAnsi="宋体" w:eastAsia="宋体"/>
                <w:szCs w:val="21"/>
              </w:rPr>
              <w:t>3</w:t>
            </w:r>
          </w:p>
          <w:p w14:paraId="19B04F73">
            <w:pPr>
              <w:jc w:val="center"/>
              <w:rPr>
                <w:rFonts w:ascii="宋体" w:hAnsi="宋体" w:eastAsia="宋体" w:cs="Times New Roman"/>
                <w:szCs w:val="21"/>
              </w:rPr>
            </w:pPr>
          </w:p>
        </w:tc>
      </w:tr>
      <w:tr w14:paraId="7BE2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512F3181">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6.</w:t>
            </w:r>
            <w:r>
              <w:rPr>
                <w:rFonts w:hint="eastAsia" w:ascii="宋体" w:hAnsi="宋体" w:eastAsia="宋体" w:cs="Times New Roman"/>
                <w:szCs w:val="21"/>
              </w:rPr>
              <w:t>坚持“一国两制”和推进祖国完全统一</w:t>
            </w:r>
          </w:p>
          <w:p w14:paraId="1AFA307B">
            <w:pPr>
              <w:jc w:val="center"/>
              <w:rPr>
                <w:rFonts w:ascii="宋体" w:hAnsi="宋体" w:eastAsia="宋体" w:cs="Times New Roman"/>
                <w:szCs w:val="21"/>
              </w:rPr>
            </w:pPr>
          </w:p>
        </w:tc>
        <w:tc>
          <w:tcPr>
            <w:tcW w:w="2126" w:type="dxa"/>
            <w:vAlign w:val="center"/>
          </w:tcPr>
          <w:p w14:paraId="096FC1B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1）全面准确理解和贯彻"一国两制"方针</w:t>
            </w:r>
          </w:p>
          <w:p w14:paraId="6C794B2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2）保持香港、澳门长期繁荣稳定</w:t>
            </w:r>
          </w:p>
          <w:p w14:paraId="2F0F94D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3）推进祖国完全统一</w:t>
            </w:r>
          </w:p>
          <w:p w14:paraId="48D5F3E3">
            <w:pPr>
              <w:jc w:val="left"/>
              <w:rPr>
                <w:rFonts w:ascii="宋体" w:hAnsi="宋体" w:eastAsia="宋体" w:cs="Times New Roman"/>
                <w:szCs w:val="21"/>
              </w:rPr>
            </w:pPr>
          </w:p>
        </w:tc>
        <w:tc>
          <w:tcPr>
            <w:tcW w:w="1276" w:type="dxa"/>
            <w:vAlign w:val="center"/>
          </w:tcPr>
          <w:p w14:paraId="593DE09C">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494983C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1）理解“一国两制”的科学内涵和重大意义</w:t>
            </w:r>
          </w:p>
          <w:p w14:paraId="157A54E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2）理解新时代“一国两制”在香港、澳门的成功实践</w:t>
            </w:r>
          </w:p>
          <w:p w14:paraId="5359F1E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3）理解新时代党解决台湾问题的总体方略</w:t>
            </w:r>
          </w:p>
          <w:p w14:paraId="17553616">
            <w:pPr>
              <w:jc w:val="center"/>
              <w:rPr>
                <w:rFonts w:ascii="宋体" w:hAnsi="宋体" w:eastAsia="宋体" w:cs="Times New Roman"/>
                <w:szCs w:val="21"/>
              </w:rPr>
            </w:pPr>
          </w:p>
        </w:tc>
        <w:tc>
          <w:tcPr>
            <w:tcW w:w="1559" w:type="dxa"/>
            <w:vAlign w:val="center"/>
          </w:tcPr>
          <w:p w14:paraId="02F409A0">
            <w:pPr>
              <w:jc w:val="left"/>
              <w:rPr>
                <w:rFonts w:ascii="宋体" w:hAnsi="宋体" w:eastAsia="宋体" w:cs="Times New Roman"/>
                <w:szCs w:val="21"/>
              </w:rPr>
            </w:pPr>
            <w:r>
              <w:rPr>
                <w:rFonts w:ascii="宋体" w:hAnsi="宋体" w:eastAsia="宋体" w:cs="Times New Roman"/>
                <w:szCs w:val="21"/>
              </w:rPr>
              <w:t>1.线上学习</w:t>
            </w:r>
          </w:p>
          <w:p w14:paraId="257C3073">
            <w:pPr>
              <w:jc w:val="left"/>
              <w:rPr>
                <w:rFonts w:ascii="宋体" w:hAnsi="宋体" w:eastAsia="宋体" w:cs="Times New Roman"/>
                <w:szCs w:val="21"/>
              </w:rPr>
            </w:pPr>
            <w:r>
              <w:rPr>
                <w:rFonts w:ascii="宋体" w:hAnsi="宋体" w:eastAsia="宋体" w:cs="Times New Roman"/>
                <w:szCs w:val="21"/>
              </w:rPr>
              <w:t>2.多媒体教学</w:t>
            </w:r>
          </w:p>
          <w:p w14:paraId="26EAB096">
            <w:pPr>
              <w:jc w:val="left"/>
              <w:rPr>
                <w:rFonts w:ascii="宋体" w:hAnsi="宋体" w:eastAsia="宋体" w:cs="Times New Roman"/>
                <w:szCs w:val="21"/>
              </w:rPr>
            </w:pPr>
            <w:r>
              <w:rPr>
                <w:rFonts w:ascii="宋体" w:hAnsi="宋体" w:eastAsia="宋体" w:cs="Times New Roman"/>
                <w:szCs w:val="21"/>
              </w:rPr>
              <w:t>3.课堂讨论</w:t>
            </w:r>
          </w:p>
          <w:p w14:paraId="764BB2EB">
            <w:pPr>
              <w:jc w:val="left"/>
              <w:rPr>
                <w:rFonts w:ascii="宋体" w:hAnsi="宋体" w:eastAsia="宋体" w:cs="Times New Roman"/>
                <w:szCs w:val="21"/>
              </w:rPr>
            </w:pPr>
            <w:r>
              <w:rPr>
                <w:rFonts w:ascii="宋体" w:hAnsi="宋体" w:eastAsia="宋体" w:cs="Times New Roman"/>
                <w:szCs w:val="21"/>
              </w:rPr>
              <w:t>4.单元测验</w:t>
            </w:r>
          </w:p>
        </w:tc>
        <w:tc>
          <w:tcPr>
            <w:tcW w:w="709" w:type="dxa"/>
            <w:vMerge w:val="continue"/>
            <w:vAlign w:val="center"/>
          </w:tcPr>
          <w:p w14:paraId="576E8174">
            <w:pPr>
              <w:jc w:val="center"/>
              <w:rPr>
                <w:rFonts w:ascii="宋体" w:hAnsi="宋体" w:eastAsia="宋体" w:cs="Times New Roman"/>
                <w:szCs w:val="21"/>
              </w:rPr>
            </w:pPr>
          </w:p>
        </w:tc>
      </w:tr>
      <w:tr w14:paraId="2850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7FE6FA90">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7.</w:t>
            </w:r>
            <w:r>
              <w:rPr>
                <w:rFonts w:hint="eastAsia" w:ascii="宋体" w:hAnsi="宋体" w:eastAsia="宋体" w:cs="Times New Roman"/>
                <w:szCs w:val="21"/>
              </w:rPr>
              <w:t>中国特色大国外交和推动构建人类命运共同体</w:t>
            </w:r>
          </w:p>
          <w:p w14:paraId="59260D16">
            <w:pPr>
              <w:jc w:val="center"/>
              <w:rPr>
                <w:rFonts w:ascii="宋体" w:hAnsi="宋体" w:eastAsia="宋体" w:cs="Times New Roman"/>
                <w:szCs w:val="21"/>
              </w:rPr>
            </w:pPr>
          </w:p>
        </w:tc>
        <w:tc>
          <w:tcPr>
            <w:tcW w:w="2126" w:type="dxa"/>
            <w:vAlign w:val="center"/>
          </w:tcPr>
          <w:p w14:paraId="6AB05F56">
            <w:pPr>
              <w:jc w:val="left"/>
              <w:rPr>
                <w:rFonts w:ascii="宋体" w:hAnsi="宋体" w:eastAsia="宋体" w:cs="Times New Roman"/>
                <w:szCs w:val="21"/>
              </w:rPr>
            </w:pPr>
            <w:r>
              <w:rPr>
                <w:rFonts w:ascii="宋体" w:hAnsi="宋体" w:eastAsia="宋体" w:cs="Times New Roman"/>
                <w:szCs w:val="21"/>
              </w:rPr>
              <w:t>1.教学内容</w:t>
            </w:r>
          </w:p>
          <w:p w14:paraId="7EA81DB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1）新时代中国外交在大变局中开创新局</w:t>
            </w:r>
          </w:p>
          <w:p w14:paraId="25C44C2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2）全面推进中国特色大国外交</w:t>
            </w:r>
          </w:p>
          <w:p w14:paraId="066219D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3）推动构建人类命运共同体</w:t>
            </w:r>
          </w:p>
          <w:p w14:paraId="7734D08D">
            <w:pPr>
              <w:jc w:val="left"/>
              <w:rPr>
                <w:rFonts w:ascii="宋体" w:hAnsi="宋体" w:eastAsia="宋体" w:cs="Times New Roman"/>
                <w:szCs w:val="21"/>
              </w:rPr>
            </w:pPr>
          </w:p>
        </w:tc>
        <w:tc>
          <w:tcPr>
            <w:tcW w:w="1276" w:type="dxa"/>
            <w:vAlign w:val="center"/>
          </w:tcPr>
          <w:p w14:paraId="6996AB97">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1FE929F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1）理解当今世界正经历百年未有之大变局</w:t>
            </w:r>
          </w:p>
          <w:p w14:paraId="78CC2B6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2）掌握全面推进中国特色大国外交的原则和布局</w:t>
            </w:r>
          </w:p>
          <w:p w14:paraId="4F7C8F4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3）理解推动构建人类命运共同体的丰富内涵和实践成果</w:t>
            </w:r>
          </w:p>
          <w:p w14:paraId="76846A71">
            <w:pPr>
              <w:jc w:val="center"/>
              <w:rPr>
                <w:rFonts w:ascii="宋体" w:hAnsi="宋体" w:eastAsia="宋体" w:cs="Times New Roman"/>
                <w:szCs w:val="21"/>
              </w:rPr>
            </w:pPr>
          </w:p>
        </w:tc>
        <w:tc>
          <w:tcPr>
            <w:tcW w:w="1559" w:type="dxa"/>
            <w:vAlign w:val="center"/>
          </w:tcPr>
          <w:p w14:paraId="4D98FF3C">
            <w:pPr>
              <w:jc w:val="left"/>
              <w:rPr>
                <w:rFonts w:ascii="宋体" w:hAnsi="宋体" w:eastAsia="宋体"/>
                <w:szCs w:val="21"/>
              </w:rPr>
            </w:pPr>
            <w:r>
              <w:rPr>
                <w:rFonts w:ascii="宋体" w:hAnsi="宋体" w:eastAsia="宋体"/>
                <w:szCs w:val="21"/>
              </w:rPr>
              <w:t>1.线上学习</w:t>
            </w:r>
          </w:p>
          <w:p w14:paraId="608F7071">
            <w:pPr>
              <w:jc w:val="left"/>
              <w:rPr>
                <w:rFonts w:ascii="宋体" w:hAnsi="宋体" w:eastAsia="宋体"/>
                <w:szCs w:val="21"/>
              </w:rPr>
            </w:pPr>
            <w:r>
              <w:rPr>
                <w:rFonts w:ascii="宋体" w:hAnsi="宋体" w:eastAsia="宋体"/>
                <w:szCs w:val="21"/>
              </w:rPr>
              <w:t>2.多媒体教学</w:t>
            </w:r>
          </w:p>
          <w:p w14:paraId="4E233A7A">
            <w:pPr>
              <w:jc w:val="left"/>
              <w:rPr>
                <w:rFonts w:ascii="宋体" w:hAnsi="宋体" w:eastAsia="宋体"/>
                <w:szCs w:val="21"/>
              </w:rPr>
            </w:pPr>
            <w:r>
              <w:rPr>
                <w:rFonts w:ascii="宋体" w:hAnsi="宋体" w:eastAsia="宋体"/>
                <w:szCs w:val="21"/>
              </w:rPr>
              <w:t>3.课堂讨论</w:t>
            </w:r>
          </w:p>
          <w:p w14:paraId="2F717B91">
            <w:pPr>
              <w:jc w:val="left"/>
              <w:rPr>
                <w:rFonts w:ascii="宋体" w:hAnsi="宋体" w:eastAsia="宋体"/>
                <w:szCs w:val="21"/>
              </w:rPr>
            </w:pPr>
            <w:r>
              <w:rPr>
                <w:rFonts w:ascii="宋体" w:hAnsi="宋体" w:eastAsia="宋体"/>
                <w:szCs w:val="21"/>
              </w:rPr>
              <w:t>4.单元测验</w:t>
            </w:r>
          </w:p>
        </w:tc>
        <w:tc>
          <w:tcPr>
            <w:tcW w:w="709" w:type="dxa"/>
            <w:vAlign w:val="center"/>
          </w:tcPr>
          <w:p w14:paraId="042F8E61">
            <w:pPr>
              <w:jc w:val="center"/>
              <w:rPr>
                <w:rFonts w:ascii="宋体" w:hAnsi="宋体" w:eastAsia="宋体" w:cs="Times New Roman"/>
                <w:szCs w:val="21"/>
              </w:rPr>
            </w:pPr>
            <w:r>
              <w:rPr>
                <w:rFonts w:ascii="宋体" w:hAnsi="宋体" w:eastAsia="宋体"/>
                <w:szCs w:val="21"/>
              </w:rPr>
              <w:t>3</w:t>
            </w:r>
          </w:p>
        </w:tc>
      </w:tr>
      <w:tr w14:paraId="0E82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985" w:type="dxa"/>
            <w:vAlign w:val="center"/>
          </w:tcPr>
          <w:p w14:paraId="6C6998DD">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8.</w:t>
            </w:r>
            <w:r>
              <w:rPr>
                <w:rFonts w:hint="eastAsia" w:ascii="宋体" w:hAnsi="宋体" w:eastAsia="宋体" w:cs="Times New Roman"/>
                <w:szCs w:val="21"/>
              </w:rPr>
              <w:t>全面从严治党</w:t>
            </w:r>
          </w:p>
          <w:p w14:paraId="3C1E7454">
            <w:pPr>
              <w:jc w:val="center"/>
              <w:rPr>
                <w:rFonts w:ascii="宋体" w:hAnsi="宋体" w:eastAsia="宋体" w:cs="Times New Roman"/>
                <w:szCs w:val="21"/>
              </w:rPr>
            </w:pPr>
          </w:p>
        </w:tc>
        <w:tc>
          <w:tcPr>
            <w:tcW w:w="2126" w:type="dxa"/>
            <w:vAlign w:val="center"/>
          </w:tcPr>
          <w:p w14:paraId="553E1209">
            <w:pPr>
              <w:jc w:val="left"/>
              <w:rPr>
                <w:rFonts w:ascii="宋体" w:hAnsi="宋体" w:eastAsia="宋体" w:cs="Times New Roman"/>
                <w:szCs w:val="21"/>
              </w:rPr>
            </w:pPr>
            <w:r>
              <w:rPr>
                <w:rFonts w:ascii="宋体" w:hAnsi="宋体" w:eastAsia="宋体" w:cs="Times New Roman"/>
                <w:szCs w:val="21"/>
              </w:rPr>
              <w:t>1.教学内容</w:t>
            </w:r>
          </w:p>
          <w:p w14:paraId="6D64AFD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1）全面从严治党是新时代党的建设的鲜明主题</w:t>
            </w:r>
          </w:p>
          <w:p w14:paraId="7C88BCA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2）以政治建设为统领深入推进党的建设</w:t>
            </w:r>
          </w:p>
          <w:p w14:paraId="1C0E6CA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3）坚定不移推进反腐败斗争</w:t>
            </w:r>
          </w:p>
          <w:p w14:paraId="548C062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4）建设长期执政的马克思主义政党二个答案</w:t>
            </w:r>
          </w:p>
          <w:p w14:paraId="3FF4CEA0">
            <w:pPr>
              <w:jc w:val="left"/>
              <w:rPr>
                <w:rFonts w:ascii="宋体" w:hAnsi="宋体" w:eastAsia="宋体" w:cs="Times New Roman"/>
                <w:szCs w:val="21"/>
              </w:rPr>
            </w:pPr>
          </w:p>
        </w:tc>
        <w:tc>
          <w:tcPr>
            <w:tcW w:w="1276" w:type="dxa"/>
            <w:vAlign w:val="center"/>
          </w:tcPr>
          <w:p w14:paraId="1BE6595C">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268" w:type="dxa"/>
            <w:vAlign w:val="center"/>
          </w:tcPr>
          <w:p w14:paraId="075A86E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1）掌握全面从严治党的基本内涵</w:t>
            </w:r>
          </w:p>
          <w:p w14:paraId="34D02B4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2）理解全面从严治党这场伟大自我革命的重大意义</w:t>
            </w:r>
          </w:p>
          <w:p w14:paraId="1BB1A06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3）掌握以党的政治建设统领党的建设各项工作</w:t>
            </w:r>
          </w:p>
          <w:p w14:paraId="4A06782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4）理解反腐败斗争取得压倒性胜利并全面巩固</w:t>
            </w:r>
          </w:p>
          <w:p w14:paraId="66D2EF0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5）掌握党的自我革命是跳出历史周期率的第</w:t>
            </w:r>
          </w:p>
        </w:tc>
        <w:tc>
          <w:tcPr>
            <w:tcW w:w="1559" w:type="dxa"/>
            <w:vAlign w:val="center"/>
          </w:tcPr>
          <w:p w14:paraId="2B62AA51">
            <w:pPr>
              <w:jc w:val="left"/>
              <w:rPr>
                <w:rFonts w:ascii="宋体" w:hAnsi="宋体" w:eastAsia="宋体"/>
                <w:szCs w:val="21"/>
              </w:rPr>
            </w:pPr>
            <w:r>
              <w:rPr>
                <w:rFonts w:ascii="宋体" w:hAnsi="宋体" w:eastAsia="宋体"/>
                <w:szCs w:val="21"/>
              </w:rPr>
              <w:t>1.线上学习</w:t>
            </w:r>
          </w:p>
          <w:p w14:paraId="1079ECAE">
            <w:pPr>
              <w:jc w:val="left"/>
              <w:rPr>
                <w:rFonts w:ascii="宋体" w:hAnsi="宋体" w:eastAsia="宋体"/>
                <w:szCs w:val="21"/>
              </w:rPr>
            </w:pPr>
            <w:r>
              <w:rPr>
                <w:rFonts w:ascii="宋体" w:hAnsi="宋体" w:eastAsia="宋体"/>
                <w:szCs w:val="21"/>
              </w:rPr>
              <w:t>2.多媒体教学</w:t>
            </w:r>
          </w:p>
          <w:p w14:paraId="4B34E186">
            <w:pPr>
              <w:jc w:val="left"/>
              <w:rPr>
                <w:rFonts w:ascii="宋体" w:hAnsi="宋体" w:eastAsia="宋体"/>
                <w:szCs w:val="21"/>
              </w:rPr>
            </w:pPr>
            <w:r>
              <w:rPr>
                <w:rFonts w:ascii="宋体" w:hAnsi="宋体" w:eastAsia="宋体"/>
                <w:szCs w:val="21"/>
              </w:rPr>
              <w:t>3.课堂讨论</w:t>
            </w:r>
          </w:p>
          <w:p w14:paraId="7948FF72">
            <w:pPr>
              <w:jc w:val="left"/>
              <w:rPr>
                <w:rFonts w:ascii="宋体" w:hAnsi="宋体" w:eastAsia="宋体"/>
                <w:szCs w:val="21"/>
              </w:rPr>
            </w:pPr>
            <w:r>
              <w:rPr>
                <w:rFonts w:ascii="宋体" w:hAnsi="宋体" w:eastAsia="宋体"/>
                <w:szCs w:val="21"/>
              </w:rPr>
              <w:t>4.单元测验</w:t>
            </w:r>
          </w:p>
        </w:tc>
        <w:tc>
          <w:tcPr>
            <w:tcW w:w="709" w:type="dxa"/>
            <w:vAlign w:val="center"/>
          </w:tcPr>
          <w:p w14:paraId="2EFA796D">
            <w:pPr>
              <w:jc w:val="center"/>
              <w:rPr>
                <w:rFonts w:ascii="宋体" w:hAnsi="宋体" w:eastAsia="宋体" w:cs="Times New Roman"/>
                <w:szCs w:val="21"/>
              </w:rPr>
            </w:pPr>
            <w:r>
              <w:rPr>
                <w:rFonts w:ascii="宋体" w:hAnsi="宋体" w:eastAsia="宋体"/>
                <w:szCs w:val="21"/>
              </w:rPr>
              <w:t>3</w:t>
            </w:r>
          </w:p>
        </w:tc>
      </w:tr>
    </w:tbl>
    <w:p w14:paraId="181C7AF6">
      <w:pPr>
        <w:rPr>
          <w:rFonts w:hint="eastAsia" w:ascii="Times New Roman" w:hAnsi="Times New Roman" w:eastAsia="宋体" w:cs="Times New Roman"/>
          <w:b/>
          <w:sz w:val="28"/>
          <w:szCs w:val="28"/>
        </w:rPr>
      </w:pPr>
    </w:p>
    <w:p w14:paraId="39A05171">
      <w:pPr>
        <w:rPr>
          <w:rFonts w:ascii="宋体" w:hAnsi="宋体" w:eastAsia="宋体" w:cs="宋体"/>
          <w:b/>
          <w:sz w:val="24"/>
          <w:szCs w:val="24"/>
        </w:rPr>
      </w:pPr>
      <w:r>
        <w:rPr>
          <w:rFonts w:hint="eastAsia" w:ascii="宋体" w:hAnsi="宋体" w:eastAsia="宋体" w:cs="宋体"/>
          <w:b/>
          <w:sz w:val="24"/>
          <w:szCs w:val="24"/>
        </w:rPr>
        <w:t>四、目标评价与成绩评定</w:t>
      </w:r>
    </w:p>
    <w:p w14:paraId="1002EACC">
      <w:pPr>
        <w:spacing w:line="360" w:lineRule="auto"/>
        <w:ind w:firstLine="422" w:firstLineChars="200"/>
        <w:rPr>
          <w:rFonts w:ascii="宋体" w:hAnsi="宋体" w:eastAsia="宋体" w:cs="宋体"/>
          <w:b/>
          <w:szCs w:val="21"/>
        </w:rPr>
      </w:pPr>
      <w:r>
        <w:rPr>
          <w:rFonts w:hint="eastAsia" w:ascii="宋体" w:hAnsi="宋体" w:eastAsia="宋体" w:cs="宋体"/>
          <w:b/>
          <w:szCs w:val="21"/>
        </w:rPr>
        <w:t>（一）课程目标评价方式</w:t>
      </w:r>
    </w:p>
    <w:p w14:paraId="65076BB2">
      <w:pPr>
        <w:spacing w:line="360" w:lineRule="auto"/>
        <w:ind w:firstLine="420" w:firstLineChars="200"/>
        <w:rPr>
          <w:rFonts w:hint="eastAsia" w:ascii="宋体" w:hAnsi="宋体" w:eastAsia="宋体" w:cs="宋体"/>
          <w:bCs/>
          <w:szCs w:val="21"/>
        </w:rPr>
      </w:pPr>
      <w:r>
        <w:rPr>
          <w:rFonts w:hint="eastAsia" w:ascii="宋体" w:hAnsi="宋体" w:eastAsia="宋体" w:cs="宋体"/>
          <w:bCs/>
          <w:szCs w:val="21"/>
        </w:rPr>
        <w:t>根据总体设计，用于评价各课程目标的评价方式如表 3 所示</w:t>
      </w:r>
    </w:p>
    <w:p w14:paraId="65515062">
      <w:pPr>
        <w:spacing w:line="360" w:lineRule="auto"/>
        <w:jc w:val="center"/>
        <w:rPr>
          <w:rFonts w:hint="eastAsia" w:ascii="宋体" w:hAnsi="宋体" w:eastAsia="宋体" w:cs="宋体"/>
          <w:bCs/>
          <w:szCs w:val="21"/>
        </w:rPr>
      </w:pPr>
      <w:r>
        <w:rPr>
          <w:rFonts w:hint="eastAsia" w:ascii="宋体" w:hAnsi="宋体" w:eastAsia="宋体" w:cs="宋体"/>
          <w:b/>
          <w:bCs/>
          <w:szCs w:val="21"/>
        </w:rPr>
        <w:t>表3课程教学评价设计总表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64D5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tcPr>
          <w:p w14:paraId="5002A27C">
            <w:pPr>
              <w:spacing w:line="360" w:lineRule="auto"/>
              <w:rPr>
                <w:rFonts w:ascii="宋体" w:hAnsi="宋体" w:eastAsia="宋体" w:cs="宋体"/>
                <w:bCs/>
                <w:szCs w:val="21"/>
              </w:rPr>
            </w:pPr>
            <w:r>
              <w:rPr>
                <w:rFonts w:hint="eastAsia" w:ascii="宋体" w:hAnsi="宋体" w:eastAsia="宋体" w:cs="宋体"/>
                <w:bCs/>
                <w:szCs w:val="21"/>
              </w:rPr>
              <w:t>课程目标</w:t>
            </w:r>
          </w:p>
        </w:tc>
        <w:tc>
          <w:tcPr>
            <w:tcW w:w="5531" w:type="dxa"/>
            <w:gridSpan w:val="4"/>
          </w:tcPr>
          <w:p w14:paraId="2A5C3BDB">
            <w:pPr>
              <w:spacing w:line="360" w:lineRule="auto"/>
              <w:jc w:val="center"/>
              <w:rPr>
                <w:rFonts w:ascii="宋体" w:hAnsi="宋体" w:eastAsia="宋体" w:cs="宋体"/>
                <w:bCs/>
                <w:szCs w:val="21"/>
              </w:rPr>
            </w:pPr>
            <w:r>
              <w:rPr>
                <w:rFonts w:hint="eastAsia" w:ascii="宋体" w:hAnsi="宋体" w:eastAsia="宋体" w:cs="宋体"/>
                <w:bCs/>
                <w:szCs w:val="21"/>
              </w:rPr>
              <w:t>评价与成绩评定方法</w:t>
            </w:r>
          </w:p>
        </w:tc>
        <w:tc>
          <w:tcPr>
            <w:tcW w:w="1383" w:type="dxa"/>
            <w:vMerge w:val="restart"/>
          </w:tcPr>
          <w:p w14:paraId="27B83E15">
            <w:pPr>
              <w:spacing w:line="360" w:lineRule="auto"/>
              <w:rPr>
                <w:rFonts w:ascii="宋体" w:hAnsi="宋体" w:eastAsia="宋体" w:cs="宋体"/>
                <w:bCs/>
                <w:szCs w:val="21"/>
              </w:rPr>
            </w:pPr>
            <w:r>
              <w:rPr>
                <w:rFonts w:hint="eastAsia" w:ascii="宋体" w:hAnsi="宋体" w:eastAsia="宋体" w:cs="宋体"/>
                <w:bCs/>
                <w:szCs w:val="21"/>
              </w:rPr>
              <w:t>分值</w:t>
            </w:r>
          </w:p>
        </w:tc>
      </w:tr>
      <w:tr w14:paraId="2A47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tcPr>
          <w:p w14:paraId="68876DB0">
            <w:pPr>
              <w:spacing w:line="360" w:lineRule="auto"/>
              <w:rPr>
                <w:rFonts w:ascii="宋体" w:hAnsi="宋体" w:eastAsia="宋体" w:cs="宋体"/>
                <w:bCs/>
                <w:szCs w:val="21"/>
              </w:rPr>
            </w:pPr>
          </w:p>
        </w:tc>
        <w:tc>
          <w:tcPr>
            <w:tcW w:w="1382" w:type="dxa"/>
          </w:tcPr>
          <w:p w14:paraId="2F6BB735">
            <w:pPr>
              <w:spacing w:line="360" w:lineRule="auto"/>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网络学习</w:t>
            </w:r>
          </w:p>
        </w:tc>
        <w:tc>
          <w:tcPr>
            <w:tcW w:w="1383" w:type="dxa"/>
          </w:tcPr>
          <w:p w14:paraId="6B07267E">
            <w:pPr>
              <w:spacing w:line="360" w:lineRule="auto"/>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平时表现</w:t>
            </w:r>
          </w:p>
        </w:tc>
        <w:tc>
          <w:tcPr>
            <w:tcW w:w="1383" w:type="dxa"/>
          </w:tcPr>
          <w:p w14:paraId="5350A119">
            <w:pPr>
              <w:spacing w:line="360" w:lineRule="auto"/>
              <w:rPr>
                <w:rFonts w:ascii="宋体" w:hAnsi="宋体" w:eastAsia="宋体" w:cs="宋体"/>
                <w:bCs/>
                <w:szCs w:val="21"/>
              </w:rPr>
            </w:pPr>
            <w:r>
              <w:rPr>
                <w:rFonts w:hint="eastAsia" w:ascii="宋体" w:hAnsi="宋体" w:eastAsia="宋体" w:cs="宋体"/>
                <w:bCs/>
                <w:color w:val="000000" w:themeColor="text1"/>
                <w:szCs w:val="21"/>
                <w14:textFill>
                  <w14:solidFill>
                    <w14:schemeClr w14:val="tx1"/>
                  </w14:solidFill>
                </w14:textFill>
              </w:rPr>
              <w:t>作业</w:t>
            </w:r>
          </w:p>
        </w:tc>
        <w:tc>
          <w:tcPr>
            <w:tcW w:w="1383" w:type="dxa"/>
          </w:tcPr>
          <w:p w14:paraId="7ABB533B">
            <w:pPr>
              <w:spacing w:line="360" w:lineRule="auto"/>
              <w:rPr>
                <w:rFonts w:ascii="宋体" w:hAnsi="宋体" w:eastAsia="宋体" w:cs="宋体"/>
                <w:bCs/>
                <w:szCs w:val="21"/>
              </w:rPr>
            </w:pPr>
            <w:r>
              <w:rPr>
                <w:rFonts w:hint="eastAsia" w:ascii="宋体" w:hAnsi="宋体" w:eastAsia="宋体" w:cs="宋体"/>
                <w:bCs/>
                <w:szCs w:val="21"/>
              </w:rPr>
              <w:t>期末考试</w:t>
            </w:r>
          </w:p>
        </w:tc>
        <w:tc>
          <w:tcPr>
            <w:tcW w:w="1383" w:type="dxa"/>
            <w:vMerge w:val="continue"/>
          </w:tcPr>
          <w:p w14:paraId="6E3434A4">
            <w:pPr>
              <w:spacing w:line="360" w:lineRule="auto"/>
              <w:rPr>
                <w:rFonts w:ascii="宋体" w:hAnsi="宋体" w:eastAsia="宋体" w:cs="宋体"/>
                <w:bCs/>
                <w:szCs w:val="21"/>
              </w:rPr>
            </w:pPr>
          </w:p>
        </w:tc>
      </w:tr>
      <w:tr w14:paraId="1EEF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0CF6CE91">
            <w:pPr>
              <w:spacing w:line="360" w:lineRule="auto"/>
              <w:rPr>
                <w:rFonts w:ascii="宋体" w:hAnsi="宋体" w:eastAsia="宋体" w:cs="宋体"/>
                <w:bCs/>
                <w:szCs w:val="21"/>
              </w:rPr>
            </w:pPr>
            <w:r>
              <w:rPr>
                <w:rFonts w:hint="eastAsia" w:ascii="宋体" w:hAnsi="宋体" w:eastAsia="宋体" w:cs="宋体"/>
                <w:bCs/>
                <w:szCs w:val="21"/>
              </w:rPr>
              <w:t>课程目标 1</w:t>
            </w:r>
          </w:p>
        </w:tc>
        <w:tc>
          <w:tcPr>
            <w:tcW w:w="1382" w:type="dxa"/>
          </w:tcPr>
          <w:p w14:paraId="71A1495B">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shd w:val="clear" w:color="auto" w:fill="auto"/>
          </w:tcPr>
          <w:p w14:paraId="25113E24">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tcPr>
          <w:p w14:paraId="1BF0E4EE">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shd w:val="clear" w:color="auto" w:fill="auto"/>
          </w:tcPr>
          <w:p w14:paraId="1B7CEC9D">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tcPr>
          <w:p w14:paraId="57DF4622">
            <w:pPr>
              <w:spacing w:line="360" w:lineRule="auto"/>
              <w:rPr>
                <w:rFonts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65D9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1CD8E19E">
            <w:pPr>
              <w:spacing w:line="360" w:lineRule="auto"/>
              <w:rPr>
                <w:rFonts w:ascii="宋体" w:hAnsi="宋体" w:eastAsia="宋体" w:cs="宋体"/>
                <w:bCs/>
                <w:szCs w:val="21"/>
              </w:rPr>
            </w:pPr>
            <w:r>
              <w:rPr>
                <w:rFonts w:hint="eastAsia" w:ascii="宋体" w:hAnsi="宋体" w:eastAsia="宋体" w:cs="宋体"/>
                <w:bCs/>
                <w:szCs w:val="21"/>
              </w:rPr>
              <w:t>课程目标 2</w:t>
            </w:r>
          </w:p>
        </w:tc>
        <w:tc>
          <w:tcPr>
            <w:tcW w:w="1382" w:type="dxa"/>
            <w:shd w:val="clear" w:color="auto" w:fill="auto"/>
          </w:tcPr>
          <w:p w14:paraId="5BD3380A">
            <w:pPr>
              <w:spacing w:line="360" w:lineRule="auto"/>
              <w:jc w:val="center"/>
              <w:rPr>
                <w:rFonts w:ascii="宋体" w:hAnsi="宋体" w:eastAsia="宋体" w:cs="宋体"/>
                <w:bCs/>
                <w:szCs w:val="21"/>
              </w:rPr>
            </w:pPr>
          </w:p>
        </w:tc>
        <w:tc>
          <w:tcPr>
            <w:tcW w:w="1383" w:type="dxa"/>
          </w:tcPr>
          <w:p w14:paraId="0B2D6705">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tcPr>
          <w:p w14:paraId="0954AA7F">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shd w:val="clear" w:color="auto" w:fill="auto"/>
          </w:tcPr>
          <w:p w14:paraId="24280CB3">
            <w:pPr>
              <w:spacing w:line="360" w:lineRule="auto"/>
              <w:jc w:val="center"/>
              <w:rPr>
                <w:rFonts w:ascii="宋体" w:hAnsi="宋体" w:eastAsia="宋体" w:cs="宋体"/>
                <w:bCs/>
                <w:szCs w:val="21"/>
              </w:rPr>
            </w:pPr>
            <w:r>
              <w:rPr>
                <w:rFonts w:hint="eastAsia" w:ascii="宋体" w:hAnsi="宋体" w:eastAsia="宋体" w:cs="宋体"/>
                <w:bCs/>
                <w:szCs w:val="21"/>
              </w:rPr>
              <w:t>√</w:t>
            </w:r>
          </w:p>
        </w:tc>
        <w:tc>
          <w:tcPr>
            <w:tcW w:w="1383" w:type="dxa"/>
          </w:tcPr>
          <w:p w14:paraId="56BB367D">
            <w:pPr>
              <w:spacing w:line="360" w:lineRule="auto"/>
              <w:rPr>
                <w:rFonts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5BA1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5B296DC0">
            <w:pPr>
              <w:spacing w:line="360" w:lineRule="auto"/>
              <w:rPr>
                <w:rFonts w:ascii="宋体" w:hAnsi="宋体" w:eastAsia="宋体" w:cs="宋体"/>
                <w:bCs/>
                <w:szCs w:val="21"/>
              </w:rPr>
            </w:pPr>
            <w:r>
              <w:rPr>
                <w:rFonts w:hint="eastAsia" w:ascii="宋体" w:hAnsi="宋体" w:eastAsia="宋体" w:cs="宋体"/>
                <w:bCs/>
                <w:szCs w:val="21"/>
              </w:rPr>
              <w:t>课程目标 3</w:t>
            </w:r>
          </w:p>
        </w:tc>
        <w:tc>
          <w:tcPr>
            <w:tcW w:w="1382" w:type="dxa"/>
          </w:tcPr>
          <w:p w14:paraId="64DAADA1">
            <w:pPr>
              <w:spacing w:line="360" w:lineRule="auto"/>
              <w:jc w:val="center"/>
              <w:rPr>
                <w:rFonts w:ascii="宋体" w:hAnsi="宋体" w:eastAsia="宋体" w:cs="宋体"/>
                <w:bCs/>
                <w:szCs w:val="21"/>
                <w:highlight w:val="yellow"/>
              </w:rPr>
            </w:pPr>
          </w:p>
        </w:tc>
        <w:tc>
          <w:tcPr>
            <w:tcW w:w="1383" w:type="dxa"/>
          </w:tcPr>
          <w:p w14:paraId="55177161">
            <w:pPr>
              <w:spacing w:line="360" w:lineRule="auto"/>
              <w:jc w:val="center"/>
              <w:rPr>
                <w:rFonts w:ascii="宋体" w:hAnsi="宋体" w:eastAsia="宋体" w:cs="宋体"/>
                <w:bCs/>
                <w:szCs w:val="21"/>
                <w:highlight w:val="yellow"/>
              </w:rPr>
            </w:pPr>
          </w:p>
        </w:tc>
        <w:tc>
          <w:tcPr>
            <w:tcW w:w="1383" w:type="dxa"/>
            <w:shd w:val="clear" w:color="auto" w:fill="auto"/>
          </w:tcPr>
          <w:p w14:paraId="5C95D959">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shd w:val="clear" w:color="auto" w:fill="auto"/>
          </w:tcPr>
          <w:p w14:paraId="7E66F316">
            <w:pPr>
              <w:spacing w:line="360" w:lineRule="auto"/>
              <w:jc w:val="center"/>
              <w:rPr>
                <w:rFonts w:ascii="宋体" w:hAnsi="宋体" w:eastAsia="宋体" w:cs="宋体"/>
                <w:bCs/>
                <w:szCs w:val="21"/>
                <w:highlight w:val="yellow"/>
              </w:rPr>
            </w:pPr>
            <w:r>
              <w:rPr>
                <w:rFonts w:hint="eastAsia" w:ascii="宋体" w:hAnsi="宋体" w:eastAsia="宋体" w:cs="宋体"/>
                <w:bCs/>
                <w:szCs w:val="21"/>
              </w:rPr>
              <w:t>√</w:t>
            </w:r>
          </w:p>
        </w:tc>
        <w:tc>
          <w:tcPr>
            <w:tcW w:w="1383" w:type="dxa"/>
          </w:tcPr>
          <w:p w14:paraId="7184E21F">
            <w:pPr>
              <w:spacing w:line="360" w:lineRule="auto"/>
              <w:rPr>
                <w:rFonts w:ascii="宋体" w:hAnsi="宋体" w:eastAsia="宋体" w:cs="宋体"/>
                <w:bCs/>
                <w:szCs w:val="21"/>
              </w:rPr>
            </w:pPr>
            <w:r>
              <w:rPr>
                <w:rFonts w:hint="eastAsia" w:ascii="宋体" w:hAnsi="宋体" w:eastAsia="宋体" w:cs="宋体"/>
                <w:bCs/>
                <w:szCs w:val="21"/>
              </w:rPr>
              <w:t>2</w:t>
            </w:r>
            <w:r>
              <w:rPr>
                <w:rFonts w:ascii="宋体" w:hAnsi="宋体" w:eastAsia="宋体" w:cs="宋体"/>
                <w:bCs/>
                <w:szCs w:val="21"/>
              </w:rPr>
              <w:t>0</w:t>
            </w:r>
          </w:p>
        </w:tc>
      </w:tr>
      <w:tr w14:paraId="025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5C00E94B">
            <w:pPr>
              <w:spacing w:line="360" w:lineRule="auto"/>
              <w:rPr>
                <w:rFonts w:ascii="宋体" w:hAnsi="宋体" w:eastAsia="宋体" w:cs="宋体"/>
                <w:bCs/>
                <w:szCs w:val="21"/>
              </w:rPr>
            </w:pPr>
            <w:r>
              <w:rPr>
                <w:rFonts w:hint="eastAsia" w:ascii="宋体" w:hAnsi="宋体" w:eastAsia="宋体" w:cs="宋体"/>
                <w:bCs/>
                <w:szCs w:val="21"/>
              </w:rPr>
              <w:t>合计</w:t>
            </w:r>
          </w:p>
        </w:tc>
        <w:tc>
          <w:tcPr>
            <w:tcW w:w="1382" w:type="dxa"/>
          </w:tcPr>
          <w:p w14:paraId="211C6C61">
            <w:pPr>
              <w:spacing w:line="360" w:lineRule="auto"/>
              <w:rPr>
                <w:rFonts w:ascii="宋体" w:hAnsi="宋体" w:eastAsia="宋体" w:cs="宋体"/>
                <w:bCs/>
                <w:strike/>
                <w:color w:val="FF0000"/>
                <w:szCs w:val="21"/>
                <w:highlight w:val="yellow"/>
              </w:rPr>
            </w:pPr>
          </w:p>
        </w:tc>
        <w:tc>
          <w:tcPr>
            <w:tcW w:w="1383" w:type="dxa"/>
          </w:tcPr>
          <w:p w14:paraId="362909BC">
            <w:pPr>
              <w:spacing w:line="360" w:lineRule="auto"/>
              <w:rPr>
                <w:rFonts w:ascii="宋体" w:hAnsi="宋体" w:eastAsia="宋体" w:cs="宋体"/>
                <w:bCs/>
                <w:strike/>
                <w:color w:val="FF0000"/>
                <w:szCs w:val="21"/>
                <w:highlight w:val="yellow"/>
              </w:rPr>
            </w:pPr>
          </w:p>
        </w:tc>
        <w:tc>
          <w:tcPr>
            <w:tcW w:w="1383" w:type="dxa"/>
          </w:tcPr>
          <w:p w14:paraId="51FD18C8">
            <w:pPr>
              <w:spacing w:line="360" w:lineRule="auto"/>
              <w:rPr>
                <w:rFonts w:ascii="宋体" w:hAnsi="宋体" w:eastAsia="宋体" w:cs="宋体"/>
                <w:bCs/>
                <w:color w:val="FF0000"/>
                <w:szCs w:val="21"/>
                <w:highlight w:val="yellow"/>
              </w:rPr>
            </w:pPr>
          </w:p>
        </w:tc>
        <w:tc>
          <w:tcPr>
            <w:tcW w:w="1383" w:type="dxa"/>
          </w:tcPr>
          <w:p w14:paraId="4C9AA1A7">
            <w:pPr>
              <w:spacing w:line="360" w:lineRule="auto"/>
              <w:rPr>
                <w:rFonts w:ascii="宋体" w:hAnsi="宋体" w:eastAsia="宋体" w:cs="宋体"/>
                <w:bCs/>
                <w:color w:val="FF0000"/>
                <w:szCs w:val="21"/>
                <w:highlight w:val="yellow"/>
              </w:rPr>
            </w:pPr>
          </w:p>
        </w:tc>
        <w:tc>
          <w:tcPr>
            <w:tcW w:w="1383" w:type="dxa"/>
          </w:tcPr>
          <w:p w14:paraId="74704ECC">
            <w:pPr>
              <w:spacing w:line="360" w:lineRule="auto"/>
              <w:rPr>
                <w:rFonts w:ascii="宋体" w:hAnsi="宋体" w:eastAsia="宋体" w:cs="宋体"/>
                <w:bCs/>
                <w:szCs w:val="21"/>
              </w:rPr>
            </w:pPr>
            <w:r>
              <w:rPr>
                <w:rFonts w:hint="eastAsia" w:ascii="宋体" w:hAnsi="宋体" w:eastAsia="宋体" w:cs="宋体"/>
                <w:bCs/>
                <w:szCs w:val="21"/>
              </w:rPr>
              <w:t>100</w:t>
            </w:r>
          </w:p>
        </w:tc>
      </w:tr>
    </w:tbl>
    <w:p w14:paraId="16013232">
      <w:pPr>
        <w:spacing w:line="360" w:lineRule="auto"/>
        <w:ind w:firstLine="422" w:firstLineChars="200"/>
        <w:rPr>
          <w:rFonts w:ascii="宋体" w:hAnsi="宋体" w:eastAsia="宋体" w:cs="宋体"/>
          <w:b/>
          <w:szCs w:val="21"/>
        </w:rPr>
      </w:pPr>
      <w:r>
        <w:rPr>
          <w:rFonts w:hint="eastAsia" w:ascii="宋体" w:hAnsi="宋体" w:eastAsia="宋体" w:cs="宋体"/>
          <w:b/>
          <w:szCs w:val="21"/>
        </w:rPr>
        <w:t>（二）成绩评定细则</w:t>
      </w:r>
    </w:p>
    <w:p w14:paraId="31F77136">
      <w:pPr>
        <w:spacing w:line="360" w:lineRule="auto"/>
        <w:ind w:firstLine="420" w:firstLineChars="200"/>
        <w:rPr>
          <w:rFonts w:ascii="宋体" w:hAnsi="宋体" w:eastAsia="宋体" w:cs="宋体"/>
          <w:bCs/>
          <w:szCs w:val="21"/>
        </w:rPr>
      </w:pPr>
      <w:r>
        <w:rPr>
          <w:rFonts w:hint="eastAsia" w:ascii="宋体" w:hAnsi="宋体" w:eastAsia="宋体" w:cs="宋体"/>
          <w:bCs/>
          <w:szCs w:val="21"/>
        </w:rPr>
        <w:t>各部分的评价方式和成绩评定的细则如表 4 所示：</w:t>
      </w:r>
    </w:p>
    <w:p w14:paraId="1DD10A60">
      <w:pPr>
        <w:spacing w:line="360" w:lineRule="auto"/>
        <w:ind w:firstLine="422" w:firstLineChars="200"/>
        <w:jc w:val="center"/>
        <w:rPr>
          <w:rFonts w:ascii="宋体" w:hAnsi="宋体" w:eastAsia="宋体" w:cs="宋体"/>
          <w:b/>
          <w:szCs w:val="21"/>
        </w:rPr>
      </w:pPr>
      <w:r>
        <w:rPr>
          <w:rFonts w:hint="eastAsia" w:ascii="宋体" w:hAnsi="宋体" w:eastAsia="宋体" w:cs="宋体"/>
          <w:b/>
          <w:szCs w:val="21"/>
        </w:rPr>
        <w:t>表 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237"/>
        <w:gridCol w:w="930"/>
      </w:tblGrid>
      <w:tr w14:paraId="5554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2AEB403">
            <w:pPr>
              <w:spacing w:line="360" w:lineRule="auto"/>
              <w:jc w:val="center"/>
              <w:rPr>
                <w:rFonts w:ascii="宋体" w:hAnsi="宋体" w:eastAsia="宋体" w:cs="宋体"/>
                <w:b/>
                <w:szCs w:val="21"/>
              </w:rPr>
            </w:pPr>
            <w:r>
              <w:rPr>
                <w:rFonts w:hint="eastAsia" w:ascii="宋体" w:hAnsi="宋体" w:eastAsia="宋体" w:cs="宋体"/>
                <w:b/>
                <w:szCs w:val="21"/>
              </w:rPr>
              <w:t>评价</w:t>
            </w:r>
          </w:p>
          <w:p w14:paraId="42998B54">
            <w:pPr>
              <w:spacing w:line="360" w:lineRule="auto"/>
              <w:jc w:val="center"/>
              <w:rPr>
                <w:rFonts w:ascii="宋体" w:hAnsi="宋体" w:eastAsia="宋体" w:cs="宋体"/>
                <w:b/>
                <w:szCs w:val="21"/>
              </w:rPr>
            </w:pPr>
            <w:r>
              <w:rPr>
                <w:rFonts w:hint="eastAsia" w:ascii="宋体" w:hAnsi="宋体" w:eastAsia="宋体" w:cs="宋体"/>
                <w:b/>
                <w:szCs w:val="21"/>
              </w:rPr>
              <w:t>方式</w:t>
            </w:r>
          </w:p>
        </w:tc>
        <w:tc>
          <w:tcPr>
            <w:tcW w:w="6237" w:type="dxa"/>
            <w:vAlign w:val="center"/>
          </w:tcPr>
          <w:p w14:paraId="3647C8C7">
            <w:pPr>
              <w:spacing w:line="360" w:lineRule="auto"/>
              <w:jc w:val="center"/>
              <w:rPr>
                <w:rFonts w:ascii="宋体" w:hAnsi="宋体" w:eastAsia="宋体" w:cs="宋体"/>
                <w:b/>
                <w:szCs w:val="21"/>
              </w:rPr>
            </w:pPr>
            <w:r>
              <w:rPr>
                <w:rFonts w:hint="eastAsia" w:ascii="宋体" w:hAnsi="宋体" w:eastAsia="宋体" w:cs="宋体"/>
                <w:b/>
                <w:szCs w:val="21"/>
              </w:rPr>
              <w:t>评定细则</w:t>
            </w:r>
          </w:p>
        </w:tc>
        <w:tc>
          <w:tcPr>
            <w:tcW w:w="930" w:type="dxa"/>
            <w:vAlign w:val="center"/>
          </w:tcPr>
          <w:p w14:paraId="13BC5354">
            <w:pPr>
              <w:spacing w:line="360" w:lineRule="auto"/>
              <w:jc w:val="center"/>
              <w:rPr>
                <w:rFonts w:ascii="宋体" w:hAnsi="宋体" w:eastAsia="宋体" w:cs="宋体"/>
                <w:b/>
                <w:szCs w:val="21"/>
              </w:rPr>
            </w:pPr>
            <w:r>
              <w:rPr>
                <w:rFonts w:hint="eastAsia" w:ascii="宋体" w:hAnsi="宋体" w:eastAsia="宋体" w:cs="宋体"/>
                <w:b/>
                <w:szCs w:val="21"/>
              </w:rPr>
              <w:t>占比</w:t>
            </w:r>
          </w:p>
        </w:tc>
      </w:tr>
      <w:tr w14:paraId="7AAB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6E6ECC9">
            <w:pPr>
              <w:spacing w:line="360" w:lineRule="auto"/>
              <w:jc w:val="center"/>
              <w:rPr>
                <w:rFonts w:hint="eastAsia" w:ascii="宋体" w:hAnsi="宋体" w:eastAsia="宋体" w:cs="宋体"/>
                <w:bCs/>
                <w:szCs w:val="21"/>
              </w:rPr>
            </w:pPr>
            <w:r>
              <w:rPr>
                <w:rFonts w:hint="eastAsia" w:ascii="宋体" w:hAnsi="宋体" w:eastAsia="宋体" w:cs="宋体"/>
                <w:bCs/>
                <w:szCs w:val="21"/>
              </w:rPr>
              <w:t>网络学习</w:t>
            </w:r>
          </w:p>
        </w:tc>
        <w:tc>
          <w:tcPr>
            <w:tcW w:w="6237" w:type="dxa"/>
          </w:tcPr>
          <w:p w14:paraId="6265CBE8">
            <w:pPr>
              <w:spacing w:line="360" w:lineRule="auto"/>
              <w:ind w:firstLine="420" w:firstLineChars="200"/>
              <w:jc w:val="left"/>
              <w:rPr>
                <w:rFonts w:hint="eastAsia" w:ascii="宋体" w:hAnsi="宋体" w:eastAsia="宋体" w:cs="宋体"/>
                <w:bCs/>
                <w:szCs w:val="21"/>
              </w:rPr>
            </w:pPr>
            <w:r>
              <w:rPr>
                <w:rFonts w:hint="eastAsia" w:ascii="宋体" w:hAnsi="宋体" w:eastAsia="宋体" w:cs="宋体"/>
                <w:bCs/>
                <w:szCs w:val="21"/>
              </w:rPr>
              <w:t>通过视频学习时长、线上互动讨论等评定</w:t>
            </w:r>
          </w:p>
        </w:tc>
        <w:tc>
          <w:tcPr>
            <w:tcW w:w="930" w:type="dxa"/>
            <w:vAlign w:val="center"/>
          </w:tcPr>
          <w:p w14:paraId="6E3B662F">
            <w:pPr>
              <w:spacing w:line="360" w:lineRule="auto"/>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0%</w:t>
            </w:r>
          </w:p>
        </w:tc>
      </w:tr>
      <w:tr w14:paraId="0DC3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83F6DC8">
            <w:pPr>
              <w:spacing w:line="360" w:lineRule="auto"/>
              <w:jc w:val="center"/>
              <w:rPr>
                <w:rFonts w:ascii="宋体" w:hAnsi="宋体" w:eastAsia="宋体" w:cs="宋体"/>
                <w:bCs/>
                <w:szCs w:val="21"/>
              </w:rPr>
            </w:pPr>
            <w:r>
              <w:rPr>
                <w:rFonts w:hint="eastAsia" w:ascii="宋体" w:hAnsi="宋体" w:eastAsia="宋体" w:cs="宋体"/>
                <w:bCs/>
                <w:szCs w:val="21"/>
              </w:rPr>
              <w:t>平时表现</w:t>
            </w:r>
          </w:p>
        </w:tc>
        <w:tc>
          <w:tcPr>
            <w:tcW w:w="6237" w:type="dxa"/>
          </w:tcPr>
          <w:p w14:paraId="6D8AA478">
            <w:pPr>
              <w:spacing w:line="360" w:lineRule="auto"/>
              <w:ind w:firstLine="420" w:firstLineChars="200"/>
              <w:jc w:val="left"/>
              <w:rPr>
                <w:rFonts w:ascii="宋体" w:hAnsi="宋体" w:eastAsia="宋体" w:cs="宋体"/>
                <w:bCs/>
                <w:szCs w:val="21"/>
              </w:rPr>
            </w:pPr>
            <w:r>
              <w:rPr>
                <w:rFonts w:hint="eastAsia" w:ascii="宋体" w:hAnsi="宋体" w:eastAsia="宋体" w:cs="宋体"/>
                <w:bCs/>
                <w:szCs w:val="21"/>
              </w:rPr>
              <w:t>一是课堂不定期点名，考核能否按时到勤，旷课一次扣20分，迟到或早退一次扣5分。二是关注学生做笔记的情况以及课堂听课情况，以督促学生按时上课，认真听讲；课堂随机提问，提高学生上课的集中度和参与度，并考察学生当堂课程的掌握情况。三是线上学习时长、讨论互动。</w:t>
            </w:r>
          </w:p>
        </w:tc>
        <w:tc>
          <w:tcPr>
            <w:tcW w:w="930" w:type="dxa"/>
            <w:vAlign w:val="center"/>
          </w:tcPr>
          <w:p w14:paraId="4D96B9BA">
            <w:pPr>
              <w:spacing w:line="360" w:lineRule="auto"/>
              <w:jc w:val="center"/>
              <w:rPr>
                <w:rFonts w:ascii="宋体" w:hAnsi="宋体" w:eastAsia="宋体" w:cs="宋体"/>
                <w:bCs/>
                <w:szCs w:val="21"/>
              </w:rPr>
            </w:pPr>
            <w:r>
              <w:rPr>
                <w:rFonts w:ascii="宋体" w:hAnsi="宋体" w:eastAsia="宋体" w:cs="宋体"/>
                <w:bCs/>
                <w:szCs w:val="21"/>
              </w:rPr>
              <w:t>20</w:t>
            </w:r>
            <w:r>
              <w:rPr>
                <w:rFonts w:hint="eastAsia" w:ascii="宋体" w:hAnsi="宋体" w:eastAsia="宋体" w:cs="宋体"/>
                <w:bCs/>
                <w:szCs w:val="21"/>
              </w:rPr>
              <w:t>%</w:t>
            </w:r>
          </w:p>
        </w:tc>
      </w:tr>
      <w:tr w14:paraId="1524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90708B3">
            <w:pPr>
              <w:spacing w:line="360" w:lineRule="auto"/>
              <w:jc w:val="center"/>
              <w:rPr>
                <w:rFonts w:ascii="宋体" w:hAnsi="宋体" w:eastAsia="宋体" w:cs="宋体"/>
                <w:bCs/>
                <w:szCs w:val="21"/>
              </w:rPr>
            </w:pPr>
            <w:r>
              <w:rPr>
                <w:rFonts w:hint="eastAsia" w:ascii="宋体" w:hAnsi="宋体" w:eastAsia="宋体" w:cs="宋体"/>
                <w:bCs/>
                <w:szCs w:val="21"/>
              </w:rPr>
              <w:t>作业</w:t>
            </w:r>
          </w:p>
        </w:tc>
        <w:tc>
          <w:tcPr>
            <w:tcW w:w="6237" w:type="dxa"/>
          </w:tcPr>
          <w:p w14:paraId="3F53C3C9">
            <w:pPr>
              <w:spacing w:line="360" w:lineRule="auto"/>
              <w:ind w:firstLine="420" w:firstLineChars="200"/>
              <w:jc w:val="left"/>
              <w:rPr>
                <w:rFonts w:ascii="宋体" w:hAnsi="宋体" w:eastAsia="宋体" w:cs="宋体"/>
                <w:bCs/>
                <w:szCs w:val="21"/>
              </w:rPr>
            </w:pPr>
            <w:r>
              <w:rPr>
                <w:rFonts w:hint="eastAsia" w:ascii="宋体" w:hAnsi="宋体" w:eastAsia="宋体" w:cs="宋体"/>
                <w:bCs/>
                <w:szCs w:val="21"/>
              </w:rPr>
              <w:t>通过两次理论作业和每个单元的测验考核学生对课程知识点的理解和应用：对每次作业完成情况做记录并百分制打分，计算全部作业的平均成绩。</w:t>
            </w:r>
          </w:p>
        </w:tc>
        <w:tc>
          <w:tcPr>
            <w:tcW w:w="930" w:type="dxa"/>
            <w:vAlign w:val="center"/>
          </w:tcPr>
          <w:p w14:paraId="769F4D62">
            <w:pPr>
              <w:spacing w:line="360" w:lineRule="auto"/>
              <w:jc w:val="center"/>
              <w:rPr>
                <w:rFonts w:ascii="宋体" w:hAnsi="宋体" w:eastAsia="宋体" w:cs="宋体"/>
                <w:bCs/>
                <w:szCs w:val="21"/>
              </w:rPr>
            </w:pPr>
            <w:r>
              <w:rPr>
                <w:rFonts w:ascii="宋体" w:hAnsi="宋体" w:eastAsia="宋体" w:cs="宋体"/>
                <w:bCs/>
                <w:szCs w:val="21"/>
              </w:rPr>
              <w:t>30</w:t>
            </w:r>
            <w:r>
              <w:rPr>
                <w:rFonts w:hint="eastAsia" w:ascii="宋体" w:hAnsi="宋体" w:eastAsia="宋体" w:cs="宋体"/>
                <w:bCs/>
                <w:szCs w:val="21"/>
              </w:rPr>
              <w:t>%</w:t>
            </w:r>
          </w:p>
        </w:tc>
      </w:tr>
      <w:tr w14:paraId="46DB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64CA8F">
            <w:pPr>
              <w:spacing w:line="360" w:lineRule="auto"/>
              <w:jc w:val="center"/>
              <w:rPr>
                <w:rFonts w:ascii="宋体" w:hAnsi="宋体" w:eastAsia="宋体" w:cs="宋体"/>
                <w:bCs/>
                <w:szCs w:val="21"/>
              </w:rPr>
            </w:pPr>
            <w:r>
              <w:rPr>
                <w:rFonts w:hint="eastAsia" w:ascii="宋体" w:hAnsi="宋体" w:eastAsia="宋体" w:cs="宋体"/>
                <w:bCs/>
                <w:szCs w:val="21"/>
              </w:rPr>
              <w:t>期末考试</w:t>
            </w:r>
          </w:p>
        </w:tc>
        <w:tc>
          <w:tcPr>
            <w:tcW w:w="6237" w:type="dxa"/>
          </w:tcPr>
          <w:p w14:paraId="18F754A2">
            <w:pPr>
              <w:spacing w:line="360" w:lineRule="auto"/>
              <w:jc w:val="left"/>
              <w:rPr>
                <w:rFonts w:ascii="宋体" w:hAnsi="宋体" w:eastAsia="宋体" w:cs="宋体"/>
                <w:bCs/>
                <w:szCs w:val="21"/>
              </w:rPr>
            </w:pPr>
            <w:r>
              <w:rPr>
                <w:rFonts w:hint="eastAsia" w:ascii="宋体" w:hAnsi="宋体" w:eastAsia="宋体" w:cs="宋体"/>
                <w:bCs/>
                <w:szCs w:val="21"/>
              </w:rPr>
              <w:t>试卷题型包括判断题、填空题、单项选择题等。考核对习近平新时代中国特色社会主义思想的理解和运用。</w:t>
            </w:r>
          </w:p>
        </w:tc>
        <w:tc>
          <w:tcPr>
            <w:tcW w:w="930" w:type="dxa"/>
            <w:vAlign w:val="center"/>
          </w:tcPr>
          <w:p w14:paraId="7DE822E2">
            <w:pPr>
              <w:spacing w:line="360" w:lineRule="auto"/>
              <w:jc w:val="center"/>
              <w:rPr>
                <w:rFonts w:ascii="宋体" w:hAnsi="宋体" w:eastAsia="宋体" w:cs="宋体"/>
                <w:bCs/>
                <w:szCs w:val="21"/>
              </w:rPr>
            </w:pPr>
            <w:r>
              <w:rPr>
                <w:rFonts w:hint="eastAsia" w:ascii="宋体" w:hAnsi="宋体" w:eastAsia="宋体" w:cs="宋体"/>
                <w:bCs/>
                <w:szCs w:val="21"/>
              </w:rPr>
              <w:t>40%</w:t>
            </w:r>
          </w:p>
        </w:tc>
      </w:tr>
      <w:tr w14:paraId="0638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FC3A3B">
            <w:pPr>
              <w:spacing w:line="360" w:lineRule="auto"/>
              <w:jc w:val="center"/>
              <w:rPr>
                <w:rFonts w:ascii="宋体" w:hAnsi="宋体" w:eastAsia="宋体" w:cs="宋体"/>
                <w:b/>
                <w:szCs w:val="21"/>
              </w:rPr>
            </w:pPr>
            <w:r>
              <w:rPr>
                <w:rFonts w:hint="eastAsia" w:ascii="宋体" w:hAnsi="宋体" w:eastAsia="宋体" w:cs="宋体"/>
                <w:b/>
                <w:szCs w:val="21"/>
              </w:rPr>
              <w:t>合计</w:t>
            </w:r>
          </w:p>
        </w:tc>
        <w:tc>
          <w:tcPr>
            <w:tcW w:w="6237" w:type="dxa"/>
          </w:tcPr>
          <w:p w14:paraId="42D230FB">
            <w:pPr>
              <w:spacing w:line="360" w:lineRule="auto"/>
              <w:jc w:val="center"/>
              <w:rPr>
                <w:rFonts w:ascii="宋体" w:hAnsi="宋体" w:eastAsia="宋体" w:cs="宋体"/>
                <w:b/>
                <w:szCs w:val="21"/>
              </w:rPr>
            </w:pPr>
          </w:p>
        </w:tc>
        <w:tc>
          <w:tcPr>
            <w:tcW w:w="930" w:type="dxa"/>
          </w:tcPr>
          <w:p w14:paraId="19D31EAC">
            <w:pPr>
              <w:spacing w:line="360" w:lineRule="auto"/>
              <w:jc w:val="center"/>
              <w:rPr>
                <w:rFonts w:ascii="宋体" w:hAnsi="宋体" w:eastAsia="宋体" w:cs="宋体"/>
                <w:b/>
                <w:szCs w:val="21"/>
              </w:rPr>
            </w:pPr>
            <w:r>
              <w:rPr>
                <w:rFonts w:hint="eastAsia" w:ascii="宋体" w:hAnsi="宋体" w:eastAsia="宋体" w:cs="宋体"/>
                <w:b/>
                <w:szCs w:val="21"/>
              </w:rPr>
              <w:t>100%</w:t>
            </w:r>
          </w:p>
        </w:tc>
      </w:tr>
    </w:tbl>
    <w:p w14:paraId="31629F83">
      <w:pPr>
        <w:spacing w:line="360" w:lineRule="auto"/>
        <w:jc w:val="left"/>
        <w:rPr>
          <w:rFonts w:hint="eastAsia" w:ascii="宋体" w:hAnsi="宋体" w:eastAsia="宋体" w:cs="宋体"/>
          <w:b/>
          <w:szCs w:val="21"/>
        </w:rPr>
      </w:pPr>
    </w:p>
    <w:p w14:paraId="2970BF0B">
      <w:pPr>
        <w:spacing w:line="360" w:lineRule="auto"/>
        <w:ind w:firstLine="422" w:firstLineChars="200"/>
        <w:jc w:val="left"/>
        <w:rPr>
          <w:rFonts w:ascii="宋体" w:hAnsi="宋体" w:eastAsia="宋体" w:cs="宋体"/>
          <w:b/>
          <w:szCs w:val="21"/>
        </w:rPr>
      </w:pPr>
      <w:r>
        <w:rPr>
          <w:rFonts w:hint="eastAsia" w:ascii="宋体" w:hAnsi="宋体" w:eastAsia="宋体" w:cs="宋体"/>
          <w:b/>
          <w:szCs w:val="21"/>
        </w:rPr>
        <w:t>（三）课程目标达成度计算方法</w:t>
      </w:r>
    </w:p>
    <w:p w14:paraId="54321DB2">
      <w:pPr>
        <w:spacing w:line="360" w:lineRule="auto"/>
        <w:ind w:firstLine="420" w:firstLineChars="200"/>
        <w:jc w:val="left"/>
        <w:rPr>
          <w:rFonts w:ascii="宋体" w:hAnsi="宋体" w:eastAsia="宋体" w:cs="宋体"/>
          <w:bCs/>
          <w:szCs w:val="21"/>
        </w:rPr>
      </w:pPr>
      <w:r>
        <w:rPr>
          <w:rFonts w:hint="eastAsia" w:ascii="宋体" w:hAnsi="宋体" w:eastAsia="宋体" w:cs="宋体"/>
          <w:bCs/>
          <w:szCs w:val="21"/>
        </w:rPr>
        <w:t xml:space="preserve">所有课程目标均需大于等于 0.6，否则总评成绩不及格，需要补考或重修。每门课程目标总体达成度计算方法如下： </w:t>
      </w:r>
    </w:p>
    <w:p w14:paraId="2E89356B">
      <w:pPr>
        <w:spacing w:line="360" w:lineRule="auto"/>
        <w:ind w:firstLine="420" w:firstLineChars="200"/>
        <w:jc w:val="left"/>
        <w:rPr>
          <w:rFonts w:ascii="Times New Roman" w:hAnsi="Times New Roman" w:eastAsia="宋体" w:cs="Times New Roman"/>
          <w:bCs/>
          <w:sz w:val="24"/>
          <w:szCs w:val="24"/>
        </w:rPr>
      </w:pPr>
      <w:r>
        <w:rPr>
          <w:rFonts w:ascii="宋体" w:hAnsi="宋体" w:eastAsia="宋体" w:cs="Times New Roman"/>
          <w:color w:val="000000"/>
          <w:szCs w:val="21"/>
        </w:rPr>
        <w:object>
          <v:shape id="_x0000_i1028" o:spt="75" type="#_x0000_t75" style="height:25.5pt;width:404.3pt;" o:ole="t" filled="f" o:preferrelative="t" stroked="f" coordsize="21600,21600">
            <v:path/>
            <v:fill on="f" focussize="0,0"/>
            <v:stroke on="f" joinstyle="miter"/>
            <v:imagedata r:id="rId5" o:title=""/>
            <o:lock v:ext="edit" aspectratio="t"/>
            <w10:wrap type="none"/>
            <w10:anchorlock/>
          </v:shape>
          <o:OLEObject Type="Embed" ProgID="Equation.3" ShapeID="_x0000_i1028" DrawAspect="Content" ObjectID="_1468075728" r:id="rId9">
            <o:LockedField>false</o:LockedField>
          </o:OLEObject>
        </w:object>
      </w:r>
    </w:p>
    <w:p w14:paraId="174107D5">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五</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有关说明</w:t>
      </w:r>
    </w:p>
    <w:p w14:paraId="34DD15E4">
      <w:pPr>
        <w:spacing w:line="360" w:lineRule="auto"/>
        <w:ind w:firstLine="422" w:firstLineChars="200"/>
        <w:rPr>
          <w:rFonts w:ascii="宋体" w:hAnsi="宋体" w:eastAsia="宋体" w:cs="宋体"/>
          <w:b/>
          <w:color w:val="000000"/>
          <w:szCs w:val="21"/>
        </w:rPr>
      </w:pPr>
      <w:r>
        <w:rPr>
          <w:rFonts w:hint="eastAsia" w:ascii="宋体" w:hAnsi="宋体" w:eastAsia="宋体" w:cs="宋体"/>
          <w:b/>
          <w:color w:val="000000"/>
          <w:szCs w:val="21"/>
        </w:rPr>
        <w:t>（一）持续改进</w:t>
      </w:r>
    </w:p>
    <w:p w14:paraId="2B1EB3FF">
      <w:pPr>
        <w:spacing w:line="36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本课程根据平时表现、作业、实践和期末考试等考核情况，以及学生、教学督导等反馈，及时对教学中不足之处进行改进，并在下一轮课程教学中整改完善，确保相应毕业要求达成。</w:t>
      </w:r>
    </w:p>
    <w:p w14:paraId="0C387BDF">
      <w:pPr>
        <w:spacing w:line="360" w:lineRule="auto"/>
        <w:ind w:firstLine="422" w:firstLineChars="200"/>
        <w:rPr>
          <w:rFonts w:ascii="宋体" w:hAnsi="宋体" w:eastAsia="宋体" w:cs="宋体"/>
          <w:b/>
          <w:color w:val="000000"/>
          <w:szCs w:val="21"/>
        </w:rPr>
      </w:pPr>
      <w:r>
        <w:rPr>
          <w:rFonts w:hint="eastAsia" w:ascii="宋体" w:hAnsi="宋体" w:eastAsia="宋体" w:cs="宋体"/>
          <w:b/>
          <w:color w:val="000000"/>
          <w:szCs w:val="21"/>
        </w:rPr>
        <w:t>（二）参考书目及学习资料</w:t>
      </w:r>
    </w:p>
    <w:p w14:paraId="06467F7C">
      <w:pPr>
        <w:spacing w:line="360" w:lineRule="auto"/>
        <w:ind w:firstLine="420" w:firstLineChars="200"/>
        <w:rPr>
          <w:rFonts w:ascii="宋体" w:hAnsi="宋体" w:eastAsia="宋体" w:cs="宋体"/>
          <w:szCs w:val="21"/>
        </w:rPr>
      </w:pPr>
      <w:bookmarkStart w:id="29" w:name="_Hlk116297680"/>
      <w:bookmarkStart w:id="30" w:name="_Hlk44772693"/>
      <w:r>
        <w:rPr>
          <w:rFonts w:hint="eastAsia" w:ascii="宋体" w:hAnsi="宋体" w:eastAsia="宋体" w:cs="宋体"/>
          <w:szCs w:val="21"/>
        </w:rPr>
        <w:t>1. 《习近平谈治国理政》，外文出版社，2014</w:t>
      </w:r>
    </w:p>
    <w:p w14:paraId="4441F86E">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2. </w:t>
      </w:r>
      <w:bookmarkStart w:id="31" w:name="_Hlk115408979"/>
      <w:r>
        <w:rPr>
          <w:rFonts w:hint="eastAsia" w:ascii="宋体" w:hAnsi="宋体" w:eastAsia="宋体" w:cs="宋体"/>
          <w:szCs w:val="21"/>
        </w:rPr>
        <w:t>《习近平谈治国理政（第二卷）》，外文出版社，2017</w:t>
      </w:r>
      <w:bookmarkEnd w:id="31"/>
    </w:p>
    <w:p w14:paraId="4A321B72">
      <w:pPr>
        <w:spacing w:line="360" w:lineRule="auto"/>
        <w:ind w:firstLine="420" w:firstLineChars="200"/>
        <w:rPr>
          <w:rFonts w:ascii="宋体" w:hAnsi="宋体" w:eastAsia="宋体" w:cs="宋体"/>
          <w:szCs w:val="21"/>
        </w:rPr>
      </w:pPr>
      <w:r>
        <w:rPr>
          <w:rFonts w:hint="eastAsia" w:ascii="宋体" w:hAnsi="宋体" w:eastAsia="宋体" w:cs="宋体"/>
          <w:szCs w:val="21"/>
        </w:rPr>
        <w:t>3. 《习近平谈治国理政（第三卷）》，外文出版社，2020</w:t>
      </w:r>
    </w:p>
    <w:p w14:paraId="44B4C539">
      <w:pPr>
        <w:spacing w:line="360" w:lineRule="auto"/>
        <w:ind w:firstLine="420" w:firstLineChars="200"/>
        <w:rPr>
          <w:rFonts w:ascii="宋体" w:hAnsi="宋体" w:eastAsia="宋体" w:cs="宋体"/>
          <w:szCs w:val="21"/>
        </w:rPr>
      </w:pPr>
      <w:r>
        <w:rPr>
          <w:rFonts w:hint="eastAsia" w:ascii="宋体" w:hAnsi="宋体" w:eastAsia="宋体" w:cs="宋体"/>
          <w:szCs w:val="21"/>
        </w:rPr>
        <w:t>4. 《习近平谈治国理政（第四卷）》，外文出版社，2022</w:t>
      </w:r>
    </w:p>
    <w:bookmarkEnd w:id="29"/>
    <w:p w14:paraId="7FEFB111">
      <w:pPr>
        <w:spacing w:line="360" w:lineRule="auto"/>
        <w:ind w:firstLine="420" w:firstLineChars="200"/>
        <w:rPr>
          <w:rFonts w:ascii="宋体" w:hAnsi="宋体" w:eastAsia="宋体" w:cs="宋体"/>
          <w:szCs w:val="21"/>
        </w:rPr>
      </w:pPr>
      <w:r>
        <w:rPr>
          <w:rFonts w:hint="eastAsia" w:ascii="宋体" w:hAnsi="宋体" w:eastAsia="宋体" w:cs="宋体"/>
          <w:szCs w:val="21"/>
        </w:rPr>
        <w:t>5.《习近平新时代中国特色社会主义思想学习纲要》，学习出版社、人民出版社，2019</w:t>
      </w:r>
    </w:p>
    <w:p w14:paraId="2CF4578D">
      <w:pPr>
        <w:spacing w:line="360" w:lineRule="auto"/>
        <w:ind w:firstLine="420" w:firstLineChars="200"/>
        <w:rPr>
          <w:rFonts w:ascii="宋体" w:hAnsi="宋体" w:eastAsia="宋体" w:cs="宋体"/>
          <w:szCs w:val="21"/>
        </w:rPr>
      </w:pPr>
      <w:r>
        <w:rPr>
          <w:rFonts w:hint="eastAsia" w:ascii="宋体" w:hAnsi="宋体" w:eastAsia="宋体" w:cs="宋体"/>
          <w:szCs w:val="21"/>
        </w:rPr>
        <w:t>6.《习近平新时代中国特色社会主义思想基本问题》，中共中央党校出版社，2020</w:t>
      </w:r>
    </w:p>
    <w:p w14:paraId="07B61A55">
      <w:pPr>
        <w:spacing w:line="360" w:lineRule="auto"/>
        <w:ind w:firstLine="422" w:firstLineChars="200"/>
        <w:rPr>
          <w:rFonts w:ascii="宋体" w:hAnsi="宋体" w:eastAsia="宋体" w:cs="宋体"/>
          <w:b/>
          <w:bCs/>
          <w:szCs w:val="21"/>
        </w:rPr>
      </w:pPr>
      <w:r>
        <w:rPr>
          <w:rFonts w:hint="eastAsia" w:ascii="宋体" w:hAnsi="宋体" w:eastAsia="宋体" w:cs="宋体"/>
          <w:b/>
          <w:bCs/>
          <w:szCs w:val="21"/>
        </w:rPr>
        <w:t>（三）教学改革</w:t>
      </w:r>
    </w:p>
    <w:p w14:paraId="5870FA1E">
      <w:pPr>
        <w:spacing w:line="360" w:lineRule="auto"/>
        <w:ind w:firstLine="420" w:firstLineChars="200"/>
        <w:rPr>
          <w:rFonts w:ascii="宋体" w:hAnsi="宋体" w:eastAsia="宋体" w:cs="宋体"/>
          <w:szCs w:val="21"/>
        </w:rPr>
      </w:pPr>
      <w:r>
        <w:rPr>
          <w:rFonts w:hint="eastAsia" w:ascii="宋体" w:hAnsi="宋体" w:eastAsia="宋体" w:cs="宋体"/>
          <w:szCs w:val="21"/>
        </w:rPr>
        <w:t>本课程的教学改革，需制定相应的教学方案。</w:t>
      </w:r>
      <w:bookmarkEnd w:id="30"/>
    </w:p>
    <w:p w14:paraId="52C97865">
      <w:pPr>
        <w:autoSpaceDE w:val="0"/>
        <w:autoSpaceDN w:val="0"/>
        <w:adjustRightInd w:val="0"/>
        <w:spacing w:line="360" w:lineRule="auto"/>
        <w:ind w:firstLine="480" w:firstLineChars="200"/>
        <w:jc w:val="right"/>
        <w:rPr>
          <w:rFonts w:ascii="Times New Roman" w:hAnsi="Times New Roman" w:eastAsia="宋体" w:cs="Times New Roman"/>
          <w:kern w:val="0"/>
          <w:sz w:val="24"/>
          <w:szCs w:val="21"/>
        </w:rPr>
      </w:pPr>
    </w:p>
    <w:p w14:paraId="3C9B2859">
      <w:pPr>
        <w:autoSpaceDE w:val="0"/>
        <w:autoSpaceDN w:val="0"/>
        <w:adjustRightInd w:val="0"/>
        <w:spacing w:line="360" w:lineRule="auto"/>
        <w:ind w:firstLine="480" w:firstLineChars="200"/>
        <w:jc w:val="right"/>
        <w:rPr>
          <w:rFonts w:ascii="Times New Roman" w:hAnsi="Times New Roman" w:eastAsia="宋体" w:cs="Times New Roman"/>
          <w:kern w:val="0"/>
          <w:sz w:val="24"/>
          <w:szCs w:val="21"/>
        </w:rPr>
      </w:pPr>
    </w:p>
    <w:p w14:paraId="19AB87D5">
      <w:pPr>
        <w:autoSpaceDE w:val="0"/>
        <w:autoSpaceDN w:val="0"/>
        <w:adjustRightInd w:val="0"/>
        <w:spacing w:line="360" w:lineRule="auto"/>
        <w:ind w:right="720" w:firstLine="480" w:firstLineChars="200"/>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袁青欢</w:t>
      </w:r>
    </w:p>
    <w:p w14:paraId="4915DC89">
      <w:pPr>
        <w:autoSpaceDE w:val="0"/>
        <w:autoSpaceDN w:val="0"/>
        <w:adjustRightInd w:val="0"/>
        <w:spacing w:line="360" w:lineRule="auto"/>
        <w:ind w:right="720" w:firstLine="480" w:firstLineChars="200"/>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夏天静</w:t>
      </w:r>
      <w:r>
        <w:rPr>
          <w:rFonts w:ascii="Times New Roman" w:hAnsi="Times New Roman" w:eastAsia="宋体" w:cs="Times New Roman"/>
          <w:kern w:val="0"/>
          <w:sz w:val="24"/>
          <w:szCs w:val="21"/>
        </w:rPr>
        <w:t xml:space="preserve"> </w:t>
      </w:r>
    </w:p>
    <w:p w14:paraId="09F0D200">
      <w:pPr>
        <w:autoSpaceDE w:val="0"/>
        <w:autoSpaceDN w:val="0"/>
        <w:adjustRightInd w:val="0"/>
        <w:spacing w:line="360" w:lineRule="auto"/>
        <w:ind w:right="720" w:firstLine="480" w:firstLineChars="200"/>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审批人：</w:t>
      </w:r>
      <w:r>
        <w:rPr>
          <w:rFonts w:hint="eastAsia" w:ascii="Times New Roman" w:hAnsi="Times New Roman" w:eastAsia="宋体" w:cs="Times New Roman"/>
          <w:kern w:val="0"/>
          <w:sz w:val="24"/>
          <w:szCs w:val="21"/>
        </w:rPr>
        <w:t>熊焱生</w:t>
      </w:r>
      <w:r>
        <w:rPr>
          <w:rFonts w:ascii="Times New Roman" w:hAnsi="Times New Roman" w:eastAsia="宋体" w:cs="Times New Roman"/>
          <w:kern w:val="0"/>
          <w:sz w:val="24"/>
          <w:szCs w:val="21"/>
        </w:rPr>
        <w:t xml:space="preserve"> </w:t>
      </w:r>
    </w:p>
    <w:p w14:paraId="53A4DE89">
      <w:pPr>
        <w:autoSpaceDE w:val="0"/>
        <w:autoSpaceDN w:val="0"/>
        <w:adjustRightInd w:val="0"/>
        <w:spacing w:line="360" w:lineRule="auto"/>
        <w:ind w:right="651" w:firstLine="480" w:firstLineChars="200"/>
        <w:jc w:val="right"/>
      </w:pPr>
      <w:r>
        <w:rPr>
          <w:rFonts w:ascii="Times New Roman" w:hAnsi="Times New Roman" w:eastAsia="宋体" w:cs="Times New Roman"/>
          <w:kern w:val="0"/>
          <w:sz w:val="24"/>
          <w:szCs w:val="21"/>
        </w:rPr>
        <w:t>202</w:t>
      </w:r>
      <w:r>
        <w:rPr>
          <w:rFonts w:hint="eastAsia" w:ascii="Times New Roman" w:hAnsi="Times New Roman" w:eastAsia="宋体" w:cs="Times New Roman"/>
          <w:kern w:val="0"/>
          <w:sz w:val="24"/>
          <w:szCs w:val="21"/>
          <w:lang w:val="en-US" w:eastAsia="zh-CN"/>
        </w:rPr>
        <w:t>4</w:t>
      </w:r>
      <w:r>
        <w:rPr>
          <w:rFonts w:hint="eastAsia" w:ascii="Times New Roman" w:hAnsi="Times New Roman" w:eastAsia="宋体" w:cs="Times New Roman"/>
          <w:kern w:val="0"/>
          <w:sz w:val="24"/>
          <w:szCs w:val="21"/>
        </w:rPr>
        <w:t>年</w:t>
      </w:r>
      <w:r>
        <w:rPr>
          <w:rFonts w:hint="eastAsia" w:ascii="Times New Roman" w:hAnsi="Times New Roman" w:eastAsia="宋体" w:cs="Times New Roman"/>
          <w:kern w:val="0"/>
          <w:sz w:val="24"/>
          <w:szCs w:val="21"/>
          <w:lang w:val="en-US" w:eastAsia="zh-CN"/>
        </w:rPr>
        <w:t>08</w:t>
      </w:r>
      <w:r>
        <w:rPr>
          <w:rFonts w:hint="eastAsia" w:ascii="Times New Roman" w:hAnsi="Times New Roman" w:eastAsia="宋体" w:cs="Times New Roman"/>
          <w:kern w:val="0"/>
          <w:sz w:val="24"/>
          <w:szCs w:val="21"/>
        </w:rPr>
        <w:t>月</w:t>
      </w:r>
      <w:r>
        <w:rPr>
          <w:rFonts w:hint="eastAsia" w:ascii="Times New Roman" w:hAnsi="Times New Roman" w:eastAsia="宋体" w:cs="Times New Roman"/>
          <w:kern w:val="0"/>
          <w:sz w:val="24"/>
          <w:szCs w:val="21"/>
          <w:lang w:val="en-US" w:eastAsia="zh-CN"/>
        </w:rPr>
        <w:t>30</w:t>
      </w:r>
      <w:r>
        <w:rPr>
          <w:rFonts w:hint="eastAsia" w:ascii="Times New Roman" w:hAnsi="Times New Roman" w:eastAsia="宋体" w:cs="Times New Roman"/>
          <w:kern w:val="0"/>
          <w:sz w:val="24"/>
          <w:szCs w:val="21"/>
        </w:rPr>
        <w:t>日</w:t>
      </w:r>
    </w:p>
    <w:p w14:paraId="746D7C52">
      <w:pPr>
        <w:spacing w:line="360" w:lineRule="auto"/>
        <w:jc w:val="center"/>
        <w:rPr>
          <w:rFonts w:ascii="宋体" w:hAnsi="宋体" w:eastAsia="宋体" w:cs="Times New Roman"/>
          <w:sz w:val="24"/>
          <w:szCs w:val="24"/>
        </w:rPr>
      </w:pPr>
    </w:p>
    <w:p w14:paraId="00ACF5A9">
      <w:pPr>
        <w:rPr>
          <w:rFonts w:ascii="宋体" w:hAnsi="宋体" w:eastAsia="宋体"/>
        </w:rPr>
      </w:pPr>
    </w:p>
    <w:p w14:paraId="757CD7D7"/>
    <w:p w14:paraId="747F8734">
      <w:pPr>
        <w:autoSpaceDE w:val="0"/>
        <w:autoSpaceDN w:val="0"/>
        <w:adjustRightInd w:val="0"/>
        <w:spacing w:line="360" w:lineRule="auto"/>
        <w:jc w:val="right"/>
        <w:rPr>
          <w:rFonts w:hint="eastAsia"/>
          <w:kern w:val="0"/>
          <w:sz w:val="24"/>
          <w:szCs w:val="21"/>
        </w:rPr>
      </w:pPr>
    </w:p>
    <w:p w14:paraId="63774647">
      <w:pPr>
        <w:rPr>
          <w:rFonts w:hint="eastAsia" w:ascii="宋体" w:hAnsi="宋体" w:eastAsia="宋体" w:cs="宋体"/>
          <w:b w:val="0"/>
          <w:i w:val="0"/>
          <w:color w:val="000000"/>
          <w:spacing w:val="0"/>
          <w:w w:val="100"/>
          <w:sz w:val="21"/>
          <w:szCs w:val="21"/>
          <w:vertAlign w:val="baseline"/>
          <w:lang w:val="en-US" w:eastAsia="zh-CN"/>
        </w:rPr>
      </w:pPr>
    </w:p>
    <w:p w14:paraId="085CAEF5">
      <w:pPr>
        <w:rPr>
          <w:rFonts w:hint="eastAsia"/>
          <w:lang w:val="en-US" w:eastAsia="zh-CN"/>
        </w:rPr>
      </w:pPr>
      <w:bookmarkStart w:id="32" w:name="_Toc6125"/>
      <w:r>
        <w:rPr>
          <w:rFonts w:hint="eastAsia"/>
          <w:lang w:val="en-US" w:eastAsia="zh-CN"/>
        </w:rPr>
        <w:br w:type="page"/>
      </w:r>
    </w:p>
    <w:p w14:paraId="668300E1">
      <w:pPr>
        <w:pStyle w:val="2"/>
        <w:bidi w:val="0"/>
        <w:rPr>
          <w:lang w:val="en-US" w:eastAsia="zh-CN"/>
        </w:rPr>
      </w:pPr>
      <w:bookmarkStart w:id="33" w:name="_Toc32548"/>
      <w:r>
        <w:rPr>
          <w:rFonts w:hint="eastAsia"/>
          <w:lang w:val="en-US" w:eastAsia="zh-CN"/>
        </w:rPr>
        <w:t>《形势与政策》课程教学大纲</w:t>
      </w:r>
      <w:bookmarkEnd w:id="2"/>
      <w:bookmarkEnd w:id="3"/>
      <w:bookmarkEnd w:id="32"/>
      <w:bookmarkEnd w:id="33"/>
    </w:p>
    <w:p w14:paraId="77D3E6FE">
      <w:pPr>
        <w:pStyle w:val="2"/>
        <w:bidi w:val="0"/>
        <w:rPr>
          <w:lang w:val="en-US" w:eastAsia="zh-CN"/>
        </w:rPr>
      </w:pPr>
      <w:bookmarkStart w:id="34" w:name="_Toc4918"/>
      <w:bookmarkStart w:id="35" w:name="_Toc26887"/>
      <w:bookmarkStart w:id="36" w:name="_Toc29632"/>
      <w:bookmarkStart w:id="37" w:name="_Toc25705"/>
      <w:bookmarkStart w:id="38" w:name="_Toc455"/>
      <w:bookmarkStart w:id="39" w:name="_Toc6210"/>
      <w:bookmarkStart w:id="40" w:name="_Toc3405"/>
      <w:r>
        <w:rPr>
          <w:lang w:val="en-US" w:eastAsia="zh-CN"/>
        </w:rPr>
        <w:t>（</w:t>
      </w:r>
      <w:r>
        <w:rPr>
          <w:rFonts w:hint="eastAsia"/>
          <w:lang w:val="en-US" w:eastAsia="zh-CN"/>
        </w:rPr>
        <w:t>Situation And Policy</w:t>
      </w:r>
      <w:r>
        <w:rPr>
          <w:lang w:val="en-US" w:eastAsia="zh-CN"/>
        </w:rPr>
        <w:t>）</w:t>
      </w:r>
      <w:bookmarkEnd w:id="34"/>
      <w:bookmarkEnd w:id="35"/>
      <w:bookmarkEnd w:id="36"/>
      <w:bookmarkEnd w:id="37"/>
      <w:bookmarkEnd w:id="38"/>
      <w:bookmarkEnd w:id="39"/>
      <w:bookmarkEnd w:id="40"/>
    </w:p>
    <w:p w14:paraId="35DF58AE">
      <w:pPr>
        <w:spacing w:line="360" w:lineRule="auto"/>
        <w:jc w:val="center"/>
        <w:rPr>
          <w:rFonts w:ascii="Times New Roman" w:hAnsi="Times New Roman" w:eastAsia="宋体" w:cs="Times New Roman"/>
          <w:bCs/>
          <w:sz w:val="30"/>
          <w:szCs w:val="30"/>
        </w:rPr>
      </w:pPr>
    </w:p>
    <w:p w14:paraId="3B107C6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课程名称：形势与政策</w:t>
      </w:r>
    </w:p>
    <w:p w14:paraId="62AC1A8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课程代码：1006031形势与政策Ⅰ(上)、1006032形势与政策Ⅰ(下)</w:t>
      </w:r>
    </w:p>
    <w:p w14:paraId="0060C428">
      <w:pPr>
        <w:spacing w:line="360" w:lineRule="auto"/>
        <w:ind w:firstLine="1687" w:firstLineChars="7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1006033形势与政策Ⅱ(上)、1006034形势与政策Ⅱ(下)</w:t>
      </w:r>
    </w:p>
    <w:p w14:paraId="1FFA3B67">
      <w:pPr>
        <w:spacing w:line="360" w:lineRule="auto"/>
        <w:ind w:firstLine="1687" w:firstLineChars="7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1006035形势与政策Ⅲ(上)、1006036形势与政策Ⅲ(下)</w:t>
      </w:r>
    </w:p>
    <w:p w14:paraId="7F3D36A0">
      <w:pPr>
        <w:spacing w:line="360" w:lineRule="auto"/>
        <w:ind w:firstLine="1687" w:firstLineChars="7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1006037形势与政策Ⅳ(上)、1006038形势与政策Ⅳ(下)</w:t>
      </w:r>
    </w:p>
    <w:p w14:paraId="1FDAF19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分：2（其中，形势与政策Ⅰ(上)0.25、形势与政策Ⅰ(下)0.25、形势与政策Ⅱ(上) 0.25、形势与政策Ⅱ(下) 0.25、形势与政策Ⅲ(上) 0.25、形势与政策Ⅲ(下) 0.25、形势与政策Ⅳ(上) 0.25、形势与政策Ⅳ(下) 0.25）</w:t>
      </w:r>
    </w:p>
    <w:p w14:paraId="4B3ED37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时：64</w:t>
      </w:r>
    </w:p>
    <w:p w14:paraId="7FFA4DE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先修课程：无</w:t>
      </w:r>
    </w:p>
    <w:p w14:paraId="0565A2A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0104D423">
      <w:pPr>
        <w:spacing w:line="360" w:lineRule="auto"/>
        <w:jc w:val="left"/>
        <w:rPr>
          <w:rFonts w:ascii="Times New Roman" w:hAnsi="Times New Roman" w:eastAsia="宋体" w:cs="Times New Roman"/>
          <w:b/>
          <w:sz w:val="24"/>
          <w:szCs w:val="24"/>
        </w:rPr>
      </w:pPr>
    </w:p>
    <w:p w14:paraId="21C336E2">
      <w:pPr>
        <w:spacing w:line="360" w:lineRule="auto"/>
        <w:jc w:val="left"/>
        <w:outlineLvl w:val="0"/>
        <w:rPr>
          <w:rFonts w:ascii="Times New Roman" w:hAnsi="Times New Roman" w:eastAsia="宋体" w:cs="Times New Roman"/>
          <w:sz w:val="24"/>
          <w:szCs w:val="24"/>
        </w:rPr>
      </w:pPr>
      <w:bookmarkStart w:id="41" w:name="_Toc26600"/>
      <w:bookmarkStart w:id="42" w:name="_Toc24307"/>
      <w:bookmarkStart w:id="43" w:name="_Toc9647"/>
      <w:bookmarkStart w:id="44" w:name="_Toc11796"/>
      <w:bookmarkStart w:id="45" w:name="_Toc10632"/>
      <w:bookmarkStart w:id="46" w:name="_Toc19608"/>
      <w:bookmarkStart w:id="47" w:name="_Toc3492"/>
      <w:r>
        <w:rPr>
          <w:rFonts w:hint="eastAsia" w:ascii="Times New Roman" w:hAnsi="Times New Roman" w:eastAsia="宋体" w:cs="Times New Roman"/>
          <w:b/>
          <w:sz w:val="24"/>
          <w:szCs w:val="24"/>
        </w:rPr>
        <w:t>一、课程简介</w:t>
      </w:r>
      <w:bookmarkEnd w:id="41"/>
      <w:bookmarkEnd w:id="42"/>
      <w:bookmarkEnd w:id="43"/>
      <w:bookmarkEnd w:id="44"/>
      <w:bookmarkEnd w:id="45"/>
      <w:bookmarkEnd w:id="46"/>
      <w:bookmarkEnd w:id="47"/>
    </w:p>
    <w:p w14:paraId="20DEA948">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小学教育专业的通识必修课。本课程系统介绍了新时代国内外形势、党和国家事业的历史性成就、历史性变革和历史性机遇挑战，培养学生准确理解党的基本理论、基本路线和基本方略的能力，树立“四个意识”，坚定“四个自信”。</w:t>
      </w:r>
    </w:p>
    <w:p w14:paraId="4338290C">
      <w:pPr>
        <w:spacing w:line="360" w:lineRule="auto"/>
        <w:jc w:val="left"/>
        <w:outlineLvl w:val="0"/>
        <w:rPr>
          <w:rFonts w:ascii="Times New Roman" w:hAnsi="Times New Roman" w:eastAsia="宋体" w:cs="Times New Roman"/>
          <w:sz w:val="24"/>
          <w:szCs w:val="24"/>
        </w:rPr>
      </w:pPr>
      <w:bookmarkStart w:id="48" w:name="_Toc22787"/>
      <w:bookmarkStart w:id="49" w:name="_Toc20008"/>
      <w:bookmarkStart w:id="50" w:name="_Toc3390"/>
      <w:bookmarkStart w:id="51" w:name="_Toc23101"/>
      <w:bookmarkStart w:id="52" w:name="_Toc14350"/>
      <w:bookmarkStart w:id="53" w:name="_Toc3167"/>
      <w:bookmarkStart w:id="54" w:name="_Toc24737"/>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48"/>
      <w:bookmarkEnd w:id="49"/>
      <w:bookmarkEnd w:id="50"/>
      <w:bookmarkEnd w:id="51"/>
      <w:bookmarkEnd w:id="52"/>
      <w:bookmarkEnd w:id="53"/>
      <w:bookmarkEnd w:id="54"/>
    </w:p>
    <w:p w14:paraId="439AD16A">
      <w:pPr>
        <w:spacing w:line="360" w:lineRule="auto"/>
        <w:ind w:firstLine="422" w:firstLineChars="200"/>
        <w:outlineLvl w:val="1"/>
        <w:rPr>
          <w:rFonts w:hint="eastAsia" w:ascii="宋体" w:hAnsi="宋体" w:eastAsia="宋体" w:cs="Times New Roman"/>
          <w:b/>
          <w:color w:val="000000"/>
          <w:szCs w:val="21"/>
        </w:rPr>
      </w:pPr>
      <w:bookmarkStart w:id="55" w:name="_Toc21258"/>
      <w:r>
        <w:rPr>
          <w:rFonts w:hint="eastAsia" w:ascii="宋体" w:hAnsi="宋体" w:eastAsia="宋体" w:cs="Times New Roman"/>
          <w:b/>
          <w:color w:val="000000"/>
          <w:szCs w:val="21"/>
        </w:rPr>
        <w:t>（一）课程具体目标</w:t>
      </w:r>
      <w:bookmarkEnd w:id="55"/>
    </w:p>
    <w:p w14:paraId="69071B11">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bookmarkStart w:id="56" w:name="_Hlk187586849"/>
      <w:r>
        <w:rPr>
          <w:rFonts w:hint="eastAsia" w:ascii="Times New Roman" w:hAnsi="Times New Roman" w:eastAsia="宋体" w:cs="Times New Roman"/>
          <w:b/>
          <w:szCs w:val="21"/>
        </w:rPr>
        <w:t xml:space="preserve"> </w:t>
      </w:r>
      <w:bookmarkEnd w:id="56"/>
      <w:r>
        <w:rPr>
          <w:rFonts w:hint="eastAsia" w:ascii="Times New Roman" w:hAnsi="Times New Roman" w:eastAsia="宋体" w:cs="Times New Roman"/>
          <w:szCs w:val="21"/>
        </w:rPr>
        <w:t>帮助学生了解时代发展大势、基本国情和党的教育方针，引导学生积极践行社会主义核心价值观，以立德树人为己任，忠诚党的教育方针。增强人文社会科学素养和社会责任感，了解相关法律法规政策，能够依法执教，知晓作为社会主义接班人所肩负的责任和使命。</w:t>
      </w:r>
    </w:p>
    <w:p w14:paraId="0AD47D85">
      <w:pPr>
        <w:spacing w:before="156" w:beforeLines="50" w:after="156" w:afterLines="50" w:line="360" w:lineRule="auto"/>
        <w:jc w:val="left"/>
        <w:outlineLvl w:val="1"/>
        <w:rPr>
          <w:rFonts w:ascii="Times New Roman" w:hAnsi="Times New Roman" w:eastAsia="宋体" w:cs="Times New Roman"/>
          <w:b/>
          <w:bCs/>
          <w:szCs w:val="21"/>
        </w:rPr>
      </w:pPr>
      <w:bookmarkStart w:id="57" w:name="_Toc15725"/>
      <w:r>
        <w:rPr>
          <w:rFonts w:hint="eastAsia" w:ascii="Times New Roman" w:hAnsi="Times New Roman" w:eastAsia="宋体" w:cs="Times New Roman"/>
          <w:b/>
          <w:bCs/>
          <w:szCs w:val="21"/>
        </w:rPr>
        <w:t>（二）课程目标及其对毕业要求指标点的支撑</w:t>
      </w:r>
      <w:bookmarkEnd w:id="57"/>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5323"/>
        <w:gridCol w:w="1191"/>
      </w:tblGrid>
      <w:tr w14:paraId="62BC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vAlign w:val="center"/>
          </w:tcPr>
          <w:p w14:paraId="669E91B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23" w:type="dxa"/>
            <w:vAlign w:val="center"/>
          </w:tcPr>
          <w:p w14:paraId="56938C8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7DEC63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EB1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vAlign w:val="center"/>
          </w:tcPr>
          <w:p w14:paraId="20D17BF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323" w:type="dxa"/>
            <w:vAlign w:val="center"/>
          </w:tcPr>
          <w:p w14:paraId="3186660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宋体" w:hAnsi="Times New Roman" w:eastAsia="宋体" w:cs="宋体"/>
                <w:color w:val="000000"/>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21A5FAB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bl>
    <w:p w14:paraId="2AB6D9D0">
      <w:pPr>
        <w:spacing w:line="360" w:lineRule="auto"/>
        <w:jc w:val="left"/>
        <w:outlineLvl w:val="0"/>
        <w:rPr>
          <w:rFonts w:hint="eastAsia" w:ascii="宋体" w:hAnsi="宋体" w:eastAsia="宋体" w:cs="Times New Roman"/>
          <w:b/>
          <w:color w:val="000000"/>
          <w:sz w:val="24"/>
          <w:szCs w:val="24"/>
        </w:rPr>
      </w:pPr>
      <w:bookmarkStart w:id="58" w:name="_Toc8834"/>
      <w:bookmarkStart w:id="59" w:name="_Toc28107"/>
      <w:bookmarkStart w:id="60" w:name="_Toc6804"/>
      <w:bookmarkStart w:id="61" w:name="_Toc9627"/>
      <w:bookmarkStart w:id="62" w:name="_Toc3787"/>
      <w:bookmarkStart w:id="63" w:name="_Toc10661"/>
      <w:bookmarkStart w:id="64" w:name="_Toc18498"/>
      <w:r>
        <w:rPr>
          <w:rFonts w:hint="eastAsia" w:ascii="宋体" w:hAnsi="宋体" w:eastAsia="宋体" w:cs="Times New Roman"/>
          <w:b/>
          <w:color w:val="000000"/>
          <w:sz w:val="24"/>
          <w:szCs w:val="24"/>
        </w:rPr>
        <w:t>三、教学内容与预期学习成效</w:t>
      </w:r>
      <w:bookmarkEnd w:id="58"/>
      <w:bookmarkEnd w:id="59"/>
      <w:bookmarkEnd w:id="60"/>
      <w:bookmarkEnd w:id="61"/>
      <w:bookmarkEnd w:id="62"/>
      <w:bookmarkEnd w:id="63"/>
      <w:bookmarkEnd w:id="64"/>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679"/>
        <w:gridCol w:w="1110"/>
        <w:gridCol w:w="3172"/>
        <w:gridCol w:w="1522"/>
        <w:gridCol w:w="636"/>
      </w:tblGrid>
      <w:tr w14:paraId="533E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1FFD22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933D12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B17048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8FD58E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1B6E6E9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3A687F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9E890D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2956D4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F8F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D2A507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等线" w:hAnsi="等线" w:eastAsia="等线" w:cs="Times New Roman"/>
                <w:szCs w:val="22"/>
              </w:rPr>
              <w:t xml:space="preserve"> </w:t>
            </w:r>
            <w:r>
              <w:rPr>
                <w:rFonts w:hint="eastAsia" w:ascii="宋体" w:hAnsi="宋体" w:eastAsia="宋体" w:cs="Times New Roman"/>
                <w:color w:val="000000"/>
                <w:szCs w:val="21"/>
              </w:rPr>
              <w:t>全面从严治党形势与政策专题</w:t>
            </w:r>
          </w:p>
        </w:tc>
        <w:tc>
          <w:tcPr>
            <w:tcW w:w="1701" w:type="dxa"/>
            <w:vAlign w:val="center"/>
          </w:tcPr>
          <w:p w14:paraId="5D4480D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（1）党的二十大精神</w:t>
            </w:r>
          </w:p>
          <w:p w14:paraId="091190E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（2）党的领导制度体系</w:t>
            </w:r>
          </w:p>
          <w:p w14:paraId="0E13543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（3）爱国主义精神</w:t>
            </w:r>
          </w:p>
        </w:tc>
        <w:tc>
          <w:tcPr>
            <w:tcW w:w="1134" w:type="dxa"/>
            <w:vAlign w:val="center"/>
          </w:tcPr>
          <w:p w14:paraId="0F0CFED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3362CE1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能够正确理解党的基本路线、重大方针和政策，把对课程的认识统一到党和国家的科学判断上和正确决策上。</w:t>
            </w:r>
          </w:p>
        </w:tc>
        <w:tc>
          <w:tcPr>
            <w:tcW w:w="1560" w:type="dxa"/>
            <w:vAlign w:val="center"/>
          </w:tcPr>
          <w:p w14:paraId="1396F0D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6CD8B55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652D0C9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64D18FB0">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r w14:paraId="0509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C67FD2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2.我国经济社会发展形势与政策专题</w:t>
            </w:r>
          </w:p>
        </w:tc>
        <w:tc>
          <w:tcPr>
            <w:tcW w:w="1701" w:type="dxa"/>
            <w:vAlign w:val="center"/>
          </w:tcPr>
          <w:p w14:paraId="5E9BD0F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（1）脱贫攻坚战</w:t>
            </w:r>
          </w:p>
          <w:p w14:paraId="053D5EA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（2）我国经济形势与发展战略</w:t>
            </w:r>
          </w:p>
          <w:p w14:paraId="6F35297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（3）科技创新体制机制</w:t>
            </w:r>
          </w:p>
        </w:tc>
        <w:tc>
          <w:tcPr>
            <w:tcW w:w="1134" w:type="dxa"/>
            <w:vAlign w:val="center"/>
          </w:tcPr>
          <w:p w14:paraId="397CD0C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6E702EC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能够正确理解党的基本路线、重大方针和政策，把对课程的认识统一到党和国家的科学判断上和正确决策上。</w:t>
            </w:r>
          </w:p>
        </w:tc>
        <w:tc>
          <w:tcPr>
            <w:tcW w:w="1560" w:type="dxa"/>
            <w:vAlign w:val="center"/>
          </w:tcPr>
          <w:p w14:paraId="544B836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008A2A1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49946E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45AE9DA6">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r w14:paraId="1136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EA9398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3.港澳台工作形势与政策专题</w:t>
            </w:r>
          </w:p>
        </w:tc>
        <w:tc>
          <w:tcPr>
            <w:tcW w:w="1701" w:type="dxa"/>
            <w:vAlign w:val="center"/>
          </w:tcPr>
          <w:p w14:paraId="185311A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（1）“一国两制”“港人治港”“澳人治澳”</w:t>
            </w:r>
          </w:p>
          <w:p w14:paraId="6D4E03F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（2）高度自治的方针</w:t>
            </w:r>
          </w:p>
          <w:p w14:paraId="0F5D5F8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（3）两岸关系发展大势</w:t>
            </w:r>
          </w:p>
        </w:tc>
        <w:tc>
          <w:tcPr>
            <w:tcW w:w="1134" w:type="dxa"/>
            <w:vAlign w:val="center"/>
          </w:tcPr>
          <w:p w14:paraId="46D7CF0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E676C4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能够深刻认识中国特色社会主义制度的显著优势，坚定“一国两制”制度自信；充分了解对台工作的新局势新气象。</w:t>
            </w:r>
          </w:p>
        </w:tc>
        <w:tc>
          <w:tcPr>
            <w:tcW w:w="1560" w:type="dxa"/>
            <w:vAlign w:val="center"/>
          </w:tcPr>
          <w:p w14:paraId="4107839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F4519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7BE7C99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09F48B3D">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r w14:paraId="21F9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85299B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4.国际形势与政策专题</w:t>
            </w:r>
          </w:p>
        </w:tc>
        <w:tc>
          <w:tcPr>
            <w:tcW w:w="1701" w:type="dxa"/>
            <w:vAlign w:val="center"/>
          </w:tcPr>
          <w:p w14:paraId="7883EC2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（1）世界百年未有之大变局与新时代中国特色大国外交</w:t>
            </w:r>
          </w:p>
          <w:p w14:paraId="1AF23D4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（2）开放型世界经济</w:t>
            </w:r>
          </w:p>
        </w:tc>
        <w:tc>
          <w:tcPr>
            <w:tcW w:w="1134" w:type="dxa"/>
            <w:vAlign w:val="center"/>
          </w:tcPr>
          <w:p w14:paraId="71D0E0F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35CA8A4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能够掌握正确分析形势和理解政策的能力，特别是对国际重大事件的分析和判断能力，进一步坚定中国特色社会主义制度自信。</w:t>
            </w:r>
          </w:p>
        </w:tc>
        <w:tc>
          <w:tcPr>
            <w:tcW w:w="1560" w:type="dxa"/>
            <w:vAlign w:val="center"/>
          </w:tcPr>
          <w:p w14:paraId="03A0CAF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A50F9A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2.单元测验</w:t>
            </w:r>
          </w:p>
          <w:p w14:paraId="26396AD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3.互动讨论</w:t>
            </w:r>
          </w:p>
        </w:tc>
        <w:tc>
          <w:tcPr>
            <w:tcW w:w="438" w:type="dxa"/>
            <w:vAlign w:val="center"/>
          </w:tcPr>
          <w:p w14:paraId="5B555B9D">
            <w:pPr>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×8</w:t>
            </w:r>
            <w:r>
              <w:rPr>
                <w:rFonts w:ascii="宋体" w:hAnsi="宋体" w:eastAsia="宋体" w:cs="Times New Roman"/>
                <w:color w:val="000000"/>
                <w:szCs w:val="21"/>
              </w:rPr>
              <w:t xml:space="preserve"> </w:t>
            </w:r>
          </w:p>
        </w:tc>
      </w:tr>
    </w:tbl>
    <w:p w14:paraId="63856D27">
      <w:pPr>
        <w:spacing w:line="360" w:lineRule="auto"/>
        <w:jc w:val="left"/>
        <w:rPr>
          <w:rFonts w:ascii="Times New Roman" w:hAnsi="Times New Roman" w:eastAsia="宋体" w:cs="Times New Roman"/>
          <w:sz w:val="24"/>
          <w:szCs w:val="24"/>
        </w:rPr>
      </w:pPr>
    </w:p>
    <w:p w14:paraId="759E9265">
      <w:pPr>
        <w:spacing w:line="360" w:lineRule="auto"/>
        <w:jc w:val="left"/>
        <w:outlineLvl w:val="0"/>
        <w:rPr>
          <w:rFonts w:ascii="Times New Roman" w:hAnsi="Times New Roman" w:eastAsia="宋体" w:cs="Times New Roman"/>
          <w:sz w:val="24"/>
          <w:szCs w:val="24"/>
        </w:rPr>
      </w:pPr>
      <w:bookmarkStart w:id="65" w:name="_Toc2883"/>
      <w:bookmarkStart w:id="66" w:name="_Toc23044"/>
      <w:bookmarkStart w:id="67" w:name="_Toc12714"/>
      <w:bookmarkStart w:id="68" w:name="_Toc27070"/>
      <w:bookmarkStart w:id="69" w:name="_Toc15382"/>
      <w:bookmarkStart w:id="70" w:name="_Toc9019"/>
      <w:bookmarkStart w:id="71" w:name="_Toc31964"/>
      <w:r>
        <w:rPr>
          <w:rFonts w:hint="eastAsia" w:ascii="宋体" w:hAnsi="宋体" w:eastAsia="宋体" w:cs="Times New Roman"/>
          <w:b/>
          <w:color w:val="000000"/>
          <w:sz w:val="24"/>
          <w:szCs w:val="24"/>
        </w:rPr>
        <w:t>四、目标评价与成绩评定</w:t>
      </w:r>
      <w:bookmarkEnd w:id="65"/>
      <w:bookmarkEnd w:id="66"/>
      <w:bookmarkEnd w:id="67"/>
      <w:bookmarkEnd w:id="68"/>
      <w:bookmarkEnd w:id="69"/>
      <w:bookmarkEnd w:id="70"/>
      <w:bookmarkEnd w:id="71"/>
    </w:p>
    <w:p w14:paraId="3A806089">
      <w:pPr>
        <w:spacing w:line="360" w:lineRule="auto"/>
        <w:jc w:val="left"/>
        <w:outlineLvl w:val="1"/>
        <w:rPr>
          <w:rFonts w:ascii="Times New Roman" w:hAnsi="Times New Roman" w:eastAsia="宋体" w:cs="Times New Roman"/>
          <w:b/>
          <w:szCs w:val="21"/>
        </w:rPr>
      </w:pPr>
      <w:bookmarkStart w:id="72" w:name="_Toc16107"/>
      <w:r>
        <w:rPr>
          <w:rFonts w:hint="eastAsia" w:ascii="Times New Roman" w:hAnsi="Times New Roman" w:eastAsia="宋体" w:cs="Times New Roman"/>
          <w:b/>
          <w:szCs w:val="21"/>
        </w:rPr>
        <w:t>（一）课程目标评价方式</w:t>
      </w:r>
      <w:bookmarkEnd w:id="72"/>
    </w:p>
    <w:p w14:paraId="07CAAC8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951994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1985"/>
        <w:gridCol w:w="1984"/>
        <w:gridCol w:w="1418"/>
      </w:tblGrid>
      <w:tr w14:paraId="2F40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3D8B1E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840" w:type="dxa"/>
            <w:gridSpan w:val="3"/>
            <w:vAlign w:val="center"/>
          </w:tcPr>
          <w:p w14:paraId="4DBC84DD">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418" w:type="dxa"/>
            <w:vMerge w:val="restart"/>
            <w:vAlign w:val="center"/>
          </w:tcPr>
          <w:p w14:paraId="694608C5">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4AC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44A9E07">
            <w:pPr>
              <w:spacing w:line="360" w:lineRule="auto"/>
              <w:jc w:val="center"/>
              <w:rPr>
                <w:rFonts w:hint="eastAsia" w:ascii="宋体" w:hAnsi="宋体" w:eastAsia="宋体" w:cs="Times New Roman"/>
                <w:szCs w:val="21"/>
              </w:rPr>
            </w:pPr>
          </w:p>
        </w:tc>
        <w:tc>
          <w:tcPr>
            <w:tcW w:w="1871" w:type="dxa"/>
            <w:vAlign w:val="center"/>
          </w:tcPr>
          <w:p w14:paraId="07213F99">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平时表现成绩</w:t>
            </w:r>
          </w:p>
        </w:tc>
        <w:tc>
          <w:tcPr>
            <w:tcW w:w="1985" w:type="dxa"/>
            <w:vAlign w:val="center"/>
          </w:tcPr>
          <w:p w14:paraId="771C12AD">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作业成绩</w:t>
            </w:r>
          </w:p>
        </w:tc>
        <w:tc>
          <w:tcPr>
            <w:tcW w:w="1984" w:type="dxa"/>
            <w:vAlign w:val="center"/>
          </w:tcPr>
          <w:p w14:paraId="3C1EDF6D">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418" w:type="dxa"/>
            <w:vMerge w:val="continue"/>
            <w:vAlign w:val="center"/>
          </w:tcPr>
          <w:p w14:paraId="720C8CCC">
            <w:pPr>
              <w:spacing w:line="360" w:lineRule="auto"/>
              <w:jc w:val="center"/>
              <w:rPr>
                <w:rFonts w:hint="eastAsia" w:ascii="宋体" w:hAnsi="宋体" w:eastAsia="宋体" w:cs="Times New Roman"/>
                <w:szCs w:val="21"/>
              </w:rPr>
            </w:pPr>
          </w:p>
        </w:tc>
      </w:tr>
      <w:tr w14:paraId="1EE1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2D647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71" w:type="dxa"/>
            <w:vAlign w:val="center"/>
          </w:tcPr>
          <w:p w14:paraId="744B6E3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85" w:type="dxa"/>
            <w:vAlign w:val="center"/>
          </w:tcPr>
          <w:p w14:paraId="43D3A5B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84" w:type="dxa"/>
            <w:vAlign w:val="center"/>
          </w:tcPr>
          <w:p w14:paraId="29B39D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8" w:type="dxa"/>
            <w:vAlign w:val="center"/>
          </w:tcPr>
          <w:p w14:paraId="6CD8654A">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r w14:paraId="748F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9C0C534">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71" w:type="dxa"/>
            <w:vAlign w:val="center"/>
          </w:tcPr>
          <w:p w14:paraId="4DC4A7C4">
            <w:pPr>
              <w:spacing w:line="360" w:lineRule="auto"/>
              <w:jc w:val="center"/>
              <w:rPr>
                <w:rFonts w:hint="eastAsia" w:ascii="宋体" w:hAnsi="宋体" w:eastAsia="宋体" w:cs="Times New Roman"/>
                <w:szCs w:val="21"/>
              </w:rPr>
            </w:pPr>
          </w:p>
        </w:tc>
        <w:tc>
          <w:tcPr>
            <w:tcW w:w="1985" w:type="dxa"/>
            <w:vAlign w:val="center"/>
          </w:tcPr>
          <w:p w14:paraId="762F0245">
            <w:pPr>
              <w:spacing w:line="360" w:lineRule="auto"/>
              <w:jc w:val="center"/>
              <w:rPr>
                <w:rFonts w:hint="eastAsia" w:ascii="宋体" w:hAnsi="宋体" w:eastAsia="宋体" w:cs="Times New Roman"/>
                <w:szCs w:val="21"/>
              </w:rPr>
            </w:pPr>
          </w:p>
        </w:tc>
        <w:tc>
          <w:tcPr>
            <w:tcW w:w="1984" w:type="dxa"/>
            <w:vAlign w:val="center"/>
          </w:tcPr>
          <w:p w14:paraId="2A331FE0">
            <w:pPr>
              <w:spacing w:line="360" w:lineRule="auto"/>
              <w:jc w:val="center"/>
              <w:rPr>
                <w:rFonts w:hint="eastAsia" w:ascii="宋体" w:hAnsi="宋体" w:eastAsia="宋体" w:cs="Times New Roman"/>
                <w:szCs w:val="21"/>
              </w:rPr>
            </w:pPr>
          </w:p>
        </w:tc>
        <w:tc>
          <w:tcPr>
            <w:tcW w:w="1418" w:type="dxa"/>
            <w:vAlign w:val="center"/>
          </w:tcPr>
          <w:p w14:paraId="0D3AF40B">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FBD3D7D">
      <w:pPr>
        <w:spacing w:before="156" w:beforeLines="50" w:line="360" w:lineRule="auto"/>
        <w:jc w:val="left"/>
        <w:outlineLvl w:val="1"/>
        <w:rPr>
          <w:rFonts w:ascii="Times New Roman" w:hAnsi="Times New Roman" w:eastAsia="宋体" w:cs="Times New Roman"/>
          <w:b/>
          <w:szCs w:val="21"/>
        </w:rPr>
      </w:pPr>
      <w:bookmarkStart w:id="73" w:name="_Toc26076"/>
      <w:r>
        <w:rPr>
          <w:rFonts w:hint="eastAsia" w:ascii="Times New Roman" w:hAnsi="Times New Roman" w:eastAsia="宋体" w:cs="Times New Roman"/>
          <w:b/>
          <w:szCs w:val="21"/>
        </w:rPr>
        <w:t>（二）成绩评定细则</w:t>
      </w:r>
      <w:bookmarkEnd w:id="73"/>
    </w:p>
    <w:p w14:paraId="426E4BF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FB76A8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C24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34840D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9C4568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414C7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B98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EAA923">
            <w:pP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7141" w:type="dxa"/>
            <w:vAlign w:val="center"/>
          </w:tcPr>
          <w:p w14:paraId="03F8DE7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通过网络学习、听课表现、学习互动等情况，考核对形势与政策专题理论的理解和运用</w:t>
            </w:r>
          </w:p>
        </w:tc>
        <w:tc>
          <w:tcPr>
            <w:tcW w:w="0" w:type="auto"/>
            <w:vAlign w:val="center"/>
          </w:tcPr>
          <w:p w14:paraId="1EC7C629">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856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D7605E">
            <w:pP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7141" w:type="dxa"/>
            <w:vAlign w:val="center"/>
          </w:tcPr>
          <w:p w14:paraId="59CDBBEC">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通过每个专题的单元测验考核对课程理论的理解和运用</w:t>
            </w:r>
          </w:p>
        </w:tc>
        <w:tc>
          <w:tcPr>
            <w:tcW w:w="0" w:type="auto"/>
            <w:vAlign w:val="center"/>
          </w:tcPr>
          <w:p w14:paraId="3132C7EB">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0F50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792B89">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31BD099">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单选题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多选题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填空题</w:t>
            </w:r>
            <w:r>
              <w:rPr>
                <w:rFonts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4</w:t>
            </w:r>
            <w:r>
              <w:rPr>
                <w:rFonts w:ascii="Times New Roman" w:hAnsi="Times New Roman" w:eastAsia="宋体" w:cs="Times New Roman"/>
                <w:color w:val="000000"/>
                <w:szCs w:val="21"/>
              </w:rPr>
              <w:t>0%计入课程总成绩。</w:t>
            </w:r>
            <w:r>
              <w:rPr>
                <w:rFonts w:hint="eastAsia" w:ascii="Times New Roman" w:hAnsi="Times New Roman" w:eastAsia="宋体" w:cs="Times New Roman"/>
                <w:color w:val="000000"/>
                <w:szCs w:val="21"/>
              </w:rPr>
              <w:t>主要考核学生对新时代国内外形势的认识；对新时期党和国家事业的历史性成就、历史性变革、历史性机遇和挑战的认识。</w:t>
            </w:r>
          </w:p>
        </w:tc>
        <w:tc>
          <w:tcPr>
            <w:tcW w:w="0" w:type="auto"/>
            <w:vAlign w:val="center"/>
          </w:tcPr>
          <w:p w14:paraId="00880396">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1E2A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29B84C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0A3605D">
            <w:pPr>
              <w:jc w:val="left"/>
              <w:rPr>
                <w:rFonts w:ascii="Times New Roman" w:hAnsi="Times New Roman" w:eastAsia="宋体" w:cs="Times New Roman"/>
                <w:szCs w:val="21"/>
              </w:rPr>
            </w:pPr>
          </w:p>
        </w:tc>
        <w:tc>
          <w:tcPr>
            <w:tcW w:w="0" w:type="auto"/>
            <w:vAlign w:val="center"/>
          </w:tcPr>
          <w:p w14:paraId="2A0BC912">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7AEE1EA">
      <w:pPr>
        <w:spacing w:line="360" w:lineRule="auto"/>
        <w:jc w:val="left"/>
        <w:outlineLvl w:val="1"/>
        <w:rPr>
          <w:rFonts w:hint="eastAsia" w:ascii="宋体" w:hAnsi="宋体" w:eastAsia="宋体" w:cs="Times New Roman"/>
          <w:b/>
          <w:color w:val="000000"/>
          <w:szCs w:val="21"/>
        </w:rPr>
      </w:pPr>
      <w:bookmarkStart w:id="74" w:name="_Toc17311"/>
      <w:r>
        <w:rPr>
          <w:rFonts w:hint="eastAsia" w:ascii="宋体" w:hAnsi="宋体" w:eastAsia="宋体" w:cs="Times New Roman"/>
          <w:b/>
          <w:color w:val="000000"/>
          <w:szCs w:val="21"/>
        </w:rPr>
        <w:t>（三）课程目标达成度计算方法</w:t>
      </w:r>
      <w:bookmarkEnd w:id="74"/>
    </w:p>
    <w:p w14:paraId="1A4EFE5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50BE4CC">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29" o:spt="75" type="#_x0000_t75" style="height:24.75pt;width:404.25pt;" o:ole="t" filled="f" o:preferrelative="t" stroked="f" coordsize="21600,21600">
            <v:path/>
            <v:fill on="f" focussize="0,0"/>
            <v:stroke on="f" joinstyle="miter"/>
            <v:imagedata r:id="rId5" o:title=""/>
            <o:lock v:ext="edit" aspectratio="t"/>
            <w10:wrap type="none"/>
            <w10:anchorlock/>
          </v:shape>
          <o:OLEObject Type="Embed" ProgID="Equation.3" ShapeID="_x0000_i1029" DrawAspect="Content" ObjectID="_1468075729" r:id="rId10">
            <o:LockedField>false</o:LockedField>
          </o:OLEObject>
        </w:object>
      </w:r>
    </w:p>
    <w:p w14:paraId="5AD4C197">
      <w:pPr>
        <w:spacing w:line="360" w:lineRule="auto"/>
        <w:jc w:val="left"/>
        <w:outlineLvl w:val="0"/>
        <w:rPr>
          <w:rFonts w:ascii="Times New Roman" w:hAnsi="Times New Roman" w:eastAsia="宋体" w:cs="Times New Roman"/>
          <w:b/>
          <w:bCs/>
          <w:sz w:val="24"/>
          <w:szCs w:val="24"/>
        </w:rPr>
      </w:pPr>
      <w:bookmarkStart w:id="75" w:name="_Toc10558"/>
      <w:bookmarkStart w:id="76" w:name="_Toc9409"/>
      <w:bookmarkStart w:id="77" w:name="_Toc26534"/>
      <w:bookmarkStart w:id="78" w:name="_Toc17015"/>
      <w:bookmarkStart w:id="79" w:name="_Toc29054"/>
      <w:bookmarkStart w:id="80" w:name="_Toc16015"/>
      <w:bookmarkStart w:id="81" w:name="_Toc19436"/>
      <w:r>
        <w:rPr>
          <w:rFonts w:hint="eastAsia" w:ascii="宋体" w:hAnsi="宋体" w:eastAsia="宋体" w:cs="Times New Roman"/>
          <w:b/>
          <w:color w:val="000000"/>
          <w:sz w:val="24"/>
          <w:szCs w:val="24"/>
        </w:rPr>
        <w:t>五、有关说明</w:t>
      </w:r>
      <w:bookmarkEnd w:id="75"/>
      <w:bookmarkEnd w:id="76"/>
      <w:bookmarkEnd w:id="77"/>
      <w:bookmarkEnd w:id="78"/>
      <w:bookmarkEnd w:id="79"/>
      <w:bookmarkEnd w:id="80"/>
      <w:bookmarkEnd w:id="81"/>
    </w:p>
    <w:p w14:paraId="28E57AC4">
      <w:pPr>
        <w:spacing w:line="360" w:lineRule="auto"/>
        <w:jc w:val="left"/>
        <w:outlineLvl w:val="1"/>
        <w:rPr>
          <w:rFonts w:ascii="Times New Roman" w:hAnsi="Times New Roman" w:eastAsia="宋体" w:cs="Times New Roman"/>
          <w:b/>
          <w:szCs w:val="21"/>
        </w:rPr>
      </w:pPr>
      <w:bookmarkStart w:id="82" w:name="_Toc31623"/>
      <w:r>
        <w:rPr>
          <w:rFonts w:hint="eastAsia" w:ascii="Times New Roman" w:hAnsi="Times New Roman" w:eastAsia="宋体" w:cs="Times New Roman"/>
          <w:b/>
          <w:szCs w:val="21"/>
        </w:rPr>
        <w:t>（一）持续改进</w:t>
      </w:r>
      <w:bookmarkEnd w:id="82"/>
    </w:p>
    <w:p w14:paraId="7C05C76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本课程根据平时表现、作业和期末考试等考核情况，以及学生、教学督导等反馈情况，及时对教学中不足之处进行改进，并在下一轮课程教学中整改完善，确保相应毕业要求观测点达成。</w:t>
      </w:r>
    </w:p>
    <w:p w14:paraId="1112A53F">
      <w:pPr>
        <w:spacing w:line="360" w:lineRule="auto"/>
        <w:jc w:val="left"/>
        <w:outlineLvl w:val="1"/>
        <w:rPr>
          <w:rFonts w:ascii="Times New Roman" w:hAnsi="Times New Roman" w:eastAsia="宋体" w:cs="Times New Roman"/>
          <w:b/>
          <w:szCs w:val="21"/>
        </w:rPr>
      </w:pPr>
      <w:bookmarkStart w:id="83" w:name="_Toc3166"/>
      <w:r>
        <w:rPr>
          <w:rFonts w:hint="eastAsia" w:ascii="Times New Roman" w:hAnsi="Times New Roman" w:eastAsia="宋体" w:cs="Times New Roman"/>
          <w:b/>
          <w:szCs w:val="21"/>
        </w:rPr>
        <w:t>（二）建议教材</w:t>
      </w:r>
      <w:bookmarkEnd w:id="83"/>
    </w:p>
    <w:p w14:paraId="4F5C37F9">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《形势与政策》，江苏省形势与政策教学指导委员会编，南京大学出版社，最新版</w:t>
      </w:r>
    </w:p>
    <w:p w14:paraId="40C746DE">
      <w:pPr>
        <w:spacing w:line="360" w:lineRule="auto"/>
        <w:jc w:val="left"/>
        <w:outlineLvl w:val="1"/>
        <w:rPr>
          <w:rFonts w:ascii="Times New Roman" w:hAnsi="Times New Roman" w:eastAsia="宋体" w:cs="Times New Roman"/>
          <w:b/>
          <w:szCs w:val="21"/>
        </w:rPr>
      </w:pPr>
      <w:bookmarkStart w:id="84" w:name="_Toc20304"/>
      <w:r>
        <w:rPr>
          <w:rFonts w:hint="eastAsia" w:ascii="Times New Roman" w:hAnsi="Times New Roman" w:eastAsia="宋体" w:cs="Times New Roman"/>
          <w:b/>
          <w:szCs w:val="21"/>
        </w:rPr>
        <w:t>（三）参考书目</w:t>
      </w:r>
      <w:bookmarkEnd w:id="84"/>
    </w:p>
    <w:p w14:paraId="6DDD57AB">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 教育部印发《高校“形势与政策”课教学要点》</w:t>
      </w:r>
    </w:p>
    <w:p w14:paraId="77BCC2B5">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 《时事报告》，中共中央宣传部主管，《时事报告》杂志社</w:t>
      </w:r>
    </w:p>
    <w:p w14:paraId="2A41B03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 《习近平新时代中国特色社会主义思想学习纲要》，学习出版社，2019</w:t>
      </w:r>
    </w:p>
    <w:p w14:paraId="498C1C4B">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4.《党的二十届三中全会〈决定〉学习辅导百问》，学习出版社、党建读物出版社，2024</w:t>
      </w:r>
    </w:p>
    <w:p w14:paraId="77174A9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 学习网站：人民网、新华网、光明网等</w:t>
      </w:r>
    </w:p>
    <w:p w14:paraId="0C4F0C77">
      <w:pPr>
        <w:rPr>
          <w:rFonts w:hint="eastAsia" w:ascii="等线" w:hAnsi="等线" w:eastAsia="等线" w:cs="Times New Roman"/>
          <w:szCs w:val="22"/>
        </w:rPr>
      </w:pPr>
    </w:p>
    <w:p w14:paraId="0C4C057B">
      <w:pPr>
        <w:rPr>
          <w:rFonts w:hint="eastAsia" w:ascii="等线" w:hAnsi="等线" w:eastAsia="等线" w:cs="Times New Roman"/>
          <w:szCs w:val="22"/>
        </w:rPr>
      </w:pPr>
    </w:p>
    <w:p w14:paraId="3F412820">
      <w:pPr>
        <w:rPr>
          <w:rFonts w:hint="eastAsia" w:ascii="等线" w:hAnsi="等线" w:eastAsia="等线" w:cs="Times New Roman"/>
          <w:szCs w:val="22"/>
        </w:rPr>
      </w:pPr>
    </w:p>
    <w:p w14:paraId="7291F640">
      <w:pPr>
        <w:rPr>
          <w:rFonts w:hint="eastAsia" w:ascii="等线" w:hAnsi="等线" w:eastAsia="等线" w:cs="Times New Roman"/>
          <w:szCs w:val="22"/>
        </w:rPr>
      </w:pPr>
    </w:p>
    <w:p w14:paraId="570D32F2">
      <w:pPr>
        <w:rPr>
          <w:rFonts w:hint="eastAsia" w:ascii="等线" w:hAnsi="等线" w:eastAsia="等线" w:cs="Times New Roman"/>
          <w:szCs w:val="22"/>
        </w:rPr>
      </w:pPr>
    </w:p>
    <w:p w14:paraId="02BD3187">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执 笔 人：姚彦琳</w:t>
      </w:r>
    </w:p>
    <w:p w14:paraId="4D9A288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审 定 人：夏天静</w:t>
      </w:r>
    </w:p>
    <w:p w14:paraId="304B0C30">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审 批 人：熊焱生</w:t>
      </w:r>
    </w:p>
    <w:p w14:paraId="7B5866DF">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批准时间：2024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8</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日</w:t>
      </w:r>
    </w:p>
    <w:p w14:paraId="4531907A">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30E83A88">
      <w:pPr>
        <w:pStyle w:val="2"/>
        <w:bidi w:val="0"/>
        <w:rPr>
          <w:rFonts w:hint="eastAsia"/>
          <w:lang w:val="en-US" w:eastAsia="zh-CN"/>
        </w:rPr>
      </w:pPr>
      <w:bookmarkStart w:id="85" w:name="_Toc17417"/>
      <w:bookmarkStart w:id="86" w:name="_Toc21687"/>
      <w:r>
        <w:rPr>
          <w:rFonts w:hint="eastAsia"/>
          <w:lang w:val="en-US" w:eastAsia="zh-CN"/>
        </w:rPr>
        <w:t>《体育I》课程教学大纲</w:t>
      </w:r>
      <w:bookmarkEnd w:id="85"/>
      <w:bookmarkEnd w:id="86"/>
    </w:p>
    <w:p w14:paraId="5396382B">
      <w:pPr>
        <w:pStyle w:val="2"/>
        <w:bidi w:val="0"/>
        <w:rPr>
          <w:rFonts w:hint="eastAsia"/>
          <w:lang w:val="en-US" w:eastAsia="zh-CN"/>
        </w:rPr>
      </w:pPr>
      <w:bookmarkStart w:id="87" w:name="_Toc24059"/>
      <w:bookmarkStart w:id="88" w:name="_Toc12475"/>
      <w:bookmarkStart w:id="89" w:name="_Toc16645"/>
      <w:bookmarkStart w:id="90" w:name="_Toc7523"/>
      <w:bookmarkStart w:id="91" w:name="_Toc269"/>
      <w:bookmarkStart w:id="92" w:name="_Toc11088"/>
      <w:bookmarkStart w:id="93" w:name="_Toc28712"/>
      <w:r>
        <w:rPr>
          <w:rFonts w:hint="eastAsia"/>
          <w:lang w:val="en-US" w:eastAsia="zh-CN"/>
        </w:rPr>
        <w:t>（Physical  Education I）</w:t>
      </w:r>
      <w:bookmarkEnd w:id="87"/>
      <w:bookmarkEnd w:id="88"/>
      <w:bookmarkEnd w:id="89"/>
      <w:bookmarkEnd w:id="90"/>
      <w:bookmarkEnd w:id="91"/>
      <w:bookmarkEnd w:id="92"/>
      <w:bookmarkEnd w:id="93"/>
    </w:p>
    <w:p w14:paraId="4A5C05AB">
      <w:pPr>
        <w:spacing w:line="360" w:lineRule="auto"/>
        <w:ind w:firstLine="551" w:firstLineChars="196"/>
        <w:rPr>
          <w:rFonts w:hint="eastAsia" w:ascii="宋体" w:hAnsi="宋体" w:eastAsia="宋体" w:cs="宋体"/>
          <w:b/>
          <w:sz w:val="28"/>
          <w:szCs w:val="28"/>
        </w:rPr>
      </w:pPr>
      <w:r>
        <w:rPr>
          <w:rFonts w:hint="eastAsia" w:ascii="宋体" w:hAnsi="宋体" w:eastAsia="宋体" w:cs="宋体"/>
          <w:b/>
          <w:sz w:val="28"/>
          <w:szCs w:val="28"/>
        </w:rPr>
        <w:t>一、课程概况</w:t>
      </w:r>
    </w:p>
    <w:p w14:paraId="1F68CF60">
      <w:pPr>
        <w:spacing w:line="360" w:lineRule="auto"/>
        <w:ind w:firstLine="482" w:firstLineChars="200"/>
        <w:rPr>
          <w:rFonts w:hint="eastAsia" w:ascii="宋体" w:hAnsi="宋体" w:eastAsia="宋体" w:cs="宋体"/>
          <w:b/>
          <w:sz w:val="24"/>
          <w:szCs w:val="22"/>
        </w:rPr>
      </w:pPr>
      <w:r>
        <w:rPr>
          <w:rFonts w:hint="eastAsia" w:ascii="宋体" w:hAnsi="宋体" w:eastAsia="宋体" w:cs="宋体"/>
          <w:b/>
          <w:bCs/>
          <w:kern w:val="0"/>
          <w:sz w:val="24"/>
          <w:szCs w:val="22"/>
        </w:rPr>
        <w:t>课程代码</w:t>
      </w:r>
      <w:r>
        <w:rPr>
          <w:rFonts w:hint="eastAsia" w:ascii="宋体" w:hAnsi="宋体" w:eastAsia="宋体" w:cs="宋体"/>
          <w:b/>
          <w:kern w:val="0"/>
          <w:sz w:val="24"/>
          <w:szCs w:val="22"/>
        </w:rPr>
        <w:t>：</w:t>
      </w:r>
      <w:r>
        <w:rPr>
          <w:rFonts w:hint="eastAsia" w:ascii="宋体" w:hAnsi="宋体" w:eastAsia="宋体" w:cs="宋体"/>
          <w:bCs/>
          <w:kern w:val="0"/>
          <w:sz w:val="24"/>
          <w:szCs w:val="22"/>
        </w:rPr>
        <w:t>1101010</w:t>
      </w:r>
    </w:p>
    <w:p w14:paraId="14C23002">
      <w:pPr>
        <w:spacing w:line="360" w:lineRule="auto"/>
        <w:ind w:firstLine="482" w:firstLineChars="200"/>
        <w:rPr>
          <w:rFonts w:hint="eastAsia" w:ascii="宋体" w:hAnsi="宋体" w:eastAsia="宋体" w:cs="宋体"/>
          <w:bCs/>
          <w:kern w:val="0"/>
          <w:sz w:val="24"/>
          <w:szCs w:val="22"/>
        </w:rPr>
      </w:pPr>
      <w:r>
        <w:rPr>
          <w:rFonts w:hint="eastAsia" w:ascii="宋体" w:hAnsi="宋体" w:eastAsia="宋体" w:cs="宋体"/>
          <w:b/>
          <w:bCs/>
          <w:kern w:val="0"/>
          <w:sz w:val="24"/>
          <w:szCs w:val="22"/>
        </w:rPr>
        <w:t>学    分</w:t>
      </w:r>
      <w:r>
        <w:rPr>
          <w:rFonts w:hint="eastAsia" w:ascii="宋体" w:hAnsi="宋体" w:eastAsia="宋体" w:cs="宋体"/>
          <w:b/>
          <w:kern w:val="0"/>
          <w:sz w:val="24"/>
          <w:szCs w:val="22"/>
        </w:rPr>
        <w:t>：</w:t>
      </w:r>
      <w:r>
        <w:rPr>
          <w:rFonts w:hint="eastAsia" w:ascii="宋体" w:hAnsi="宋体" w:eastAsia="宋体" w:cs="宋体"/>
          <w:bCs/>
          <w:kern w:val="0"/>
          <w:sz w:val="24"/>
          <w:szCs w:val="22"/>
        </w:rPr>
        <w:t>0.75</w:t>
      </w:r>
    </w:p>
    <w:p w14:paraId="253307CE">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学    时</w:t>
      </w:r>
      <w:r>
        <w:rPr>
          <w:rFonts w:hint="eastAsia" w:ascii="宋体" w:hAnsi="宋体" w:eastAsia="宋体" w:cs="宋体"/>
          <w:b/>
          <w:kern w:val="0"/>
          <w:sz w:val="24"/>
          <w:szCs w:val="22"/>
        </w:rPr>
        <w:t>：</w:t>
      </w:r>
      <w:r>
        <w:rPr>
          <w:rFonts w:hint="eastAsia" w:ascii="宋体" w:hAnsi="宋体" w:eastAsia="宋体" w:cs="宋体"/>
          <w:kern w:val="0"/>
          <w:sz w:val="24"/>
          <w:szCs w:val="22"/>
        </w:rPr>
        <w:t>30</w:t>
      </w:r>
    </w:p>
    <w:p w14:paraId="1A5A8B43">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先修课程</w:t>
      </w:r>
      <w:r>
        <w:rPr>
          <w:rFonts w:hint="eastAsia" w:ascii="宋体" w:hAnsi="宋体" w:eastAsia="宋体" w:cs="宋体"/>
          <w:b/>
          <w:kern w:val="0"/>
          <w:sz w:val="24"/>
          <w:szCs w:val="22"/>
        </w:rPr>
        <w:t>：</w:t>
      </w:r>
      <w:r>
        <w:rPr>
          <w:rFonts w:hint="eastAsia" w:ascii="宋体" w:hAnsi="宋体" w:eastAsia="宋体" w:cs="宋体"/>
          <w:bCs/>
          <w:kern w:val="0"/>
          <w:sz w:val="24"/>
          <w:szCs w:val="22"/>
        </w:rPr>
        <w:t>无</w:t>
      </w:r>
    </w:p>
    <w:p w14:paraId="188C8149">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适用专业</w:t>
      </w:r>
      <w:r>
        <w:rPr>
          <w:rFonts w:hint="eastAsia" w:ascii="宋体" w:hAnsi="宋体" w:eastAsia="宋体" w:cs="宋体"/>
          <w:b/>
          <w:kern w:val="0"/>
          <w:sz w:val="24"/>
          <w:szCs w:val="22"/>
        </w:rPr>
        <w:t>：</w:t>
      </w:r>
      <w:r>
        <w:rPr>
          <w:rFonts w:hint="eastAsia" w:ascii="宋体" w:hAnsi="宋体" w:eastAsia="宋体" w:cs="宋体"/>
          <w:kern w:val="0"/>
          <w:sz w:val="24"/>
          <w:szCs w:val="22"/>
        </w:rPr>
        <w:t xml:space="preserve">全校各专业                        </w:t>
      </w:r>
    </w:p>
    <w:p w14:paraId="0094D134">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教    材</w:t>
      </w:r>
      <w:r>
        <w:rPr>
          <w:rFonts w:hint="eastAsia" w:ascii="宋体" w:hAnsi="宋体" w:eastAsia="宋体" w:cs="宋体"/>
          <w:b/>
          <w:kern w:val="0"/>
          <w:sz w:val="24"/>
          <w:szCs w:val="22"/>
        </w:rPr>
        <w:t>：</w:t>
      </w:r>
      <w:r>
        <w:rPr>
          <w:rFonts w:hint="eastAsia" w:ascii="宋体" w:hAnsi="宋体" w:eastAsia="宋体" w:cs="宋体"/>
          <w:kern w:val="0"/>
          <w:sz w:val="24"/>
          <w:szCs w:val="22"/>
        </w:rPr>
        <w:t>《大学体育与健康（微视频版）》，王祥、王红福主编，上海交通大学出版社，出版时间：2021年12月</w:t>
      </w:r>
    </w:p>
    <w:p w14:paraId="1F1AC5BD">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课程归口：</w:t>
      </w:r>
      <w:r>
        <w:rPr>
          <w:rFonts w:hint="eastAsia" w:ascii="宋体" w:hAnsi="宋体" w:eastAsia="宋体" w:cs="宋体"/>
          <w:bCs/>
          <w:kern w:val="0"/>
          <w:sz w:val="24"/>
          <w:szCs w:val="22"/>
        </w:rPr>
        <w:t>体育教学部</w:t>
      </w:r>
    </w:p>
    <w:p w14:paraId="15DC5BE6">
      <w:pPr>
        <w:autoSpaceDE w:val="0"/>
        <w:autoSpaceDN w:val="0"/>
        <w:adjustRightInd w:val="0"/>
        <w:spacing w:line="360" w:lineRule="auto"/>
        <w:ind w:firstLine="482" w:firstLineChars="200"/>
        <w:jc w:val="left"/>
        <w:rPr>
          <w:rFonts w:hint="eastAsia" w:ascii="宋体" w:hAnsi="宋体" w:eastAsia="宋体" w:cs="宋体"/>
          <w:sz w:val="24"/>
          <w:szCs w:val="22"/>
        </w:rPr>
      </w:pPr>
      <w:bookmarkStart w:id="94" w:name="_Hlk27938417"/>
      <w:r>
        <w:rPr>
          <w:rFonts w:hint="eastAsia" w:ascii="宋体" w:hAnsi="宋体" w:eastAsia="宋体" w:cs="宋体"/>
          <w:b/>
          <w:bCs/>
          <w:kern w:val="0"/>
          <w:sz w:val="24"/>
          <w:szCs w:val="22"/>
        </w:rPr>
        <w:t>课程的性质与任务：</w:t>
      </w:r>
      <w:r>
        <w:rPr>
          <w:rFonts w:hint="eastAsia" w:ascii="宋体" w:hAnsi="宋体" w:eastAsia="宋体" w:cs="宋体"/>
          <w:sz w:val="24"/>
          <w:szCs w:val="22"/>
        </w:rPr>
        <w:t>本课程是面向全校各专业开设的以身体练习为主要手段，以培养学生体育人文素养和塑造健全人格为主要目的，以提高学生体质健康水平为主要目标的通识必修课。其教学安排在第一学年第一学期进行。</w:t>
      </w:r>
    </w:p>
    <w:p w14:paraId="351172C9">
      <w:pPr>
        <w:autoSpaceDE w:val="0"/>
        <w:autoSpaceDN w:val="0"/>
        <w:adjustRightInd w:val="0"/>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通过本课程的学习，使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bookmarkEnd w:id="94"/>
    <w:p w14:paraId="75057738">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二、课程目标与毕业要求指标点对应关系</w:t>
      </w:r>
    </w:p>
    <w:p w14:paraId="3289DE2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1：全面发展体能，提高运动能力，掌握体育基本理论知识和基本技术，了解体育锻炼的健身原理，具有一定的体育文化素养和欣赏能力。树立“健康第一”思想和正确的体育道德观，增强团结协作意识、规则意识、公平意识和积极进取意识。</w:t>
      </w:r>
    </w:p>
    <w:p w14:paraId="39B450C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目标2：积极参与各种体育活动，掌握所学项目的基本技能和锻炼方法，能科学地进行体育锻炼，掌握常见运动损伤的处理方法。学会利用体育调节身心，改善心理状态，养成积极乐观的生活态度。</w:t>
      </w:r>
    </w:p>
    <w:p w14:paraId="307AF01E">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本课程支撑专业培养方案中毕业要求8、9(不同专业会略有区别，具体见培养方案中的毕业要求实现矩阵)，对应关系如下表所示。</w:t>
      </w:r>
    </w:p>
    <w:tbl>
      <w:tblPr>
        <w:tblStyle w:val="1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4240B485">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911EB55">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p>
          <w:p w14:paraId="4794E79F">
            <w:pPr>
              <w:widowControl/>
              <w:jc w:val="center"/>
              <w:rPr>
                <w:rFonts w:hint="eastAsia" w:ascii="宋体" w:hAnsi="宋体" w:eastAsia="宋体" w:cs="宋体"/>
                <w:kern w:val="0"/>
                <w:szCs w:val="21"/>
              </w:rPr>
            </w:pPr>
            <w:r>
              <w:rPr>
                <w:rFonts w:hint="eastAsia" w:ascii="宋体" w:hAnsi="宋体" w:eastAsia="宋体" w:cs="宋体"/>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4121CA67">
            <w:pPr>
              <w:widowControl/>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76D41E8A">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41585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1A653B4">
            <w:pPr>
              <w:widowControl/>
              <w:jc w:val="center"/>
              <w:rPr>
                <w:rFonts w:hint="eastAsia" w:ascii="宋体" w:hAnsi="宋体" w:eastAsia="宋体" w:cs="宋体"/>
                <w:kern w:val="0"/>
                <w:szCs w:val="21"/>
              </w:rPr>
            </w:pPr>
            <w:r>
              <w:rPr>
                <w:rFonts w:hint="eastAsia" w:ascii="宋体" w:hAnsi="宋体" w:eastAsia="宋体" w:cs="宋体"/>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555281AE">
            <w:pPr>
              <w:widowControl/>
              <w:jc w:val="center"/>
              <w:rPr>
                <w:rFonts w:hint="eastAsia" w:ascii="宋体" w:hAnsi="宋体" w:eastAsia="宋体" w:cs="宋体"/>
                <w:kern w:val="0"/>
                <w:szCs w:val="21"/>
              </w:rPr>
            </w:pPr>
            <w:r>
              <w:rPr>
                <w:rFonts w:hint="eastAsia" w:ascii="宋体" w:hAnsi="宋体" w:eastAsia="宋体" w:cs="宋体"/>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2F963C7F">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C1FF5B5">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152B71F">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432F72D">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1361D041">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02EEF184">
            <w:pPr>
              <w:widowControl/>
              <w:jc w:val="center"/>
              <w:rPr>
                <w:rFonts w:hint="eastAsia" w:ascii="宋体" w:hAnsi="宋体" w:eastAsia="宋体" w:cs="宋体"/>
                <w:kern w:val="0"/>
                <w:szCs w:val="21"/>
              </w:rPr>
            </w:pPr>
          </w:p>
        </w:tc>
      </w:tr>
      <w:tr w14:paraId="33A1B9AB">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68A6E781">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8</w:t>
            </w:r>
          </w:p>
        </w:tc>
        <w:tc>
          <w:tcPr>
            <w:tcW w:w="510" w:type="pct"/>
            <w:tcBorders>
              <w:top w:val="nil"/>
              <w:left w:val="nil"/>
              <w:bottom w:val="single" w:color="auto" w:sz="4" w:space="0"/>
              <w:right w:val="single" w:color="auto" w:sz="4" w:space="0"/>
            </w:tcBorders>
            <w:noWrap/>
            <w:vAlign w:val="center"/>
          </w:tcPr>
          <w:p w14:paraId="37D6FCF6">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068D5DE5">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693BDA78">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45AC9808">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5C8544B1">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778F240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79CF6A42">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72CB2CE2">
            <w:pPr>
              <w:widowControl/>
              <w:jc w:val="center"/>
              <w:rPr>
                <w:rFonts w:hint="eastAsia" w:ascii="宋体" w:hAnsi="宋体" w:eastAsia="宋体" w:cs="宋体"/>
                <w:kern w:val="0"/>
                <w:szCs w:val="21"/>
              </w:rPr>
            </w:pPr>
          </w:p>
        </w:tc>
      </w:tr>
      <w:tr w14:paraId="3B021386">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62DFB014">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9</w:t>
            </w:r>
          </w:p>
        </w:tc>
        <w:tc>
          <w:tcPr>
            <w:tcW w:w="510" w:type="pct"/>
            <w:tcBorders>
              <w:top w:val="nil"/>
              <w:left w:val="nil"/>
              <w:bottom w:val="single" w:color="auto" w:sz="4" w:space="0"/>
              <w:right w:val="single" w:color="auto" w:sz="4" w:space="0"/>
            </w:tcBorders>
            <w:noWrap/>
            <w:vAlign w:val="center"/>
          </w:tcPr>
          <w:p w14:paraId="25FF1045">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4D3EC15F">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4DCED697">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DBC0FAF">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6588ED56">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6B3F1B1">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760022BB">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165200B0">
            <w:pPr>
              <w:widowControl/>
              <w:jc w:val="center"/>
              <w:rPr>
                <w:rFonts w:hint="eastAsia" w:ascii="宋体" w:hAnsi="宋体" w:eastAsia="宋体" w:cs="宋体"/>
                <w:kern w:val="0"/>
                <w:szCs w:val="21"/>
              </w:rPr>
            </w:pPr>
          </w:p>
        </w:tc>
      </w:tr>
    </w:tbl>
    <w:p w14:paraId="7106E157">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三、课程内容及要求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6B96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5BD30334">
            <w:pPr>
              <w:jc w:val="center"/>
              <w:rPr>
                <w:rFonts w:hint="eastAsia" w:ascii="宋体" w:hAnsi="宋体" w:eastAsia="宋体" w:cs="宋体"/>
                <w:b/>
                <w:bCs/>
                <w:szCs w:val="21"/>
              </w:rPr>
            </w:pPr>
            <w:r>
              <w:rPr>
                <w:rFonts w:hint="eastAsia" w:ascii="宋体" w:hAnsi="宋体" w:eastAsia="宋体" w:cs="宋体"/>
                <w:b/>
                <w:bCs/>
                <w:szCs w:val="21"/>
              </w:rPr>
              <w:t>序号</w:t>
            </w:r>
          </w:p>
        </w:tc>
        <w:tc>
          <w:tcPr>
            <w:tcW w:w="1623" w:type="pct"/>
            <w:noWrap w:val="0"/>
            <w:vAlign w:val="center"/>
          </w:tcPr>
          <w:p w14:paraId="513326A9">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541" w:type="pct"/>
            <w:noWrap w:val="0"/>
            <w:vAlign w:val="center"/>
          </w:tcPr>
          <w:p w14:paraId="576E2B37">
            <w:pPr>
              <w:jc w:val="center"/>
              <w:rPr>
                <w:rFonts w:hint="eastAsia" w:ascii="宋体" w:hAnsi="宋体" w:eastAsia="宋体" w:cs="宋体"/>
                <w:b/>
                <w:bCs/>
                <w:szCs w:val="21"/>
              </w:rPr>
            </w:pPr>
            <w:r>
              <w:rPr>
                <w:rFonts w:hint="eastAsia" w:ascii="宋体" w:hAnsi="宋体" w:eastAsia="宋体" w:cs="宋体"/>
                <w:b/>
                <w:bCs/>
                <w:szCs w:val="21"/>
              </w:rPr>
              <w:t>思政</w:t>
            </w:r>
          </w:p>
          <w:p w14:paraId="1B09825D">
            <w:pPr>
              <w:jc w:val="center"/>
              <w:rPr>
                <w:rFonts w:hint="eastAsia" w:ascii="宋体" w:hAnsi="宋体" w:eastAsia="宋体" w:cs="宋体"/>
                <w:b/>
                <w:bCs/>
                <w:szCs w:val="21"/>
              </w:rPr>
            </w:pPr>
            <w:r>
              <w:rPr>
                <w:rFonts w:hint="eastAsia" w:ascii="宋体" w:hAnsi="宋体" w:eastAsia="宋体" w:cs="宋体"/>
                <w:b/>
                <w:bCs/>
                <w:szCs w:val="21"/>
              </w:rPr>
              <w:t>元素</w:t>
            </w:r>
          </w:p>
        </w:tc>
        <w:tc>
          <w:tcPr>
            <w:tcW w:w="1160" w:type="pct"/>
            <w:noWrap w:val="0"/>
            <w:vAlign w:val="center"/>
          </w:tcPr>
          <w:p w14:paraId="109A886C">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386" w:type="pct"/>
            <w:noWrap w:val="0"/>
            <w:vAlign w:val="center"/>
          </w:tcPr>
          <w:p w14:paraId="39C0A415">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464" w:type="pct"/>
            <w:noWrap w:val="0"/>
            <w:vAlign w:val="center"/>
          </w:tcPr>
          <w:p w14:paraId="7718EA51">
            <w:pPr>
              <w:jc w:val="center"/>
              <w:rPr>
                <w:rFonts w:hint="eastAsia" w:ascii="宋体" w:hAnsi="宋体" w:eastAsia="宋体" w:cs="宋体"/>
                <w:b/>
                <w:bCs/>
                <w:szCs w:val="21"/>
              </w:rPr>
            </w:pPr>
            <w:r>
              <w:rPr>
                <w:rFonts w:hint="eastAsia" w:ascii="宋体" w:hAnsi="宋体" w:eastAsia="宋体" w:cs="宋体"/>
                <w:b/>
                <w:bCs/>
                <w:szCs w:val="21"/>
              </w:rPr>
              <w:t>教学</w:t>
            </w:r>
          </w:p>
          <w:p w14:paraId="7C3CFD27">
            <w:pPr>
              <w:jc w:val="center"/>
              <w:rPr>
                <w:rFonts w:hint="eastAsia" w:ascii="宋体" w:hAnsi="宋体" w:eastAsia="宋体" w:cs="宋体"/>
                <w:b/>
                <w:bCs/>
                <w:szCs w:val="21"/>
              </w:rPr>
            </w:pPr>
            <w:r>
              <w:rPr>
                <w:rFonts w:hint="eastAsia" w:ascii="宋体" w:hAnsi="宋体" w:eastAsia="宋体" w:cs="宋体"/>
                <w:b/>
                <w:bCs/>
                <w:szCs w:val="21"/>
              </w:rPr>
              <w:t>方式</w:t>
            </w:r>
          </w:p>
        </w:tc>
        <w:tc>
          <w:tcPr>
            <w:tcW w:w="520" w:type="pct"/>
            <w:noWrap w:val="0"/>
            <w:vAlign w:val="center"/>
          </w:tcPr>
          <w:p w14:paraId="48FB24C1">
            <w:pPr>
              <w:jc w:val="center"/>
              <w:rPr>
                <w:rFonts w:hint="eastAsia" w:ascii="宋体" w:hAnsi="宋体" w:eastAsia="宋体" w:cs="宋体"/>
                <w:b/>
                <w:bCs/>
                <w:szCs w:val="21"/>
              </w:rPr>
            </w:pPr>
            <w:r>
              <w:rPr>
                <w:rFonts w:hint="eastAsia" w:ascii="宋体" w:hAnsi="宋体" w:eastAsia="宋体" w:cs="宋体"/>
                <w:b/>
                <w:bCs/>
                <w:szCs w:val="21"/>
              </w:rPr>
              <w:t>支撑课程目标</w:t>
            </w:r>
          </w:p>
        </w:tc>
      </w:tr>
      <w:tr w14:paraId="2F60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6857838B">
            <w:pPr>
              <w:jc w:val="center"/>
              <w:rPr>
                <w:rFonts w:hint="eastAsia" w:ascii="宋体" w:hAnsi="宋体" w:eastAsia="宋体" w:cs="宋体"/>
                <w:szCs w:val="21"/>
              </w:rPr>
            </w:pPr>
            <w:r>
              <w:rPr>
                <w:rFonts w:hint="eastAsia" w:ascii="宋体" w:hAnsi="宋体" w:eastAsia="宋体" w:cs="宋体"/>
                <w:szCs w:val="21"/>
              </w:rPr>
              <w:t>1</w:t>
            </w:r>
          </w:p>
        </w:tc>
        <w:tc>
          <w:tcPr>
            <w:tcW w:w="1623" w:type="pct"/>
            <w:noWrap w:val="0"/>
            <w:vAlign w:val="center"/>
          </w:tcPr>
          <w:p w14:paraId="12136190">
            <w:pPr>
              <w:spacing w:line="240" w:lineRule="exact"/>
              <w:jc w:val="left"/>
              <w:rPr>
                <w:rFonts w:hint="eastAsia" w:ascii="宋体" w:hAnsi="宋体" w:eastAsia="宋体" w:cs="宋体"/>
                <w:b/>
                <w:szCs w:val="21"/>
              </w:rPr>
            </w:pPr>
            <w:r>
              <w:rPr>
                <w:rFonts w:hint="eastAsia" w:ascii="宋体" w:hAnsi="宋体" w:eastAsia="宋体" w:cs="宋体"/>
                <w:b/>
                <w:szCs w:val="21"/>
              </w:rPr>
              <w:t>㈠体育理论部分:</w:t>
            </w:r>
          </w:p>
          <w:p w14:paraId="4FA614B7">
            <w:pPr>
              <w:spacing w:line="240" w:lineRule="exact"/>
              <w:jc w:val="left"/>
              <w:rPr>
                <w:rFonts w:hint="eastAsia" w:ascii="宋体" w:hAnsi="宋体" w:eastAsia="宋体" w:cs="宋体"/>
                <w:bCs/>
                <w:szCs w:val="22"/>
              </w:rPr>
            </w:pPr>
            <w:r>
              <w:rPr>
                <w:rFonts w:hint="eastAsia" w:ascii="宋体" w:hAnsi="宋体" w:eastAsia="宋体" w:cs="宋体"/>
                <w:bCs/>
                <w:szCs w:val="22"/>
              </w:rPr>
              <w:t>1.学生思想政治教育：我校体育运动发展概况、国家领导人与体育、奥运明星的励志故事、社会主义核心价值观与体育等；</w:t>
            </w:r>
          </w:p>
          <w:p w14:paraId="275D84CE">
            <w:pPr>
              <w:spacing w:line="240" w:lineRule="exact"/>
              <w:rPr>
                <w:rFonts w:hint="eastAsia" w:ascii="宋体" w:hAnsi="宋体" w:eastAsia="宋体" w:cs="宋体"/>
                <w:bCs/>
                <w:szCs w:val="22"/>
              </w:rPr>
            </w:pPr>
            <w:r>
              <w:rPr>
                <w:rFonts w:hint="eastAsia" w:ascii="宋体" w:hAnsi="宋体" w:eastAsia="宋体" w:cs="宋体"/>
                <w:bCs/>
                <w:szCs w:val="22"/>
              </w:rPr>
              <w:t>2.体育安全教育：我校体育课堂管理规定、体育运动伤害事故的安全教育及预防与处理措施、常见运动损伤的预防与处理等；</w:t>
            </w:r>
          </w:p>
          <w:p w14:paraId="3F15866E">
            <w:pPr>
              <w:spacing w:line="240" w:lineRule="exact"/>
              <w:rPr>
                <w:rFonts w:hint="eastAsia" w:ascii="宋体" w:hAnsi="宋体" w:eastAsia="宋体" w:cs="宋体"/>
                <w:bCs/>
                <w:szCs w:val="22"/>
              </w:rPr>
            </w:pPr>
            <w:r>
              <w:rPr>
                <w:rFonts w:hint="eastAsia" w:ascii="宋体" w:hAnsi="宋体" w:eastAsia="宋体" w:cs="宋体"/>
                <w:bCs/>
                <w:szCs w:val="22"/>
              </w:rPr>
              <w:t>3.体育基本理论：各运动项目的基本技战术知识、组织与竞赛、基本规则和裁判法，大学体育概述、</w:t>
            </w:r>
            <w:r>
              <w:rPr>
                <w:rFonts w:hint="eastAsia" w:ascii="宋体" w:hAnsi="宋体" w:eastAsia="宋体" w:cs="宋体"/>
                <w:szCs w:val="21"/>
              </w:rPr>
              <w:t xml:space="preserve">体育锻炼与健康、体质测量与评价。 </w:t>
            </w:r>
          </w:p>
          <w:p w14:paraId="14F423F0">
            <w:pPr>
              <w:spacing w:line="240" w:lineRule="exact"/>
              <w:jc w:val="left"/>
              <w:rPr>
                <w:rFonts w:hint="eastAsia" w:ascii="宋体" w:hAnsi="宋体" w:eastAsia="宋体" w:cs="宋体"/>
                <w:szCs w:val="21"/>
              </w:rPr>
            </w:pPr>
            <w:r>
              <w:rPr>
                <w:rFonts w:hint="eastAsia" w:ascii="宋体" w:hAnsi="宋体" w:eastAsia="宋体" w:cs="宋体"/>
                <w:b/>
                <w:szCs w:val="21"/>
              </w:rPr>
              <w:t>重点：</w:t>
            </w:r>
            <w:r>
              <w:rPr>
                <w:rFonts w:hint="eastAsia" w:ascii="宋体" w:hAnsi="宋体" w:eastAsia="宋体" w:cs="宋体"/>
                <w:szCs w:val="21"/>
              </w:rPr>
              <w:t>了解大学体育要求、体育安全教育等；</w:t>
            </w:r>
          </w:p>
          <w:p w14:paraId="74E68725">
            <w:pPr>
              <w:spacing w:line="240" w:lineRule="exact"/>
              <w:jc w:val="left"/>
              <w:rPr>
                <w:rFonts w:hint="eastAsia" w:ascii="宋体" w:hAnsi="宋体" w:eastAsia="宋体" w:cs="宋体"/>
                <w:szCs w:val="21"/>
              </w:rPr>
            </w:pPr>
            <w:r>
              <w:rPr>
                <w:rFonts w:hint="eastAsia" w:ascii="宋体" w:hAnsi="宋体" w:eastAsia="宋体" w:cs="宋体"/>
                <w:b/>
                <w:szCs w:val="21"/>
              </w:rPr>
              <w:t>难点：</w:t>
            </w:r>
            <w:r>
              <w:rPr>
                <w:rFonts w:hint="eastAsia" w:ascii="宋体" w:hAnsi="宋体" w:eastAsia="宋体" w:cs="宋体"/>
                <w:szCs w:val="21"/>
              </w:rPr>
              <w:t>理解和运用体育与健康知识，培养健康行为习惯。</w:t>
            </w:r>
          </w:p>
        </w:tc>
        <w:tc>
          <w:tcPr>
            <w:tcW w:w="541" w:type="pct"/>
            <w:noWrap w:val="0"/>
            <w:vAlign w:val="center"/>
          </w:tcPr>
          <w:p w14:paraId="4951FA6E">
            <w:pPr>
              <w:spacing w:line="240" w:lineRule="exact"/>
              <w:jc w:val="center"/>
              <w:rPr>
                <w:rFonts w:hint="eastAsia" w:ascii="宋体" w:hAnsi="宋体" w:eastAsia="宋体" w:cs="宋体"/>
                <w:kern w:val="0"/>
                <w:szCs w:val="21"/>
              </w:rPr>
            </w:pPr>
            <w:r>
              <w:rPr>
                <w:rFonts w:hint="eastAsia" w:ascii="宋体" w:hAnsi="宋体" w:eastAsia="宋体" w:cs="宋体"/>
                <w:kern w:val="0"/>
                <w:szCs w:val="21"/>
              </w:rPr>
              <w:t>理想信念、国家认同和</w:t>
            </w:r>
            <w:r>
              <w:rPr>
                <w:rFonts w:hint="eastAsia" w:ascii="宋体" w:hAnsi="宋体" w:eastAsia="宋体" w:cs="宋体"/>
                <w:szCs w:val="21"/>
              </w:rPr>
              <w:t>社会主义核心价值观等</w:t>
            </w:r>
            <w:r>
              <w:rPr>
                <w:rFonts w:hint="eastAsia" w:ascii="宋体" w:hAnsi="宋体" w:eastAsia="宋体" w:cs="宋体"/>
                <w:kern w:val="0"/>
                <w:szCs w:val="21"/>
              </w:rPr>
              <w:t>教育；健康中国教育。</w:t>
            </w:r>
          </w:p>
        </w:tc>
        <w:tc>
          <w:tcPr>
            <w:tcW w:w="1160" w:type="pct"/>
            <w:noWrap w:val="0"/>
            <w:vAlign w:val="center"/>
          </w:tcPr>
          <w:p w14:paraId="1B995F3B">
            <w:pPr>
              <w:autoSpaceDE w:val="0"/>
              <w:autoSpaceDN w:val="0"/>
              <w:adjustRightInd w:val="0"/>
              <w:spacing w:line="240" w:lineRule="exact"/>
              <w:jc w:val="left"/>
              <w:rPr>
                <w:rFonts w:hint="eastAsia" w:ascii="宋体" w:hAnsi="宋体" w:eastAsia="宋体" w:cs="宋体"/>
                <w:kern w:val="0"/>
                <w:szCs w:val="21"/>
              </w:rPr>
            </w:pPr>
            <w:r>
              <w:rPr>
                <w:rFonts w:hint="eastAsia" w:ascii="宋体" w:hAnsi="宋体" w:eastAsia="宋体" w:cs="宋体"/>
                <w:kern w:val="0"/>
                <w:szCs w:val="21"/>
              </w:rPr>
              <w:t>通过教学，使学生全方位了解我校体育工作、课程学习内容和要求，方便同学办理体育事宜、完成体育学习、发挥体育特长、丰富体育生活、激发学生奋发向上的意志品质和阳光心态；帮助学生树立“健康第一”的观念，养成体育锻炼习惯；培养学生家国情怀、社会责任感和良好的个人品质，发扬体育的力量。</w:t>
            </w:r>
          </w:p>
        </w:tc>
        <w:tc>
          <w:tcPr>
            <w:tcW w:w="386" w:type="pct"/>
            <w:noWrap w:val="0"/>
            <w:vAlign w:val="center"/>
          </w:tcPr>
          <w:p w14:paraId="19207F4E">
            <w:pPr>
              <w:jc w:val="center"/>
              <w:rPr>
                <w:rFonts w:hint="eastAsia" w:ascii="宋体" w:hAnsi="宋体" w:eastAsia="宋体" w:cs="宋体"/>
                <w:szCs w:val="21"/>
              </w:rPr>
            </w:pPr>
            <w:r>
              <w:rPr>
                <w:rFonts w:hint="eastAsia" w:ascii="宋体" w:hAnsi="宋体" w:eastAsia="宋体" w:cs="宋体"/>
                <w:szCs w:val="21"/>
              </w:rPr>
              <w:t>4</w:t>
            </w:r>
          </w:p>
        </w:tc>
        <w:tc>
          <w:tcPr>
            <w:tcW w:w="464" w:type="pct"/>
            <w:noWrap w:val="0"/>
            <w:vAlign w:val="center"/>
          </w:tcPr>
          <w:p w14:paraId="384ECD12">
            <w:pPr>
              <w:jc w:val="center"/>
              <w:rPr>
                <w:rFonts w:hint="eastAsia" w:ascii="宋体" w:hAnsi="宋体" w:eastAsia="宋体" w:cs="宋体"/>
                <w:szCs w:val="21"/>
              </w:rPr>
            </w:pPr>
            <w:r>
              <w:rPr>
                <w:rFonts w:hint="eastAsia" w:ascii="宋体" w:hAnsi="宋体" w:eastAsia="宋体" w:cs="宋体"/>
                <w:szCs w:val="21"/>
              </w:rPr>
              <w:t>讲授法</w:t>
            </w:r>
          </w:p>
        </w:tc>
        <w:tc>
          <w:tcPr>
            <w:tcW w:w="520" w:type="pct"/>
            <w:noWrap w:val="0"/>
            <w:vAlign w:val="center"/>
          </w:tcPr>
          <w:p w14:paraId="33613CDA">
            <w:pPr>
              <w:jc w:val="left"/>
              <w:rPr>
                <w:rFonts w:hint="eastAsia" w:ascii="宋体" w:hAnsi="宋体" w:eastAsia="宋体" w:cs="宋体"/>
                <w:szCs w:val="21"/>
              </w:rPr>
            </w:pPr>
            <w:r>
              <w:rPr>
                <w:rFonts w:hint="eastAsia" w:ascii="宋体" w:hAnsi="宋体" w:eastAsia="宋体" w:cs="宋体"/>
                <w:szCs w:val="21"/>
              </w:rPr>
              <w:t>目标1目标2</w:t>
            </w:r>
          </w:p>
        </w:tc>
      </w:tr>
      <w:tr w14:paraId="2D9A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55B953C4">
            <w:pPr>
              <w:jc w:val="center"/>
              <w:rPr>
                <w:rFonts w:hint="eastAsia" w:ascii="宋体" w:hAnsi="宋体" w:eastAsia="宋体" w:cs="宋体"/>
                <w:szCs w:val="21"/>
              </w:rPr>
            </w:pPr>
            <w:r>
              <w:rPr>
                <w:rFonts w:hint="eastAsia" w:ascii="宋体" w:hAnsi="宋体" w:eastAsia="宋体" w:cs="宋体"/>
                <w:szCs w:val="21"/>
              </w:rPr>
              <w:t>2</w:t>
            </w:r>
          </w:p>
        </w:tc>
        <w:tc>
          <w:tcPr>
            <w:tcW w:w="1623" w:type="pct"/>
            <w:noWrap w:val="0"/>
            <w:vAlign w:val="center"/>
          </w:tcPr>
          <w:p w14:paraId="7012E0E0">
            <w:pPr>
              <w:spacing w:line="240" w:lineRule="exact"/>
              <w:jc w:val="left"/>
              <w:rPr>
                <w:rFonts w:hint="eastAsia" w:ascii="宋体" w:hAnsi="宋体" w:eastAsia="宋体" w:cs="宋体"/>
                <w:b/>
                <w:szCs w:val="21"/>
              </w:rPr>
            </w:pPr>
            <w:r>
              <w:rPr>
                <w:rFonts w:hint="eastAsia" w:ascii="宋体" w:hAnsi="宋体" w:eastAsia="宋体" w:cs="宋体"/>
                <w:b/>
                <w:szCs w:val="21"/>
              </w:rPr>
              <w:t>㈡实践部分：</w:t>
            </w:r>
          </w:p>
          <w:p w14:paraId="355C1BCC">
            <w:pPr>
              <w:spacing w:line="240" w:lineRule="exact"/>
              <w:rPr>
                <w:rFonts w:hint="eastAsia" w:ascii="宋体" w:hAnsi="宋体" w:eastAsia="宋体" w:cs="宋体"/>
                <w:bCs/>
                <w:szCs w:val="22"/>
              </w:rPr>
            </w:pPr>
            <w:r>
              <w:rPr>
                <w:rFonts w:hint="eastAsia" w:ascii="宋体" w:hAnsi="宋体" w:eastAsia="宋体" w:cs="宋体"/>
                <w:bCs/>
                <w:szCs w:val="22"/>
              </w:rPr>
              <w:t>1.各运动项目和身体素质为主，主要包括篮球、足球、五人制足球、排球、乒乓球、排舞(女)、武术、散打、健美操(女)、排舞(女)、花样跳绳、飞盘和体育保健等。</w:t>
            </w:r>
          </w:p>
          <w:p w14:paraId="1E49A3B8">
            <w:pPr>
              <w:spacing w:line="240" w:lineRule="exact"/>
              <w:rPr>
                <w:rFonts w:hint="eastAsia" w:ascii="宋体" w:hAnsi="宋体" w:eastAsia="宋体" w:cs="宋体"/>
                <w:bCs/>
                <w:szCs w:val="22"/>
              </w:rPr>
            </w:pPr>
            <w:r>
              <w:rPr>
                <w:rFonts w:hint="eastAsia" w:ascii="宋体" w:hAnsi="宋体" w:eastAsia="宋体" w:cs="宋体"/>
                <w:bCs/>
                <w:szCs w:val="22"/>
              </w:rPr>
              <w:t>2.健康标准测试和发展体能</w:t>
            </w:r>
          </w:p>
          <w:p w14:paraId="2D5C6E71">
            <w:pPr>
              <w:spacing w:line="240" w:lineRule="exact"/>
              <w:rPr>
                <w:rFonts w:hint="eastAsia" w:ascii="宋体" w:hAnsi="宋体" w:eastAsia="宋体" w:cs="宋体"/>
                <w:bCs/>
                <w:szCs w:val="22"/>
              </w:rPr>
            </w:pPr>
            <w:r>
              <w:rPr>
                <w:rFonts w:hint="eastAsia" w:ascii="宋体" w:hAnsi="宋体" w:eastAsia="宋体" w:cs="宋体"/>
                <w:b/>
                <w:bCs/>
                <w:szCs w:val="22"/>
              </w:rPr>
              <w:t>重点：</w:t>
            </w:r>
            <w:r>
              <w:rPr>
                <w:rFonts w:hint="eastAsia" w:ascii="宋体" w:hAnsi="宋体" w:eastAsia="宋体" w:cs="宋体"/>
                <w:bCs/>
                <w:szCs w:val="22"/>
              </w:rPr>
              <w:t>掌握所学项目基本技能、规则及锻炼方法。</w:t>
            </w:r>
          </w:p>
          <w:p w14:paraId="40FEC218">
            <w:pPr>
              <w:spacing w:line="240" w:lineRule="exact"/>
              <w:rPr>
                <w:rFonts w:hint="eastAsia" w:ascii="宋体" w:hAnsi="宋体" w:eastAsia="宋体" w:cs="宋体"/>
                <w:bCs/>
                <w:szCs w:val="22"/>
              </w:rPr>
            </w:pPr>
            <w:r>
              <w:rPr>
                <w:rFonts w:hint="eastAsia" w:ascii="宋体" w:hAnsi="宋体" w:eastAsia="宋体" w:cs="宋体"/>
                <w:b/>
                <w:bCs/>
                <w:szCs w:val="22"/>
              </w:rPr>
              <w:t>难点：</w:t>
            </w:r>
            <w:r>
              <w:rPr>
                <w:rFonts w:hint="eastAsia" w:ascii="宋体" w:hAnsi="宋体" w:eastAsia="宋体" w:cs="宋体"/>
                <w:bCs/>
                <w:szCs w:val="22"/>
              </w:rPr>
              <w:t>学会运用所学项目技能，自主和自觉锻炼意识，发展体育精神、健全人格。</w:t>
            </w:r>
          </w:p>
        </w:tc>
        <w:tc>
          <w:tcPr>
            <w:tcW w:w="541" w:type="pct"/>
            <w:noWrap w:val="0"/>
            <w:vAlign w:val="center"/>
          </w:tcPr>
          <w:p w14:paraId="4BB182E8">
            <w:pPr>
              <w:widowControl/>
              <w:spacing w:line="240" w:lineRule="exact"/>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kern w:val="0"/>
                <w:szCs w:val="21"/>
              </w:rPr>
              <w:t>爱国主义和集体主义教育；体育道德观、意志品德培育；遵纪守则和诚信意识教育。</w:t>
            </w:r>
          </w:p>
        </w:tc>
        <w:tc>
          <w:tcPr>
            <w:tcW w:w="1160" w:type="pct"/>
            <w:noWrap w:val="0"/>
            <w:vAlign w:val="center"/>
          </w:tcPr>
          <w:p w14:paraId="545BF9F2">
            <w:pPr>
              <w:spacing w:line="240" w:lineRule="exact"/>
              <w:jc w:val="left"/>
              <w:rPr>
                <w:rFonts w:hint="eastAsia" w:ascii="宋体" w:hAnsi="宋体" w:eastAsia="宋体" w:cs="宋体"/>
                <w:szCs w:val="21"/>
              </w:rPr>
            </w:pPr>
            <w:r>
              <w:rPr>
                <w:rFonts w:hint="eastAsia" w:ascii="宋体" w:hAnsi="宋体" w:eastAsia="宋体" w:cs="宋体"/>
                <w:szCs w:val="21"/>
              </w:rPr>
              <w:t>通过学习，使学生了解和掌握所选运动项目基本知识、基本技术和锻炼方法；发展身体素质，增强体质；提升人际交往能力，提高竞争、合作意识和社会责任感；遵守规则和诚信自律，形成健康的生活方式和积极进取且充满活力的人生态度。</w:t>
            </w:r>
          </w:p>
        </w:tc>
        <w:tc>
          <w:tcPr>
            <w:tcW w:w="386" w:type="pct"/>
            <w:noWrap w:val="0"/>
            <w:vAlign w:val="center"/>
          </w:tcPr>
          <w:p w14:paraId="34473DD2">
            <w:pPr>
              <w:jc w:val="center"/>
              <w:rPr>
                <w:rFonts w:hint="eastAsia" w:ascii="宋体" w:hAnsi="宋体" w:eastAsia="宋体" w:cs="宋体"/>
                <w:szCs w:val="21"/>
              </w:rPr>
            </w:pPr>
            <w:r>
              <w:rPr>
                <w:rFonts w:hint="eastAsia" w:ascii="宋体" w:hAnsi="宋体" w:eastAsia="宋体" w:cs="宋体"/>
                <w:szCs w:val="21"/>
              </w:rPr>
              <w:t>26</w:t>
            </w:r>
          </w:p>
        </w:tc>
        <w:tc>
          <w:tcPr>
            <w:tcW w:w="464" w:type="pct"/>
            <w:noWrap w:val="0"/>
            <w:vAlign w:val="center"/>
          </w:tcPr>
          <w:p w14:paraId="2069053B">
            <w:pPr>
              <w:jc w:val="center"/>
              <w:rPr>
                <w:rFonts w:hint="eastAsia" w:ascii="宋体" w:hAnsi="宋体" w:eastAsia="宋体" w:cs="宋体"/>
                <w:szCs w:val="21"/>
              </w:rPr>
            </w:pPr>
            <w:r>
              <w:rPr>
                <w:rFonts w:hint="eastAsia" w:ascii="宋体" w:hAnsi="宋体" w:eastAsia="宋体" w:cs="宋体"/>
                <w:szCs w:val="21"/>
              </w:rPr>
              <w:t>讲授、演示、练习法等</w:t>
            </w:r>
          </w:p>
        </w:tc>
        <w:tc>
          <w:tcPr>
            <w:tcW w:w="520" w:type="pct"/>
            <w:noWrap w:val="0"/>
            <w:vAlign w:val="center"/>
          </w:tcPr>
          <w:p w14:paraId="1CD00E35">
            <w:pPr>
              <w:jc w:val="left"/>
              <w:rPr>
                <w:rFonts w:hint="eastAsia" w:ascii="宋体" w:hAnsi="宋体" w:eastAsia="宋体" w:cs="宋体"/>
                <w:szCs w:val="21"/>
              </w:rPr>
            </w:pPr>
            <w:r>
              <w:rPr>
                <w:rFonts w:hint="eastAsia" w:ascii="宋体" w:hAnsi="宋体" w:eastAsia="宋体" w:cs="宋体"/>
                <w:szCs w:val="21"/>
              </w:rPr>
              <w:t>目标1</w:t>
            </w:r>
          </w:p>
          <w:p w14:paraId="24116B75">
            <w:pPr>
              <w:jc w:val="left"/>
              <w:rPr>
                <w:rFonts w:hint="eastAsia" w:ascii="宋体" w:hAnsi="宋体" w:eastAsia="宋体" w:cs="宋体"/>
                <w:szCs w:val="21"/>
              </w:rPr>
            </w:pPr>
            <w:r>
              <w:rPr>
                <w:rFonts w:hint="eastAsia" w:ascii="宋体" w:hAnsi="宋体" w:eastAsia="宋体" w:cs="宋体"/>
                <w:szCs w:val="21"/>
              </w:rPr>
              <w:t>目标2</w:t>
            </w:r>
          </w:p>
        </w:tc>
      </w:tr>
    </w:tbl>
    <w:p w14:paraId="398E9BE8">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四、课程实施</w:t>
      </w:r>
    </w:p>
    <w:p w14:paraId="4D10C59A">
      <w:pPr>
        <w:spacing w:before="180" w:beforeLines="50" w:after="180" w:afterLines="50" w:line="360" w:lineRule="auto"/>
        <w:ind w:firstLine="482" w:firstLineChars="200"/>
        <w:jc w:val="left"/>
        <w:rPr>
          <w:rFonts w:hint="eastAsia" w:ascii="宋体" w:hAnsi="宋体" w:eastAsia="宋体" w:cs="宋体"/>
          <w:b/>
          <w:sz w:val="24"/>
          <w:szCs w:val="22"/>
        </w:rPr>
      </w:pPr>
      <w:r>
        <w:rPr>
          <w:rFonts w:hint="eastAsia" w:ascii="宋体" w:hAnsi="宋体" w:eastAsia="宋体" w:cs="宋体"/>
          <w:b/>
          <w:sz w:val="24"/>
          <w:szCs w:val="22"/>
        </w:rPr>
        <w:t>（一）教学方法与手段</w:t>
      </w:r>
    </w:p>
    <w:p w14:paraId="029C72B2">
      <w:pPr>
        <w:spacing w:before="180" w:beforeLines="50" w:after="180" w:afterLines="50"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 xml:space="preserve">1．本课程以实践教学为主，教学方法与手段的运用要考虑到学生的实际情况，从实际出发，因材施教，注意区别对待，激发学生学习兴趣，着重培养学生自学、自练、自评、互评等能力。  </w:t>
      </w:r>
    </w:p>
    <w:p w14:paraId="48E1DA5F">
      <w:pPr>
        <w:spacing w:before="180" w:beforeLines="50" w:after="180" w:afterLines="50"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2．教学方法与手段的运用合理，注意防止伤害事故发生，重视学生自我保护能力培养。 </w:t>
      </w:r>
    </w:p>
    <w:p w14:paraId="56BD32BE">
      <w:pPr>
        <w:spacing w:before="180" w:beforeLines="50" w:after="180" w:afterLines="50"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3．针对体育教学的特点，本课程将采用：讲解法、示范法、完整法、分解法、集体练习、小组练习等教学方法，并利用多媒体教学方式，提高学生的欣赏能力、让学生更加深刻的了解所学项目。</w:t>
      </w:r>
    </w:p>
    <w:p w14:paraId="0D55D240">
      <w:pPr>
        <w:spacing w:line="360" w:lineRule="auto"/>
        <w:ind w:firstLine="482" w:firstLineChars="200"/>
        <w:rPr>
          <w:rFonts w:hint="eastAsia" w:ascii="宋体" w:hAnsi="宋体" w:eastAsia="宋体" w:cs="宋体"/>
          <w:b/>
          <w:sz w:val="24"/>
          <w:szCs w:val="22"/>
        </w:rPr>
      </w:pPr>
      <w:r>
        <w:rPr>
          <w:rFonts w:hint="eastAsia" w:ascii="宋体" w:hAnsi="宋体" w:eastAsia="宋体" w:cs="宋体"/>
          <w:b/>
          <w:sz w:val="24"/>
          <w:szCs w:val="22"/>
        </w:rPr>
        <w:t>（二）课程实施与保障</w:t>
      </w:r>
    </w:p>
    <w:tbl>
      <w:tblPr>
        <w:tblStyle w:val="1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11"/>
        <w:gridCol w:w="6781"/>
      </w:tblGrid>
      <w:tr w14:paraId="4824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dxa"/>
            <w:gridSpan w:val="2"/>
            <w:tcBorders>
              <w:top w:val="single" w:color="auto" w:sz="8" w:space="0"/>
              <w:left w:val="single" w:color="auto" w:sz="8" w:space="0"/>
              <w:right w:val="single" w:color="auto" w:sz="8" w:space="0"/>
            </w:tcBorders>
            <w:noWrap w:val="0"/>
            <w:tcMar>
              <w:left w:w="28" w:type="dxa"/>
              <w:right w:w="28" w:type="dxa"/>
            </w:tcMar>
            <w:vAlign w:val="center"/>
          </w:tcPr>
          <w:p w14:paraId="08480F53">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主要教学环节</w:t>
            </w:r>
          </w:p>
        </w:tc>
        <w:tc>
          <w:tcPr>
            <w:tcW w:w="6781" w:type="dxa"/>
            <w:tcBorders>
              <w:top w:val="single" w:color="auto" w:sz="8" w:space="0"/>
              <w:left w:val="single" w:color="auto" w:sz="8" w:space="0"/>
              <w:right w:val="single" w:color="auto" w:sz="8" w:space="0"/>
            </w:tcBorders>
            <w:noWrap w:val="0"/>
            <w:vAlign w:val="center"/>
          </w:tcPr>
          <w:p w14:paraId="201F5BEC">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质量要求</w:t>
            </w:r>
          </w:p>
        </w:tc>
      </w:tr>
      <w:tr w14:paraId="2F74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3355C2AA">
            <w:pPr>
              <w:spacing w:line="276" w:lineRule="auto"/>
              <w:jc w:val="center"/>
              <w:rPr>
                <w:rFonts w:hint="eastAsia" w:ascii="宋体" w:hAnsi="宋体" w:eastAsia="宋体" w:cs="宋体"/>
                <w:sz w:val="24"/>
                <w:szCs w:val="22"/>
              </w:rPr>
            </w:pPr>
            <w:r>
              <w:rPr>
                <w:rFonts w:hint="eastAsia" w:ascii="宋体" w:hAnsi="宋体" w:eastAsia="宋体" w:cs="宋体"/>
                <w:sz w:val="24"/>
                <w:szCs w:val="22"/>
              </w:rPr>
              <w:t>1</w:t>
            </w:r>
          </w:p>
        </w:tc>
        <w:tc>
          <w:tcPr>
            <w:tcW w:w="1111" w:type="dxa"/>
            <w:noWrap w:val="0"/>
            <w:tcMar>
              <w:left w:w="28" w:type="dxa"/>
              <w:right w:w="28" w:type="dxa"/>
            </w:tcMar>
            <w:vAlign w:val="center"/>
          </w:tcPr>
          <w:p w14:paraId="56D6A4A8">
            <w:pPr>
              <w:spacing w:line="276" w:lineRule="auto"/>
              <w:jc w:val="center"/>
              <w:rPr>
                <w:rFonts w:hint="eastAsia" w:ascii="宋体" w:hAnsi="宋体" w:eastAsia="宋体" w:cs="宋体"/>
                <w:sz w:val="24"/>
                <w:szCs w:val="22"/>
              </w:rPr>
            </w:pPr>
            <w:r>
              <w:rPr>
                <w:rFonts w:hint="eastAsia" w:ascii="宋体" w:hAnsi="宋体" w:eastAsia="宋体" w:cs="宋体"/>
                <w:sz w:val="24"/>
                <w:szCs w:val="22"/>
              </w:rPr>
              <w:t>备课</w:t>
            </w:r>
          </w:p>
        </w:tc>
        <w:tc>
          <w:tcPr>
            <w:tcW w:w="6781" w:type="dxa"/>
            <w:tcBorders>
              <w:right w:val="single" w:color="auto" w:sz="8" w:space="0"/>
            </w:tcBorders>
            <w:noWrap w:val="0"/>
            <w:vAlign w:val="center"/>
          </w:tcPr>
          <w:p w14:paraId="063BC1BF">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1.掌握本课程教学大纲内容，严格按照教学大纲要求进行本课程教学内容的组织；</w:t>
            </w:r>
          </w:p>
          <w:p w14:paraId="714F2340">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2.熟悉教材各章节，借助相关专业书籍资料，并依据教学大纲编写授课计划；</w:t>
            </w:r>
          </w:p>
          <w:p w14:paraId="4DA0D29B">
            <w:pPr>
              <w:autoSpaceDE w:val="0"/>
              <w:autoSpaceDN w:val="0"/>
              <w:adjustRightInd w:val="0"/>
              <w:snapToGrid w:val="0"/>
              <w:spacing w:line="300" w:lineRule="exact"/>
              <w:jc w:val="left"/>
              <w:rPr>
                <w:rFonts w:hint="eastAsia" w:ascii="宋体" w:hAnsi="宋体" w:eastAsia="宋体" w:cs="宋体"/>
                <w:spacing w:val="-8"/>
                <w:kern w:val="0"/>
                <w:sz w:val="22"/>
                <w:szCs w:val="22"/>
              </w:rPr>
            </w:pPr>
            <w:r>
              <w:rPr>
                <w:rFonts w:hint="eastAsia" w:ascii="宋体" w:hAnsi="宋体" w:eastAsia="宋体" w:cs="宋体"/>
                <w:spacing w:val="-8"/>
                <w:kern w:val="0"/>
                <w:sz w:val="22"/>
                <w:szCs w:val="22"/>
              </w:rPr>
              <w:t xml:space="preserve">3.结合课程特点，制作课件，运用多媒体教学手段讲授部分教学内容； </w:t>
            </w:r>
          </w:p>
          <w:p w14:paraId="4B447287">
            <w:pPr>
              <w:autoSpaceDE w:val="0"/>
              <w:autoSpaceDN w:val="0"/>
              <w:adjustRightInd w:val="0"/>
              <w:snapToGrid w:val="0"/>
              <w:spacing w:line="300" w:lineRule="exact"/>
              <w:jc w:val="left"/>
              <w:rPr>
                <w:rFonts w:hint="eastAsia" w:ascii="宋体" w:hAnsi="宋体" w:eastAsia="宋体" w:cs="宋体"/>
                <w:sz w:val="24"/>
                <w:szCs w:val="22"/>
              </w:rPr>
            </w:pPr>
            <w:r>
              <w:rPr>
                <w:rFonts w:hint="eastAsia" w:ascii="宋体" w:hAnsi="宋体" w:eastAsia="宋体" w:cs="宋体"/>
                <w:kern w:val="0"/>
                <w:sz w:val="22"/>
                <w:szCs w:val="22"/>
              </w:rPr>
              <w:t>4.确定各章节课程内容的教学方法，构思授课思路、技巧和方法。</w:t>
            </w:r>
          </w:p>
        </w:tc>
      </w:tr>
      <w:tr w14:paraId="7A8E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6D94420D">
            <w:pPr>
              <w:spacing w:line="276" w:lineRule="auto"/>
              <w:jc w:val="center"/>
              <w:rPr>
                <w:rFonts w:hint="eastAsia" w:ascii="宋体" w:hAnsi="宋体" w:eastAsia="宋体" w:cs="宋体"/>
                <w:sz w:val="24"/>
                <w:szCs w:val="22"/>
              </w:rPr>
            </w:pPr>
            <w:r>
              <w:rPr>
                <w:rFonts w:hint="eastAsia" w:ascii="宋体" w:hAnsi="宋体" w:eastAsia="宋体" w:cs="宋体"/>
                <w:sz w:val="24"/>
                <w:szCs w:val="22"/>
              </w:rPr>
              <w:t>2</w:t>
            </w:r>
          </w:p>
        </w:tc>
        <w:tc>
          <w:tcPr>
            <w:tcW w:w="1111" w:type="dxa"/>
            <w:noWrap w:val="0"/>
            <w:tcMar>
              <w:left w:w="28" w:type="dxa"/>
              <w:right w:w="28" w:type="dxa"/>
            </w:tcMar>
            <w:vAlign w:val="center"/>
          </w:tcPr>
          <w:p w14:paraId="60D8370D">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讲授</w:t>
            </w:r>
          </w:p>
        </w:tc>
        <w:tc>
          <w:tcPr>
            <w:tcW w:w="6781" w:type="dxa"/>
            <w:tcBorders>
              <w:right w:val="single" w:color="auto" w:sz="8" w:space="0"/>
            </w:tcBorders>
            <w:noWrap w:val="0"/>
            <w:vAlign w:val="center"/>
          </w:tcPr>
          <w:p w14:paraId="3CFF6076">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w:t>
            </w:r>
            <w:r>
              <w:rPr>
                <w:rFonts w:hint="eastAsia" w:ascii="宋体" w:hAnsi="宋体" w:eastAsia="宋体" w:cs="宋体"/>
                <w:szCs w:val="22"/>
              </w:rPr>
              <w:t>满足需要，发展个性；</w:t>
            </w:r>
            <w:r>
              <w:rPr>
                <w:rFonts w:hint="eastAsia" w:ascii="宋体" w:hAnsi="宋体" w:eastAsia="宋体" w:cs="宋体"/>
                <w:kern w:val="0"/>
                <w:sz w:val="22"/>
                <w:szCs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7AEF39EA">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2.采用多种教学方式（如启发式教学、导学式、发现式等），精讲多练，培养学生自学、自练、自评、互评等能力。</w:t>
            </w:r>
          </w:p>
          <w:p w14:paraId="2BCDF0AC">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7CCD06E3">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4.区别对待，因材施教。重视安全和关心基础较差的学生成长。</w:t>
            </w:r>
          </w:p>
          <w:p w14:paraId="520FCDFA">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5.教学中教师要以身作则，言传身教，做到既教学又育人。培养学生的优良品质，达到身心全面发展。</w:t>
            </w:r>
          </w:p>
        </w:tc>
      </w:tr>
      <w:tr w14:paraId="5427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3F16E4FB">
            <w:pPr>
              <w:spacing w:line="276" w:lineRule="auto"/>
              <w:jc w:val="center"/>
              <w:rPr>
                <w:rFonts w:hint="eastAsia" w:ascii="宋体" w:hAnsi="宋体" w:eastAsia="宋体" w:cs="宋体"/>
                <w:sz w:val="24"/>
                <w:szCs w:val="22"/>
              </w:rPr>
            </w:pPr>
            <w:r>
              <w:rPr>
                <w:rFonts w:hint="eastAsia" w:ascii="宋体" w:hAnsi="宋体" w:eastAsia="宋体" w:cs="宋体"/>
                <w:sz w:val="24"/>
                <w:szCs w:val="22"/>
              </w:rPr>
              <w:t>3</w:t>
            </w:r>
          </w:p>
        </w:tc>
        <w:tc>
          <w:tcPr>
            <w:tcW w:w="1111" w:type="dxa"/>
            <w:noWrap w:val="0"/>
            <w:tcMar>
              <w:left w:w="28" w:type="dxa"/>
              <w:right w:w="28" w:type="dxa"/>
            </w:tcMar>
            <w:vAlign w:val="center"/>
          </w:tcPr>
          <w:p w14:paraId="15081C47">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课外练习</w:t>
            </w:r>
          </w:p>
        </w:tc>
        <w:tc>
          <w:tcPr>
            <w:tcW w:w="6781" w:type="dxa"/>
            <w:tcBorders>
              <w:right w:val="single" w:color="auto" w:sz="8" w:space="0"/>
            </w:tcBorders>
            <w:noWrap w:val="0"/>
            <w:vAlign w:val="center"/>
          </w:tcPr>
          <w:p w14:paraId="24E5FB6D">
            <w:pPr>
              <w:autoSpaceDE w:val="0"/>
              <w:autoSpaceDN w:val="0"/>
              <w:adjustRightInd w:val="0"/>
              <w:snapToGrid w:val="0"/>
              <w:spacing w:line="30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课外练习是教师布置课外练习内容，重点要求学生利用课余时间巩固课堂上所学的技术动作，形成正确的动力定型，同时要求学生加强身体素质练习。</w:t>
            </w:r>
          </w:p>
        </w:tc>
      </w:tr>
      <w:tr w14:paraId="6139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284E1738">
            <w:pPr>
              <w:spacing w:line="276" w:lineRule="auto"/>
              <w:jc w:val="center"/>
              <w:rPr>
                <w:rFonts w:hint="eastAsia" w:ascii="宋体" w:hAnsi="宋体" w:eastAsia="宋体" w:cs="宋体"/>
                <w:sz w:val="24"/>
                <w:szCs w:val="22"/>
              </w:rPr>
            </w:pPr>
            <w:r>
              <w:rPr>
                <w:rFonts w:hint="eastAsia" w:ascii="宋体" w:hAnsi="宋体" w:eastAsia="宋体" w:cs="宋体"/>
                <w:sz w:val="24"/>
                <w:szCs w:val="22"/>
              </w:rPr>
              <w:t>4</w:t>
            </w:r>
          </w:p>
        </w:tc>
        <w:tc>
          <w:tcPr>
            <w:tcW w:w="1111" w:type="dxa"/>
            <w:noWrap w:val="0"/>
            <w:tcMar>
              <w:left w:w="28" w:type="dxa"/>
              <w:right w:w="28" w:type="dxa"/>
            </w:tcMar>
            <w:vAlign w:val="center"/>
          </w:tcPr>
          <w:p w14:paraId="60BA55C9">
            <w:pPr>
              <w:spacing w:line="276" w:lineRule="auto"/>
              <w:jc w:val="center"/>
              <w:rPr>
                <w:rFonts w:hint="eastAsia" w:ascii="宋体" w:hAnsi="宋体" w:eastAsia="宋体" w:cs="宋体"/>
                <w:sz w:val="24"/>
                <w:szCs w:val="22"/>
              </w:rPr>
            </w:pPr>
            <w:r>
              <w:rPr>
                <w:rFonts w:hint="eastAsia" w:ascii="宋体" w:hAnsi="宋体" w:eastAsia="宋体" w:cs="宋体"/>
                <w:sz w:val="24"/>
                <w:szCs w:val="22"/>
              </w:rPr>
              <w:t>成绩考核</w:t>
            </w:r>
          </w:p>
        </w:tc>
        <w:tc>
          <w:tcPr>
            <w:tcW w:w="6781" w:type="dxa"/>
            <w:tcBorders>
              <w:right w:val="single" w:color="auto" w:sz="8" w:space="0"/>
            </w:tcBorders>
            <w:noWrap w:val="0"/>
            <w:vAlign w:val="center"/>
          </w:tcPr>
          <w:p w14:paraId="5CE2C3B7">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本课程考核的方式：考试。总评成绩的评定见课程评分方案。有下列情况之一者，总评成绩为不及格：</w:t>
            </w:r>
          </w:p>
          <w:p w14:paraId="3258AF28">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1.课外体育锻炼不合格者；</w:t>
            </w:r>
          </w:p>
          <w:p w14:paraId="01762F32">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2.缺课次数达本学期总授课学时的1/3以上者；</w:t>
            </w:r>
          </w:p>
        </w:tc>
      </w:tr>
    </w:tbl>
    <w:p w14:paraId="480841F4">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五、课程考核</w:t>
      </w:r>
    </w:p>
    <w:p w14:paraId="67C8A32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（一）课程考核由期末考试和平时考核构成，期末考试采用随堂方式。</w:t>
      </w:r>
    </w:p>
    <w:p w14:paraId="4A83E01C">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（二）课程总评成绩=平时成绩50%+期末考试50%，平时成绩=课堂表现10%+课外锻炼20%+体质测试20%。</w:t>
      </w:r>
    </w:p>
    <w:p w14:paraId="0D779DBB">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具体内容和比例如表所示：</w:t>
      </w:r>
    </w:p>
    <w:tbl>
      <w:tblPr>
        <w:tblStyle w:val="1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6516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7667C4AD">
            <w:pPr>
              <w:jc w:val="center"/>
              <w:rPr>
                <w:rFonts w:hint="eastAsia" w:ascii="宋体" w:hAnsi="宋体" w:eastAsia="宋体" w:cs="宋体"/>
                <w:szCs w:val="21"/>
              </w:rPr>
            </w:pPr>
            <w:r>
              <w:rPr>
                <w:rFonts w:hint="eastAsia" w:ascii="宋体" w:hAnsi="宋体" w:eastAsia="宋体" w:cs="宋体"/>
                <w:szCs w:val="21"/>
              </w:rPr>
              <w:t>成绩组成</w:t>
            </w:r>
          </w:p>
        </w:tc>
        <w:tc>
          <w:tcPr>
            <w:tcW w:w="1301" w:type="dxa"/>
            <w:shd w:val="clear" w:color="auto" w:fill="FFFFFF"/>
            <w:noWrap w:val="0"/>
            <w:vAlign w:val="center"/>
          </w:tcPr>
          <w:p w14:paraId="28F6A931">
            <w:pPr>
              <w:jc w:val="center"/>
              <w:rPr>
                <w:rFonts w:hint="eastAsia" w:ascii="宋体" w:hAnsi="宋体" w:eastAsia="宋体" w:cs="宋体"/>
                <w:szCs w:val="21"/>
              </w:rPr>
            </w:pPr>
            <w:r>
              <w:rPr>
                <w:rFonts w:hint="eastAsia" w:ascii="宋体" w:hAnsi="宋体" w:eastAsia="宋体" w:cs="宋体"/>
                <w:szCs w:val="21"/>
              </w:rPr>
              <w:t>考核/评价环节</w:t>
            </w:r>
          </w:p>
        </w:tc>
        <w:tc>
          <w:tcPr>
            <w:tcW w:w="741" w:type="dxa"/>
            <w:shd w:val="clear" w:color="auto" w:fill="FFFFFF"/>
            <w:noWrap w:val="0"/>
            <w:vAlign w:val="center"/>
          </w:tcPr>
          <w:p w14:paraId="13B265BA">
            <w:pPr>
              <w:jc w:val="center"/>
              <w:rPr>
                <w:rFonts w:hint="eastAsia" w:ascii="宋体" w:hAnsi="宋体" w:eastAsia="宋体" w:cs="宋体"/>
                <w:szCs w:val="21"/>
              </w:rPr>
            </w:pPr>
            <w:r>
              <w:rPr>
                <w:rFonts w:hint="eastAsia" w:ascii="宋体" w:hAnsi="宋体" w:eastAsia="宋体" w:cs="宋体"/>
                <w:szCs w:val="21"/>
              </w:rPr>
              <w:t>权重</w:t>
            </w:r>
          </w:p>
        </w:tc>
        <w:tc>
          <w:tcPr>
            <w:tcW w:w="4086" w:type="dxa"/>
            <w:shd w:val="clear" w:color="auto" w:fill="FFFFFF"/>
            <w:noWrap w:val="0"/>
            <w:vAlign w:val="center"/>
          </w:tcPr>
          <w:p w14:paraId="6D1B6190">
            <w:pPr>
              <w:jc w:val="center"/>
              <w:rPr>
                <w:rFonts w:hint="eastAsia" w:ascii="宋体" w:hAnsi="宋体" w:eastAsia="宋体" w:cs="宋体"/>
                <w:szCs w:val="21"/>
              </w:rPr>
            </w:pPr>
            <w:r>
              <w:rPr>
                <w:rFonts w:hint="eastAsia" w:ascii="宋体" w:hAnsi="宋体" w:eastAsia="宋体" w:cs="宋体"/>
                <w:szCs w:val="21"/>
              </w:rPr>
              <w:t>考核/评价细则</w:t>
            </w:r>
          </w:p>
        </w:tc>
        <w:tc>
          <w:tcPr>
            <w:tcW w:w="1310" w:type="dxa"/>
            <w:shd w:val="clear" w:color="auto" w:fill="FFFFFF"/>
            <w:noWrap w:val="0"/>
            <w:vAlign w:val="center"/>
          </w:tcPr>
          <w:p w14:paraId="3D7C6380">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0605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49D9CB2B">
            <w:pPr>
              <w:jc w:val="center"/>
              <w:rPr>
                <w:rFonts w:hint="eastAsia" w:ascii="宋体" w:hAnsi="宋体" w:eastAsia="宋体" w:cs="宋体"/>
                <w:szCs w:val="21"/>
              </w:rPr>
            </w:pPr>
            <w:r>
              <w:rPr>
                <w:rFonts w:hint="eastAsia" w:ascii="宋体" w:hAnsi="宋体" w:eastAsia="宋体" w:cs="宋体"/>
                <w:szCs w:val="21"/>
              </w:rPr>
              <w:t>平时成绩</w:t>
            </w:r>
          </w:p>
          <w:p w14:paraId="2DB7947C">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5143A0D5">
            <w:pPr>
              <w:spacing w:line="276" w:lineRule="auto"/>
              <w:jc w:val="center"/>
              <w:rPr>
                <w:rFonts w:hint="eastAsia" w:ascii="宋体" w:hAnsi="宋体" w:eastAsia="宋体" w:cs="宋体"/>
                <w:szCs w:val="21"/>
              </w:rPr>
            </w:pPr>
            <w:r>
              <w:rPr>
                <w:rFonts w:hint="eastAsia" w:ascii="宋体" w:hAnsi="宋体" w:eastAsia="宋体" w:cs="宋体"/>
                <w:szCs w:val="21"/>
              </w:rPr>
              <w:t>课堂表现</w:t>
            </w:r>
          </w:p>
        </w:tc>
        <w:tc>
          <w:tcPr>
            <w:tcW w:w="741" w:type="dxa"/>
            <w:noWrap w:val="0"/>
            <w:vAlign w:val="center"/>
          </w:tcPr>
          <w:p w14:paraId="469CCF01">
            <w:pPr>
              <w:rPr>
                <w:rFonts w:hint="eastAsia" w:ascii="宋体" w:hAnsi="宋体" w:eastAsia="宋体" w:cs="宋体"/>
                <w:szCs w:val="21"/>
              </w:rPr>
            </w:pPr>
            <w:r>
              <w:rPr>
                <w:rFonts w:hint="eastAsia" w:ascii="宋体" w:hAnsi="宋体" w:eastAsia="宋体" w:cs="宋体"/>
                <w:szCs w:val="21"/>
              </w:rPr>
              <w:t xml:space="preserve"> 10%</w:t>
            </w:r>
          </w:p>
        </w:tc>
        <w:tc>
          <w:tcPr>
            <w:tcW w:w="4086" w:type="dxa"/>
            <w:noWrap w:val="0"/>
            <w:vAlign w:val="center"/>
          </w:tcPr>
          <w:p w14:paraId="3F6B4068">
            <w:pPr>
              <w:spacing w:line="320" w:lineRule="exact"/>
              <w:jc w:val="left"/>
              <w:rPr>
                <w:rFonts w:hint="eastAsia" w:ascii="宋体" w:hAnsi="宋体" w:eastAsia="宋体" w:cs="宋体"/>
                <w:sz w:val="24"/>
                <w:szCs w:val="22"/>
              </w:rPr>
            </w:pPr>
            <w:r>
              <w:rPr>
                <w:rFonts w:hint="eastAsia" w:ascii="宋体" w:hAnsi="宋体" w:eastAsia="宋体" w:cs="宋体"/>
                <w:bCs/>
                <w:kern w:val="24"/>
                <w:szCs w:val="21"/>
              </w:rPr>
              <w:t>课堂整队点名，考核</w:t>
            </w:r>
            <w:r>
              <w:rPr>
                <w:rFonts w:hint="eastAsia" w:ascii="宋体" w:hAnsi="宋体" w:eastAsia="宋体" w:cs="宋体"/>
                <w:szCs w:val="21"/>
              </w:rPr>
              <w:t>能否按时到勤，旷课一次扣20分，迟到与早退等一次扣10分。</w:t>
            </w:r>
          </w:p>
        </w:tc>
        <w:tc>
          <w:tcPr>
            <w:tcW w:w="1310" w:type="dxa"/>
            <w:noWrap w:val="0"/>
            <w:vAlign w:val="center"/>
          </w:tcPr>
          <w:p w14:paraId="3D2CA83D">
            <w:pPr>
              <w:jc w:val="center"/>
              <w:rPr>
                <w:rFonts w:hint="eastAsia" w:ascii="宋体" w:hAnsi="宋体" w:eastAsia="宋体" w:cs="宋体"/>
                <w:szCs w:val="21"/>
              </w:rPr>
            </w:pPr>
            <w:r>
              <w:rPr>
                <w:rFonts w:hint="eastAsia" w:ascii="宋体" w:hAnsi="宋体" w:eastAsia="宋体" w:cs="宋体"/>
                <w:bCs/>
                <w:szCs w:val="21"/>
              </w:rPr>
              <w:t>8、9</w:t>
            </w:r>
          </w:p>
        </w:tc>
      </w:tr>
      <w:tr w14:paraId="22C7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19197D80">
            <w:pPr>
              <w:jc w:val="center"/>
              <w:rPr>
                <w:rFonts w:hint="eastAsia" w:ascii="宋体" w:hAnsi="宋体" w:eastAsia="宋体" w:cs="宋体"/>
                <w:szCs w:val="21"/>
              </w:rPr>
            </w:pPr>
          </w:p>
        </w:tc>
        <w:tc>
          <w:tcPr>
            <w:tcW w:w="1301" w:type="dxa"/>
            <w:noWrap w:val="0"/>
            <w:vAlign w:val="center"/>
          </w:tcPr>
          <w:p w14:paraId="5888D1A1">
            <w:pPr>
              <w:spacing w:line="276" w:lineRule="auto"/>
              <w:jc w:val="center"/>
              <w:rPr>
                <w:rFonts w:hint="eastAsia" w:ascii="宋体" w:hAnsi="宋体" w:eastAsia="宋体" w:cs="宋体"/>
                <w:szCs w:val="21"/>
              </w:rPr>
            </w:pPr>
            <w:r>
              <w:rPr>
                <w:rFonts w:hint="eastAsia" w:ascii="宋体" w:hAnsi="宋体" w:eastAsia="宋体" w:cs="宋体"/>
                <w:szCs w:val="21"/>
              </w:rPr>
              <w:t>课外锻炼</w:t>
            </w:r>
          </w:p>
        </w:tc>
        <w:tc>
          <w:tcPr>
            <w:tcW w:w="741" w:type="dxa"/>
            <w:noWrap w:val="0"/>
            <w:vAlign w:val="center"/>
          </w:tcPr>
          <w:p w14:paraId="68C5B117">
            <w:pPr>
              <w:rPr>
                <w:rFonts w:hint="eastAsia" w:ascii="宋体" w:hAnsi="宋体" w:eastAsia="宋体" w:cs="宋体"/>
                <w:szCs w:val="21"/>
              </w:rPr>
            </w:pPr>
            <w:r>
              <w:rPr>
                <w:rFonts w:hint="eastAsia" w:ascii="宋体" w:hAnsi="宋体" w:eastAsia="宋体" w:cs="宋体"/>
                <w:szCs w:val="21"/>
              </w:rPr>
              <w:t xml:space="preserve"> 20%</w:t>
            </w:r>
          </w:p>
        </w:tc>
        <w:tc>
          <w:tcPr>
            <w:tcW w:w="4086" w:type="dxa"/>
            <w:noWrap w:val="0"/>
            <w:vAlign w:val="center"/>
          </w:tcPr>
          <w:p w14:paraId="445FECB0">
            <w:pPr>
              <w:spacing w:line="320" w:lineRule="exact"/>
              <w:jc w:val="left"/>
              <w:rPr>
                <w:rFonts w:hint="eastAsia" w:ascii="宋体" w:hAnsi="宋体" w:eastAsia="宋体" w:cs="宋体"/>
                <w:bCs/>
                <w:kern w:val="24"/>
                <w:szCs w:val="21"/>
              </w:rPr>
            </w:pPr>
            <w:r>
              <w:rPr>
                <w:rFonts w:hint="eastAsia" w:ascii="宋体" w:hAnsi="宋体" w:eastAsia="宋体" w:cs="宋体"/>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10" w:type="dxa"/>
            <w:noWrap w:val="0"/>
            <w:vAlign w:val="center"/>
          </w:tcPr>
          <w:p w14:paraId="1CD29579">
            <w:pPr>
              <w:jc w:val="center"/>
              <w:rPr>
                <w:rFonts w:hint="eastAsia" w:ascii="宋体" w:hAnsi="宋体" w:eastAsia="宋体" w:cs="宋体"/>
                <w:szCs w:val="22"/>
              </w:rPr>
            </w:pPr>
            <w:r>
              <w:rPr>
                <w:rFonts w:hint="eastAsia" w:ascii="宋体" w:hAnsi="宋体" w:eastAsia="宋体" w:cs="宋体"/>
                <w:szCs w:val="22"/>
              </w:rPr>
              <w:t>8、9</w:t>
            </w:r>
          </w:p>
        </w:tc>
      </w:tr>
      <w:tr w14:paraId="1E15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noWrap w:val="0"/>
            <w:tcMar>
              <w:left w:w="57" w:type="dxa"/>
              <w:right w:w="57" w:type="dxa"/>
            </w:tcMar>
            <w:vAlign w:val="center"/>
          </w:tcPr>
          <w:p w14:paraId="08FDDF00">
            <w:pPr>
              <w:jc w:val="center"/>
              <w:rPr>
                <w:rFonts w:hint="eastAsia" w:ascii="宋体" w:hAnsi="宋体" w:eastAsia="宋体" w:cs="宋体"/>
                <w:szCs w:val="21"/>
              </w:rPr>
            </w:pPr>
          </w:p>
        </w:tc>
        <w:tc>
          <w:tcPr>
            <w:tcW w:w="1301" w:type="dxa"/>
            <w:noWrap w:val="0"/>
            <w:vAlign w:val="center"/>
          </w:tcPr>
          <w:p w14:paraId="4D8B12C9">
            <w:pPr>
              <w:spacing w:line="276" w:lineRule="auto"/>
              <w:jc w:val="center"/>
              <w:rPr>
                <w:rFonts w:hint="eastAsia" w:ascii="宋体" w:hAnsi="宋体" w:eastAsia="宋体" w:cs="宋体"/>
                <w:szCs w:val="21"/>
              </w:rPr>
            </w:pPr>
            <w:r>
              <w:rPr>
                <w:rFonts w:hint="eastAsia" w:ascii="宋体" w:hAnsi="宋体" w:eastAsia="宋体" w:cs="宋体"/>
                <w:szCs w:val="21"/>
              </w:rPr>
              <w:t>体质测试</w:t>
            </w:r>
          </w:p>
        </w:tc>
        <w:tc>
          <w:tcPr>
            <w:tcW w:w="741" w:type="dxa"/>
            <w:noWrap w:val="0"/>
            <w:vAlign w:val="center"/>
          </w:tcPr>
          <w:p w14:paraId="050D0D45">
            <w:pPr>
              <w:jc w:val="center"/>
              <w:rPr>
                <w:rFonts w:hint="eastAsia" w:ascii="宋体" w:hAnsi="宋体" w:eastAsia="宋体" w:cs="宋体"/>
                <w:szCs w:val="21"/>
              </w:rPr>
            </w:pPr>
            <w:r>
              <w:rPr>
                <w:rFonts w:hint="eastAsia" w:ascii="宋体" w:hAnsi="宋体" w:eastAsia="宋体" w:cs="宋体"/>
                <w:szCs w:val="21"/>
              </w:rPr>
              <w:t>20%</w:t>
            </w:r>
          </w:p>
        </w:tc>
        <w:tc>
          <w:tcPr>
            <w:tcW w:w="4086" w:type="dxa"/>
            <w:noWrap w:val="0"/>
            <w:vAlign w:val="center"/>
          </w:tcPr>
          <w:p w14:paraId="0C62AE54">
            <w:pPr>
              <w:spacing w:line="320" w:lineRule="exact"/>
              <w:jc w:val="left"/>
              <w:rPr>
                <w:rFonts w:hint="eastAsia" w:ascii="宋体" w:hAnsi="宋体" w:eastAsia="宋体" w:cs="宋体"/>
                <w:sz w:val="24"/>
                <w:szCs w:val="22"/>
              </w:rPr>
            </w:pPr>
            <w:r>
              <w:rPr>
                <w:rFonts w:hint="eastAsia" w:ascii="宋体" w:hAnsi="宋体" w:eastAsia="宋体" w:cs="宋体"/>
                <w:bCs/>
                <w:kern w:val="24"/>
                <w:szCs w:val="21"/>
              </w:rPr>
              <w:t>根据《国家学生体质健康标准》测试要求，测试身高、体重、肺活量、立定跳远、一分钟仰卧起坐（女）/引体向上（男）、坐位体前屈、50M、1000M（男）/800M（女）等八个项目；课堂测试，评分参照《国家学生体质健康标准》。</w:t>
            </w:r>
          </w:p>
        </w:tc>
        <w:tc>
          <w:tcPr>
            <w:tcW w:w="1310" w:type="dxa"/>
            <w:noWrap w:val="0"/>
            <w:vAlign w:val="center"/>
          </w:tcPr>
          <w:p w14:paraId="3EE0816E">
            <w:pPr>
              <w:jc w:val="center"/>
              <w:rPr>
                <w:rFonts w:hint="eastAsia" w:ascii="宋体" w:hAnsi="宋体" w:eastAsia="宋体" w:cs="宋体"/>
                <w:szCs w:val="22"/>
              </w:rPr>
            </w:pPr>
            <w:r>
              <w:rPr>
                <w:rFonts w:hint="eastAsia" w:ascii="宋体" w:hAnsi="宋体" w:eastAsia="宋体" w:cs="宋体"/>
                <w:szCs w:val="22"/>
              </w:rPr>
              <w:t>8、9</w:t>
            </w:r>
          </w:p>
        </w:tc>
      </w:tr>
      <w:tr w14:paraId="31C6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noWrap w:val="0"/>
            <w:tcMar>
              <w:left w:w="57" w:type="dxa"/>
              <w:right w:w="57" w:type="dxa"/>
            </w:tcMar>
            <w:vAlign w:val="center"/>
          </w:tcPr>
          <w:p w14:paraId="6656D0DF">
            <w:pPr>
              <w:jc w:val="center"/>
              <w:rPr>
                <w:rFonts w:hint="eastAsia" w:ascii="宋体" w:hAnsi="宋体" w:eastAsia="宋体" w:cs="宋体"/>
                <w:szCs w:val="21"/>
              </w:rPr>
            </w:pPr>
            <w:r>
              <w:rPr>
                <w:rFonts w:hint="eastAsia" w:ascii="宋体" w:hAnsi="宋体" w:eastAsia="宋体" w:cs="宋体"/>
                <w:szCs w:val="21"/>
              </w:rPr>
              <w:t>期末考试</w:t>
            </w:r>
          </w:p>
          <w:p w14:paraId="0B58FA38">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6C57B97A">
            <w:pPr>
              <w:jc w:val="center"/>
              <w:rPr>
                <w:rFonts w:hint="eastAsia" w:ascii="宋体" w:hAnsi="宋体" w:eastAsia="宋体" w:cs="宋体"/>
                <w:szCs w:val="21"/>
              </w:rPr>
            </w:pPr>
            <w:r>
              <w:rPr>
                <w:rFonts w:hint="eastAsia" w:ascii="宋体" w:hAnsi="宋体" w:eastAsia="宋体" w:cs="宋体"/>
                <w:szCs w:val="21"/>
              </w:rPr>
              <w:t>期末运动技能考试</w:t>
            </w:r>
          </w:p>
        </w:tc>
        <w:tc>
          <w:tcPr>
            <w:tcW w:w="741" w:type="dxa"/>
            <w:noWrap w:val="0"/>
            <w:vAlign w:val="center"/>
          </w:tcPr>
          <w:p w14:paraId="43CAE2E3">
            <w:pPr>
              <w:jc w:val="center"/>
              <w:rPr>
                <w:rFonts w:hint="eastAsia" w:ascii="宋体" w:hAnsi="宋体" w:eastAsia="宋体" w:cs="宋体"/>
                <w:szCs w:val="21"/>
              </w:rPr>
            </w:pPr>
            <w:r>
              <w:rPr>
                <w:rFonts w:hint="eastAsia" w:ascii="宋体" w:hAnsi="宋体" w:eastAsia="宋体" w:cs="宋体"/>
                <w:szCs w:val="21"/>
              </w:rPr>
              <w:t xml:space="preserve">   50%</w:t>
            </w:r>
          </w:p>
        </w:tc>
        <w:tc>
          <w:tcPr>
            <w:tcW w:w="4086" w:type="dxa"/>
            <w:noWrap w:val="0"/>
            <w:vAlign w:val="center"/>
          </w:tcPr>
          <w:p w14:paraId="67864614">
            <w:pPr>
              <w:spacing w:line="400" w:lineRule="exact"/>
              <w:jc w:val="center"/>
              <w:rPr>
                <w:rFonts w:hint="eastAsia" w:ascii="宋体" w:hAnsi="宋体" w:eastAsia="宋体" w:cs="宋体"/>
                <w:color w:val="000000"/>
                <w:szCs w:val="21"/>
              </w:rPr>
            </w:pPr>
            <w:r>
              <w:rPr>
                <w:rFonts w:hint="eastAsia" w:ascii="宋体" w:hAnsi="宋体" w:eastAsia="宋体" w:cs="宋体"/>
                <w:color w:val="000000"/>
                <w:szCs w:val="21"/>
              </w:rPr>
              <w:t>各专项技能</w:t>
            </w:r>
          </w:p>
        </w:tc>
        <w:tc>
          <w:tcPr>
            <w:tcW w:w="1310" w:type="dxa"/>
            <w:noWrap w:val="0"/>
            <w:vAlign w:val="center"/>
          </w:tcPr>
          <w:p w14:paraId="3F8B6A52">
            <w:pPr>
              <w:jc w:val="center"/>
              <w:rPr>
                <w:rFonts w:hint="eastAsia" w:ascii="宋体" w:hAnsi="宋体" w:eastAsia="宋体" w:cs="宋体"/>
                <w:szCs w:val="21"/>
              </w:rPr>
            </w:pPr>
            <w:r>
              <w:rPr>
                <w:rFonts w:hint="eastAsia" w:ascii="宋体" w:hAnsi="宋体" w:eastAsia="宋体" w:cs="宋体"/>
                <w:bCs/>
                <w:szCs w:val="21"/>
              </w:rPr>
              <w:t>8、9</w:t>
            </w:r>
          </w:p>
        </w:tc>
      </w:tr>
    </w:tbl>
    <w:p w14:paraId="2E9AD85D">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六、有关说明</w:t>
      </w:r>
    </w:p>
    <w:p w14:paraId="6995C82F">
      <w:pPr>
        <w:spacing w:line="360" w:lineRule="auto"/>
        <w:ind w:firstLine="482" w:firstLineChars="200"/>
        <w:rPr>
          <w:rFonts w:hint="eastAsia" w:ascii="宋体" w:hAnsi="宋体" w:eastAsia="宋体" w:cs="宋体"/>
          <w:b/>
          <w:color w:val="000000"/>
          <w:sz w:val="24"/>
          <w:szCs w:val="22"/>
        </w:rPr>
      </w:pPr>
      <w:r>
        <w:rPr>
          <w:rFonts w:hint="eastAsia" w:ascii="宋体" w:hAnsi="宋体" w:eastAsia="宋体" w:cs="宋体"/>
          <w:b/>
          <w:color w:val="000000"/>
          <w:sz w:val="24"/>
          <w:szCs w:val="22"/>
        </w:rPr>
        <w:t>（一）持续改进</w:t>
      </w:r>
    </w:p>
    <w:p w14:paraId="105232C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本课程根据学生课外体育锻炼、课堂表现、体质测试、平时考核情况，以及学生、教学督导等反馈，及时对教学中不足之处进行改进，并在下一轮课程教学中整改完善，确保相应毕业要求指标点达成。</w:t>
      </w:r>
    </w:p>
    <w:p w14:paraId="61F481BC">
      <w:pPr>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color w:val="000000"/>
          <w:sz w:val="24"/>
          <w:szCs w:val="22"/>
        </w:rPr>
        <w:t>（二）教学参考书</w:t>
      </w:r>
    </w:p>
    <w:p w14:paraId="438998C1">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1.毛振明.大学体育文化与实技教程[M].沈阳：东北大学出版社，2013.</w:t>
      </w:r>
    </w:p>
    <w:p w14:paraId="47AF6095">
      <w:pPr>
        <w:wordWrap w:val="0"/>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 xml:space="preserve">执笔人：顾  宏 </w:t>
      </w:r>
    </w:p>
    <w:p w14:paraId="656399C9">
      <w:pPr>
        <w:wordWrap w:val="0"/>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 xml:space="preserve">审定人：朱亚男 </w:t>
      </w:r>
    </w:p>
    <w:p w14:paraId="796531FB">
      <w:pPr>
        <w:wordWrap w:val="0"/>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批准人：王红福</w:t>
      </w:r>
    </w:p>
    <w:p w14:paraId="153DC55A">
      <w:pPr>
        <w:spacing w:line="360" w:lineRule="exact"/>
        <w:ind w:firstLine="480" w:firstLineChars="200"/>
        <w:jc w:val="right"/>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t>批准时间：2024年9月1日</w:t>
      </w:r>
    </w:p>
    <w:p w14:paraId="32677F31">
      <w:pPr>
        <w:rPr>
          <w:rFonts w:hint="eastAsia" w:ascii="等线" w:hAnsi="等线" w:eastAsia="等线" w:cs="等线"/>
          <w:b/>
          <w:bCs/>
          <w:sz w:val="36"/>
          <w:szCs w:val="36"/>
        </w:rPr>
      </w:pPr>
      <w:r>
        <w:rPr>
          <w:rFonts w:hint="eastAsia" w:ascii="等线" w:hAnsi="等线" w:eastAsia="等线" w:cs="等线"/>
          <w:b/>
          <w:bCs/>
          <w:sz w:val="36"/>
          <w:szCs w:val="36"/>
        </w:rPr>
        <w:br w:type="page"/>
      </w:r>
    </w:p>
    <w:p w14:paraId="0820B300">
      <w:pPr>
        <w:pStyle w:val="2"/>
        <w:bidi w:val="0"/>
        <w:rPr>
          <w:rFonts w:hint="eastAsia"/>
          <w:lang w:val="en-US" w:eastAsia="zh-CN"/>
        </w:rPr>
      </w:pPr>
      <w:bookmarkStart w:id="95" w:name="_Toc26118"/>
      <w:bookmarkStart w:id="96" w:name="_Toc19586"/>
      <w:bookmarkStart w:id="97" w:name="_Toc6055"/>
      <w:bookmarkStart w:id="98" w:name="_Toc28073"/>
      <w:r>
        <w:rPr>
          <w:rFonts w:hint="eastAsia"/>
          <w:lang w:val="en-US" w:eastAsia="zh-CN"/>
        </w:rPr>
        <w:t>《体育II》课程教学大纲</w:t>
      </w:r>
      <w:bookmarkEnd w:id="95"/>
      <w:bookmarkEnd w:id="96"/>
      <w:bookmarkEnd w:id="97"/>
      <w:bookmarkEnd w:id="98"/>
    </w:p>
    <w:p w14:paraId="738C8238">
      <w:pPr>
        <w:pStyle w:val="2"/>
        <w:bidi w:val="0"/>
        <w:rPr>
          <w:rFonts w:hint="eastAsia" w:ascii="宋体" w:hAnsi="宋体" w:eastAsia="宋体" w:cs="宋体"/>
          <w:b/>
          <w:bCs/>
          <w:kern w:val="2"/>
          <w:szCs w:val="44"/>
          <w:lang w:val="en-US" w:eastAsia="zh-CN" w:bidi="ar-SA"/>
        </w:rPr>
      </w:pPr>
      <w:bookmarkStart w:id="99" w:name="_Toc6168"/>
      <w:bookmarkStart w:id="100" w:name="_Toc3853"/>
      <w:bookmarkStart w:id="101" w:name="_Toc1767"/>
      <w:bookmarkStart w:id="102" w:name="_Toc20654"/>
      <w:bookmarkStart w:id="103" w:name="_Toc24251"/>
      <w:bookmarkStart w:id="104" w:name="_Toc30414"/>
      <w:bookmarkStart w:id="105" w:name="_Toc17123"/>
      <w:r>
        <w:rPr>
          <w:rFonts w:hint="eastAsia"/>
          <w:lang w:val="en-US" w:eastAsia="zh-CN"/>
        </w:rPr>
        <w:t>（Physical  Education II）</w:t>
      </w:r>
      <w:bookmarkEnd w:id="99"/>
      <w:bookmarkEnd w:id="100"/>
      <w:bookmarkEnd w:id="101"/>
      <w:bookmarkEnd w:id="102"/>
      <w:bookmarkEnd w:id="103"/>
      <w:bookmarkEnd w:id="104"/>
      <w:bookmarkEnd w:id="105"/>
    </w:p>
    <w:p w14:paraId="4E382755">
      <w:pPr>
        <w:spacing w:line="360" w:lineRule="auto"/>
        <w:ind w:firstLine="551" w:firstLineChars="196"/>
        <w:jc w:val="left"/>
        <w:rPr>
          <w:rFonts w:hint="eastAsia" w:ascii="宋体" w:hAnsi="宋体" w:eastAsia="宋体" w:cs="宋体"/>
          <w:b/>
          <w:sz w:val="28"/>
          <w:szCs w:val="28"/>
        </w:rPr>
      </w:pPr>
      <w:r>
        <w:rPr>
          <w:rFonts w:hint="eastAsia" w:ascii="宋体" w:hAnsi="宋体" w:eastAsia="宋体" w:cs="宋体"/>
          <w:b/>
          <w:sz w:val="28"/>
          <w:szCs w:val="28"/>
        </w:rPr>
        <w:t>一、课程概况</w:t>
      </w:r>
    </w:p>
    <w:p w14:paraId="472AB3A0">
      <w:pPr>
        <w:spacing w:line="360" w:lineRule="auto"/>
        <w:ind w:firstLine="482" w:firstLineChars="200"/>
        <w:jc w:val="left"/>
        <w:rPr>
          <w:rFonts w:hint="eastAsia" w:ascii="宋体" w:hAnsi="宋体" w:eastAsia="宋体" w:cs="宋体"/>
          <w:b/>
          <w:sz w:val="24"/>
          <w:szCs w:val="22"/>
        </w:rPr>
      </w:pPr>
      <w:r>
        <w:rPr>
          <w:rFonts w:hint="eastAsia" w:ascii="宋体" w:hAnsi="宋体" w:eastAsia="宋体" w:cs="宋体"/>
          <w:b/>
          <w:bCs/>
          <w:kern w:val="0"/>
          <w:sz w:val="24"/>
          <w:szCs w:val="22"/>
        </w:rPr>
        <w:t>课程代码</w:t>
      </w:r>
      <w:r>
        <w:rPr>
          <w:rFonts w:hint="eastAsia" w:ascii="宋体" w:hAnsi="宋体" w:eastAsia="宋体" w:cs="宋体"/>
          <w:b/>
          <w:kern w:val="0"/>
          <w:sz w:val="24"/>
          <w:szCs w:val="22"/>
        </w:rPr>
        <w:t>：</w:t>
      </w:r>
      <w:r>
        <w:rPr>
          <w:rFonts w:hint="eastAsia" w:ascii="宋体" w:hAnsi="宋体" w:eastAsia="宋体" w:cs="宋体"/>
          <w:bCs/>
          <w:kern w:val="0"/>
          <w:sz w:val="24"/>
          <w:szCs w:val="22"/>
        </w:rPr>
        <w:t>1101020</w:t>
      </w:r>
    </w:p>
    <w:p w14:paraId="1EF5E956">
      <w:pPr>
        <w:spacing w:line="360" w:lineRule="auto"/>
        <w:ind w:firstLine="482" w:firstLineChars="200"/>
        <w:jc w:val="left"/>
        <w:rPr>
          <w:rFonts w:hint="eastAsia" w:ascii="宋体" w:hAnsi="宋体" w:eastAsia="宋体" w:cs="宋体"/>
          <w:bCs/>
          <w:kern w:val="0"/>
          <w:sz w:val="24"/>
          <w:szCs w:val="22"/>
        </w:rPr>
      </w:pPr>
      <w:r>
        <w:rPr>
          <w:rFonts w:hint="eastAsia" w:ascii="宋体" w:hAnsi="宋体" w:eastAsia="宋体" w:cs="宋体"/>
          <w:b/>
          <w:bCs/>
          <w:kern w:val="0"/>
          <w:sz w:val="24"/>
          <w:szCs w:val="22"/>
        </w:rPr>
        <w:t>学    分</w:t>
      </w:r>
      <w:r>
        <w:rPr>
          <w:rFonts w:hint="eastAsia" w:ascii="宋体" w:hAnsi="宋体" w:eastAsia="宋体" w:cs="宋体"/>
          <w:b/>
          <w:kern w:val="0"/>
          <w:sz w:val="24"/>
          <w:szCs w:val="22"/>
        </w:rPr>
        <w:t>：</w:t>
      </w:r>
      <w:r>
        <w:rPr>
          <w:rFonts w:hint="eastAsia" w:ascii="宋体" w:hAnsi="宋体" w:eastAsia="宋体" w:cs="宋体"/>
          <w:bCs/>
          <w:kern w:val="0"/>
          <w:sz w:val="24"/>
          <w:szCs w:val="22"/>
        </w:rPr>
        <w:t>0.75</w:t>
      </w:r>
    </w:p>
    <w:p w14:paraId="73F88FE7">
      <w:pPr>
        <w:spacing w:line="360" w:lineRule="auto"/>
        <w:ind w:firstLine="482" w:firstLineChars="200"/>
        <w:jc w:val="left"/>
        <w:rPr>
          <w:rFonts w:hint="eastAsia" w:ascii="宋体" w:hAnsi="宋体" w:eastAsia="宋体" w:cs="宋体"/>
          <w:kern w:val="0"/>
          <w:sz w:val="24"/>
          <w:szCs w:val="22"/>
        </w:rPr>
      </w:pPr>
      <w:r>
        <w:rPr>
          <w:rFonts w:hint="eastAsia" w:ascii="宋体" w:hAnsi="宋体" w:eastAsia="宋体" w:cs="宋体"/>
          <w:b/>
          <w:bCs/>
          <w:kern w:val="0"/>
          <w:sz w:val="24"/>
          <w:szCs w:val="22"/>
        </w:rPr>
        <w:t>学    时</w:t>
      </w:r>
      <w:r>
        <w:rPr>
          <w:rFonts w:hint="eastAsia" w:ascii="宋体" w:hAnsi="宋体" w:eastAsia="宋体" w:cs="宋体"/>
          <w:b/>
          <w:kern w:val="0"/>
          <w:sz w:val="24"/>
          <w:szCs w:val="22"/>
        </w:rPr>
        <w:t>：</w:t>
      </w:r>
      <w:r>
        <w:rPr>
          <w:rFonts w:hint="eastAsia" w:ascii="宋体" w:hAnsi="宋体" w:eastAsia="宋体" w:cs="宋体"/>
          <w:kern w:val="0"/>
          <w:sz w:val="24"/>
          <w:szCs w:val="22"/>
        </w:rPr>
        <w:t>30</w:t>
      </w:r>
    </w:p>
    <w:p w14:paraId="5A6590DC">
      <w:pPr>
        <w:spacing w:line="360" w:lineRule="auto"/>
        <w:ind w:firstLine="482" w:firstLineChars="200"/>
        <w:jc w:val="left"/>
        <w:rPr>
          <w:rFonts w:hint="eastAsia" w:ascii="宋体" w:hAnsi="宋体" w:eastAsia="宋体" w:cs="宋体"/>
          <w:bCs/>
          <w:kern w:val="0"/>
          <w:sz w:val="24"/>
          <w:szCs w:val="22"/>
        </w:rPr>
      </w:pPr>
      <w:r>
        <w:rPr>
          <w:rFonts w:hint="eastAsia" w:ascii="宋体" w:hAnsi="宋体" w:eastAsia="宋体" w:cs="宋体"/>
          <w:b/>
          <w:bCs/>
          <w:kern w:val="0"/>
          <w:sz w:val="24"/>
          <w:szCs w:val="22"/>
        </w:rPr>
        <w:t>先修课程</w:t>
      </w:r>
      <w:r>
        <w:rPr>
          <w:rFonts w:hint="eastAsia" w:ascii="宋体" w:hAnsi="宋体" w:eastAsia="宋体" w:cs="宋体"/>
          <w:b/>
          <w:kern w:val="0"/>
          <w:sz w:val="24"/>
          <w:szCs w:val="22"/>
        </w:rPr>
        <w:t>：</w:t>
      </w:r>
      <w:r>
        <w:rPr>
          <w:rFonts w:hint="eastAsia" w:ascii="宋体" w:hAnsi="宋体" w:eastAsia="宋体" w:cs="宋体"/>
          <w:bCs/>
          <w:kern w:val="0"/>
          <w:sz w:val="24"/>
          <w:szCs w:val="22"/>
        </w:rPr>
        <w:t>无</w:t>
      </w:r>
    </w:p>
    <w:p w14:paraId="13C93D85">
      <w:pPr>
        <w:spacing w:line="360" w:lineRule="auto"/>
        <w:ind w:firstLine="482" w:firstLineChars="200"/>
        <w:jc w:val="left"/>
        <w:rPr>
          <w:rFonts w:hint="eastAsia" w:ascii="宋体" w:hAnsi="宋体" w:eastAsia="宋体" w:cs="宋体"/>
          <w:kern w:val="0"/>
          <w:sz w:val="24"/>
          <w:szCs w:val="22"/>
        </w:rPr>
      </w:pPr>
      <w:r>
        <w:rPr>
          <w:rFonts w:hint="eastAsia" w:ascii="宋体" w:hAnsi="宋体" w:eastAsia="宋体" w:cs="宋体"/>
          <w:b/>
          <w:bCs/>
          <w:kern w:val="0"/>
          <w:sz w:val="24"/>
          <w:szCs w:val="22"/>
        </w:rPr>
        <w:t>适用专业</w:t>
      </w:r>
      <w:r>
        <w:rPr>
          <w:rFonts w:hint="eastAsia" w:ascii="宋体" w:hAnsi="宋体" w:eastAsia="宋体" w:cs="宋体"/>
          <w:b/>
          <w:kern w:val="0"/>
          <w:sz w:val="24"/>
          <w:szCs w:val="22"/>
        </w:rPr>
        <w:t>：</w:t>
      </w:r>
      <w:r>
        <w:rPr>
          <w:rFonts w:hint="eastAsia" w:ascii="宋体" w:hAnsi="宋体" w:eastAsia="宋体" w:cs="宋体"/>
          <w:kern w:val="0"/>
          <w:sz w:val="24"/>
          <w:szCs w:val="22"/>
        </w:rPr>
        <w:t xml:space="preserve">全校各专业                        </w:t>
      </w:r>
    </w:p>
    <w:p w14:paraId="7CCB394D">
      <w:pPr>
        <w:spacing w:line="360" w:lineRule="auto"/>
        <w:ind w:firstLine="482" w:firstLineChars="200"/>
        <w:jc w:val="left"/>
        <w:rPr>
          <w:rFonts w:hint="eastAsia" w:ascii="宋体" w:hAnsi="宋体" w:eastAsia="宋体" w:cs="宋体"/>
          <w:kern w:val="0"/>
          <w:sz w:val="24"/>
          <w:szCs w:val="22"/>
        </w:rPr>
      </w:pPr>
      <w:r>
        <w:rPr>
          <w:rFonts w:hint="eastAsia" w:ascii="宋体" w:hAnsi="宋体" w:eastAsia="宋体" w:cs="宋体"/>
          <w:b/>
          <w:bCs/>
          <w:kern w:val="0"/>
          <w:sz w:val="24"/>
          <w:szCs w:val="22"/>
        </w:rPr>
        <w:t>教    材</w:t>
      </w:r>
      <w:r>
        <w:rPr>
          <w:rFonts w:hint="eastAsia" w:ascii="宋体" w:hAnsi="宋体" w:eastAsia="宋体" w:cs="宋体"/>
          <w:b/>
          <w:kern w:val="0"/>
          <w:sz w:val="24"/>
          <w:szCs w:val="22"/>
        </w:rPr>
        <w:t>：</w:t>
      </w:r>
      <w:r>
        <w:rPr>
          <w:rFonts w:hint="eastAsia" w:ascii="宋体" w:hAnsi="宋体" w:eastAsia="宋体" w:cs="宋体"/>
          <w:kern w:val="0"/>
          <w:sz w:val="24"/>
          <w:szCs w:val="22"/>
        </w:rPr>
        <w:t>《大学体育与健康（微视频版）》，王祥、王红福主编，上海交通大学出版社，出版时间：2021年12月</w:t>
      </w:r>
    </w:p>
    <w:p w14:paraId="5AA7136C">
      <w:pPr>
        <w:spacing w:line="360" w:lineRule="auto"/>
        <w:ind w:firstLine="482" w:firstLineChars="200"/>
        <w:jc w:val="left"/>
        <w:rPr>
          <w:rFonts w:hint="eastAsia" w:ascii="宋体" w:hAnsi="宋体" w:eastAsia="宋体" w:cs="宋体"/>
          <w:kern w:val="0"/>
          <w:sz w:val="24"/>
          <w:szCs w:val="22"/>
        </w:rPr>
      </w:pPr>
      <w:r>
        <w:rPr>
          <w:rFonts w:hint="eastAsia" w:ascii="宋体" w:hAnsi="宋体" w:eastAsia="宋体" w:cs="宋体"/>
          <w:b/>
          <w:bCs/>
          <w:kern w:val="0"/>
          <w:sz w:val="24"/>
          <w:szCs w:val="22"/>
        </w:rPr>
        <w:t>课程归口：</w:t>
      </w:r>
      <w:r>
        <w:rPr>
          <w:rFonts w:hint="eastAsia" w:ascii="宋体" w:hAnsi="宋体" w:eastAsia="宋体" w:cs="宋体"/>
          <w:bCs/>
          <w:kern w:val="0"/>
          <w:sz w:val="24"/>
          <w:szCs w:val="22"/>
        </w:rPr>
        <w:t>体育教学部</w:t>
      </w:r>
    </w:p>
    <w:p w14:paraId="227E584D">
      <w:pPr>
        <w:autoSpaceDE w:val="0"/>
        <w:autoSpaceDN w:val="0"/>
        <w:adjustRightInd w:val="0"/>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bCs/>
          <w:kern w:val="0"/>
          <w:sz w:val="24"/>
          <w:szCs w:val="22"/>
        </w:rPr>
        <w:t>课程的性质与任务：</w:t>
      </w:r>
      <w:r>
        <w:rPr>
          <w:rFonts w:hint="eastAsia" w:ascii="宋体" w:hAnsi="宋体" w:eastAsia="宋体" w:cs="宋体"/>
          <w:sz w:val="24"/>
          <w:szCs w:val="22"/>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31F3AB3D">
      <w:pPr>
        <w:autoSpaceDE w:val="0"/>
        <w:autoSpaceDN w:val="0"/>
        <w:adjustRightInd w:val="0"/>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通过本课程的学习，使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p w14:paraId="3068DDCA">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二、课程目标与毕业要求指标点对应关系</w:t>
      </w:r>
    </w:p>
    <w:p w14:paraId="29CAD43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1：全面发展体能，提高运动能力，掌握体育基本理论知识和基本技术，了解体育锻炼的健身原理，具有一定的体育文化素养和体育欣赏能力。树立“健康第一”思想和正确的体育道德观，增强团结协作意识、规则意识、公平意识和积极进取意识。</w:t>
      </w:r>
    </w:p>
    <w:p w14:paraId="7CCE6860">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目标2：积极参与各种体育活动，掌握所学项目的基本技能和锻炼方法，能科学地进行体育锻炼，掌握常见运动损伤的处理方法。学会利用体育调节身心，改善心理状态，养成积极乐观的生活态度。</w:t>
      </w:r>
    </w:p>
    <w:p w14:paraId="5C35193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本课程支撑专业培养方案中毕业要求8、9(不同专业会略有区别，具体见培养方案中的毕业要求实现矩阵)，对应关系如下表所示。</w:t>
      </w:r>
    </w:p>
    <w:tbl>
      <w:tblPr>
        <w:tblStyle w:val="1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15A6BCC0">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218D2FA8">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p>
          <w:p w14:paraId="597DB35F">
            <w:pPr>
              <w:widowControl/>
              <w:jc w:val="center"/>
              <w:rPr>
                <w:rFonts w:hint="eastAsia" w:ascii="宋体" w:hAnsi="宋体" w:eastAsia="宋体" w:cs="宋体"/>
                <w:kern w:val="0"/>
                <w:szCs w:val="21"/>
              </w:rPr>
            </w:pPr>
            <w:r>
              <w:rPr>
                <w:rFonts w:hint="eastAsia" w:ascii="宋体" w:hAnsi="宋体" w:eastAsia="宋体" w:cs="宋体"/>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04BF2882">
            <w:pPr>
              <w:widowControl/>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354FBD36">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49AD13">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02EAE52">
            <w:pPr>
              <w:widowControl/>
              <w:jc w:val="center"/>
              <w:rPr>
                <w:rFonts w:hint="eastAsia" w:ascii="宋体" w:hAnsi="宋体" w:eastAsia="宋体" w:cs="宋体"/>
                <w:kern w:val="0"/>
                <w:szCs w:val="21"/>
              </w:rPr>
            </w:pPr>
            <w:r>
              <w:rPr>
                <w:rFonts w:hint="eastAsia" w:ascii="宋体" w:hAnsi="宋体" w:eastAsia="宋体" w:cs="宋体"/>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284CC0ED">
            <w:pPr>
              <w:widowControl/>
              <w:jc w:val="center"/>
              <w:rPr>
                <w:rFonts w:hint="eastAsia" w:ascii="宋体" w:hAnsi="宋体" w:eastAsia="宋体" w:cs="宋体"/>
                <w:kern w:val="0"/>
                <w:szCs w:val="21"/>
              </w:rPr>
            </w:pPr>
            <w:r>
              <w:rPr>
                <w:rFonts w:hint="eastAsia" w:ascii="宋体" w:hAnsi="宋体" w:eastAsia="宋体" w:cs="宋体"/>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3EBB7A14">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19D55523">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CBC5898">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567D7DBA">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D309239">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265A7C48">
            <w:pPr>
              <w:widowControl/>
              <w:jc w:val="center"/>
              <w:rPr>
                <w:rFonts w:hint="eastAsia" w:ascii="宋体" w:hAnsi="宋体" w:eastAsia="宋体" w:cs="宋体"/>
                <w:kern w:val="0"/>
                <w:szCs w:val="21"/>
              </w:rPr>
            </w:pPr>
          </w:p>
        </w:tc>
      </w:tr>
      <w:tr w14:paraId="1B9958A6">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1DD16F32">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8</w:t>
            </w:r>
          </w:p>
        </w:tc>
        <w:tc>
          <w:tcPr>
            <w:tcW w:w="510" w:type="pct"/>
            <w:tcBorders>
              <w:top w:val="nil"/>
              <w:left w:val="nil"/>
              <w:bottom w:val="single" w:color="auto" w:sz="4" w:space="0"/>
              <w:right w:val="single" w:color="auto" w:sz="4" w:space="0"/>
            </w:tcBorders>
            <w:noWrap/>
            <w:vAlign w:val="center"/>
          </w:tcPr>
          <w:p w14:paraId="5078F19B">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69204560">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6D007575">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B9AEE0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0399CD4B">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163B2765">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007EDED9">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39FACBF1">
            <w:pPr>
              <w:widowControl/>
              <w:jc w:val="center"/>
              <w:rPr>
                <w:rFonts w:hint="eastAsia" w:ascii="宋体" w:hAnsi="宋体" w:eastAsia="宋体" w:cs="宋体"/>
                <w:kern w:val="0"/>
                <w:szCs w:val="21"/>
              </w:rPr>
            </w:pPr>
          </w:p>
        </w:tc>
      </w:tr>
      <w:tr w14:paraId="28D58F0A">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184859EB">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9</w:t>
            </w:r>
          </w:p>
        </w:tc>
        <w:tc>
          <w:tcPr>
            <w:tcW w:w="510" w:type="pct"/>
            <w:tcBorders>
              <w:top w:val="nil"/>
              <w:left w:val="nil"/>
              <w:bottom w:val="single" w:color="auto" w:sz="4" w:space="0"/>
              <w:right w:val="single" w:color="auto" w:sz="4" w:space="0"/>
            </w:tcBorders>
            <w:noWrap/>
            <w:vAlign w:val="center"/>
          </w:tcPr>
          <w:p w14:paraId="0EB6DE6A">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27E86770">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11172CDB">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20FCB100">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21A01688">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157FFBE">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7D818178">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02E76A45">
            <w:pPr>
              <w:widowControl/>
              <w:jc w:val="center"/>
              <w:rPr>
                <w:rFonts w:hint="eastAsia" w:ascii="宋体" w:hAnsi="宋体" w:eastAsia="宋体" w:cs="宋体"/>
                <w:kern w:val="0"/>
                <w:szCs w:val="21"/>
              </w:rPr>
            </w:pPr>
          </w:p>
        </w:tc>
      </w:tr>
    </w:tbl>
    <w:p w14:paraId="798E0742">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三、课程内容及要求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7513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317CA825">
            <w:pPr>
              <w:jc w:val="center"/>
              <w:rPr>
                <w:rFonts w:hint="eastAsia" w:ascii="宋体" w:hAnsi="宋体" w:eastAsia="宋体" w:cs="宋体"/>
                <w:b/>
                <w:bCs/>
                <w:szCs w:val="21"/>
              </w:rPr>
            </w:pPr>
            <w:r>
              <w:rPr>
                <w:rFonts w:hint="eastAsia" w:ascii="宋体" w:hAnsi="宋体" w:eastAsia="宋体" w:cs="宋体"/>
                <w:b/>
                <w:bCs/>
                <w:szCs w:val="21"/>
              </w:rPr>
              <w:t>序号</w:t>
            </w:r>
          </w:p>
        </w:tc>
        <w:tc>
          <w:tcPr>
            <w:tcW w:w="1623" w:type="pct"/>
            <w:noWrap w:val="0"/>
            <w:vAlign w:val="center"/>
          </w:tcPr>
          <w:p w14:paraId="44B25615">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541" w:type="pct"/>
            <w:noWrap w:val="0"/>
            <w:vAlign w:val="center"/>
          </w:tcPr>
          <w:p w14:paraId="39B4B403">
            <w:pPr>
              <w:jc w:val="center"/>
              <w:rPr>
                <w:rFonts w:hint="eastAsia" w:ascii="宋体" w:hAnsi="宋体" w:eastAsia="宋体" w:cs="宋体"/>
                <w:b/>
                <w:bCs/>
                <w:szCs w:val="21"/>
              </w:rPr>
            </w:pPr>
            <w:r>
              <w:rPr>
                <w:rFonts w:hint="eastAsia" w:ascii="宋体" w:hAnsi="宋体" w:eastAsia="宋体" w:cs="宋体"/>
                <w:b/>
                <w:bCs/>
                <w:szCs w:val="21"/>
              </w:rPr>
              <w:t>思政</w:t>
            </w:r>
          </w:p>
          <w:p w14:paraId="13223C3B">
            <w:pPr>
              <w:jc w:val="center"/>
              <w:rPr>
                <w:rFonts w:hint="eastAsia" w:ascii="宋体" w:hAnsi="宋体" w:eastAsia="宋体" w:cs="宋体"/>
                <w:b/>
                <w:bCs/>
                <w:szCs w:val="21"/>
              </w:rPr>
            </w:pPr>
            <w:r>
              <w:rPr>
                <w:rFonts w:hint="eastAsia" w:ascii="宋体" w:hAnsi="宋体" w:eastAsia="宋体" w:cs="宋体"/>
                <w:b/>
                <w:bCs/>
                <w:szCs w:val="21"/>
              </w:rPr>
              <w:t>元素</w:t>
            </w:r>
          </w:p>
        </w:tc>
        <w:tc>
          <w:tcPr>
            <w:tcW w:w="1160" w:type="pct"/>
            <w:noWrap w:val="0"/>
            <w:vAlign w:val="center"/>
          </w:tcPr>
          <w:p w14:paraId="3E75AB5F">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386" w:type="pct"/>
            <w:noWrap w:val="0"/>
            <w:vAlign w:val="center"/>
          </w:tcPr>
          <w:p w14:paraId="65BE8A1D">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464" w:type="pct"/>
            <w:noWrap w:val="0"/>
            <w:vAlign w:val="center"/>
          </w:tcPr>
          <w:p w14:paraId="3DA60650">
            <w:pPr>
              <w:jc w:val="center"/>
              <w:rPr>
                <w:rFonts w:hint="eastAsia" w:ascii="宋体" w:hAnsi="宋体" w:eastAsia="宋体" w:cs="宋体"/>
                <w:b/>
                <w:bCs/>
                <w:szCs w:val="21"/>
              </w:rPr>
            </w:pPr>
            <w:r>
              <w:rPr>
                <w:rFonts w:hint="eastAsia" w:ascii="宋体" w:hAnsi="宋体" w:eastAsia="宋体" w:cs="宋体"/>
                <w:b/>
                <w:bCs/>
                <w:szCs w:val="21"/>
              </w:rPr>
              <w:t>教学</w:t>
            </w:r>
          </w:p>
          <w:p w14:paraId="3BFE2BAF">
            <w:pPr>
              <w:jc w:val="center"/>
              <w:rPr>
                <w:rFonts w:hint="eastAsia" w:ascii="宋体" w:hAnsi="宋体" w:eastAsia="宋体" w:cs="宋体"/>
                <w:b/>
                <w:bCs/>
                <w:szCs w:val="21"/>
              </w:rPr>
            </w:pPr>
            <w:r>
              <w:rPr>
                <w:rFonts w:hint="eastAsia" w:ascii="宋体" w:hAnsi="宋体" w:eastAsia="宋体" w:cs="宋体"/>
                <w:b/>
                <w:bCs/>
                <w:szCs w:val="21"/>
              </w:rPr>
              <w:t>方式</w:t>
            </w:r>
          </w:p>
        </w:tc>
        <w:tc>
          <w:tcPr>
            <w:tcW w:w="520" w:type="pct"/>
            <w:noWrap w:val="0"/>
            <w:vAlign w:val="center"/>
          </w:tcPr>
          <w:p w14:paraId="09F0EE1C">
            <w:pPr>
              <w:jc w:val="center"/>
              <w:rPr>
                <w:rFonts w:hint="eastAsia" w:ascii="宋体" w:hAnsi="宋体" w:eastAsia="宋体" w:cs="宋体"/>
                <w:b/>
                <w:bCs/>
                <w:szCs w:val="21"/>
              </w:rPr>
            </w:pPr>
            <w:r>
              <w:rPr>
                <w:rFonts w:hint="eastAsia" w:ascii="宋体" w:hAnsi="宋体" w:eastAsia="宋体" w:cs="宋体"/>
                <w:b/>
                <w:bCs/>
                <w:szCs w:val="21"/>
              </w:rPr>
              <w:t>支撑课程目标</w:t>
            </w:r>
          </w:p>
        </w:tc>
      </w:tr>
      <w:tr w14:paraId="030C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3CAE9B15">
            <w:pPr>
              <w:jc w:val="center"/>
              <w:rPr>
                <w:rFonts w:hint="eastAsia" w:ascii="宋体" w:hAnsi="宋体" w:eastAsia="宋体" w:cs="宋体"/>
                <w:szCs w:val="21"/>
              </w:rPr>
            </w:pPr>
            <w:r>
              <w:rPr>
                <w:rFonts w:hint="eastAsia" w:ascii="宋体" w:hAnsi="宋体" w:eastAsia="宋体" w:cs="宋体"/>
                <w:szCs w:val="21"/>
              </w:rPr>
              <w:t>1</w:t>
            </w:r>
          </w:p>
        </w:tc>
        <w:tc>
          <w:tcPr>
            <w:tcW w:w="1623" w:type="pct"/>
            <w:noWrap w:val="0"/>
            <w:vAlign w:val="center"/>
          </w:tcPr>
          <w:p w14:paraId="03738B9C">
            <w:pPr>
              <w:spacing w:line="240" w:lineRule="exact"/>
              <w:jc w:val="left"/>
              <w:rPr>
                <w:rFonts w:hint="eastAsia" w:ascii="宋体" w:hAnsi="宋体" w:eastAsia="宋体" w:cs="宋体"/>
                <w:b/>
                <w:szCs w:val="21"/>
              </w:rPr>
            </w:pPr>
            <w:r>
              <w:rPr>
                <w:rFonts w:hint="eastAsia" w:ascii="宋体" w:hAnsi="宋体" w:eastAsia="宋体" w:cs="宋体"/>
                <w:b/>
                <w:szCs w:val="21"/>
              </w:rPr>
              <w:t>㈠体育理论部分:</w:t>
            </w:r>
          </w:p>
          <w:p w14:paraId="48E8C973">
            <w:pPr>
              <w:spacing w:line="240" w:lineRule="exact"/>
              <w:jc w:val="left"/>
              <w:rPr>
                <w:rFonts w:hint="eastAsia" w:ascii="宋体" w:hAnsi="宋体" w:eastAsia="宋体" w:cs="宋体"/>
                <w:bCs/>
                <w:szCs w:val="22"/>
              </w:rPr>
            </w:pPr>
            <w:r>
              <w:rPr>
                <w:rFonts w:hint="eastAsia" w:ascii="宋体" w:hAnsi="宋体" w:eastAsia="宋体" w:cs="宋体"/>
                <w:bCs/>
                <w:szCs w:val="22"/>
              </w:rPr>
              <w:t>1.学生思想政治教育：国家领导人与体育、奥运明星的励志故事、社会主义核心价值观与体育等；</w:t>
            </w:r>
          </w:p>
          <w:p w14:paraId="76A822A7">
            <w:pPr>
              <w:spacing w:line="240" w:lineRule="exact"/>
              <w:jc w:val="left"/>
              <w:rPr>
                <w:rFonts w:hint="eastAsia" w:ascii="宋体" w:hAnsi="宋体" w:eastAsia="宋体" w:cs="宋体"/>
                <w:b/>
                <w:szCs w:val="21"/>
              </w:rPr>
            </w:pPr>
            <w:r>
              <w:rPr>
                <w:rFonts w:hint="eastAsia" w:ascii="宋体" w:hAnsi="宋体" w:eastAsia="宋体" w:cs="宋体"/>
                <w:bCs/>
                <w:szCs w:val="22"/>
              </w:rPr>
              <w:t>2.体育安全教育：体育运动伤害事故的安全教育及预防与处理措施、常见运动损伤的预防与处理等；</w:t>
            </w:r>
          </w:p>
          <w:p w14:paraId="09CBCE11">
            <w:pPr>
              <w:spacing w:line="240" w:lineRule="exact"/>
              <w:jc w:val="left"/>
              <w:rPr>
                <w:rFonts w:hint="eastAsia" w:ascii="宋体" w:hAnsi="宋体" w:eastAsia="宋体" w:cs="宋体"/>
                <w:szCs w:val="22"/>
              </w:rPr>
            </w:pPr>
            <w:r>
              <w:rPr>
                <w:rFonts w:hint="eastAsia" w:ascii="宋体" w:hAnsi="宋体" w:eastAsia="宋体" w:cs="宋体"/>
                <w:szCs w:val="22"/>
              </w:rPr>
              <w:t>3.体育基本理论：各运动项目的基本理论知识，体育竞赛与欣赏等。</w:t>
            </w:r>
          </w:p>
          <w:p w14:paraId="7647EEBF">
            <w:pPr>
              <w:spacing w:line="240" w:lineRule="exact"/>
              <w:jc w:val="left"/>
              <w:rPr>
                <w:rFonts w:hint="eastAsia" w:ascii="宋体" w:hAnsi="宋体" w:eastAsia="宋体" w:cs="宋体"/>
                <w:szCs w:val="21"/>
              </w:rPr>
            </w:pPr>
            <w:r>
              <w:rPr>
                <w:rFonts w:hint="eastAsia" w:ascii="宋体" w:hAnsi="宋体" w:eastAsia="宋体" w:cs="宋体"/>
                <w:b/>
                <w:szCs w:val="21"/>
              </w:rPr>
              <w:t>重点：</w:t>
            </w:r>
            <w:r>
              <w:rPr>
                <w:rFonts w:hint="eastAsia" w:ascii="宋体" w:hAnsi="宋体" w:eastAsia="宋体" w:cs="宋体"/>
                <w:szCs w:val="21"/>
              </w:rPr>
              <w:t>常见运动损伤的急救及处理、奥林匹克运动与中国；</w:t>
            </w:r>
          </w:p>
          <w:p w14:paraId="06474709">
            <w:pPr>
              <w:spacing w:line="240" w:lineRule="exact"/>
              <w:jc w:val="left"/>
              <w:rPr>
                <w:rFonts w:hint="eastAsia" w:ascii="宋体" w:hAnsi="宋体" w:eastAsia="宋体" w:cs="宋体"/>
                <w:szCs w:val="21"/>
              </w:rPr>
            </w:pPr>
            <w:r>
              <w:rPr>
                <w:rFonts w:hint="eastAsia" w:ascii="宋体" w:hAnsi="宋体" w:eastAsia="宋体" w:cs="宋体"/>
                <w:b/>
                <w:szCs w:val="21"/>
              </w:rPr>
              <w:t>难点：</w:t>
            </w:r>
            <w:r>
              <w:rPr>
                <w:rFonts w:hint="eastAsia" w:ascii="宋体" w:hAnsi="宋体" w:eastAsia="宋体" w:cs="宋体"/>
                <w:szCs w:val="21"/>
              </w:rPr>
              <w:t>理解奥林匹克格言，培养学生公平竞争、团结协作、自强不息、自信不止的体育精神。</w:t>
            </w:r>
          </w:p>
        </w:tc>
        <w:tc>
          <w:tcPr>
            <w:tcW w:w="541" w:type="pct"/>
            <w:noWrap w:val="0"/>
            <w:vAlign w:val="center"/>
          </w:tcPr>
          <w:p w14:paraId="009FB95E">
            <w:pPr>
              <w:jc w:val="center"/>
              <w:rPr>
                <w:rFonts w:hint="eastAsia" w:ascii="宋体" w:hAnsi="宋体" w:eastAsia="宋体" w:cs="宋体"/>
                <w:kern w:val="0"/>
                <w:szCs w:val="21"/>
              </w:rPr>
            </w:pPr>
            <w:r>
              <w:rPr>
                <w:rFonts w:hint="eastAsia" w:ascii="宋体" w:hAnsi="宋体" w:eastAsia="宋体" w:cs="宋体"/>
                <w:kern w:val="0"/>
                <w:szCs w:val="21"/>
              </w:rPr>
              <w:t>理想信念、国家认同和</w:t>
            </w:r>
            <w:r>
              <w:rPr>
                <w:rFonts w:hint="eastAsia" w:ascii="宋体" w:hAnsi="宋体" w:eastAsia="宋体" w:cs="宋体"/>
                <w:szCs w:val="21"/>
              </w:rPr>
              <w:t>社会主义核心价值观等</w:t>
            </w:r>
            <w:r>
              <w:rPr>
                <w:rFonts w:hint="eastAsia" w:ascii="宋体" w:hAnsi="宋体" w:eastAsia="宋体" w:cs="宋体"/>
                <w:kern w:val="0"/>
                <w:szCs w:val="21"/>
              </w:rPr>
              <w:t xml:space="preserve">教育。 </w:t>
            </w:r>
          </w:p>
        </w:tc>
        <w:tc>
          <w:tcPr>
            <w:tcW w:w="1160" w:type="pct"/>
            <w:noWrap w:val="0"/>
            <w:vAlign w:val="center"/>
          </w:tcPr>
          <w:p w14:paraId="601B33A4">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使学生了解和基本掌握常见运动创伤预防和处理方法，具备一定欣赏各类体育竞赛能力，了解中国与奥林匹克运动简史和奥林匹克文化精神，激发学生爱国情怀和追求和平、向往美好、顽强拼搏、不甘平庸、不断进取的体育精神。</w:t>
            </w:r>
          </w:p>
        </w:tc>
        <w:tc>
          <w:tcPr>
            <w:tcW w:w="386" w:type="pct"/>
            <w:noWrap w:val="0"/>
            <w:vAlign w:val="center"/>
          </w:tcPr>
          <w:p w14:paraId="1E39CCA4">
            <w:pPr>
              <w:jc w:val="center"/>
              <w:rPr>
                <w:rFonts w:hint="eastAsia" w:ascii="宋体" w:hAnsi="宋体" w:eastAsia="宋体" w:cs="宋体"/>
                <w:szCs w:val="21"/>
              </w:rPr>
            </w:pPr>
            <w:r>
              <w:rPr>
                <w:rFonts w:hint="eastAsia" w:ascii="宋体" w:hAnsi="宋体" w:eastAsia="宋体" w:cs="宋体"/>
                <w:szCs w:val="21"/>
              </w:rPr>
              <w:t>4</w:t>
            </w:r>
          </w:p>
        </w:tc>
        <w:tc>
          <w:tcPr>
            <w:tcW w:w="464" w:type="pct"/>
            <w:noWrap w:val="0"/>
            <w:vAlign w:val="center"/>
          </w:tcPr>
          <w:p w14:paraId="017D5AFF">
            <w:pPr>
              <w:jc w:val="center"/>
              <w:rPr>
                <w:rFonts w:hint="eastAsia" w:ascii="宋体" w:hAnsi="宋体" w:eastAsia="宋体" w:cs="宋体"/>
                <w:szCs w:val="21"/>
              </w:rPr>
            </w:pPr>
            <w:r>
              <w:rPr>
                <w:rFonts w:hint="eastAsia" w:ascii="宋体" w:hAnsi="宋体" w:eastAsia="宋体" w:cs="宋体"/>
                <w:szCs w:val="21"/>
              </w:rPr>
              <w:t>讲授法</w:t>
            </w:r>
          </w:p>
        </w:tc>
        <w:tc>
          <w:tcPr>
            <w:tcW w:w="520" w:type="pct"/>
            <w:noWrap w:val="0"/>
            <w:vAlign w:val="center"/>
          </w:tcPr>
          <w:p w14:paraId="70A2DAE5">
            <w:pPr>
              <w:jc w:val="left"/>
              <w:rPr>
                <w:rFonts w:hint="eastAsia" w:ascii="宋体" w:hAnsi="宋体" w:eastAsia="宋体" w:cs="宋体"/>
                <w:szCs w:val="21"/>
              </w:rPr>
            </w:pPr>
            <w:r>
              <w:rPr>
                <w:rFonts w:hint="eastAsia" w:ascii="宋体" w:hAnsi="宋体" w:eastAsia="宋体" w:cs="宋体"/>
                <w:szCs w:val="21"/>
              </w:rPr>
              <w:t>目标1目标2</w:t>
            </w:r>
          </w:p>
        </w:tc>
      </w:tr>
      <w:tr w14:paraId="1E93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136C5FD2">
            <w:pPr>
              <w:jc w:val="center"/>
              <w:rPr>
                <w:rFonts w:hint="eastAsia" w:ascii="宋体" w:hAnsi="宋体" w:eastAsia="宋体" w:cs="宋体"/>
                <w:szCs w:val="21"/>
              </w:rPr>
            </w:pPr>
            <w:r>
              <w:rPr>
                <w:rFonts w:hint="eastAsia" w:ascii="宋体" w:hAnsi="宋体" w:eastAsia="宋体" w:cs="宋体"/>
                <w:szCs w:val="21"/>
              </w:rPr>
              <w:t>2</w:t>
            </w:r>
          </w:p>
        </w:tc>
        <w:tc>
          <w:tcPr>
            <w:tcW w:w="1623" w:type="pct"/>
            <w:noWrap w:val="0"/>
            <w:vAlign w:val="center"/>
          </w:tcPr>
          <w:p w14:paraId="52F2D22E">
            <w:pPr>
              <w:jc w:val="left"/>
              <w:rPr>
                <w:rFonts w:hint="eastAsia" w:ascii="宋体" w:hAnsi="宋体" w:eastAsia="宋体" w:cs="宋体"/>
                <w:b/>
                <w:szCs w:val="21"/>
              </w:rPr>
            </w:pPr>
            <w:r>
              <w:rPr>
                <w:rFonts w:hint="eastAsia" w:ascii="宋体" w:hAnsi="宋体" w:eastAsia="宋体" w:cs="宋体"/>
                <w:b/>
                <w:szCs w:val="21"/>
              </w:rPr>
              <w:t>㈡实践部分：</w:t>
            </w:r>
          </w:p>
          <w:p w14:paraId="7A3F1898">
            <w:pPr>
              <w:jc w:val="left"/>
              <w:rPr>
                <w:rFonts w:hint="eastAsia" w:ascii="宋体" w:hAnsi="宋体" w:eastAsia="宋体" w:cs="宋体"/>
                <w:bCs/>
                <w:szCs w:val="22"/>
              </w:rPr>
            </w:pPr>
            <w:r>
              <w:rPr>
                <w:rFonts w:hint="eastAsia" w:ascii="宋体" w:hAnsi="宋体" w:eastAsia="宋体" w:cs="宋体"/>
                <w:bCs/>
                <w:szCs w:val="22"/>
              </w:rPr>
              <w:t>1.各运动项目和身体素质为主，主要包括篮球、足球、五人制足球、排球、乒乓球、排舞(女)、武术、散打、健美操(女)、排舞(女)、花样跳绳、飞盘和体育保健等。</w:t>
            </w:r>
          </w:p>
          <w:p w14:paraId="2252DA45">
            <w:pPr>
              <w:jc w:val="left"/>
              <w:rPr>
                <w:rFonts w:hint="eastAsia" w:ascii="宋体" w:hAnsi="宋体" w:eastAsia="宋体" w:cs="宋体"/>
                <w:bCs/>
                <w:szCs w:val="22"/>
              </w:rPr>
            </w:pPr>
            <w:r>
              <w:rPr>
                <w:rFonts w:hint="eastAsia" w:ascii="宋体" w:hAnsi="宋体" w:eastAsia="宋体" w:cs="宋体"/>
                <w:bCs/>
                <w:szCs w:val="22"/>
              </w:rPr>
              <w:t>2.健康标准测试和发展体能</w:t>
            </w:r>
          </w:p>
          <w:p w14:paraId="2F87A31C">
            <w:pPr>
              <w:jc w:val="left"/>
              <w:rPr>
                <w:rFonts w:hint="eastAsia" w:ascii="宋体" w:hAnsi="宋体" w:eastAsia="宋体" w:cs="宋体"/>
                <w:bCs/>
                <w:szCs w:val="22"/>
              </w:rPr>
            </w:pPr>
            <w:r>
              <w:rPr>
                <w:rFonts w:hint="eastAsia" w:ascii="宋体" w:hAnsi="宋体" w:eastAsia="宋体" w:cs="宋体"/>
                <w:b/>
                <w:bCs/>
                <w:szCs w:val="22"/>
              </w:rPr>
              <w:t>重点：</w:t>
            </w:r>
            <w:r>
              <w:rPr>
                <w:rFonts w:hint="eastAsia" w:ascii="宋体" w:hAnsi="宋体" w:eastAsia="宋体" w:cs="宋体"/>
                <w:bCs/>
                <w:szCs w:val="22"/>
              </w:rPr>
              <w:t>掌握所学项目基本技能、规则及锻炼方法。</w:t>
            </w:r>
          </w:p>
          <w:p w14:paraId="7396FC9E">
            <w:pPr>
              <w:jc w:val="left"/>
              <w:rPr>
                <w:rFonts w:hint="eastAsia" w:ascii="宋体" w:hAnsi="宋体" w:eastAsia="宋体" w:cs="宋体"/>
                <w:bCs/>
                <w:szCs w:val="22"/>
              </w:rPr>
            </w:pPr>
            <w:r>
              <w:rPr>
                <w:rFonts w:hint="eastAsia" w:ascii="宋体" w:hAnsi="宋体" w:eastAsia="宋体" w:cs="宋体"/>
                <w:b/>
                <w:bCs/>
                <w:szCs w:val="22"/>
              </w:rPr>
              <w:t>难点：</w:t>
            </w:r>
            <w:r>
              <w:rPr>
                <w:rFonts w:hint="eastAsia" w:ascii="宋体" w:hAnsi="宋体" w:eastAsia="宋体" w:cs="宋体"/>
                <w:bCs/>
                <w:szCs w:val="22"/>
              </w:rPr>
              <w:t>学会运用所学项目技能，自主和自觉锻炼意识，发展体育精神、健全人格。</w:t>
            </w:r>
          </w:p>
        </w:tc>
        <w:tc>
          <w:tcPr>
            <w:tcW w:w="541" w:type="pct"/>
            <w:noWrap w:val="0"/>
            <w:vAlign w:val="center"/>
          </w:tcPr>
          <w:p w14:paraId="5466D6BB">
            <w:pPr>
              <w:widowControl/>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kern w:val="0"/>
                <w:szCs w:val="21"/>
              </w:rPr>
              <w:t>爱国主义和集体主义教育；体育道德观、意志品德培育；规则意识和诚信意识教育。</w:t>
            </w:r>
          </w:p>
        </w:tc>
        <w:tc>
          <w:tcPr>
            <w:tcW w:w="1160" w:type="pct"/>
            <w:noWrap w:val="0"/>
            <w:vAlign w:val="center"/>
          </w:tcPr>
          <w:p w14:paraId="0247C27B">
            <w:pPr>
              <w:spacing w:line="280" w:lineRule="exact"/>
              <w:jc w:val="left"/>
              <w:rPr>
                <w:rFonts w:hint="eastAsia" w:ascii="宋体" w:hAnsi="宋体" w:eastAsia="宋体" w:cs="宋体"/>
                <w:szCs w:val="21"/>
              </w:rPr>
            </w:pPr>
            <w:r>
              <w:rPr>
                <w:rFonts w:hint="eastAsia" w:ascii="宋体" w:hAnsi="宋体" w:eastAsia="宋体" w:cs="宋体"/>
                <w:szCs w:val="21"/>
              </w:rPr>
              <w:t>通过学习，使学生了解和掌握所选运动项目的基本知识、基本技术和锻炼方法；</w:t>
            </w:r>
            <w:r>
              <w:rPr>
                <w:rFonts w:hint="eastAsia" w:ascii="宋体" w:hAnsi="宋体" w:eastAsia="宋体" w:cs="宋体"/>
                <w:bCs/>
                <w:szCs w:val="22"/>
              </w:rPr>
              <w:t>发展学生的力量、灵敏、协调、平衡等身体素质及提高感知能力</w:t>
            </w:r>
            <w:r>
              <w:rPr>
                <w:rFonts w:hint="eastAsia" w:ascii="宋体" w:hAnsi="宋体" w:eastAsia="宋体" w:cs="宋体"/>
                <w:szCs w:val="21"/>
              </w:rPr>
              <w:t>；增强人际交往能力，培养团结协作的集体主义精神、顽强拼搏的竞争意识和爱国主义情怀。</w:t>
            </w:r>
          </w:p>
        </w:tc>
        <w:tc>
          <w:tcPr>
            <w:tcW w:w="386" w:type="pct"/>
            <w:noWrap w:val="0"/>
            <w:vAlign w:val="center"/>
          </w:tcPr>
          <w:p w14:paraId="0466D2F6">
            <w:pPr>
              <w:jc w:val="center"/>
              <w:rPr>
                <w:rFonts w:hint="eastAsia" w:ascii="宋体" w:hAnsi="宋体" w:eastAsia="宋体" w:cs="宋体"/>
                <w:szCs w:val="21"/>
              </w:rPr>
            </w:pPr>
            <w:r>
              <w:rPr>
                <w:rFonts w:hint="eastAsia" w:ascii="宋体" w:hAnsi="宋体" w:eastAsia="宋体" w:cs="宋体"/>
                <w:szCs w:val="21"/>
              </w:rPr>
              <w:t>26</w:t>
            </w:r>
          </w:p>
        </w:tc>
        <w:tc>
          <w:tcPr>
            <w:tcW w:w="464" w:type="pct"/>
            <w:noWrap w:val="0"/>
            <w:vAlign w:val="center"/>
          </w:tcPr>
          <w:p w14:paraId="3195A7E1">
            <w:pPr>
              <w:rPr>
                <w:rFonts w:hint="eastAsia" w:ascii="宋体" w:hAnsi="宋体" w:eastAsia="宋体" w:cs="宋体"/>
                <w:szCs w:val="21"/>
              </w:rPr>
            </w:pPr>
            <w:r>
              <w:rPr>
                <w:rFonts w:hint="eastAsia" w:ascii="宋体" w:hAnsi="宋体" w:eastAsia="宋体" w:cs="宋体"/>
                <w:szCs w:val="21"/>
              </w:rPr>
              <w:t>讲授、演示、练习法等</w:t>
            </w:r>
          </w:p>
        </w:tc>
        <w:tc>
          <w:tcPr>
            <w:tcW w:w="520" w:type="pct"/>
            <w:noWrap w:val="0"/>
            <w:vAlign w:val="center"/>
          </w:tcPr>
          <w:p w14:paraId="1A868535">
            <w:pPr>
              <w:jc w:val="left"/>
              <w:rPr>
                <w:rFonts w:hint="eastAsia" w:ascii="宋体" w:hAnsi="宋体" w:eastAsia="宋体" w:cs="宋体"/>
                <w:szCs w:val="21"/>
              </w:rPr>
            </w:pPr>
            <w:r>
              <w:rPr>
                <w:rFonts w:hint="eastAsia" w:ascii="宋体" w:hAnsi="宋体" w:eastAsia="宋体" w:cs="宋体"/>
                <w:szCs w:val="21"/>
              </w:rPr>
              <w:t>目标1</w:t>
            </w:r>
          </w:p>
          <w:p w14:paraId="1EA76FD2">
            <w:pPr>
              <w:jc w:val="left"/>
              <w:rPr>
                <w:rFonts w:hint="eastAsia" w:ascii="宋体" w:hAnsi="宋体" w:eastAsia="宋体" w:cs="宋体"/>
                <w:szCs w:val="21"/>
              </w:rPr>
            </w:pPr>
            <w:r>
              <w:rPr>
                <w:rFonts w:hint="eastAsia" w:ascii="宋体" w:hAnsi="宋体" w:eastAsia="宋体" w:cs="宋体"/>
                <w:szCs w:val="21"/>
              </w:rPr>
              <w:t>目标2</w:t>
            </w:r>
          </w:p>
        </w:tc>
      </w:tr>
    </w:tbl>
    <w:p w14:paraId="559ADF03">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四、课程实施</w:t>
      </w:r>
    </w:p>
    <w:p w14:paraId="041AB3C8">
      <w:pPr>
        <w:spacing w:before="180" w:beforeLines="50" w:after="180" w:afterLines="50" w:line="360" w:lineRule="auto"/>
        <w:ind w:firstLine="482" w:firstLineChars="200"/>
        <w:jc w:val="left"/>
        <w:rPr>
          <w:rFonts w:hint="eastAsia" w:ascii="宋体" w:hAnsi="宋体" w:eastAsia="宋体" w:cs="宋体"/>
          <w:b/>
          <w:sz w:val="24"/>
          <w:szCs w:val="22"/>
        </w:rPr>
      </w:pPr>
      <w:r>
        <w:rPr>
          <w:rFonts w:hint="eastAsia" w:ascii="宋体" w:hAnsi="宋体" w:eastAsia="宋体" w:cs="宋体"/>
          <w:b/>
          <w:sz w:val="24"/>
          <w:szCs w:val="22"/>
        </w:rPr>
        <w:t>（一）教学方法与手段</w:t>
      </w:r>
    </w:p>
    <w:p w14:paraId="692E07CC">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 xml:space="preserve">1．本课程以实践教学为主，教学方法与手段的运用要考虑到学生的实际情况，从实际出发，因材施教，注意区别对待，激发学生学习兴趣，着重培养学生自学、自练、自评、互评等能力。  </w:t>
      </w:r>
    </w:p>
    <w:p w14:paraId="78FCD94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2．教学方法与手段的运用合理，注意防止伤害事故发生，重视学生自我保护能力培养。 </w:t>
      </w:r>
    </w:p>
    <w:p w14:paraId="50C075D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3．针对体育教学的特点，本课程将采用：讲解法、示范法、完整法、分解法、集体练习、小组练习等教学方法，并利用多媒体教学方式，提高学生的欣赏能力、让学生更加深刻的了解所学项目。</w:t>
      </w:r>
    </w:p>
    <w:p w14:paraId="2B4726B3">
      <w:pPr>
        <w:spacing w:line="360" w:lineRule="auto"/>
        <w:ind w:firstLine="482" w:firstLineChars="200"/>
        <w:rPr>
          <w:rFonts w:hint="eastAsia" w:ascii="宋体" w:hAnsi="宋体" w:eastAsia="宋体" w:cs="宋体"/>
          <w:b/>
          <w:sz w:val="24"/>
          <w:szCs w:val="22"/>
        </w:rPr>
      </w:pPr>
      <w:r>
        <w:rPr>
          <w:rFonts w:hint="eastAsia" w:ascii="宋体" w:hAnsi="宋体" w:eastAsia="宋体" w:cs="宋体"/>
          <w:b/>
          <w:sz w:val="24"/>
          <w:szCs w:val="22"/>
        </w:rPr>
        <w:t>（二）课程实施与保障</w:t>
      </w:r>
    </w:p>
    <w:tbl>
      <w:tblPr>
        <w:tblStyle w:val="1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34"/>
        <w:gridCol w:w="6758"/>
      </w:tblGrid>
      <w:tr w14:paraId="77E7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gridSpan w:val="2"/>
            <w:tcBorders>
              <w:top w:val="single" w:color="auto" w:sz="8" w:space="0"/>
              <w:left w:val="single" w:color="auto" w:sz="8" w:space="0"/>
              <w:right w:val="single" w:color="auto" w:sz="8" w:space="0"/>
            </w:tcBorders>
            <w:noWrap w:val="0"/>
            <w:tcMar>
              <w:left w:w="28" w:type="dxa"/>
              <w:right w:w="28" w:type="dxa"/>
            </w:tcMar>
            <w:vAlign w:val="center"/>
          </w:tcPr>
          <w:p w14:paraId="4A9E110B">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主要教学环节</w:t>
            </w:r>
          </w:p>
        </w:tc>
        <w:tc>
          <w:tcPr>
            <w:tcW w:w="6758" w:type="dxa"/>
            <w:tcBorders>
              <w:top w:val="single" w:color="auto" w:sz="8" w:space="0"/>
              <w:left w:val="single" w:color="auto" w:sz="8" w:space="0"/>
              <w:right w:val="single" w:color="auto" w:sz="8" w:space="0"/>
            </w:tcBorders>
            <w:noWrap w:val="0"/>
            <w:vAlign w:val="center"/>
          </w:tcPr>
          <w:p w14:paraId="3588B23B">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质量要求</w:t>
            </w:r>
          </w:p>
        </w:tc>
      </w:tr>
      <w:tr w14:paraId="2882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46B4AFA7">
            <w:pPr>
              <w:spacing w:line="276" w:lineRule="auto"/>
              <w:jc w:val="center"/>
              <w:rPr>
                <w:rFonts w:hint="eastAsia" w:ascii="宋体" w:hAnsi="宋体" w:eastAsia="宋体" w:cs="宋体"/>
                <w:sz w:val="24"/>
                <w:szCs w:val="22"/>
              </w:rPr>
            </w:pPr>
            <w:r>
              <w:rPr>
                <w:rFonts w:hint="eastAsia" w:ascii="宋体" w:hAnsi="宋体" w:eastAsia="宋体" w:cs="宋体"/>
                <w:sz w:val="24"/>
                <w:szCs w:val="22"/>
              </w:rPr>
              <w:t>1</w:t>
            </w:r>
          </w:p>
        </w:tc>
        <w:tc>
          <w:tcPr>
            <w:tcW w:w="1134" w:type="dxa"/>
            <w:noWrap w:val="0"/>
            <w:tcMar>
              <w:left w:w="28" w:type="dxa"/>
              <w:right w:w="28" w:type="dxa"/>
            </w:tcMar>
            <w:vAlign w:val="center"/>
          </w:tcPr>
          <w:p w14:paraId="66F92E77">
            <w:pPr>
              <w:spacing w:line="276" w:lineRule="auto"/>
              <w:jc w:val="center"/>
              <w:rPr>
                <w:rFonts w:hint="eastAsia" w:ascii="宋体" w:hAnsi="宋体" w:eastAsia="宋体" w:cs="宋体"/>
                <w:sz w:val="24"/>
                <w:szCs w:val="22"/>
              </w:rPr>
            </w:pPr>
            <w:r>
              <w:rPr>
                <w:rFonts w:hint="eastAsia" w:ascii="宋体" w:hAnsi="宋体" w:eastAsia="宋体" w:cs="宋体"/>
                <w:sz w:val="24"/>
                <w:szCs w:val="22"/>
              </w:rPr>
              <w:t>备课</w:t>
            </w:r>
          </w:p>
        </w:tc>
        <w:tc>
          <w:tcPr>
            <w:tcW w:w="6758" w:type="dxa"/>
            <w:tcBorders>
              <w:right w:val="single" w:color="auto" w:sz="8" w:space="0"/>
            </w:tcBorders>
            <w:noWrap w:val="0"/>
            <w:vAlign w:val="center"/>
          </w:tcPr>
          <w:p w14:paraId="40C8C784">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1.掌握本课程教学大纲内容，严格按照教学大纲要求进行本课程教学内容的组织；</w:t>
            </w:r>
          </w:p>
          <w:p w14:paraId="6F9FE103">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2.熟悉教材各章节，借助相关专业书籍资料，并依据教学大纲编写授课计划；</w:t>
            </w:r>
          </w:p>
          <w:p w14:paraId="625FF5C2">
            <w:pPr>
              <w:autoSpaceDE w:val="0"/>
              <w:autoSpaceDN w:val="0"/>
              <w:adjustRightInd w:val="0"/>
              <w:snapToGrid w:val="0"/>
              <w:spacing w:line="320" w:lineRule="exact"/>
              <w:jc w:val="left"/>
              <w:rPr>
                <w:rFonts w:hint="eastAsia" w:ascii="宋体" w:hAnsi="宋体" w:eastAsia="宋体" w:cs="宋体"/>
                <w:spacing w:val="-10"/>
                <w:kern w:val="0"/>
                <w:sz w:val="22"/>
                <w:szCs w:val="22"/>
              </w:rPr>
            </w:pPr>
            <w:r>
              <w:rPr>
                <w:rFonts w:hint="eastAsia" w:ascii="宋体" w:hAnsi="宋体" w:eastAsia="宋体" w:cs="宋体"/>
                <w:spacing w:val="-10"/>
                <w:kern w:val="0"/>
                <w:sz w:val="22"/>
                <w:szCs w:val="22"/>
              </w:rPr>
              <w:t xml:space="preserve">3.结合课程特点，制作课件，运用多媒体教学手段讲授部分教学内容； </w:t>
            </w:r>
          </w:p>
          <w:p w14:paraId="003A4453">
            <w:pPr>
              <w:autoSpaceDE w:val="0"/>
              <w:autoSpaceDN w:val="0"/>
              <w:adjustRightInd w:val="0"/>
              <w:snapToGrid w:val="0"/>
              <w:spacing w:line="320" w:lineRule="exact"/>
              <w:jc w:val="left"/>
              <w:rPr>
                <w:rFonts w:hint="eastAsia" w:ascii="宋体" w:hAnsi="宋体" w:eastAsia="宋体" w:cs="宋体"/>
                <w:sz w:val="24"/>
                <w:szCs w:val="22"/>
              </w:rPr>
            </w:pPr>
            <w:r>
              <w:rPr>
                <w:rFonts w:hint="eastAsia" w:ascii="宋体" w:hAnsi="宋体" w:eastAsia="宋体" w:cs="宋体"/>
                <w:kern w:val="0"/>
                <w:sz w:val="22"/>
                <w:szCs w:val="22"/>
              </w:rPr>
              <w:t>4.确定各章节课程内容的教学方法，构思授课思路、技巧和方法。</w:t>
            </w:r>
          </w:p>
        </w:tc>
      </w:tr>
      <w:tr w14:paraId="15FE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5DCB8612">
            <w:pPr>
              <w:spacing w:line="276" w:lineRule="auto"/>
              <w:jc w:val="center"/>
              <w:rPr>
                <w:rFonts w:hint="eastAsia" w:ascii="宋体" w:hAnsi="宋体" w:eastAsia="宋体" w:cs="宋体"/>
                <w:sz w:val="24"/>
                <w:szCs w:val="22"/>
              </w:rPr>
            </w:pPr>
            <w:r>
              <w:rPr>
                <w:rFonts w:hint="eastAsia" w:ascii="宋体" w:hAnsi="宋体" w:eastAsia="宋体" w:cs="宋体"/>
                <w:sz w:val="24"/>
                <w:szCs w:val="22"/>
              </w:rPr>
              <w:t>2</w:t>
            </w:r>
          </w:p>
        </w:tc>
        <w:tc>
          <w:tcPr>
            <w:tcW w:w="1134" w:type="dxa"/>
            <w:noWrap w:val="0"/>
            <w:tcMar>
              <w:left w:w="28" w:type="dxa"/>
              <w:right w:w="28" w:type="dxa"/>
            </w:tcMar>
            <w:vAlign w:val="center"/>
          </w:tcPr>
          <w:p w14:paraId="1CC0868C">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讲授</w:t>
            </w:r>
          </w:p>
        </w:tc>
        <w:tc>
          <w:tcPr>
            <w:tcW w:w="6758" w:type="dxa"/>
            <w:tcBorders>
              <w:right w:val="single" w:color="auto" w:sz="8" w:space="0"/>
            </w:tcBorders>
            <w:noWrap w:val="0"/>
            <w:vAlign w:val="center"/>
          </w:tcPr>
          <w:p w14:paraId="4A0A288C">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w:t>
            </w:r>
            <w:r>
              <w:rPr>
                <w:rFonts w:hint="eastAsia" w:ascii="宋体" w:hAnsi="宋体" w:eastAsia="宋体" w:cs="宋体"/>
                <w:szCs w:val="22"/>
              </w:rPr>
              <w:t>满足需要，发展个性；</w:t>
            </w:r>
            <w:r>
              <w:rPr>
                <w:rFonts w:hint="eastAsia" w:ascii="宋体" w:hAnsi="宋体" w:eastAsia="宋体" w:cs="宋体"/>
                <w:kern w:val="0"/>
                <w:sz w:val="22"/>
                <w:szCs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1E1D5BEA">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2.采用多种教学方式（如启发式教学、导学式、发现式等），精讲多练，培养学生自学、自练、自评、互评等能力。</w:t>
            </w:r>
          </w:p>
          <w:p w14:paraId="12B4C7BC">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5095B989">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4.区别对待，因材施教。重视安全和关心基础较差的学生成长。</w:t>
            </w:r>
          </w:p>
          <w:p w14:paraId="07651570">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5.教学中教师要以身作则，言传身教，做到既教学又育人。培养学生的优良品质，达到身心全面发展。</w:t>
            </w:r>
          </w:p>
        </w:tc>
      </w:tr>
      <w:tr w14:paraId="13D3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799D3747">
            <w:pPr>
              <w:spacing w:line="276" w:lineRule="auto"/>
              <w:jc w:val="center"/>
              <w:rPr>
                <w:rFonts w:hint="eastAsia" w:ascii="宋体" w:hAnsi="宋体" w:eastAsia="宋体" w:cs="宋体"/>
                <w:sz w:val="24"/>
                <w:szCs w:val="22"/>
              </w:rPr>
            </w:pPr>
            <w:r>
              <w:rPr>
                <w:rFonts w:hint="eastAsia" w:ascii="宋体" w:hAnsi="宋体" w:eastAsia="宋体" w:cs="宋体"/>
                <w:sz w:val="24"/>
                <w:szCs w:val="22"/>
              </w:rPr>
              <w:t>3</w:t>
            </w:r>
          </w:p>
        </w:tc>
        <w:tc>
          <w:tcPr>
            <w:tcW w:w="1134" w:type="dxa"/>
            <w:noWrap w:val="0"/>
            <w:tcMar>
              <w:left w:w="28" w:type="dxa"/>
              <w:right w:w="28" w:type="dxa"/>
            </w:tcMar>
            <w:vAlign w:val="center"/>
          </w:tcPr>
          <w:p w14:paraId="3701AC1D">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课外练习</w:t>
            </w:r>
          </w:p>
        </w:tc>
        <w:tc>
          <w:tcPr>
            <w:tcW w:w="6758" w:type="dxa"/>
            <w:tcBorders>
              <w:right w:val="single" w:color="auto" w:sz="8" w:space="0"/>
            </w:tcBorders>
            <w:noWrap w:val="0"/>
            <w:vAlign w:val="center"/>
          </w:tcPr>
          <w:p w14:paraId="059895B8">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课外练习是教师布置课外练习内容，重点要求学生利用课余时间巩固课堂上所学的技术动作，形成正确的动力定型，同时要求学生加强身体素质练习。</w:t>
            </w:r>
          </w:p>
        </w:tc>
      </w:tr>
      <w:tr w14:paraId="525B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0CBF5FC9">
            <w:pPr>
              <w:spacing w:line="276" w:lineRule="auto"/>
              <w:jc w:val="center"/>
              <w:rPr>
                <w:rFonts w:hint="eastAsia" w:ascii="宋体" w:hAnsi="宋体" w:eastAsia="宋体" w:cs="宋体"/>
                <w:sz w:val="24"/>
                <w:szCs w:val="22"/>
              </w:rPr>
            </w:pPr>
            <w:r>
              <w:rPr>
                <w:rFonts w:hint="eastAsia" w:ascii="宋体" w:hAnsi="宋体" w:eastAsia="宋体" w:cs="宋体"/>
                <w:sz w:val="24"/>
                <w:szCs w:val="22"/>
              </w:rPr>
              <w:t>4</w:t>
            </w:r>
          </w:p>
        </w:tc>
        <w:tc>
          <w:tcPr>
            <w:tcW w:w="1134" w:type="dxa"/>
            <w:noWrap w:val="0"/>
            <w:tcMar>
              <w:left w:w="28" w:type="dxa"/>
              <w:right w:w="28" w:type="dxa"/>
            </w:tcMar>
            <w:vAlign w:val="center"/>
          </w:tcPr>
          <w:p w14:paraId="7731B87F">
            <w:pPr>
              <w:spacing w:line="276" w:lineRule="auto"/>
              <w:jc w:val="center"/>
              <w:rPr>
                <w:rFonts w:hint="eastAsia" w:ascii="宋体" w:hAnsi="宋体" w:eastAsia="宋体" w:cs="宋体"/>
                <w:sz w:val="24"/>
                <w:szCs w:val="22"/>
              </w:rPr>
            </w:pPr>
            <w:r>
              <w:rPr>
                <w:rFonts w:hint="eastAsia" w:ascii="宋体" w:hAnsi="宋体" w:eastAsia="宋体" w:cs="宋体"/>
                <w:sz w:val="24"/>
                <w:szCs w:val="22"/>
              </w:rPr>
              <w:t>成绩考核</w:t>
            </w:r>
          </w:p>
        </w:tc>
        <w:tc>
          <w:tcPr>
            <w:tcW w:w="6758" w:type="dxa"/>
            <w:tcBorders>
              <w:right w:val="single" w:color="auto" w:sz="8" w:space="0"/>
            </w:tcBorders>
            <w:noWrap w:val="0"/>
            <w:vAlign w:val="center"/>
          </w:tcPr>
          <w:p w14:paraId="6DD50320">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本课程考核的方式：考试。总评成绩的评定见课程评分方案。有下列情况之一者，总评成绩为不及格：</w:t>
            </w:r>
          </w:p>
          <w:p w14:paraId="6AEAB7A2">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1.课外体育锻炼不合格者；</w:t>
            </w:r>
          </w:p>
          <w:p w14:paraId="4C588591">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2.缺课次数达本学期总授课学时的1/3以上者；</w:t>
            </w:r>
          </w:p>
        </w:tc>
      </w:tr>
    </w:tbl>
    <w:p w14:paraId="3AB7D067">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五、课程考核</w:t>
      </w:r>
    </w:p>
    <w:p w14:paraId="2370606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（一）课程考核由期末考试和平时考核构成，期末考试采用随堂方式。</w:t>
      </w:r>
    </w:p>
    <w:p w14:paraId="7D81982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（二）课程总评成绩=平时成绩50%+期末考试50%，平时成绩=课堂表现10%+课外体育锻炼20%+身体素质20%。</w:t>
      </w:r>
    </w:p>
    <w:p w14:paraId="6322951C">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具体内容和比例如表所示：</w:t>
      </w:r>
    </w:p>
    <w:tbl>
      <w:tblPr>
        <w:tblStyle w:val="1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3D1E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4C0FDADA">
            <w:pPr>
              <w:jc w:val="center"/>
              <w:rPr>
                <w:rFonts w:hint="eastAsia" w:ascii="宋体" w:hAnsi="宋体" w:eastAsia="宋体" w:cs="宋体"/>
                <w:szCs w:val="21"/>
              </w:rPr>
            </w:pPr>
            <w:r>
              <w:rPr>
                <w:rFonts w:hint="eastAsia" w:ascii="宋体" w:hAnsi="宋体" w:eastAsia="宋体" w:cs="宋体"/>
                <w:szCs w:val="21"/>
              </w:rPr>
              <w:t>成绩组成</w:t>
            </w:r>
          </w:p>
        </w:tc>
        <w:tc>
          <w:tcPr>
            <w:tcW w:w="1301" w:type="dxa"/>
            <w:shd w:val="clear" w:color="auto" w:fill="FFFFFF"/>
            <w:noWrap w:val="0"/>
            <w:vAlign w:val="center"/>
          </w:tcPr>
          <w:p w14:paraId="5F18B35C">
            <w:pPr>
              <w:jc w:val="center"/>
              <w:rPr>
                <w:rFonts w:hint="eastAsia" w:ascii="宋体" w:hAnsi="宋体" w:eastAsia="宋体" w:cs="宋体"/>
                <w:szCs w:val="21"/>
              </w:rPr>
            </w:pPr>
            <w:r>
              <w:rPr>
                <w:rFonts w:hint="eastAsia" w:ascii="宋体" w:hAnsi="宋体" w:eastAsia="宋体" w:cs="宋体"/>
                <w:szCs w:val="21"/>
              </w:rPr>
              <w:t>考核/评价环节</w:t>
            </w:r>
          </w:p>
        </w:tc>
        <w:tc>
          <w:tcPr>
            <w:tcW w:w="741" w:type="dxa"/>
            <w:shd w:val="clear" w:color="auto" w:fill="FFFFFF"/>
            <w:noWrap w:val="0"/>
            <w:vAlign w:val="center"/>
          </w:tcPr>
          <w:p w14:paraId="436A9195">
            <w:pPr>
              <w:jc w:val="center"/>
              <w:rPr>
                <w:rFonts w:hint="eastAsia" w:ascii="宋体" w:hAnsi="宋体" w:eastAsia="宋体" w:cs="宋体"/>
                <w:szCs w:val="21"/>
              </w:rPr>
            </w:pPr>
            <w:r>
              <w:rPr>
                <w:rFonts w:hint="eastAsia" w:ascii="宋体" w:hAnsi="宋体" w:eastAsia="宋体" w:cs="宋体"/>
                <w:szCs w:val="21"/>
              </w:rPr>
              <w:t>权重</w:t>
            </w:r>
          </w:p>
        </w:tc>
        <w:tc>
          <w:tcPr>
            <w:tcW w:w="4086" w:type="dxa"/>
            <w:shd w:val="clear" w:color="auto" w:fill="FFFFFF"/>
            <w:noWrap w:val="0"/>
            <w:vAlign w:val="center"/>
          </w:tcPr>
          <w:p w14:paraId="284C21F0">
            <w:pPr>
              <w:jc w:val="center"/>
              <w:rPr>
                <w:rFonts w:hint="eastAsia" w:ascii="宋体" w:hAnsi="宋体" w:eastAsia="宋体" w:cs="宋体"/>
                <w:szCs w:val="21"/>
              </w:rPr>
            </w:pPr>
            <w:r>
              <w:rPr>
                <w:rFonts w:hint="eastAsia" w:ascii="宋体" w:hAnsi="宋体" w:eastAsia="宋体" w:cs="宋体"/>
                <w:szCs w:val="21"/>
              </w:rPr>
              <w:t>考核/评价细则</w:t>
            </w:r>
          </w:p>
        </w:tc>
        <w:tc>
          <w:tcPr>
            <w:tcW w:w="1310" w:type="dxa"/>
            <w:shd w:val="clear" w:color="auto" w:fill="FFFFFF"/>
            <w:noWrap w:val="0"/>
            <w:vAlign w:val="center"/>
          </w:tcPr>
          <w:p w14:paraId="0B509DD1">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6608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5F37E8F2">
            <w:pPr>
              <w:jc w:val="center"/>
              <w:rPr>
                <w:rFonts w:hint="eastAsia" w:ascii="宋体" w:hAnsi="宋体" w:eastAsia="宋体" w:cs="宋体"/>
                <w:szCs w:val="21"/>
              </w:rPr>
            </w:pPr>
            <w:r>
              <w:rPr>
                <w:rFonts w:hint="eastAsia" w:ascii="宋体" w:hAnsi="宋体" w:eastAsia="宋体" w:cs="宋体"/>
                <w:szCs w:val="21"/>
              </w:rPr>
              <w:t>平时成绩</w:t>
            </w:r>
          </w:p>
          <w:p w14:paraId="6E1FC4AA">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3BD05659">
            <w:pPr>
              <w:spacing w:line="276" w:lineRule="auto"/>
              <w:jc w:val="center"/>
              <w:rPr>
                <w:rFonts w:hint="eastAsia" w:ascii="宋体" w:hAnsi="宋体" w:eastAsia="宋体" w:cs="宋体"/>
                <w:szCs w:val="21"/>
              </w:rPr>
            </w:pPr>
            <w:r>
              <w:rPr>
                <w:rFonts w:hint="eastAsia" w:ascii="宋体" w:hAnsi="宋体" w:eastAsia="宋体" w:cs="宋体"/>
                <w:szCs w:val="21"/>
              </w:rPr>
              <w:t>课堂表现</w:t>
            </w:r>
          </w:p>
        </w:tc>
        <w:tc>
          <w:tcPr>
            <w:tcW w:w="741" w:type="dxa"/>
            <w:noWrap w:val="0"/>
            <w:vAlign w:val="center"/>
          </w:tcPr>
          <w:p w14:paraId="4421AD70">
            <w:pPr>
              <w:rPr>
                <w:rFonts w:hint="eastAsia" w:ascii="宋体" w:hAnsi="宋体" w:eastAsia="宋体" w:cs="宋体"/>
                <w:szCs w:val="21"/>
              </w:rPr>
            </w:pPr>
            <w:r>
              <w:rPr>
                <w:rFonts w:hint="eastAsia" w:ascii="宋体" w:hAnsi="宋体" w:eastAsia="宋体" w:cs="宋体"/>
                <w:szCs w:val="21"/>
              </w:rPr>
              <w:t xml:space="preserve"> 10%</w:t>
            </w:r>
          </w:p>
        </w:tc>
        <w:tc>
          <w:tcPr>
            <w:tcW w:w="4086" w:type="dxa"/>
            <w:noWrap w:val="0"/>
            <w:vAlign w:val="center"/>
          </w:tcPr>
          <w:p w14:paraId="3BD8FC0D">
            <w:pPr>
              <w:spacing w:line="320" w:lineRule="exact"/>
              <w:jc w:val="left"/>
              <w:rPr>
                <w:rFonts w:hint="eastAsia" w:ascii="宋体" w:hAnsi="宋体" w:eastAsia="宋体" w:cs="宋体"/>
                <w:sz w:val="24"/>
                <w:szCs w:val="22"/>
              </w:rPr>
            </w:pPr>
            <w:r>
              <w:rPr>
                <w:rFonts w:hint="eastAsia" w:ascii="宋体" w:hAnsi="宋体" w:eastAsia="宋体" w:cs="宋体"/>
                <w:bCs/>
                <w:kern w:val="24"/>
                <w:szCs w:val="21"/>
              </w:rPr>
              <w:t>课堂整队点名，考核</w:t>
            </w:r>
            <w:r>
              <w:rPr>
                <w:rFonts w:hint="eastAsia" w:ascii="宋体" w:hAnsi="宋体" w:eastAsia="宋体" w:cs="宋体"/>
                <w:szCs w:val="21"/>
              </w:rPr>
              <w:t>能否按时到勤，旷课一次扣20分，迟到与早退等一次扣10分。</w:t>
            </w:r>
          </w:p>
        </w:tc>
        <w:tc>
          <w:tcPr>
            <w:tcW w:w="1310" w:type="dxa"/>
            <w:noWrap w:val="0"/>
            <w:vAlign w:val="center"/>
          </w:tcPr>
          <w:p w14:paraId="2D51989C">
            <w:pPr>
              <w:jc w:val="center"/>
              <w:rPr>
                <w:rFonts w:hint="eastAsia" w:ascii="宋体" w:hAnsi="宋体" w:eastAsia="宋体" w:cs="宋体"/>
                <w:szCs w:val="21"/>
              </w:rPr>
            </w:pPr>
            <w:r>
              <w:rPr>
                <w:rFonts w:hint="eastAsia" w:ascii="宋体" w:hAnsi="宋体" w:eastAsia="宋体" w:cs="宋体"/>
                <w:bCs/>
                <w:szCs w:val="21"/>
              </w:rPr>
              <w:t>8、9</w:t>
            </w:r>
          </w:p>
        </w:tc>
      </w:tr>
      <w:tr w14:paraId="5CCD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25D9BB68">
            <w:pPr>
              <w:jc w:val="center"/>
              <w:rPr>
                <w:rFonts w:hint="eastAsia" w:ascii="宋体" w:hAnsi="宋体" w:eastAsia="宋体" w:cs="宋体"/>
                <w:szCs w:val="21"/>
              </w:rPr>
            </w:pPr>
          </w:p>
        </w:tc>
        <w:tc>
          <w:tcPr>
            <w:tcW w:w="1301" w:type="dxa"/>
            <w:noWrap w:val="0"/>
            <w:vAlign w:val="center"/>
          </w:tcPr>
          <w:p w14:paraId="545C3F62">
            <w:pPr>
              <w:spacing w:line="276" w:lineRule="auto"/>
              <w:jc w:val="center"/>
              <w:rPr>
                <w:rFonts w:hint="eastAsia" w:ascii="宋体" w:hAnsi="宋体" w:eastAsia="宋体" w:cs="宋体"/>
                <w:szCs w:val="21"/>
              </w:rPr>
            </w:pPr>
            <w:r>
              <w:rPr>
                <w:rFonts w:hint="eastAsia" w:ascii="宋体" w:hAnsi="宋体" w:eastAsia="宋体" w:cs="宋体"/>
                <w:szCs w:val="21"/>
              </w:rPr>
              <w:t>课外锻炼</w:t>
            </w:r>
          </w:p>
        </w:tc>
        <w:tc>
          <w:tcPr>
            <w:tcW w:w="741" w:type="dxa"/>
            <w:noWrap w:val="0"/>
            <w:vAlign w:val="center"/>
          </w:tcPr>
          <w:p w14:paraId="1C70422D">
            <w:pPr>
              <w:rPr>
                <w:rFonts w:hint="eastAsia" w:ascii="宋体" w:hAnsi="宋体" w:eastAsia="宋体" w:cs="宋体"/>
                <w:szCs w:val="21"/>
              </w:rPr>
            </w:pPr>
            <w:r>
              <w:rPr>
                <w:rFonts w:hint="eastAsia" w:ascii="宋体" w:hAnsi="宋体" w:eastAsia="宋体" w:cs="宋体"/>
                <w:szCs w:val="21"/>
              </w:rPr>
              <w:t xml:space="preserve"> 20%</w:t>
            </w:r>
          </w:p>
        </w:tc>
        <w:tc>
          <w:tcPr>
            <w:tcW w:w="4086" w:type="dxa"/>
            <w:noWrap w:val="0"/>
            <w:vAlign w:val="center"/>
          </w:tcPr>
          <w:p w14:paraId="5DA00251">
            <w:pPr>
              <w:spacing w:line="280" w:lineRule="exact"/>
              <w:jc w:val="left"/>
              <w:rPr>
                <w:rFonts w:hint="eastAsia" w:ascii="宋体" w:hAnsi="宋体" w:eastAsia="宋体" w:cs="宋体"/>
                <w:bCs/>
                <w:kern w:val="24"/>
                <w:szCs w:val="21"/>
              </w:rPr>
            </w:pPr>
            <w:r>
              <w:rPr>
                <w:rFonts w:hint="eastAsia" w:ascii="宋体" w:hAnsi="宋体" w:eastAsia="宋体" w:cs="宋体"/>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10" w:type="dxa"/>
            <w:noWrap w:val="0"/>
            <w:vAlign w:val="center"/>
          </w:tcPr>
          <w:p w14:paraId="1C466DFC">
            <w:pPr>
              <w:jc w:val="center"/>
              <w:rPr>
                <w:rFonts w:hint="eastAsia" w:ascii="宋体" w:hAnsi="宋体" w:eastAsia="宋体" w:cs="宋体"/>
                <w:szCs w:val="22"/>
              </w:rPr>
            </w:pPr>
            <w:r>
              <w:rPr>
                <w:rFonts w:hint="eastAsia" w:ascii="宋体" w:hAnsi="宋体" w:eastAsia="宋体" w:cs="宋体"/>
                <w:szCs w:val="22"/>
              </w:rPr>
              <w:t>8、9</w:t>
            </w:r>
          </w:p>
        </w:tc>
      </w:tr>
      <w:tr w14:paraId="6B39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40" w:type="dxa"/>
            <w:vMerge w:val="continue"/>
            <w:noWrap w:val="0"/>
            <w:tcMar>
              <w:left w:w="57" w:type="dxa"/>
              <w:right w:w="57" w:type="dxa"/>
            </w:tcMar>
            <w:vAlign w:val="center"/>
          </w:tcPr>
          <w:p w14:paraId="556604E0">
            <w:pPr>
              <w:jc w:val="center"/>
              <w:rPr>
                <w:rFonts w:hint="eastAsia" w:ascii="宋体" w:hAnsi="宋体" w:eastAsia="宋体" w:cs="宋体"/>
                <w:szCs w:val="21"/>
              </w:rPr>
            </w:pPr>
          </w:p>
        </w:tc>
        <w:tc>
          <w:tcPr>
            <w:tcW w:w="1301" w:type="dxa"/>
            <w:noWrap w:val="0"/>
            <w:vAlign w:val="center"/>
          </w:tcPr>
          <w:p w14:paraId="4EF418C0">
            <w:pPr>
              <w:spacing w:line="276" w:lineRule="auto"/>
              <w:jc w:val="center"/>
              <w:rPr>
                <w:rFonts w:hint="eastAsia" w:ascii="宋体" w:hAnsi="宋体" w:eastAsia="宋体" w:cs="宋体"/>
                <w:szCs w:val="21"/>
              </w:rPr>
            </w:pPr>
            <w:r>
              <w:rPr>
                <w:rFonts w:hint="eastAsia" w:ascii="宋体" w:hAnsi="宋体" w:eastAsia="宋体" w:cs="宋体"/>
                <w:szCs w:val="21"/>
              </w:rPr>
              <w:t>身体素质</w:t>
            </w:r>
          </w:p>
        </w:tc>
        <w:tc>
          <w:tcPr>
            <w:tcW w:w="741" w:type="dxa"/>
            <w:noWrap w:val="0"/>
            <w:vAlign w:val="center"/>
          </w:tcPr>
          <w:p w14:paraId="60A7EE6A">
            <w:pPr>
              <w:jc w:val="center"/>
              <w:rPr>
                <w:rFonts w:hint="eastAsia" w:ascii="宋体" w:hAnsi="宋体" w:eastAsia="宋体" w:cs="宋体"/>
                <w:szCs w:val="21"/>
              </w:rPr>
            </w:pPr>
            <w:r>
              <w:rPr>
                <w:rFonts w:hint="eastAsia" w:ascii="宋体" w:hAnsi="宋体" w:eastAsia="宋体" w:cs="宋体"/>
                <w:szCs w:val="21"/>
              </w:rPr>
              <w:t>20%</w:t>
            </w:r>
          </w:p>
        </w:tc>
        <w:tc>
          <w:tcPr>
            <w:tcW w:w="4086" w:type="dxa"/>
            <w:noWrap w:val="0"/>
            <w:vAlign w:val="center"/>
          </w:tcPr>
          <w:p w14:paraId="32CCC2DF">
            <w:pPr>
              <w:spacing w:line="280" w:lineRule="exact"/>
              <w:jc w:val="left"/>
              <w:rPr>
                <w:rFonts w:hint="eastAsia" w:ascii="宋体" w:hAnsi="宋体" w:eastAsia="宋体" w:cs="宋体"/>
                <w:sz w:val="24"/>
                <w:szCs w:val="22"/>
              </w:rPr>
            </w:pPr>
            <w:r>
              <w:rPr>
                <w:rFonts w:hint="eastAsia" w:ascii="宋体" w:hAnsi="宋体" w:eastAsia="宋体" w:cs="宋体"/>
                <w:bCs/>
                <w:kern w:val="24"/>
                <w:szCs w:val="21"/>
              </w:rPr>
              <w:t>课堂测试，评分参照《国家学生体质健康标准》。</w:t>
            </w:r>
          </w:p>
        </w:tc>
        <w:tc>
          <w:tcPr>
            <w:tcW w:w="1310" w:type="dxa"/>
            <w:noWrap w:val="0"/>
            <w:vAlign w:val="center"/>
          </w:tcPr>
          <w:p w14:paraId="4315E037">
            <w:pPr>
              <w:jc w:val="center"/>
              <w:rPr>
                <w:rFonts w:hint="eastAsia" w:ascii="宋体" w:hAnsi="宋体" w:eastAsia="宋体" w:cs="宋体"/>
                <w:szCs w:val="22"/>
              </w:rPr>
            </w:pPr>
            <w:r>
              <w:rPr>
                <w:rFonts w:hint="eastAsia" w:ascii="宋体" w:hAnsi="宋体" w:eastAsia="宋体" w:cs="宋体"/>
                <w:szCs w:val="22"/>
              </w:rPr>
              <w:t>8、9</w:t>
            </w:r>
          </w:p>
        </w:tc>
      </w:tr>
      <w:tr w14:paraId="53CD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noWrap w:val="0"/>
            <w:tcMar>
              <w:left w:w="57" w:type="dxa"/>
              <w:right w:w="57" w:type="dxa"/>
            </w:tcMar>
            <w:vAlign w:val="center"/>
          </w:tcPr>
          <w:p w14:paraId="66A02126">
            <w:pPr>
              <w:jc w:val="center"/>
              <w:rPr>
                <w:rFonts w:hint="eastAsia" w:ascii="宋体" w:hAnsi="宋体" w:eastAsia="宋体" w:cs="宋体"/>
                <w:szCs w:val="21"/>
              </w:rPr>
            </w:pPr>
            <w:r>
              <w:rPr>
                <w:rFonts w:hint="eastAsia" w:ascii="宋体" w:hAnsi="宋体" w:eastAsia="宋体" w:cs="宋体"/>
                <w:szCs w:val="21"/>
              </w:rPr>
              <w:t>期末考试</w:t>
            </w:r>
          </w:p>
          <w:p w14:paraId="0B3D4A3C">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79E88CB8">
            <w:pPr>
              <w:jc w:val="center"/>
              <w:rPr>
                <w:rFonts w:hint="eastAsia" w:ascii="宋体" w:hAnsi="宋体" w:eastAsia="宋体" w:cs="宋体"/>
                <w:szCs w:val="21"/>
              </w:rPr>
            </w:pPr>
            <w:r>
              <w:rPr>
                <w:rFonts w:hint="eastAsia" w:ascii="宋体" w:hAnsi="宋体" w:eastAsia="宋体" w:cs="宋体"/>
                <w:szCs w:val="21"/>
              </w:rPr>
              <w:t>期末运动技能考试</w:t>
            </w:r>
          </w:p>
        </w:tc>
        <w:tc>
          <w:tcPr>
            <w:tcW w:w="741" w:type="dxa"/>
            <w:noWrap w:val="0"/>
            <w:vAlign w:val="center"/>
          </w:tcPr>
          <w:p w14:paraId="15B4AA2D">
            <w:pPr>
              <w:jc w:val="center"/>
              <w:rPr>
                <w:rFonts w:hint="eastAsia" w:ascii="宋体" w:hAnsi="宋体" w:eastAsia="宋体" w:cs="宋体"/>
                <w:szCs w:val="21"/>
              </w:rPr>
            </w:pPr>
            <w:r>
              <w:rPr>
                <w:rFonts w:hint="eastAsia" w:ascii="宋体" w:hAnsi="宋体" w:eastAsia="宋体" w:cs="宋体"/>
                <w:szCs w:val="21"/>
              </w:rPr>
              <w:t>50%</w:t>
            </w:r>
          </w:p>
        </w:tc>
        <w:tc>
          <w:tcPr>
            <w:tcW w:w="4086" w:type="dxa"/>
            <w:noWrap w:val="0"/>
            <w:vAlign w:val="center"/>
          </w:tcPr>
          <w:p w14:paraId="1A983C06">
            <w:pPr>
              <w:spacing w:line="400" w:lineRule="exact"/>
              <w:jc w:val="center"/>
              <w:rPr>
                <w:rFonts w:hint="eastAsia" w:ascii="宋体" w:hAnsi="宋体" w:eastAsia="宋体" w:cs="宋体"/>
                <w:color w:val="000000"/>
                <w:szCs w:val="21"/>
              </w:rPr>
            </w:pPr>
            <w:r>
              <w:rPr>
                <w:rFonts w:hint="eastAsia" w:ascii="宋体" w:hAnsi="宋体" w:eastAsia="宋体" w:cs="宋体"/>
                <w:color w:val="000000"/>
                <w:szCs w:val="21"/>
              </w:rPr>
              <w:t>各专项技能</w:t>
            </w:r>
          </w:p>
        </w:tc>
        <w:tc>
          <w:tcPr>
            <w:tcW w:w="1310" w:type="dxa"/>
            <w:noWrap w:val="0"/>
            <w:vAlign w:val="center"/>
          </w:tcPr>
          <w:p w14:paraId="2F6E3A19">
            <w:pPr>
              <w:jc w:val="center"/>
              <w:rPr>
                <w:rFonts w:hint="eastAsia" w:ascii="宋体" w:hAnsi="宋体" w:eastAsia="宋体" w:cs="宋体"/>
                <w:szCs w:val="21"/>
              </w:rPr>
            </w:pPr>
            <w:r>
              <w:rPr>
                <w:rFonts w:hint="eastAsia" w:ascii="宋体" w:hAnsi="宋体" w:eastAsia="宋体" w:cs="宋体"/>
                <w:bCs/>
                <w:szCs w:val="21"/>
              </w:rPr>
              <w:t>8、9</w:t>
            </w:r>
          </w:p>
        </w:tc>
      </w:tr>
    </w:tbl>
    <w:p w14:paraId="0A60DF5C">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六、有关说明</w:t>
      </w:r>
    </w:p>
    <w:p w14:paraId="081EE0DA">
      <w:pPr>
        <w:spacing w:line="360" w:lineRule="auto"/>
        <w:ind w:firstLine="482" w:firstLineChars="200"/>
        <w:rPr>
          <w:rFonts w:hint="eastAsia" w:ascii="宋体" w:hAnsi="宋体" w:eastAsia="宋体" w:cs="宋体"/>
          <w:b/>
          <w:color w:val="000000"/>
          <w:sz w:val="24"/>
          <w:szCs w:val="22"/>
        </w:rPr>
      </w:pPr>
      <w:r>
        <w:rPr>
          <w:rFonts w:hint="eastAsia" w:ascii="宋体" w:hAnsi="宋体" w:eastAsia="宋体" w:cs="宋体"/>
          <w:b/>
          <w:color w:val="000000"/>
          <w:sz w:val="24"/>
          <w:szCs w:val="22"/>
        </w:rPr>
        <w:t>（一）持续改进</w:t>
      </w:r>
    </w:p>
    <w:p w14:paraId="49FDF503">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本课程根据学生课外体育锻炼、课堂表现、身体素质测试、平时考核情况，以及学生、教学督导等反馈，及时对教学中不足之处进行改进，并在下一轮课程教学中整改完善，确保相应毕业要求指标点达成。</w:t>
      </w:r>
    </w:p>
    <w:p w14:paraId="285742DC">
      <w:pPr>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color w:val="000000"/>
          <w:sz w:val="24"/>
          <w:szCs w:val="22"/>
        </w:rPr>
        <w:t>（二）教学参考书</w:t>
      </w:r>
    </w:p>
    <w:p w14:paraId="4000F9E3">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1.毛振明.大学体育文化与实技教程[M].沈阳：东北大学出版社，2013.</w:t>
      </w:r>
    </w:p>
    <w:p w14:paraId="4C0F1895">
      <w:pPr>
        <w:wordWrap w:val="0"/>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执笔人：顾  宏</w:t>
      </w:r>
    </w:p>
    <w:p w14:paraId="12DC3E6A">
      <w:pPr>
        <w:wordWrap w:val="0"/>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审定人：朱亚男</w:t>
      </w:r>
    </w:p>
    <w:p w14:paraId="1E04FAC3">
      <w:pPr>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批准人：王红福</w:t>
      </w:r>
    </w:p>
    <w:p w14:paraId="1D3A4D9A">
      <w:pPr>
        <w:spacing w:line="360" w:lineRule="exact"/>
        <w:ind w:firstLine="480" w:firstLineChars="200"/>
        <w:jc w:val="righ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批准时间：2024年9月1日</w:t>
      </w:r>
    </w:p>
    <w:p w14:paraId="67349B01">
      <w:pPr>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br w:type="page"/>
      </w:r>
    </w:p>
    <w:p w14:paraId="55D8C07A">
      <w:pPr>
        <w:pStyle w:val="2"/>
        <w:bidi w:val="0"/>
        <w:rPr>
          <w:rFonts w:hint="eastAsia"/>
          <w:lang w:val="en-US" w:eastAsia="zh-CN"/>
        </w:rPr>
      </w:pPr>
      <w:bookmarkStart w:id="106" w:name="_Toc31253"/>
      <w:bookmarkStart w:id="107" w:name="_Toc33"/>
      <w:bookmarkStart w:id="108" w:name="_Toc27470"/>
      <w:bookmarkStart w:id="109" w:name="_Toc8181"/>
      <w:r>
        <w:rPr>
          <w:rFonts w:hint="eastAsia"/>
          <w:lang w:val="en-US" w:eastAsia="zh-CN"/>
        </w:rPr>
        <w:t>《体育III》课程教学大纲</w:t>
      </w:r>
      <w:bookmarkEnd w:id="106"/>
      <w:bookmarkEnd w:id="107"/>
      <w:bookmarkEnd w:id="108"/>
      <w:bookmarkEnd w:id="109"/>
    </w:p>
    <w:p w14:paraId="3BB92DF7">
      <w:pPr>
        <w:pStyle w:val="2"/>
        <w:bidi w:val="0"/>
        <w:rPr>
          <w:rFonts w:hint="eastAsia" w:ascii="Times New Roman" w:hAnsi="Times New Roman" w:eastAsia="宋体" w:cs="Arial"/>
          <w:b/>
          <w:bCs/>
          <w:kern w:val="2"/>
          <w:szCs w:val="24"/>
          <w:lang w:val="en-US" w:eastAsia="zh-CN" w:bidi="ar-SA"/>
        </w:rPr>
      </w:pPr>
      <w:bookmarkStart w:id="110" w:name="_Toc9288"/>
      <w:bookmarkStart w:id="111" w:name="_Toc24628"/>
      <w:bookmarkStart w:id="112" w:name="_Toc9251"/>
      <w:bookmarkStart w:id="113" w:name="_Toc18836"/>
      <w:bookmarkStart w:id="114" w:name="_Toc7679"/>
      <w:bookmarkStart w:id="115" w:name="_Toc26611"/>
      <w:bookmarkStart w:id="116" w:name="_Toc16661"/>
      <w:r>
        <w:rPr>
          <w:rFonts w:hint="eastAsia"/>
          <w:lang w:val="en-US" w:eastAsia="zh-CN"/>
        </w:rPr>
        <w:t>（Physical  Education III）</w:t>
      </w:r>
      <w:bookmarkEnd w:id="110"/>
      <w:bookmarkEnd w:id="111"/>
      <w:bookmarkEnd w:id="112"/>
      <w:bookmarkEnd w:id="113"/>
      <w:bookmarkEnd w:id="114"/>
      <w:bookmarkEnd w:id="115"/>
      <w:bookmarkEnd w:id="116"/>
    </w:p>
    <w:p w14:paraId="0899D5A4">
      <w:pPr>
        <w:spacing w:line="360" w:lineRule="auto"/>
        <w:ind w:firstLine="551" w:firstLineChars="196"/>
        <w:rPr>
          <w:rFonts w:hint="eastAsia" w:ascii="宋体" w:hAnsi="宋体" w:eastAsia="宋体" w:cs="宋体"/>
          <w:b/>
          <w:sz w:val="28"/>
          <w:szCs w:val="28"/>
        </w:rPr>
      </w:pPr>
      <w:r>
        <w:rPr>
          <w:rFonts w:hint="eastAsia" w:ascii="宋体" w:hAnsi="宋体" w:eastAsia="宋体" w:cs="宋体"/>
          <w:b/>
          <w:sz w:val="28"/>
          <w:szCs w:val="28"/>
        </w:rPr>
        <w:t>一、课程概况</w:t>
      </w:r>
    </w:p>
    <w:p w14:paraId="3BB7FBC1">
      <w:pPr>
        <w:spacing w:line="360" w:lineRule="auto"/>
        <w:ind w:firstLine="482" w:firstLineChars="200"/>
        <w:rPr>
          <w:rFonts w:hint="eastAsia" w:ascii="宋体" w:hAnsi="宋体" w:eastAsia="宋体" w:cs="宋体"/>
          <w:b/>
          <w:sz w:val="28"/>
          <w:szCs w:val="28"/>
        </w:rPr>
      </w:pPr>
      <w:r>
        <w:rPr>
          <w:rFonts w:hint="eastAsia" w:ascii="宋体" w:hAnsi="宋体" w:eastAsia="宋体" w:cs="宋体"/>
          <w:b/>
          <w:bCs/>
          <w:kern w:val="0"/>
          <w:sz w:val="24"/>
          <w:szCs w:val="22"/>
        </w:rPr>
        <w:t>课程代码</w:t>
      </w:r>
      <w:r>
        <w:rPr>
          <w:rFonts w:hint="eastAsia" w:ascii="宋体" w:hAnsi="宋体" w:eastAsia="宋体" w:cs="宋体"/>
          <w:b/>
          <w:kern w:val="0"/>
          <w:sz w:val="24"/>
          <w:szCs w:val="22"/>
        </w:rPr>
        <w:t>：</w:t>
      </w:r>
      <w:r>
        <w:rPr>
          <w:rFonts w:hint="eastAsia" w:ascii="宋体" w:hAnsi="宋体" w:eastAsia="宋体" w:cs="宋体"/>
          <w:bCs/>
          <w:kern w:val="0"/>
          <w:sz w:val="24"/>
          <w:szCs w:val="22"/>
        </w:rPr>
        <w:t>1102010</w:t>
      </w:r>
    </w:p>
    <w:p w14:paraId="1590C81B">
      <w:pPr>
        <w:spacing w:line="360" w:lineRule="auto"/>
        <w:ind w:firstLine="482" w:firstLineChars="200"/>
        <w:rPr>
          <w:rFonts w:hint="eastAsia" w:ascii="宋体" w:hAnsi="宋体" w:eastAsia="宋体" w:cs="宋体"/>
          <w:b/>
          <w:kern w:val="0"/>
          <w:sz w:val="24"/>
          <w:szCs w:val="22"/>
        </w:rPr>
      </w:pPr>
      <w:r>
        <w:rPr>
          <w:rFonts w:hint="eastAsia" w:ascii="宋体" w:hAnsi="宋体" w:eastAsia="宋体" w:cs="宋体"/>
          <w:b/>
          <w:bCs/>
          <w:kern w:val="0"/>
          <w:sz w:val="24"/>
          <w:szCs w:val="22"/>
        </w:rPr>
        <w:t>学    分</w:t>
      </w:r>
      <w:r>
        <w:rPr>
          <w:rFonts w:hint="eastAsia" w:ascii="宋体" w:hAnsi="宋体" w:eastAsia="宋体" w:cs="宋体"/>
          <w:b/>
          <w:kern w:val="0"/>
          <w:sz w:val="24"/>
          <w:szCs w:val="22"/>
        </w:rPr>
        <w:t>：</w:t>
      </w:r>
      <w:r>
        <w:rPr>
          <w:rFonts w:hint="eastAsia" w:ascii="宋体" w:hAnsi="宋体" w:eastAsia="宋体" w:cs="宋体"/>
          <w:bCs/>
          <w:kern w:val="0"/>
          <w:sz w:val="24"/>
          <w:szCs w:val="22"/>
        </w:rPr>
        <w:t>0.75</w:t>
      </w:r>
    </w:p>
    <w:p w14:paraId="511145EA">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学    时</w:t>
      </w:r>
      <w:r>
        <w:rPr>
          <w:rFonts w:hint="eastAsia" w:ascii="宋体" w:hAnsi="宋体" w:eastAsia="宋体" w:cs="宋体"/>
          <w:b/>
          <w:kern w:val="0"/>
          <w:sz w:val="24"/>
          <w:szCs w:val="22"/>
        </w:rPr>
        <w:t>：</w:t>
      </w:r>
      <w:r>
        <w:rPr>
          <w:rFonts w:hint="eastAsia" w:ascii="宋体" w:hAnsi="宋体" w:eastAsia="宋体" w:cs="宋体"/>
          <w:kern w:val="0"/>
          <w:sz w:val="24"/>
          <w:szCs w:val="22"/>
        </w:rPr>
        <w:t>30</w:t>
      </w:r>
    </w:p>
    <w:p w14:paraId="0A161DF1">
      <w:pPr>
        <w:spacing w:line="360" w:lineRule="auto"/>
        <w:ind w:firstLine="482" w:firstLineChars="200"/>
        <w:rPr>
          <w:rFonts w:hint="eastAsia" w:ascii="宋体" w:hAnsi="宋体" w:eastAsia="宋体" w:cs="宋体"/>
          <w:b/>
          <w:bCs/>
          <w:kern w:val="0"/>
          <w:sz w:val="24"/>
          <w:szCs w:val="22"/>
        </w:rPr>
      </w:pPr>
      <w:r>
        <w:rPr>
          <w:rFonts w:hint="eastAsia" w:ascii="宋体" w:hAnsi="宋体" w:eastAsia="宋体" w:cs="宋体"/>
          <w:b/>
          <w:bCs/>
          <w:kern w:val="0"/>
          <w:sz w:val="24"/>
          <w:szCs w:val="22"/>
        </w:rPr>
        <w:t>先修课程：</w:t>
      </w:r>
      <w:r>
        <w:rPr>
          <w:rFonts w:hint="eastAsia" w:ascii="宋体" w:hAnsi="宋体" w:eastAsia="宋体" w:cs="宋体"/>
          <w:kern w:val="0"/>
          <w:sz w:val="24"/>
          <w:szCs w:val="22"/>
        </w:rPr>
        <w:t>无</w:t>
      </w:r>
    </w:p>
    <w:p w14:paraId="43A70D10">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适用专业</w:t>
      </w:r>
      <w:r>
        <w:rPr>
          <w:rFonts w:hint="eastAsia" w:ascii="宋体" w:hAnsi="宋体" w:eastAsia="宋体" w:cs="宋体"/>
          <w:b/>
          <w:kern w:val="0"/>
          <w:sz w:val="24"/>
          <w:szCs w:val="22"/>
        </w:rPr>
        <w:t>：</w:t>
      </w:r>
      <w:r>
        <w:rPr>
          <w:rFonts w:hint="eastAsia" w:ascii="宋体" w:hAnsi="宋体" w:eastAsia="宋体" w:cs="宋体"/>
          <w:kern w:val="0"/>
          <w:sz w:val="24"/>
          <w:szCs w:val="22"/>
        </w:rPr>
        <w:t xml:space="preserve">全校各专业                        </w:t>
      </w:r>
    </w:p>
    <w:p w14:paraId="27C3E295">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教    材</w:t>
      </w:r>
      <w:r>
        <w:rPr>
          <w:rFonts w:hint="eastAsia" w:ascii="宋体" w:hAnsi="宋体" w:eastAsia="宋体" w:cs="宋体"/>
          <w:b/>
          <w:kern w:val="0"/>
          <w:sz w:val="24"/>
          <w:szCs w:val="22"/>
        </w:rPr>
        <w:t>：</w:t>
      </w:r>
      <w:r>
        <w:rPr>
          <w:rFonts w:hint="eastAsia" w:ascii="宋体" w:hAnsi="宋体" w:eastAsia="宋体" w:cs="宋体"/>
          <w:kern w:val="0"/>
          <w:sz w:val="24"/>
          <w:szCs w:val="22"/>
        </w:rPr>
        <w:t>《大学体育与健康（微视频版）》，王祥、王红福主编，上海交通大学出版社，出版时间：2021年12月</w:t>
      </w:r>
    </w:p>
    <w:p w14:paraId="1FAF53CB">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课程归口：</w:t>
      </w:r>
      <w:r>
        <w:rPr>
          <w:rFonts w:hint="eastAsia" w:ascii="宋体" w:hAnsi="宋体" w:eastAsia="宋体" w:cs="宋体"/>
          <w:bCs/>
          <w:kern w:val="0"/>
          <w:sz w:val="24"/>
          <w:szCs w:val="22"/>
        </w:rPr>
        <w:t>体育教学部</w:t>
      </w:r>
    </w:p>
    <w:p w14:paraId="4A7D66BF">
      <w:pPr>
        <w:autoSpaceDE w:val="0"/>
        <w:autoSpaceDN w:val="0"/>
        <w:adjustRightInd w:val="0"/>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bCs/>
          <w:kern w:val="0"/>
          <w:sz w:val="24"/>
          <w:szCs w:val="22"/>
        </w:rPr>
        <w:t>课程的性质与任务：</w:t>
      </w:r>
      <w:r>
        <w:rPr>
          <w:rFonts w:hint="eastAsia" w:ascii="宋体" w:hAnsi="宋体" w:eastAsia="宋体" w:cs="宋体"/>
          <w:sz w:val="24"/>
          <w:szCs w:val="22"/>
        </w:rPr>
        <w:t>本课程是面向全校各专业开设的以身体练习为主要手段，以培养学生体育人文素养和塑造健全人格为主要目的，以提高学生体质健康水平为主要目标的通识必修课。其教学安排在第二学年第三学期进行。课程主要内容包括篮球、足球、排球、羽毛球、乒乓球、网球、武术、手球、健美（男）、健美操（女）、艺术体操、跆拳道、散打、瑜伽、体育舞蹈和体育保健等项目。</w:t>
      </w:r>
    </w:p>
    <w:p w14:paraId="0EF5A7FF">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通过本课程的学习，使学生较全面、系统地掌握所学项目的基本理论知识，正确、熟练地掌握所学项目基本技术和战术，发展专项身体素质，并能在比赛或练习中灵活运用，从而提高学生的身体素质和促进学生身心健康发展。坚持以立德树人为根本，通过融入社会主义核心价值观、做人做事的道理和体育精神等课程思政元素，培养学生的爱国情怀、良好的体育道德风尚、团队精神、体育文化素养和顽强的意志品质。基本形成终身体育意识和自觉锻炼习惯。</w:t>
      </w:r>
    </w:p>
    <w:p w14:paraId="35FFFD94">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二、课程目标与毕业要求指标点对应关系</w:t>
      </w:r>
    </w:p>
    <w:p w14:paraId="462EC31E">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1：全面发展体能，提高运动能力，掌握体育基本理论知识和基本技术，具有一定的体育文化素养和体育欣赏能力。树立“健康第一”思想和正确的体育道德观，培养勇于拼搏、团结进取、战胜自我的优良品质。</w:t>
      </w:r>
    </w:p>
    <w:p w14:paraId="47FC86F5">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2：爱好并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7D4CEC9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本课程支撑专业培养方案中毕业要求8、9(不同专业会略有区别，具体见培养方案中的毕业要求实现矩阵)，对应关系如下表所示。</w:t>
      </w:r>
    </w:p>
    <w:tbl>
      <w:tblPr>
        <w:tblStyle w:val="1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632F8D40">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5FB57259">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p>
          <w:p w14:paraId="42BE106E">
            <w:pPr>
              <w:widowControl/>
              <w:jc w:val="center"/>
              <w:rPr>
                <w:rFonts w:hint="eastAsia" w:ascii="宋体" w:hAnsi="宋体" w:eastAsia="宋体" w:cs="宋体"/>
                <w:kern w:val="0"/>
                <w:szCs w:val="21"/>
              </w:rPr>
            </w:pPr>
            <w:r>
              <w:rPr>
                <w:rFonts w:hint="eastAsia" w:ascii="宋体" w:hAnsi="宋体" w:eastAsia="宋体" w:cs="宋体"/>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182043AB">
            <w:pPr>
              <w:widowControl/>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1ACC6F91">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FCCCD6">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118F124">
            <w:pPr>
              <w:widowControl/>
              <w:jc w:val="center"/>
              <w:rPr>
                <w:rFonts w:hint="eastAsia" w:ascii="宋体" w:hAnsi="宋体" w:eastAsia="宋体" w:cs="宋体"/>
                <w:kern w:val="0"/>
                <w:szCs w:val="21"/>
              </w:rPr>
            </w:pPr>
            <w:r>
              <w:rPr>
                <w:rFonts w:hint="eastAsia" w:ascii="宋体" w:hAnsi="宋体" w:eastAsia="宋体" w:cs="宋体"/>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5D1EA57E">
            <w:pPr>
              <w:widowControl/>
              <w:jc w:val="center"/>
              <w:rPr>
                <w:rFonts w:hint="eastAsia" w:ascii="宋体" w:hAnsi="宋体" w:eastAsia="宋体" w:cs="宋体"/>
                <w:kern w:val="0"/>
                <w:szCs w:val="21"/>
              </w:rPr>
            </w:pPr>
            <w:r>
              <w:rPr>
                <w:rFonts w:hint="eastAsia" w:ascii="宋体" w:hAnsi="宋体" w:eastAsia="宋体" w:cs="宋体"/>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5B10BB7C">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11B6894E">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EB8DB6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BC8304B">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0D22310">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53D03AC5">
            <w:pPr>
              <w:widowControl/>
              <w:jc w:val="center"/>
              <w:rPr>
                <w:rFonts w:hint="eastAsia" w:ascii="宋体" w:hAnsi="宋体" w:eastAsia="宋体" w:cs="宋体"/>
                <w:kern w:val="0"/>
                <w:szCs w:val="21"/>
              </w:rPr>
            </w:pPr>
          </w:p>
        </w:tc>
      </w:tr>
      <w:tr w14:paraId="7FE0FD27">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51E534B6">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8</w:t>
            </w:r>
          </w:p>
        </w:tc>
        <w:tc>
          <w:tcPr>
            <w:tcW w:w="510" w:type="pct"/>
            <w:tcBorders>
              <w:top w:val="nil"/>
              <w:left w:val="nil"/>
              <w:bottom w:val="single" w:color="auto" w:sz="4" w:space="0"/>
              <w:right w:val="single" w:color="auto" w:sz="4" w:space="0"/>
            </w:tcBorders>
            <w:noWrap/>
            <w:vAlign w:val="center"/>
          </w:tcPr>
          <w:p w14:paraId="7A68B14D">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057D977E">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16AD5FAB">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806387C">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77492286">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06053A2B">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08B32EF2">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0696B3E1">
            <w:pPr>
              <w:widowControl/>
              <w:jc w:val="center"/>
              <w:rPr>
                <w:rFonts w:hint="eastAsia" w:ascii="宋体" w:hAnsi="宋体" w:eastAsia="宋体" w:cs="宋体"/>
                <w:kern w:val="0"/>
                <w:szCs w:val="21"/>
              </w:rPr>
            </w:pPr>
          </w:p>
        </w:tc>
      </w:tr>
      <w:tr w14:paraId="691A2079">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5BA9D430">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9</w:t>
            </w:r>
          </w:p>
        </w:tc>
        <w:tc>
          <w:tcPr>
            <w:tcW w:w="510" w:type="pct"/>
            <w:tcBorders>
              <w:top w:val="nil"/>
              <w:left w:val="nil"/>
              <w:bottom w:val="single" w:color="auto" w:sz="4" w:space="0"/>
              <w:right w:val="single" w:color="auto" w:sz="4" w:space="0"/>
            </w:tcBorders>
            <w:noWrap/>
            <w:vAlign w:val="center"/>
          </w:tcPr>
          <w:p w14:paraId="1777CB28">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322E4EE4">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108F7D5E">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495831F1">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200A8A3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4C1D13A6">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1772CE4A">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7B8C5F14">
            <w:pPr>
              <w:widowControl/>
              <w:jc w:val="center"/>
              <w:rPr>
                <w:rFonts w:hint="eastAsia" w:ascii="宋体" w:hAnsi="宋体" w:eastAsia="宋体" w:cs="宋体"/>
                <w:kern w:val="0"/>
                <w:szCs w:val="21"/>
              </w:rPr>
            </w:pPr>
          </w:p>
        </w:tc>
      </w:tr>
    </w:tbl>
    <w:p w14:paraId="72689A25">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三、课程内容及要求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0893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68CB1130">
            <w:pPr>
              <w:jc w:val="center"/>
              <w:rPr>
                <w:rFonts w:hint="eastAsia" w:ascii="宋体" w:hAnsi="宋体" w:eastAsia="宋体" w:cs="宋体"/>
                <w:b/>
                <w:bCs/>
                <w:szCs w:val="21"/>
              </w:rPr>
            </w:pPr>
            <w:r>
              <w:rPr>
                <w:rFonts w:hint="eastAsia" w:ascii="宋体" w:hAnsi="宋体" w:eastAsia="宋体" w:cs="宋体"/>
                <w:b/>
                <w:bCs/>
                <w:szCs w:val="21"/>
              </w:rPr>
              <w:t>序号</w:t>
            </w:r>
          </w:p>
        </w:tc>
        <w:tc>
          <w:tcPr>
            <w:tcW w:w="1623" w:type="pct"/>
            <w:noWrap w:val="0"/>
            <w:vAlign w:val="center"/>
          </w:tcPr>
          <w:p w14:paraId="633FF3BA">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541" w:type="pct"/>
            <w:noWrap w:val="0"/>
            <w:vAlign w:val="center"/>
          </w:tcPr>
          <w:p w14:paraId="17C34CCB">
            <w:pPr>
              <w:jc w:val="center"/>
              <w:rPr>
                <w:rFonts w:hint="eastAsia" w:ascii="宋体" w:hAnsi="宋体" w:eastAsia="宋体" w:cs="宋体"/>
                <w:b/>
                <w:bCs/>
                <w:szCs w:val="21"/>
              </w:rPr>
            </w:pPr>
            <w:r>
              <w:rPr>
                <w:rFonts w:hint="eastAsia" w:ascii="宋体" w:hAnsi="宋体" w:eastAsia="宋体" w:cs="宋体"/>
                <w:b/>
                <w:bCs/>
                <w:szCs w:val="21"/>
              </w:rPr>
              <w:t>思政</w:t>
            </w:r>
          </w:p>
          <w:p w14:paraId="7D1FBA33">
            <w:pPr>
              <w:jc w:val="center"/>
              <w:rPr>
                <w:rFonts w:hint="eastAsia" w:ascii="宋体" w:hAnsi="宋体" w:eastAsia="宋体" w:cs="宋体"/>
                <w:b/>
                <w:bCs/>
                <w:szCs w:val="21"/>
              </w:rPr>
            </w:pPr>
            <w:r>
              <w:rPr>
                <w:rFonts w:hint="eastAsia" w:ascii="宋体" w:hAnsi="宋体" w:eastAsia="宋体" w:cs="宋体"/>
                <w:b/>
                <w:bCs/>
                <w:szCs w:val="21"/>
              </w:rPr>
              <w:t>元素</w:t>
            </w:r>
          </w:p>
        </w:tc>
        <w:tc>
          <w:tcPr>
            <w:tcW w:w="1160" w:type="pct"/>
            <w:noWrap w:val="0"/>
            <w:vAlign w:val="center"/>
          </w:tcPr>
          <w:p w14:paraId="7E741EB7">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386" w:type="pct"/>
            <w:noWrap w:val="0"/>
            <w:vAlign w:val="center"/>
          </w:tcPr>
          <w:p w14:paraId="0993725F">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464" w:type="pct"/>
            <w:noWrap w:val="0"/>
            <w:vAlign w:val="center"/>
          </w:tcPr>
          <w:p w14:paraId="16D8D169">
            <w:pPr>
              <w:jc w:val="center"/>
              <w:rPr>
                <w:rFonts w:hint="eastAsia" w:ascii="宋体" w:hAnsi="宋体" w:eastAsia="宋体" w:cs="宋体"/>
                <w:b/>
                <w:bCs/>
                <w:szCs w:val="21"/>
              </w:rPr>
            </w:pPr>
            <w:r>
              <w:rPr>
                <w:rFonts w:hint="eastAsia" w:ascii="宋体" w:hAnsi="宋体" w:eastAsia="宋体" w:cs="宋体"/>
                <w:b/>
                <w:bCs/>
                <w:szCs w:val="21"/>
              </w:rPr>
              <w:t>教学</w:t>
            </w:r>
          </w:p>
          <w:p w14:paraId="1C5F72F0">
            <w:pPr>
              <w:jc w:val="center"/>
              <w:rPr>
                <w:rFonts w:hint="eastAsia" w:ascii="宋体" w:hAnsi="宋体" w:eastAsia="宋体" w:cs="宋体"/>
                <w:b/>
                <w:bCs/>
                <w:szCs w:val="21"/>
              </w:rPr>
            </w:pPr>
            <w:r>
              <w:rPr>
                <w:rFonts w:hint="eastAsia" w:ascii="宋体" w:hAnsi="宋体" w:eastAsia="宋体" w:cs="宋体"/>
                <w:b/>
                <w:bCs/>
                <w:szCs w:val="21"/>
              </w:rPr>
              <w:t>方式</w:t>
            </w:r>
          </w:p>
        </w:tc>
        <w:tc>
          <w:tcPr>
            <w:tcW w:w="520" w:type="pct"/>
            <w:noWrap w:val="0"/>
            <w:vAlign w:val="center"/>
          </w:tcPr>
          <w:p w14:paraId="56FC8328">
            <w:pPr>
              <w:jc w:val="center"/>
              <w:rPr>
                <w:rFonts w:hint="eastAsia" w:ascii="宋体" w:hAnsi="宋体" w:eastAsia="宋体" w:cs="宋体"/>
                <w:b/>
                <w:bCs/>
                <w:szCs w:val="21"/>
              </w:rPr>
            </w:pPr>
            <w:r>
              <w:rPr>
                <w:rFonts w:hint="eastAsia" w:ascii="宋体" w:hAnsi="宋体" w:eastAsia="宋体" w:cs="宋体"/>
                <w:b/>
                <w:bCs/>
                <w:szCs w:val="21"/>
              </w:rPr>
              <w:t>支撑课程目标</w:t>
            </w:r>
          </w:p>
        </w:tc>
      </w:tr>
      <w:tr w14:paraId="7C09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2C43786A">
            <w:pPr>
              <w:jc w:val="center"/>
              <w:rPr>
                <w:rFonts w:hint="eastAsia" w:ascii="宋体" w:hAnsi="宋体" w:eastAsia="宋体" w:cs="宋体"/>
                <w:szCs w:val="21"/>
              </w:rPr>
            </w:pPr>
            <w:r>
              <w:rPr>
                <w:rFonts w:hint="eastAsia" w:ascii="宋体" w:hAnsi="宋体" w:eastAsia="宋体" w:cs="宋体"/>
                <w:szCs w:val="21"/>
              </w:rPr>
              <w:t>1</w:t>
            </w:r>
          </w:p>
        </w:tc>
        <w:tc>
          <w:tcPr>
            <w:tcW w:w="1623" w:type="pct"/>
            <w:noWrap w:val="0"/>
            <w:vAlign w:val="center"/>
          </w:tcPr>
          <w:p w14:paraId="1287F38D">
            <w:pPr>
              <w:jc w:val="left"/>
              <w:rPr>
                <w:rFonts w:hint="eastAsia" w:ascii="宋体" w:hAnsi="宋体" w:eastAsia="宋体" w:cs="宋体"/>
                <w:b/>
                <w:szCs w:val="21"/>
              </w:rPr>
            </w:pPr>
            <w:r>
              <w:rPr>
                <w:rFonts w:hint="eastAsia" w:ascii="宋体" w:hAnsi="宋体" w:eastAsia="宋体" w:cs="宋体"/>
                <w:b/>
                <w:szCs w:val="21"/>
              </w:rPr>
              <w:t>㈠体育理论部分:</w:t>
            </w:r>
          </w:p>
          <w:p w14:paraId="768AB92D">
            <w:pPr>
              <w:jc w:val="left"/>
              <w:rPr>
                <w:rFonts w:hint="eastAsia" w:ascii="宋体" w:hAnsi="宋体" w:eastAsia="宋体" w:cs="宋体"/>
                <w:bCs/>
                <w:szCs w:val="22"/>
              </w:rPr>
            </w:pPr>
            <w:r>
              <w:rPr>
                <w:rFonts w:hint="eastAsia" w:ascii="宋体" w:hAnsi="宋体" w:eastAsia="宋体" w:cs="宋体"/>
                <w:bCs/>
                <w:szCs w:val="22"/>
              </w:rPr>
              <w:t>1.学生思想政治教育：我校体育运动发展概况、国家领导人与体育、奥运明星的励志故事、社会主义核心价值观与体育等；</w:t>
            </w:r>
          </w:p>
          <w:p w14:paraId="76E6D895">
            <w:pPr>
              <w:jc w:val="left"/>
              <w:rPr>
                <w:rFonts w:hint="eastAsia" w:ascii="宋体" w:hAnsi="宋体" w:eastAsia="宋体" w:cs="宋体"/>
                <w:szCs w:val="22"/>
              </w:rPr>
            </w:pPr>
            <w:r>
              <w:rPr>
                <w:rFonts w:hint="eastAsia" w:ascii="宋体" w:hAnsi="宋体" w:eastAsia="宋体" w:cs="宋体"/>
                <w:bCs/>
                <w:szCs w:val="22"/>
              </w:rPr>
              <w:t>2.</w:t>
            </w:r>
            <w:r>
              <w:rPr>
                <w:rFonts w:hint="eastAsia" w:ascii="宋体" w:hAnsi="宋体" w:eastAsia="宋体" w:cs="宋体"/>
                <w:szCs w:val="22"/>
              </w:rPr>
              <w:t>体育安全教育：体育运动伤害事故的安全教育及预防与处理措施、常见运动损伤的预防与处理等；</w:t>
            </w:r>
          </w:p>
          <w:p w14:paraId="156BEE23">
            <w:pPr>
              <w:jc w:val="left"/>
              <w:rPr>
                <w:rFonts w:hint="eastAsia" w:ascii="宋体" w:hAnsi="宋体" w:eastAsia="宋体" w:cs="宋体"/>
                <w:szCs w:val="21"/>
              </w:rPr>
            </w:pPr>
            <w:r>
              <w:rPr>
                <w:rFonts w:hint="eastAsia" w:ascii="宋体" w:hAnsi="宋体" w:eastAsia="宋体" w:cs="宋体"/>
                <w:szCs w:val="22"/>
              </w:rPr>
              <w:t>3.体育基本理论：各运动项目的基本技战术知识、组织与竞赛、基本规则和裁判法，运动健身的基本原理与锻炼方法，体育锻炼的自我监督与评价，体育养生与保健知识等；</w:t>
            </w:r>
          </w:p>
          <w:p w14:paraId="1765914F">
            <w:pPr>
              <w:ind w:right="-170" w:rightChars="-81"/>
              <w:jc w:val="left"/>
              <w:rPr>
                <w:rFonts w:hint="eastAsia" w:ascii="宋体" w:hAnsi="宋体" w:eastAsia="宋体" w:cs="宋体"/>
                <w:szCs w:val="21"/>
              </w:rPr>
            </w:pPr>
            <w:r>
              <w:rPr>
                <w:rFonts w:hint="eastAsia" w:ascii="宋体" w:hAnsi="宋体" w:eastAsia="宋体" w:cs="宋体"/>
                <w:b/>
                <w:szCs w:val="21"/>
              </w:rPr>
              <w:t>重点：</w:t>
            </w:r>
            <w:r>
              <w:rPr>
                <w:rFonts w:hint="eastAsia" w:ascii="宋体" w:hAnsi="宋体" w:eastAsia="宋体" w:cs="宋体"/>
                <w:szCs w:val="21"/>
              </w:rPr>
              <w:t>体育安全教育、掌握所学项目的基本知识；</w:t>
            </w:r>
          </w:p>
          <w:p w14:paraId="1FF8DB85">
            <w:pPr>
              <w:jc w:val="left"/>
              <w:rPr>
                <w:rFonts w:hint="eastAsia" w:ascii="宋体" w:hAnsi="宋体" w:eastAsia="宋体" w:cs="宋体"/>
                <w:szCs w:val="21"/>
              </w:rPr>
            </w:pPr>
            <w:r>
              <w:rPr>
                <w:rFonts w:hint="eastAsia" w:ascii="宋体" w:hAnsi="宋体" w:eastAsia="宋体" w:cs="宋体"/>
                <w:b/>
                <w:szCs w:val="21"/>
              </w:rPr>
              <w:t>难点：</w:t>
            </w:r>
            <w:r>
              <w:rPr>
                <w:rFonts w:hint="eastAsia" w:ascii="宋体" w:hAnsi="宋体" w:eastAsia="宋体" w:cs="宋体"/>
                <w:szCs w:val="21"/>
              </w:rPr>
              <w:t>培养学生自主锻炼能力和自觉锻炼意识。</w:t>
            </w:r>
          </w:p>
        </w:tc>
        <w:tc>
          <w:tcPr>
            <w:tcW w:w="541" w:type="pct"/>
            <w:noWrap w:val="0"/>
            <w:vAlign w:val="center"/>
          </w:tcPr>
          <w:p w14:paraId="5A3FA593">
            <w:pPr>
              <w:jc w:val="center"/>
              <w:rPr>
                <w:rFonts w:hint="eastAsia" w:ascii="宋体" w:hAnsi="宋体" w:eastAsia="宋体" w:cs="宋体"/>
                <w:kern w:val="0"/>
                <w:szCs w:val="21"/>
              </w:rPr>
            </w:pPr>
            <w:r>
              <w:rPr>
                <w:rFonts w:hint="eastAsia" w:ascii="宋体" w:hAnsi="宋体" w:eastAsia="宋体" w:cs="宋体"/>
                <w:kern w:val="0"/>
                <w:szCs w:val="21"/>
              </w:rPr>
              <w:t xml:space="preserve">理想信念、国家认同和社会主义核心价值观等教育；安全意识、健康意识教育； </w:t>
            </w:r>
          </w:p>
        </w:tc>
        <w:tc>
          <w:tcPr>
            <w:tcW w:w="1160" w:type="pct"/>
            <w:noWrap w:val="0"/>
            <w:vAlign w:val="center"/>
          </w:tcPr>
          <w:p w14:paraId="35389969">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通过教学，提高对体育的正确认识，形成正确积极的体育态度，学会运用科学理论指导健身锻炼实际，从而自觉遵循体育运动的规律，实现体育锻炼的目的。</w:t>
            </w:r>
          </w:p>
        </w:tc>
        <w:tc>
          <w:tcPr>
            <w:tcW w:w="386" w:type="pct"/>
            <w:noWrap w:val="0"/>
            <w:vAlign w:val="center"/>
          </w:tcPr>
          <w:p w14:paraId="4B0B9BCA">
            <w:pPr>
              <w:jc w:val="center"/>
              <w:rPr>
                <w:rFonts w:hint="eastAsia" w:ascii="宋体" w:hAnsi="宋体" w:eastAsia="宋体" w:cs="宋体"/>
                <w:szCs w:val="21"/>
              </w:rPr>
            </w:pPr>
            <w:r>
              <w:rPr>
                <w:rFonts w:hint="eastAsia" w:ascii="宋体" w:hAnsi="宋体" w:eastAsia="宋体" w:cs="宋体"/>
                <w:szCs w:val="21"/>
              </w:rPr>
              <w:t>4</w:t>
            </w:r>
          </w:p>
        </w:tc>
        <w:tc>
          <w:tcPr>
            <w:tcW w:w="464" w:type="pct"/>
            <w:noWrap w:val="0"/>
            <w:vAlign w:val="center"/>
          </w:tcPr>
          <w:p w14:paraId="193C591E">
            <w:pPr>
              <w:jc w:val="left"/>
              <w:rPr>
                <w:rFonts w:hint="eastAsia" w:ascii="宋体" w:hAnsi="宋体" w:eastAsia="宋体" w:cs="宋体"/>
                <w:szCs w:val="21"/>
              </w:rPr>
            </w:pPr>
            <w:r>
              <w:rPr>
                <w:rFonts w:hint="eastAsia" w:ascii="宋体" w:hAnsi="宋体" w:eastAsia="宋体" w:cs="宋体"/>
                <w:szCs w:val="21"/>
              </w:rPr>
              <w:t>讲授法</w:t>
            </w:r>
          </w:p>
        </w:tc>
        <w:tc>
          <w:tcPr>
            <w:tcW w:w="520" w:type="pct"/>
            <w:noWrap w:val="0"/>
            <w:vAlign w:val="center"/>
          </w:tcPr>
          <w:p w14:paraId="57D188FC">
            <w:pPr>
              <w:jc w:val="left"/>
              <w:rPr>
                <w:rFonts w:hint="eastAsia" w:ascii="宋体" w:hAnsi="宋体" w:eastAsia="宋体" w:cs="宋体"/>
                <w:szCs w:val="21"/>
              </w:rPr>
            </w:pPr>
            <w:r>
              <w:rPr>
                <w:rFonts w:hint="eastAsia" w:ascii="宋体" w:hAnsi="宋体" w:eastAsia="宋体" w:cs="宋体"/>
                <w:szCs w:val="21"/>
              </w:rPr>
              <w:t>目标1目标2</w:t>
            </w:r>
          </w:p>
        </w:tc>
      </w:tr>
      <w:tr w14:paraId="0497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453E8C88">
            <w:pPr>
              <w:jc w:val="center"/>
              <w:rPr>
                <w:rFonts w:hint="eastAsia" w:ascii="宋体" w:hAnsi="宋体" w:eastAsia="宋体" w:cs="宋体"/>
                <w:szCs w:val="21"/>
              </w:rPr>
            </w:pPr>
            <w:r>
              <w:rPr>
                <w:rFonts w:hint="eastAsia" w:ascii="宋体" w:hAnsi="宋体" w:eastAsia="宋体" w:cs="宋体"/>
                <w:szCs w:val="21"/>
              </w:rPr>
              <w:t>2</w:t>
            </w:r>
          </w:p>
        </w:tc>
        <w:tc>
          <w:tcPr>
            <w:tcW w:w="1623" w:type="pct"/>
            <w:noWrap w:val="0"/>
            <w:vAlign w:val="center"/>
          </w:tcPr>
          <w:p w14:paraId="01EEA86B">
            <w:pPr>
              <w:jc w:val="left"/>
              <w:rPr>
                <w:rFonts w:hint="eastAsia" w:ascii="宋体" w:hAnsi="宋体" w:eastAsia="宋体" w:cs="宋体"/>
                <w:b/>
                <w:szCs w:val="21"/>
              </w:rPr>
            </w:pPr>
            <w:r>
              <w:rPr>
                <w:rFonts w:hint="eastAsia" w:ascii="宋体" w:hAnsi="宋体" w:eastAsia="宋体" w:cs="宋体"/>
                <w:b/>
                <w:szCs w:val="21"/>
              </w:rPr>
              <w:t>㈡实践部分：</w:t>
            </w:r>
          </w:p>
          <w:p w14:paraId="1B840A5B">
            <w:pPr>
              <w:rPr>
                <w:rFonts w:hint="eastAsia" w:ascii="宋体" w:hAnsi="宋体" w:eastAsia="宋体" w:cs="宋体"/>
                <w:bCs/>
                <w:szCs w:val="22"/>
              </w:rPr>
            </w:pPr>
            <w:r>
              <w:rPr>
                <w:rFonts w:hint="eastAsia" w:ascii="宋体" w:hAnsi="宋体" w:eastAsia="宋体" w:cs="宋体"/>
                <w:bCs/>
                <w:szCs w:val="22"/>
              </w:rPr>
              <w:t>各运动项目和身体素质为主，主要包括篮球、足球、排球、手球、乒乓球、网球、羽毛球、台球、健美（男）、体育舞蹈、武术、散打、跆拳道、艺术体操、健美操（女）、排舞（女）、瑜伽、体育舞蹈和体育保健等项目。</w:t>
            </w:r>
          </w:p>
          <w:p w14:paraId="58344744">
            <w:pPr>
              <w:rPr>
                <w:rFonts w:hint="eastAsia" w:ascii="宋体" w:hAnsi="宋体" w:eastAsia="宋体" w:cs="宋体"/>
                <w:bCs/>
                <w:szCs w:val="22"/>
              </w:rPr>
            </w:pPr>
            <w:r>
              <w:rPr>
                <w:rFonts w:hint="eastAsia" w:ascii="宋体" w:hAnsi="宋体" w:eastAsia="宋体" w:cs="宋体"/>
                <w:b/>
                <w:bCs/>
                <w:szCs w:val="22"/>
              </w:rPr>
              <w:t>重点：</w:t>
            </w:r>
            <w:r>
              <w:rPr>
                <w:rFonts w:hint="eastAsia" w:ascii="宋体" w:hAnsi="宋体" w:eastAsia="宋体" w:cs="宋体"/>
                <w:bCs/>
                <w:szCs w:val="22"/>
              </w:rPr>
              <w:t>掌握所学项目基本技能、规则及锻炼方法。</w:t>
            </w:r>
          </w:p>
          <w:p w14:paraId="22B0C202">
            <w:pPr>
              <w:rPr>
                <w:rFonts w:hint="eastAsia" w:ascii="宋体" w:hAnsi="宋体" w:eastAsia="宋体" w:cs="宋体"/>
                <w:bCs/>
                <w:szCs w:val="22"/>
              </w:rPr>
            </w:pPr>
            <w:r>
              <w:rPr>
                <w:rFonts w:hint="eastAsia" w:ascii="宋体" w:hAnsi="宋体" w:eastAsia="宋体" w:cs="宋体"/>
                <w:b/>
                <w:bCs/>
                <w:szCs w:val="22"/>
              </w:rPr>
              <w:t>难点：</w:t>
            </w:r>
            <w:r>
              <w:rPr>
                <w:rFonts w:hint="eastAsia" w:ascii="宋体" w:hAnsi="宋体" w:eastAsia="宋体" w:cs="宋体"/>
                <w:bCs/>
                <w:szCs w:val="22"/>
              </w:rPr>
              <w:t>合理运用所学项目技能，自主和自觉锻炼意识，发展体育精神。</w:t>
            </w:r>
          </w:p>
        </w:tc>
        <w:tc>
          <w:tcPr>
            <w:tcW w:w="541" w:type="pct"/>
            <w:noWrap w:val="0"/>
            <w:vAlign w:val="center"/>
          </w:tcPr>
          <w:p w14:paraId="47B6C203">
            <w:pPr>
              <w:widowControl/>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kern w:val="0"/>
                <w:szCs w:val="21"/>
              </w:rPr>
              <w:t>爱国主义和集体主义教育；体育道德观、意志品德培育；规则意识和诚信意识教育。</w:t>
            </w:r>
          </w:p>
        </w:tc>
        <w:tc>
          <w:tcPr>
            <w:tcW w:w="1160" w:type="pct"/>
            <w:noWrap w:val="0"/>
            <w:vAlign w:val="center"/>
          </w:tcPr>
          <w:p w14:paraId="793CBF4C">
            <w:pPr>
              <w:rPr>
                <w:rFonts w:hint="eastAsia" w:ascii="宋体" w:hAnsi="宋体" w:eastAsia="宋体" w:cs="宋体"/>
                <w:szCs w:val="21"/>
              </w:rPr>
            </w:pPr>
            <w:r>
              <w:rPr>
                <w:rFonts w:hint="eastAsia" w:ascii="宋体" w:hAnsi="宋体" w:eastAsia="宋体" w:cs="宋体"/>
                <w:szCs w:val="21"/>
              </w:rPr>
              <w:t>通过学习，</w:t>
            </w:r>
            <w:r>
              <w:rPr>
                <w:rFonts w:hint="eastAsia" w:ascii="宋体" w:hAnsi="宋体" w:eastAsia="宋体" w:cs="宋体"/>
                <w:kern w:val="0"/>
                <w:szCs w:val="21"/>
              </w:rPr>
              <w:t>使学生了解和掌握所选运动项目的基本知识、基本技术和锻炼方法；爱好并积极参与各种体育运动，发展学生速度、灵敏、耐力等身体素质，增强体质</w:t>
            </w:r>
            <w:r>
              <w:rPr>
                <w:rFonts w:hint="eastAsia" w:ascii="宋体" w:hAnsi="宋体" w:eastAsia="宋体" w:cs="宋体"/>
                <w:szCs w:val="21"/>
              </w:rPr>
              <w:t>；培养团结协作的集体主义精神和顽强拼搏的竞争意识；达到“国家体质健康标准”</w:t>
            </w:r>
            <w:r>
              <w:rPr>
                <w:rFonts w:hint="eastAsia" w:ascii="宋体" w:hAnsi="宋体" w:eastAsia="宋体" w:cs="宋体"/>
                <w:kern w:val="0"/>
                <w:szCs w:val="21"/>
              </w:rPr>
              <w:t>。</w:t>
            </w:r>
          </w:p>
        </w:tc>
        <w:tc>
          <w:tcPr>
            <w:tcW w:w="386" w:type="pct"/>
            <w:noWrap w:val="0"/>
            <w:vAlign w:val="center"/>
          </w:tcPr>
          <w:p w14:paraId="2BD7BBA6">
            <w:pPr>
              <w:jc w:val="center"/>
              <w:rPr>
                <w:rFonts w:hint="eastAsia" w:ascii="宋体" w:hAnsi="宋体" w:eastAsia="宋体" w:cs="宋体"/>
                <w:szCs w:val="21"/>
              </w:rPr>
            </w:pPr>
            <w:r>
              <w:rPr>
                <w:rFonts w:hint="eastAsia" w:ascii="宋体" w:hAnsi="宋体" w:eastAsia="宋体" w:cs="宋体"/>
                <w:szCs w:val="21"/>
              </w:rPr>
              <w:t>26</w:t>
            </w:r>
          </w:p>
        </w:tc>
        <w:tc>
          <w:tcPr>
            <w:tcW w:w="464" w:type="pct"/>
            <w:noWrap w:val="0"/>
            <w:vAlign w:val="center"/>
          </w:tcPr>
          <w:p w14:paraId="4BCE8AD2">
            <w:pPr>
              <w:rPr>
                <w:rFonts w:hint="eastAsia" w:ascii="宋体" w:hAnsi="宋体" w:eastAsia="宋体" w:cs="宋体"/>
                <w:szCs w:val="21"/>
              </w:rPr>
            </w:pPr>
            <w:r>
              <w:rPr>
                <w:rFonts w:hint="eastAsia" w:ascii="宋体" w:hAnsi="宋体" w:eastAsia="宋体" w:cs="宋体"/>
                <w:szCs w:val="21"/>
              </w:rPr>
              <w:t>讲授、演示、练习法等</w:t>
            </w:r>
          </w:p>
        </w:tc>
        <w:tc>
          <w:tcPr>
            <w:tcW w:w="520" w:type="pct"/>
            <w:noWrap w:val="0"/>
            <w:vAlign w:val="center"/>
          </w:tcPr>
          <w:p w14:paraId="093F09B7">
            <w:pPr>
              <w:jc w:val="left"/>
              <w:rPr>
                <w:rFonts w:hint="eastAsia" w:ascii="宋体" w:hAnsi="宋体" w:eastAsia="宋体" w:cs="宋体"/>
                <w:szCs w:val="21"/>
              </w:rPr>
            </w:pPr>
            <w:r>
              <w:rPr>
                <w:rFonts w:hint="eastAsia" w:ascii="宋体" w:hAnsi="宋体" w:eastAsia="宋体" w:cs="宋体"/>
                <w:szCs w:val="21"/>
              </w:rPr>
              <w:t>目标1</w:t>
            </w:r>
          </w:p>
          <w:p w14:paraId="46420867">
            <w:pPr>
              <w:jc w:val="left"/>
              <w:rPr>
                <w:rFonts w:hint="eastAsia" w:ascii="宋体" w:hAnsi="宋体" w:eastAsia="宋体" w:cs="宋体"/>
                <w:szCs w:val="21"/>
              </w:rPr>
            </w:pPr>
            <w:r>
              <w:rPr>
                <w:rFonts w:hint="eastAsia" w:ascii="宋体" w:hAnsi="宋体" w:eastAsia="宋体" w:cs="宋体"/>
                <w:szCs w:val="21"/>
              </w:rPr>
              <w:t>目标2</w:t>
            </w:r>
          </w:p>
        </w:tc>
      </w:tr>
    </w:tbl>
    <w:p w14:paraId="013A5176">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四、课程实施</w:t>
      </w:r>
    </w:p>
    <w:p w14:paraId="63461B9B">
      <w:pPr>
        <w:spacing w:before="180" w:beforeLines="50" w:after="180" w:afterLines="50" w:line="360" w:lineRule="exact"/>
        <w:ind w:firstLine="482" w:firstLineChars="200"/>
        <w:jc w:val="left"/>
        <w:rPr>
          <w:rFonts w:hint="eastAsia" w:ascii="宋体" w:hAnsi="宋体" w:eastAsia="宋体" w:cs="宋体"/>
          <w:b/>
          <w:sz w:val="24"/>
          <w:szCs w:val="22"/>
        </w:rPr>
      </w:pPr>
      <w:r>
        <w:rPr>
          <w:rFonts w:hint="eastAsia" w:ascii="宋体" w:hAnsi="宋体" w:eastAsia="宋体" w:cs="宋体"/>
          <w:b/>
          <w:sz w:val="24"/>
          <w:szCs w:val="22"/>
        </w:rPr>
        <w:t>（一）教学方法与手段</w:t>
      </w:r>
    </w:p>
    <w:p w14:paraId="1B44078E">
      <w:pPr>
        <w:spacing w:before="180" w:beforeLines="50" w:after="180" w:afterLines="50" w:line="360" w:lineRule="exact"/>
        <w:ind w:firstLine="480" w:firstLineChars="200"/>
        <w:jc w:val="left"/>
        <w:rPr>
          <w:rFonts w:hint="eastAsia" w:ascii="宋体" w:hAnsi="宋体" w:eastAsia="宋体" w:cs="宋体"/>
          <w:sz w:val="24"/>
          <w:szCs w:val="22"/>
        </w:rPr>
      </w:pPr>
      <w:r>
        <w:rPr>
          <w:rFonts w:hint="eastAsia" w:ascii="宋体" w:hAnsi="宋体" w:eastAsia="宋体" w:cs="宋体"/>
          <w:sz w:val="24"/>
          <w:szCs w:val="22"/>
        </w:rPr>
        <w:t xml:space="preserve">1．本课程以实践教学为主，教学方法与手段的运用要考虑到学生的实际情况，从实际出发，因材施教，注意区别对待，激发学生学习兴趣，并在教学中重视学生实践能力的培养。  </w:t>
      </w:r>
    </w:p>
    <w:p w14:paraId="11DA1BD2">
      <w:pPr>
        <w:spacing w:before="180" w:beforeLines="50" w:after="180" w:afterLines="50" w:line="360" w:lineRule="exact"/>
        <w:ind w:firstLine="480" w:firstLineChars="200"/>
        <w:jc w:val="left"/>
        <w:rPr>
          <w:rFonts w:hint="eastAsia" w:ascii="宋体" w:hAnsi="宋体" w:eastAsia="宋体" w:cs="宋体"/>
          <w:sz w:val="24"/>
          <w:szCs w:val="22"/>
        </w:rPr>
      </w:pPr>
      <w:r>
        <w:rPr>
          <w:rFonts w:hint="eastAsia" w:ascii="宋体" w:hAnsi="宋体" w:eastAsia="宋体" w:cs="宋体"/>
          <w:sz w:val="24"/>
          <w:szCs w:val="22"/>
        </w:rPr>
        <w:t>2．教学方法与手段的运用合理，注意防止伤害事故发生，重视学生自我保护能力培养。 </w:t>
      </w:r>
    </w:p>
    <w:p w14:paraId="2C0A4073">
      <w:pPr>
        <w:spacing w:before="180" w:beforeLines="50" w:after="180" w:afterLines="50" w:line="360" w:lineRule="exact"/>
        <w:ind w:firstLine="480" w:firstLineChars="200"/>
        <w:jc w:val="left"/>
        <w:rPr>
          <w:rFonts w:hint="eastAsia" w:ascii="宋体" w:hAnsi="宋体" w:eastAsia="宋体" w:cs="宋体"/>
          <w:sz w:val="24"/>
          <w:szCs w:val="22"/>
        </w:rPr>
      </w:pPr>
      <w:r>
        <w:rPr>
          <w:rFonts w:hint="eastAsia" w:ascii="宋体" w:hAnsi="宋体" w:eastAsia="宋体" w:cs="宋体"/>
          <w:sz w:val="24"/>
          <w:szCs w:val="22"/>
        </w:rPr>
        <w:t>3．针对体育教学技术教学的特点，本课程将采用：讲解法、示范法、完整法、分解法、集体练习、小组练习等教学方法，并利用多媒体教学方式，提高学生的欣赏能力、让学生更加深刻的了解所学项目。</w:t>
      </w:r>
    </w:p>
    <w:p w14:paraId="3946AF1D">
      <w:pPr>
        <w:spacing w:line="360" w:lineRule="auto"/>
        <w:ind w:firstLine="482" w:firstLineChars="200"/>
        <w:rPr>
          <w:rFonts w:hint="eastAsia" w:ascii="宋体" w:hAnsi="宋体" w:eastAsia="宋体" w:cs="宋体"/>
          <w:b/>
          <w:sz w:val="24"/>
          <w:szCs w:val="22"/>
        </w:rPr>
      </w:pPr>
      <w:r>
        <w:rPr>
          <w:rFonts w:hint="eastAsia" w:ascii="宋体" w:hAnsi="宋体" w:eastAsia="宋体" w:cs="宋体"/>
          <w:b/>
          <w:sz w:val="24"/>
          <w:szCs w:val="22"/>
        </w:rPr>
        <w:t>（二）课程实施与保障</w:t>
      </w:r>
    </w:p>
    <w:tbl>
      <w:tblPr>
        <w:tblStyle w:val="1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30D1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0607C4C2">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主要教学环节</w:t>
            </w:r>
          </w:p>
        </w:tc>
        <w:tc>
          <w:tcPr>
            <w:tcW w:w="6640" w:type="dxa"/>
            <w:tcBorders>
              <w:top w:val="single" w:color="auto" w:sz="8" w:space="0"/>
              <w:left w:val="single" w:color="auto" w:sz="8" w:space="0"/>
              <w:right w:val="single" w:color="auto" w:sz="8" w:space="0"/>
            </w:tcBorders>
            <w:noWrap w:val="0"/>
            <w:vAlign w:val="center"/>
          </w:tcPr>
          <w:p w14:paraId="25BE3118">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质量要求</w:t>
            </w:r>
          </w:p>
        </w:tc>
      </w:tr>
      <w:tr w14:paraId="3219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1C179F57">
            <w:pPr>
              <w:spacing w:line="276" w:lineRule="auto"/>
              <w:jc w:val="center"/>
              <w:rPr>
                <w:rFonts w:hint="eastAsia" w:ascii="宋体" w:hAnsi="宋体" w:eastAsia="宋体" w:cs="宋体"/>
                <w:sz w:val="24"/>
                <w:szCs w:val="22"/>
              </w:rPr>
            </w:pPr>
            <w:r>
              <w:rPr>
                <w:rFonts w:hint="eastAsia" w:ascii="宋体" w:hAnsi="宋体" w:eastAsia="宋体" w:cs="宋体"/>
                <w:sz w:val="24"/>
                <w:szCs w:val="22"/>
              </w:rPr>
              <w:t>1</w:t>
            </w:r>
          </w:p>
        </w:tc>
        <w:tc>
          <w:tcPr>
            <w:tcW w:w="1252" w:type="dxa"/>
            <w:noWrap w:val="0"/>
            <w:tcMar>
              <w:left w:w="28" w:type="dxa"/>
              <w:right w:w="28" w:type="dxa"/>
            </w:tcMar>
            <w:vAlign w:val="center"/>
          </w:tcPr>
          <w:p w14:paraId="16516933">
            <w:pPr>
              <w:spacing w:line="276" w:lineRule="auto"/>
              <w:jc w:val="center"/>
              <w:rPr>
                <w:rFonts w:hint="eastAsia" w:ascii="宋体" w:hAnsi="宋体" w:eastAsia="宋体" w:cs="宋体"/>
                <w:sz w:val="24"/>
                <w:szCs w:val="22"/>
              </w:rPr>
            </w:pPr>
            <w:r>
              <w:rPr>
                <w:rFonts w:hint="eastAsia" w:ascii="宋体" w:hAnsi="宋体" w:eastAsia="宋体" w:cs="宋体"/>
                <w:sz w:val="24"/>
                <w:szCs w:val="22"/>
              </w:rPr>
              <w:t>备课</w:t>
            </w:r>
          </w:p>
        </w:tc>
        <w:tc>
          <w:tcPr>
            <w:tcW w:w="6640" w:type="dxa"/>
            <w:tcBorders>
              <w:right w:val="single" w:color="auto" w:sz="8" w:space="0"/>
            </w:tcBorders>
            <w:noWrap w:val="0"/>
            <w:vAlign w:val="center"/>
          </w:tcPr>
          <w:p w14:paraId="5CD25F04">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1.掌握本课程教学大纲内容，严格按照教学大纲要求进行本课程教学内容的组织；</w:t>
            </w:r>
          </w:p>
          <w:p w14:paraId="222DECBD">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2.熟悉教材各章节，借助相关专业书籍资料，并依据教学大纲编写授课计划；</w:t>
            </w:r>
          </w:p>
          <w:p w14:paraId="1A60DF23">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3.结合课程特点，制作课件，运用多媒体教学手段讲授部分教学内容； </w:t>
            </w:r>
          </w:p>
          <w:p w14:paraId="215998E1">
            <w:pPr>
              <w:autoSpaceDE w:val="0"/>
              <w:autoSpaceDN w:val="0"/>
              <w:adjustRightInd w:val="0"/>
              <w:snapToGrid w:val="0"/>
              <w:spacing w:line="320" w:lineRule="exact"/>
              <w:jc w:val="left"/>
              <w:rPr>
                <w:rFonts w:hint="eastAsia" w:ascii="宋体" w:hAnsi="宋体" w:eastAsia="宋体" w:cs="宋体"/>
                <w:sz w:val="24"/>
                <w:szCs w:val="22"/>
              </w:rPr>
            </w:pPr>
            <w:r>
              <w:rPr>
                <w:rFonts w:hint="eastAsia" w:ascii="宋体" w:hAnsi="宋体" w:eastAsia="宋体" w:cs="宋体"/>
                <w:kern w:val="0"/>
                <w:sz w:val="22"/>
                <w:szCs w:val="22"/>
              </w:rPr>
              <w:t>4.确定各章节课程内容的教学方法，构思授课思路、技巧和方法。</w:t>
            </w:r>
          </w:p>
        </w:tc>
      </w:tr>
      <w:tr w14:paraId="0958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1C77CC76">
            <w:pPr>
              <w:spacing w:line="276" w:lineRule="auto"/>
              <w:jc w:val="center"/>
              <w:rPr>
                <w:rFonts w:hint="eastAsia" w:ascii="宋体" w:hAnsi="宋体" w:eastAsia="宋体" w:cs="宋体"/>
                <w:sz w:val="24"/>
                <w:szCs w:val="22"/>
              </w:rPr>
            </w:pPr>
            <w:r>
              <w:rPr>
                <w:rFonts w:hint="eastAsia" w:ascii="宋体" w:hAnsi="宋体" w:eastAsia="宋体" w:cs="宋体"/>
                <w:sz w:val="24"/>
                <w:szCs w:val="22"/>
              </w:rPr>
              <w:t>2</w:t>
            </w:r>
          </w:p>
        </w:tc>
        <w:tc>
          <w:tcPr>
            <w:tcW w:w="1252" w:type="dxa"/>
            <w:noWrap w:val="0"/>
            <w:tcMar>
              <w:left w:w="28" w:type="dxa"/>
              <w:right w:w="28" w:type="dxa"/>
            </w:tcMar>
            <w:vAlign w:val="center"/>
          </w:tcPr>
          <w:p w14:paraId="54CD5F8E">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讲授</w:t>
            </w:r>
          </w:p>
        </w:tc>
        <w:tc>
          <w:tcPr>
            <w:tcW w:w="6640" w:type="dxa"/>
            <w:tcBorders>
              <w:right w:val="single" w:color="auto" w:sz="8" w:space="0"/>
            </w:tcBorders>
            <w:noWrap w:val="0"/>
            <w:vAlign w:val="center"/>
          </w:tcPr>
          <w:p w14:paraId="3CEAD82F">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w:t>
            </w:r>
            <w:r>
              <w:rPr>
                <w:rFonts w:hint="eastAsia" w:ascii="宋体" w:hAnsi="宋体" w:eastAsia="宋体" w:cs="宋体"/>
                <w:szCs w:val="22"/>
              </w:rPr>
              <w:t>满足需要，发展个性；</w:t>
            </w:r>
            <w:r>
              <w:rPr>
                <w:rFonts w:hint="eastAsia" w:ascii="宋体" w:hAnsi="宋体" w:eastAsia="宋体" w:cs="宋体"/>
                <w:kern w:val="0"/>
                <w:sz w:val="22"/>
                <w:szCs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050940D8">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2.采用多种教学方式（如启发式教学、导学式、发现式等），精讲多练，培养学生自学、自练、自评、互评等能力。</w:t>
            </w:r>
          </w:p>
          <w:p w14:paraId="029F3C01">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213E61B5">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4.区别对待，因材施教。重视安全和关心基础较差的学生成长。</w:t>
            </w:r>
          </w:p>
          <w:p w14:paraId="39F7EB9E">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5.教学中教师要以身作则，言传身教，做到既教学又育人。培养学生的优良品质，达到身心全面发展。</w:t>
            </w:r>
          </w:p>
        </w:tc>
      </w:tr>
      <w:tr w14:paraId="3DC9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483F15B2">
            <w:pPr>
              <w:spacing w:line="276" w:lineRule="auto"/>
              <w:jc w:val="center"/>
              <w:rPr>
                <w:rFonts w:hint="eastAsia" w:ascii="宋体" w:hAnsi="宋体" w:eastAsia="宋体" w:cs="宋体"/>
                <w:sz w:val="24"/>
                <w:szCs w:val="22"/>
              </w:rPr>
            </w:pPr>
            <w:r>
              <w:rPr>
                <w:rFonts w:hint="eastAsia" w:ascii="宋体" w:hAnsi="宋体" w:eastAsia="宋体" w:cs="宋体"/>
                <w:sz w:val="24"/>
                <w:szCs w:val="22"/>
              </w:rPr>
              <w:t>3</w:t>
            </w:r>
          </w:p>
        </w:tc>
        <w:tc>
          <w:tcPr>
            <w:tcW w:w="1252" w:type="dxa"/>
            <w:noWrap w:val="0"/>
            <w:tcMar>
              <w:left w:w="28" w:type="dxa"/>
              <w:right w:w="28" w:type="dxa"/>
            </w:tcMar>
            <w:vAlign w:val="center"/>
          </w:tcPr>
          <w:p w14:paraId="7AA385BC">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课外练习</w:t>
            </w:r>
          </w:p>
        </w:tc>
        <w:tc>
          <w:tcPr>
            <w:tcW w:w="6640" w:type="dxa"/>
            <w:tcBorders>
              <w:right w:val="single" w:color="auto" w:sz="8" w:space="0"/>
            </w:tcBorders>
            <w:noWrap w:val="0"/>
            <w:vAlign w:val="center"/>
          </w:tcPr>
          <w:p w14:paraId="7307C060">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课外练习是教师布置课外练习内容，重点要求学生利用课余时间巩固课堂上所学的技术动作，形成正确的动力定型，同时要求学生加强身体素质练习。</w:t>
            </w:r>
          </w:p>
        </w:tc>
      </w:tr>
      <w:tr w14:paraId="11C9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06B955D3">
            <w:pPr>
              <w:spacing w:line="276" w:lineRule="auto"/>
              <w:jc w:val="center"/>
              <w:rPr>
                <w:rFonts w:hint="eastAsia" w:ascii="宋体" w:hAnsi="宋体" w:eastAsia="宋体" w:cs="宋体"/>
                <w:sz w:val="24"/>
                <w:szCs w:val="22"/>
              </w:rPr>
            </w:pPr>
            <w:r>
              <w:rPr>
                <w:rFonts w:hint="eastAsia" w:ascii="宋体" w:hAnsi="宋体" w:eastAsia="宋体" w:cs="宋体"/>
                <w:sz w:val="24"/>
                <w:szCs w:val="22"/>
              </w:rPr>
              <w:t>4</w:t>
            </w:r>
          </w:p>
        </w:tc>
        <w:tc>
          <w:tcPr>
            <w:tcW w:w="1252" w:type="dxa"/>
            <w:noWrap w:val="0"/>
            <w:tcMar>
              <w:left w:w="28" w:type="dxa"/>
              <w:right w:w="28" w:type="dxa"/>
            </w:tcMar>
            <w:vAlign w:val="center"/>
          </w:tcPr>
          <w:p w14:paraId="1B34C176">
            <w:pPr>
              <w:spacing w:line="276" w:lineRule="auto"/>
              <w:jc w:val="center"/>
              <w:rPr>
                <w:rFonts w:hint="eastAsia" w:ascii="宋体" w:hAnsi="宋体" w:eastAsia="宋体" w:cs="宋体"/>
                <w:sz w:val="24"/>
                <w:szCs w:val="22"/>
              </w:rPr>
            </w:pPr>
            <w:r>
              <w:rPr>
                <w:rFonts w:hint="eastAsia" w:ascii="宋体" w:hAnsi="宋体" w:eastAsia="宋体" w:cs="宋体"/>
                <w:sz w:val="24"/>
                <w:szCs w:val="22"/>
              </w:rPr>
              <w:t>成绩考核</w:t>
            </w:r>
          </w:p>
        </w:tc>
        <w:tc>
          <w:tcPr>
            <w:tcW w:w="6640" w:type="dxa"/>
            <w:tcBorders>
              <w:right w:val="single" w:color="auto" w:sz="8" w:space="0"/>
            </w:tcBorders>
            <w:noWrap w:val="0"/>
            <w:vAlign w:val="center"/>
          </w:tcPr>
          <w:p w14:paraId="568677E3">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本课程考核的方式：考试。总评成绩的评定见课程评分方案。有下列情况之一者，总评成绩为不及格：</w:t>
            </w:r>
          </w:p>
          <w:p w14:paraId="20CE9839">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1.课外体育锻炼不合格者；</w:t>
            </w:r>
          </w:p>
          <w:p w14:paraId="69F6A6C5">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2.缺课次数达本学期总授课学时的1/3以上者；</w:t>
            </w:r>
          </w:p>
        </w:tc>
      </w:tr>
    </w:tbl>
    <w:p w14:paraId="49F946E6">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五、课程考核</w:t>
      </w:r>
    </w:p>
    <w:p w14:paraId="4FCAEC1F">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（一）课程考核由期末考试和平时考核构成，期末考试采用随堂方式。</w:t>
      </w:r>
    </w:p>
    <w:p w14:paraId="2C7F7CC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（二）课程总评成绩=平时成绩×50%+期末考试×50%，平时成绩=课堂表现×20%+课外锻炼×40%+身体素质×40%。</w:t>
      </w:r>
    </w:p>
    <w:p w14:paraId="4351A4F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具体内容和比例如表所示：</w:t>
      </w:r>
    </w:p>
    <w:tbl>
      <w:tblPr>
        <w:tblStyle w:val="1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7D1E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61D2AC96">
            <w:pPr>
              <w:jc w:val="center"/>
              <w:rPr>
                <w:rFonts w:hint="eastAsia" w:ascii="宋体" w:hAnsi="宋体" w:eastAsia="宋体" w:cs="宋体"/>
                <w:szCs w:val="21"/>
              </w:rPr>
            </w:pPr>
            <w:r>
              <w:rPr>
                <w:rFonts w:hint="eastAsia" w:ascii="宋体" w:hAnsi="宋体" w:eastAsia="宋体" w:cs="宋体"/>
                <w:szCs w:val="21"/>
              </w:rPr>
              <w:t>成绩组成</w:t>
            </w:r>
          </w:p>
        </w:tc>
        <w:tc>
          <w:tcPr>
            <w:tcW w:w="1301" w:type="dxa"/>
            <w:shd w:val="clear" w:color="auto" w:fill="FFFFFF"/>
            <w:noWrap w:val="0"/>
            <w:vAlign w:val="center"/>
          </w:tcPr>
          <w:p w14:paraId="078B06CD">
            <w:pPr>
              <w:jc w:val="center"/>
              <w:rPr>
                <w:rFonts w:hint="eastAsia" w:ascii="宋体" w:hAnsi="宋体" w:eastAsia="宋体" w:cs="宋体"/>
                <w:szCs w:val="21"/>
              </w:rPr>
            </w:pPr>
            <w:r>
              <w:rPr>
                <w:rFonts w:hint="eastAsia" w:ascii="宋体" w:hAnsi="宋体" w:eastAsia="宋体" w:cs="宋体"/>
                <w:szCs w:val="21"/>
              </w:rPr>
              <w:t>考核/评价环节</w:t>
            </w:r>
          </w:p>
        </w:tc>
        <w:tc>
          <w:tcPr>
            <w:tcW w:w="741" w:type="dxa"/>
            <w:shd w:val="clear" w:color="auto" w:fill="FFFFFF"/>
            <w:noWrap w:val="0"/>
            <w:vAlign w:val="center"/>
          </w:tcPr>
          <w:p w14:paraId="4445729D">
            <w:pPr>
              <w:jc w:val="center"/>
              <w:rPr>
                <w:rFonts w:hint="eastAsia" w:ascii="宋体" w:hAnsi="宋体" w:eastAsia="宋体" w:cs="宋体"/>
                <w:szCs w:val="21"/>
              </w:rPr>
            </w:pPr>
            <w:r>
              <w:rPr>
                <w:rFonts w:hint="eastAsia" w:ascii="宋体" w:hAnsi="宋体" w:eastAsia="宋体" w:cs="宋体"/>
                <w:szCs w:val="21"/>
              </w:rPr>
              <w:t>权重</w:t>
            </w:r>
          </w:p>
        </w:tc>
        <w:tc>
          <w:tcPr>
            <w:tcW w:w="4047" w:type="dxa"/>
            <w:shd w:val="clear" w:color="auto" w:fill="FFFFFF"/>
            <w:noWrap w:val="0"/>
            <w:vAlign w:val="center"/>
          </w:tcPr>
          <w:p w14:paraId="0CB7CEE9">
            <w:pPr>
              <w:jc w:val="center"/>
              <w:rPr>
                <w:rFonts w:hint="eastAsia" w:ascii="宋体" w:hAnsi="宋体" w:eastAsia="宋体" w:cs="宋体"/>
                <w:szCs w:val="21"/>
              </w:rPr>
            </w:pPr>
            <w:r>
              <w:rPr>
                <w:rFonts w:hint="eastAsia" w:ascii="宋体" w:hAnsi="宋体" w:eastAsia="宋体" w:cs="宋体"/>
                <w:szCs w:val="21"/>
              </w:rPr>
              <w:t>考核/评价细则</w:t>
            </w:r>
          </w:p>
        </w:tc>
        <w:tc>
          <w:tcPr>
            <w:tcW w:w="1349" w:type="dxa"/>
            <w:shd w:val="clear" w:color="auto" w:fill="FFFFFF"/>
            <w:noWrap w:val="0"/>
            <w:vAlign w:val="center"/>
          </w:tcPr>
          <w:p w14:paraId="1F37FBC1">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2FFB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75406521">
            <w:pPr>
              <w:jc w:val="center"/>
              <w:rPr>
                <w:rFonts w:hint="eastAsia" w:ascii="宋体" w:hAnsi="宋体" w:eastAsia="宋体" w:cs="宋体"/>
                <w:szCs w:val="21"/>
              </w:rPr>
            </w:pPr>
            <w:r>
              <w:rPr>
                <w:rFonts w:hint="eastAsia" w:ascii="宋体" w:hAnsi="宋体" w:eastAsia="宋体" w:cs="宋体"/>
                <w:szCs w:val="21"/>
              </w:rPr>
              <w:t>平时成绩</w:t>
            </w:r>
          </w:p>
          <w:p w14:paraId="18C945DF">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52BDC76E">
            <w:pPr>
              <w:spacing w:line="276" w:lineRule="auto"/>
              <w:jc w:val="center"/>
              <w:rPr>
                <w:rFonts w:hint="eastAsia" w:ascii="宋体" w:hAnsi="宋体" w:eastAsia="宋体" w:cs="宋体"/>
                <w:szCs w:val="21"/>
              </w:rPr>
            </w:pPr>
            <w:r>
              <w:rPr>
                <w:rFonts w:hint="eastAsia" w:ascii="宋体" w:hAnsi="宋体" w:eastAsia="宋体" w:cs="宋体"/>
                <w:szCs w:val="21"/>
              </w:rPr>
              <w:t>课堂表现</w:t>
            </w:r>
          </w:p>
        </w:tc>
        <w:tc>
          <w:tcPr>
            <w:tcW w:w="741" w:type="dxa"/>
            <w:noWrap w:val="0"/>
            <w:vAlign w:val="center"/>
          </w:tcPr>
          <w:p w14:paraId="649657C9">
            <w:pPr>
              <w:rPr>
                <w:rFonts w:hint="eastAsia" w:ascii="宋体" w:hAnsi="宋体" w:eastAsia="宋体" w:cs="宋体"/>
                <w:szCs w:val="21"/>
              </w:rPr>
            </w:pPr>
            <w:r>
              <w:rPr>
                <w:rFonts w:hint="eastAsia" w:ascii="宋体" w:hAnsi="宋体" w:eastAsia="宋体" w:cs="宋体"/>
                <w:szCs w:val="21"/>
              </w:rPr>
              <w:t xml:space="preserve"> 10%</w:t>
            </w:r>
          </w:p>
        </w:tc>
        <w:tc>
          <w:tcPr>
            <w:tcW w:w="4047" w:type="dxa"/>
            <w:noWrap w:val="0"/>
            <w:vAlign w:val="center"/>
          </w:tcPr>
          <w:p w14:paraId="3F35DCF3">
            <w:pPr>
              <w:spacing w:line="276" w:lineRule="auto"/>
              <w:rPr>
                <w:rFonts w:hint="eastAsia" w:ascii="宋体" w:hAnsi="宋体" w:eastAsia="宋体" w:cs="宋体"/>
                <w:sz w:val="24"/>
                <w:szCs w:val="22"/>
              </w:rPr>
            </w:pPr>
            <w:r>
              <w:rPr>
                <w:rFonts w:hint="eastAsia" w:ascii="宋体" w:hAnsi="宋体" w:eastAsia="宋体" w:cs="宋体"/>
                <w:bCs/>
                <w:kern w:val="24"/>
                <w:szCs w:val="21"/>
              </w:rPr>
              <w:t>课堂整队点名，考核</w:t>
            </w:r>
            <w:r>
              <w:rPr>
                <w:rFonts w:hint="eastAsia" w:ascii="宋体" w:hAnsi="宋体" w:eastAsia="宋体" w:cs="宋体"/>
                <w:szCs w:val="21"/>
              </w:rPr>
              <w:t>能否按时到勤，旷课一次扣20分，迟到与早退一次扣10分。</w:t>
            </w:r>
          </w:p>
        </w:tc>
        <w:tc>
          <w:tcPr>
            <w:tcW w:w="1349" w:type="dxa"/>
            <w:noWrap w:val="0"/>
            <w:vAlign w:val="center"/>
          </w:tcPr>
          <w:p w14:paraId="2A540140">
            <w:pPr>
              <w:jc w:val="center"/>
              <w:rPr>
                <w:rFonts w:hint="eastAsia" w:ascii="宋体" w:hAnsi="宋体" w:eastAsia="宋体" w:cs="宋体"/>
                <w:szCs w:val="21"/>
              </w:rPr>
            </w:pPr>
            <w:r>
              <w:rPr>
                <w:rFonts w:hint="eastAsia" w:ascii="宋体" w:hAnsi="宋体" w:eastAsia="宋体" w:cs="宋体"/>
                <w:bCs/>
                <w:szCs w:val="21"/>
              </w:rPr>
              <w:t>8、9</w:t>
            </w:r>
          </w:p>
        </w:tc>
      </w:tr>
      <w:tr w14:paraId="6338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3DD18E01">
            <w:pPr>
              <w:jc w:val="center"/>
              <w:rPr>
                <w:rFonts w:hint="eastAsia" w:ascii="宋体" w:hAnsi="宋体" w:eastAsia="宋体" w:cs="宋体"/>
                <w:szCs w:val="21"/>
              </w:rPr>
            </w:pPr>
          </w:p>
        </w:tc>
        <w:tc>
          <w:tcPr>
            <w:tcW w:w="1301" w:type="dxa"/>
            <w:noWrap w:val="0"/>
            <w:vAlign w:val="center"/>
          </w:tcPr>
          <w:p w14:paraId="3995121A">
            <w:pPr>
              <w:spacing w:line="276" w:lineRule="auto"/>
              <w:jc w:val="center"/>
              <w:rPr>
                <w:rFonts w:hint="eastAsia" w:ascii="宋体" w:hAnsi="宋体" w:eastAsia="宋体" w:cs="宋体"/>
                <w:szCs w:val="21"/>
              </w:rPr>
            </w:pPr>
            <w:r>
              <w:rPr>
                <w:rFonts w:hint="eastAsia" w:ascii="宋体" w:hAnsi="宋体" w:eastAsia="宋体" w:cs="宋体"/>
                <w:szCs w:val="21"/>
              </w:rPr>
              <w:t>课外锻炼</w:t>
            </w:r>
          </w:p>
        </w:tc>
        <w:tc>
          <w:tcPr>
            <w:tcW w:w="741" w:type="dxa"/>
            <w:noWrap w:val="0"/>
            <w:vAlign w:val="center"/>
          </w:tcPr>
          <w:p w14:paraId="48D22F70">
            <w:pPr>
              <w:rPr>
                <w:rFonts w:hint="eastAsia" w:ascii="宋体" w:hAnsi="宋体" w:eastAsia="宋体" w:cs="宋体"/>
                <w:szCs w:val="21"/>
              </w:rPr>
            </w:pPr>
            <w:r>
              <w:rPr>
                <w:rFonts w:hint="eastAsia" w:ascii="宋体" w:hAnsi="宋体" w:eastAsia="宋体" w:cs="宋体"/>
                <w:szCs w:val="21"/>
              </w:rPr>
              <w:t xml:space="preserve"> 20%</w:t>
            </w:r>
          </w:p>
        </w:tc>
        <w:tc>
          <w:tcPr>
            <w:tcW w:w="4047" w:type="dxa"/>
            <w:noWrap w:val="0"/>
            <w:vAlign w:val="center"/>
          </w:tcPr>
          <w:p w14:paraId="1B6B6378">
            <w:pPr>
              <w:spacing w:line="276" w:lineRule="auto"/>
              <w:rPr>
                <w:rFonts w:hint="eastAsia" w:ascii="宋体" w:hAnsi="宋体" w:eastAsia="宋体" w:cs="宋体"/>
                <w:sz w:val="24"/>
                <w:szCs w:val="22"/>
              </w:rPr>
            </w:pPr>
            <w:r>
              <w:rPr>
                <w:rFonts w:hint="eastAsia" w:ascii="宋体" w:hAnsi="宋体" w:eastAsia="宋体" w:cs="宋体"/>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noWrap w:val="0"/>
            <w:vAlign w:val="center"/>
          </w:tcPr>
          <w:p w14:paraId="112792FF">
            <w:pPr>
              <w:jc w:val="center"/>
              <w:rPr>
                <w:rFonts w:hint="eastAsia" w:ascii="宋体" w:hAnsi="宋体" w:eastAsia="宋体" w:cs="宋体"/>
                <w:szCs w:val="22"/>
              </w:rPr>
            </w:pPr>
            <w:r>
              <w:rPr>
                <w:rFonts w:hint="eastAsia" w:ascii="宋体" w:hAnsi="宋体" w:eastAsia="宋体" w:cs="宋体"/>
                <w:szCs w:val="22"/>
              </w:rPr>
              <w:t>8、9</w:t>
            </w:r>
          </w:p>
        </w:tc>
      </w:tr>
      <w:tr w14:paraId="3D85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noWrap w:val="0"/>
            <w:tcMar>
              <w:left w:w="57" w:type="dxa"/>
              <w:right w:w="57" w:type="dxa"/>
            </w:tcMar>
            <w:vAlign w:val="center"/>
          </w:tcPr>
          <w:p w14:paraId="323A4477">
            <w:pPr>
              <w:jc w:val="center"/>
              <w:rPr>
                <w:rFonts w:hint="eastAsia" w:ascii="宋体" w:hAnsi="宋体" w:eastAsia="宋体" w:cs="宋体"/>
                <w:szCs w:val="21"/>
              </w:rPr>
            </w:pPr>
          </w:p>
        </w:tc>
        <w:tc>
          <w:tcPr>
            <w:tcW w:w="1301" w:type="dxa"/>
            <w:noWrap w:val="0"/>
            <w:vAlign w:val="center"/>
          </w:tcPr>
          <w:p w14:paraId="69841FC9">
            <w:pPr>
              <w:spacing w:line="276" w:lineRule="auto"/>
              <w:jc w:val="center"/>
              <w:rPr>
                <w:rFonts w:hint="eastAsia" w:ascii="宋体" w:hAnsi="宋体" w:eastAsia="宋体" w:cs="宋体"/>
                <w:szCs w:val="21"/>
              </w:rPr>
            </w:pPr>
            <w:r>
              <w:rPr>
                <w:rFonts w:hint="eastAsia" w:ascii="宋体" w:hAnsi="宋体" w:eastAsia="宋体" w:cs="宋体"/>
                <w:szCs w:val="21"/>
              </w:rPr>
              <w:t>身体素质</w:t>
            </w:r>
          </w:p>
        </w:tc>
        <w:tc>
          <w:tcPr>
            <w:tcW w:w="741" w:type="dxa"/>
            <w:noWrap w:val="0"/>
            <w:vAlign w:val="center"/>
          </w:tcPr>
          <w:p w14:paraId="7E2931E3">
            <w:pPr>
              <w:jc w:val="center"/>
              <w:rPr>
                <w:rFonts w:hint="eastAsia" w:ascii="宋体" w:hAnsi="宋体" w:eastAsia="宋体" w:cs="宋体"/>
                <w:szCs w:val="21"/>
              </w:rPr>
            </w:pPr>
            <w:r>
              <w:rPr>
                <w:rFonts w:hint="eastAsia" w:ascii="宋体" w:hAnsi="宋体" w:eastAsia="宋体" w:cs="宋体"/>
                <w:szCs w:val="21"/>
              </w:rPr>
              <w:t>20%</w:t>
            </w:r>
          </w:p>
        </w:tc>
        <w:tc>
          <w:tcPr>
            <w:tcW w:w="4047" w:type="dxa"/>
            <w:noWrap w:val="0"/>
            <w:vAlign w:val="center"/>
          </w:tcPr>
          <w:p w14:paraId="71706633">
            <w:pPr>
              <w:spacing w:line="276" w:lineRule="auto"/>
              <w:jc w:val="left"/>
              <w:rPr>
                <w:rFonts w:hint="eastAsia" w:ascii="宋体" w:hAnsi="宋体" w:eastAsia="宋体" w:cs="宋体"/>
                <w:bCs/>
                <w:kern w:val="24"/>
                <w:szCs w:val="21"/>
              </w:rPr>
            </w:pPr>
            <w:r>
              <w:rPr>
                <w:rFonts w:hint="eastAsia" w:ascii="宋体" w:hAnsi="宋体" w:eastAsia="宋体" w:cs="宋体"/>
                <w:bCs/>
                <w:kern w:val="24"/>
                <w:szCs w:val="21"/>
              </w:rPr>
              <w:t>1.2400米（男）、2000米（女）</w:t>
            </w:r>
          </w:p>
          <w:p w14:paraId="50A874F2">
            <w:pPr>
              <w:spacing w:line="276" w:lineRule="auto"/>
              <w:jc w:val="left"/>
              <w:rPr>
                <w:rFonts w:hint="eastAsia" w:ascii="宋体" w:hAnsi="宋体" w:eastAsia="宋体" w:cs="宋体"/>
                <w:bCs/>
                <w:kern w:val="24"/>
                <w:szCs w:val="21"/>
              </w:rPr>
            </w:pPr>
            <w:r>
              <w:rPr>
                <w:rFonts w:hint="eastAsia" w:ascii="宋体" w:hAnsi="宋体" w:eastAsia="宋体" w:cs="宋体"/>
                <w:bCs/>
                <w:kern w:val="24"/>
                <w:szCs w:val="21"/>
              </w:rPr>
              <w:t>2.引体向上（男）、立定跳远（女）</w:t>
            </w:r>
          </w:p>
          <w:p w14:paraId="35C85955">
            <w:pPr>
              <w:spacing w:line="276" w:lineRule="auto"/>
              <w:jc w:val="left"/>
              <w:rPr>
                <w:rFonts w:hint="eastAsia" w:ascii="宋体" w:hAnsi="宋体" w:eastAsia="宋体" w:cs="宋体"/>
                <w:sz w:val="24"/>
                <w:szCs w:val="22"/>
              </w:rPr>
            </w:pPr>
            <w:r>
              <w:rPr>
                <w:rFonts w:hint="eastAsia" w:ascii="宋体" w:hAnsi="宋体" w:eastAsia="宋体" w:cs="宋体"/>
                <w:bCs/>
                <w:kern w:val="24"/>
                <w:szCs w:val="21"/>
              </w:rPr>
              <w:t>课堂测试，评分参照《国家学生体质健康标准》。</w:t>
            </w:r>
          </w:p>
        </w:tc>
        <w:tc>
          <w:tcPr>
            <w:tcW w:w="1349" w:type="dxa"/>
            <w:noWrap w:val="0"/>
            <w:vAlign w:val="center"/>
          </w:tcPr>
          <w:p w14:paraId="6E8402A7">
            <w:pPr>
              <w:jc w:val="center"/>
              <w:rPr>
                <w:rFonts w:hint="eastAsia" w:ascii="宋体" w:hAnsi="宋体" w:eastAsia="宋体" w:cs="宋体"/>
                <w:szCs w:val="22"/>
              </w:rPr>
            </w:pPr>
            <w:r>
              <w:rPr>
                <w:rFonts w:hint="eastAsia" w:ascii="宋体" w:hAnsi="宋体" w:eastAsia="宋体" w:cs="宋体"/>
                <w:szCs w:val="22"/>
              </w:rPr>
              <w:t>8、9</w:t>
            </w:r>
          </w:p>
        </w:tc>
      </w:tr>
      <w:tr w14:paraId="50FB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40" w:type="dxa"/>
            <w:noWrap w:val="0"/>
            <w:tcMar>
              <w:left w:w="57" w:type="dxa"/>
              <w:right w:w="57" w:type="dxa"/>
            </w:tcMar>
            <w:vAlign w:val="center"/>
          </w:tcPr>
          <w:p w14:paraId="2123A07F">
            <w:pPr>
              <w:jc w:val="center"/>
              <w:rPr>
                <w:rFonts w:hint="eastAsia" w:ascii="宋体" w:hAnsi="宋体" w:eastAsia="宋体" w:cs="宋体"/>
                <w:szCs w:val="21"/>
              </w:rPr>
            </w:pPr>
            <w:r>
              <w:rPr>
                <w:rFonts w:hint="eastAsia" w:ascii="宋体" w:hAnsi="宋体" w:eastAsia="宋体" w:cs="宋体"/>
                <w:szCs w:val="21"/>
              </w:rPr>
              <w:t>期末考试</w:t>
            </w:r>
          </w:p>
          <w:p w14:paraId="211E30BC">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296869AE">
            <w:pPr>
              <w:jc w:val="center"/>
              <w:rPr>
                <w:rFonts w:hint="eastAsia" w:ascii="宋体" w:hAnsi="宋体" w:eastAsia="宋体" w:cs="宋体"/>
                <w:szCs w:val="21"/>
              </w:rPr>
            </w:pPr>
            <w:r>
              <w:rPr>
                <w:rFonts w:hint="eastAsia" w:ascii="宋体" w:hAnsi="宋体" w:eastAsia="宋体" w:cs="宋体"/>
                <w:szCs w:val="21"/>
              </w:rPr>
              <w:t>期末运动技能考试</w:t>
            </w:r>
          </w:p>
        </w:tc>
        <w:tc>
          <w:tcPr>
            <w:tcW w:w="741" w:type="dxa"/>
            <w:noWrap w:val="0"/>
            <w:vAlign w:val="center"/>
          </w:tcPr>
          <w:p w14:paraId="480F6B01">
            <w:pPr>
              <w:jc w:val="center"/>
              <w:rPr>
                <w:rFonts w:hint="eastAsia" w:ascii="宋体" w:hAnsi="宋体" w:eastAsia="宋体" w:cs="宋体"/>
                <w:szCs w:val="21"/>
              </w:rPr>
            </w:pPr>
            <w:r>
              <w:rPr>
                <w:rFonts w:hint="eastAsia" w:ascii="宋体" w:hAnsi="宋体" w:eastAsia="宋体" w:cs="宋体"/>
                <w:szCs w:val="21"/>
              </w:rPr>
              <w:t>50%</w:t>
            </w:r>
          </w:p>
        </w:tc>
        <w:tc>
          <w:tcPr>
            <w:tcW w:w="4047" w:type="dxa"/>
            <w:noWrap w:val="0"/>
            <w:vAlign w:val="center"/>
          </w:tcPr>
          <w:p w14:paraId="00D4FD3D">
            <w:pPr>
              <w:spacing w:line="340" w:lineRule="exact"/>
              <w:jc w:val="center"/>
              <w:rPr>
                <w:rFonts w:hint="eastAsia" w:ascii="宋体" w:hAnsi="宋体" w:eastAsia="宋体" w:cs="宋体"/>
                <w:szCs w:val="21"/>
              </w:rPr>
            </w:pPr>
            <w:r>
              <w:rPr>
                <w:rFonts w:hint="eastAsia" w:ascii="宋体" w:hAnsi="宋体" w:eastAsia="宋体" w:cs="宋体"/>
                <w:szCs w:val="21"/>
              </w:rPr>
              <w:t>各专项技能</w:t>
            </w:r>
          </w:p>
        </w:tc>
        <w:tc>
          <w:tcPr>
            <w:tcW w:w="1349" w:type="dxa"/>
            <w:noWrap w:val="0"/>
            <w:vAlign w:val="center"/>
          </w:tcPr>
          <w:p w14:paraId="7A822C7D">
            <w:pPr>
              <w:jc w:val="center"/>
              <w:rPr>
                <w:rFonts w:hint="eastAsia" w:ascii="宋体" w:hAnsi="宋体" w:eastAsia="宋体" w:cs="宋体"/>
                <w:szCs w:val="21"/>
              </w:rPr>
            </w:pPr>
            <w:r>
              <w:rPr>
                <w:rFonts w:hint="eastAsia" w:ascii="宋体" w:hAnsi="宋体" w:eastAsia="宋体" w:cs="宋体"/>
                <w:bCs/>
                <w:szCs w:val="21"/>
              </w:rPr>
              <w:t>8、9</w:t>
            </w:r>
          </w:p>
        </w:tc>
      </w:tr>
    </w:tbl>
    <w:p w14:paraId="36A231C8">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六、有关说明</w:t>
      </w:r>
    </w:p>
    <w:p w14:paraId="468884D5">
      <w:pPr>
        <w:spacing w:line="360" w:lineRule="auto"/>
        <w:ind w:firstLine="482" w:firstLineChars="200"/>
        <w:rPr>
          <w:rFonts w:hint="eastAsia" w:ascii="宋体" w:hAnsi="宋体" w:eastAsia="宋体" w:cs="宋体"/>
          <w:b/>
          <w:color w:val="000000"/>
          <w:sz w:val="24"/>
          <w:szCs w:val="22"/>
        </w:rPr>
      </w:pPr>
      <w:r>
        <w:rPr>
          <w:rFonts w:hint="eastAsia" w:ascii="宋体" w:hAnsi="宋体" w:eastAsia="宋体" w:cs="宋体"/>
          <w:b/>
          <w:color w:val="000000"/>
          <w:sz w:val="24"/>
          <w:szCs w:val="22"/>
        </w:rPr>
        <w:t>（一）持续改进</w:t>
      </w:r>
    </w:p>
    <w:p w14:paraId="383F129D">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本课程根据学生课外体育锻炼、课堂表现、体质测试、平时考核情况，以及学生、教学督导等反馈，及时对教学中不足之处进行改进，并在下一轮课程教学中整改完善，确保相应毕业要求指标点达成。</w:t>
      </w:r>
    </w:p>
    <w:p w14:paraId="1CF4224F">
      <w:pPr>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color w:val="000000"/>
          <w:sz w:val="24"/>
          <w:szCs w:val="22"/>
        </w:rPr>
        <w:t>（二）教学参考书</w:t>
      </w:r>
    </w:p>
    <w:p w14:paraId="43FD248B">
      <w:pPr>
        <w:spacing w:line="360" w:lineRule="auto"/>
        <w:ind w:firstLine="480" w:firstLineChars="200"/>
        <w:jc w:val="left"/>
        <w:rPr>
          <w:rFonts w:hint="eastAsia" w:ascii="宋体" w:hAnsi="宋体" w:eastAsia="宋体" w:cs="宋体"/>
          <w:sz w:val="24"/>
          <w:szCs w:val="22"/>
          <w:lang w:eastAsia="zh-CN"/>
        </w:rPr>
      </w:pPr>
      <w:r>
        <w:rPr>
          <w:rFonts w:hint="eastAsia" w:ascii="宋体" w:hAnsi="宋体" w:eastAsia="宋体" w:cs="宋体"/>
          <w:sz w:val="24"/>
          <w:szCs w:val="22"/>
        </w:rPr>
        <w:t>1.毛振明.大学体育文化与实技教程[M].沈阳：东北大学出版社，2013</w:t>
      </w:r>
    </w:p>
    <w:p w14:paraId="0619493F">
      <w:pPr>
        <w:spacing w:line="312" w:lineRule="auto"/>
        <w:rPr>
          <w:rFonts w:hint="eastAsia" w:ascii="宋体" w:hAnsi="宋体" w:eastAsia="宋体" w:cs="宋体"/>
          <w:sz w:val="24"/>
          <w:szCs w:val="22"/>
        </w:rPr>
      </w:pPr>
    </w:p>
    <w:p w14:paraId="41073EEB">
      <w:pPr>
        <w:wordWrap w:val="0"/>
        <w:spacing w:line="360" w:lineRule="exact"/>
        <w:jc w:val="right"/>
        <w:rPr>
          <w:rFonts w:hint="eastAsia" w:ascii="宋体" w:hAnsi="宋体" w:eastAsia="宋体" w:cs="宋体"/>
          <w:sz w:val="24"/>
          <w:szCs w:val="22"/>
        </w:rPr>
      </w:pPr>
      <w:r>
        <w:rPr>
          <w:rFonts w:hint="eastAsia" w:ascii="宋体" w:hAnsi="宋体" w:eastAsia="宋体" w:cs="宋体"/>
          <w:sz w:val="24"/>
          <w:szCs w:val="22"/>
        </w:rPr>
        <w:t xml:space="preserve">                                                       执笔人：顾  宏</w:t>
      </w:r>
    </w:p>
    <w:p w14:paraId="15330581">
      <w:pPr>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审定人：方曙光</w:t>
      </w:r>
    </w:p>
    <w:p w14:paraId="6D5423B4">
      <w:pPr>
        <w:spacing w:line="360" w:lineRule="exact"/>
        <w:jc w:val="right"/>
        <w:rPr>
          <w:rFonts w:hint="eastAsia" w:ascii="宋体" w:hAnsi="宋体" w:eastAsia="宋体" w:cs="宋体"/>
          <w:sz w:val="24"/>
          <w:szCs w:val="22"/>
        </w:rPr>
      </w:pPr>
      <w:r>
        <w:rPr>
          <w:rFonts w:hint="eastAsia" w:ascii="宋体" w:hAnsi="宋体" w:eastAsia="宋体" w:cs="宋体"/>
          <w:sz w:val="24"/>
          <w:szCs w:val="22"/>
        </w:rPr>
        <w:t>批准人：王红福</w:t>
      </w:r>
    </w:p>
    <w:p w14:paraId="2E151EDC">
      <w:pPr>
        <w:spacing w:line="360" w:lineRule="exact"/>
        <w:ind w:firstLine="480" w:firstLineChars="200"/>
        <w:jc w:val="righ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批准时间：2024年9月1日</w:t>
      </w:r>
    </w:p>
    <w:p w14:paraId="55EDD6F8">
      <w:pPr>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br w:type="page"/>
      </w:r>
    </w:p>
    <w:p w14:paraId="31863F3B">
      <w:pPr>
        <w:pStyle w:val="2"/>
        <w:bidi w:val="0"/>
        <w:rPr>
          <w:rFonts w:hint="eastAsia"/>
          <w:lang w:val="en-US" w:eastAsia="zh-CN"/>
        </w:rPr>
      </w:pPr>
      <w:bookmarkStart w:id="117" w:name="_Toc23698"/>
      <w:bookmarkStart w:id="118" w:name="_Toc6978"/>
      <w:bookmarkStart w:id="119" w:name="_Toc21004"/>
      <w:bookmarkStart w:id="120" w:name="_Toc30097"/>
      <w:r>
        <w:rPr>
          <w:rFonts w:hint="eastAsia"/>
          <w:lang w:val="en-US" w:eastAsia="zh-CN"/>
        </w:rPr>
        <w:t>《体育IV》课程教学大纲</w:t>
      </w:r>
      <w:bookmarkEnd w:id="117"/>
      <w:bookmarkEnd w:id="118"/>
      <w:bookmarkEnd w:id="119"/>
      <w:bookmarkEnd w:id="120"/>
    </w:p>
    <w:p w14:paraId="6D7AE29E">
      <w:pPr>
        <w:pStyle w:val="2"/>
        <w:bidi w:val="0"/>
        <w:rPr>
          <w:rFonts w:hint="eastAsia"/>
          <w:lang w:val="en-US" w:eastAsia="zh-CN"/>
        </w:rPr>
      </w:pPr>
      <w:bookmarkStart w:id="121" w:name="_Toc24034"/>
      <w:bookmarkStart w:id="122" w:name="_Toc10290"/>
      <w:bookmarkStart w:id="123" w:name="_Toc28278"/>
      <w:bookmarkStart w:id="124" w:name="_Toc20929"/>
      <w:bookmarkStart w:id="125" w:name="_Toc19837"/>
      <w:bookmarkStart w:id="126" w:name="_Toc2648"/>
      <w:bookmarkStart w:id="127" w:name="_Toc3790"/>
      <w:r>
        <w:rPr>
          <w:rFonts w:hint="eastAsia"/>
          <w:lang w:val="en-US" w:eastAsia="zh-CN"/>
        </w:rPr>
        <w:t>（Physical  Education IV）</w:t>
      </w:r>
      <w:bookmarkEnd w:id="121"/>
      <w:bookmarkEnd w:id="122"/>
      <w:bookmarkEnd w:id="123"/>
      <w:bookmarkEnd w:id="124"/>
      <w:bookmarkEnd w:id="125"/>
      <w:bookmarkEnd w:id="126"/>
      <w:bookmarkEnd w:id="127"/>
    </w:p>
    <w:p w14:paraId="0F18A2E2">
      <w:pPr>
        <w:spacing w:line="360" w:lineRule="auto"/>
        <w:ind w:firstLine="551" w:firstLineChars="196"/>
        <w:rPr>
          <w:rFonts w:hint="eastAsia" w:ascii="宋体" w:hAnsi="宋体" w:eastAsia="宋体" w:cs="宋体"/>
          <w:b/>
          <w:sz w:val="28"/>
          <w:szCs w:val="28"/>
        </w:rPr>
      </w:pPr>
      <w:r>
        <w:rPr>
          <w:rFonts w:hint="eastAsia" w:ascii="宋体" w:hAnsi="宋体" w:eastAsia="宋体" w:cs="宋体"/>
          <w:b/>
          <w:sz w:val="28"/>
          <w:szCs w:val="28"/>
        </w:rPr>
        <w:t>一、课程概况</w:t>
      </w:r>
    </w:p>
    <w:p w14:paraId="56AE5F59">
      <w:pPr>
        <w:spacing w:line="360" w:lineRule="auto"/>
        <w:ind w:firstLine="482" w:firstLineChars="200"/>
        <w:rPr>
          <w:rFonts w:hint="eastAsia" w:ascii="宋体" w:hAnsi="宋体" w:eastAsia="宋体" w:cs="宋体"/>
          <w:bCs/>
          <w:sz w:val="28"/>
          <w:szCs w:val="28"/>
        </w:rPr>
      </w:pPr>
      <w:r>
        <w:rPr>
          <w:rFonts w:hint="eastAsia" w:ascii="宋体" w:hAnsi="宋体" w:eastAsia="宋体" w:cs="宋体"/>
          <w:b/>
          <w:bCs/>
          <w:kern w:val="0"/>
          <w:sz w:val="24"/>
          <w:szCs w:val="22"/>
        </w:rPr>
        <w:t>课程代码</w:t>
      </w:r>
      <w:r>
        <w:rPr>
          <w:rFonts w:hint="eastAsia" w:ascii="宋体" w:hAnsi="宋体" w:eastAsia="宋体" w:cs="宋体"/>
          <w:b/>
          <w:kern w:val="0"/>
          <w:sz w:val="24"/>
          <w:szCs w:val="22"/>
        </w:rPr>
        <w:t>：</w:t>
      </w:r>
      <w:r>
        <w:rPr>
          <w:rFonts w:hint="eastAsia" w:ascii="宋体" w:hAnsi="宋体" w:eastAsia="宋体" w:cs="宋体"/>
          <w:bCs/>
          <w:kern w:val="0"/>
          <w:sz w:val="24"/>
          <w:szCs w:val="22"/>
        </w:rPr>
        <w:t>1102020</w:t>
      </w:r>
    </w:p>
    <w:p w14:paraId="7BD1744F">
      <w:pPr>
        <w:spacing w:line="360" w:lineRule="auto"/>
        <w:ind w:firstLine="482" w:firstLineChars="200"/>
        <w:rPr>
          <w:rFonts w:hint="eastAsia" w:ascii="宋体" w:hAnsi="宋体" w:eastAsia="宋体" w:cs="宋体"/>
          <w:bCs/>
          <w:kern w:val="0"/>
          <w:sz w:val="24"/>
          <w:szCs w:val="22"/>
        </w:rPr>
      </w:pPr>
      <w:r>
        <w:rPr>
          <w:rFonts w:hint="eastAsia" w:ascii="宋体" w:hAnsi="宋体" w:eastAsia="宋体" w:cs="宋体"/>
          <w:b/>
          <w:bCs/>
          <w:kern w:val="0"/>
          <w:sz w:val="24"/>
          <w:szCs w:val="22"/>
        </w:rPr>
        <w:t>学    分</w:t>
      </w:r>
      <w:r>
        <w:rPr>
          <w:rFonts w:hint="eastAsia" w:ascii="宋体" w:hAnsi="宋体" w:eastAsia="宋体" w:cs="宋体"/>
          <w:b/>
          <w:kern w:val="0"/>
          <w:sz w:val="24"/>
          <w:szCs w:val="22"/>
        </w:rPr>
        <w:t>：</w:t>
      </w:r>
      <w:r>
        <w:rPr>
          <w:rFonts w:hint="eastAsia" w:ascii="宋体" w:hAnsi="宋体" w:eastAsia="宋体" w:cs="宋体"/>
          <w:bCs/>
          <w:kern w:val="0"/>
          <w:sz w:val="24"/>
          <w:szCs w:val="22"/>
        </w:rPr>
        <w:t>0.75</w:t>
      </w:r>
    </w:p>
    <w:p w14:paraId="0BE73093">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学    时</w:t>
      </w:r>
      <w:r>
        <w:rPr>
          <w:rFonts w:hint="eastAsia" w:ascii="宋体" w:hAnsi="宋体" w:eastAsia="宋体" w:cs="宋体"/>
          <w:b/>
          <w:kern w:val="0"/>
          <w:sz w:val="24"/>
          <w:szCs w:val="22"/>
        </w:rPr>
        <w:t>：</w:t>
      </w:r>
      <w:r>
        <w:rPr>
          <w:rFonts w:hint="eastAsia" w:ascii="宋体" w:hAnsi="宋体" w:eastAsia="宋体" w:cs="宋体"/>
          <w:kern w:val="0"/>
          <w:sz w:val="24"/>
          <w:szCs w:val="22"/>
        </w:rPr>
        <w:t>30</w:t>
      </w:r>
    </w:p>
    <w:p w14:paraId="6F417C67">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适用专业</w:t>
      </w:r>
      <w:r>
        <w:rPr>
          <w:rFonts w:hint="eastAsia" w:ascii="宋体" w:hAnsi="宋体" w:eastAsia="宋体" w:cs="宋体"/>
          <w:b/>
          <w:kern w:val="0"/>
          <w:sz w:val="24"/>
          <w:szCs w:val="22"/>
        </w:rPr>
        <w:t>：</w:t>
      </w:r>
      <w:r>
        <w:rPr>
          <w:rFonts w:hint="eastAsia" w:ascii="宋体" w:hAnsi="宋体" w:eastAsia="宋体" w:cs="宋体"/>
          <w:kern w:val="0"/>
          <w:sz w:val="24"/>
          <w:szCs w:val="22"/>
        </w:rPr>
        <w:t xml:space="preserve"> 全校各专业                        </w:t>
      </w:r>
    </w:p>
    <w:p w14:paraId="11225CD7">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建议教材</w:t>
      </w:r>
      <w:r>
        <w:rPr>
          <w:rFonts w:hint="eastAsia" w:ascii="宋体" w:hAnsi="宋体" w:eastAsia="宋体" w:cs="宋体"/>
          <w:b/>
          <w:kern w:val="0"/>
          <w:sz w:val="24"/>
          <w:szCs w:val="22"/>
        </w:rPr>
        <w:t>：</w:t>
      </w:r>
      <w:r>
        <w:rPr>
          <w:rFonts w:hint="eastAsia" w:ascii="宋体" w:hAnsi="宋体" w:eastAsia="宋体" w:cs="宋体"/>
          <w:kern w:val="0"/>
          <w:sz w:val="24"/>
          <w:szCs w:val="22"/>
        </w:rPr>
        <w:t>《大学体育与健康（微视频版）》，王祥、王红福主编，上海交通大学出版社，出版时间：2021年12月。</w:t>
      </w:r>
    </w:p>
    <w:p w14:paraId="524A1395">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课程归口：</w:t>
      </w:r>
      <w:r>
        <w:rPr>
          <w:rFonts w:hint="eastAsia" w:ascii="宋体" w:hAnsi="宋体" w:eastAsia="宋体" w:cs="宋体"/>
          <w:bCs/>
          <w:kern w:val="0"/>
          <w:sz w:val="24"/>
          <w:szCs w:val="22"/>
        </w:rPr>
        <w:t>体育教学部</w:t>
      </w:r>
    </w:p>
    <w:p w14:paraId="1E5CE1D1">
      <w:pPr>
        <w:autoSpaceDE w:val="0"/>
        <w:autoSpaceDN w:val="0"/>
        <w:adjustRightInd w:val="0"/>
        <w:spacing w:line="420" w:lineRule="exact"/>
        <w:ind w:firstLine="482" w:firstLineChars="200"/>
        <w:jc w:val="left"/>
        <w:rPr>
          <w:rFonts w:hint="eastAsia" w:ascii="宋体" w:hAnsi="宋体" w:eastAsia="宋体" w:cs="宋体"/>
          <w:sz w:val="24"/>
          <w:szCs w:val="22"/>
        </w:rPr>
      </w:pPr>
      <w:r>
        <w:rPr>
          <w:rFonts w:hint="eastAsia" w:ascii="宋体" w:hAnsi="宋体" w:eastAsia="宋体" w:cs="宋体"/>
          <w:b/>
          <w:bCs/>
          <w:kern w:val="0"/>
          <w:sz w:val="24"/>
          <w:szCs w:val="22"/>
        </w:rPr>
        <w:t>课程的性质与任务：</w:t>
      </w:r>
      <w:r>
        <w:rPr>
          <w:rFonts w:hint="eastAsia" w:ascii="宋体" w:hAnsi="宋体" w:eastAsia="宋体" w:cs="宋体"/>
          <w:sz w:val="24"/>
          <w:szCs w:val="22"/>
        </w:rPr>
        <w:t>本课程是面向全校各专业开设的以身体练习为主要手段，以培养学生体育人文素养和塑造健全人格为主要目的，以提高学生体质健康水平为主要目标的通识必修课。其教学安排在第二学年第二、四学期进行。课程主要内容包括篮球、足球、排球、羽毛球、乒乓球、网球、武术、手球、健美（男）、健美操（女）、艺术体操、跆拳道、散打、瑜伽、体育舞蹈和体育保健等项目。</w:t>
      </w:r>
    </w:p>
    <w:p w14:paraId="5CA5E307">
      <w:pPr>
        <w:spacing w:line="420" w:lineRule="exact"/>
        <w:ind w:firstLine="480" w:firstLineChars="200"/>
        <w:jc w:val="left"/>
        <w:rPr>
          <w:rFonts w:hint="eastAsia" w:ascii="宋体" w:hAnsi="宋体" w:eastAsia="宋体" w:cs="宋体"/>
          <w:sz w:val="24"/>
          <w:szCs w:val="22"/>
        </w:rPr>
      </w:pPr>
      <w:r>
        <w:rPr>
          <w:rFonts w:hint="eastAsia" w:ascii="宋体" w:hAnsi="宋体" w:eastAsia="宋体" w:cs="宋体"/>
          <w:sz w:val="24"/>
          <w:szCs w:val="22"/>
        </w:rPr>
        <w:t>通过本课程的学习，使学生较全面、系统地掌握所学项目的基本理论知识，正确、熟练地掌握所学项目基本技术和战术，发展专项身体素质，并能在比赛或练习中灵活运用，从而提高学生的身体素质和促进学生身心健康发展。通过融入社会主义核心价值观、做人做事的道理和体育精神等课程思政元素，培养学生的爱国情怀、良好的体育道德风尚、团队精神、体育文化素养和顽强的意志品质。基本形成终身体育意识和自觉锻炼习惯。</w:t>
      </w:r>
    </w:p>
    <w:p w14:paraId="5D80703F">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二、课程目标与毕业要求指标点对应关系</w:t>
      </w:r>
    </w:p>
    <w:p w14:paraId="6C83446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 xml:space="preserve">目标1：全面发展体能，提高运动能力，掌握体育基本理论知识和基本技术，具有一定的体育文化素养和体育欣赏能力。树立“健康第一”思想和正确的体育道德观，培养勇于拼搏、团结进取、战胜自我的优良品质。 </w:t>
      </w:r>
    </w:p>
    <w:p w14:paraId="23D80B0F">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2：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22FCB7C5">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本课程支撑专业培养方案中毕业要求8、9(不同专业会略有区别，具体见培养方案中的毕业要求实现矩阵)，对应关系如下表所示。</w:t>
      </w:r>
    </w:p>
    <w:tbl>
      <w:tblPr>
        <w:tblStyle w:val="1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56AF0B60">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D16E339">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p>
          <w:p w14:paraId="3E959955">
            <w:pPr>
              <w:widowControl/>
              <w:jc w:val="center"/>
              <w:rPr>
                <w:rFonts w:hint="eastAsia" w:ascii="宋体" w:hAnsi="宋体" w:eastAsia="宋体" w:cs="宋体"/>
                <w:kern w:val="0"/>
                <w:szCs w:val="21"/>
              </w:rPr>
            </w:pPr>
            <w:r>
              <w:rPr>
                <w:rFonts w:hint="eastAsia" w:ascii="宋体" w:hAnsi="宋体" w:eastAsia="宋体" w:cs="宋体"/>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0DAFB9A1">
            <w:pPr>
              <w:widowControl/>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7C241346">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6F7794">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5174430">
            <w:pPr>
              <w:widowControl/>
              <w:jc w:val="center"/>
              <w:rPr>
                <w:rFonts w:hint="eastAsia" w:ascii="宋体" w:hAnsi="宋体" w:eastAsia="宋体" w:cs="宋体"/>
                <w:kern w:val="0"/>
                <w:szCs w:val="21"/>
              </w:rPr>
            </w:pPr>
            <w:r>
              <w:rPr>
                <w:rFonts w:hint="eastAsia" w:ascii="宋体" w:hAnsi="宋体" w:eastAsia="宋体" w:cs="宋体"/>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24CF29CD">
            <w:pPr>
              <w:widowControl/>
              <w:jc w:val="center"/>
              <w:rPr>
                <w:rFonts w:hint="eastAsia" w:ascii="宋体" w:hAnsi="宋体" w:eastAsia="宋体" w:cs="宋体"/>
                <w:kern w:val="0"/>
                <w:szCs w:val="21"/>
              </w:rPr>
            </w:pPr>
            <w:r>
              <w:rPr>
                <w:rFonts w:hint="eastAsia" w:ascii="宋体" w:hAnsi="宋体" w:eastAsia="宋体" w:cs="宋体"/>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3DE1DBF1">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6A9295C">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1FA90051">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5CE7E7EF">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114FF63">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171218B4">
            <w:pPr>
              <w:widowControl/>
              <w:jc w:val="center"/>
              <w:rPr>
                <w:rFonts w:hint="eastAsia" w:ascii="宋体" w:hAnsi="宋体" w:eastAsia="宋体" w:cs="宋体"/>
                <w:kern w:val="0"/>
                <w:szCs w:val="21"/>
              </w:rPr>
            </w:pPr>
          </w:p>
        </w:tc>
      </w:tr>
      <w:tr w14:paraId="0D943098">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5FF58E29">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8</w:t>
            </w:r>
          </w:p>
        </w:tc>
        <w:tc>
          <w:tcPr>
            <w:tcW w:w="510" w:type="pct"/>
            <w:tcBorders>
              <w:top w:val="nil"/>
              <w:left w:val="nil"/>
              <w:bottom w:val="single" w:color="auto" w:sz="4" w:space="0"/>
              <w:right w:val="single" w:color="auto" w:sz="4" w:space="0"/>
            </w:tcBorders>
            <w:noWrap/>
            <w:vAlign w:val="center"/>
          </w:tcPr>
          <w:p w14:paraId="47176874">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31FB38DD">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05AFA0EE">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626C8CB7">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67EE196C">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1C2BEB2A">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DBD28AF">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372A4BB4">
            <w:pPr>
              <w:widowControl/>
              <w:jc w:val="center"/>
              <w:rPr>
                <w:rFonts w:hint="eastAsia" w:ascii="宋体" w:hAnsi="宋体" w:eastAsia="宋体" w:cs="宋体"/>
                <w:kern w:val="0"/>
                <w:szCs w:val="21"/>
              </w:rPr>
            </w:pPr>
          </w:p>
        </w:tc>
      </w:tr>
      <w:tr w14:paraId="791D462B">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6065C46D">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9</w:t>
            </w:r>
          </w:p>
        </w:tc>
        <w:tc>
          <w:tcPr>
            <w:tcW w:w="510" w:type="pct"/>
            <w:tcBorders>
              <w:top w:val="nil"/>
              <w:left w:val="nil"/>
              <w:bottom w:val="single" w:color="auto" w:sz="4" w:space="0"/>
              <w:right w:val="single" w:color="auto" w:sz="4" w:space="0"/>
            </w:tcBorders>
            <w:noWrap/>
            <w:vAlign w:val="center"/>
          </w:tcPr>
          <w:p w14:paraId="7AAD06FD">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12F14646">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4DF93D2A">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5115E773">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5D023DD5">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0ACFE3E5">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6589D055">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032D84E9">
            <w:pPr>
              <w:widowControl/>
              <w:jc w:val="center"/>
              <w:rPr>
                <w:rFonts w:hint="eastAsia" w:ascii="宋体" w:hAnsi="宋体" w:eastAsia="宋体" w:cs="宋体"/>
                <w:kern w:val="0"/>
                <w:szCs w:val="21"/>
              </w:rPr>
            </w:pPr>
          </w:p>
        </w:tc>
      </w:tr>
    </w:tbl>
    <w:p w14:paraId="13664F5A">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三、课程内容及要求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3EE3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709751FC">
            <w:pPr>
              <w:jc w:val="center"/>
              <w:rPr>
                <w:rFonts w:hint="eastAsia" w:ascii="宋体" w:hAnsi="宋体" w:eastAsia="宋体" w:cs="宋体"/>
                <w:b/>
                <w:bCs/>
                <w:szCs w:val="21"/>
              </w:rPr>
            </w:pPr>
            <w:r>
              <w:rPr>
                <w:rFonts w:hint="eastAsia" w:ascii="宋体" w:hAnsi="宋体" w:eastAsia="宋体" w:cs="宋体"/>
                <w:b/>
                <w:bCs/>
                <w:szCs w:val="21"/>
              </w:rPr>
              <w:t>序号</w:t>
            </w:r>
          </w:p>
        </w:tc>
        <w:tc>
          <w:tcPr>
            <w:tcW w:w="1623" w:type="pct"/>
            <w:noWrap w:val="0"/>
            <w:vAlign w:val="center"/>
          </w:tcPr>
          <w:p w14:paraId="7B0AB4C9">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541" w:type="pct"/>
            <w:noWrap w:val="0"/>
            <w:vAlign w:val="center"/>
          </w:tcPr>
          <w:p w14:paraId="5AF4389A">
            <w:pPr>
              <w:jc w:val="center"/>
              <w:rPr>
                <w:rFonts w:hint="eastAsia" w:ascii="宋体" w:hAnsi="宋体" w:eastAsia="宋体" w:cs="宋体"/>
                <w:b/>
                <w:bCs/>
                <w:szCs w:val="21"/>
              </w:rPr>
            </w:pPr>
            <w:r>
              <w:rPr>
                <w:rFonts w:hint="eastAsia" w:ascii="宋体" w:hAnsi="宋体" w:eastAsia="宋体" w:cs="宋体"/>
                <w:b/>
                <w:bCs/>
                <w:szCs w:val="21"/>
              </w:rPr>
              <w:t>思政</w:t>
            </w:r>
          </w:p>
          <w:p w14:paraId="1B2084DA">
            <w:pPr>
              <w:jc w:val="center"/>
              <w:rPr>
                <w:rFonts w:hint="eastAsia" w:ascii="宋体" w:hAnsi="宋体" w:eastAsia="宋体" w:cs="宋体"/>
                <w:b/>
                <w:bCs/>
                <w:szCs w:val="21"/>
              </w:rPr>
            </w:pPr>
            <w:r>
              <w:rPr>
                <w:rFonts w:hint="eastAsia" w:ascii="宋体" w:hAnsi="宋体" w:eastAsia="宋体" w:cs="宋体"/>
                <w:b/>
                <w:bCs/>
                <w:szCs w:val="21"/>
              </w:rPr>
              <w:t>元素</w:t>
            </w:r>
          </w:p>
        </w:tc>
        <w:tc>
          <w:tcPr>
            <w:tcW w:w="1160" w:type="pct"/>
            <w:noWrap w:val="0"/>
            <w:vAlign w:val="center"/>
          </w:tcPr>
          <w:p w14:paraId="0D0CAF61">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386" w:type="pct"/>
            <w:noWrap w:val="0"/>
            <w:vAlign w:val="center"/>
          </w:tcPr>
          <w:p w14:paraId="6057BBFA">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464" w:type="pct"/>
            <w:noWrap w:val="0"/>
            <w:vAlign w:val="center"/>
          </w:tcPr>
          <w:p w14:paraId="159740B5">
            <w:pPr>
              <w:jc w:val="center"/>
              <w:rPr>
                <w:rFonts w:hint="eastAsia" w:ascii="宋体" w:hAnsi="宋体" w:eastAsia="宋体" w:cs="宋体"/>
                <w:b/>
                <w:bCs/>
                <w:szCs w:val="21"/>
              </w:rPr>
            </w:pPr>
            <w:r>
              <w:rPr>
                <w:rFonts w:hint="eastAsia" w:ascii="宋体" w:hAnsi="宋体" w:eastAsia="宋体" w:cs="宋体"/>
                <w:b/>
                <w:bCs/>
                <w:szCs w:val="21"/>
              </w:rPr>
              <w:t>教学</w:t>
            </w:r>
          </w:p>
          <w:p w14:paraId="1B3C1386">
            <w:pPr>
              <w:jc w:val="center"/>
              <w:rPr>
                <w:rFonts w:hint="eastAsia" w:ascii="宋体" w:hAnsi="宋体" w:eastAsia="宋体" w:cs="宋体"/>
                <w:b/>
                <w:bCs/>
                <w:szCs w:val="21"/>
              </w:rPr>
            </w:pPr>
            <w:r>
              <w:rPr>
                <w:rFonts w:hint="eastAsia" w:ascii="宋体" w:hAnsi="宋体" w:eastAsia="宋体" w:cs="宋体"/>
                <w:b/>
                <w:bCs/>
                <w:szCs w:val="21"/>
              </w:rPr>
              <w:t>方式</w:t>
            </w:r>
          </w:p>
        </w:tc>
        <w:tc>
          <w:tcPr>
            <w:tcW w:w="520" w:type="pct"/>
            <w:noWrap w:val="0"/>
            <w:vAlign w:val="center"/>
          </w:tcPr>
          <w:p w14:paraId="70B3FCC8">
            <w:pPr>
              <w:jc w:val="center"/>
              <w:rPr>
                <w:rFonts w:hint="eastAsia" w:ascii="宋体" w:hAnsi="宋体" w:eastAsia="宋体" w:cs="宋体"/>
                <w:b/>
                <w:bCs/>
                <w:szCs w:val="21"/>
              </w:rPr>
            </w:pPr>
            <w:r>
              <w:rPr>
                <w:rFonts w:hint="eastAsia" w:ascii="宋体" w:hAnsi="宋体" w:eastAsia="宋体" w:cs="宋体"/>
                <w:b/>
                <w:bCs/>
                <w:szCs w:val="21"/>
              </w:rPr>
              <w:t>支撑课程目标</w:t>
            </w:r>
          </w:p>
        </w:tc>
      </w:tr>
      <w:tr w14:paraId="3062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4E30B07D">
            <w:pPr>
              <w:jc w:val="center"/>
              <w:rPr>
                <w:rFonts w:hint="eastAsia" w:ascii="宋体" w:hAnsi="宋体" w:eastAsia="宋体" w:cs="宋体"/>
                <w:szCs w:val="21"/>
              </w:rPr>
            </w:pPr>
            <w:r>
              <w:rPr>
                <w:rFonts w:hint="eastAsia" w:ascii="宋体" w:hAnsi="宋体" w:eastAsia="宋体" w:cs="宋体"/>
                <w:szCs w:val="21"/>
              </w:rPr>
              <w:t>1</w:t>
            </w:r>
          </w:p>
        </w:tc>
        <w:tc>
          <w:tcPr>
            <w:tcW w:w="1623" w:type="pct"/>
            <w:noWrap w:val="0"/>
            <w:vAlign w:val="center"/>
          </w:tcPr>
          <w:p w14:paraId="035C85FA">
            <w:pPr>
              <w:jc w:val="left"/>
              <w:rPr>
                <w:rFonts w:hint="eastAsia" w:ascii="宋体" w:hAnsi="宋体" w:eastAsia="宋体" w:cs="宋体"/>
                <w:b/>
                <w:szCs w:val="21"/>
              </w:rPr>
            </w:pPr>
            <w:r>
              <w:rPr>
                <w:rFonts w:hint="eastAsia" w:ascii="宋体" w:hAnsi="宋体" w:eastAsia="宋体" w:cs="宋体"/>
                <w:b/>
                <w:szCs w:val="21"/>
              </w:rPr>
              <w:t>㈠体育理论部分:</w:t>
            </w:r>
          </w:p>
          <w:p w14:paraId="43E2DA14">
            <w:pPr>
              <w:jc w:val="left"/>
              <w:rPr>
                <w:rFonts w:hint="eastAsia" w:ascii="宋体" w:hAnsi="宋体" w:eastAsia="宋体" w:cs="宋体"/>
                <w:bCs/>
                <w:szCs w:val="22"/>
              </w:rPr>
            </w:pPr>
            <w:r>
              <w:rPr>
                <w:rFonts w:hint="eastAsia" w:ascii="宋体" w:hAnsi="宋体" w:eastAsia="宋体" w:cs="宋体"/>
                <w:bCs/>
                <w:szCs w:val="22"/>
              </w:rPr>
              <w:t>1.学生思想政治教育：我校体育运动发展概况、国家领导人与体育、奥运明星的励志故事、社会主义核心价值观与体育等；</w:t>
            </w:r>
          </w:p>
          <w:p w14:paraId="0CEABCB8">
            <w:pPr>
              <w:jc w:val="left"/>
              <w:rPr>
                <w:rFonts w:hint="eastAsia" w:ascii="宋体" w:hAnsi="宋体" w:eastAsia="宋体" w:cs="宋体"/>
                <w:szCs w:val="22"/>
              </w:rPr>
            </w:pPr>
            <w:r>
              <w:rPr>
                <w:rFonts w:hint="eastAsia" w:ascii="宋体" w:hAnsi="宋体" w:eastAsia="宋体" w:cs="宋体"/>
                <w:bCs/>
                <w:szCs w:val="22"/>
              </w:rPr>
              <w:t>2.</w:t>
            </w:r>
            <w:r>
              <w:rPr>
                <w:rFonts w:hint="eastAsia" w:ascii="宋体" w:hAnsi="宋体" w:eastAsia="宋体" w:cs="宋体"/>
                <w:szCs w:val="22"/>
              </w:rPr>
              <w:t>体育安全教育：体育运动伤害事故的安全教育及预防与处理措施、常见运动损伤的预防与处理等；</w:t>
            </w:r>
          </w:p>
          <w:p w14:paraId="6CE437E9">
            <w:pPr>
              <w:jc w:val="left"/>
              <w:rPr>
                <w:rFonts w:hint="eastAsia" w:ascii="宋体" w:hAnsi="宋体" w:eastAsia="宋体" w:cs="宋体"/>
                <w:szCs w:val="21"/>
              </w:rPr>
            </w:pPr>
            <w:r>
              <w:rPr>
                <w:rFonts w:hint="eastAsia" w:ascii="宋体" w:hAnsi="宋体" w:eastAsia="宋体" w:cs="宋体"/>
                <w:szCs w:val="22"/>
              </w:rPr>
              <w:t>3.体育基本理论：各运动项目的基本技战术知识、组织与竞赛、基本规则和裁判法，运动健身的基本原理与锻炼方法，体育锻炼的自我监督与评价，体育养生与保健知识等；</w:t>
            </w:r>
          </w:p>
          <w:p w14:paraId="1E02775A">
            <w:pPr>
              <w:ind w:right="-170" w:rightChars="-81"/>
              <w:jc w:val="left"/>
              <w:rPr>
                <w:rFonts w:hint="eastAsia" w:ascii="宋体" w:hAnsi="宋体" w:eastAsia="宋体" w:cs="宋体"/>
                <w:szCs w:val="21"/>
              </w:rPr>
            </w:pPr>
            <w:r>
              <w:rPr>
                <w:rFonts w:hint="eastAsia" w:ascii="宋体" w:hAnsi="宋体" w:eastAsia="宋体" w:cs="宋体"/>
                <w:b/>
                <w:szCs w:val="21"/>
              </w:rPr>
              <w:t>重点：</w:t>
            </w:r>
            <w:r>
              <w:rPr>
                <w:rFonts w:hint="eastAsia" w:ascii="宋体" w:hAnsi="宋体" w:eastAsia="宋体" w:cs="宋体"/>
                <w:szCs w:val="21"/>
              </w:rPr>
              <w:t>体育安全教育、掌握所学项目的基本知识；</w:t>
            </w:r>
          </w:p>
          <w:p w14:paraId="05F87456">
            <w:pPr>
              <w:jc w:val="left"/>
              <w:rPr>
                <w:rFonts w:hint="eastAsia" w:ascii="宋体" w:hAnsi="宋体" w:eastAsia="宋体" w:cs="宋体"/>
                <w:szCs w:val="21"/>
              </w:rPr>
            </w:pPr>
            <w:r>
              <w:rPr>
                <w:rFonts w:hint="eastAsia" w:ascii="宋体" w:hAnsi="宋体" w:eastAsia="宋体" w:cs="宋体"/>
                <w:b/>
                <w:szCs w:val="21"/>
              </w:rPr>
              <w:t>难点：</w:t>
            </w:r>
            <w:r>
              <w:rPr>
                <w:rFonts w:hint="eastAsia" w:ascii="宋体" w:hAnsi="宋体" w:eastAsia="宋体" w:cs="宋体"/>
                <w:szCs w:val="21"/>
              </w:rPr>
              <w:t>培养学生自主锻炼能力和自觉锻炼意识。</w:t>
            </w:r>
          </w:p>
        </w:tc>
        <w:tc>
          <w:tcPr>
            <w:tcW w:w="541" w:type="pct"/>
            <w:noWrap w:val="0"/>
            <w:vAlign w:val="center"/>
          </w:tcPr>
          <w:p w14:paraId="20D57800">
            <w:pPr>
              <w:jc w:val="center"/>
              <w:rPr>
                <w:rFonts w:hint="eastAsia" w:ascii="宋体" w:hAnsi="宋体" w:eastAsia="宋体" w:cs="宋体"/>
                <w:kern w:val="0"/>
                <w:szCs w:val="21"/>
              </w:rPr>
            </w:pPr>
            <w:r>
              <w:rPr>
                <w:rFonts w:hint="eastAsia" w:ascii="宋体" w:hAnsi="宋体" w:eastAsia="宋体" w:cs="宋体"/>
                <w:kern w:val="0"/>
                <w:szCs w:val="21"/>
              </w:rPr>
              <w:t xml:space="preserve">理想信念、国家认同和社会主义核心价值观等教育；安全意识、健康意识教育； </w:t>
            </w:r>
          </w:p>
        </w:tc>
        <w:tc>
          <w:tcPr>
            <w:tcW w:w="1160" w:type="pct"/>
            <w:noWrap w:val="0"/>
            <w:vAlign w:val="center"/>
          </w:tcPr>
          <w:p w14:paraId="629A1550">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通过教学，提高对体育的正确认识，形成正确积极的体育态度，学会运用科学理论指导健身锻炼实际，从而自觉遵循体育运动的规律，实现体育锻炼的目的。</w:t>
            </w:r>
          </w:p>
        </w:tc>
        <w:tc>
          <w:tcPr>
            <w:tcW w:w="386" w:type="pct"/>
            <w:noWrap w:val="0"/>
            <w:vAlign w:val="center"/>
          </w:tcPr>
          <w:p w14:paraId="69A7942F">
            <w:pPr>
              <w:jc w:val="center"/>
              <w:rPr>
                <w:rFonts w:hint="eastAsia" w:ascii="宋体" w:hAnsi="宋体" w:eastAsia="宋体" w:cs="宋体"/>
                <w:szCs w:val="21"/>
              </w:rPr>
            </w:pPr>
            <w:r>
              <w:rPr>
                <w:rFonts w:hint="eastAsia" w:ascii="宋体" w:hAnsi="宋体" w:eastAsia="宋体" w:cs="宋体"/>
                <w:szCs w:val="21"/>
              </w:rPr>
              <w:t>4</w:t>
            </w:r>
          </w:p>
        </w:tc>
        <w:tc>
          <w:tcPr>
            <w:tcW w:w="464" w:type="pct"/>
            <w:noWrap w:val="0"/>
            <w:vAlign w:val="center"/>
          </w:tcPr>
          <w:p w14:paraId="620FD59C">
            <w:pPr>
              <w:jc w:val="left"/>
              <w:rPr>
                <w:rFonts w:hint="eastAsia" w:ascii="宋体" w:hAnsi="宋体" w:eastAsia="宋体" w:cs="宋体"/>
                <w:szCs w:val="21"/>
              </w:rPr>
            </w:pPr>
            <w:r>
              <w:rPr>
                <w:rFonts w:hint="eastAsia" w:ascii="宋体" w:hAnsi="宋体" w:eastAsia="宋体" w:cs="宋体"/>
                <w:szCs w:val="21"/>
              </w:rPr>
              <w:t>讲授法</w:t>
            </w:r>
          </w:p>
        </w:tc>
        <w:tc>
          <w:tcPr>
            <w:tcW w:w="520" w:type="pct"/>
            <w:noWrap w:val="0"/>
            <w:vAlign w:val="center"/>
          </w:tcPr>
          <w:p w14:paraId="36586F5D">
            <w:pPr>
              <w:jc w:val="left"/>
              <w:rPr>
                <w:rFonts w:hint="eastAsia" w:ascii="宋体" w:hAnsi="宋体" w:eastAsia="宋体" w:cs="宋体"/>
                <w:szCs w:val="21"/>
              </w:rPr>
            </w:pPr>
            <w:r>
              <w:rPr>
                <w:rFonts w:hint="eastAsia" w:ascii="宋体" w:hAnsi="宋体" w:eastAsia="宋体" w:cs="宋体"/>
                <w:szCs w:val="21"/>
              </w:rPr>
              <w:t>目标1目标2</w:t>
            </w:r>
          </w:p>
        </w:tc>
      </w:tr>
      <w:tr w14:paraId="4401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061DD3D6">
            <w:pPr>
              <w:jc w:val="center"/>
              <w:rPr>
                <w:rFonts w:hint="eastAsia" w:ascii="宋体" w:hAnsi="宋体" w:eastAsia="宋体" w:cs="宋体"/>
                <w:szCs w:val="21"/>
              </w:rPr>
            </w:pPr>
            <w:r>
              <w:rPr>
                <w:rFonts w:hint="eastAsia" w:ascii="宋体" w:hAnsi="宋体" w:eastAsia="宋体" w:cs="宋体"/>
                <w:szCs w:val="21"/>
              </w:rPr>
              <w:t>2</w:t>
            </w:r>
          </w:p>
        </w:tc>
        <w:tc>
          <w:tcPr>
            <w:tcW w:w="1623" w:type="pct"/>
            <w:noWrap w:val="0"/>
            <w:vAlign w:val="center"/>
          </w:tcPr>
          <w:p w14:paraId="1EEA8B71">
            <w:pPr>
              <w:jc w:val="left"/>
              <w:rPr>
                <w:rFonts w:hint="eastAsia" w:ascii="宋体" w:hAnsi="宋体" w:eastAsia="宋体" w:cs="宋体"/>
                <w:b/>
                <w:szCs w:val="21"/>
              </w:rPr>
            </w:pPr>
            <w:r>
              <w:rPr>
                <w:rFonts w:hint="eastAsia" w:ascii="宋体" w:hAnsi="宋体" w:eastAsia="宋体" w:cs="宋体"/>
                <w:b/>
                <w:szCs w:val="21"/>
              </w:rPr>
              <w:t>㈡实践部分：</w:t>
            </w:r>
          </w:p>
          <w:p w14:paraId="6A5589AF">
            <w:pPr>
              <w:rPr>
                <w:rFonts w:hint="eastAsia" w:ascii="宋体" w:hAnsi="宋体" w:eastAsia="宋体" w:cs="宋体"/>
                <w:bCs/>
                <w:szCs w:val="22"/>
              </w:rPr>
            </w:pPr>
            <w:r>
              <w:rPr>
                <w:rFonts w:hint="eastAsia" w:ascii="宋体" w:hAnsi="宋体" w:eastAsia="宋体" w:cs="宋体"/>
                <w:bCs/>
                <w:szCs w:val="22"/>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p w14:paraId="5C509BF6">
            <w:pPr>
              <w:rPr>
                <w:rFonts w:hint="eastAsia" w:ascii="宋体" w:hAnsi="宋体" w:eastAsia="宋体" w:cs="宋体"/>
                <w:bCs/>
                <w:szCs w:val="22"/>
              </w:rPr>
            </w:pPr>
            <w:r>
              <w:rPr>
                <w:rFonts w:hint="eastAsia" w:ascii="宋体" w:hAnsi="宋体" w:eastAsia="宋体" w:cs="宋体"/>
                <w:b/>
                <w:bCs/>
                <w:szCs w:val="22"/>
              </w:rPr>
              <w:t>重点：</w:t>
            </w:r>
            <w:r>
              <w:rPr>
                <w:rFonts w:hint="eastAsia" w:ascii="宋体" w:hAnsi="宋体" w:eastAsia="宋体" w:cs="宋体"/>
                <w:bCs/>
                <w:szCs w:val="22"/>
              </w:rPr>
              <w:t>掌握所学项目基本技能、规则及锻炼方法。</w:t>
            </w:r>
          </w:p>
          <w:p w14:paraId="1A42F09D">
            <w:pPr>
              <w:rPr>
                <w:rFonts w:hint="eastAsia" w:ascii="宋体" w:hAnsi="宋体" w:eastAsia="宋体" w:cs="宋体"/>
                <w:bCs/>
                <w:szCs w:val="22"/>
              </w:rPr>
            </w:pPr>
            <w:r>
              <w:rPr>
                <w:rFonts w:hint="eastAsia" w:ascii="宋体" w:hAnsi="宋体" w:eastAsia="宋体" w:cs="宋体"/>
                <w:b/>
                <w:bCs/>
                <w:szCs w:val="22"/>
              </w:rPr>
              <w:t>难点：</w:t>
            </w:r>
            <w:r>
              <w:rPr>
                <w:rFonts w:hint="eastAsia" w:ascii="宋体" w:hAnsi="宋体" w:eastAsia="宋体" w:cs="宋体"/>
                <w:bCs/>
                <w:szCs w:val="22"/>
              </w:rPr>
              <w:t>合理运用所学项目技能，自主和自觉锻炼意识，发展体育精神。</w:t>
            </w:r>
          </w:p>
        </w:tc>
        <w:tc>
          <w:tcPr>
            <w:tcW w:w="541" w:type="pct"/>
            <w:noWrap w:val="0"/>
            <w:vAlign w:val="center"/>
          </w:tcPr>
          <w:p w14:paraId="12A61AD6">
            <w:pPr>
              <w:widowControl/>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kern w:val="0"/>
                <w:szCs w:val="21"/>
              </w:rPr>
              <w:t>爱国主义和集体主义教育；体育道德观、意志品德培育；规则意识和诚信意识教育。</w:t>
            </w:r>
          </w:p>
        </w:tc>
        <w:tc>
          <w:tcPr>
            <w:tcW w:w="1160" w:type="pct"/>
            <w:noWrap w:val="0"/>
            <w:vAlign w:val="center"/>
          </w:tcPr>
          <w:p w14:paraId="18D8264C">
            <w:pPr>
              <w:rPr>
                <w:rFonts w:hint="eastAsia" w:ascii="宋体" w:hAnsi="宋体" w:eastAsia="宋体" w:cs="宋体"/>
                <w:szCs w:val="21"/>
              </w:rPr>
            </w:pPr>
            <w:r>
              <w:rPr>
                <w:rFonts w:hint="eastAsia" w:ascii="宋体" w:hAnsi="宋体" w:eastAsia="宋体" w:cs="宋体"/>
                <w:szCs w:val="21"/>
              </w:rPr>
              <w:t>通过学习，</w:t>
            </w:r>
            <w:r>
              <w:rPr>
                <w:rFonts w:hint="eastAsia" w:ascii="宋体" w:hAnsi="宋体" w:eastAsia="宋体" w:cs="宋体"/>
                <w:kern w:val="0"/>
                <w:szCs w:val="21"/>
              </w:rPr>
              <w:t>使学生了解和掌握所选运动项目的基本知识、基本技术和锻炼方法；爱好并积极参与各种体育运动，发展学生速度、灵敏、耐力等身体素质，增强体质</w:t>
            </w:r>
            <w:r>
              <w:rPr>
                <w:rFonts w:hint="eastAsia" w:ascii="宋体" w:hAnsi="宋体" w:eastAsia="宋体" w:cs="宋体"/>
                <w:szCs w:val="21"/>
              </w:rPr>
              <w:t>；培养团结协作的集体主义精神和顽强拼搏的竞争意识；达到“国家体质健康标准”</w:t>
            </w:r>
            <w:r>
              <w:rPr>
                <w:rFonts w:hint="eastAsia" w:ascii="宋体" w:hAnsi="宋体" w:eastAsia="宋体" w:cs="宋体"/>
                <w:kern w:val="0"/>
                <w:szCs w:val="21"/>
              </w:rPr>
              <w:t>。</w:t>
            </w:r>
          </w:p>
        </w:tc>
        <w:tc>
          <w:tcPr>
            <w:tcW w:w="386" w:type="pct"/>
            <w:noWrap w:val="0"/>
            <w:vAlign w:val="center"/>
          </w:tcPr>
          <w:p w14:paraId="2AB80C6E">
            <w:pPr>
              <w:jc w:val="center"/>
              <w:rPr>
                <w:rFonts w:hint="eastAsia" w:ascii="宋体" w:hAnsi="宋体" w:eastAsia="宋体" w:cs="宋体"/>
                <w:szCs w:val="21"/>
              </w:rPr>
            </w:pPr>
            <w:r>
              <w:rPr>
                <w:rFonts w:hint="eastAsia" w:ascii="宋体" w:hAnsi="宋体" w:eastAsia="宋体" w:cs="宋体"/>
                <w:szCs w:val="21"/>
              </w:rPr>
              <w:t>26</w:t>
            </w:r>
          </w:p>
        </w:tc>
        <w:tc>
          <w:tcPr>
            <w:tcW w:w="464" w:type="pct"/>
            <w:noWrap w:val="0"/>
            <w:vAlign w:val="center"/>
          </w:tcPr>
          <w:p w14:paraId="2927E6EA">
            <w:pPr>
              <w:rPr>
                <w:rFonts w:hint="eastAsia" w:ascii="宋体" w:hAnsi="宋体" w:eastAsia="宋体" w:cs="宋体"/>
                <w:szCs w:val="21"/>
              </w:rPr>
            </w:pPr>
            <w:r>
              <w:rPr>
                <w:rFonts w:hint="eastAsia" w:ascii="宋体" w:hAnsi="宋体" w:eastAsia="宋体" w:cs="宋体"/>
                <w:szCs w:val="21"/>
              </w:rPr>
              <w:t>讲授、演示、练习法等</w:t>
            </w:r>
          </w:p>
        </w:tc>
        <w:tc>
          <w:tcPr>
            <w:tcW w:w="520" w:type="pct"/>
            <w:noWrap w:val="0"/>
            <w:vAlign w:val="center"/>
          </w:tcPr>
          <w:p w14:paraId="56FE1E4A">
            <w:pPr>
              <w:jc w:val="left"/>
              <w:rPr>
                <w:rFonts w:hint="eastAsia" w:ascii="宋体" w:hAnsi="宋体" w:eastAsia="宋体" w:cs="宋体"/>
                <w:szCs w:val="21"/>
              </w:rPr>
            </w:pPr>
            <w:r>
              <w:rPr>
                <w:rFonts w:hint="eastAsia" w:ascii="宋体" w:hAnsi="宋体" w:eastAsia="宋体" w:cs="宋体"/>
                <w:szCs w:val="21"/>
              </w:rPr>
              <w:t>目标1</w:t>
            </w:r>
          </w:p>
          <w:p w14:paraId="2BF9D481">
            <w:pPr>
              <w:jc w:val="left"/>
              <w:rPr>
                <w:rFonts w:hint="eastAsia" w:ascii="宋体" w:hAnsi="宋体" w:eastAsia="宋体" w:cs="宋体"/>
                <w:szCs w:val="21"/>
              </w:rPr>
            </w:pPr>
            <w:r>
              <w:rPr>
                <w:rFonts w:hint="eastAsia" w:ascii="宋体" w:hAnsi="宋体" w:eastAsia="宋体" w:cs="宋体"/>
                <w:szCs w:val="21"/>
              </w:rPr>
              <w:t>目标2</w:t>
            </w:r>
          </w:p>
        </w:tc>
      </w:tr>
    </w:tbl>
    <w:p w14:paraId="4C7BED59">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四、课程实施</w:t>
      </w:r>
    </w:p>
    <w:p w14:paraId="6A680515">
      <w:pPr>
        <w:spacing w:before="180" w:beforeLines="50" w:after="180" w:afterLines="50" w:line="360" w:lineRule="auto"/>
        <w:ind w:firstLine="482" w:firstLineChars="200"/>
        <w:jc w:val="left"/>
        <w:rPr>
          <w:rFonts w:hint="eastAsia" w:ascii="宋体" w:hAnsi="宋体" w:eastAsia="宋体" w:cs="宋体"/>
          <w:b/>
          <w:sz w:val="24"/>
          <w:szCs w:val="22"/>
        </w:rPr>
      </w:pPr>
      <w:r>
        <w:rPr>
          <w:rFonts w:hint="eastAsia" w:ascii="宋体" w:hAnsi="宋体" w:eastAsia="宋体" w:cs="宋体"/>
          <w:b/>
          <w:sz w:val="24"/>
          <w:szCs w:val="22"/>
        </w:rPr>
        <w:t>（一）教学方法与手段</w:t>
      </w:r>
    </w:p>
    <w:p w14:paraId="40C84D48">
      <w:pPr>
        <w:spacing w:before="180" w:beforeLines="50" w:after="180" w:afterLines="50"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 xml:space="preserve">1．本课程以实践教学为主，教学方法与手段的运用要考虑到学生的实际情况，从实际出发，因材施教，注意区别对待，激发学生学习兴趣，并在教学中重视学生实践能力的培养。  </w:t>
      </w:r>
    </w:p>
    <w:p w14:paraId="33BDEA58">
      <w:pPr>
        <w:spacing w:before="180" w:beforeLines="50" w:after="180" w:afterLines="50"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2．教学方法与手段的运用合理，注意防止伤害事故发生，重视学生自我保护能力培养。 </w:t>
      </w:r>
    </w:p>
    <w:p w14:paraId="77370485">
      <w:pPr>
        <w:spacing w:before="180" w:beforeLines="50" w:after="180" w:afterLines="50"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3．针对体育教学技术教学的特点，本课程将采用：讲解法、示范法、完整法、分解法、集体练习、小组练习等教学方法，并利用多媒体教学方式，提高学生的欣赏能力、让学生更加深刻的了解所学项目。</w:t>
      </w:r>
    </w:p>
    <w:p w14:paraId="32C78702">
      <w:pPr>
        <w:spacing w:line="360" w:lineRule="auto"/>
        <w:ind w:firstLine="482" w:firstLineChars="200"/>
        <w:rPr>
          <w:rFonts w:hint="eastAsia" w:ascii="宋体" w:hAnsi="宋体" w:eastAsia="宋体" w:cs="宋体"/>
          <w:b/>
          <w:sz w:val="24"/>
          <w:szCs w:val="22"/>
        </w:rPr>
      </w:pPr>
      <w:r>
        <w:rPr>
          <w:rFonts w:hint="eastAsia" w:ascii="宋体" w:hAnsi="宋体" w:eastAsia="宋体" w:cs="宋体"/>
          <w:b/>
          <w:sz w:val="24"/>
          <w:szCs w:val="22"/>
        </w:rPr>
        <w:t>（二）课程实施与保障</w:t>
      </w:r>
    </w:p>
    <w:tbl>
      <w:tblPr>
        <w:tblStyle w:val="1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370E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4D339CDE">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主要教学环节</w:t>
            </w:r>
          </w:p>
        </w:tc>
        <w:tc>
          <w:tcPr>
            <w:tcW w:w="6640" w:type="dxa"/>
            <w:tcBorders>
              <w:top w:val="single" w:color="auto" w:sz="8" w:space="0"/>
              <w:left w:val="single" w:color="auto" w:sz="8" w:space="0"/>
              <w:right w:val="single" w:color="auto" w:sz="8" w:space="0"/>
            </w:tcBorders>
            <w:noWrap w:val="0"/>
            <w:vAlign w:val="center"/>
          </w:tcPr>
          <w:p w14:paraId="70A986E2">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质量要求</w:t>
            </w:r>
          </w:p>
        </w:tc>
      </w:tr>
      <w:tr w14:paraId="2F20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16AD8573">
            <w:pPr>
              <w:spacing w:line="276" w:lineRule="auto"/>
              <w:jc w:val="center"/>
              <w:rPr>
                <w:rFonts w:hint="eastAsia" w:ascii="宋体" w:hAnsi="宋体" w:eastAsia="宋体" w:cs="宋体"/>
                <w:sz w:val="24"/>
                <w:szCs w:val="22"/>
              </w:rPr>
            </w:pPr>
            <w:r>
              <w:rPr>
                <w:rFonts w:hint="eastAsia" w:ascii="宋体" w:hAnsi="宋体" w:eastAsia="宋体" w:cs="宋体"/>
                <w:sz w:val="24"/>
                <w:szCs w:val="22"/>
              </w:rPr>
              <w:t>1</w:t>
            </w:r>
          </w:p>
        </w:tc>
        <w:tc>
          <w:tcPr>
            <w:tcW w:w="1252" w:type="dxa"/>
            <w:noWrap w:val="0"/>
            <w:tcMar>
              <w:left w:w="28" w:type="dxa"/>
              <w:right w:w="28" w:type="dxa"/>
            </w:tcMar>
            <w:vAlign w:val="center"/>
          </w:tcPr>
          <w:p w14:paraId="3A873137">
            <w:pPr>
              <w:spacing w:line="276" w:lineRule="auto"/>
              <w:jc w:val="center"/>
              <w:rPr>
                <w:rFonts w:hint="eastAsia" w:ascii="宋体" w:hAnsi="宋体" w:eastAsia="宋体" w:cs="宋体"/>
                <w:sz w:val="24"/>
                <w:szCs w:val="22"/>
              </w:rPr>
            </w:pPr>
            <w:r>
              <w:rPr>
                <w:rFonts w:hint="eastAsia" w:ascii="宋体" w:hAnsi="宋体" w:eastAsia="宋体" w:cs="宋体"/>
                <w:sz w:val="24"/>
                <w:szCs w:val="22"/>
              </w:rPr>
              <w:t>备课</w:t>
            </w:r>
          </w:p>
        </w:tc>
        <w:tc>
          <w:tcPr>
            <w:tcW w:w="6640" w:type="dxa"/>
            <w:tcBorders>
              <w:right w:val="single" w:color="auto" w:sz="8" w:space="0"/>
            </w:tcBorders>
            <w:noWrap w:val="0"/>
            <w:vAlign w:val="center"/>
          </w:tcPr>
          <w:p w14:paraId="0E442B71">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1.掌握本课程教学大纲内容，严格按照教学大纲要求进行本课程教学内容的组织；</w:t>
            </w:r>
          </w:p>
          <w:p w14:paraId="76D9E5E2">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2.熟悉教材各章节，借助相关专业书籍资料，并依据教学大纲编写授课计划；</w:t>
            </w:r>
          </w:p>
          <w:p w14:paraId="41469EC0">
            <w:pPr>
              <w:autoSpaceDE w:val="0"/>
              <w:autoSpaceDN w:val="0"/>
              <w:adjustRightInd w:val="0"/>
              <w:snapToGrid w:val="0"/>
              <w:spacing w:line="320" w:lineRule="exact"/>
              <w:jc w:val="left"/>
              <w:rPr>
                <w:rFonts w:hint="eastAsia" w:ascii="宋体" w:hAnsi="宋体" w:eastAsia="宋体" w:cs="宋体"/>
                <w:spacing w:val="-14"/>
                <w:kern w:val="0"/>
                <w:sz w:val="22"/>
                <w:szCs w:val="22"/>
              </w:rPr>
            </w:pPr>
            <w:r>
              <w:rPr>
                <w:rFonts w:hint="eastAsia" w:ascii="宋体" w:hAnsi="宋体" w:eastAsia="宋体" w:cs="宋体"/>
                <w:spacing w:val="-14"/>
                <w:kern w:val="0"/>
                <w:sz w:val="22"/>
                <w:szCs w:val="22"/>
              </w:rPr>
              <w:t xml:space="preserve">3.结合课程特点，制作课件，运用多媒体教学手段讲授部分教学内容； </w:t>
            </w:r>
          </w:p>
          <w:p w14:paraId="47D7E253">
            <w:pPr>
              <w:autoSpaceDE w:val="0"/>
              <w:autoSpaceDN w:val="0"/>
              <w:adjustRightInd w:val="0"/>
              <w:snapToGrid w:val="0"/>
              <w:spacing w:line="320" w:lineRule="exact"/>
              <w:jc w:val="left"/>
              <w:rPr>
                <w:rFonts w:hint="eastAsia" w:ascii="宋体" w:hAnsi="宋体" w:eastAsia="宋体" w:cs="宋体"/>
                <w:sz w:val="24"/>
                <w:szCs w:val="22"/>
              </w:rPr>
            </w:pPr>
            <w:r>
              <w:rPr>
                <w:rFonts w:hint="eastAsia" w:ascii="宋体" w:hAnsi="宋体" w:eastAsia="宋体" w:cs="宋体"/>
                <w:kern w:val="0"/>
                <w:sz w:val="22"/>
                <w:szCs w:val="22"/>
              </w:rPr>
              <w:t>4.确定各章节课程内容的教学方法，构思授课思路、技巧和方法。</w:t>
            </w:r>
          </w:p>
        </w:tc>
      </w:tr>
      <w:tr w14:paraId="12E1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4188DB2E">
            <w:pPr>
              <w:spacing w:line="276" w:lineRule="auto"/>
              <w:jc w:val="center"/>
              <w:rPr>
                <w:rFonts w:hint="eastAsia" w:ascii="宋体" w:hAnsi="宋体" w:eastAsia="宋体" w:cs="宋体"/>
                <w:sz w:val="24"/>
                <w:szCs w:val="22"/>
              </w:rPr>
            </w:pPr>
            <w:r>
              <w:rPr>
                <w:rFonts w:hint="eastAsia" w:ascii="宋体" w:hAnsi="宋体" w:eastAsia="宋体" w:cs="宋体"/>
                <w:sz w:val="24"/>
                <w:szCs w:val="22"/>
              </w:rPr>
              <w:t>2</w:t>
            </w:r>
          </w:p>
        </w:tc>
        <w:tc>
          <w:tcPr>
            <w:tcW w:w="1252" w:type="dxa"/>
            <w:noWrap w:val="0"/>
            <w:tcMar>
              <w:left w:w="28" w:type="dxa"/>
              <w:right w:w="28" w:type="dxa"/>
            </w:tcMar>
            <w:vAlign w:val="center"/>
          </w:tcPr>
          <w:p w14:paraId="70785AF6">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讲授</w:t>
            </w:r>
          </w:p>
        </w:tc>
        <w:tc>
          <w:tcPr>
            <w:tcW w:w="6640" w:type="dxa"/>
            <w:tcBorders>
              <w:right w:val="single" w:color="auto" w:sz="8" w:space="0"/>
            </w:tcBorders>
            <w:noWrap w:val="0"/>
            <w:vAlign w:val="center"/>
          </w:tcPr>
          <w:p w14:paraId="16BAC050">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w:t>
            </w:r>
            <w:r>
              <w:rPr>
                <w:rFonts w:hint="eastAsia" w:ascii="宋体" w:hAnsi="宋体" w:eastAsia="宋体" w:cs="宋体"/>
                <w:szCs w:val="22"/>
              </w:rPr>
              <w:t>满足需要，发展个性；</w:t>
            </w:r>
            <w:r>
              <w:rPr>
                <w:rFonts w:hint="eastAsia" w:ascii="宋体" w:hAnsi="宋体" w:eastAsia="宋体" w:cs="宋体"/>
                <w:kern w:val="0"/>
                <w:sz w:val="22"/>
                <w:szCs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4D06E05A">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2.采用多种教学方式（如启发式教学、导学式、发现式等），精讲多练，培养学生自学、自练、自评、互评等能力。</w:t>
            </w:r>
          </w:p>
          <w:p w14:paraId="7F573701">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EB26313">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4.区别对待，因材施教。重视安全和关心基础较差的学生成长。</w:t>
            </w:r>
          </w:p>
          <w:p w14:paraId="6C5CB0D5">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5.教学中教师要以身作则，言传身教，做到既教学又育人。培养学生的优良品质，达到身心全面发展。</w:t>
            </w:r>
          </w:p>
        </w:tc>
      </w:tr>
      <w:tr w14:paraId="3A06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1C7C7F7A">
            <w:pPr>
              <w:spacing w:line="276" w:lineRule="auto"/>
              <w:jc w:val="center"/>
              <w:rPr>
                <w:rFonts w:hint="eastAsia" w:ascii="宋体" w:hAnsi="宋体" w:eastAsia="宋体" w:cs="宋体"/>
                <w:sz w:val="24"/>
                <w:szCs w:val="22"/>
              </w:rPr>
            </w:pPr>
            <w:r>
              <w:rPr>
                <w:rFonts w:hint="eastAsia" w:ascii="宋体" w:hAnsi="宋体" w:eastAsia="宋体" w:cs="宋体"/>
                <w:sz w:val="24"/>
                <w:szCs w:val="22"/>
              </w:rPr>
              <w:t>3</w:t>
            </w:r>
          </w:p>
        </w:tc>
        <w:tc>
          <w:tcPr>
            <w:tcW w:w="1252" w:type="dxa"/>
            <w:noWrap w:val="0"/>
            <w:tcMar>
              <w:left w:w="28" w:type="dxa"/>
              <w:right w:w="28" w:type="dxa"/>
            </w:tcMar>
            <w:vAlign w:val="center"/>
          </w:tcPr>
          <w:p w14:paraId="515DB7A0">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课外练习</w:t>
            </w:r>
          </w:p>
        </w:tc>
        <w:tc>
          <w:tcPr>
            <w:tcW w:w="6640" w:type="dxa"/>
            <w:tcBorders>
              <w:right w:val="single" w:color="auto" w:sz="8" w:space="0"/>
            </w:tcBorders>
            <w:noWrap w:val="0"/>
            <w:vAlign w:val="center"/>
          </w:tcPr>
          <w:p w14:paraId="3FF8F8BF">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课外练习是教师布置课外练习内容，重点要求学生利用课余时间巩固课堂上所学的技术动作，形成正确的动力定型，同时要求学生加强身体素质练习。</w:t>
            </w:r>
          </w:p>
        </w:tc>
      </w:tr>
      <w:tr w14:paraId="2928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5BEDF07D">
            <w:pPr>
              <w:spacing w:line="276" w:lineRule="auto"/>
              <w:jc w:val="center"/>
              <w:rPr>
                <w:rFonts w:hint="eastAsia" w:ascii="宋体" w:hAnsi="宋体" w:eastAsia="宋体" w:cs="宋体"/>
                <w:sz w:val="24"/>
                <w:szCs w:val="22"/>
              </w:rPr>
            </w:pPr>
            <w:r>
              <w:rPr>
                <w:rFonts w:hint="eastAsia" w:ascii="宋体" w:hAnsi="宋体" w:eastAsia="宋体" w:cs="宋体"/>
                <w:sz w:val="24"/>
                <w:szCs w:val="22"/>
              </w:rPr>
              <w:t>4</w:t>
            </w:r>
          </w:p>
        </w:tc>
        <w:tc>
          <w:tcPr>
            <w:tcW w:w="1252" w:type="dxa"/>
            <w:noWrap w:val="0"/>
            <w:tcMar>
              <w:left w:w="28" w:type="dxa"/>
              <w:right w:w="28" w:type="dxa"/>
            </w:tcMar>
            <w:vAlign w:val="center"/>
          </w:tcPr>
          <w:p w14:paraId="0B85A22B">
            <w:pPr>
              <w:spacing w:line="276" w:lineRule="auto"/>
              <w:jc w:val="center"/>
              <w:rPr>
                <w:rFonts w:hint="eastAsia" w:ascii="宋体" w:hAnsi="宋体" w:eastAsia="宋体" w:cs="宋体"/>
                <w:sz w:val="24"/>
                <w:szCs w:val="22"/>
              </w:rPr>
            </w:pPr>
            <w:r>
              <w:rPr>
                <w:rFonts w:hint="eastAsia" w:ascii="宋体" w:hAnsi="宋体" w:eastAsia="宋体" w:cs="宋体"/>
                <w:sz w:val="24"/>
                <w:szCs w:val="22"/>
              </w:rPr>
              <w:t>成绩考核</w:t>
            </w:r>
          </w:p>
        </w:tc>
        <w:tc>
          <w:tcPr>
            <w:tcW w:w="6640" w:type="dxa"/>
            <w:tcBorders>
              <w:right w:val="single" w:color="auto" w:sz="8" w:space="0"/>
            </w:tcBorders>
            <w:noWrap w:val="0"/>
            <w:vAlign w:val="center"/>
          </w:tcPr>
          <w:p w14:paraId="575F0B89">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本课程考核的方式：考试。总评成绩的评定见课程评分方案。有下列情况之一者，总评成绩为不及格：</w:t>
            </w:r>
          </w:p>
          <w:p w14:paraId="513AE804">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1.课外体育锻炼不合格者；</w:t>
            </w:r>
          </w:p>
          <w:p w14:paraId="3239E92C">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2.缺课次数达本学期总授课学时的1/3以上者；</w:t>
            </w:r>
          </w:p>
        </w:tc>
      </w:tr>
    </w:tbl>
    <w:p w14:paraId="70582436">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五、课程考核</w:t>
      </w:r>
    </w:p>
    <w:p w14:paraId="10075FEE">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（一）课程考核由期末考试和平时考核构成，期末考试采用随堂方式。</w:t>
      </w:r>
    </w:p>
    <w:p w14:paraId="5AFCB6D9">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（二）课程总评成绩=平时成绩50%+期末考试50%，平时成绩=课堂表现10%+课外锻炼20%+体育理论20%。</w:t>
      </w:r>
    </w:p>
    <w:p w14:paraId="6646AE99">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具体内容和比例如表所示：</w:t>
      </w:r>
    </w:p>
    <w:tbl>
      <w:tblPr>
        <w:tblStyle w:val="1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6A9B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5CE2359C">
            <w:pPr>
              <w:jc w:val="center"/>
              <w:rPr>
                <w:rFonts w:hint="eastAsia" w:ascii="宋体" w:hAnsi="宋体" w:eastAsia="宋体" w:cs="宋体"/>
                <w:szCs w:val="21"/>
              </w:rPr>
            </w:pPr>
            <w:r>
              <w:rPr>
                <w:rFonts w:hint="eastAsia" w:ascii="宋体" w:hAnsi="宋体" w:eastAsia="宋体" w:cs="宋体"/>
                <w:szCs w:val="21"/>
              </w:rPr>
              <w:t>成绩组成</w:t>
            </w:r>
          </w:p>
        </w:tc>
        <w:tc>
          <w:tcPr>
            <w:tcW w:w="1301" w:type="dxa"/>
            <w:shd w:val="clear" w:color="auto" w:fill="FFFFFF"/>
            <w:noWrap w:val="0"/>
            <w:vAlign w:val="center"/>
          </w:tcPr>
          <w:p w14:paraId="5E60F00B">
            <w:pPr>
              <w:jc w:val="center"/>
              <w:rPr>
                <w:rFonts w:hint="eastAsia" w:ascii="宋体" w:hAnsi="宋体" w:eastAsia="宋体" w:cs="宋体"/>
                <w:szCs w:val="21"/>
              </w:rPr>
            </w:pPr>
            <w:r>
              <w:rPr>
                <w:rFonts w:hint="eastAsia" w:ascii="宋体" w:hAnsi="宋体" w:eastAsia="宋体" w:cs="宋体"/>
                <w:szCs w:val="21"/>
              </w:rPr>
              <w:t>考核/评价环节</w:t>
            </w:r>
          </w:p>
        </w:tc>
        <w:tc>
          <w:tcPr>
            <w:tcW w:w="741" w:type="dxa"/>
            <w:shd w:val="clear" w:color="auto" w:fill="FFFFFF"/>
            <w:noWrap w:val="0"/>
            <w:vAlign w:val="center"/>
          </w:tcPr>
          <w:p w14:paraId="620B5D89">
            <w:pPr>
              <w:jc w:val="center"/>
              <w:rPr>
                <w:rFonts w:hint="eastAsia" w:ascii="宋体" w:hAnsi="宋体" w:eastAsia="宋体" w:cs="宋体"/>
                <w:szCs w:val="21"/>
              </w:rPr>
            </w:pPr>
            <w:r>
              <w:rPr>
                <w:rFonts w:hint="eastAsia" w:ascii="宋体" w:hAnsi="宋体" w:eastAsia="宋体" w:cs="宋体"/>
                <w:szCs w:val="21"/>
              </w:rPr>
              <w:t>权重</w:t>
            </w:r>
          </w:p>
        </w:tc>
        <w:tc>
          <w:tcPr>
            <w:tcW w:w="4047" w:type="dxa"/>
            <w:shd w:val="clear" w:color="auto" w:fill="FFFFFF"/>
            <w:noWrap w:val="0"/>
            <w:vAlign w:val="center"/>
          </w:tcPr>
          <w:p w14:paraId="5F659BDD">
            <w:pPr>
              <w:jc w:val="center"/>
              <w:rPr>
                <w:rFonts w:hint="eastAsia" w:ascii="宋体" w:hAnsi="宋体" w:eastAsia="宋体" w:cs="宋体"/>
                <w:szCs w:val="21"/>
              </w:rPr>
            </w:pPr>
            <w:r>
              <w:rPr>
                <w:rFonts w:hint="eastAsia" w:ascii="宋体" w:hAnsi="宋体" w:eastAsia="宋体" w:cs="宋体"/>
                <w:szCs w:val="21"/>
              </w:rPr>
              <w:t>考核/评价细则</w:t>
            </w:r>
          </w:p>
        </w:tc>
        <w:tc>
          <w:tcPr>
            <w:tcW w:w="1349" w:type="dxa"/>
            <w:shd w:val="clear" w:color="auto" w:fill="FFFFFF"/>
            <w:noWrap w:val="0"/>
            <w:vAlign w:val="center"/>
          </w:tcPr>
          <w:p w14:paraId="65A75536">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19E8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6A3EC5F3">
            <w:pPr>
              <w:jc w:val="center"/>
              <w:rPr>
                <w:rFonts w:hint="eastAsia" w:ascii="宋体" w:hAnsi="宋体" w:eastAsia="宋体" w:cs="宋体"/>
                <w:szCs w:val="21"/>
              </w:rPr>
            </w:pPr>
            <w:r>
              <w:rPr>
                <w:rFonts w:hint="eastAsia" w:ascii="宋体" w:hAnsi="宋体" w:eastAsia="宋体" w:cs="宋体"/>
                <w:szCs w:val="21"/>
              </w:rPr>
              <w:t>平时成绩</w:t>
            </w:r>
          </w:p>
          <w:p w14:paraId="55390181">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20295234">
            <w:pPr>
              <w:spacing w:line="276" w:lineRule="auto"/>
              <w:jc w:val="center"/>
              <w:rPr>
                <w:rFonts w:hint="eastAsia" w:ascii="宋体" w:hAnsi="宋体" w:eastAsia="宋体" w:cs="宋体"/>
                <w:szCs w:val="21"/>
              </w:rPr>
            </w:pPr>
            <w:r>
              <w:rPr>
                <w:rFonts w:hint="eastAsia" w:ascii="宋体" w:hAnsi="宋体" w:eastAsia="宋体" w:cs="宋体"/>
                <w:szCs w:val="21"/>
              </w:rPr>
              <w:t>课堂表现</w:t>
            </w:r>
          </w:p>
        </w:tc>
        <w:tc>
          <w:tcPr>
            <w:tcW w:w="741" w:type="dxa"/>
            <w:noWrap w:val="0"/>
            <w:vAlign w:val="center"/>
          </w:tcPr>
          <w:p w14:paraId="032F4261">
            <w:pPr>
              <w:rPr>
                <w:rFonts w:hint="eastAsia" w:ascii="宋体" w:hAnsi="宋体" w:eastAsia="宋体" w:cs="宋体"/>
                <w:szCs w:val="21"/>
              </w:rPr>
            </w:pPr>
            <w:r>
              <w:rPr>
                <w:rFonts w:hint="eastAsia" w:ascii="宋体" w:hAnsi="宋体" w:eastAsia="宋体" w:cs="宋体"/>
                <w:szCs w:val="21"/>
              </w:rPr>
              <w:t xml:space="preserve"> 10%</w:t>
            </w:r>
          </w:p>
        </w:tc>
        <w:tc>
          <w:tcPr>
            <w:tcW w:w="4047" w:type="dxa"/>
            <w:noWrap w:val="0"/>
            <w:vAlign w:val="center"/>
          </w:tcPr>
          <w:p w14:paraId="4C6281D8">
            <w:pPr>
              <w:spacing w:line="360" w:lineRule="exact"/>
              <w:rPr>
                <w:rFonts w:hint="eastAsia" w:ascii="宋体" w:hAnsi="宋体" w:eastAsia="宋体" w:cs="宋体"/>
                <w:sz w:val="24"/>
                <w:szCs w:val="22"/>
              </w:rPr>
            </w:pPr>
            <w:r>
              <w:rPr>
                <w:rFonts w:hint="eastAsia" w:ascii="宋体" w:hAnsi="宋体" w:eastAsia="宋体" w:cs="宋体"/>
                <w:bCs/>
                <w:kern w:val="24"/>
                <w:szCs w:val="21"/>
              </w:rPr>
              <w:t>课堂整队点名，考核</w:t>
            </w:r>
            <w:r>
              <w:rPr>
                <w:rFonts w:hint="eastAsia" w:ascii="宋体" w:hAnsi="宋体" w:eastAsia="宋体" w:cs="宋体"/>
                <w:szCs w:val="21"/>
              </w:rPr>
              <w:t>能否按时到勤，旷课一次扣20分，迟到与早退一次扣10分。</w:t>
            </w:r>
          </w:p>
        </w:tc>
        <w:tc>
          <w:tcPr>
            <w:tcW w:w="1349" w:type="dxa"/>
            <w:noWrap w:val="0"/>
            <w:vAlign w:val="center"/>
          </w:tcPr>
          <w:p w14:paraId="4B52C165">
            <w:pPr>
              <w:jc w:val="center"/>
              <w:rPr>
                <w:rFonts w:hint="eastAsia" w:ascii="宋体" w:hAnsi="宋体" w:eastAsia="宋体" w:cs="宋体"/>
                <w:szCs w:val="21"/>
              </w:rPr>
            </w:pPr>
            <w:r>
              <w:rPr>
                <w:rFonts w:hint="eastAsia" w:ascii="宋体" w:hAnsi="宋体" w:eastAsia="宋体" w:cs="宋体"/>
                <w:bCs/>
                <w:szCs w:val="21"/>
              </w:rPr>
              <w:t>8、9</w:t>
            </w:r>
          </w:p>
        </w:tc>
      </w:tr>
      <w:tr w14:paraId="0818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54E9F80F">
            <w:pPr>
              <w:jc w:val="center"/>
              <w:rPr>
                <w:rFonts w:hint="eastAsia" w:ascii="宋体" w:hAnsi="宋体" w:eastAsia="宋体" w:cs="宋体"/>
                <w:szCs w:val="21"/>
              </w:rPr>
            </w:pPr>
          </w:p>
        </w:tc>
        <w:tc>
          <w:tcPr>
            <w:tcW w:w="1301" w:type="dxa"/>
            <w:noWrap w:val="0"/>
            <w:vAlign w:val="center"/>
          </w:tcPr>
          <w:p w14:paraId="073A75C1">
            <w:pPr>
              <w:spacing w:line="276" w:lineRule="auto"/>
              <w:jc w:val="center"/>
              <w:rPr>
                <w:rFonts w:hint="eastAsia" w:ascii="宋体" w:hAnsi="宋体" w:eastAsia="宋体" w:cs="宋体"/>
                <w:szCs w:val="21"/>
              </w:rPr>
            </w:pPr>
            <w:r>
              <w:rPr>
                <w:rFonts w:hint="eastAsia" w:ascii="宋体" w:hAnsi="宋体" w:eastAsia="宋体" w:cs="宋体"/>
                <w:szCs w:val="21"/>
              </w:rPr>
              <w:t>课外锻炼</w:t>
            </w:r>
          </w:p>
        </w:tc>
        <w:tc>
          <w:tcPr>
            <w:tcW w:w="741" w:type="dxa"/>
            <w:noWrap w:val="0"/>
            <w:vAlign w:val="center"/>
          </w:tcPr>
          <w:p w14:paraId="7962DCAA">
            <w:pPr>
              <w:rPr>
                <w:rFonts w:hint="eastAsia" w:ascii="宋体" w:hAnsi="宋体" w:eastAsia="宋体" w:cs="宋体"/>
                <w:szCs w:val="21"/>
              </w:rPr>
            </w:pPr>
            <w:r>
              <w:rPr>
                <w:rFonts w:hint="eastAsia" w:ascii="宋体" w:hAnsi="宋体" w:eastAsia="宋体" w:cs="宋体"/>
                <w:szCs w:val="21"/>
              </w:rPr>
              <w:t xml:space="preserve"> 20%</w:t>
            </w:r>
          </w:p>
        </w:tc>
        <w:tc>
          <w:tcPr>
            <w:tcW w:w="4047" w:type="dxa"/>
            <w:noWrap w:val="0"/>
            <w:vAlign w:val="center"/>
          </w:tcPr>
          <w:p w14:paraId="198E8D9E">
            <w:pPr>
              <w:spacing w:line="360" w:lineRule="exact"/>
              <w:jc w:val="left"/>
              <w:rPr>
                <w:rFonts w:hint="eastAsia" w:ascii="宋体" w:hAnsi="宋体" w:eastAsia="宋体" w:cs="宋体"/>
                <w:sz w:val="24"/>
                <w:szCs w:val="22"/>
              </w:rPr>
            </w:pPr>
            <w:r>
              <w:rPr>
                <w:rFonts w:hint="eastAsia" w:ascii="宋体" w:hAnsi="宋体" w:eastAsia="宋体" w:cs="宋体"/>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noWrap w:val="0"/>
            <w:vAlign w:val="center"/>
          </w:tcPr>
          <w:p w14:paraId="7F3D59A3">
            <w:pPr>
              <w:jc w:val="center"/>
              <w:rPr>
                <w:rFonts w:hint="eastAsia" w:ascii="宋体" w:hAnsi="宋体" w:eastAsia="宋体" w:cs="宋体"/>
                <w:szCs w:val="22"/>
              </w:rPr>
            </w:pPr>
            <w:r>
              <w:rPr>
                <w:rFonts w:hint="eastAsia" w:ascii="宋体" w:hAnsi="宋体" w:eastAsia="宋体" w:cs="宋体"/>
                <w:szCs w:val="22"/>
              </w:rPr>
              <w:t>8、9</w:t>
            </w:r>
          </w:p>
        </w:tc>
      </w:tr>
      <w:tr w14:paraId="3E8C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40" w:type="dxa"/>
            <w:vMerge w:val="continue"/>
            <w:noWrap w:val="0"/>
            <w:tcMar>
              <w:left w:w="57" w:type="dxa"/>
              <w:right w:w="57" w:type="dxa"/>
            </w:tcMar>
            <w:vAlign w:val="center"/>
          </w:tcPr>
          <w:p w14:paraId="5D5D1230">
            <w:pPr>
              <w:jc w:val="center"/>
              <w:rPr>
                <w:rFonts w:hint="eastAsia" w:ascii="宋体" w:hAnsi="宋体" w:eastAsia="宋体" w:cs="宋体"/>
                <w:szCs w:val="21"/>
              </w:rPr>
            </w:pPr>
          </w:p>
        </w:tc>
        <w:tc>
          <w:tcPr>
            <w:tcW w:w="1301" w:type="dxa"/>
            <w:noWrap w:val="0"/>
            <w:vAlign w:val="center"/>
          </w:tcPr>
          <w:p w14:paraId="46BE02FF">
            <w:pPr>
              <w:spacing w:line="276" w:lineRule="auto"/>
              <w:jc w:val="center"/>
              <w:rPr>
                <w:rFonts w:hint="eastAsia" w:ascii="宋体" w:hAnsi="宋体" w:eastAsia="宋体" w:cs="宋体"/>
                <w:szCs w:val="21"/>
              </w:rPr>
            </w:pPr>
            <w:r>
              <w:rPr>
                <w:rFonts w:hint="eastAsia" w:ascii="宋体" w:hAnsi="宋体" w:eastAsia="宋体" w:cs="宋体"/>
                <w:szCs w:val="21"/>
              </w:rPr>
              <w:t>体育理论</w:t>
            </w:r>
          </w:p>
        </w:tc>
        <w:tc>
          <w:tcPr>
            <w:tcW w:w="741" w:type="dxa"/>
            <w:noWrap w:val="0"/>
            <w:vAlign w:val="center"/>
          </w:tcPr>
          <w:p w14:paraId="45EC3EEF">
            <w:pPr>
              <w:jc w:val="center"/>
              <w:rPr>
                <w:rFonts w:hint="eastAsia" w:ascii="宋体" w:hAnsi="宋体" w:eastAsia="宋体" w:cs="宋体"/>
                <w:szCs w:val="21"/>
              </w:rPr>
            </w:pPr>
            <w:r>
              <w:rPr>
                <w:rFonts w:hint="eastAsia" w:ascii="宋体" w:hAnsi="宋体" w:eastAsia="宋体" w:cs="宋体"/>
                <w:szCs w:val="21"/>
              </w:rPr>
              <w:t>20%</w:t>
            </w:r>
          </w:p>
        </w:tc>
        <w:tc>
          <w:tcPr>
            <w:tcW w:w="4047" w:type="dxa"/>
            <w:noWrap w:val="0"/>
            <w:vAlign w:val="center"/>
          </w:tcPr>
          <w:p w14:paraId="6FDFA652">
            <w:pPr>
              <w:spacing w:line="440" w:lineRule="exact"/>
              <w:jc w:val="left"/>
              <w:rPr>
                <w:rFonts w:hint="eastAsia" w:ascii="宋体" w:hAnsi="宋体" w:eastAsia="宋体" w:cs="宋体"/>
                <w:sz w:val="24"/>
                <w:szCs w:val="22"/>
              </w:rPr>
            </w:pPr>
            <w:r>
              <w:rPr>
                <w:rFonts w:hint="eastAsia" w:ascii="宋体" w:hAnsi="宋体" w:eastAsia="宋体" w:cs="宋体"/>
                <w:bCs/>
                <w:kern w:val="24"/>
                <w:szCs w:val="21"/>
              </w:rPr>
              <w:t>课外网上测试，校毕博系统。</w:t>
            </w:r>
          </w:p>
        </w:tc>
        <w:tc>
          <w:tcPr>
            <w:tcW w:w="1349" w:type="dxa"/>
            <w:noWrap w:val="0"/>
            <w:vAlign w:val="center"/>
          </w:tcPr>
          <w:p w14:paraId="4182FB47">
            <w:pPr>
              <w:jc w:val="center"/>
              <w:rPr>
                <w:rFonts w:hint="eastAsia" w:ascii="宋体" w:hAnsi="宋体" w:eastAsia="宋体" w:cs="宋体"/>
                <w:szCs w:val="22"/>
              </w:rPr>
            </w:pPr>
            <w:r>
              <w:rPr>
                <w:rFonts w:hint="eastAsia" w:ascii="宋体" w:hAnsi="宋体" w:eastAsia="宋体" w:cs="宋体"/>
                <w:szCs w:val="22"/>
              </w:rPr>
              <w:t>8、9</w:t>
            </w:r>
          </w:p>
        </w:tc>
      </w:tr>
      <w:tr w14:paraId="5465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40" w:type="dxa"/>
            <w:noWrap w:val="0"/>
            <w:tcMar>
              <w:left w:w="57" w:type="dxa"/>
              <w:right w:w="57" w:type="dxa"/>
            </w:tcMar>
            <w:vAlign w:val="center"/>
          </w:tcPr>
          <w:p w14:paraId="29C263A8">
            <w:pPr>
              <w:jc w:val="center"/>
              <w:rPr>
                <w:rFonts w:hint="eastAsia" w:ascii="宋体" w:hAnsi="宋体" w:eastAsia="宋体" w:cs="宋体"/>
                <w:szCs w:val="21"/>
              </w:rPr>
            </w:pPr>
            <w:r>
              <w:rPr>
                <w:rFonts w:hint="eastAsia" w:ascii="宋体" w:hAnsi="宋体" w:eastAsia="宋体" w:cs="宋体"/>
                <w:szCs w:val="21"/>
              </w:rPr>
              <w:t>期末考试</w:t>
            </w:r>
          </w:p>
          <w:p w14:paraId="15F1625B">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3645DBC0">
            <w:pPr>
              <w:jc w:val="center"/>
              <w:rPr>
                <w:rFonts w:hint="eastAsia" w:ascii="宋体" w:hAnsi="宋体" w:eastAsia="宋体" w:cs="宋体"/>
                <w:szCs w:val="21"/>
              </w:rPr>
            </w:pPr>
            <w:r>
              <w:rPr>
                <w:rFonts w:hint="eastAsia" w:ascii="宋体" w:hAnsi="宋体" w:eastAsia="宋体" w:cs="宋体"/>
                <w:szCs w:val="21"/>
              </w:rPr>
              <w:t>期末运动技能考试</w:t>
            </w:r>
          </w:p>
        </w:tc>
        <w:tc>
          <w:tcPr>
            <w:tcW w:w="741" w:type="dxa"/>
            <w:noWrap w:val="0"/>
            <w:vAlign w:val="center"/>
          </w:tcPr>
          <w:p w14:paraId="4B76A743">
            <w:pPr>
              <w:jc w:val="center"/>
              <w:rPr>
                <w:rFonts w:hint="eastAsia" w:ascii="宋体" w:hAnsi="宋体" w:eastAsia="宋体" w:cs="宋体"/>
                <w:szCs w:val="21"/>
              </w:rPr>
            </w:pPr>
            <w:r>
              <w:rPr>
                <w:rFonts w:hint="eastAsia" w:ascii="宋体" w:hAnsi="宋体" w:eastAsia="宋体" w:cs="宋体"/>
                <w:szCs w:val="21"/>
              </w:rPr>
              <w:t>100%</w:t>
            </w:r>
          </w:p>
        </w:tc>
        <w:tc>
          <w:tcPr>
            <w:tcW w:w="4047" w:type="dxa"/>
            <w:noWrap w:val="0"/>
            <w:vAlign w:val="center"/>
          </w:tcPr>
          <w:p w14:paraId="57C3FB61">
            <w:pPr>
              <w:spacing w:line="440" w:lineRule="exact"/>
              <w:rPr>
                <w:rFonts w:hint="eastAsia" w:ascii="宋体" w:hAnsi="宋体" w:eastAsia="宋体" w:cs="宋体"/>
                <w:color w:val="000000"/>
                <w:szCs w:val="21"/>
              </w:rPr>
            </w:pPr>
            <w:r>
              <w:rPr>
                <w:rFonts w:hint="eastAsia" w:ascii="宋体" w:hAnsi="宋体" w:eastAsia="宋体" w:cs="宋体"/>
                <w:color w:val="000000"/>
                <w:szCs w:val="21"/>
              </w:rPr>
              <w:t>各专项技能</w:t>
            </w:r>
          </w:p>
        </w:tc>
        <w:tc>
          <w:tcPr>
            <w:tcW w:w="1349" w:type="dxa"/>
            <w:noWrap w:val="0"/>
            <w:vAlign w:val="center"/>
          </w:tcPr>
          <w:p w14:paraId="5C96FE50">
            <w:pPr>
              <w:jc w:val="center"/>
              <w:rPr>
                <w:rFonts w:hint="eastAsia" w:ascii="宋体" w:hAnsi="宋体" w:eastAsia="宋体" w:cs="宋体"/>
                <w:szCs w:val="21"/>
              </w:rPr>
            </w:pPr>
            <w:r>
              <w:rPr>
                <w:rFonts w:hint="eastAsia" w:ascii="宋体" w:hAnsi="宋体" w:eastAsia="宋体" w:cs="宋体"/>
                <w:bCs/>
                <w:szCs w:val="21"/>
              </w:rPr>
              <w:t>8、9</w:t>
            </w:r>
          </w:p>
        </w:tc>
      </w:tr>
    </w:tbl>
    <w:p w14:paraId="09C40497">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六、有关说明</w:t>
      </w:r>
    </w:p>
    <w:p w14:paraId="4CFDB1F8">
      <w:pPr>
        <w:spacing w:line="360" w:lineRule="auto"/>
        <w:ind w:firstLine="482" w:firstLineChars="200"/>
        <w:rPr>
          <w:rFonts w:hint="eastAsia" w:ascii="宋体" w:hAnsi="宋体" w:eastAsia="宋体" w:cs="宋体"/>
          <w:b/>
          <w:color w:val="000000"/>
          <w:sz w:val="24"/>
          <w:szCs w:val="22"/>
        </w:rPr>
      </w:pPr>
      <w:r>
        <w:rPr>
          <w:rFonts w:hint="eastAsia" w:ascii="宋体" w:hAnsi="宋体" w:eastAsia="宋体" w:cs="宋体"/>
          <w:b/>
          <w:color w:val="000000"/>
          <w:sz w:val="24"/>
          <w:szCs w:val="22"/>
        </w:rPr>
        <w:t>（一）持续改进</w:t>
      </w:r>
    </w:p>
    <w:p w14:paraId="1AF4268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本课程根据学生课外体育锻炼、课堂表现、体质测试、平时考核情况，以及学生、教学督导等反馈，及时对教学中不足之处进行改进，并在下一轮课程教学中整改完善，确保相应毕业要求指标点达成。</w:t>
      </w:r>
    </w:p>
    <w:p w14:paraId="197882B3">
      <w:pPr>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color w:val="000000"/>
          <w:sz w:val="24"/>
          <w:szCs w:val="22"/>
        </w:rPr>
        <w:t>（二）教学参考书</w:t>
      </w:r>
    </w:p>
    <w:p w14:paraId="55D35064">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1.毛振明.大学体育文化与实技教程[M].沈阳：东北大学出版社，2013.</w:t>
      </w:r>
    </w:p>
    <w:p w14:paraId="45FE5FAE">
      <w:pPr>
        <w:wordWrap w:val="0"/>
        <w:spacing w:line="360" w:lineRule="exact"/>
        <w:jc w:val="right"/>
        <w:rPr>
          <w:rFonts w:hint="eastAsia" w:ascii="宋体" w:hAnsi="宋体" w:eastAsia="宋体" w:cs="宋体"/>
          <w:sz w:val="24"/>
          <w:szCs w:val="22"/>
        </w:rPr>
      </w:pPr>
    </w:p>
    <w:p w14:paraId="773253FE">
      <w:pPr>
        <w:spacing w:line="360" w:lineRule="exact"/>
        <w:jc w:val="right"/>
        <w:rPr>
          <w:rFonts w:hint="eastAsia" w:ascii="宋体" w:hAnsi="宋体" w:eastAsia="宋体" w:cs="宋体"/>
          <w:sz w:val="24"/>
          <w:szCs w:val="22"/>
        </w:rPr>
      </w:pPr>
      <w:r>
        <w:rPr>
          <w:rFonts w:hint="eastAsia" w:ascii="宋体" w:hAnsi="宋体" w:eastAsia="宋体" w:cs="宋体"/>
          <w:sz w:val="24"/>
          <w:szCs w:val="22"/>
        </w:rPr>
        <w:t>执笔人：顾  宏</w:t>
      </w:r>
    </w:p>
    <w:p w14:paraId="23535084">
      <w:pPr>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审定人：方曙光</w:t>
      </w:r>
    </w:p>
    <w:p w14:paraId="05C60E8A">
      <w:pPr>
        <w:autoSpaceDE w:val="0"/>
        <w:autoSpaceDN w:val="0"/>
        <w:adjustRightInd w:val="0"/>
        <w:spacing w:line="360" w:lineRule="auto"/>
        <w:ind w:firstLine="480" w:firstLineChars="200"/>
        <w:jc w:val="right"/>
        <w:rPr>
          <w:rFonts w:hint="eastAsia" w:ascii="宋体" w:hAnsi="宋体" w:eastAsia="宋体" w:cs="宋体"/>
          <w:sz w:val="24"/>
          <w:szCs w:val="22"/>
        </w:rPr>
      </w:pPr>
      <w:r>
        <w:rPr>
          <w:rFonts w:hint="eastAsia" w:ascii="宋体" w:hAnsi="宋体" w:eastAsia="宋体" w:cs="宋体"/>
          <w:sz w:val="24"/>
          <w:szCs w:val="22"/>
        </w:rPr>
        <w:t>批准人：王红福</w:t>
      </w:r>
    </w:p>
    <w:p w14:paraId="22921174">
      <w:pPr>
        <w:spacing w:line="360" w:lineRule="exact"/>
        <w:ind w:firstLine="480" w:firstLineChars="200"/>
        <w:jc w:val="righ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批准时间：2024年9月1日</w:t>
      </w:r>
    </w:p>
    <w:p w14:paraId="4ABF4E98">
      <w:pPr>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br w:type="page"/>
      </w:r>
    </w:p>
    <w:p w14:paraId="7A5B893C">
      <w:pPr>
        <w:pStyle w:val="2"/>
        <w:bidi w:val="0"/>
        <w:rPr>
          <w:rFonts w:hint="eastAsia"/>
          <w:lang w:val="en-US" w:eastAsia="zh-CN"/>
        </w:rPr>
      </w:pPr>
      <w:bookmarkStart w:id="128" w:name="_Toc24865"/>
      <w:bookmarkStart w:id="129" w:name="_Toc7164"/>
      <w:bookmarkStart w:id="130" w:name="_Toc27061"/>
      <w:bookmarkStart w:id="131" w:name="_Toc26184"/>
      <w:r>
        <w:rPr>
          <w:rFonts w:hint="eastAsia"/>
          <w:lang w:val="en-US" w:eastAsia="zh-CN"/>
        </w:rPr>
        <w:t>《体育Ⅴ》课程教学大纲</w:t>
      </w:r>
      <w:bookmarkEnd w:id="128"/>
      <w:bookmarkEnd w:id="129"/>
      <w:bookmarkEnd w:id="130"/>
      <w:bookmarkEnd w:id="131"/>
    </w:p>
    <w:p w14:paraId="1B310565">
      <w:pPr>
        <w:pStyle w:val="2"/>
        <w:bidi w:val="0"/>
        <w:rPr>
          <w:rFonts w:hint="eastAsia"/>
          <w:lang w:val="en-US" w:eastAsia="zh-CN"/>
        </w:rPr>
      </w:pPr>
      <w:bookmarkStart w:id="132" w:name="_Toc16404"/>
      <w:bookmarkStart w:id="133" w:name="_Toc27048"/>
      <w:bookmarkStart w:id="134" w:name="_Toc18064"/>
      <w:bookmarkStart w:id="135" w:name="_Toc10262"/>
      <w:bookmarkStart w:id="136" w:name="_Toc16774"/>
      <w:bookmarkStart w:id="137" w:name="_Toc27088"/>
      <w:bookmarkStart w:id="138" w:name="_Toc26151"/>
      <w:r>
        <w:rPr>
          <w:rFonts w:hint="eastAsia"/>
          <w:lang w:val="en-US" w:eastAsia="zh-CN"/>
        </w:rPr>
        <w:t>（Physical  Education</w:t>
      </w:r>
      <w:r>
        <w:rPr>
          <w:rFonts w:hint="eastAsia"/>
          <w:lang w:val="en-US" w:eastAsia="ja-JP"/>
        </w:rPr>
        <w:t>Ⅴ</w:t>
      </w:r>
      <w:r>
        <w:rPr>
          <w:rFonts w:hint="eastAsia"/>
          <w:lang w:val="en-US" w:eastAsia="zh-CN"/>
        </w:rPr>
        <w:t>）</w:t>
      </w:r>
      <w:bookmarkEnd w:id="132"/>
      <w:bookmarkEnd w:id="133"/>
      <w:bookmarkEnd w:id="134"/>
      <w:bookmarkEnd w:id="135"/>
      <w:bookmarkEnd w:id="136"/>
      <w:bookmarkEnd w:id="137"/>
      <w:bookmarkEnd w:id="138"/>
    </w:p>
    <w:p w14:paraId="50A88FE8">
      <w:pPr>
        <w:spacing w:line="360" w:lineRule="auto"/>
        <w:ind w:firstLine="551" w:firstLineChars="196"/>
        <w:rPr>
          <w:rFonts w:hint="eastAsia" w:ascii="宋体" w:hAnsi="宋体" w:eastAsia="宋体" w:cs="宋体"/>
          <w:b/>
          <w:sz w:val="28"/>
          <w:szCs w:val="28"/>
        </w:rPr>
      </w:pPr>
      <w:r>
        <w:rPr>
          <w:rFonts w:hint="eastAsia" w:ascii="宋体" w:hAnsi="宋体" w:eastAsia="宋体" w:cs="宋体"/>
          <w:b/>
          <w:sz w:val="28"/>
          <w:szCs w:val="28"/>
        </w:rPr>
        <w:t>一、课程概况</w:t>
      </w:r>
    </w:p>
    <w:p w14:paraId="0DFA22F4">
      <w:pPr>
        <w:spacing w:line="360" w:lineRule="auto"/>
        <w:ind w:firstLine="482" w:firstLineChars="200"/>
        <w:rPr>
          <w:rFonts w:hint="eastAsia" w:ascii="宋体" w:hAnsi="宋体" w:eastAsia="宋体" w:cs="宋体"/>
          <w:bCs/>
          <w:sz w:val="28"/>
          <w:szCs w:val="28"/>
        </w:rPr>
      </w:pPr>
      <w:r>
        <w:rPr>
          <w:rFonts w:hint="eastAsia" w:ascii="宋体" w:hAnsi="宋体" w:eastAsia="宋体" w:cs="宋体"/>
          <w:b/>
          <w:bCs/>
          <w:kern w:val="0"/>
          <w:sz w:val="24"/>
          <w:szCs w:val="22"/>
        </w:rPr>
        <w:t>课程代码</w:t>
      </w:r>
      <w:r>
        <w:rPr>
          <w:rFonts w:hint="eastAsia" w:ascii="宋体" w:hAnsi="宋体" w:eastAsia="宋体" w:cs="宋体"/>
          <w:b/>
          <w:kern w:val="0"/>
          <w:sz w:val="24"/>
          <w:szCs w:val="22"/>
        </w:rPr>
        <w:t>：</w:t>
      </w:r>
      <w:r>
        <w:rPr>
          <w:rFonts w:hint="eastAsia" w:ascii="宋体" w:hAnsi="宋体" w:eastAsia="宋体" w:cs="宋体"/>
          <w:bCs/>
          <w:kern w:val="0"/>
          <w:sz w:val="24"/>
          <w:szCs w:val="22"/>
        </w:rPr>
        <w:t>1103010</w:t>
      </w:r>
    </w:p>
    <w:p w14:paraId="0B2893B5">
      <w:pPr>
        <w:spacing w:line="360" w:lineRule="auto"/>
        <w:ind w:firstLine="482" w:firstLineChars="200"/>
        <w:rPr>
          <w:rFonts w:hint="eastAsia" w:ascii="宋体" w:hAnsi="宋体" w:eastAsia="宋体" w:cs="宋体"/>
          <w:bCs/>
          <w:kern w:val="0"/>
          <w:sz w:val="24"/>
          <w:szCs w:val="22"/>
        </w:rPr>
      </w:pPr>
      <w:r>
        <w:rPr>
          <w:rFonts w:hint="eastAsia" w:ascii="宋体" w:hAnsi="宋体" w:eastAsia="宋体" w:cs="宋体"/>
          <w:b/>
          <w:bCs/>
          <w:kern w:val="0"/>
          <w:sz w:val="24"/>
          <w:szCs w:val="22"/>
        </w:rPr>
        <w:t>学    分</w:t>
      </w:r>
      <w:r>
        <w:rPr>
          <w:rFonts w:hint="eastAsia" w:ascii="宋体" w:hAnsi="宋体" w:eastAsia="宋体" w:cs="宋体"/>
          <w:b/>
          <w:kern w:val="0"/>
          <w:sz w:val="24"/>
          <w:szCs w:val="22"/>
        </w:rPr>
        <w:t>：</w:t>
      </w:r>
      <w:r>
        <w:rPr>
          <w:rFonts w:hint="eastAsia" w:ascii="宋体" w:hAnsi="宋体" w:eastAsia="宋体" w:cs="宋体"/>
          <w:bCs/>
          <w:kern w:val="0"/>
          <w:sz w:val="24"/>
          <w:szCs w:val="22"/>
        </w:rPr>
        <w:t>0.5</w:t>
      </w:r>
    </w:p>
    <w:p w14:paraId="7F6E9562">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学    时</w:t>
      </w:r>
      <w:r>
        <w:rPr>
          <w:rFonts w:hint="eastAsia" w:ascii="宋体" w:hAnsi="宋体" w:eastAsia="宋体" w:cs="宋体"/>
          <w:b/>
          <w:kern w:val="0"/>
          <w:sz w:val="24"/>
          <w:szCs w:val="22"/>
        </w:rPr>
        <w:t>：</w:t>
      </w:r>
      <w:r>
        <w:rPr>
          <w:rFonts w:hint="eastAsia" w:ascii="宋体" w:hAnsi="宋体" w:eastAsia="宋体" w:cs="宋体"/>
          <w:kern w:val="0"/>
          <w:sz w:val="24"/>
          <w:szCs w:val="22"/>
        </w:rPr>
        <w:t>18</w:t>
      </w:r>
    </w:p>
    <w:p w14:paraId="76DA380A">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适用专业</w:t>
      </w:r>
      <w:r>
        <w:rPr>
          <w:rFonts w:hint="eastAsia" w:ascii="宋体" w:hAnsi="宋体" w:eastAsia="宋体" w:cs="宋体"/>
          <w:b/>
          <w:kern w:val="0"/>
          <w:sz w:val="24"/>
          <w:szCs w:val="22"/>
        </w:rPr>
        <w:t>：</w:t>
      </w:r>
      <w:r>
        <w:rPr>
          <w:rFonts w:hint="eastAsia" w:ascii="宋体" w:hAnsi="宋体" w:eastAsia="宋体" w:cs="宋体"/>
          <w:kern w:val="0"/>
          <w:sz w:val="24"/>
          <w:szCs w:val="22"/>
        </w:rPr>
        <w:t xml:space="preserve">全校各专业                        </w:t>
      </w:r>
    </w:p>
    <w:p w14:paraId="39E988D1">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教    材</w:t>
      </w:r>
      <w:r>
        <w:rPr>
          <w:rFonts w:hint="eastAsia" w:ascii="宋体" w:hAnsi="宋体" w:eastAsia="宋体" w:cs="宋体"/>
          <w:b/>
          <w:kern w:val="0"/>
          <w:sz w:val="24"/>
          <w:szCs w:val="22"/>
        </w:rPr>
        <w:t>：</w:t>
      </w:r>
      <w:r>
        <w:rPr>
          <w:rFonts w:hint="eastAsia" w:ascii="宋体" w:hAnsi="宋体" w:eastAsia="宋体" w:cs="宋体"/>
          <w:kern w:val="0"/>
          <w:sz w:val="24"/>
          <w:szCs w:val="22"/>
        </w:rPr>
        <w:t>《大学体育与健康（微视频版）》，王祥、王红福主编，上海交通大学出版社，出版时间：2021年12月</w:t>
      </w:r>
    </w:p>
    <w:p w14:paraId="2E23DC63">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课程归口：</w:t>
      </w:r>
      <w:r>
        <w:rPr>
          <w:rFonts w:hint="eastAsia" w:ascii="宋体" w:hAnsi="宋体" w:eastAsia="宋体" w:cs="宋体"/>
          <w:bCs/>
          <w:kern w:val="0"/>
          <w:sz w:val="24"/>
          <w:szCs w:val="22"/>
        </w:rPr>
        <w:t>体育教学部</w:t>
      </w:r>
    </w:p>
    <w:p w14:paraId="5394C3EE">
      <w:pPr>
        <w:autoSpaceDE w:val="0"/>
        <w:autoSpaceDN w:val="0"/>
        <w:adjustRightInd w:val="0"/>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bCs/>
          <w:kern w:val="0"/>
          <w:sz w:val="24"/>
          <w:szCs w:val="22"/>
        </w:rPr>
        <w:t>课程的性质与任务：</w:t>
      </w:r>
      <w:r>
        <w:rPr>
          <w:rFonts w:hint="eastAsia" w:ascii="宋体" w:hAnsi="宋体" w:eastAsia="宋体" w:cs="宋体"/>
          <w:sz w:val="24"/>
          <w:szCs w:val="22"/>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体质测试和课外体育俱乐部等组织形式作为本课程重要组成部分，从而巩固课内学习效果，培养学生自我锻炼意识和习惯。</w:t>
      </w:r>
    </w:p>
    <w:p w14:paraId="5623A3F3">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7EFF6635">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二、课程目标与毕业要求指标点对应关系</w:t>
      </w:r>
    </w:p>
    <w:p w14:paraId="78B6BA60">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目标1：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04F1A606">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本课程支撑专业培养方案中毕业要求8、9(不同专业会略有区别，具体见培养方案中的毕业要求实现矩阵)，对应关系如下表所示。</w:t>
      </w:r>
    </w:p>
    <w:tbl>
      <w:tblPr>
        <w:tblStyle w:val="1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0074F68D">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31B7A5C1">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p>
          <w:p w14:paraId="44A36006">
            <w:pPr>
              <w:widowControl/>
              <w:jc w:val="center"/>
              <w:rPr>
                <w:rFonts w:hint="eastAsia" w:ascii="宋体" w:hAnsi="宋体" w:eastAsia="宋体" w:cs="宋体"/>
                <w:kern w:val="0"/>
                <w:szCs w:val="21"/>
              </w:rPr>
            </w:pPr>
            <w:r>
              <w:rPr>
                <w:rFonts w:hint="eastAsia" w:ascii="宋体" w:hAnsi="宋体" w:eastAsia="宋体" w:cs="宋体"/>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376A7BC3">
            <w:pPr>
              <w:widowControl/>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12D70205">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C770F0">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ABEE5FB">
            <w:pPr>
              <w:widowControl/>
              <w:jc w:val="center"/>
              <w:rPr>
                <w:rFonts w:hint="eastAsia" w:ascii="宋体" w:hAnsi="宋体" w:eastAsia="宋体" w:cs="宋体"/>
                <w:kern w:val="0"/>
                <w:szCs w:val="21"/>
              </w:rPr>
            </w:pPr>
            <w:r>
              <w:rPr>
                <w:rFonts w:hint="eastAsia" w:ascii="宋体" w:hAnsi="宋体" w:eastAsia="宋体" w:cs="宋体"/>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4005BC19">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326CE7A1">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2B460D6">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78970E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37C41630">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66D3FA3">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3753C344">
            <w:pPr>
              <w:widowControl/>
              <w:jc w:val="center"/>
              <w:rPr>
                <w:rFonts w:hint="eastAsia" w:ascii="宋体" w:hAnsi="宋体" w:eastAsia="宋体" w:cs="宋体"/>
                <w:kern w:val="0"/>
                <w:szCs w:val="21"/>
              </w:rPr>
            </w:pPr>
          </w:p>
        </w:tc>
      </w:tr>
      <w:tr w14:paraId="41EF8398">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4B2628AA">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8</w:t>
            </w:r>
          </w:p>
        </w:tc>
        <w:tc>
          <w:tcPr>
            <w:tcW w:w="510" w:type="pct"/>
            <w:tcBorders>
              <w:top w:val="nil"/>
              <w:left w:val="nil"/>
              <w:bottom w:val="single" w:color="auto" w:sz="4" w:space="0"/>
              <w:right w:val="single" w:color="auto" w:sz="4" w:space="0"/>
            </w:tcBorders>
            <w:noWrap/>
            <w:vAlign w:val="center"/>
          </w:tcPr>
          <w:p w14:paraId="1BC0346E">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54D446E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7A4DC8D5">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7D227470">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1C711839">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BED6EFB">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4D1C8440">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11E775DB">
            <w:pPr>
              <w:widowControl/>
              <w:jc w:val="center"/>
              <w:rPr>
                <w:rFonts w:hint="eastAsia" w:ascii="宋体" w:hAnsi="宋体" w:eastAsia="宋体" w:cs="宋体"/>
                <w:kern w:val="0"/>
                <w:szCs w:val="21"/>
              </w:rPr>
            </w:pPr>
          </w:p>
        </w:tc>
      </w:tr>
      <w:tr w14:paraId="79629769">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7A37E9D3">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9</w:t>
            </w:r>
          </w:p>
        </w:tc>
        <w:tc>
          <w:tcPr>
            <w:tcW w:w="510" w:type="pct"/>
            <w:tcBorders>
              <w:top w:val="nil"/>
              <w:left w:val="nil"/>
              <w:bottom w:val="single" w:color="auto" w:sz="4" w:space="0"/>
              <w:right w:val="single" w:color="auto" w:sz="4" w:space="0"/>
            </w:tcBorders>
            <w:noWrap/>
            <w:vAlign w:val="center"/>
          </w:tcPr>
          <w:p w14:paraId="7C40DB96">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510" w:type="pct"/>
            <w:tcBorders>
              <w:top w:val="nil"/>
              <w:left w:val="nil"/>
              <w:bottom w:val="single" w:color="auto" w:sz="4" w:space="0"/>
              <w:right w:val="single" w:color="auto" w:sz="4" w:space="0"/>
            </w:tcBorders>
            <w:noWrap/>
            <w:vAlign w:val="center"/>
          </w:tcPr>
          <w:p w14:paraId="5CB67C9C">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DA8180A">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D851BEE">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51CFB3B9">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33BA5402">
            <w:pPr>
              <w:widowControl/>
              <w:jc w:val="center"/>
              <w:rPr>
                <w:rFonts w:hint="eastAsia" w:ascii="宋体" w:hAnsi="宋体" w:eastAsia="宋体" w:cs="宋体"/>
                <w:kern w:val="0"/>
                <w:szCs w:val="21"/>
              </w:rPr>
            </w:pPr>
          </w:p>
        </w:tc>
        <w:tc>
          <w:tcPr>
            <w:tcW w:w="510" w:type="pct"/>
            <w:tcBorders>
              <w:top w:val="nil"/>
              <w:left w:val="nil"/>
              <w:bottom w:val="single" w:color="auto" w:sz="4" w:space="0"/>
              <w:right w:val="single" w:color="auto" w:sz="4" w:space="0"/>
            </w:tcBorders>
            <w:noWrap/>
            <w:vAlign w:val="center"/>
          </w:tcPr>
          <w:p w14:paraId="060FB31E">
            <w:pPr>
              <w:widowControl/>
              <w:jc w:val="center"/>
              <w:rPr>
                <w:rFonts w:hint="eastAsia" w:ascii="宋体" w:hAnsi="宋体" w:eastAsia="宋体" w:cs="宋体"/>
                <w:kern w:val="0"/>
                <w:szCs w:val="21"/>
              </w:rPr>
            </w:pPr>
          </w:p>
        </w:tc>
        <w:tc>
          <w:tcPr>
            <w:tcW w:w="512" w:type="pct"/>
            <w:tcBorders>
              <w:top w:val="nil"/>
              <w:left w:val="nil"/>
              <w:bottom w:val="single" w:color="auto" w:sz="4" w:space="0"/>
              <w:right w:val="single" w:color="auto" w:sz="4" w:space="0"/>
            </w:tcBorders>
            <w:noWrap/>
            <w:vAlign w:val="center"/>
          </w:tcPr>
          <w:p w14:paraId="3BADAAA6">
            <w:pPr>
              <w:widowControl/>
              <w:jc w:val="center"/>
              <w:rPr>
                <w:rFonts w:hint="eastAsia" w:ascii="宋体" w:hAnsi="宋体" w:eastAsia="宋体" w:cs="宋体"/>
                <w:kern w:val="0"/>
                <w:szCs w:val="21"/>
              </w:rPr>
            </w:pPr>
          </w:p>
        </w:tc>
      </w:tr>
    </w:tbl>
    <w:p w14:paraId="4DA28405">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三、课程内容及要求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25F3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11644FEA">
            <w:pPr>
              <w:jc w:val="center"/>
              <w:rPr>
                <w:rFonts w:hint="eastAsia" w:ascii="宋体" w:hAnsi="宋体" w:eastAsia="宋体" w:cs="宋体"/>
                <w:b/>
                <w:bCs/>
                <w:szCs w:val="21"/>
              </w:rPr>
            </w:pPr>
            <w:r>
              <w:rPr>
                <w:rFonts w:hint="eastAsia" w:ascii="宋体" w:hAnsi="宋体" w:eastAsia="宋体" w:cs="宋体"/>
                <w:b/>
                <w:bCs/>
                <w:szCs w:val="21"/>
              </w:rPr>
              <w:t>序号</w:t>
            </w:r>
          </w:p>
        </w:tc>
        <w:tc>
          <w:tcPr>
            <w:tcW w:w="1623" w:type="pct"/>
            <w:noWrap w:val="0"/>
            <w:vAlign w:val="center"/>
          </w:tcPr>
          <w:p w14:paraId="05E124B9">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541" w:type="pct"/>
            <w:noWrap w:val="0"/>
            <w:vAlign w:val="center"/>
          </w:tcPr>
          <w:p w14:paraId="12E400EF">
            <w:pPr>
              <w:jc w:val="center"/>
              <w:rPr>
                <w:rFonts w:hint="eastAsia" w:ascii="宋体" w:hAnsi="宋体" w:eastAsia="宋体" w:cs="宋体"/>
                <w:b/>
                <w:bCs/>
                <w:szCs w:val="21"/>
              </w:rPr>
            </w:pPr>
            <w:r>
              <w:rPr>
                <w:rFonts w:hint="eastAsia" w:ascii="宋体" w:hAnsi="宋体" w:eastAsia="宋体" w:cs="宋体"/>
                <w:b/>
                <w:bCs/>
                <w:szCs w:val="21"/>
              </w:rPr>
              <w:t>思政</w:t>
            </w:r>
          </w:p>
          <w:p w14:paraId="2EB00D92">
            <w:pPr>
              <w:jc w:val="center"/>
              <w:rPr>
                <w:rFonts w:hint="eastAsia" w:ascii="宋体" w:hAnsi="宋体" w:eastAsia="宋体" w:cs="宋体"/>
                <w:b/>
                <w:bCs/>
                <w:szCs w:val="21"/>
              </w:rPr>
            </w:pPr>
            <w:r>
              <w:rPr>
                <w:rFonts w:hint="eastAsia" w:ascii="宋体" w:hAnsi="宋体" w:eastAsia="宋体" w:cs="宋体"/>
                <w:b/>
                <w:bCs/>
                <w:szCs w:val="21"/>
              </w:rPr>
              <w:t>元素</w:t>
            </w:r>
          </w:p>
        </w:tc>
        <w:tc>
          <w:tcPr>
            <w:tcW w:w="1160" w:type="pct"/>
            <w:noWrap w:val="0"/>
            <w:vAlign w:val="center"/>
          </w:tcPr>
          <w:p w14:paraId="24F49C34">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386" w:type="pct"/>
            <w:noWrap w:val="0"/>
            <w:vAlign w:val="center"/>
          </w:tcPr>
          <w:p w14:paraId="7788766E">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464" w:type="pct"/>
            <w:noWrap w:val="0"/>
            <w:vAlign w:val="center"/>
          </w:tcPr>
          <w:p w14:paraId="5A2EA15E">
            <w:pPr>
              <w:jc w:val="center"/>
              <w:rPr>
                <w:rFonts w:hint="eastAsia" w:ascii="宋体" w:hAnsi="宋体" w:eastAsia="宋体" w:cs="宋体"/>
                <w:b/>
                <w:bCs/>
                <w:szCs w:val="21"/>
              </w:rPr>
            </w:pPr>
            <w:r>
              <w:rPr>
                <w:rFonts w:hint="eastAsia" w:ascii="宋体" w:hAnsi="宋体" w:eastAsia="宋体" w:cs="宋体"/>
                <w:b/>
                <w:bCs/>
                <w:szCs w:val="21"/>
              </w:rPr>
              <w:t>教学</w:t>
            </w:r>
          </w:p>
          <w:p w14:paraId="35C0C18C">
            <w:pPr>
              <w:jc w:val="center"/>
              <w:rPr>
                <w:rFonts w:hint="eastAsia" w:ascii="宋体" w:hAnsi="宋体" w:eastAsia="宋体" w:cs="宋体"/>
                <w:b/>
                <w:bCs/>
                <w:szCs w:val="21"/>
              </w:rPr>
            </w:pPr>
            <w:r>
              <w:rPr>
                <w:rFonts w:hint="eastAsia" w:ascii="宋体" w:hAnsi="宋体" w:eastAsia="宋体" w:cs="宋体"/>
                <w:b/>
                <w:bCs/>
                <w:szCs w:val="21"/>
              </w:rPr>
              <w:t>方式</w:t>
            </w:r>
          </w:p>
        </w:tc>
        <w:tc>
          <w:tcPr>
            <w:tcW w:w="520" w:type="pct"/>
            <w:noWrap w:val="0"/>
            <w:vAlign w:val="center"/>
          </w:tcPr>
          <w:p w14:paraId="5A7D2E82">
            <w:pPr>
              <w:jc w:val="center"/>
              <w:rPr>
                <w:rFonts w:hint="eastAsia" w:ascii="宋体" w:hAnsi="宋体" w:eastAsia="宋体" w:cs="宋体"/>
                <w:b/>
                <w:bCs/>
                <w:szCs w:val="21"/>
              </w:rPr>
            </w:pPr>
            <w:r>
              <w:rPr>
                <w:rFonts w:hint="eastAsia" w:ascii="宋体" w:hAnsi="宋体" w:eastAsia="宋体" w:cs="宋体"/>
                <w:b/>
                <w:bCs/>
                <w:szCs w:val="21"/>
              </w:rPr>
              <w:t>支撑课程目标</w:t>
            </w:r>
          </w:p>
        </w:tc>
      </w:tr>
      <w:tr w14:paraId="5C37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3A68DC90">
            <w:pPr>
              <w:jc w:val="center"/>
              <w:rPr>
                <w:rFonts w:hint="eastAsia" w:ascii="宋体" w:hAnsi="宋体" w:eastAsia="宋体" w:cs="宋体"/>
                <w:szCs w:val="21"/>
              </w:rPr>
            </w:pPr>
            <w:r>
              <w:rPr>
                <w:rFonts w:hint="eastAsia" w:ascii="宋体" w:hAnsi="宋体" w:eastAsia="宋体" w:cs="宋体"/>
                <w:szCs w:val="21"/>
              </w:rPr>
              <w:t>1</w:t>
            </w:r>
          </w:p>
        </w:tc>
        <w:tc>
          <w:tcPr>
            <w:tcW w:w="1623" w:type="pct"/>
            <w:noWrap w:val="0"/>
            <w:vAlign w:val="center"/>
          </w:tcPr>
          <w:p w14:paraId="295B5E34">
            <w:pPr>
              <w:jc w:val="left"/>
              <w:rPr>
                <w:rFonts w:hint="eastAsia" w:ascii="宋体" w:hAnsi="宋体" w:eastAsia="宋体" w:cs="宋体"/>
                <w:b/>
                <w:szCs w:val="21"/>
              </w:rPr>
            </w:pPr>
            <w:r>
              <w:rPr>
                <w:rFonts w:hint="eastAsia" w:ascii="宋体" w:hAnsi="宋体" w:eastAsia="宋体" w:cs="宋体"/>
                <w:b/>
                <w:szCs w:val="21"/>
              </w:rPr>
              <w:t>㈠体育理论部分:</w:t>
            </w:r>
          </w:p>
          <w:p w14:paraId="51C765DB">
            <w:pPr>
              <w:jc w:val="left"/>
              <w:rPr>
                <w:rFonts w:hint="eastAsia" w:ascii="宋体" w:hAnsi="宋体" w:eastAsia="宋体" w:cs="宋体"/>
                <w:bCs/>
                <w:szCs w:val="22"/>
              </w:rPr>
            </w:pPr>
            <w:r>
              <w:rPr>
                <w:rFonts w:hint="eastAsia" w:ascii="宋体" w:hAnsi="宋体" w:eastAsia="宋体" w:cs="宋体"/>
                <w:bCs/>
                <w:szCs w:val="22"/>
              </w:rPr>
              <w:t>1.学生思想政治教育：我校体育运动发展概况、国家领导人与体育、奥运明星的励志故事、社会主义核心价值观与体育等；</w:t>
            </w:r>
          </w:p>
          <w:p w14:paraId="7E6E346C">
            <w:pPr>
              <w:jc w:val="left"/>
              <w:rPr>
                <w:rFonts w:hint="eastAsia" w:ascii="宋体" w:hAnsi="宋体" w:eastAsia="宋体" w:cs="宋体"/>
                <w:szCs w:val="22"/>
              </w:rPr>
            </w:pPr>
            <w:r>
              <w:rPr>
                <w:rFonts w:hint="eastAsia" w:ascii="宋体" w:hAnsi="宋体" w:eastAsia="宋体" w:cs="宋体"/>
                <w:bCs/>
                <w:szCs w:val="22"/>
              </w:rPr>
              <w:t>2.</w:t>
            </w:r>
            <w:r>
              <w:rPr>
                <w:rFonts w:hint="eastAsia" w:ascii="宋体" w:hAnsi="宋体" w:eastAsia="宋体" w:cs="宋体"/>
                <w:szCs w:val="22"/>
              </w:rPr>
              <w:t>体育安全教育：体育运动伤害事故的安全教育及预防与处理措施、常见运动损伤的预防与处理等；</w:t>
            </w:r>
          </w:p>
          <w:p w14:paraId="07E8C6D1">
            <w:pPr>
              <w:jc w:val="left"/>
              <w:rPr>
                <w:rFonts w:hint="eastAsia" w:ascii="宋体" w:hAnsi="宋体" w:eastAsia="宋体" w:cs="宋体"/>
                <w:szCs w:val="21"/>
              </w:rPr>
            </w:pPr>
            <w:r>
              <w:rPr>
                <w:rFonts w:hint="eastAsia" w:ascii="宋体" w:hAnsi="宋体" w:eastAsia="宋体" w:cs="宋体"/>
                <w:szCs w:val="22"/>
              </w:rPr>
              <w:t>3.体育基本理论：各运动项目的基本技战术知识、组织与竞赛、基本规则和裁判法，运动健身的基本原理与锻炼方法，体育锻炼的自我监督与评价，体育养生与保健知识等；</w:t>
            </w:r>
          </w:p>
          <w:p w14:paraId="10F7AEED">
            <w:pPr>
              <w:ind w:right="-170" w:rightChars="-81"/>
              <w:jc w:val="left"/>
              <w:rPr>
                <w:rFonts w:hint="eastAsia" w:ascii="宋体" w:hAnsi="宋体" w:eastAsia="宋体" w:cs="宋体"/>
                <w:szCs w:val="21"/>
              </w:rPr>
            </w:pPr>
            <w:r>
              <w:rPr>
                <w:rFonts w:hint="eastAsia" w:ascii="宋体" w:hAnsi="宋体" w:eastAsia="宋体" w:cs="宋体"/>
                <w:b/>
                <w:szCs w:val="21"/>
              </w:rPr>
              <w:t>重点：</w:t>
            </w:r>
            <w:r>
              <w:rPr>
                <w:rFonts w:hint="eastAsia" w:ascii="宋体" w:hAnsi="宋体" w:eastAsia="宋体" w:cs="宋体"/>
                <w:szCs w:val="21"/>
              </w:rPr>
              <w:t>体育安全教育、掌握所学项目的基本知识；</w:t>
            </w:r>
          </w:p>
          <w:p w14:paraId="57C6DDDB">
            <w:pPr>
              <w:jc w:val="left"/>
              <w:rPr>
                <w:rFonts w:hint="eastAsia" w:ascii="宋体" w:hAnsi="宋体" w:eastAsia="宋体" w:cs="宋体"/>
                <w:szCs w:val="21"/>
              </w:rPr>
            </w:pPr>
            <w:r>
              <w:rPr>
                <w:rFonts w:hint="eastAsia" w:ascii="宋体" w:hAnsi="宋体" w:eastAsia="宋体" w:cs="宋体"/>
                <w:b/>
                <w:szCs w:val="21"/>
              </w:rPr>
              <w:t>难点：</w:t>
            </w:r>
            <w:r>
              <w:rPr>
                <w:rFonts w:hint="eastAsia" w:ascii="宋体" w:hAnsi="宋体" w:eastAsia="宋体" w:cs="宋体"/>
                <w:szCs w:val="21"/>
              </w:rPr>
              <w:t>培养学生自主锻炼能力和自觉锻炼意识。</w:t>
            </w:r>
          </w:p>
        </w:tc>
        <w:tc>
          <w:tcPr>
            <w:tcW w:w="541" w:type="pct"/>
            <w:noWrap w:val="0"/>
            <w:vAlign w:val="center"/>
          </w:tcPr>
          <w:p w14:paraId="3A2BE12F">
            <w:pPr>
              <w:jc w:val="center"/>
              <w:rPr>
                <w:rFonts w:hint="eastAsia" w:ascii="宋体" w:hAnsi="宋体" w:eastAsia="宋体" w:cs="宋体"/>
                <w:kern w:val="0"/>
                <w:szCs w:val="21"/>
              </w:rPr>
            </w:pPr>
            <w:r>
              <w:rPr>
                <w:rFonts w:hint="eastAsia" w:ascii="宋体" w:hAnsi="宋体" w:eastAsia="宋体" w:cs="宋体"/>
                <w:kern w:val="0"/>
                <w:szCs w:val="21"/>
              </w:rPr>
              <w:t xml:space="preserve">理想信念、国家认同和社会主义核心价值观等教育；安全意识、健康意识教育； </w:t>
            </w:r>
          </w:p>
        </w:tc>
        <w:tc>
          <w:tcPr>
            <w:tcW w:w="1160" w:type="pct"/>
            <w:noWrap w:val="0"/>
            <w:vAlign w:val="center"/>
          </w:tcPr>
          <w:p w14:paraId="6B695B1D">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通过学习，进一步巩固和提高学生对体育的正确认识，形成正确积极的体育态度，学会运用科学理论指导健身锻炼实际，从而自觉遵循体育运动的规律，实现体育锻炼的目的。</w:t>
            </w:r>
          </w:p>
        </w:tc>
        <w:tc>
          <w:tcPr>
            <w:tcW w:w="386" w:type="pct"/>
            <w:noWrap w:val="0"/>
            <w:vAlign w:val="center"/>
          </w:tcPr>
          <w:p w14:paraId="4466023D">
            <w:pPr>
              <w:jc w:val="center"/>
              <w:rPr>
                <w:rFonts w:hint="eastAsia" w:ascii="宋体" w:hAnsi="宋体" w:eastAsia="宋体" w:cs="宋体"/>
                <w:szCs w:val="21"/>
              </w:rPr>
            </w:pPr>
            <w:r>
              <w:rPr>
                <w:rFonts w:hint="eastAsia" w:ascii="宋体" w:hAnsi="宋体" w:eastAsia="宋体" w:cs="宋体"/>
                <w:szCs w:val="21"/>
              </w:rPr>
              <w:t>2</w:t>
            </w:r>
          </w:p>
        </w:tc>
        <w:tc>
          <w:tcPr>
            <w:tcW w:w="464" w:type="pct"/>
            <w:noWrap w:val="0"/>
            <w:vAlign w:val="center"/>
          </w:tcPr>
          <w:p w14:paraId="39EE2876">
            <w:pPr>
              <w:jc w:val="left"/>
              <w:rPr>
                <w:rFonts w:hint="eastAsia" w:ascii="宋体" w:hAnsi="宋体" w:eastAsia="宋体" w:cs="宋体"/>
                <w:szCs w:val="21"/>
              </w:rPr>
            </w:pPr>
            <w:r>
              <w:rPr>
                <w:rFonts w:hint="eastAsia" w:ascii="宋体" w:hAnsi="宋体" w:eastAsia="宋体" w:cs="宋体"/>
                <w:szCs w:val="21"/>
              </w:rPr>
              <w:t>讲授法</w:t>
            </w:r>
          </w:p>
        </w:tc>
        <w:tc>
          <w:tcPr>
            <w:tcW w:w="520" w:type="pct"/>
            <w:noWrap w:val="0"/>
            <w:vAlign w:val="center"/>
          </w:tcPr>
          <w:p w14:paraId="5B1328FE">
            <w:pPr>
              <w:jc w:val="left"/>
              <w:rPr>
                <w:rFonts w:hint="eastAsia" w:ascii="宋体" w:hAnsi="宋体" w:eastAsia="宋体" w:cs="宋体"/>
                <w:szCs w:val="21"/>
              </w:rPr>
            </w:pPr>
            <w:r>
              <w:rPr>
                <w:rFonts w:hint="eastAsia" w:ascii="宋体" w:hAnsi="宋体" w:eastAsia="宋体" w:cs="宋体"/>
                <w:szCs w:val="21"/>
              </w:rPr>
              <w:t>目标1目标2</w:t>
            </w:r>
          </w:p>
        </w:tc>
      </w:tr>
      <w:tr w14:paraId="51C8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8" w:hRule="atLeast"/>
          <w:jc w:val="center"/>
        </w:trPr>
        <w:tc>
          <w:tcPr>
            <w:tcW w:w="306" w:type="pct"/>
            <w:noWrap w:val="0"/>
            <w:vAlign w:val="center"/>
          </w:tcPr>
          <w:p w14:paraId="1B02E8A3">
            <w:pPr>
              <w:jc w:val="center"/>
              <w:rPr>
                <w:rFonts w:hint="eastAsia" w:ascii="宋体" w:hAnsi="宋体" w:eastAsia="宋体" w:cs="宋体"/>
                <w:szCs w:val="21"/>
              </w:rPr>
            </w:pPr>
            <w:r>
              <w:rPr>
                <w:rFonts w:hint="eastAsia" w:ascii="宋体" w:hAnsi="宋体" w:eastAsia="宋体" w:cs="宋体"/>
                <w:szCs w:val="21"/>
              </w:rPr>
              <w:t>2</w:t>
            </w:r>
          </w:p>
        </w:tc>
        <w:tc>
          <w:tcPr>
            <w:tcW w:w="1623" w:type="pct"/>
            <w:noWrap w:val="0"/>
            <w:vAlign w:val="center"/>
          </w:tcPr>
          <w:p w14:paraId="7ED90C58">
            <w:pPr>
              <w:jc w:val="left"/>
              <w:rPr>
                <w:rFonts w:hint="eastAsia" w:ascii="宋体" w:hAnsi="宋体" w:eastAsia="宋体" w:cs="宋体"/>
                <w:b/>
                <w:szCs w:val="21"/>
              </w:rPr>
            </w:pPr>
            <w:r>
              <w:rPr>
                <w:rFonts w:hint="eastAsia" w:ascii="宋体" w:hAnsi="宋体" w:eastAsia="宋体" w:cs="宋体"/>
                <w:b/>
                <w:szCs w:val="21"/>
              </w:rPr>
              <w:t>㈡实践部分：</w:t>
            </w:r>
          </w:p>
          <w:p w14:paraId="3CE35E16">
            <w:pPr>
              <w:rPr>
                <w:rFonts w:hint="eastAsia" w:ascii="宋体" w:hAnsi="宋体" w:eastAsia="宋体" w:cs="宋体"/>
                <w:bCs/>
                <w:szCs w:val="22"/>
              </w:rPr>
            </w:pPr>
            <w:r>
              <w:rPr>
                <w:rFonts w:hint="eastAsia" w:ascii="宋体" w:hAnsi="宋体" w:eastAsia="宋体" w:cs="宋体"/>
                <w:bCs/>
                <w:szCs w:val="22"/>
              </w:rPr>
              <w:t>各类体育活动和国家学生体质健康标准测试项目为主，主要包括体质测试、早锻炼、学生课外健身活动以及校级、院级和体育社团组织的各种体育比赛活动等。</w:t>
            </w:r>
          </w:p>
          <w:p w14:paraId="402D9E82">
            <w:pPr>
              <w:rPr>
                <w:rFonts w:hint="eastAsia" w:ascii="宋体" w:hAnsi="宋体" w:eastAsia="宋体" w:cs="宋体"/>
                <w:bCs/>
                <w:szCs w:val="22"/>
              </w:rPr>
            </w:pPr>
            <w:r>
              <w:rPr>
                <w:rFonts w:hint="eastAsia" w:ascii="宋体" w:hAnsi="宋体" w:eastAsia="宋体" w:cs="宋体"/>
                <w:b/>
                <w:bCs/>
                <w:szCs w:val="22"/>
              </w:rPr>
              <w:t>重点：</w:t>
            </w:r>
            <w:r>
              <w:rPr>
                <w:rFonts w:hint="eastAsia" w:ascii="宋体" w:hAnsi="宋体" w:eastAsia="宋体" w:cs="宋体"/>
                <w:bCs/>
                <w:szCs w:val="22"/>
              </w:rPr>
              <w:t>编制可行的个人体育锻炼计划并积极实践。</w:t>
            </w:r>
          </w:p>
          <w:p w14:paraId="611057B8">
            <w:pPr>
              <w:rPr>
                <w:rFonts w:hint="eastAsia" w:ascii="宋体" w:hAnsi="宋体" w:eastAsia="宋体" w:cs="宋体"/>
                <w:bCs/>
                <w:szCs w:val="22"/>
              </w:rPr>
            </w:pPr>
            <w:r>
              <w:rPr>
                <w:rFonts w:hint="eastAsia" w:ascii="宋体" w:hAnsi="宋体" w:eastAsia="宋体" w:cs="宋体"/>
                <w:b/>
                <w:bCs/>
                <w:szCs w:val="22"/>
              </w:rPr>
              <w:t>难点：</w:t>
            </w:r>
            <w:r>
              <w:rPr>
                <w:rFonts w:hint="eastAsia" w:ascii="宋体" w:hAnsi="宋体" w:eastAsia="宋体" w:cs="宋体"/>
                <w:bCs/>
                <w:szCs w:val="22"/>
              </w:rPr>
              <w:t>全面发展体能，完成体质健康标准测试。</w:t>
            </w:r>
          </w:p>
        </w:tc>
        <w:tc>
          <w:tcPr>
            <w:tcW w:w="541" w:type="pct"/>
            <w:noWrap w:val="0"/>
            <w:vAlign w:val="center"/>
          </w:tcPr>
          <w:p w14:paraId="3DEDFF8C">
            <w:pPr>
              <w:widowControl/>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kern w:val="0"/>
                <w:szCs w:val="21"/>
              </w:rPr>
              <w:t>爱国主义和集体主义教育；体育道德观、意志品德培育；规则意识和诚信意识教育。</w:t>
            </w:r>
          </w:p>
        </w:tc>
        <w:tc>
          <w:tcPr>
            <w:tcW w:w="1160" w:type="pct"/>
            <w:noWrap w:val="0"/>
            <w:vAlign w:val="center"/>
          </w:tcPr>
          <w:p w14:paraId="6AC31DE3">
            <w:pPr>
              <w:spacing w:before="180" w:beforeLines="50" w:after="180" w:afterLines="50" w:line="360" w:lineRule="exact"/>
              <w:ind w:firstLine="420" w:firstLineChars="200"/>
              <w:jc w:val="left"/>
              <w:rPr>
                <w:rFonts w:hint="eastAsia" w:ascii="宋体" w:hAnsi="宋体" w:eastAsia="宋体" w:cs="宋体"/>
                <w:szCs w:val="21"/>
              </w:rPr>
            </w:pPr>
            <w:r>
              <w:rPr>
                <w:rFonts w:hint="eastAsia" w:ascii="宋体" w:hAnsi="宋体" w:eastAsia="宋体" w:cs="宋体"/>
                <w:szCs w:val="21"/>
              </w:rPr>
              <w:t>通过课外实践，使学生巩固课内学习效果，掌握科学锻炼的基础知识、基本技能和有效方法，</w:t>
            </w:r>
            <w:r>
              <w:rPr>
                <w:rFonts w:hint="eastAsia" w:ascii="宋体" w:hAnsi="宋体" w:eastAsia="宋体" w:cs="宋体"/>
                <w:kern w:val="0"/>
                <w:szCs w:val="21"/>
              </w:rPr>
              <w:t>发展身体素质</w:t>
            </w:r>
            <w:r>
              <w:rPr>
                <w:rFonts w:hint="eastAsia" w:ascii="宋体" w:hAnsi="宋体" w:eastAsia="宋体" w:cs="宋体"/>
                <w:szCs w:val="21"/>
              </w:rPr>
              <w:t>；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宋体" w:hAnsi="宋体" w:eastAsia="宋体" w:cs="宋体"/>
                <w:kern w:val="0"/>
                <w:szCs w:val="21"/>
              </w:rPr>
              <w:t>。</w:t>
            </w:r>
          </w:p>
        </w:tc>
        <w:tc>
          <w:tcPr>
            <w:tcW w:w="386" w:type="pct"/>
            <w:noWrap w:val="0"/>
            <w:vAlign w:val="center"/>
          </w:tcPr>
          <w:p w14:paraId="0C46C764">
            <w:pPr>
              <w:jc w:val="center"/>
              <w:rPr>
                <w:rFonts w:hint="eastAsia" w:ascii="宋体" w:hAnsi="宋体" w:eastAsia="宋体" w:cs="宋体"/>
                <w:szCs w:val="21"/>
              </w:rPr>
            </w:pPr>
            <w:r>
              <w:rPr>
                <w:rFonts w:hint="eastAsia" w:ascii="宋体" w:hAnsi="宋体" w:eastAsia="宋体" w:cs="宋体"/>
                <w:szCs w:val="21"/>
              </w:rPr>
              <w:t>16</w:t>
            </w:r>
          </w:p>
        </w:tc>
        <w:tc>
          <w:tcPr>
            <w:tcW w:w="464" w:type="pct"/>
            <w:noWrap w:val="0"/>
            <w:vAlign w:val="center"/>
          </w:tcPr>
          <w:p w14:paraId="30AEC2B2">
            <w:pPr>
              <w:rPr>
                <w:rFonts w:hint="eastAsia" w:ascii="宋体" w:hAnsi="宋体" w:eastAsia="宋体" w:cs="宋体"/>
                <w:szCs w:val="21"/>
              </w:rPr>
            </w:pPr>
            <w:r>
              <w:rPr>
                <w:rFonts w:hint="eastAsia" w:ascii="宋体" w:hAnsi="宋体" w:eastAsia="宋体" w:cs="宋体"/>
                <w:szCs w:val="21"/>
              </w:rPr>
              <w:t>讲授、演示、练习法等</w:t>
            </w:r>
          </w:p>
        </w:tc>
        <w:tc>
          <w:tcPr>
            <w:tcW w:w="520" w:type="pct"/>
            <w:noWrap w:val="0"/>
            <w:vAlign w:val="center"/>
          </w:tcPr>
          <w:p w14:paraId="0395270F">
            <w:pPr>
              <w:jc w:val="left"/>
              <w:rPr>
                <w:rFonts w:hint="eastAsia" w:ascii="宋体" w:hAnsi="宋体" w:eastAsia="宋体" w:cs="宋体"/>
                <w:szCs w:val="21"/>
              </w:rPr>
            </w:pPr>
            <w:r>
              <w:rPr>
                <w:rFonts w:hint="eastAsia" w:ascii="宋体" w:hAnsi="宋体" w:eastAsia="宋体" w:cs="宋体"/>
                <w:szCs w:val="21"/>
              </w:rPr>
              <w:t>目标1</w:t>
            </w:r>
          </w:p>
          <w:p w14:paraId="4A3D1786">
            <w:pPr>
              <w:jc w:val="left"/>
              <w:rPr>
                <w:rFonts w:hint="eastAsia" w:ascii="宋体" w:hAnsi="宋体" w:eastAsia="宋体" w:cs="宋体"/>
                <w:szCs w:val="21"/>
              </w:rPr>
            </w:pPr>
            <w:r>
              <w:rPr>
                <w:rFonts w:hint="eastAsia" w:ascii="宋体" w:hAnsi="宋体" w:eastAsia="宋体" w:cs="宋体"/>
                <w:szCs w:val="21"/>
              </w:rPr>
              <w:t>目标2</w:t>
            </w:r>
          </w:p>
        </w:tc>
      </w:tr>
    </w:tbl>
    <w:p w14:paraId="29F9333B">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四、课程实施</w:t>
      </w:r>
    </w:p>
    <w:p w14:paraId="125CA674">
      <w:pPr>
        <w:spacing w:before="180" w:beforeLines="50" w:after="180" w:afterLines="50" w:line="360" w:lineRule="exact"/>
        <w:ind w:firstLine="482" w:firstLineChars="200"/>
        <w:jc w:val="left"/>
        <w:rPr>
          <w:rFonts w:hint="eastAsia" w:ascii="宋体" w:hAnsi="宋体" w:eastAsia="宋体" w:cs="宋体"/>
          <w:b/>
          <w:sz w:val="24"/>
          <w:szCs w:val="22"/>
        </w:rPr>
      </w:pPr>
      <w:r>
        <w:rPr>
          <w:rFonts w:hint="eastAsia" w:ascii="宋体" w:hAnsi="宋体" w:eastAsia="宋体" w:cs="宋体"/>
          <w:b/>
          <w:sz w:val="24"/>
          <w:szCs w:val="22"/>
        </w:rPr>
        <w:t>（一）方法与手段</w:t>
      </w:r>
    </w:p>
    <w:p w14:paraId="20C58446">
      <w:pPr>
        <w:spacing w:before="180" w:beforeLines="50" w:after="180" w:afterLines="50" w:line="360" w:lineRule="exact"/>
        <w:ind w:firstLine="480" w:firstLineChars="200"/>
        <w:jc w:val="left"/>
        <w:rPr>
          <w:rFonts w:hint="eastAsia" w:ascii="宋体" w:hAnsi="宋体" w:eastAsia="宋体" w:cs="宋体"/>
          <w:sz w:val="24"/>
          <w:szCs w:val="22"/>
        </w:rPr>
      </w:pPr>
      <w:r>
        <w:rPr>
          <w:rFonts w:hint="eastAsia" w:ascii="宋体" w:hAnsi="宋体" w:eastAsia="宋体" w:cs="宋体"/>
          <w:sz w:val="24"/>
          <w:szCs w:val="22"/>
        </w:rPr>
        <w:t>采用线上+线下、自主锻炼、体质测试和课外体育俱乐部等组织形式。</w:t>
      </w:r>
    </w:p>
    <w:p w14:paraId="5CABC514">
      <w:pPr>
        <w:spacing w:line="360" w:lineRule="auto"/>
        <w:ind w:firstLine="482" w:firstLineChars="200"/>
        <w:rPr>
          <w:rFonts w:hint="eastAsia" w:ascii="宋体" w:hAnsi="宋体" w:eastAsia="宋体" w:cs="宋体"/>
          <w:b/>
          <w:sz w:val="24"/>
          <w:szCs w:val="22"/>
        </w:rPr>
      </w:pPr>
      <w:r>
        <w:rPr>
          <w:rFonts w:hint="eastAsia" w:ascii="宋体" w:hAnsi="宋体" w:eastAsia="宋体" w:cs="宋体"/>
          <w:b/>
          <w:sz w:val="24"/>
          <w:szCs w:val="22"/>
        </w:rPr>
        <w:t>（二）课程实施与保障</w:t>
      </w:r>
    </w:p>
    <w:tbl>
      <w:tblPr>
        <w:tblStyle w:val="1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0AFE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4A7012F0">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主要环节</w:t>
            </w:r>
          </w:p>
        </w:tc>
        <w:tc>
          <w:tcPr>
            <w:tcW w:w="6640" w:type="dxa"/>
            <w:tcBorders>
              <w:top w:val="single" w:color="auto" w:sz="8" w:space="0"/>
              <w:left w:val="single" w:color="auto" w:sz="8" w:space="0"/>
              <w:right w:val="single" w:color="auto" w:sz="8" w:space="0"/>
            </w:tcBorders>
            <w:noWrap w:val="0"/>
            <w:vAlign w:val="center"/>
          </w:tcPr>
          <w:p w14:paraId="2E246447">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质量要求</w:t>
            </w:r>
          </w:p>
        </w:tc>
      </w:tr>
      <w:tr w14:paraId="125D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1699BFCB">
            <w:pPr>
              <w:spacing w:line="276" w:lineRule="auto"/>
              <w:jc w:val="center"/>
              <w:rPr>
                <w:rFonts w:hint="eastAsia" w:ascii="宋体" w:hAnsi="宋体" w:eastAsia="宋体" w:cs="宋体"/>
                <w:sz w:val="24"/>
                <w:szCs w:val="22"/>
              </w:rPr>
            </w:pPr>
            <w:r>
              <w:rPr>
                <w:rFonts w:hint="eastAsia" w:ascii="宋体" w:hAnsi="宋体" w:eastAsia="宋体" w:cs="宋体"/>
                <w:sz w:val="24"/>
                <w:szCs w:val="22"/>
              </w:rPr>
              <w:t>1</w:t>
            </w:r>
          </w:p>
        </w:tc>
        <w:tc>
          <w:tcPr>
            <w:tcW w:w="1252" w:type="dxa"/>
            <w:noWrap w:val="0"/>
            <w:tcMar>
              <w:left w:w="28" w:type="dxa"/>
              <w:right w:w="28" w:type="dxa"/>
            </w:tcMar>
            <w:vAlign w:val="center"/>
          </w:tcPr>
          <w:p w14:paraId="3E33C31A">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课外锻炼</w:t>
            </w:r>
          </w:p>
        </w:tc>
        <w:tc>
          <w:tcPr>
            <w:tcW w:w="6640" w:type="dxa"/>
            <w:tcBorders>
              <w:right w:val="single" w:color="auto" w:sz="8" w:space="0"/>
            </w:tcBorders>
            <w:noWrap w:val="0"/>
            <w:vAlign w:val="center"/>
          </w:tcPr>
          <w:p w14:paraId="18033F27">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学生利用课余时间通过参加体质测试、早锻炼、课外健身活动以及校级、院级和体育社团组织的各种体育比赛等活动，巩固课内学习效果，提高身体素质，培养学生自我锻炼意识和习惯。</w:t>
            </w:r>
          </w:p>
        </w:tc>
      </w:tr>
      <w:tr w14:paraId="57AB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0C23CB19">
            <w:pPr>
              <w:spacing w:line="276" w:lineRule="auto"/>
              <w:jc w:val="center"/>
              <w:rPr>
                <w:rFonts w:hint="eastAsia" w:ascii="宋体" w:hAnsi="宋体" w:eastAsia="宋体" w:cs="宋体"/>
                <w:sz w:val="24"/>
                <w:szCs w:val="22"/>
              </w:rPr>
            </w:pPr>
            <w:r>
              <w:rPr>
                <w:rFonts w:hint="eastAsia" w:ascii="宋体" w:hAnsi="宋体" w:eastAsia="宋体" w:cs="宋体"/>
                <w:sz w:val="24"/>
                <w:szCs w:val="22"/>
              </w:rPr>
              <w:t>2</w:t>
            </w:r>
          </w:p>
        </w:tc>
        <w:tc>
          <w:tcPr>
            <w:tcW w:w="1252" w:type="dxa"/>
            <w:noWrap w:val="0"/>
            <w:tcMar>
              <w:left w:w="28" w:type="dxa"/>
              <w:right w:w="28" w:type="dxa"/>
            </w:tcMar>
            <w:vAlign w:val="center"/>
          </w:tcPr>
          <w:p w14:paraId="1DB96AE6">
            <w:pPr>
              <w:spacing w:line="276" w:lineRule="auto"/>
              <w:jc w:val="center"/>
              <w:rPr>
                <w:rFonts w:hint="eastAsia" w:ascii="宋体" w:hAnsi="宋体" w:eastAsia="宋体" w:cs="宋体"/>
                <w:sz w:val="24"/>
                <w:szCs w:val="22"/>
              </w:rPr>
            </w:pPr>
            <w:r>
              <w:rPr>
                <w:rFonts w:hint="eastAsia" w:ascii="宋体" w:hAnsi="宋体" w:eastAsia="宋体" w:cs="宋体"/>
                <w:sz w:val="24"/>
                <w:szCs w:val="22"/>
              </w:rPr>
              <w:t>成绩考核</w:t>
            </w:r>
          </w:p>
        </w:tc>
        <w:tc>
          <w:tcPr>
            <w:tcW w:w="6640" w:type="dxa"/>
            <w:tcBorders>
              <w:right w:val="single" w:color="auto" w:sz="8" w:space="0"/>
            </w:tcBorders>
            <w:noWrap w:val="0"/>
            <w:vAlign w:val="center"/>
          </w:tcPr>
          <w:p w14:paraId="6C116D46">
            <w:pPr>
              <w:autoSpaceDE w:val="0"/>
              <w:autoSpaceDN w:val="0"/>
              <w:adjustRightInd w:val="0"/>
              <w:snapToGrid w:val="0"/>
              <w:spacing w:line="32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本课程考核的方式：以学生参加课外体育活动的考勤次数为依据。总评成绩的评定见《学生参加课外体育活动成绩评定标准》。</w:t>
            </w:r>
          </w:p>
        </w:tc>
      </w:tr>
    </w:tbl>
    <w:p w14:paraId="1CFFEB72">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五、课程考核</w:t>
      </w:r>
    </w:p>
    <w:p w14:paraId="1503840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一）课程考核以学生参加课外体育活动的考勤次数为依据，制定学生参加课外体育活动成绩评定标准。主要包括晨跑、课外自主健身跑、健身辅导站、体育社团或单项协会健身活动和校级、院级、体育社团组织的体育竞赛活动等。</w:t>
      </w:r>
    </w:p>
    <w:p w14:paraId="58C907C9">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（二）学生课外体育活动成绩评定标准。</w:t>
      </w:r>
    </w:p>
    <w:p w14:paraId="21F94826">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学生参加课外体育活动成绩评定标准（百分制）</w:t>
      </w:r>
    </w:p>
    <w:tbl>
      <w:tblPr>
        <w:tblStyle w:val="1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0"/>
        <w:gridCol w:w="762"/>
        <w:gridCol w:w="760"/>
        <w:gridCol w:w="762"/>
        <w:gridCol w:w="760"/>
        <w:gridCol w:w="762"/>
        <w:gridCol w:w="761"/>
        <w:gridCol w:w="763"/>
        <w:gridCol w:w="763"/>
      </w:tblGrid>
      <w:tr w14:paraId="0889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2D754C43">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考勤次数</w:t>
            </w:r>
          </w:p>
        </w:tc>
        <w:tc>
          <w:tcPr>
            <w:tcW w:w="446" w:type="pct"/>
            <w:noWrap w:val="0"/>
            <w:vAlign w:val="center"/>
          </w:tcPr>
          <w:p w14:paraId="0474A8FA">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0</w:t>
            </w:r>
          </w:p>
        </w:tc>
        <w:tc>
          <w:tcPr>
            <w:tcW w:w="447" w:type="pct"/>
            <w:noWrap w:val="0"/>
            <w:vAlign w:val="center"/>
          </w:tcPr>
          <w:p w14:paraId="1C7E84AA">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5</w:t>
            </w:r>
          </w:p>
        </w:tc>
        <w:tc>
          <w:tcPr>
            <w:tcW w:w="446" w:type="pct"/>
            <w:noWrap w:val="0"/>
            <w:vAlign w:val="center"/>
          </w:tcPr>
          <w:p w14:paraId="2FD4B9FF">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10</w:t>
            </w:r>
          </w:p>
        </w:tc>
        <w:tc>
          <w:tcPr>
            <w:tcW w:w="447" w:type="pct"/>
            <w:noWrap w:val="0"/>
            <w:vAlign w:val="center"/>
          </w:tcPr>
          <w:p w14:paraId="1CDF134A">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15</w:t>
            </w:r>
          </w:p>
        </w:tc>
        <w:tc>
          <w:tcPr>
            <w:tcW w:w="446" w:type="pct"/>
            <w:noWrap w:val="0"/>
            <w:vAlign w:val="center"/>
          </w:tcPr>
          <w:p w14:paraId="60D8DA23">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20</w:t>
            </w:r>
          </w:p>
        </w:tc>
        <w:tc>
          <w:tcPr>
            <w:tcW w:w="447" w:type="pct"/>
            <w:noWrap w:val="0"/>
            <w:vAlign w:val="center"/>
          </w:tcPr>
          <w:p w14:paraId="2C70B201">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25</w:t>
            </w:r>
          </w:p>
        </w:tc>
        <w:tc>
          <w:tcPr>
            <w:tcW w:w="446" w:type="pct"/>
            <w:noWrap w:val="0"/>
            <w:vAlign w:val="center"/>
          </w:tcPr>
          <w:p w14:paraId="7BDF0B19">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30</w:t>
            </w:r>
          </w:p>
        </w:tc>
        <w:tc>
          <w:tcPr>
            <w:tcW w:w="447" w:type="pct"/>
            <w:noWrap w:val="0"/>
            <w:vAlign w:val="center"/>
          </w:tcPr>
          <w:p w14:paraId="5A0A90AF">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35</w:t>
            </w:r>
          </w:p>
        </w:tc>
        <w:tc>
          <w:tcPr>
            <w:tcW w:w="447" w:type="pct"/>
            <w:noWrap w:val="0"/>
            <w:vAlign w:val="center"/>
          </w:tcPr>
          <w:p w14:paraId="6ED692E6">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40</w:t>
            </w:r>
          </w:p>
        </w:tc>
      </w:tr>
      <w:tr w14:paraId="3186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2624EED4">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成绩</w:t>
            </w:r>
          </w:p>
        </w:tc>
        <w:tc>
          <w:tcPr>
            <w:tcW w:w="446" w:type="pct"/>
            <w:noWrap w:val="0"/>
            <w:vAlign w:val="center"/>
          </w:tcPr>
          <w:p w14:paraId="5CA24D66">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0</w:t>
            </w:r>
          </w:p>
        </w:tc>
        <w:tc>
          <w:tcPr>
            <w:tcW w:w="447" w:type="pct"/>
            <w:noWrap w:val="0"/>
            <w:vAlign w:val="center"/>
          </w:tcPr>
          <w:p w14:paraId="09BB1576">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12.5</w:t>
            </w:r>
          </w:p>
        </w:tc>
        <w:tc>
          <w:tcPr>
            <w:tcW w:w="446" w:type="pct"/>
            <w:noWrap w:val="0"/>
            <w:vAlign w:val="center"/>
          </w:tcPr>
          <w:p w14:paraId="30ACC52E">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25</w:t>
            </w:r>
          </w:p>
        </w:tc>
        <w:tc>
          <w:tcPr>
            <w:tcW w:w="447" w:type="pct"/>
            <w:noWrap w:val="0"/>
            <w:vAlign w:val="center"/>
          </w:tcPr>
          <w:p w14:paraId="14992AB5">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37.5</w:t>
            </w:r>
          </w:p>
        </w:tc>
        <w:tc>
          <w:tcPr>
            <w:tcW w:w="446" w:type="pct"/>
            <w:noWrap w:val="0"/>
            <w:vAlign w:val="center"/>
          </w:tcPr>
          <w:p w14:paraId="4469BD85">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50</w:t>
            </w:r>
          </w:p>
        </w:tc>
        <w:tc>
          <w:tcPr>
            <w:tcW w:w="447" w:type="pct"/>
            <w:noWrap w:val="0"/>
            <w:vAlign w:val="center"/>
          </w:tcPr>
          <w:p w14:paraId="3BFF630D">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62.5</w:t>
            </w:r>
          </w:p>
        </w:tc>
        <w:tc>
          <w:tcPr>
            <w:tcW w:w="446" w:type="pct"/>
            <w:noWrap w:val="0"/>
            <w:vAlign w:val="center"/>
          </w:tcPr>
          <w:p w14:paraId="29C3C9B7">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75</w:t>
            </w:r>
          </w:p>
        </w:tc>
        <w:tc>
          <w:tcPr>
            <w:tcW w:w="447" w:type="pct"/>
            <w:noWrap w:val="0"/>
            <w:vAlign w:val="center"/>
          </w:tcPr>
          <w:p w14:paraId="02DA5A9F">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87.5</w:t>
            </w:r>
          </w:p>
        </w:tc>
        <w:tc>
          <w:tcPr>
            <w:tcW w:w="447" w:type="pct"/>
            <w:noWrap w:val="0"/>
            <w:vAlign w:val="center"/>
          </w:tcPr>
          <w:p w14:paraId="2FA63A15">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100</w:t>
            </w:r>
          </w:p>
        </w:tc>
      </w:tr>
    </w:tbl>
    <w:p w14:paraId="79BF5A6E">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六、有关说明</w:t>
      </w:r>
    </w:p>
    <w:p w14:paraId="730A531B">
      <w:pPr>
        <w:spacing w:line="360" w:lineRule="auto"/>
        <w:ind w:firstLine="482" w:firstLineChars="200"/>
        <w:rPr>
          <w:rFonts w:hint="eastAsia" w:ascii="宋体" w:hAnsi="宋体" w:eastAsia="宋体" w:cs="宋体"/>
          <w:b/>
          <w:color w:val="000000"/>
          <w:sz w:val="24"/>
          <w:szCs w:val="22"/>
        </w:rPr>
      </w:pPr>
      <w:r>
        <w:rPr>
          <w:rFonts w:hint="eastAsia" w:ascii="宋体" w:hAnsi="宋体" w:eastAsia="宋体" w:cs="宋体"/>
          <w:b/>
          <w:color w:val="000000"/>
          <w:sz w:val="24"/>
          <w:szCs w:val="22"/>
        </w:rPr>
        <w:t>（一）持续改进</w:t>
      </w:r>
    </w:p>
    <w:p w14:paraId="4EC90405">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本课程根据学生课外锻炼、体质测试等情况，以及学生、教学督导等反馈，及时对教学中不足之处进行改进，并在下一轮课程教学中整改完善，确保相应毕业要求指标点达成。</w:t>
      </w:r>
    </w:p>
    <w:p w14:paraId="79046202">
      <w:pPr>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color w:val="000000"/>
          <w:sz w:val="24"/>
          <w:szCs w:val="22"/>
        </w:rPr>
        <w:t>（二）教学参考书</w:t>
      </w:r>
    </w:p>
    <w:p w14:paraId="02DBB11D">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1.毛振明.大学体育文化与实技教程[M].沈阳：东北大学出版社，2013.</w:t>
      </w:r>
    </w:p>
    <w:p w14:paraId="4AAEE92F">
      <w:pPr>
        <w:spacing w:line="312" w:lineRule="auto"/>
        <w:rPr>
          <w:rFonts w:hint="eastAsia" w:ascii="宋体" w:hAnsi="宋体" w:eastAsia="宋体" w:cs="宋体"/>
          <w:sz w:val="24"/>
          <w:szCs w:val="22"/>
        </w:rPr>
      </w:pPr>
    </w:p>
    <w:p w14:paraId="7B0B5A14">
      <w:pPr>
        <w:spacing w:line="312" w:lineRule="auto"/>
        <w:rPr>
          <w:rFonts w:hint="eastAsia" w:ascii="宋体" w:hAnsi="宋体" w:eastAsia="宋体" w:cs="宋体"/>
          <w:sz w:val="24"/>
          <w:szCs w:val="22"/>
        </w:rPr>
      </w:pPr>
    </w:p>
    <w:p w14:paraId="2E77C6AD">
      <w:pPr>
        <w:wordWrap w:val="0"/>
        <w:spacing w:line="360" w:lineRule="exact"/>
        <w:jc w:val="right"/>
        <w:rPr>
          <w:rFonts w:hint="eastAsia" w:ascii="宋体" w:hAnsi="宋体" w:eastAsia="宋体" w:cs="宋体"/>
          <w:sz w:val="24"/>
          <w:szCs w:val="22"/>
        </w:rPr>
      </w:pPr>
      <w:r>
        <w:rPr>
          <w:rFonts w:hint="eastAsia" w:ascii="宋体" w:hAnsi="宋体" w:eastAsia="宋体" w:cs="宋体"/>
          <w:sz w:val="24"/>
          <w:szCs w:val="22"/>
        </w:rPr>
        <w:t xml:space="preserve">                                                       执笔人：顾  宏</w:t>
      </w:r>
    </w:p>
    <w:p w14:paraId="644FF02C">
      <w:pPr>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审定人：方曙光</w:t>
      </w:r>
    </w:p>
    <w:p w14:paraId="3DA7CC6E">
      <w:pPr>
        <w:spacing w:line="360" w:lineRule="exact"/>
        <w:jc w:val="right"/>
        <w:rPr>
          <w:rFonts w:hint="eastAsia" w:ascii="宋体" w:hAnsi="宋体" w:eastAsia="宋体" w:cs="宋体"/>
          <w:sz w:val="24"/>
          <w:szCs w:val="22"/>
        </w:rPr>
      </w:pPr>
      <w:r>
        <w:rPr>
          <w:rFonts w:hint="eastAsia" w:ascii="宋体" w:hAnsi="宋体" w:eastAsia="宋体" w:cs="宋体"/>
          <w:sz w:val="24"/>
          <w:szCs w:val="22"/>
        </w:rPr>
        <w:t>批准人：王红福</w:t>
      </w:r>
    </w:p>
    <w:p w14:paraId="0136517F">
      <w:pPr>
        <w:spacing w:line="360" w:lineRule="exact"/>
        <w:ind w:firstLine="480" w:firstLineChars="200"/>
        <w:jc w:val="righ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批准时间：2024年9月1日</w:t>
      </w:r>
    </w:p>
    <w:p w14:paraId="73F72777">
      <w:pPr>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br w:type="page"/>
      </w:r>
    </w:p>
    <w:p w14:paraId="4AC1533F">
      <w:pPr>
        <w:pStyle w:val="2"/>
        <w:bidi w:val="0"/>
        <w:rPr>
          <w:rFonts w:hint="eastAsia"/>
          <w:lang w:val="en-US" w:eastAsia="zh-CN"/>
        </w:rPr>
      </w:pPr>
      <w:bookmarkStart w:id="139" w:name="_Toc1194"/>
      <w:bookmarkStart w:id="140" w:name="_Toc15659"/>
      <w:bookmarkStart w:id="141" w:name="_Toc13720"/>
      <w:bookmarkStart w:id="142" w:name="_Toc28826"/>
      <w:r>
        <w:rPr>
          <w:rFonts w:hint="eastAsia"/>
          <w:lang w:val="en-US" w:eastAsia="zh-CN"/>
        </w:rPr>
        <w:t>《体育Ⅵ》课程教学大纲</w:t>
      </w:r>
      <w:bookmarkEnd w:id="139"/>
      <w:bookmarkEnd w:id="140"/>
      <w:bookmarkEnd w:id="141"/>
      <w:bookmarkEnd w:id="142"/>
    </w:p>
    <w:p w14:paraId="38B427B0">
      <w:pPr>
        <w:pStyle w:val="2"/>
        <w:bidi w:val="0"/>
        <w:rPr>
          <w:rFonts w:hint="eastAsia"/>
          <w:lang w:val="en-US" w:eastAsia="zh-CN"/>
        </w:rPr>
      </w:pPr>
      <w:bookmarkStart w:id="143" w:name="_Toc15857"/>
      <w:bookmarkStart w:id="144" w:name="_Toc9031"/>
      <w:bookmarkStart w:id="145" w:name="_Toc20617"/>
      <w:bookmarkStart w:id="146" w:name="_Toc14398"/>
      <w:bookmarkStart w:id="147" w:name="_Toc22801"/>
      <w:bookmarkStart w:id="148" w:name="_Toc4927"/>
      <w:bookmarkStart w:id="149" w:name="_Toc23332"/>
      <w:r>
        <w:rPr>
          <w:rFonts w:hint="eastAsia"/>
          <w:lang w:val="en-US" w:eastAsia="zh-CN"/>
        </w:rPr>
        <w:t>（Physical  Education Ⅵ）</w:t>
      </w:r>
      <w:bookmarkEnd w:id="143"/>
      <w:bookmarkEnd w:id="144"/>
      <w:bookmarkEnd w:id="145"/>
      <w:bookmarkEnd w:id="146"/>
      <w:bookmarkEnd w:id="147"/>
      <w:bookmarkEnd w:id="148"/>
      <w:bookmarkEnd w:id="149"/>
    </w:p>
    <w:p w14:paraId="46D6ECDC">
      <w:pPr>
        <w:spacing w:line="360" w:lineRule="auto"/>
        <w:ind w:firstLine="551" w:firstLineChars="196"/>
        <w:rPr>
          <w:rFonts w:hint="eastAsia" w:ascii="宋体" w:hAnsi="宋体" w:eastAsia="宋体" w:cs="宋体"/>
          <w:b/>
          <w:sz w:val="28"/>
          <w:szCs w:val="28"/>
        </w:rPr>
      </w:pPr>
      <w:r>
        <w:rPr>
          <w:rFonts w:hint="eastAsia" w:ascii="宋体" w:hAnsi="宋体" w:eastAsia="宋体" w:cs="宋体"/>
          <w:b/>
          <w:sz w:val="28"/>
          <w:szCs w:val="28"/>
        </w:rPr>
        <w:t>一、课程概况</w:t>
      </w:r>
    </w:p>
    <w:p w14:paraId="21A98A2B">
      <w:pPr>
        <w:spacing w:line="360" w:lineRule="auto"/>
        <w:ind w:firstLine="482" w:firstLineChars="200"/>
        <w:rPr>
          <w:rFonts w:hint="eastAsia" w:ascii="宋体" w:hAnsi="宋体" w:eastAsia="宋体" w:cs="宋体"/>
          <w:b/>
          <w:sz w:val="28"/>
          <w:szCs w:val="28"/>
        </w:rPr>
      </w:pPr>
      <w:r>
        <w:rPr>
          <w:rFonts w:hint="eastAsia" w:ascii="宋体" w:hAnsi="宋体" w:eastAsia="宋体" w:cs="宋体"/>
          <w:b/>
          <w:bCs/>
          <w:kern w:val="0"/>
          <w:sz w:val="24"/>
          <w:szCs w:val="22"/>
        </w:rPr>
        <w:t>课程代码</w:t>
      </w:r>
      <w:r>
        <w:rPr>
          <w:rFonts w:hint="eastAsia" w:ascii="宋体" w:hAnsi="宋体" w:eastAsia="宋体" w:cs="宋体"/>
          <w:b/>
          <w:kern w:val="0"/>
          <w:sz w:val="24"/>
          <w:szCs w:val="22"/>
        </w:rPr>
        <w:t>：</w:t>
      </w:r>
      <w:r>
        <w:rPr>
          <w:rFonts w:hint="eastAsia" w:ascii="宋体" w:hAnsi="宋体" w:eastAsia="宋体" w:cs="宋体"/>
          <w:bCs/>
          <w:kern w:val="0"/>
          <w:sz w:val="24"/>
          <w:szCs w:val="22"/>
        </w:rPr>
        <w:t>1103010</w:t>
      </w:r>
    </w:p>
    <w:p w14:paraId="191C3433">
      <w:pPr>
        <w:spacing w:line="360" w:lineRule="auto"/>
        <w:ind w:firstLine="482" w:firstLineChars="200"/>
        <w:rPr>
          <w:rFonts w:hint="eastAsia" w:ascii="宋体" w:hAnsi="宋体" w:eastAsia="宋体" w:cs="宋体"/>
          <w:bCs/>
          <w:kern w:val="0"/>
          <w:sz w:val="24"/>
          <w:szCs w:val="22"/>
        </w:rPr>
      </w:pPr>
      <w:r>
        <w:rPr>
          <w:rFonts w:hint="eastAsia" w:ascii="宋体" w:hAnsi="宋体" w:eastAsia="宋体" w:cs="宋体"/>
          <w:b/>
          <w:bCs/>
          <w:kern w:val="0"/>
          <w:sz w:val="24"/>
          <w:szCs w:val="22"/>
        </w:rPr>
        <w:t>学    分</w:t>
      </w:r>
      <w:r>
        <w:rPr>
          <w:rFonts w:hint="eastAsia" w:ascii="宋体" w:hAnsi="宋体" w:eastAsia="宋体" w:cs="宋体"/>
          <w:b/>
          <w:kern w:val="0"/>
          <w:sz w:val="24"/>
          <w:szCs w:val="22"/>
        </w:rPr>
        <w:t>：</w:t>
      </w:r>
      <w:r>
        <w:rPr>
          <w:rFonts w:hint="eastAsia" w:ascii="宋体" w:hAnsi="宋体" w:eastAsia="宋体" w:cs="宋体"/>
          <w:bCs/>
          <w:kern w:val="0"/>
          <w:sz w:val="24"/>
          <w:szCs w:val="22"/>
        </w:rPr>
        <w:t>0.5</w:t>
      </w:r>
    </w:p>
    <w:p w14:paraId="40CF15C8">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学    时</w:t>
      </w:r>
      <w:r>
        <w:rPr>
          <w:rFonts w:hint="eastAsia" w:ascii="宋体" w:hAnsi="宋体" w:eastAsia="宋体" w:cs="宋体"/>
          <w:b/>
          <w:kern w:val="0"/>
          <w:sz w:val="24"/>
          <w:szCs w:val="22"/>
        </w:rPr>
        <w:t>：</w:t>
      </w:r>
      <w:r>
        <w:rPr>
          <w:rFonts w:hint="eastAsia" w:ascii="宋体" w:hAnsi="宋体" w:eastAsia="宋体" w:cs="宋体"/>
          <w:kern w:val="0"/>
          <w:sz w:val="24"/>
          <w:szCs w:val="22"/>
        </w:rPr>
        <w:t>18</w:t>
      </w:r>
    </w:p>
    <w:p w14:paraId="065B0A85">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先修课程：</w:t>
      </w:r>
      <w:r>
        <w:rPr>
          <w:rFonts w:hint="eastAsia" w:ascii="宋体" w:hAnsi="宋体" w:eastAsia="宋体" w:cs="宋体"/>
          <w:kern w:val="0"/>
          <w:sz w:val="24"/>
          <w:szCs w:val="22"/>
        </w:rPr>
        <w:t>体育选项课</w:t>
      </w:r>
    </w:p>
    <w:p w14:paraId="702464E3">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适用专业</w:t>
      </w:r>
      <w:r>
        <w:rPr>
          <w:rFonts w:hint="eastAsia" w:ascii="宋体" w:hAnsi="宋体" w:eastAsia="宋体" w:cs="宋体"/>
          <w:b/>
          <w:kern w:val="0"/>
          <w:sz w:val="24"/>
          <w:szCs w:val="22"/>
        </w:rPr>
        <w:t>：</w:t>
      </w:r>
      <w:r>
        <w:rPr>
          <w:rFonts w:hint="eastAsia" w:ascii="宋体" w:hAnsi="宋体" w:eastAsia="宋体" w:cs="宋体"/>
          <w:kern w:val="0"/>
          <w:sz w:val="24"/>
          <w:szCs w:val="22"/>
        </w:rPr>
        <w:t xml:space="preserve">全校各专业                        </w:t>
      </w:r>
    </w:p>
    <w:p w14:paraId="4B2628E7">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教    材</w:t>
      </w:r>
      <w:r>
        <w:rPr>
          <w:rFonts w:hint="eastAsia" w:ascii="宋体" w:hAnsi="宋体" w:eastAsia="宋体" w:cs="宋体"/>
          <w:b/>
          <w:kern w:val="0"/>
          <w:sz w:val="24"/>
          <w:szCs w:val="22"/>
        </w:rPr>
        <w:t>：</w:t>
      </w:r>
      <w:r>
        <w:rPr>
          <w:rFonts w:hint="eastAsia" w:ascii="宋体" w:hAnsi="宋体" w:eastAsia="宋体" w:cs="宋体"/>
          <w:kern w:val="0"/>
          <w:sz w:val="24"/>
          <w:szCs w:val="22"/>
        </w:rPr>
        <w:t>《大学体育与健康（微视频版）》，王祥、王红福主编，上海交通大学出版社，出版时间：2021年12月</w:t>
      </w:r>
    </w:p>
    <w:p w14:paraId="4EC3DF88">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课程归口：</w:t>
      </w:r>
      <w:r>
        <w:rPr>
          <w:rFonts w:hint="eastAsia" w:ascii="宋体" w:hAnsi="宋体" w:eastAsia="宋体" w:cs="宋体"/>
          <w:bCs/>
          <w:kern w:val="0"/>
          <w:sz w:val="24"/>
          <w:szCs w:val="22"/>
        </w:rPr>
        <w:t>体育教学部</w:t>
      </w:r>
    </w:p>
    <w:p w14:paraId="01E3EEFB">
      <w:pPr>
        <w:autoSpaceDE w:val="0"/>
        <w:autoSpaceDN w:val="0"/>
        <w:adjustRightInd w:val="0"/>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bCs/>
          <w:kern w:val="0"/>
          <w:sz w:val="24"/>
          <w:szCs w:val="22"/>
        </w:rPr>
        <w:t>课程的性质与任务：</w:t>
      </w:r>
      <w:r>
        <w:rPr>
          <w:rFonts w:hint="eastAsia" w:ascii="宋体" w:hAnsi="宋体" w:eastAsia="宋体" w:cs="宋体"/>
          <w:sz w:val="24"/>
          <w:szCs w:val="22"/>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体质测试和课外体育俱乐部等组织形式作为本课程重要组成部分，从而巩固课内学习效果，培养学生自我锻炼意识和习惯。</w:t>
      </w:r>
    </w:p>
    <w:p w14:paraId="71CCD315">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2E214212">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二、课程目标与毕业要求指标点对应关系</w:t>
      </w:r>
    </w:p>
    <w:p w14:paraId="4965E7D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0262A376">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本课程支撑专业培养方案中毕业要求8、9(不同专业会略有区别，具体见培养方案中的毕业要求实现矩阵)，对应关系如下表所示。</w:t>
      </w:r>
    </w:p>
    <w:tbl>
      <w:tblPr>
        <w:tblStyle w:val="10"/>
        <w:tblW w:w="8454" w:type="dxa"/>
        <w:tblInd w:w="93" w:type="dxa"/>
        <w:tblLayout w:type="autofit"/>
        <w:tblCellMar>
          <w:top w:w="0" w:type="dxa"/>
          <w:left w:w="108" w:type="dxa"/>
          <w:bottom w:w="0" w:type="dxa"/>
          <w:right w:w="108" w:type="dxa"/>
        </w:tblCellMar>
      </w:tblPr>
      <w:tblGrid>
        <w:gridCol w:w="1548"/>
        <w:gridCol w:w="863"/>
        <w:gridCol w:w="863"/>
        <w:gridCol w:w="863"/>
        <w:gridCol w:w="863"/>
        <w:gridCol w:w="863"/>
        <w:gridCol w:w="863"/>
        <w:gridCol w:w="863"/>
        <w:gridCol w:w="865"/>
      </w:tblGrid>
      <w:tr w14:paraId="0D293F78">
        <w:tblPrEx>
          <w:tblCellMar>
            <w:top w:w="0" w:type="dxa"/>
            <w:left w:w="108" w:type="dxa"/>
            <w:bottom w:w="0" w:type="dxa"/>
            <w:right w:w="108" w:type="dxa"/>
          </w:tblCellMar>
        </w:tblPrEx>
        <w:trPr>
          <w:trHeight w:val="490"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16E62418">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p>
          <w:p w14:paraId="302C6B0F">
            <w:pPr>
              <w:widowControl/>
              <w:jc w:val="center"/>
              <w:rPr>
                <w:rFonts w:hint="eastAsia" w:ascii="宋体" w:hAnsi="宋体" w:eastAsia="宋体" w:cs="宋体"/>
                <w:kern w:val="0"/>
                <w:szCs w:val="21"/>
              </w:rPr>
            </w:pPr>
            <w:r>
              <w:rPr>
                <w:rFonts w:hint="eastAsia" w:ascii="宋体" w:hAnsi="宋体" w:eastAsia="宋体" w:cs="宋体"/>
                <w:kern w:val="0"/>
                <w:szCs w:val="21"/>
              </w:rPr>
              <w:t>指标点</w:t>
            </w:r>
          </w:p>
        </w:tc>
        <w:tc>
          <w:tcPr>
            <w:tcW w:w="6906" w:type="dxa"/>
            <w:gridSpan w:val="8"/>
            <w:tcBorders>
              <w:top w:val="single" w:color="auto" w:sz="4" w:space="0"/>
              <w:left w:val="nil"/>
              <w:bottom w:val="single" w:color="auto" w:sz="4" w:space="0"/>
              <w:right w:val="single" w:color="auto" w:sz="4" w:space="0"/>
            </w:tcBorders>
            <w:shd w:val="clear" w:color="auto" w:fill="FFFFFF"/>
            <w:noWrap/>
            <w:vAlign w:val="center"/>
          </w:tcPr>
          <w:p w14:paraId="49938D29">
            <w:pPr>
              <w:widowControl/>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68DADF86">
        <w:tblPrEx>
          <w:tblCellMar>
            <w:top w:w="0" w:type="dxa"/>
            <w:left w:w="108" w:type="dxa"/>
            <w:bottom w:w="0" w:type="dxa"/>
            <w:right w:w="108" w:type="dxa"/>
          </w:tblCellMar>
        </w:tblPrEx>
        <w:trPr>
          <w:trHeight w:val="468"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387AD1">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540E3AE2">
            <w:pPr>
              <w:widowControl/>
              <w:jc w:val="center"/>
              <w:rPr>
                <w:rFonts w:hint="eastAsia" w:ascii="宋体" w:hAnsi="宋体" w:eastAsia="宋体" w:cs="宋体"/>
                <w:kern w:val="0"/>
                <w:szCs w:val="21"/>
              </w:rPr>
            </w:pPr>
            <w:r>
              <w:rPr>
                <w:rFonts w:hint="eastAsia" w:ascii="宋体" w:hAnsi="宋体" w:eastAsia="宋体" w:cs="宋体"/>
                <w:kern w:val="0"/>
                <w:szCs w:val="21"/>
              </w:rPr>
              <w:t>目标1</w:t>
            </w:r>
          </w:p>
        </w:tc>
        <w:tc>
          <w:tcPr>
            <w:tcW w:w="863" w:type="dxa"/>
            <w:tcBorders>
              <w:top w:val="nil"/>
              <w:left w:val="nil"/>
              <w:bottom w:val="single" w:color="auto" w:sz="4" w:space="0"/>
              <w:right w:val="single" w:color="auto" w:sz="4" w:space="0"/>
            </w:tcBorders>
            <w:shd w:val="clear" w:color="auto" w:fill="FFFFFF"/>
            <w:noWrap/>
            <w:vAlign w:val="center"/>
          </w:tcPr>
          <w:p w14:paraId="40D25818">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1AA2D857">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7018F71E">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72BCB347">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67FD2D54">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32900D56">
            <w:pPr>
              <w:widowControl/>
              <w:jc w:val="center"/>
              <w:rPr>
                <w:rFonts w:hint="eastAsia" w:ascii="宋体" w:hAnsi="宋体" w:eastAsia="宋体" w:cs="宋体"/>
                <w:kern w:val="0"/>
                <w:szCs w:val="21"/>
              </w:rPr>
            </w:pPr>
          </w:p>
        </w:tc>
        <w:tc>
          <w:tcPr>
            <w:tcW w:w="865" w:type="dxa"/>
            <w:tcBorders>
              <w:top w:val="nil"/>
              <w:left w:val="nil"/>
              <w:bottom w:val="single" w:color="auto" w:sz="4" w:space="0"/>
              <w:right w:val="single" w:color="auto" w:sz="4" w:space="0"/>
            </w:tcBorders>
            <w:shd w:val="clear" w:color="auto" w:fill="FFFFFF"/>
            <w:noWrap/>
            <w:vAlign w:val="center"/>
          </w:tcPr>
          <w:p w14:paraId="1B8129E3">
            <w:pPr>
              <w:widowControl/>
              <w:jc w:val="center"/>
              <w:rPr>
                <w:rFonts w:hint="eastAsia" w:ascii="宋体" w:hAnsi="宋体" w:eastAsia="宋体" w:cs="宋体"/>
                <w:kern w:val="0"/>
                <w:szCs w:val="21"/>
              </w:rPr>
            </w:pPr>
          </w:p>
        </w:tc>
      </w:tr>
      <w:tr w14:paraId="090B6669">
        <w:tblPrEx>
          <w:tblCellMar>
            <w:top w:w="0" w:type="dxa"/>
            <w:left w:w="108" w:type="dxa"/>
            <w:bottom w:w="0" w:type="dxa"/>
            <w:right w:w="108" w:type="dxa"/>
          </w:tblCellMar>
        </w:tblPrEx>
        <w:trPr>
          <w:trHeight w:val="459" w:hRule="atLeast"/>
        </w:trPr>
        <w:tc>
          <w:tcPr>
            <w:tcW w:w="1548" w:type="dxa"/>
            <w:tcBorders>
              <w:top w:val="nil"/>
              <w:left w:val="single" w:color="auto" w:sz="4" w:space="0"/>
              <w:bottom w:val="single" w:color="auto" w:sz="4" w:space="0"/>
              <w:right w:val="single" w:color="auto" w:sz="4" w:space="0"/>
            </w:tcBorders>
            <w:noWrap/>
            <w:vAlign w:val="center"/>
          </w:tcPr>
          <w:p w14:paraId="4F0E0DB7">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8</w:t>
            </w:r>
          </w:p>
        </w:tc>
        <w:tc>
          <w:tcPr>
            <w:tcW w:w="863" w:type="dxa"/>
            <w:tcBorders>
              <w:top w:val="nil"/>
              <w:left w:val="nil"/>
              <w:bottom w:val="single" w:color="auto" w:sz="4" w:space="0"/>
              <w:right w:val="single" w:color="auto" w:sz="4" w:space="0"/>
            </w:tcBorders>
            <w:noWrap/>
            <w:vAlign w:val="center"/>
          </w:tcPr>
          <w:p w14:paraId="0DE3C5EF">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863" w:type="dxa"/>
            <w:tcBorders>
              <w:top w:val="nil"/>
              <w:left w:val="nil"/>
              <w:bottom w:val="single" w:color="auto" w:sz="4" w:space="0"/>
              <w:right w:val="single" w:color="auto" w:sz="4" w:space="0"/>
            </w:tcBorders>
            <w:noWrap/>
            <w:vAlign w:val="center"/>
          </w:tcPr>
          <w:p w14:paraId="2C69B2B6">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0084E638">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5EDB3E05">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72F8A77B">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360A19BB">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3A052CF1">
            <w:pPr>
              <w:widowControl/>
              <w:jc w:val="center"/>
              <w:rPr>
                <w:rFonts w:hint="eastAsia" w:ascii="宋体" w:hAnsi="宋体" w:eastAsia="宋体" w:cs="宋体"/>
                <w:kern w:val="0"/>
                <w:szCs w:val="21"/>
              </w:rPr>
            </w:pPr>
          </w:p>
        </w:tc>
        <w:tc>
          <w:tcPr>
            <w:tcW w:w="865" w:type="dxa"/>
            <w:tcBorders>
              <w:top w:val="nil"/>
              <w:left w:val="nil"/>
              <w:bottom w:val="single" w:color="auto" w:sz="4" w:space="0"/>
              <w:right w:val="single" w:color="auto" w:sz="4" w:space="0"/>
            </w:tcBorders>
            <w:noWrap/>
            <w:vAlign w:val="center"/>
          </w:tcPr>
          <w:p w14:paraId="297A2371">
            <w:pPr>
              <w:widowControl/>
              <w:jc w:val="center"/>
              <w:rPr>
                <w:rFonts w:hint="eastAsia" w:ascii="宋体" w:hAnsi="宋体" w:eastAsia="宋体" w:cs="宋体"/>
                <w:kern w:val="0"/>
                <w:szCs w:val="21"/>
              </w:rPr>
            </w:pPr>
          </w:p>
        </w:tc>
      </w:tr>
      <w:tr w14:paraId="7A65BA50">
        <w:tblPrEx>
          <w:tblCellMar>
            <w:top w:w="0" w:type="dxa"/>
            <w:left w:w="108" w:type="dxa"/>
            <w:bottom w:w="0" w:type="dxa"/>
            <w:right w:w="108" w:type="dxa"/>
          </w:tblCellMar>
        </w:tblPrEx>
        <w:trPr>
          <w:trHeight w:val="448" w:hRule="atLeast"/>
        </w:trPr>
        <w:tc>
          <w:tcPr>
            <w:tcW w:w="1548" w:type="dxa"/>
            <w:tcBorders>
              <w:top w:val="nil"/>
              <w:left w:val="single" w:color="auto" w:sz="4" w:space="0"/>
              <w:bottom w:val="single" w:color="auto" w:sz="4" w:space="0"/>
              <w:right w:val="single" w:color="auto" w:sz="4" w:space="0"/>
            </w:tcBorders>
            <w:noWrap/>
            <w:vAlign w:val="center"/>
          </w:tcPr>
          <w:p w14:paraId="559A5E87">
            <w:pPr>
              <w:widowControl/>
              <w:jc w:val="center"/>
              <w:rPr>
                <w:rFonts w:hint="eastAsia" w:ascii="宋体" w:hAnsi="宋体" w:eastAsia="宋体" w:cs="宋体"/>
                <w:kern w:val="0"/>
                <w:szCs w:val="21"/>
              </w:rPr>
            </w:pPr>
            <w:r>
              <w:rPr>
                <w:rFonts w:hint="eastAsia" w:ascii="宋体" w:hAnsi="宋体" w:eastAsia="宋体" w:cs="宋体"/>
                <w:kern w:val="0"/>
                <w:szCs w:val="21"/>
              </w:rPr>
              <w:t>毕业要求</w:t>
            </w:r>
            <w:r>
              <w:rPr>
                <w:rFonts w:hint="eastAsia" w:ascii="宋体" w:hAnsi="宋体" w:eastAsia="宋体" w:cs="宋体"/>
                <w:szCs w:val="21"/>
              </w:rPr>
              <w:t>9</w:t>
            </w:r>
          </w:p>
        </w:tc>
        <w:tc>
          <w:tcPr>
            <w:tcW w:w="863" w:type="dxa"/>
            <w:tcBorders>
              <w:top w:val="nil"/>
              <w:left w:val="nil"/>
              <w:bottom w:val="single" w:color="auto" w:sz="4" w:space="0"/>
              <w:right w:val="single" w:color="auto" w:sz="4" w:space="0"/>
            </w:tcBorders>
            <w:noWrap/>
            <w:vAlign w:val="center"/>
          </w:tcPr>
          <w:p w14:paraId="5EF98F12">
            <w:pPr>
              <w:widowControl/>
              <w:jc w:val="center"/>
              <w:rPr>
                <w:rFonts w:hint="eastAsia" w:ascii="宋体" w:hAnsi="宋体" w:eastAsia="宋体" w:cs="宋体"/>
                <w:kern w:val="0"/>
                <w:szCs w:val="21"/>
              </w:rPr>
            </w:pPr>
            <w:r>
              <w:rPr>
                <w:rFonts w:hint="eastAsia" w:ascii="宋体" w:hAnsi="宋体" w:eastAsia="宋体" w:cs="宋体"/>
                <w:kern w:val="0"/>
                <w:szCs w:val="21"/>
              </w:rPr>
              <w:t>√</w:t>
            </w:r>
          </w:p>
        </w:tc>
        <w:tc>
          <w:tcPr>
            <w:tcW w:w="863" w:type="dxa"/>
            <w:tcBorders>
              <w:top w:val="nil"/>
              <w:left w:val="nil"/>
              <w:bottom w:val="single" w:color="auto" w:sz="4" w:space="0"/>
              <w:right w:val="single" w:color="auto" w:sz="4" w:space="0"/>
            </w:tcBorders>
            <w:noWrap/>
            <w:vAlign w:val="center"/>
          </w:tcPr>
          <w:p w14:paraId="6A9E9625">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61B06422">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7E75E908">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17E7B1BF">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6A302407">
            <w:pPr>
              <w:widowControl/>
              <w:jc w:val="center"/>
              <w:rPr>
                <w:rFonts w:hint="eastAsia" w:ascii="宋体" w:hAnsi="宋体" w:eastAsia="宋体" w:cs="宋体"/>
                <w:kern w:val="0"/>
                <w:szCs w:val="21"/>
              </w:rPr>
            </w:pPr>
          </w:p>
        </w:tc>
        <w:tc>
          <w:tcPr>
            <w:tcW w:w="863" w:type="dxa"/>
            <w:tcBorders>
              <w:top w:val="nil"/>
              <w:left w:val="nil"/>
              <w:bottom w:val="single" w:color="auto" w:sz="4" w:space="0"/>
              <w:right w:val="single" w:color="auto" w:sz="4" w:space="0"/>
            </w:tcBorders>
            <w:noWrap/>
            <w:vAlign w:val="center"/>
          </w:tcPr>
          <w:p w14:paraId="5A51C163">
            <w:pPr>
              <w:widowControl/>
              <w:jc w:val="center"/>
              <w:rPr>
                <w:rFonts w:hint="eastAsia" w:ascii="宋体" w:hAnsi="宋体" w:eastAsia="宋体" w:cs="宋体"/>
                <w:kern w:val="0"/>
                <w:szCs w:val="21"/>
              </w:rPr>
            </w:pPr>
          </w:p>
        </w:tc>
        <w:tc>
          <w:tcPr>
            <w:tcW w:w="865" w:type="dxa"/>
            <w:tcBorders>
              <w:top w:val="nil"/>
              <w:left w:val="nil"/>
              <w:bottom w:val="single" w:color="auto" w:sz="4" w:space="0"/>
              <w:right w:val="single" w:color="auto" w:sz="4" w:space="0"/>
            </w:tcBorders>
            <w:noWrap/>
            <w:vAlign w:val="center"/>
          </w:tcPr>
          <w:p w14:paraId="11F335C5">
            <w:pPr>
              <w:widowControl/>
              <w:jc w:val="center"/>
              <w:rPr>
                <w:rFonts w:hint="eastAsia" w:ascii="宋体" w:hAnsi="宋体" w:eastAsia="宋体" w:cs="宋体"/>
                <w:kern w:val="0"/>
                <w:szCs w:val="21"/>
              </w:rPr>
            </w:pPr>
          </w:p>
        </w:tc>
      </w:tr>
    </w:tbl>
    <w:p w14:paraId="79E8E254">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三、课程内容及要求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6D4B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4645DCD4">
            <w:pPr>
              <w:jc w:val="center"/>
              <w:rPr>
                <w:rFonts w:hint="eastAsia" w:ascii="宋体" w:hAnsi="宋体" w:eastAsia="宋体" w:cs="宋体"/>
                <w:b/>
                <w:bCs/>
                <w:szCs w:val="21"/>
              </w:rPr>
            </w:pPr>
            <w:r>
              <w:rPr>
                <w:rFonts w:hint="eastAsia" w:ascii="宋体" w:hAnsi="宋体" w:eastAsia="宋体" w:cs="宋体"/>
                <w:b/>
                <w:bCs/>
                <w:szCs w:val="21"/>
              </w:rPr>
              <w:t>序号</w:t>
            </w:r>
          </w:p>
        </w:tc>
        <w:tc>
          <w:tcPr>
            <w:tcW w:w="1623" w:type="pct"/>
            <w:noWrap w:val="0"/>
            <w:vAlign w:val="center"/>
          </w:tcPr>
          <w:p w14:paraId="6705A29C">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541" w:type="pct"/>
            <w:noWrap w:val="0"/>
            <w:vAlign w:val="center"/>
          </w:tcPr>
          <w:p w14:paraId="632C43F1">
            <w:pPr>
              <w:jc w:val="center"/>
              <w:rPr>
                <w:rFonts w:hint="eastAsia" w:ascii="宋体" w:hAnsi="宋体" w:eastAsia="宋体" w:cs="宋体"/>
                <w:b/>
                <w:bCs/>
                <w:szCs w:val="21"/>
              </w:rPr>
            </w:pPr>
            <w:r>
              <w:rPr>
                <w:rFonts w:hint="eastAsia" w:ascii="宋体" w:hAnsi="宋体" w:eastAsia="宋体" w:cs="宋体"/>
                <w:b/>
                <w:bCs/>
                <w:szCs w:val="21"/>
              </w:rPr>
              <w:t>思政</w:t>
            </w:r>
          </w:p>
          <w:p w14:paraId="4C813E2D">
            <w:pPr>
              <w:jc w:val="center"/>
              <w:rPr>
                <w:rFonts w:hint="eastAsia" w:ascii="宋体" w:hAnsi="宋体" w:eastAsia="宋体" w:cs="宋体"/>
                <w:b/>
                <w:bCs/>
                <w:szCs w:val="21"/>
              </w:rPr>
            </w:pPr>
            <w:r>
              <w:rPr>
                <w:rFonts w:hint="eastAsia" w:ascii="宋体" w:hAnsi="宋体" w:eastAsia="宋体" w:cs="宋体"/>
                <w:b/>
                <w:bCs/>
                <w:szCs w:val="21"/>
              </w:rPr>
              <w:t>元素</w:t>
            </w:r>
          </w:p>
        </w:tc>
        <w:tc>
          <w:tcPr>
            <w:tcW w:w="1160" w:type="pct"/>
            <w:noWrap w:val="0"/>
            <w:vAlign w:val="center"/>
          </w:tcPr>
          <w:p w14:paraId="2E3BB32D">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386" w:type="pct"/>
            <w:noWrap w:val="0"/>
            <w:vAlign w:val="center"/>
          </w:tcPr>
          <w:p w14:paraId="0FB091EA">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464" w:type="pct"/>
            <w:noWrap w:val="0"/>
            <w:vAlign w:val="center"/>
          </w:tcPr>
          <w:p w14:paraId="46D4B4A0">
            <w:pPr>
              <w:jc w:val="center"/>
              <w:rPr>
                <w:rFonts w:hint="eastAsia" w:ascii="宋体" w:hAnsi="宋体" w:eastAsia="宋体" w:cs="宋体"/>
                <w:b/>
                <w:bCs/>
                <w:szCs w:val="21"/>
              </w:rPr>
            </w:pPr>
            <w:r>
              <w:rPr>
                <w:rFonts w:hint="eastAsia" w:ascii="宋体" w:hAnsi="宋体" w:eastAsia="宋体" w:cs="宋体"/>
                <w:b/>
                <w:bCs/>
                <w:szCs w:val="21"/>
              </w:rPr>
              <w:t>教学</w:t>
            </w:r>
          </w:p>
          <w:p w14:paraId="794254B7">
            <w:pPr>
              <w:jc w:val="center"/>
              <w:rPr>
                <w:rFonts w:hint="eastAsia" w:ascii="宋体" w:hAnsi="宋体" w:eastAsia="宋体" w:cs="宋体"/>
                <w:b/>
                <w:bCs/>
                <w:szCs w:val="21"/>
              </w:rPr>
            </w:pPr>
            <w:r>
              <w:rPr>
                <w:rFonts w:hint="eastAsia" w:ascii="宋体" w:hAnsi="宋体" w:eastAsia="宋体" w:cs="宋体"/>
                <w:b/>
                <w:bCs/>
                <w:szCs w:val="21"/>
              </w:rPr>
              <w:t>方式</w:t>
            </w:r>
          </w:p>
        </w:tc>
        <w:tc>
          <w:tcPr>
            <w:tcW w:w="520" w:type="pct"/>
            <w:noWrap w:val="0"/>
            <w:vAlign w:val="center"/>
          </w:tcPr>
          <w:p w14:paraId="3A1ECCD7">
            <w:pPr>
              <w:jc w:val="center"/>
              <w:rPr>
                <w:rFonts w:hint="eastAsia" w:ascii="宋体" w:hAnsi="宋体" w:eastAsia="宋体" w:cs="宋体"/>
                <w:b/>
                <w:bCs/>
                <w:szCs w:val="21"/>
              </w:rPr>
            </w:pPr>
            <w:r>
              <w:rPr>
                <w:rFonts w:hint="eastAsia" w:ascii="宋体" w:hAnsi="宋体" w:eastAsia="宋体" w:cs="宋体"/>
                <w:b/>
                <w:bCs/>
                <w:szCs w:val="21"/>
              </w:rPr>
              <w:t>支撑课程目标</w:t>
            </w:r>
          </w:p>
        </w:tc>
      </w:tr>
      <w:tr w14:paraId="4370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395F34B4">
            <w:pPr>
              <w:jc w:val="center"/>
              <w:rPr>
                <w:rFonts w:hint="eastAsia" w:ascii="宋体" w:hAnsi="宋体" w:eastAsia="宋体" w:cs="宋体"/>
                <w:szCs w:val="21"/>
              </w:rPr>
            </w:pPr>
            <w:r>
              <w:rPr>
                <w:rFonts w:hint="eastAsia" w:ascii="宋体" w:hAnsi="宋体" w:eastAsia="宋体" w:cs="宋体"/>
                <w:szCs w:val="21"/>
              </w:rPr>
              <w:t>1</w:t>
            </w:r>
          </w:p>
        </w:tc>
        <w:tc>
          <w:tcPr>
            <w:tcW w:w="1623" w:type="pct"/>
            <w:noWrap w:val="0"/>
            <w:vAlign w:val="center"/>
          </w:tcPr>
          <w:p w14:paraId="563B8E03">
            <w:pPr>
              <w:jc w:val="left"/>
              <w:rPr>
                <w:rFonts w:hint="eastAsia" w:ascii="宋体" w:hAnsi="宋体" w:eastAsia="宋体" w:cs="宋体"/>
                <w:b/>
                <w:szCs w:val="21"/>
              </w:rPr>
            </w:pPr>
            <w:r>
              <w:rPr>
                <w:rFonts w:hint="eastAsia" w:ascii="宋体" w:hAnsi="宋体" w:eastAsia="宋体" w:cs="宋体"/>
                <w:b/>
                <w:szCs w:val="21"/>
              </w:rPr>
              <w:t>㈠体育理论部分:</w:t>
            </w:r>
          </w:p>
          <w:p w14:paraId="06F98D7B">
            <w:pPr>
              <w:jc w:val="left"/>
              <w:rPr>
                <w:rFonts w:hint="eastAsia" w:ascii="宋体" w:hAnsi="宋体" w:eastAsia="宋体" w:cs="宋体"/>
                <w:bCs/>
                <w:szCs w:val="22"/>
              </w:rPr>
            </w:pPr>
            <w:r>
              <w:rPr>
                <w:rFonts w:hint="eastAsia" w:ascii="宋体" w:hAnsi="宋体" w:eastAsia="宋体" w:cs="宋体"/>
                <w:bCs/>
                <w:szCs w:val="22"/>
              </w:rPr>
              <w:t>1.学生思想政治教育：我校体育运动发展概况、国家领导人与体育、奥运明星的励志故事、社会主义核心价值观与体育等；</w:t>
            </w:r>
          </w:p>
          <w:p w14:paraId="16C6A622">
            <w:pPr>
              <w:jc w:val="left"/>
              <w:rPr>
                <w:rFonts w:hint="eastAsia" w:ascii="宋体" w:hAnsi="宋体" w:eastAsia="宋体" w:cs="宋体"/>
                <w:szCs w:val="22"/>
              </w:rPr>
            </w:pPr>
            <w:r>
              <w:rPr>
                <w:rFonts w:hint="eastAsia" w:ascii="宋体" w:hAnsi="宋体" w:eastAsia="宋体" w:cs="宋体"/>
                <w:bCs/>
                <w:szCs w:val="22"/>
              </w:rPr>
              <w:t>2.</w:t>
            </w:r>
            <w:r>
              <w:rPr>
                <w:rFonts w:hint="eastAsia" w:ascii="宋体" w:hAnsi="宋体" w:eastAsia="宋体" w:cs="宋体"/>
                <w:szCs w:val="22"/>
              </w:rPr>
              <w:t>体育安全教育：体育运动伤害事故的安全教育及预防与处理措施、常见运动损伤的预防与处理等；</w:t>
            </w:r>
          </w:p>
          <w:p w14:paraId="03FE3B3C">
            <w:pPr>
              <w:jc w:val="left"/>
              <w:rPr>
                <w:rFonts w:hint="eastAsia" w:ascii="宋体" w:hAnsi="宋体" w:eastAsia="宋体" w:cs="宋体"/>
                <w:szCs w:val="21"/>
              </w:rPr>
            </w:pPr>
            <w:r>
              <w:rPr>
                <w:rFonts w:hint="eastAsia" w:ascii="宋体" w:hAnsi="宋体" w:eastAsia="宋体" w:cs="宋体"/>
                <w:szCs w:val="22"/>
              </w:rPr>
              <w:t>3.体育基本理论：各运动项目的基本技战术知识、组织与竞赛、基本规则和裁判法，运动健身的基本原理与锻炼方法，体育锻炼的自我监督与评价，体育养生与保健知识等；</w:t>
            </w:r>
          </w:p>
          <w:p w14:paraId="564A3EF1">
            <w:pPr>
              <w:ind w:right="-170" w:rightChars="-81"/>
              <w:jc w:val="left"/>
              <w:rPr>
                <w:rFonts w:hint="eastAsia" w:ascii="宋体" w:hAnsi="宋体" w:eastAsia="宋体" w:cs="宋体"/>
                <w:szCs w:val="21"/>
              </w:rPr>
            </w:pPr>
            <w:r>
              <w:rPr>
                <w:rFonts w:hint="eastAsia" w:ascii="宋体" w:hAnsi="宋体" w:eastAsia="宋体" w:cs="宋体"/>
                <w:b/>
                <w:szCs w:val="21"/>
              </w:rPr>
              <w:t>重点：</w:t>
            </w:r>
            <w:r>
              <w:rPr>
                <w:rFonts w:hint="eastAsia" w:ascii="宋体" w:hAnsi="宋体" w:eastAsia="宋体" w:cs="宋体"/>
                <w:szCs w:val="21"/>
              </w:rPr>
              <w:t>体育安全教育、掌握所学项目的基本知识；</w:t>
            </w:r>
          </w:p>
          <w:p w14:paraId="3691F404">
            <w:pPr>
              <w:jc w:val="left"/>
              <w:rPr>
                <w:rFonts w:hint="eastAsia" w:ascii="宋体" w:hAnsi="宋体" w:eastAsia="宋体" w:cs="宋体"/>
                <w:szCs w:val="21"/>
              </w:rPr>
            </w:pPr>
            <w:r>
              <w:rPr>
                <w:rFonts w:hint="eastAsia" w:ascii="宋体" w:hAnsi="宋体" w:eastAsia="宋体" w:cs="宋体"/>
                <w:b/>
                <w:szCs w:val="21"/>
              </w:rPr>
              <w:t>难点：</w:t>
            </w:r>
            <w:r>
              <w:rPr>
                <w:rFonts w:hint="eastAsia" w:ascii="宋体" w:hAnsi="宋体" w:eastAsia="宋体" w:cs="宋体"/>
                <w:szCs w:val="21"/>
              </w:rPr>
              <w:t>培养学生自主锻炼能力和自觉锻炼意识。</w:t>
            </w:r>
          </w:p>
        </w:tc>
        <w:tc>
          <w:tcPr>
            <w:tcW w:w="541" w:type="pct"/>
            <w:noWrap w:val="0"/>
            <w:vAlign w:val="center"/>
          </w:tcPr>
          <w:p w14:paraId="23414879">
            <w:pPr>
              <w:jc w:val="center"/>
              <w:rPr>
                <w:rFonts w:hint="eastAsia" w:ascii="宋体" w:hAnsi="宋体" w:eastAsia="宋体" w:cs="宋体"/>
                <w:kern w:val="0"/>
                <w:szCs w:val="21"/>
              </w:rPr>
            </w:pPr>
            <w:r>
              <w:rPr>
                <w:rFonts w:hint="eastAsia" w:ascii="宋体" w:hAnsi="宋体" w:eastAsia="宋体" w:cs="宋体"/>
                <w:kern w:val="0"/>
                <w:szCs w:val="21"/>
              </w:rPr>
              <w:t xml:space="preserve">理想信念、国家认同和社会主义核心价值观等教育；安全意识、健康意识教育； </w:t>
            </w:r>
          </w:p>
        </w:tc>
        <w:tc>
          <w:tcPr>
            <w:tcW w:w="1160" w:type="pct"/>
            <w:noWrap w:val="0"/>
            <w:vAlign w:val="center"/>
          </w:tcPr>
          <w:p w14:paraId="480784EA">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通过教学，提高对体育的正确认识，形成正确积极的体育态度，学会运用科学理论指导健身锻炼实际，从而自觉遵循体育运动的规律，实现体育锻炼的目的。</w:t>
            </w:r>
          </w:p>
        </w:tc>
        <w:tc>
          <w:tcPr>
            <w:tcW w:w="386" w:type="pct"/>
            <w:noWrap w:val="0"/>
            <w:vAlign w:val="center"/>
          </w:tcPr>
          <w:p w14:paraId="72EE7715">
            <w:pPr>
              <w:jc w:val="center"/>
              <w:rPr>
                <w:rFonts w:hint="eastAsia" w:ascii="宋体" w:hAnsi="宋体" w:eastAsia="宋体" w:cs="宋体"/>
                <w:szCs w:val="21"/>
              </w:rPr>
            </w:pPr>
            <w:r>
              <w:rPr>
                <w:rFonts w:hint="eastAsia" w:ascii="宋体" w:hAnsi="宋体" w:eastAsia="宋体" w:cs="宋体"/>
                <w:szCs w:val="21"/>
              </w:rPr>
              <w:t>2</w:t>
            </w:r>
          </w:p>
        </w:tc>
        <w:tc>
          <w:tcPr>
            <w:tcW w:w="464" w:type="pct"/>
            <w:noWrap w:val="0"/>
            <w:vAlign w:val="center"/>
          </w:tcPr>
          <w:p w14:paraId="3FEAB8D0">
            <w:pPr>
              <w:jc w:val="left"/>
              <w:rPr>
                <w:rFonts w:hint="eastAsia" w:ascii="宋体" w:hAnsi="宋体" w:eastAsia="宋体" w:cs="宋体"/>
                <w:szCs w:val="21"/>
              </w:rPr>
            </w:pPr>
            <w:r>
              <w:rPr>
                <w:rFonts w:hint="eastAsia" w:ascii="宋体" w:hAnsi="宋体" w:eastAsia="宋体" w:cs="宋体"/>
                <w:szCs w:val="21"/>
              </w:rPr>
              <w:t>讲授法</w:t>
            </w:r>
          </w:p>
        </w:tc>
        <w:tc>
          <w:tcPr>
            <w:tcW w:w="520" w:type="pct"/>
            <w:noWrap w:val="0"/>
            <w:vAlign w:val="center"/>
          </w:tcPr>
          <w:p w14:paraId="696B210A">
            <w:pPr>
              <w:jc w:val="left"/>
              <w:rPr>
                <w:rFonts w:hint="eastAsia" w:ascii="宋体" w:hAnsi="宋体" w:eastAsia="宋体" w:cs="宋体"/>
                <w:szCs w:val="21"/>
              </w:rPr>
            </w:pPr>
            <w:r>
              <w:rPr>
                <w:rFonts w:hint="eastAsia" w:ascii="宋体" w:hAnsi="宋体" w:eastAsia="宋体" w:cs="宋体"/>
                <w:szCs w:val="21"/>
              </w:rPr>
              <w:t>目标1目标2</w:t>
            </w:r>
          </w:p>
        </w:tc>
      </w:tr>
      <w:tr w14:paraId="2B54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5C3D5031">
            <w:pPr>
              <w:jc w:val="center"/>
              <w:rPr>
                <w:rFonts w:hint="eastAsia" w:ascii="宋体" w:hAnsi="宋体" w:eastAsia="宋体" w:cs="宋体"/>
                <w:szCs w:val="21"/>
              </w:rPr>
            </w:pPr>
            <w:r>
              <w:rPr>
                <w:rFonts w:hint="eastAsia" w:ascii="宋体" w:hAnsi="宋体" w:eastAsia="宋体" w:cs="宋体"/>
                <w:szCs w:val="21"/>
              </w:rPr>
              <w:t>2</w:t>
            </w:r>
          </w:p>
        </w:tc>
        <w:tc>
          <w:tcPr>
            <w:tcW w:w="1623" w:type="pct"/>
            <w:noWrap w:val="0"/>
            <w:vAlign w:val="center"/>
          </w:tcPr>
          <w:p w14:paraId="5697EAD5">
            <w:pPr>
              <w:jc w:val="left"/>
              <w:rPr>
                <w:rFonts w:hint="eastAsia" w:ascii="宋体" w:hAnsi="宋体" w:eastAsia="宋体" w:cs="宋体"/>
                <w:b/>
                <w:szCs w:val="21"/>
              </w:rPr>
            </w:pPr>
            <w:r>
              <w:rPr>
                <w:rFonts w:hint="eastAsia" w:ascii="宋体" w:hAnsi="宋体" w:eastAsia="宋体" w:cs="宋体"/>
                <w:b/>
                <w:szCs w:val="21"/>
              </w:rPr>
              <w:t>㈡实践部分：</w:t>
            </w:r>
          </w:p>
          <w:p w14:paraId="639788E4">
            <w:pPr>
              <w:rPr>
                <w:rFonts w:hint="eastAsia" w:ascii="宋体" w:hAnsi="宋体" w:eastAsia="宋体" w:cs="宋体"/>
                <w:bCs/>
                <w:szCs w:val="22"/>
              </w:rPr>
            </w:pPr>
            <w:r>
              <w:rPr>
                <w:rFonts w:hint="eastAsia" w:ascii="宋体" w:hAnsi="宋体" w:eastAsia="宋体" w:cs="宋体"/>
                <w:bCs/>
                <w:szCs w:val="22"/>
              </w:rPr>
              <w:t>各运动项目和国家学生体质健康标准测试的身体素质项目为主，主要包括体质测试、早锻炼、学生课外健身活动以及校级、院级和体育社团组织的各种体育比赛活动等。</w:t>
            </w:r>
          </w:p>
          <w:p w14:paraId="5789EDCA">
            <w:pPr>
              <w:rPr>
                <w:rFonts w:hint="eastAsia" w:ascii="宋体" w:hAnsi="宋体" w:eastAsia="宋体" w:cs="宋体"/>
                <w:bCs/>
                <w:szCs w:val="22"/>
              </w:rPr>
            </w:pPr>
            <w:r>
              <w:rPr>
                <w:rFonts w:hint="eastAsia" w:ascii="宋体" w:hAnsi="宋体" w:eastAsia="宋体" w:cs="宋体"/>
                <w:b/>
                <w:bCs/>
                <w:szCs w:val="22"/>
              </w:rPr>
              <w:t>重点：</w:t>
            </w:r>
            <w:r>
              <w:rPr>
                <w:rFonts w:hint="eastAsia" w:ascii="宋体" w:hAnsi="宋体" w:eastAsia="宋体" w:cs="宋体"/>
                <w:bCs/>
                <w:szCs w:val="22"/>
              </w:rPr>
              <w:t>编制可行的个人体育锻炼计划并积极实践。</w:t>
            </w:r>
          </w:p>
          <w:p w14:paraId="4B2EC744">
            <w:pPr>
              <w:rPr>
                <w:rFonts w:hint="eastAsia" w:ascii="宋体" w:hAnsi="宋体" w:eastAsia="宋体" w:cs="宋体"/>
                <w:bCs/>
                <w:szCs w:val="22"/>
              </w:rPr>
            </w:pPr>
            <w:r>
              <w:rPr>
                <w:rFonts w:hint="eastAsia" w:ascii="宋体" w:hAnsi="宋体" w:eastAsia="宋体" w:cs="宋体"/>
                <w:b/>
                <w:bCs/>
                <w:szCs w:val="22"/>
              </w:rPr>
              <w:t>难点：</w:t>
            </w:r>
            <w:r>
              <w:rPr>
                <w:rFonts w:hint="eastAsia" w:ascii="宋体" w:hAnsi="宋体" w:eastAsia="宋体" w:cs="宋体"/>
                <w:bCs/>
                <w:szCs w:val="22"/>
              </w:rPr>
              <w:t>全面发展体能，培养学生自觉锻炼意识</w:t>
            </w:r>
            <w:r>
              <w:rPr>
                <w:rFonts w:hint="eastAsia" w:ascii="宋体" w:hAnsi="宋体" w:eastAsia="宋体" w:cs="宋体"/>
                <w:sz w:val="24"/>
                <w:szCs w:val="22"/>
              </w:rPr>
              <w:t>，</w:t>
            </w:r>
            <w:r>
              <w:rPr>
                <w:rFonts w:hint="eastAsia" w:ascii="宋体" w:hAnsi="宋体" w:eastAsia="宋体" w:cs="宋体"/>
                <w:bCs/>
                <w:szCs w:val="22"/>
              </w:rPr>
              <w:t>达到体质健康标准测试合格要求。</w:t>
            </w:r>
          </w:p>
        </w:tc>
        <w:tc>
          <w:tcPr>
            <w:tcW w:w="541" w:type="pct"/>
            <w:noWrap w:val="0"/>
            <w:vAlign w:val="center"/>
          </w:tcPr>
          <w:p w14:paraId="076BD829">
            <w:pPr>
              <w:widowControl/>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kern w:val="0"/>
                <w:szCs w:val="21"/>
              </w:rPr>
              <w:t>爱国主义和集体主义教育；体育道德观、意志品德培育；规则意识和诚信意识教育。</w:t>
            </w:r>
          </w:p>
        </w:tc>
        <w:tc>
          <w:tcPr>
            <w:tcW w:w="1160" w:type="pct"/>
            <w:noWrap w:val="0"/>
            <w:vAlign w:val="center"/>
          </w:tcPr>
          <w:p w14:paraId="0CCA2DB0">
            <w:pPr>
              <w:rPr>
                <w:rFonts w:hint="eastAsia" w:ascii="宋体" w:hAnsi="宋体" w:eastAsia="宋体" w:cs="宋体"/>
                <w:szCs w:val="21"/>
              </w:rPr>
            </w:pPr>
            <w:r>
              <w:rPr>
                <w:rFonts w:hint="eastAsia" w:ascii="宋体" w:hAnsi="宋体" w:eastAsia="宋体" w:cs="宋体"/>
                <w:szCs w:val="21"/>
              </w:rPr>
              <w:t>通过课外实践，使学生巩固课内学习效果，掌握科学锻炼的基础知识、基本技能和有效方法，发展身体素质；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宋体" w:hAnsi="宋体" w:eastAsia="宋体" w:cs="宋体"/>
                <w:kern w:val="0"/>
                <w:szCs w:val="21"/>
              </w:rPr>
              <w:t>。</w:t>
            </w:r>
          </w:p>
        </w:tc>
        <w:tc>
          <w:tcPr>
            <w:tcW w:w="386" w:type="pct"/>
            <w:noWrap w:val="0"/>
            <w:vAlign w:val="center"/>
          </w:tcPr>
          <w:p w14:paraId="1549EEC8">
            <w:pPr>
              <w:jc w:val="center"/>
              <w:rPr>
                <w:rFonts w:hint="eastAsia" w:ascii="宋体" w:hAnsi="宋体" w:eastAsia="宋体" w:cs="宋体"/>
                <w:szCs w:val="21"/>
              </w:rPr>
            </w:pPr>
            <w:r>
              <w:rPr>
                <w:rFonts w:hint="eastAsia" w:ascii="宋体" w:hAnsi="宋体" w:eastAsia="宋体" w:cs="宋体"/>
                <w:szCs w:val="21"/>
              </w:rPr>
              <w:t>16</w:t>
            </w:r>
          </w:p>
        </w:tc>
        <w:tc>
          <w:tcPr>
            <w:tcW w:w="464" w:type="pct"/>
            <w:noWrap w:val="0"/>
            <w:vAlign w:val="center"/>
          </w:tcPr>
          <w:p w14:paraId="09A872B0">
            <w:pPr>
              <w:rPr>
                <w:rFonts w:hint="eastAsia" w:ascii="宋体" w:hAnsi="宋体" w:eastAsia="宋体" w:cs="宋体"/>
                <w:szCs w:val="21"/>
              </w:rPr>
            </w:pPr>
            <w:r>
              <w:rPr>
                <w:rFonts w:hint="eastAsia" w:ascii="宋体" w:hAnsi="宋体" w:eastAsia="宋体" w:cs="宋体"/>
                <w:szCs w:val="21"/>
              </w:rPr>
              <w:t>讲授、演示、练习法等</w:t>
            </w:r>
          </w:p>
        </w:tc>
        <w:tc>
          <w:tcPr>
            <w:tcW w:w="520" w:type="pct"/>
            <w:noWrap w:val="0"/>
            <w:vAlign w:val="center"/>
          </w:tcPr>
          <w:p w14:paraId="798EAF9D">
            <w:pPr>
              <w:jc w:val="left"/>
              <w:rPr>
                <w:rFonts w:hint="eastAsia" w:ascii="宋体" w:hAnsi="宋体" w:eastAsia="宋体" w:cs="宋体"/>
                <w:szCs w:val="21"/>
              </w:rPr>
            </w:pPr>
            <w:r>
              <w:rPr>
                <w:rFonts w:hint="eastAsia" w:ascii="宋体" w:hAnsi="宋体" w:eastAsia="宋体" w:cs="宋体"/>
                <w:szCs w:val="21"/>
              </w:rPr>
              <w:t>目标1</w:t>
            </w:r>
          </w:p>
          <w:p w14:paraId="311EFAD1">
            <w:pPr>
              <w:jc w:val="left"/>
              <w:rPr>
                <w:rFonts w:hint="eastAsia" w:ascii="宋体" w:hAnsi="宋体" w:eastAsia="宋体" w:cs="宋体"/>
                <w:szCs w:val="21"/>
              </w:rPr>
            </w:pPr>
            <w:r>
              <w:rPr>
                <w:rFonts w:hint="eastAsia" w:ascii="宋体" w:hAnsi="宋体" w:eastAsia="宋体" w:cs="宋体"/>
                <w:szCs w:val="21"/>
              </w:rPr>
              <w:t>目标2</w:t>
            </w:r>
          </w:p>
        </w:tc>
      </w:tr>
    </w:tbl>
    <w:p w14:paraId="1FB68956">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四、课程实施</w:t>
      </w:r>
    </w:p>
    <w:p w14:paraId="16D9AD6D">
      <w:pPr>
        <w:spacing w:before="180" w:beforeLines="50" w:after="180" w:afterLines="50" w:line="360" w:lineRule="exact"/>
        <w:ind w:firstLine="482" w:firstLineChars="200"/>
        <w:jc w:val="left"/>
        <w:rPr>
          <w:rFonts w:hint="eastAsia" w:ascii="宋体" w:hAnsi="宋体" w:eastAsia="宋体" w:cs="宋体"/>
          <w:b/>
          <w:sz w:val="24"/>
          <w:szCs w:val="22"/>
        </w:rPr>
      </w:pPr>
      <w:r>
        <w:rPr>
          <w:rFonts w:hint="eastAsia" w:ascii="宋体" w:hAnsi="宋体" w:eastAsia="宋体" w:cs="宋体"/>
          <w:b/>
          <w:sz w:val="24"/>
          <w:szCs w:val="22"/>
        </w:rPr>
        <w:t>（一）方法与手段</w:t>
      </w:r>
    </w:p>
    <w:p w14:paraId="111282A5">
      <w:pPr>
        <w:spacing w:before="180" w:beforeLines="50" w:after="180" w:afterLines="50" w:line="360" w:lineRule="exact"/>
        <w:ind w:firstLine="480" w:firstLineChars="200"/>
        <w:jc w:val="left"/>
        <w:rPr>
          <w:rFonts w:hint="eastAsia" w:ascii="宋体" w:hAnsi="宋体" w:eastAsia="宋体" w:cs="宋体"/>
          <w:sz w:val="24"/>
          <w:szCs w:val="22"/>
        </w:rPr>
      </w:pPr>
      <w:r>
        <w:rPr>
          <w:rFonts w:hint="eastAsia" w:ascii="宋体" w:hAnsi="宋体" w:eastAsia="宋体" w:cs="宋体"/>
          <w:sz w:val="24"/>
          <w:szCs w:val="22"/>
        </w:rPr>
        <w:t>采用线上+线下、自主锻炼、体质测试和课外体育俱乐部等组织形式。</w:t>
      </w:r>
    </w:p>
    <w:p w14:paraId="1D1879EE">
      <w:pPr>
        <w:spacing w:line="360" w:lineRule="auto"/>
        <w:ind w:firstLine="482" w:firstLineChars="200"/>
        <w:rPr>
          <w:rFonts w:hint="eastAsia" w:ascii="宋体" w:hAnsi="宋体" w:eastAsia="宋体" w:cs="宋体"/>
          <w:b/>
          <w:sz w:val="24"/>
          <w:szCs w:val="22"/>
        </w:rPr>
      </w:pPr>
      <w:r>
        <w:rPr>
          <w:rFonts w:hint="eastAsia" w:ascii="宋体" w:hAnsi="宋体" w:eastAsia="宋体" w:cs="宋体"/>
          <w:b/>
          <w:sz w:val="24"/>
          <w:szCs w:val="22"/>
        </w:rPr>
        <w:t>（二）课程实施与保障</w:t>
      </w:r>
    </w:p>
    <w:tbl>
      <w:tblPr>
        <w:tblStyle w:val="1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0C75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6D8221BE">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主要环节</w:t>
            </w:r>
          </w:p>
        </w:tc>
        <w:tc>
          <w:tcPr>
            <w:tcW w:w="6640" w:type="dxa"/>
            <w:tcBorders>
              <w:top w:val="single" w:color="auto" w:sz="8" w:space="0"/>
              <w:left w:val="single" w:color="auto" w:sz="8" w:space="0"/>
              <w:right w:val="single" w:color="auto" w:sz="8" w:space="0"/>
            </w:tcBorders>
            <w:noWrap w:val="0"/>
            <w:vAlign w:val="center"/>
          </w:tcPr>
          <w:p w14:paraId="10E8C45B">
            <w:pPr>
              <w:spacing w:line="276" w:lineRule="auto"/>
              <w:jc w:val="center"/>
              <w:rPr>
                <w:rFonts w:hint="eastAsia" w:ascii="宋体" w:hAnsi="宋体" w:eastAsia="宋体" w:cs="宋体"/>
                <w:sz w:val="24"/>
                <w:szCs w:val="22"/>
              </w:rPr>
            </w:pPr>
            <w:r>
              <w:rPr>
                <w:rFonts w:hint="eastAsia" w:ascii="宋体" w:hAnsi="宋体" w:eastAsia="宋体" w:cs="宋体"/>
                <w:b/>
                <w:bCs/>
                <w:sz w:val="24"/>
                <w:szCs w:val="22"/>
              </w:rPr>
              <w:t>质量要求</w:t>
            </w:r>
          </w:p>
        </w:tc>
      </w:tr>
      <w:tr w14:paraId="67C8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429C7E4F">
            <w:pPr>
              <w:spacing w:line="276" w:lineRule="auto"/>
              <w:jc w:val="center"/>
              <w:rPr>
                <w:rFonts w:hint="eastAsia" w:ascii="宋体" w:hAnsi="宋体" w:eastAsia="宋体" w:cs="宋体"/>
                <w:sz w:val="24"/>
                <w:szCs w:val="22"/>
              </w:rPr>
            </w:pPr>
            <w:r>
              <w:rPr>
                <w:rFonts w:hint="eastAsia" w:ascii="宋体" w:hAnsi="宋体" w:eastAsia="宋体" w:cs="宋体"/>
                <w:sz w:val="24"/>
                <w:szCs w:val="22"/>
              </w:rPr>
              <w:t>1</w:t>
            </w:r>
          </w:p>
        </w:tc>
        <w:tc>
          <w:tcPr>
            <w:tcW w:w="1252" w:type="dxa"/>
            <w:noWrap w:val="0"/>
            <w:tcMar>
              <w:left w:w="28" w:type="dxa"/>
              <w:right w:w="28" w:type="dxa"/>
            </w:tcMar>
            <w:vAlign w:val="center"/>
          </w:tcPr>
          <w:p w14:paraId="222567AF">
            <w:pPr>
              <w:spacing w:line="276" w:lineRule="auto"/>
              <w:jc w:val="center"/>
              <w:rPr>
                <w:rFonts w:hint="eastAsia" w:ascii="宋体" w:hAnsi="宋体" w:eastAsia="宋体" w:cs="宋体"/>
                <w:sz w:val="24"/>
                <w:szCs w:val="22"/>
              </w:rPr>
            </w:pPr>
            <w:r>
              <w:rPr>
                <w:rFonts w:hint="eastAsia" w:ascii="宋体" w:hAnsi="宋体" w:eastAsia="宋体" w:cs="宋体"/>
                <w:sz w:val="24"/>
                <w:szCs w:val="22"/>
              </w:rPr>
              <w:t>课外锻炼</w:t>
            </w:r>
          </w:p>
        </w:tc>
        <w:tc>
          <w:tcPr>
            <w:tcW w:w="6640" w:type="dxa"/>
            <w:tcBorders>
              <w:right w:val="single" w:color="auto" w:sz="8" w:space="0"/>
            </w:tcBorders>
            <w:noWrap w:val="0"/>
            <w:vAlign w:val="center"/>
          </w:tcPr>
          <w:p w14:paraId="5499528A">
            <w:pPr>
              <w:autoSpaceDE w:val="0"/>
              <w:autoSpaceDN w:val="0"/>
              <w:adjustRightInd w:val="0"/>
              <w:snapToGrid w:val="0"/>
              <w:spacing w:line="36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学生利用课余时间通过参加体质测试、早锻炼、课外健身活动以及校级、院级和体育社团组织的各种体育比赛等活动，巩固课内学习效果，提高身体素质，培养学生自我锻炼意识和习惯。</w:t>
            </w:r>
          </w:p>
        </w:tc>
      </w:tr>
      <w:tr w14:paraId="2D5F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9" w:type="dxa"/>
            <w:tcBorders>
              <w:left w:val="single" w:color="auto" w:sz="8" w:space="0"/>
            </w:tcBorders>
            <w:noWrap w:val="0"/>
            <w:vAlign w:val="center"/>
          </w:tcPr>
          <w:p w14:paraId="3112907A">
            <w:pPr>
              <w:spacing w:line="276" w:lineRule="auto"/>
              <w:jc w:val="center"/>
              <w:rPr>
                <w:rFonts w:hint="eastAsia" w:ascii="宋体" w:hAnsi="宋体" w:eastAsia="宋体" w:cs="宋体"/>
                <w:sz w:val="24"/>
                <w:szCs w:val="22"/>
              </w:rPr>
            </w:pPr>
            <w:r>
              <w:rPr>
                <w:rFonts w:hint="eastAsia" w:ascii="宋体" w:hAnsi="宋体" w:eastAsia="宋体" w:cs="宋体"/>
                <w:sz w:val="24"/>
                <w:szCs w:val="22"/>
              </w:rPr>
              <w:t>2</w:t>
            </w:r>
          </w:p>
        </w:tc>
        <w:tc>
          <w:tcPr>
            <w:tcW w:w="1252" w:type="dxa"/>
            <w:noWrap w:val="0"/>
            <w:tcMar>
              <w:left w:w="28" w:type="dxa"/>
              <w:right w:w="28" w:type="dxa"/>
            </w:tcMar>
            <w:vAlign w:val="center"/>
          </w:tcPr>
          <w:p w14:paraId="6752F6FA">
            <w:pPr>
              <w:spacing w:line="276" w:lineRule="auto"/>
              <w:jc w:val="center"/>
              <w:rPr>
                <w:rFonts w:hint="eastAsia" w:ascii="宋体" w:hAnsi="宋体" w:eastAsia="宋体" w:cs="宋体"/>
                <w:sz w:val="24"/>
                <w:szCs w:val="22"/>
              </w:rPr>
            </w:pPr>
            <w:r>
              <w:rPr>
                <w:rFonts w:hint="eastAsia" w:ascii="宋体" w:hAnsi="宋体" w:eastAsia="宋体" w:cs="宋体"/>
                <w:sz w:val="24"/>
                <w:szCs w:val="22"/>
              </w:rPr>
              <w:t>体质测试</w:t>
            </w:r>
          </w:p>
        </w:tc>
        <w:tc>
          <w:tcPr>
            <w:tcW w:w="6640" w:type="dxa"/>
            <w:tcBorders>
              <w:right w:val="single" w:color="auto" w:sz="8" w:space="0"/>
            </w:tcBorders>
            <w:noWrap w:val="0"/>
            <w:vAlign w:val="center"/>
          </w:tcPr>
          <w:p w14:paraId="25710916">
            <w:pPr>
              <w:autoSpaceDE w:val="0"/>
              <w:autoSpaceDN w:val="0"/>
              <w:adjustRightInd w:val="0"/>
              <w:snapToGrid w:val="0"/>
              <w:spacing w:line="36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完成《国家学生体质健康标准》项目测试。</w:t>
            </w:r>
          </w:p>
        </w:tc>
      </w:tr>
      <w:tr w14:paraId="7C71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6EA36BB3">
            <w:pPr>
              <w:spacing w:line="276" w:lineRule="auto"/>
              <w:jc w:val="center"/>
              <w:rPr>
                <w:rFonts w:hint="eastAsia" w:ascii="宋体" w:hAnsi="宋体" w:eastAsia="宋体" w:cs="宋体"/>
                <w:sz w:val="24"/>
                <w:szCs w:val="22"/>
              </w:rPr>
            </w:pPr>
            <w:r>
              <w:rPr>
                <w:rFonts w:hint="eastAsia" w:ascii="宋体" w:hAnsi="宋体" w:eastAsia="宋体" w:cs="宋体"/>
                <w:sz w:val="24"/>
                <w:szCs w:val="22"/>
              </w:rPr>
              <w:t>3</w:t>
            </w:r>
          </w:p>
        </w:tc>
        <w:tc>
          <w:tcPr>
            <w:tcW w:w="1252" w:type="dxa"/>
            <w:noWrap w:val="0"/>
            <w:tcMar>
              <w:left w:w="28" w:type="dxa"/>
              <w:right w:w="28" w:type="dxa"/>
            </w:tcMar>
            <w:vAlign w:val="center"/>
          </w:tcPr>
          <w:p w14:paraId="556A33DD">
            <w:pPr>
              <w:spacing w:line="276" w:lineRule="auto"/>
              <w:jc w:val="center"/>
              <w:rPr>
                <w:rFonts w:hint="eastAsia" w:ascii="宋体" w:hAnsi="宋体" w:eastAsia="宋体" w:cs="宋体"/>
                <w:sz w:val="24"/>
                <w:szCs w:val="22"/>
              </w:rPr>
            </w:pPr>
            <w:r>
              <w:rPr>
                <w:rFonts w:hint="eastAsia" w:ascii="宋体" w:hAnsi="宋体" w:eastAsia="宋体" w:cs="宋体"/>
                <w:sz w:val="24"/>
                <w:szCs w:val="22"/>
              </w:rPr>
              <w:t>成绩考核</w:t>
            </w:r>
          </w:p>
        </w:tc>
        <w:tc>
          <w:tcPr>
            <w:tcW w:w="6640" w:type="dxa"/>
            <w:tcBorders>
              <w:right w:val="single" w:color="auto" w:sz="8" w:space="0"/>
            </w:tcBorders>
            <w:noWrap w:val="0"/>
            <w:vAlign w:val="center"/>
          </w:tcPr>
          <w:p w14:paraId="44B1DE07">
            <w:pPr>
              <w:autoSpaceDE w:val="0"/>
              <w:autoSpaceDN w:val="0"/>
              <w:adjustRightInd w:val="0"/>
              <w:snapToGrid w:val="0"/>
              <w:spacing w:line="360" w:lineRule="exact"/>
              <w:jc w:val="left"/>
              <w:rPr>
                <w:rFonts w:hint="eastAsia" w:ascii="宋体" w:hAnsi="宋体" w:eastAsia="宋体" w:cs="宋体"/>
                <w:kern w:val="0"/>
                <w:sz w:val="22"/>
                <w:szCs w:val="22"/>
              </w:rPr>
            </w:pPr>
            <w:r>
              <w:rPr>
                <w:rFonts w:hint="eastAsia" w:ascii="宋体" w:hAnsi="宋体" w:eastAsia="宋体" w:cs="宋体"/>
                <w:kern w:val="0"/>
                <w:sz w:val="22"/>
                <w:szCs w:val="22"/>
              </w:rPr>
              <w:t>本课程考核的方式：以学生参加课外体育活动的考勤次数为依据。总评成绩的评定见《学生参加课外体育活动成绩评定标准》。</w:t>
            </w:r>
          </w:p>
        </w:tc>
      </w:tr>
    </w:tbl>
    <w:p w14:paraId="02AB3B6B">
      <w:pPr>
        <w:spacing w:before="180" w:beforeLines="50" w:after="180" w:afterLines="50" w:line="360" w:lineRule="exact"/>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五、课程考核</w:t>
      </w:r>
    </w:p>
    <w:p w14:paraId="512A0BAC">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（一）课程考核由课外体育活动和体质测试构成。</w:t>
      </w:r>
    </w:p>
    <w:p w14:paraId="1FA0F49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（二）课程总评成绩=课外体育活动×50%+体质测试×50%。</w:t>
      </w:r>
    </w:p>
    <w:p w14:paraId="5D99A9AF">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具体内容和比例如表所示：</w:t>
      </w:r>
    </w:p>
    <w:tbl>
      <w:tblPr>
        <w:tblStyle w:val="1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41A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2C85BA09">
            <w:pPr>
              <w:jc w:val="center"/>
              <w:rPr>
                <w:rFonts w:hint="eastAsia" w:ascii="宋体" w:hAnsi="宋体" w:eastAsia="宋体" w:cs="宋体"/>
                <w:szCs w:val="21"/>
              </w:rPr>
            </w:pPr>
            <w:r>
              <w:rPr>
                <w:rFonts w:hint="eastAsia" w:ascii="宋体" w:hAnsi="宋体" w:eastAsia="宋体" w:cs="宋体"/>
                <w:szCs w:val="21"/>
              </w:rPr>
              <w:t>成绩组成</w:t>
            </w:r>
          </w:p>
        </w:tc>
        <w:tc>
          <w:tcPr>
            <w:tcW w:w="1301" w:type="dxa"/>
            <w:shd w:val="clear" w:color="auto" w:fill="FFFFFF"/>
            <w:noWrap w:val="0"/>
            <w:vAlign w:val="center"/>
          </w:tcPr>
          <w:p w14:paraId="6CFC5E82">
            <w:pPr>
              <w:jc w:val="center"/>
              <w:rPr>
                <w:rFonts w:hint="eastAsia" w:ascii="宋体" w:hAnsi="宋体" w:eastAsia="宋体" w:cs="宋体"/>
                <w:szCs w:val="21"/>
              </w:rPr>
            </w:pPr>
            <w:r>
              <w:rPr>
                <w:rFonts w:hint="eastAsia" w:ascii="宋体" w:hAnsi="宋体" w:eastAsia="宋体" w:cs="宋体"/>
                <w:szCs w:val="21"/>
              </w:rPr>
              <w:t>考核/评价环节</w:t>
            </w:r>
          </w:p>
        </w:tc>
        <w:tc>
          <w:tcPr>
            <w:tcW w:w="741" w:type="dxa"/>
            <w:shd w:val="clear" w:color="auto" w:fill="FFFFFF"/>
            <w:noWrap w:val="0"/>
            <w:vAlign w:val="center"/>
          </w:tcPr>
          <w:p w14:paraId="7071DC59">
            <w:pPr>
              <w:jc w:val="center"/>
              <w:rPr>
                <w:rFonts w:hint="eastAsia" w:ascii="宋体" w:hAnsi="宋体" w:eastAsia="宋体" w:cs="宋体"/>
                <w:szCs w:val="21"/>
              </w:rPr>
            </w:pPr>
            <w:r>
              <w:rPr>
                <w:rFonts w:hint="eastAsia" w:ascii="宋体" w:hAnsi="宋体" w:eastAsia="宋体" w:cs="宋体"/>
                <w:szCs w:val="21"/>
              </w:rPr>
              <w:t>权重</w:t>
            </w:r>
          </w:p>
        </w:tc>
        <w:tc>
          <w:tcPr>
            <w:tcW w:w="4047" w:type="dxa"/>
            <w:shd w:val="clear" w:color="auto" w:fill="FFFFFF"/>
            <w:noWrap w:val="0"/>
            <w:vAlign w:val="center"/>
          </w:tcPr>
          <w:p w14:paraId="3BBE2720">
            <w:pPr>
              <w:jc w:val="center"/>
              <w:rPr>
                <w:rFonts w:hint="eastAsia" w:ascii="宋体" w:hAnsi="宋体" w:eastAsia="宋体" w:cs="宋体"/>
                <w:szCs w:val="21"/>
              </w:rPr>
            </w:pPr>
            <w:r>
              <w:rPr>
                <w:rFonts w:hint="eastAsia" w:ascii="宋体" w:hAnsi="宋体" w:eastAsia="宋体" w:cs="宋体"/>
                <w:szCs w:val="21"/>
              </w:rPr>
              <w:t>考核/评价细则</w:t>
            </w:r>
          </w:p>
        </w:tc>
        <w:tc>
          <w:tcPr>
            <w:tcW w:w="1349" w:type="dxa"/>
            <w:shd w:val="clear" w:color="auto" w:fill="FFFFFF"/>
            <w:noWrap w:val="0"/>
            <w:vAlign w:val="center"/>
          </w:tcPr>
          <w:p w14:paraId="6F7EAB0C">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2075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noWrap w:val="0"/>
            <w:tcMar>
              <w:left w:w="57" w:type="dxa"/>
              <w:right w:w="57" w:type="dxa"/>
            </w:tcMar>
            <w:vAlign w:val="center"/>
          </w:tcPr>
          <w:p w14:paraId="67632C16">
            <w:pPr>
              <w:jc w:val="center"/>
              <w:rPr>
                <w:rFonts w:hint="eastAsia" w:ascii="宋体" w:hAnsi="宋体" w:eastAsia="宋体" w:cs="宋体"/>
                <w:szCs w:val="21"/>
              </w:rPr>
            </w:pPr>
            <w:r>
              <w:rPr>
                <w:rFonts w:hint="eastAsia" w:ascii="宋体" w:hAnsi="宋体" w:eastAsia="宋体" w:cs="宋体"/>
                <w:szCs w:val="21"/>
              </w:rPr>
              <w:t>课外体育活动</w:t>
            </w:r>
          </w:p>
          <w:p w14:paraId="444859CE">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432F3AE4">
            <w:pPr>
              <w:spacing w:line="276" w:lineRule="auto"/>
              <w:jc w:val="center"/>
              <w:rPr>
                <w:rFonts w:hint="eastAsia" w:ascii="宋体" w:hAnsi="宋体" w:eastAsia="宋体" w:cs="宋体"/>
                <w:szCs w:val="21"/>
              </w:rPr>
            </w:pPr>
            <w:r>
              <w:rPr>
                <w:rFonts w:hint="eastAsia" w:ascii="宋体" w:hAnsi="宋体" w:eastAsia="宋体" w:cs="宋体"/>
                <w:szCs w:val="21"/>
              </w:rPr>
              <w:t>课外体育活动</w:t>
            </w:r>
          </w:p>
        </w:tc>
        <w:tc>
          <w:tcPr>
            <w:tcW w:w="741" w:type="dxa"/>
            <w:noWrap w:val="0"/>
            <w:vAlign w:val="center"/>
          </w:tcPr>
          <w:p w14:paraId="158CA1B1">
            <w:pPr>
              <w:jc w:val="center"/>
              <w:rPr>
                <w:rFonts w:hint="eastAsia" w:ascii="宋体" w:hAnsi="宋体" w:eastAsia="宋体" w:cs="宋体"/>
                <w:szCs w:val="21"/>
              </w:rPr>
            </w:pPr>
            <w:r>
              <w:rPr>
                <w:rFonts w:hint="eastAsia" w:ascii="宋体" w:hAnsi="宋体" w:eastAsia="宋体" w:cs="宋体"/>
                <w:szCs w:val="21"/>
              </w:rPr>
              <w:t>50%</w:t>
            </w:r>
          </w:p>
        </w:tc>
        <w:tc>
          <w:tcPr>
            <w:tcW w:w="4047" w:type="dxa"/>
            <w:noWrap w:val="0"/>
            <w:vAlign w:val="center"/>
          </w:tcPr>
          <w:p w14:paraId="4EFA7399">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具体见《学生参加课外体育活动成绩评定标准（百分制）》</w:t>
            </w:r>
          </w:p>
        </w:tc>
        <w:tc>
          <w:tcPr>
            <w:tcW w:w="1349" w:type="dxa"/>
            <w:noWrap w:val="0"/>
            <w:vAlign w:val="center"/>
          </w:tcPr>
          <w:p w14:paraId="6F62C0FB">
            <w:pPr>
              <w:jc w:val="center"/>
              <w:rPr>
                <w:rFonts w:hint="eastAsia" w:ascii="宋体" w:hAnsi="宋体" w:eastAsia="宋体" w:cs="宋体"/>
                <w:szCs w:val="22"/>
              </w:rPr>
            </w:pPr>
            <w:r>
              <w:rPr>
                <w:rFonts w:hint="eastAsia" w:ascii="宋体" w:hAnsi="宋体" w:eastAsia="宋体" w:cs="宋体"/>
                <w:szCs w:val="22"/>
              </w:rPr>
              <w:t>8、9</w:t>
            </w:r>
          </w:p>
        </w:tc>
      </w:tr>
      <w:tr w14:paraId="4BE1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040" w:type="dxa"/>
            <w:noWrap w:val="0"/>
            <w:tcMar>
              <w:left w:w="57" w:type="dxa"/>
              <w:right w:w="57" w:type="dxa"/>
            </w:tcMar>
            <w:vAlign w:val="center"/>
          </w:tcPr>
          <w:p w14:paraId="1C23DCD6">
            <w:pPr>
              <w:jc w:val="center"/>
              <w:rPr>
                <w:rFonts w:hint="eastAsia" w:ascii="宋体" w:hAnsi="宋体" w:eastAsia="宋体" w:cs="宋体"/>
                <w:szCs w:val="21"/>
              </w:rPr>
            </w:pPr>
            <w:r>
              <w:rPr>
                <w:rFonts w:hint="eastAsia" w:ascii="宋体" w:hAnsi="宋体" w:eastAsia="宋体" w:cs="宋体"/>
                <w:szCs w:val="21"/>
              </w:rPr>
              <w:t>体质测试</w:t>
            </w:r>
          </w:p>
          <w:p w14:paraId="7877419E">
            <w:pPr>
              <w:jc w:val="center"/>
              <w:rPr>
                <w:rFonts w:hint="eastAsia" w:ascii="宋体" w:hAnsi="宋体" w:eastAsia="宋体" w:cs="宋体"/>
                <w:szCs w:val="21"/>
              </w:rPr>
            </w:pPr>
            <w:r>
              <w:rPr>
                <w:rFonts w:hint="eastAsia" w:ascii="宋体" w:hAnsi="宋体" w:eastAsia="宋体" w:cs="宋体"/>
                <w:szCs w:val="21"/>
              </w:rPr>
              <w:t>50%</w:t>
            </w:r>
          </w:p>
        </w:tc>
        <w:tc>
          <w:tcPr>
            <w:tcW w:w="1301" w:type="dxa"/>
            <w:noWrap w:val="0"/>
            <w:vAlign w:val="center"/>
          </w:tcPr>
          <w:p w14:paraId="1606591F">
            <w:pPr>
              <w:jc w:val="center"/>
              <w:rPr>
                <w:rFonts w:hint="eastAsia" w:ascii="宋体" w:hAnsi="宋体" w:eastAsia="宋体" w:cs="宋体"/>
                <w:szCs w:val="21"/>
              </w:rPr>
            </w:pPr>
            <w:r>
              <w:rPr>
                <w:rFonts w:hint="eastAsia" w:ascii="宋体" w:hAnsi="宋体" w:eastAsia="宋体" w:cs="宋体"/>
                <w:szCs w:val="21"/>
              </w:rPr>
              <w:t>体质测试</w:t>
            </w:r>
          </w:p>
        </w:tc>
        <w:tc>
          <w:tcPr>
            <w:tcW w:w="741" w:type="dxa"/>
            <w:noWrap w:val="0"/>
            <w:vAlign w:val="center"/>
          </w:tcPr>
          <w:p w14:paraId="7876D07C">
            <w:pPr>
              <w:jc w:val="center"/>
              <w:rPr>
                <w:rFonts w:hint="eastAsia" w:ascii="宋体" w:hAnsi="宋体" w:eastAsia="宋体" w:cs="宋体"/>
                <w:szCs w:val="21"/>
              </w:rPr>
            </w:pPr>
            <w:r>
              <w:rPr>
                <w:rFonts w:hint="eastAsia" w:ascii="宋体" w:hAnsi="宋体" w:eastAsia="宋体" w:cs="宋体"/>
                <w:szCs w:val="21"/>
              </w:rPr>
              <w:t xml:space="preserve">   100%</w:t>
            </w:r>
          </w:p>
        </w:tc>
        <w:tc>
          <w:tcPr>
            <w:tcW w:w="4047" w:type="dxa"/>
            <w:noWrap w:val="0"/>
            <w:vAlign w:val="center"/>
          </w:tcPr>
          <w:p w14:paraId="303E2A03">
            <w:pPr>
              <w:rPr>
                <w:rFonts w:hint="eastAsia" w:ascii="宋体" w:hAnsi="宋体" w:eastAsia="宋体" w:cs="宋体"/>
                <w:color w:val="000000"/>
                <w:szCs w:val="21"/>
              </w:rPr>
            </w:pPr>
            <w:r>
              <w:rPr>
                <w:rFonts w:hint="eastAsia" w:ascii="宋体" w:hAnsi="宋体" w:eastAsia="宋体" w:cs="宋体"/>
                <w:bCs/>
                <w:kern w:val="24"/>
                <w:szCs w:val="21"/>
              </w:rPr>
              <w:t>课外测试，评分参照《国家学生体质健康标准》。</w:t>
            </w:r>
          </w:p>
        </w:tc>
        <w:tc>
          <w:tcPr>
            <w:tcW w:w="1349" w:type="dxa"/>
            <w:noWrap w:val="0"/>
            <w:vAlign w:val="center"/>
          </w:tcPr>
          <w:p w14:paraId="6166BEB4">
            <w:pPr>
              <w:jc w:val="center"/>
              <w:rPr>
                <w:rFonts w:hint="eastAsia" w:ascii="宋体" w:hAnsi="宋体" w:eastAsia="宋体" w:cs="宋体"/>
                <w:szCs w:val="21"/>
              </w:rPr>
            </w:pPr>
            <w:r>
              <w:rPr>
                <w:rFonts w:hint="eastAsia" w:ascii="宋体" w:hAnsi="宋体" w:eastAsia="宋体" w:cs="宋体"/>
                <w:bCs/>
                <w:szCs w:val="21"/>
              </w:rPr>
              <w:t>8、9</w:t>
            </w:r>
          </w:p>
        </w:tc>
      </w:tr>
    </w:tbl>
    <w:p w14:paraId="6497E821">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学生参加课外体育活动成绩评定标准（百分制）</w:t>
      </w:r>
    </w:p>
    <w:tbl>
      <w:tblPr>
        <w:tblStyle w:val="1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0"/>
        <w:gridCol w:w="762"/>
        <w:gridCol w:w="760"/>
        <w:gridCol w:w="762"/>
        <w:gridCol w:w="760"/>
        <w:gridCol w:w="762"/>
        <w:gridCol w:w="761"/>
        <w:gridCol w:w="763"/>
        <w:gridCol w:w="763"/>
      </w:tblGrid>
      <w:tr w14:paraId="58DD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539D3C6A">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考勤次数</w:t>
            </w:r>
          </w:p>
        </w:tc>
        <w:tc>
          <w:tcPr>
            <w:tcW w:w="446" w:type="pct"/>
            <w:noWrap w:val="0"/>
            <w:vAlign w:val="center"/>
          </w:tcPr>
          <w:p w14:paraId="5FA2F238">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0</w:t>
            </w:r>
          </w:p>
        </w:tc>
        <w:tc>
          <w:tcPr>
            <w:tcW w:w="447" w:type="pct"/>
            <w:noWrap w:val="0"/>
            <w:vAlign w:val="center"/>
          </w:tcPr>
          <w:p w14:paraId="38C9405D">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5</w:t>
            </w:r>
          </w:p>
        </w:tc>
        <w:tc>
          <w:tcPr>
            <w:tcW w:w="446" w:type="pct"/>
            <w:noWrap w:val="0"/>
            <w:vAlign w:val="center"/>
          </w:tcPr>
          <w:p w14:paraId="199A7B1A">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10</w:t>
            </w:r>
          </w:p>
        </w:tc>
        <w:tc>
          <w:tcPr>
            <w:tcW w:w="447" w:type="pct"/>
            <w:noWrap w:val="0"/>
            <w:vAlign w:val="center"/>
          </w:tcPr>
          <w:p w14:paraId="71D7C1F6">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15</w:t>
            </w:r>
          </w:p>
        </w:tc>
        <w:tc>
          <w:tcPr>
            <w:tcW w:w="446" w:type="pct"/>
            <w:noWrap w:val="0"/>
            <w:vAlign w:val="center"/>
          </w:tcPr>
          <w:p w14:paraId="07BE4CD6">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20</w:t>
            </w:r>
          </w:p>
        </w:tc>
        <w:tc>
          <w:tcPr>
            <w:tcW w:w="447" w:type="pct"/>
            <w:noWrap w:val="0"/>
            <w:vAlign w:val="center"/>
          </w:tcPr>
          <w:p w14:paraId="7DBC4F41">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25</w:t>
            </w:r>
          </w:p>
        </w:tc>
        <w:tc>
          <w:tcPr>
            <w:tcW w:w="446" w:type="pct"/>
            <w:noWrap w:val="0"/>
            <w:vAlign w:val="center"/>
          </w:tcPr>
          <w:p w14:paraId="3E05BA9B">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30</w:t>
            </w:r>
          </w:p>
        </w:tc>
        <w:tc>
          <w:tcPr>
            <w:tcW w:w="447" w:type="pct"/>
            <w:noWrap w:val="0"/>
            <w:vAlign w:val="center"/>
          </w:tcPr>
          <w:p w14:paraId="48F074CE">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35</w:t>
            </w:r>
          </w:p>
        </w:tc>
        <w:tc>
          <w:tcPr>
            <w:tcW w:w="447" w:type="pct"/>
            <w:noWrap w:val="0"/>
            <w:vAlign w:val="center"/>
          </w:tcPr>
          <w:p w14:paraId="3E968EC4">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40</w:t>
            </w:r>
          </w:p>
        </w:tc>
      </w:tr>
      <w:tr w14:paraId="70A5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1902F8C6">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成绩</w:t>
            </w:r>
          </w:p>
        </w:tc>
        <w:tc>
          <w:tcPr>
            <w:tcW w:w="446" w:type="pct"/>
            <w:noWrap w:val="0"/>
            <w:vAlign w:val="center"/>
          </w:tcPr>
          <w:p w14:paraId="3439D479">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0</w:t>
            </w:r>
          </w:p>
        </w:tc>
        <w:tc>
          <w:tcPr>
            <w:tcW w:w="447" w:type="pct"/>
            <w:noWrap w:val="0"/>
            <w:vAlign w:val="center"/>
          </w:tcPr>
          <w:p w14:paraId="1A2AAC2C">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12.5</w:t>
            </w:r>
          </w:p>
        </w:tc>
        <w:tc>
          <w:tcPr>
            <w:tcW w:w="446" w:type="pct"/>
            <w:noWrap w:val="0"/>
            <w:vAlign w:val="center"/>
          </w:tcPr>
          <w:p w14:paraId="346C2973">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25</w:t>
            </w:r>
          </w:p>
        </w:tc>
        <w:tc>
          <w:tcPr>
            <w:tcW w:w="447" w:type="pct"/>
            <w:noWrap w:val="0"/>
            <w:vAlign w:val="center"/>
          </w:tcPr>
          <w:p w14:paraId="2DB1939D">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37.5</w:t>
            </w:r>
          </w:p>
        </w:tc>
        <w:tc>
          <w:tcPr>
            <w:tcW w:w="446" w:type="pct"/>
            <w:noWrap w:val="0"/>
            <w:vAlign w:val="center"/>
          </w:tcPr>
          <w:p w14:paraId="787EB374">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50</w:t>
            </w:r>
          </w:p>
        </w:tc>
        <w:tc>
          <w:tcPr>
            <w:tcW w:w="447" w:type="pct"/>
            <w:noWrap w:val="0"/>
            <w:vAlign w:val="center"/>
          </w:tcPr>
          <w:p w14:paraId="598F3DE9">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62.5</w:t>
            </w:r>
          </w:p>
        </w:tc>
        <w:tc>
          <w:tcPr>
            <w:tcW w:w="446" w:type="pct"/>
            <w:noWrap w:val="0"/>
            <w:vAlign w:val="center"/>
          </w:tcPr>
          <w:p w14:paraId="22E47AA1">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75</w:t>
            </w:r>
          </w:p>
        </w:tc>
        <w:tc>
          <w:tcPr>
            <w:tcW w:w="447" w:type="pct"/>
            <w:noWrap w:val="0"/>
            <w:vAlign w:val="center"/>
          </w:tcPr>
          <w:p w14:paraId="329DF15A">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87.5</w:t>
            </w:r>
          </w:p>
        </w:tc>
        <w:tc>
          <w:tcPr>
            <w:tcW w:w="447" w:type="pct"/>
            <w:noWrap w:val="0"/>
            <w:vAlign w:val="center"/>
          </w:tcPr>
          <w:p w14:paraId="180A63F3">
            <w:pPr>
              <w:spacing w:line="280" w:lineRule="exact"/>
              <w:jc w:val="center"/>
              <w:rPr>
                <w:rFonts w:hint="eastAsia" w:ascii="宋体" w:hAnsi="宋体" w:eastAsia="宋体" w:cs="宋体"/>
                <w:sz w:val="24"/>
                <w:szCs w:val="22"/>
              </w:rPr>
            </w:pPr>
            <w:r>
              <w:rPr>
                <w:rFonts w:hint="eastAsia" w:ascii="宋体" w:hAnsi="宋体" w:eastAsia="宋体" w:cs="宋体"/>
                <w:sz w:val="24"/>
                <w:szCs w:val="22"/>
              </w:rPr>
              <w:t>100</w:t>
            </w:r>
          </w:p>
        </w:tc>
      </w:tr>
    </w:tbl>
    <w:p w14:paraId="0CFEC9D8">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六、有关说明</w:t>
      </w:r>
    </w:p>
    <w:p w14:paraId="2BBFA9DE">
      <w:pPr>
        <w:spacing w:line="360" w:lineRule="auto"/>
        <w:ind w:firstLine="482" w:firstLineChars="200"/>
        <w:rPr>
          <w:rFonts w:hint="eastAsia" w:ascii="宋体" w:hAnsi="宋体" w:eastAsia="宋体" w:cs="宋体"/>
          <w:b/>
          <w:color w:val="000000"/>
          <w:sz w:val="24"/>
          <w:szCs w:val="22"/>
        </w:rPr>
      </w:pPr>
      <w:r>
        <w:rPr>
          <w:rFonts w:hint="eastAsia" w:ascii="宋体" w:hAnsi="宋体" w:eastAsia="宋体" w:cs="宋体"/>
          <w:b/>
          <w:color w:val="000000"/>
          <w:sz w:val="24"/>
          <w:szCs w:val="22"/>
        </w:rPr>
        <w:t>（一）持续改进</w:t>
      </w:r>
    </w:p>
    <w:p w14:paraId="5B3C47FF">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本课程根据学生课外锻炼、体质测试等情况，以及学生、教学督导等反馈，及时对教学中不足之处进行改进，并在下一轮课程教学中整改完善，确保相应毕业要求指标点达成。</w:t>
      </w:r>
    </w:p>
    <w:p w14:paraId="1410B21D">
      <w:pPr>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color w:val="000000"/>
          <w:sz w:val="24"/>
          <w:szCs w:val="22"/>
        </w:rPr>
        <w:t>（二）教学参考书</w:t>
      </w:r>
    </w:p>
    <w:p w14:paraId="5AD290E2">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1.毛振明.大学体育文化与实技教程[M].沈阳：东北大学出版社，2013.</w:t>
      </w:r>
    </w:p>
    <w:p w14:paraId="00F0ABA1">
      <w:pPr>
        <w:autoSpaceDE w:val="0"/>
        <w:autoSpaceDN w:val="0"/>
        <w:adjustRightInd w:val="0"/>
        <w:spacing w:line="360" w:lineRule="auto"/>
        <w:ind w:firstLine="420" w:firstLineChars="200"/>
        <w:jc w:val="left"/>
        <w:rPr>
          <w:rFonts w:hint="eastAsia" w:ascii="宋体" w:hAnsi="宋体" w:eastAsia="宋体" w:cs="宋体"/>
          <w:szCs w:val="22"/>
        </w:rPr>
      </w:pPr>
    </w:p>
    <w:p w14:paraId="65AE0458">
      <w:pPr>
        <w:autoSpaceDE w:val="0"/>
        <w:autoSpaceDN w:val="0"/>
        <w:adjustRightInd w:val="0"/>
        <w:spacing w:line="360" w:lineRule="auto"/>
        <w:ind w:firstLine="420" w:firstLineChars="200"/>
        <w:jc w:val="left"/>
        <w:rPr>
          <w:rFonts w:hint="eastAsia" w:ascii="宋体" w:hAnsi="宋体" w:eastAsia="宋体" w:cs="宋体"/>
          <w:szCs w:val="22"/>
        </w:rPr>
      </w:pPr>
    </w:p>
    <w:p w14:paraId="1A750E5A">
      <w:pPr>
        <w:wordWrap w:val="0"/>
        <w:spacing w:line="360" w:lineRule="exact"/>
        <w:jc w:val="right"/>
        <w:rPr>
          <w:rFonts w:hint="eastAsia" w:ascii="宋体" w:hAnsi="宋体" w:eastAsia="宋体" w:cs="宋体"/>
          <w:sz w:val="24"/>
          <w:szCs w:val="22"/>
        </w:rPr>
      </w:pPr>
      <w:r>
        <w:rPr>
          <w:rFonts w:hint="eastAsia" w:ascii="宋体" w:hAnsi="宋体" w:eastAsia="宋体" w:cs="宋体"/>
          <w:sz w:val="24"/>
          <w:szCs w:val="22"/>
        </w:rPr>
        <w:t>执笔人：顾  宏</w:t>
      </w:r>
    </w:p>
    <w:p w14:paraId="2F7029F3">
      <w:pPr>
        <w:spacing w:line="360" w:lineRule="exact"/>
        <w:ind w:firstLine="480" w:firstLineChars="200"/>
        <w:jc w:val="right"/>
        <w:rPr>
          <w:rFonts w:hint="eastAsia" w:ascii="宋体" w:hAnsi="宋体" w:eastAsia="宋体" w:cs="宋体"/>
          <w:sz w:val="24"/>
          <w:szCs w:val="22"/>
        </w:rPr>
      </w:pPr>
      <w:r>
        <w:rPr>
          <w:rFonts w:hint="eastAsia" w:ascii="宋体" w:hAnsi="宋体" w:eastAsia="宋体" w:cs="宋体"/>
          <w:sz w:val="24"/>
          <w:szCs w:val="22"/>
        </w:rPr>
        <w:t xml:space="preserve"> 审定人：方曙光</w:t>
      </w:r>
    </w:p>
    <w:p w14:paraId="6BF6E020">
      <w:pPr>
        <w:autoSpaceDE w:val="0"/>
        <w:autoSpaceDN w:val="0"/>
        <w:adjustRightInd w:val="0"/>
        <w:spacing w:line="360" w:lineRule="auto"/>
        <w:ind w:firstLine="480" w:firstLineChars="200"/>
        <w:jc w:val="right"/>
        <w:rPr>
          <w:rFonts w:hint="eastAsia" w:ascii="宋体" w:hAnsi="宋体" w:eastAsia="宋体" w:cs="宋体"/>
          <w:sz w:val="24"/>
          <w:szCs w:val="22"/>
        </w:rPr>
      </w:pPr>
      <w:r>
        <w:rPr>
          <w:rFonts w:hint="eastAsia" w:ascii="宋体" w:hAnsi="宋体" w:eastAsia="宋体" w:cs="宋体"/>
          <w:sz w:val="24"/>
          <w:szCs w:val="22"/>
        </w:rPr>
        <w:t>批准人：王红福</w:t>
      </w:r>
    </w:p>
    <w:p w14:paraId="7878B246">
      <w:pPr>
        <w:autoSpaceDE w:val="0"/>
        <w:autoSpaceDN w:val="0"/>
        <w:adjustRightInd w:val="0"/>
        <w:spacing w:line="360" w:lineRule="auto"/>
        <w:ind w:firstLine="480" w:firstLineChars="200"/>
        <w:jc w:val="right"/>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t>批准时间：2024年8月30日</w:t>
      </w:r>
    </w:p>
    <w:p w14:paraId="64DD6336">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059DB600">
      <w:pPr>
        <w:pStyle w:val="2"/>
        <w:bidi w:val="0"/>
      </w:pPr>
      <w:bookmarkStart w:id="150" w:name="_Toc743"/>
      <w:r>
        <w:rPr>
          <w:rFonts w:hint="eastAsia"/>
        </w:rPr>
        <w:t>《</w:t>
      </w:r>
      <w:r>
        <w:t>大学生创新创业基础</w:t>
      </w:r>
      <w:r>
        <w:rPr>
          <w:rFonts w:hint="eastAsia"/>
        </w:rPr>
        <w:t>》课程教学大纲</w:t>
      </w:r>
      <w:bookmarkEnd w:id="150"/>
    </w:p>
    <w:p w14:paraId="7C06F8EA">
      <w:pPr>
        <w:pStyle w:val="2"/>
        <w:bidi w:val="0"/>
      </w:pPr>
      <w:bookmarkStart w:id="151" w:name="_Toc30344"/>
      <w:r>
        <w:t>（Foundations of Innovation and Entrepreneurship</w:t>
      </w:r>
      <w:bookmarkEnd w:id="151"/>
      <w:r>
        <w:t xml:space="preserve"> </w:t>
      </w:r>
    </w:p>
    <w:p w14:paraId="18CEA06B">
      <w:pPr>
        <w:pStyle w:val="2"/>
        <w:bidi w:val="0"/>
      </w:pPr>
      <w:bookmarkStart w:id="152" w:name="_Toc32387"/>
      <w:r>
        <w:t>for College Students）</w:t>
      </w:r>
      <w:bookmarkEnd w:id="152"/>
    </w:p>
    <w:p w14:paraId="119830D9">
      <w:pPr>
        <w:spacing w:line="360" w:lineRule="auto"/>
        <w:jc w:val="center"/>
        <w:rPr>
          <w:rFonts w:ascii="Times New Roman" w:hAnsi="Times New Roman" w:eastAsia="宋体" w:cs="Times New Roman"/>
          <w:bCs/>
          <w:sz w:val="30"/>
          <w:szCs w:val="30"/>
        </w:rPr>
      </w:pPr>
    </w:p>
    <w:p w14:paraId="45BD0FB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课程名称：大学生创新创业基础</w:t>
      </w:r>
    </w:p>
    <w:p w14:paraId="471949C6">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课程代码：0000008</w:t>
      </w:r>
    </w:p>
    <w:p w14:paraId="1C3BA14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3325D8E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45C82AA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先修课程：大学生劳动教育、职业生涯规划</w:t>
      </w:r>
    </w:p>
    <w:p w14:paraId="2119DBF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4F518666">
      <w:pPr>
        <w:spacing w:line="360" w:lineRule="auto"/>
        <w:jc w:val="left"/>
        <w:rPr>
          <w:rFonts w:ascii="Times New Roman" w:hAnsi="Times New Roman" w:eastAsia="宋体" w:cs="Times New Roman"/>
          <w:b/>
          <w:sz w:val="24"/>
          <w:szCs w:val="24"/>
        </w:rPr>
      </w:pPr>
    </w:p>
    <w:p w14:paraId="39762638">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407DB95C">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本课程是根据国家和地方政府关于深化高等学校创新创业教育改革实施意见等系列文件精神而开设的一门理论性、政策性和实践性较强的通识教育必修课程，主要针对大一学生开展创新创业的普及型启蒙教育。</w:t>
      </w:r>
    </w:p>
    <w:p w14:paraId="48E28279">
      <w:pPr>
        <w:spacing w:line="360" w:lineRule="auto"/>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课程以传授创新创业知识为基础，以锻炼创新创业能力为关键，以培养创新创业精神为  核心，让学生了解创新创业教育的发展历程与时代背景，理解创新、创业、专业、产业以及  与职业生涯发展的逻辑关系。课程将中国共产党百年创业史和中国国际大学生创新大赛、“挑  战杯”中国大学生创业计划竞赛、“挑战杯”全国大学生课外学术科技作品竞赛等高水平赛  事贯穿其中，通过项目挖掘、头脑风暴、角色扮演、案例分析、小组合作、路演汇报等高度  参与的项目制教学方法，帮助当代大学生在新时代背景下运用创新思维方法与工具激发、梳  理和筛选各种创新创业的灵感、想法和构思，分析创新创业的资源、财务和风险，了解商业  模式的设计与运行，加强创新创业团队建设，撰写可行的项目计划书或社会调查报告，让学  生初步体会作业-作品-产品-商品的转变过程，形成创新创业的行动路线，学会从“0到1” 做项目，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2D78ABC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4025F565">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E732B5E">
      <w:pPr>
        <w:spacing w:line="360" w:lineRule="auto"/>
        <w:ind w:firstLine="482"/>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bCs/>
          <w:szCs w:val="21"/>
        </w:rPr>
        <w:t>以项目申报书、专利申请书、社会调查报告或商业计划书为标准，分析中国国际大学生创新大赛、“挑战杯”中国大学生创业计划竞赛、"挑战杯"全国大学生课外学术科技作品竞赛等高水平赛事的发展历史与赛事规则，为后续进一步提升和打磨项目，开设专创融合进阶课程和产教融合实战课程打下基础。</w:t>
      </w:r>
    </w:p>
    <w:p w14:paraId="0D526DF5">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以立德树人为根本，培养爱国情操和家国情怀，能够挖掘创新创业项目并对其理解、分析和归纳总结，培养解决实际问题的能力。</w:t>
      </w:r>
    </w:p>
    <w:p w14:paraId="56DC5C1F">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10146"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374"/>
        <w:gridCol w:w="1362"/>
      </w:tblGrid>
      <w:tr w14:paraId="2805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0AAD6CD">
            <w:pPr>
              <w:spacing w:line="360" w:lineRule="auto"/>
              <w:jc w:val="center"/>
              <w:rPr>
                <w:rFonts w:ascii="宋体" w:hAnsi="宋体" w:eastAsia="宋体" w:cs="Times New Roman"/>
                <w:b/>
                <w:bCs/>
                <w:szCs w:val="21"/>
              </w:rPr>
            </w:pPr>
            <w:r>
              <w:rPr>
                <w:rFonts w:hint="eastAsia" w:ascii="宋体" w:hAnsi="宋体" w:eastAsia="宋体" w:cs="Times New Roman"/>
                <w:b/>
                <w:bCs/>
                <w:szCs w:val="21"/>
              </w:rPr>
              <w:t>毕业要求</w:t>
            </w:r>
          </w:p>
        </w:tc>
        <w:tc>
          <w:tcPr>
            <w:tcW w:w="6374" w:type="dxa"/>
            <w:vAlign w:val="center"/>
          </w:tcPr>
          <w:p w14:paraId="4904B1A1">
            <w:pPr>
              <w:spacing w:line="360" w:lineRule="auto"/>
              <w:jc w:val="center"/>
              <w:rPr>
                <w:rFonts w:ascii="宋体" w:hAnsi="宋体" w:eastAsia="宋体" w:cs="Times New Roman"/>
                <w:b/>
                <w:bCs/>
                <w:szCs w:val="21"/>
              </w:rPr>
            </w:pPr>
            <w:r>
              <w:rPr>
                <w:rFonts w:hint="eastAsia" w:ascii="宋体" w:hAnsi="宋体" w:eastAsia="宋体" w:cs="Times New Roman"/>
                <w:b/>
                <w:bCs/>
                <w:szCs w:val="21"/>
              </w:rPr>
              <w:t>毕业要求指标点</w:t>
            </w:r>
          </w:p>
        </w:tc>
        <w:tc>
          <w:tcPr>
            <w:tcW w:w="1362" w:type="dxa"/>
            <w:vAlign w:val="center"/>
          </w:tcPr>
          <w:p w14:paraId="065A19DB">
            <w:pPr>
              <w:spacing w:line="360"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r>
      <w:tr w14:paraId="3DD0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9F1E1F6">
            <w:pPr>
              <w:autoSpaceDE w:val="0"/>
              <w:autoSpaceDN w:val="0"/>
              <w:rPr>
                <w:rFonts w:hint="eastAsia" w:ascii="宋体" w:hAnsi="宋体" w:eastAsia="宋体" w:cs="宋体"/>
                <w:b/>
                <w:bCs/>
                <w:kern w:val="0"/>
                <w:szCs w:val="21"/>
              </w:rPr>
            </w:pPr>
            <w:r>
              <w:rPr>
                <w:rFonts w:hint="eastAsia" w:ascii="宋体" w:hAnsi="宋体" w:eastAsia="宋体" w:cs="宋体"/>
                <w:b/>
                <w:bCs/>
                <w:kern w:val="0"/>
                <w:szCs w:val="21"/>
              </w:rPr>
              <w:t>毕业要求7：学会反思</w:t>
            </w:r>
          </w:p>
        </w:tc>
        <w:tc>
          <w:tcPr>
            <w:tcW w:w="6374" w:type="dxa"/>
            <w:vAlign w:val="center"/>
          </w:tcPr>
          <w:p w14:paraId="6E35F2F9">
            <w:pPr>
              <w:spacing w:line="276" w:lineRule="auto"/>
              <w:jc w:val="left"/>
              <w:rPr>
                <w:rFonts w:ascii="宋体" w:hAnsi="宋体" w:eastAsia="宋体" w:cs="宋体"/>
                <w:szCs w:val="21"/>
              </w:rPr>
            </w:pPr>
            <w:r>
              <w:rPr>
                <w:rFonts w:hint="eastAsia" w:ascii="宋体" w:hAnsi="宋体" w:eastAsia="宋体" w:cs="宋体"/>
                <w:kern w:val="0"/>
                <w:szCs w:val="21"/>
              </w:rPr>
              <w:t>指标点</w:t>
            </w:r>
            <w:r>
              <w:rPr>
                <w:rFonts w:hint="eastAsia" w:ascii="宋体" w:hAnsi="宋体" w:eastAsia="宋体" w:cs="宋体"/>
                <w:szCs w:val="21"/>
              </w:rPr>
              <w:t>7-2：【职业规划合理】了解教师专业发展的要求，形成终身学习的意识和习惯，注重自身的专业发展，根据基础教育课程改革的动态和发展情况，进行职业生涯规划和自主学习。</w:t>
            </w:r>
          </w:p>
          <w:p w14:paraId="283EFD8B">
            <w:pPr>
              <w:spacing w:line="276" w:lineRule="auto"/>
              <w:jc w:val="left"/>
              <w:rPr>
                <w:rFonts w:ascii="宋体" w:hAnsi="宋体"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62" w:type="dxa"/>
            <w:vAlign w:val="center"/>
          </w:tcPr>
          <w:p w14:paraId="26372E77">
            <w:pPr>
              <w:spacing w:line="276" w:lineRule="auto"/>
              <w:jc w:val="left"/>
              <w:rPr>
                <w:rFonts w:ascii="宋体" w:hAnsi="宋体" w:eastAsia="宋体" w:cs="Times New Roman"/>
                <w:szCs w:val="21"/>
              </w:rPr>
            </w:pPr>
            <w:r>
              <w:rPr>
                <w:rFonts w:hint="eastAsia" w:ascii="宋体" w:hAnsi="宋体" w:eastAsia="宋体" w:cs="Times New Roman"/>
                <w:szCs w:val="21"/>
              </w:rPr>
              <w:t>课程目标1</w:t>
            </w:r>
          </w:p>
          <w:p w14:paraId="02D8D35C">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tc>
      </w:tr>
      <w:tr w14:paraId="2953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426C32F3">
            <w:pPr>
              <w:autoSpaceDE w:val="0"/>
              <w:autoSpaceDN w:val="0"/>
              <w:rPr>
                <w:rFonts w:hint="eastAsia" w:ascii="宋体" w:hAnsi="宋体" w:eastAsia="宋体" w:cs="宋体"/>
                <w:b/>
                <w:bCs/>
                <w:szCs w:val="21"/>
              </w:rPr>
            </w:pPr>
            <w:r>
              <w:rPr>
                <w:rFonts w:hint="eastAsia" w:ascii="宋体" w:hAnsi="宋体" w:eastAsia="宋体" w:cs="宋体"/>
                <w:b/>
                <w:bCs/>
                <w:kern w:val="0"/>
                <w:szCs w:val="21"/>
              </w:rPr>
              <w:t>毕业要求8：</w:t>
            </w:r>
            <w:r>
              <w:rPr>
                <w:rFonts w:hint="eastAsia" w:ascii="宋体" w:hAnsi="宋体" w:eastAsia="宋体" w:cs="宋体"/>
                <w:b/>
                <w:bCs/>
                <w:szCs w:val="21"/>
              </w:rPr>
              <w:t>沟通合作</w:t>
            </w:r>
          </w:p>
        </w:tc>
        <w:tc>
          <w:tcPr>
            <w:tcW w:w="6374" w:type="dxa"/>
            <w:vAlign w:val="center"/>
          </w:tcPr>
          <w:p w14:paraId="7E6404BA">
            <w:pPr>
              <w:spacing w:line="276" w:lineRule="auto"/>
              <w:jc w:val="left"/>
              <w:rPr>
                <w:rFonts w:ascii="宋体" w:hAnsi="宋体"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8-1：【善于团队合作】理解学习共同体的本质和价值，掌握团队协作的基本策略，在课堂学习与教育实践中获得合作学习体验，形成团队协作精神。</w:t>
            </w:r>
          </w:p>
        </w:tc>
        <w:tc>
          <w:tcPr>
            <w:tcW w:w="1362" w:type="dxa"/>
            <w:vAlign w:val="center"/>
          </w:tcPr>
          <w:p w14:paraId="3AA899EF">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tc>
      </w:tr>
    </w:tbl>
    <w:p w14:paraId="0024A6EB">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F91FDD5">
      <w:pPr>
        <w:spacing w:line="360" w:lineRule="auto"/>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56C7178D">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51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661"/>
        <w:gridCol w:w="40"/>
        <w:gridCol w:w="1348"/>
        <w:gridCol w:w="3261"/>
        <w:gridCol w:w="1560"/>
        <w:gridCol w:w="439"/>
      </w:tblGrid>
      <w:tr w14:paraId="06DC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14:paraId="3BB7C4B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A381D8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gridSpan w:val="2"/>
            <w:vAlign w:val="center"/>
          </w:tcPr>
          <w:p w14:paraId="12A494D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348" w:type="dxa"/>
            <w:vAlign w:val="center"/>
          </w:tcPr>
          <w:p w14:paraId="3746801B">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03AD735">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F05958A">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BA900F3">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9" w:type="dxa"/>
            <w:vAlign w:val="center"/>
          </w:tcPr>
          <w:p w14:paraId="5040B507">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543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461EAF1D">
            <w:pPr>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b/>
                <w:bCs/>
                <w:spacing w:val="-16"/>
                <w:szCs w:val="21"/>
              </w:rPr>
              <w:t xml:space="preserve"> 导</w:t>
            </w:r>
            <w:r>
              <w:rPr>
                <w:rFonts w:ascii="宋体" w:hAnsi="宋体" w:eastAsia="宋体"/>
                <w:spacing w:val="-16"/>
                <w:szCs w:val="21"/>
              </w:rPr>
              <w:t xml:space="preserve"> </w:t>
            </w:r>
            <w:r>
              <w:rPr>
                <w:rFonts w:ascii="宋体" w:hAnsi="宋体" w:eastAsia="宋体"/>
                <w:b/>
                <w:bCs/>
                <w:spacing w:val="-16"/>
                <w:szCs w:val="21"/>
              </w:rPr>
              <w:t>论</w:t>
            </w:r>
          </w:p>
        </w:tc>
        <w:tc>
          <w:tcPr>
            <w:tcW w:w="1701" w:type="dxa"/>
            <w:gridSpan w:val="2"/>
            <w:vAlign w:val="center"/>
          </w:tcPr>
          <w:p w14:paraId="2B99481B">
            <w:pPr>
              <w:pStyle w:val="33"/>
              <w:spacing w:before="68"/>
              <w:ind w:left="13" w:leftChars="5" w:right="-38" w:rightChars="-18" w:hanging="3" w:hangingChars="2"/>
              <w:jc w:val="both"/>
              <w:rPr>
                <w:lang w:eastAsia="zh-CN"/>
              </w:rPr>
            </w:pPr>
            <w:r>
              <w:rPr>
                <w:spacing w:val="-16"/>
                <w:lang w:eastAsia="zh-CN"/>
              </w:rPr>
              <w:t>新时代背景对大学</w:t>
            </w:r>
            <w:r>
              <w:rPr>
                <w:spacing w:val="1"/>
                <w:lang w:eastAsia="zh-CN"/>
              </w:rPr>
              <w:t>生创新创业的要求；大学</w:t>
            </w:r>
            <w:r>
              <w:rPr>
                <w:spacing w:val="10"/>
                <w:lang w:eastAsia="zh-CN"/>
              </w:rPr>
              <w:t>生创新和创业的类型；</w:t>
            </w:r>
            <w:r>
              <w:rPr>
                <w:spacing w:val="9"/>
                <w:lang w:eastAsia="zh-CN"/>
              </w:rPr>
              <w:t>“四新”建设和大学生创</w:t>
            </w:r>
            <w:r>
              <w:rPr>
                <w:spacing w:val="-1"/>
                <w:lang w:eastAsia="zh-CN"/>
              </w:rPr>
              <w:t>新创业教育；中国国际大</w:t>
            </w:r>
            <w:r>
              <w:rPr>
                <w:spacing w:val="1"/>
                <w:lang w:eastAsia="zh-CN"/>
              </w:rPr>
              <w:t>学生创新大赛与高校创</w:t>
            </w:r>
            <w:r>
              <w:rPr>
                <w:spacing w:val="4"/>
                <w:lang w:eastAsia="zh-CN"/>
              </w:rPr>
              <w:t xml:space="preserve"> </w:t>
            </w:r>
            <w:r>
              <w:rPr>
                <w:spacing w:val="-1"/>
                <w:lang w:eastAsia="zh-CN"/>
              </w:rPr>
              <w:t>新创业人才培养。</w:t>
            </w:r>
          </w:p>
        </w:tc>
        <w:tc>
          <w:tcPr>
            <w:tcW w:w="1348" w:type="dxa"/>
            <w:vAlign w:val="center"/>
          </w:tcPr>
          <w:p w14:paraId="1E6E9759">
            <w:pPr>
              <w:pStyle w:val="33"/>
              <w:spacing w:before="68"/>
              <w:ind w:left="159"/>
            </w:pPr>
            <w:r>
              <w:rPr>
                <w:rFonts w:hint="eastAsia"/>
                <w:spacing w:val="8"/>
                <w:lang w:eastAsia="zh-CN"/>
              </w:rPr>
              <w:t>课程</w:t>
            </w:r>
            <w:r>
              <w:rPr>
                <w:spacing w:val="8"/>
              </w:rPr>
              <w:t>目标</w:t>
            </w:r>
            <w:r>
              <w:rPr>
                <w:spacing w:val="-5"/>
              </w:rPr>
              <w:t>1、2</w:t>
            </w:r>
          </w:p>
        </w:tc>
        <w:tc>
          <w:tcPr>
            <w:tcW w:w="3260" w:type="dxa"/>
            <w:vAlign w:val="center"/>
          </w:tcPr>
          <w:p w14:paraId="5004EBC8">
            <w:pPr>
              <w:rPr>
                <w:rFonts w:ascii="宋体" w:hAnsi="宋体" w:eastAsia="宋体" w:cs="Times New Roman"/>
                <w:color w:val="000000"/>
                <w:szCs w:val="21"/>
              </w:rPr>
            </w:pPr>
            <w:r>
              <w:rPr>
                <w:rFonts w:ascii="宋体" w:hAnsi="宋体" w:eastAsia="宋体"/>
                <w:spacing w:val="1"/>
                <w:szCs w:val="21"/>
              </w:rPr>
              <w:t>理解大学生创新和</w:t>
            </w:r>
            <w:r>
              <w:rPr>
                <w:rFonts w:ascii="宋体" w:hAnsi="宋体" w:eastAsia="宋体"/>
                <w:spacing w:val="16"/>
                <w:szCs w:val="21"/>
              </w:rPr>
              <w:t>创业的类型和创</w:t>
            </w:r>
            <w:r>
              <w:rPr>
                <w:rFonts w:ascii="宋体" w:hAnsi="宋体" w:eastAsia="宋体"/>
                <w:spacing w:val="12"/>
                <w:szCs w:val="21"/>
              </w:rPr>
              <w:t>新、创业、专业、</w:t>
            </w:r>
            <w:r>
              <w:rPr>
                <w:rFonts w:ascii="宋体" w:hAnsi="宋体" w:eastAsia="宋体"/>
                <w:spacing w:val="-2"/>
                <w:szCs w:val="21"/>
              </w:rPr>
              <w:t>产业以及与职业生</w:t>
            </w:r>
            <w:r>
              <w:rPr>
                <w:rFonts w:ascii="宋体" w:hAnsi="宋体" w:eastAsia="宋体"/>
                <w:spacing w:val="15"/>
                <w:szCs w:val="21"/>
              </w:rPr>
              <w:t>涯发展的逻辑关</w:t>
            </w:r>
            <w:r>
              <w:rPr>
                <w:rFonts w:ascii="宋体" w:hAnsi="宋体" w:eastAsia="宋体"/>
                <w:szCs w:val="21"/>
              </w:rPr>
              <w:t>系；熟悉中国国际</w:t>
            </w:r>
            <w:r>
              <w:rPr>
                <w:rFonts w:ascii="宋体" w:hAnsi="宋体" w:eastAsia="宋体"/>
                <w:spacing w:val="1"/>
                <w:szCs w:val="21"/>
              </w:rPr>
              <w:t>大学生创新大赛与</w:t>
            </w:r>
            <w:r>
              <w:rPr>
                <w:rFonts w:ascii="宋体" w:hAnsi="宋体" w:eastAsia="宋体"/>
                <w:szCs w:val="21"/>
              </w:rPr>
              <w:t>高校创新创业人才</w:t>
            </w:r>
            <w:r>
              <w:rPr>
                <w:rFonts w:ascii="宋体" w:hAnsi="宋体" w:eastAsia="宋体"/>
                <w:spacing w:val="-2"/>
                <w:szCs w:val="21"/>
              </w:rPr>
              <w:t>培养。</w:t>
            </w:r>
          </w:p>
        </w:tc>
        <w:tc>
          <w:tcPr>
            <w:tcW w:w="1560" w:type="dxa"/>
            <w:vAlign w:val="center"/>
          </w:tcPr>
          <w:p w14:paraId="7C69ABFB">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0F8AC06E">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231DF22F">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45FF94F0">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889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6186457">
            <w:pPr>
              <w:jc w:val="center"/>
              <w:rPr>
                <w:rFonts w:ascii="宋体" w:hAnsi="宋体" w:eastAsia="宋体" w:cs="Times New Roman"/>
                <w:color w:val="000000"/>
                <w:szCs w:val="21"/>
              </w:rPr>
            </w:pPr>
          </w:p>
        </w:tc>
        <w:tc>
          <w:tcPr>
            <w:tcW w:w="8308" w:type="dxa"/>
            <w:gridSpan w:val="6"/>
            <w:vAlign w:val="center"/>
          </w:tcPr>
          <w:p w14:paraId="088782DC">
            <w:pPr>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跟党学双创，深入理解党的二十大和二十届二中、三中全会</w:t>
            </w:r>
            <w:r>
              <w:rPr>
                <w:rFonts w:ascii="宋体" w:hAnsi="宋体" w:eastAsia="宋体"/>
                <w:szCs w:val="21"/>
              </w:rPr>
              <w:t>以及全国教育大会精神，从教育、科技、人才一体推进的战</w:t>
            </w:r>
            <w:r>
              <w:rPr>
                <w:rFonts w:ascii="宋体" w:hAnsi="宋体" w:eastAsia="宋体"/>
                <w:spacing w:val="8"/>
                <w:szCs w:val="21"/>
              </w:rPr>
              <w:t>略上深化创新创业教育改革；</w:t>
            </w:r>
            <w:r>
              <w:rPr>
                <w:rFonts w:ascii="宋体" w:hAnsi="宋体" w:eastAsia="宋体"/>
                <w:spacing w:val="-1"/>
                <w:szCs w:val="21"/>
              </w:rPr>
              <w:t>深刻领会中共中央总书记习近平给中国国际大学生创新大赛</w:t>
            </w:r>
            <w:r>
              <w:rPr>
                <w:rFonts w:ascii="宋体" w:hAnsi="宋体" w:eastAsia="宋体"/>
                <w:szCs w:val="21"/>
              </w:rPr>
              <w:t>参赛学生代表的回信内涵，为</w:t>
            </w:r>
            <w:r>
              <w:rPr>
                <w:rFonts w:ascii="宋体" w:hAnsi="宋体" w:eastAsia="宋体"/>
                <w:spacing w:val="-1"/>
                <w:szCs w:val="21"/>
              </w:rPr>
              <w:t>建设教育强国和新质生产力发</w:t>
            </w:r>
            <w:r>
              <w:rPr>
                <w:rFonts w:ascii="宋体" w:hAnsi="宋体" w:eastAsia="宋体"/>
                <w:szCs w:val="21"/>
              </w:rPr>
              <w:t>展提供坚实人才支撑。</w:t>
            </w:r>
          </w:p>
        </w:tc>
      </w:tr>
      <w:tr w14:paraId="04BC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1FDF6111">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b/>
                <w:bCs/>
                <w:spacing w:val="-3"/>
                <w:szCs w:val="21"/>
              </w:rPr>
              <w:t xml:space="preserve"> 创新思维基础</w:t>
            </w:r>
          </w:p>
        </w:tc>
        <w:tc>
          <w:tcPr>
            <w:tcW w:w="1701" w:type="dxa"/>
            <w:gridSpan w:val="2"/>
            <w:vAlign w:val="center"/>
          </w:tcPr>
          <w:p w14:paraId="7B3D381C">
            <w:pPr>
              <w:pStyle w:val="33"/>
              <w:spacing w:before="92"/>
              <w:jc w:val="both"/>
              <w:rPr>
                <w:lang w:eastAsia="zh-CN"/>
              </w:rPr>
            </w:pPr>
            <w:r>
              <w:rPr>
                <w:spacing w:val="-3"/>
                <w:lang w:eastAsia="zh-CN"/>
              </w:rPr>
              <w:t>创新思维</w:t>
            </w:r>
            <w:r>
              <w:rPr>
                <w:spacing w:val="1"/>
                <w:lang w:eastAsia="zh-CN"/>
              </w:rPr>
              <w:t>的概念、类型和过程以及</w:t>
            </w:r>
            <w:r>
              <w:rPr>
                <w:spacing w:val="-1"/>
                <w:lang w:eastAsia="zh-CN"/>
              </w:rPr>
              <w:t>培养方法；应用案例分析</w:t>
            </w:r>
            <w:r>
              <w:rPr>
                <w:spacing w:val="2"/>
                <w:lang w:eastAsia="zh-CN"/>
              </w:rPr>
              <w:t>大学生创新创业项目中</w:t>
            </w:r>
            <w:r>
              <w:rPr>
                <w:spacing w:val="-1"/>
                <w:lang w:eastAsia="zh-CN"/>
              </w:rPr>
              <w:t>包含的创新思维策略。</w:t>
            </w:r>
          </w:p>
        </w:tc>
        <w:tc>
          <w:tcPr>
            <w:tcW w:w="1348" w:type="dxa"/>
            <w:vAlign w:val="center"/>
          </w:tcPr>
          <w:p w14:paraId="3D3CD17F">
            <w:pPr>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3815B7C7">
            <w:pPr>
              <w:jc w:val="left"/>
              <w:rPr>
                <w:rFonts w:ascii="宋体" w:hAnsi="宋体" w:eastAsia="宋体" w:cs="Times New Roman"/>
                <w:color w:val="000000"/>
                <w:szCs w:val="21"/>
              </w:rPr>
            </w:pPr>
            <w:r>
              <w:rPr>
                <w:rFonts w:ascii="宋体" w:hAnsi="宋体" w:eastAsia="宋体"/>
                <w:spacing w:val="1"/>
                <w:szCs w:val="21"/>
              </w:rPr>
              <w:t>掌握创新思维的培</w:t>
            </w:r>
            <w:r>
              <w:rPr>
                <w:rFonts w:ascii="宋体" w:hAnsi="宋体" w:eastAsia="宋体"/>
                <w:spacing w:val="-2"/>
                <w:szCs w:val="21"/>
              </w:rPr>
              <w:t>养方法以及大学生创新创业项目中包</w:t>
            </w:r>
            <w:r>
              <w:rPr>
                <w:rFonts w:ascii="宋体" w:hAnsi="宋体" w:eastAsia="宋体"/>
                <w:spacing w:val="13"/>
                <w:szCs w:val="21"/>
              </w:rPr>
              <w:t>含的创新思维策</w:t>
            </w:r>
            <w:r>
              <w:rPr>
                <w:rFonts w:ascii="宋体" w:hAnsi="宋体" w:eastAsia="宋体"/>
                <w:spacing w:val="-2"/>
                <w:szCs w:val="21"/>
              </w:rPr>
              <w:t>略。</w:t>
            </w:r>
          </w:p>
        </w:tc>
        <w:tc>
          <w:tcPr>
            <w:tcW w:w="1560" w:type="dxa"/>
            <w:vAlign w:val="center"/>
          </w:tcPr>
          <w:p w14:paraId="662D9CA1">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10FA0B87">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5095551A">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2B630F94">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B99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74B63F5C">
            <w:pPr>
              <w:jc w:val="center"/>
              <w:rPr>
                <w:rFonts w:ascii="宋体" w:hAnsi="宋体" w:eastAsia="宋体" w:cs="Times New Roman"/>
                <w:color w:val="000000"/>
                <w:szCs w:val="21"/>
              </w:rPr>
            </w:pPr>
          </w:p>
        </w:tc>
        <w:tc>
          <w:tcPr>
            <w:tcW w:w="8308" w:type="dxa"/>
            <w:gridSpan w:val="6"/>
            <w:vAlign w:val="center"/>
          </w:tcPr>
          <w:p w14:paraId="3319B6CD">
            <w:pPr>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培养创新思维，引导学生树立</w:t>
            </w:r>
            <w:r>
              <w:rPr>
                <w:rFonts w:ascii="宋体" w:hAnsi="宋体" w:eastAsia="宋体"/>
                <w:spacing w:val="2"/>
                <w:szCs w:val="21"/>
              </w:rPr>
              <w:t xml:space="preserve"> </w:t>
            </w:r>
            <w:r>
              <w:rPr>
                <w:rFonts w:ascii="宋体" w:hAnsi="宋体" w:eastAsia="宋体"/>
                <w:szCs w:val="21"/>
              </w:rPr>
              <w:t>正确人生观和价值观，激发爱</w:t>
            </w:r>
            <w:r>
              <w:rPr>
                <w:rFonts w:ascii="宋体" w:hAnsi="宋体" w:eastAsia="宋体"/>
                <w:spacing w:val="9"/>
                <w:szCs w:val="21"/>
              </w:rPr>
              <w:t xml:space="preserve"> </w:t>
            </w:r>
            <w:r>
              <w:rPr>
                <w:rFonts w:ascii="宋体" w:hAnsi="宋体" w:eastAsia="宋体"/>
                <w:szCs w:val="21"/>
              </w:rPr>
              <w:t>国主义情怀，践行社会主义核</w:t>
            </w:r>
            <w:r>
              <w:rPr>
                <w:rFonts w:ascii="宋体" w:hAnsi="宋体" w:eastAsia="宋体"/>
                <w:spacing w:val="11"/>
                <w:szCs w:val="21"/>
              </w:rPr>
              <w:t xml:space="preserve"> </w:t>
            </w:r>
            <w:r>
              <w:rPr>
                <w:rFonts w:ascii="宋体" w:hAnsi="宋体" w:eastAsia="宋体"/>
                <w:szCs w:val="21"/>
              </w:rPr>
              <w:t>心价值观，成为德才兼备、全面发展的创新型人才。</w:t>
            </w:r>
          </w:p>
        </w:tc>
      </w:tr>
      <w:tr w14:paraId="2074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3E77CC57">
            <w:pPr>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b/>
                <w:bCs/>
                <w:spacing w:val="-3"/>
                <w:szCs w:val="21"/>
              </w:rPr>
              <w:t xml:space="preserve"> 创新思维方法与工具</w:t>
            </w:r>
          </w:p>
        </w:tc>
        <w:tc>
          <w:tcPr>
            <w:tcW w:w="1701" w:type="dxa"/>
            <w:gridSpan w:val="2"/>
            <w:vAlign w:val="center"/>
          </w:tcPr>
          <w:p w14:paraId="4589228A">
            <w:pPr>
              <w:pStyle w:val="33"/>
              <w:spacing w:before="104"/>
              <w:ind w:left="-34" w:leftChars="-16" w:right="-38" w:rightChars="-18"/>
              <w:jc w:val="both"/>
              <w:rPr>
                <w:rFonts w:hint="eastAsia"/>
                <w:lang w:eastAsia="zh-CN"/>
              </w:rPr>
            </w:pPr>
            <w:r>
              <w:rPr>
                <w:spacing w:val="-3"/>
                <w:lang w:eastAsia="zh-CN"/>
              </w:rPr>
              <w:t>常</w:t>
            </w:r>
            <w:r>
              <w:rPr>
                <w:spacing w:val="1"/>
                <w:lang w:eastAsia="zh-CN"/>
              </w:rPr>
              <w:t>见的创新思维方法和思</w:t>
            </w:r>
            <w:r>
              <w:rPr>
                <w:lang w:eastAsia="zh-CN"/>
              </w:rPr>
              <w:t>维分析工具；社会调查报</w:t>
            </w:r>
            <w:r>
              <w:rPr>
                <w:spacing w:val="1"/>
                <w:lang w:eastAsia="zh-CN"/>
              </w:rPr>
              <w:t>告和专利撰写的基本结构；“挑战杯”全国大学</w:t>
            </w:r>
            <w:r>
              <w:rPr>
                <w:spacing w:val="-1"/>
                <w:lang w:eastAsia="zh-CN"/>
              </w:rPr>
              <w:t>生课外学术作品竞赛获</w:t>
            </w:r>
            <w:r>
              <w:rPr>
                <w:spacing w:val="-2"/>
                <w:lang w:eastAsia="zh-CN"/>
              </w:rPr>
              <w:t>奖案例分析</w:t>
            </w:r>
            <w:r>
              <w:rPr>
                <w:rFonts w:hint="eastAsia"/>
                <w:spacing w:val="-2"/>
                <w:lang w:eastAsia="zh-CN"/>
              </w:rPr>
              <w:t>。</w:t>
            </w:r>
          </w:p>
        </w:tc>
        <w:tc>
          <w:tcPr>
            <w:tcW w:w="1348" w:type="dxa"/>
            <w:vAlign w:val="center"/>
          </w:tcPr>
          <w:p w14:paraId="6FB2F1EF">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6FCBF164">
            <w:pPr>
              <w:pStyle w:val="33"/>
              <w:spacing w:before="68"/>
              <w:ind w:right="-105" w:rightChars="-50"/>
              <w:rPr>
                <w:lang w:eastAsia="zh-CN"/>
              </w:rPr>
            </w:pPr>
            <w:r>
              <w:rPr>
                <w:spacing w:val="-2"/>
                <w:lang w:eastAsia="zh-CN"/>
              </w:rPr>
              <w:t>能够应用“挑战杯”全国大学生课外学</w:t>
            </w:r>
            <w:r>
              <w:rPr>
                <w:spacing w:val="1"/>
                <w:lang w:eastAsia="zh-CN"/>
              </w:rPr>
              <w:t>术作品竞赛获奖案</w:t>
            </w:r>
            <w:r>
              <w:rPr>
                <w:spacing w:val="-2"/>
                <w:lang w:eastAsia="zh-CN"/>
              </w:rPr>
              <w:t>例分析创新思维方</w:t>
            </w:r>
            <w:r>
              <w:rPr>
                <w:spacing w:val="6"/>
                <w:lang w:eastAsia="zh-CN"/>
              </w:rPr>
              <w:t xml:space="preserve"> </w:t>
            </w:r>
            <w:r>
              <w:rPr>
                <w:spacing w:val="2"/>
                <w:lang w:eastAsia="zh-CN"/>
              </w:rPr>
              <w:t>法的使用。</w:t>
            </w:r>
          </w:p>
        </w:tc>
        <w:tc>
          <w:tcPr>
            <w:tcW w:w="1560" w:type="dxa"/>
            <w:vAlign w:val="center"/>
          </w:tcPr>
          <w:p w14:paraId="25AB6D2D">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5D951D81">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0C5EFD77">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A992B76">
            <w:pPr>
              <w:jc w:val="left"/>
              <w:rPr>
                <w:rFonts w:hint="eastAsia" w:ascii="宋体" w:hAnsi="宋体" w:eastAsia="宋体" w:cs="Times New Roman"/>
                <w:color w:val="000000"/>
                <w:szCs w:val="21"/>
              </w:rPr>
            </w:pPr>
            <w:r>
              <w:rPr>
                <w:rFonts w:hint="eastAsia" w:ascii="宋体" w:hAnsi="宋体" w:eastAsia="宋体" w:cs="Times New Roman"/>
                <w:color w:val="000000"/>
                <w:szCs w:val="21"/>
              </w:rPr>
              <w:t>4.课堂汇报</w:t>
            </w:r>
          </w:p>
        </w:tc>
        <w:tc>
          <w:tcPr>
            <w:tcW w:w="439" w:type="dxa"/>
            <w:vAlign w:val="center"/>
          </w:tcPr>
          <w:p w14:paraId="0D44B787">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4946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42511319">
            <w:pPr>
              <w:jc w:val="center"/>
              <w:rPr>
                <w:rFonts w:ascii="宋体" w:hAnsi="宋体" w:eastAsia="宋体" w:cs="Times New Roman"/>
                <w:color w:val="000000"/>
                <w:szCs w:val="21"/>
              </w:rPr>
            </w:pPr>
          </w:p>
        </w:tc>
        <w:tc>
          <w:tcPr>
            <w:tcW w:w="8308" w:type="dxa"/>
            <w:gridSpan w:val="6"/>
            <w:vAlign w:val="center"/>
          </w:tcPr>
          <w:p w14:paraId="0918F010">
            <w:pPr>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将创新思维方法与工具，灵活</w:t>
            </w:r>
            <w:r>
              <w:rPr>
                <w:rFonts w:ascii="宋体" w:hAnsi="宋体" w:eastAsia="宋体"/>
                <w:spacing w:val="5"/>
                <w:szCs w:val="21"/>
              </w:rPr>
              <w:t xml:space="preserve"> </w:t>
            </w:r>
            <w:r>
              <w:rPr>
                <w:rFonts w:ascii="宋体" w:hAnsi="宋体" w:eastAsia="宋体"/>
                <w:spacing w:val="-1"/>
                <w:szCs w:val="21"/>
              </w:rPr>
              <w:t>应用到生活实践当中，提高学</w:t>
            </w:r>
            <w:r>
              <w:rPr>
                <w:rFonts w:ascii="宋体" w:hAnsi="宋体" w:eastAsia="宋体"/>
                <w:spacing w:val="3"/>
                <w:szCs w:val="21"/>
              </w:rPr>
              <w:t xml:space="preserve"> </w:t>
            </w:r>
            <w:r>
              <w:rPr>
                <w:rFonts w:ascii="宋体" w:hAnsi="宋体" w:eastAsia="宋体"/>
                <w:spacing w:val="1"/>
                <w:szCs w:val="21"/>
              </w:rPr>
              <w:t>生对创新创业活动的积极性和</w:t>
            </w:r>
            <w:r>
              <w:rPr>
                <w:rFonts w:ascii="宋体" w:hAnsi="宋体" w:eastAsia="宋体"/>
                <w:spacing w:val="-1"/>
                <w:szCs w:val="21"/>
              </w:rPr>
              <w:t>参与度，培养良好的思维习惯</w:t>
            </w:r>
            <w:r>
              <w:rPr>
                <w:rFonts w:ascii="宋体" w:hAnsi="宋体" w:eastAsia="宋体"/>
                <w:spacing w:val="2"/>
                <w:szCs w:val="21"/>
              </w:rPr>
              <w:t xml:space="preserve"> </w:t>
            </w:r>
            <w:r>
              <w:rPr>
                <w:rFonts w:ascii="宋体" w:hAnsi="宋体" w:eastAsia="宋体"/>
                <w:spacing w:val="-1"/>
                <w:szCs w:val="21"/>
              </w:rPr>
              <w:t>与创新人格。</w:t>
            </w:r>
          </w:p>
        </w:tc>
      </w:tr>
      <w:tr w14:paraId="3829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4574E6A7">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b/>
                <w:bCs/>
                <w:szCs w:val="21"/>
              </w:rPr>
              <w:t xml:space="preserve"> 创业基础</w:t>
            </w:r>
          </w:p>
        </w:tc>
        <w:tc>
          <w:tcPr>
            <w:tcW w:w="1701" w:type="dxa"/>
            <w:gridSpan w:val="2"/>
            <w:vAlign w:val="center"/>
          </w:tcPr>
          <w:p w14:paraId="71CC4A34">
            <w:pPr>
              <w:ind w:right="-181" w:rightChars="-86"/>
              <w:jc w:val="left"/>
              <w:rPr>
                <w:rFonts w:ascii="宋体" w:hAnsi="宋体" w:eastAsia="宋体" w:cs="Times New Roman"/>
                <w:color w:val="000000"/>
                <w:szCs w:val="21"/>
              </w:rPr>
            </w:pPr>
            <w:r>
              <w:rPr>
                <w:rFonts w:ascii="宋体" w:hAnsi="宋体" w:eastAsia="宋体"/>
                <w:szCs w:val="21"/>
              </w:rPr>
              <w:t>大学生创业的市场机会与评估；挖掘大</w:t>
            </w:r>
            <w:r>
              <w:rPr>
                <w:rFonts w:ascii="宋体" w:hAnsi="宋体" w:eastAsia="宋体"/>
                <w:spacing w:val="10"/>
                <w:szCs w:val="21"/>
              </w:rPr>
              <w:t>学生创业项目的常用方</w:t>
            </w:r>
            <w:r>
              <w:rPr>
                <w:rFonts w:ascii="宋体" w:hAnsi="宋体" w:eastAsia="宋体"/>
                <w:spacing w:val="-1"/>
                <w:szCs w:val="21"/>
              </w:rPr>
              <w:t>法；大学生创业的风险类</w:t>
            </w:r>
            <w:r>
              <w:rPr>
                <w:rFonts w:ascii="宋体" w:hAnsi="宋体" w:eastAsia="宋体"/>
                <w:szCs w:val="21"/>
              </w:rPr>
              <w:t xml:space="preserve"> </w:t>
            </w:r>
            <w:r>
              <w:rPr>
                <w:rFonts w:ascii="宋体" w:hAnsi="宋体" w:eastAsia="宋体"/>
                <w:spacing w:val="2"/>
                <w:szCs w:val="21"/>
              </w:rPr>
              <w:t>型和应对策略。</w:t>
            </w:r>
          </w:p>
        </w:tc>
        <w:tc>
          <w:tcPr>
            <w:tcW w:w="1348" w:type="dxa"/>
            <w:vAlign w:val="center"/>
          </w:tcPr>
          <w:p w14:paraId="396A88DC">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24CE8972">
            <w:pPr>
              <w:jc w:val="left"/>
              <w:rPr>
                <w:rFonts w:ascii="宋体" w:hAnsi="宋体" w:eastAsia="宋体" w:cs="Times New Roman"/>
                <w:color w:val="000000"/>
                <w:szCs w:val="21"/>
              </w:rPr>
            </w:pPr>
            <w:r>
              <w:rPr>
                <w:rFonts w:ascii="宋体" w:hAnsi="宋体" w:eastAsia="宋体"/>
                <w:spacing w:val="1"/>
                <w:szCs w:val="21"/>
              </w:rPr>
              <w:t>掌握挖掘大学生创</w:t>
            </w:r>
            <w:r>
              <w:rPr>
                <w:rFonts w:ascii="宋体" w:hAnsi="宋体" w:eastAsia="宋体"/>
                <w:spacing w:val="13"/>
                <w:szCs w:val="21"/>
              </w:rPr>
              <w:t>业项目的常用方</w:t>
            </w:r>
            <w:r>
              <w:rPr>
                <w:rFonts w:ascii="宋体" w:hAnsi="宋体" w:eastAsia="宋体"/>
                <w:spacing w:val="-2"/>
                <w:szCs w:val="21"/>
              </w:rPr>
              <w:t>法；应用案例评估与分析大学生创业</w:t>
            </w:r>
            <w:r>
              <w:rPr>
                <w:rFonts w:ascii="宋体" w:hAnsi="宋体" w:eastAsia="宋体"/>
                <w:spacing w:val="2"/>
                <w:szCs w:val="21"/>
              </w:rPr>
              <w:t xml:space="preserve"> </w:t>
            </w:r>
            <w:r>
              <w:rPr>
                <w:rFonts w:ascii="宋体" w:hAnsi="宋体" w:eastAsia="宋体"/>
                <w:spacing w:val="1"/>
                <w:szCs w:val="21"/>
              </w:rPr>
              <w:t>项目的可行性</w:t>
            </w:r>
          </w:p>
        </w:tc>
        <w:tc>
          <w:tcPr>
            <w:tcW w:w="1560" w:type="dxa"/>
            <w:vAlign w:val="center"/>
          </w:tcPr>
          <w:p w14:paraId="0B426329">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1C68CBC4">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5357490C">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22B3E54C">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BBA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1BEE53F7">
            <w:pPr>
              <w:jc w:val="center"/>
              <w:rPr>
                <w:rFonts w:ascii="宋体" w:hAnsi="宋体" w:eastAsia="宋体" w:cs="Times New Roman"/>
                <w:color w:val="000000"/>
                <w:szCs w:val="21"/>
              </w:rPr>
            </w:pPr>
          </w:p>
        </w:tc>
        <w:tc>
          <w:tcPr>
            <w:tcW w:w="8308" w:type="dxa"/>
            <w:gridSpan w:val="6"/>
            <w:vAlign w:val="center"/>
          </w:tcPr>
          <w:p w14:paraId="50B086EC">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8"/>
                <w:szCs w:val="21"/>
              </w:rPr>
              <w:t>引导学生树立正确的创业观、</w:t>
            </w:r>
            <w:r>
              <w:rPr>
                <w:rFonts w:ascii="宋体" w:hAnsi="宋体" w:eastAsia="宋体"/>
                <w:spacing w:val="-1"/>
                <w:szCs w:val="21"/>
              </w:rPr>
              <w:t>纯正的创业动机、良好的创业操守和远大的职业理想，让大</w:t>
            </w:r>
            <w:r>
              <w:rPr>
                <w:rFonts w:ascii="宋体" w:hAnsi="宋体" w:eastAsia="宋体"/>
                <w:szCs w:val="21"/>
              </w:rPr>
              <w:t>学生明白创业初期应该脚踏实</w:t>
            </w:r>
            <w:r>
              <w:rPr>
                <w:rFonts w:ascii="宋体" w:hAnsi="宋体" w:eastAsia="宋体"/>
                <w:spacing w:val="1"/>
                <w:szCs w:val="21"/>
              </w:rPr>
              <w:t>地、精打细算、量力而行，以创新来驱动创业激发潜能，同</w:t>
            </w:r>
            <w:r>
              <w:rPr>
                <w:rFonts w:ascii="宋体" w:hAnsi="宋体" w:eastAsia="宋体"/>
                <w:spacing w:val="4"/>
                <w:szCs w:val="21"/>
              </w:rPr>
              <w:t>时做好风险管控和应对措施</w:t>
            </w:r>
            <w:r>
              <w:rPr>
                <w:rFonts w:hint="eastAsia" w:ascii="宋体" w:hAnsi="宋体" w:eastAsia="宋体"/>
                <w:spacing w:val="4"/>
                <w:szCs w:val="21"/>
              </w:rPr>
              <w:t>，</w:t>
            </w:r>
            <w:r>
              <w:rPr>
                <w:rFonts w:ascii="宋体" w:hAnsi="宋体" w:eastAsia="宋体"/>
                <w:spacing w:val="1"/>
                <w:szCs w:val="21"/>
              </w:rPr>
              <w:t>切不可做一夜暴富的美梦。</w:t>
            </w:r>
          </w:p>
        </w:tc>
      </w:tr>
      <w:tr w14:paraId="7805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6248BACD">
            <w:pPr>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b/>
                <w:bCs/>
                <w:spacing w:val="-2"/>
                <w:szCs w:val="21"/>
              </w:rPr>
              <w:t xml:space="preserve"> 创业计划</w:t>
            </w:r>
          </w:p>
        </w:tc>
        <w:tc>
          <w:tcPr>
            <w:tcW w:w="1701" w:type="dxa"/>
            <w:gridSpan w:val="2"/>
            <w:vAlign w:val="center"/>
          </w:tcPr>
          <w:p w14:paraId="56B8D8DD">
            <w:pPr>
              <w:jc w:val="left"/>
              <w:rPr>
                <w:rFonts w:ascii="宋体" w:hAnsi="宋体" w:eastAsia="宋体" w:cs="Times New Roman"/>
                <w:color w:val="000000"/>
                <w:szCs w:val="21"/>
              </w:rPr>
            </w:pPr>
            <w:r>
              <w:rPr>
                <w:rFonts w:ascii="宋体" w:hAnsi="宋体" w:eastAsia="宋体"/>
                <w:spacing w:val="-2"/>
                <w:szCs w:val="21"/>
              </w:rPr>
              <w:t>顾客需求和市</w:t>
            </w:r>
            <w:r>
              <w:rPr>
                <w:rFonts w:ascii="宋体" w:hAnsi="宋体" w:eastAsia="宋体"/>
                <w:spacing w:val="1"/>
                <w:szCs w:val="21"/>
              </w:rPr>
              <w:t xml:space="preserve">  </w:t>
            </w:r>
            <w:r>
              <w:rPr>
                <w:rFonts w:ascii="宋体" w:hAnsi="宋体" w:eastAsia="宋体"/>
                <w:spacing w:val="-1"/>
                <w:szCs w:val="21"/>
              </w:rPr>
              <w:t>场调研；市场营销、分销</w:t>
            </w:r>
            <w:r>
              <w:rPr>
                <w:rFonts w:ascii="宋体" w:hAnsi="宋体" w:eastAsia="宋体"/>
                <w:spacing w:val="4"/>
                <w:szCs w:val="21"/>
              </w:rPr>
              <w:t xml:space="preserve">  </w:t>
            </w:r>
            <w:r>
              <w:rPr>
                <w:rFonts w:ascii="宋体" w:hAnsi="宋体" w:eastAsia="宋体"/>
                <w:spacing w:val="9"/>
                <w:szCs w:val="21"/>
              </w:rPr>
              <w:t>渠道的选择和营业推广</w:t>
            </w:r>
            <w:r>
              <w:rPr>
                <w:rFonts w:ascii="宋体" w:hAnsi="宋体" w:eastAsia="宋体"/>
                <w:spacing w:val="-1"/>
                <w:szCs w:val="21"/>
              </w:rPr>
              <w:t>的形式；大学生创业初期的启动资金；财务规划与</w:t>
            </w:r>
            <w:r>
              <w:rPr>
                <w:rFonts w:ascii="宋体" w:hAnsi="宋体" w:eastAsia="宋体"/>
                <w:spacing w:val="4"/>
                <w:szCs w:val="21"/>
              </w:rPr>
              <w:t xml:space="preserve">  </w:t>
            </w:r>
            <w:r>
              <w:rPr>
                <w:rFonts w:ascii="宋体" w:hAnsi="宋体" w:eastAsia="宋体"/>
                <w:spacing w:val="-3"/>
                <w:szCs w:val="21"/>
              </w:rPr>
              <w:t>分析；企业的注册登记流</w:t>
            </w:r>
            <w:r>
              <w:rPr>
                <w:rFonts w:ascii="宋体" w:hAnsi="宋体" w:eastAsia="宋体"/>
                <w:spacing w:val="7"/>
                <w:szCs w:val="21"/>
              </w:rPr>
              <w:t>程；常见企业法律形态；</w:t>
            </w:r>
            <w:r>
              <w:rPr>
                <w:rFonts w:ascii="宋体" w:hAnsi="宋体" w:eastAsia="宋体"/>
                <w:spacing w:val="9"/>
                <w:szCs w:val="21"/>
              </w:rPr>
              <w:t xml:space="preserve"> </w:t>
            </w:r>
            <w:r>
              <w:rPr>
                <w:rFonts w:ascii="宋体" w:hAnsi="宋体" w:eastAsia="宋体"/>
                <w:spacing w:val="12"/>
                <w:szCs w:val="21"/>
              </w:rPr>
              <w:t>商业计划书和创新项目</w:t>
            </w:r>
            <w:r>
              <w:rPr>
                <w:rFonts w:ascii="宋体" w:hAnsi="宋体" w:eastAsia="宋体"/>
                <w:spacing w:val="2"/>
                <w:szCs w:val="21"/>
              </w:rPr>
              <w:t>申报书的基本构成要素，</w:t>
            </w:r>
            <w:r>
              <w:rPr>
                <w:rFonts w:ascii="宋体" w:hAnsi="宋体" w:eastAsia="宋体"/>
                <w:spacing w:val="5"/>
                <w:szCs w:val="21"/>
              </w:rPr>
              <w:t xml:space="preserve"> </w:t>
            </w:r>
            <w:r>
              <w:rPr>
                <w:rFonts w:ascii="宋体" w:hAnsi="宋体" w:eastAsia="宋体"/>
                <w:spacing w:val="9"/>
                <w:szCs w:val="21"/>
              </w:rPr>
              <w:t>中国国际大学生创新大</w:t>
            </w:r>
            <w:r>
              <w:rPr>
                <w:rFonts w:ascii="宋体" w:hAnsi="宋体" w:eastAsia="宋体"/>
                <w:szCs w:val="21"/>
              </w:rPr>
              <w:t xml:space="preserve">   </w:t>
            </w:r>
            <w:r>
              <w:rPr>
                <w:rFonts w:ascii="宋体" w:hAnsi="宋体" w:eastAsia="宋体"/>
                <w:spacing w:val="2"/>
                <w:szCs w:val="21"/>
              </w:rPr>
              <w:t>赛的四部曲。</w:t>
            </w:r>
          </w:p>
        </w:tc>
        <w:tc>
          <w:tcPr>
            <w:tcW w:w="1348" w:type="dxa"/>
            <w:vAlign w:val="center"/>
          </w:tcPr>
          <w:p w14:paraId="1FF0B4D1">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4DBE6853">
            <w:pPr>
              <w:jc w:val="left"/>
              <w:rPr>
                <w:rFonts w:ascii="宋体" w:hAnsi="宋体" w:eastAsia="宋体" w:cs="Times New Roman"/>
                <w:color w:val="000000"/>
                <w:szCs w:val="21"/>
              </w:rPr>
            </w:pPr>
            <w:r>
              <w:rPr>
                <w:rFonts w:ascii="宋体" w:hAnsi="宋体" w:eastAsia="宋体"/>
                <w:spacing w:val="1"/>
                <w:szCs w:val="21"/>
              </w:rPr>
              <w:t>了解市场调研的基</w:t>
            </w:r>
            <w:r>
              <w:rPr>
                <w:rFonts w:ascii="宋体" w:hAnsi="宋体" w:eastAsia="宋体"/>
                <w:spacing w:val="18"/>
                <w:szCs w:val="21"/>
              </w:rPr>
              <w:t>本方法与基本内</w:t>
            </w:r>
            <w:r>
              <w:rPr>
                <w:rFonts w:ascii="宋体" w:hAnsi="宋体" w:eastAsia="宋体"/>
                <w:spacing w:val="1"/>
                <w:szCs w:val="21"/>
              </w:rPr>
              <w:t>容；学会预测大学</w:t>
            </w:r>
            <w:r>
              <w:rPr>
                <w:rFonts w:ascii="宋体" w:hAnsi="宋体" w:eastAsia="宋体"/>
                <w:spacing w:val="3"/>
                <w:szCs w:val="21"/>
              </w:rPr>
              <w:t>生创业初期所需启</w:t>
            </w:r>
            <w:r>
              <w:rPr>
                <w:rFonts w:ascii="宋体" w:hAnsi="宋体" w:eastAsia="宋体"/>
                <w:spacing w:val="1"/>
                <w:szCs w:val="21"/>
              </w:rPr>
              <w:t>动资金；商业计划</w:t>
            </w:r>
            <w:r>
              <w:rPr>
                <w:rFonts w:ascii="宋体" w:hAnsi="宋体" w:eastAsia="宋体"/>
                <w:spacing w:val="6"/>
                <w:szCs w:val="21"/>
              </w:rPr>
              <w:t xml:space="preserve"> </w:t>
            </w:r>
            <w:r>
              <w:rPr>
                <w:rFonts w:ascii="宋体" w:hAnsi="宋体" w:eastAsia="宋体"/>
                <w:spacing w:val="1"/>
                <w:szCs w:val="21"/>
              </w:rPr>
              <w:t>书和创新项目申报</w:t>
            </w:r>
            <w:r>
              <w:rPr>
                <w:rFonts w:ascii="宋体" w:hAnsi="宋体" w:eastAsia="宋体"/>
                <w:spacing w:val="15"/>
                <w:szCs w:val="21"/>
              </w:rPr>
              <w:t>书的基本构成要</w:t>
            </w:r>
            <w:r>
              <w:rPr>
                <w:rFonts w:ascii="宋体" w:hAnsi="宋体" w:eastAsia="宋体"/>
                <w:spacing w:val="-2"/>
                <w:szCs w:val="21"/>
              </w:rPr>
              <w:t>素；熟悉中国国际</w:t>
            </w:r>
            <w:r>
              <w:rPr>
                <w:rFonts w:ascii="宋体" w:hAnsi="宋体" w:eastAsia="宋体"/>
                <w:spacing w:val="2"/>
                <w:szCs w:val="21"/>
              </w:rPr>
              <w:t>大学生创新大赛的</w:t>
            </w:r>
            <w:r>
              <w:rPr>
                <w:rFonts w:ascii="宋体" w:hAnsi="宋体" w:eastAsia="宋体"/>
                <w:spacing w:val="3"/>
                <w:szCs w:val="21"/>
              </w:rPr>
              <w:t>四部曲。</w:t>
            </w:r>
          </w:p>
        </w:tc>
        <w:tc>
          <w:tcPr>
            <w:tcW w:w="1560" w:type="dxa"/>
            <w:vAlign w:val="center"/>
          </w:tcPr>
          <w:p w14:paraId="0F7BEF4E">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26A5AF81">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1010B3A9">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1BA30BF">
            <w:pPr>
              <w:jc w:val="left"/>
              <w:rPr>
                <w:rFonts w:hint="eastAsia" w:ascii="宋体" w:hAnsi="宋体" w:eastAsia="宋体" w:cs="Times New Roman"/>
                <w:color w:val="000000"/>
                <w:szCs w:val="21"/>
              </w:rPr>
            </w:pPr>
            <w:r>
              <w:rPr>
                <w:rFonts w:hint="eastAsia" w:ascii="宋体" w:hAnsi="宋体" w:eastAsia="宋体" w:cs="Times New Roman"/>
                <w:color w:val="000000"/>
                <w:szCs w:val="21"/>
              </w:rPr>
              <w:t>4.课堂汇报</w:t>
            </w:r>
          </w:p>
        </w:tc>
        <w:tc>
          <w:tcPr>
            <w:tcW w:w="439" w:type="dxa"/>
            <w:vAlign w:val="center"/>
          </w:tcPr>
          <w:p w14:paraId="516C4C64">
            <w:pPr>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4086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11313EC2">
            <w:pPr>
              <w:jc w:val="center"/>
              <w:rPr>
                <w:rFonts w:ascii="宋体" w:hAnsi="宋体" w:eastAsia="宋体" w:cs="Times New Roman"/>
                <w:color w:val="000000"/>
                <w:szCs w:val="21"/>
              </w:rPr>
            </w:pPr>
          </w:p>
        </w:tc>
        <w:tc>
          <w:tcPr>
            <w:tcW w:w="8308" w:type="dxa"/>
            <w:gridSpan w:val="6"/>
            <w:vAlign w:val="center"/>
          </w:tcPr>
          <w:p w14:paraId="05A095F7">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跟党学双创，领会中国共产党</w:t>
            </w:r>
            <w:r>
              <w:rPr>
                <w:rFonts w:ascii="宋体" w:hAnsi="宋体" w:eastAsia="宋体"/>
                <w:spacing w:val="5"/>
                <w:szCs w:val="21"/>
              </w:rPr>
              <w:t xml:space="preserve"> </w:t>
            </w:r>
            <w:r>
              <w:rPr>
                <w:rFonts w:ascii="宋体" w:hAnsi="宋体" w:eastAsia="宋体"/>
                <w:szCs w:val="21"/>
              </w:rPr>
              <w:t>一经诞生，就把“为中国人民</w:t>
            </w:r>
            <w:r>
              <w:rPr>
                <w:rFonts w:ascii="宋体" w:hAnsi="宋体" w:eastAsia="宋体"/>
                <w:spacing w:val="5"/>
                <w:szCs w:val="21"/>
              </w:rPr>
              <w:t>谋幸福、为中华民族谋复兴"</w:t>
            </w:r>
            <w:r>
              <w:rPr>
                <w:rFonts w:ascii="宋体" w:hAnsi="宋体" w:eastAsia="宋体"/>
                <w:spacing w:val="3"/>
                <w:szCs w:val="21"/>
              </w:rPr>
              <w:t xml:space="preserve">  </w:t>
            </w:r>
            <w:r>
              <w:rPr>
                <w:rFonts w:ascii="宋体" w:hAnsi="宋体" w:eastAsia="宋体"/>
                <w:spacing w:val="-1"/>
                <w:szCs w:val="21"/>
              </w:rPr>
              <w:t>确立为创业初心和使命，践行</w:t>
            </w:r>
            <w:r>
              <w:rPr>
                <w:rFonts w:ascii="宋体" w:hAnsi="宋体" w:eastAsia="宋体"/>
                <w:spacing w:val="3"/>
                <w:szCs w:val="21"/>
              </w:rPr>
              <w:t xml:space="preserve"> </w:t>
            </w:r>
            <w:r>
              <w:rPr>
                <w:rFonts w:ascii="宋体" w:hAnsi="宋体" w:eastAsia="宋体"/>
                <w:spacing w:val="4"/>
                <w:szCs w:val="21"/>
              </w:rPr>
              <w:t>"江山就是人民、人民就是江</w:t>
            </w:r>
            <w:r>
              <w:rPr>
                <w:rFonts w:ascii="宋体" w:hAnsi="宋体" w:eastAsia="宋体"/>
                <w:spacing w:val="5"/>
                <w:szCs w:val="21"/>
              </w:rPr>
              <w:t>山"的用户思想，分析古今中</w:t>
            </w:r>
            <w:r>
              <w:rPr>
                <w:rFonts w:ascii="宋体" w:hAnsi="宋体" w:eastAsia="宋体"/>
                <w:spacing w:val="4"/>
                <w:szCs w:val="21"/>
              </w:rPr>
              <w:t>外掣肘我国发展的竞争对手，在创新创业道路上击鼓催征，</w:t>
            </w:r>
            <w:r>
              <w:rPr>
                <w:rFonts w:ascii="宋体" w:hAnsi="宋体" w:eastAsia="宋体"/>
                <w:spacing w:val="2"/>
                <w:szCs w:val="21"/>
              </w:rPr>
              <w:t xml:space="preserve"> </w:t>
            </w:r>
            <w:r>
              <w:rPr>
                <w:rFonts w:ascii="宋体" w:hAnsi="宋体" w:eastAsia="宋体"/>
                <w:spacing w:val="-1"/>
                <w:szCs w:val="21"/>
              </w:rPr>
              <w:t>踔厉奋发，敢闯会创，实现人</w:t>
            </w:r>
            <w:r>
              <w:rPr>
                <w:rFonts w:ascii="宋体" w:hAnsi="宋体" w:eastAsia="宋体"/>
                <w:spacing w:val="2"/>
                <w:szCs w:val="21"/>
              </w:rPr>
              <w:t xml:space="preserve"> </w:t>
            </w:r>
            <w:r>
              <w:rPr>
                <w:rFonts w:ascii="宋体" w:hAnsi="宋体" w:eastAsia="宋体"/>
                <w:spacing w:val="1"/>
                <w:szCs w:val="21"/>
              </w:rPr>
              <w:t>类命运共同体的伟大构想。</w:t>
            </w:r>
            <w:r>
              <w:rPr>
                <w:rFonts w:hint="eastAsia" w:ascii="宋体" w:hAnsi="宋体" w:eastAsia="宋体" w:cs="Times New Roman"/>
                <w:color w:val="000000"/>
                <w:szCs w:val="21"/>
              </w:rPr>
              <w:t xml:space="preserve"> </w:t>
            </w:r>
          </w:p>
        </w:tc>
      </w:tr>
      <w:tr w14:paraId="1BFB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286B7E2E">
            <w:pPr>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b/>
                <w:bCs/>
                <w:spacing w:val="1"/>
                <w:szCs w:val="21"/>
              </w:rPr>
              <w:t xml:space="preserve"> 商业模式</w:t>
            </w:r>
          </w:p>
        </w:tc>
        <w:tc>
          <w:tcPr>
            <w:tcW w:w="1701" w:type="dxa"/>
            <w:gridSpan w:val="2"/>
            <w:vAlign w:val="center"/>
          </w:tcPr>
          <w:p w14:paraId="690E6191">
            <w:pPr>
              <w:jc w:val="left"/>
              <w:rPr>
                <w:rFonts w:ascii="宋体" w:hAnsi="宋体" w:eastAsia="宋体" w:cs="Times New Roman"/>
                <w:color w:val="000000"/>
                <w:szCs w:val="21"/>
              </w:rPr>
            </w:pPr>
            <w:r>
              <w:rPr>
                <w:rFonts w:ascii="宋体" w:hAnsi="宋体" w:eastAsia="宋体"/>
                <w:spacing w:val="1"/>
                <w:szCs w:val="21"/>
              </w:rPr>
              <w:t>商业模式的内</w:t>
            </w:r>
            <w:r>
              <w:rPr>
                <w:rFonts w:ascii="宋体" w:hAnsi="宋体" w:eastAsia="宋体"/>
                <w:spacing w:val="2"/>
                <w:szCs w:val="21"/>
              </w:rPr>
              <w:t xml:space="preserve"> </w:t>
            </w:r>
            <w:r>
              <w:rPr>
                <w:rFonts w:ascii="宋体" w:hAnsi="宋体" w:eastAsia="宋体"/>
                <w:spacing w:val="-1"/>
                <w:szCs w:val="21"/>
              </w:rPr>
              <w:t>涵和构成要素；商业模式</w:t>
            </w:r>
            <w:r>
              <w:rPr>
                <w:rFonts w:ascii="宋体" w:hAnsi="宋体" w:eastAsia="宋体"/>
                <w:szCs w:val="21"/>
              </w:rPr>
              <w:t xml:space="preserve"> </w:t>
            </w:r>
            <w:r>
              <w:rPr>
                <w:rFonts w:ascii="宋体" w:hAnsi="宋体" w:eastAsia="宋体"/>
                <w:spacing w:val="2"/>
                <w:szCs w:val="21"/>
              </w:rPr>
              <w:t xml:space="preserve">的设计与分析工具；应用 </w:t>
            </w:r>
            <w:r>
              <w:rPr>
                <w:rFonts w:ascii="宋体" w:hAnsi="宋体" w:eastAsia="宋体"/>
                <w:spacing w:val="10"/>
                <w:szCs w:val="21"/>
              </w:rPr>
              <w:t>中国国际大学生创新大</w:t>
            </w:r>
            <w:r>
              <w:rPr>
                <w:rFonts w:ascii="宋体" w:hAnsi="宋体" w:eastAsia="宋体"/>
                <w:spacing w:val="9"/>
                <w:szCs w:val="21"/>
              </w:rPr>
              <w:t>赛的获奖案例分析商业</w:t>
            </w:r>
            <w:r>
              <w:rPr>
                <w:rFonts w:ascii="宋体" w:hAnsi="宋体" w:eastAsia="宋体"/>
                <w:szCs w:val="21"/>
              </w:rPr>
              <w:t xml:space="preserve">  </w:t>
            </w:r>
            <w:r>
              <w:rPr>
                <w:rFonts w:ascii="宋体" w:hAnsi="宋体" w:eastAsia="宋体"/>
                <w:spacing w:val="5"/>
                <w:szCs w:val="21"/>
              </w:rPr>
              <w:t>模式的创新。</w:t>
            </w:r>
          </w:p>
        </w:tc>
        <w:tc>
          <w:tcPr>
            <w:tcW w:w="1348" w:type="dxa"/>
            <w:vAlign w:val="center"/>
          </w:tcPr>
          <w:p w14:paraId="63865E0B">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31312096">
            <w:pPr>
              <w:jc w:val="left"/>
              <w:rPr>
                <w:rFonts w:ascii="宋体" w:hAnsi="宋体" w:eastAsia="宋体" w:cs="Times New Roman"/>
                <w:color w:val="000000"/>
                <w:szCs w:val="21"/>
              </w:rPr>
            </w:pPr>
            <w:r>
              <w:rPr>
                <w:rFonts w:ascii="宋体" w:hAnsi="宋体" w:eastAsia="宋体"/>
                <w:spacing w:val="3"/>
                <w:szCs w:val="21"/>
              </w:rPr>
              <w:t>理解商业模式的内</w:t>
            </w:r>
            <w:r>
              <w:rPr>
                <w:rFonts w:ascii="宋体" w:hAnsi="宋体" w:eastAsia="宋体"/>
                <w:spacing w:val="-2"/>
                <w:szCs w:val="21"/>
              </w:rPr>
              <w:t>涵与构成要素；能应用案例分析商业</w:t>
            </w:r>
            <w:r>
              <w:rPr>
                <w:rFonts w:ascii="宋体" w:hAnsi="宋体" w:eastAsia="宋体"/>
                <w:spacing w:val="4"/>
                <w:szCs w:val="21"/>
              </w:rPr>
              <w:t>模式的创新。</w:t>
            </w:r>
          </w:p>
        </w:tc>
        <w:tc>
          <w:tcPr>
            <w:tcW w:w="1560" w:type="dxa"/>
            <w:vAlign w:val="center"/>
          </w:tcPr>
          <w:p w14:paraId="3AA9736C">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7DBA82D6">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6D95B43C">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6E6E9538">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34E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00BEE329">
            <w:pPr>
              <w:jc w:val="center"/>
              <w:rPr>
                <w:rFonts w:ascii="宋体" w:hAnsi="宋体" w:eastAsia="宋体" w:cs="Times New Roman"/>
                <w:color w:val="000000"/>
                <w:szCs w:val="21"/>
              </w:rPr>
            </w:pPr>
          </w:p>
        </w:tc>
        <w:tc>
          <w:tcPr>
            <w:tcW w:w="8308" w:type="dxa"/>
            <w:gridSpan w:val="6"/>
            <w:vAlign w:val="center"/>
          </w:tcPr>
          <w:p w14:paraId="4B435DE7">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强化社会责任感与诚信经营意</w:t>
            </w:r>
            <w:r>
              <w:rPr>
                <w:rFonts w:ascii="宋体" w:hAnsi="宋体" w:eastAsia="宋体"/>
                <w:spacing w:val="-1"/>
                <w:szCs w:val="21"/>
              </w:rPr>
              <w:t>识，倡导可持续发展的商业理</w:t>
            </w:r>
            <w:r>
              <w:rPr>
                <w:rFonts w:ascii="宋体" w:hAnsi="宋体" w:eastAsia="宋体"/>
                <w:spacing w:val="2"/>
                <w:szCs w:val="21"/>
              </w:rPr>
              <w:t xml:space="preserve"> </w:t>
            </w:r>
            <w:r>
              <w:rPr>
                <w:rFonts w:ascii="宋体" w:hAnsi="宋体" w:eastAsia="宋体"/>
                <w:spacing w:val="-1"/>
                <w:szCs w:val="21"/>
              </w:rPr>
              <w:t>念，培养在商业模式创新中兼</w:t>
            </w:r>
            <w:r>
              <w:rPr>
                <w:rFonts w:ascii="宋体" w:hAnsi="宋体" w:eastAsia="宋体"/>
                <w:spacing w:val="4"/>
                <w:szCs w:val="21"/>
              </w:rPr>
              <w:t xml:space="preserve"> </w:t>
            </w:r>
            <w:r>
              <w:rPr>
                <w:rFonts w:ascii="宋体" w:hAnsi="宋体" w:eastAsia="宋体"/>
                <w:spacing w:val="-1"/>
                <w:szCs w:val="21"/>
              </w:rPr>
              <w:t>顾经济效益与社会效益的价值</w:t>
            </w:r>
            <w:r>
              <w:rPr>
                <w:rFonts w:ascii="宋体" w:hAnsi="宋体" w:eastAsia="宋体"/>
                <w:spacing w:val="3"/>
                <w:szCs w:val="21"/>
              </w:rPr>
              <w:t xml:space="preserve"> </w:t>
            </w:r>
            <w:r>
              <w:rPr>
                <w:rFonts w:ascii="宋体" w:hAnsi="宋体" w:eastAsia="宋体"/>
                <w:spacing w:val="1"/>
                <w:szCs w:val="21"/>
              </w:rPr>
              <w:t>观，培育良好的职业道德和团</w:t>
            </w:r>
            <w:r>
              <w:rPr>
                <w:rFonts w:ascii="宋体" w:hAnsi="宋体" w:eastAsia="宋体"/>
                <w:spacing w:val="4"/>
                <w:szCs w:val="21"/>
              </w:rPr>
              <w:t xml:space="preserve"> </w:t>
            </w:r>
            <w:r>
              <w:rPr>
                <w:rFonts w:ascii="宋体" w:hAnsi="宋体" w:eastAsia="宋体"/>
                <w:szCs w:val="21"/>
              </w:rPr>
              <w:t>队协作精神。</w:t>
            </w:r>
          </w:p>
        </w:tc>
      </w:tr>
      <w:tr w14:paraId="13E6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7CA3681E">
            <w:pPr>
              <w:jc w:val="center"/>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b/>
                <w:bCs/>
                <w:spacing w:val="-4"/>
                <w:szCs w:val="21"/>
              </w:rPr>
              <w:t xml:space="preserve"> 创新创业资源</w:t>
            </w:r>
          </w:p>
        </w:tc>
        <w:tc>
          <w:tcPr>
            <w:tcW w:w="1701" w:type="dxa"/>
            <w:gridSpan w:val="2"/>
            <w:vAlign w:val="center"/>
          </w:tcPr>
          <w:p w14:paraId="1015310B">
            <w:pPr>
              <w:jc w:val="left"/>
              <w:rPr>
                <w:rFonts w:ascii="宋体" w:hAnsi="宋体" w:eastAsia="宋体" w:cs="Times New Roman"/>
                <w:szCs w:val="21"/>
              </w:rPr>
            </w:pPr>
            <w:r>
              <w:rPr>
                <w:rFonts w:ascii="宋体" w:hAnsi="宋体" w:eastAsia="宋体"/>
                <w:spacing w:val="-4"/>
                <w:szCs w:val="21"/>
              </w:rPr>
              <w:t>创新创业</w:t>
            </w:r>
            <w:r>
              <w:rPr>
                <w:rFonts w:ascii="宋体" w:hAnsi="宋体" w:eastAsia="宋体"/>
                <w:spacing w:val="7"/>
                <w:szCs w:val="21"/>
              </w:rPr>
              <w:t>的政策资源、法律资源、</w:t>
            </w:r>
            <w:r>
              <w:rPr>
                <w:rFonts w:ascii="宋体" w:hAnsi="宋体" w:eastAsia="宋体"/>
                <w:spacing w:val="9"/>
                <w:szCs w:val="21"/>
              </w:rPr>
              <w:t xml:space="preserve"> </w:t>
            </w:r>
            <w:r>
              <w:rPr>
                <w:rFonts w:ascii="宋体" w:hAnsi="宋体" w:eastAsia="宋体"/>
                <w:spacing w:val="-1"/>
                <w:szCs w:val="21"/>
              </w:rPr>
              <w:t>资金资源、赛事资源和平</w:t>
            </w:r>
            <w:r>
              <w:rPr>
                <w:rFonts w:ascii="宋体" w:hAnsi="宋体" w:eastAsia="宋体"/>
                <w:spacing w:val="1"/>
                <w:szCs w:val="21"/>
              </w:rPr>
              <w:t xml:space="preserve">  </w:t>
            </w:r>
            <w:r>
              <w:rPr>
                <w:rFonts w:ascii="宋体" w:hAnsi="宋体" w:eastAsia="宋体"/>
                <w:spacing w:val="2"/>
                <w:szCs w:val="21"/>
              </w:rPr>
              <w:t>台资源。</w:t>
            </w:r>
          </w:p>
        </w:tc>
        <w:tc>
          <w:tcPr>
            <w:tcW w:w="1348" w:type="dxa"/>
            <w:vAlign w:val="center"/>
          </w:tcPr>
          <w:p w14:paraId="32740B18">
            <w:pPr>
              <w:jc w:val="center"/>
              <w:rPr>
                <w:rFonts w:hint="eastAsia"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w:t>
            </w:r>
          </w:p>
        </w:tc>
        <w:tc>
          <w:tcPr>
            <w:tcW w:w="3260" w:type="dxa"/>
            <w:vAlign w:val="center"/>
          </w:tcPr>
          <w:p w14:paraId="3F74A6DB">
            <w:pPr>
              <w:rPr>
                <w:rFonts w:ascii="宋体" w:hAnsi="宋体" w:eastAsia="宋体" w:cs="Times New Roman"/>
                <w:color w:val="000000"/>
                <w:szCs w:val="21"/>
              </w:rPr>
            </w:pPr>
            <w:r>
              <w:rPr>
                <w:rFonts w:ascii="宋体" w:hAnsi="宋体" w:eastAsia="宋体"/>
                <w:spacing w:val="-10"/>
                <w:szCs w:val="21"/>
              </w:rPr>
              <w:t>了解大学生创新创</w:t>
            </w:r>
            <w:r>
              <w:rPr>
                <w:rFonts w:ascii="宋体" w:hAnsi="宋体" w:eastAsia="宋体"/>
                <w:spacing w:val="-13"/>
                <w:szCs w:val="21"/>
              </w:rPr>
              <w:t>业的政策资源、法</w:t>
            </w:r>
            <w:r>
              <w:rPr>
                <w:rFonts w:ascii="宋体" w:hAnsi="宋体" w:eastAsia="宋体"/>
                <w:spacing w:val="1"/>
                <w:szCs w:val="21"/>
              </w:rPr>
              <w:t xml:space="preserve">   </w:t>
            </w:r>
            <w:r>
              <w:rPr>
                <w:rFonts w:ascii="宋体" w:hAnsi="宋体" w:eastAsia="宋体"/>
                <w:spacing w:val="-13"/>
                <w:szCs w:val="21"/>
              </w:rPr>
              <w:t>律资源、资金资源、</w:t>
            </w:r>
            <w:r>
              <w:rPr>
                <w:rFonts w:ascii="宋体" w:hAnsi="宋体" w:eastAsia="宋体"/>
                <w:spacing w:val="-10"/>
                <w:szCs w:val="21"/>
              </w:rPr>
              <w:t>赛事资源和平台资</w:t>
            </w:r>
            <w:r>
              <w:rPr>
                <w:rFonts w:ascii="宋体" w:hAnsi="宋体" w:eastAsia="宋体"/>
                <w:spacing w:val="-13"/>
                <w:szCs w:val="21"/>
              </w:rPr>
              <w:t>源；能应用“挑战</w:t>
            </w:r>
            <w:r>
              <w:rPr>
                <w:rFonts w:ascii="宋体" w:hAnsi="宋体" w:eastAsia="宋体"/>
                <w:spacing w:val="-10"/>
                <w:szCs w:val="21"/>
              </w:rPr>
              <w:t>杯”中国大学生创</w:t>
            </w:r>
            <w:r>
              <w:rPr>
                <w:rFonts w:ascii="宋体" w:hAnsi="宋体" w:eastAsia="宋体"/>
                <w:spacing w:val="-13"/>
                <w:szCs w:val="21"/>
              </w:rPr>
              <w:t>业计划竞赛金奖案</w:t>
            </w:r>
            <w:r>
              <w:rPr>
                <w:rFonts w:ascii="宋体" w:hAnsi="宋体" w:eastAsia="宋体"/>
                <w:spacing w:val="-10"/>
                <w:szCs w:val="21"/>
              </w:rPr>
              <w:t>例分析创新创业资</w:t>
            </w:r>
            <w:r>
              <w:rPr>
                <w:rFonts w:ascii="宋体" w:hAnsi="宋体" w:eastAsia="宋体"/>
                <w:spacing w:val="-9"/>
                <w:szCs w:val="21"/>
              </w:rPr>
              <w:t>源的获取渠道。</w:t>
            </w:r>
          </w:p>
        </w:tc>
        <w:tc>
          <w:tcPr>
            <w:tcW w:w="1560" w:type="dxa"/>
            <w:vAlign w:val="center"/>
          </w:tcPr>
          <w:p w14:paraId="0AC26282">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3572102D">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1B0973EC">
            <w:pPr>
              <w:jc w:val="left"/>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tc>
        <w:tc>
          <w:tcPr>
            <w:tcW w:w="439" w:type="dxa"/>
            <w:vAlign w:val="center"/>
          </w:tcPr>
          <w:p w14:paraId="45FCF1E8">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026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32D67D46">
            <w:pPr>
              <w:jc w:val="center"/>
              <w:rPr>
                <w:rFonts w:ascii="宋体" w:hAnsi="宋体" w:eastAsia="宋体" w:cs="Times New Roman"/>
                <w:color w:val="000000"/>
                <w:szCs w:val="21"/>
              </w:rPr>
            </w:pPr>
          </w:p>
        </w:tc>
        <w:tc>
          <w:tcPr>
            <w:tcW w:w="8308" w:type="dxa"/>
            <w:gridSpan w:val="6"/>
            <w:vAlign w:val="center"/>
          </w:tcPr>
          <w:p w14:paraId="081B31E3">
            <w:pPr>
              <w:pStyle w:val="33"/>
              <w:spacing w:before="244"/>
              <w:ind w:left="123" w:right="79"/>
              <w:jc w:val="both"/>
              <w:rPr>
                <w:lang w:eastAsia="zh-CN"/>
              </w:rPr>
            </w:pPr>
            <w:r>
              <w:rPr>
                <w:rFonts w:hint="eastAsia" w:cs="Times New Roman"/>
                <w:b/>
                <w:lang w:eastAsia="zh-CN"/>
              </w:rPr>
              <w:t>课程思政目标：</w:t>
            </w:r>
            <w:r>
              <w:rPr>
                <w:spacing w:val="-1"/>
                <w:lang w:eastAsia="zh-CN"/>
              </w:rPr>
              <w:t>激发学生创新创业热情，树立敢于尝试、不屈不挠、坚持奋</w:t>
            </w:r>
            <w:r>
              <w:rPr>
                <w:spacing w:val="2"/>
                <w:lang w:eastAsia="zh-CN"/>
              </w:rPr>
              <w:t>斗、勇于创新的精神风貌，引</w:t>
            </w:r>
            <w:r>
              <w:rPr>
                <w:lang w:eastAsia="zh-CN"/>
              </w:rPr>
              <w:t>导学生在创新创业过程中关注</w:t>
            </w:r>
            <w:r>
              <w:rPr>
                <w:spacing w:val="9"/>
                <w:lang w:eastAsia="zh-CN"/>
              </w:rPr>
              <w:t xml:space="preserve"> </w:t>
            </w:r>
            <w:r>
              <w:rPr>
                <w:spacing w:val="-1"/>
                <w:lang w:eastAsia="zh-CN"/>
              </w:rPr>
              <w:t>社会需求和公共利益，将个人</w:t>
            </w:r>
            <w:r>
              <w:rPr>
                <w:spacing w:val="2"/>
                <w:lang w:eastAsia="zh-CN"/>
              </w:rPr>
              <w:t xml:space="preserve"> </w:t>
            </w:r>
            <w:r>
              <w:rPr>
                <w:spacing w:val="4"/>
                <w:lang w:eastAsia="zh-CN"/>
              </w:rPr>
              <w:t>创业梦想与社会发展相结合，</w:t>
            </w:r>
            <w:r>
              <w:rPr>
                <w:lang w:eastAsia="zh-CN"/>
              </w:rPr>
              <w:t>实现个人价值与社会价值的统</w:t>
            </w:r>
            <w:r>
              <w:rPr>
                <w:spacing w:val="8"/>
                <w:lang w:eastAsia="zh-CN"/>
              </w:rPr>
              <w:t xml:space="preserve"> </w:t>
            </w:r>
            <w:r>
              <w:rPr>
                <w:spacing w:val="12"/>
                <w:lang w:eastAsia="zh-CN"/>
              </w:rPr>
              <w:t>一。</w:t>
            </w:r>
          </w:p>
        </w:tc>
      </w:tr>
      <w:tr w14:paraId="208A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20598B04">
            <w:pPr>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b/>
                <w:bCs/>
                <w:spacing w:val="-3"/>
                <w:szCs w:val="21"/>
              </w:rPr>
              <w:t xml:space="preserve"> 创新创业团队</w:t>
            </w:r>
          </w:p>
        </w:tc>
        <w:tc>
          <w:tcPr>
            <w:tcW w:w="1701" w:type="dxa"/>
            <w:gridSpan w:val="2"/>
            <w:vAlign w:val="center"/>
          </w:tcPr>
          <w:p w14:paraId="5DCBCD8A">
            <w:pPr>
              <w:jc w:val="left"/>
              <w:rPr>
                <w:rFonts w:ascii="宋体" w:hAnsi="宋体" w:eastAsia="宋体" w:cs="Times New Roman"/>
                <w:color w:val="000000"/>
                <w:szCs w:val="21"/>
              </w:rPr>
            </w:pPr>
            <w:r>
              <w:rPr>
                <w:rFonts w:ascii="宋体" w:hAnsi="宋体" w:eastAsia="宋体"/>
                <w:spacing w:val="-3"/>
                <w:szCs w:val="21"/>
              </w:rPr>
              <w:t>创新创业</w:t>
            </w:r>
            <w:r>
              <w:rPr>
                <w:rFonts w:ascii="宋体" w:hAnsi="宋体" w:eastAsia="宋体"/>
                <w:szCs w:val="21"/>
              </w:rPr>
              <w:t>团队的概念、要素及价值</w:t>
            </w:r>
            <w:r>
              <w:rPr>
                <w:rFonts w:ascii="宋体" w:hAnsi="宋体" w:eastAsia="宋体"/>
                <w:spacing w:val="9"/>
                <w:szCs w:val="21"/>
              </w:rPr>
              <w:t>创新创业团队的人员组</w:t>
            </w:r>
            <w:r>
              <w:rPr>
                <w:rFonts w:ascii="宋体" w:hAnsi="宋体" w:eastAsia="宋体"/>
                <w:szCs w:val="21"/>
              </w:rPr>
              <w:t xml:space="preserve">  </w:t>
            </w:r>
            <w:r>
              <w:rPr>
                <w:rFonts w:ascii="宋体" w:hAnsi="宋体" w:eastAsia="宋体"/>
                <w:spacing w:val="11"/>
                <w:szCs w:val="21"/>
              </w:rPr>
              <w:t>成、角色分工和组织架</w:t>
            </w:r>
            <w:r>
              <w:rPr>
                <w:rFonts w:ascii="宋体" w:hAnsi="宋体" w:eastAsia="宋体"/>
                <w:szCs w:val="21"/>
              </w:rPr>
              <w:t xml:space="preserve">  </w:t>
            </w:r>
            <w:r>
              <w:rPr>
                <w:rFonts w:ascii="宋体" w:hAnsi="宋体" w:eastAsia="宋体"/>
                <w:spacing w:val="-2"/>
                <w:szCs w:val="21"/>
              </w:rPr>
              <w:t>构。</w:t>
            </w:r>
          </w:p>
        </w:tc>
        <w:tc>
          <w:tcPr>
            <w:tcW w:w="1348" w:type="dxa"/>
            <w:vAlign w:val="center"/>
          </w:tcPr>
          <w:p w14:paraId="5E600EC4">
            <w:pPr>
              <w:jc w:val="center"/>
              <w:rPr>
                <w:rFonts w:ascii="宋体" w:hAnsi="宋体" w:eastAsia="宋体" w:cs="Times New Roman"/>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3260" w:type="dxa"/>
            <w:vAlign w:val="center"/>
          </w:tcPr>
          <w:p w14:paraId="2576A7A2">
            <w:pPr>
              <w:jc w:val="left"/>
              <w:rPr>
                <w:rFonts w:ascii="宋体" w:hAnsi="宋体" w:eastAsia="宋体" w:cs="Times New Roman"/>
                <w:color w:val="000000"/>
                <w:szCs w:val="21"/>
              </w:rPr>
            </w:pPr>
            <w:r>
              <w:rPr>
                <w:rFonts w:ascii="宋体" w:hAnsi="宋体" w:eastAsia="宋体"/>
                <w:spacing w:val="-2"/>
                <w:szCs w:val="21"/>
              </w:rPr>
              <w:t>应用案例学会设计创新创业团队的组</w:t>
            </w:r>
            <w:r>
              <w:rPr>
                <w:rFonts w:ascii="宋体" w:hAnsi="宋体" w:eastAsia="宋体"/>
                <w:spacing w:val="1"/>
                <w:szCs w:val="21"/>
              </w:rPr>
              <w:t>织架构。</w:t>
            </w:r>
          </w:p>
        </w:tc>
        <w:tc>
          <w:tcPr>
            <w:tcW w:w="1560" w:type="dxa"/>
            <w:vAlign w:val="center"/>
          </w:tcPr>
          <w:p w14:paraId="654613BC">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4E8CC6E0">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31C8DCD1">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32AB03EF">
            <w:pPr>
              <w:jc w:val="left"/>
              <w:rPr>
                <w:rFonts w:hint="eastAsia" w:ascii="宋体" w:hAnsi="宋体" w:eastAsia="宋体" w:cs="Times New Roman"/>
                <w:color w:val="000000"/>
                <w:szCs w:val="21"/>
              </w:rPr>
            </w:pPr>
            <w:r>
              <w:rPr>
                <w:rFonts w:hint="eastAsia" w:ascii="宋体" w:hAnsi="宋体" w:eastAsia="宋体" w:cs="Times New Roman"/>
                <w:color w:val="000000"/>
                <w:szCs w:val="21"/>
              </w:rPr>
              <w:t>4.课堂汇报</w:t>
            </w:r>
          </w:p>
        </w:tc>
        <w:tc>
          <w:tcPr>
            <w:tcW w:w="439" w:type="dxa"/>
            <w:vAlign w:val="center"/>
          </w:tcPr>
          <w:p w14:paraId="345C1068">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160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2E178F6F">
            <w:pPr>
              <w:jc w:val="center"/>
              <w:rPr>
                <w:rFonts w:ascii="宋体" w:hAnsi="宋体" w:eastAsia="宋体" w:cs="Times New Roman"/>
                <w:color w:val="000000"/>
                <w:szCs w:val="21"/>
              </w:rPr>
            </w:pPr>
          </w:p>
        </w:tc>
        <w:tc>
          <w:tcPr>
            <w:tcW w:w="8308" w:type="dxa"/>
            <w:gridSpan w:val="6"/>
            <w:vAlign w:val="center"/>
          </w:tcPr>
          <w:p w14:paraId="08BB75B0">
            <w:pPr>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跟党学双创，能领会中国共产党是世界上最强大的创新创业</w:t>
            </w:r>
            <w:r>
              <w:rPr>
                <w:rFonts w:ascii="宋体" w:hAnsi="宋体" w:eastAsia="宋体"/>
                <w:szCs w:val="21"/>
              </w:rPr>
              <w:t>团队，始终坚持理想信念和初心使命，带领各族人民，历经</w:t>
            </w:r>
            <w:r>
              <w:rPr>
                <w:rFonts w:ascii="宋体" w:hAnsi="宋体" w:eastAsia="宋体"/>
                <w:spacing w:val="4"/>
                <w:szCs w:val="21"/>
              </w:rPr>
              <w:t>风雨，不屈不挠，改革创新，</w:t>
            </w:r>
            <w:r>
              <w:rPr>
                <w:rFonts w:ascii="宋体" w:hAnsi="宋体" w:eastAsia="宋体"/>
                <w:szCs w:val="21"/>
              </w:rPr>
              <w:t>以中国式现代化全面推进中华</w:t>
            </w:r>
            <w:r>
              <w:rPr>
                <w:rFonts w:ascii="宋体" w:hAnsi="宋体" w:eastAsia="宋体"/>
                <w:spacing w:val="4"/>
                <w:szCs w:val="21"/>
              </w:rPr>
              <w:t>民族的伟大复兴。跟党学习，</w:t>
            </w:r>
            <w:r>
              <w:rPr>
                <w:rFonts w:ascii="宋体" w:hAnsi="宋体" w:eastAsia="宋体"/>
                <w:szCs w:val="21"/>
              </w:rPr>
              <w:t>团队在创新创业的过程中，通</w:t>
            </w:r>
            <w:r>
              <w:rPr>
                <w:rFonts w:ascii="宋体" w:hAnsi="宋体" w:eastAsia="宋体"/>
                <w:spacing w:val="4"/>
                <w:szCs w:val="21"/>
              </w:rPr>
              <w:t>过沟通、分享、互补、协作，</w:t>
            </w:r>
            <w:r>
              <w:rPr>
                <w:rFonts w:ascii="宋体" w:hAnsi="宋体" w:eastAsia="宋体"/>
                <w:spacing w:val="-1"/>
                <w:szCs w:val="21"/>
              </w:rPr>
              <w:t>解决创新创业道路上的一个又一个困难，实现最终目标。</w:t>
            </w:r>
          </w:p>
        </w:tc>
      </w:tr>
      <w:tr w14:paraId="6792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14:paraId="0EC859E6">
            <w:pPr>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b/>
                <w:bCs/>
                <w:spacing w:val="-1"/>
                <w:szCs w:val="21"/>
              </w:rPr>
              <w:t xml:space="preserve"> 互联网创业指南</w:t>
            </w:r>
          </w:p>
        </w:tc>
        <w:tc>
          <w:tcPr>
            <w:tcW w:w="1661" w:type="dxa"/>
            <w:vAlign w:val="center"/>
          </w:tcPr>
          <w:p w14:paraId="1BC559C8">
            <w:pPr>
              <w:ind w:right="-82" w:rightChars="-39"/>
              <w:jc w:val="left"/>
              <w:rPr>
                <w:rFonts w:hint="eastAsia" w:ascii="宋体" w:hAnsi="宋体" w:eastAsia="宋体" w:cs="Times New Roman"/>
                <w:b/>
                <w:color w:val="000000"/>
                <w:szCs w:val="21"/>
              </w:rPr>
            </w:pPr>
            <w:r>
              <w:rPr>
                <w:rFonts w:ascii="宋体" w:hAnsi="宋体" w:eastAsia="宋体"/>
                <w:spacing w:val="-1"/>
                <w:szCs w:val="21"/>
              </w:rPr>
              <w:t>互联网</w:t>
            </w:r>
            <w:r>
              <w:rPr>
                <w:rFonts w:ascii="宋体" w:hAnsi="宋体" w:eastAsia="宋体"/>
                <w:spacing w:val="11"/>
                <w:szCs w:val="21"/>
              </w:rPr>
              <w:t>的发展历程和未来趋势及互联网创业的概念和</w:t>
            </w:r>
            <w:r>
              <w:rPr>
                <w:rFonts w:ascii="宋体" w:hAnsi="宋体" w:eastAsia="宋体"/>
                <w:spacing w:val="3"/>
                <w:szCs w:val="21"/>
              </w:rPr>
              <w:t xml:space="preserve">  </w:t>
            </w:r>
            <w:r>
              <w:rPr>
                <w:rFonts w:ascii="宋体" w:hAnsi="宋体" w:eastAsia="宋体"/>
                <w:spacing w:val="-1"/>
                <w:szCs w:val="21"/>
              </w:rPr>
              <w:t>特点；不同互联网创业平</w:t>
            </w:r>
            <w:r>
              <w:rPr>
                <w:rFonts w:ascii="宋体" w:hAnsi="宋体" w:eastAsia="宋体"/>
                <w:spacing w:val="1"/>
                <w:szCs w:val="21"/>
              </w:rPr>
              <w:t>台的特点及选择策略；网</w:t>
            </w:r>
            <w:r>
              <w:rPr>
                <w:rFonts w:ascii="宋体" w:hAnsi="宋体" w:eastAsia="宋体"/>
                <w:spacing w:val="11"/>
                <w:szCs w:val="21"/>
              </w:rPr>
              <w:t>上开店的流程与运营管</w:t>
            </w:r>
            <w:r>
              <w:rPr>
                <w:rFonts w:ascii="宋体" w:hAnsi="宋体" w:eastAsia="宋体"/>
                <w:spacing w:val="1"/>
                <w:szCs w:val="21"/>
              </w:rPr>
              <w:t>理技巧；共享经济模式的</w:t>
            </w:r>
            <w:r>
              <w:rPr>
                <w:rFonts w:ascii="宋体" w:hAnsi="宋体" w:eastAsia="宋体"/>
                <w:spacing w:val="2"/>
                <w:szCs w:val="21"/>
              </w:rPr>
              <w:t>运作机制和发展前景。</w:t>
            </w:r>
          </w:p>
        </w:tc>
        <w:tc>
          <w:tcPr>
            <w:tcW w:w="1388" w:type="dxa"/>
            <w:gridSpan w:val="2"/>
            <w:vAlign w:val="center"/>
          </w:tcPr>
          <w:p w14:paraId="0026D3C2">
            <w:pPr>
              <w:jc w:val="left"/>
              <w:rPr>
                <w:rFonts w:hint="eastAsia" w:ascii="宋体" w:hAnsi="宋体" w:eastAsia="宋体" w:cs="Times New Roman"/>
                <w:b/>
                <w:color w:val="000000"/>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2</w:t>
            </w:r>
          </w:p>
        </w:tc>
        <w:tc>
          <w:tcPr>
            <w:tcW w:w="3261" w:type="dxa"/>
            <w:vAlign w:val="center"/>
          </w:tcPr>
          <w:p w14:paraId="538BF31E">
            <w:pPr>
              <w:rPr>
                <w:rFonts w:hint="eastAsia" w:ascii="宋体" w:hAnsi="宋体" w:eastAsia="宋体" w:cs="Times New Roman"/>
                <w:b/>
                <w:color w:val="000000"/>
                <w:szCs w:val="21"/>
              </w:rPr>
            </w:pPr>
            <w:r>
              <w:rPr>
                <w:rFonts w:ascii="宋体" w:hAnsi="宋体" w:eastAsia="宋体"/>
                <w:spacing w:val="1"/>
                <w:szCs w:val="21"/>
              </w:rPr>
              <w:t>能应用全国大学</w:t>
            </w:r>
            <w:r>
              <w:rPr>
                <w:rFonts w:ascii="宋体" w:hAnsi="宋体" w:eastAsia="宋体"/>
                <w:spacing w:val="13"/>
                <w:szCs w:val="21"/>
              </w:rPr>
              <w:t>电子商务“创新、</w:t>
            </w:r>
            <w:r>
              <w:rPr>
                <w:rFonts w:ascii="宋体" w:hAnsi="宋体" w:eastAsia="宋体"/>
                <w:spacing w:val="5"/>
                <w:szCs w:val="21"/>
              </w:rPr>
              <w:t>创意及创业"挑战</w:t>
            </w:r>
            <w:r>
              <w:rPr>
                <w:rFonts w:ascii="宋体" w:hAnsi="宋体" w:eastAsia="宋体"/>
                <w:spacing w:val="-2"/>
                <w:szCs w:val="21"/>
              </w:rPr>
              <w:t>赛获奖案例分析互联网创业的发展现</w:t>
            </w:r>
            <w:r>
              <w:rPr>
                <w:rFonts w:ascii="宋体" w:hAnsi="宋体" w:eastAsia="宋体"/>
                <w:spacing w:val="-1"/>
                <w:szCs w:val="21"/>
              </w:rPr>
              <w:t>状与未来趋势。</w:t>
            </w:r>
          </w:p>
        </w:tc>
        <w:tc>
          <w:tcPr>
            <w:tcW w:w="1559" w:type="dxa"/>
            <w:vAlign w:val="center"/>
          </w:tcPr>
          <w:p w14:paraId="246FC79C">
            <w:pPr>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73693DBC">
            <w:pPr>
              <w:jc w:val="left"/>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58D0BD94">
            <w:pPr>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1B4CB473">
            <w:pPr>
              <w:jc w:val="left"/>
              <w:rPr>
                <w:rFonts w:hint="eastAsia" w:ascii="宋体" w:hAnsi="宋体" w:eastAsia="宋体" w:cs="Times New Roman"/>
                <w:b/>
                <w:color w:val="000000"/>
                <w:szCs w:val="21"/>
              </w:rPr>
            </w:pPr>
            <w:r>
              <w:rPr>
                <w:rFonts w:hint="eastAsia" w:ascii="宋体" w:hAnsi="宋体" w:eastAsia="宋体" w:cs="Times New Roman"/>
                <w:color w:val="000000"/>
                <w:szCs w:val="21"/>
              </w:rPr>
              <w:t>4.课堂汇报</w:t>
            </w:r>
          </w:p>
        </w:tc>
        <w:tc>
          <w:tcPr>
            <w:tcW w:w="439" w:type="dxa"/>
            <w:vAlign w:val="center"/>
          </w:tcPr>
          <w:p w14:paraId="55052BCD">
            <w:pPr>
              <w:jc w:val="left"/>
              <w:rPr>
                <w:rFonts w:hint="eastAsia" w:ascii="宋体" w:hAnsi="宋体" w:eastAsia="宋体" w:cs="Times New Roman"/>
                <w:b/>
                <w:color w:val="000000"/>
                <w:szCs w:val="21"/>
              </w:rPr>
            </w:pPr>
            <w:r>
              <w:rPr>
                <w:rFonts w:hint="eastAsia" w:ascii="宋体" w:hAnsi="宋体" w:eastAsia="宋体" w:cs="Times New Roman"/>
                <w:color w:val="000000"/>
                <w:szCs w:val="21"/>
              </w:rPr>
              <w:t>4</w:t>
            </w:r>
          </w:p>
        </w:tc>
      </w:tr>
      <w:tr w14:paraId="275A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14:paraId="1E64C455">
            <w:pPr>
              <w:jc w:val="center"/>
              <w:rPr>
                <w:rFonts w:ascii="宋体" w:hAnsi="宋体" w:eastAsia="宋体" w:cs="Times New Roman"/>
                <w:color w:val="000000"/>
                <w:szCs w:val="21"/>
              </w:rPr>
            </w:pPr>
          </w:p>
        </w:tc>
        <w:tc>
          <w:tcPr>
            <w:tcW w:w="8308" w:type="dxa"/>
            <w:gridSpan w:val="6"/>
            <w:vAlign w:val="center"/>
          </w:tcPr>
          <w:p w14:paraId="09FD4686">
            <w:pPr>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ascii="宋体" w:hAnsi="宋体" w:eastAsia="宋体"/>
                <w:spacing w:val="-1"/>
                <w:szCs w:val="21"/>
              </w:rPr>
              <w:t>培养学生在互联网领域探索未</w:t>
            </w:r>
            <w:r>
              <w:rPr>
                <w:rFonts w:ascii="宋体" w:hAnsi="宋体" w:eastAsia="宋体"/>
                <w:szCs w:val="21"/>
              </w:rPr>
              <w:t>知、挑战自我以及面对失败不屈不挠、勇于担当的精神。强调互联网创业中涉及的知识产</w:t>
            </w:r>
            <w:r>
              <w:rPr>
                <w:rFonts w:ascii="宋体" w:hAnsi="宋体" w:eastAsia="宋体"/>
                <w:spacing w:val="-1"/>
                <w:szCs w:val="21"/>
              </w:rPr>
              <w:t>权和公平竞争的重要性，实现个人价值的同时，为社会创造</w:t>
            </w:r>
            <w:r>
              <w:rPr>
                <w:rFonts w:ascii="宋体" w:hAnsi="宋体" w:eastAsia="宋体"/>
                <w:szCs w:val="21"/>
              </w:rPr>
              <w:t>更多价值。</w:t>
            </w:r>
          </w:p>
        </w:tc>
      </w:tr>
    </w:tbl>
    <w:p w14:paraId="2818A155">
      <w:pPr>
        <w:spacing w:line="360" w:lineRule="auto"/>
        <w:jc w:val="left"/>
        <w:rPr>
          <w:rFonts w:ascii="Times New Roman" w:hAnsi="Times New Roman" w:eastAsia="宋体" w:cs="Times New Roman"/>
          <w:sz w:val="24"/>
          <w:szCs w:val="24"/>
        </w:rPr>
      </w:pPr>
    </w:p>
    <w:p w14:paraId="765AD73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D303EF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7BCADF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2ACC0BF">
      <w:pPr>
        <w:spacing w:line="360" w:lineRule="auto"/>
        <w:ind w:firstLine="420" w:firstLineChars="200"/>
        <w:jc w:val="left"/>
        <w:rPr>
          <w:rFonts w:ascii="Times New Roman" w:hAnsi="Times New Roman" w:eastAsia="宋体" w:cs="Times New Roman"/>
          <w:szCs w:val="21"/>
        </w:rPr>
      </w:pPr>
    </w:p>
    <w:p w14:paraId="23E7BB4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60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193"/>
        <w:gridCol w:w="1134"/>
        <w:gridCol w:w="1701"/>
        <w:gridCol w:w="2304"/>
        <w:gridCol w:w="993"/>
      </w:tblGrid>
      <w:tr w14:paraId="568F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14:paraId="521D2F0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332" w:type="dxa"/>
            <w:gridSpan w:val="4"/>
            <w:vAlign w:val="center"/>
          </w:tcPr>
          <w:p w14:paraId="7476178A">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993" w:type="dxa"/>
            <w:vAlign w:val="center"/>
          </w:tcPr>
          <w:p w14:paraId="0F229445">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F83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14:paraId="09C95B59">
            <w:pPr>
              <w:spacing w:line="360" w:lineRule="auto"/>
              <w:jc w:val="center"/>
              <w:rPr>
                <w:rFonts w:ascii="宋体" w:hAnsi="宋体" w:eastAsia="宋体" w:cs="Times New Roman"/>
                <w:szCs w:val="21"/>
              </w:rPr>
            </w:pPr>
          </w:p>
        </w:tc>
        <w:tc>
          <w:tcPr>
            <w:tcW w:w="1193" w:type="dxa"/>
            <w:vAlign w:val="center"/>
          </w:tcPr>
          <w:p w14:paraId="5152591E">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134" w:type="dxa"/>
            <w:vAlign w:val="center"/>
          </w:tcPr>
          <w:p w14:paraId="415003D0">
            <w:pPr>
              <w:spacing w:line="360" w:lineRule="auto"/>
              <w:jc w:val="center"/>
              <w:rPr>
                <w:rFonts w:ascii="宋体" w:hAnsi="宋体" w:eastAsia="宋体" w:cs="Times New Roman"/>
                <w:szCs w:val="21"/>
              </w:rPr>
            </w:pPr>
            <w:r>
              <w:rPr>
                <w:rFonts w:hint="eastAsia" w:ascii="宋体" w:hAnsi="宋体" w:eastAsia="宋体" w:cs="Times New Roman"/>
                <w:szCs w:val="21"/>
              </w:rPr>
              <w:t>作业</w:t>
            </w:r>
          </w:p>
        </w:tc>
        <w:tc>
          <w:tcPr>
            <w:tcW w:w="1701" w:type="dxa"/>
            <w:vAlign w:val="center"/>
          </w:tcPr>
          <w:p w14:paraId="4FC01284">
            <w:pPr>
              <w:spacing w:line="360" w:lineRule="auto"/>
              <w:jc w:val="center"/>
              <w:rPr>
                <w:rFonts w:ascii="宋体" w:hAnsi="宋体" w:eastAsia="宋体" w:cs="Times New Roman"/>
                <w:szCs w:val="21"/>
              </w:rPr>
            </w:pPr>
            <w:r>
              <w:rPr>
                <w:rFonts w:hint="eastAsia" w:ascii="宋体" w:hAnsi="宋体" w:eastAsia="宋体" w:cs="Times New Roman"/>
                <w:szCs w:val="21"/>
              </w:rPr>
              <w:t>项目汇报</w:t>
            </w:r>
          </w:p>
        </w:tc>
        <w:tc>
          <w:tcPr>
            <w:tcW w:w="2304" w:type="dxa"/>
            <w:vAlign w:val="center"/>
          </w:tcPr>
          <w:p w14:paraId="59D1C90E">
            <w:pPr>
              <w:spacing w:line="360" w:lineRule="auto"/>
              <w:jc w:val="center"/>
              <w:rPr>
                <w:rFonts w:ascii="宋体" w:hAnsi="宋体" w:eastAsia="宋体" w:cs="Times New Roman"/>
                <w:szCs w:val="21"/>
              </w:rPr>
            </w:pPr>
            <w:r>
              <w:rPr>
                <w:rFonts w:hint="eastAsia" w:ascii="宋体" w:hAnsi="宋体" w:eastAsia="宋体" w:cs="Times New Roman"/>
                <w:szCs w:val="21"/>
              </w:rPr>
              <w:t>课程考核大作业</w:t>
            </w:r>
          </w:p>
        </w:tc>
        <w:tc>
          <w:tcPr>
            <w:tcW w:w="993" w:type="dxa"/>
            <w:vAlign w:val="center"/>
          </w:tcPr>
          <w:p w14:paraId="72E0C5DF">
            <w:pPr>
              <w:spacing w:line="360" w:lineRule="auto"/>
              <w:jc w:val="center"/>
              <w:rPr>
                <w:rFonts w:ascii="宋体" w:hAnsi="宋体" w:eastAsia="宋体" w:cs="Times New Roman"/>
                <w:szCs w:val="21"/>
              </w:rPr>
            </w:pPr>
          </w:p>
        </w:tc>
      </w:tr>
      <w:tr w14:paraId="2AF9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58F9F635">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193" w:type="dxa"/>
            <w:vAlign w:val="center"/>
          </w:tcPr>
          <w:p w14:paraId="5D40A948">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134" w:type="dxa"/>
            <w:vAlign w:val="center"/>
          </w:tcPr>
          <w:p w14:paraId="4D69A038">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701" w:type="dxa"/>
            <w:vAlign w:val="center"/>
          </w:tcPr>
          <w:p w14:paraId="7ED3B4CA">
            <w:pPr>
              <w:spacing w:line="360" w:lineRule="auto"/>
              <w:jc w:val="center"/>
              <w:rPr>
                <w:rFonts w:ascii="宋体" w:hAnsi="宋体" w:eastAsia="宋体" w:cs="Times New Roman"/>
                <w:szCs w:val="21"/>
              </w:rPr>
            </w:pPr>
          </w:p>
        </w:tc>
        <w:tc>
          <w:tcPr>
            <w:tcW w:w="2304" w:type="dxa"/>
            <w:vAlign w:val="center"/>
          </w:tcPr>
          <w:p w14:paraId="4C9A4749">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993" w:type="dxa"/>
            <w:vAlign w:val="center"/>
          </w:tcPr>
          <w:p w14:paraId="34425E04">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01BB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49F324CC">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193" w:type="dxa"/>
            <w:vAlign w:val="center"/>
          </w:tcPr>
          <w:p w14:paraId="3516E36C">
            <w:pPr>
              <w:spacing w:line="360" w:lineRule="auto"/>
              <w:jc w:val="center"/>
              <w:rPr>
                <w:rFonts w:ascii="宋体" w:hAnsi="宋体" w:eastAsia="宋体" w:cs="Times New Roman"/>
                <w:szCs w:val="21"/>
              </w:rPr>
            </w:pPr>
          </w:p>
        </w:tc>
        <w:tc>
          <w:tcPr>
            <w:tcW w:w="1134" w:type="dxa"/>
            <w:vAlign w:val="center"/>
          </w:tcPr>
          <w:p w14:paraId="2FF79A2A">
            <w:pPr>
              <w:spacing w:line="360" w:lineRule="auto"/>
              <w:jc w:val="center"/>
              <w:rPr>
                <w:rFonts w:ascii="宋体" w:hAnsi="宋体" w:eastAsia="宋体" w:cs="Times New Roman"/>
                <w:szCs w:val="21"/>
              </w:rPr>
            </w:pPr>
          </w:p>
        </w:tc>
        <w:tc>
          <w:tcPr>
            <w:tcW w:w="1701" w:type="dxa"/>
            <w:vAlign w:val="center"/>
          </w:tcPr>
          <w:p w14:paraId="363D5B15">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2304" w:type="dxa"/>
            <w:vAlign w:val="center"/>
          </w:tcPr>
          <w:p w14:paraId="30D66643">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993" w:type="dxa"/>
            <w:vAlign w:val="center"/>
          </w:tcPr>
          <w:p w14:paraId="4D9CBDDA">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410B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14:paraId="5ECCF4B3">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193" w:type="dxa"/>
            <w:vAlign w:val="center"/>
          </w:tcPr>
          <w:p w14:paraId="3083E0FA">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134" w:type="dxa"/>
            <w:vAlign w:val="center"/>
          </w:tcPr>
          <w:p w14:paraId="007ADDD9">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701" w:type="dxa"/>
            <w:vAlign w:val="center"/>
          </w:tcPr>
          <w:p w14:paraId="11533C25">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2304" w:type="dxa"/>
            <w:vAlign w:val="center"/>
          </w:tcPr>
          <w:p w14:paraId="6FFDAE82">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993" w:type="dxa"/>
            <w:vAlign w:val="center"/>
          </w:tcPr>
          <w:p w14:paraId="2D9D3744">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6503619E">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67A469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E42C31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923"/>
        <w:gridCol w:w="706"/>
      </w:tblGrid>
      <w:tr w14:paraId="22EF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71710E0">
            <w:pPr>
              <w:rPr>
                <w:rFonts w:ascii="宋体" w:hAnsi="宋体" w:eastAsia="宋体" w:cs="Times New Roman"/>
                <w:b/>
                <w:bCs/>
                <w:szCs w:val="21"/>
              </w:rPr>
            </w:pPr>
            <w:r>
              <w:rPr>
                <w:rFonts w:hint="eastAsia" w:ascii="宋体" w:hAnsi="宋体" w:eastAsia="宋体" w:cs="Times New Roman"/>
                <w:b/>
                <w:bCs/>
                <w:szCs w:val="21"/>
              </w:rPr>
              <w:t>评价方式</w:t>
            </w:r>
          </w:p>
        </w:tc>
        <w:tc>
          <w:tcPr>
            <w:tcW w:w="6923" w:type="dxa"/>
            <w:vAlign w:val="center"/>
          </w:tcPr>
          <w:p w14:paraId="3653D2F2">
            <w:pPr>
              <w:rPr>
                <w:rFonts w:ascii="宋体" w:hAnsi="宋体" w:eastAsia="宋体" w:cs="Times New Roman"/>
                <w:b/>
                <w:bCs/>
                <w:szCs w:val="21"/>
              </w:rPr>
            </w:pPr>
            <w:r>
              <w:rPr>
                <w:rFonts w:hint="eastAsia" w:ascii="宋体" w:hAnsi="宋体" w:eastAsia="宋体" w:cs="Times New Roman"/>
                <w:b/>
                <w:bCs/>
                <w:szCs w:val="21"/>
              </w:rPr>
              <w:t>评定细则</w:t>
            </w:r>
          </w:p>
        </w:tc>
        <w:tc>
          <w:tcPr>
            <w:tcW w:w="0" w:type="auto"/>
            <w:vAlign w:val="center"/>
          </w:tcPr>
          <w:p w14:paraId="0DF87DFB">
            <w:pPr>
              <w:rPr>
                <w:rFonts w:ascii="宋体" w:hAnsi="宋体" w:eastAsia="宋体" w:cs="Times New Roman"/>
                <w:b/>
                <w:bCs/>
                <w:szCs w:val="21"/>
              </w:rPr>
            </w:pPr>
            <w:r>
              <w:rPr>
                <w:rFonts w:hint="eastAsia" w:ascii="宋体" w:hAnsi="宋体" w:eastAsia="宋体" w:cs="Times New Roman"/>
                <w:b/>
                <w:bCs/>
                <w:szCs w:val="21"/>
              </w:rPr>
              <w:t>占比</w:t>
            </w:r>
          </w:p>
        </w:tc>
      </w:tr>
      <w:tr w14:paraId="5870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E78D4B8">
            <w:pPr>
              <w:rPr>
                <w:rFonts w:ascii="宋体" w:hAnsi="宋体" w:eastAsia="宋体" w:cs="Times New Roman"/>
                <w:szCs w:val="21"/>
              </w:rPr>
            </w:pPr>
            <w:r>
              <w:rPr>
                <w:rFonts w:hint="eastAsia" w:ascii="宋体" w:hAnsi="宋体" w:eastAsia="宋体" w:cs="Times New Roman"/>
                <w:szCs w:val="21"/>
              </w:rPr>
              <w:t>平时表现</w:t>
            </w:r>
          </w:p>
        </w:tc>
        <w:tc>
          <w:tcPr>
            <w:tcW w:w="6923" w:type="dxa"/>
            <w:vAlign w:val="center"/>
          </w:tcPr>
          <w:p w14:paraId="2B661C30">
            <w:pPr>
              <w:spacing w:line="264" w:lineRule="auto"/>
              <w:rPr>
                <w:rFonts w:ascii="宋体" w:hAnsi="宋体" w:eastAsia="宋体" w:cs="Times New Roman"/>
                <w:szCs w:val="21"/>
              </w:rPr>
            </w:pPr>
            <w:r>
              <w:rPr>
                <w:rFonts w:ascii="宋体" w:hAnsi="宋体" w:eastAsia="宋体"/>
                <w:spacing w:val="-1"/>
              </w:rPr>
              <w:t>学生出勤、课堂提问和互动情况。</w:t>
            </w:r>
          </w:p>
        </w:tc>
        <w:tc>
          <w:tcPr>
            <w:tcW w:w="0" w:type="auto"/>
            <w:vAlign w:val="center"/>
          </w:tcPr>
          <w:p w14:paraId="1A588836">
            <w:pPr>
              <w:rPr>
                <w:rFonts w:ascii="宋体" w:hAnsi="宋体" w:eastAsia="宋体" w:cs="Times New Roman"/>
                <w:szCs w:val="21"/>
              </w:rPr>
            </w:pPr>
            <w:r>
              <w:rPr>
                <w:rFonts w:ascii="宋体" w:hAnsi="宋体" w:eastAsia="宋体"/>
                <w:spacing w:val="-6"/>
              </w:rPr>
              <w:t>10%</w:t>
            </w:r>
          </w:p>
        </w:tc>
      </w:tr>
      <w:tr w14:paraId="5797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D96B2E5">
            <w:pPr>
              <w:rPr>
                <w:rFonts w:ascii="宋体" w:hAnsi="宋体" w:eastAsia="宋体" w:cs="Times New Roman"/>
                <w:szCs w:val="21"/>
              </w:rPr>
            </w:pPr>
            <w:r>
              <w:rPr>
                <w:rFonts w:hint="eastAsia" w:ascii="宋体" w:hAnsi="宋体" w:eastAsia="宋体" w:cs="Times New Roman"/>
                <w:szCs w:val="21"/>
              </w:rPr>
              <w:t>作业</w:t>
            </w:r>
          </w:p>
        </w:tc>
        <w:tc>
          <w:tcPr>
            <w:tcW w:w="6923" w:type="dxa"/>
            <w:vAlign w:val="center"/>
          </w:tcPr>
          <w:p w14:paraId="3A413887">
            <w:pPr>
              <w:widowControl/>
              <w:spacing w:line="264" w:lineRule="auto"/>
              <w:rPr>
                <w:rFonts w:ascii="宋体" w:hAnsi="宋体" w:eastAsia="宋体" w:cs="Times New Roman"/>
                <w:szCs w:val="21"/>
              </w:rPr>
            </w:pPr>
            <w:r>
              <w:rPr>
                <w:rFonts w:ascii="宋体" w:hAnsi="宋体" w:eastAsia="宋体"/>
              </w:rPr>
              <w:t>课后作业布置不少于3次，完成项目申报书、专</w:t>
            </w:r>
            <w:r>
              <w:rPr>
                <w:rFonts w:ascii="宋体" w:hAnsi="宋体" w:eastAsia="宋体"/>
                <w:spacing w:val="1"/>
              </w:rPr>
              <w:t>利申请书、社会调查报告或商业计划书的阶段性</w:t>
            </w:r>
            <w:r>
              <w:rPr>
                <w:rFonts w:ascii="宋体" w:hAnsi="宋体" w:eastAsia="宋体"/>
                <w:spacing w:val="3"/>
              </w:rPr>
              <w:t>资料或教材的章节练习，主要考核学生对项目的</w:t>
            </w:r>
            <w:r>
              <w:rPr>
                <w:rFonts w:ascii="宋体" w:hAnsi="宋体" w:eastAsia="宋体"/>
                <w:spacing w:val="-1"/>
              </w:rPr>
              <w:t>资料搜集和知识的理解程度。作业按百分制计分。</w:t>
            </w:r>
          </w:p>
        </w:tc>
        <w:tc>
          <w:tcPr>
            <w:tcW w:w="0" w:type="auto"/>
            <w:vAlign w:val="center"/>
          </w:tcPr>
          <w:p w14:paraId="51F1CD33">
            <w:pPr>
              <w:rPr>
                <w:rFonts w:ascii="宋体" w:hAnsi="宋体" w:eastAsia="宋体" w:cs="Times New Roman"/>
                <w:szCs w:val="21"/>
              </w:rPr>
            </w:pPr>
            <w:r>
              <w:rPr>
                <w:rFonts w:ascii="宋体" w:hAnsi="宋体" w:eastAsia="宋体"/>
                <w:spacing w:val="-3"/>
              </w:rPr>
              <w:t>20%</w:t>
            </w:r>
          </w:p>
        </w:tc>
      </w:tr>
      <w:tr w14:paraId="6040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3A17036">
            <w:pPr>
              <w:rPr>
                <w:rFonts w:ascii="宋体" w:hAnsi="宋体" w:eastAsia="宋体" w:cs="Times New Roman"/>
                <w:szCs w:val="21"/>
              </w:rPr>
            </w:pPr>
            <w:r>
              <w:rPr>
                <w:rFonts w:hint="eastAsia" w:ascii="宋体" w:hAnsi="宋体" w:eastAsia="宋体" w:cs="Times New Roman"/>
                <w:szCs w:val="21"/>
              </w:rPr>
              <w:t>项目汇报</w:t>
            </w:r>
          </w:p>
        </w:tc>
        <w:tc>
          <w:tcPr>
            <w:tcW w:w="6923" w:type="dxa"/>
            <w:vAlign w:val="center"/>
          </w:tcPr>
          <w:p w14:paraId="280C1624">
            <w:pPr>
              <w:widowControl/>
              <w:spacing w:line="264" w:lineRule="auto"/>
              <w:rPr>
                <w:rFonts w:ascii="宋体" w:hAnsi="宋体" w:eastAsia="宋体" w:cs="宋体"/>
                <w:color w:val="000000"/>
                <w:kern w:val="0"/>
                <w:szCs w:val="21"/>
                <w:lang w:bidi="ar"/>
              </w:rPr>
            </w:pPr>
            <w:r>
              <w:rPr>
                <w:rFonts w:ascii="宋体" w:hAnsi="宋体" w:eastAsia="宋体"/>
                <w:spacing w:val="-1"/>
              </w:rPr>
              <w:t>采用团队汇报形式，主要考核学生对于创新创业</w:t>
            </w:r>
            <w:r>
              <w:rPr>
                <w:rFonts w:ascii="宋体" w:hAnsi="宋体" w:eastAsia="宋体"/>
              </w:rPr>
              <w:t>项目的检索归纳和理解程度以及表达展示与沟通</w:t>
            </w:r>
            <w:r>
              <w:rPr>
                <w:rFonts w:ascii="宋体" w:hAnsi="宋体" w:eastAsia="宋体"/>
                <w:spacing w:val="-1"/>
              </w:rPr>
              <w:t>交流的能力。</w:t>
            </w:r>
          </w:p>
        </w:tc>
        <w:tc>
          <w:tcPr>
            <w:tcW w:w="0" w:type="auto"/>
            <w:vAlign w:val="center"/>
          </w:tcPr>
          <w:p w14:paraId="278602B4">
            <w:pPr>
              <w:rPr>
                <w:rFonts w:ascii="宋体" w:hAnsi="宋体" w:eastAsia="宋体" w:cs="Times New Roman"/>
                <w:szCs w:val="21"/>
              </w:rPr>
            </w:pPr>
            <w:r>
              <w:rPr>
                <w:rFonts w:ascii="宋体" w:hAnsi="宋体" w:eastAsia="宋体"/>
                <w:spacing w:val="-3"/>
              </w:rPr>
              <w:t>20%</w:t>
            </w:r>
          </w:p>
        </w:tc>
      </w:tr>
      <w:tr w14:paraId="6B8E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3D54159">
            <w:pPr>
              <w:rPr>
                <w:rFonts w:ascii="宋体" w:hAnsi="宋体" w:eastAsia="宋体" w:cs="Times New Roman"/>
                <w:szCs w:val="21"/>
              </w:rPr>
            </w:pPr>
            <w:r>
              <w:rPr>
                <w:rFonts w:hint="eastAsia" w:ascii="宋体" w:hAnsi="宋体" w:eastAsia="宋体" w:cs="Times New Roman"/>
                <w:szCs w:val="21"/>
              </w:rPr>
              <w:t>课程考察大作业</w:t>
            </w:r>
          </w:p>
        </w:tc>
        <w:tc>
          <w:tcPr>
            <w:tcW w:w="6923" w:type="dxa"/>
            <w:vAlign w:val="center"/>
          </w:tcPr>
          <w:p w14:paraId="3C5CEF77">
            <w:pPr>
              <w:widowControl/>
              <w:spacing w:line="264" w:lineRule="auto"/>
              <w:rPr>
                <w:rFonts w:ascii="宋体" w:hAnsi="宋体" w:eastAsia="宋体" w:cs="宋体"/>
                <w:color w:val="000000"/>
                <w:kern w:val="0"/>
                <w:szCs w:val="21"/>
                <w:lang w:bidi="ar"/>
              </w:rPr>
            </w:pPr>
            <w:r>
              <w:rPr>
                <w:rFonts w:ascii="宋体" w:hAnsi="宋体" w:eastAsia="宋体"/>
              </w:rPr>
              <w:t>强调项目申报书、专利申请书、社会调查报告或</w:t>
            </w:r>
            <w:r>
              <w:rPr>
                <w:rFonts w:ascii="宋体" w:hAnsi="宋体" w:eastAsia="宋体"/>
                <w:spacing w:val="2"/>
              </w:rPr>
              <w:t>商业计划书的内容完整性、方案创新性、项目可</w:t>
            </w:r>
            <w:r>
              <w:rPr>
                <w:rFonts w:ascii="宋体" w:hAnsi="宋体" w:eastAsia="宋体"/>
                <w:spacing w:val="6"/>
              </w:rPr>
              <w:t>行性、语言流畅性、个人参与性、团队合作性、</w:t>
            </w:r>
            <w:r>
              <w:rPr>
                <w:rFonts w:ascii="宋体" w:hAnsi="宋体" w:eastAsia="宋体"/>
                <w:spacing w:val="-1"/>
              </w:rPr>
              <w:t>格式规范性。</w:t>
            </w:r>
          </w:p>
        </w:tc>
        <w:tc>
          <w:tcPr>
            <w:tcW w:w="0" w:type="auto"/>
            <w:vAlign w:val="center"/>
          </w:tcPr>
          <w:p w14:paraId="1CF51AB6">
            <w:pPr>
              <w:rPr>
                <w:rFonts w:ascii="宋体" w:hAnsi="宋体" w:eastAsia="宋体" w:cs="Times New Roman"/>
                <w:szCs w:val="21"/>
              </w:rPr>
            </w:pPr>
            <w:r>
              <w:rPr>
                <w:rFonts w:ascii="宋体" w:hAnsi="宋体" w:eastAsia="宋体"/>
                <w:spacing w:val="-3"/>
              </w:rPr>
              <w:t>50%</w:t>
            </w:r>
          </w:p>
        </w:tc>
      </w:tr>
      <w:tr w14:paraId="1181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9" w:type="dxa"/>
            <w:vAlign w:val="center"/>
          </w:tcPr>
          <w:p w14:paraId="630E845F">
            <w:pPr>
              <w:rPr>
                <w:rFonts w:ascii="宋体" w:hAnsi="宋体" w:eastAsia="宋体" w:cs="Times New Roman"/>
                <w:b/>
                <w:bCs/>
                <w:szCs w:val="21"/>
              </w:rPr>
            </w:pPr>
            <w:r>
              <w:rPr>
                <w:rFonts w:hint="eastAsia" w:ascii="宋体" w:hAnsi="宋体" w:eastAsia="宋体" w:cs="Times New Roman"/>
                <w:b/>
                <w:bCs/>
                <w:szCs w:val="21"/>
              </w:rPr>
              <w:t>合计</w:t>
            </w:r>
          </w:p>
        </w:tc>
        <w:tc>
          <w:tcPr>
            <w:tcW w:w="0" w:type="auto"/>
            <w:vAlign w:val="center"/>
          </w:tcPr>
          <w:p w14:paraId="51BDD688">
            <w:pPr>
              <w:rPr>
                <w:rFonts w:ascii="宋体" w:hAnsi="宋体" w:eastAsia="宋体" w:cs="Times New Roman"/>
                <w:szCs w:val="21"/>
              </w:rPr>
            </w:pPr>
          </w:p>
        </w:tc>
        <w:tc>
          <w:tcPr>
            <w:tcW w:w="0" w:type="auto"/>
            <w:vAlign w:val="center"/>
          </w:tcPr>
          <w:p w14:paraId="5538D49A">
            <w:pPr>
              <w:rPr>
                <w:rFonts w:ascii="宋体" w:hAnsi="宋体" w:eastAsia="宋体" w:cs="Times New Roman"/>
                <w:szCs w:val="21"/>
              </w:rPr>
            </w:pPr>
            <w:r>
              <w:rPr>
                <w:rFonts w:hint="eastAsia" w:ascii="宋体" w:hAnsi="宋体" w:eastAsia="宋体" w:cs="Times New Roman"/>
                <w:szCs w:val="21"/>
              </w:rPr>
              <w:t>100%</w:t>
            </w:r>
          </w:p>
        </w:tc>
      </w:tr>
    </w:tbl>
    <w:p w14:paraId="5223955F">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0EFC20F8">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3BE846C">
      <w:pPr>
        <w:spacing w:before="156" w:beforeLines="50" w:line="360" w:lineRule="auto"/>
        <w:ind w:firstLine="420" w:firstLineChars="200"/>
        <w:jc w:val="left"/>
        <w:rPr>
          <w:rFonts w:ascii="宋体" w:hAnsi="宋体" w:eastAsia="宋体" w:cs="Times New Roman"/>
          <w:color w:val="000000"/>
          <w:szCs w:val="21"/>
        </w:rPr>
      </w:pPr>
      <w:r>
        <w:drawing>
          <wp:inline distT="0" distB="0" distL="0" distR="0">
            <wp:extent cx="3934460" cy="772160"/>
            <wp:effectExtent l="0" t="0" r="8890" b="8890"/>
            <wp:docPr id="1633433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33752" name="图片 1"/>
                    <pic:cNvPicPr>
                      <a:picLocks noChangeAspect="1"/>
                    </pic:cNvPicPr>
                  </pic:nvPicPr>
                  <pic:blipFill>
                    <a:blip r:embed="rId11"/>
                    <a:stretch>
                      <a:fillRect/>
                    </a:stretch>
                  </pic:blipFill>
                  <pic:spPr>
                    <a:xfrm>
                      <a:off x="0" y="0"/>
                      <a:ext cx="3955415" cy="776524"/>
                    </a:xfrm>
                    <a:prstGeom prst="rect">
                      <a:avLst/>
                    </a:prstGeom>
                  </pic:spPr>
                </pic:pic>
              </a:graphicData>
            </a:graphic>
          </wp:inline>
        </w:drawing>
      </w:r>
    </w:p>
    <w:p w14:paraId="6C615273">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067F57FE">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5890635D">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894"/>
        <w:gridCol w:w="2126"/>
        <w:gridCol w:w="2287"/>
      </w:tblGrid>
      <w:tr w14:paraId="10BB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9278421">
            <w:pPr>
              <w:jc w:val="center"/>
              <w:rPr>
                <w:rFonts w:ascii="宋体" w:hAnsi="宋体" w:eastAsia="宋体" w:cs="宋体"/>
                <w:b/>
                <w:bCs/>
                <w:szCs w:val="21"/>
              </w:rPr>
            </w:pPr>
            <w:r>
              <w:rPr>
                <w:rFonts w:hint="eastAsia" w:ascii="宋体" w:hAnsi="宋体" w:eastAsia="宋体" w:cs="宋体"/>
                <w:b/>
                <w:bCs/>
                <w:szCs w:val="21"/>
              </w:rPr>
              <w:t>活动主题</w:t>
            </w:r>
          </w:p>
        </w:tc>
        <w:tc>
          <w:tcPr>
            <w:tcW w:w="2894" w:type="dxa"/>
            <w:vAlign w:val="center"/>
          </w:tcPr>
          <w:p w14:paraId="41CB3962">
            <w:pPr>
              <w:jc w:val="center"/>
              <w:rPr>
                <w:rFonts w:ascii="宋体" w:hAnsi="宋体" w:eastAsia="宋体" w:cs="宋体"/>
                <w:b/>
                <w:bCs/>
                <w:szCs w:val="21"/>
              </w:rPr>
            </w:pPr>
            <w:r>
              <w:rPr>
                <w:rFonts w:hint="eastAsia" w:ascii="宋体" w:hAnsi="宋体" w:eastAsia="宋体" w:cs="宋体"/>
                <w:b/>
                <w:bCs/>
                <w:szCs w:val="21"/>
              </w:rPr>
              <w:t>活动内容</w:t>
            </w:r>
          </w:p>
        </w:tc>
        <w:tc>
          <w:tcPr>
            <w:tcW w:w="2126" w:type="dxa"/>
            <w:vAlign w:val="center"/>
          </w:tcPr>
          <w:p w14:paraId="0D1C286A">
            <w:pPr>
              <w:jc w:val="center"/>
              <w:rPr>
                <w:rFonts w:ascii="宋体" w:hAnsi="宋体" w:eastAsia="宋体" w:cs="宋体"/>
                <w:b/>
                <w:bCs/>
                <w:szCs w:val="21"/>
              </w:rPr>
            </w:pPr>
            <w:r>
              <w:rPr>
                <w:rFonts w:hint="eastAsia" w:ascii="宋体" w:hAnsi="宋体" w:eastAsia="宋体" w:cs="宋体"/>
                <w:b/>
                <w:bCs/>
                <w:szCs w:val="21"/>
              </w:rPr>
              <w:t>活动方式</w:t>
            </w:r>
          </w:p>
        </w:tc>
        <w:tc>
          <w:tcPr>
            <w:tcW w:w="2287" w:type="dxa"/>
            <w:vAlign w:val="center"/>
          </w:tcPr>
          <w:p w14:paraId="79AF3446">
            <w:pPr>
              <w:jc w:val="center"/>
              <w:rPr>
                <w:rFonts w:ascii="宋体" w:hAnsi="宋体" w:eastAsia="宋体" w:cs="宋体"/>
                <w:b/>
                <w:bCs/>
                <w:szCs w:val="21"/>
              </w:rPr>
            </w:pPr>
            <w:r>
              <w:rPr>
                <w:rFonts w:hint="eastAsia" w:ascii="宋体" w:hAnsi="宋体" w:eastAsia="宋体" w:cs="宋体"/>
                <w:b/>
                <w:bCs/>
                <w:szCs w:val="21"/>
              </w:rPr>
              <w:t>思政目标</w:t>
            </w:r>
          </w:p>
        </w:tc>
      </w:tr>
      <w:tr w14:paraId="190C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1DE51B6">
            <w:pPr>
              <w:jc w:val="left"/>
              <w:rPr>
                <w:rFonts w:ascii="宋体" w:hAnsi="宋体" w:eastAsia="宋体" w:cs="宋体"/>
                <w:szCs w:val="21"/>
              </w:rPr>
            </w:pPr>
            <w:r>
              <w:rPr>
                <w:rFonts w:hint="eastAsia" w:ascii="宋体" w:hAnsi="宋体" w:eastAsia="宋体"/>
                <w:color w:val="06071F"/>
                <w:szCs w:val="21"/>
                <w:shd w:val="clear" w:color="auto" w:fill="FDFDFE"/>
              </w:rPr>
              <w:t>用“逆向头脑风暴”挖掘社会痛点中的创业机遇</w:t>
            </w:r>
          </w:p>
        </w:tc>
        <w:tc>
          <w:tcPr>
            <w:tcW w:w="2894" w:type="dxa"/>
            <w:vAlign w:val="center"/>
          </w:tcPr>
          <w:p w14:paraId="6257A655">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角色扮演</w:t>
            </w:r>
            <w:r>
              <w:rPr>
                <w:rFonts w:hint="eastAsia" w:ascii="宋体" w:hAnsi="宋体" w:eastAsia="宋体"/>
                <w:color w:val="06071F"/>
                <w:szCs w:val="21"/>
              </w:rPr>
              <w:t>：分组扮演“社区工作者”“大学生”“银发族”等角色，通过情景模拟发现未被满足的需求。</w:t>
            </w:r>
          </w:p>
          <w:p w14:paraId="2726B9B1">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案例分析</w:t>
            </w:r>
            <w:r>
              <w:rPr>
                <w:rFonts w:hint="eastAsia" w:ascii="宋体" w:hAnsi="宋体" w:eastAsia="宋体"/>
                <w:color w:val="06071F"/>
                <w:szCs w:val="21"/>
              </w:rPr>
              <w:t>：拆解“乡村快递最后一公里”等社会痛点型创业案例，提炼价值主张设计逻辑。</w:t>
            </w:r>
          </w:p>
          <w:p w14:paraId="53864870">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思政融合</w:t>
            </w:r>
            <w:r>
              <w:rPr>
                <w:rFonts w:hint="eastAsia" w:ascii="宋体" w:hAnsi="宋体" w:eastAsia="宋体"/>
                <w:color w:val="06071F"/>
                <w:szCs w:val="21"/>
              </w:rPr>
              <w:t>：结合“共同富裕”政策，讨论创业如何助力弱势群体赋能。</w:t>
            </w:r>
          </w:p>
        </w:tc>
        <w:tc>
          <w:tcPr>
            <w:tcW w:w="2126" w:type="dxa"/>
            <w:vAlign w:val="center"/>
          </w:tcPr>
          <w:p w14:paraId="52C503B6">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工具</w:t>
            </w:r>
            <w:r>
              <w:rPr>
                <w:rFonts w:hint="eastAsia" w:ascii="宋体" w:hAnsi="宋体" w:eastAsia="宋体"/>
                <w:color w:val="06071F"/>
                <w:szCs w:val="21"/>
              </w:rPr>
              <w:t>：使用“问题树”工具梳理社会痛点，开展逆向头脑风暴（如“如何让老年人更难买到药？”）反向推导解决方案。</w:t>
            </w:r>
          </w:p>
          <w:p w14:paraId="73C52E2F">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产出</w:t>
            </w:r>
            <w:r>
              <w:rPr>
                <w:rFonts w:hint="eastAsia" w:ascii="宋体" w:hAnsi="宋体" w:eastAsia="宋体"/>
                <w:color w:val="06071F"/>
                <w:szCs w:val="21"/>
              </w:rPr>
              <w:t>：每组提交《社会痛点创业机会分析报告》，需包含至少3个思政价值锚点（如“乡村振兴”“代际公平”）。</w:t>
            </w:r>
          </w:p>
        </w:tc>
        <w:tc>
          <w:tcPr>
            <w:tcW w:w="2287" w:type="dxa"/>
            <w:vAlign w:val="center"/>
          </w:tcPr>
          <w:p w14:paraId="63A619D6">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树立</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以人民为中心</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的创业观</w:t>
            </w:r>
            <w:r>
              <w:rPr>
                <w:rFonts w:hint="eastAsia" w:ascii="宋体" w:hAnsi="宋体" w:eastAsia="宋体"/>
                <w:color w:val="06071F"/>
                <w:szCs w:val="21"/>
              </w:rPr>
              <w:t>，理解社会痛点与国家政策（如共同富裕、老龄化社会需求）的关联性。</w:t>
            </w:r>
          </w:p>
          <w:p w14:paraId="3A60A70F">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培养</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问题导向</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思维</w:t>
            </w:r>
            <w:r>
              <w:rPr>
                <w:rFonts w:hint="eastAsia" w:ascii="宋体" w:hAnsi="宋体" w:eastAsia="宋体"/>
                <w:color w:val="06071F"/>
                <w:szCs w:val="21"/>
              </w:rPr>
              <w:t>，将社会痛点转化为创业机会。</w:t>
            </w:r>
          </w:p>
          <w:p w14:paraId="7F70FA3C">
            <w:pPr>
              <w:jc w:val="left"/>
              <w:rPr>
                <w:rFonts w:ascii="宋体" w:hAnsi="宋体" w:eastAsia="宋体" w:cs="宋体"/>
                <w:szCs w:val="21"/>
              </w:rPr>
            </w:pPr>
          </w:p>
        </w:tc>
      </w:tr>
      <w:tr w14:paraId="7087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28AD0DA">
            <w:pPr>
              <w:pStyle w:val="4"/>
              <w:spacing w:before="0" w:beforeAutospacing="0" w:after="0" w:afterAutospacing="0"/>
              <w:rPr>
                <w:rFonts w:hint="eastAsia"/>
                <w:b w:val="0"/>
                <w:bCs w:val="0"/>
                <w:color w:val="05073B"/>
                <w:sz w:val="21"/>
                <w:szCs w:val="21"/>
              </w:rPr>
            </w:pPr>
            <w:r>
              <w:rPr>
                <w:rStyle w:val="13"/>
                <w:rFonts w:cs="Segoe UI"/>
                <w:b w:val="0"/>
                <w:bCs w:val="0"/>
                <w:color w:val="05073B"/>
                <w:sz w:val="21"/>
                <w:szCs w:val="21"/>
              </w:rPr>
              <w:t>团队熔炼——从“冲突”到“共创”</w:t>
            </w:r>
          </w:p>
        </w:tc>
        <w:tc>
          <w:tcPr>
            <w:tcW w:w="2894" w:type="dxa"/>
            <w:vAlign w:val="center"/>
          </w:tcPr>
          <w:p w14:paraId="758D4882">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角色扮演</w:t>
            </w:r>
            <w:r>
              <w:rPr>
                <w:rFonts w:hint="eastAsia" w:ascii="宋体" w:hAnsi="宋体" w:eastAsia="宋体"/>
                <w:color w:val="06071F"/>
                <w:szCs w:val="21"/>
              </w:rPr>
              <w:t>：分组模拟“技术大牛+营销达人+资金方”团队，围绕股权分配、品牌价值观冲突展开辩论。</w:t>
            </w:r>
          </w:p>
          <w:p w14:paraId="53E9AD67">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小组合作</w:t>
            </w:r>
            <w:r>
              <w:rPr>
                <w:rFonts w:hint="eastAsia" w:ascii="宋体" w:hAnsi="宋体" w:eastAsia="宋体"/>
                <w:color w:val="06071F"/>
                <w:szCs w:val="21"/>
              </w:rPr>
              <w:t>：设计《团队冲突解决机制手册》，需包含沟通协议、伦理准则条款。</w:t>
            </w:r>
          </w:p>
          <w:p w14:paraId="68055643">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思政融合</w:t>
            </w:r>
            <w:r>
              <w:rPr>
                <w:rFonts w:hint="eastAsia" w:ascii="宋体" w:hAnsi="宋体" w:eastAsia="宋体"/>
                <w:color w:val="06071F"/>
                <w:szCs w:val="21"/>
              </w:rPr>
              <w:t>：引入“红船精神”中的团队协作案例，讨论利益与使命的平衡。</w:t>
            </w:r>
          </w:p>
        </w:tc>
        <w:tc>
          <w:tcPr>
            <w:tcW w:w="2126" w:type="dxa"/>
            <w:vAlign w:val="center"/>
          </w:tcPr>
          <w:p w14:paraId="394C58B3">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工具</w:t>
            </w:r>
            <w:r>
              <w:rPr>
                <w:rFonts w:hint="eastAsia" w:ascii="宋体" w:hAnsi="宋体" w:eastAsia="宋体"/>
                <w:color w:val="06071F"/>
                <w:szCs w:val="21"/>
              </w:rPr>
              <w:t>：使用“SWOT分析”评估团队组合，通过“世界咖啡”模式轮换角色视角。</w:t>
            </w:r>
          </w:p>
          <w:p w14:paraId="388AC1C5">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产出</w:t>
            </w:r>
            <w:r>
              <w:rPr>
                <w:rFonts w:hint="eastAsia" w:ascii="宋体" w:hAnsi="宋体" w:eastAsia="宋体"/>
                <w:color w:val="06071F"/>
                <w:szCs w:val="21"/>
              </w:rPr>
              <w:t>：角色扮演视频记录+《团队伦理决策案例集》。</w:t>
            </w:r>
          </w:p>
        </w:tc>
        <w:tc>
          <w:tcPr>
            <w:tcW w:w="2287" w:type="dxa"/>
            <w:vAlign w:val="center"/>
          </w:tcPr>
          <w:p w14:paraId="659B90B6">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强化</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集体主义</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精神</w:t>
            </w:r>
            <w:r>
              <w:rPr>
                <w:rFonts w:hint="eastAsia" w:ascii="宋体" w:hAnsi="宋体" w:eastAsia="宋体"/>
                <w:color w:val="06071F"/>
                <w:szCs w:val="21"/>
              </w:rPr>
              <w:t>，理解创业中个人利益与团队目标的辩证关系。</w:t>
            </w:r>
          </w:p>
          <w:p w14:paraId="568EA1B6">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建立</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诚信、共赢</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的团队伦理观</w:t>
            </w:r>
            <w:r>
              <w:rPr>
                <w:rFonts w:hint="eastAsia" w:ascii="宋体" w:hAnsi="宋体" w:eastAsia="宋体"/>
                <w:color w:val="06071F"/>
                <w:szCs w:val="21"/>
              </w:rPr>
              <w:t>，在冲突中寻求价值共识。</w:t>
            </w:r>
          </w:p>
        </w:tc>
      </w:tr>
      <w:tr w14:paraId="370A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1B8BA27">
            <w:pPr>
              <w:jc w:val="left"/>
              <w:rPr>
                <w:rFonts w:ascii="宋体" w:hAnsi="宋体" w:eastAsia="宋体" w:cs="宋体"/>
                <w:szCs w:val="21"/>
              </w:rPr>
            </w:pPr>
            <w:r>
              <w:rPr>
                <w:rFonts w:hint="eastAsia" w:ascii="宋体" w:hAnsi="宋体" w:eastAsia="宋体"/>
                <w:color w:val="06071F"/>
                <w:szCs w:val="21"/>
                <w:shd w:val="clear" w:color="auto" w:fill="FDFDFE"/>
              </w:rPr>
              <w:t>路演实战：用“家国情怀”打动投资人</w:t>
            </w:r>
          </w:p>
        </w:tc>
        <w:tc>
          <w:tcPr>
            <w:tcW w:w="2894" w:type="dxa"/>
            <w:vAlign w:val="center"/>
          </w:tcPr>
          <w:p w14:paraId="288ED00D">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头脑风暴</w:t>
            </w:r>
            <w:r>
              <w:rPr>
                <w:rFonts w:hint="eastAsia" w:ascii="宋体" w:hAnsi="宋体" w:eastAsia="宋体"/>
                <w:color w:val="06071F"/>
                <w:szCs w:val="21"/>
              </w:rPr>
              <w:t>：设计“乡村振兴+科技赋能”主题项目，如AI农业监测系统。</w:t>
            </w:r>
          </w:p>
          <w:p w14:paraId="09E18E8C">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路演汇报</w:t>
            </w:r>
            <w:r>
              <w:rPr>
                <w:rFonts w:hint="eastAsia" w:ascii="宋体" w:hAnsi="宋体" w:eastAsia="宋体"/>
                <w:color w:val="06071F"/>
                <w:szCs w:val="21"/>
              </w:rPr>
              <w:t>：模拟投资人提问环节，重点考核社会价值表达（如“项目如何助力碳中和？”）。</w:t>
            </w:r>
          </w:p>
          <w:p w14:paraId="1D13C118">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思政融合</w:t>
            </w:r>
            <w:r>
              <w:rPr>
                <w:rFonts w:hint="eastAsia" w:ascii="宋体" w:hAnsi="宋体" w:eastAsia="宋体"/>
                <w:color w:val="06071F"/>
                <w:szCs w:val="21"/>
              </w:rPr>
              <w:t>：分析“华为芯片突围”等案例，讨论技术创业的国产替代使命。</w:t>
            </w:r>
          </w:p>
        </w:tc>
        <w:tc>
          <w:tcPr>
            <w:tcW w:w="2126" w:type="dxa"/>
            <w:vAlign w:val="center"/>
          </w:tcPr>
          <w:p w14:paraId="640F4E90">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工具</w:t>
            </w:r>
            <w:r>
              <w:rPr>
                <w:rFonts w:hint="eastAsia" w:ascii="宋体" w:hAnsi="宋体" w:eastAsia="宋体"/>
                <w:color w:val="06071F"/>
                <w:szCs w:val="21"/>
              </w:rPr>
              <w:t>：使用“商业模式画布”搭建项目框架，融入ESG（环境、社会、治理）指标。</w:t>
            </w:r>
          </w:p>
          <w:p w14:paraId="51E037E2">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产出</w:t>
            </w:r>
            <w:r>
              <w:rPr>
                <w:rFonts w:hint="eastAsia" w:ascii="宋体" w:hAnsi="宋体" w:eastAsia="宋体"/>
                <w:color w:val="06071F"/>
                <w:szCs w:val="21"/>
              </w:rPr>
              <w:t>：8分钟路演视频+《项目社会影响力评估报告》。</w:t>
            </w:r>
          </w:p>
        </w:tc>
        <w:tc>
          <w:tcPr>
            <w:tcW w:w="2287" w:type="dxa"/>
            <w:vAlign w:val="center"/>
          </w:tcPr>
          <w:p w14:paraId="72C9266B">
            <w:pPr>
              <w:widowControl/>
              <w:jc w:val="left"/>
              <w:rPr>
                <w:rFonts w:ascii="宋体" w:hAnsi="宋体" w:eastAsia="宋体" w:cs="宋体"/>
                <w:color w:val="06071F"/>
                <w:kern w:val="0"/>
                <w:szCs w:val="21"/>
              </w:rPr>
            </w:pPr>
            <w:r>
              <w:rPr>
                <w:rStyle w:val="13"/>
                <w:rFonts w:hint="eastAsia" w:ascii="宋体" w:hAnsi="宋体" w:eastAsia="宋体" w:cs="微软雅黑"/>
                <w:b w:val="0"/>
                <w:bCs w:val="0"/>
                <w:color w:val="06071F"/>
                <w:szCs w:val="21"/>
              </w:rPr>
              <w:t>践行</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科技报国</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使命</w:t>
            </w:r>
            <w:r>
              <w:rPr>
                <w:rFonts w:hint="eastAsia" w:ascii="宋体" w:hAnsi="宋体" w:eastAsia="宋体"/>
                <w:color w:val="06071F"/>
                <w:szCs w:val="21"/>
              </w:rPr>
              <w:t>，将技术创业与国家战略需求结合。</w:t>
            </w:r>
          </w:p>
          <w:p w14:paraId="5A842D04">
            <w:pPr>
              <w:widowControl/>
              <w:jc w:val="left"/>
              <w:rPr>
                <w:rFonts w:hint="eastAsia" w:ascii="宋体" w:hAnsi="宋体" w:eastAsia="宋体"/>
                <w:color w:val="06071F"/>
                <w:szCs w:val="21"/>
              </w:rPr>
            </w:pPr>
            <w:r>
              <w:rPr>
                <w:rStyle w:val="13"/>
                <w:rFonts w:hint="eastAsia" w:ascii="宋体" w:hAnsi="宋体" w:eastAsia="宋体" w:cs="微软雅黑"/>
                <w:b w:val="0"/>
                <w:bCs w:val="0"/>
                <w:color w:val="06071F"/>
                <w:szCs w:val="21"/>
              </w:rPr>
              <w:t>理解</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创新驱动发展</w:t>
            </w:r>
            <w:r>
              <w:rPr>
                <w:rStyle w:val="13"/>
                <w:rFonts w:ascii="宋体" w:hAnsi="宋体" w:eastAsia="宋体" w:cs="Segoe UI"/>
                <w:b w:val="0"/>
                <w:bCs w:val="0"/>
                <w:color w:val="06071F"/>
                <w:szCs w:val="21"/>
              </w:rPr>
              <w:t>”</w:t>
            </w:r>
            <w:r>
              <w:rPr>
                <w:rStyle w:val="13"/>
                <w:rFonts w:hint="eastAsia" w:ascii="宋体" w:hAnsi="宋体" w:eastAsia="宋体" w:cs="微软雅黑"/>
                <w:b w:val="0"/>
                <w:bCs w:val="0"/>
                <w:color w:val="06071F"/>
                <w:szCs w:val="21"/>
              </w:rPr>
              <w:t>的创业逻辑</w:t>
            </w:r>
            <w:r>
              <w:rPr>
                <w:rFonts w:hint="eastAsia" w:ascii="宋体" w:hAnsi="宋体" w:eastAsia="宋体"/>
                <w:color w:val="06071F"/>
                <w:szCs w:val="21"/>
              </w:rPr>
              <w:t>，在硬科技中注入家国情怀。</w:t>
            </w:r>
          </w:p>
        </w:tc>
      </w:tr>
    </w:tbl>
    <w:p w14:paraId="49F94F50">
      <w:pPr>
        <w:spacing w:line="360" w:lineRule="auto"/>
        <w:ind w:firstLine="551" w:firstLineChars="196"/>
        <w:jc w:val="left"/>
        <w:rPr>
          <w:rFonts w:ascii="宋体" w:hAnsi="宋体" w:eastAsia="宋体" w:cs="Times New Roman"/>
          <w:b/>
          <w:color w:val="000000"/>
          <w:sz w:val="28"/>
          <w:szCs w:val="28"/>
        </w:rPr>
      </w:pPr>
    </w:p>
    <w:p w14:paraId="404FCFEE">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12B8DC0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F3A5DC9">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1.开课前组织任课教师开展师资培训，邀请校外专家分享创新创业教育领域最新的研究热 点，分学科选择教师代表分组讨论与交流教学经验，不断提高教学质量。另外，根据学生平 时的形成性考核和期末课程考核大作业以及学生、教学督导的反馈，及时改进教学中的不足 之处，并在下一轮课程教学中完善，确保达成相应毕业要求指标点。</w:t>
      </w:r>
    </w:p>
    <w:p w14:paraId="2A6AF9AD">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2.引用的项目案例紧贴应用型地方高校特别是本校学生创新创业的亲身经历，使创新创业 更鲜活、更典型、更接地气，更有浓郁的地方特色。</w:t>
      </w:r>
    </w:p>
    <w:p w14:paraId="1E501384">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3.进一步丰富课程资源，形成以中国国际大学生创新大赛、“挑战杯”竞赛等重大赛事为 标志的“课-学-教-赛-创-产”多层次一体化的课程资源。</w:t>
      </w:r>
    </w:p>
    <w:p w14:paraId="6FC8553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11B72FE0">
      <w:pPr>
        <w:spacing w:line="360" w:lineRule="auto"/>
        <w:ind w:firstLine="420" w:firstLineChars="200"/>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创新思维与创业实践，吕敏、张弘、赵军主编，上海交通大学出版社，2025 年 1 月</w:t>
      </w:r>
    </w:p>
    <w:p w14:paraId="3848094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A2A7EBF">
      <w:pPr>
        <w:spacing w:line="360" w:lineRule="auto"/>
        <w:ind w:firstLine="420" w:firstLineChars="200"/>
        <w:rPr>
          <w:rFonts w:ascii="宋体" w:hAnsi="宋体" w:eastAsia="宋体"/>
        </w:rPr>
      </w:pPr>
      <w:r>
        <w:rPr>
          <w:rFonts w:ascii="宋体" w:hAnsi="宋体" w:eastAsia="宋体"/>
        </w:rPr>
        <w:t>(1)倪志伟. 自下而上的变革：中国的市场化转型[M].北京：北京大学出版社，2019.</w:t>
      </w:r>
    </w:p>
    <w:p w14:paraId="4209E320">
      <w:pPr>
        <w:spacing w:line="360" w:lineRule="auto"/>
        <w:ind w:firstLine="420" w:firstLineChars="200"/>
        <w:rPr>
          <w:rFonts w:ascii="宋体" w:hAnsi="宋体" w:eastAsia="宋体"/>
        </w:rPr>
      </w:pPr>
      <w:r>
        <w:rPr>
          <w:rFonts w:ascii="宋体" w:hAnsi="宋体" w:eastAsia="宋体"/>
        </w:rPr>
        <w:t>(2)王艳茹，金镭.新时代大学生创新与创业教程[M].北京：中国传媒大学出版社，2023.</w:t>
      </w:r>
    </w:p>
    <w:p w14:paraId="3EB19BA9">
      <w:pPr>
        <w:spacing w:line="360" w:lineRule="auto"/>
        <w:ind w:firstLine="420" w:firstLineChars="200"/>
        <w:rPr>
          <w:rFonts w:ascii="宋体" w:hAnsi="宋体" w:eastAsia="宋体"/>
        </w:rPr>
      </w:pPr>
      <w:r>
        <w:rPr>
          <w:rFonts w:ascii="宋体" w:hAnsi="宋体" w:eastAsia="宋体"/>
        </w:rPr>
        <w:t>(3)李宝斌.大学生创新创业实务教程[M]. 上海：上海科学技术出版社，2024.</w:t>
      </w:r>
    </w:p>
    <w:p w14:paraId="730E3378">
      <w:pPr>
        <w:spacing w:line="360" w:lineRule="auto"/>
        <w:ind w:firstLine="420" w:firstLineChars="200"/>
        <w:rPr>
          <w:rFonts w:ascii="宋体" w:hAnsi="宋体" w:eastAsia="宋体"/>
        </w:rPr>
      </w:pPr>
      <w:r>
        <w:rPr>
          <w:rFonts w:ascii="宋体" w:hAnsi="宋体" w:eastAsia="宋体"/>
        </w:rPr>
        <w:t>(4)李家华，林洪冰.大学生创新创业创造教程[M].湖南：湖南科学技术出版社，2022.</w:t>
      </w:r>
    </w:p>
    <w:p w14:paraId="276E08D6">
      <w:pPr>
        <w:spacing w:line="360" w:lineRule="auto"/>
        <w:ind w:firstLine="420" w:firstLineChars="200"/>
        <w:rPr>
          <w:rFonts w:ascii="宋体" w:hAnsi="宋体" w:eastAsia="宋体"/>
        </w:rPr>
      </w:pPr>
      <w:r>
        <w:rPr>
          <w:rFonts w:ascii="宋体" w:hAnsi="宋体" w:eastAsia="宋体"/>
        </w:rPr>
        <w:t>(5)黄萧萧.创新创业创未来[M].四川：电子科技大学出版社，2020.</w:t>
      </w:r>
    </w:p>
    <w:p w14:paraId="283BBC6E">
      <w:pPr>
        <w:spacing w:line="360" w:lineRule="auto"/>
        <w:ind w:firstLine="420" w:firstLineChars="200"/>
        <w:rPr>
          <w:rFonts w:ascii="宋体" w:hAnsi="宋体" w:eastAsia="宋体"/>
        </w:rPr>
      </w:pPr>
      <w:r>
        <w:rPr>
          <w:rFonts w:ascii="宋体" w:hAnsi="宋体" w:eastAsia="宋体"/>
        </w:rPr>
        <w:t>(6)吕敏，李荧，金卫东.大学生创业基础教程[M].南京：南京大学出版社，2021.</w:t>
      </w:r>
    </w:p>
    <w:p w14:paraId="50262A8D">
      <w:pPr>
        <w:spacing w:line="360" w:lineRule="auto"/>
        <w:ind w:firstLine="420" w:firstLineChars="200"/>
        <w:rPr>
          <w:rFonts w:ascii="宋体" w:hAnsi="宋体" w:eastAsia="宋体"/>
        </w:rPr>
      </w:pPr>
      <w:r>
        <w:rPr>
          <w:rFonts w:ascii="宋体" w:hAnsi="宋体" w:eastAsia="宋体"/>
        </w:rPr>
        <w:t>(7)陈功，郭杰，刘芝怡，赵麟. 电类专业大学生创新实践培训教程[M].南京：东南大学 出版社，2021.</w:t>
      </w:r>
    </w:p>
    <w:p w14:paraId="10035E60">
      <w:pPr>
        <w:spacing w:line="360" w:lineRule="auto"/>
        <w:ind w:firstLine="420" w:firstLineChars="200"/>
        <w:rPr>
          <w:rFonts w:ascii="宋体" w:hAnsi="宋体" w:eastAsia="宋体"/>
        </w:rPr>
      </w:pPr>
      <w:r>
        <w:rPr>
          <w:rFonts w:ascii="宋体" w:hAnsi="宋体" w:eastAsia="宋体"/>
        </w:rPr>
        <w:t>(8)韩炜，杨俊，叶竹馨.数字经济时代的创业前沿系列-商业模式创新实践的网络基础 与理论挑战[M].北京：科学出版社，2024.</w:t>
      </w:r>
    </w:p>
    <w:p w14:paraId="69EC97E2">
      <w:pPr>
        <w:spacing w:line="360" w:lineRule="auto"/>
        <w:ind w:firstLine="420" w:firstLineChars="200"/>
        <w:rPr>
          <w:rFonts w:ascii="宋体" w:hAnsi="宋体" w:eastAsia="宋体"/>
        </w:rPr>
      </w:pPr>
      <w:r>
        <w:rPr>
          <w:rFonts w:ascii="宋体" w:hAnsi="宋体" w:eastAsia="宋体"/>
        </w:rPr>
        <w:t>(9)宫春艳.大学生创新创业能力提升实践教程[M]. 北京：清华大学出版社，2023.</w:t>
      </w:r>
    </w:p>
    <w:p w14:paraId="52165715">
      <w:pPr>
        <w:spacing w:line="360" w:lineRule="auto"/>
        <w:ind w:firstLine="420" w:firstLineChars="200"/>
        <w:rPr>
          <w:rFonts w:ascii="宋体" w:hAnsi="宋体" w:eastAsia="宋体"/>
        </w:rPr>
      </w:pPr>
      <w:r>
        <w:rPr>
          <w:rFonts w:ascii="宋体" w:hAnsi="宋体" w:eastAsia="宋体"/>
        </w:rPr>
        <w:t>(10)陈建校.创新创业典型案例分析[M].北京：机械工业出版社，2022.</w:t>
      </w:r>
    </w:p>
    <w:p w14:paraId="39AF4998">
      <w:pPr>
        <w:spacing w:line="360" w:lineRule="auto"/>
        <w:ind w:firstLine="420" w:firstLineChars="200"/>
        <w:rPr>
          <w:rFonts w:ascii="宋体" w:hAnsi="宋体" w:eastAsia="宋体"/>
        </w:rPr>
      </w:pPr>
      <w:r>
        <w:rPr>
          <w:rFonts w:ascii="宋体" w:hAnsi="宋体" w:eastAsia="宋体"/>
        </w:rPr>
        <w:t>(11)(美)蒂莫西·克拉克 (TIM CLARK),  (美)布鲁斯 · 黑曾 (BRUCE HAZEN), (瑞士)亚历山大 · 奥斯特瓦德 (ALEXANDER OSTERWALDER), (比利时)伊夫 · 皮尼 厄 (YVES       PIGNEUR),  (加拿大)艾伦 · 史密斯 (ALAN  SMITH)著;  贺芳芳，杜军译.商业模式新生代个人篇-一张画布重塑你的职业生涯第2版[M].北京：人民邮电出版社，2023.</w:t>
      </w:r>
    </w:p>
    <w:p w14:paraId="169384E1">
      <w:pPr>
        <w:spacing w:line="360" w:lineRule="auto"/>
        <w:ind w:firstLine="420" w:firstLineChars="200"/>
        <w:rPr>
          <w:rFonts w:ascii="宋体" w:hAnsi="宋体" w:eastAsia="宋体"/>
        </w:rPr>
      </w:pPr>
      <w:r>
        <w:rPr>
          <w:rFonts w:ascii="宋体" w:hAnsi="宋体" w:eastAsia="宋体"/>
        </w:rPr>
        <w:t>(12)方奇凤，向永胜.商业模式创新的动因、路径与类型：理论回顾与整合分析框架[J]</w:t>
      </w:r>
      <w:r>
        <w:rPr>
          <w:rFonts w:hint="eastAsia"/>
        </w:rPr>
        <w:t>，</w:t>
      </w:r>
      <w:r>
        <w:rPr>
          <w:rFonts w:ascii="宋体" w:hAnsi="宋体" w:eastAsia="宋体"/>
        </w:rPr>
        <w:t>企业经济，2022,(10):76.</w:t>
      </w:r>
    </w:p>
    <w:p w14:paraId="77B96155">
      <w:pPr>
        <w:spacing w:line="360" w:lineRule="auto"/>
        <w:ind w:firstLine="420" w:firstLineChars="200"/>
      </w:pPr>
    </w:p>
    <w:p w14:paraId="132EA096">
      <w:pPr>
        <w:rPr>
          <w:rFonts w:hint="eastAsia"/>
        </w:rPr>
      </w:pPr>
    </w:p>
    <w:p w14:paraId="4414E33A">
      <w:pPr>
        <w:spacing w:line="360" w:lineRule="auto"/>
        <w:ind w:right="136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吕 敏</w:t>
      </w:r>
    </w:p>
    <w:p w14:paraId="3CB98850">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审 定 人：王 健 </w:t>
      </w:r>
    </w:p>
    <w:p w14:paraId="3ADD7182">
      <w:pPr>
        <w:spacing w:line="360" w:lineRule="auto"/>
        <w:ind w:right="108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57C6A468">
      <w:pPr>
        <w:spacing w:line="360" w:lineRule="auto"/>
        <w:ind w:right="-57" w:rightChars="-27"/>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2025</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1</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D8F3107">
      <w:pPr>
        <w:autoSpaceDE w:val="0"/>
        <w:autoSpaceDN w:val="0"/>
        <w:adjustRightInd w:val="0"/>
        <w:spacing w:line="360" w:lineRule="auto"/>
        <w:ind w:firstLine="480" w:firstLineChars="200"/>
        <w:jc w:val="right"/>
        <w:rPr>
          <w:rFonts w:hint="eastAsia" w:ascii="宋体" w:hAnsi="宋体" w:eastAsia="宋体" w:cs="宋体"/>
          <w:sz w:val="24"/>
          <w:szCs w:val="22"/>
        </w:rPr>
      </w:pPr>
    </w:p>
    <w:p w14:paraId="161969B1">
      <w:pPr>
        <w:rPr>
          <w:rFonts w:hint="eastAsia" w:ascii="宋体" w:hAnsi="宋体" w:eastAsia="宋体" w:cs="宋体"/>
          <w:sz w:val="24"/>
          <w:szCs w:val="22"/>
        </w:rPr>
      </w:pPr>
      <w:r>
        <w:rPr>
          <w:rFonts w:hint="eastAsia" w:ascii="宋体" w:hAnsi="宋体" w:eastAsia="宋体" w:cs="宋体"/>
          <w:sz w:val="24"/>
          <w:szCs w:val="22"/>
        </w:rPr>
        <w:br w:type="page"/>
      </w:r>
    </w:p>
    <w:p w14:paraId="1A700B76">
      <w:pPr>
        <w:pStyle w:val="2"/>
        <w:bidi w:val="0"/>
        <w:rPr>
          <w:rFonts w:hint="eastAsia"/>
          <w:lang w:val="en-US" w:eastAsia="zh-CN"/>
        </w:rPr>
      </w:pPr>
      <w:bookmarkStart w:id="153" w:name="_Toc12265"/>
      <w:bookmarkStart w:id="154" w:name="_Toc25836"/>
      <w:bookmarkStart w:id="155" w:name="_Toc30452"/>
      <w:bookmarkStart w:id="156" w:name="_Toc8811"/>
      <w:r>
        <w:rPr>
          <w:rFonts w:hint="eastAsia"/>
          <w:lang w:val="en-US" w:eastAsia="zh-CN"/>
        </w:rPr>
        <w:t>《大学英语</w:t>
      </w:r>
      <w:r>
        <w:rPr>
          <w:lang w:val="en-US" w:eastAsia="zh-CN"/>
        </w:rPr>
        <w:t>B</w:t>
      </w:r>
      <w:r>
        <w:rPr>
          <w:rFonts w:hint="eastAsia"/>
          <w:lang w:val="en-US" w:eastAsia="zh-CN"/>
        </w:rPr>
        <w:t>（I）》课程教学大纲</w:t>
      </w:r>
      <w:bookmarkEnd w:id="153"/>
      <w:bookmarkEnd w:id="154"/>
      <w:bookmarkEnd w:id="155"/>
      <w:bookmarkEnd w:id="156"/>
    </w:p>
    <w:p w14:paraId="01560328">
      <w:pPr>
        <w:pStyle w:val="2"/>
        <w:bidi w:val="0"/>
        <w:rPr>
          <w:lang w:val="en-US" w:eastAsia="zh-CN"/>
        </w:rPr>
      </w:pPr>
      <w:bookmarkStart w:id="157" w:name="_Toc6392"/>
      <w:bookmarkStart w:id="158" w:name="_Toc20943"/>
      <w:bookmarkStart w:id="159" w:name="_Toc20359"/>
      <w:bookmarkStart w:id="160" w:name="_Toc19660"/>
      <w:bookmarkStart w:id="161" w:name="_Toc1321"/>
      <w:bookmarkStart w:id="162" w:name="_Toc471"/>
      <w:bookmarkStart w:id="163" w:name="_Toc22588"/>
      <w:r>
        <w:rPr>
          <w:rFonts w:hint="eastAsia"/>
          <w:lang w:val="en-US" w:eastAsia="zh-CN"/>
        </w:rPr>
        <w:t>Co</w:t>
      </w:r>
      <w:r>
        <w:rPr>
          <w:lang w:val="en-US" w:eastAsia="zh-CN"/>
        </w:rPr>
        <w:t>llege English B (I)</w:t>
      </w:r>
      <w:bookmarkEnd w:id="157"/>
      <w:bookmarkEnd w:id="158"/>
      <w:bookmarkEnd w:id="159"/>
      <w:bookmarkEnd w:id="160"/>
      <w:bookmarkEnd w:id="161"/>
      <w:bookmarkEnd w:id="162"/>
      <w:bookmarkEnd w:id="163"/>
    </w:p>
    <w:p w14:paraId="0F34B5A6">
      <w:pPr>
        <w:rPr>
          <w:rFonts w:hint="eastAsia" w:ascii="等线" w:hAnsi="等线" w:eastAsia="等线" w:cs="Times New Roman"/>
          <w:b/>
          <w:bCs/>
          <w:sz w:val="24"/>
          <w:szCs w:val="24"/>
        </w:rPr>
      </w:pPr>
      <w:r>
        <w:rPr>
          <w:rFonts w:hint="eastAsia" w:ascii="等线" w:hAnsi="等线" w:eastAsia="等线" w:cs="Times New Roman"/>
          <w:szCs w:val="22"/>
        </w:rPr>
        <w:t xml:space="preserve">                                </w:t>
      </w:r>
    </w:p>
    <w:p w14:paraId="2ECDC9B4">
      <w:pPr>
        <w:spacing w:line="360" w:lineRule="auto"/>
        <w:ind w:firstLine="482" w:firstLineChars="200"/>
        <w:rPr>
          <w:rFonts w:ascii="Times New Roman" w:hAnsi="Times New Roman" w:eastAsia="宋体" w:cs="Times New Roman"/>
          <w:color w:val="000000"/>
          <w:kern w:val="0"/>
          <w:sz w:val="24"/>
          <w:szCs w:val="24"/>
        </w:rPr>
      </w:pPr>
      <w:r>
        <w:rPr>
          <w:rFonts w:ascii="Times New Roman" w:hAnsi="Times New Roman" w:eastAsia="宋体" w:cs="Times New Roman"/>
          <w:b/>
          <w:bCs/>
          <w:color w:val="000000"/>
          <w:kern w:val="0"/>
          <w:sz w:val="24"/>
          <w:szCs w:val="24"/>
        </w:rPr>
        <w:t>课程</w:t>
      </w:r>
      <w:r>
        <w:rPr>
          <w:rFonts w:hint="eastAsia" w:ascii="Times New Roman" w:hAnsi="Times New Roman" w:eastAsia="宋体" w:cs="Times New Roman"/>
          <w:b/>
          <w:bCs/>
          <w:color w:val="000000"/>
          <w:kern w:val="0"/>
          <w:sz w:val="24"/>
          <w:szCs w:val="24"/>
        </w:rPr>
        <w:t>名称：</w:t>
      </w:r>
      <w:r>
        <w:rPr>
          <w:rFonts w:hint="eastAsia" w:ascii="Times New Roman" w:hAnsi="Times New Roman" w:eastAsia="宋体" w:cs="Times New Roman"/>
          <w:color w:val="000000"/>
          <w:kern w:val="0"/>
          <w:sz w:val="24"/>
          <w:szCs w:val="24"/>
        </w:rPr>
        <w:t>大学英语</w:t>
      </w:r>
      <w:r>
        <w:rPr>
          <w:rFonts w:ascii="Times New Roman" w:hAnsi="Times New Roman" w:eastAsia="宋体" w:cs="Times New Roman"/>
          <w:color w:val="000000"/>
          <w:kern w:val="0"/>
          <w:sz w:val="24"/>
          <w:szCs w:val="24"/>
        </w:rPr>
        <w:t>B</w:t>
      </w:r>
      <w:r>
        <w:rPr>
          <w:rFonts w:hint="eastAsia" w:ascii="Times New Roman" w:hAnsi="Times New Roman" w:eastAsia="宋体" w:cs="Times New Roman"/>
          <w:color w:val="000000"/>
          <w:kern w:val="0"/>
          <w:sz w:val="24"/>
          <w:szCs w:val="24"/>
        </w:rPr>
        <w:t>（I）</w:t>
      </w:r>
    </w:p>
    <w:p w14:paraId="3C613466">
      <w:pPr>
        <w:spacing w:line="360" w:lineRule="auto"/>
        <w:ind w:firstLine="482" w:firstLineChars="200"/>
        <w:rPr>
          <w:rFonts w:hint="eastAsia" w:ascii="宋体" w:hAnsi="宋体" w:eastAsia="宋体" w:cs="Times New Roman"/>
          <w:bCs/>
          <w:color w:val="000000"/>
          <w:kern w:val="0"/>
          <w:sz w:val="24"/>
          <w:szCs w:val="24"/>
        </w:rPr>
      </w:pPr>
      <w:r>
        <w:rPr>
          <w:rFonts w:ascii="Times New Roman" w:hAnsi="Times New Roman" w:eastAsia="宋体" w:cs="Times New Roman"/>
          <w:b/>
          <w:bCs/>
          <w:color w:val="000000"/>
          <w:kern w:val="0"/>
          <w:sz w:val="24"/>
          <w:szCs w:val="24"/>
        </w:rPr>
        <w:t>课程代码</w:t>
      </w:r>
      <w:r>
        <w:rPr>
          <w:rFonts w:ascii="Times New Roman" w:hAnsi="Times New Roman" w:eastAsia="宋体" w:cs="Times New Roman"/>
          <w:b/>
          <w:color w:val="000000"/>
          <w:kern w:val="0"/>
          <w:sz w:val="24"/>
          <w:szCs w:val="24"/>
        </w:rPr>
        <w:t>：</w:t>
      </w:r>
      <w:r>
        <w:rPr>
          <w:rFonts w:ascii="宋体" w:hAnsi="宋体" w:eastAsia="宋体" w:cs="Times New Roman"/>
          <w:bCs/>
          <w:color w:val="000000"/>
          <w:kern w:val="0"/>
          <w:sz w:val="24"/>
          <w:szCs w:val="24"/>
        </w:rPr>
        <w:t>0605001</w:t>
      </w:r>
    </w:p>
    <w:p w14:paraId="554161A9">
      <w:pPr>
        <w:spacing w:line="360" w:lineRule="auto"/>
        <w:ind w:firstLine="482" w:firstLineChars="200"/>
        <w:rPr>
          <w:rFonts w:ascii="Times New Roman" w:hAnsi="Times New Roman" w:eastAsia="宋体" w:cs="Times New Roman"/>
          <w:color w:val="000000"/>
          <w:kern w:val="0"/>
          <w:sz w:val="24"/>
          <w:szCs w:val="24"/>
        </w:rPr>
      </w:pPr>
      <w:r>
        <w:rPr>
          <w:rFonts w:ascii="Times New Roman" w:hAnsi="Times New Roman" w:eastAsia="宋体" w:cs="Times New Roman"/>
          <w:b/>
          <w:bCs/>
          <w:color w:val="000000"/>
          <w:kern w:val="0"/>
          <w:sz w:val="24"/>
          <w:szCs w:val="24"/>
        </w:rPr>
        <w:t>学    分</w:t>
      </w:r>
      <w:r>
        <w:rPr>
          <w:rFonts w:ascii="Times New Roman" w:hAnsi="Times New Roman" w:eastAsia="宋体" w:cs="Times New Roman"/>
          <w:b/>
          <w:color w:val="000000"/>
          <w:kern w:val="0"/>
          <w:sz w:val="24"/>
          <w:szCs w:val="24"/>
        </w:rPr>
        <w:t>：</w:t>
      </w:r>
      <w:r>
        <w:rPr>
          <w:rFonts w:hint="eastAsia" w:ascii="Times New Roman" w:hAnsi="Times New Roman" w:eastAsia="宋体" w:cs="Times New Roman"/>
          <w:color w:val="000000"/>
          <w:kern w:val="0"/>
          <w:sz w:val="24"/>
          <w:szCs w:val="24"/>
        </w:rPr>
        <w:t>3</w:t>
      </w:r>
    </w:p>
    <w:p w14:paraId="0C302E9F">
      <w:pPr>
        <w:spacing w:line="360" w:lineRule="auto"/>
        <w:ind w:firstLine="482" w:firstLineChars="200"/>
        <w:rPr>
          <w:rFonts w:ascii="Times New Roman" w:hAnsi="Times New Roman" w:eastAsia="宋体" w:cs="Times New Roman"/>
          <w:color w:val="000000"/>
          <w:kern w:val="0"/>
          <w:sz w:val="24"/>
          <w:szCs w:val="24"/>
        </w:rPr>
      </w:pPr>
      <w:r>
        <w:rPr>
          <w:rFonts w:ascii="Times New Roman" w:hAnsi="Times New Roman" w:eastAsia="宋体" w:cs="Times New Roman"/>
          <w:b/>
          <w:bCs/>
          <w:color w:val="000000"/>
          <w:kern w:val="0"/>
          <w:sz w:val="24"/>
          <w:szCs w:val="24"/>
        </w:rPr>
        <w:t>学    时</w:t>
      </w:r>
      <w:r>
        <w:rPr>
          <w:rFonts w:ascii="Times New Roman" w:hAnsi="Times New Roman" w:eastAsia="宋体" w:cs="Times New Roman"/>
          <w:b/>
          <w:color w:val="000000"/>
          <w:kern w:val="0"/>
          <w:sz w:val="24"/>
          <w:szCs w:val="24"/>
        </w:rPr>
        <w:t>：</w:t>
      </w:r>
      <w:r>
        <w:rPr>
          <w:rFonts w:ascii="Times New Roman" w:hAnsi="Times New Roman" w:eastAsia="宋体" w:cs="Times New Roman"/>
          <w:color w:val="000000"/>
          <w:kern w:val="0"/>
          <w:sz w:val="24"/>
          <w:szCs w:val="24"/>
        </w:rPr>
        <w:t>48</w:t>
      </w:r>
    </w:p>
    <w:p w14:paraId="2C0C30BE">
      <w:pPr>
        <w:spacing w:line="360" w:lineRule="auto"/>
        <w:ind w:firstLine="482" w:firstLineChars="200"/>
        <w:rPr>
          <w:rFonts w:ascii="Times New Roman" w:hAnsi="Times New Roman" w:eastAsia="宋体" w:cs="Times New Roman"/>
          <w:bCs/>
          <w:color w:val="000000"/>
          <w:kern w:val="0"/>
          <w:sz w:val="24"/>
          <w:szCs w:val="24"/>
        </w:rPr>
      </w:pPr>
      <w:r>
        <w:rPr>
          <w:rFonts w:ascii="Times New Roman" w:hAnsi="Times New Roman" w:eastAsia="宋体" w:cs="Times New Roman"/>
          <w:b/>
          <w:bCs/>
          <w:color w:val="000000"/>
          <w:kern w:val="0"/>
          <w:sz w:val="24"/>
          <w:szCs w:val="24"/>
        </w:rPr>
        <w:t>先修课程</w:t>
      </w:r>
      <w:r>
        <w:rPr>
          <w:rFonts w:ascii="Times New Roman" w:hAnsi="Times New Roman" w:eastAsia="宋体" w:cs="Times New Roman"/>
          <w:b/>
          <w:color w:val="000000"/>
          <w:kern w:val="0"/>
          <w:sz w:val="24"/>
          <w:szCs w:val="24"/>
        </w:rPr>
        <w:t>：</w:t>
      </w:r>
      <w:r>
        <w:rPr>
          <w:rFonts w:hint="eastAsia" w:ascii="Times New Roman" w:hAnsi="Times New Roman" w:eastAsia="宋体" w:cs="Times New Roman"/>
          <w:color w:val="000000"/>
          <w:kern w:val="0"/>
          <w:sz w:val="24"/>
          <w:szCs w:val="24"/>
        </w:rPr>
        <w:t>高中英语</w:t>
      </w:r>
    </w:p>
    <w:p w14:paraId="2DA06F46">
      <w:pPr>
        <w:spacing w:line="360" w:lineRule="auto"/>
        <w:ind w:firstLine="482" w:firstLineChars="200"/>
        <w:rPr>
          <w:rFonts w:ascii="Times New Roman" w:hAnsi="Times New Roman" w:eastAsia="宋体" w:cs="Times New Roman"/>
          <w:color w:val="000000"/>
          <w:kern w:val="0"/>
          <w:sz w:val="24"/>
          <w:szCs w:val="24"/>
        </w:rPr>
      </w:pPr>
      <w:r>
        <w:rPr>
          <w:rFonts w:ascii="Times New Roman" w:hAnsi="Times New Roman" w:eastAsia="宋体" w:cs="Times New Roman"/>
          <w:b/>
          <w:bCs/>
          <w:color w:val="000000"/>
          <w:kern w:val="0"/>
          <w:sz w:val="24"/>
          <w:szCs w:val="24"/>
        </w:rPr>
        <w:t>适用专业</w:t>
      </w:r>
      <w:r>
        <w:rPr>
          <w:rFonts w:ascii="Times New Roman" w:hAnsi="Times New Roman" w:eastAsia="宋体" w:cs="Times New Roman"/>
          <w:b/>
          <w:color w:val="000000"/>
          <w:kern w:val="0"/>
          <w:sz w:val="24"/>
          <w:szCs w:val="24"/>
        </w:rPr>
        <w:t>：</w:t>
      </w:r>
      <w:r>
        <w:rPr>
          <w:rFonts w:hint="eastAsia" w:ascii="Times New Roman" w:hAnsi="Times New Roman" w:eastAsia="宋体" w:cs="Times New Roman"/>
          <w:color w:val="000000"/>
          <w:kern w:val="0"/>
          <w:sz w:val="24"/>
          <w:szCs w:val="24"/>
        </w:rPr>
        <w:t>小学教育（文）</w:t>
      </w:r>
    </w:p>
    <w:p w14:paraId="0D9CE422">
      <w:pPr>
        <w:spacing w:line="360" w:lineRule="auto"/>
        <w:ind w:firstLine="480" w:firstLineChars="200"/>
        <w:rPr>
          <w:rFonts w:ascii="Times New Roman" w:hAnsi="Times New Roman" w:eastAsia="宋体" w:cs="Times New Roman"/>
          <w:color w:val="000000"/>
          <w:kern w:val="0"/>
          <w:sz w:val="24"/>
          <w:szCs w:val="24"/>
        </w:rPr>
      </w:pPr>
    </w:p>
    <w:p w14:paraId="3ED833E4">
      <w:pPr>
        <w:widowControl w:val="0"/>
        <w:numPr>
          <w:ilvl w:val="0"/>
          <w:numId w:val="1"/>
        </w:numPr>
        <w:spacing w:line="360" w:lineRule="auto"/>
        <w:ind w:left="500" w:hanging="500" w:firstLineChars="0"/>
        <w:jc w:val="both"/>
        <w:outlineLvl w:val="1"/>
        <w:rPr>
          <w:rFonts w:ascii="Times New Roman" w:hAnsi="Times New Roman" w:eastAsia="宋体" w:cs="Times New Roman"/>
          <w:b/>
          <w:bCs/>
          <w:color w:val="000000"/>
          <w:kern w:val="0"/>
          <w:sz w:val="24"/>
          <w:szCs w:val="24"/>
          <w:lang w:val="en-US" w:eastAsia="zh-CN" w:bidi="ar-SA"/>
        </w:rPr>
      </w:pPr>
      <w:bookmarkStart w:id="164" w:name="_Toc27242"/>
      <w:r>
        <w:rPr>
          <w:rFonts w:hint="eastAsia" w:ascii="Times New Roman" w:hAnsi="Times New Roman" w:eastAsia="宋体" w:cs="Times New Roman"/>
          <w:b/>
          <w:bCs/>
          <w:color w:val="000000"/>
          <w:kern w:val="0"/>
          <w:sz w:val="24"/>
          <w:szCs w:val="24"/>
          <w:lang w:val="en-US" w:eastAsia="zh-CN" w:bidi="ar-SA"/>
        </w:rPr>
        <w:t>课程简介</w:t>
      </w:r>
      <w:bookmarkEnd w:id="164"/>
    </w:p>
    <w:p w14:paraId="74C3ED8B">
      <w:pPr>
        <w:widowControl w:val="0"/>
        <w:spacing w:line="360" w:lineRule="auto"/>
        <w:ind w:firstLine="480" w:firstLineChars="200"/>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10F74B7C">
      <w:pPr>
        <w:spacing w:line="360" w:lineRule="auto"/>
        <w:rPr>
          <w:rFonts w:ascii="Times New Roman" w:hAnsi="Times New Roman" w:eastAsia="宋体" w:cs="Times New Roman"/>
          <w:color w:val="000000"/>
          <w:sz w:val="24"/>
          <w:szCs w:val="24"/>
        </w:rPr>
      </w:pPr>
    </w:p>
    <w:p w14:paraId="3C0BEDBE">
      <w:pPr>
        <w:widowControl w:val="0"/>
        <w:numPr>
          <w:ilvl w:val="0"/>
          <w:numId w:val="1"/>
        </w:numPr>
        <w:spacing w:line="360" w:lineRule="auto"/>
        <w:ind w:left="500" w:hanging="500" w:firstLineChars="0"/>
        <w:jc w:val="both"/>
        <w:outlineLvl w:val="1"/>
        <w:rPr>
          <w:rFonts w:ascii="Times New Roman" w:hAnsi="Times New Roman" w:eastAsia="宋体" w:cs="Times New Roman"/>
          <w:b/>
          <w:bCs/>
          <w:color w:val="000000"/>
          <w:kern w:val="0"/>
          <w:sz w:val="24"/>
          <w:szCs w:val="24"/>
          <w:lang w:val="en-US" w:eastAsia="zh-CN" w:bidi="ar-SA"/>
        </w:rPr>
      </w:pPr>
      <w:bookmarkStart w:id="165" w:name="_Toc26223"/>
      <w:r>
        <w:rPr>
          <w:rFonts w:hint="eastAsia" w:ascii="Times New Roman" w:hAnsi="Times New Roman" w:eastAsia="宋体" w:cs="Times New Roman"/>
          <w:b/>
          <w:bCs/>
          <w:color w:val="000000"/>
          <w:kern w:val="0"/>
          <w:sz w:val="24"/>
          <w:szCs w:val="24"/>
          <w:lang w:val="en-US" w:eastAsia="zh-CN" w:bidi="ar-SA"/>
        </w:rPr>
        <w:t>课程目标</w:t>
      </w:r>
      <w:bookmarkEnd w:id="165"/>
    </w:p>
    <w:p w14:paraId="05A1DF75">
      <w:pPr>
        <w:widowControl w:val="0"/>
        <w:spacing w:line="360" w:lineRule="auto"/>
        <w:ind w:left="500" w:firstLine="0" w:firstLineChars="0"/>
        <w:jc w:val="both"/>
        <w:outlineLvl w:val="2"/>
        <w:rPr>
          <w:rFonts w:ascii="Times New Roman" w:hAnsi="Times New Roman" w:eastAsia="宋体" w:cs="Times New Roman"/>
          <w:b/>
          <w:color w:val="000000"/>
          <w:kern w:val="2"/>
          <w:sz w:val="28"/>
          <w:szCs w:val="28"/>
          <w:lang w:val="en-US" w:eastAsia="zh-CN" w:bidi="ar-SA"/>
        </w:rPr>
      </w:pPr>
      <w:bookmarkStart w:id="166" w:name="_Toc12879"/>
      <w:r>
        <w:rPr>
          <w:rFonts w:hint="eastAsia" w:ascii="Times New Roman" w:hAnsi="Times New Roman" w:eastAsia="宋体" w:cs="Times New Roman"/>
          <w:b/>
          <w:color w:val="000000"/>
          <w:kern w:val="2"/>
          <w:sz w:val="28"/>
          <w:szCs w:val="28"/>
          <w:lang w:val="en-US" w:eastAsia="zh-CN" w:bidi="ar-SA"/>
        </w:rPr>
        <w:t>(一) 课程具体目标</w:t>
      </w:r>
      <w:bookmarkEnd w:id="166"/>
    </w:p>
    <w:p w14:paraId="1B80834D">
      <w:pPr>
        <w:autoSpaceDE w:val="0"/>
        <w:autoSpaceDN w:val="0"/>
        <w:adjustRightInd w:val="0"/>
        <w:spacing w:line="400" w:lineRule="exact"/>
        <w:ind w:firstLine="420" w:firstLineChars="200"/>
        <w:rPr>
          <w:rFonts w:hint="eastAsia" w:ascii="宋体" w:hAnsi="宋体" w:eastAsia="宋体" w:cs="宋体"/>
          <w:color w:val="000000"/>
          <w:kern w:val="0"/>
          <w:sz w:val="24"/>
          <w:szCs w:val="24"/>
        </w:rPr>
      </w:pPr>
      <w:r>
        <w:rPr>
          <w:rFonts w:hint="eastAsia" w:ascii="宋体" w:hAnsi="宋体" w:eastAsia="等线" w:cs="宋体"/>
          <w:b/>
          <w:bCs/>
          <w:color w:val="000000"/>
          <w:kern w:val="0"/>
          <w:szCs w:val="21"/>
        </w:rPr>
        <w:t>1.</w:t>
      </w:r>
      <w:r>
        <w:rPr>
          <w:rFonts w:ascii="宋体" w:hAnsi="宋体" w:eastAsia="等线" w:cs="宋体"/>
          <w:b/>
          <w:bCs/>
          <w:color w:val="000000"/>
          <w:kern w:val="0"/>
          <w:szCs w:val="21"/>
        </w:rPr>
        <w:t>知识目标</w:t>
      </w:r>
      <w:r>
        <w:rPr>
          <w:rFonts w:ascii="宋体" w:hAnsi="宋体" w:eastAsia="宋体" w:cs="宋体"/>
          <w:b/>
          <w:bCs/>
          <w:color w:val="000000"/>
          <w:kern w:val="0"/>
          <w:sz w:val="24"/>
          <w:szCs w:val="24"/>
        </w:rPr>
        <w:t>：</w:t>
      </w:r>
      <w:r>
        <w:rPr>
          <w:rFonts w:hint="eastAsia" w:ascii="宋体" w:hAnsi="宋体" w:eastAsia="宋体" w:cs="宋体"/>
          <w:color w:val="000000"/>
          <w:kern w:val="0"/>
          <w:sz w:val="24"/>
          <w:szCs w:val="24"/>
        </w:rPr>
        <w:t>夯实学生英语语言基础，提升学生英语听、说、读、写、译基本语言技能和英语语言综合应用能力</w:t>
      </w:r>
      <w:r>
        <w:rPr>
          <w:rFonts w:ascii="宋体" w:hAnsi="宋体" w:eastAsia="宋体" w:cs="宋体"/>
          <w:color w:val="000000"/>
          <w:kern w:val="0"/>
          <w:sz w:val="24"/>
          <w:szCs w:val="24"/>
        </w:rPr>
        <w:t>。</w:t>
      </w:r>
    </w:p>
    <w:p w14:paraId="31555034">
      <w:pPr>
        <w:autoSpaceDE w:val="0"/>
        <w:autoSpaceDN w:val="0"/>
        <w:adjustRightInd w:val="0"/>
        <w:spacing w:line="400" w:lineRule="exact"/>
        <w:ind w:firstLine="420" w:firstLineChars="200"/>
        <w:rPr>
          <w:rFonts w:hint="eastAsia" w:ascii="宋体" w:hAnsi="宋体" w:eastAsia="宋体" w:cs="宋体"/>
          <w:color w:val="000000"/>
          <w:kern w:val="0"/>
          <w:sz w:val="24"/>
          <w:szCs w:val="24"/>
        </w:rPr>
      </w:pPr>
      <w:r>
        <w:rPr>
          <w:rFonts w:hint="eastAsia" w:ascii="宋体" w:hAnsi="宋体" w:eastAsia="等线" w:cs="宋体"/>
          <w:b/>
          <w:bCs/>
          <w:color w:val="000000"/>
          <w:kern w:val="0"/>
          <w:szCs w:val="21"/>
        </w:rPr>
        <w:t>2．</w:t>
      </w:r>
      <w:r>
        <w:rPr>
          <w:rFonts w:ascii="宋体" w:hAnsi="宋体" w:eastAsia="等线" w:cs="宋体"/>
          <w:b/>
          <w:bCs/>
          <w:color w:val="000000"/>
          <w:kern w:val="0"/>
          <w:szCs w:val="21"/>
        </w:rPr>
        <w:t>能力目标</w:t>
      </w:r>
      <w:r>
        <w:rPr>
          <w:rFonts w:ascii="宋体" w:hAnsi="宋体" w:eastAsia="宋体" w:cs="宋体"/>
          <w:b/>
          <w:bCs/>
          <w:color w:val="000000"/>
          <w:kern w:val="0"/>
          <w:sz w:val="24"/>
          <w:szCs w:val="24"/>
        </w:rPr>
        <w:t>：</w:t>
      </w:r>
      <w:r>
        <w:rPr>
          <w:rFonts w:ascii="宋体" w:hAnsi="宋体" w:eastAsia="宋体" w:cs="宋体"/>
          <w:color w:val="000000"/>
          <w:kern w:val="0"/>
          <w:sz w:val="24"/>
          <w:szCs w:val="24"/>
        </w:rPr>
        <w:t>提升学生</w:t>
      </w:r>
      <w:r>
        <w:rPr>
          <w:rFonts w:hint="eastAsia" w:ascii="宋体" w:hAnsi="宋体" w:eastAsia="宋体" w:cs="宋体"/>
          <w:color w:val="000000"/>
          <w:kern w:val="0"/>
          <w:sz w:val="24"/>
          <w:szCs w:val="24"/>
        </w:rPr>
        <w:t>使用英语工具紧跟专业前沿，拓展专业视野，查阅专业</w:t>
      </w:r>
      <w:r>
        <w:rPr>
          <w:rFonts w:ascii="宋体" w:hAnsi="宋体" w:eastAsia="宋体" w:cs="宋体"/>
          <w:color w:val="000000"/>
          <w:kern w:val="0"/>
          <w:sz w:val="24"/>
          <w:szCs w:val="24"/>
        </w:rPr>
        <w:t>文献的意识和能力</w:t>
      </w:r>
      <w:r>
        <w:rPr>
          <w:rFonts w:hint="eastAsia" w:ascii="宋体" w:hAnsi="宋体" w:eastAsia="宋体" w:cs="宋体"/>
          <w:color w:val="000000"/>
          <w:kern w:val="0"/>
          <w:sz w:val="24"/>
          <w:szCs w:val="24"/>
        </w:rPr>
        <w:t>，培养学生在职业领域进行相关沟通、交流能力</w:t>
      </w:r>
      <w:r>
        <w:rPr>
          <w:rFonts w:ascii="宋体" w:hAnsi="宋体" w:eastAsia="宋体" w:cs="宋体"/>
          <w:color w:val="000000"/>
          <w:kern w:val="0"/>
          <w:sz w:val="24"/>
          <w:szCs w:val="24"/>
        </w:rPr>
        <w:t>。</w:t>
      </w:r>
    </w:p>
    <w:p w14:paraId="7533F2F5">
      <w:pPr>
        <w:autoSpaceDE w:val="0"/>
        <w:autoSpaceDN w:val="0"/>
        <w:adjustRightInd w:val="0"/>
        <w:spacing w:line="400" w:lineRule="exact"/>
        <w:ind w:firstLine="420" w:firstLineChars="200"/>
        <w:rPr>
          <w:rFonts w:hint="eastAsia" w:ascii="宋体" w:hAnsi="宋体" w:eastAsia="宋体" w:cs="宋体"/>
          <w:color w:val="000000"/>
          <w:kern w:val="0"/>
          <w:sz w:val="24"/>
          <w:szCs w:val="24"/>
        </w:rPr>
      </w:pPr>
      <w:r>
        <w:rPr>
          <w:rFonts w:hint="eastAsia" w:ascii="宋体" w:hAnsi="宋体" w:eastAsia="等线" w:cs="宋体"/>
          <w:b/>
          <w:bCs/>
          <w:color w:val="000000"/>
          <w:kern w:val="0"/>
          <w:szCs w:val="21"/>
        </w:rPr>
        <w:t>3.</w:t>
      </w:r>
      <w:r>
        <w:rPr>
          <w:rFonts w:ascii="宋体" w:hAnsi="宋体" w:eastAsia="等线" w:cs="宋体"/>
          <w:b/>
          <w:bCs/>
          <w:color w:val="000000"/>
          <w:kern w:val="0"/>
          <w:szCs w:val="21"/>
        </w:rPr>
        <w:t>素质目标</w:t>
      </w:r>
      <w:r>
        <w:rPr>
          <w:rFonts w:ascii="宋体" w:hAnsi="宋体" w:eastAsia="宋体" w:cs="宋体"/>
          <w:b/>
          <w:bCs/>
          <w:color w:val="000000"/>
          <w:kern w:val="0"/>
          <w:sz w:val="24"/>
          <w:szCs w:val="24"/>
        </w:rPr>
        <w:t>：</w:t>
      </w:r>
      <w:r>
        <w:rPr>
          <w:rFonts w:hint="eastAsia" w:ascii="宋体" w:hAnsi="宋体" w:eastAsia="宋体" w:cs="宋体"/>
          <w:color w:val="000000"/>
          <w:kern w:val="0"/>
          <w:sz w:val="24"/>
          <w:szCs w:val="24"/>
        </w:rPr>
        <w:t>将社会主义核心价值观和中国优秀传统文化有机融入大学英语课程教学，培养学生批判吸收西方文化，增进中西文化异同理解；培养学生跨文化意识和交际能力；培养学生树立国际视野和提升综合人文素养；</w:t>
      </w:r>
      <w:r>
        <w:rPr>
          <w:rFonts w:ascii="宋体" w:hAnsi="宋体" w:eastAsia="宋体" w:cs="宋体"/>
          <w:color w:val="000000"/>
          <w:kern w:val="0"/>
          <w:sz w:val="24"/>
          <w:szCs w:val="24"/>
        </w:rPr>
        <w:t>培养学生自主学习能力和终身学习意识</w:t>
      </w:r>
      <w:r>
        <w:rPr>
          <w:rFonts w:hint="eastAsia" w:ascii="宋体" w:hAnsi="宋体" w:eastAsia="宋体" w:cs="宋体"/>
          <w:color w:val="000000"/>
          <w:kern w:val="0"/>
          <w:sz w:val="24"/>
          <w:szCs w:val="24"/>
        </w:rPr>
        <w:t>。</w:t>
      </w:r>
    </w:p>
    <w:p w14:paraId="2D079994">
      <w:pPr>
        <w:autoSpaceDE w:val="0"/>
        <w:autoSpaceDN w:val="0"/>
        <w:adjustRightInd w:val="0"/>
        <w:spacing w:line="400" w:lineRule="exact"/>
        <w:outlineLvl w:val="2"/>
        <w:rPr>
          <w:rFonts w:hint="eastAsia" w:ascii="宋体" w:hAnsi="宋体" w:eastAsia="宋体" w:cs="宋体"/>
          <w:color w:val="000000"/>
          <w:kern w:val="0"/>
          <w:sz w:val="24"/>
          <w:szCs w:val="24"/>
        </w:rPr>
      </w:pPr>
      <w:bookmarkStart w:id="167" w:name="_Toc6801"/>
      <w:r>
        <w:rPr>
          <w:rFonts w:hint="eastAsia" w:ascii="宋体" w:hAnsi="宋体" w:eastAsia="宋体" w:cs="宋体"/>
          <w:color w:val="000000"/>
          <w:kern w:val="0"/>
          <w:sz w:val="24"/>
          <w:szCs w:val="24"/>
        </w:rPr>
        <w:t>（二）课程目标及其对毕业要求指标点的支撑</w:t>
      </w:r>
      <w:bookmarkEnd w:id="167"/>
    </w:p>
    <w:tbl>
      <w:tblPr>
        <w:tblStyle w:val="11"/>
        <w:tblpPr w:leftFromText="180" w:rightFromText="180" w:vertAnchor="text" w:horzAnchor="margin" w:tblpY="2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827"/>
        <w:gridCol w:w="2064"/>
      </w:tblGrid>
      <w:tr w14:paraId="2207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26F3F49D">
            <w:pPr>
              <w:autoSpaceDE w:val="0"/>
              <w:autoSpaceDN w:val="0"/>
              <w:adjustRightInd w:val="0"/>
              <w:spacing w:line="400" w:lineRule="exact"/>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毕业要求</w:t>
            </w:r>
          </w:p>
        </w:tc>
        <w:tc>
          <w:tcPr>
            <w:tcW w:w="3827" w:type="dxa"/>
          </w:tcPr>
          <w:p w14:paraId="021EDCD7">
            <w:pPr>
              <w:autoSpaceDE w:val="0"/>
              <w:autoSpaceDN w:val="0"/>
              <w:adjustRightInd w:val="0"/>
              <w:spacing w:line="400" w:lineRule="exac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毕业要求指标点</w:t>
            </w:r>
          </w:p>
        </w:tc>
        <w:tc>
          <w:tcPr>
            <w:tcW w:w="2064" w:type="dxa"/>
          </w:tcPr>
          <w:p w14:paraId="0F792BF7">
            <w:pPr>
              <w:autoSpaceDE w:val="0"/>
              <w:autoSpaceDN w:val="0"/>
              <w:adjustRightInd w:val="0"/>
              <w:spacing w:line="400" w:lineRule="exac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课程目标</w:t>
            </w:r>
          </w:p>
        </w:tc>
      </w:tr>
      <w:tr w14:paraId="39EE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2A4DD4AD">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毕业要求3：学科素养</w:t>
            </w:r>
          </w:p>
          <w:p w14:paraId="42530279">
            <w:pPr>
              <w:autoSpaceDE w:val="0"/>
              <w:autoSpaceDN w:val="0"/>
              <w:adjustRightInd w:val="0"/>
              <w:spacing w:line="400" w:lineRule="exact"/>
              <w:rPr>
                <w:rFonts w:hint="eastAsia" w:ascii="宋体" w:hAnsi="宋体" w:eastAsia="宋体" w:cs="宋体"/>
                <w:color w:val="000000"/>
                <w:kern w:val="0"/>
                <w:szCs w:val="21"/>
              </w:rPr>
            </w:pPr>
          </w:p>
        </w:tc>
        <w:tc>
          <w:tcPr>
            <w:tcW w:w="3827" w:type="dxa"/>
            <w:vAlign w:val="center"/>
          </w:tcPr>
          <w:p w14:paraId="48DC1CAE">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指标点3-1：【通识知识广博】具有小学教育本科专业相应的自然科学和人文社会科学知识素养。</w:t>
            </w:r>
          </w:p>
        </w:tc>
        <w:tc>
          <w:tcPr>
            <w:tcW w:w="2064" w:type="dxa"/>
          </w:tcPr>
          <w:p w14:paraId="7BCBE269">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课程目标1</w:t>
            </w:r>
          </w:p>
          <w:p w14:paraId="0314377A">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课程目标2</w:t>
            </w:r>
          </w:p>
          <w:p w14:paraId="58E360E6">
            <w:pPr>
              <w:autoSpaceDE w:val="0"/>
              <w:autoSpaceDN w:val="0"/>
              <w:adjustRightInd w:val="0"/>
              <w:spacing w:line="400" w:lineRule="exact"/>
              <w:rPr>
                <w:rFonts w:hint="eastAsia" w:ascii="宋体" w:hAnsi="宋体" w:eastAsia="宋体" w:cs="宋体"/>
                <w:color w:val="000000"/>
                <w:kern w:val="0"/>
                <w:szCs w:val="21"/>
              </w:rPr>
            </w:pPr>
          </w:p>
        </w:tc>
      </w:tr>
      <w:tr w14:paraId="3142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tcPr>
          <w:p w14:paraId="1750397E">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毕业要求7 </w:t>
            </w:r>
            <w:r>
              <w:rPr>
                <w:rFonts w:ascii="宋体" w:hAnsi="宋体" w:eastAsia="宋体" w:cs="宋体"/>
                <w:color w:val="000000"/>
                <w:kern w:val="0"/>
                <w:szCs w:val="21"/>
              </w:rPr>
              <w:t>学会反思</w:t>
            </w:r>
          </w:p>
        </w:tc>
        <w:tc>
          <w:tcPr>
            <w:tcW w:w="3827" w:type="dxa"/>
          </w:tcPr>
          <w:p w14:paraId="15AF8417">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指标点7-1：【教育视野开阔】积极关注基础教育领域的国内外交流进展，了解国内外基础教育改革发展的动态，具有宽广的教育视野，能够主动适应新时代和教育发展需求。</w:t>
            </w:r>
          </w:p>
        </w:tc>
        <w:tc>
          <w:tcPr>
            <w:tcW w:w="2064" w:type="dxa"/>
          </w:tcPr>
          <w:p w14:paraId="3FC7AC77">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课程目标1</w:t>
            </w:r>
          </w:p>
          <w:p w14:paraId="3E1A631A">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课程目标2</w:t>
            </w:r>
          </w:p>
          <w:p w14:paraId="737FBBAF">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课程目标3</w:t>
            </w:r>
          </w:p>
        </w:tc>
      </w:tr>
      <w:tr w14:paraId="2926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tcPr>
          <w:p w14:paraId="5CF31DE3">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毕业要求8 </w:t>
            </w:r>
            <w:r>
              <w:rPr>
                <w:rFonts w:ascii="宋体" w:hAnsi="宋体" w:eastAsia="宋体" w:cs="宋体"/>
                <w:color w:val="000000"/>
                <w:kern w:val="0"/>
                <w:szCs w:val="21"/>
              </w:rPr>
              <w:t>沟通合作</w:t>
            </w:r>
          </w:p>
        </w:tc>
        <w:tc>
          <w:tcPr>
            <w:tcW w:w="3827" w:type="dxa"/>
          </w:tcPr>
          <w:p w14:paraId="3301B3BA">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指标点8-2：【学会沟通交流】掌握人际沟通合作技能与方法，在教育教学实践中，能与学生和家长以及同行、同事、专家进行有效沟通与合作，实现共同发展。</w:t>
            </w:r>
          </w:p>
        </w:tc>
        <w:tc>
          <w:tcPr>
            <w:tcW w:w="2064" w:type="dxa"/>
          </w:tcPr>
          <w:p w14:paraId="02798AD2">
            <w:pPr>
              <w:autoSpaceDE w:val="0"/>
              <w:autoSpaceDN w:val="0"/>
              <w:adjustRightInd w:val="0"/>
              <w:spacing w:line="400" w:lineRule="exact"/>
              <w:rPr>
                <w:rFonts w:hint="eastAsia" w:ascii="宋体" w:hAnsi="宋体" w:eastAsia="宋体" w:cs="宋体"/>
                <w:color w:val="000000"/>
                <w:kern w:val="0"/>
                <w:szCs w:val="21"/>
              </w:rPr>
            </w:pPr>
            <w:r>
              <w:rPr>
                <w:rFonts w:hint="eastAsia" w:ascii="宋体" w:hAnsi="宋体" w:eastAsia="宋体" w:cs="宋体"/>
                <w:color w:val="000000"/>
                <w:kern w:val="0"/>
                <w:szCs w:val="21"/>
              </w:rPr>
              <w:t>课程目标2</w:t>
            </w:r>
          </w:p>
        </w:tc>
      </w:tr>
    </w:tbl>
    <w:p w14:paraId="686BDEEB">
      <w:pPr>
        <w:autoSpaceDE w:val="0"/>
        <w:autoSpaceDN w:val="0"/>
        <w:adjustRightInd w:val="0"/>
        <w:spacing w:line="400" w:lineRule="exact"/>
        <w:rPr>
          <w:rFonts w:hint="eastAsia" w:ascii="宋体" w:hAnsi="宋体" w:eastAsia="宋体" w:cs="宋体"/>
          <w:color w:val="000000"/>
          <w:kern w:val="0"/>
          <w:sz w:val="24"/>
          <w:szCs w:val="24"/>
        </w:rPr>
      </w:pPr>
    </w:p>
    <w:p w14:paraId="1D2C3F66">
      <w:pPr>
        <w:rPr>
          <w:rFonts w:hint="eastAsia" w:ascii="宋体" w:hAnsi="宋体" w:eastAsia="宋体" w:cs="宋体"/>
          <w:sz w:val="24"/>
          <w:szCs w:val="24"/>
        </w:rPr>
      </w:pPr>
    </w:p>
    <w:p w14:paraId="1BF82D79">
      <w:pPr>
        <w:outlineLvl w:val="2"/>
        <w:rPr>
          <w:rFonts w:hint="eastAsia" w:ascii="宋体" w:hAnsi="宋体" w:eastAsia="宋体" w:cs="宋体"/>
          <w:sz w:val="24"/>
          <w:szCs w:val="24"/>
        </w:rPr>
      </w:pPr>
      <w:bookmarkStart w:id="168" w:name="_Toc6933"/>
      <w:r>
        <w:rPr>
          <w:rFonts w:hint="eastAsia" w:ascii="宋体" w:hAnsi="宋体" w:eastAsia="宋体" w:cs="宋体"/>
          <w:sz w:val="24"/>
          <w:szCs w:val="24"/>
        </w:rPr>
        <w:t>（三）课程思政目标</w:t>
      </w:r>
      <w:bookmarkEnd w:id="168"/>
    </w:p>
    <w:p w14:paraId="5818B846">
      <w:pPr>
        <w:autoSpaceDE w:val="0"/>
        <w:autoSpaceDN w:val="0"/>
        <w:adjustRightInd w:val="0"/>
        <w:spacing w:line="400" w:lineRule="exact"/>
        <w:ind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在促使学生全面提高听、说、读、写、译英语综合运用能力的基础上，培植学生的家国情怀与文化自信，通过语言载体深化社会主义核心价值观教育。引导学生用英语客观阐释中华优秀传统文化、革命精神与当代发展成就，增强跨文化传播中的话语能力；在分析西方文化素材时培养批判性思维。通过创设真实语境，将语言训练与国情认知、社会责任相结合，使学生在提升语言能力的同时，树立人类命运共同体意识，强化科技报国、文化传承的使命感。</w:t>
      </w:r>
    </w:p>
    <w:p w14:paraId="46025B0E">
      <w:pPr>
        <w:rPr>
          <w:rFonts w:hint="eastAsia" w:ascii="宋体" w:hAnsi="宋体" w:eastAsia="宋体" w:cs="宋体"/>
          <w:sz w:val="24"/>
          <w:szCs w:val="24"/>
        </w:rPr>
      </w:pPr>
    </w:p>
    <w:p w14:paraId="23C45794">
      <w:pPr>
        <w:spacing w:line="360" w:lineRule="auto"/>
        <w:outlineLvl w:val="1"/>
        <w:rPr>
          <w:rFonts w:ascii="Times New Roman" w:hAnsi="Times New Roman" w:eastAsia="宋体" w:cs="Times New Roman"/>
          <w:b/>
          <w:color w:val="000000"/>
          <w:sz w:val="24"/>
          <w:szCs w:val="24"/>
        </w:rPr>
      </w:pPr>
      <w:bookmarkStart w:id="169" w:name="_Toc22241"/>
      <w:r>
        <w:rPr>
          <w:rFonts w:hint="eastAsia" w:ascii="Times New Roman" w:hAnsi="Times New Roman" w:eastAsia="宋体" w:cs="Times New Roman"/>
          <w:b/>
          <w:color w:val="000000"/>
          <w:sz w:val="24"/>
          <w:szCs w:val="24"/>
        </w:rPr>
        <w:t>三、教学内容与预期学习成效</w:t>
      </w:r>
      <w:bookmarkEnd w:id="169"/>
    </w:p>
    <w:p w14:paraId="6C74894E">
      <w:pPr>
        <w:ind w:firstLine="301" w:firstLineChars="200"/>
        <w:rPr>
          <w:rFonts w:ascii="Times New Roman" w:hAnsi="Times New Roman" w:eastAsia="宋体" w:cs="Times New Roman"/>
          <w:b/>
          <w:color w:val="000000"/>
          <w:sz w:val="15"/>
          <w:szCs w:val="15"/>
        </w:rPr>
      </w:pPr>
    </w:p>
    <w:tbl>
      <w:tblPr>
        <w:tblStyle w:val="10"/>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01"/>
        <w:gridCol w:w="4111"/>
        <w:gridCol w:w="1388"/>
      </w:tblGrid>
      <w:tr w14:paraId="764E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526A784C">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教学内容</w:t>
            </w:r>
          </w:p>
        </w:tc>
        <w:tc>
          <w:tcPr>
            <w:tcW w:w="1701" w:type="dxa"/>
            <w:vAlign w:val="center"/>
          </w:tcPr>
          <w:p w14:paraId="30AE4C7F">
            <w:pPr>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课程思政目标</w:t>
            </w:r>
          </w:p>
        </w:tc>
        <w:tc>
          <w:tcPr>
            <w:tcW w:w="4111" w:type="dxa"/>
            <w:vAlign w:val="center"/>
          </w:tcPr>
          <w:p w14:paraId="34970FB6">
            <w:pPr>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预期学习成效</w:t>
            </w:r>
          </w:p>
        </w:tc>
        <w:tc>
          <w:tcPr>
            <w:tcW w:w="1388" w:type="dxa"/>
            <w:vAlign w:val="center"/>
          </w:tcPr>
          <w:p w14:paraId="1F918F3C">
            <w:pPr>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重点、难点</w:t>
            </w:r>
          </w:p>
        </w:tc>
      </w:tr>
      <w:tr w14:paraId="62CE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38D4B86E">
            <w:pPr>
              <w:rPr>
                <w:rFonts w:hint="eastAsia" w:ascii="宋体" w:hAnsi="宋体" w:eastAsia="宋体" w:cs="Times New Roman"/>
                <w:color w:val="000000"/>
                <w:szCs w:val="21"/>
              </w:rPr>
            </w:pPr>
            <w:r>
              <w:rPr>
                <w:rFonts w:hint="eastAsia" w:ascii="宋体" w:hAnsi="宋体" w:eastAsia="宋体" w:cs="Times New Roman"/>
                <w:color w:val="000000"/>
                <w:szCs w:val="21"/>
              </w:rPr>
              <w:t>听力理解</w:t>
            </w:r>
          </w:p>
        </w:tc>
        <w:tc>
          <w:tcPr>
            <w:tcW w:w="1701" w:type="dxa"/>
            <w:vAlign w:val="center"/>
          </w:tcPr>
          <w:p w14:paraId="291E8410">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1.了解西方文化</w:t>
            </w:r>
          </w:p>
          <w:p w14:paraId="4A684FC5">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2.理性思考中西文化差异</w:t>
            </w:r>
          </w:p>
          <w:p w14:paraId="15B44FA7">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3.树立文化自信</w:t>
            </w:r>
          </w:p>
        </w:tc>
        <w:tc>
          <w:tcPr>
            <w:tcW w:w="4111" w:type="dxa"/>
            <w:vAlign w:val="center"/>
          </w:tcPr>
          <w:p w14:paraId="1A587BE4">
            <w:pPr>
              <w:autoSpaceDE w:val="0"/>
              <w:autoSpaceDN w:val="0"/>
              <w:adjustRightInd w:val="0"/>
              <w:spacing w:line="400" w:lineRule="exact"/>
              <w:rPr>
                <w:rFonts w:hint="eastAsia" w:ascii="宋体" w:hAnsi="宋体" w:eastAsia="宋体" w:cs="Times New Roman"/>
                <w:color w:val="000000"/>
                <w:kern w:val="0"/>
                <w:szCs w:val="21"/>
                <w:lang w:val="zh-CN"/>
              </w:rPr>
            </w:pPr>
            <w:r>
              <w:rPr>
                <w:rFonts w:ascii="宋体" w:hAnsi="宋体" w:eastAsia="宋体" w:cs="Times New Roman"/>
                <w:color w:val="000000"/>
                <w:kern w:val="0"/>
                <w:szCs w:val="21"/>
                <w:lang w:val="zh-CN"/>
              </w:rPr>
              <w:t>能听懂就日常话题展开的简单英语交谈；能基本听懂语速较慢的音、视频材料和题材熟悉的讲座，掌握中心大意，抓住要点；能听懂用英语讲授的相应级别的英语课程；能听懂与工作岗位相关的常用指令、产品或操作说明等。能运用基本的听力技巧。</w:t>
            </w:r>
          </w:p>
        </w:tc>
        <w:tc>
          <w:tcPr>
            <w:tcW w:w="1388" w:type="dxa"/>
            <w:vAlign w:val="center"/>
          </w:tcPr>
          <w:p w14:paraId="41DFE54A">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1.辨音</w:t>
            </w:r>
          </w:p>
          <w:p w14:paraId="250A72E3">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2.情景词汇</w:t>
            </w:r>
          </w:p>
          <w:p w14:paraId="09588330">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3.大意理解</w:t>
            </w:r>
          </w:p>
          <w:p w14:paraId="23FCD3CA">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4.听力技巧</w:t>
            </w:r>
          </w:p>
        </w:tc>
      </w:tr>
      <w:tr w14:paraId="712C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4F28C248">
            <w:pPr>
              <w:rPr>
                <w:rFonts w:hint="eastAsia" w:ascii="宋体" w:hAnsi="宋体" w:eastAsia="宋体" w:cs="Times New Roman"/>
                <w:color w:val="000000"/>
                <w:szCs w:val="21"/>
              </w:rPr>
            </w:pPr>
            <w:r>
              <w:rPr>
                <w:rFonts w:hint="eastAsia" w:ascii="宋体" w:hAnsi="宋体" w:eastAsia="宋体" w:cs="Times New Roman"/>
                <w:color w:val="000000"/>
                <w:szCs w:val="21"/>
              </w:rPr>
              <w:t>口语表达</w:t>
            </w:r>
          </w:p>
        </w:tc>
        <w:tc>
          <w:tcPr>
            <w:tcW w:w="1701" w:type="dxa"/>
            <w:vAlign w:val="center"/>
          </w:tcPr>
          <w:p w14:paraId="59AE9234">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1.克服焦虑，树立信心</w:t>
            </w:r>
          </w:p>
          <w:p w14:paraId="2C73EEC5">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2.传播社会主义核心价值观、中国优秀传统文化</w:t>
            </w:r>
          </w:p>
          <w:p w14:paraId="14CCEBD3">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3.讲好中国故事</w:t>
            </w:r>
          </w:p>
        </w:tc>
        <w:tc>
          <w:tcPr>
            <w:tcW w:w="4111" w:type="dxa"/>
            <w:vAlign w:val="center"/>
          </w:tcPr>
          <w:p w14:paraId="4F71E558">
            <w:pPr>
              <w:autoSpaceDE w:val="0"/>
              <w:autoSpaceDN w:val="0"/>
              <w:adjustRightInd w:val="0"/>
              <w:spacing w:line="400" w:lineRule="exact"/>
              <w:rPr>
                <w:rFonts w:hint="eastAsia" w:ascii="宋体" w:hAnsi="宋体" w:eastAsia="宋体" w:cs="Times New Roman"/>
                <w:color w:val="000000"/>
                <w:kern w:val="0"/>
                <w:szCs w:val="21"/>
                <w:lang w:val="zh-CN"/>
              </w:rPr>
            </w:pPr>
            <w:r>
              <w:rPr>
                <w:rFonts w:ascii="宋体" w:hAnsi="宋体" w:eastAsia="宋体" w:cs="Times New Roman"/>
                <w:color w:val="000000"/>
                <w:kern w:val="0"/>
                <w:szCs w:val="21"/>
                <w:lang w:val="zh-CN"/>
              </w:rPr>
              <w:t>能就日常话题用英语进行简短但多话轮的交谈；能对一般性事件和物体进行简单的叙述或描述；经准备后能就所熟悉的话题作简短发言；能就学习或与未来工作相关的主题进行简单的讨论。语言表达结构比较清楚，语音、语调、语法等基本符合交际规范。能运用基本的会话技巧。</w:t>
            </w:r>
          </w:p>
        </w:tc>
        <w:tc>
          <w:tcPr>
            <w:tcW w:w="1388" w:type="dxa"/>
            <w:vAlign w:val="center"/>
          </w:tcPr>
          <w:p w14:paraId="2C8F917D">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1.语音、语调</w:t>
            </w:r>
          </w:p>
          <w:p w14:paraId="257E0107">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2.日常词汇</w:t>
            </w:r>
          </w:p>
          <w:p w14:paraId="570E0F9E">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3.会话技巧</w:t>
            </w:r>
          </w:p>
        </w:tc>
      </w:tr>
      <w:tr w14:paraId="22CF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09CD48CB">
            <w:pPr>
              <w:rPr>
                <w:rFonts w:hint="eastAsia" w:ascii="宋体" w:hAnsi="宋体" w:eastAsia="宋体" w:cs="Times New Roman"/>
                <w:color w:val="000000"/>
                <w:szCs w:val="21"/>
              </w:rPr>
            </w:pPr>
            <w:r>
              <w:rPr>
                <w:rFonts w:hint="eastAsia" w:ascii="宋体" w:hAnsi="宋体" w:eastAsia="宋体" w:cs="Times New Roman"/>
                <w:color w:val="000000"/>
                <w:szCs w:val="21"/>
              </w:rPr>
              <w:t>阅读理解</w:t>
            </w:r>
          </w:p>
        </w:tc>
        <w:tc>
          <w:tcPr>
            <w:tcW w:w="1701" w:type="dxa"/>
            <w:vAlign w:val="center"/>
          </w:tcPr>
          <w:p w14:paraId="0D9E55EE">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1.理性思考中西文化差异</w:t>
            </w:r>
          </w:p>
          <w:p w14:paraId="3D0FE4DE">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2.传播社会主义核心价值观、中国优秀传统文化</w:t>
            </w:r>
          </w:p>
          <w:p w14:paraId="29DEDE37">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3.树立文化自信</w:t>
            </w:r>
          </w:p>
          <w:p w14:paraId="6ECEDD78">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4.提升职业素养</w:t>
            </w:r>
          </w:p>
        </w:tc>
        <w:tc>
          <w:tcPr>
            <w:tcW w:w="4111" w:type="dxa"/>
            <w:vAlign w:val="center"/>
          </w:tcPr>
          <w:p w14:paraId="5C2825BE">
            <w:pPr>
              <w:autoSpaceDE w:val="0"/>
              <w:autoSpaceDN w:val="0"/>
              <w:adjustRightInd w:val="0"/>
              <w:spacing w:line="400" w:lineRule="exact"/>
              <w:rPr>
                <w:rFonts w:hint="eastAsia" w:ascii="宋体" w:hAnsi="宋体" w:eastAsia="宋体" w:cs="Times New Roman"/>
                <w:color w:val="000000"/>
                <w:kern w:val="0"/>
                <w:szCs w:val="21"/>
                <w:lang w:val="zh-CN"/>
              </w:rPr>
            </w:pPr>
            <w:r>
              <w:rPr>
                <w:rFonts w:ascii="宋体" w:hAnsi="宋体" w:eastAsia="宋体" w:cs="Times New Roman"/>
                <w:color w:val="000000"/>
                <w:kern w:val="0"/>
                <w:szCs w:val="21"/>
                <w:lang w:val="zh-CN"/>
              </w:rPr>
              <w:t>能基本读懂题材熟悉、语言难度中等的英语报刊文章和其他英语材料；能借助词典阅读英语教材和未来工作、生活中常见的应用文和简单的专业资料，掌握中心大意，理解主要事实和有关细节；能根据阅读目的的不同和阅读材料的难易，适当调整阅读速度和方法。能运用基本的阅读技巧。</w:t>
            </w:r>
          </w:p>
        </w:tc>
        <w:tc>
          <w:tcPr>
            <w:tcW w:w="1388" w:type="dxa"/>
            <w:vAlign w:val="center"/>
          </w:tcPr>
          <w:p w14:paraId="1C6A2642">
            <w:pPr>
              <w:rPr>
                <w:rFonts w:hint="eastAsia" w:ascii="宋体" w:hAnsi="宋体" w:eastAsia="宋体" w:cs="Times New Roman"/>
                <w:bCs/>
                <w:color w:val="000000"/>
                <w:szCs w:val="21"/>
              </w:rPr>
            </w:pPr>
            <w:r>
              <w:rPr>
                <w:rFonts w:hint="eastAsia" w:ascii="宋体" w:hAnsi="宋体" w:eastAsia="宋体" w:cs="Times New Roman"/>
                <w:bCs/>
                <w:color w:val="000000"/>
                <w:szCs w:val="21"/>
              </w:rPr>
              <w:t>1.基础语言点</w:t>
            </w:r>
          </w:p>
          <w:p w14:paraId="3B0CD1F3">
            <w:pPr>
              <w:rPr>
                <w:rFonts w:hint="eastAsia" w:ascii="宋体" w:hAnsi="宋体" w:eastAsia="宋体" w:cs="Times New Roman"/>
                <w:bCs/>
                <w:color w:val="000000"/>
                <w:szCs w:val="21"/>
              </w:rPr>
            </w:pPr>
            <w:r>
              <w:rPr>
                <w:rFonts w:hint="eastAsia" w:ascii="宋体" w:hAnsi="宋体" w:eastAsia="宋体" w:cs="Times New Roman"/>
                <w:bCs/>
                <w:color w:val="000000"/>
                <w:szCs w:val="21"/>
              </w:rPr>
              <w:t>2.长难句分析</w:t>
            </w:r>
          </w:p>
          <w:p w14:paraId="7F8C6C83">
            <w:pPr>
              <w:rPr>
                <w:rFonts w:hint="eastAsia" w:ascii="宋体" w:hAnsi="宋体" w:eastAsia="宋体" w:cs="Times New Roman"/>
                <w:bCs/>
                <w:color w:val="000000"/>
                <w:szCs w:val="21"/>
              </w:rPr>
            </w:pPr>
            <w:r>
              <w:rPr>
                <w:rFonts w:hint="eastAsia" w:ascii="宋体" w:hAnsi="宋体" w:eastAsia="宋体" w:cs="Times New Roman"/>
                <w:bCs/>
                <w:color w:val="000000"/>
                <w:szCs w:val="21"/>
              </w:rPr>
              <w:t>3.宏观阅读技巧</w:t>
            </w:r>
          </w:p>
        </w:tc>
      </w:tr>
      <w:tr w14:paraId="4681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2E197074">
            <w:pPr>
              <w:outlineLvl w:val="0"/>
              <w:rPr>
                <w:rFonts w:hint="eastAsia" w:ascii="宋体" w:hAnsi="宋体" w:eastAsia="宋体" w:cs="Times New Roman"/>
                <w:color w:val="000000"/>
                <w:szCs w:val="21"/>
              </w:rPr>
            </w:pPr>
            <w:bookmarkStart w:id="170" w:name="_Toc26815"/>
            <w:bookmarkStart w:id="171" w:name="_Toc11138"/>
            <w:bookmarkStart w:id="172" w:name="_Toc28648"/>
            <w:bookmarkStart w:id="173" w:name="_Toc32550"/>
            <w:bookmarkStart w:id="174" w:name="_Toc89367100"/>
            <w:bookmarkStart w:id="175" w:name="_Toc6423"/>
            <w:bookmarkStart w:id="176" w:name="_Toc31569"/>
            <w:bookmarkStart w:id="177" w:name="_Toc21814"/>
            <w:r>
              <w:rPr>
                <w:rFonts w:hint="eastAsia" w:ascii="宋体" w:hAnsi="宋体" w:eastAsia="宋体" w:cs="Times New Roman"/>
                <w:color w:val="000000"/>
                <w:szCs w:val="21"/>
              </w:rPr>
              <w:t>书面表达</w:t>
            </w:r>
            <w:bookmarkEnd w:id="170"/>
            <w:bookmarkEnd w:id="171"/>
            <w:bookmarkEnd w:id="172"/>
            <w:bookmarkEnd w:id="173"/>
            <w:bookmarkEnd w:id="174"/>
            <w:bookmarkEnd w:id="175"/>
            <w:bookmarkEnd w:id="176"/>
            <w:bookmarkEnd w:id="177"/>
          </w:p>
        </w:tc>
        <w:tc>
          <w:tcPr>
            <w:tcW w:w="1701" w:type="dxa"/>
            <w:vAlign w:val="center"/>
          </w:tcPr>
          <w:p w14:paraId="142C709E">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1.理性思考中西文化差异</w:t>
            </w:r>
          </w:p>
          <w:p w14:paraId="650BB32F">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2.传播社会主义核心价值观、中国优秀传统文化</w:t>
            </w:r>
          </w:p>
          <w:p w14:paraId="12190294">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3.讲好中国故事</w:t>
            </w:r>
          </w:p>
          <w:p w14:paraId="567639FB">
            <w:pPr>
              <w:outlineLvl w:val="0"/>
              <w:rPr>
                <w:rFonts w:hint="eastAsia" w:ascii="宋体" w:hAnsi="宋体" w:eastAsia="宋体" w:cs="Times New Roman"/>
                <w:color w:val="000000"/>
                <w:kern w:val="0"/>
                <w:szCs w:val="21"/>
              </w:rPr>
            </w:pPr>
            <w:bookmarkStart w:id="178" w:name="_Toc8843"/>
            <w:bookmarkStart w:id="179" w:name="_Toc14829"/>
            <w:bookmarkStart w:id="180" w:name="_Toc11776"/>
            <w:bookmarkStart w:id="181" w:name="_Toc29243"/>
            <w:bookmarkStart w:id="182" w:name="_Toc21038"/>
            <w:bookmarkStart w:id="183" w:name="_Toc23519"/>
            <w:bookmarkStart w:id="184" w:name="_Toc89367101"/>
            <w:bookmarkStart w:id="185" w:name="_Toc21729"/>
            <w:r>
              <w:rPr>
                <w:rFonts w:hint="eastAsia" w:ascii="宋体" w:hAnsi="宋体" w:eastAsia="宋体" w:cs="Times New Roman"/>
                <w:color w:val="000000"/>
                <w:kern w:val="0"/>
                <w:szCs w:val="21"/>
              </w:rPr>
              <w:t>4.提升职业素养</w:t>
            </w:r>
            <w:bookmarkEnd w:id="178"/>
            <w:bookmarkEnd w:id="179"/>
            <w:bookmarkEnd w:id="180"/>
            <w:bookmarkEnd w:id="181"/>
            <w:bookmarkEnd w:id="182"/>
            <w:bookmarkEnd w:id="183"/>
            <w:bookmarkEnd w:id="184"/>
            <w:bookmarkEnd w:id="185"/>
          </w:p>
        </w:tc>
        <w:tc>
          <w:tcPr>
            <w:tcW w:w="4111" w:type="dxa"/>
            <w:vAlign w:val="center"/>
          </w:tcPr>
          <w:p w14:paraId="0B850EF6">
            <w:pPr>
              <w:autoSpaceDE w:val="0"/>
              <w:autoSpaceDN w:val="0"/>
              <w:adjustRightInd w:val="0"/>
              <w:spacing w:line="400" w:lineRule="exact"/>
              <w:rPr>
                <w:rFonts w:hint="eastAsia" w:ascii="宋体" w:hAnsi="宋体" w:eastAsia="宋体" w:cs="Times New Roman"/>
                <w:color w:val="000000"/>
                <w:kern w:val="0"/>
                <w:szCs w:val="21"/>
                <w:lang w:val="zh-CN"/>
              </w:rPr>
            </w:pPr>
            <w:r>
              <w:rPr>
                <w:rFonts w:ascii="宋体" w:hAnsi="宋体" w:eastAsia="宋体" w:cs="Times New Roman"/>
                <w:color w:val="000000"/>
                <w:kern w:val="0"/>
                <w:szCs w:val="21"/>
                <w:lang w:val="zh-CN"/>
              </w:rPr>
              <w:t>能用英语描述个人经历、观感、情感和发生的事件等；能写常见的应用文；能就一般性话题或提纲以短文的形式展开简短的讨论、解释、说明等，语言结构基本完整，中心思想明确，用词较为恰当，语意连贯。能运用基本的写作技巧。</w:t>
            </w:r>
          </w:p>
        </w:tc>
        <w:tc>
          <w:tcPr>
            <w:tcW w:w="1388" w:type="dxa"/>
            <w:vAlign w:val="center"/>
          </w:tcPr>
          <w:p w14:paraId="3C993C8D">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1.英语基本句型</w:t>
            </w:r>
          </w:p>
          <w:p w14:paraId="66CDBFFD">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2.词汇表达</w:t>
            </w:r>
          </w:p>
        </w:tc>
      </w:tr>
      <w:tr w14:paraId="0F57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030A3B3F">
            <w:pPr>
              <w:ind w:firstLine="210" w:firstLineChars="100"/>
              <w:outlineLvl w:val="0"/>
              <w:rPr>
                <w:rFonts w:hint="eastAsia" w:ascii="宋体" w:hAnsi="宋体" w:eastAsia="宋体" w:cs="Times New Roman"/>
                <w:color w:val="000000"/>
                <w:szCs w:val="21"/>
              </w:rPr>
            </w:pPr>
            <w:bookmarkStart w:id="186" w:name="_Toc4675"/>
            <w:bookmarkStart w:id="187" w:name="_Toc12594"/>
            <w:bookmarkStart w:id="188" w:name="_Toc28802"/>
            <w:bookmarkStart w:id="189" w:name="_Toc19312"/>
            <w:bookmarkStart w:id="190" w:name="_Toc89367102"/>
            <w:bookmarkStart w:id="191" w:name="_Toc10999"/>
            <w:bookmarkStart w:id="192" w:name="_Toc1410"/>
            <w:bookmarkStart w:id="193" w:name="_Toc3002"/>
            <w:r>
              <w:rPr>
                <w:rFonts w:hint="eastAsia" w:ascii="宋体" w:hAnsi="宋体" w:eastAsia="宋体" w:cs="Times New Roman"/>
                <w:color w:val="000000"/>
                <w:szCs w:val="21"/>
              </w:rPr>
              <w:t>翻译</w:t>
            </w:r>
            <w:bookmarkEnd w:id="186"/>
            <w:bookmarkEnd w:id="187"/>
            <w:bookmarkEnd w:id="188"/>
            <w:bookmarkEnd w:id="189"/>
            <w:bookmarkEnd w:id="190"/>
            <w:bookmarkEnd w:id="191"/>
            <w:bookmarkEnd w:id="192"/>
            <w:bookmarkEnd w:id="193"/>
          </w:p>
        </w:tc>
        <w:tc>
          <w:tcPr>
            <w:tcW w:w="1701" w:type="dxa"/>
            <w:vAlign w:val="center"/>
          </w:tcPr>
          <w:p w14:paraId="116D2084">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1.理性思考中西文化差异</w:t>
            </w:r>
          </w:p>
          <w:p w14:paraId="681D5761">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2.传播社会主义核心价值观、中国优秀传统文化</w:t>
            </w:r>
          </w:p>
          <w:p w14:paraId="7866996D">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3.讲好中国故事</w:t>
            </w:r>
          </w:p>
          <w:p w14:paraId="6A9AEAB5">
            <w:pPr>
              <w:widowControl/>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4.提升职业素养</w:t>
            </w:r>
          </w:p>
        </w:tc>
        <w:tc>
          <w:tcPr>
            <w:tcW w:w="4111" w:type="dxa"/>
            <w:vAlign w:val="center"/>
          </w:tcPr>
          <w:p w14:paraId="366879F9">
            <w:pPr>
              <w:autoSpaceDE w:val="0"/>
              <w:autoSpaceDN w:val="0"/>
              <w:adjustRightInd w:val="0"/>
              <w:spacing w:line="400" w:lineRule="exact"/>
              <w:rPr>
                <w:rFonts w:hint="eastAsia" w:ascii="宋体" w:hAnsi="宋体" w:eastAsia="宋体" w:cs="Times New Roman"/>
                <w:color w:val="000000"/>
                <w:kern w:val="0"/>
                <w:szCs w:val="21"/>
                <w:lang w:val="zh-CN"/>
              </w:rPr>
            </w:pPr>
            <w:r>
              <w:rPr>
                <w:rFonts w:ascii="宋体" w:hAnsi="宋体" w:eastAsia="宋体" w:cs="Times New Roman"/>
                <w:color w:val="000000"/>
                <w:kern w:val="0"/>
                <w:szCs w:val="21"/>
                <w:lang w:val="zh-CN"/>
              </w:rPr>
              <w:t>能借助词典对题材熟悉、结构清晰、语言难度较低的文章进行英汉互译，译文基本准确，无重大的理解和语言表达错误。能有限地运用翻译技巧。</w:t>
            </w:r>
          </w:p>
        </w:tc>
        <w:tc>
          <w:tcPr>
            <w:tcW w:w="1388" w:type="dxa"/>
            <w:vAlign w:val="center"/>
          </w:tcPr>
          <w:p w14:paraId="7D3B89C9">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1.中西语言差异</w:t>
            </w:r>
          </w:p>
          <w:p w14:paraId="7DFFCC21">
            <w:pPr>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2.翻译策略</w:t>
            </w:r>
          </w:p>
        </w:tc>
      </w:tr>
      <w:tr w14:paraId="6826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Align w:val="center"/>
          </w:tcPr>
          <w:p w14:paraId="473C5070">
            <w:pP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网络平台自主学习</w:t>
            </w:r>
          </w:p>
        </w:tc>
        <w:tc>
          <w:tcPr>
            <w:tcW w:w="1701" w:type="dxa"/>
            <w:vAlign w:val="center"/>
          </w:tcPr>
          <w:p w14:paraId="6E0B0BA2">
            <w:pPr>
              <w:rPr>
                <w:rFonts w:hint="eastAsia" w:ascii="宋体" w:hAnsi="宋体" w:eastAsia="宋体" w:cs="Times New Roman"/>
                <w:color w:val="000000"/>
                <w:kern w:val="0"/>
                <w:szCs w:val="21"/>
              </w:rPr>
            </w:pPr>
          </w:p>
        </w:tc>
        <w:tc>
          <w:tcPr>
            <w:tcW w:w="4111" w:type="dxa"/>
            <w:vAlign w:val="center"/>
          </w:tcPr>
          <w:p w14:paraId="1D841D3E">
            <w:pPr>
              <w:rPr>
                <w:rFonts w:hint="eastAsia" w:ascii="宋体" w:hAnsi="宋体" w:eastAsia="宋体" w:cs="Times New Roman"/>
                <w:color w:val="000000"/>
                <w:szCs w:val="21"/>
              </w:rPr>
            </w:pPr>
            <w:r>
              <w:rPr>
                <w:rFonts w:hint="eastAsia" w:ascii="宋体" w:hAnsi="宋体" w:eastAsia="宋体" w:cs="Times New Roman"/>
                <w:color w:val="000000"/>
                <w:szCs w:val="21"/>
              </w:rPr>
              <w:t>掌握有效的学习方法和学习策略。具有终身学习意识。</w:t>
            </w:r>
          </w:p>
        </w:tc>
        <w:tc>
          <w:tcPr>
            <w:tcW w:w="1388" w:type="dxa"/>
            <w:vAlign w:val="center"/>
          </w:tcPr>
          <w:p w14:paraId="14E70EC8">
            <w:pPr>
              <w:jc w:val="left"/>
              <w:rPr>
                <w:rFonts w:hint="eastAsia" w:ascii="宋体" w:hAnsi="宋体" w:eastAsia="宋体" w:cs="Times New Roman"/>
                <w:color w:val="000000"/>
                <w:szCs w:val="21"/>
              </w:rPr>
            </w:pPr>
            <w:r>
              <w:rPr>
                <w:rFonts w:hint="eastAsia" w:ascii="宋体" w:hAnsi="宋体" w:eastAsia="宋体" w:cs="Times New Roman"/>
                <w:color w:val="000000"/>
                <w:szCs w:val="21"/>
              </w:rPr>
              <w:t>发现问题</w:t>
            </w:r>
          </w:p>
          <w:p w14:paraId="52ED6D0E">
            <w:pPr>
              <w:jc w:val="left"/>
              <w:rPr>
                <w:rFonts w:hint="eastAsia" w:ascii="宋体" w:hAnsi="宋体" w:eastAsia="宋体" w:cs="Times New Roman"/>
                <w:color w:val="000000"/>
                <w:szCs w:val="21"/>
              </w:rPr>
            </w:pPr>
            <w:r>
              <w:rPr>
                <w:rFonts w:hint="eastAsia" w:ascii="宋体" w:hAnsi="宋体" w:eastAsia="宋体" w:cs="Times New Roman"/>
                <w:color w:val="000000"/>
                <w:szCs w:val="21"/>
              </w:rPr>
              <w:t>分析问题</w:t>
            </w:r>
          </w:p>
        </w:tc>
      </w:tr>
    </w:tbl>
    <w:p w14:paraId="1D50E649">
      <w:pPr>
        <w:rPr>
          <w:rFonts w:ascii="宋体" w:hAnsi="宋体" w:eastAsia="宋体" w:cs="宋体"/>
          <w:sz w:val="24"/>
          <w:szCs w:val="24"/>
        </w:rPr>
      </w:pPr>
    </w:p>
    <w:p w14:paraId="06600A33">
      <w:pPr>
        <w:rPr>
          <w:rFonts w:ascii="宋体" w:hAnsi="宋体" w:eastAsia="宋体" w:cs="宋体"/>
          <w:sz w:val="24"/>
          <w:szCs w:val="24"/>
        </w:rPr>
      </w:pPr>
    </w:p>
    <w:p w14:paraId="54B2BE2C">
      <w:pPr>
        <w:rPr>
          <w:rFonts w:ascii="宋体" w:hAnsi="宋体" w:eastAsia="宋体" w:cs="宋体"/>
          <w:sz w:val="24"/>
          <w:szCs w:val="24"/>
        </w:rPr>
      </w:pPr>
    </w:p>
    <w:p w14:paraId="73B02311">
      <w:pPr>
        <w:rPr>
          <w:rFonts w:ascii="宋体" w:hAnsi="宋体" w:eastAsia="宋体" w:cs="宋体"/>
          <w:sz w:val="24"/>
          <w:szCs w:val="24"/>
        </w:rPr>
      </w:pPr>
    </w:p>
    <w:p w14:paraId="1A4F6C79">
      <w:pPr>
        <w:rPr>
          <w:rFonts w:ascii="宋体" w:hAnsi="宋体" w:eastAsia="宋体" w:cs="宋体"/>
          <w:sz w:val="24"/>
          <w:szCs w:val="24"/>
        </w:rPr>
      </w:pPr>
    </w:p>
    <w:p w14:paraId="6333C91C">
      <w:pPr>
        <w:rPr>
          <w:rFonts w:ascii="宋体" w:hAnsi="宋体" w:eastAsia="宋体" w:cs="宋体"/>
          <w:sz w:val="24"/>
          <w:szCs w:val="24"/>
        </w:rPr>
      </w:pPr>
    </w:p>
    <w:p w14:paraId="034F1994">
      <w:pPr>
        <w:rPr>
          <w:rFonts w:hint="eastAsia" w:ascii="宋体" w:hAnsi="宋体" w:eastAsia="宋体" w:cs="宋体"/>
          <w:sz w:val="24"/>
          <w:szCs w:val="24"/>
        </w:rPr>
      </w:pPr>
    </w:p>
    <w:p w14:paraId="5F26CCBB">
      <w:pPr>
        <w:spacing w:line="360" w:lineRule="auto"/>
        <w:ind w:firstLine="480" w:firstLineChars="200"/>
        <w:outlineLvl w:val="1"/>
        <w:rPr>
          <w:rFonts w:hint="eastAsia" w:ascii="等线" w:hAnsi="等线" w:eastAsia="等线" w:cs="Times New Roman"/>
          <w:b/>
          <w:color w:val="000000"/>
          <w:sz w:val="24"/>
          <w:szCs w:val="22"/>
        </w:rPr>
      </w:pPr>
      <w:bookmarkStart w:id="194" w:name="_Toc2519"/>
      <w:r>
        <w:rPr>
          <w:rFonts w:hint="eastAsia" w:ascii="等线" w:hAnsi="等线" w:eastAsia="等线" w:cs="Times New Roman"/>
          <w:b/>
          <w:color w:val="000000"/>
          <w:sz w:val="24"/>
          <w:szCs w:val="22"/>
        </w:rPr>
        <w:t>四、教学内容与课程目标对应关系</w:t>
      </w:r>
      <w:bookmarkEnd w:id="194"/>
    </w:p>
    <w:p w14:paraId="42DD8689">
      <w:pPr>
        <w:spacing w:line="160" w:lineRule="exact"/>
        <w:rPr>
          <w:rFonts w:hint="eastAsia" w:ascii="等线" w:hAnsi="等线" w:eastAsia="等线" w:cs="Times New Roman"/>
          <w:b/>
          <w:color w:val="000000"/>
          <w:sz w:val="15"/>
          <w:szCs w:val="15"/>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62"/>
        <w:gridCol w:w="2126"/>
        <w:gridCol w:w="1985"/>
        <w:gridCol w:w="992"/>
        <w:gridCol w:w="759"/>
      </w:tblGrid>
      <w:tr w14:paraId="59BE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op w:val="single" w:color="auto" w:sz="8" w:space="0"/>
              <w:left w:val="single" w:color="auto" w:sz="8" w:space="0"/>
            </w:tcBorders>
            <w:vAlign w:val="center"/>
          </w:tcPr>
          <w:p w14:paraId="4302EFCB">
            <w:pPr>
              <w:spacing w:line="276" w:lineRule="auto"/>
              <w:jc w:val="center"/>
              <w:rPr>
                <w:rFonts w:hint="eastAsia" w:ascii="宋体" w:hAnsi="宋体" w:eastAsia="等线" w:cs="宋体"/>
                <w:b/>
                <w:bCs/>
                <w:color w:val="000000"/>
                <w:kern w:val="0"/>
                <w:szCs w:val="21"/>
              </w:rPr>
            </w:pPr>
            <w:r>
              <w:rPr>
                <w:rFonts w:hint="eastAsia" w:ascii="宋体" w:hAnsi="宋体" w:eastAsia="等线" w:cs="宋体"/>
                <w:b/>
                <w:bCs/>
                <w:color w:val="000000"/>
                <w:kern w:val="0"/>
                <w:szCs w:val="21"/>
              </w:rPr>
              <w:t>序号</w:t>
            </w:r>
          </w:p>
        </w:tc>
        <w:tc>
          <w:tcPr>
            <w:tcW w:w="1962" w:type="dxa"/>
            <w:tcBorders>
              <w:top w:val="single" w:color="auto" w:sz="8" w:space="0"/>
            </w:tcBorders>
            <w:vAlign w:val="center"/>
          </w:tcPr>
          <w:p w14:paraId="5057A670">
            <w:pPr>
              <w:spacing w:line="276" w:lineRule="auto"/>
              <w:jc w:val="center"/>
              <w:rPr>
                <w:rFonts w:hint="eastAsia" w:ascii="宋体" w:hAnsi="宋体" w:eastAsia="等线" w:cs="宋体"/>
                <w:b/>
                <w:bCs/>
                <w:color w:val="000000"/>
                <w:kern w:val="0"/>
                <w:szCs w:val="21"/>
              </w:rPr>
            </w:pPr>
            <w:r>
              <w:rPr>
                <w:rFonts w:hint="eastAsia" w:ascii="宋体" w:hAnsi="宋体" w:eastAsia="等线" w:cs="宋体"/>
                <w:b/>
                <w:bCs/>
                <w:color w:val="000000"/>
                <w:kern w:val="0"/>
                <w:szCs w:val="21"/>
              </w:rPr>
              <w:t>教学内容</w:t>
            </w:r>
          </w:p>
        </w:tc>
        <w:tc>
          <w:tcPr>
            <w:tcW w:w="2126" w:type="dxa"/>
            <w:tcBorders>
              <w:top w:val="single" w:color="auto" w:sz="8" w:space="0"/>
            </w:tcBorders>
            <w:vAlign w:val="center"/>
          </w:tcPr>
          <w:p w14:paraId="3D810D51">
            <w:pPr>
              <w:spacing w:line="276" w:lineRule="auto"/>
              <w:jc w:val="center"/>
              <w:rPr>
                <w:rFonts w:hint="eastAsia" w:ascii="宋体" w:hAnsi="宋体" w:eastAsia="等线" w:cs="宋体"/>
                <w:b/>
                <w:bCs/>
                <w:color w:val="000000"/>
                <w:kern w:val="0"/>
                <w:szCs w:val="21"/>
              </w:rPr>
            </w:pPr>
            <w:r>
              <w:rPr>
                <w:rFonts w:hint="eastAsia" w:ascii="宋体" w:hAnsi="宋体" w:eastAsia="等线" w:cs="宋体"/>
                <w:b/>
                <w:bCs/>
                <w:color w:val="000000"/>
                <w:kern w:val="0"/>
                <w:szCs w:val="21"/>
              </w:rPr>
              <w:t>支撑的课程目标</w:t>
            </w:r>
          </w:p>
        </w:tc>
        <w:tc>
          <w:tcPr>
            <w:tcW w:w="1985" w:type="dxa"/>
            <w:tcBorders>
              <w:top w:val="single" w:color="auto" w:sz="8" w:space="0"/>
            </w:tcBorders>
            <w:vAlign w:val="center"/>
          </w:tcPr>
          <w:p w14:paraId="08D08FF5">
            <w:pPr>
              <w:jc w:val="center"/>
              <w:rPr>
                <w:rFonts w:hint="eastAsia" w:ascii="宋体" w:hAnsi="宋体" w:eastAsia="等线" w:cs="宋体"/>
                <w:b/>
                <w:bCs/>
                <w:color w:val="000000"/>
                <w:kern w:val="0"/>
                <w:szCs w:val="21"/>
              </w:rPr>
            </w:pPr>
            <w:r>
              <w:rPr>
                <w:rFonts w:ascii="宋体" w:hAnsi="宋体" w:eastAsia="等线" w:cs="宋体"/>
                <w:b/>
                <w:bCs/>
                <w:color w:val="000000"/>
                <w:kern w:val="0"/>
                <w:szCs w:val="21"/>
              </w:rPr>
              <w:t>支撑</w:t>
            </w:r>
            <w:r>
              <w:rPr>
                <w:rFonts w:hint="eastAsia" w:ascii="宋体" w:hAnsi="宋体" w:eastAsia="等线" w:cs="宋体"/>
                <w:b/>
                <w:bCs/>
                <w:color w:val="000000"/>
                <w:kern w:val="0"/>
                <w:szCs w:val="21"/>
              </w:rPr>
              <w:t>的</w:t>
            </w:r>
            <w:r>
              <w:rPr>
                <w:rFonts w:ascii="宋体" w:hAnsi="宋体" w:eastAsia="等线" w:cs="宋体"/>
                <w:b/>
                <w:bCs/>
                <w:color w:val="000000"/>
                <w:kern w:val="0"/>
                <w:szCs w:val="21"/>
              </w:rPr>
              <w:t>毕业要求</w:t>
            </w:r>
          </w:p>
          <w:p w14:paraId="745AD25B">
            <w:pPr>
              <w:spacing w:line="276" w:lineRule="auto"/>
              <w:jc w:val="center"/>
              <w:rPr>
                <w:rFonts w:hint="eastAsia" w:ascii="宋体" w:hAnsi="宋体" w:eastAsia="等线" w:cs="宋体"/>
                <w:b/>
                <w:bCs/>
                <w:color w:val="000000"/>
                <w:kern w:val="0"/>
                <w:szCs w:val="21"/>
              </w:rPr>
            </w:pPr>
            <w:r>
              <w:rPr>
                <w:rFonts w:ascii="宋体" w:hAnsi="宋体" w:eastAsia="等线" w:cs="宋体"/>
                <w:b/>
                <w:bCs/>
                <w:color w:val="000000"/>
                <w:kern w:val="0"/>
                <w:szCs w:val="21"/>
              </w:rPr>
              <w:t>指标点</w:t>
            </w:r>
          </w:p>
        </w:tc>
        <w:tc>
          <w:tcPr>
            <w:tcW w:w="992" w:type="dxa"/>
            <w:tcBorders>
              <w:top w:val="single" w:color="auto" w:sz="8" w:space="0"/>
              <w:right w:val="single" w:color="auto" w:sz="8" w:space="0"/>
            </w:tcBorders>
            <w:vAlign w:val="center"/>
          </w:tcPr>
          <w:p w14:paraId="3B49E11E">
            <w:pPr>
              <w:spacing w:line="276" w:lineRule="auto"/>
              <w:jc w:val="center"/>
              <w:rPr>
                <w:rFonts w:hint="eastAsia" w:ascii="宋体" w:hAnsi="宋体" w:eastAsia="等线" w:cs="宋体"/>
                <w:b/>
                <w:bCs/>
                <w:color w:val="000000"/>
                <w:kern w:val="0"/>
                <w:szCs w:val="21"/>
              </w:rPr>
            </w:pPr>
            <w:r>
              <w:rPr>
                <w:rFonts w:hint="eastAsia" w:ascii="宋体" w:hAnsi="宋体" w:eastAsia="等线" w:cs="宋体"/>
                <w:b/>
                <w:bCs/>
                <w:color w:val="000000"/>
                <w:kern w:val="0"/>
                <w:szCs w:val="21"/>
              </w:rPr>
              <w:t>讲授</w:t>
            </w:r>
          </w:p>
          <w:p w14:paraId="4DA05F72">
            <w:pPr>
              <w:spacing w:line="276" w:lineRule="auto"/>
              <w:jc w:val="center"/>
              <w:rPr>
                <w:rFonts w:hint="eastAsia" w:ascii="宋体" w:hAnsi="宋体" w:eastAsia="等线" w:cs="宋体"/>
                <w:b/>
                <w:bCs/>
                <w:color w:val="000000"/>
                <w:kern w:val="0"/>
                <w:szCs w:val="21"/>
              </w:rPr>
            </w:pPr>
            <w:r>
              <w:rPr>
                <w:rFonts w:ascii="宋体" w:hAnsi="宋体" w:eastAsia="等线" w:cs="宋体"/>
                <w:b/>
                <w:bCs/>
                <w:color w:val="000000"/>
                <w:kern w:val="0"/>
                <w:szCs w:val="21"/>
              </w:rPr>
              <w:t>学时</w:t>
            </w:r>
          </w:p>
        </w:tc>
        <w:tc>
          <w:tcPr>
            <w:tcW w:w="759" w:type="dxa"/>
            <w:tcBorders>
              <w:top w:val="single" w:color="auto" w:sz="8" w:space="0"/>
              <w:right w:val="single" w:color="auto" w:sz="8" w:space="0"/>
            </w:tcBorders>
            <w:vAlign w:val="center"/>
          </w:tcPr>
          <w:p w14:paraId="79FA7574">
            <w:pPr>
              <w:spacing w:line="276" w:lineRule="auto"/>
              <w:jc w:val="center"/>
              <w:rPr>
                <w:rFonts w:hint="eastAsia" w:ascii="宋体" w:hAnsi="宋体" w:eastAsia="等线" w:cs="宋体"/>
                <w:b/>
                <w:bCs/>
                <w:color w:val="000000"/>
                <w:kern w:val="0"/>
                <w:szCs w:val="21"/>
              </w:rPr>
            </w:pPr>
            <w:r>
              <w:rPr>
                <w:rFonts w:hint="eastAsia" w:ascii="宋体" w:hAnsi="宋体" w:eastAsia="等线" w:cs="宋体"/>
                <w:b/>
                <w:bCs/>
                <w:color w:val="000000"/>
                <w:kern w:val="0"/>
                <w:szCs w:val="21"/>
              </w:rPr>
              <w:t>实验</w:t>
            </w:r>
          </w:p>
          <w:p w14:paraId="7DF5F94A">
            <w:pPr>
              <w:spacing w:line="276" w:lineRule="auto"/>
              <w:jc w:val="center"/>
              <w:rPr>
                <w:rFonts w:hint="eastAsia" w:ascii="宋体" w:hAnsi="宋体" w:eastAsia="等线" w:cs="宋体"/>
                <w:b/>
                <w:bCs/>
                <w:color w:val="000000"/>
                <w:kern w:val="0"/>
                <w:szCs w:val="21"/>
              </w:rPr>
            </w:pPr>
            <w:r>
              <w:rPr>
                <w:rFonts w:hint="eastAsia" w:ascii="宋体" w:hAnsi="宋体" w:eastAsia="等线" w:cs="宋体"/>
                <w:b/>
                <w:bCs/>
                <w:color w:val="000000"/>
                <w:kern w:val="0"/>
                <w:szCs w:val="21"/>
              </w:rPr>
              <w:t>学时</w:t>
            </w:r>
          </w:p>
        </w:tc>
      </w:tr>
      <w:tr w14:paraId="235B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2AC3FDEC">
            <w:pPr>
              <w:spacing w:line="276" w:lineRule="auto"/>
              <w:jc w:val="center"/>
              <w:rPr>
                <w:rFonts w:hint="eastAsia" w:ascii="等线" w:hAnsi="等线" w:eastAsia="等线" w:cs="Times New Roman"/>
                <w:color w:val="000000"/>
                <w:szCs w:val="21"/>
              </w:rPr>
            </w:pPr>
            <w:r>
              <w:rPr>
                <w:rFonts w:hint="eastAsia" w:ascii="等线" w:hAnsi="等线" w:eastAsia="等线" w:cs="Times New Roman"/>
                <w:color w:val="000000"/>
                <w:szCs w:val="21"/>
              </w:rPr>
              <w:t>1</w:t>
            </w:r>
          </w:p>
        </w:tc>
        <w:tc>
          <w:tcPr>
            <w:tcW w:w="1962" w:type="dxa"/>
          </w:tcPr>
          <w:p w14:paraId="6E07AD6A">
            <w:pPr>
              <w:rPr>
                <w:rFonts w:hint="eastAsia" w:ascii="等线" w:hAnsi="等线" w:eastAsia="等线" w:cs="Times New Roman"/>
                <w:color w:val="000000"/>
                <w:szCs w:val="21"/>
              </w:rPr>
            </w:pPr>
            <w:r>
              <w:rPr>
                <w:rFonts w:hint="eastAsia" w:ascii="等线" w:hAnsi="等线" w:eastAsia="等线" w:cs="Times New Roman"/>
                <w:color w:val="000000"/>
                <w:szCs w:val="21"/>
              </w:rPr>
              <w:t>听力理解</w:t>
            </w:r>
          </w:p>
        </w:tc>
        <w:tc>
          <w:tcPr>
            <w:tcW w:w="2126" w:type="dxa"/>
          </w:tcPr>
          <w:p w14:paraId="0C303F59">
            <w:pPr>
              <w:jc w:val="left"/>
              <w:rPr>
                <w:rFonts w:hint="eastAsia" w:ascii="等线" w:hAnsi="等线" w:eastAsia="等线" w:cs="Times New Roman"/>
                <w:color w:val="000000"/>
                <w:szCs w:val="21"/>
              </w:rPr>
            </w:pPr>
            <w:r>
              <w:rPr>
                <w:rFonts w:hint="eastAsia" w:ascii="等线" w:hAnsi="等线" w:eastAsia="等线" w:cs="Times New Roman"/>
                <w:color w:val="000000"/>
                <w:szCs w:val="21"/>
              </w:rPr>
              <w:t>课程目标1、2</w:t>
            </w:r>
          </w:p>
        </w:tc>
        <w:tc>
          <w:tcPr>
            <w:tcW w:w="1985" w:type="dxa"/>
            <w:vAlign w:val="center"/>
          </w:tcPr>
          <w:p w14:paraId="70331DAF">
            <w:pPr>
              <w:jc w:val="left"/>
              <w:rPr>
                <w:rFonts w:hint="eastAsia" w:ascii="等线" w:hAnsi="等线" w:eastAsia="等线" w:cs="Times New Roman"/>
                <w:color w:val="000000"/>
                <w:szCs w:val="21"/>
              </w:rPr>
            </w:pPr>
            <w:r>
              <w:rPr>
                <w:rFonts w:hint="eastAsia" w:ascii="等线" w:hAnsi="等线" w:eastAsia="等线" w:cs="Times New Roman"/>
                <w:color w:val="000000"/>
                <w:szCs w:val="21"/>
              </w:rPr>
              <w:t>3-1、7-1、8-2</w:t>
            </w:r>
          </w:p>
        </w:tc>
        <w:tc>
          <w:tcPr>
            <w:tcW w:w="992" w:type="dxa"/>
            <w:tcBorders>
              <w:right w:val="single" w:color="auto" w:sz="8" w:space="0"/>
            </w:tcBorders>
          </w:tcPr>
          <w:p w14:paraId="74C3D770">
            <w:pPr>
              <w:jc w:val="center"/>
              <w:rPr>
                <w:rFonts w:hint="eastAsia" w:ascii="等线" w:hAnsi="等线" w:eastAsia="等线" w:cs="Times New Roman"/>
                <w:color w:val="000000"/>
                <w:szCs w:val="21"/>
              </w:rPr>
            </w:pPr>
            <w:r>
              <w:rPr>
                <w:rFonts w:hint="eastAsia" w:ascii="等线" w:hAnsi="等线" w:eastAsia="等线" w:cs="Times New Roman"/>
                <w:color w:val="000000"/>
                <w:szCs w:val="21"/>
              </w:rPr>
              <w:t>7</w:t>
            </w:r>
          </w:p>
        </w:tc>
        <w:tc>
          <w:tcPr>
            <w:tcW w:w="759" w:type="dxa"/>
            <w:tcBorders>
              <w:right w:val="single" w:color="auto" w:sz="8" w:space="0"/>
            </w:tcBorders>
          </w:tcPr>
          <w:p w14:paraId="32200659">
            <w:pPr>
              <w:jc w:val="center"/>
              <w:rPr>
                <w:rFonts w:hint="eastAsia" w:ascii="等线" w:hAnsi="等线" w:eastAsia="等线" w:cs="Times New Roman"/>
                <w:color w:val="000000"/>
                <w:szCs w:val="21"/>
              </w:rPr>
            </w:pPr>
          </w:p>
        </w:tc>
      </w:tr>
      <w:tr w14:paraId="6ED4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621182E4">
            <w:pPr>
              <w:spacing w:line="276" w:lineRule="auto"/>
              <w:jc w:val="center"/>
              <w:rPr>
                <w:rFonts w:hint="eastAsia" w:ascii="等线" w:hAnsi="等线" w:eastAsia="等线" w:cs="Times New Roman"/>
                <w:color w:val="000000"/>
                <w:szCs w:val="21"/>
              </w:rPr>
            </w:pPr>
            <w:r>
              <w:rPr>
                <w:rFonts w:hint="eastAsia" w:ascii="等线" w:hAnsi="等线" w:eastAsia="等线" w:cs="Times New Roman"/>
                <w:color w:val="000000"/>
                <w:szCs w:val="21"/>
              </w:rPr>
              <w:t>2</w:t>
            </w:r>
          </w:p>
        </w:tc>
        <w:tc>
          <w:tcPr>
            <w:tcW w:w="1962" w:type="dxa"/>
          </w:tcPr>
          <w:p w14:paraId="37CBD9E0">
            <w:pPr>
              <w:rPr>
                <w:rFonts w:hint="eastAsia" w:ascii="等线" w:hAnsi="等线" w:eastAsia="等线" w:cs="Times New Roman"/>
                <w:color w:val="000000"/>
                <w:szCs w:val="21"/>
              </w:rPr>
            </w:pPr>
            <w:r>
              <w:rPr>
                <w:rFonts w:hint="eastAsia" w:ascii="等线" w:hAnsi="等线" w:eastAsia="等线" w:cs="Times New Roman"/>
                <w:color w:val="000000"/>
                <w:szCs w:val="21"/>
              </w:rPr>
              <w:t>口语表达</w:t>
            </w:r>
          </w:p>
        </w:tc>
        <w:tc>
          <w:tcPr>
            <w:tcW w:w="2126" w:type="dxa"/>
          </w:tcPr>
          <w:p w14:paraId="60CA9EDA">
            <w:pPr>
              <w:jc w:val="left"/>
              <w:rPr>
                <w:rFonts w:hint="eastAsia" w:ascii="等线" w:hAnsi="等线" w:eastAsia="等线" w:cs="Times New Roman"/>
                <w:color w:val="000000"/>
                <w:szCs w:val="21"/>
              </w:rPr>
            </w:pPr>
            <w:r>
              <w:rPr>
                <w:rFonts w:hint="eastAsia" w:ascii="等线" w:hAnsi="等线" w:eastAsia="等线" w:cs="Times New Roman"/>
                <w:color w:val="000000"/>
                <w:szCs w:val="21"/>
              </w:rPr>
              <w:t>课程目标1、2、3</w:t>
            </w:r>
          </w:p>
        </w:tc>
        <w:tc>
          <w:tcPr>
            <w:tcW w:w="1985" w:type="dxa"/>
          </w:tcPr>
          <w:p w14:paraId="5F625A27">
            <w:pPr>
              <w:jc w:val="left"/>
              <w:rPr>
                <w:rFonts w:hint="eastAsia" w:ascii="等线" w:hAnsi="等线" w:eastAsia="等线" w:cs="Times New Roman"/>
                <w:color w:val="000000"/>
                <w:szCs w:val="21"/>
              </w:rPr>
            </w:pPr>
            <w:r>
              <w:rPr>
                <w:rFonts w:hint="eastAsia" w:ascii="等线" w:hAnsi="等线" w:eastAsia="等线" w:cs="Times New Roman"/>
                <w:color w:val="000000"/>
                <w:szCs w:val="21"/>
              </w:rPr>
              <w:t>3-1、7-1、8-2</w:t>
            </w:r>
          </w:p>
        </w:tc>
        <w:tc>
          <w:tcPr>
            <w:tcW w:w="992" w:type="dxa"/>
            <w:tcBorders>
              <w:right w:val="single" w:color="auto" w:sz="8" w:space="0"/>
            </w:tcBorders>
          </w:tcPr>
          <w:p w14:paraId="06E70202">
            <w:pPr>
              <w:jc w:val="center"/>
              <w:rPr>
                <w:rFonts w:hint="eastAsia" w:ascii="等线" w:hAnsi="等线" w:eastAsia="等线" w:cs="Times New Roman"/>
                <w:color w:val="000000"/>
                <w:szCs w:val="21"/>
              </w:rPr>
            </w:pPr>
            <w:r>
              <w:rPr>
                <w:rFonts w:hint="eastAsia" w:ascii="等线" w:hAnsi="等线" w:eastAsia="等线" w:cs="Times New Roman"/>
                <w:color w:val="000000"/>
                <w:szCs w:val="21"/>
              </w:rPr>
              <w:t>8</w:t>
            </w:r>
          </w:p>
        </w:tc>
        <w:tc>
          <w:tcPr>
            <w:tcW w:w="759" w:type="dxa"/>
            <w:tcBorders>
              <w:right w:val="single" w:color="auto" w:sz="8" w:space="0"/>
            </w:tcBorders>
          </w:tcPr>
          <w:p w14:paraId="6CE4E62E">
            <w:pPr>
              <w:jc w:val="center"/>
              <w:rPr>
                <w:rFonts w:hint="eastAsia" w:ascii="等线" w:hAnsi="等线" w:eastAsia="等线" w:cs="Times New Roman"/>
                <w:color w:val="000000"/>
                <w:szCs w:val="21"/>
              </w:rPr>
            </w:pPr>
          </w:p>
        </w:tc>
      </w:tr>
      <w:tr w14:paraId="6E9D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16442103">
            <w:pPr>
              <w:spacing w:line="276" w:lineRule="auto"/>
              <w:jc w:val="center"/>
              <w:rPr>
                <w:rFonts w:hint="eastAsia" w:ascii="等线" w:hAnsi="等线" w:eastAsia="等线" w:cs="Times New Roman"/>
                <w:color w:val="000000"/>
                <w:szCs w:val="21"/>
              </w:rPr>
            </w:pPr>
            <w:r>
              <w:rPr>
                <w:rFonts w:hint="eastAsia" w:ascii="等线" w:hAnsi="等线" w:eastAsia="等线" w:cs="Times New Roman"/>
                <w:color w:val="000000"/>
                <w:szCs w:val="21"/>
              </w:rPr>
              <w:t>3</w:t>
            </w:r>
          </w:p>
        </w:tc>
        <w:tc>
          <w:tcPr>
            <w:tcW w:w="1962" w:type="dxa"/>
          </w:tcPr>
          <w:p w14:paraId="08747BCB">
            <w:pPr>
              <w:tabs>
                <w:tab w:val="left" w:pos="2940"/>
              </w:tabs>
              <w:rPr>
                <w:rFonts w:hint="eastAsia" w:ascii="等线" w:hAnsi="等线" w:eastAsia="等线" w:cs="Times New Roman"/>
                <w:color w:val="000000"/>
                <w:szCs w:val="21"/>
              </w:rPr>
            </w:pPr>
            <w:r>
              <w:rPr>
                <w:rFonts w:hint="eastAsia" w:ascii="等线" w:hAnsi="等线" w:eastAsia="等线" w:cs="Times New Roman"/>
                <w:color w:val="000000"/>
                <w:szCs w:val="21"/>
              </w:rPr>
              <w:t>阅读理解</w:t>
            </w:r>
          </w:p>
        </w:tc>
        <w:tc>
          <w:tcPr>
            <w:tcW w:w="2126" w:type="dxa"/>
          </w:tcPr>
          <w:p w14:paraId="136DC9C0">
            <w:pPr>
              <w:jc w:val="left"/>
              <w:rPr>
                <w:rFonts w:hint="eastAsia" w:ascii="等线" w:hAnsi="等线" w:eastAsia="等线" w:cs="Times New Roman"/>
                <w:color w:val="000000"/>
                <w:szCs w:val="21"/>
              </w:rPr>
            </w:pPr>
            <w:r>
              <w:rPr>
                <w:rFonts w:hint="eastAsia" w:ascii="等线" w:hAnsi="等线" w:eastAsia="等线" w:cs="Times New Roman"/>
                <w:color w:val="000000"/>
                <w:szCs w:val="21"/>
              </w:rPr>
              <w:t>课程目标1、2、3</w:t>
            </w:r>
          </w:p>
        </w:tc>
        <w:tc>
          <w:tcPr>
            <w:tcW w:w="1985" w:type="dxa"/>
          </w:tcPr>
          <w:p w14:paraId="63CABFC1">
            <w:pPr>
              <w:jc w:val="left"/>
              <w:rPr>
                <w:rFonts w:hint="eastAsia" w:ascii="等线" w:hAnsi="等线" w:eastAsia="等线" w:cs="Times New Roman"/>
                <w:color w:val="000000"/>
                <w:szCs w:val="21"/>
              </w:rPr>
            </w:pPr>
            <w:r>
              <w:rPr>
                <w:rFonts w:hint="eastAsia" w:ascii="等线" w:hAnsi="等线" w:eastAsia="等线" w:cs="Times New Roman"/>
                <w:color w:val="000000"/>
                <w:szCs w:val="21"/>
              </w:rPr>
              <w:t>3-1、7-1、8-2</w:t>
            </w:r>
          </w:p>
        </w:tc>
        <w:tc>
          <w:tcPr>
            <w:tcW w:w="992" w:type="dxa"/>
            <w:tcBorders>
              <w:right w:val="single" w:color="auto" w:sz="8" w:space="0"/>
            </w:tcBorders>
          </w:tcPr>
          <w:p w14:paraId="173F839A">
            <w:pPr>
              <w:jc w:val="center"/>
              <w:rPr>
                <w:rFonts w:hint="eastAsia" w:ascii="等线" w:hAnsi="等线" w:eastAsia="等线" w:cs="Times New Roman"/>
                <w:color w:val="000000"/>
                <w:szCs w:val="21"/>
              </w:rPr>
            </w:pPr>
            <w:r>
              <w:rPr>
                <w:rFonts w:ascii="等线" w:hAnsi="等线" w:eastAsia="等线" w:cs="Times New Roman"/>
                <w:color w:val="000000"/>
                <w:szCs w:val="21"/>
              </w:rPr>
              <w:t>1</w:t>
            </w:r>
            <w:r>
              <w:rPr>
                <w:rFonts w:hint="eastAsia" w:ascii="等线" w:hAnsi="等线" w:eastAsia="等线" w:cs="Times New Roman"/>
                <w:color w:val="000000"/>
                <w:szCs w:val="21"/>
              </w:rPr>
              <w:t>5</w:t>
            </w:r>
          </w:p>
        </w:tc>
        <w:tc>
          <w:tcPr>
            <w:tcW w:w="759" w:type="dxa"/>
            <w:tcBorders>
              <w:right w:val="single" w:color="auto" w:sz="8" w:space="0"/>
            </w:tcBorders>
          </w:tcPr>
          <w:p w14:paraId="3BA4E857">
            <w:pPr>
              <w:jc w:val="center"/>
              <w:rPr>
                <w:rFonts w:hint="eastAsia" w:ascii="等线" w:hAnsi="等线" w:eastAsia="等线" w:cs="Times New Roman"/>
                <w:color w:val="000000"/>
                <w:szCs w:val="21"/>
              </w:rPr>
            </w:pPr>
          </w:p>
        </w:tc>
      </w:tr>
      <w:tr w14:paraId="76B0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4D6BE906">
            <w:pPr>
              <w:spacing w:line="276" w:lineRule="auto"/>
              <w:jc w:val="center"/>
              <w:rPr>
                <w:rFonts w:hint="eastAsia" w:ascii="等线" w:hAnsi="等线" w:eastAsia="等线" w:cs="Times New Roman"/>
                <w:color w:val="000000"/>
                <w:szCs w:val="21"/>
              </w:rPr>
            </w:pPr>
            <w:r>
              <w:rPr>
                <w:rFonts w:hint="eastAsia" w:ascii="等线" w:hAnsi="等线" w:eastAsia="等线" w:cs="Times New Roman"/>
                <w:color w:val="000000"/>
                <w:szCs w:val="21"/>
              </w:rPr>
              <w:t>4</w:t>
            </w:r>
          </w:p>
        </w:tc>
        <w:tc>
          <w:tcPr>
            <w:tcW w:w="1962" w:type="dxa"/>
          </w:tcPr>
          <w:p w14:paraId="0DAFFDBB">
            <w:pPr>
              <w:rPr>
                <w:rFonts w:hint="eastAsia" w:ascii="等线" w:hAnsi="等线" w:eastAsia="等线" w:cs="Times New Roman"/>
                <w:color w:val="000000"/>
                <w:szCs w:val="21"/>
              </w:rPr>
            </w:pPr>
            <w:r>
              <w:rPr>
                <w:rFonts w:hint="eastAsia" w:ascii="等线" w:hAnsi="等线" w:eastAsia="等线" w:cs="Times New Roman"/>
                <w:color w:val="000000"/>
                <w:szCs w:val="21"/>
              </w:rPr>
              <w:t>书面表达</w:t>
            </w:r>
          </w:p>
        </w:tc>
        <w:tc>
          <w:tcPr>
            <w:tcW w:w="2126" w:type="dxa"/>
          </w:tcPr>
          <w:p w14:paraId="688C2430">
            <w:pPr>
              <w:jc w:val="left"/>
              <w:rPr>
                <w:rFonts w:hint="eastAsia" w:ascii="等线" w:hAnsi="等线" w:eastAsia="等线" w:cs="Times New Roman"/>
                <w:color w:val="000000"/>
                <w:szCs w:val="21"/>
              </w:rPr>
            </w:pPr>
            <w:r>
              <w:rPr>
                <w:rFonts w:hint="eastAsia" w:ascii="等线" w:hAnsi="等线" w:eastAsia="等线" w:cs="Times New Roman"/>
                <w:color w:val="000000"/>
                <w:szCs w:val="21"/>
              </w:rPr>
              <w:t>课程目标1、2、3</w:t>
            </w:r>
          </w:p>
        </w:tc>
        <w:tc>
          <w:tcPr>
            <w:tcW w:w="1985" w:type="dxa"/>
          </w:tcPr>
          <w:p w14:paraId="49461C99">
            <w:pPr>
              <w:jc w:val="left"/>
              <w:rPr>
                <w:rFonts w:hint="eastAsia" w:ascii="等线" w:hAnsi="等线" w:eastAsia="等线" w:cs="Times New Roman"/>
                <w:color w:val="000000"/>
                <w:szCs w:val="21"/>
              </w:rPr>
            </w:pPr>
            <w:r>
              <w:rPr>
                <w:rFonts w:hint="eastAsia" w:ascii="等线" w:hAnsi="等线" w:eastAsia="等线" w:cs="Times New Roman"/>
                <w:color w:val="000000"/>
                <w:szCs w:val="21"/>
              </w:rPr>
              <w:t>3-1、7-1、8-2</w:t>
            </w:r>
          </w:p>
        </w:tc>
        <w:tc>
          <w:tcPr>
            <w:tcW w:w="992" w:type="dxa"/>
            <w:tcBorders>
              <w:right w:val="single" w:color="auto" w:sz="8" w:space="0"/>
            </w:tcBorders>
          </w:tcPr>
          <w:p w14:paraId="1D8A8699">
            <w:pPr>
              <w:jc w:val="center"/>
              <w:rPr>
                <w:rFonts w:hint="eastAsia" w:ascii="等线" w:hAnsi="等线" w:eastAsia="等线" w:cs="Times New Roman"/>
                <w:color w:val="000000"/>
                <w:szCs w:val="21"/>
              </w:rPr>
            </w:pPr>
            <w:r>
              <w:rPr>
                <w:rFonts w:hint="eastAsia" w:ascii="等线" w:hAnsi="等线" w:eastAsia="等线" w:cs="Times New Roman"/>
                <w:color w:val="000000"/>
                <w:szCs w:val="21"/>
              </w:rPr>
              <w:t>7</w:t>
            </w:r>
          </w:p>
        </w:tc>
        <w:tc>
          <w:tcPr>
            <w:tcW w:w="759" w:type="dxa"/>
            <w:tcBorders>
              <w:right w:val="single" w:color="auto" w:sz="8" w:space="0"/>
            </w:tcBorders>
          </w:tcPr>
          <w:p w14:paraId="12796A9D">
            <w:pPr>
              <w:jc w:val="center"/>
              <w:rPr>
                <w:rFonts w:hint="eastAsia" w:ascii="等线" w:hAnsi="等线" w:eastAsia="等线" w:cs="Times New Roman"/>
                <w:color w:val="000000"/>
                <w:szCs w:val="21"/>
              </w:rPr>
            </w:pPr>
          </w:p>
        </w:tc>
      </w:tr>
      <w:tr w14:paraId="3F7A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7ED8E6E7">
            <w:pPr>
              <w:spacing w:line="276" w:lineRule="auto"/>
              <w:jc w:val="center"/>
              <w:rPr>
                <w:rFonts w:hint="eastAsia" w:ascii="等线" w:hAnsi="等线" w:eastAsia="等线" w:cs="Times New Roman"/>
                <w:color w:val="000000"/>
                <w:szCs w:val="21"/>
              </w:rPr>
            </w:pPr>
            <w:r>
              <w:rPr>
                <w:rFonts w:hint="eastAsia" w:ascii="等线" w:hAnsi="等线" w:eastAsia="等线" w:cs="Times New Roman"/>
                <w:color w:val="000000"/>
                <w:szCs w:val="21"/>
              </w:rPr>
              <w:t>5</w:t>
            </w:r>
          </w:p>
        </w:tc>
        <w:tc>
          <w:tcPr>
            <w:tcW w:w="1962" w:type="dxa"/>
          </w:tcPr>
          <w:p w14:paraId="2DBD7F20">
            <w:pPr>
              <w:rPr>
                <w:rFonts w:hint="eastAsia" w:ascii="等线" w:hAnsi="等线" w:eastAsia="等线" w:cs="Times New Roman"/>
                <w:color w:val="000000"/>
                <w:szCs w:val="21"/>
              </w:rPr>
            </w:pPr>
            <w:r>
              <w:rPr>
                <w:rFonts w:hint="eastAsia" w:ascii="等线" w:hAnsi="等线" w:eastAsia="等线" w:cs="Times New Roman"/>
                <w:color w:val="000000"/>
                <w:szCs w:val="21"/>
              </w:rPr>
              <w:t>翻译</w:t>
            </w:r>
          </w:p>
        </w:tc>
        <w:tc>
          <w:tcPr>
            <w:tcW w:w="2126" w:type="dxa"/>
          </w:tcPr>
          <w:p w14:paraId="122094B0">
            <w:pPr>
              <w:jc w:val="left"/>
              <w:rPr>
                <w:rFonts w:hint="eastAsia" w:ascii="等线" w:hAnsi="等线" w:eastAsia="等线" w:cs="Times New Roman"/>
                <w:color w:val="000000"/>
                <w:szCs w:val="21"/>
              </w:rPr>
            </w:pPr>
            <w:r>
              <w:rPr>
                <w:rFonts w:hint="eastAsia" w:ascii="等线" w:hAnsi="等线" w:eastAsia="等线" w:cs="Times New Roman"/>
                <w:color w:val="000000"/>
                <w:szCs w:val="21"/>
              </w:rPr>
              <w:t>课程目标1、2、3</w:t>
            </w:r>
          </w:p>
        </w:tc>
        <w:tc>
          <w:tcPr>
            <w:tcW w:w="1985" w:type="dxa"/>
          </w:tcPr>
          <w:p w14:paraId="3CFD908E">
            <w:pPr>
              <w:jc w:val="left"/>
              <w:rPr>
                <w:rFonts w:hint="eastAsia" w:ascii="等线" w:hAnsi="等线" w:eastAsia="等线" w:cs="Times New Roman"/>
                <w:color w:val="000000"/>
                <w:szCs w:val="21"/>
              </w:rPr>
            </w:pPr>
            <w:r>
              <w:rPr>
                <w:rFonts w:hint="eastAsia" w:ascii="等线" w:hAnsi="等线" w:eastAsia="等线" w:cs="Times New Roman"/>
                <w:color w:val="000000"/>
                <w:szCs w:val="21"/>
              </w:rPr>
              <w:t>3-1、7-1、8-2</w:t>
            </w:r>
          </w:p>
        </w:tc>
        <w:tc>
          <w:tcPr>
            <w:tcW w:w="992" w:type="dxa"/>
            <w:tcBorders>
              <w:right w:val="single" w:color="auto" w:sz="8" w:space="0"/>
            </w:tcBorders>
          </w:tcPr>
          <w:p w14:paraId="29D181DE">
            <w:pPr>
              <w:jc w:val="center"/>
              <w:rPr>
                <w:rFonts w:hint="eastAsia" w:ascii="等线" w:hAnsi="等线" w:eastAsia="等线" w:cs="Times New Roman"/>
                <w:color w:val="000000"/>
                <w:szCs w:val="21"/>
              </w:rPr>
            </w:pPr>
            <w:r>
              <w:rPr>
                <w:rFonts w:hint="eastAsia" w:ascii="等线" w:hAnsi="等线" w:eastAsia="等线" w:cs="Times New Roman"/>
                <w:color w:val="000000"/>
                <w:szCs w:val="21"/>
              </w:rPr>
              <w:t>6</w:t>
            </w:r>
          </w:p>
        </w:tc>
        <w:tc>
          <w:tcPr>
            <w:tcW w:w="759" w:type="dxa"/>
            <w:tcBorders>
              <w:right w:val="single" w:color="auto" w:sz="8" w:space="0"/>
            </w:tcBorders>
          </w:tcPr>
          <w:p w14:paraId="18F09FFE">
            <w:pPr>
              <w:jc w:val="center"/>
              <w:rPr>
                <w:rFonts w:hint="eastAsia" w:ascii="等线" w:hAnsi="等线" w:eastAsia="等线" w:cs="Times New Roman"/>
                <w:color w:val="000000"/>
                <w:szCs w:val="21"/>
              </w:rPr>
            </w:pPr>
          </w:p>
        </w:tc>
      </w:tr>
      <w:tr w14:paraId="2B3B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vAlign w:val="center"/>
          </w:tcPr>
          <w:p w14:paraId="5A05FC11">
            <w:pPr>
              <w:jc w:val="center"/>
              <w:rPr>
                <w:rFonts w:hint="eastAsia" w:ascii="等线" w:hAnsi="等线" w:eastAsia="等线" w:cs="Times New Roman"/>
                <w:color w:val="000000"/>
                <w:szCs w:val="21"/>
              </w:rPr>
            </w:pPr>
            <w:r>
              <w:rPr>
                <w:rFonts w:hint="eastAsia" w:ascii="等线" w:hAnsi="等线" w:eastAsia="等线" w:cs="Times New Roman"/>
                <w:color w:val="000000"/>
                <w:szCs w:val="21"/>
              </w:rPr>
              <w:t>6</w:t>
            </w:r>
          </w:p>
        </w:tc>
        <w:tc>
          <w:tcPr>
            <w:tcW w:w="1962" w:type="dxa"/>
          </w:tcPr>
          <w:p w14:paraId="5DCF2828">
            <w:pPr>
              <w:jc w:val="left"/>
              <w:rPr>
                <w:rFonts w:hint="eastAsia" w:ascii="等线" w:hAnsi="等线" w:eastAsia="等线" w:cs="Times New Roman"/>
                <w:color w:val="000000"/>
                <w:szCs w:val="21"/>
              </w:rPr>
            </w:pPr>
            <w:r>
              <w:rPr>
                <w:rFonts w:hint="eastAsia" w:ascii="等线" w:hAnsi="等线" w:eastAsia="等线" w:cs="Times New Roman"/>
                <w:color w:val="000000"/>
                <w:szCs w:val="21"/>
              </w:rPr>
              <w:t>网络平台自主学习</w:t>
            </w:r>
          </w:p>
        </w:tc>
        <w:tc>
          <w:tcPr>
            <w:tcW w:w="2126" w:type="dxa"/>
          </w:tcPr>
          <w:p w14:paraId="695832E3">
            <w:pPr>
              <w:jc w:val="left"/>
              <w:rPr>
                <w:rFonts w:hint="eastAsia" w:ascii="等线" w:hAnsi="等线" w:eastAsia="等线" w:cs="Times New Roman"/>
                <w:color w:val="000000"/>
                <w:szCs w:val="21"/>
              </w:rPr>
            </w:pPr>
            <w:r>
              <w:rPr>
                <w:rFonts w:hint="eastAsia" w:ascii="等线" w:hAnsi="等线" w:eastAsia="等线" w:cs="Times New Roman"/>
                <w:color w:val="000000"/>
                <w:szCs w:val="21"/>
              </w:rPr>
              <w:t>课程目标2、3</w:t>
            </w:r>
          </w:p>
        </w:tc>
        <w:tc>
          <w:tcPr>
            <w:tcW w:w="1985" w:type="dxa"/>
          </w:tcPr>
          <w:p w14:paraId="5F81DFDB">
            <w:pPr>
              <w:jc w:val="left"/>
              <w:rPr>
                <w:rFonts w:hint="eastAsia" w:ascii="等线" w:hAnsi="等线" w:eastAsia="等线" w:cs="Times New Roman"/>
                <w:color w:val="000000"/>
                <w:szCs w:val="21"/>
              </w:rPr>
            </w:pPr>
            <w:r>
              <w:rPr>
                <w:rFonts w:hint="eastAsia" w:ascii="等线" w:hAnsi="等线" w:eastAsia="等线" w:cs="Times New Roman"/>
                <w:color w:val="000000"/>
                <w:szCs w:val="21"/>
              </w:rPr>
              <w:t>3-1、7-1、8-2</w:t>
            </w:r>
          </w:p>
        </w:tc>
        <w:tc>
          <w:tcPr>
            <w:tcW w:w="992" w:type="dxa"/>
            <w:tcBorders>
              <w:right w:val="single" w:color="auto" w:sz="8" w:space="0"/>
            </w:tcBorders>
          </w:tcPr>
          <w:p w14:paraId="10864DE9">
            <w:pPr>
              <w:jc w:val="center"/>
              <w:rPr>
                <w:rFonts w:hint="eastAsia" w:ascii="等线" w:hAnsi="等线" w:eastAsia="等线" w:cs="Times New Roman"/>
                <w:color w:val="000000"/>
                <w:szCs w:val="21"/>
              </w:rPr>
            </w:pPr>
            <w:r>
              <w:rPr>
                <w:rFonts w:hint="eastAsia" w:ascii="等线" w:hAnsi="等线" w:eastAsia="等线" w:cs="Times New Roman"/>
                <w:color w:val="000000"/>
                <w:szCs w:val="21"/>
              </w:rPr>
              <w:t>5</w:t>
            </w:r>
          </w:p>
        </w:tc>
        <w:tc>
          <w:tcPr>
            <w:tcW w:w="759" w:type="dxa"/>
            <w:tcBorders>
              <w:right w:val="single" w:color="auto" w:sz="8" w:space="0"/>
            </w:tcBorders>
          </w:tcPr>
          <w:p w14:paraId="08A83856">
            <w:pPr>
              <w:jc w:val="center"/>
              <w:rPr>
                <w:rFonts w:hint="eastAsia" w:ascii="等线" w:hAnsi="等线" w:eastAsia="等线" w:cs="Times New Roman"/>
                <w:color w:val="000000"/>
                <w:szCs w:val="21"/>
              </w:rPr>
            </w:pPr>
          </w:p>
        </w:tc>
      </w:tr>
      <w:tr w14:paraId="2DE8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0" w:type="dxa"/>
            <w:gridSpan w:val="2"/>
            <w:tcBorders>
              <w:left w:val="single" w:color="auto" w:sz="8" w:space="0"/>
              <w:bottom w:val="single" w:color="auto" w:sz="8" w:space="0"/>
            </w:tcBorders>
            <w:vAlign w:val="center"/>
          </w:tcPr>
          <w:p w14:paraId="6CD7F994">
            <w:pPr>
              <w:spacing w:line="276" w:lineRule="auto"/>
              <w:jc w:val="center"/>
              <w:rPr>
                <w:rFonts w:hint="eastAsia" w:ascii="等线" w:hAnsi="等线" w:eastAsia="等线" w:cs="Times New Roman"/>
                <w:color w:val="000000"/>
                <w:szCs w:val="21"/>
              </w:rPr>
            </w:pPr>
            <w:r>
              <w:rPr>
                <w:rFonts w:hint="eastAsia" w:ascii="等线" w:hAnsi="等线" w:eastAsia="等线" w:cs="Times New Roman"/>
                <w:color w:val="000000"/>
                <w:szCs w:val="21"/>
              </w:rPr>
              <w:t>合    计</w:t>
            </w:r>
          </w:p>
        </w:tc>
        <w:tc>
          <w:tcPr>
            <w:tcW w:w="2126" w:type="dxa"/>
            <w:tcBorders>
              <w:bottom w:val="single" w:color="auto" w:sz="8" w:space="0"/>
            </w:tcBorders>
            <w:vAlign w:val="center"/>
          </w:tcPr>
          <w:p w14:paraId="553D557F">
            <w:pPr>
              <w:spacing w:line="276" w:lineRule="auto"/>
              <w:jc w:val="center"/>
              <w:rPr>
                <w:rFonts w:hint="eastAsia" w:ascii="等线" w:hAnsi="等线" w:eastAsia="等线" w:cs="Times New Roman"/>
                <w:color w:val="000000"/>
                <w:szCs w:val="21"/>
              </w:rPr>
            </w:pPr>
          </w:p>
        </w:tc>
        <w:tc>
          <w:tcPr>
            <w:tcW w:w="1985" w:type="dxa"/>
            <w:tcBorders>
              <w:bottom w:val="single" w:color="auto" w:sz="8" w:space="0"/>
            </w:tcBorders>
            <w:vAlign w:val="center"/>
          </w:tcPr>
          <w:p w14:paraId="028AF391">
            <w:pPr>
              <w:spacing w:line="276" w:lineRule="auto"/>
              <w:jc w:val="center"/>
              <w:rPr>
                <w:rFonts w:hint="eastAsia" w:ascii="等线" w:hAnsi="等线" w:eastAsia="等线" w:cs="Times New Roman"/>
                <w:color w:val="000000"/>
                <w:szCs w:val="21"/>
              </w:rPr>
            </w:pPr>
          </w:p>
        </w:tc>
        <w:tc>
          <w:tcPr>
            <w:tcW w:w="992" w:type="dxa"/>
            <w:tcBorders>
              <w:bottom w:val="single" w:color="auto" w:sz="8" w:space="0"/>
              <w:right w:val="single" w:color="auto" w:sz="8" w:space="0"/>
            </w:tcBorders>
            <w:vAlign w:val="center"/>
          </w:tcPr>
          <w:p w14:paraId="680A5744">
            <w:pPr>
              <w:spacing w:line="276" w:lineRule="auto"/>
              <w:jc w:val="center"/>
              <w:rPr>
                <w:rFonts w:hint="eastAsia" w:ascii="等线" w:hAnsi="等线" w:eastAsia="等线" w:cs="Times New Roman"/>
                <w:color w:val="000000"/>
                <w:szCs w:val="21"/>
              </w:rPr>
            </w:pPr>
            <w:r>
              <w:rPr>
                <w:rFonts w:ascii="等线" w:hAnsi="等线" w:eastAsia="等线" w:cs="Times New Roman"/>
                <w:color w:val="000000"/>
                <w:szCs w:val="21"/>
              </w:rPr>
              <w:t>4</w:t>
            </w:r>
            <w:r>
              <w:rPr>
                <w:rFonts w:hint="eastAsia" w:ascii="等线" w:hAnsi="等线" w:eastAsia="等线" w:cs="Times New Roman"/>
                <w:color w:val="000000"/>
                <w:szCs w:val="21"/>
              </w:rPr>
              <w:t>8</w:t>
            </w:r>
          </w:p>
        </w:tc>
        <w:tc>
          <w:tcPr>
            <w:tcW w:w="759" w:type="dxa"/>
            <w:tcBorders>
              <w:bottom w:val="single" w:color="auto" w:sz="8" w:space="0"/>
              <w:right w:val="single" w:color="auto" w:sz="8" w:space="0"/>
            </w:tcBorders>
          </w:tcPr>
          <w:p w14:paraId="1C5BCF63">
            <w:pPr>
              <w:spacing w:line="276" w:lineRule="auto"/>
              <w:jc w:val="center"/>
              <w:rPr>
                <w:rFonts w:hint="eastAsia" w:ascii="等线" w:hAnsi="等线" w:eastAsia="等线" w:cs="Times New Roman"/>
                <w:color w:val="000000"/>
                <w:szCs w:val="21"/>
              </w:rPr>
            </w:pPr>
          </w:p>
        </w:tc>
      </w:tr>
    </w:tbl>
    <w:p w14:paraId="467B2A73">
      <w:pPr>
        <w:spacing w:line="360" w:lineRule="auto"/>
        <w:ind w:firstLine="480" w:firstLineChars="200"/>
        <w:outlineLvl w:val="1"/>
        <w:rPr>
          <w:rFonts w:hint="eastAsia" w:ascii="等线" w:hAnsi="等线" w:eastAsia="等线" w:cs="Times New Roman"/>
          <w:b/>
          <w:color w:val="000000"/>
          <w:sz w:val="24"/>
          <w:szCs w:val="22"/>
        </w:rPr>
      </w:pPr>
      <w:bookmarkStart w:id="195" w:name="_Toc14701"/>
      <w:r>
        <w:rPr>
          <w:rFonts w:hint="eastAsia" w:ascii="等线" w:hAnsi="等线" w:eastAsia="等线" w:cs="Times New Roman"/>
          <w:b/>
          <w:color w:val="000000"/>
          <w:sz w:val="24"/>
          <w:szCs w:val="22"/>
        </w:rPr>
        <w:t>五、课程实施</w:t>
      </w:r>
      <w:bookmarkEnd w:id="195"/>
    </w:p>
    <w:p w14:paraId="6F516510">
      <w:pPr>
        <w:spacing w:line="360" w:lineRule="auto"/>
        <w:ind w:firstLine="420" w:firstLineChars="200"/>
        <w:outlineLvl w:val="2"/>
        <w:rPr>
          <w:rFonts w:hint="eastAsia" w:ascii="等线" w:hAnsi="等线" w:eastAsia="等线" w:cs="Times New Roman"/>
          <w:b/>
          <w:color w:val="000000"/>
          <w:szCs w:val="21"/>
        </w:rPr>
      </w:pPr>
      <w:bookmarkStart w:id="196" w:name="_Toc20408"/>
      <w:r>
        <w:rPr>
          <w:rFonts w:hint="eastAsia" w:ascii="等线" w:hAnsi="等线" w:eastAsia="等线" w:cs="Times New Roman"/>
          <w:b/>
          <w:color w:val="000000"/>
          <w:szCs w:val="21"/>
        </w:rPr>
        <w:t>（一）教学方法与教学手段</w:t>
      </w:r>
      <w:bookmarkEnd w:id="196"/>
    </w:p>
    <w:p w14:paraId="18F05E25">
      <w:pPr>
        <w:spacing w:line="400" w:lineRule="exact"/>
        <w:ind w:firstLine="420" w:firstLineChars="200"/>
        <w:rPr>
          <w:rFonts w:hint="eastAsia" w:ascii="宋体" w:hAnsi="宋体" w:eastAsia="等线" w:cs="宋体"/>
          <w:color w:val="000000"/>
          <w:kern w:val="0"/>
          <w:szCs w:val="21"/>
        </w:rPr>
      </w:pPr>
      <w:r>
        <w:rPr>
          <w:rFonts w:hint="eastAsia" w:ascii="宋体" w:hAnsi="宋体" w:eastAsia="等线" w:cs="宋体"/>
          <w:color w:val="000000"/>
          <w:kern w:val="0"/>
          <w:szCs w:val="21"/>
        </w:rPr>
        <w:t>1．依托网络学习平台，引导学生线上自主学习，培养学生自主学习能力，并进一步培养学生发现问题、分析问题、解决问题的能力。</w:t>
      </w:r>
    </w:p>
    <w:p w14:paraId="608D0F89">
      <w:pPr>
        <w:spacing w:line="400" w:lineRule="exact"/>
        <w:ind w:firstLine="420" w:firstLineChars="200"/>
        <w:rPr>
          <w:rFonts w:hint="eastAsia" w:ascii="宋体" w:hAnsi="宋体" w:eastAsia="等线" w:cs="宋体"/>
          <w:color w:val="000000"/>
          <w:kern w:val="0"/>
          <w:szCs w:val="21"/>
        </w:rPr>
      </w:pPr>
      <w:r>
        <w:rPr>
          <w:rFonts w:hint="eastAsia" w:ascii="宋体" w:hAnsi="宋体" w:eastAsia="等线" w:cs="宋体"/>
          <w:color w:val="000000"/>
          <w:kern w:val="0"/>
          <w:szCs w:val="21"/>
        </w:rPr>
        <w:t>2．线下课堂采用研究式、启发式、讨论式、案例式教学，通过学生自主探究，理性思考，充分讨论，形成结论，相互评价使基本英语技能得以内化并实现灵活应用。</w:t>
      </w:r>
    </w:p>
    <w:p w14:paraId="680167A1">
      <w:pPr>
        <w:spacing w:line="240" w:lineRule="exact"/>
        <w:ind w:firstLine="300" w:firstLineChars="200"/>
        <w:rPr>
          <w:rFonts w:hint="eastAsia" w:ascii="宋体" w:hAnsi="宋体" w:eastAsia="等线" w:cs="宋体"/>
          <w:color w:val="000000"/>
          <w:kern w:val="0"/>
          <w:sz w:val="15"/>
          <w:szCs w:val="15"/>
        </w:rPr>
      </w:pPr>
    </w:p>
    <w:p w14:paraId="7264AF8B">
      <w:pPr>
        <w:spacing w:line="360" w:lineRule="auto"/>
        <w:ind w:firstLine="420" w:firstLineChars="200"/>
        <w:outlineLvl w:val="2"/>
        <w:rPr>
          <w:rFonts w:hint="eastAsia" w:ascii="等线" w:hAnsi="等线" w:eastAsia="等线" w:cs="Times New Roman"/>
          <w:b/>
          <w:color w:val="000000"/>
          <w:szCs w:val="21"/>
        </w:rPr>
      </w:pPr>
      <w:bookmarkStart w:id="197" w:name="_Toc16546"/>
      <w:r>
        <w:rPr>
          <w:rFonts w:hint="eastAsia" w:ascii="等线" w:hAnsi="等线" w:eastAsia="等线" w:cs="Times New Roman"/>
          <w:b/>
          <w:color w:val="000000"/>
          <w:szCs w:val="21"/>
        </w:rPr>
        <w:t>（二）课程实施与保障</w:t>
      </w:r>
      <w:bookmarkEnd w:id="197"/>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842"/>
        <w:gridCol w:w="5711"/>
      </w:tblGrid>
      <w:tr w14:paraId="08AF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6" w:type="dxa"/>
            <w:gridSpan w:val="3"/>
            <w:tcBorders>
              <w:top w:val="single" w:color="auto" w:sz="8" w:space="0"/>
              <w:left w:val="single" w:color="auto" w:sz="8" w:space="0"/>
              <w:right w:val="single" w:color="auto" w:sz="8" w:space="0"/>
            </w:tcBorders>
            <w:tcMar>
              <w:left w:w="28" w:type="dxa"/>
              <w:right w:w="28" w:type="dxa"/>
            </w:tcMar>
            <w:vAlign w:val="center"/>
          </w:tcPr>
          <w:p w14:paraId="40103BBD">
            <w:pPr>
              <w:spacing w:line="360" w:lineRule="auto"/>
              <w:jc w:val="center"/>
              <w:rPr>
                <w:rFonts w:hint="eastAsia" w:ascii="等线" w:hAnsi="等线" w:eastAsia="等线" w:cs="Times New Roman"/>
                <w:color w:val="000000"/>
                <w:szCs w:val="21"/>
              </w:rPr>
            </w:pPr>
            <w:r>
              <w:rPr>
                <w:rFonts w:hint="eastAsia" w:ascii="宋体" w:hAnsi="宋体" w:eastAsia="等线" w:cs="宋体"/>
                <w:b/>
                <w:bCs/>
                <w:color w:val="000000"/>
                <w:szCs w:val="21"/>
              </w:rPr>
              <w:t>主要教学环节的质量标准</w:t>
            </w:r>
          </w:p>
        </w:tc>
      </w:tr>
      <w:tr w14:paraId="5C7B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05FD91A2">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1</w:t>
            </w:r>
          </w:p>
        </w:tc>
        <w:tc>
          <w:tcPr>
            <w:tcW w:w="1842" w:type="dxa"/>
            <w:tcMar>
              <w:left w:w="28" w:type="dxa"/>
              <w:right w:w="28" w:type="dxa"/>
            </w:tcMar>
            <w:vAlign w:val="center"/>
          </w:tcPr>
          <w:p w14:paraId="0D1904ED">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备课</w:t>
            </w:r>
          </w:p>
        </w:tc>
        <w:tc>
          <w:tcPr>
            <w:tcW w:w="5711" w:type="dxa"/>
            <w:tcBorders>
              <w:right w:val="single" w:color="auto" w:sz="8" w:space="0"/>
            </w:tcBorders>
            <w:vAlign w:val="center"/>
          </w:tcPr>
          <w:p w14:paraId="6711A0D4">
            <w:pPr>
              <w:spacing w:line="400" w:lineRule="exact"/>
              <w:rPr>
                <w:rFonts w:hint="eastAsia" w:ascii="宋体" w:hAnsi="宋体" w:eastAsia="宋体" w:cs="宋体"/>
                <w:color w:val="000000"/>
                <w:szCs w:val="21"/>
              </w:rPr>
            </w:pPr>
            <w:r>
              <w:rPr>
                <w:rFonts w:hint="eastAsia" w:ascii="宋体" w:hAnsi="宋体" w:eastAsia="宋体" w:cs="宋体"/>
                <w:color w:val="000000"/>
                <w:szCs w:val="21"/>
              </w:rPr>
              <w:t>1.掌握本课程教学大纲内容，严格按照教学大纲要求进行本课程教学内容的组织；</w:t>
            </w:r>
          </w:p>
          <w:p w14:paraId="4DF4AFDA">
            <w:pPr>
              <w:spacing w:line="400" w:lineRule="exact"/>
              <w:rPr>
                <w:rFonts w:hint="eastAsia" w:ascii="宋体" w:hAnsi="宋体" w:eastAsia="宋体" w:cs="宋体"/>
                <w:color w:val="000000"/>
                <w:szCs w:val="21"/>
              </w:rPr>
            </w:pPr>
            <w:r>
              <w:rPr>
                <w:rFonts w:hint="eastAsia" w:ascii="宋体" w:hAnsi="宋体" w:eastAsia="宋体" w:cs="宋体"/>
                <w:color w:val="000000"/>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31C3880A">
            <w:pPr>
              <w:spacing w:line="400" w:lineRule="exact"/>
              <w:rPr>
                <w:rFonts w:hint="eastAsia" w:ascii="宋体" w:hAnsi="宋体" w:eastAsia="宋体" w:cs="宋体"/>
                <w:color w:val="000000"/>
                <w:szCs w:val="21"/>
              </w:rPr>
            </w:pPr>
            <w:r>
              <w:rPr>
                <w:rFonts w:ascii="宋体" w:hAnsi="宋体" w:eastAsia="宋体" w:cs="宋体"/>
                <w:color w:val="000000"/>
                <w:szCs w:val="21"/>
              </w:rPr>
              <w:t>3</w:t>
            </w:r>
            <w:r>
              <w:rPr>
                <w:rFonts w:hint="eastAsia" w:ascii="宋体" w:hAnsi="宋体" w:eastAsia="宋体" w:cs="宋体"/>
                <w:color w:val="000000"/>
                <w:szCs w:val="21"/>
              </w:rPr>
              <w:t>.确定各章节课程内容的教学方法，构思授课思路、技巧和方法；</w:t>
            </w:r>
          </w:p>
          <w:p w14:paraId="79411A2B">
            <w:pPr>
              <w:spacing w:line="400" w:lineRule="exact"/>
              <w:rPr>
                <w:rFonts w:hint="eastAsia" w:ascii="宋体" w:hAnsi="宋体" w:eastAsia="宋体" w:cs="宋体"/>
                <w:color w:val="000000"/>
                <w:szCs w:val="21"/>
              </w:rPr>
            </w:pPr>
            <w:r>
              <w:rPr>
                <w:rFonts w:ascii="宋体" w:hAnsi="宋体" w:eastAsia="宋体" w:cs="宋体"/>
                <w:color w:val="000000"/>
                <w:szCs w:val="21"/>
              </w:rPr>
              <w:t>4</w:t>
            </w:r>
            <w:r>
              <w:rPr>
                <w:rFonts w:hint="eastAsia" w:ascii="宋体" w:hAnsi="宋体" w:eastAsia="宋体" w:cs="宋体"/>
                <w:color w:val="000000"/>
                <w:szCs w:val="21"/>
              </w:rPr>
              <w:t>.结合课程特点，制作课件，运用多媒体教学手段讲授部分教学内容。</w:t>
            </w:r>
          </w:p>
        </w:tc>
      </w:tr>
      <w:tr w14:paraId="77E0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20F6873A">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2</w:t>
            </w:r>
          </w:p>
        </w:tc>
        <w:tc>
          <w:tcPr>
            <w:tcW w:w="1842" w:type="dxa"/>
            <w:tcMar>
              <w:left w:w="28" w:type="dxa"/>
              <w:right w:w="28" w:type="dxa"/>
            </w:tcMar>
            <w:vAlign w:val="center"/>
          </w:tcPr>
          <w:p w14:paraId="19301DE8">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讲授</w:t>
            </w:r>
          </w:p>
        </w:tc>
        <w:tc>
          <w:tcPr>
            <w:tcW w:w="5711" w:type="dxa"/>
            <w:tcBorders>
              <w:right w:val="single" w:color="auto" w:sz="8" w:space="0"/>
            </w:tcBorders>
            <w:vAlign w:val="center"/>
          </w:tcPr>
          <w:p w14:paraId="2FF761E2">
            <w:pPr>
              <w:spacing w:line="400" w:lineRule="exact"/>
              <w:rPr>
                <w:rFonts w:hint="eastAsia" w:ascii="宋体" w:hAnsi="宋体" w:eastAsia="宋体" w:cs="宋体"/>
                <w:color w:val="000000"/>
                <w:szCs w:val="21"/>
              </w:rPr>
            </w:pPr>
            <w:r>
              <w:rPr>
                <w:rFonts w:hint="eastAsia" w:ascii="宋体" w:hAnsi="宋体" w:eastAsia="宋体" w:cs="宋体"/>
                <w:color w:val="000000"/>
                <w:szCs w:val="21"/>
              </w:rPr>
              <w:t>1.要点准确，推理正确，条理清晰，重点突出，理论联系实际，熟练地解答和讲解例题；</w:t>
            </w:r>
          </w:p>
          <w:p w14:paraId="6CE102C8">
            <w:pPr>
              <w:spacing w:line="400" w:lineRule="exact"/>
              <w:rPr>
                <w:rFonts w:hint="eastAsia" w:ascii="宋体" w:hAnsi="宋体" w:eastAsia="宋体" w:cs="宋体"/>
                <w:color w:val="000000"/>
                <w:szCs w:val="21"/>
              </w:rPr>
            </w:pPr>
            <w:r>
              <w:rPr>
                <w:rFonts w:hint="eastAsia" w:ascii="宋体" w:hAnsi="宋体" w:eastAsia="宋体" w:cs="宋体"/>
                <w:color w:val="000000"/>
                <w:szCs w:val="21"/>
              </w:rPr>
              <w:t>2.采用多种教学方式（如启发式教学、案例分析教学、讨论式教学、多媒体示范教学等），注重培养学生的基本语言技能；</w:t>
            </w:r>
          </w:p>
          <w:p w14:paraId="19BFFDB8">
            <w:pPr>
              <w:spacing w:line="400" w:lineRule="exact"/>
              <w:rPr>
                <w:rFonts w:hint="eastAsia" w:ascii="宋体" w:hAnsi="宋体" w:eastAsia="宋体" w:cs="宋体"/>
                <w:color w:val="000000"/>
                <w:szCs w:val="21"/>
              </w:rPr>
            </w:pPr>
            <w:r>
              <w:rPr>
                <w:rFonts w:hint="eastAsia" w:ascii="宋体" w:hAnsi="宋体" w:eastAsia="宋体" w:cs="宋体"/>
                <w:color w:val="000000"/>
                <w:szCs w:val="21"/>
              </w:rPr>
              <w:t>3.多媒体教学，注重培养学生英语语言综合应用能力；</w:t>
            </w:r>
          </w:p>
          <w:p w14:paraId="3E5A4883">
            <w:pPr>
              <w:spacing w:line="400" w:lineRule="exact"/>
              <w:rPr>
                <w:rFonts w:hint="eastAsia" w:ascii="宋体" w:hAnsi="宋体" w:eastAsia="宋体" w:cs="Times New Roman"/>
                <w:color w:val="000000"/>
                <w:szCs w:val="21"/>
              </w:rPr>
            </w:pPr>
            <w:r>
              <w:rPr>
                <w:rFonts w:hint="eastAsia" w:ascii="宋体" w:hAnsi="宋体" w:eastAsia="宋体" w:cs="宋体"/>
                <w:color w:val="000000"/>
                <w:szCs w:val="21"/>
              </w:rPr>
              <w:t>4.表达方式尽量便于学生理解、接受，力求形象生动，使学生在掌握知识的过程中，保持较为浓厚的学习兴趣。</w:t>
            </w:r>
          </w:p>
        </w:tc>
      </w:tr>
      <w:tr w14:paraId="72CB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75A866D0">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3</w:t>
            </w:r>
          </w:p>
        </w:tc>
        <w:tc>
          <w:tcPr>
            <w:tcW w:w="1842" w:type="dxa"/>
            <w:tcMar>
              <w:left w:w="28" w:type="dxa"/>
              <w:right w:w="28" w:type="dxa"/>
            </w:tcMar>
            <w:vAlign w:val="center"/>
          </w:tcPr>
          <w:p w14:paraId="56C6E636">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作业布置与批改</w:t>
            </w:r>
          </w:p>
        </w:tc>
        <w:tc>
          <w:tcPr>
            <w:tcW w:w="5711" w:type="dxa"/>
            <w:tcBorders>
              <w:right w:val="single" w:color="auto" w:sz="8" w:space="0"/>
            </w:tcBorders>
            <w:vAlign w:val="center"/>
          </w:tcPr>
          <w:p w14:paraId="1C54F8DD">
            <w:pPr>
              <w:spacing w:line="400" w:lineRule="exact"/>
              <w:rPr>
                <w:rFonts w:hint="eastAsia" w:ascii="宋体" w:hAnsi="宋体" w:eastAsia="宋体" w:cs="宋体"/>
                <w:color w:val="000000"/>
                <w:szCs w:val="21"/>
              </w:rPr>
            </w:pPr>
            <w:r>
              <w:rPr>
                <w:rFonts w:hint="eastAsia" w:ascii="宋体" w:hAnsi="宋体" w:eastAsia="宋体" w:cs="宋体"/>
                <w:color w:val="000000"/>
                <w:szCs w:val="21"/>
              </w:rPr>
              <w:t>学生完成一定数量的作业是本课程教学的基本要求，是实现人才培养目标的必要手段。</w:t>
            </w:r>
          </w:p>
          <w:p w14:paraId="402D733B">
            <w:pPr>
              <w:spacing w:line="400" w:lineRule="exact"/>
              <w:rPr>
                <w:rFonts w:hint="eastAsia" w:ascii="宋体" w:hAnsi="宋体" w:eastAsia="宋体" w:cs="宋体"/>
                <w:color w:val="000000"/>
                <w:szCs w:val="21"/>
              </w:rPr>
            </w:pPr>
            <w:r>
              <w:rPr>
                <w:rFonts w:hint="eastAsia" w:ascii="宋体" w:hAnsi="宋体" w:eastAsia="宋体" w:cs="宋体"/>
                <w:color w:val="000000"/>
                <w:szCs w:val="21"/>
              </w:rPr>
              <w:t>学生完成的作业必须达到以下基本要求：</w:t>
            </w:r>
          </w:p>
          <w:p w14:paraId="1F5DA0EE">
            <w:pPr>
              <w:spacing w:line="400" w:lineRule="exact"/>
              <w:rPr>
                <w:rFonts w:hint="eastAsia" w:ascii="宋体" w:hAnsi="宋体" w:eastAsia="宋体" w:cs="宋体"/>
                <w:color w:val="000000"/>
                <w:szCs w:val="21"/>
              </w:rPr>
            </w:pPr>
            <w:r>
              <w:rPr>
                <w:rFonts w:hint="eastAsia" w:ascii="宋体" w:hAnsi="宋体" w:eastAsia="宋体" w:cs="宋体"/>
                <w:color w:val="000000"/>
                <w:szCs w:val="21"/>
              </w:rPr>
              <w:t>1.按时按量完成作业，不缺交，不抄袭；</w:t>
            </w:r>
          </w:p>
          <w:p w14:paraId="0B3FE7D9">
            <w:pPr>
              <w:spacing w:line="400" w:lineRule="exact"/>
              <w:rPr>
                <w:rFonts w:hint="eastAsia" w:ascii="宋体" w:hAnsi="宋体" w:eastAsia="宋体" w:cs="宋体"/>
                <w:color w:val="000000"/>
                <w:szCs w:val="21"/>
              </w:rPr>
            </w:pPr>
            <w:r>
              <w:rPr>
                <w:rFonts w:hint="eastAsia" w:ascii="宋体" w:hAnsi="宋体" w:eastAsia="宋体" w:cs="宋体"/>
                <w:color w:val="000000"/>
                <w:szCs w:val="21"/>
              </w:rPr>
              <w:t>2.</w:t>
            </w:r>
            <w:r>
              <w:rPr>
                <w:rFonts w:hint="eastAsia" w:ascii="宋体" w:hAnsi="宋体" w:eastAsia="宋体" w:cs="宋体"/>
                <w:color w:val="000000"/>
                <w:kern w:val="0"/>
                <w:szCs w:val="21"/>
              </w:rPr>
              <w:t>网络教学平台具有查重功能并能及时反馈</w:t>
            </w:r>
            <w:r>
              <w:rPr>
                <w:rFonts w:hint="eastAsia" w:ascii="宋体" w:hAnsi="宋体" w:eastAsia="宋体" w:cs="宋体"/>
                <w:color w:val="000000"/>
                <w:szCs w:val="21"/>
              </w:rPr>
              <w:t>；</w:t>
            </w:r>
          </w:p>
          <w:p w14:paraId="0B841D8E">
            <w:pPr>
              <w:spacing w:line="400" w:lineRule="exact"/>
              <w:rPr>
                <w:rFonts w:hint="eastAsia" w:ascii="宋体" w:hAnsi="宋体" w:eastAsia="宋体" w:cs="宋体"/>
                <w:color w:val="000000"/>
                <w:szCs w:val="21"/>
              </w:rPr>
            </w:pPr>
            <w:r>
              <w:rPr>
                <w:rFonts w:hint="eastAsia" w:ascii="宋体" w:hAnsi="宋体" w:eastAsia="宋体" w:cs="宋体"/>
                <w:color w:val="000000"/>
                <w:szCs w:val="21"/>
              </w:rPr>
              <w:t>3.客观题保证答题时间，主观题要求原创性。</w:t>
            </w:r>
          </w:p>
          <w:p w14:paraId="31E9529E">
            <w:pPr>
              <w:spacing w:line="400" w:lineRule="exact"/>
              <w:rPr>
                <w:rFonts w:hint="eastAsia" w:ascii="宋体" w:hAnsi="宋体" w:eastAsia="宋体" w:cs="宋体"/>
                <w:color w:val="000000"/>
                <w:szCs w:val="21"/>
              </w:rPr>
            </w:pPr>
            <w:r>
              <w:rPr>
                <w:rFonts w:hint="eastAsia" w:ascii="宋体" w:hAnsi="宋体" w:eastAsia="宋体" w:cs="宋体"/>
                <w:color w:val="000000"/>
                <w:szCs w:val="21"/>
              </w:rPr>
              <w:t>教师批改或讲评作业要求如下：</w:t>
            </w:r>
          </w:p>
          <w:p w14:paraId="5B3B63E1">
            <w:pPr>
              <w:spacing w:line="400" w:lineRule="exact"/>
              <w:rPr>
                <w:rFonts w:hint="eastAsia" w:ascii="宋体" w:hAnsi="宋体" w:eastAsia="宋体" w:cs="宋体"/>
                <w:color w:val="000000"/>
                <w:szCs w:val="21"/>
              </w:rPr>
            </w:pPr>
            <w:r>
              <w:rPr>
                <w:rFonts w:hint="eastAsia" w:ascii="宋体" w:hAnsi="宋体" w:eastAsia="宋体" w:cs="宋体"/>
                <w:color w:val="000000"/>
                <w:szCs w:val="21"/>
              </w:rPr>
              <w:t>1.学生的作业要全批全改，按时批改、反馈和讲评；</w:t>
            </w:r>
          </w:p>
          <w:p w14:paraId="7B28E5EA">
            <w:pPr>
              <w:spacing w:line="400" w:lineRule="exact"/>
              <w:rPr>
                <w:rFonts w:hint="eastAsia" w:ascii="宋体" w:hAnsi="宋体" w:eastAsia="宋体" w:cs="宋体"/>
                <w:color w:val="000000"/>
                <w:szCs w:val="21"/>
              </w:rPr>
            </w:pPr>
            <w:r>
              <w:rPr>
                <w:rFonts w:hint="eastAsia" w:ascii="宋体" w:hAnsi="宋体" w:eastAsia="宋体" w:cs="宋体"/>
                <w:color w:val="000000"/>
                <w:szCs w:val="21"/>
              </w:rPr>
              <w:t>2.教师批改或讲评作业要认真、细致，每次批改或讲评作业后，按百分制评定成绩，并写明日期；</w:t>
            </w:r>
          </w:p>
          <w:p w14:paraId="1F5804AC">
            <w:pPr>
              <w:spacing w:line="400" w:lineRule="exact"/>
              <w:rPr>
                <w:rFonts w:hint="eastAsia" w:ascii="宋体" w:hAnsi="宋体" w:eastAsia="宋体" w:cs="宋体"/>
                <w:color w:val="000000"/>
                <w:szCs w:val="21"/>
              </w:rPr>
            </w:pPr>
            <w:r>
              <w:rPr>
                <w:rFonts w:hint="eastAsia" w:ascii="宋体" w:hAnsi="宋体" w:eastAsia="宋体" w:cs="宋体"/>
                <w:color w:val="000000"/>
                <w:szCs w:val="21"/>
              </w:rPr>
              <w:t>3.期末统计每次作业平均成绩，记入平时成绩。</w:t>
            </w:r>
          </w:p>
        </w:tc>
      </w:tr>
      <w:tr w14:paraId="76E4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4F1F1BAE">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w:t>
            </w:r>
          </w:p>
        </w:tc>
        <w:tc>
          <w:tcPr>
            <w:tcW w:w="1842" w:type="dxa"/>
            <w:tcMar>
              <w:left w:w="28" w:type="dxa"/>
              <w:right w:w="28" w:type="dxa"/>
            </w:tcMar>
            <w:vAlign w:val="center"/>
          </w:tcPr>
          <w:p w14:paraId="5EAC77D3">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课外答疑</w:t>
            </w:r>
          </w:p>
        </w:tc>
        <w:tc>
          <w:tcPr>
            <w:tcW w:w="5711" w:type="dxa"/>
            <w:tcBorders>
              <w:right w:val="single" w:color="auto" w:sz="8" w:space="0"/>
            </w:tcBorders>
            <w:vAlign w:val="center"/>
          </w:tcPr>
          <w:p w14:paraId="66FB140C">
            <w:pPr>
              <w:spacing w:line="400" w:lineRule="exact"/>
              <w:rPr>
                <w:rFonts w:hint="eastAsia" w:ascii="宋体" w:hAnsi="宋体" w:eastAsia="宋体" w:cs="宋体"/>
                <w:color w:val="000000"/>
                <w:szCs w:val="21"/>
              </w:rPr>
            </w:pPr>
            <w:r>
              <w:rPr>
                <w:rFonts w:hint="eastAsia" w:ascii="宋体" w:hAnsi="宋体" w:eastAsia="宋体" w:cs="宋体"/>
                <w:color w:val="000000"/>
                <w:szCs w:val="21"/>
              </w:rPr>
              <w:t>为全面了解学生的学习情况，帮助学生进一步理解和消化课堂上所学知识、改进学习方法和思维方式，培养其独立思考问题的能力，建议任课教师合理安排时间进行课外答疑与辅导工作。</w:t>
            </w:r>
          </w:p>
        </w:tc>
      </w:tr>
      <w:tr w14:paraId="4552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20B681A4">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5</w:t>
            </w:r>
          </w:p>
        </w:tc>
        <w:tc>
          <w:tcPr>
            <w:tcW w:w="1842" w:type="dxa"/>
            <w:tcMar>
              <w:left w:w="28" w:type="dxa"/>
              <w:right w:w="28" w:type="dxa"/>
            </w:tcMar>
            <w:vAlign w:val="center"/>
          </w:tcPr>
          <w:p w14:paraId="40DF192A">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成绩考核</w:t>
            </w:r>
          </w:p>
        </w:tc>
        <w:tc>
          <w:tcPr>
            <w:tcW w:w="5711" w:type="dxa"/>
            <w:tcBorders>
              <w:right w:val="single" w:color="auto" w:sz="8" w:space="0"/>
            </w:tcBorders>
            <w:vAlign w:val="center"/>
          </w:tcPr>
          <w:p w14:paraId="150BBFF6">
            <w:pPr>
              <w:autoSpaceDE w:val="0"/>
              <w:autoSpaceDN w:val="0"/>
              <w:adjustRightInd w:val="0"/>
              <w:snapToGrid w:val="0"/>
              <w:spacing w:line="40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本课程考核的方式：“N</w:t>
            </w:r>
            <w:r>
              <w:rPr>
                <w:rFonts w:ascii="宋体" w:hAnsi="宋体" w:eastAsia="宋体" w:cs="宋体"/>
                <w:color w:val="000000"/>
                <w:kern w:val="0"/>
                <w:szCs w:val="21"/>
              </w:rPr>
              <w:t>+1</w:t>
            </w:r>
            <w:r>
              <w:rPr>
                <w:rFonts w:hint="eastAsia" w:ascii="宋体" w:hAnsi="宋体" w:eastAsia="宋体" w:cs="宋体"/>
                <w:color w:val="000000"/>
                <w:kern w:val="0"/>
                <w:szCs w:val="21"/>
              </w:rPr>
              <w:t>”课程考核。网络平台考试，教考分离，题库抽题，统一监考，集中阅卷。总评成绩的评定见课程评分方案。有下列情况之一者，总评成绩原则上评定为不及格：</w:t>
            </w:r>
          </w:p>
          <w:p w14:paraId="4D8BB4E7">
            <w:pPr>
              <w:autoSpaceDE w:val="0"/>
              <w:autoSpaceDN w:val="0"/>
              <w:adjustRightInd w:val="0"/>
              <w:snapToGrid w:val="0"/>
              <w:spacing w:line="400" w:lineRule="exact"/>
              <w:jc w:val="left"/>
              <w:rPr>
                <w:rFonts w:hint="eastAsia" w:ascii="宋体" w:hAnsi="宋体" w:eastAsia="宋体" w:cs="宋体"/>
                <w:color w:val="000000"/>
                <w:kern w:val="0"/>
                <w:szCs w:val="21"/>
              </w:rPr>
            </w:pPr>
            <w:r>
              <w:rPr>
                <w:rFonts w:ascii="宋体" w:hAnsi="宋体" w:eastAsia="宋体" w:cs="宋体"/>
                <w:color w:val="000000"/>
                <w:kern w:val="0"/>
                <w:szCs w:val="21"/>
              </w:rPr>
              <w:t xml:space="preserve">1. </w:t>
            </w:r>
            <w:r>
              <w:rPr>
                <w:rFonts w:hint="eastAsia" w:ascii="宋体" w:hAnsi="宋体" w:eastAsia="宋体" w:cs="宋体"/>
                <w:color w:val="000000"/>
                <w:kern w:val="0"/>
                <w:szCs w:val="21"/>
              </w:rPr>
              <w:t>缺课次数达本学期总授课学时的1/3以上者；</w:t>
            </w:r>
          </w:p>
          <w:p w14:paraId="24BD6FF2">
            <w:pPr>
              <w:autoSpaceDE w:val="0"/>
              <w:autoSpaceDN w:val="0"/>
              <w:adjustRightInd w:val="0"/>
              <w:snapToGrid w:val="0"/>
              <w:spacing w:line="40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2</w:t>
            </w:r>
            <w:r>
              <w:rPr>
                <w:rFonts w:ascii="宋体" w:hAnsi="宋体" w:eastAsia="宋体" w:cs="宋体"/>
                <w:color w:val="000000"/>
                <w:kern w:val="0"/>
                <w:szCs w:val="21"/>
              </w:rPr>
              <w:t xml:space="preserve">. </w:t>
            </w:r>
            <w:r>
              <w:rPr>
                <w:rFonts w:hint="eastAsia" w:ascii="宋体" w:hAnsi="宋体" w:eastAsia="宋体" w:cs="宋体"/>
                <w:color w:val="000000"/>
                <w:kern w:val="0"/>
                <w:szCs w:val="21"/>
              </w:rPr>
              <w:t>缺交作业次数达1/3以上者；</w:t>
            </w:r>
          </w:p>
          <w:p w14:paraId="1A61DD98">
            <w:pPr>
              <w:autoSpaceDE w:val="0"/>
              <w:autoSpaceDN w:val="0"/>
              <w:adjustRightInd w:val="0"/>
              <w:snapToGrid w:val="0"/>
              <w:spacing w:line="40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3</w:t>
            </w:r>
            <w:r>
              <w:rPr>
                <w:rFonts w:ascii="宋体" w:hAnsi="宋体" w:eastAsia="宋体" w:cs="宋体"/>
                <w:color w:val="000000"/>
                <w:kern w:val="0"/>
                <w:szCs w:val="21"/>
              </w:rPr>
              <w:t>.</w:t>
            </w:r>
            <w:r>
              <w:rPr>
                <w:rFonts w:hint="eastAsia" w:ascii="宋体" w:hAnsi="宋体" w:eastAsia="宋体" w:cs="宋体"/>
                <w:color w:val="000000"/>
                <w:kern w:val="0"/>
                <w:szCs w:val="21"/>
              </w:rPr>
              <w:t>机考成绩小于45分；专转本、对口单招、3</w:t>
            </w:r>
            <w:r>
              <w:rPr>
                <w:rFonts w:ascii="宋体" w:hAnsi="宋体" w:eastAsia="宋体" w:cs="宋体"/>
                <w:color w:val="000000"/>
                <w:kern w:val="0"/>
                <w:szCs w:val="21"/>
              </w:rPr>
              <w:t>+4</w:t>
            </w:r>
            <w:r>
              <w:rPr>
                <w:rFonts w:hint="eastAsia" w:ascii="宋体" w:hAnsi="宋体" w:eastAsia="宋体" w:cs="宋体"/>
                <w:color w:val="000000"/>
                <w:kern w:val="0"/>
                <w:szCs w:val="21"/>
              </w:rPr>
              <w:t>、3</w:t>
            </w:r>
            <w:r>
              <w:rPr>
                <w:rFonts w:ascii="宋体" w:hAnsi="宋体" w:eastAsia="宋体" w:cs="宋体"/>
                <w:color w:val="000000"/>
                <w:kern w:val="0"/>
                <w:szCs w:val="21"/>
              </w:rPr>
              <w:t>+2</w:t>
            </w:r>
            <w:r>
              <w:rPr>
                <w:rFonts w:hint="eastAsia" w:ascii="宋体" w:hAnsi="宋体" w:eastAsia="宋体" w:cs="宋体"/>
                <w:color w:val="000000"/>
                <w:kern w:val="0"/>
                <w:szCs w:val="21"/>
              </w:rPr>
              <w:t>、4</w:t>
            </w:r>
            <w:r>
              <w:rPr>
                <w:rFonts w:ascii="宋体" w:hAnsi="宋体" w:eastAsia="宋体" w:cs="宋体"/>
                <w:color w:val="000000"/>
                <w:kern w:val="0"/>
                <w:szCs w:val="21"/>
              </w:rPr>
              <w:t>+0</w:t>
            </w:r>
            <w:r>
              <w:rPr>
                <w:rFonts w:hint="eastAsia" w:ascii="宋体" w:hAnsi="宋体" w:eastAsia="宋体" w:cs="宋体"/>
                <w:color w:val="000000"/>
                <w:kern w:val="0"/>
                <w:szCs w:val="21"/>
              </w:rPr>
              <w:t>、5</w:t>
            </w:r>
            <w:r>
              <w:rPr>
                <w:rFonts w:ascii="宋体" w:hAnsi="宋体" w:eastAsia="宋体" w:cs="宋体"/>
                <w:color w:val="000000"/>
                <w:kern w:val="0"/>
                <w:szCs w:val="21"/>
              </w:rPr>
              <w:t>+2</w:t>
            </w:r>
            <w:r>
              <w:rPr>
                <w:rFonts w:hint="eastAsia" w:ascii="宋体" w:hAnsi="宋体" w:eastAsia="宋体" w:cs="宋体"/>
                <w:color w:val="000000"/>
                <w:kern w:val="0"/>
                <w:szCs w:val="21"/>
              </w:rPr>
              <w:t>类班级、艺术类班级小于4</w:t>
            </w:r>
            <w:r>
              <w:rPr>
                <w:rFonts w:ascii="宋体" w:hAnsi="宋体" w:eastAsia="宋体" w:cs="宋体"/>
                <w:color w:val="000000"/>
                <w:kern w:val="0"/>
                <w:szCs w:val="21"/>
              </w:rPr>
              <w:t>0</w:t>
            </w:r>
            <w:r>
              <w:rPr>
                <w:rFonts w:hint="eastAsia" w:ascii="宋体" w:hAnsi="宋体" w:eastAsia="宋体" w:cs="宋体"/>
                <w:color w:val="000000"/>
                <w:kern w:val="0"/>
                <w:szCs w:val="21"/>
              </w:rPr>
              <w:t>分。</w:t>
            </w:r>
          </w:p>
        </w:tc>
      </w:tr>
      <w:tr w14:paraId="77B3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vAlign w:val="center"/>
          </w:tcPr>
          <w:p w14:paraId="1B19D81B">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6</w:t>
            </w:r>
          </w:p>
        </w:tc>
        <w:tc>
          <w:tcPr>
            <w:tcW w:w="1842" w:type="dxa"/>
            <w:tcMar>
              <w:left w:w="28" w:type="dxa"/>
              <w:right w:w="28" w:type="dxa"/>
            </w:tcMar>
            <w:vAlign w:val="center"/>
          </w:tcPr>
          <w:p w14:paraId="18689AE0">
            <w:pPr>
              <w:spacing w:line="360"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第二课堂活动</w:t>
            </w:r>
          </w:p>
        </w:tc>
        <w:tc>
          <w:tcPr>
            <w:tcW w:w="5711" w:type="dxa"/>
            <w:tcBorders>
              <w:right w:val="single" w:color="auto" w:sz="8" w:space="0"/>
            </w:tcBorders>
            <w:vAlign w:val="center"/>
          </w:tcPr>
          <w:p w14:paraId="52832C52">
            <w:pPr>
              <w:spacing w:line="400" w:lineRule="exact"/>
              <w:rPr>
                <w:rFonts w:hint="eastAsia" w:ascii="宋体" w:hAnsi="宋体" w:eastAsia="宋体" w:cs="宋体"/>
                <w:color w:val="000000"/>
                <w:szCs w:val="21"/>
              </w:rPr>
            </w:pPr>
            <w:r>
              <w:rPr>
                <w:rFonts w:hint="eastAsia" w:ascii="宋体" w:hAnsi="宋体" w:eastAsia="宋体" w:cs="宋体"/>
                <w:color w:val="000000"/>
                <w:szCs w:val="21"/>
              </w:rPr>
              <w:t>为了培养学生综合运用所学知识的能力和创新精神，学校每年举办英语演讲、写作和阅读竞赛；组织学生参加市、省及国家级比赛。</w:t>
            </w:r>
          </w:p>
        </w:tc>
      </w:tr>
    </w:tbl>
    <w:p w14:paraId="1AF463A9">
      <w:pPr>
        <w:spacing w:line="240" w:lineRule="exact"/>
        <w:ind w:firstLine="300" w:firstLineChars="200"/>
        <w:rPr>
          <w:rFonts w:hint="eastAsia" w:ascii="等线" w:hAnsi="等线" w:eastAsia="等线" w:cs="Times New Roman"/>
          <w:b/>
          <w:color w:val="000000"/>
          <w:sz w:val="15"/>
          <w:szCs w:val="15"/>
        </w:rPr>
      </w:pPr>
    </w:p>
    <w:p w14:paraId="79C386D5">
      <w:pPr>
        <w:spacing w:line="360" w:lineRule="auto"/>
        <w:ind w:firstLine="480" w:firstLineChars="200"/>
        <w:outlineLvl w:val="1"/>
        <w:rPr>
          <w:rFonts w:hint="eastAsia" w:ascii="等线" w:hAnsi="等线" w:eastAsia="等线" w:cs="Times New Roman"/>
          <w:b/>
          <w:color w:val="000000"/>
          <w:sz w:val="24"/>
          <w:szCs w:val="22"/>
        </w:rPr>
      </w:pPr>
      <w:bookmarkStart w:id="198" w:name="_Toc30095"/>
      <w:r>
        <w:rPr>
          <w:rFonts w:hint="eastAsia" w:ascii="等线" w:hAnsi="等线" w:eastAsia="等线" w:cs="Times New Roman"/>
          <w:b/>
          <w:color w:val="000000"/>
          <w:sz w:val="24"/>
          <w:szCs w:val="22"/>
        </w:rPr>
        <w:t>六、目标评价与成绩评定</w:t>
      </w:r>
      <w:bookmarkEnd w:id="198"/>
    </w:p>
    <w:p w14:paraId="07A3B0C6">
      <w:pPr>
        <w:spacing w:line="360" w:lineRule="auto"/>
        <w:ind w:firstLine="420" w:firstLineChars="200"/>
        <w:outlineLvl w:val="2"/>
        <w:rPr>
          <w:rFonts w:hint="eastAsia" w:ascii="等线" w:hAnsi="等线" w:eastAsia="等线" w:cs="Times New Roman"/>
          <w:b/>
          <w:color w:val="000000"/>
          <w:szCs w:val="21"/>
        </w:rPr>
      </w:pPr>
      <w:bookmarkStart w:id="199" w:name="_Toc3457"/>
      <w:r>
        <w:rPr>
          <w:rFonts w:hint="eastAsia" w:ascii="等线" w:hAnsi="等线" w:eastAsia="等线" w:cs="Times New Roman"/>
          <w:b/>
          <w:color w:val="000000"/>
          <w:szCs w:val="21"/>
        </w:rPr>
        <w:t>（一）课程目标评价方式</w:t>
      </w:r>
      <w:bookmarkEnd w:id="199"/>
    </w:p>
    <w:p w14:paraId="30A257CF">
      <w:pPr>
        <w:rPr>
          <w:rFonts w:hint="eastAsia" w:ascii="等线" w:hAnsi="等线" w:eastAsia="等线" w:cs="Times New Roman"/>
          <w:color w:val="000000"/>
          <w:szCs w:val="21"/>
        </w:rPr>
      </w:pPr>
      <w:r>
        <w:rPr>
          <w:rFonts w:ascii="等线" w:hAnsi="等线" w:eastAsia="等线" w:cs="Times New Roman"/>
          <w:color w:val="000000"/>
          <w:szCs w:val="21"/>
        </w:rPr>
        <w:t>课程考核方式包括结课考核、平时情况考核等。</w:t>
      </w:r>
      <w:r>
        <w:rPr>
          <w:rFonts w:hint="eastAsia" w:ascii="等线" w:hAnsi="等线" w:eastAsia="等线" w:cs="Times New Roman"/>
          <w:color w:val="000000"/>
          <w:szCs w:val="21"/>
        </w:rPr>
        <w:t>结课</w:t>
      </w:r>
      <w:r>
        <w:rPr>
          <w:rFonts w:ascii="等线" w:hAnsi="等线" w:eastAsia="等线" w:cs="Times New Roman"/>
          <w:color w:val="000000"/>
          <w:szCs w:val="21"/>
        </w:rPr>
        <w:t>考核采用</w:t>
      </w:r>
      <w:r>
        <w:rPr>
          <w:rFonts w:hint="eastAsia" w:ascii="等线" w:hAnsi="等线" w:eastAsia="等线" w:cs="Times New Roman"/>
          <w:color w:val="000000"/>
          <w:szCs w:val="21"/>
        </w:rPr>
        <w:t>机考</w:t>
      </w:r>
      <w:r>
        <w:rPr>
          <w:rFonts w:ascii="等线" w:hAnsi="等线" w:eastAsia="等线" w:cs="Times New Roman"/>
          <w:color w:val="000000"/>
          <w:szCs w:val="21"/>
        </w:rPr>
        <w:t>（闭卷）形式</w:t>
      </w:r>
    </w:p>
    <w:p w14:paraId="11031CE0">
      <w:pPr>
        <w:rPr>
          <w:rFonts w:hint="eastAsia" w:ascii="等线" w:hAnsi="等线" w:eastAsia="等线" w:cs="Times New Roman"/>
          <w:color w:val="000000"/>
          <w:szCs w:val="21"/>
        </w:rPr>
      </w:pPr>
    </w:p>
    <w:p w14:paraId="318BF170">
      <w:pPr>
        <w:spacing w:line="360" w:lineRule="auto"/>
        <w:ind w:firstLine="420" w:firstLineChars="200"/>
        <w:outlineLvl w:val="2"/>
        <w:rPr>
          <w:rFonts w:hint="eastAsia" w:ascii="等线" w:hAnsi="等线" w:eastAsia="等线" w:cs="Times New Roman"/>
          <w:b/>
          <w:color w:val="000000"/>
          <w:szCs w:val="21"/>
        </w:rPr>
      </w:pPr>
      <w:bookmarkStart w:id="200" w:name="_Toc24827"/>
      <w:r>
        <w:rPr>
          <w:rFonts w:hint="eastAsia" w:ascii="等线" w:hAnsi="等线" w:eastAsia="等线" w:cs="Times New Roman"/>
          <w:b/>
          <w:color w:val="000000"/>
          <w:szCs w:val="21"/>
        </w:rPr>
        <w:t>（二）成绩评定细则</w:t>
      </w:r>
      <w:bookmarkEnd w:id="200"/>
    </w:p>
    <w:p w14:paraId="6424BD09">
      <w:pPr>
        <w:spacing w:line="360" w:lineRule="auto"/>
        <w:ind w:firstLine="420" w:firstLineChars="200"/>
        <w:rPr>
          <w:rFonts w:hint="eastAsia" w:ascii="等线" w:hAnsi="等线" w:eastAsia="等线" w:cs="Times New Roman"/>
          <w:color w:val="000000"/>
          <w:szCs w:val="21"/>
        </w:rPr>
      </w:pPr>
      <w:r>
        <w:rPr>
          <w:rFonts w:ascii="等线" w:hAnsi="等线" w:eastAsia="等线" w:cs="Times New Roman"/>
          <w:color w:val="000000"/>
          <w:szCs w:val="21"/>
        </w:rPr>
        <w:t>课程总评成绩=平时成绩×</w:t>
      </w:r>
      <w:r>
        <w:rPr>
          <w:rFonts w:hint="eastAsia" w:ascii="等线" w:hAnsi="等线" w:eastAsia="等线" w:cs="Times New Roman"/>
          <w:color w:val="000000"/>
          <w:szCs w:val="21"/>
        </w:rPr>
        <w:t>5</w:t>
      </w:r>
      <w:r>
        <w:rPr>
          <w:rFonts w:ascii="等线" w:hAnsi="等线" w:eastAsia="等线" w:cs="Times New Roman"/>
          <w:color w:val="000000"/>
          <w:szCs w:val="21"/>
        </w:rPr>
        <w:t>0%</w:t>
      </w:r>
      <w:r>
        <w:rPr>
          <w:rFonts w:hint="eastAsia" w:ascii="等线" w:hAnsi="等线" w:eastAsia="等线" w:cs="Times New Roman"/>
          <w:color w:val="000000"/>
          <w:szCs w:val="21"/>
        </w:rPr>
        <w:t>+</w:t>
      </w:r>
      <w:r>
        <w:rPr>
          <w:rFonts w:ascii="等线" w:hAnsi="等线" w:eastAsia="等线" w:cs="Times New Roman"/>
          <w:color w:val="000000"/>
          <w:szCs w:val="21"/>
        </w:rPr>
        <w:t>结课成绩×</w:t>
      </w:r>
      <w:r>
        <w:rPr>
          <w:rFonts w:hint="eastAsia" w:ascii="等线" w:hAnsi="等线" w:eastAsia="等线" w:cs="Times New Roman"/>
          <w:color w:val="000000"/>
          <w:szCs w:val="21"/>
        </w:rPr>
        <w:t>5</w:t>
      </w:r>
      <w:r>
        <w:rPr>
          <w:rFonts w:ascii="等线" w:hAnsi="等线" w:eastAsia="等线" w:cs="Times New Roman"/>
          <w:color w:val="000000"/>
          <w:szCs w:val="21"/>
        </w:rPr>
        <w:t>0%。</w:t>
      </w:r>
    </w:p>
    <w:p w14:paraId="16F9AD75">
      <w:pPr>
        <w:spacing w:line="360" w:lineRule="auto"/>
        <w:ind w:firstLine="420" w:firstLineChars="200"/>
        <w:rPr>
          <w:rFonts w:hint="eastAsia" w:ascii="等线" w:hAnsi="等线" w:eastAsia="等线" w:cs="Times New Roman"/>
          <w:color w:val="000000"/>
          <w:szCs w:val="21"/>
        </w:rPr>
      </w:pPr>
      <w:r>
        <w:rPr>
          <w:rFonts w:ascii="等线" w:hAnsi="等线" w:eastAsia="等线" w:cs="Times New Roman"/>
          <w:color w:val="000000"/>
          <w:szCs w:val="21"/>
        </w:rPr>
        <w:t>具体考核评价细则如下</w:t>
      </w:r>
      <w:r>
        <w:rPr>
          <w:rFonts w:hint="eastAsia" w:ascii="等线" w:hAnsi="等线" w:eastAsia="等线" w:cs="Times New Roman"/>
          <w:color w:val="000000"/>
          <w:szCs w:val="21"/>
        </w:rPr>
        <w:t>（平时成绩考核/评价环节及其权重可结合班级的实际情况和具体教学实践适度调整）：</w:t>
      </w:r>
    </w:p>
    <w:p w14:paraId="3DB4F2AB">
      <w:pPr>
        <w:rPr>
          <w:rFonts w:hint="eastAsia" w:ascii="宋体" w:hAnsi="宋体" w:eastAsia="宋体" w:cs="宋体"/>
          <w:sz w:val="24"/>
          <w:szCs w:val="24"/>
        </w:rPr>
      </w:pPr>
    </w:p>
    <w:tbl>
      <w:tblPr>
        <w:tblStyle w:val="10"/>
        <w:tblW w:w="8585"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701"/>
        <w:gridCol w:w="734"/>
        <w:gridCol w:w="3802"/>
        <w:gridCol w:w="1701"/>
      </w:tblGrid>
      <w:tr w14:paraId="4A87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47" w:type="dxa"/>
            <w:shd w:val="clear" w:color="auto" w:fill="FFFFFF"/>
            <w:tcMar>
              <w:left w:w="57" w:type="dxa"/>
              <w:right w:w="57" w:type="dxa"/>
            </w:tcMar>
            <w:vAlign w:val="center"/>
          </w:tcPr>
          <w:p w14:paraId="08F2FECE">
            <w:pPr>
              <w:widowControl w:val="0"/>
              <w:jc w:val="center"/>
              <w:rPr>
                <w:rFonts w:hint="eastAsia" w:ascii="宋体" w:hAnsi="宋体" w:eastAsia="宋体" w:cs="Times New Roman"/>
                <w:color w:val="000000"/>
                <w:kern w:val="2"/>
                <w:sz w:val="21"/>
                <w:szCs w:val="24"/>
                <w:lang w:val="en-US" w:eastAsia="zh-CN" w:bidi="ar-SA"/>
              </w:rPr>
            </w:pPr>
            <w:bookmarkStart w:id="201" w:name="_Hlk89357586"/>
            <w:r>
              <w:rPr>
                <w:rFonts w:ascii="宋体" w:hAnsi="宋体" w:eastAsia="宋体" w:cs="Times New Roman"/>
                <w:color w:val="000000"/>
                <w:kern w:val="2"/>
                <w:sz w:val="21"/>
                <w:szCs w:val="24"/>
                <w:lang w:val="en-US" w:eastAsia="zh-CN" w:bidi="ar-SA"/>
              </w:rPr>
              <w:t>成绩组成</w:t>
            </w:r>
          </w:p>
        </w:tc>
        <w:tc>
          <w:tcPr>
            <w:tcW w:w="1701" w:type="dxa"/>
            <w:shd w:val="clear" w:color="auto" w:fill="FFFFFF"/>
            <w:vAlign w:val="center"/>
          </w:tcPr>
          <w:p w14:paraId="603A95A0">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考核/评价环节</w:t>
            </w:r>
          </w:p>
        </w:tc>
        <w:tc>
          <w:tcPr>
            <w:tcW w:w="734" w:type="dxa"/>
            <w:shd w:val="clear" w:color="auto" w:fill="FFFFFF"/>
            <w:vAlign w:val="center"/>
          </w:tcPr>
          <w:p w14:paraId="000560EC">
            <w:pPr>
              <w:widowControl w:val="0"/>
              <w:jc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权重</w:t>
            </w:r>
          </w:p>
        </w:tc>
        <w:tc>
          <w:tcPr>
            <w:tcW w:w="3802" w:type="dxa"/>
            <w:shd w:val="clear" w:color="auto" w:fill="FFFFFF"/>
            <w:vAlign w:val="center"/>
          </w:tcPr>
          <w:p w14:paraId="2FF825BA">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考核/评价细则</w:t>
            </w:r>
          </w:p>
        </w:tc>
        <w:tc>
          <w:tcPr>
            <w:tcW w:w="1701" w:type="dxa"/>
            <w:shd w:val="clear" w:color="auto" w:fill="FFFFFF"/>
            <w:vAlign w:val="center"/>
          </w:tcPr>
          <w:p w14:paraId="05BA5429">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对应的毕业要求指标点</w:t>
            </w:r>
          </w:p>
        </w:tc>
      </w:tr>
      <w:tr w14:paraId="7F20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47" w:type="dxa"/>
            <w:vMerge w:val="restart"/>
            <w:tcMar>
              <w:left w:w="57" w:type="dxa"/>
              <w:right w:w="57" w:type="dxa"/>
            </w:tcMar>
            <w:vAlign w:val="center"/>
          </w:tcPr>
          <w:p w14:paraId="5C63AD01">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平时成绩</w:t>
            </w:r>
          </w:p>
          <w:p w14:paraId="61CE9FBB">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5</w:t>
            </w:r>
            <w:r>
              <w:rPr>
                <w:rFonts w:hint="eastAsia" w:ascii="宋体" w:hAnsi="宋体" w:eastAsia="宋体" w:cs="Times New Roman"/>
                <w:color w:val="000000"/>
                <w:kern w:val="2"/>
                <w:sz w:val="21"/>
                <w:szCs w:val="24"/>
                <w:lang w:val="en-US" w:eastAsia="zh-CN" w:bidi="ar-SA"/>
              </w:rPr>
              <w:t>0%</w:t>
            </w:r>
          </w:p>
        </w:tc>
        <w:tc>
          <w:tcPr>
            <w:tcW w:w="1701" w:type="dxa"/>
            <w:vAlign w:val="center"/>
          </w:tcPr>
          <w:p w14:paraId="76228493">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考勤</w:t>
            </w:r>
          </w:p>
        </w:tc>
        <w:tc>
          <w:tcPr>
            <w:tcW w:w="734" w:type="dxa"/>
            <w:vAlign w:val="center"/>
          </w:tcPr>
          <w:p w14:paraId="1546C530">
            <w:pPr>
              <w:widowControl w:val="0"/>
              <w:jc w:val="both"/>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 xml:space="preserve"> 10</w:t>
            </w:r>
            <w:r>
              <w:rPr>
                <w:rFonts w:ascii="宋体" w:hAnsi="宋体" w:eastAsia="宋体" w:cs="Times New Roman"/>
                <w:color w:val="000000"/>
                <w:kern w:val="2"/>
                <w:sz w:val="21"/>
                <w:szCs w:val="24"/>
                <w:lang w:val="en-US" w:eastAsia="zh-CN" w:bidi="ar-SA"/>
              </w:rPr>
              <w:t>%</w:t>
            </w:r>
          </w:p>
        </w:tc>
        <w:tc>
          <w:tcPr>
            <w:tcW w:w="3802" w:type="dxa"/>
            <w:vAlign w:val="center"/>
          </w:tcPr>
          <w:p w14:paraId="5C8DD770">
            <w:pPr>
              <w:spacing w:line="276" w:lineRule="auto"/>
              <w:rPr>
                <w:rFonts w:hint="eastAsia" w:ascii="宋体" w:hAnsi="宋体" w:eastAsia="等线" w:cs="Times New Roman"/>
                <w:color w:val="000000"/>
                <w:szCs w:val="21"/>
              </w:rPr>
            </w:pPr>
            <w:r>
              <w:rPr>
                <w:rFonts w:hint="eastAsia" w:ascii="宋体" w:hAnsi="宋体" w:eastAsia="等线" w:cs="Times New Roman"/>
                <w:bCs/>
                <w:color w:val="000000"/>
                <w:kern w:val="24"/>
                <w:szCs w:val="21"/>
              </w:rPr>
              <w:t>随堂</w:t>
            </w:r>
            <w:r>
              <w:rPr>
                <w:rFonts w:ascii="宋体" w:hAnsi="宋体" w:eastAsia="等线" w:cs="Times New Roman"/>
                <w:bCs/>
                <w:color w:val="000000"/>
                <w:kern w:val="24"/>
                <w:szCs w:val="21"/>
              </w:rPr>
              <w:t>不定期</w:t>
            </w:r>
            <w:r>
              <w:rPr>
                <w:rFonts w:hint="eastAsia" w:ascii="宋体" w:hAnsi="宋体" w:eastAsia="等线" w:cs="Times New Roman"/>
                <w:bCs/>
                <w:color w:val="000000"/>
                <w:kern w:val="24"/>
                <w:szCs w:val="21"/>
              </w:rPr>
              <w:t>考勤，考核</w:t>
            </w:r>
            <w:r>
              <w:rPr>
                <w:rFonts w:hint="eastAsia" w:ascii="宋体" w:hAnsi="宋体" w:eastAsia="等线" w:cs="Times New Roman"/>
                <w:color w:val="000000"/>
                <w:szCs w:val="21"/>
              </w:rPr>
              <w:t>能否按时到勤，旷课一次扣</w:t>
            </w:r>
            <w:r>
              <w:rPr>
                <w:rFonts w:ascii="宋体" w:hAnsi="宋体" w:eastAsia="等线" w:cs="Times New Roman"/>
                <w:color w:val="000000"/>
                <w:szCs w:val="21"/>
              </w:rPr>
              <w:t>20</w:t>
            </w:r>
            <w:r>
              <w:rPr>
                <w:rFonts w:hint="eastAsia" w:ascii="宋体" w:hAnsi="宋体" w:eastAsia="等线" w:cs="Times New Roman"/>
                <w:color w:val="000000"/>
                <w:szCs w:val="21"/>
              </w:rPr>
              <w:t>分，迟到与早退一次扣10分，请假一次扣5分；满分100分。</w:t>
            </w:r>
          </w:p>
        </w:tc>
        <w:tc>
          <w:tcPr>
            <w:tcW w:w="1701" w:type="dxa"/>
          </w:tcPr>
          <w:p w14:paraId="25E96BA8">
            <w:pPr>
              <w:widowControl w:val="0"/>
              <w:jc w:val="center"/>
              <w:rPr>
                <w:rFonts w:hint="eastAsia" w:ascii="宋体" w:hAnsi="宋体" w:eastAsia="宋体" w:cs="Times New Roman"/>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tr w14:paraId="6A26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647" w:type="dxa"/>
            <w:vMerge w:val="continue"/>
            <w:tcMar>
              <w:left w:w="57" w:type="dxa"/>
              <w:right w:w="57" w:type="dxa"/>
            </w:tcMar>
            <w:vAlign w:val="center"/>
          </w:tcPr>
          <w:p w14:paraId="574485AA">
            <w:pPr>
              <w:widowControl w:val="0"/>
              <w:jc w:val="center"/>
              <w:rPr>
                <w:rFonts w:hint="eastAsia" w:ascii="宋体" w:hAnsi="宋体" w:eastAsia="宋体" w:cs="Times New Roman"/>
                <w:color w:val="000000"/>
                <w:kern w:val="2"/>
                <w:sz w:val="21"/>
                <w:szCs w:val="24"/>
                <w:lang w:val="en-US" w:eastAsia="zh-CN" w:bidi="ar-SA"/>
              </w:rPr>
            </w:pPr>
          </w:p>
        </w:tc>
        <w:tc>
          <w:tcPr>
            <w:tcW w:w="1701" w:type="dxa"/>
            <w:vAlign w:val="center"/>
          </w:tcPr>
          <w:p w14:paraId="2606086C">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课堂表现</w:t>
            </w:r>
          </w:p>
        </w:tc>
        <w:tc>
          <w:tcPr>
            <w:tcW w:w="734" w:type="dxa"/>
            <w:vAlign w:val="center"/>
          </w:tcPr>
          <w:p w14:paraId="795AB191">
            <w:pPr>
              <w:widowControl w:val="0"/>
              <w:jc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25</w:t>
            </w:r>
            <w:r>
              <w:rPr>
                <w:rFonts w:ascii="宋体" w:hAnsi="宋体" w:eastAsia="宋体" w:cs="Times New Roman"/>
                <w:color w:val="000000"/>
                <w:kern w:val="2"/>
                <w:sz w:val="21"/>
                <w:szCs w:val="24"/>
                <w:lang w:val="en-US" w:eastAsia="zh-CN" w:bidi="ar-SA"/>
              </w:rPr>
              <w:t>%</w:t>
            </w:r>
          </w:p>
        </w:tc>
        <w:tc>
          <w:tcPr>
            <w:tcW w:w="3802" w:type="dxa"/>
            <w:vAlign w:val="center"/>
          </w:tcPr>
          <w:p w14:paraId="4114FED4">
            <w:pPr>
              <w:spacing w:line="276" w:lineRule="auto"/>
              <w:jc w:val="left"/>
              <w:rPr>
                <w:rFonts w:hint="eastAsia" w:ascii="宋体" w:hAnsi="宋体" w:eastAsia="等线" w:cs="Times New Roman"/>
                <w:color w:val="000000"/>
                <w:szCs w:val="21"/>
              </w:rPr>
            </w:pPr>
            <w:r>
              <w:rPr>
                <w:rFonts w:hint="eastAsia" w:ascii="宋体" w:hAnsi="宋体" w:eastAsia="等线" w:cs="Times New Roman"/>
                <w:bCs/>
                <w:color w:val="000000"/>
                <w:kern w:val="24"/>
                <w:szCs w:val="21"/>
              </w:rPr>
              <w:t>随堂记录学生学习态度，</w:t>
            </w:r>
            <w:r>
              <w:rPr>
                <w:rFonts w:ascii="宋体" w:hAnsi="宋体" w:eastAsia="等线" w:cs="Times New Roman"/>
                <w:bCs/>
                <w:color w:val="000000"/>
                <w:kern w:val="24"/>
                <w:szCs w:val="21"/>
              </w:rPr>
              <w:t>听课的精神状态，</w:t>
            </w:r>
            <w:r>
              <w:rPr>
                <w:rFonts w:hint="eastAsia" w:ascii="宋体" w:hAnsi="宋体" w:eastAsia="等线" w:cs="Times New Roman"/>
                <w:bCs/>
                <w:color w:val="000000"/>
                <w:kern w:val="24"/>
                <w:szCs w:val="21"/>
              </w:rPr>
              <w:t>参与教学情况；课堂</w:t>
            </w:r>
            <w:r>
              <w:rPr>
                <w:rFonts w:ascii="宋体" w:hAnsi="宋体" w:eastAsia="等线" w:cs="Times New Roman"/>
                <w:bCs/>
                <w:color w:val="000000"/>
                <w:kern w:val="24"/>
                <w:szCs w:val="21"/>
              </w:rPr>
              <w:t>随机提问，考察学生</w:t>
            </w:r>
            <w:r>
              <w:rPr>
                <w:rFonts w:hint="eastAsia" w:ascii="宋体" w:hAnsi="宋体" w:eastAsia="等线" w:cs="Times New Roman"/>
                <w:bCs/>
                <w:color w:val="000000"/>
                <w:kern w:val="24"/>
                <w:szCs w:val="21"/>
              </w:rPr>
              <w:t>对</w:t>
            </w:r>
            <w:r>
              <w:rPr>
                <w:rFonts w:ascii="宋体" w:hAnsi="宋体" w:eastAsia="等线" w:cs="Times New Roman"/>
                <w:bCs/>
                <w:color w:val="000000"/>
                <w:kern w:val="24"/>
                <w:szCs w:val="21"/>
              </w:rPr>
              <w:t>当堂课程的掌握情况</w:t>
            </w:r>
            <w:r>
              <w:rPr>
                <w:rFonts w:hint="eastAsia" w:ascii="宋体" w:hAnsi="宋体" w:eastAsia="等线" w:cs="Times New Roman"/>
                <w:bCs/>
                <w:color w:val="000000"/>
                <w:kern w:val="24"/>
                <w:szCs w:val="21"/>
              </w:rPr>
              <w:t>；</w:t>
            </w:r>
            <w:r>
              <w:rPr>
                <w:rFonts w:ascii="宋体" w:hAnsi="宋体" w:eastAsia="等线" w:cs="Times New Roman"/>
                <w:bCs/>
                <w:color w:val="000000"/>
                <w:kern w:val="24"/>
                <w:szCs w:val="21"/>
              </w:rPr>
              <w:t>课堂</w:t>
            </w:r>
            <w:r>
              <w:rPr>
                <w:rFonts w:hint="eastAsia" w:ascii="宋体" w:hAnsi="宋体" w:eastAsia="等线" w:cs="Times New Roman"/>
                <w:bCs/>
                <w:color w:val="000000"/>
                <w:kern w:val="24"/>
                <w:szCs w:val="21"/>
              </w:rPr>
              <w:t>陈述、讨论、</w:t>
            </w:r>
            <w:r>
              <w:rPr>
                <w:rFonts w:ascii="宋体" w:hAnsi="宋体" w:eastAsia="等线" w:cs="Times New Roman"/>
                <w:bCs/>
                <w:color w:val="000000"/>
                <w:kern w:val="24"/>
                <w:szCs w:val="21"/>
              </w:rPr>
              <w:t>测试</w:t>
            </w:r>
            <w:r>
              <w:rPr>
                <w:rFonts w:hint="eastAsia" w:ascii="宋体" w:hAnsi="宋体" w:eastAsia="等线" w:cs="Times New Roman"/>
                <w:bCs/>
                <w:color w:val="000000"/>
                <w:kern w:val="24"/>
                <w:szCs w:val="21"/>
              </w:rPr>
              <w:t>；满分100分</w:t>
            </w:r>
            <w:r>
              <w:rPr>
                <w:rFonts w:ascii="宋体" w:hAnsi="宋体" w:eastAsia="等线" w:cs="Times New Roman"/>
                <w:bCs/>
                <w:color w:val="000000"/>
                <w:kern w:val="24"/>
                <w:szCs w:val="21"/>
              </w:rPr>
              <w:t>。</w:t>
            </w:r>
          </w:p>
        </w:tc>
        <w:tc>
          <w:tcPr>
            <w:tcW w:w="1701" w:type="dxa"/>
          </w:tcPr>
          <w:p w14:paraId="46FD360B">
            <w:pPr>
              <w:widowControl w:val="0"/>
              <w:jc w:val="center"/>
              <w:rPr>
                <w:rFonts w:hint="eastAsia" w:ascii="宋体" w:hAnsi="宋体" w:eastAsia="宋体" w:cs="Times New Roman"/>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tr w14:paraId="6B1C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703560D5">
            <w:pPr>
              <w:widowControl w:val="0"/>
              <w:jc w:val="center"/>
              <w:rPr>
                <w:rFonts w:hint="eastAsia" w:ascii="宋体" w:hAnsi="宋体" w:eastAsia="宋体" w:cs="Times New Roman"/>
                <w:color w:val="000000"/>
                <w:kern w:val="2"/>
                <w:sz w:val="21"/>
                <w:szCs w:val="24"/>
                <w:lang w:val="en-US" w:eastAsia="zh-CN" w:bidi="ar-SA"/>
              </w:rPr>
            </w:pPr>
          </w:p>
        </w:tc>
        <w:tc>
          <w:tcPr>
            <w:tcW w:w="1701" w:type="dxa"/>
            <w:vAlign w:val="center"/>
          </w:tcPr>
          <w:p w14:paraId="4D4F6348">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作业、测试</w:t>
            </w:r>
          </w:p>
        </w:tc>
        <w:tc>
          <w:tcPr>
            <w:tcW w:w="734" w:type="dxa"/>
            <w:vAlign w:val="center"/>
          </w:tcPr>
          <w:p w14:paraId="630B52E6">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2</w:t>
            </w:r>
            <w:r>
              <w:rPr>
                <w:rFonts w:hint="eastAsia" w:ascii="宋体" w:hAnsi="宋体" w:eastAsia="宋体" w:cs="Times New Roman"/>
                <w:color w:val="000000"/>
                <w:kern w:val="2"/>
                <w:sz w:val="21"/>
                <w:szCs w:val="24"/>
                <w:lang w:val="en-US" w:eastAsia="zh-CN" w:bidi="ar-SA"/>
              </w:rPr>
              <w:t>5</w:t>
            </w:r>
            <w:r>
              <w:rPr>
                <w:rFonts w:ascii="宋体" w:hAnsi="宋体" w:eastAsia="宋体" w:cs="Times New Roman"/>
                <w:color w:val="000000"/>
                <w:kern w:val="2"/>
                <w:sz w:val="21"/>
                <w:szCs w:val="24"/>
                <w:lang w:val="en-US" w:eastAsia="zh-CN" w:bidi="ar-SA"/>
              </w:rPr>
              <w:t>%</w:t>
            </w:r>
          </w:p>
        </w:tc>
        <w:tc>
          <w:tcPr>
            <w:tcW w:w="3802" w:type="dxa"/>
            <w:vAlign w:val="center"/>
          </w:tcPr>
          <w:p w14:paraId="617CF7A4">
            <w:pPr>
              <w:spacing w:line="276" w:lineRule="auto"/>
              <w:rPr>
                <w:rFonts w:hint="eastAsia" w:ascii="宋体" w:hAnsi="宋体" w:eastAsia="等线" w:cs="Times New Roman"/>
                <w:color w:val="000000"/>
                <w:szCs w:val="21"/>
              </w:rPr>
            </w:pPr>
            <w:r>
              <w:rPr>
                <w:rFonts w:hint="eastAsia" w:ascii="宋体" w:hAnsi="宋体" w:eastAsia="等线" w:cs="Times New Roman"/>
                <w:bCs/>
                <w:color w:val="000000"/>
                <w:kern w:val="24"/>
                <w:szCs w:val="21"/>
              </w:rPr>
              <w:t>词汇单元练习、网络平台测试</w:t>
            </w:r>
            <w:r>
              <w:rPr>
                <w:rFonts w:ascii="宋体" w:hAnsi="宋体" w:eastAsia="等线" w:cs="Times New Roman"/>
                <w:bCs/>
                <w:color w:val="000000"/>
                <w:kern w:val="24"/>
                <w:szCs w:val="21"/>
              </w:rPr>
              <w:t>，考核学生对</w:t>
            </w:r>
            <w:r>
              <w:rPr>
                <w:rFonts w:hint="eastAsia" w:ascii="宋体" w:hAnsi="宋体" w:eastAsia="等线" w:cs="Times New Roman"/>
                <w:bCs/>
                <w:color w:val="000000"/>
                <w:kern w:val="24"/>
                <w:szCs w:val="21"/>
              </w:rPr>
              <w:t>单元</w:t>
            </w:r>
            <w:r>
              <w:rPr>
                <w:rFonts w:ascii="宋体" w:hAnsi="宋体" w:eastAsia="等线" w:cs="Times New Roman"/>
                <w:bCs/>
                <w:color w:val="000000"/>
                <w:kern w:val="24"/>
                <w:szCs w:val="21"/>
              </w:rPr>
              <w:t>知识点的</w:t>
            </w:r>
            <w:r>
              <w:rPr>
                <w:rFonts w:hint="eastAsia" w:ascii="宋体" w:hAnsi="宋体" w:eastAsia="等线" w:cs="Times New Roman"/>
                <w:bCs/>
                <w:color w:val="000000"/>
                <w:kern w:val="24"/>
                <w:szCs w:val="21"/>
              </w:rPr>
              <w:t>学习</w:t>
            </w:r>
            <w:r>
              <w:rPr>
                <w:rFonts w:ascii="宋体" w:hAnsi="宋体" w:eastAsia="等线" w:cs="Times New Roman"/>
                <w:bCs/>
                <w:color w:val="000000"/>
                <w:kern w:val="24"/>
                <w:szCs w:val="21"/>
              </w:rPr>
              <w:t>、理解和掌握</w:t>
            </w:r>
            <w:r>
              <w:rPr>
                <w:rFonts w:hint="eastAsia" w:ascii="宋体" w:hAnsi="宋体" w:eastAsia="等线" w:cs="Times New Roman"/>
                <w:bCs/>
                <w:color w:val="000000"/>
                <w:kern w:val="24"/>
                <w:szCs w:val="21"/>
              </w:rPr>
              <w:t>程度</w:t>
            </w:r>
            <w:r>
              <w:rPr>
                <w:rFonts w:ascii="宋体" w:hAnsi="宋体" w:eastAsia="等线" w:cs="Times New Roman"/>
                <w:bCs/>
                <w:color w:val="000000"/>
                <w:kern w:val="24"/>
                <w:szCs w:val="21"/>
              </w:rPr>
              <w:t>。对每次作业</w:t>
            </w:r>
            <w:r>
              <w:rPr>
                <w:rFonts w:hint="eastAsia" w:ascii="宋体" w:hAnsi="宋体" w:eastAsia="等线" w:cs="Times New Roman"/>
                <w:bCs/>
                <w:color w:val="000000"/>
                <w:kern w:val="24"/>
                <w:szCs w:val="21"/>
              </w:rPr>
              <w:t>、练习和测试</w:t>
            </w:r>
            <w:r>
              <w:rPr>
                <w:rFonts w:ascii="宋体" w:hAnsi="宋体" w:eastAsia="等线" w:cs="Times New Roman"/>
                <w:bCs/>
                <w:color w:val="000000"/>
                <w:kern w:val="24"/>
                <w:szCs w:val="21"/>
              </w:rPr>
              <w:t>完成情况做记录并百分制打分</w:t>
            </w:r>
            <w:r>
              <w:rPr>
                <w:rFonts w:hint="eastAsia" w:ascii="宋体" w:hAnsi="宋体" w:eastAsia="等线" w:cs="Times New Roman"/>
                <w:bCs/>
                <w:color w:val="000000"/>
                <w:kern w:val="24"/>
                <w:szCs w:val="21"/>
              </w:rPr>
              <w:t>，</w:t>
            </w:r>
            <w:r>
              <w:rPr>
                <w:rFonts w:ascii="宋体" w:hAnsi="宋体" w:eastAsia="等线" w:cs="Times New Roman"/>
                <w:bCs/>
                <w:color w:val="000000"/>
                <w:kern w:val="24"/>
                <w:szCs w:val="21"/>
              </w:rPr>
              <w:t>计算全部作业的平均成绩</w:t>
            </w:r>
            <w:r>
              <w:rPr>
                <w:rFonts w:hint="eastAsia" w:ascii="宋体" w:hAnsi="宋体" w:eastAsia="等线" w:cs="Times New Roman"/>
                <w:bCs/>
                <w:color w:val="000000"/>
                <w:kern w:val="24"/>
                <w:szCs w:val="21"/>
              </w:rPr>
              <w:t>；满分100分</w:t>
            </w:r>
            <w:r>
              <w:rPr>
                <w:rFonts w:ascii="宋体" w:hAnsi="宋体" w:eastAsia="等线" w:cs="Times New Roman"/>
                <w:bCs/>
                <w:color w:val="000000"/>
                <w:kern w:val="24"/>
                <w:szCs w:val="21"/>
              </w:rPr>
              <w:t>。</w:t>
            </w:r>
          </w:p>
        </w:tc>
        <w:tc>
          <w:tcPr>
            <w:tcW w:w="1701" w:type="dxa"/>
          </w:tcPr>
          <w:p w14:paraId="4CC4491F">
            <w:pPr>
              <w:widowControl w:val="0"/>
              <w:jc w:val="center"/>
              <w:rPr>
                <w:rFonts w:hint="eastAsia" w:ascii="宋体" w:hAnsi="宋体" w:eastAsia="宋体" w:cs="Times New Roman"/>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tr w14:paraId="78C0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2940F8D7">
            <w:pPr>
              <w:widowControl w:val="0"/>
              <w:jc w:val="center"/>
              <w:rPr>
                <w:rFonts w:hint="eastAsia" w:ascii="宋体" w:hAnsi="宋体" w:eastAsia="宋体" w:cs="Times New Roman"/>
                <w:color w:val="000000"/>
                <w:kern w:val="2"/>
                <w:sz w:val="21"/>
                <w:szCs w:val="24"/>
                <w:lang w:val="en-US" w:eastAsia="zh-CN" w:bidi="ar-SA"/>
              </w:rPr>
            </w:pPr>
          </w:p>
        </w:tc>
        <w:tc>
          <w:tcPr>
            <w:tcW w:w="1701" w:type="dxa"/>
            <w:vAlign w:val="center"/>
          </w:tcPr>
          <w:p w14:paraId="2134DCE7">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口语</w:t>
            </w:r>
          </w:p>
        </w:tc>
        <w:tc>
          <w:tcPr>
            <w:tcW w:w="734" w:type="dxa"/>
            <w:vAlign w:val="center"/>
          </w:tcPr>
          <w:p w14:paraId="3EDA204B">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1</w:t>
            </w:r>
            <w:r>
              <w:rPr>
                <w:rFonts w:hint="eastAsia" w:ascii="宋体" w:hAnsi="宋体" w:eastAsia="宋体" w:cs="Times New Roman"/>
                <w:color w:val="000000"/>
                <w:kern w:val="2"/>
                <w:sz w:val="21"/>
                <w:szCs w:val="24"/>
                <w:lang w:val="en-US" w:eastAsia="zh-CN" w:bidi="ar-SA"/>
              </w:rPr>
              <w:t>0</w:t>
            </w:r>
            <w:r>
              <w:rPr>
                <w:rFonts w:ascii="宋体" w:hAnsi="宋体" w:eastAsia="宋体" w:cs="Times New Roman"/>
                <w:color w:val="000000"/>
                <w:kern w:val="2"/>
                <w:sz w:val="21"/>
                <w:szCs w:val="24"/>
                <w:lang w:val="en-US" w:eastAsia="zh-CN" w:bidi="ar-SA"/>
              </w:rPr>
              <w:t>%</w:t>
            </w:r>
          </w:p>
        </w:tc>
        <w:tc>
          <w:tcPr>
            <w:tcW w:w="3802" w:type="dxa"/>
            <w:vAlign w:val="center"/>
          </w:tcPr>
          <w:p w14:paraId="57EBD9DF">
            <w:pPr>
              <w:spacing w:line="276" w:lineRule="auto"/>
              <w:rPr>
                <w:rFonts w:hint="eastAsia" w:ascii="宋体" w:hAnsi="宋体" w:eastAsia="等线" w:cs="Times New Roman"/>
                <w:bCs/>
                <w:color w:val="000000"/>
                <w:kern w:val="24"/>
                <w:szCs w:val="21"/>
              </w:rPr>
            </w:pPr>
            <w:r>
              <w:rPr>
                <w:rFonts w:hint="eastAsia" w:ascii="宋体" w:hAnsi="宋体" w:eastAsia="等线" w:cs="Times New Roman"/>
                <w:bCs/>
                <w:color w:val="000000"/>
                <w:kern w:val="24"/>
                <w:szCs w:val="21"/>
              </w:rPr>
              <w:t>随堂测试，口语测试需包括短文朗读、简短问答和情景对话，记录成绩；满分100分</w:t>
            </w:r>
            <w:r>
              <w:rPr>
                <w:rFonts w:ascii="宋体" w:hAnsi="宋体" w:eastAsia="等线" w:cs="Times New Roman"/>
                <w:bCs/>
                <w:color w:val="000000"/>
                <w:kern w:val="24"/>
                <w:szCs w:val="21"/>
              </w:rPr>
              <w:t>。</w:t>
            </w:r>
          </w:p>
        </w:tc>
        <w:tc>
          <w:tcPr>
            <w:tcW w:w="1701" w:type="dxa"/>
          </w:tcPr>
          <w:p w14:paraId="2E3EEFEB">
            <w:pPr>
              <w:widowControl w:val="0"/>
              <w:jc w:val="center"/>
              <w:rPr>
                <w:rFonts w:hint="eastAsia" w:ascii="宋体" w:hAnsi="宋体" w:eastAsia="宋体" w:cs="Times New Roman"/>
                <w:bCs/>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tr w14:paraId="0DC9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7475A047">
            <w:pPr>
              <w:widowControl w:val="0"/>
              <w:jc w:val="center"/>
              <w:rPr>
                <w:rFonts w:hint="eastAsia" w:ascii="宋体" w:hAnsi="宋体" w:eastAsia="宋体" w:cs="Times New Roman"/>
                <w:color w:val="000000"/>
                <w:kern w:val="2"/>
                <w:sz w:val="21"/>
                <w:szCs w:val="24"/>
                <w:lang w:val="en-US" w:eastAsia="zh-CN" w:bidi="ar-SA"/>
              </w:rPr>
            </w:pPr>
          </w:p>
        </w:tc>
        <w:tc>
          <w:tcPr>
            <w:tcW w:w="1701" w:type="dxa"/>
            <w:vAlign w:val="center"/>
          </w:tcPr>
          <w:p w14:paraId="4964FA61">
            <w:pPr>
              <w:spacing w:line="276" w:lineRule="auto"/>
              <w:jc w:val="center"/>
              <w:rPr>
                <w:rFonts w:hint="eastAsia" w:ascii="宋体" w:hAnsi="宋体" w:eastAsia="等线" w:cs="Times New Roman"/>
                <w:color w:val="000000"/>
                <w:szCs w:val="21"/>
              </w:rPr>
            </w:pPr>
            <w:r>
              <w:rPr>
                <w:rFonts w:hint="eastAsia" w:ascii="宋体" w:hAnsi="宋体" w:eastAsia="等线" w:cs="Times New Roman"/>
                <w:bCs/>
                <w:color w:val="000000"/>
                <w:kern w:val="24"/>
                <w:szCs w:val="21"/>
              </w:rPr>
              <w:t>书面表达</w:t>
            </w:r>
          </w:p>
        </w:tc>
        <w:tc>
          <w:tcPr>
            <w:tcW w:w="734" w:type="dxa"/>
            <w:vAlign w:val="center"/>
          </w:tcPr>
          <w:p w14:paraId="4930E87A">
            <w:pPr>
              <w:widowControl w:val="0"/>
              <w:jc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1</w:t>
            </w:r>
            <w:r>
              <w:rPr>
                <w:rFonts w:ascii="宋体" w:hAnsi="宋体" w:eastAsia="宋体" w:cs="Times New Roman"/>
                <w:color w:val="000000"/>
                <w:kern w:val="2"/>
                <w:sz w:val="21"/>
                <w:szCs w:val="24"/>
                <w:lang w:val="en-US" w:eastAsia="zh-CN" w:bidi="ar-SA"/>
              </w:rPr>
              <w:t>0%</w:t>
            </w:r>
          </w:p>
        </w:tc>
        <w:tc>
          <w:tcPr>
            <w:tcW w:w="3802" w:type="dxa"/>
            <w:vAlign w:val="center"/>
          </w:tcPr>
          <w:p w14:paraId="0C881545">
            <w:pPr>
              <w:spacing w:line="276" w:lineRule="auto"/>
              <w:rPr>
                <w:rFonts w:hint="eastAsia" w:ascii="宋体" w:hAnsi="宋体" w:eastAsia="等线" w:cs="Times New Roman"/>
                <w:bCs/>
                <w:color w:val="000000"/>
                <w:kern w:val="24"/>
                <w:szCs w:val="21"/>
              </w:rPr>
            </w:pPr>
            <w:r>
              <w:rPr>
                <w:rFonts w:hint="eastAsia" w:ascii="宋体" w:hAnsi="宋体" w:eastAsia="等线" w:cs="Times New Roman"/>
                <w:bCs/>
                <w:color w:val="000000"/>
                <w:kern w:val="24"/>
                <w:szCs w:val="21"/>
              </w:rPr>
              <w:t>不少于两次书面表达练习（书面表达练习由大学英语教学部统一命题并建立书面表达练习题库），记录成绩并百分制打分，计</w:t>
            </w:r>
            <w:r>
              <w:rPr>
                <w:rFonts w:ascii="宋体" w:hAnsi="宋体" w:eastAsia="等线" w:cs="Times New Roman"/>
                <w:bCs/>
                <w:color w:val="000000"/>
                <w:kern w:val="24"/>
                <w:szCs w:val="21"/>
              </w:rPr>
              <w:t>算平均成绩</w:t>
            </w:r>
            <w:r>
              <w:rPr>
                <w:rFonts w:hint="eastAsia" w:ascii="宋体" w:hAnsi="宋体" w:eastAsia="等线" w:cs="Times New Roman"/>
                <w:bCs/>
                <w:color w:val="000000"/>
                <w:kern w:val="24"/>
                <w:szCs w:val="21"/>
              </w:rPr>
              <w:t>；满分</w:t>
            </w:r>
            <w:r>
              <w:rPr>
                <w:rFonts w:ascii="宋体" w:hAnsi="宋体" w:eastAsia="等线" w:cs="Times New Roman"/>
                <w:bCs/>
                <w:color w:val="000000"/>
                <w:kern w:val="24"/>
                <w:szCs w:val="22"/>
              </w:rPr>
              <w:t>100</w:t>
            </w:r>
            <w:r>
              <w:rPr>
                <w:rFonts w:hint="eastAsia" w:ascii="宋体" w:hAnsi="宋体" w:eastAsia="等线" w:cs="Times New Roman"/>
                <w:bCs/>
                <w:color w:val="000000"/>
                <w:kern w:val="24"/>
                <w:szCs w:val="21"/>
              </w:rPr>
              <w:t>分</w:t>
            </w:r>
            <w:r>
              <w:rPr>
                <w:rFonts w:ascii="宋体" w:hAnsi="宋体" w:eastAsia="等线" w:cs="Times New Roman"/>
                <w:bCs/>
                <w:color w:val="000000"/>
                <w:kern w:val="24"/>
                <w:szCs w:val="21"/>
              </w:rPr>
              <w:t>。</w:t>
            </w:r>
          </w:p>
        </w:tc>
        <w:tc>
          <w:tcPr>
            <w:tcW w:w="1701" w:type="dxa"/>
          </w:tcPr>
          <w:p w14:paraId="111E3855">
            <w:pPr>
              <w:widowControl w:val="0"/>
              <w:jc w:val="center"/>
              <w:rPr>
                <w:rFonts w:hint="eastAsia" w:ascii="宋体" w:hAnsi="宋体" w:eastAsia="宋体" w:cs="Times New Roman"/>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tr w14:paraId="22B3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321E7B14">
            <w:pPr>
              <w:widowControl w:val="0"/>
              <w:jc w:val="center"/>
              <w:rPr>
                <w:rFonts w:hint="eastAsia" w:ascii="宋体" w:hAnsi="宋体" w:eastAsia="宋体" w:cs="Times New Roman"/>
                <w:color w:val="000000"/>
                <w:kern w:val="2"/>
                <w:sz w:val="21"/>
                <w:szCs w:val="24"/>
                <w:lang w:val="en-US" w:eastAsia="zh-CN" w:bidi="ar-SA"/>
              </w:rPr>
            </w:pPr>
          </w:p>
        </w:tc>
        <w:tc>
          <w:tcPr>
            <w:tcW w:w="1701" w:type="dxa"/>
            <w:vAlign w:val="center"/>
          </w:tcPr>
          <w:p w14:paraId="26D03D2E">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翻译</w:t>
            </w:r>
          </w:p>
        </w:tc>
        <w:tc>
          <w:tcPr>
            <w:tcW w:w="734" w:type="dxa"/>
            <w:vAlign w:val="center"/>
          </w:tcPr>
          <w:p w14:paraId="7F05FF23">
            <w:pPr>
              <w:widowControl w:val="0"/>
              <w:jc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10</w:t>
            </w:r>
            <w:r>
              <w:rPr>
                <w:rFonts w:ascii="宋体" w:hAnsi="宋体" w:eastAsia="宋体" w:cs="Times New Roman"/>
                <w:color w:val="000000"/>
                <w:kern w:val="2"/>
                <w:sz w:val="21"/>
                <w:szCs w:val="24"/>
                <w:lang w:val="en-US" w:eastAsia="zh-CN" w:bidi="ar-SA"/>
              </w:rPr>
              <w:t>%</w:t>
            </w:r>
          </w:p>
        </w:tc>
        <w:tc>
          <w:tcPr>
            <w:tcW w:w="3802" w:type="dxa"/>
            <w:vAlign w:val="center"/>
          </w:tcPr>
          <w:p w14:paraId="1D101CD7">
            <w:pPr>
              <w:spacing w:line="276" w:lineRule="auto"/>
              <w:rPr>
                <w:rFonts w:hint="eastAsia" w:ascii="宋体" w:hAnsi="宋体" w:eastAsia="宋体" w:cs="Times New Roman"/>
                <w:bCs/>
                <w:color w:val="000000"/>
                <w:kern w:val="24"/>
                <w:szCs w:val="21"/>
              </w:rPr>
            </w:pPr>
            <w:r>
              <w:rPr>
                <w:rFonts w:hint="eastAsia" w:ascii="宋体" w:hAnsi="宋体" w:eastAsia="宋体" w:cs="Times New Roman"/>
                <w:bCs/>
                <w:color w:val="000000"/>
                <w:kern w:val="24"/>
                <w:szCs w:val="21"/>
              </w:rPr>
              <w:t>不少于两次翻译练习和一次班级随堂测试（翻译练习、测试题由大学英语教学部统一命题并建立翻译题库），记录成绩并百分制打分，计</w:t>
            </w:r>
            <w:r>
              <w:rPr>
                <w:rFonts w:ascii="宋体" w:hAnsi="宋体" w:eastAsia="宋体" w:cs="Times New Roman"/>
                <w:bCs/>
                <w:color w:val="000000"/>
                <w:kern w:val="24"/>
                <w:szCs w:val="21"/>
              </w:rPr>
              <w:t>算平均成绩</w:t>
            </w:r>
            <w:r>
              <w:rPr>
                <w:rFonts w:hint="eastAsia" w:ascii="宋体" w:hAnsi="宋体" w:eastAsia="宋体" w:cs="Times New Roman"/>
                <w:bCs/>
                <w:color w:val="000000"/>
                <w:kern w:val="24"/>
                <w:szCs w:val="21"/>
              </w:rPr>
              <w:t>；满分100分</w:t>
            </w:r>
            <w:r>
              <w:rPr>
                <w:rFonts w:ascii="宋体" w:hAnsi="宋体" w:eastAsia="宋体" w:cs="Times New Roman"/>
                <w:bCs/>
                <w:color w:val="000000"/>
                <w:kern w:val="24"/>
                <w:szCs w:val="21"/>
              </w:rPr>
              <w:t>。</w:t>
            </w:r>
          </w:p>
        </w:tc>
        <w:tc>
          <w:tcPr>
            <w:tcW w:w="1701" w:type="dxa"/>
          </w:tcPr>
          <w:p w14:paraId="6D902177">
            <w:pPr>
              <w:widowControl w:val="0"/>
              <w:jc w:val="center"/>
              <w:rPr>
                <w:rFonts w:hint="eastAsia" w:ascii="宋体" w:hAnsi="宋体" w:eastAsia="宋体" w:cs="Times New Roman"/>
                <w:bCs/>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tr w14:paraId="47A3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tcMar>
              <w:left w:w="57" w:type="dxa"/>
              <w:right w:w="57" w:type="dxa"/>
            </w:tcMar>
            <w:vAlign w:val="center"/>
          </w:tcPr>
          <w:p w14:paraId="63B3AE34">
            <w:pPr>
              <w:widowControl w:val="0"/>
              <w:jc w:val="center"/>
              <w:rPr>
                <w:rFonts w:hint="eastAsia" w:ascii="宋体" w:hAnsi="宋体" w:eastAsia="宋体" w:cs="Times New Roman"/>
                <w:color w:val="000000"/>
                <w:kern w:val="2"/>
                <w:sz w:val="21"/>
                <w:szCs w:val="24"/>
                <w:lang w:val="en-US" w:eastAsia="zh-CN" w:bidi="ar-SA"/>
              </w:rPr>
            </w:pPr>
          </w:p>
        </w:tc>
        <w:tc>
          <w:tcPr>
            <w:tcW w:w="1701" w:type="dxa"/>
            <w:vAlign w:val="center"/>
          </w:tcPr>
          <w:p w14:paraId="1930C9B5">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第二课堂活动</w:t>
            </w:r>
          </w:p>
        </w:tc>
        <w:tc>
          <w:tcPr>
            <w:tcW w:w="734" w:type="dxa"/>
            <w:vAlign w:val="center"/>
          </w:tcPr>
          <w:p w14:paraId="13898B87">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1</w:t>
            </w:r>
            <w:r>
              <w:rPr>
                <w:rFonts w:hint="eastAsia" w:ascii="宋体" w:hAnsi="宋体" w:eastAsia="宋体" w:cs="Times New Roman"/>
                <w:color w:val="000000"/>
                <w:kern w:val="2"/>
                <w:sz w:val="21"/>
                <w:szCs w:val="24"/>
                <w:lang w:val="en-US" w:eastAsia="zh-CN" w:bidi="ar-SA"/>
              </w:rPr>
              <w:t>0%</w:t>
            </w:r>
          </w:p>
        </w:tc>
        <w:tc>
          <w:tcPr>
            <w:tcW w:w="3802" w:type="dxa"/>
            <w:vAlign w:val="center"/>
          </w:tcPr>
          <w:p w14:paraId="29BF8F05">
            <w:pPr>
              <w:spacing w:line="276" w:lineRule="auto"/>
              <w:rPr>
                <w:rFonts w:hint="eastAsia" w:ascii="宋体" w:hAnsi="宋体" w:eastAsia="宋体" w:cs="Times New Roman"/>
                <w:bCs/>
                <w:color w:val="000000"/>
                <w:kern w:val="24"/>
                <w:szCs w:val="21"/>
              </w:rPr>
            </w:pPr>
            <w:r>
              <w:rPr>
                <w:rFonts w:hint="eastAsia" w:ascii="宋体" w:hAnsi="宋体" w:eastAsia="宋体" w:cs="Times New Roman"/>
                <w:bCs/>
                <w:color w:val="000000"/>
                <w:kern w:val="24"/>
                <w:szCs w:val="21"/>
              </w:rPr>
              <w:t>基础分60分，参与英语类竞赛或大创项目每项加10分；竞赛获校级三等奖或参与大创项目获校级立项每项加</w:t>
            </w:r>
            <w:r>
              <w:rPr>
                <w:rFonts w:ascii="宋体" w:hAnsi="宋体" w:eastAsia="宋体" w:cs="Times New Roman"/>
                <w:bCs/>
                <w:color w:val="000000"/>
                <w:kern w:val="24"/>
                <w:szCs w:val="21"/>
              </w:rPr>
              <w:t>20</w:t>
            </w:r>
            <w:r>
              <w:rPr>
                <w:rFonts w:hint="eastAsia" w:ascii="宋体" w:hAnsi="宋体" w:eastAsia="宋体" w:cs="Times New Roman"/>
                <w:bCs/>
                <w:color w:val="000000"/>
                <w:kern w:val="24"/>
                <w:szCs w:val="21"/>
              </w:rPr>
              <w:t>分；竞赛获校级二等奖或大创项目获省级立项每项加30分；竞赛获校级一等奖及以上奖励或大创项目获国家级立项加40分（参与多项竞赛或大创项目分数可累加）；满分100分。</w:t>
            </w:r>
          </w:p>
        </w:tc>
        <w:tc>
          <w:tcPr>
            <w:tcW w:w="1701" w:type="dxa"/>
          </w:tcPr>
          <w:p w14:paraId="1FE18AFE">
            <w:pPr>
              <w:widowControl w:val="0"/>
              <w:jc w:val="center"/>
              <w:rPr>
                <w:rFonts w:hint="eastAsia" w:ascii="宋体" w:hAnsi="宋体" w:eastAsia="宋体" w:cs="Times New Roman"/>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tr w14:paraId="549E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47" w:type="dxa"/>
            <w:tcMar>
              <w:left w:w="57" w:type="dxa"/>
              <w:right w:w="57" w:type="dxa"/>
            </w:tcMar>
            <w:vAlign w:val="center"/>
          </w:tcPr>
          <w:p w14:paraId="14E3C847">
            <w:pPr>
              <w:widowControl w:val="0"/>
              <w:jc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期末考试</w:t>
            </w:r>
          </w:p>
          <w:p w14:paraId="3A62E5C4">
            <w:pPr>
              <w:widowControl w:val="0"/>
              <w:jc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50%</w:t>
            </w:r>
          </w:p>
        </w:tc>
        <w:tc>
          <w:tcPr>
            <w:tcW w:w="1701" w:type="dxa"/>
            <w:vAlign w:val="center"/>
          </w:tcPr>
          <w:p w14:paraId="018C073D">
            <w:pPr>
              <w:widowControl w:val="0"/>
              <w:jc w:val="center"/>
              <w:rPr>
                <w:rFonts w:hint="eastAsia" w:ascii="宋体" w:hAnsi="宋体" w:eastAsia="宋体" w:cs="Times New Roman"/>
                <w:color w:val="000000"/>
                <w:kern w:val="2"/>
                <w:sz w:val="21"/>
                <w:szCs w:val="24"/>
                <w:lang w:val="en-US" w:eastAsia="zh-CN" w:bidi="ar-SA"/>
              </w:rPr>
            </w:pPr>
            <w:r>
              <w:rPr>
                <w:rFonts w:ascii="宋体" w:hAnsi="宋体" w:eastAsia="宋体" w:cs="Times New Roman"/>
                <w:color w:val="000000"/>
                <w:kern w:val="2"/>
                <w:sz w:val="21"/>
                <w:szCs w:val="24"/>
                <w:lang w:val="en-US" w:eastAsia="zh-CN" w:bidi="ar-SA"/>
              </w:rPr>
              <w:t>期末考试</w:t>
            </w:r>
          </w:p>
        </w:tc>
        <w:tc>
          <w:tcPr>
            <w:tcW w:w="734" w:type="dxa"/>
            <w:vAlign w:val="center"/>
          </w:tcPr>
          <w:p w14:paraId="708A9EBB">
            <w:pPr>
              <w:widowControl w:val="0"/>
              <w:jc w:val="center"/>
              <w:rPr>
                <w:rFonts w:hint="eastAsia" w:ascii="宋体" w:hAnsi="宋体" w:eastAsia="宋体" w:cs="Times New Roman"/>
                <w:color w:val="000000"/>
                <w:kern w:val="2"/>
                <w:sz w:val="21"/>
                <w:szCs w:val="24"/>
                <w:lang w:val="en-US" w:eastAsia="zh-CN" w:bidi="ar-SA"/>
              </w:rPr>
            </w:pPr>
            <w:r>
              <w:rPr>
                <w:rFonts w:hint="eastAsia" w:ascii="宋体" w:hAnsi="宋体" w:eastAsia="宋体" w:cs="Times New Roman"/>
                <w:color w:val="000000"/>
                <w:kern w:val="2"/>
                <w:sz w:val="21"/>
                <w:szCs w:val="24"/>
                <w:lang w:val="en-US" w:eastAsia="zh-CN" w:bidi="ar-SA"/>
              </w:rPr>
              <w:t>100</w:t>
            </w:r>
            <w:r>
              <w:rPr>
                <w:rFonts w:ascii="宋体" w:hAnsi="宋体" w:eastAsia="宋体" w:cs="Times New Roman"/>
                <w:color w:val="000000"/>
                <w:kern w:val="2"/>
                <w:sz w:val="21"/>
                <w:szCs w:val="24"/>
                <w:lang w:val="en-US" w:eastAsia="zh-CN" w:bidi="ar-SA"/>
              </w:rPr>
              <w:t>%</w:t>
            </w:r>
          </w:p>
        </w:tc>
        <w:tc>
          <w:tcPr>
            <w:tcW w:w="3802" w:type="dxa"/>
            <w:vAlign w:val="center"/>
          </w:tcPr>
          <w:p w14:paraId="7E1D7FD8">
            <w:pPr>
              <w:widowControl w:val="0"/>
              <w:jc w:val="both"/>
              <w:rPr>
                <w:rFonts w:hint="eastAsia" w:ascii="宋体" w:hAnsi="宋体" w:eastAsia="宋体" w:cs="宋体"/>
                <w:bCs/>
                <w:color w:val="000000"/>
                <w:kern w:val="24"/>
                <w:sz w:val="21"/>
                <w:szCs w:val="24"/>
                <w:lang w:val="en-US" w:eastAsia="zh-CN" w:bidi="ar-SA"/>
              </w:rPr>
            </w:pPr>
            <w:r>
              <w:rPr>
                <w:rFonts w:hint="eastAsia" w:ascii="宋体" w:hAnsi="宋体" w:eastAsia="宋体" w:cs="Times New Roman"/>
                <w:bCs/>
                <w:color w:val="000000"/>
                <w:kern w:val="24"/>
                <w:sz w:val="21"/>
                <w:szCs w:val="24"/>
                <w:lang w:val="en-US" w:eastAsia="zh-CN" w:bidi="ar-SA"/>
              </w:rPr>
              <w:t>期末考试试题由大学英语教学部统一命题并建立试题库，</w:t>
            </w:r>
            <w:r>
              <w:rPr>
                <w:rFonts w:hint="eastAsia" w:ascii="宋体" w:hAnsi="宋体" w:eastAsia="宋体" w:cs="宋体"/>
                <w:bCs/>
                <w:color w:val="000000"/>
                <w:kern w:val="24"/>
                <w:sz w:val="21"/>
                <w:szCs w:val="24"/>
                <w:lang w:val="en-US" w:eastAsia="zh-CN" w:bidi="ar-SA"/>
              </w:rPr>
              <w:t>题型包括听力理解、词汇与结构、快速阅读、选词填空、</w:t>
            </w:r>
            <w:r>
              <w:rPr>
                <w:rFonts w:hint="eastAsia" w:ascii="宋体" w:hAnsi="宋体" w:eastAsia="宋体" w:cs="宋体"/>
                <w:color w:val="000000"/>
                <w:kern w:val="0"/>
                <w:sz w:val="21"/>
                <w:szCs w:val="24"/>
                <w:lang w:val="en-US" w:eastAsia="zh-CN" w:bidi="ar-SA"/>
              </w:rPr>
              <w:t>阅读理解、翻译和写作</w:t>
            </w:r>
            <w:r>
              <w:rPr>
                <w:rFonts w:hint="eastAsia" w:ascii="宋体" w:hAnsi="宋体" w:eastAsia="宋体" w:cs="宋体"/>
                <w:bCs/>
                <w:color w:val="000000"/>
                <w:kern w:val="24"/>
                <w:sz w:val="21"/>
                <w:szCs w:val="24"/>
                <w:lang w:val="en-US" w:eastAsia="zh-CN" w:bidi="ar-SA"/>
              </w:rPr>
              <w:t>等（每次考核可能题型不同，以当次考核题型为准），计入期考成绩；卷面满分100分。</w:t>
            </w:r>
          </w:p>
        </w:tc>
        <w:tc>
          <w:tcPr>
            <w:tcW w:w="1701" w:type="dxa"/>
          </w:tcPr>
          <w:p w14:paraId="589C6426">
            <w:pPr>
              <w:widowControl w:val="0"/>
              <w:jc w:val="center"/>
              <w:rPr>
                <w:rFonts w:hint="eastAsia" w:ascii="宋体" w:hAnsi="宋体" w:eastAsia="宋体" w:cs="Times New Roman"/>
                <w:color w:val="000000"/>
                <w:kern w:val="2"/>
                <w:sz w:val="21"/>
                <w:szCs w:val="24"/>
                <w:lang w:val="en-US" w:eastAsia="zh-CN" w:bidi="ar-SA"/>
              </w:rPr>
            </w:pPr>
            <w:r>
              <w:rPr>
                <w:rFonts w:hint="eastAsia" w:ascii="Times New Roman" w:hAnsi="Times New Roman" w:eastAsia="楷体" w:cs="Times New Roman"/>
                <w:color w:val="000000"/>
                <w:kern w:val="2"/>
                <w:sz w:val="21"/>
                <w:szCs w:val="24"/>
                <w:lang w:val="en-US" w:eastAsia="zh-CN" w:bidi="ar-SA"/>
              </w:rPr>
              <w:t>3-1、7-1、8-2</w:t>
            </w:r>
          </w:p>
        </w:tc>
      </w:tr>
      <w:bookmarkEnd w:id="201"/>
    </w:tbl>
    <w:p w14:paraId="75583993">
      <w:pPr>
        <w:spacing w:line="360" w:lineRule="auto"/>
        <w:rPr>
          <w:rFonts w:ascii="Times New Roman" w:hAnsi="Times New Roman" w:eastAsia="宋体" w:cs="Times New Roman"/>
          <w:b/>
          <w:color w:val="000000"/>
          <w:sz w:val="28"/>
          <w:szCs w:val="28"/>
        </w:rPr>
      </w:pPr>
    </w:p>
    <w:p w14:paraId="44F63A4D">
      <w:pPr>
        <w:spacing w:line="360" w:lineRule="auto"/>
        <w:outlineLvl w:val="2"/>
        <w:rPr>
          <w:rFonts w:ascii="Times New Roman" w:hAnsi="Times New Roman" w:eastAsia="宋体" w:cs="Times New Roman"/>
          <w:b/>
          <w:color w:val="000000"/>
          <w:sz w:val="28"/>
          <w:szCs w:val="28"/>
        </w:rPr>
      </w:pPr>
      <w:bookmarkStart w:id="202" w:name="_Toc10959"/>
      <w:r>
        <w:rPr>
          <w:rFonts w:hint="eastAsia" w:ascii="Times New Roman" w:hAnsi="Times New Roman" w:eastAsia="宋体" w:cs="Times New Roman"/>
          <w:b/>
          <w:color w:val="000000"/>
          <w:sz w:val="28"/>
          <w:szCs w:val="28"/>
        </w:rPr>
        <w:t>(三) 课程目标达成度计算方法</w:t>
      </w:r>
      <w:bookmarkEnd w:id="202"/>
    </w:p>
    <w:p w14:paraId="68A02408">
      <w:pPr>
        <w:spacing w:line="360" w:lineRule="auto"/>
        <w:ind w:firstLine="420" w:firstLineChars="200"/>
        <w:rPr>
          <w:rFonts w:hint="eastAsia" w:ascii="宋体" w:hAnsi="宋体" w:eastAsia="宋体" w:cs="Times New Roman"/>
          <w:b/>
          <w:color w:val="000000"/>
          <w:sz w:val="28"/>
          <w:szCs w:val="28"/>
        </w:rPr>
      </w:pPr>
      <w:r>
        <w:rPr>
          <w:rFonts w:ascii="宋体" w:hAnsi="宋体" w:eastAsia="宋体" w:cs="Times New Roman"/>
          <w:szCs w:val="22"/>
        </w:rPr>
        <w:t>所有课程目标均需大于等于 0.6，否则总评成绩不及格，需要补考或重修。每门课程目 标总体达成度计算方法如下</w:t>
      </w:r>
      <w:r>
        <w:rPr>
          <w:rFonts w:hint="eastAsia" w:ascii="宋体" w:hAnsi="宋体" w:eastAsia="宋体" w:cs="Times New Roman"/>
          <w:szCs w:val="22"/>
        </w:rPr>
        <w:t>：</w:t>
      </w:r>
    </w:p>
    <w:p w14:paraId="0EFBC1FB">
      <w:pPr>
        <w:spacing w:line="360" w:lineRule="auto"/>
        <w:rPr>
          <w:rFonts w:hint="eastAsia" w:ascii="宋体" w:hAnsi="宋体" w:eastAsia="宋体" w:cs="Times New Roman"/>
          <w:sz w:val="18"/>
          <w:szCs w:val="18"/>
        </w:rPr>
      </w:pPr>
      <w:r>
        <w:rPr>
          <w:rFonts w:ascii="宋体" w:hAnsi="宋体" w:eastAsia="宋体" w:cs="Times New Roman"/>
          <w:iCs/>
          <w:sz w:val="18"/>
          <w:szCs w:val="18"/>
        </w:rPr>
        <w:t>课程目标达成度</w:t>
      </w:r>
      <m:oMath>
        <m:r>
          <m:rPr/>
          <w:rPr>
            <w:rFonts w:ascii="Cambria Math" w:hAnsi="Cambria Math" w:eastAsia="宋体"/>
            <w:sz w:val="18"/>
            <w:szCs w:val="18"/>
          </w:rPr>
          <m:t>=</m:t>
        </m:r>
        <m:nary>
          <m:naryPr>
            <m:chr m:val="∑"/>
            <m:limLoc m:val="undOvr"/>
            <m:subHide m:val="1"/>
            <m:supHide m:val="1"/>
            <m:ctrlPr>
              <w:rPr>
                <w:rFonts w:ascii="Cambria Math" w:hAnsi="Cambria Math" w:eastAsia="宋体"/>
                <w:i/>
                <w:sz w:val="18"/>
                <w:szCs w:val="18"/>
              </w:rPr>
            </m:ctrlPr>
          </m:naryPr>
          <m:sub>
            <m:ctrlPr>
              <w:rPr>
                <w:rFonts w:ascii="Cambria Math" w:hAnsi="Cambria Math" w:eastAsia="宋体"/>
                <w:i/>
                <w:sz w:val="18"/>
                <w:szCs w:val="18"/>
              </w:rPr>
            </m:ctrlPr>
          </m:sub>
          <m:sup>
            <m:ctrlPr>
              <w:rPr>
                <w:rFonts w:ascii="Cambria Math" w:hAnsi="Cambria Math" w:eastAsia="宋体"/>
                <w:i/>
                <w:sz w:val="18"/>
                <w:szCs w:val="18"/>
              </w:rPr>
            </m:ctrlPr>
          </m:sup>
          <m:e>
            <m:r>
              <m:rPr>
                <m:sty m:val="p"/>
              </m:rPr>
              <w:rPr>
                <w:rFonts w:hint="eastAsia" w:ascii="Cambria Math" w:hAnsi="Cambria Math" w:eastAsia="宋体"/>
                <w:sz w:val="18"/>
                <w:szCs w:val="18"/>
              </w:rPr>
              <m:t>课程子目标的权重值（a）</m:t>
            </m:r>
            <m:r>
              <m:rPr>
                <m:sty m:val="p"/>
              </m:rPr>
              <w:rPr>
                <w:rFonts w:ascii="Cambria Math" w:hAnsi="Cambria Math" w:eastAsia="宋体"/>
                <w:sz w:val="18"/>
                <w:szCs w:val="18"/>
              </w:rPr>
              <m:t>×</m:t>
            </m:r>
            <m:nary>
              <m:naryPr>
                <m:chr m:val="∑"/>
                <m:limLoc m:val="undOvr"/>
                <m:subHide m:val="1"/>
                <m:supHide m:val="1"/>
                <m:ctrlPr>
                  <w:rPr>
                    <w:rFonts w:ascii="Cambria Math" w:hAnsi="Cambria Math" w:eastAsia="宋体"/>
                    <w:iCs/>
                    <w:sz w:val="18"/>
                    <w:szCs w:val="18"/>
                  </w:rPr>
                </m:ctrlPr>
              </m:naryPr>
              <m:sub>
                <m:ctrlPr>
                  <w:rPr>
                    <w:rFonts w:ascii="Cambria Math" w:hAnsi="Cambria Math" w:eastAsia="宋体"/>
                    <w:iCs/>
                    <w:sz w:val="18"/>
                    <w:szCs w:val="18"/>
                  </w:rPr>
                </m:ctrlPr>
              </m:sub>
              <m:sup>
                <m:ctrlPr>
                  <w:rPr>
                    <w:rFonts w:ascii="Cambria Math" w:hAnsi="Cambria Math" w:eastAsia="宋体"/>
                    <w:iCs/>
                    <w:sz w:val="18"/>
                    <w:szCs w:val="18"/>
                  </w:rPr>
                </m:ctrlPr>
              </m:sup>
              <m:e>
                <m:r>
                  <m:rPr>
                    <m:sty m:val="p"/>
                  </m:rPr>
                  <w:rPr>
                    <w:rFonts w:hint="eastAsia" w:ascii="Cambria Math" w:hAnsi="Cambria Math" w:eastAsia="宋体"/>
                    <w:sz w:val="18"/>
                    <w:szCs w:val="18"/>
                  </w:rPr>
                  <m:t>课程考核目标的权重值（b）</m:t>
                </m:r>
                <m:ctrlPr>
                  <w:rPr>
                    <w:rFonts w:ascii="Cambria Math" w:hAnsi="Cambria Math" w:eastAsia="宋体"/>
                    <w:iCs/>
                    <w:sz w:val="18"/>
                    <w:szCs w:val="18"/>
                  </w:rPr>
                </m:ctrlPr>
              </m:e>
            </m:nary>
            <m:ctrlPr>
              <w:rPr>
                <w:rFonts w:ascii="Cambria Math" w:hAnsi="Cambria Math" w:eastAsia="宋体"/>
                <w:i/>
                <w:sz w:val="18"/>
                <w:szCs w:val="18"/>
              </w:rPr>
            </m:ctrlPr>
          </m:e>
        </m:nary>
        <m:f>
          <m:fPr>
            <m:ctrlPr>
              <w:rPr>
                <w:rFonts w:ascii="Cambria Math" w:hAnsi="Cambria Math" w:eastAsia="宋体"/>
                <w:iCs/>
                <w:sz w:val="18"/>
                <w:szCs w:val="18"/>
              </w:rPr>
            </m:ctrlPr>
          </m:fPr>
          <m:num>
            <m:r>
              <m:rPr>
                <m:sty m:val="p"/>
              </m:rPr>
              <w:rPr>
                <w:rFonts w:hint="eastAsia" w:ascii="Cambria Math" w:hAnsi="Cambria Math" w:eastAsia="宋体"/>
                <w:sz w:val="18"/>
                <w:szCs w:val="18"/>
              </w:rPr>
              <m:t>考核项目平均分</m:t>
            </m:r>
            <m:ctrlPr>
              <w:rPr>
                <w:rFonts w:ascii="Cambria Math" w:hAnsi="Cambria Math" w:eastAsia="宋体"/>
                <w:iCs/>
                <w:sz w:val="18"/>
                <w:szCs w:val="18"/>
              </w:rPr>
            </m:ctrlPr>
          </m:num>
          <m:den>
            <m:r>
              <m:rPr>
                <m:sty m:val="p"/>
              </m:rPr>
              <w:rPr>
                <w:rFonts w:hint="eastAsia" w:ascii="Cambria Math" w:hAnsi="Cambria Math" w:eastAsia="宋体"/>
                <w:sz w:val="18"/>
                <w:szCs w:val="18"/>
              </w:rPr>
              <m:t>考核项目总分</m:t>
            </m:r>
            <m:ctrlPr>
              <w:rPr>
                <w:rFonts w:ascii="Cambria Math" w:hAnsi="Cambria Math" w:eastAsia="宋体"/>
                <w:iCs/>
                <w:sz w:val="18"/>
                <w:szCs w:val="18"/>
              </w:rPr>
            </m:ctrlPr>
          </m:den>
        </m:f>
      </m:oMath>
    </w:p>
    <w:p w14:paraId="18D699CE">
      <w:pPr>
        <w:spacing w:line="360" w:lineRule="auto"/>
        <w:rPr>
          <w:rFonts w:ascii="Times New Roman" w:hAnsi="Times New Roman" w:eastAsia="宋体" w:cs="Times New Roman"/>
          <w:b/>
          <w:color w:val="000000"/>
          <w:sz w:val="28"/>
          <w:szCs w:val="28"/>
        </w:rPr>
      </w:pPr>
    </w:p>
    <w:p w14:paraId="6C237E85">
      <w:pPr>
        <w:spacing w:line="360" w:lineRule="auto"/>
        <w:outlineLvl w:val="1"/>
        <w:rPr>
          <w:rFonts w:ascii="Times New Roman" w:hAnsi="Times New Roman" w:eastAsia="宋体" w:cs="Times New Roman"/>
          <w:b/>
          <w:color w:val="000000"/>
          <w:sz w:val="28"/>
          <w:szCs w:val="28"/>
        </w:rPr>
      </w:pPr>
      <w:bookmarkStart w:id="203" w:name="_Toc32256"/>
      <w:r>
        <w:rPr>
          <w:rFonts w:hint="eastAsia" w:ascii="Times New Roman" w:hAnsi="Times New Roman" w:eastAsia="宋体" w:cs="Times New Roman"/>
          <w:b/>
          <w:color w:val="000000"/>
          <w:sz w:val="28"/>
          <w:szCs w:val="28"/>
        </w:rPr>
        <w:t>七、有关说明</w:t>
      </w:r>
      <w:bookmarkEnd w:id="203"/>
    </w:p>
    <w:p w14:paraId="32C76330">
      <w:pPr>
        <w:spacing w:line="360" w:lineRule="auto"/>
        <w:ind w:firstLine="482" w:firstLineChars="200"/>
        <w:outlineLvl w:val="2"/>
        <w:rPr>
          <w:rFonts w:hint="eastAsia" w:ascii="宋体" w:hAnsi="宋体" w:eastAsia="宋体" w:cs="宋体"/>
          <w:b/>
          <w:color w:val="000000"/>
          <w:kern w:val="0"/>
          <w:sz w:val="24"/>
          <w:szCs w:val="24"/>
        </w:rPr>
      </w:pPr>
      <w:bookmarkStart w:id="204" w:name="_Toc14864"/>
      <w:r>
        <w:rPr>
          <w:rFonts w:hint="eastAsia" w:ascii="宋体" w:hAnsi="宋体" w:eastAsia="宋体" w:cs="宋体"/>
          <w:b/>
          <w:color w:val="000000"/>
          <w:sz w:val="24"/>
          <w:szCs w:val="24"/>
        </w:rPr>
        <w:t>（一）持续改进</w:t>
      </w:r>
      <w:bookmarkEnd w:id="204"/>
    </w:p>
    <w:p w14:paraId="2142E6A8">
      <w:pPr>
        <w:widowControl/>
        <w:spacing w:line="360" w:lineRule="auto"/>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本课程根据学生作业、课堂讨论、平时考核情况和学生、教学督导等的反馈，及时对教学中的不足之处进行改进，并在下一轮课程教学中整改完善。</w:t>
      </w:r>
    </w:p>
    <w:p w14:paraId="30720302">
      <w:pPr>
        <w:widowControl/>
        <w:spacing w:line="360" w:lineRule="auto"/>
        <w:ind w:firstLine="482" w:firstLineChars="200"/>
        <w:jc w:val="left"/>
        <w:outlineLvl w:val="2"/>
        <w:rPr>
          <w:rFonts w:hint="eastAsia" w:ascii="宋体" w:hAnsi="宋体" w:eastAsia="宋体" w:cs="宋体"/>
          <w:b/>
          <w:color w:val="000000"/>
          <w:kern w:val="0"/>
          <w:sz w:val="24"/>
          <w:szCs w:val="24"/>
        </w:rPr>
      </w:pPr>
      <w:bookmarkStart w:id="205" w:name="_Toc19936"/>
      <w:r>
        <w:rPr>
          <w:rFonts w:hint="eastAsia" w:ascii="宋体" w:hAnsi="宋体" w:eastAsia="宋体" w:cs="宋体"/>
          <w:b/>
          <w:color w:val="000000"/>
          <w:kern w:val="0"/>
          <w:sz w:val="24"/>
          <w:szCs w:val="24"/>
        </w:rPr>
        <w:t>（二）参考书目与学习资料</w:t>
      </w:r>
      <w:bookmarkEnd w:id="205"/>
    </w:p>
    <w:p w14:paraId="5AE11ED3">
      <w:pPr>
        <w:spacing w:line="440" w:lineRule="exact"/>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1、《全新版大学进阶英语综合教程》（第二版），李荫华总主编，上海外语教育出版社，2023</w:t>
      </w:r>
    </w:p>
    <w:p w14:paraId="744CC980">
      <w:pPr>
        <w:spacing w:line="440" w:lineRule="exact"/>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2、《大学英语听说教程》（智慧版），陈向京总主编，外语教学与研究出版社，2023</w:t>
      </w:r>
    </w:p>
    <w:p w14:paraId="33E17B75">
      <w:pPr>
        <w:spacing w:line="440" w:lineRule="exact"/>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4、《新编大学英语综合技能进阶教程》（第1版），汤月明等主编，东南大学出版社，2024</w:t>
      </w:r>
    </w:p>
    <w:p w14:paraId="3CE9B15D">
      <w:pPr>
        <w:widowControl/>
        <w:spacing w:before="100" w:beforeAutospacing="1" w:after="100" w:afterAutospacing="1" w:line="270" w:lineRule="atLeast"/>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6、《朗文当代高级英语辞典》（第5版），英国培生教育出版集团编，外语教学与研究出版社，2014</w:t>
      </w:r>
    </w:p>
    <w:p w14:paraId="1C6926A5">
      <w:pPr>
        <w:widowControl/>
        <w:spacing w:before="100" w:beforeAutospacing="1" w:after="100" w:afterAutospacing="1" w:line="270" w:lineRule="atLeast"/>
        <w:ind w:firstLine="420" w:firstLineChars="200"/>
        <w:jc w:val="left"/>
        <w:rPr>
          <w:rFonts w:hint="eastAsia" w:ascii="宋体" w:hAnsi="宋体" w:eastAsia="宋体" w:cs="宋体"/>
          <w:color w:val="000000"/>
          <w:kern w:val="0"/>
          <w:szCs w:val="21"/>
        </w:rPr>
      </w:pPr>
      <w:r>
        <w:rPr>
          <w:rFonts w:ascii="宋体" w:hAnsi="宋体" w:eastAsia="宋体" w:cs="宋体"/>
          <w:color w:val="000000"/>
          <w:kern w:val="0"/>
          <w:szCs w:val="21"/>
        </w:rPr>
        <w:t>6</w:t>
      </w:r>
      <w:r>
        <w:rPr>
          <w:rFonts w:hint="eastAsia" w:ascii="宋体" w:hAnsi="宋体" w:eastAsia="宋体" w:cs="宋体"/>
          <w:color w:val="000000"/>
          <w:kern w:val="0"/>
          <w:szCs w:val="21"/>
        </w:rPr>
        <w:t>、《牛津高阶英汉双解词典》（第8版），霍恩比著，赵翠莲等译，商务印书馆，2014</w:t>
      </w:r>
    </w:p>
    <w:p w14:paraId="68ED36EA">
      <w:pPr>
        <w:widowControl/>
        <w:spacing w:before="100" w:beforeAutospacing="1" w:after="100" w:afterAutospacing="1" w:line="270" w:lineRule="atLeast"/>
        <w:jc w:val="left"/>
        <w:rPr>
          <w:rFonts w:hint="eastAsia" w:ascii="宋体" w:hAnsi="宋体" w:eastAsia="宋体" w:cs="宋体"/>
          <w:b/>
          <w:bCs/>
          <w:color w:val="000000"/>
          <w:kern w:val="0"/>
          <w:szCs w:val="21"/>
        </w:rPr>
      </w:pPr>
      <w:r>
        <w:rPr>
          <w:rFonts w:ascii="宋体" w:hAnsi="宋体" w:eastAsia="宋体" w:cs="宋体"/>
          <w:b/>
          <w:bCs/>
          <w:color w:val="000000"/>
          <w:kern w:val="0"/>
          <w:szCs w:val="21"/>
        </w:rPr>
        <w:t>在线开放课程网址</w:t>
      </w:r>
      <w:r>
        <w:rPr>
          <w:rFonts w:hint="eastAsia" w:ascii="宋体" w:hAnsi="宋体" w:eastAsia="宋体" w:cs="宋体"/>
          <w:b/>
          <w:bCs/>
          <w:color w:val="000000"/>
          <w:kern w:val="0"/>
          <w:szCs w:val="21"/>
        </w:rPr>
        <w:t>：</w:t>
      </w:r>
    </w:p>
    <w:p w14:paraId="617E57A0">
      <w:pPr>
        <w:spacing w:line="440" w:lineRule="exact"/>
        <w:ind w:left="804" w:leftChars="229" w:hanging="323" w:hangingChars="154"/>
        <w:jc w:val="left"/>
        <w:rPr>
          <w:rFonts w:hint="eastAsia" w:ascii="宋体" w:hAnsi="宋体" w:eastAsia="宋体" w:cs="Times New Roman"/>
          <w:color w:val="000000"/>
          <w:szCs w:val="21"/>
        </w:rPr>
      </w:pPr>
      <w:r>
        <w:rPr>
          <w:rFonts w:hint="eastAsia" w:ascii="宋体" w:hAnsi="宋体" w:eastAsia="宋体" w:cs="Times New Roman"/>
          <w:color w:val="000000"/>
          <w:szCs w:val="21"/>
        </w:rPr>
        <w:t>1、常工院尔雅通识网络课程</w:t>
      </w:r>
    </w:p>
    <w:p w14:paraId="2F152F46">
      <w:pPr>
        <w:spacing w:line="440" w:lineRule="exact"/>
        <w:ind w:left="481" w:leftChars="229" w:firstLine="359"/>
        <w:jc w:val="left"/>
        <w:rPr>
          <w:rFonts w:hint="eastAsia" w:ascii="宋体" w:hAnsi="宋体" w:eastAsia="宋体" w:cs="Times New Roman"/>
          <w:color w:val="000000"/>
          <w:szCs w:val="21"/>
        </w:rPr>
      </w:pPr>
      <w:r>
        <w:rPr>
          <w:rFonts w:hint="eastAsia" w:ascii="宋体" w:hAnsi="宋体" w:eastAsia="宋体" w:cs="Times New Roman"/>
          <w:color w:val="000000"/>
          <w:szCs w:val="21"/>
        </w:rPr>
        <w:t>h</w:t>
      </w:r>
      <w:r>
        <w:rPr>
          <w:rFonts w:ascii="宋体" w:hAnsi="宋体" w:eastAsia="宋体" w:cs="Times New Roman"/>
          <w:color w:val="000000"/>
          <w:szCs w:val="21"/>
        </w:rPr>
        <w:t>ttps://czgxy.fanya.chaoxing.com</w:t>
      </w:r>
    </w:p>
    <w:p w14:paraId="5F98DA89">
      <w:pPr>
        <w:spacing w:line="440" w:lineRule="exact"/>
        <w:ind w:left="802" w:leftChars="227" w:hanging="325" w:hangingChars="155"/>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江苏省在线课程中心/爱课程</w:t>
      </w:r>
    </w:p>
    <w:p w14:paraId="28A43FC1">
      <w:pPr>
        <w:spacing w:line="440" w:lineRule="exact"/>
        <w:ind w:left="687" w:leftChars="327" w:firstLine="153"/>
        <w:jc w:val="left"/>
        <w:rPr>
          <w:rFonts w:hint="eastAsia" w:ascii="宋体" w:hAnsi="宋体" w:eastAsia="宋体" w:cs="Times New Roman"/>
          <w:color w:val="000000"/>
          <w:szCs w:val="21"/>
        </w:rPr>
      </w:pPr>
      <w:r>
        <w:rPr>
          <w:rFonts w:ascii="宋体" w:hAnsi="宋体" w:eastAsia="宋体" w:cs="Times New Roman"/>
          <w:color w:val="000000"/>
          <w:szCs w:val="21"/>
        </w:rPr>
        <w:t>https://www.icourse163.org/</w:t>
      </w:r>
    </w:p>
    <w:p w14:paraId="3F58D08F">
      <w:pPr>
        <w:spacing w:line="440" w:lineRule="exact"/>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常州工学院毕博网络教学平台</w:t>
      </w:r>
    </w:p>
    <w:p w14:paraId="32FD0E2F">
      <w:pPr>
        <w:spacing w:line="440" w:lineRule="exact"/>
        <w:ind w:left="481" w:leftChars="229" w:firstLine="359"/>
        <w:jc w:val="left"/>
        <w:rPr>
          <w:rFonts w:hint="eastAsia" w:ascii="宋体" w:hAnsi="宋体" w:eastAsia="宋体" w:cs="Times New Roman"/>
          <w:color w:val="000000"/>
          <w:szCs w:val="21"/>
        </w:rPr>
      </w:pPr>
      <w:r>
        <w:rPr>
          <w:rFonts w:ascii="等线" w:hAnsi="等线" w:eastAsia="等线" w:cs="Times New Roman"/>
          <w:szCs w:val="22"/>
        </w:rPr>
        <w:fldChar w:fldCharType="begin"/>
      </w:r>
      <w:r>
        <w:rPr>
          <w:rFonts w:ascii="等线" w:hAnsi="等线" w:eastAsia="等线" w:cs="Times New Roman"/>
          <w:szCs w:val="22"/>
        </w:rPr>
        <w:instrText xml:space="preserve"> HYPERLINK "https://bbclass.czu.cn/" </w:instrText>
      </w:r>
      <w:r>
        <w:rPr>
          <w:rFonts w:ascii="等线" w:hAnsi="等线" w:eastAsia="等线" w:cs="Times New Roman"/>
          <w:szCs w:val="22"/>
        </w:rPr>
        <w:fldChar w:fldCharType="separate"/>
      </w:r>
      <w:r>
        <w:rPr>
          <w:rFonts w:ascii="宋体" w:hAnsi="宋体" w:eastAsia="宋体" w:cs="Times New Roman"/>
          <w:color w:val="000000"/>
          <w:szCs w:val="21"/>
        </w:rPr>
        <w:t>https://bbclass.czu.cn/</w:t>
      </w:r>
      <w:r>
        <w:rPr>
          <w:rFonts w:ascii="宋体" w:hAnsi="宋体" w:eastAsia="宋体" w:cs="Times New Roman"/>
          <w:color w:val="000000"/>
          <w:szCs w:val="21"/>
        </w:rPr>
        <w:fldChar w:fldCharType="end"/>
      </w:r>
    </w:p>
    <w:p w14:paraId="4C379B48">
      <w:pPr>
        <w:spacing w:line="440" w:lineRule="exact"/>
        <w:ind w:left="804" w:leftChars="229" w:hanging="323" w:hangingChars="154"/>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w:t>
      </w:r>
      <w:r>
        <w:rPr>
          <w:rFonts w:ascii="宋体" w:hAnsi="宋体" w:eastAsia="宋体" w:cs="Times New Roman"/>
          <w:color w:val="000000"/>
          <w:szCs w:val="21"/>
        </w:rPr>
        <w:t>国家精品课程资源网</w:t>
      </w:r>
    </w:p>
    <w:p w14:paraId="610CE4A5">
      <w:pPr>
        <w:spacing w:line="440" w:lineRule="exact"/>
        <w:ind w:left="481" w:leftChars="229" w:firstLine="359"/>
        <w:jc w:val="left"/>
        <w:rPr>
          <w:rFonts w:hint="eastAsia" w:ascii="宋体" w:hAnsi="宋体" w:eastAsia="宋体" w:cs="Times New Roman"/>
          <w:color w:val="000000"/>
          <w:szCs w:val="21"/>
          <w:u w:val="single"/>
        </w:rPr>
      </w:pPr>
      <w:r>
        <w:rPr>
          <w:rFonts w:ascii="宋体" w:hAnsi="宋体" w:eastAsia="宋体" w:cs="Times New Roman"/>
          <w:color w:val="000000"/>
          <w:szCs w:val="21"/>
          <w:u w:val="single"/>
        </w:rPr>
        <w:t>http://www.jingpinke.com/</w:t>
      </w:r>
    </w:p>
    <w:p w14:paraId="18301CE2">
      <w:pPr>
        <w:spacing w:line="440" w:lineRule="exact"/>
        <w:ind w:left="804" w:leftChars="229" w:hanging="323" w:hangingChars="154"/>
        <w:jc w:val="left"/>
        <w:rPr>
          <w:rFonts w:hint="eastAsia"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1"/>
        </w:rPr>
        <w:t>、</w:t>
      </w:r>
      <w:r>
        <w:rPr>
          <w:rFonts w:ascii="宋体" w:hAnsi="宋体" w:eastAsia="宋体" w:cs="Times New Roman"/>
          <w:color w:val="000000"/>
          <w:szCs w:val="21"/>
        </w:rPr>
        <w:t>好大学在线CNMOOC_中国顶尖的慕课平台</w:t>
      </w:r>
    </w:p>
    <w:p w14:paraId="36F58658">
      <w:pPr>
        <w:spacing w:line="440" w:lineRule="exact"/>
        <w:ind w:firstLine="743" w:firstLineChars="354"/>
        <w:jc w:val="left"/>
        <w:rPr>
          <w:rFonts w:hint="eastAsia" w:ascii="宋体" w:hAnsi="宋体" w:eastAsia="宋体" w:cs="Times New Roman"/>
          <w:color w:val="000000"/>
          <w:szCs w:val="21"/>
        </w:rPr>
      </w:pPr>
      <w:r>
        <w:rPr>
          <w:rFonts w:ascii="宋体" w:hAnsi="宋体" w:eastAsia="宋体" w:cs="Times New Roman"/>
          <w:color w:val="000000"/>
          <w:szCs w:val="21"/>
        </w:rPr>
        <w:t>https://www.cnmooc.org/home/index.mooc</w:t>
      </w:r>
    </w:p>
    <w:p w14:paraId="0AFF6DE8">
      <w:pPr>
        <w:widowControl/>
        <w:spacing w:line="360" w:lineRule="auto"/>
        <w:ind w:firstLine="422" w:firstLineChars="200"/>
        <w:jc w:val="left"/>
        <w:rPr>
          <w:rFonts w:hint="eastAsia" w:ascii="宋体" w:hAnsi="宋体" w:eastAsia="宋体" w:cs="宋体"/>
          <w:b/>
          <w:color w:val="000000"/>
          <w:kern w:val="0"/>
          <w:szCs w:val="21"/>
        </w:rPr>
      </w:pPr>
    </w:p>
    <w:p w14:paraId="37EE3C77">
      <w:pPr>
        <w:spacing w:line="360" w:lineRule="auto"/>
        <w:ind w:firstLine="5218" w:firstLineChars="2485"/>
        <w:rPr>
          <w:rFonts w:hint="eastAsia" w:ascii="宋体" w:hAnsi="宋体" w:eastAsia="宋体" w:cs="宋体"/>
          <w:color w:val="000000"/>
          <w:szCs w:val="21"/>
        </w:rPr>
      </w:pPr>
      <w:r>
        <w:rPr>
          <w:rFonts w:hint="eastAsia" w:ascii="宋体" w:hAnsi="宋体" w:eastAsia="宋体" w:cs="宋体"/>
          <w:color w:val="000000"/>
          <w:szCs w:val="21"/>
        </w:rPr>
        <w:t>执笔人：汤月明</w:t>
      </w:r>
    </w:p>
    <w:p w14:paraId="1C2240E7">
      <w:pPr>
        <w:spacing w:line="360" w:lineRule="auto"/>
        <w:ind w:firstLine="5218" w:firstLineChars="2485"/>
        <w:rPr>
          <w:rFonts w:hint="eastAsia" w:ascii="宋体" w:hAnsi="宋体" w:eastAsia="宋体" w:cs="宋体"/>
          <w:color w:val="000000"/>
          <w:szCs w:val="21"/>
        </w:rPr>
      </w:pPr>
      <w:r>
        <w:rPr>
          <w:rFonts w:hint="eastAsia" w:ascii="宋体" w:hAnsi="宋体" w:eastAsia="宋体" w:cs="宋体"/>
          <w:color w:val="000000"/>
          <w:szCs w:val="21"/>
        </w:rPr>
        <w:t>审定人：施云波</w:t>
      </w:r>
    </w:p>
    <w:p w14:paraId="00334CB2">
      <w:pPr>
        <w:spacing w:line="360" w:lineRule="auto"/>
        <w:ind w:firstLine="5218" w:firstLineChars="2485"/>
        <w:rPr>
          <w:rFonts w:hint="eastAsia" w:ascii="宋体" w:hAnsi="宋体" w:eastAsia="宋体" w:cs="宋体"/>
          <w:color w:val="000000"/>
          <w:szCs w:val="21"/>
        </w:rPr>
      </w:pPr>
      <w:r>
        <w:rPr>
          <w:rFonts w:hint="eastAsia" w:ascii="宋体" w:hAnsi="宋体" w:eastAsia="宋体" w:cs="宋体"/>
          <w:color w:val="000000"/>
          <w:szCs w:val="21"/>
        </w:rPr>
        <w:t xml:space="preserve">批准人：李 </w:t>
      </w:r>
      <w:r>
        <w:rPr>
          <w:rFonts w:ascii="宋体" w:hAnsi="宋体" w:eastAsia="宋体" w:cs="宋体"/>
          <w:color w:val="000000"/>
          <w:szCs w:val="21"/>
        </w:rPr>
        <w:t xml:space="preserve"> </w:t>
      </w:r>
      <w:r>
        <w:rPr>
          <w:rFonts w:hint="eastAsia" w:ascii="宋体" w:hAnsi="宋体" w:eastAsia="宋体" w:cs="宋体"/>
          <w:color w:val="000000"/>
          <w:szCs w:val="21"/>
        </w:rPr>
        <w:t>静</w:t>
      </w:r>
    </w:p>
    <w:p w14:paraId="50F5A856">
      <w:pPr>
        <w:spacing w:line="360" w:lineRule="auto"/>
        <w:ind w:firstLine="5250" w:firstLineChars="2500"/>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批准时间：</w:t>
      </w:r>
      <w:r>
        <w:rPr>
          <w:rFonts w:hint="eastAsia" w:ascii="宋体" w:hAnsi="宋体" w:eastAsia="宋体" w:cs="宋体"/>
          <w:color w:val="000000"/>
          <w:szCs w:val="21"/>
        </w:rPr>
        <w:t>2024年9月</w:t>
      </w:r>
      <w:r>
        <w:rPr>
          <w:rFonts w:hint="eastAsia" w:ascii="宋体" w:hAnsi="宋体" w:eastAsia="宋体" w:cs="宋体"/>
          <w:color w:val="000000"/>
          <w:szCs w:val="21"/>
          <w:lang w:val="en-US" w:eastAsia="zh-CN"/>
        </w:rPr>
        <w:t>1日</w:t>
      </w:r>
    </w:p>
    <w:p w14:paraId="338294B5">
      <w:pPr>
        <w:rPr>
          <w:rFonts w:hint="eastAsia" w:ascii="宋体" w:hAnsi="宋体" w:cs="宋体"/>
          <w:b/>
          <w:bCs/>
          <w:color w:val="000000"/>
          <w:kern w:val="0"/>
          <w:sz w:val="43"/>
          <w:szCs w:val="43"/>
          <w:lang w:bidi="ar"/>
        </w:rPr>
      </w:pPr>
      <w:r>
        <w:rPr>
          <w:rFonts w:hint="eastAsia" w:ascii="宋体" w:hAnsi="宋体" w:cs="宋体"/>
          <w:b/>
          <w:bCs/>
          <w:color w:val="000000"/>
          <w:kern w:val="0"/>
          <w:sz w:val="43"/>
          <w:szCs w:val="43"/>
          <w:lang w:bidi="ar"/>
        </w:rPr>
        <w:br w:type="page"/>
      </w:r>
    </w:p>
    <w:p w14:paraId="3CEF25C9">
      <w:pPr>
        <w:pStyle w:val="2"/>
        <w:bidi w:val="0"/>
        <w:rPr>
          <w:rFonts w:hint="eastAsia"/>
        </w:rPr>
      </w:pPr>
      <w:r>
        <w:rPr>
          <w:rFonts w:hint="eastAsia"/>
        </w:rPr>
        <w:t>《大学英语B(II)》课程教学大纲</w:t>
      </w:r>
    </w:p>
    <w:p w14:paraId="4E7914A6">
      <w:pPr>
        <w:pStyle w:val="2"/>
        <w:bidi w:val="0"/>
        <w:rPr>
          <w:rFonts w:hint="eastAsia"/>
        </w:rPr>
      </w:pPr>
      <w:r>
        <w:rPr>
          <w:rFonts w:hint="eastAsia"/>
        </w:rPr>
        <w:t>Co</w:t>
      </w:r>
      <w:r>
        <w:t xml:space="preserve">llege English B </w:t>
      </w:r>
      <w:r>
        <w:rPr>
          <w:rFonts w:hint="eastAsia"/>
        </w:rPr>
        <w:t xml:space="preserve"> </w:t>
      </w:r>
      <w:r>
        <w:t>(I</w:t>
      </w:r>
      <w:r>
        <w:rPr>
          <w:rFonts w:hint="eastAsia"/>
        </w:rPr>
        <w:t>I</w:t>
      </w:r>
      <w:r>
        <w:t>)</w:t>
      </w:r>
    </w:p>
    <w:p w14:paraId="747D9AE2">
      <w:pPr>
        <w:spacing w:line="360" w:lineRule="auto"/>
        <w:rPr>
          <w:b/>
          <w:bCs/>
          <w:color w:val="000000"/>
          <w:kern w:val="0"/>
          <w:sz w:val="24"/>
        </w:rPr>
      </w:pPr>
    </w:p>
    <w:p w14:paraId="0D9388D0">
      <w:pPr>
        <w:spacing w:line="360" w:lineRule="auto"/>
        <w:ind w:firstLine="482" w:firstLineChars="200"/>
        <w:rPr>
          <w:b/>
          <w:bCs/>
          <w:color w:val="000000"/>
          <w:kern w:val="0"/>
          <w:sz w:val="24"/>
        </w:rPr>
      </w:pPr>
      <w:r>
        <w:rPr>
          <w:rFonts w:hint="eastAsia"/>
          <w:b/>
          <w:bCs/>
          <w:color w:val="000000"/>
          <w:kern w:val="0"/>
          <w:sz w:val="24"/>
        </w:rPr>
        <w:t>课程名称：大学英语B（II）</w:t>
      </w:r>
    </w:p>
    <w:p w14:paraId="4993CA69">
      <w:pPr>
        <w:spacing w:line="360" w:lineRule="auto"/>
        <w:ind w:firstLine="482" w:firstLineChars="200"/>
        <w:rPr>
          <w:rFonts w:ascii="宋体" w:hAnsi="宋体"/>
          <w:bCs/>
          <w:color w:val="000000"/>
          <w:kern w:val="0"/>
          <w:sz w:val="24"/>
        </w:rPr>
      </w:pPr>
      <w:r>
        <w:rPr>
          <w:b/>
          <w:bCs/>
          <w:color w:val="000000"/>
          <w:kern w:val="0"/>
          <w:sz w:val="24"/>
        </w:rPr>
        <w:t>课程代码</w:t>
      </w:r>
      <w:r>
        <w:rPr>
          <w:b/>
          <w:color w:val="000000"/>
          <w:kern w:val="0"/>
          <w:sz w:val="24"/>
        </w:rPr>
        <w:t>：</w:t>
      </w:r>
      <w:r>
        <w:rPr>
          <w:rFonts w:hint="eastAsia"/>
          <w:b/>
          <w:color w:val="000000"/>
          <w:kern w:val="0"/>
          <w:sz w:val="24"/>
        </w:rPr>
        <w:t>0605002</w:t>
      </w:r>
    </w:p>
    <w:p w14:paraId="77BDE9BC">
      <w:pPr>
        <w:spacing w:line="360" w:lineRule="auto"/>
        <w:ind w:firstLine="482" w:firstLineChars="200"/>
        <w:rPr>
          <w:rFonts w:hint="eastAsia"/>
          <w:color w:val="000000"/>
          <w:kern w:val="0"/>
          <w:sz w:val="24"/>
        </w:rPr>
      </w:pPr>
      <w:r>
        <w:rPr>
          <w:b/>
          <w:bCs/>
          <w:color w:val="000000"/>
          <w:kern w:val="0"/>
          <w:sz w:val="24"/>
        </w:rPr>
        <w:t>学    分</w:t>
      </w:r>
      <w:r>
        <w:rPr>
          <w:b/>
          <w:color w:val="000000"/>
          <w:kern w:val="0"/>
          <w:sz w:val="24"/>
        </w:rPr>
        <w:t>：</w:t>
      </w:r>
      <w:r>
        <w:rPr>
          <w:rFonts w:hint="eastAsia"/>
          <w:b/>
          <w:color w:val="000000"/>
          <w:kern w:val="0"/>
          <w:sz w:val="24"/>
        </w:rPr>
        <w:t>3</w:t>
      </w:r>
    </w:p>
    <w:p w14:paraId="5D763581">
      <w:pPr>
        <w:spacing w:line="360" w:lineRule="auto"/>
        <w:ind w:firstLine="482" w:firstLineChars="200"/>
        <w:rPr>
          <w:color w:val="000000"/>
          <w:kern w:val="0"/>
          <w:sz w:val="24"/>
        </w:rPr>
      </w:pPr>
      <w:r>
        <w:rPr>
          <w:b/>
          <w:bCs/>
          <w:color w:val="000000"/>
          <w:kern w:val="0"/>
          <w:sz w:val="24"/>
        </w:rPr>
        <w:t>学    时</w:t>
      </w:r>
      <w:r>
        <w:rPr>
          <w:b/>
          <w:color w:val="000000"/>
          <w:kern w:val="0"/>
          <w:sz w:val="24"/>
        </w:rPr>
        <w:t>：</w:t>
      </w:r>
      <w:r>
        <w:rPr>
          <w:rFonts w:hint="eastAsia"/>
          <w:b/>
          <w:color w:val="000000"/>
          <w:kern w:val="0"/>
          <w:sz w:val="24"/>
        </w:rPr>
        <w:t>48</w:t>
      </w:r>
    </w:p>
    <w:p w14:paraId="6B71FBA7">
      <w:pPr>
        <w:spacing w:line="360" w:lineRule="auto"/>
        <w:ind w:firstLine="482" w:firstLineChars="200"/>
        <w:rPr>
          <w:bCs/>
          <w:color w:val="000000"/>
          <w:kern w:val="0"/>
          <w:sz w:val="24"/>
        </w:rPr>
      </w:pPr>
      <w:r>
        <w:rPr>
          <w:b/>
          <w:bCs/>
          <w:color w:val="000000"/>
          <w:kern w:val="0"/>
          <w:sz w:val="24"/>
        </w:rPr>
        <w:t>先修课程</w:t>
      </w:r>
      <w:r>
        <w:rPr>
          <w:b/>
          <w:color w:val="000000"/>
          <w:kern w:val="0"/>
          <w:sz w:val="24"/>
        </w:rPr>
        <w:t>：</w:t>
      </w:r>
      <w:r>
        <w:rPr>
          <w:rFonts w:hint="eastAsia"/>
          <w:b/>
          <w:color w:val="000000"/>
          <w:kern w:val="0"/>
          <w:sz w:val="24"/>
        </w:rPr>
        <w:t>大学英语B（I）</w:t>
      </w:r>
    </w:p>
    <w:p w14:paraId="649811EA">
      <w:pPr>
        <w:spacing w:line="360" w:lineRule="auto"/>
        <w:ind w:firstLine="482" w:firstLineChars="200"/>
        <w:rPr>
          <w:rFonts w:hint="eastAsia"/>
          <w:b/>
          <w:bCs/>
          <w:color w:val="000000"/>
          <w:kern w:val="0"/>
          <w:sz w:val="24"/>
        </w:rPr>
      </w:pPr>
      <w:r>
        <w:rPr>
          <w:b/>
          <w:bCs/>
          <w:color w:val="000000"/>
          <w:kern w:val="0"/>
          <w:sz w:val="24"/>
        </w:rPr>
        <w:t>适用专业</w:t>
      </w:r>
      <w:r>
        <w:rPr>
          <w:b/>
          <w:color w:val="000000"/>
          <w:kern w:val="0"/>
          <w:sz w:val="24"/>
        </w:rPr>
        <w:t>：</w:t>
      </w:r>
      <w:r>
        <w:rPr>
          <w:rFonts w:hint="eastAsia"/>
          <w:b/>
          <w:bCs/>
          <w:color w:val="000000"/>
          <w:kern w:val="0"/>
          <w:sz w:val="24"/>
        </w:rPr>
        <w:t>非英语专业</w:t>
      </w:r>
    </w:p>
    <w:p w14:paraId="2BF34916">
      <w:pPr>
        <w:numPr>
          <w:ilvl w:val="0"/>
          <w:numId w:val="2"/>
        </w:numPr>
        <w:spacing w:line="360" w:lineRule="auto"/>
        <w:rPr>
          <w:rFonts w:hint="eastAsia"/>
          <w:b/>
          <w:bCs/>
          <w:color w:val="000000"/>
          <w:kern w:val="0"/>
          <w:sz w:val="24"/>
        </w:rPr>
      </w:pPr>
      <w:r>
        <w:rPr>
          <w:rFonts w:hint="eastAsia"/>
          <w:b/>
          <w:bCs/>
          <w:color w:val="000000"/>
          <w:kern w:val="0"/>
          <w:sz w:val="24"/>
        </w:rPr>
        <w:t>课程简介：</w:t>
      </w:r>
    </w:p>
    <w:p w14:paraId="2C0DDCAD">
      <w:pPr>
        <w:spacing w:line="360" w:lineRule="auto"/>
        <w:ind w:firstLine="480" w:firstLineChars="200"/>
        <w:rPr>
          <w:rFonts w:hint="eastAsia" w:ascii="宋体" w:hAnsi="宋体" w:cs="宋体"/>
          <w:color w:val="000000"/>
          <w:kern w:val="0"/>
          <w:sz w:val="24"/>
        </w:rPr>
      </w:pPr>
      <w:r>
        <w:rPr>
          <w:rFonts w:hint="eastAsia" w:ascii="宋体" w:hAnsi="宋体" w:cs="宋体"/>
          <w:color w:val="000000"/>
          <w:kern w:val="0"/>
          <w:sz w:val="24"/>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5B53D675">
      <w:pPr>
        <w:spacing w:line="360" w:lineRule="auto"/>
        <w:ind w:firstLine="480" w:firstLineChars="200"/>
        <w:rPr>
          <w:rFonts w:hint="eastAsia" w:ascii="宋体" w:hAnsi="宋体" w:cs="宋体"/>
          <w:color w:val="000000"/>
          <w:kern w:val="0"/>
          <w:sz w:val="24"/>
        </w:rPr>
      </w:pPr>
    </w:p>
    <w:p w14:paraId="6F46B543">
      <w:pPr>
        <w:numPr>
          <w:ilvl w:val="0"/>
          <w:numId w:val="2"/>
        </w:numPr>
        <w:spacing w:line="360" w:lineRule="auto"/>
        <w:rPr>
          <w:rFonts w:hint="eastAsia"/>
          <w:b/>
          <w:color w:val="000000"/>
          <w:sz w:val="24"/>
        </w:rPr>
      </w:pPr>
      <w:r>
        <w:rPr>
          <w:rFonts w:hint="eastAsia"/>
          <w:b/>
          <w:color w:val="000000"/>
          <w:sz w:val="24"/>
        </w:rPr>
        <w:t>课程目标</w:t>
      </w:r>
    </w:p>
    <w:p w14:paraId="0667CF01">
      <w:pPr>
        <w:widowControl/>
        <w:jc w:val="left"/>
        <w:rPr>
          <w:rFonts w:ascii="宋体" w:hAnsi="宋体" w:cs="宋体"/>
          <w:b/>
          <w:bCs/>
          <w:color w:val="000000"/>
          <w:kern w:val="0"/>
          <w:sz w:val="24"/>
        </w:rPr>
      </w:pPr>
      <w:r>
        <w:rPr>
          <w:rFonts w:hint="eastAsia"/>
          <w:b/>
          <w:color w:val="000000"/>
          <w:sz w:val="28"/>
          <w:szCs w:val="28"/>
        </w:rPr>
        <w:t xml:space="preserve">   </w:t>
      </w:r>
      <w:r>
        <w:rPr>
          <w:rFonts w:hint="eastAsia" w:ascii="宋体" w:hAnsi="宋体" w:cs="宋体"/>
          <w:b/>
          <w:bCs/>
          <w:color w:val="000000"/>
          <w:kern w:val="0"/>
          <w:sz w:val="24"/>
        </w:rPr>
        <w:t>（一）课程具体目标</w:t>
      </w:r>
    </w:p>
    <w:p w14:paraId="2C8AF538">
      <w:pPr>
        <w:autoSpaceDE w:val="0"/>
        <w:autoSpaceDN w:val="0"/>
        <w:adjustRightInd w:val="0"/>
        <w:spacing w:line="400" w:lineRule="exact"/>
        <w:ind w:firstLine="482" w:firstLineChars="200"/>
        <w:rPr>
          <w:rFonts w:hint="eastAsia" w:ascii="宋体" w:hAnsi="宋体" w:cs="宋体"/>
          <w:color w:val="000000"/>
          <w:kern w:val="0"/>
          <w:sz w:val="24"/>
        </w:rPr>
      </w:pPr>
      <w:r>
        <w:rPr>
          <w:rFonts w:ascii="宋体" w:hAnsi="宋体" w:cs="宋体"/>
          <w:b/>
          <w:bCs/>
          <w:color w:val="000000"/>
          <w:kern w:val="0"/>
          <w:sz w:val="24"/>
        </w:rPr>
        <w:t>目标</w:t>
      </w:r>
      <w:r>
        <w:rPr>
          <w:rFonts w:hint="eastAsia" w:ascii="宋体" w:hAnsi="宋体" w:cs="宋体"/>
          <w:b/>
          <w:bCs/>
          <w:color w:val="000000"/>
          <w:kern w:val="0"/>
          <w:sz w:val="24"/>
        </w:rPr>
        <w:t xml:space="preserve">1. </w:t>
      </w:r>
      <w:r>
        <w:rPr>
          <w:rFonts w:hint="eastAsia" w:ascii="宋体" w:hAnsi="宋体" w:cs="宋体"/>
          <w:color w:val="000000"/>
          <w:kern w:val="0"/>
          <w:sz w:val="24"/>
        </w:rPr>
        <w:t>进一步提升学生英语听、说、读、写、译基本语言技能和英语语言综合应用能力。</w:t>
      </w:r>
    </w:p>
    <w:p w14:paraId="00728953">
      <w:pPr>
        <w:autoSpaceDE w:val="0"/>
        <w:autoSpaceDN w:val="0"/>
        <w:adjustRightInd w:val="0"/>
        <w:spacing w:line="400" w:lineRule="exact"/>
        <w:ind w:firstLine="482" w:firstLineChars="200"/>
        <w:rPr>
          <w:rFonts w:ascii="宋体" w:hAnsi="宋体" w:cs="宋体"/>
          <w:color w:val="000000"/>
          <w:kern w:val="0"/>
          <w:sz w:val="24"/>
        </w:rPr>
      </w:pPr>
      <w:r>
        <w:rPr>
          <w:rFonts w:ascii="宋体" w:hAnsi="宋体" w:cs="宋体"/>
          <w:b/>
          <w:bCs/>
          <w:color w:val="000000"/>
          <w:kern w:val="0"/>
          <w:sz w:val="24"/>
        </w:rPr>
        <w:t>目标</w:t>
      </w:r>
      <w:r>
        <w:rPr>
          <w:rFonts w:hint="eastAsia" w:ascii="宋体" w:hAnsi="宋体" w:cs="宋体"/>
          <w:b/>
          <w:bCs/>
          <w:color w:val="000000"/>
          <w:kern w:val="0"/>
          <w:sz w:val="24"/>
        </w:rPr>
        <w:t xml:space="preserve">2. </w:t>
      </w:r>
      <w:r>
        <w:rPr>
          <w:rFonts w:hint="eastAsia" w:ascii="宋体" w:hAnsi="宋体" w:cs="宋体"/>
          <w:color w:val="000000"/>
          <w:kern w:val="0"/>
          <w:sz w:val="24"/>
        </w:rPr>
        <w:t>进一步提升学生使用英语工具紧跟专业前沿，拓展专业视野，查阅专业文献的意识和能力，培养学生在职业领域进行相关沟通、交流能力。</w:t>
      </w:r>
    </w:p>
    <w:p w14:paraId="05E023FD">
      <w:pPr>
        <w:autoSpaceDE w:val="0"/>
        <w:autoSpaceDN w:val="0"/>
        <w:adjustRightInd w:val="0"/>
        <w:spacing w:line="400" w:lineRule="exact"/>
        <w:ind w:firstLine="482" w:firstLineChars="200"/>
        <w:rPr>
          <w:rFonts w:hint="eastAsia" w:ascii="宋体" w:hAnsi="宋体" w:cs="宋体"/>
          <w:color w:val="000000"/>
          <w:kern w:val="0"/>
          <w:sz w:val="24"/>
        </w:rPr>
      </w:pPr>
      <w:r>
        <w:rPr>
          <w:rFonts w:ascii="宋体" w:hAnsi="宋体" w:cs="宋体"/>
          <w:b/>
          <w:bCs/>
          <w:color w:val="000000"/>
          <w:kern w:val="0"/>
          <w:sz w:val="24"/>
        </w:rPr>
        <w:t>目标</w:t>
      </w:r>
      <w:r>
        <w:rPr>
          <w:rFonts w:hint="eastAsia" w:ascii="宋体" w:hAnsi="宋体" w:cs="宋体"/>
          <w:b/>
          <w:bCs/>
          <w:color w:val="000000"/>
          <w:kern w:val="0"/>
          <w:sz w:val="24"/>
        </w:rPr>
        <w:t xml:space="preserve">3. </w:t>
      </w:r>
      <w:r>
        <w:rPr>
          <w:rFonts w:hint="eastAsia" w:ascii="宋体" w:hAnsi="宋体" w:cs="宋体"/>
          <w:color w:val="000000"/>
          <w:kern w:val="0"/>
          <w:sz w:val="24"/>
        </w:rPr>
        <w:t>将社会主义核心价值观和中国优秀传统文化有机融入大学英语课程教学，培养学生批判吸收西方文化，增进中西文化异同理解；培养学生跨文化意识和交际能力；培养学生树立国际视野和提升综合人文素养；培养学生自主学习能力和终身学习意识。</w:t>
      </w:r>
    </w:p>
    <w:p w14:paraId="6E9CB5DB">
      <w:pPr>
        <w:widowControl/>
        <w:ind w:firstLine="241" w:firstLineChars="100"/>
        <w:jc w:val="left"/>
        <w:rPr>
          <w:rFonts w:hint="eastAsia" w:ascii="宋体" w:hAnsi="宋体" w:cs="宋体"/>
          <w:b/>
          <w:bCs/>
          <w:color w:val="000000"/>
          <w:kern w:val="0"/>
          <w:sz w:val="24"/>
        </w:rPr>
      </w:pPr>
      <w:r>
        <w:rPr>
          <w:rFonts w:hint="eastAsia" w:ascii="宋体" w:hAnsi="宋体" w:cs="宋体"/>
          <w:b/>
          <w:bCs/>
          <w:color w:val="000000"/>
          <w:kern w:val="0"/>
          <w:sz w:val="24"/>
        </w:rPr>
        <w:t>（二）课程目标及其对毕业要求指标点的支撑</w:t>
      </w:r>
    </w:p>
    <w:tbl>
      <w:tblPr>
        <w:tblStyle w:val="10"/>
        <w:tblW w:w="8310" w:type="dxa"/>
        <w:jc w:val="center"/>
        <w:tblLayout w:type="fixed"/>
        <w:tblCellMar>
          <w:top w:w="0" w:type="dxa"/>
          <w:left w:w="108" w:type="dxa"/>
          <w:bottom w:w="0" w:type="dxa"/>
          <w:right w:w="108" w:type="dxa"/>
        </w:tblCellMar>
      </w:tblPr>
      <w:tblGrid>
        <w:gridCol w:w="2205"/>
        <w:gridCol w:w="4578"/>
        <w:gridCol w:w="1527"/>
      </w:tblGrid>
      <w:tr w14:paraId="114ABD2F">
        <w:tblPrEx>
          <w:tblCellMar>
            <w:top w:w="0" w:type="dxa"/>
            <w:left w:w="108" w:type="dxa"/>
            <w:bottom w:w="0" w:type="dxa"/>
            <w:right w:w="108" w:type="dxa"/>
          </w:tblCellMar>
        </w:tblPrEx>
        <w:trPr>
          <w:trHeight w:val="815" w:hRule="atLeast"/>
          <w:jc w:val="center"/>
        </w:trPr>
        <w:tc>
          <w:tcPr>
            <w:tcW w:w="220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C7FAFE">
            <w:pPr>
              <w:widowControl/>
              <w:jc w:val="center"/>
              <w:rPr>
                <w:rFonts w:ascii="宋体" w:hAnsi="宋体"/>
                <w:b/>
                <w:bCs/>
                <w:color w:val="000000"/>
                <w:kern w:val="0"/>
                <w:sz w:val="24"/>
              </w:rPr>
            </w:pPr>
            <w:r>
              <w:rPr>
                <w:rFonts w:ascii="宋体" w:hAnsi="宋体"/>
                <w:b/>
                <w:bCs/>
                <w:color w:val="000000"/>
                <w:kern w:val="0"/>
                <w:sz w:val="24"/>
              </w:rPr>
              <w:t>毕业要求</w:t>
            </w:r>
          </w:p>
        </w:tc>
        <w:tc>
          <w:tcPr>
            <w:tcW w:w="4578" w:type="dxa"/>
            <w:tcBorders>
              <w:top w:val="single" w:color="auto" w:sz="4" w:space="0"/>
              <w:left w:val="nil"/>
              <w:bottom w:val="single" w:color="auto" w:sz="4" w:space="0"/>
              <w:right w:val="single" w:color="auto" w:sz="4" w:space="0"/>
            </w:tcBorders>
            <w:shd w:val="clear" w:color="auto" w:fill="FFFFFF"/>
            <w:noWrap w:val="0"/>
            <w:vAlign w:val="center"/>
          </w:tcPr>
          <w:p w14:paraId="6F5C468E">
            <w:pPr>
              <w:widowControl/>
              <w:jc w:val="center"/>
              <w:rPr>
                <w:rFonts w:ascii="宋体" w:hAnsi="宋体"/>
                <w:b/>
                <w:bCs/>
                <w:color w:val="000000"/>
                <w:kern w:val="0"/>
                <w:sz w:val="24"/>
              </w:rPr>
            </w:pPr>
            <w:r>
              <w:rPr>
                <w:rFonts w:hint="eastAsia" w:ascii="宋体" w:hAnsi="宋体"/>
                <w:b/>
                <w:bCs/>
                <w:color w:val="000000"/>
                <w:kern w:val="0"/>
                <w:sz w:val="24"/>
              </w:rPr>
              <w:t>毕业要求指标点</w:t>
            </w:r>
          </w:p>
        </w:tc>
        <w:tc>
          <w:tcPr>
            <w:tcW w:w="1527" w:type="dxa"/>
            <w:tcBorders>
              <w:top w:val="single" w:color="auto" w:sz="4" w:space="0"/>
              <w:left w:val="nil"/>
              <w:bottom w:val="single" w:color="auto" w:sz="4" w:space="0"/>
              <w:right w:val="single" w:color="auto" w:sz="4" w:space="0"/>
            </w:tcBorders>
            <w:shd w:val="clear" w:color="auto" w:fill="FFFFFF"/>
            <w:noWrap w:val="0"/>
            <w:vAlign w:val="center"/>
          </w:tcPr>
          <w:p w14:paraId="032FC5BC">
            <w:pPr>
              <w:widowControl/>
              <w:jc w:val="center"/>
              <w:rPr>
                <w:rFonts w:ascii="宋体" w:hAnsi="宋体"/>
                <w:b/>
                <w:bCs/>
                <w:color w:val="000000"/>
                <w:kern w:val="0"/>
                <w:sz w:val="24"/>
              </w:rPr>
            </w:pPr>
            <w:r>
              <w:rPr>
                <w:rFonts w:hint="eastAsia" w:ascii="宋体" w:hAnsi="宋体"/>
                <w:b/>
                <w:bCs/>
                <w:color w:val="000000"/>
                <w:kern w:val="0"/>
                <w:sz w:val="24"/>
              </w:rPr>
              <w:t>课程目标</w:t>
            </w:r>
          </w:p>
        </w:tc>
      </w:tr>
      <w:tr w14:paraId="2AC76C10">
        <w:tblPrEx>
          <w:tblCellMar>
            <w:top w:w="0" w:type="dxa"/>
            <w:left w:w="108" w:type="dxa"/>
            <w:bottom w:w="0" w:type="dxa"/>
            <w:right w:w="108" w:type="dxa"/>
          </w:tblCellMar>
        </w:tblPrEx>
        <w:trPr>
          <w:trHeight w:val="481" w:hRule="atLeast"/>
          <w:jc w:val="center"/>
        </w:trPr>
        <w:tc>
          <w:tcPr>
            <w:tcW w:w="2205" w:type="dxa"/>
            <w:tcBorders>
              <w:top w:val="nil"/>
              <w:left w:val="single" w:color="auto" w:sz="4" w:space="0"/>
              <w:bottom w:val="single" w:color="auto" w:sz="4" w:space="0"/>
              <w:right w:val="single" w:color="auto" w:sz="4" w:space="0"/>
            </w:tcBorders>
            <w:noWrap w:val="0"/>
            <w:vAlign w:val="center"/>
          </w:tcPr>
          <w:p w14:paraId="2F86C615">
            <w:pPr>
              <w:widowControl/>
              <w:jc w:val="center"/>
              <w:rPr>
                <w:rFonts w:ascii="宋体" w:hAnsi="宋体"/>
                <w:color w:val="000000"/>
                <w:kern w:val="0"/>
                <w:szCs w:val="21"/>
              </w:rPr>
            </w:pPr>
            <w:r>
              <w:rPr>
                <w:rFonts w:ascii="宋体" w:hAnsi="宋体"/>
                <w:color w:val="000000"/>
                <w:kern w:val="0"/>
                <w:szCs w:val="21"/>
              </w:rPr>
              <w:t>毕业要求</w:t>
            </w:r>
            <w:r>
              <w:rPr>
                <w:rFonts w:hint="eastAsia" w:ascii="宋体" w:hAnsi="宋体"/>
                <w:color w:val="000000"/>
                <w:kern w:val="0"/>
                <w:szCs w:val="21"/>
              </w:rPr>
              <w:t>3.学科素养</w:t>
            </w:r>
          </w:p>
        </w:tc>
        <w:tc>
          <w:tcPr>
            <w:tcW w:w="4578" w:type="dxa"/>
            <w:tcBorders>
              <w:top w:val="single" w:color="auto" w:sz="4" w:space="0"/>
              <w:left w:val="single" w:color="auto" w:sz="4" w:space="0"/>
              <w:bottom w:val="single" w:color="auto" w:sz="4" w:space="0"/>
              <w:right w:val="single" w:color="auto" w:sz="4" w:space="0"/>
            </w:tcBorders>
            <w:noWrap w:val="0"/>
            <w:vAlign w:val="center"/>
          </w:tcPr>
          <w:p w14:paraId="3050CC7A">
            <w:pPr>
              <w:widowControl/>
              <w:jc w:val="left"/>
              <w:rPr>
                <w:rFonts w:ascii="宋体" w:hAnsi="宋体"/>
                <w:color w:val="000000"/>
                <w:kern w:val="0"/>
                <w:szCs w:val="21"/>
              </w:rPr>
            </w:pPr>
            <w:r>
              <w:rPr>
                <w:rFonts w:hint="eastAsia" w:ascii="宋体" w:hAnsi="宋体" w:cs="宋体"/>
                <w:color w:val="000000"/>
                <w:kern w:val="0"/>
                <w:szCs w:val="21"/>
              </w:rPr>
              <w:t>指标点3-1：具有一定的人文、社会和科学素养。夯实学生英语语言基础，提升学生英语听、说、读、写、译基本语言技能和英语语言综合应用能力</w:t>
            </w:r>
            <w:r>
              <w:rPr>
                <w:rFonts w:ascii="宋体" w:hAnsi="宋体" w:cs="宋体"/>
                <w:color w:val="000000"/>
                <w:kern w:val="0"/>
                <w:szCs w:val="21"/>
              </w:rPr>
              <w:t>。</w:t>
            </w:r>
          </w:p>
        </w:tc>
        <w:tc>
          <w:tcPr>
            <w:tcW w:w="1527" w:type="dxa"/>
            <w:tcBorders>
              <w:top w:val="single" w:color="auto" w:sz="4" w:space="0"/>
              <w:left w:val="nil"/>
              <w:bottom w:val="single" w:color="auto" w:sz="4" w:space="0"/>
              <w:right w:val="single" w:color="auto" w:sz="4" w:space="0"/>
            </w:tcBorders>
            <w:noWrap w:val="0"/>
            <w:vAlign w:val="center"/>
          </w:tcPr>
          <w:p w14:paraId="2F2A4FA0">
            <w:pPr>
              <w:widowControl/>
              <w:jc w:val="center"/>
              <w:rPr>
                <w:rFonts w:ascii="宋体" w:hAnsi="宋体"/>
                <w:color w:val="000000"/>
                <w:kern w:val="0"/>
                <w:szCs w:val="21"/>
              </w:rPr>
            </w:pPr>
            <w:r>
              <w:rPr>
                <w:rFonts w:hint="eastAsia" w:ascii="宋体" w:hAnsi="宋体"/>
                <w:color w:val="000000"/>
                <w:kern w:val="0"/>
                <w:szCs w:val="21"/>
              </w:rPr>
              <w:t>课程目标1</w:t>
            </w:r>
          </w:p>
        </w:tc>
      </w:tr>
      <w:tr w14:paraId="148097E5">
        <w:tblPrEx>
          <w:tblCellMar>
            <w:top w:w="0" w:type="dxa"/>
            <w:left w:w="108" w:type="dxa"/>
            <w:bottom w:w="0" w:type="dxa"/>
            <w:right w:w="108" w:type="dxa"/>
          </w:tblCellMar>
        </w:tblPrEx>
        <w:trPr>
          <w:trHeight w:val="470"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71829C00">
            <w:pPr>
              <w:widowControl/>
              <w:jc w:val="center"/>
              <w:rPr>
                <w:rFonts w:ascii="宋体" w:hAnsi="宋体"/>
                <w:color w:val="000000"/>
                <w:kern w:val="0"/>
                <w:szCs w:val="21"/>
              </w:rPr>
            </w:pPr>
            <w:r>
              <w:rPr>
                <w:rFonts w:ascii="宋体" w:hAnsi="宋体"/>
                <w:color w:val="000000"/>
                <w:kern w:val="0"/>
                <w:szCs w:val="21"/>
              </w:rPr>
              <w:t>毕业要求</w:t>
            </w:r>
            <w:r>
              <w:rPr>
                <w:rFonts w:hint="eastAsia" w:ascii="宋体" w:hAnsi="宋体"/>
                <w:color w:val="000000"/>
                <w:kern w:val="0"/>
                <w:szCs w:val="21"/>
              </w:rPr>
              <w:t>7.学会反思</w:t>
            </w:r>
          </w:p>
        </w:tc>
        <w:tc>
          <w:tcPr>
            <w:tcW w:w="4578" w:type="dxa"/>
            <w:tcBorders>
              <w:top w:val="single" w:color="auto" w:sz="4" w:space="0"/>
              <w:left w:val="single" w:color="auto" w:sz="4" w:space="0"/>
              <w:bottom w:val="single" w:color="auto" w:sz="4" w:space="0"/>
              <w:right w:val="single" w:color="auto" w:sz="4" w:space="0"/>
            </w:tcBorders>
            <w:noWrap w:val="0"/>
            <w:vAlign w:val="center"/>
          </w:tcPr>
          <w:p w14:paraId="49DB9268">
            <w:pPr>
              <w:widowControl/>
              <w:jc w:val="left"/>
              <w:rPr>
                <w:rFonts w:hint="eastAsia" w:ascii="宋体" w:hAnsi="宋体"/>
                <w:color w:val="000000"/>
                <w:kern w:val="0"/>
                <w:szCs w:val="21"/>
              </w:rPr>
            </w:pPr>
            <w:r>
              <w:rPr>
                <w:rFonts w:hint="eastAsia" w:ascii="宋体" w:hAnsi="宋体"/>
                <w:color w:val="000000"/>
                <w:kern w:val="0"/>
                <w:szCs w:val="21"/>
              </w:rPr>
              <w:t>指标点7-1：具备终身学习能力和专业发展的意识，</w:t>
            </w:r>
            <w:r>
              <w:rPr>
                <w:rFonts w:hint="eastAsia" w:ascii="宋体" w:hAnsi="宋体" w:cs="宋体"/>
                <w:color w:val="000000"/>
                <w:kern w:val="0"/>
                <w:szCs w:val="21"/>
              </w:rPr>
              <w:t>将社会主义核心价值观和中国优秀传统文化有机融入大学英语课程教学，培养学生批判吸收西方文化。</w:t>
            </w:r>
          </w:p>
        </w:tc>
        <w:tc>
          <w:tcPr>
            <w:tcW w:w="1527" w:type="dxa"/>
            <w:tcBorders>
              <w:top w:val="single" w:color="auto" w:sz="4" w:space="0"/>
              <w:left w:val="nil"/>
              <w:bottom w:val="single" w:color="auto" w:sz="4" w:space="0"/>
              <w:right w:val="single" w:color="auto" w:sz="4" w:space="0"/>
            </w:tcBorders>
            <w:noWrap w:val="0"/>
            <w:vAlign w:val="center"/>
          </w:tcPr>
          <w:p w14:paraId="7B79DCEC">
            <w:pPr>
              <w:widowControl/>
              <w:jc w:val="center"/>
              <w:rPr>
                <w:rFonts w:ascii="宋体" w:hAnsi="宋体"/>
                <w:color w:val="000000"/>
                <w:kern w:val="0"/>
                <w:szCs w:val="21"/>
              </w:rPr>
            </w:pPr>
            <w:r>
              <w:rPr>
                <w:rFonts w:hint="eastAsia" w:ascii="宋体" w:hAnsi="宋体"/>
                <w:color w:val="000000"/>
                <w:kern w:val="0"/>
                <w:szCs w:val="21"/>
              </w:rPr>
              <w:t>课程目标3</w:t>
            </w:r>
          </w:p>
        </w:tc>
      </w:tr>
      <w:tr w14:paraId="41CF3274">
        <w:tblPrEx>
          <w:tblCellMar>
            <w:top w:w="0" w:type="dxa"/>
            <w:left w:w="108" w:type="dxa"/>
            <w:bottom w:w="0" w:type="dxa"/>
            <w:right w:w="108" w:type="dxa"/>
          </w:tblCellMar>
        </w:tblPrEx>
        <w:trPr>
          <w:trHeight w:val="470" w:hRule="atLeast"/>
          <w:jc w:val="center"/>
        </w:trPr>
        <w:tc>
          <w:tcPr>
            <w:tcW w:w="2205" w:type="dxa"/>
            <w:tcBorders>
              <w:top w:val="single" w:color="auto" w:sz="4" w:space="0"/>
              <w:left w:val="single" w:color="auto" w:sz="4" w:space="0"/>
              <w:bottom w:val="single" w:color="auto" w:sz="4" w:space="0"/>
              <w:right w:val="single" w:color="auto" w:sz="4" w:space="0"/>
            </w:tcBorders>
            <w:noWrap w:val="0"/>
            <w:vAlign w:val="center"/>
          </w:tcPr>
          <w:p w14:paraId="7B020AEE">
            <w:pPr>
              <w:widowControl/>
              <w:jc w:val="center"/>
              <w:rPr>
                <w:rFonts w:ascii="宋体" w:hAnsi="宋体"/>
                <w:color w:val="000000"/>
                <w:kern w:val="0"/>
                <w:szCs w:val="21"/>
              </w:rPr>
            </w:pPr>
            <w:r>
              <w:rPr>
                <w:rFonts w:ascii="宋体" w:hAnsi="宋体"/>
                <w:color w:val="000000"/>
                <w:kern w:val="0"/>
                <w:szCs w:val="21"/>
              </w:rPr>
              <w:t>毕业要求</w:t>
            </w:r>
            <w:r>
              <w:rPr>
                <w:rFonts w:hint="eastAsia" w:ascii="宋体" w:hAnsi="宋体"/>
                <w:color w:val="000000"/>
                <w:kern w:val="0"/>
                <w:szCs w:val="21"/>
              </w:rPr>
              <w:t>8.沟通合作</w:t>
            </w:r>
          </w:p>
        </w:tc>
        <w:tc>
          <w:tcPr>
            <w:tcW w:w="4578" w:type="dxa"/>
            <w:tcBorders>
              <w:top w:val="single" w:color="auto" w:sz="4" w:space="0"/>
              <w:left w:val="single" w:color="auto" w:sz="4" w:space="0"/>
              <w:bottom w:val="single" w:color="auto" w:sz="4" w:space="0"/>
              <w:right w:val="single" w:color="auto" w:sz="4" w:space="0"/>
            </w:tcBorders>
            <w:noWrap w:val="0"/>
            <w:vAlign w:val="center"/>
          </w:tcPr>
          <w:p w14:paraId="16C37CC1">
            <w:pPr>
              <w:widowControl/>
              <w:jc w:val="left"/>
              <w:rPr>
                <w:rFonts w:ascii="宋体" w:hAnsi="宋体"/>
                <w:color w:val="000000"/>
                <w:kern w:val="0"/>
                <w:szCs w:val="21"/>
              </w:rPr>
            </w:pPr>
            <w:r>
              <w:rPr>
                <w:rFonts w:hint="eastAsia" w:ascii="宋体" w:hAnsi="宋体"/>
                <w:color w:val="000000"/>
                <w:kern w:val="0"/>
                <w:szCs w:val="21"/>
              </w:rPr>
              <w:t>指标点8-2：理解学习共同体的内涵和作用，积极参与各种学习共同体，具备团队协作精神，</w:t>
            </w:r>
            <w:r>
              <w:rPr>
                <w:rFonts w:hint="eastAsia" w:ascii="宋体" w:hAnsi="宋体" w:cs="宋体"/>
                <w:color w:val="000000"/>
                <w:kern w:val="0"/>
                <w:szCs w:val="21"/>
              </w:rPr>
              <w:t>培养学生在职业领域进行相关沟通、交流能力</w:t>
            </w:r>
            <w:r>
              <w:rPr>
                <w:rFonts w:ascii="宋体" w:hAnsi="宋体" w:cs="宋体"/>
                <w:color w:val="000000"/>
                <w:kern w:val="0"/>
                <w:szCs w:val="21"/>
              </w:rPr>
              <w:t>。</w:t>
            </w:r>
          </w:p>
        </w:tc>
        <w:tc>
          <w:tcPr>
            <w:tcW w:w="1527" w:type="dxa"/>
            <w:tcBorders>
              <w:top w:val="single" w:color="auto" w:sz="4" w:space="0"/>
              <w:left w:val="nil"/>
              <w:bottom w:val="single" w:color="auto" w:sz="4" w:space="0"/>
              <w:right w:val="single" w:color="auto" w:sz="4" w:space="0"/>
            </w:tcBorders>
            <w:noWrap w:val="0"/>
            <w:vAlign w:val="center"/>
          </w:tcPr>
          <w:p w14:paraId="1B58386D">
            <w:pPr>
              <w:widowControl/>
              <w:jc w:val="center"/>
              <w:rPr>
                <w:rFonts w:ascii="宋体" w:hAnsi="宋体"/>
                <w:color w:val="000000"/>
                <w:kern w:val="0"/>
                <w:szCs w:val="21"/>
              </w:rPr>
            </w:pPr>
            <w:r>
              <w:rPr>
                <w:rFonts w:hint="eastAsia" w:ascii="宋体" w:hAnsi="宋体"/>
                <w:color w:val="000000"/>
                <w:kern w:val="0"/>
                <w:szCs w:val="21"/>
              </w:rPr>
              <w:t>课程目标2</w:t>
            </w:r>
          </w:p>
        </w:tc>
      </w:tr>
    </w:tbl>
    <w:p w14:paraId="30976C9B">
      <w:pPr>
        <w:widowControl/>
        <w:ind w:firstLine="241" w:firstLineChars="100"/>
        <w:jc w:val="left"/>
        <w:rPr>
          <w:rFonts w:hint="eastAsia" w:ascii="宋体" w:hAnsi="宋体" w:cs="宋体"/>
          <w:sz w:val="24"/>
        </w:rPr>
      </w:pPr>
      <w:r>
        <w:rPr>
          <w:rFonts w:hint="eastAsia" w:ascii="宋体" w:hAnsi="宋体" w:cs="宋体"/>
          <w:b/>
          <w:bCs/>
          <w:color w:val="000000"/>
          <w:kern w:val="0"/>
          <w:sz w:val="24"/>
          <w:lang w:bidi="ar"/>
        </w:rPr>
        <w:t>（三）课程思政目标</w:t>
      </w:r>
    </w:p>
    <w:p w14:paraId="24592506">
      <w:pPr>
        <w:spacing w:line="360" w:lineRule="auto"/>
        <w:ind w:firstLine="480" w:firstLineChars="200"/>
        <w:rPr>
          <w:rFonts w:hint="eastAsia"/>
          <w:bCs/>
          <w:color w:val="000000"/>
          <w:sz w:val="24"/>
        </w:rPr>
      </w:pPr>
      <w:r>
        <w:rPr>
          <w:rFonts w:hint="eastAsia"/>
          <w:bCs/>
          <w:color w:val="000000"/>
          <w:sz w:val="24"/>
        </w:rPr>
        <w:t>以语言知识和语言技能为桥梁，在培养学生跨文化交际能力的同时，引导学生树立正确的“家国情怀”，引领学生“讲好中国故事”，培养具有民族情怀、家国意识、时代责任和历史使命的人才。</w:t>
      </w:r>
    </w:p>
    <w:p w14:paraId="1F6AED26">
      <w:pPr>
        <w:spacing w:line="360" w:lineRule="auto"/>
        <w:rPr>
          <w:rFonts w:hint="eastAsia"/>
          <w:bCs/>
          <w:color w:val="000000"/>
          <w:sz w:val="24"/>
        </w:rPr>
      </w:pPr>
    </w:p>
    <w:p w14:paraId="30D548D0">
      <w:pPr>
        <w:numPr>
          <w:ilvl w:val="0"/>
          <w:numId w:val="2"/>
        </w:numPr>
        <w:spacing w:line="360" w:lineRule="auto"/>
        <w:rPr>
          <w:b/>
          <w:color w:val="000000"/>
          <w:sz w:val="24"/>
        </w:rPr>
      </w:pPr>
      <w:r>
        <w:rPr>
          <w:rFonts w:hint="eastAsia"/>
          <w:b/>
          <w:color w:val="000000"/>
          <w:sz w:val="24"/>
        </w:rPr>
        <w:t>教学内容与预期学习成效</w:t>
      </w:r>
    </w:p>
    <w:tbl>
      <w:tblPr>
        <w:tblStyle w:val="1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302"/>
        <w:gridCol w:w="1166"/>
        <w:gridCol w:w="2706"/>
        <w:gridCol w:w="1505"/>
        <w:gridCol w:w="713"/>
      </w:tblGrid>
      <w:tr w14:paraId="4000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noWrap w:val="0"/>
            <w:vAlign w:val="center"/>
          </w:tcPr>
          <w:p w14:paraId="6DA8EE07">
            <w:pPr>
              <w:jc w:val="center"/>
              <w:rPr>
                <w:b/>
                <w:bCs/>
                <w:color w:val="000000"/>
                <w:szCs w:val="21"/>
              </w:rPr>
            </w:pPr>
            <w:r>
              <w:rPr>
                <w:rFonts w:hint="eastAsia"/>
                <w:b/>
                <w:bCs/>
                <w:color w:val="000000"/>
                <w:szCs w:val="21"/>
              </w:rPr>
              <w:t>知识单元</w:t>
            </w:r>
          </w:p>
        </w:tc>
        <w:tc>
          <w:tcPr>
            <w:tcW w:w="1302" w:type="dxa"/>
            <w:noWrap w:val="0"/>
            <w:vAlign w:val="center"/>
          </w:tcPr>
          <w:p w14:paraId="35DE560D">
            <w:pPr>
              <w:jc w:val="center"/>
              <w:rPr>
                <w:rFonts w:hint="eastAsia"/>
                <w:b/>
                <w:bCs/>
                <w:color w:val="000000"/>
                <w:szCs w:val="21"/>
              </w:rPr>
            </w:pPr>
            <w:r>
              <w:rPr>
                <w:rFonts w:hint="eastAsia"/>
                <w:b/>
                <w:bCs/>
                <w:color w:val="000000"/>
                <w:szCs w:val="21"/>
              </w:rPr>
              <w:t>知识点</w:t>
            </w:r>
          </w:p>
        </w:tc>
        <w:tc>
          <w:tcPr>
            <w:tcW w:w="1166" w:type="dxa"/>
            <w:noWrap w:val="0"/>
            <w:vAlign w:val="center"/>
          </w:tcPr>
          <w:p w14:paraId="43D0B262">
            <w:pPr>
              <w:jc w:val="center"/>
              <w:rPr>
                <w:b/>
                <w:bCs/>
                <w:color w:val="000000"/>
                <w:szCs w:val="21"/>
              </w:rPr>
            </w:pPr>
            <w:r>
              <w:rPr>
                <w:rFonts w:hint="eastAsia"/>
                <w:b/>
                <w:bCs/>
                <w:color w:val="000000"/>
                <w:szCs w:val="21"/>
              </w:rPr>
              <w:t xml:space="preserve">对应课程目标 </w:t>
            </w:r>
          </w:p>
        </w:tc>
        <w:tc>
          <w:tcPr>
            <w:tcW w:w="2706" w:type="dxa"/>
            <w:noWrap w:val="0"/>
            <w:vAlign w:val="center"/>
          </w:tcPr>
          <w:p w14:paraId="65B1424B">
            <w:pPr>
              <w:jc w:val="center"/>
              <w:rPr>
                <w:rFonts w:hint="eastAsia"/>
                <w:b/>
                <w:bCs/>
                <w:color w:val="000000"/>
                <w:szCs w:val="21"/>
              </w:rPr>
            </w:pPr>
            <w:r>
              <w:rPr>
                <w:rFonts w:hint="eastAsia"/>
                <w:b/>
                <w:bCs/>
                <w:color w:val="000000"/>
                <w:szCs w:val="21"/>
              </w:rPr>
              <w:t>预期学习成效</w:t>
            </w:r>
          </w:p>
        </w:tc>
        <w:tc>
          <w:tcPr>
            <w:tcW w:w="1505" w:type="dxa"/>
            <w:noWrap w:val="0"/>
            <w:vAlign w:val="center"/>
          </w:tcPr>
          <w:p w14:paraId="7C29F8E1">
            <w:pPr>
              <w:jc w:val="center"/>
              <w:rPr>
                <w:b/>
                <w:bCs/>
                <w:color w:val="000000"/>
                <w:szCs w:val="21"/>
              </w:rPr>
            </w:pPr>
            <w:r>
              <w:rPr>
                <w:rFonts w:hint="eastAsia"/>
                <w:b/>
                <w:bCs/>
                <w:color w:val="000000"/>
                <w:szCs w:val="21"/>
              </w:rPr>
              <w:t>实现环节</w:t>
            </w:r>
          </w:p>
        </w:tc>
        <w:tc>
          <w:tcPr>
            <w:tcW w:w="713" w:type="dxa"/>
            <w:noWrap w:val="0"/>
            <w:vAlign w:val="center"/>
          </w:tcPr>
          <w:p w14:paraId="19AD9370">
            <w:pPr>
              <w:jc w:val="center"/>
              <w:rPr>
                <w:rFonts w:hint="eastAsia"/>
                <w:b/>
                <w:bCs/>
                <w:color w:val="000000"/>
                <w:szCs w:val="21"/>
              </w:rPr>
            </w:pPr>
            <w:r>
              <w:rPr>
                <w:rFonts w:hint="eastAsia"/>
                <w:b/>
                <w:bCs/>
                <w:color w:val="000000"/>
                <w:szCs w:val="21"/>
              </w:rPr>
              <w:t>学时</w:t>
            </w:r>
          </w:p>
        </w:tc>
      </w:tr>
      <w:tr w14:paraId="5A12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9" w:hRule="atLeast"/>
          <w:jc w:val="center"/>
        </w:trPr>
        <w:tc>
          <w:tcPr>
            <w:tcW w:w="1128" w:type="dxa"/>
            <w:vMerge w:val="restart"/>
            <w:noWrap w:val="0"/>
            <w:vAlign w:val="center"/>
          </w:tcPr>
          <w:p w14:paraId="0E741F6C">
            <w:pPr>
              <w:jc w:val="left"/>
              <w:rPr>
                <w:rFonts w:hint="eastAsia" w:ascii="宋体" w:hAnsi="宋体"/>
                <w:color w:val="000000"/>
                <w:szCs w:val="21"/>
              </w:rPr>
            </w:pPr>
            <w:r>
              <w:rPr>
                <w:rFonts w:hint="eastAsia" w:ascii="宋体" w:hAnsi="宋体"/>
                <w:color w:val="000000"/>
                <w:szCs w:val="21"/>
              </w:rPr>
              <w:t>听力理解</w:t>
            </w:r>
          </w:p>
        </w:tc>
        <w:tc>
          <w:tcPr>
            <w:tcW w:w="1302" w:type="dxa"/>
            <w:noWrap w:val="0"/>
            <w:vAlign w:val="center"/>
          </w:tcPr>
          <w:p w14:paraId="1FB2CEBC">
            <w:pPr>
              <w:jc w:val="left"/>
              <w:rPr>
                <w:rFonts w:hint="eastAsia" w:ascii="宋体" w:hAnsi="宋体"/>
                <w:bCs/>
                <w:color w:val="000000"/>
                <w:szCs w:val="21"/>
              </w:rPr>
            </w:pPr>
            <w:r>
              <w:rPr>
                <w:rFonts w:hint="eastAsia" w:ascii="宋体" w:hAnsi="宋体"/>
                <w:bCs/>
                <w:color w:val="000000"/>
                <w:szCs w:val="21"/>
              </w:rPr>
              <w:t>1.专业词汇</w:t>
            </w:r>
          </w:p>
          <w:p w14:paraId="2A5C520D">
            <w:pPr>
              <w:jc w:val="left"/>
              <w:rPr>
                <w:rFonts w:hint="eastAsia" w:ascii="宋体" w:hAnsi="宋体"/>
                <w:bCs/>
                <w:color w:val="000000"/>
                <w:szCs w:val="21"/>
              </w:rPr>
            </w:pPr>
            <w:r>
              <w:rPr>
                <w:rFonts w:hint="eastAsia" w:ascii="宋体" w:hAnsi="宋体"/>
                <w:bCs/>
                <w:color w:val="000000"/>
                <w:szCs w:val="21"/>
              </w:rPr>
              <w:t>2.重要细节捕捉</w:t>
            </w:r>
          </w:p>
          <w:p w14:paraId="2221AFB2">
            <w:pPr>
              <w:widowControl/>
              <w:jc w:val="left"/>
              <w:rPr>
                <w:rFonts w:hint="eastAsia" w:ascii="宋体" w:hAnsi="宋体"/>
                <w:color w:val="000000"/>
                <w:kern w:val="0"/>
                <w:szCs w:val="21"/>
              </w:rPr>
            </w:pPr>
            <w:r>
              <w:rPr>
                <w:rFonts w:hint="eastAsia" w:ascii="宋体" w:hAnsi="宋体"/>
                <w:bCs/>
                <w:color w:val="000000"/>
                <w:szCs w:val="21"/>
              </w:rPr>
              <w:t>3.听力技巧</w:t>
            </w:r>
          </w:p>
          <w:p w14:paraId="2C9106EC">
            <w:pPr>
              <w:widowControl/>
              <w:jc w:val="left"/>
              <w:rPr>
                <w:rFonts w:hint="eastAsia" w:ascii="宋体" w:hAnsi="宋体"/>
                <w:color w:val="000000"/>
                <w:kern w:val="0"/>
                <w:szCs w:val="21"/>
              </w:rPr>
            </w:pPr>
          </w:p>
        </w:tc>
        <w:tc>
          <w:tcPr>
            <w:tcW w:w="1166" w:type="dxa"/>
            <w:noWrap w:val="0"/>
            <w:vAlign w:val="center"/>
          </w:tcPr>
          <w:p w14:paraId="286B7D84">
            <w:pPr>
              <w:autoSpaceDE w:val="0"/>
              <w:autoSpaceDN w:val="0"/>
              <w:adjustRightInd w:val="0"/>
              <w:spacing w:line="400" w:lineRule="exact"/>
              <w:jc w:val="lef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76AD53D9">
            <w:pPr>
              <w:jc w:val="left"/>
              <w:rPr>
                <w:rFonts w:hint="eastAsia" w:ascii="宋体" w:hAnsi="宋体"/>
                <w:bCs/>
                <w:color w:val="000000"/>
                <w:szCs w:val="21"/>
              </w:rPr>
            </w:pPr>
            <w:r>
              <w:rPr>
                <w:color w:val="000000"/>
                <w:kern w:val="0"/>
                <w:szCs w:val="21"/>
                <w:lang w:val="zh-CN"/>
              </w:rPr>
              <w:t>能听懂一般日常英语谈话和公告；能基本听懂题材熟悉、篇幅较长、语速中等的英语广播、电视节目和其他音视频材料，掌握中心大意，抓住要点和相关细节；能基本听懂用英语讲授的专业课程或与未来工作岗位、工作任务、产品等相关的口头介绍。能较好地运用听力技巧。</w:t>
            </w:r>
          </w:p>
        </w:tc>
        <w:tc>
          <w:tcPr>
            <w:tcW w:w="1505" w:type="dxa"/>
            <w:noWrap w:val="0"/>
            <w:vAlign w:val="center"/>
          </w:tcPr>
          <w:p w14:paraId="34F7B3DB">
            <w:pPr>
              <w:jc w:val="left"/>
              <w:rPr>
                <w:rFonts w:hint="eastAsia" w:ascii="宋体" w:hAnsi="宋体"/>
                <w:bCs/>
                <w:color w:val="000000"/>
                <w:szCs w:val="21"/>
              </w:rPr>
            </w:pPr>
            <w:r>
              <w:rPr>
                <w:rFonts w:hint="eastAsia" w:ascii="宋体" w:hAnsi="宋体"/>
                <w:bCs/>
                <w:color w:val="000000"/>
                <w:szCs w:val="21"/>
              </w:rPr>
              <w:t>1.线上学习</w:t>
            </w:r>
          </w:p>
          <w:p w14:paraId="53A6B3AB">
            <w:pPr>
              <w:jc w:val="left"/>
              <w:rPr>
                <w:rFonts w:hint="eastAsia" w:ascii="宋体" w:hAnsi="宋体"/>
                <w:bCs/>
                <w:color w:val="000000"/>
                <w:szCs w:val="21"/>
              </w:rPr>
            </w:pPr>
            <w:r>
              <w:rPr>
                <w:rFonts w:hint="eastAsia" w:ascii="宋体" w:hAnsi="宋体"/>
                <w:bCs/>
                <w:color w:val="000000"/>
                <w:szCs w:val="21"/>
              </w:rPr>
              <w:t>2.多媒体教学3.课堂讨论</w:t>
            </w:r>
          </w:p>
          <w:p w14:paraId="05B5C7B4">
            <w:pPr>
              <w:jc w:val="left"/>
              <w:rPr>
                <w:rFonts w:ascii="宋体" w:hAnsi="宋体"/>
                <w:bCs/>
                <w:color w:val="000000"/>
                <w:szCs w:val="21"/>
              </w:rPr>
            </w:pPr>
            <w:r>
              <w:rPr>
                <w:rFonts w:hint="eastAsia" w:ascii="宋体" w:hAnsi="宋体"/>
                <w:bCs/>
                <w:color w:val="000000"/>
                <w:szCs w:val="21"/>
              </w:rPr>
              <w:t>4.作业、测试</w:t>
            </w:r>
          </w:p>
          <w:p w14:paraId="2903A4F7">
            <w:pPr>
              <w:jc w:val="left"/>
              <w:rPr>
                <w:rFonts w:hint="eastAsia" w:ascii="宋体" w:hAnsi="宋体"/>
                <w:bCs/>
                <w:color w:val="000000"/>
                <w:szCs w:val="21"/>
              </w:rPr>
            </w:pPr>
          </w:p>
        </w:tc>
        <w:tc>
          <w:tcPr>
            <w:tcW w:w="713" w:type="dxa"/>
            <w:noWrap w:val="0"/>
            <w:vAlign w:val="center"/>
          </w:tcPr>
          <w:p w14:paraId="4DFDCC64">
            <w:pPr>
              <w:jc w:val="left"/>
              <w:rPr>
                <w:rFonts w:hint="eastAsia" w:ascii="宋体" w:hAnsi="宋体"/>
                <w:bCs/>
                <w:color w:val="000000"/>
                <w:szCs w:val="21"/>
              </w:rPr>
            </w:pPr>
            <w:r>
              <w:rPr>
                <w:rFonts w:hint="eastAsia" w:ascii="宋体" w:hAnsi="宋体"/>
                <w:bCs/>
                <w:color w:val="000000"/>
                <w:szCs w:val="21"/>
              </w:rPr>
              <w:t>8</w:t>
            </w:r>
          </w:p>
        </w:tc>
      </w:tr>
      <w:tr w14:paraId="020C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28" w:type="dxa"/>
            <w:vMerge w:val="continue"/>
            <w:noWrap w:val="0"/>
            <w:vAlign w:val="center"/>
          </w:tcPr>
          <w:p w14:paraId="799DEF14">
            <w:pPr>
              <w:jc w:val="left"/>
              <w:rPr>
                <w:rFonts w:hint="eastAsia" w:ascii="宋体" w:hAnsi="宋体"/>
                <w:color w:val="000000"/>
                <w:szCs w:val="21"/>
              </w:rPr>
            </w:pPr>
          </w:p>
        </w:tc>
        <w:tc>
          <w:tcPr>
            <w:tcW w:w="7392" w:type="dxa"/>
            <w:gridSpan w:val="5"/>
            <w:noWrap w:val="0"/>
            <w:vAlign w:val="center"/>
          </w:tcPr>
          <w:p w14:paraId="74A10953">
            <w:pPr>
              <w:widowControl/>
              <w:jc w:val="left"/>
              <w:rPr>
                <w:rFonts w:hint="eastAsia" w:ascii="宋体" w:hAnsi="宋体"/>
                <w:bCs/>
                <w:color w:val="000000"/>
                <w:szCs w:val="21"/>
              </w:rPr>
            </w:pPr>
            <w:r>
              <w:rPr>
                <w:rFonts w:hint="eastAsia" w:ascii="宋体" w:hAnsi="宋体"/>
                <w:bCs/>
                <w:color w:val="000000"/>
                <w:szCs w:val="21"/>
              </w:rPr>
              <w:t>课程思政目标：</w:t>
            </w:r>
            <w:r>
              <w:rPr>
                <w:rFonts w:hint="eastAsia" w:ascii="宋体" w:hAnsi="宋体"/>
                <w:color w:val="000000"/>
                <w:kern w:val="0"/>
                <w:szCs w:val="21"/>
              </w:rPr>
              <w:t>1.了解西方文化。 2.理性思考中西文化差异。3.树立文化自信。</w:t>
            </w:r>
          </w:p>
        </w:tc>
      </w:tr>
      <w:tr w14:paraId="5A05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jc w:val="center"/>
        </w:trPr>
        <w:tc>
          <w:tcPr>
            <w:tcW w:w="1128" w:type="dxa"/>
            <w:vMerge w:val="restart"/>
            <w:noWrap w:val="0"/>
            <w:vAlign w:val="center"/>
          </w:tcPr>
          <w:p w14:paraId="4FEF734C">
            <w:pPr>
              <w:rPr>
                <w:rFonts w:hint="eastAsia" w:ascii="宋体" w:hAnsi="宋体"/>
                <w:color w:val="000000"/>
                <w:szCs w:val="21"/>
              </w:rPr>
            </w:pPr>
            <w:r>
              <w:rPr>
                <w:rFonts w:hint="eastAsia" w:ascii="宋体" w:hAnsi="宋体"/>
                <w:color w:val="000000"/>
                <w:szCs w:val="21"/>
              </w:rPr>
              <w:t>口语表达</w:t>
            </w:r>
          </w:p>
        </w:tc>
        <w:tc>
          <w:tcPr>
            <w:tcW w:w="1302" w:type="dxa"/>
            <w:noWrap w:val="0"/>
            <w:vAlign w:val="center"/>
          </w:tcPr>
          <w:p w14:paraId="387B22BD">
            <w:pPr>
              <w:jc w:val="left"/>
              <w:rPr>
                <w:rFonts w:ascii="宋体" w:hAnsi="宋体"/>
                <w:bCs/>
                <w:color w:val="000000"/>
                <w:szCs w:val="21"/>
              </w:rPr>
            </w:pPr>
            <w:r>
              <w:rPr>
                <w:rFonts w:hint="eastAsia" w:ascii="宋体" w:hAnsi="宋体"/>
                <w:bCs/>
                <w:color w:val="000000"/>
                <w:szCs w:val="21"/>
              </w:rPr>
              <w:t>1.连读</w:t>
            </w:r>
          </w:p>
          <w:p w14:paraId="54D62ED3">
            <w:pPr>
              <w:jc w:val="left"/>
              <w:rPr>
                <w:rFonts w:ascii="宋体" w:hAnsi="宋体"/>
                <w:bCs/>
                <w:color w:val="000000"/>
                <w:szCs w:val="21"/>
              </w:rPr>
            </w:pPr>
            <w:r>
              <w:rPr>
                <w:rFonts w:hint="eastAsia" w:ascii="宋体" w:hAnsi="宋体"/>
                <w:bCs/>
                <w:color w:val="000000"/>
                <w:szCs w:val="21"/>
              </w:rPr>
              <w:t>2.观点陈述</w:t>
            </w:r>
          </w:p>
          <w:p w14:paraId="7F93A0B8">
            <w:pPr>
              <w:widowControl/>
              <w:jc w:val="left"/>
              <w:rPr>
                <w:rFonts w:hint="eastAsia" w:ascii="宋体" w:hAnsi="宋体"/>
                <w:color w:val="000000"/>
                <w:kern w:val="0"/>
                <w:szCs w:val="21"/>
              </w:rPr>
            </w:pPr>
            <w:r>
              <w:rPr>
                <w:rFonts w:hint="eastAsia" w:ascii="宋体" w:hAnsi="宋体"/>
                <w:bCs/>
                <w:color w:val="000000"/>
                <w:szCs w:val="21"/>
              </w:rPr>
              <w:t>3.沟通技巧</w:t>
            </w:r>
          </w:p>
        </w:tc>
        <w:tc>
          <w:tcPr>
            <w:tcW w:w="1166" w:type="dxa"/>
            <w:noWrap w:val="0"/>
            <w:vAlign w:val="center"/>
          </w:tcPr>
          <w:p w14:paraId="557A39E6">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5FF1845F">
            <w:pPr>
              <w:jc w:val="left"/>
              <w:rPr>
                <w:rFonts w:hint="eastAsia" w:ascii="宋体" w:hAnsi="宋体"/>
                <w:bCs/>
                <w:color w:val="000000"/>
                <w:szCs w:val="21"/>
              </w:rPr>
            </w:pPr>
            <w:r>
              <w:rPr>
                <w:color w:val="000000"/>
                <w:kern w:val="0"/>
                <w:szCs w:val="21"/>
                <w:lang w:val="zh-CN"/>
              </w:rPr>
              <w:t>能用英语就一般性话题进行比较流利的会话；能较好地表达个人意见、情感、观点等；能陈述事实、理由和描述事件或物品等；能就熟悉的观点、概念、理论等进行阐述、解释、比较、总结等。语言组织结构清晰，语音、语调基本正确。能较好地运用口头表达与交流技巧。</w:t>
            </w:r>
          </w:p>
        </w:tc>
        <w:tc>
          <w:tcPr>
            <w:tcW w:w="1505" w:type="dxa"/>
            <w:noWrap w:val="0"/>
            <w:vAlign w:val="center"/>
          </w:tcPr>
          <w:p w14:paraId="3B9A25E7">
            <w:pPr>
              <w:jc w:val="left"/>
              <w:rPr>
                <w:rFonts w:hint="eastAsia" w:ascii="宋体" w:hAnsi="宋体"/>
                <w:bCs/>
                <w:color w:val="000000"/>
                <w:szCs w:val="21"/>
              </w:rPr>
            </w:pPr>
            <w:r>
              <w:rPr>
                <w:rFonts w:hint="eastAsia" w:ascii="宋体" w:hAnsi="宋体"/>
                <w:bCs/>
                <w:color w:val="000000"/>
                <w:szCs w:val="21"/>
              </w:rPr>
              <w:t>1.线上学习</w:t>
            </w:r>
          </w:p>
          <w:p w14:paraId="4F29AC97">
            <w:pPr>
              <w:jc w:val="left"/>
              <w:rPr>
                <w:rFonts w:hint="eastAsia" w:ascii="宋体" w:hAnsi="宋体"/>
                <w:bCs/>
                <w:color w:val="000000"/>
                <w:szCs w:val="21"/>
              </w:rPr>
            </w:pPr>
            <w:r>
              <w:rPr>
                <w:rFonts w:hint="eastAsia" w:ascii="宋体" w:hAnsi="宋体"/>
                <w:bCs/>
                <w:color w:val="000000"/>
                <w:szCs w:val="21"/>
              </w:rPr>
              <w:t>2.多媒体教学3.课堂讨论</w:t>
            </w:r>
          </w:p>
          <w:p w14:paraId="6848131A">
            <w:pPr>
              <w:jc w:val="left"/>
              <w:rPr>
                <w:rFonts w:hint="eastAsia" w:ascii="宋体" w:hAnsi="宋体"/>
                <w:bCs/>
                <w:color w:val="000000"/>
                <w:szCs w:val="21"/>
              </w:rPr>
            </w:pPr>
            <w:r>
              <w:rPr>
                <w:rFonts w:hint="eastAsia" w:ascii="宋体" w:hAnsi="宋体"/>
                <w:bCs/>
                <w:color w:val="000000"/>
                <w:szCs w:val="21"/>
              </w:rPr>
              <w:t>4.作业、测试</w:t>
            </w:r>
          </w:p>
          <w:p w14:paraId="32794ED7">
            <w:pPr>
              <w:jc w:val="left"/>
              <w:rPr>
                <w:rFonts w:hint="eastAsia" w:ascii="宋体" w:hAnsi="宋体"/>
                <w:bCs/>
                <w:color w:val="000000"/>
                <w:szCs w:val="21"/>
              </w:rPr>
            </w:pPr>
          </w:p>
        </w:tc>
        <w:tc>
          <w:tcPr>
            <w:tcW w:w="713" w:type="dxa"/>
            <w:noWrap w:val="0"/>
            <w:vAlign w:val="center"/>
          </w:tcPr>
          <w:p w14:paraId="6E8A14C3">
            <w:pPr>
              <w:jc w:val="left"/>
              <w:rPr>
                <w:rFonts w:hint="eastAsia" w:ascii="宋体" w:hAnsi="宋体"/>
                <w:bCs/>
                <w:color w:val="000000"/>
                <w:szCs w:val="21"/>
              </w:rPr>
            </w:pPr>
            <w:r>
              <w:rPr>
                <w:rFonts w:hint="eastAsia" w:ascii="宋体" w:hAnsi="宋体"/>
                <w:bCs/>
                <w:color w:val="000000"/>
                <w:szCs w:val="21"/>
              </w:rPr>
              <w:t>7</w:t>
            </w:r>
          </w:p>
        </w:tc>
      </w:tr>
      <w:tr w14:paraId="3AAB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128" w:type="dxa"/>
            <w:vMerge w:val="continue"/>
            <w:noWrap w:val="0"/>
            <w:vAlign w:val="center"/>
          </w:tcPr>
          <w:p w14:paraId="41CFEE80">
            <w:pPr>
              <w:rPr>
                <w:rFonts w:hint="eastAsia" w:ascii="宋体" w:hAnsi="宋体"/>
                <w:color w:val="000000"/>
                <w:szCs w:val="21"/>
              </w:rPr>
            </w:pPr>
          </w:p>
        </w:tc>
        <w:tc>
          <w:tcPr>
            <w:tcW w:w="7392" w:type="dxa"/>
            <w:gridSpan w:val="5"/>
            <w:noWrap w:val="0"/>
            <w:vAlign w:val="center"/>
          </w:tcPr>
          <w:p w14:paraId="4FCC5B28">
            <w:pPr>
              <w:widowControl/>
              <w:jc w:val="left"/>
              <w:rPr>
                <w:rFonts w:hint="eastAsia" w:ascii="宋体" w:hAnsi="宋体"/>
                <w:bCs/>
                <w:color w:val="000000"/>
                <w:szCs w:val="21"/>
              </w:rPr>
            </w:pPr>
            <w:r>
              <w:rPr>
                <w:rFonts w:hint="eastAsia" w:ascii="宋体" w:hAnsi="宋体"/>
                <w:color w:val="000000"/>
                <w:kern w:val="0"/>
                <w:szCs w:val="21"/>
              </w:rPr>
              <w:t>课程思政目标：1.克服焦虑，树立信心。 2.传播社会主义核心价值观、中国优秀传统文化。 3.讲好中国故事。</w:t>
            </w:r>
          </w:p>
        </w:tc>
      </w:tr>
      <w:tr w14:paraId="282B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1128" w:type="dxa"/>
            <w:vMerge w:val="restart"/>
            <w:noWrap w:val="0"/>
            <w:vAlign w:val="center"/>
          </w:tcPr>
          <w:p w14:paraId="5567CCEA">
            <w:pPr>
              <w:rPr>
                <w:rFonts w:hint="eastAsia" w:ascii="宋体" w:hAnsi="宋体"/>
                <w:color w:val="000000"/>
                <w:szCs w:val="21"/>
              </w:rPr>
            </w:pPr>
            <w:r>
              <w:rPr>
                <w:rFonts w:hint="eastAsia" w:ascii="宋体" w:hAnsi="宋体"/>
                <w:color w:val="000000"/>
                <w:szCs w:val="21"/>
              </w:rPr>
              <w:t>阅读理解</w:t>
            </w:r>
          </w:p>
        </w:tc>
        <w:tc>
          <w:tcPr>
            <w:tcW w:w="1302" w:type="dxa"/>
            <w:noWrap w:val="0"/>
            <w:vAlign w:val="center"/>
          </w:tcPr>
          <w:p w14:paraId="495ED398">
            <w:pPr>
              <w:jc w:val="left"/>
              <w:rPr>
                <w:rFonts w:ascii="宋体" w:hAnsi="宋体"/>
                <w:bCs/>
                <w:color w:val="000000"/>
                <w:szCs w:val="21"/>
              </w:rPr>
            </w:pPr>
            <w:r>
              <w:rPr>
                <w:rFonts w:hint="eastAsia" w:ascii="宋体" w:hAnsi="宋体"/>
                <w:bCs/>
                <w:color w:val="000000"/>
                <w:szCs w:val="21"/>
              </w:rPr>
              <w:t>1.篇章结构理解</w:t>
            </w:r>
          </w:p>
          <w:p w14:paraId="5E23CD0E">
            <w:pPr>
              <w:jc w:val="left"/>
              <w:rPr>
                <w:rFonts w:ascii="宋体" w:hAnsi="宋体"/>
                <w:bCs/>
                <w:color w:val="000000"/>
                <w:szCs w:val="21"/>
              </w:rPr>
            </w:pPr>
            <w:r>
              <w:rPr>
                <w:rFonts w:hint="eastAsia" w:ascii="宋体" w:hAnsi="宋体"/>
                <w:bCs/>
                <w:color w:val="000000"/>
                <w:szCs w:val="21"/>
              </w:rPr>
              <w:t>2.文体分析</w:t>
            </w:r>
          </w:p>
          <w:p w14:paraId="341A69C4">
            <w:pPr>
              <w:jc w:val="left"/>
              <w:rPr>
                <w:rFonts w:hint="eastAsia" w:ascii="宋体" w:hAnsi="宋体"/>
                <w:bCs/>
                <w:color w:val="000000"/>
                <w:szCs w:val="21"/>
              </w:rPr>
            </w:pPr>
            <w:r>
              <w:rPr>
                <w:rFonts w:hint="eastAsia" w:ascii="宋体" w:hAnsi="宋体"/>
                <w:bCs/>
                <w:color w:val="000000"/>
                <w:szCs w:val="21"/>
              </w:rPr>
              <w:t>3.文献阅读</w:t>
            </w:r>
          </w:p>
          <w:p w14:paraId="1E166FBD">
            <w:pPr>
              <w:widowControl/>
              <w:jc w:val="left"/>
              <w:rPr>
                <w:rFonts w:hint="eastAsia" w:ascii="宋体" w:hAnsi="宋体"/>
                <w:color w:val="000000"/>
                <w:kern w:val="0"/>
                <w:szCs w:val="21"/>
              </w:rPr>
            </w:pPr>
            <w:r>
              <w:rPr>
                <w:rFonts w:hint="eastAsia" w:ascii="宋体" w:hAnsi="宋体"/>
                <w:bCs/>
                <w:color w:val="000000"/>
                <w:szCs w:val="21"/>
              </w:rPr>
              <w:t>4.微观阅读技巧</w:t>
            </w:r>
          </w:p>
        </w:tc>
        <w:tc>
          <w:tcPr>
            <w:tcW w:w="1166" w:type="dxa"/>
            <w:noWrap w:val="0"/>
            <w:vAlign w:val="center"/>
          </w:tcPr>
          <w:p w14:paraId="2574AB19">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6D738149">
            <w:pPr>
              <w:rPr>
                <w:rFonts w:hint="eastAsia" w:ascii="宋体" w:hAnsi="宋体"/>
                <w:bCs/>
                <w:color w:val="000000"/>
                <w:szCs w:val="21"/>
              </w:rPr>
            </w:pPr>
            <w:r>
              <w:rPr>
                <w:color w:val="000000"/>
                <w:kern w:val="0"/>
                <w:szCs w:val="21"/>
                <w:lang w:val="zh-CN"/>
              </w:rPr>
              <w:t>能基本读懂公开发表的英语报刊上一般性题材的文章；能阅读与所学专业相关的综述性文献，或与未来工作相关的说明书、操作手册等材料，理解中心大意、关键信息、文章的篇章结构和隐含意义等。能较好地运用快速阅读技巧阅读篇幅较长、难度中等的材料。能较好地运用常用的阅读策略。</w:t>
            </w:r>
          </w:p>
        </w:tc>
        <w:tc>
          <w:tcPr>
            <w:tcW w:w="1505" w:type="dxa"/>
            <w:noWrap w:val="0"/>
            <w:vAlign w:val="center"/>
          </w:tcPr>
          <w:p w14:paraId="58611C0F">
            <w:pPr>
              <w:jc w:val="left"/>
              <w:rPr>
                <w:rFonts w:hint="eastAsia" w:ascii="宋体" w:hAnsi="宋体"/>
                <w:bCs/>
                <w:color w:val="000000"/>
                <w:szCs w:val="21"/>
              </w:rPr>
            </w:pPr>
            <w:r>
              <w:rPr>
                <w:rFonts w:hint="eastAsia" w:ascii="宋体" w:hAnsi="宋体"/>
                <w:bCs/>
                <w:color w:val="000000"/>
                <w:szCs w:val="21"/>
              </w:rPr>
              <w:t>1.线上学习</w:t>
            </w:r>
          </w:p>
          <w:p w14:paraId="18E1E22B">
            <w:pPr>
              <w:jc w:val="left"/>
              <w:rPr>
                <w:rFonts w:hint="eastAsia" w:ascii="宋体" w:hAnsi="宋体"/>
                <w:bCs/>
                <w:color w:val="000000"/>
                <w:szCs w:val="21"/>
              </w:rPr>
            </w:pPr>
            <w:r>
              <w:rPr>
                <w:rFonts w:hint="eastAsia" w:ascii="宋体" w:hAnsi="宋体"/>
                <w:bCs/>
                <w:color w:val="000000"/>
                <w:szCs w:val="21"/>
              </w:rPr>
              <w:t>2.多媒体教学3.课堂讨论</w:t>
            </w:r>
          </w:p>
          <w:p w14:paraId="6B638D6A">
            <w:pPr>
              <w:jc w:val="left"/>
              <w:rPr>
                <w:rFonts w:hint="eastAsia" w:ascii="宋体" w:hAnsi="宋体"/>
                <w:bCs/>
                <w:color w:val="000000"/>
                <w:szCs w:val="21"/>
              </w:rPr>
            </w:pPr>
            <w:r>
              <w:rPr>
                <w:rFonts w:hint="eastAsia" w:ascii="宋体" w:hAnsi="宋体"/>
                <w:bCs/>
                <w:color w:val="000000"/>
                <w:szCs w:val="21"/>
              </w:rPr>
              <w:t>4.作业、测试</w:t>
            </w:r>
          </w:p>
          <w:p w14:paraId="2CDA3CB3">
            <w:pPr>
              <w:rPr>
                <w:rFonts w:hint="eastAsia" w:ascii="宋体" w:hAnsi="宋体"/>
                <w:bCs/>
                <w:color w:val="000000"/>
                <w:szCs w:val="21"/>
              </w:rPr>
            </w:pPr>
          </w:p>
        </w:tc>
        <w:tc>
          <w:tcPr>
            <w:tcW w:w="713" w:type="dxa"/>
            <w:noWrap w:val="0"/>
            <w:vAlign w:val="center"/>
          </w:tcPr>
          <w:p w14:paraId="44F39B65">
            <w:pPr>
              <w:rPr>
                <w:rFonts w:ascii="宋体" w:hAnsi="宋体"/>
                <w:bCs/>
                <w:color w:val="000000"/>
                <w:szCs w:val="21"/>
              </w:rPr>
            </w:pPr>
            <w:r>
              <w:rPr>
                <w:rFonts w:hint="eastAsia" w:ascii="宋体" w:hAnsi="宋体"/>
                <w:bCs/>
                <w:color w:val="000000"/>
                <w:szCs w:val="21"/>
              </w:rPr>
              <w:t>15</w:t>
            </w:r>
          </w:p>
        </w:tc>
      </w:tr>
      <w:tr w14:paraId="25CD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128" w:type="dxa"/>
            <w:vMerge w:val="continue"/>
            <w:noWrap w:val="0"/>
            <w:vAlign w:val="center"/>
          </w:tcPr>
          <w:p w14:paraId="336E4400">
            <w:pPr>
              <w:rPr>
                <w:rFonts w:hint="eastAsia" w:ascii="宋体" w:hAnsi="宋体"/>
                <w:color w:val="000000"/>
                <w:szCs w:val="21"/>
              </w:rPr>
            </w:pPr>
          </w:p>
        </w:tc>
        <w:tc>
          <w:tcPr>
            <w:tcW w:w="7392" w:type="dxa"/>
            <w:gridSpan w:val="5"/>
            <w:noWrap w:val="0"/>
            <w:vAlign w:val="center"/>
          </w:tcPr>
          <w:p w14:paraId="0F18CD85">
            <w:pPr>
              <w:widowControl/>
              <w:jc w:val="left"/>
              <w:rPr>
                <w:rFonts w:hint="eastAsia" w:ascii="宋体" w:hAnsi="宋体"/>
                <w:bCs/>
                <w:color w:val="000000"/>
                <w:szCs w:val="21"/>
              </w:rPr>
            </w:pPr>
            <w:r>
              <w:rPr>
                <w:rFonts w:hint="eastAsia" w:ascii="宋体" w:hAnsi="宋体"/>
                <w:color w:val="000000"/>
                <w:kern w:val="0"/>
                <w:szCs w:val="21"/>
              </w:rPr>
              <w:t>课程思政目标：1.理性思考中西文化差异。2.传播社会主义核心价值观、中国优秀传统文化。 3.树立文化自信。 4.提升职业素养</w:t>
            </w:r>
          </w:p>
        </w:tc>
      </w:tr>
      <w:tr w14:paraId="58C7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1128" w:type="dxa"/>
            <w:vMerge w:val="restart"/>
            <w:noWrap w:val="0"/>
            <w:vAlign w:val="center"/>
          </w:tcPr>
          <w:p w14:paraId="63521688">
            <w:pPr>
              <w:outlineLvl w:val="0"/>
              <w:rPr>
                <w:rFonts w:hint="eastAsia" w:ascii="宋体" w:hAnsi="宋体"/>
                <w:color w:val="000000"/>
                <w:szCs w:val="21"/>
              </w:rPr>
            </w:pPr>
            <w:r>
              <w:rPr>
                <w:rFonts w:hint="eastAsia" w:ascii="宋体" w:hAnsi="宋体"/>
                <w:color w:val="000000"/>
                <w:szCs w:val="21"/>
              </w:rPr>
              <w:t>书面表达</w:t>
            </w:r>
          </w:p>
        </w:tc>
        <w:tc>
          <w:tcPr>
            <w:tcW w:w="1302" w:type="dxa"/>
            <w:noWrap w:val="0"/>
            <w:vAlign w:val="center"/>
          </w:tcPr>
          <w:p w14:paraId="03D865F4">
            <w:pPr>
              <w:jc w:val="left"/>
              <w:rPr>
                <w:rFonts w:ascii="宋体" w:hAnsi="宋体"/>
                <w:bCs/>
                <w:color w:val="000000"/>
                <w:szCs w:val="21"/>
              </w:rPr>
            </w:pPr>
            <w:r>
              <w:rPr>
                <w:rFonts w:hint="eastAsia" w:ascii="宋体" w:hAnsi="宋体"/>
                <w:bCs/>
                <w:color w:val="000000"/>
                <w:szCs w:val="21"/>
              </w:rPr>
              <w:t>1.段落开展</w:t>
            </w:r>
          </w:p>
          <w:p w14:paraId="1B7596C7">
            <w:pPr>
              <w:jc w:val="left"/>
              <w:rPr>
                <w:rFonts w:ascii="宋体" w:hAnsi="宋体"/>
                <w:bCs/>
                <w:color w:val="000000"/>
                <w:szCs w:val="21"/>
              </w:rPr>
            </w:pPr>
            <w:r>
              <w:rPr>
                <w:rFonts w:hint="eastAsia" w:ascii="宋体" w:hAnsi="宋体"/>
                <w:bCs/>
                <w:color w:val="000000"/>
                <w:szCs w:val="21"/>
              </w:rPr>
              <w:t>2.语篇衔接</w:t>
            </w:r>
          </w:p>
          <w:p w14:paraId="2C7B3F55">
            <w:pPr>
              <w:outlineLvl w:val="0"/>
              <w:rPr>
                <w:rFonts w:hint="eastAsia" w:ascii="宋体" w:hAnsi="宋体"/>
                <w:color w:val="000000"/>
                <w:kern w:val="0"/>
                <w:szCs w:val="21"/>
              </w:rPr>
            </w:pPr>
            <w:r>
              <w:rPr>
                <w:rFonts w:hint="eastAsia" w:ascii="宋体" w:hAnsi="宋体"/>
                <w:bCs/>
                <w:color w:val="000000"/>
                <w:szCs w:val="21"/>
              </w:rPr>
              <w:t>3.英文摘要写作</w:t>
            </w:r>
          </w:p>
        </w:tc>
        <w:tc>
          <w:tcPr>
            <w:tcW w:w="1166" w:type="dxa"/>
            <w:noWrap w:val="0"/>
            <w:vAlign w:val="center"/>
          </w:tcPr>
          <w:p w14:paraId="6E9CF41D">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03786913">
            <w:pPr>
              <w:jc w:val="left"/>
              <w:rPr>
                <w:rFonts w:hint="eastAsia" w:ascii="宋体" w:hAnsi="宋体"/>
                <w:bCs/>
                <w:color w:val="000000"/>
                <w:szCs w:val="21"/>
              </w:rPr>
            </w:pPr>
            <w:r>
              <w:rPr>
                <w:color w:val="000000"/>
                <w:kern w:val="0"/>
                <w:szCs w:val="21"/>
                <w:lang w:val="zh-CN"/>
              </w:rPr>
              <w:t>能用英语就一般性的主题表达个人观点；能撰写所学专业论文的英文摘要和英语小论文；能描述各种图表；能用英语对未来所从事工作或岗位职能、业务、产品等进行简要的书面介绍，语言表达内容完整，观点明确，条理清楚，语句通顺。能较好地运用常用的书面表达与交流技巧。</w:t>
            </w:r>
          </w:p>
        </w:tc>
        <w:tc>
          <w:tcPr>
            <w:tcW w:w="1505" w:type="dxa"/>
            <w:noWrap w:val="0"/>
            <w:vAlign w:val="center"/>
          </w:tcPr>
          <w:p w14:paraId="61D8AB72">
            <w:pPr>
              <w:jc w:val="left"/>
              <w:rPr>
                <w:rFonts w:hint="eastAsia" w:ascii="宋体" w:hAnsi="宋体"/>
                <w:bCs/>
                <w:color w:val="000000"/>
                <w:szCs w:val="21"/>
              </w:rPr>
            </w:pPr>
            <w:r>
              <w:rPr>
                <w:rFonts w:hint="eastAsia" w:ascii="宋体" w:hAnsi="宋体"/>
                <w:bCs/>
                <w:color w:val="000000"/>
                <w:szCs w:val="21"/>
              </w:rPr>
              <w:t>1.线上学习</w:t>
            </w:r>
          </w:p>
          <w:p w14:paraId="19D6712E">
            <w:pPr>
              <w:jc w:val="left"/>
              <w:rPr>
                <w:rFonts w:hint="eastAsia" w:ascii="宋体" w:hAnsi="宋体"/>
                <w:bCs/>
                <w:color w:val="000000"/>
                <w:szCs w:val="21"/>
              </w:rPr>
            </w:pPr>
            <w:r>
              <w:rPr>
                <w:rFonts w:hint="eastAsia" w:ascii="宋体" w:hAnsi="宋体"/>
                <w:bCs/>
                <w:color w:val="000000"/>
                <w:szCs w:val="21"/>
              </w:rPr>
              <w:t>2.多媒体教学3.课堂讨论</w:t>
            </w:r>
          </w:p>
          <w:p w14:paraId="583F1379">
            <w:pPr>
              <w:jc w:val="left"/>
              <w:rPr>
                <w:rFonts w:hint="eastAsia" w:ascii="宋体" w:hAnsi="宋体"/>
                <w:bCs/>
                <w:color w:val="000000"/>
                <w:szCs w:val="21"/>
              </w:rPr>
            </w:pPr>
            <w:r>
              <w:rPr>
                <w:rFonts w:hint="eastAsia" w:ascii="宋体" w:hAnsi="宋体"/>
                <w:bCs/>
                <w:color w:val="000000"/>
                <w:szCs w:val="21"/>
              </w:rPr>
              <w:t>4.作业、测试</w:t>
            </w:r>
          </w:p>
          <w:p w14:paraId="61764DC5">
            <w:pPr>
              <w:jc w:val="left"/>
              <w:rPr>
                <w:rFonts w:hint="eastAsia" w:ascii="宋体" w:hAnsi="宋体"/>
                <w:bCs/>
                <w:color w:val="000000"/>
                <w:szCs w:val="21"/>
              </w:rPr>
            </w:pPr>
          </w:p>
        </w:tc>
        <w:tc>
          <w:tcPr>
            <w:tcW w:w="713" w:type="dxa"/>
            <w:noWrap w:val="0"/>
            <w:vAlign w:val="center"/>
          </w:tcPr>
          <w:p w14:paraId="15DE3F18">
            <w:pPr>
              <w:jc w:val="left"/>
              <w:rPr>
                <w:rFonts w:ascii="宋体" w:hAnsi="宋体"/>
                <w:bCs/>
                <w:color w:val="000000"/>
                <w:szCs w:val="21"/>
              </w:rPr>
            </w:pPr>
            <w:r>
              <w:rPr>
                <w:rFonts w:hint="eastAsia" w:ascii="宋体" w:hAnsi="宋体"/>
                <w:bCs/>
                <w:color w:val="000000"/>
                <w:szCs w:val="21"/>
              </w:rPr>
              <w:t>7</w:t>
            </w:r>
          </w:p>
        </w:tc>
      </w:tr>
      <w:tr w14:paraId="760C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128" w:type="dxa"/>
            <w:vMerge w:val="continue"/>
            <w:noWrap w:val="0"/>
            <w:vAlign w:val="center"/>
          </w:tcPr>
          <w:p w14:paraId="4CA35D32">
            <w:pPr>
              <w:outlineLvl w:val="0"/>
              <w:rPr>
                <w:rFonts w:hint="eastAsia" w:ascii="宋体" w:hAnsi="宋体"/>
                <w:color w:val="000000"/>
                <w:szCs w:val="21"/>
              </w:rPr>
            </w:pPr>
          </w:p>
        </w:tc>
        <w:tc>
          <w:tcPr>
            <w:tcW w:w="7392" w:type="dxa"/>
            <w:gridSpan w:val="5"/>
            <w:noWrap w:val="0"/>
            <w:vAlign w:val="center"/>
          </w:tcPr>
          <w:p w14:paraId="1143FA1A">
            <w:pPr>
              <w:widowControl/>
              <w:jc w:val="left"/>
              <w:rPr>
                <w:rFonts w:ascii="宋体" w:hAnsi="宋体"/>
                <w:bCs/>
                <w:color w:val="000000"/>
                <w:szCs w:val="21"/>
              </w:rPr>
            </w:pPr>
            <w:r>
              <w:rPr>
                <w:rFonts w:hint="eastAsia" w:ascii="宋体" w:hAnsi="宋体"/>
                <w:bCs/>
                <w:color w:val="000000"/>
                <w:szCs w:val="21"/>
              </w:rPr>
              <w:t>课程思政目标：</w:t>
            </w:r>
            <w:r>
              <w:rPr>
                <w:rFonts w:hint="eastAsia" w:ascii="宋体" w:hAnsi="宋体"/>
                <w:color w:val="000000"/>
                <w:kern w:val="0"/>
                <w:szCs w:val="21"/>
              </w:rPr>
              <w:t>1.理性思考中西文化差异。 2.传播社会主义核心价值观、中国优秀传统文化。 3.讲好中国故事。 4.提升职业素养</w:t>
            </w:r>
          </w:p>
        </w:tc>
      </w:tr>
      <w:tr w14:paraId="4333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1128" w:type="dxa"/>
            <w:vMerge w:val="restart"/>
            <w:noWrap w:val="0"/>
            <w:vAlign w:val="center"/>
          </w:tcPr>
          <w:p w14:paraId="5F39C5C9">
            <w:pPr>
              <w:outlineLvl w:val="0"/>
              <w:rPr>
                <w:rFonts w:hint="eastAsia" w:ascii="宋体" w:hAnsi="宋体"/>
                <w:color w:val="000000"/>
                <w:szCs w:val="21"/>
              </w:rPr>
            </w:pPr>
            <w:r>
              <w:rPr>
                <w:rFonts w:hint="eastAsia" w:ascii="宋体" w:hAnsi="宋体"/>
                <w:color w:val="000000"/>
                <w:szCs w:val="21"/>
              </w:rPr>
              <w:t>翻译</w:t>
            </w:r>
          </w:p>
        </w:tc>
        <w:tc>
          <w:tcPr>
            <w:tcW w:w="1302" w:type="dxa"/>
            <w:noWrap w:val="0"/>
            <w:vAlign w:val="center"/>
          </w:tcPr>
          <w:p w14:paraId="7DCA381A">
            <w:pPr>
              <w:jc w:val="left"/>
              <w:rPr>
                <w:rFonts w:ascii="宋体" w:hAnsi="宋体"/>
                <w:bCs/>
                <w:color w:val="000000"/>
                <w:szCs w:val="21"/>
              </w:rPr>
            </w:pPr>
            <w:r>
              <w:rPr>
                <w:rFonts w:hint="eastAsia" w:ascii="宋体" w:hAnsi="宋体"/>
                <w:bCs/>
                <w:color w:val="000000"/>
                <w:szCs w:val="21"/>
              </w:rPr>
              <w:t>1.专业词汇</w:t>
            </w:r>
          </w:p>
          <w:p w14:paraId="62DBA3E1">
            <w:pPr>
              <w:jc w:val="left"/>
              <w:rPr>
                <w:rFonts w:ascii="宋体" w:hAnsi="宋体"/>
                <w:bCs/>
                <w:color w:val="000000"/>
                <w:szCs w:val="21"/>
              </w:rPr>
            </w:pPr>
            <w:r>
              <w:rPr>
                <w:rFonts w:hint="eastAsia" w:ascii="宋体" w:hAnsi="宋体"/>
                <w:bCs/>
                <w:color w:val="000000"/>
                <w:szCs w:val="21"/>
              </w:rPr>
              <w:t>2.中西文化差异</w:t>
            </w:r>
          </w:p>
          <w:p w14:paraId="40B89303">
            <w:pPr>
              <w:widowControl/>
              <w:rPr>
                <w:rFonts w:hint="eastAsia" w:ascii="宋体" w:hAnsi="宋体"/>
                <w:color w:val="000000"/>
                <w:kern w:val="0"/>
                <w:szCs w:val="21"/>
              </w:rPr>
            </w:pPr>
            <w:r>
              <w:rPr>
                <w:rFonts w:hint="eastAsia" w:ascii="宋体" w:hAnsi="宋体"/>
                <w:bCs/>
                <w:color w:val="000000"/>
                <w:szCs w:val="21"/>
              </w:rPr>
              <w:t>3.翻译理论</w:t>
            </w:r>
          </w:p>
        </w:tc>
        <w:tc>
          <w:tcPr>
            <w:tcW w:w="1166" w:type="dxa"/>
            <w:noWrap w:val="0"/>
            <w:vAlign w:val="center"/>
          </w:tcPr>
          <w:p w14:paraId="56C929F2">
            <w:pPr>
              <w:autoSpaceDE w:val="0"/>
              <w:autoSpaceDN w:val="0"/>
              <w:adjustRightInd w:val="0"/>
              <w:spacing w:line="400" w:lineRule="exact"/>
              <w:rPr>
                <w:rFonts w:hint="eastAsia" w:ascii="宋体" w:hAnsi="宋体"/>
                <w:color w:val="000000"/>
                <w:kern w:val="0"/>
                <w:szCs w:val="21"/>
                <w:lang w:val="zh-CN"/>
              </w:rPr>
            </w:pPr>
            <w:r>
              <w:rPr>
                <w:rFonts w:hint="eastAsia" w:ascii="宋体" w:hAnsi="宋体" w:cs="宋体"/>
                <w:color w:val="000000"/>
                <w:szCs w:val="21"/>
              </w:rPr>
              <w:t>课程目标1、2、3</w:t>
            </w:r>
          </w:p>
        </w:tc>
        <w:tc>
          <w:tcPr>
            <w:tcW w:w="2706" w:type="dxa"/>
            <w:noWrap w:val="0"/>
            <w:vAlign w:val="center"/>
          </w:tcPr>
          <w:p w14:paraId="5427D678">
            <w:pPr>
              <w:jc w:val="left"/>
              <w:rPr>
                <w:rFonts w:hint="eastAsia" w:ascii="宋体" w:hAnsi="宋体"/>
                <w:bCs/>
                <w:color w:val="000000"/>
                <w:szCs w:val="21"/>
              </w:rPr>
            </w:pPr>
            <w:r>
              <w:rPr>
                <w:color w:val="000000"/>
                <w:kern w:val="0"/>
                <w:szCs w:val="21"/>
                <w:lang w:val="zh-CN"/>
              </w:rPr>
              <w:t>能摘译题材熟悉，以及与所学专业或未来所从事工作岗位相关，语言难度一般的文献资料；能借助词典翻译体裁较为正式，题材熟悉的文章。理解正确，译文基本达意，语言表达清晰。能运用较常用的翻译技巧。</w:t>
            </w:r>
          </w:p>
        </w:tc>
        <w:tc>
          <w:tcPr>
            <w:tcW w:w="1505" w:type="dxa"/>
            <w:noWrap w:val="0"/>
            <w:vAlign w:val="center"/>
          </w:tcPr>
          <w:p w14:paraId="493D8F22">
            <w:pPr>
              <w:jc w:val="left"/>
              <w:rPr>
                <w:rFonts w:hint="eastAsia" w:ascii="宋体" w:hAnsi="宋体"/>
                <w:bCs/>
                <w:color w:val="000000"/>
                <w:szCs w:val="21"/>
              </w:rPr>
            </w:pPr>
            <w:r>
              <w:rPr>
                <w:rFonts w:hint="eastAsia" w:ascii="宋体" w:hAnsi="宋体"/>
                <w:bCs/>
                <w:color w:val="000000"/>
                <w:szCs w:val="21"/>
              </w:rPr>
              <w:t>1.线上学习</w:t>
            </w:r>
          </w:p>
          <w:p w14:paraId="605435A4">
            <w:pPr>
              <w:jc w:val="left"/>
              <w:rPr>
                <w:rFonts w:hint="eastAsia" w:ascii="宋体" w:hAnsi="宋体"/>
                <w:bCs/>
                <w:color w:val="000000"/>
                <w:szCs w:val="21"/>
              </w:rPr>
            </w:pPr>
            <w:r>
              <w:rPr>
                <w:rFonts w:hint="eastAsia" w:ascii="宋体" w:hAnsi="宋体"/>
                <w:bCs/>
                <w:color w:val="000000"/>
                <w:szCs w:val="21"/>
              </w:rPr>
              <w:t>2.多媒体教学3.课堂讨论</w:t>
            </w:r>
          </w:p>
          <w:p w14:paraId="7BE189B3">
            <w:pPr>
              <w:jc w:val="left"/>
              <w:rPr>
                <w:rFonts w:hint="eastAsia" w:ascii="宋体" w:hAnsi="宋体"/>
                <w:bCs/>
                <w:color w:val="000000"/>
                <w:szCs w:val="21"/>
              </w:rPr>
            </w:pPr>
            <w:r>
              <w:rPr>
                <w:rFonts w:hint="eastAsia" w:ascii="宋体" w:hAnsi="宋体"/>
                <w:bCs/>
                <w:color w:val="000000"/>
                <w:szCs w:val="21"/>
              </w:rPr>
              <w:t>4.作业、测试</w:t>
            </w:r>
          </w:p>
          <w:p w14:paraId="245EE09C">
            <w:pPr>
              <w:jc w:val="left"/>
              <w:rPr>
                <w:rFonts w:hint="eastAsia" w:ascii="宋体" w:hAnsi="宋体"/>
                <w:bCs/>
                <w:color w:val="000000"/>
                <w:szCs w:val="21"/>
              </w:rPr>
            </w:pPr>
          </w:p>
        </w:tc>
        <w:tc>
          <w:tcPr>
            <w:tcW w:w="713" w:type="dxa"/>
            <w:noWrap w:val="0"/>
            <w:vAlign w:val="center"/>
          </w:tcPr>
          <w:p w14:paraId="0D50C63B">
            <w:pPr>
              <w:jc w:val="left"/>
              <w:rPr>
                <w:rFonts w:ascii="宋体" w:hAnsi="宋体"/>
                <w:bCs/>
                <w:color w:val="000000"/>
                <w:szCs w:val="21"/>
              </w:rPr>
            </w:pPr>
            <w:r>
              <w:rPr>
                <w:rFonts w:hint="eastAsia" w:ascii="宋体" w:hAnsi="宋体"/>
                <w:bCs/>
                <w:color w:val="000000"/>
                <w:szCs w:val="21"/>
              </w:rPr>
              <w:t>6</w:t>
            </w:r>
          </w:p>
        </w:tc>
      </w:tr>
      <w:tr w14:paraId="61CA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128" w:type="dxa"/>
            <w:vMerge w:val="continue"/>
            <w:noWrap w:val="0"/>
            <w:vAlign w:val="center"/>
          </w:tcPr>
          <w:p w14:paraId="5BF3CA69">
            <w:pPr>
              <w:outlineLvl w:val="0"/>
              <w:rPr>
                <w:rFonts w:hint="eastAsia" w:ascii="宋体" w:hAnsi="宋体"/>
                <w:color w:val="000000"/>
                <w:szCs w:val="21"/>
              </w:rPr>
            </w:pPr>
          </w:p>
        </w:tc>
        <w:tc>
          <w:tcPr>
            <w:tcW w:w="7392" w:type="dxa"/>
            <w:gridSpan w:val="5"/>
            <w:noWrap w:val="0"/>
            <w:vAlign w:val="center"/>
          </w:tcPr>
          <w:p w14:paraId="2C8AEEB9">
            <w:pPr>
              <w:widowControl/>
              <w:jc w:val="left"/>
              <w:rPr>
                <w:rFonts w:ascii="宋体" w:hAnsi="宋体"/>
                <w:bCs/>
                <w:color w:val="000000"/>
                <w:szCs w:val="21"/>
              </w:rPr>
            </w:pPr>
            <w:r>
              <w:rPr>
                <w:rFonts w:hint="eastAsia" w:ascii="宋体" w:hAnsi="宋体"/>
                <w:bCs/>
                <w:color w:val="000000"/>
                <w:szCs w:val="21"/>
              </w:rPr>
              <w:t>课程思政目标：</w:t>
            </w:r>
            <w:r>
              <w:rPr>
                <w:rFonts w:hint="eastAsia" w:ascii="宋体" w:hAnsi="宋体"/>
                <w:color w:val="000000"/>
                <w:kern w:val="0"/>
                <w:szCs w:val="21"/>
              </w:rPr>
              <w:t>1.理性思考中西文化差异。 2.传播社会主义核心价值观、中国优秀传统文化。 3.讲好中国故事。 4.提升职业素养</w:t>
            </w:r>
          </w:p>
        </w:tc>
      </w:tr>
      <w:tr w14:paraId="1D7D0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noWrap w:val="0"/>
            <w:vAlign w:val="center"/>
          </w:tcPr>
          <w:p w14:paraId="6B9F024A">
            <w:pPr>
              <w:rPr>
                <w:rFonts w:hint="eastAsia" w:ascii="宋体" w:hAnsi="宋体"/>
                <w:color w:val="000000"/>
                <w:kern w:val="0"/>
                <w:szCs w:val="21"/>
              </w:rPr>
            </w:pPr>
            <w:r>
              <w:rPr>
                <w:rFonts w:hint="eastAsia" w:ascii="宋体" w:hAnsi="宋体"/>
                <w:color w:val="000000"/>
                <w:kern w:val="0"/>
                <w:szCs w:val="21"/>
              </w:rPr>
              <w:t>网络平台自主学习</w:t>
            </w:r>
          </w:p>
        </w:tc>
        <w:tc>
          <w:tcPr>
            <w:tcW w:w="1302" w:type="dxa"/>
            <w:noWrap w:val="0"/>
            <w:vAlign w:val="center"/>
          </w:tcPr>
          <w:p w14:paraId="4B298072">
            <w:pPr>
              <w:jc w:val="left"/>
              <w:rPr>
                <w:rFonts w:ascii="宋体" w:hAnsi="宋体"/>
                <w:color w:val="000000"/>
                <w:szCs w:val="21"/>
              </w:rPr>
            </w:pPr>
            <w:r>
              <w:rPr>
                <w:rFonts w:hint="eastAsia" w:ascii="宋体" w:hAnsi="宋体"/>
                <w:color w:val="000000"/>
                <w:szCs w:val="21"/>
              </w:rPr>
              <w:t>发现问题</w:t>
            </w:r>
          </w:p>
          <w:p w14:paraId="12646E79">
            <w:pPr>
              <w:rPr>
                <w:rFonts w:ascii="宋体" w:hAnsi="宋体"/>
                <w:color w:val="000000"/>
                <w:kern w:val="0"/>
                <w:szCs w:val="21"/>
              </w:rPr>
            </w:pPr>
            <w:r>
              <w:rPr>
                <w:rFonts w:hint="eastAsia" w:ascii="宋体" w:hAnsi="宋体"/>
                <w:color w:val="000000"/>
                <w:szCs w:val="21"/>
              </w:rPr>
              <w:t>分析问题</w:t>
            </w:r>
          </w:p>
        </w:tc>
        <w:tc>
          <w:tcPr>
            <w:tcW w:w="1166" w:type="dxa"/>
            <w:noWrap w:val="0"/>
            <w:vAlign w:val="center"/>
          </w:tcPr>
          <w:p w14:paraId="0384514B">
            <w:pPr>
              <w:rPr>
                <w:rFonts w:ascii="宋体" w:hAnsi="宋体"/>
                <w:color w:val="000000"/>
                <w:szCs w:val="21"/>
              </w:rPr>
            </w:pPr>
            <w:r>
              <w:rPr>
                <w:rFonts w:hint="eastAsia" w:ascii="宋体" w:hAnsi="宋体" w:cs="宋体"/>
                <w:color w:val="000000"/>
                <w:szCs w:val="21"/>
              </w:rPr>
              <w:t>课程目标1、2、3</w:t>
            </w:r>
          </w:p>
        </w:tc>
        <w:tc>
          <w:tcPr>
            <w:tcW w:w="2706" w:type="dxa"/>
            <w:noWrap w:val="0"/>
            <w:vAlign w:val="center"/>
          </w:tcPr>
          <w:p w14:paraId="75B6D6D9">
            <w:pPr>
              <w:jc w:val="left"/>
              <w:rPr>
                <w:rFonts w:hint="eastAsia" w:ascii="宋体" w:hAnsi="宋体"/>
                <w:color w:val="000000"/>
                <w:szCs w:val="21"/>
              </w:rPr>
            </w:pPr>
            <w:r>
              <w:rPr>
                <w:rFonts w:hint="eastAsia" w:ascii="宋体" w:hAnsi="宋体"/>
                <w:color w:val="000000"/>
                <w:szCs w:val="21"/>
              </w:rPr>
              <w:t>掌握有效的学习方法和学习策略。具有终身学习意识。</w:t>
            </w:r>
          </w:p>
        </w:tc>
        <w:tc>
          <w:tcPr>
            <w:tcW w:w="1505" w:type="dxa"/>
            <w:noWrap w:val="0"/>
            <w:vAlign w:val="center"/>
          </w:tcPr>
          <w:p w14:paraId="3674000E">
            <w:pPr>
              <w:numPr>
                <w:ilvl w:val="0"/>
                <w:numId w:val="3"/>
              </w:numPr>
              <w:jc w:val="left"/>
              <w:rPr>
                <w:rFonts w:hint="eastAsia" w:ascii="宋体" w:hAnsi="宋体"/>
                <w:bCs/>
                <w:color w:val="000000"/>
                <w:szCs w:val="21"/>
              </w:rPr>
            </w:pPr>
            <w:r>
              <w:rPr>
                <w:rFonts w:hint="eastAsia" w:ascii="宋体" w:hAnsi="宋体"/>
                <w:bCs/>
                <w:color w:val="000000"/>
                <w:szCs w:val="21"/>
              </w:rPr>
              <w:t>线上学习</w:t>
            </w:r>
          </w:p>
          <w:p w14:paraId="1E7CEAAB">
            <w:pPr>
              <w:numPr>
                <w:ilvl w:val="0"/>
                <w:numId w:val="3"/>
              </w:numPr>
              <w:jc w:val="left"/>
              <w:rPr>
                <w:rFonts w:hint="eastAsia" w:ascii="宋体" w:hAnsi="宋体"/>
                <w:bCs/>
                <w:color w:val="000000"/>
                <w:szCs w:val="21"/>
              </w:rPr>
            </w:pPr>
            <w:r>
              <w:rPr>
                <w:rFonts w:hint="eastAsia" w:ascii="宋体" w:hAnsi="宋体"/>
                <w:bCs/>
                <w:color w:val="000000"/>
                <w:szCs w:val="21"/>
              </w:rPr>
              <w:t>作业、测试</w:t>
            </w:r>
          </w:p>
          <w:p w14:paraId="2BB7AE33">
            <w:pPr>
              <w:jc w:val="left"/>
              <w:rPr>
                <w:rFonts w:hint="eastAsia" w:ascii="宋体" w:hAnsi="宋体"/>
                <w:color w:val="000000"/>
                <w:szCs w:val="21"/>
              </w:rPr>
            </w:pPr>
          </w:p>
        </w:tc>
        <w:tc>
          <w:tcPr>
            <w:tcW w:w="713" w:type="dxa"/>
            <w:noWrap w:val="0"/>
            <w:vAlign w:val="center"/>
          </w:tcPr>
          <w:p w14:paraId="78A2D15A">
            <w:pPr>
              <w:jc w:val="left"/>
              <w:rPr>
                <w:rFonts w:hint="eastAsia" w:ascii="宋体" w:hAnsi="宋体"/>
                <w:color w:val="000000"/>
                <w:szCs w:val="21"/>
              </w:rPr>
            </w:pPr>
            <w:r>
              <w:rPr>
                <w:rFonts w:hint="eastAsia" w:ascii="宋体" w:hAnsi="宋体"/>
                <w:color w:val="000000"/>
                <w:szCs w:val="21"/>
              </w:rPr>
              <w:t>5</w:t>
            </w:r>
          </w:p>
        </w:tc>
      </w:tr>
    </w:tbl>
    <w:p w14:paraId="5AFEDBAD">
      <w:pPr>
        <w:spacing w:line="360" w:lineRule="auto"/>
        <w:rPr>
          <w:rFonts w:hint="eastAsia"/>
          <w:b/>
          <w:color w:val="000000"/>
          <w:sz w:val="28"/>
          <w:szCs w:val="28"/>
        </w:rPr>
      </w:pPr>
    </w:p>
    <w:p w14:paraId="4DB8D479">
      <w:pPr>
        <w:numPr>
          <w:ilvl w:val="0"/>
          <w:numId w:val="2"/>
        </w:numPr>
        <w:spacing w:line="360" w:lineRule="auto"/>
        <w:rPr>
          <w:b/>
          <w:color w:val="000000"/>
          <w:sz w:val="24"/>
        </w:rPr>
      </w:pPr>
      <w:r>
        <w:rPr>
          <w:rFonts w:hint="eastAsia"/>
          <w:b/>
          <w:color w:val="000000"/>
          <w:sz w:val="24"/>
        </w:rPr>
        <w:t>目标评价与成绩评定</w:t>
      </w:r>
    </w:p>
    <w:p w14:paraId="009D9E9C">
      <w:pPr>
        <w:numPr>
          <w:ilvl w:val="0"/>
          <w:numId w:val="4"/>
        </w:numPr>
        <w:spacing w:line="360" w:lineRule="auto"/>
        <w:rPr>
          <w:rFonts w:hint="eastAsia"/>
          <w:b/>
          <w:color w:val="000000"/>
          <w:sz w:val="24"/>
        </w:rPr>
      </w:pPr>
      <w:r>
        <w:rPr>
          <w:rFonts w:hint="eastAsia"/>
          <w:b/>
          <w:color w:val="000000"/>
          <w:sz w:val="24"/>
        </w:rPr>
        <w:t>课程目标评价方式</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847"/>
        <w:gridCol w:w="849"/>
        <w:gridCol w:w="849"/>
        <w:gridCol w:w="849"/>
        <w:gridCol w:w="849"/>
        <w:gridCol w:w="760"/>
        <w:gridCol w:w="90"/>
        <w:gridCol w:w="857"/>
        <w:gridCol w:w="945"/>
      </w:tblGrid>
      <w:tr w14:paraId="059D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vMerge w:val="restart"/>
            <w:shd w:val="clear" w:color="auto" w:fill="auto"/>
            <w:noWrap w:val="0"/>
            <w:vAlign w:val="center"/>
          </w:tcPr>
          <w:p w14:paraId="4782316D">
            <w:pPr>
              <w:spacing w:line="360" w:lineRule="auto"/>
              <w:jc w:val="center"/>
              <w:rPr>
                <w:bCs/>
                <w:color w:val="000000"/>
                <w:sz w:val="24"/>
              </w:rPr>
            </w:pPr>
            <w:r>
              <w:rPr>
                <w:rFonts w:hint="eastAsia"/>
                <w:bCs/>
                <w:color w:val="000000"/>
                <w:sz w:val="24"/>
              </w:rPr>
              <w:t>课程目标</w:t>
            </w:r>
          </w:p>
        </w:tc>
        <w:tc>
          <w:tcPr>
            <w:tcW w:w="2935" w:type="pct"/>
            <w:gridSpan w:val="6"/>
            <w:shd w:val="clear" w:color="auto" w:fill="auto"/>
            <w:noWrap w:val="0"/>
            <w:vAlign w:val="top"/>
          </w:tcPr>
          <w:p w14:paraId="421AAC3A">
            <w:pPr>
              <w:spacing w:line="360" w:lineRule="auto"/>
              <w:jc w:val="center"/>
              <w:rPr>
                <w:bCs/>
                <w:color w:val="000000"/>
                <w:sz w:val="24"/>
              </w:rPr>
            </w:pPr>
            <w:r>
              <w:rPr>
                <w:rFonts w:hint="eastAsia"/>
                <w:bCs/>
                <w:color w:val="000000"/>
                <w:sz w:val="24"/>
              </w:rPr>
              <w:t>评价与成绩评定方法</w:t>
            </w:r>
          </w:p>
        </w:tc>
        <w:tc>
          <w:tcPr>
            <w:tcW w:w="556" w:type="pct"/>
            <w:gridSpan w:val="2"/>
            <w:shd w:val="clear" w:color="auto" w:fill="auto"/>
            <w:noWrap w:val="0"/>
            <w:vAlign w:val="center"/>
          </w:tcPr>
          <w:p w14:paraId="33AC09A2">
            <w:pPr>
              <w:spacing w:line="360" w:lineRule="auto"/>
              <w:rPr>
                <w:rFonts w:hint="eastAsia"/>
                <w:bCs/>
                <w:color w:val="000000"/>
                <w:sz w:val="24"/>
              </w:rPr>
            </w:pPr>
          </w:p>
        </w:tc>
        <w:tc>
          <w:tcPr>
            <w:tcW w:w="554" w:type="pct"/>
            <w:vMerge w:val="restart"/>
            <w:shd w:val="clear" w:color="auto" w:fill="auto"/>
            <w:noWrap w:val="0"/>
            <w:vAlign w:val="center"/>
          </w:tcPr>
          <w:p w14:paraId="6983AC59">
            <w:pPr>
              <w:spacing w:line="360" w:lineRule="auto"/>
              <w:rPr>
                <w:bCs/>
                <w:color w:val="000000"/>
                <w:sz w:val="24"/>
              </w:rPr>
            </w:pPr>
            <w:r>
              <w:rPr>
                <w:rFonts w:hint="eastAsia"/>
                <w:bCs/>
                <w:color w:val="000000"/>
                <w:sz w:val="24"/>
              </w:rPr>
              <w:t>分值</w:t>
            </w:r>
          </w:p>
        </w:tc>
      </w:tr>
      <w:tr w14:paraId="7530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953" w:type="pct"/>
            <w:vMerge w:val="continue"/>
            <w:shd w:val="clear" w:color="auto" w:fill="auto"/>
            <w:noWrap w:val="0"/>
            <w:vAlign w:val="top"/>
          </w:tcPr>
          <w:p w14:paraId="0F950463">
            <w:pPr>
              <w:spacing w:line="360" w:lineRule="auto"/>
              <w:rPr>
                <w:rFonts w:hint="eastAsia"/>
                <w:bCs/>
                <w:color w:val="000000"/>
                <w:sz w:val="24"/>
              </w:rPr>
            </w:pPr>
          </w:p>
        </w:tc>
        <w:tc>
          <w:tcPr>
            <w:tcW w:w="497" w:type="pct"/>
            <w:shd w:val="clear" w:color="auto" w:fill="auto"/>
            <w:noWrap w:val="0"/>
            <w:vAlign w:val="center"/>
          </w:tcPr>
          <w:p w14:paraId="004ACCEF">
            <w:pPr>
              <w:adjustRightInd w:val="0"/>
              <w:snapToGrid w:val="0"/>
              <w:spacing w:line="300" w:lineRule="auto"/>
              <w:jc w:val="center"/>
              <w:rPr>
                <w:bCs/>
                <w:color w:val="000000"/>
                <w:sz w:val="24"/>
              </w:rPr>
            </w:pPr>
            <w:r>
              <w:rPr>
                <w:rFonts w:hint="eastAsia"/>
                <w:bCs/>
                <w:color w:val="000000"/>
                <w:sz w:val="24"/>
              </w:rPr>
              <w:t>考勤</w:t>
            </w:r>
          </w:p>
        </w:tc>
        <w:tc>
          <w:tcPr>
            <w:tcW w:w="497" w:type="pct"/>
            <w:shd w:val="clear" w:color="auto" w:fill="auto"/>
            <w:noWrap w:val="0"/>
            <w:vAlign w:val="center"/>
          </w:tcPr>
          <w:p w14:paraId="3042488A">
            <w:pPr>
              <w:adjustRightInd w:val="0"/>
              <w:snapToGrid w:val="0"/>
              <w:spacing w:line="300" w:lineRule="auto"/>
              <w:jc w:val="center"/>
              <w:rPr>
                <w:bCs/>
                <w:color w:val="000000"/>
                <w:sz w:val="24"/>
              </w:rPr>
            </w:pPr>
            <w:r>
              <w:rPr>
                <w:rFonts w:hint="eastAsia"/>
                <w:bCs/>
                <w:color w:val="000000"/>
                <w:sz w:val="24"/>
              </w:rPr>
              <w:t>课堂表现</w:t>
            </w:r>
          </w:p>
        </w:tc>
        <w:tc>
          <w:tcPr>
            <w:tcW w:w="498" w:type="pct"/>
            <w:shd w:val="clear" w:color="auto" w:fill="auto"/>
            <w:noWrap w:val="0"/>
            <w:vAlign w:val="center"/>
          </w:tcPr>
          <w:p w14:paraId="44D46011">
            <w:pPr>
              <w:adjustRightInd w:val="0"/>
              <w:snapToGrid w:val="0"/>
              <w:spacing w:line="300" w:lineRule="auto"/>
              <w:jc w:val="center"/>
              <w:rPr>
                <w:bCs/>
                <w:color w:val="000000"/>
                <w:sz w:val="24"/>
              </w:rPr>
            </w:pPr>
            <w:r>
              <w:rPr>
                <w:rFonts w:hint="eastAsia"/>
                <w:bCs/>
                <w:color w:val="000000"/>
                <w:sz w:val="24"/>
              </w:rPr>
              <w:t>作业测试</w:t>
            </w:r>
          </w:p>
        </w:tc>
        <w:tc>
          <w:tcPr>
            <w:tcW w:w="498" w:type="pct"/>
            <w:shd w:val="clear" w:color="auto" w:fill="auto"/>
            <w:noWrap w:val="0"/>
            <w:vAlign w:val="center"/>
          </w:tcPr>
          <w:p w14:paraId="361AB91F">
            <w:pPr>
              <w:adjustRightInd w:val="0"/>
              <w:snapToGrid w:val="0"/>
              <w:spacing w:line="300" w:lineRule="auto"/>
              <w:jc w:val="center"/>
              <w:rPr>
                <w:bCs/>
                <w:color w:val="000000"/>
                <w:sz w:val="24"/>
              </w:rPr>
            </w:pPr>
            <w:r>
              <w:rPr>
                <w:rFonts w:hint="eastAsia"/>
                <w:bCs/>
                <w:color w:val="000000"/>
                <w:sz w:val="24"/>
              </w:rPr>
              <w:t>口语</w:t>
            </w:r>
          </w:p>
        </w:tc>
        <w:tc>
          <w:tcPr>
            <w:tcW w:w="498" w:type="pct"/>
            <w:shd w:val="clear" w:color="auto" w:fill="auto"/>
            <w:noWrap w:val="0"/>
            <w:vAlign w:val="center"/>
          </w:tcPr>
          <w:p w14:paraId="7A27E26D">
            <w:pPr>
              <w:adjustRightInd w:val="0"/>
              <w:snapToGrid w:val="0"/>
              <w:spacing w:line="300" w:lineRule="auto"/>
              <w:jc w:val="center"/>
              <w:rPr>
                <w:bCs/>
                <w:color w:val="000000"/>
                <w:sz w:val="24"/>
              </w:rPr>
            </w:pPr>
            <w:r>
              <w:rPr>
                <w:rFonts w:hint="eastAsia"/>
                <w:bCs/>
                <w:color w:val="000000"/>
                <w:sz w:val="24"/>
              </w:rPr>
              <w:t>书面表达</w:t>
            </w:r>
          </w:p>
        </w:tc>
        <w:tc>
          <w:tcPr>
            <w:tcW w:w="499" w:type="pct"/>
            <w:gridSpan w:val="2"/>
            <w:shd w:val="clear" w:color="auto" w:fill="auto"/>
            <w:noWrap w:val="0"/>
            <w:vAlign w:val="center"/>
          </w:tcPr>
          <w:p w14:paraId="09CB97B7">
            <w:pPr>
              <w:adjustRightInd w:val="0"/>
              <w:snapToGrid w:val="0"/>
              <w:spacing w:line="300" w:lineRule="auto"/>
              <w:jc w:val="center"/>
              <w:rPr>
                <w:bCs/>
                <w:color w:val="000000"/>
                <w:sz w:val="24"/>
              </w:rPr>
            </w:pPr>
            <w:r>
              <w:rPr>
                <w:rFonts w:hint="eastAsia"/>
                <w:bCs/>
                <w:color w:val="000000"/>
                <w:sz w:val="24"/>
              </w:rPr>
              <w:t>翻译</w:t>
            </w:r>
          </w:p>
        </w:tc>
        <w:tc>
          <w:tcPr>
            <w:tcW w:w="503" w:type="pct"/>
            <w:shd w:val="clear" w:color="auto" w:fill="auto"/>
            <w:noWrap w:val="0"/>
            <w:vAlign w:val="center"/>
          </w:tcPr>
          <w:p w14:paraId="35AC0C6E">
            <w:pPr>
              <w:adjustRightInd w:val="0"/>
              <w:snapToGrid w:val="0"/>
              <w:spacing w:line="300" w:lineRule="auto"/>
              <w:jc w:val="center"/>
              <w:rPr>
                <w:bCs/>
                <w:color w:val="000000"/>
                <w:sz w:val="24"/>
              </w:rPr>
            </w:pPr>
            <w:r>
              <w:rPr>
                <w:rFonts w:hint="eastAsia"/>
                <w:bCs/>
                <w:color w:val="000000"/>
                <w:sz w:val="24"/>
              </w:rPr>
              <w:t>第二课堂活动</w:t>
            </w:r>
          </w:p>
        </w:tc>
        <w:tc>
          <w:tcPr>
            <w:tcW w:w="554" w:type="pct"/>
            <w:vMerge w:val="continue"/>
            <w:shd w:val="clear" w:color="auto" w:fill="auto"/>
            <w:noWrap w:val="0"/>
            <w:vAlign w:val="top"/>
          </w:tcPr>
          <w:p w14:paraId="4FC52D10">
            <w:pPr>
              <w:spacing w:line="360" w:lineRule="auto"/>
              <w:rPr>
                <w:rFonts w:hint="eastAsia"/>
                <w:bCs/>
                <w:color w:val="000000"/>
                <w:sz w:val="24"/>
              </w:rPr>
            </w:pPr>
          </w:p>
        </w:tc>
      </w:tr>
      <w:tr w14:paraId="2DED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00BA5AD4">
            <w:pPr>
              <w:spacing w:line="360" w:lineRule="auto"/>
              <w:jc w:val="center"/>
              <w:rPr>
                <w:bCs/>
                <w:color w:val="000000"/>
                <w:sz w:val="24"/>
              </w:rPr>
            </w:pPr>
            <w:r>
              <w:rPr>
                <w:rFonts w:hint="eastAsia"/>
                <w:bCs/>
                <w:color w:val="000000"/>
                <w:sz w:val="24"/>
              </w:rPr>
              <w:t>课程目标1</w:t>
            </w:r>
          </w:p>
        </w:tc>
        <w:tc>
          <w:tcPr>
            <w:tcW w:w="497" w:type="pct"/>
            <w:shd w:val="clear" w:color="auto" w:fill="auto"/>
            <w:noWrap w:val="0"/>
            <w:vAlign w:val="center"/>
          </w:tcPr>
          <w:p w14:paraId="29EC4DE8">
            <w:pPr>
              <w:widowControl/>
              <w:jc w:val="center"/>
              <w:rPr>
                <w:rFonts w:hint="eastAsia"/>
                <w:bCs/>
                <w:color w:val="000000"/>
                <w:sz w:val="24"/>
              </w:rPr>
            </w:pPr>
          </w:p>
        </w:tc>
        <w:tc>
          <w:tcPr>
            <w:tcW w:w="498" w:type="pct"/>
            <w:shd w:val="clear" w:color="auto" w:fill="auto"/>
            <w:noWrap w:val="0"/>
            <w:vAlign w:val="center"/>
          </w:tcPr>
          <w:p w14:paraId="2D0E9C86">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566EAA9F">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48EBD76A">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47292314">
            <w:pPr>
              <w:spacing w:line="360" w:lineRule="auto"/>
              <w:jc w:val="center"/>
              <w:rPr>
                <w:rFonts w:hint="eastAsia"/>
                <w:bCs/>
                <w:color w:val="000000"/>
                <w:sz w:val="24"/>
              </w:rPr>
            </w:pPr>
            <w:r>
              <w:rPr>
                <w:rFonts w:ascii="Arial" w:hAnsi="Arial" w:cs="Arial"/>
                <w:bCs/>
                <w:color w:val="000000"/>
                <w:sz w:val="24"/>
              </w:rPr>
              <w:t>√</w:t>
            </w:r>
          </w:p>
        </w:tc>
        <w:tc>
          <w:tcPr>
            <w:tcW w:w="498" w:type="pct"/>
            <w:gridSpan w:val="2"/>
            <w:shd w:val="clear" w:color="auto" w:fill="auto"/>
            <w:noWrap w:val="0"/>
            <w:vAlign w:val="center"/>
          </w:tcPr>
          <w:p w14:paraId="1FA1D21E">
            <w:pPr>
              <w:spacing w:line="360" w:lineRule="auto"/>
              <w:jc w:val="center"/>
              <w:rPr>
                <w:rFonts w:hint="eastAsia"/>
                <w:bCs/>
                <w:color w:val="000000"/>
                <w:sz w:val="24"/>
              </w:rPr>
            </w:pPr>
            <w:r>
              <w:rPr>
                <w:rFonts w:ascii="Arial" w:hAnsi="Arial" w:cs="Arial"/>
                <w:bCs/>
                <w:color w:val="000000"/>
                <w:sz w:val="24"/>
              </w:rPr>
              <w:t>√</w:t>
            </w:r>
          </w:p>
        </w:tc>
        <w:tc>
          <w:tcPr>
            <w:tcW w:w="503" w:type="pct"/>
            <w:shd w:val="clear" w:color="auto" w:fill="auto"/>
            <w:noWrap w:val="0"/>
            <w:vAlign w:val="center"/>
          </w:tcPr>
          <w:p w14:paraId="50A8BBC0">
            <w:pPr>
              <w:spacing w:line="360" w:lineRule="auto"/>
              <w:jc w:val="center"/>
              <w:rPr>
                <w:rFonts w:hint="eastAsia"/>
                <w:bCs/>
                <w:color w:val="000000"/>
                <w:sz w:val="24"/>
              </w:rPr>
            </w:pPr>
          </w:p>
        </w:tc>
        <w:tc>
          <w:tcPr>
            <w:tcW w:w="554" w:type="pct"/>
            <w:shd w:val="clear" w:color="auto" w:fill="auto"/>
            <w:noWrap w:val="0"/>
            <w:vAlign w:val="center"/>
          </w:tcPr>
          <w:p w14:paraId="0E1CBBB7">
            <w:pPr>
              <w:spacing w:line="360" w:lineRule="auto"/>
              <w:jc w:val="center"/>
              <w:rPr>
                <w:bCs/>
                <w:color w:val="000000"/>
                <w:sz w:val="24"/>
              </w:rPr>
            </w:pPr>
            <w:r>
              <w:rPr>
                <w:rFonts w:hint="eastAsia"/>
                <w:bCs/>
                <w:color w:val="000000"/>
                <w:sz w:val="24"/>
              </w:rPr>
              <w:t>30</w:t>
            </w:r>
          </w:p>
        </w:tc>
      </w:tr>
      <w:tr w14:paraId="2B85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2D6106F4">
            <w:pPr>
              <w:spacing w:line="360" w:lineRule="auto"/>
              <w:jc w:val="center"/>
              <w:rPr>
                <w:bCs/>
                <w:color w:val="000000"/>
                <w:sz w:val="24"/>
              </w:rPr>
            </w:pPr>
            <w:r>
              <w:rPr>
                <w:rFonts w:hint="eastAsia"/>
                <w:bCs/>
                <w:color w:val="000000"/>
                <w:sz w:val="24"/>
              </w:rPr>
              <w:t>课程目标2</w:t>
            </w:r>
          </w:p>
        </w:tc>
        <w:tc>
          <w:tcPr>
            <w:tcW w:w="497" w:type="pct"/>
            <w:shd w:val="clear" w:color="auto" w:fill="auto"/>
            <w:noWrap w:val="0"/>
            <w:vAlign w:val="center"/>
          </w:tcPr>
          <w:p w14:paraId="586926FE">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38FFF501">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573E45FE">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6906F4CA">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1E064E25">
            <w:pPr>
              <w:spacing w:line="360" w:lineRule="auto"/>
              <w:jc w:val="center"/>
              <w:rPr>
                <w:rFonts w:hint="eastAsia"/>
                <w:bCs/>
                <w:color w:val="000000"/>
                <w:sz w:val="24"/>
              </w:rPr>
            </w:pPr>
            <w:r>
              <w:rPr>
                <w:rFonts w:ascii="Arial" w:hAnsi="Arial" w:cs="Arial"/>
                <w:bCs/>
                <w:color w:val="000000"/>
                <w:sz w:val="24"/>
              </w:rPr>
              <w:t>√</w:t>
            </w:r>
          </w:p>
        </w:tc>
        <w:tc>
          <w:tcPr>
            <w:tcW w:w="498" w:type="pct"/>
            <w:gridSpan w:val="2"/>
            <w:shd w:val="clear" w:color="auto" w:fill="auto"/>
            <w:noWrap w:val="0"/>
            <w:vAlign w:val="center"/>
          </w:tcPr>
          <w:p w14:paraId="2EE670A7">
            <w:pPr>
              <w:spacing w:line="360" w:lineRule="auto"/>
              <w:jc w:val="center"/>
              <w:rPr>
                <w:rFonts w:hint="eastAsia"/>
                <w:bCs/>
                <w:color w:val="000000"/>
                <w:sz w:val="24"/>
              </w:rPr>
            </w:pPr>
            <w:r>
              <w:rPr>
                <w:rFonts w:ascii="Arial" w:hAnsi="Arial" w:cs="Arial"/>
                <w:bCs/>
                <w:color w:val="000000"/>
                <w:sz w:val="24"/>
              </w:rPr>
              <w:t>√</w:t>
            </w:r>
          </w:p>
        </w:tc>
        <w:tc>
          <w:tcPr>
            <w:tcW w:w="503" w:type="pct"/>
            <w:shd w:val="clear" w:color="auto" w:fill="auto"/>
            <w:noWrap w:val="0"/>
            <w:vAlign w:val="center"/>
          </w:tcPr>
          <w:p w14:paraId="3C900197">
            <w:pPr>
              <w:spacing w:line="360" w:lineRule="auto"/>
              <w:jc w:val="center"/>
              <w:rPr>
                <w:rFonts w:hint="eastAsia"/>
                <w:bCs/>
                <w:color w:val="000000"/>
                <w:sz w:val="24"/>
              </w:rPr>
            </w:pPr>
          </w:p>
        </w:tc>
        <w:tc>
          <w:tcPr>
            <w:tcW w:w="554" w:type="pct"/>
            <w:shd w:val="clear" w:color="auto" w:fill="auto"/>
            <w:noWrap w:val="0"/>
            <w:vAlign w:val="center"/>
          </w:tcPr>
          <w:p w14:paraId="7CE7FF29">
            <w:pPr>
              <w:spacing w:line="360" w:lineRule="auto"/>
              <w:jc w:val="center"/>
              <w:rPr>
                <w:bCs/>
                <w:color w:val="000000"/>
                <w:sz w:val="24"/>
              </w:rPr>
            </w:pPr>
            <w:r>
              <w:rPr>
                <w:rFonts w:hint="eastAsia"/>
                <w:bCs/>
                <w:color w:val="000000"/>
                <w:sz w:val="24"/>
              </w:rPr>
              <w:t>35</w:t>
            </w:r>
          </w:p>
        </w:tc>
      </w:tr>
      <w:tr w14:paraId="0843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44F20422">
            <w:pPr>
              <w:spacing w:line="360" w:lineRule="auto"/>
              <w:jc w:val="center"/>
              <w:rPr>
                <w:bCs/>
                <w:color w:val="000000"/>
                <w:sz w:val="24"/>
              </w:rPr>
            </w:pPr>
            <w:r>
              <w:rPr>
                <w:rFonts w:hint="eastAsia"/>
                <w:bCs/>
                <w:color w:val="000000"/>
                <w:sz w:val="24"/>
              </w:rPr>
              <w:t>课程目标3</w:t>
            </w:r>
          </w:p>
        </w:tc>
        <w:tc>
          <w:tcPr>
            <w:tcW w:w="497" w:type="pct"/>
            <w:shd w:val="clear" w:color="auto" w:fill="auto"/>
            <w:noWrap w:val="0"/>
            <w:vAlign w:val="center"/>
          </w:tcPr>
          <w:p w14:paraId="5149402C">
            <w:pPr>
              <w:spacing w:line="360" w:lineRule="auto"/>
              <w:jc w:val="center"/>
              <w:rPr>
                <w:rFonts w:hint="eastAsia"/>
                <w:bCs/>
                <w:color w:val="000000"/>
                <w:sz w:val="24"/>
              </w:rPr>
            </w:pPr>
          </w:p>
        </w:tc>
        <w:tc>
          <w:tcPr>
            <w:tcW w:w="498" w:type="pct"/>
            <w:shd w:val="clear" w:color="auto" w:fill="auto"/>
            <w:noWrap w:val="0"/>
            <w:vAlign w:val="center"/>
          </w:tcPr>
          <w:p w14:paraId="0DEC2B96">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451C608E">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311B2F59">
            <w:pPr>
              <w:spacing w:line="360" w:lineRule="auto"/>
              <w:jc w:val="center"/>
              <w:rPr>
                <w:rFonts w:hint="eastAsia"/>
                <w:bCs/>
                <w:color w:val="000000"/>
                <w:sz w:val="24"/>
              </w:rPr>
            </w:pPr>
            <w:r>
              <w:rPr>
                <w:rFonts w:ascii="Arial" w:hAnsi="Arial" w:cs="Arial"/>
                <w:bCs/>
                <w:color w:val="000000"/>
                <w:sz w:val="24"/>
              </w:rPr>
              <w:t>√</w:t>
            </w:r>
          </w:p>
        </w:tc>
        <w:tc>
          <w:tcPr>
            <w:tcW w:w="498" w:type="pct"/>
            <w:shd w:val="clear" w:color="auto" w:fill="auto"/>
            <w:noWrap w:val="0"/>
            <w:vAlign w:val="center"/>
          </w:tcPr>
          <w:p w14:paraId="4E60F6E5">
            <w:pPr>
              <w:spacing w:line="360" w:lineRule="auto"/>
              <w:jc w:val="center"/>
              <w:rPr>
                <w:rFonts w:hint="eastAsia"/>
                <w:bCs/>
                <w:color w:val="000000"/>
                <w:sz w:val="24"/>
              </w:rPr>
            </w:pPr>
            <w:r>
              <w:rPr>
                <w:rFonts w:ascii="Arial" w:hAnsi="Arial" w:cs="Arial"/>
                <w:bCs/>
                <w:color w:val="000000"/>
                <w:sz w:val="24"/>
              </w:rPr>
              <w:t>√</w:t>
            </w:r>
          </w:p>
        </w:tc>
        <w:tc>
          <w:tcPr>
            <w:tcW w:w="498" w:type="pct"/>
            <w:gridSpan w:val="2"/>
            <w:shd w:val="clear" w:color="auto" w:fill="auto"/>
            <w:noWrap w:val="0"/>
            <w:vAlign w:val="center"/>
          </w:tcPr>
          <w:p w14:paraId="24C8AE9D">
            <w:pPr>
              <w:spacing w:line="360" w:lineRule="auto"/>
              <w:jc w:val="center"/>
              <w:rPr>
                <w:rFonts w:hint="eastAsia"/>
                <w:bCs/>
                <w:color w:val="000000"/>
                <w:sz w:val="24"/>
              </w:rPr>
            </w:pPr>
            <w:r>
              <w:rPr>
                <w:rFonts w:ascii="Arial" w:hAnsi="Arial" w:cs="Arial"/>
                <w:bCs/>
                <w:color w:val="000000"/>
                <w:sz w:val="24"/>
              </w:rPr>
              <w:t>√</w:t>
            </w:r>
          </w:p>
        </w:tc>
        <w:tc>
          <w:tcPr>
            <w:tcW w:w="503" w:type="pct"/>
            <w:shd w:val="clear" w:color="auto" w:fill="auto"/>
            <w:noWrap w:val="0"/>
            <w:vAlign w:val="center"/>
          </w:tcPr>
          <w:p w14:paraId="17280981">
            <w:pPr>
              <w:spacing w:line="360" w:lineRule="auto"/>
              <w:jc w:val="center"/>
              <w:rPr>
                <w:rFonts w:hint="eastAsia"/>
                <w:bCs/>
                <w:color w:val="000000"/>
                <w:sz w:val="24"/>
              </w:rPr>
            </w:pPr>
            <w:r>
              <w:rPr>
                <w:rFonts w:ascii="Arial" w:hAnsi="Arial" w:cs="Arial"/>
                <w:bCs/>
                <w:color w:val="000000"/>
                <w:sz w:val="24"/>
              </w:rPr>
              <w:t>√</w:t>
            </w:r>
          </w:p>
        </w:tc>
        <w:tc>
          <w:tcPr>
            <w:tcW w:w="554" w:type="pct"/>
            <w:shd w:val="clear" w:color="auto" w:fill="auto"/>
            <w:noWrap w:val="0"/>
            <w:vAlign w:val="center"/>
          </w:tcPr>
          <w:p w14:paraId="3CD8A9BE">
            <w:pPr>
              <w:spacing w:line="360" w:lineRule="auto"/>
              <w:jc w:val="center"/>
              <w:rPr>
                <w:bCs/>
                <w:color w:val="000000"/>
                <w:sz w:val="24"/>
              </w:rPr>
            </w:pPr>
            <w:r>
              <w:rPr>
                <w:rFonts w:hint="eastAsia"/>
                <w:bCs/>
                <w:color w:val="000000"/>
                <w:sz w:val="24"/>
              </w:rPr>
              <w:t>35</w:t>
            </w:r>
          </w:p>
        </w:tc>
      </w:tr>
      <w:tr w14:paraId="0E30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 w:type="pct"/>
            <w:shd w:val="clear" w:color="auto" w:fill="auto"/>
            <w:noWrap w:val="0"/>
            <w:vAlign w:val="center"/>
          </w:tcPr>
          <w:p w14:paraId="7D30B104">
            <w:pPr>
              <w:spacing w:line="360" w:lineRule="auto"/>
              <w:jc w:val="center"/>
              <w:rPr>
                <w:bCs/>
                <w:color w:val="000000"/>
                <w:sz w:val="24"/>
              </w:rPr>
            </w:pPr>
            <w:r>
              <w:rPr>
                <w:rFonts w:hint="eastAsia"/>
                <w:bCs/>
                <w:color w:val="000000"/>
                <w:sz w:val="24"/>
              </w:rPr>
              <w:t>合计</w:t>
            </w:r>
          </w:p>
        </w:tc>
        <w:tc>
          <w:tcPr>
            <w:tcW w:w="497" w:type="pct"/>
            <w:shd w:val="clear" w:color="auto" w:fill="auto"/>
            <w:noWrap w:val="0"/>
            <w:vAlign w:val="center"/>
          </w:tcPr>
          <w:p w14:paraId="2E2FDA3E">
            <w:pPr>
              <w:spacing w:line="360" w:lineRule="auto"/>
              <w:jc w:val="center"/>
              <w:rPr>
                <w:rFonts w:hint="eastAsia"/>
                <w:bCs/>
                <w:color w:val="000000"/>
                <w:sz w:val="24"/>
              </w:rPr>
            </w:pPr>
          </w:p>
        </w:tc>
        <w:tc>
          <w:tcPr>
            <w:tcW w:w="498" w:type="pct"/>
            <w:shd w:val="clear" w:color="auto" w:fill="auto"/>
            <w:noWrap w:val="0"/>
            <w:vAlign w:val="center"/>
          </w:tcPr>
          <w:p w14:paraId="67B0B4BD">
            <w:pPr>
              <w:spacing w:line="360" w:lineRule="auto"/>
              <w:jc w:val="center"/>
              <w:rPr>
                <w:rFonts w:hint="eastAsia"/>
                <w:bCs/>
                <w:color w:val="000000"/>
                <w:sz w:val="24"/>
              </w:rPr>
            </w:pPr>
          </w:p>
        </w:tc>
        <w:tc>
          <w:tcPr>
            <w:tcW w:w="498" w:type="pct"/>
            <w:shd w:val="clear" w:color="auto" w:fill="auto"/>
            <w:noWrap w:val="0"/>
            <w:vAlign w:val="center"/>
          </w:tcPr>
          <w:p w14:paraId="2EED5AF0">
            <w:pPr>
              <w:spacing w:line="360" w:lineRule="auto"/>
              <w:jc w:val="center"/>
              <w:rPr>
                <w:rFonts w:hint="eastAsia"/>
                <w:bCs/>
                <w:color w:val="000000"/>
                <w:sz w:val="24"/>
              </w:rPr>
            </w:pPr>
          </w:p>
        </w:tc>
        <w:tc>
          <w:tcPr>
            <w:tcW w:w="498" w:type="pct"/>
            <w:shd w:val="clear" w:color="auto" w:fill="auto"/>
            <w:noWrap w:val="0"/>
            <w:vAlign w:val="center"/>
          </w:tcPr>
          <w:p w14:paraId="45316D31">
            <w:pPr>
              <w:spacing w:line="360" w:lineRule="auto"/>
              <w:jc w:val="center"/>
              <w:rPr>
                <w:rFonts w:hint="eastAsia"/>
                <w:bCs/>
                <w:color w:val="000000"/>
                <w:sz w:val="24"/>
              </w:rPr>
            </w:pPr>
          </w:p>
        </w:tc>
        <w:tc>
          <w:tcPr>
            <w:tcW w:w="498" w:type="pct"/>
            <w:shd w:val="clear" w:color="auto" w:fill="auto"/>
            <w:noWrap w:val="0"/>
            <w:vAlign w:val="center"/>
          </w:tcPr>
          <w:p w14:paraId="697026D6">
            <w:pPr>
              <w:spacing w:line="360" w:lineRule="auto"/>
              <w:jc w:val="center"/>
              <w:rPr>
                <w:rFonts w:hint="eastAsia"/>
                <w:bCs/>
                <w:color w:val="000000"/>
                <w:sz w:val="24"/>
              </w:rPr>
            </w:pPr>
          </w:p>
        </w:tc>
        <w:tc>
          <w:tcPr>
            <w:tcW w:w="498" w:type="pct"/>
            <w:gridSpan w:val="2"/>
            <w:shd w:val="clear" w:color="auto" w:fill="auto"/>
            <w:noWrap w:val="0"/>
            <w:vAlign w:val="center"/>
          </w:tcPr>
          <w:p w14:paraId="43A6B6C7">
            <w:pPr>
              <w:spacing w:line="360" w:lineRule="auto"/>
              <w:jc w:val="center"/>
              <w:rPr>
                <w:rFonts w:hint="eastAsia"/>
                <w:bCs/>
                <w:color w:val="000000"/>
                <w:sz w:val="24"/>
              </w:rPr>
            </w:pPr>
          </w:p>
        </w:tc>
        <w:tc>
          <w:tcPr>
            <w:tcW w:w="503" w:type="pct"/>
            <w:shd w:val="clear" w:color="auto" w:fill="auto"/>
            <w:noWrap w:val="0"/>
            <w:vAlign w:val="center"/>
          </w:tcPr>
          <w:p w14:paraId="118E9C57">
            <w:pPr>
              <w:spacing w:line="360" w:lineRule="auto"/>
              <w:jc w:val="center"/>
              <w:rPr>
                <w:rFonts w:hint="eastAsia"/>
                <w:bCs/>
                <w:color w:val="000000"/>
                <w:sz w:val="24"/>
              </w:rPr>
            </w:pPr>
          </w:p>
        </w:tc>
        <w:tc>
          <w:tcPr>
            <w:tcW w:w="554" w:type="pct"/>
            <w:shd w:val="clear" w:color="auto" w:fill="auto"/>
            <w:noWrap w:val="0"/>
            <w:vAlign w:val="center"/>
          </w:tcPr>
          <w:p w14:paraId="33474B2F">
            <w:pPr>
              <w:spacing w:line="360" w:lineRule="auto"/>
              <w:jc w:val="center"/>
              <w:rPr>
                <w:bCs/>
                <w:color w:val="000000"/>
                <w:sz w:val="24"/>
              </w:rPr>
            </w:pPr>
            <w:r>
              <w:rPr>
                <w:rFonts w:hint="eastAsia"/>
                <w:bCs/>
                <w:color w:val="000000"/>
                <w:sz w:val="24"/>
              </w:rPr>
              <w:t>100</w:t>
            </w:r>
          </w:p>
        </w:tc>
      </w:tr>
    </w:tbl>
    <w:p w14:paraId="259DEF84">
      <w:pPr>
        <w:numPr>
          <w:ilvl w:val="0"/>
          <w:numId w:val="4"/>
        </w:numPr>
        <w:spacing w:line="360" w:lineRule="auto"/>
        <w:rPr>
          <w:rFonts w:hint="eastAsia"/>
          <w:b/>
          <w:color w:val="000000"/>
          <w:sz w:val="24"/>
        </w:rPr>
      </w:pPr>
      <w:r>
        <w:rPr>
          <w:rFonts w:hint="eastAsia"/>
          <w:b/>
          <w:color w:val="000000"/>
          <w:sz w:val="24"/>
        </w:rPr>
        <w:t>成绩评定细则</w:t>
      </w:r>
    </w:p>
    <w:tbl>
      <w:tblPr>
        <w:tblStyle w:val="10"/>
        <w:tblW w:w="8564"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6000"/>
        <w:gridCol w:w="982"/>
      </w:tblGrid>
      <w:tr w14:paraId="4ECB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582" w:type="dxa"/>
            <w:shd w:val="clear" w:color="auto" w:fill="FFFFFF"/>
            <w:noWrap w:val="0"/>
            <w:vAlign w:val="center"/>
          </w:tcPr>
          <w:p w14:paraId="027F0A1C">
            <w:pPr>
              <w:pStyle w:val="29"/>
              <w:jc w:val="center"/>
              <w:rPr>
                <w:rFonts w:hint="eastAsia" w:ascii="宋体" w:hAnsi="宋体" w:eastAsia="宋体"/>
                <w:color w:val="000000"/>
              </w:rPr>
            </w:pPr>
            <w:r>
              <w:rPr>
                <w:rFonts w:ascii="宋体" w:hAnsi="宋体" w:eastAsia="宋体"/>
                <w:color w:val="000000"/>
              </w:rPr>
              <w:t>评价</w:t>
            </w:r>
            <w:r>
              <w:rPr>
                <w:rFonts w:hint="eastAsia" w:ascii="宋体" w:hAnsi="宋体" w:eastAsia="宋体"/>
                <w:color w:val="000000"/>
              </w:rPr>
              <w:t>方式</w:t>
            </w:r>
          </w:p>
        </w:tc>
        <w:tc>
          <w:tcPr>
            <w:tcW w:w="6000" w:type="dxa"/>
            <w:shd w:val="clear" w:color="auto" w:fill="FFFFFF"/>
            <w:noWrap w:val="0"/>
            <w:vAlign w:val="center"/>
          </w:tcPr>
          <w:p w14:paraId="11172C77">
            <w:pPr>
              <w:pStyle w:val="29"/>
              <w:jc w:val="center"/>
              <w:rPr>
                <w:rFonts w:ascii="宋体" w:hAnsi="宋体" w:eastAsia="宋体"/>
                <w:color w:val="000000"/>
              </w:rPr>
            </w:pPr>
            <w:r>
              <w:rPr>
                <w:rFonts w:ascii="宋体" w:hAnsi="宋体" w:eastAsia="宋体"/>
                <w:color w:val="000000"/>
              </w:rPr>
              <w:t>评</w:t>
            </w:r>
            <w:r>
              <w:rPr>
                <w:rFonts w:hint="eastAsia" w:ascii="宋体" w:hAnsi="宋体" w:eastAsia="宋体"/>
                <w:color w:val="000000"/>
              </w:rPr>
              <w:t>定</w:t>
            </w:r>
            <w:r>
              <w:rPr>
                <w:rFonts w:ascii="宋体" w:hAnsi="宋体" w:eastAsia="宋体"/>
                <w:color w:val="000000"/>
              </w:rPr>
              <w:t>细则</w:t>
            </w:r>
          </w:p>
        </w:tc>
        <w:tc>
          <w:tcPr>
            <w:tcW w:w="982" w:type="dxa"/>
            <w:shd w:val="clear" w:color="auto" w:fill="FFFFFF"/>
            <w:noWrap w:val="0"/>
            <w:vAlign w:val="center"/>
          </w:tcPr>
          <w:p w14:paraId="6336A37A">
            <w:pPr>
              <w:pStyle w:val="29"/>
              <w:jc w:val="center"/>
              <w:rPr>
                <w:rFonts w:ascii="宋体" w:hAnsi="宋体" w:eastAsia="宋体"/>
                <w:color w:val="000000"/>
              </w:rPr>
            </w:pPr>
            <w:r>
              <w:rPr>
                <w:rFonts w:hint="eastAsia" w:ascii="宋体" w:hAnsi="宋体" w:eastAsia="宋体"/>
                <w:color w:val="000000"/>
              </w:rPr>
              <w:t>占比</w:t>
            </w:r>
          </w:p>
        </w:tc>
      </w:tr>
      <w:tr w14:paraId="7E52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82" w:type="dxa"/>
            <w:noWrap w:val="0"/>
            <w:vAlign w:val="center"/>
          </w:tcPr>
          <w:p w14:paraId="58CBD2E2">
            <w:pPr>
              <w:spacing w:line="276" w:lineRule="auto"/>
              <w:jc w:val="center"/>
              <w:rPr>
                <w:rFonts w:ascii="宋体" w:hAnsi="宋体"/>
                <w:color w:val="000000"/>
                <w:szCs w:val="21"/>
              </w:rPr>
            </w:pPr>
            <w:r>
              <w:rPr>
                <w:rFonts w:hint="eastAsia" w:ascii="宋体" w:hAnsi="宋体"/>
                <w:color w:val="000000"/>
                <w:szCs w:val="21"/>
              </w:rPr>
              <w:t>考勤</w:t>
            </w:r>
          </w:p>
        </w:tc>
        <w:tc>
          <w:tcPr>
            <w:tcW w:w="6000" w:type="dxa"/>
            <w:noWrap w:val="0"/>
            <w:vAlign w:val="center"/>
          </w:tcPr>
          <w:p w14:paraId="2F9B44E9">
            <w:pPr>
              <w:spacing w:line="276" w:lineRule="auto"/>
              <w:rPr>
                <w:rFonts w:ascii="宋体" w:hAnsi="宋体"/>
                <w:color w:val="000000"/>
                <w:szCs w:val="21"/>
              </w:rPr>
            </w:pPr>
            <w:r>
              <w:rPr>
                <w:rFonts w:hint="eastAsia" w:ascii="宋体" w:hAnsi="宋体"/>
                <w:bCs/>
                <w:color w:val="000000"/>
                <w:kern w:val="24"/>
                <w:szCs w:val="21"/>
              </w:rPr>
              <w:t>随堂</w:t>
            </w:r>
            <w:r>
              <w:rPr>
                <w:rFonts w:ascii="宋体" w:hAnsi="宋体"/>
                <w:bCs/>
                <w:color w:val="000000"/>
                <w:kern w:val="24"/>
                <w:szCs w:val="21"/>
              </w:rPr>
              <w:t>不定期</w:t>
            </w:r>
            <w:r>
              <w:rPr>
                <w:rFonts w:hint="eastAsia" w:ascii="宋体" w:hAnsi="宋体"/>
                <w:bCs/>
                <w:color w:val="000000"/>
                <w:kern w:val="24"/>
                <w:szCs w:val="21"/>
              </w:rPr>
              <w:t>考勤，考核</w:t>
            </w:r>
            <w:r>
              <w:rPr>
                <w:rFonts w:hint="eastAsia" w:ascii="宋体" w:hAnsi="宋体"/>
                <w:color w:val="000000"/>
                <w:szCs w:val="21"/>
              </w:rPr>
              <w:t>能否按时到勤，旷课一次扣</w:t>
            </w:r>
            <w:r>
              <w:rPr>
                <w:rFonts w:ascii="宋体" w:hAnsi="宋体"/>
                <w:color w:val="000000"/>
                <w:szCs w:val="21"/>
              </w:rPr>
              <w:t>20</w:t>
            </w:r>
            <w:r>
              <w:rPr>
                <w:rFonts w:hint="eastAsia" w:ascii="宋体" w:hAnsi="宋体"/>
                <w:color w:val="000000"/>
                <w:szCs w:val="21"/>
              </w:rPr>
              <w:t>分，迟到与早退一次扣10分，请假一次扣5分；满分100分。</w:t>
            </w:r>
          </w:p>
        </w:tc>
        <w:tc>
          <w:tcPr>
            <w:tcW w:w="982" w:type="dxa"/>
            <w:noWrap w:val="0"/>
            <w:vAlign w:val="center"/>
          </w:tcPr>
          <w:p w14:paraId="416F53F1">
            <w:pPr>
              <w:pStyle w:val="29"/>
              <w:rPr>
                <w:rFonts w:hint="eastAsia" w:ascii="宋体" w:hAnsi="宋体" w:eastAsia="宋体"/>
                <w:color w:val="000000"/>
              </w:rPr>
            </w:pPr>
            <w:r>
              <w:rPr>
                <w:rFonts w:hint="eastAsia" w:ascii="宋体" w:hAnsi="宋体" w:eastAsia="宋体"/>
                <w:color w:val="000000"/>
              </w:rPr>
              <w:t xml:space="preserve">  5</w:t>
            </w:r>
            <w:r>
              <w:rPr>
                <w:rFonts w:ascii="宋体" w:hAnsi="宋体" w:eastAsia="宋体"/>
                <w:color w:val="000000"/>
              </w:rPr>
              <w:t>%</w:t>
            </w:r>
          </w:p>
        </w:tc>
      </w:tr>
      <w:tr w14:paraId="6887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582" w:type="dxa"/>
            <w:noWrap w:val="0"/>
            <w:vAlign w:val="center"/>
          </w:tcPr>
          <w:p w14:paraId="70FC694B">
            <w:pPr>
              <w:spacing w:line="276" w:lineRule="auto"/>
              <w:jc w:val="center"/>
              <w:rPr>
                <w:rFonts w:ascii="宋体" w:hAnsi="宋体"/>
                <w:color w:val="000000"/>
                <w:szCs w:val="21"/>
              </w:rPr>
            </w:pPr>
            <w:r>
              <w:rPr>
                <w:rFonts w:hint="eastAsia" w:ascii="宋体" w:hAnsi="宋体"/>
                <w:color w:val="000000"/>
                <w:szCs w:val="21"/>
              </w:rPr>
              <w:t>课堂表现</w:t>
            </w:r>
          </w:p>
        </w:tc>
        <w:tc>
          <w:tcPr>
            <w:tcW w:w="6000" w:type="dxa"/>
            <w:noWrap w:val="0"/>
            <w:vAlign w:val="center"/>
          </w:tcPr>
          <w:p w14:paraId="2AB3F8C8">
            <w:pPr>
              <w:spacing w:line="276" w:lineRule="auto"/>
              <w:jc w:val="left"/>
              <w:rPr>
                <w:rFonts w:ascii="宋体" w:hAnsi="宋体"/>
                <w:color w:val="000000"/>
                <w:szCs w:val="21"/>
              </w:rPr>
            </w:pPr>
            <w:r>
              <w:rPr>
                <w:rFonts w:hint="eastAsia" w:ascii="宋体" w:hAnsi="宋体"/>
                <w:bCs/>
                <w:color w:val="000000"/>
                <w:kern w:val="24"/>
                <w:szCs w:val="21"/>
              </w:rPr>
              <w:t>随堂记录学生学习态度，</w:t>
            </w:r>
            <w:r>
              <w:rPr>
                <w:rFonts w:ascii="宋体" w:hAnsi="宋体"/>
                <w:bCs/>
                <w:color w:val="000000"/>
                <w:kern w:val="24"/>
                <w:szCs w:val="21"/>
              </w:rPr>
              <w:t>听课的精神状态，</w:t>
            </w:r>
            <w:r>
              <w:rPr>
                <w:rFonts w:hint="eastAsia" w:ascii="宋体" w:hAnsi="宋体"/>
                <w:bCs/>
                <w:color w:val="000000"/>
                <w:kern w:val="24"/>
                <w:szCs w:val="21"/>
              </w:rPr>
              <w:t>参与教学情况；课堂</w:t>
            </w:r>
            <w:r>
              <w:rPr>
                <w:rFonts w:ascii="宋体" w:hAnsi="宋体"/>
                <w:bCs/>
                <w:color w:val="000000"/>
                <w:kern w:val="24"/>
                <w:szCs w:val="21"/>
              </w:rPr>
              <w:t>随机提问，考察学生</w:t>
            </w:r>
            <w:r>
              <w:rPr>
                <w:rFonts w:hint="eastAsia" w:ascii="宋体" w:hAnsi="宋体"/>
                <w:bCs/>
                <w:color w:val="000000"/>
                <w:kern w:val="24"/>
                <w:szCs w:val="21"/>
              </w:rPr>
              <w:t>对</w:t>
            </w:r>
            <w:r>
              <w:rPr>
                <w:rFonts w:ascii="宋体" w:hAnsi="宋体"/>
                <w:bCs/>
                <w:color w:val="000000"/>
                <w:kern w:val="24"/>
                <w:szCs w:val="21"/>
              </w:rPr>
              <w:t>当堂课程的掌握情况</w:t>
            </w:r>
            <w:r>
              <w:rPr>
                <w:rFonts w:hint="eastAsia" w:ascii="宋体" w:hAnsi="宋体"/>
                <w:bCs/>
                <w:color w:val="000000"/>
                <w:kern w:val="24"/>
                <w:szCs w:val="21"/>
              </w:rPr>
              <w:t>；</w:t>
            </w:r>
            <w:r>
              <w:rPr>
                <w:rFonts w:ascii="宋体" w:hAnsi="宋体"/>
                <w:bCs/>
                <w:color w:val="000000"/>
                <w:kern w:val="24"/>
                <w:szCs w:val="21"/>
              </w:rPr>
              <w:t>课堂</w:t>
            </w:r>
            <w:r>
              <w:rPr>
                <w:rFonts w:hint="eastAsia" w:ascii="宋体" w:hAnsi="宋体"/>
                <w:bCs/>
                <w:color w:val="000000"/>
                <w:kern w:val="24"/>
                <w:szCs w:val="21"/>
              </w:rPr>
              <w:t>陈述、讨论、</w:t>
            </w:r>
            <w:r>
              <w:rPr>
                <w:rFonts w:ascii="宋体" w:hAnsi="宋体"/>
                <w:bCs/>
                <w:color w:val="000000"/>
                <w:kern w:val="24"/>
                <w:szCs w:val="21"/>
              </w:rPr>
              <w:t>测试</w:t>
            </w:r>
            <w:r>
              <w:rPr>
                <w:rFonts w:hint="eastAsia" w:ascii="宋体" w:hAnsi="宋体"/>
                <w:bCs/>
                <w:color w:val="000000"/>
                <w:kern w:val="24"/>
                <w:szCs w:val="21"/>
              </w:rPr>
              <w:t>；满分100分</w:t>
            </w:r>
            <w:r>
              <w:rPr>
                <w:rFonts w:ascii="宋体" w:hAnsi="宋体"/>
                <w:bCs/>
                <w:color w:val="000000"/>
                <w:kern w:val="24"/>
                <w:szCs w:val="21"/>
              </w:rPr>
              <w:t>。</w:t>
            </w:r>
          </w:p>
        </w:tc>
        <w:tc>
          <w:tcPr>
            <w:tcW w:w="982" w:type="dxa"/>
            <w:noWrap w:val="0"/>
            <w:vAlign w:val="center"/>
          </w:tcPr>
          <w:p w14:paraId="242818C1">
            <w:pPr>
              <w:pStyle w:val="29"/>
              <w:jc w:val="center"/>
              <w:rPr>
                <w:rFonts w:hint="eastAsia" w:ascii="宋体" w:hAnsi="宋体" w:eastAsia="宋体"/>
                <w:color w:val="000000"/>
              </w:rPr>
            </w:pPr>
            <w:r>
              <w:rPr>
                <w:rFonts w:hint="eastAsia" w:ascii="宋体" w:hAnsi="宋体" w:eastAsia="宋体"/>
                <w:color w:val="000000"/>
              </w:rPr>
              <w:t>10</w:t>
            </w:r>
            <w:r>
              <w:rPr>
                <w:rFonts w:ascii="宋体" w:hAnsi="宋体" w:eastAsia="宋体"/>
                <w:color w:val="000000"/>
              </w:rPr>
              <w:t>%</w:t>
            </w:r>
          </w:p>
        </w:tc>
      </w:tr>
      <w:tr w14:paraId="0A5B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473C358D">
            <w:pPr>
              <w:spacing w:line="276" w:lineRule="auto"/>
              <w:jc w:val="center"/>
              <w:rPr>
                <w:rFonts w:ascii="宋体" w:hAnsi="宋体"/>
                <w:color w:val="000000"/>
                <w:szCs w:val="21"/>
              </w:rPr>
            </w:pPr>
            <w:r>
              <w:rPr>
                <w:rFonts w:hint="eastAsia" w:ascii="宋体" w:hAnsi="宋体"/>
                <w:color w:val="000000"/>
                <w:szCs w:val="21"/>
              </w:rPr>
              <w:t>作业、测试</w:t>
            </w:r>
          </w:p>
        </w:tc>
        <w:tc>
          <w:tcPr>
            <w:tcW w:w="6000" w:type="dxa"/>
            <w:noWrap w:val="0"/>
            <w:vAlign w:val="center"/>
          </w:tcPr>
          <w:p w14:paraId="2C6ACCBD">
            <w:pPr>
              <w:spacing w:line="276" w:lineRule="auto"/>
              <w:rPr>
                <w:rFonts w:ascii="宋体" w:hAnsi="宋体"/>
                <w:color w:val="000000"/>
                <w:szCs w:val="21"/>
              </w:rPr>
            </w:pPr>
            <w:r>
              <w:rPr>
                <w:rFonts w:hint="eastAsia" w:ascii="宋体" w:hAnsi="宋体"/>
                <w:bCs/>
                <w:color w:val="000000"/>
                <w:kern w:val="24"/>
                <w:szCs w:val="21"/>
              </w:rPr>
              <w:t>词汇单元练习、网络平台测试</w:t>
            </w:r>
            <w:r>
              <w:rPr>
                <w:rFonts w:ascii="宋体" w:hAnsi="宋体"/>
                <w:bCs/>
                <w:color w:val="000000"/>
                <w:kern w:val="24"/>
                <w:szCs w:val="21"/>
              </w:rPr>
              <w:t>，考核学生对</w:t>
            </w:r>
            <w:r>
              <w:rPr>
                <w:rFonts w:hint="eastAsia" w:ascii="宋体" w:hAnsi="宋体"/>
                <w:bCs/>
                <w:color w:val="000000"/>
                <w:kern w:val="24"/>
                <w:szCs w:val="21"/>
              </w:rPr>
              <w:t>单元</w:t>
            </w:r>
            <w:r>
              <w:rPr>
                <w:rFonts w:ascii="宋体" w:hAnsi="宋体"/>
                <w:bCs/>
                <w:color w:val="000000"/>
                <w:kern w:val="24"/>
                <w:szCs w:val="21"/>
              </w:rPr>
              <w:t>知识点的</w:t>
            </w:r>
            <w:r>
              <w:rPr>
                <w:rFonts w:hint="eastAsia" w:ascii="宋体" w:hAnsi="宋体"/>
                <w:bCs/>
                <w:color w:val="000000"/>
                <w:kern w:val="24"/>
                <w:szCs w:val="21"/>
              </w:rPr>
              <w:t>学习</w:t>
            </w:r>
            <w:r>
              <w:rPr>
                <w:rFonts w:ascii="宋体" w:hAnsi="宋体"/>
                <w:bCs/>
                <w:color w:val="000000"/>
                <w:kern w:val="24"/>
                <w:szCs w:val="21"/>
              </w:rPr>
              <w:t>、理解和掌握</w:t>
            </w:r>
            <w:r>
              <w:rPr>
                <w:rFonts w:hint="eastAsia" w:ascii="宋体" w:hAnsi="宋体"/>
                <w:bCs/>
                <w:color w:val="000000"/>
                <w:kern w:val="24"/>
                <w:szCs w:val="21"/>
              </w:rPr>
              <w:t>程度</w:t>
            </w:r>
            <w:r>
              <w:rPr>
                <w:rFonts w:ascii="宋体" w:hAnsi="宋体"/>
                <w:bCs/>
                <w:color w:val="000000"/>
                <w:kern w:val="24"/>
                <w:szCs w:val="21"/>
              </w:rPr>
              <w:t>。对每次作业</w:t>
            </w:r>
            <w:r>
              <w:rPr>
                <w:rFonts w:hint="eastAsia" w:ascii="宋体" w:hAnsi="宋体"/>
                <w:bCs/>
                <w:color w:val="000000"/>
                <w:kern w:val="24"/>
                <w:szCs w:val="21"/>
              </w:rPr>
              <w:t>、练习和测试</w:t>
            </w:r>
            <w:r>
              <w:rPr>
                <w:rFonts w:ascii="宋体" w:hAnsi="宋体"/>
                <w:bCs/>
                <w:color w:val="000000"/>
                <w:kern w:val="24"/>
                <w:szCs w:val="21"/>
              </w:rPr>
              <w:t>完成情况做记录并百分制打分</w:t>
            </w:r>
            <w:r>
              <w:rPr>
                <w:rFonts w:hint="eastAsia" w:ascii="宋体" w:hAnsi="宋体"/>
                <w:bCs/>
                <w:color w:val="000000"/>
                <w:kern w:val="24"/>
                <w:szCs w:val="21"/>
              </w:rPr>
              <w:t>，</w:t>
            </w:r>
            <w:r>
              <w:rPr>
                <w:rFonts w:ascii="宋体" w:hAnsi="宋体"/>
                <w:bCs/>
                <w:color w:val="000000"/>
                <w:kern w:val="24"/>
                <w:szCs w:val="21"/>
              </w:rPr>
              <w:t>计算全部作业的平均成绩</w:t>
            </w:r>
            <w:r>
              <w:rPr>
                <w:rFonts w:hint="eastAsia" w:ascii="宋体" w:hAnsi="宋体"/>
                <w:bCs/>
                <w:color w:val="000000"/>
                <w:kern w:val="24"/>
                <w:szCs w:val="21"/>
              </w:rPr>
              <w:t>；满分100分</w:t>
            </w:r>
            <w:r>
              <w:rPr>
                <w:rFonts w:ascii="宋体" w:hAnsi="宋体"/>
                <w:bCs/>
                <w:color w:val="000000"/>
                <w:kern w:val="24"/>
                <w:szCs w:val="21"/>
              </w:rPr>
              <w:t>。</w:t>
            </w:r>
          </w:p>
        </w:tc>
        <w:tc>
          <w:tcPr>
            <w:tcW w:w="982" w:type="dxa"/>
            <w:noWrap w:val="0"/>
            <w:vAlign w:val="center"/>
          </w:tcPr>
          <w:p w14:paraId="4784A65B">
            <w:pPr>
              <w:pStyle w:val="29"/>
              <w:jc w:val="center"/>
              <w:rPr>
                <w:rFonts w:hint="eastAsia" w:ascii="宋体" w:hAnsi="宋体" w:eastAsia="宋体"/>
                <w:color w:val="000000"/>
              </w:rPr>
            </w:pPr>
            <w:r>
              <w:rPr>
                <w:rFonts w:hint="eastAsia" w:ascii="宋体" w:hAnsi="宋体" w:eastAsia="宋体"/>
                <w:color w:val="000000"/>
              </w:rPr>
              <w:t>12.5</w:t>
            </w:r>
            <w:r>
              <w:rPr>
                <w:rFonts w:ascii="宋体" w:hAnsi="宋体" w:eastAsia="宋体"/>
                <w:color w:val="000000"/>
              </w:rPr>
              <w:t>%</w:t>
            </w:r>
          </w:p>
        </w:tc>
      </w:tr>
      <w:tr w14:paraId="6A1C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2ACA3C24">
            <w:pPr>
              <w:spacing w:line="276" w:lineRule="auto"/>
              <w:jc w:val="center"/>
              <w:rPr>
                <w:rFonts w:hint="eastAsia" w:ascii="宋体" w:hAnsi="宋体"/>
                <w:color w:val="000000"/>
                <w:szCs w:val="21"/>
              </w:rPr>
            </w:pPr>
            <w:r>
              <w:rPr>
                <w:rFonts w:hint="eastAsia" w:ascii="宋体" w:hAnsi="宋体"/>
                <w:color w:val="000000"/>
                <w:szCs w:val="21"/>
              </w:rPr>
              <w:t>口语</w:t>
            </w:r>
          </w:p>
        </w:tc>
        <w:tc>
          <w:tcPr>
            <w:tcW w:w="6000" w:type="dxa"/>
            <w:noWrap w:val="0"/>
            <w:vAlign w:val="center"/>
          </w:tcPr>
          <w:p w14:paraId="2F9C8920">
            <w:pPr>
              <w:spacing w:line="276" w:lineRule="auto"/>
              <w:rPr>
                <w:rFonts w:hint="eastAsia" w:ascii="宋体" w:hAnsi="宋体"/>
                <w:bCs/>
                <w:color w:val="000000"/>
                <w:kern w:val="24"/>
                <w:szCs w:val="21"/>
              </w:rPr>
            </w:pPr>
            <w:r>
              <w:rPr>
                <w:rFonts w:hint="eastAsia" w:ascii="宋体" w:hAnsi="宋体"/>
                <w:bCs/>
                <w:color w:val="000000"/>
                <w:kern w:val="24"/>
                <w:szCs w:val="21"/>
              </w:rPr>
              <w:t>随堂测试，口语测试需包括短文朗读、简短问答和情景对话，记录成绩；满分100分</w:t>
            </w:r>
            <w:r>
              <w:rPr>
                <w:rFonts w:ascii="宋体" w:hAnsi="宋体"/>
                <w:bCs/>
                <w:color w:val="000000"/>
                <w:kern w:val="24"/>
                <w:szCs w:val="21"/>
              </w:rPr>
              <w:t>。</w:t>
            </w:r>
          </w:p>
        </w:tc>
        <w:tc>
          <w:tcPr>
            <w:tcW w:w="982" w:type="dxa"/>
            <w:noWrap w:val="0"/>
            <w:vAlign w:val="center"/>
          </w:tcPr>
          <w:p w14:paraId="16AFE9C2">
            <w:pPr>
              <w:pStyle w:val="29"/>
              <w:jc w:val="center"/>
              <w:rPr>
                <w:rFonts w:hint="eastAsia" w:ascii="宋体" w:hAnsi="宋体" w:eastAsia="宋体"/>
                <w:color w:val="000000"/>
              </w:rPr>
            </w:pPr>
            <w:r>
              <w:rPr>
                <w:rFonts w:hint="eastAsia" w:ascii="宋体" w:hAnsi="宋体" w:eastAsia="宋体"/>
                <w:color w:val="000000"/>
              </w:rPr>
              <w:t>5</w:t>
            </w:r>
            <w:r>
              <w:rPr>
                <w:rFonts w:ascii="宋体" w:hAnsi="宋体" w:eastAsia="宋体"/>
                <w:color w:val="000000"/>
              </w:rPr>
              <w:t>%</w:t>
            </w:r>
          </w:p>
        </w:tc>
      </w:tr>
      <w:tr w14:paraId="59F9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0B582236">
            <w:pPr>
              <w:spacing w:line="276" w:lineRule="auto"/>
              <w:jc w:val="center"/>
              <w:rPr>
                <w:rFonts w:hint="eastAsia" w:ascii="宋体" w:hAnsi="宋体"/>
                <w:color w:val="000000"/>
                <w:szCs w:val="21"/>
              </w:rPr>
            </w:pPr>
            <w:r>
              <w:rPr>
                <w:rFonts w:hint="eastAsia" w:ascii="宋体" w:hAnsi="宋体"/>
                <w:bCs/>
                <w:color w:val="000000"/>
                <w:kern w:val="24"/>
                <w:szCs w:val="21"/>
              </w:rPr>
              <w:t>书面表达</w:t>
            </w:r>
          </w:p>
        </w:tc>
        <w:tc>
          <w:tcPr>
            <w:tcW w:w="6000" w:type="dxa"/>
            <w:noWrap w:val="0"/>
            <w:vAlign w:val="center"/>
          </w:tcPr>
          <w:p w14:paraId="241E7307">
            <w:pPr>
              <w:spacing w:line="276" w:lineRule="auto"/>
              <w:rPr>
                <w:rFonts w:hint="eastAsia" w:ascii="宋体" w:hAnsi="宋体"/>
                <w:bCs/>
                <w:color w:val="000000"/>
                <w:kern w:val="24"/>
                <w:szCs w:val="21"/>
              </w:rPr>
            </w:pPr>
            <w:r>
              <w:rPr>
                <w:rFonts w:hint="eastAsia" w:ascii="宋体" w:hAnsi="宋体"/>
                <w:bCs/>
                <w:color w:val="000000"/>
                <w:kern w:val="24"/>
                <w:szCs w:val="21"/>
              </w:rPr>
              <w:t>不少于两次书面表达练习（书面表达练习由大学英语教学部统一命题并建立书面表达练习题库），记录成绩并百分制打分，计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w:t>
            </w:r>
            <w:r>
              <w:rPr>
                <w:rFonts w:ascii="宋体" w:hAnsi="宋体"/>
                <w:bCs/>
                <w:color w:val="000000"/>
                <w:kern w:val="24"/>
              </w:rPr>
              <w:t>100</w:t>
            </w:r>
            <w:r>
              <w:rPr>
                <w:rFonts w:hint="eastAsia" w:ascii="宋体" w:hAnsi="宋体"/>
                <w:bCs/>
                <w:color w:val="000000"/>
                <w:kern w:val="24"/>
                <w:szCs w:val="21"/>
              </w:rPr>
              <w:t>分</w:t>
            </w:r>
            <w:r>
              <w:rPr>
                <w:rFonts w:ascii="宋体" w:hAnsi="宋体"/>
                <w:bCs/>
                <w:color w:val="000000"/>
                <w:kern w:val="24"/>
                <w:szCs w:val="21"/>
              </w:rPr>
              <w:t>。</w:t>
            </w:r>
          </w:p>
        </w:tc>
        <w:tc>
          <w:tcPr>
            <w:tcW w:w="982" w:type="dxa"/>
            <w:noWrap w:val="0"/>
            <w:vAlign w:val="center"/>
          </w:tcPr>
          <w:p w14:paraId="0B352DDE">
            <w:pPr>
              <w:pStyle w:val="29"/>
              <w:jc w:val="center"/>
              <w:rPr>
                <w:rFonts w:hint="eastAsia" w:ascii="宋体" w:hAnsi="宋体" w:eastAsia="宋体"/>
                <w:color w:val="000000"/>
              </w:rPr>
            </w:pPr>
            <w:r>
              <w:rPr>
                <w:rFonts w:hint="eastAsia" w:ascii="宋体" w:hAnsi="宋体" w:eastAsia="宋体"/>
                <w:color w:val="000000"/>
              </w:rPr>
              <w:t>5</w:t>
            </w:r>
            <w:r>
              <w:rPr>
                <w:rFonts w:ascii="宋体" w:hAnsi="宋体" w:eastAsia="宋体"/>
                <w:color w:val="000000"/>
              </w:rPr>
              <w:t>%</w:t>
            </w:r>
          </w:p>
        </w:tc>
      </w:tr>
      <w:tr w14:paraId="30C9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670AA385">
            <w:pPr>
              <w:spacing w:line="276" w:lineRule="auto"/>
              <w:jc w:val="center"/>
              <w:rPr>
                <w:rFonts w:hint="eastAsia" w:ascii="宋体" w:hAnsi="宋体"/>
                <w:color w:val="000000"/>
                <w:szCs w:val="21"/>
              </w:rPr>
            </w:pPr>
            <w:r>
              <w:rPr>
                <w:rFonts w:hint="eastAsia" w:ascii="宋体" w:hAnsi="宋体"/>
                <w:color w:val="000000"/>
                <w:szCs w:val="21"/>
              </w:rPr>
              <w:t>翻译</w:t>
            </w:r>
          </w:p>
        </w:tc>
        <w:tc>
          <w:tcPr>
            <w:tcW w:w="6000" w:type="dxa"/>
            <w:noWrap w:val="0"/>
            <w:vAlign w:val="center"/>
          </w:tcPr>
          <w:p w14:paraId="3B5E4217">
            <w:pPr>
              <w:spacing w:line="276" w:lineRule="auto"/>
              <w:rPr>
                <w:rFonts w:hint="eastAsia" w:ascii="宋体" w:hAnsi="宋体"/>
                <w:bCs/>
                <w:color w:val="000000"/>
                <w:kern w:val="24"/>
                <w:szCs w:val="21"/>
              </w:rPr>
            </w:pPr>
            <w:r>
              <w:rPr>
                <w:rFonts w:hint="eastAsia" w:ascii="宋体" w:hAnsi="宋体"/>
                <w:bCs/>
                <w:color w:val="000000"/>
                <w:kern w:val="24"/>
                <w:szCs w:val="21"/>
              </w:rPr>
              <w:t>不少于两次翻译练习和一次班级随堂测试（翻译练习、测试题由大学英语教学部统一命题并建立翻译题库），记录成绩并百分制打分，计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；满分100分</w:t>
            </w:r>
            <w:r>
              <w:rPr>
                <w:rFonts w:ascii="宋体" w:hAnsi="宋体"/>
                <w:bCs/>
                <w:color w:val="000000"/>
                <w:kern w:val="24"/>
                <w:szCs w:val="21"/>
              </w:rPr>
              <w:t>。</w:t>
            </w:r>
          </w:p>
        </w:tc>
        <w:tc>
          <w:tcPr>
            <w:tcW w:w="982" w:type="dxa"/>
            <w:noWrap w:val="0"/>
            <w:vAlign w:val="center"/>
          </w:tcPr>
          <w:p w14:paraId="755A5466">
            <w:pPr>
              <w:pStyle w:val="29"/>
              <w:jc w:val="center"/>
              <w:rPr>
                <w:rFonts w:hint="eastAsia" w:ascii="宋体" w:hAnsi="宋体" w:eastAsia="宋体"/>
                <w:color w:val="000000"/>
              </w:rPr>
            </w:pPr>
            <w:r>
              <w:rPr>
                <w:rFonts w:hint="eastAsia" w:ascii="宋体" w:hAnsi="宋体" w:eastAsia="宋体"/>
                <w:color w:val="000000"/>
              </w:rPr>
              <w:t>5</w:t>
            </w:r>
            <w:r>
              <w:rPr>
                <w:rFonts w:ascii="宋体" w:hAnsi="宋体" w:eastAsia="宋体"/>
                <w:color w:val="000000"/>
              </w:rPr>
              <w:t>%</w:t>
            </w:r>
          </w:p>
        </w:tc>
      </w:tr>
      <w:tr w14:paraId="006E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582" w:type="dxa"/>
            <w:noWrap w:val="0"/>
            <w:vAlign w:val="center"/>
          </w:tcPr>
          <w:p w14:paraId="10E45CB7">
            <w:pPr>
              <w:spacing w:line="276" w:lineRule="auto"/>
              <w:jc w:val="center"/>
              <w:rPr>
                <w:rFonts w:hint="eastAsia" w:ascii="宋体" w:hAnsi="宋体"/>
                <w:color w:val="000000"/>
                <w:szCs w:val="21"/>
              </w:rPr>
            </w:pPr>
            <w:r>
              <w:rPr>
                <w:rFonts w:hint="eastAsia" w:ascii="宋体" w:hAnsi="宋体"/>
                <w:color w:val="000000"/>
                <w:szCs w:val="21"/>
              </w:rPr>
              <w:t>第二课堂活动</w:t>
            </w:r>
          </w:p>
        </w:tc>
        <w:tc>
          <w:tcPr>
            <w:tcW w:w="6000" w:type="dxa"/>
            <w:noWrap w:val="0"/>
            <w:vAlign w:val="center"/>
          </w:tcPr>
          <w:p w14:paraId="51F361D6">
            <w:pPr>
              <w:spacing w:line="276" w:lineRule="auto"/>
              <w:rPr>
                <w:rFonts w:hint="eastAsia" w:ascii="宋体" w:hAnsi="宋体"/>
                <w:bCs/>
                <w:color w:val="000000"/>
                <w:kern w:val="24"/>
                <w:szCs w:val="21"/>
              </w:rPr>
            </w:pPr>
            <w:r>
              <w:rPr>
                <w:rFonts w:hint="eastAsia" w:ascii="宋体" w:hAnsi="宋体"/>
                <w:bCs/>
                <w:color w:val="000000"/>
                <w:kern w:val="24"/>
                <w:szCs w:val="21"/>
              </w:rPr>
              <w:t>基础分60分，参与英语类竞赛或大创项目每项加10分；竞赛获校级三等奖或参与大创项目获校级立项每项加</w:t>
            </w:r>
            <w:r>
              <w:rPr>
                <w:rFonts w:ascii="宋体" w:hAnsi="宋体"/>
                <w:bCs/>
                <w:color w:val="000000"/>
                <w:kern w:val="24"/>
                <w:szCs w:val="21"/>
              </w:rPr>
              <w:t>20</w:t>
            </w:r>
            <w:r>
              <w:rPr>
                <w:rFonts w:hint="eastAsia" w:ascii="宋体" w:hAnsi="宋体"/>
                <w:bCs/>
                <w:color w:val="000000"/>
                <w:kern w:val="24"/>
                <w:szCs w:val="21"/>
              </w:rPr>
              <w:t>分；竞赛获校级二等奖或大创项目获省级立项每项加30分；竞赛获校级一等奖及以上奖励或大创项目获国家级立项加40分（参与多项竞赛或大创项目分数可累加）；满分100分。</w:t>
            </w:r>
          </w:p>
        </w:tc>
        <w:tc>
          <w:tcPr>
            <w:tcW w:w="982" w:type="dxa"/>
            <w:noWrap w:val="0"/>
            <w:vAlign w:val="center"/>
          </w:tcPr>
          <w:p w14:paraId="23FEB338">
            <w:pPr>
              <w:pStyle w:val="29"/>
              <w:jc w:val="center"/>
              <w:rPr>
                <w:rFonts w:hint="eastAsia" w:ascii="宋体" w:hAnsi="宋体" w:eastAsia="宋体"/>
                <w:color w:val="000000"/>
              </w:rPr>
            </w:pPr>
            <w:r>
              <w:rPr>
                <w:rFonts w:hint="eastAsia" w:ascii="宋体" w:hAnsi="宋体" w:eastAsia="宋体"/>
                <w:color w:val="000000"/>
              </w:rPr>
              <w:t>7.5%</w:t>
            </w:r>
          </w:p>
        </w:tc>
      </w:tr>
      <w:tr w14:paraId="41C9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582" w:type="dxa"/>
            <w:noWrap w:val="0"/>
            <w:vAlign w:val="center"/>
          </w:tcPr>
          <w:p w14:paraId="2E7C482C">
            <w:pPr>
              <w:pStyle w:val="29"/>
              <w:jc w:val="center"/>
              <w:rPr>
                <w:rFonts w:ascii="宋体" w:hAnsi="宋体" w:eastAsia="宋体"/>
                <w:color w:val="000000"/>
              </w:rPr>
            </w:pPr>
            <w:r>
              <w:rPr>
                <w:rFonts w:ascii="宋体" w:hAnsi="宋体" w:eastAsia="宋体"/>
                <w:color w:val="000000"/>
              </w:rPr>
              <w:t>期末考试</w:t>
            </w:r>
          </w:p>
        </w:tc>
        <w:tc>
          <w:tcPr>
            <w:tcW w:w="6000" w:type="dxa"/>
            <w:noWrap w:val="0"/>
            <w:vAlign w:val="center"/>
          </w:tcPr>
          <w:p w14:paraId="6224A57D">
            <w:pPr>
              <w:pStyle w:val="29"/>
              <w:rPr>
                <w:rFonts w:hint="eastAsia" w:ascii="宋体" w:hAnsi="宋体" w:eastAsia="宋体" w:cs="宋体"/>
                <w:bCs/>
                <w:color w:val="000000"/>
                <w:kern w:val="24"/>
              </w:rPr>
            </w:pPr>
            <w:r>
              <w:rPr>
                <w:rFonts w:hint="eastAsia" w:ascii="宋体" w:hAnsi="宋体" w:eastAsia="宋体"/>
                <w:bCs/>
                <w:color w:val="000000"/>
                <w:kern w:val="24"/>
              </w:rPr>
              <w:t>期末考试试题由大学英语教学部统一命题并建立试题库，</w:t>
            </w:r>
            <w:r>
              <w:rPr>
                <w:rFonts w:hint="eastAsia" w:ascii="宋体" w:hAnsi="宋体" w:eastAsia="宋体" w:cs="宋体"/>
                <w:bCs/>
                <w:color w:val="000000"/>
                <w:kern w:val="24"/>
              </w:rPr>
              <w:t>题型包括听力理解、词汇与结构、快速阅读、选词填空、</w:t>
            </w:r>
            <w:r>
              <w:rPr>
                <w:rFonts w:hint="eastAsia" w:ascii="宋体" w:hAnsi="宋体" w:eastAsia="宋体" w:cs="宋体"/>
                <w:color w:val="000000"/>
                <w:kern w:val="0"/>
              </w:rPr>
              <w:t>阅读理解、写作</w:t>
            </w:r>
            <w:r>
              <w:rPr>
                <w:rFonts w:hint="eastAsia" w:ascii="宋体" w:hAnsi="宋体" w:eastAsia="宋体" w:cs="宋体"/>
                <w:bCs/>
                <w:color w:val="000000"/>
                <w:kern w:val="24"/>
              </w:rPr>
              <w:t>等（每次考核可能题型不同，以当次考核题型为准），计入期考成绩；卷面满分100分。</w:t>
            </w:r>
          </w:p>
        </w:tc>
        <w:tc>
          <w:tcPr>
            <w:tcW w:w="982" w:type="dxa"/>
            <w:noWrap w:val="0"/>
            <w:vAlign w:val="center"/>
          </w:tcPr>
          <w:p w14:paraId="6CEB4E7F">
            <w:pPr>
              <w:pStyle w:val="29"/>
              <w:jc w:val="center"/>
              <w:rPr>
                <w:rFonts w:hint="eastAsia" w:ascii="宋体" w:hAnsi="宋体" w:eastAsia="宋体"/>
                <w:color w:val="000000"/>
              </w:rPr>
            </w:pPr>
            <w:r>
              <w:rPr>
                <w:rFonts w:hint="eastAsia" w:ascii="宋体" w:hAnsi="宋体" w:eastAsia="宋体"/>
                <w:color w:val="000000"/>
              </w:rPr>
              <w:t>50</w:t>
            </w:r>
            <w:r>
              <w:rPr>
                <w:rFonts w:ascii="宋体" w:hAnsi="宋体" w:eastAsia="宋体"/>
                <w:color w:val="000000"/>
              </w:rPr>
              <w:t>%</w:t>
            </w:r>
          </w:p>
        </w:tc>
      </w:tr>
      <w:tr w14:paraId="0BED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582" w:type="dxa"/>
            <w:noWrap w:val="0"/>
            <w:vAlign w:val="center"/>
          </w:tcPr>
          <w:p w14:paraId="51762CC7">
            <w:pPr>
              <w:pStyle w:val="29"/>
              <w:jc w:val="center"/>
              <w:rPr>
                <w:rFonts w:hint="eastAsia" w:ascii="宋体" w:hAnsi="宋体" w:eastAsia="宋体"/>
                <w:color w:val="000000"/>
              </w:rPr>
            </w:pPr>
            <w:r>
              <w:rPr>
                <w:rFonts w:hint="eastAsia" w:ascii="宋体" w:hAnsi="宋体" w:eastAsia="宋体"/>
                <w:color w:val="000000"/>
              </w:rPr>
              <w:t>合计</w:t>
            </w:r>
          </w:p>
        </w:tc>
        <w:tc>
          <w:tcPr>
            <w:tcW w:w="6000" w:type="dxa"/>
            <w:noWrap w:val="0"/>
            <w:vAlign w:val="center"/>
          </w:tcPr>
          <w:p w14:paraId="516B1881">
            <w:pPr>
              <w:pStyle w:val="29"/>
              <w:rPr>
                <w:rFonts w:hint="eastAsia" w:ascii="宋体" w:hAnsi="宋体" w:eastAsia="宋体"/>
                <w:bCs/>
                <w:color w:val="000000"/>
                <w:kern w:val="24"/>
              </w:rPr>
            </w:pPr>
          </w:p>
        </w:tc>
        <w:tc>
          <w:tcPr>
            <w:tcW w:w="982" w:type="dxa"/>
            <w:noWrap w:val="0"/>
            <w:vAlign w:val="center"/>
          </w:tcPr>
          <w:p w14:paraId="0CA2466B">
            <w:pPr>
              <w:pStyle w:val="29"/>
              <w:jc w:val="center"/>
              <w:rPr>
                <w:rFonts w:ascii="宋体" w:hAnsi="宋体" w:eastAsia="宋体"/>
                <w:color w:val="000000"/>
              </w:rPr>
            </w:pPr>
            <w:r>
              <w:rPr>
                <w:rFonts w:hint="eastAsia" w:ascii="宋体" w:hAnsi="宋体" w:eastAsia="宋体"/>
                <w:color w:val="000000"/>
              </w:rPr>
              <w:t>100%</w:t>
            </w:r>
          </w:p>
        </w:tc>
      </w:tr>
    </w:tbl>
    <w:p w14:paraId="0806F65F">
      <w:pPr>
        <w:spacing w:line="360" w:lineRule="auto"/>
        <w:rPr>
          <w:rFonts w:hint="eastAsia"/>
          <w:bCs/>
          <w:color w:val="000000"/>
          <w:sz w:val="22"/>
          <w:szCs w:val="22"/>
        </w:rPr>
      </w:pPr>
      <w:r>
        <w:rPr>
          <w:rFonts w:hint="eastAsia"/>
          <w:bCs/>
          <w:color w:val="000000"/>
          <w:sz w:val="22"/>
          <w:szCs w:val="22"/>
        </w:rPr>
        <w:t>（平时成绩考核可结合班级的实际情况和具体教学实践适度调整）</w:t>
      </w:r>
    </w:p>
    <w:p w14:paraId="46647301">
      <w:pPr>
        <w:numPr>
          <w:ilvl w:val="0"/>
          <w:numId w:val="4"/>
        </w:numPr>
        <w:spacing w:line="360" w:lineRule="auto"/>
        <w:rPr>
          <w:rFonts w:hint="eastAsia"/>
          <w:b/>
          <w:color w:val="000000"/>
          <w:sz w:val="24"/>
        </w:rPr>
      </w:pPr>
      <w:r>
        <w:rPr>
          <w:rFonts w:hint="eastAsia"/>
          <w:b/>
          <w:color w:val="000000"/>
          <w:sz w:val="24"/>
        </w:rPr>
        <w:t>成绩评定细则</w:t>
      </w:r>
    </w:p>
    <w:p w14:paraId="6A474D0D">
      <w:pPr>
        <w:spacing w:line="360" w:lineRule="auto"/>
        <w:ind w:firstLine="480" w:firstLineChars="200"/>
        <w:rPr>
          <w:rFonts w:hint="eastAsia"/>
          <w:color w:val="000000"/>
          <w:sz w:val="24"/>
        </w:rPr>
      </w:pPr>
      <w:r>
        <w:rPr>
          <w:rFonts w:hint="eastAsia"/>
          <w:color w:val="000000"/>
          <w:sz w:val="24"/>
        </w:rPr>
        <w:t>所有课程目标均需大于等于0.6，否则总评成绩不及格，需要补考或重修。每门课程目标总体达成度计算方法如下：</w:t>
      </w:r>
    </w:p>
    <w:p w14:paraId="27766791">
      <w:pPr>
        <w:spacing w:line="360" w:lineRule="auto"/>
        <w:ind w:firstLine="480" w:firstLineChars="200"/>
        <w:rPr>
          <w:color w:val="000000"/>
          <w:sz w:val="24"/>
          <w:u w:val="single"/>
        </w:rPr>
      </w:pPr>
      <w:r>
        <w:rPr>
          <w:rFonts w:hint="eastAsia"/>
          <w:color w:val="000000"/>
          <w:sz w:val="24"/>
        </w:rPr>
        <w:t>课程目标达成度 = ∑课程子目标的权重值 （</w:t>
      </w:r>
      <w:r>
        <w:rPr>
          <w:rFonts w:hint="eastAsia"/>
          <w:i/>
          <w:iCs/>
          <w:color w:val="000000"/>
          <w:sz w:val="24"/>
        </w:rPr>
        <w:t>a</w:t>
      </w:r>
      <w:r>
        <w:rPr>
          <w:rFonts w:hint="eastAsia"/>
          <w:color w:val="000000"/>
          <w:sz w:val="24"/>
        </w:rPr>
        <w:t>）×∑课程考核目标的权重值（</w:t>
      </w:r>
      <w:r>
        <w:rPr>
          <w:rFonts w:hint="eastAsia"/>
          <w:i/>
          <w:iCs/>
          <w:color w:val="000000"/>
          <w:sz w:val="24"/>
        </w:rPr>
        <w:t>b</w:t>
      </w:r>
      <w:r>
        <w:rPr>
          <w:rFonts w:hint="eastAsia"/>
          <w:color w:val="000000"/>
          <w:sz w:val="24"/>
        </w:rPr>
        <w:t>）</w:t>
      </w:r>
      <w:r>
        <w:rPr>
          <w:rFonts w:hint="eastAsia"/>
          <w:color w:val="000000"/>
          <w:sz w:val="24"/>
          <w:u w:val="single"/>
        </w:rPr>
        <w:t xml:space="preserve"> 考核项目平均分 </w:t>
      </w:r>
    </w:p>
    <w:p w14:paraId="13929D60">
      <w:pPr>
        <w:spacing w:line="100" w:lineRule="atLeast"/>
        <w:ind w:firstLine="480" w:firstLineChars="200"/>
        <w:rPr>
          <w:color w:val="000000"/>
          <w:sz w:val="24"/>
        </w:rPr>
      </w:pPr>
      <w:r>
        <w:rPr>
          <w:rFonts w:hint="eastAsia"/>
          <w:color w:val="000000"/>
          <w:sz w:val="24"/>
        </w:rPr>
        <w:t xml:space="preserve">  考核项目总分</w:t>
      </w:r>
    </w:p>
    <w:p w14:paraId="2967DC78">
      <w:pPr>
        <w:spacing w:line="360" w:lineRule="auto"/>
        <w:rPr>
          <w:rFonts w:hint="eastAsia"/>
          <w:b/>
          <w:color w:val="000000"/>
          <w:sz w:val="28"/>
          <w:szCs w:val="28"/>
        </w:rPr>
      </w:pPr>
    </w:p>
    <w:p w14:paraId="40F58B79">
      <w:pPr>
        <w:spacing w:line="360" w:lineRule="auto"/>
        <w:rPr>
          <w:rFonts w:hint="eastAsia"/>
          <w:b/>
          <w:color w:val="000000"/>
          <w:sz w:val="24"/>
        </w:rPr>
      </w:pPr>
      <w:r>
        <w:rPr>
          <w:rFonts w:hint="eastAsia"/>
          <w:b/>
          <w:color w:val="000000"/>
          <w:sz w:val="24"/>
        </w:rPr>
        <w:t>五、有关说明</w:t>
      </w:r>
    </w:p>
    <w:p w14:paraId="5889B467">
      <w:pPr>
        <w:spacing w:line="360" w:lineRule="auto"/>
        <w:rPr>
          <w:rFonts w:hint="eastAsia" w:ascii="宋体" w:hAnsi="宋体" w:cs="宋体"/>
          <w:b/>
          <w:color w:val="000000"/>
          <w:kern w:val="0"/>
          <w:sz w:val="24"/>
        </w:rPr>
      </w:pPr>
      <w:r>
        <w:rPr>
          <w:rFonts w:hint="eastAsia" w:ascii="宋体" w:hAnsi="宋体" w:cs="宋体"/>
          <w:b/>
          <w:color w:val="000000"/>
          <w:sz w:val="24"/>
        </w:rPr>
        <w:t>（一）持续改进</w:t>
      </w:r>
    </w:p>
    <w:p w14:paraId="28831D57">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本课程根据学生作业、课堂讨论、平时考核情况和学生、教学督导等的反馈，及时对教学中的不足之处进行改进，并在下一轮课程教学中整改完善。</w:t>
      </w:r>
    </w:p>
    <w:p w14:paraId="2E1D8DA5">
      <w:pPr>
        <w:widowControl/>
        <w:spacing w:line="360" w:lineRule="auto"/>
        <w:jc w:val="left"/>
        <w:rPr>
          <w:rFonts w:ascii="宋体" w:hAnsi="宋体" w:cs="宋体"/>
          <w:b/>
          <w:color w:val="000000"/>
          <w:kern w:val="0"/>
          <w:sz w:val="24"/>
        </w:rPr>
      </w:pPr>
      <w:r>
        <w:rPr>
          <w:rFonts w:hint="eastAsia" w:ascii="宋体" w:hAnsi="宋体" w:cs="宋体"/>
          <w:b/>
          <w:color w:val="000000"/>
          <w:kern w:val="0"/>
          <w:sz w:val="24"/>
        </w:rPr>
        <w:t>（二）参考书目与学习资料</w:t>
      </w:r>
    </w:p>
    <w:p w14:paraId="4B5DDAA2">
      <w:pPr>
        <w:spacing w:line="440" w:lineRule="exact"/>
        <w:ind w:firstLine="480" w:firstLineChars="200"/>
        <w:jc w:val="left"/>
        <w:rPr>
          <w:color w:val="000000"/>
          <w:sz w:val="24"/>
        </w:rPr>
      </w:pPr>
      <w:r>
        <w:rPr>
          <w:rFonts w:hint="eastAsia"/>
          <w:color w:val="000000"/>
          <w:sz w:val="24"/>
        </w:rPr>
        <w:t>1．《全新版大学进阶英语综合教程》（第二版），季佩英、冯豫等主编，上海外语教育出版社，2023</w:t>
      </w:r>
    </w:p>
    <w:p w14:paraId="078FA817">
      <w:pPr>
        <w:spacing w:line="440" w:lineRule="exact"/>
        <w:ind w:firstLine="480" w:firstLineChars="200"/>
        <w:jc w:val="left"/>
        <w:rPr>
          <w:color w:val="000000"/>
          <w:sz w:val="24"/>
        </w:rPr>
      </w:pPr>
      <w:r>
        <w:rPr>
          <w:rFonts w:hint="eastAsia"/>
          <w:color w:val="000000"/>
          <w:sz w:val="24"/>
        </w:rPr>
        <w:t>2．《大学英语听说教程》（智慧版），李莹等主编，外语教学与研究出版社，2023</w:t>
      </w:r>
    </w:p>
    <w:p w14:paraId="3E122DF3">
      <w:pPr>
        <w:spacing w:line="440" w:lineRule="exact"/>
        <w:ind w:firstLine="480" w:firstLineChars="200"/>
        <w:jc w:val="left"/>
        <w:rPr>
          <w:color w:val="000000"/>
          <w:sz w:val="24"/>
        </w:rPr>
      </w:pPr>
      <w:r>
        <w:rPr>
          <w:rFonts w:hint="eastAsia"/>
          <w:color w:val="000000"/>
          <w:sz w:val="24"/>
        </w:rPr>
        <w:t>3．《新编大学英语技能进阶教程》（第1版），汤月明、陈婧等主编，东南大学出版社，2023</w:t>
      </w:r>
    </w:p>
    <w:p w14:paraId="2B03EE72">
      <w:pPr>
        <w:widowControl/>
        <w:spacing w:before="100" w:beforeAutospacing="1" w:after="100" w:afterAutospacing="1" w:line="270" w:lineRule="atLeast"/>
        <w:ind w:firstLine="480" w:firstLineChars="200"/>
        <w:jc w:val="left"/>
        <w:rPr>
          <w:rFonts w:ascii="宋体" w:hAnsi="宋体" w:cs="宋体"/>
          <w:color w:val="000000"/>
          <w:kern w:val="0"/>
          <w:sz w:val="18"/>
          <w:szCs w:val="18"/>
        </w:rPr>
      </w:pPr>
      <w:r>
        <w:rPr>
          <w:rFonts w:hint="eastAsia" w:ascii="宋体" w:hAnsi="宋体" w:cs="宋体"/>
          <w:color w:val="000000"/>
          <w:kern w:val="0"/>
          <w:sz w:val="24"/>
        </w:rPr>
        <w:t>4．《朗文当代高级英语辞典》（第</w:t>
      </w:r>
      <w:r>
        <w:rPr>
          <w:rFonts w:ascii="宋体" w:hAnsi="宋体" w:cs="宋体"/>
          <w:color w:val="000000"/>
          <w:kern w:val="0"/>
          <w:sz w:val="24"/>
        </w:rPr>
        <w:t>6</w:t>
      </w:r>
      <w:r>
        <w:rPr>
          <w:rFonts w:hint="eastAsia" w:ascii="宋体" w:hAnsi="宋体" w:cs="宋体"/>
          <w:color w:val="000000"/>
          <w:kern w:val="0"/>
          <w:sz w:val="24"/>
        </w:rPr>
        <w:t>版），英国培生教育出版集团编，外语教学与研究出版社，201</w:t>
      </w:r>
      <w:r>
        <w:rPr>
          <w:rFonts w:ascii="宋体" w:hAnsi="宋体" w:cs="宋体"/>
          <w:color w:val="000000"/>
          <w:kern w:val="0"/>
          <w:sz w:val="24"/>
        </w:rPr>
        <w:t>9</w:t>
      </w:r>
    </w:p>
    <w:p w14:paraId="19CCA43F">
      <w:pPr>
        <w:widowControl/>
        <w:spacing w:before="100" w:beforeAutospacing="1" w:after="100" w:afterAutospacing="1" w:line="270" w:lineRule="atLeast"/>
        <w:ind w:firstLine="480" w:firstLineChars="200"/>
        <w:jc w:val="left"/>
        <w:rPr>
          <w:rFonts w:ascii="宋体" w:hAnsi="宋体" w:cs="宋体"/>
          <w:color w:val="000000"/>
          <w:kern w:val="0"/>
          <w:sz w:val="18"/>
          <w:szCs w:val="18"/>
        </w:rPr>
      </w:pPr>
      <w:r>
        <w:rPr>
          <w:rFonts w:hint="eastAsia" w:ascii="宋体" w:hAnsi="宋体" w:cs="宋体"/>
          <w:color w:val="000000"/>
          <w:kern w:val="0"/>
          <w:sz w:val="24"/>
        </w:rPr>
        <w:t>5．《牛津高阶英汉双解词典》（第</w:t>
      </w:r>
      <w:r>
        <w:rPr>
          <w:rFonts w:ascii="宋体" w:hAnsi="宋体" w:cs="宋体"/>
          <w:color w:val="000000"/>
          <w:kern w:val="0"/>
          <w:sz w:val="24"/>
        </w:rPr>
        <w:t>10</w:t>
      </w:r>
      <w:r>
        <w:rPr>
          <w:rFonts w:hint="eastAsia" w:ascii="宋体" w:hAnsi="宋体" w:cs="宋体"/>
          <w:color w:val="000000"/>
          <w:kern w:val="0"/>
          <w:sz w:val="24"/>
        </w:rPr>
        <w:t>版），霍恩比著，赵翠莲等译，商务印书馆，20</w:t>
      </w:r>
      <w:r>
        <w:rPr>
          <w:rFonts w:ascii="宋体" w:hAnsi="宋体" w:cs="宋体"/>
          <w:color w:val="000000"/>
          <w:kern w:val="0"/>
          <w:sz w:val="24"/>
        </w:rPr>
        <w:t>23</w:t>
      </w:r>
    </w:p>
    <w:p w14:paraId="53A49623">
      <w:pPr>
        <w:widowControl/>
        <w:spacing w:before="100" w:beforeAutospacing="1" w:after="100" w:afterAutospacing="1" w:line="270" w:lineRule="atLeast"/>
        <w:jc w:val="left"/>
        <w:rPr>
          <w:rFonts w:ascii="宋体" w:hAnsi="宋体" w:cs="宋体"/>
          <w:b/>
          <w:bCs/>
          <w:color w:val="000000"/>
          <w:kern w:val="0"/>
          <w:sz w:val="18"/>
          <w:szCs w:val="18"/>
        </w:rPr>
      </w:pPr>
      <w:r>
        <w:rPr>
          <w:rFonts w:cs="宋体"/>
          <w:b/>
          <w:bCs/>
          <w:color w:val="000000"/>
          <w:kern w:val="0"/>
          <w:sz w:val="24"/>
        </w:rPr>
        <w:t>在线开放课程网址</w:t>
      </w:r>
      <w:r>
        <w:rPr>
          <w:rFonts w:hint="eastAsia" w:cs="宋体"/>
          <w:b/>
          <w:bCs/>
          <w:color w:val="000000"/>
          <w:kern w:val="0"/>
          <w:sz w:val="24"/>
        </w:rPr>
        <w:t>：</w:t>
      </w:r>
    </w:p>
    <w:p w14:paraId="341FC8DE">
      <w:pPr>
        <w:spacing w:line="440" w:lineRule="exact"/>
        <w:ind w:left="850" w:leftChars="229" w:hanging="369" w:hangingChars="154"/>
        <w:jc w:val="left"/>
        <w:rPr>
          <w:color w:val="000000"/>
        </w:rPr>
      </w:pPr>
      <w:r>
        <w:rPr>
          <w:rFonts w:hint="eastAsia"/>
          <w:color w:val="000000"/>
          <w:sz w:val="24"/>
        </w:rPr>
        <w:t>1、常工院尔雅通识网络课程</w:t>
      </w:r>
    </w:p>
    <w:p w14:paraId="29C3943A">
      <w:pPr>
        <w:spacing w:line="440" w:lineRule="exact"/>
        <w:ind w:left="481" w:leftChars="229" w:firstLine="359"/>
        <w:jc w:val="left"/>
        <w:rPr>
          <w:color w:val="000000"/>
          <w:sz w:val="24"/>
        </w:rPr>
      </w:pPr>
      <w:r>
        <w:rPr>
          <w:rFonts w:hint="eastAsia"/>
          <w:color w:val="000000"/>
          <w:sz w:val="24"/>
        </w:rPr>
        <w:t>h</w:t>
      </w:r>
      <w:r>
        <w:rPr>
          <w:color w:val="000000"/>
          <w:sz w:val="24"/>
        </w:rPr>
        <w:t>ttps://czgxy.fanya.chaoxing.com</w:t>
      </w:r>
    </w:p>
    <w:p w14:paraId="436B7BBC">
      <w:pPr>
        <w:spacing w:line="440" w:lineRule="exact"/>
        <w:ind w:left="849" w:leftChars="227" w:hanging="372" w:hangingChars="155"/>
        <w:jc w:val="left"/>
        <w:rPr>
          <w:color w:val="000000"/>
          <w:sz w:val="24"/>
        </w:rPr>
      </w:pPr>
      <w:r>
        <w:rPr>
          <w:rFonts w:hint="eastAsia"/>
          <w:color w:val="000000"/>
          <w:sz w:val="24"/>
        </w:rPr>
        <w:t>2、</w:t>
      </w:r>
      <w:r>
        <w:rPr>
          <w:color w:val="000000"/>
          <w:sz w:val="24"/>
        </w:rPr>
        <w:t>江苏省在线课程中心/爱课程</w:t>
      </w:r>
    </w:p>
    <w:p w14:paraId="4F60761F">
      <w:pPr>
        <w:spacing w:line="440" w:lineRule="exact"/>
        <w:ind w:left="687" w:leftChars="327" w:firstLine="153"/>
        <w:jc w:val="left"/>
        <w:rPr>
          <w:color w:val="000000"/>
          <w:sz w:val="24"/>
        </w:rPr>
      </w:pPr>
      <w:r>
        <w:rPr>
          <w:color w:val="000000"/>
          <w:sz w:val="24"/>
        </w:rPr>
        <w:t>https://www.icourse163.org/</w:t>
      </w:r>
    </w:p>
    <w:p w14:paraId="50AE5A33">
      <w:pPr>
        <w:spacing w:line="440" w:lineRule="exact"/>
        <w:ind w:firstLine="480" w:firstLineChars="200"/>
        <w:jc w:val="left"/>
        <w:rPr>
          <w:color w:val="000000"/>
          <w:sz w:val="24"/>
        </w:rPr>
      </w:pPr>
      <w:r>
        <w:rPr>
          <w:rFonts w:hint="eastAsia"/>
          <w:color w:val="000000"/>
          <w:sz w:val="24"/>
        </w:rPr>
        <w:t>3、</w:t>
      </w:r>
      <w:r>
        <w:rPr>
          <w:color w:val="000000"/>
          <w:sz w:val="24"/>
        </w:rPr>
        <w:t>常州工学院毕博网络教学平台</w:t>
      </w:r>
    </w:p>
    <w:p w14:paraId="67D3CE90">
      <w:pPr>
        <w:spacing w:line="440" w:lineRule="exact"/>
        <w:ind w:left="481" w:leftChars="229" w:firstLine="359"/>
        <w:jc w:val="left"/>
        <w:rPr>
          <w:color w:val="000000"/>
          <w:sz w:val="24"/>
        </w:rPr>
      </w:pPr>
      <w:r>
        <w:rPr>
          <w:color w:val="000000"/>
          <w:sz w:val="24"/>
        </w:rPr>
        <w:fldChar w:fldCharType="begin"/>
      </w:r>
      <w:r>
        <w:rPr>
          <w:color w:val="000000"/>
          <w:sz w:val="24"/>
        </w:rPr>
        <w:instrText xml:space="preserve"> HYPERLINK "https://bbclass.czu.cn/" </w:instrText>
      </w:r>
      <w:r>
        <w:rPr>
          <w:color w:val="000000"/>
          <w:sz w:val="24"/>
        </w:rPr>
        <w:fldChar w:fldCharType="separate"/>
      </w:r>
      <w:r>
        <w:rPr>
          <w:rStyle w:val="14"/>
          <w:color w:val="000000"/>
          <w:sz w:val="24"/>
          <w:szCs w:val="24"/>
        </w:rPr>
        <w:t>https://bbclass.czu.cn/</w:t>
      </w:r>
      <w:r>
        <w:rPr>
          <w:color w:val="000000"/>
          <w:sz w:val="24"/>
        </w:rPr>
        <w:fldChar w:fldCharType="end"/>
      </w:r>
    </w:p>
    <w:p w14:paraId="73BA794A">
      <w:pPr>
        <w:spacing w:line="440" w:lineRule="exact"/>
        <w:ind w:left="850" w:leftChars="229" w:hanging="369" w:hangingChars="154"/>
        <w:jc w:val="left"/>
        <w:rPr>
          <w:color w:val="000000"/>
        </w:rPr>
      </w:pPr>
      <w:r>
        <w:rPr>
          <w:color w:val="000000"/>
          <w:sz w:val="24"/>
        </w:rPr>
        <w:t>4</w:t>
      </w:r>
      <w:r>
        <w:rPr>
          <w:rFonts w:hint="eastAsia"/>
          <w:color w:val="000000"/>
          <w:sz w:val="24"/>
        </w:rPr>
        <w:t>、</w:t>
      </w:r>
      <w:r>
        <w:rPr>
          <w:color w:val="000000"/>
          <w:sz w:val="24"/>
        </w:rPr>
        <w:t>国家精品课程资源网</w:t>
      </w:r>
    </w:p>
    <w:p w14:paraId="1C67B234">
      <w:pPr>
        <w:spacing w:line="440" w:lineRule="exact"/>
        <w:ind w:left="481" w:leftChars="229" w:firstLine="359"/>
        <w:jc w:val="left"/>
        <w:rPr>
          <w:rFonts w:hint="eastAsia"/>
          <w:color w:val="000000"/>
          <w:sz w:val="24"/>
          <w:u w:val="single"/>
        </w:rPr>
      </w:pPr>
      <w:r>
        <w:rPr>
          <w:color w:val="000000"/>
          <w:sz w:val="24"/>
          <w:u w:val="single"/>
        </w:rPr>
        <w:t>http://www.jingpinke.com/</w:t>
      </w:r>
    </w:p>
    <w:p w14:paraId="38872F8C">
      <w:pPr>
        <w:spacing w:line="440" w:lineRule="exact"/>
        <w:ind w:left="850" w:leftChars="229" w:hanging="369" w:hangingChars="154"/>
        <w:jc w:val="left"/>
        <w:rPr>
          <w:color w:val="000000"/>
          <w:sz w:val="24"/>
        </w:rPr>
      </w:pPr>
      <w:r>
        <w:rPr>
          <w:color w:val="000000"/>
          <w:sz w:val="24"/>
        </w:rPr>
        <w:t>5</w:t>
      </w:r>
      <w:r>
        <w:rPr>
          <w:rFonts w:hint="eastAsia"/>
          <w:color w:val="000000"/>
          <w:sz w:val="24"/>
        </w:rPr>
        <w:t>、</w:t>
      </w:r>
      <w:r>
        <w:rPr>
          <w:color w:val="000000"/>
          <w:sz w:val="24"/>
        </w:rPr>
        <w:t>好大学在线CNMOOC_中国顶尖的慕课平台</w:t>
      </w:r>
    </w:p>
    <w:p w14:paraId="6001BEBC">
      <w:pPr>
        <w:spacing w:line="440" w:lineRule="exact"/>
        <w:ind w:firstLine="849" w:firstLineChars="354"/>
        <w:jc w:val="left"/>
        <w:rPr>
          <w:color w:val="000000"/>
          <w:sz w:val="24"/>
        </w:rPr>
      </w:pPr>
      <w:r>
        <w:rPr>
          <w:color w:val="000000"/>
          <w:sz w:val="24"/>
        </w:rPr>
        <w:t>https://www.cnmooc.org/home/index.mooc</w:t>
      </w:r>
    </w:p>
    <w:p w14:paraId="64F75398">
      <w:pPr>
        <w:widowControl/>
        <w:spacing w:line="360" w:lineRule="auto"/>
        <w:ind w:firstLine="482" w:firstLineChars="200"/>
        <w:jc w:val="left"/>
        <w:rPr>
          <w:rFonts w:hint="eastAsia" w:ascii="宋体" w:hAnsi="宋体" w:cs="宋体"/>
          <w:b/>
          <w:color w:val="000000"/>
          <w:kern w:val="0"/>
          <w:sz w:val="24"/>
        </w:rPr>
      </w:pPr>
    </w:p>
    <w:p w14:paraId="3D56A8A3">
      <w:pPr>
        <w:spacing w:line="360" w:lineRule="auto"/>
        <w:ind w:firstLine="5964" w:firstLineChars="2485"/>
        <w:rPr>
          <w:rFonts w:ascii="宋体" w:hAnsi="宋体" w:cs="宋体"/>
          <w:color w:val="000000"/>
          <w:sz w:val="24"/>
        </w:rPr>
      </w:pPr>
      <w:r>
        <w:rPr>
          <w:rFonts w:hint="eastAsia" w:ascii="宋体" w:hAnsi="宋体" w:cs="宋体"/>
          <w:color w:val="000000"/>
          <w:sz w:val="24"/>
        </w:rPr>
        <w:t>执笔人：汤月明</w:t>
      </w:r>
    </w:p>
    <w:p w14:paraId="0E244A89">
      <w:pPr>
        <w:spacing w:line="360" w:lineRule="auto"/>
        <w:ind w:firstLine="5964" w:firstLineChars="2485"/>
        <w:rPr>
          <w:rFonts w:hint="eastAsia" w:ascii="宋体" w:hAnsi="宋体" w:cs="宋体"/>
          <w:color w:val="000000"/>
          <w:sz w:val="24"/>
        </w:rPr>
      </w:pPr>
      <w:r>
        <w:rPr>
          <w:rFonts w:hint="eastAsia" w:ascii="宋体" w:hAnsi="宋体" w:cs="宋体"/>
          <w:color w:val="000000"/>
          <w:sz w:val="24"/>
        </w:rPr>
        <w:t>审定人：施云波</w:t>
      </w:r>
    </w:p>
    <w:p w14:paraId="398D7409">
      <w:pPr>
        <w:spacing w:line="360" w:lineRule="auto"/>
        <w:ind w:firstLine="5964" w:firstLineChars="2485"/>
        <w:rPr>
          <w:rFonts w:hint="eastAsia" w:ascii="宋体" w:hAnsi="宋体" w:cs="宋体"/>
          <w:color w:val="000000"/>
          <w:sz w:val="24"/>
        </w:rPr>
      </w:pPr>
      <w:r>
        <w:rPr>
          <w:rFonts w:hint="eastAsia" w:ascii="宋体" w:hAnsi="宋体" w:cs="宋体"/>
          <w:color w:val="000000"/>
          <w:sz w:val="24"/>
        </w:rPr>
        <w:t xml:space="preserve">批准人：李 </w:t>
      </w:r>
      <w:r>
        <w:rPr>
          <w:rFonts w:ascii="宋体" w:hAnsi="宋体" w:cs="宋体"/>
          <w:color w:val="000000"/>
          <w:sz w:val="24"/>
        </w:rPr>
        <w:t xml:space="preserve"> </w:t>
      </w:r>
      <w:r>
        <w:rPr>
          <w:rFonts w:hint="eastAsia" w:ascii="宋体" w:hAnsi="宋体" w:cs="宋体"/>
          <w:color w:val="000000"/>
          <w:sz w:val="24"/>
        </w:rPr>
        <w:t>静</w:t>
      </w:r>
    </w:p>
    <w:p w14:paraId="123904BF">
      <w:pPr>
        <w:spacing w:line="360" w:lineRule="auto"/>
        <w:ind w:firstLine="4800" w:firstLineChars="2000"/>
        <w:rPr>
          <w:rFonts w:hint="default" w:ascii="宋体" w:hAnsi="宋体" w:cs="宋体" w:eastAsiaTheme="minorEastAsia"/>
          <w:color w:val="000000"/>
          <w:sz w:val="24"/>
          <w:lang w:val="en-US" w:eastAsia="zh-CN"/>
        </w:rPr>
      </w:pPr>
      <w:r>
        <w:rPr>
          <w:rFonts w:hint="eastAsia" w:ascii="宋体" w:hAnsi="宋体" w:cs="宋体"/>
          <w:color w:val="000000"/>
          <w:sz w:val="24"/>
          <w:lang w:val="en-US" w:eastAsia="zh-CN"/>
        </w:rPr>
        <w:t>批准时间：</w:t>
      </w:r>
      <w:r>
        <w:rPr>
          <w:rFonts w:hint="eastAsia" w:ascii="宋体" w:hAnsi="宋体" w:cs="宋体"/>
          <w:color w:val="000000"/>
          <w:sz w:val="24"/>
        </w:rPr>
        <w:t>2024年9月</w:t>
      </w:r>
      <w:r>
        <w:rPr>
          <w:rFonts w:hint="eastAsia" w:ascii="宋体" w:hAnsi="宋体" w:cs="宋体"/>
          <w:color w:val="000000"/>
          <w:sz w:val="24"/>
          <w:lang w:val="en-US" w:eastAsia="zh-CN"/>
        </w:rPr>
        <w:t>1日</w:t>
      </w:r>
    </w:p>
    <w:p w14:paraId="5E85CBFD">
      <w:pPr>
        <w:spacing w:line="360" w:lineRule="auto"/>
        <w:rPr>
          <w:rFonts w:hint="eastAsia" w:ascii="宋体" w:hAnsi="宋体" w:cs="宋体"/>
          <w:color w:val="000000"/>
          <w:sz w:val="24"/>
        </w:rPr>
      </w:pPr>
    </w:p>
    <w:p w14:paraId="4B140FDE">
      <w:pPr>
        <w:spacing w:line="360" w:lineRule="auto"/>
        <w:ind w:firstLine="5250" w:firstLineChars="2500"/>
        <w:rPr>
          <w:rFonts w:hint="eastAsia" w:ascii="宋体" w:hAnsi="宋体" w:eastAsia="宋体" w:cs="宋体"/>
          <w:color w:val="000000"/>
          <w:szCs w:val="21"/>
          <w:lang w:val="en-US" w:eastAsia="zh-CN"/>
        </w:rPr>
      </w:pPr>
    </w:p>
    <w:p w14:paraId="6CD4DEF7">
      <w:pP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br w:type="page"/>
      </w:r>
    </w:p>
    <w:p w14:paraId="334B9778">
      <w:pPr>
        <w:pStyle w:val="2"/>
        <w:bidi w:val="0"/>
        <w:rPr>
          <w:lang w:val="en-US" w:eastAsia="zh-CN"/>
        </w:rPr>
      </w:pPr>
      <w:bookmarkStart w:id="206" w:name="_Toc25099"/>
      <w:bookmarkStart w:id="207" w:name="_Toc19544"/>
      <w:bookmarkStart w:id="208" w:name="_Toc11271"/>
      <w:bookmarkStart w:id="209" w:name="_Toc5769"/>
      <w:r>
        <w:rPr>
          <w:rFonts w:hint="eastAsia"/>
          <w:lang w:val="en-US" w:eastAsia="zh-CN"/>
        </w:rPr>
        <w:t>《专业导学》课程教学大纲</w:t>
      </w:r>
      <w:bookmarkEnd w:id="206"/>
      <w:bookmarkEnd w:id="207"/>
      <w:bookmarkEnd w:id="208"/>
      <w:bookmarkEnd w:id="209"/>
    </w:p>
    <w:p w14:paraId="7DCCB505">
      <w:pPr>
        <w:pStyle w:val="2"/>
        <w:bidi w:val="0"/>
        <w:rPr>
          <w:lang w:val="en-US" w:eastAsia="zh-CN"/>
        </w:rPr>
      </w:pPr>
      <w:bookmarkStart w:id="210" w:name="_Toc13055"/>
      <w:bookmarkStart w:id="211" w:name="_Toc2854"/>
      <w:bookmarkStart w:id="212" w:name="_Toc14903"/>
      <w:bookmarkStart w:id="213" w:name="_Toc21775"/>
      <w:bookmarkStart w:id="214" w:name="_Toc4027"/>
      <w:bookmarkStart w:id="215" w:name="_Toc1122"/>
      <w:bookmarkStart w:id="216" w:name="_Toc4414"/>
      <w:r>
        <w:rPr>
          <w:lang w:val="en-US" w:eastAsia="zh-CN"/>
        </w:rPr>
        <w:t>（An Introduction to Professions）</w:t>
      </w:r>
      <w:bookmarkEnd w:id="210"/>
      <w:bookmarkEnd w:id="211"/>
      <w:bookmarkEnd w:id="212"/>
      <w:bookmarkEnd w:id="213"/>
      <w:bookmarkEnd w:id="214"/>
      <w:bookmarkEnd w:id="215"/>
      <w:bookmarkEnd w:id="216"/>
    </w:p>
    <w:p w14:paraId="24B030B1">
      <w:pPr>
        <w:spacing w:line="360" w:lineRule="auto"/>
        <w:jc w:val="center"/>
        <w:rPr>
          <w:rFonts w:ascii="Times New Roman" w:hAnsi="Times New Roman" w:eastAsia="宋体" w:cs="Times New Roman"/>
          <w:bCs/>
          <w:sz w:val="30"/>
          <w:szCs w:val="30"/>
        </w:rPr>
      </w:pPr>
    </w:p>
    <w:p w14:paraId="0BC0C29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课程名称：专业导学</w:t>
      </w:r>
    </w:p>
    <w:p w14:paraId="102A2CC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2401057</w:t>
      </w:r>
    </w:p>
    <w:p w14:paraId="643F3A9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分：0.5</w:t>
      </w:r>
    </w:p>
    <w:p w14:paraId="552B40B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时：8 （其中：讲授学时8）</w:t>
      </w:r>
    </w:p>
    <w:p w14:paraId="3585176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先修课程：无</w:t>
      </w:r>
    </w:p>
    <w:p w14:paraId="414FF8E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适用专业：小学教育（文）、小学教育（理）</w:t>
      </w:r>
    </w:p>
    <w:p w14:paraId="6755F433">
      <w:pPr>
        <w:spacing w:line="360" w:lineRule="auto"/>
        <w:jc w:val="left"/>
        <w:rPr>
          <w:rFonts w:ascii="Times New Roman" w:hAnsi="Times New Roman" w:eastAsia="宋体" w:cs="Times New Roman"/>
          <w:b/>
          <w:sz w:val="24"/>
          <w:szCs w:val="24"/>
        </w:rPr>
      </w:pPr>
    </w:p>
    <w:p w14:paraId="3089C60C">
      <w:pPr>
        <w:spacing w:line="360" w:lineRule="auto"/>
        <w:jc w:val="left"/>
        <w:outlineLvl w:val="0"/>
        <w:rPr>
          <w:rFonts w:ascii="Times New Roman" w:hAnsi="Times New Roman" w:eastAsia="宋体" w:cs="Times New Roman"/>
          <w:sz w:val="24"/>
          <w:szCs w:val="24"/>
        </w:rPr>
      </w:pPr>
      <w:bookmarkStart w:id="217" w:name="_Toc22548"/>
      <w:bookmarkStart w:id="218" w:name="_Toc32073"/>
      <w:bookmarkStart w:id="219" w:name="_Toc31789"/>
      <w:bookmarkStart w:id="220" w:name="_Toc22180"/>
      <w:bookmarkStart w:id="221" w:name="_Toc26237"/>
      <w:bookmarkStart w:id="222" w:name="_Toc951"/>
      <w:bookmarkStart w:id="223" w:name="_Toc20272"/>
      <w:r>
        <w:rPr>
          <w:rFonts w:hint="eastAsia" w:ascii="Times New Roman" w:hAnsi="Times New Roman" w:eastAsia="宋体" w:cs="Times New Roman"/>
          <w:b/>
          <w:sz w:val="24"/>
          <w:szCs w:val="24"/>
        </w:rPr>
        <w:t>一、课程简介</w:t>
      </w:r>
      <w:bookmarkEnd w:id="217"/>
      <w:bookmarkEnd w:id="218"/>
      <w:bookmarkEnd w:id="219"/>
      <w:bookmarkEnd w:id="220"/>
      <w:bookmarkEnd w:id="221"/>
      <w:bookmarkEnd w:id="222"/>
      <w:bookmarkEnd w:id="223"/>
    </w:p>
    <w:p w14:paraId="5D49851D">
      <w:pPr>
        <w:spacing w:line="360" w:lineRule="auto"/>
        <w:ind w:firstLine="420" w:firstLineChars="200"/>
        <w:jc w:val="left"/>
        <w:rPr>
          <w:rFonts w:ascii="Times New Roman" w:hAnsi="Times New Roman" w:eastAsia="宋体" w:cs="Times New Roman"/>
          <w:szCs w:val="21"/>
        </w:rPr>
      </w:pPr>
      <w:bookmarkStart w:id="224" w:name="_Toc27847296"/>
      <w:bookmarkStart w:id="225" w:name="_Toc27846278"/>
      <w:r>
        <w:rPr>
          <w:rFonts w:hint="eastAsia" w:ascii="Times New Roman" w:hAnsi="Times New Roman" w:eastAsia="宋体" w:cs="Times New Roman"/>
          <w:szCs w:val="21"/>
        </w:rPr>
        <w:t>本课程是小学教育专业的一门专业基础必修课。通过本课程的学习，全面认识小学教育专业，明确本专业的培养目标，了解本专业的课程设置；为专业课程学习和专业发展奠定基础。</w:t>
      </w:r>
    </w:p>
    <w:p w14:paraId="685F3111">
      <w:pPr>
        <w:spacing w:line="360" w:lineRule="auto"/>
        <w:jc w:val="left"/>
        <w:outlineLvl w:val="0"/>
        <w:rPr>
          <w:rFonts w:ascii="Times New Roman" w:hAnsi="Times New Roman" w:eastAsia="宋体" w:cs="Times New Roman"/>
          <w:sz w:val="24"/>
          <w:szCs w:val="24"/>
        </w:rPr>
      </w:pPr>
      <w:bookmarkStart w:id="226" w:name="_Toc31342"/>
      <w:bookmarkStart w:id="227" w:name="_Toc29930"/>
      <w:bookmarkStart w:id="228" w:name="_Toc18220"/>
      <w:bookmarkStart w:id="229" w:name="_Toc9763"/>
      <w:bookmarkStart w:id="230" w:name="_Toc20087"/>
      <w:bookmarkStart w:id="231" w:name="_Toc14191"/>
      <w:bookmarkStart w:id="232" w:name="_Toc20673"/>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24"/>
      <w:bookmarkEnd w:id="225"/>
      <w:bookmarkEnd w:id="226"/>
      <w:bookmarkEnd w:id="227"/>
      <w:bookmarkEnd w:id="228"/>
      <w:bookmarkEnd w:id="229"/>
      <w:bookmarkEnd w:id="230"/>
      <w:bookmarkEnd w:id="231"/>
      <w:bookmarkEnd w:id="232"/>
    </w:p>
    <w:p w14:paraId="3D3E4EEC">
      <w:pPr>
        <w:spacing w:line="360" w:lineRule="auto"/>
        <w:ind w:firstLine="422" w:firstLineChars="200"/>
        <w:outlineLvl w:val="1"/>
        <w:rPr>
          <w:rFonts w:ascii="宋体" w:hAnsi="宋体" w:eastAsia="宋体" w:cs="Times New Roman"/>
          <w:b/>
          <w:color w:val="000000"/>
          <w:szCs w:val="21"/>
        </w:rPr>
      </w:pPr>
      <w:bookmarkStart w:id="233" w:name="_Toc24190"/>
      <w:r>
        <w:rPr>
          <w:rFonts w:hint="eastAsia" w:ascii="宋体" w:hAnsi="宋体" w:eastAsia="宋体" w:cs="Times New Roman"/>
          <w:b/>
          <w:color w:val="000000"/>
          <w:szCs w:val="21"/>
        </w:rPr>
        <w:t>（一）课程具体目标</w:t>
      </w:r>
      <w:bookmarkEnd w:id="233"/>
    </w:p>
    <w:p w14:paraId="5C0F6E4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1.了解小学教育专业的</w:t>
      </w:r>
      <w:r>
        <w:rPr>
          <w:rFonts w:hint="eastAsia" w:ascii="Times New Roman" w:hAnsi="Times New Roman" w:eastAsia="宋体" w:cs="Times New Roman"/>
          <w:szCs w:val="21"/>
        </w:rPr>
        <w:t>发展历史和现状</w:t>
      </w:r>
      <w:r>
        <w:rPr>
          <w:rFonts w:ascii="Times New Roman" w:hAnsi="Times New Roman" w:eastAsia="宋体" w:cs="Times New Roman"/>
          <w:szCs w:val="21"/>
        </w:rPr>
        <w:t>，</w:t>
      </w:r>
      <w:r>
        <w:rPr>
          <w:rFonts w:hint="eastAsia" w:ascii="Times New Roman" w:hAnsi="Times New Roman" w:eastAsia="宋体" w:cs="Times New Roman"/>
          <w:szCs w:val="21"/>
        </w:rPr>
        <w:t>理解</w:t>
      </w:r>
      <w:r>
        <w:rPr>
          <w:rFonts w:ascii="Times New Roman" w:hAnsi="Times New Roman" w:eastAsia="宋体" w:cs="Times New Roman"/>
          <w:szCs w:val="21"/>
        </w:rPr>
        <w:t>小学教育专业的培养目标</w:t>
      </w:r>
      <w:r>
        <w:rPr>
          <w:rFonts w:hint="eastAsia" w:ascii="Times New Roman" w:hAnsi="Times New Roman" w:eastAsia="宋体" w:cs="Times New Roman"/>
          <w:szCs w:val="21"/>
        </w:rPr>
        <w:t>和毕业要求</w:t>
      </w:r>
      <w:r>
        <w:rPr>
          <w:rFonts w:ascii="Times New Roman" w:hAnsi="Times New Roman" w:eastAsia="宋体" w:cs="Times New Roman"/>
          <w:szCs w:val="21"/>
        </w:rPr>
        <w:t>，</w:t>
      </w:r>
      <w:r>
        <w:rPr>
          <w:rFonts w:hint="eastAsia" w:ascii="Times New Roman" w:hAnsi="Times New Roman" w:eastAsia="宋体" w:cs="Times New Roman"/>
          <w:szCs w:val="21"/>
        </w:rPr>
        <w:t>了解小学教育专业的课程设置，了解小学教育专业学习的基本方法，明确小学教师的专业知识、能力和职业道德要求。</w:t>
      </w:r>
    </w:p>
    <w:p w14:paraId="6041A32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w:t>
      </w:r>
      <w:r>
        <w:rPr>
          <w:rFonts w:hint="eastAsia" w:ascii="Times New Roman" w:hAnsi="Times New Roman" w:eastAsia="宋体" w:cs="Times New Roman"/>
          <w:szCs w:val="21"/>
        </w:rPr>
        <w:t>理解教师职业的意义，明确小学教育的重要性，具有较强的教师职业认同感，愿意从事小学教育工作，有较强的学习动机，树立正确的教师观和职业观。</w:t>
      </w:r>
    </w:p>
    <w:p w14:paraId="29AD03D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3. 了解小学教师的专业发展</w:t>
      </w:r>
      <w:r>
        <w:rPr>
          <w:rFonts w:hint="eastAsia" w:ascii="Times New Roman" w:hAnsi="Times New Roman" w:eastAsia="宋体" w:cs="Times New Roman"/>
          <w:szCs w:val="21"/>
        </w:rPr>
        <w:t>的要求</w:t>
      </w:r>
      <w:r>
        <w:rPr>
          <w:rFonts w:ascii="Times New Roman" w:hAnsi="Times New Roman" w:eastAsia="宋体" w:cs="Times New Roman"/>
          <w:szCs w:val="21"/>
        </w:rPr>
        <w:t>，</w:t>
      </w:r>
      <w:r>
        <w:rPr>
          <w:rFonts w:hint="eastAsia" w:ascii="Times New Roman" w:hAnsi="Times New Roman" w:eastAsia="宋体" w:cs="Times New Roman"/>
          <w:szCs w:val="21"/>
        </w:rPr>
        <w:t>初步</w:t>
      </w:r>
      <w:r>
        <w:rPr>
          <w:rFonts w:ascii="Times New Roman" w:hAnsi="Times New Roman" w:eastAsia="宋体" w:cs="Times New Roman"/>
          <w:szCs w:val="21"/>
        </w:rPr>
        <w:t>了解教师资格考试</w:t>
      </w:r>
      <w:r>
        <w:rPr>
          <w:rFonts w:hint="eastAsia" w:ascii="Times New Roman" w:hAnsi="Times New Roman" w:eastAsia="宋体" w:cs="Times New Roman"/>
          <w:szCs w:val="21"/>
        </w:rPr>
        <w:t>和小学教师招考的基本情况</w:t>
      </w:r>
      <w:r>
        <w:rPr>
          <w:rFonts w:ascii="Times New Roman" w:hAnsi="Times New Roman" w:eastAsia="宋体" w:cs="Times New Roman"/>
          <w:szCs w:val="21"/>
        </w:rPr>
        <w:t>，</w:t>
      </w:r>
      <w:r>
        <w:rPr>
          <w:rFonts w:hint="eastAsia" w:ascii="Times New Roman" w:hAnsi="Times New Roman" w:eastAsia="宋体" w:cs="Times New Roman"/>
          <w:szCs w:val="21"/>
        </w:rPr>
        <w:t>能结合自身实际进行职业生涯规划，具有</w:t>
      </w:r>
      <w:r>
        <w:rPr>
          <w:rFonts w:ascii="Times New Roman" w:hAnsi="Times New Roman" w:eastAsia="宋体" w:cs="Times New Roman"/>
          <w:szCs w:val="21"/>
        </w:rPr>
        <w:t>明确的努力方向。</w:t>
      </w:r>
    </w:p>
    <w:p w14:paraId="67FCCF2A">
      <w:pPr>
        <w:spacing w:before="156" w:beforeLines="50" w:after="156" w:afterLines="50" w:line="360" w:lineRule="auto"/>
        <w:jc w:val="left"/>
        <w:outlineLvl w:val="1"/>
        <w:rPr>
          <w:rFonts w:ascii="Times New Roman" w:hAnsi="Times New Roman" w:eastAsia="宋体" w:cs="Times New Roman"/>
          <w:b/>
          <w:bCs/>
          <w:szCs w:val="21"/>
        </w:rPr>
      </w:pPr>
      <w:bookmarkStart w:id="234" w:name="_Toc25901"/>
      <w:r>
        <w:rPr>
          <w:rFonts w:hint="eastAsia" w:ascii="Times New Roman" w:hAnsi="Times New Roman" w:eastAsia="宋体" w:cs="Times New Roman"/>
          <w:b/>
          <w:bCs/>
          <w:szCs w:val="21"/>
        </w:rPr>
        <w:t>（二）课程目标及其对毕业要求指标点的支撑</w:t>
      </w:r>
      <w:bookmarkEnd w:id="234"/>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0601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09DCB4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37" w:type="dxa"/>
            <w:gridSpan w:val="2"/>
            <w:vAlign w:val="center"/>
          </w:tcPr>
          <w:p w14:paraId="42F3B97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46B9783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13D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5E36289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1：师德规范</w:t>
            </w:r>
          </w:p>
        </w:tc>
        <w:tc>
          <w:tcPr>
            <w:tcW w:w="6095" w:type="dxa"/>
            <w:vAlign w:val="center"/>
          </w:tcPr>
          <w:p w14:paraId="5EFBAA16">
            <w:pPr>
              <w:widowControl/>
              <w:autoSpaceDE w:val="0"/>
              <w:autoSpaceDN w:val="0"/>
              <w:rPr>
                <w:rFonts w:ascii="等线" w:hAnsi="等线" w:eastAsia="等线" w:cs="Times New Roman"/>
                <w:kern w:val="0"/>
                <w:szCs w:val="21"/>
              </w:rPr>
            </w:pPr>
            <w:r>
              <w:rPr>
                <w:rFonts w:hint="eastAsia" w:ascii="宋体" w:hAnsi="宋体" w:eastAsia="等线" w:cs="宋体"/>
                <w:kern w:val="0"/>
                <w:szCs w:val="21"/>
              </w:rPr>
              <w:t>指标点</w:t>
            </w:r>
            <w:r>
              <w:rPr>
                <w:rFonts w:hint="eastAsia" w:ascii="宋体" w:hAnsi="宋体" w:eastAsia="等线" w:cs="宋体"/>
                <w:szCs w:val="21"/>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vAlign w:val="center"/>
          </w:tcPr>
          <w:p w14:paraId="035AB03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7E00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617FB9D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2：教育情怀</w:t>
            </w:r>
          </w:p>
        </w:tc>
        <w:tc>
          <w:tcPr>
            <w:tcW w:w="6095" w:type="dxa"/>
            <w:vAlign w:val="center"/>
          </w:tcPr>
          <w:p w14:paraId="0F28B93A">
            <w:pPr>
              <w:spacing w:line="276" w:lineRule="auto"/>
              <w:jc w:val="left"/>
              <w:rPr>
                <w:rFonts w:ascii="Times New Roman" w:hAnsi="Times New Roman" w:eastAsia="宋体" w:cs="Times New Roman"/>
                <w:szCs w:val="21"/>
              </w:rPr>
            </w:pPr>
            <w:r>
              <w:rPr>
                <w:rFonts w:hint="eastAsia" w:ascii="宋体" w:hAnsi="宋体" w:eastAsia="等线" w:cs="宋体"/>
                <w:kern w:val="0"/>
                <w:szCs w:val="21"/>
              </w:rPr>
              <w:t>指标点</w:t>
            </w:r>
            <w:r>
              <w:rPr>
                <w:rFonts w:hint="eastAsia" w:ascii="宋体" w:hAnsi="宋体" w:eastAsia="等线" w:cs="宋体"/>
                <w:szCs w:val="21"/>
              </w:rPr>
              <w:t>2-1：【职业认同感强】</w:t>
            </w:r>
            <w:r>
              <w:rPr>
                <w:rFonts w:hint="eastAsia" w:ascii="宋体" w:hAnsi="宋体" w:eastAsia="等线" w:cs="宋体"/>
                <w:sz w:val="20"/>
                <w:szCs w:val="20"/>
              </w:rPr>
              <w:t>具有家国情怀，热爱教育事业，秉持“坚忍诚勇，立己达人”的师范精神，践行教育家精神，乐于从教，热爱教育事业，具有较高的教师职业认同感，认同教师职业的意义、价值与专业性。</w:t>
            </w:r>
          </w:p>
        </w:tc>
        <w:tc>
          <w:tcPr>
            <w:tcW w:w="1327" w:type="dxa"/>
            <w:vAlign w:val="center"/>
          </w:tcPr>
          <w:p w14:paraId="4D79EB5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143A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1716079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学会反思</w:t>
            </w:r>
          </w:p>
        </w:tc>
        <w:tc>
          <w:tcPr>
            <w:tcW w:w="6095" w:type="dxa"/>
            <w:vAlign w:val="center"/>
          </w:tcPr>
          <w:p w14:paraId="48B720DE">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7-2：【职业规划合理】了解教师专业发展的要求，形成终身学习的意识和习惯，注重自身的专业发展，根据基础教育课程改革的动态和发展情况，进行职业生涯规划和自主学习。</w:t>
            </w:r>
          </w:p>
        </w:tc>
        <w:tc>
          <w:tcPr>
            <w:tcW w:w="1327" w:type="dxa"/>
            <w:vAlign w:val="center"/>
          </w:tcPr>
          <w:p w14:paraId="300A153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7082F8AD">
      <w:pPr>
        <w:spacing w:before="156" w:beforeLines="50" w:line="360" w:lineRule="auto"/>
        <w:jc w:val="left"/>
        <w:outlineLvl w:val="1"/>
        <w:rPr>
          <w:rFonts w:ascii="宋体" w:hAnsi="宋体" w:eastAsia="宋体" w:cs="Times New Roman"/>
          <w:b/>
          <w:color w:val="000000"/>
          <w:szCs w:val="21"/>
        </w:rPr>
      </w:pPr>
      <w:bookmarkStart w:id="235" w:name="_Toc19403"/>
      <w:r>
        <w:rPr>
          <w:rFonts w:hint="eastAsia" w:ascii="宋体" w:hAnsi="宋体" w:eastAsia="宋体" w:cs="Times New Roman"/>
          <w:b/>
          <w:color w:val="000000"/>
          <w:szCs w:val="21"/>
        </w:rPr>
        <w:t>（三）课程思政目标</w:t>
      </w:r>
      <w:bookmarkEnd w:id="235"/>
    </w:p>
    <w:p w14:paraId="14511EBF">
      <w:pPr>
        <w:spacing w:line="360" w:lineRule="auto"/>
        <w:ind w:firstLine="411" w:firstLineChars="196"/>
        <w:jc w:val="left"/>
        <w:rPr>
          <w:rFonts w:ascii="宋体" w:hAnsi="宋体" w:eastAsia="宋体" w:cs="Times New Roman"/>
          <w:color w:val="000000"/>
          <w:szCs w:val="21"/>
        </w:rPr>
      </w:pPr>
      <w:r>
        <w:rPr>
          <w:rFonts w:ascii="宋体" w:hAnsi="宋体" w:eastAsia="宋体" w:cs="Times New Roman"/>
          <w:color w:val="000000"/>
          <w:szCs w:val="21"/>
        </w:rPr>
        <w:t>了解小学教育专业发展的悠久历史，增强文化自信和专业自信</w:t>
      </w:r>
      <w:r>
        <w:rPr>
          <w:rFonts w:hint="eastAsia" w:ascii="宋体" w:hAnsi="宋体" w:eastAsia="宋体" w:cs="Times New Roman"/>
          <w:color w:val="000000"/>
          <w:szCs w:val="21"/>
        </w:rPr>
        <w:t>；理解教师职业的意义，具有较强的教师职业认同感，愿意从事小学教育工作，有较强的学习动机；树立正确的教师观和职业观，</w:t>
      </w:r>
      <w:r>
        <w:rPr>
          <w:rFonts w:ascii="宋体" w:hAnsi="宋体" w:eastAsia="宋体" w:cs="Times New Roman"/>
          <w:color w:val="000000"/>
          <w:szCs w:val="21"/>
        </w:rPr>
        <w:t>具有明确的努力方向。</w:t>
      </w:r>
    </w:p>
    <w:p w14:paraId="4FAC6E00">
      <w:pPr>
        <w:spacing w:line="360" w:lineRule="auto"/>
        <w:jc w:val="left"/>
        <w:outlineLvl w:val="0"/>
        <w:rPr>
          <w:rFonts w:ascii="宋体" w:hAnsi="宋体" w:eastAsia="宋体" w:cs="Times New Roman"/>
          <w:b/>
          <w:color w:val="000000"/>
          <w:sz w:val="24"/>
          <w:szCs w:val="24"/>
        </w:rPr>
      </w:pPr>
      <w:bookmarkStart w:id="236" w:name="_Toc1877"/>
      <w:bookmarkStart w:id="237" w:name="_Toc7781"/>
      <w:bookmarkStart w:id="238" w:name="_Toc31441"/>
      <w:bookmarkStart w:id="239" w:name="_Toc26224"/>
      <w:bookmarkStart w:id="240" w:name="_Toc32224"/>
      <w:bookmarkStart w:id="241" w:name="_Toc6432"/>
      <w:bookmarkStart w:id="242" w:name="_Toc30192"/>
      <w:r>
        <w:rPr>
          <w:rFonts w:hint="eastAsia" w:ascii="宋体" w:hAnsi="宋体" w:eastAsia="宋体" w:cs="Times New Roman"/>
          <w:b/>
          <w:color w:val="000000"/>
          <w:sz w:val="24"/>
          <w:szCs w:val="24"/>
        </w:rPr>
        <w:t>三、教学内容与预期学习成效</w:t>
      </w:r>
      <w:bookmarkEnd w:id="236"/>
      <w:bookmarkEnd w:id="237"/>
      <w:bookmarkEnd w:id="238"/>
      <w:bookmarkEnd w:id="239"/>
      <w:bookmarkEnd w:id="240"/>
      <w:bookmarkEnd w:id="241"/>
      <w:bookmarkEnd w:id="242"/>
    </w:p>
    <w:tbl>
      <w:tblPr>
        <w:tblStyle w:val="11"/>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0350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4FA26195">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B2CD00F">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4" w:type="dxa"/>
            <w:vAlign w:val="center"/>
          </w:tcPr>
          <w:p w14:paraId="59152652">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5" w:type="dxa"/>
            <w:vAlign w:val="center"/>
          </w:tcPr>
          <w:p w14:paraId="59A7109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6F6DC80">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6" w:type="dxa"/>
            <w:vAlign w:val="center"/>
          </w:tcPr>
          <w:p w14:paraId="34EAFAA3">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3" w:type="dxa"/>
            <w:vAlign w:val="center"/>
          </w:tcPr>
          <w:p w14:paraId="200C1F54">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42" w:type="dxa"/>
            <w:vAlign w:val="center"/>
          </w:tcPr>
          <w:p w14:paraId="16AB35AB">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24FE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0760A59A">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小学教育专业简介</w:t>
            </w:r>
          </w:p>
        </w:tc>
        <w:tc>
          <w:tcPr>
            <w:tcW w:w="1704" w:type="dxa"/>
            <w:vAlign w:val="center"/>
          </w:tcPr>
          <w:p w14:paraId="3A4F365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1）小学教育专业的历史、现状与未来</w:t>
            </w:r>
          </w:p>
          <w:p w14:paraId="69DE26E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2）小学教育专业培养方案解读</w:t>
            </w:r>
          </w:p>
        </w:tc>
        <w:tc>
          <w:tcPr>
            <w:tcW w:w="1135" w:type="dxa"/>
            <w:vAlign w:val="center"/>
          </w:tcPr>
          <w:p w14:paraId="46B8E11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0D86245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1）了解小学教育专业的历史、现状与未来.</w:t>
            </w:r>
          </w:p>
          <w:p w14:paraId="0232A30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2）了解小学教育专业的培养目标，知道小学教育专业学生应具备的知识和能力.</w:t>
            </w:r>
          </w:p>
          <w:p w14:paraId="759BF8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3）了解小学教育专业的课程设置。</w:t>
            </w:r>
          </w:p>
        </w:tc>
        <w:tc>
          <w:tcPr>
            <w:tcW w:w="1563" w:type="dxa"/>
            <w:vAlign w:val="center"/>
          </w:tcPr>
          <w:p w14:paraId="5D5DC80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0497C02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3BA8BD4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05E05CA0">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2D85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6487CEDA">
            <w:pPr>
              <w:spacing w:line="264" w:lineRule="auto"/>
              <w:jc w:val="center"/>
              <w:rPr>
                <w:rFonts w:ascii="宋体" w:hAnsi="宋体" w:eastAsia="宋体" w:cs="Times New Roman"/>
                <w:color w:val="000000"/>
                <w:szCs w:val="21"/>
              </w:rPr>
            </w:pPr>
          </w:p>
        </w:tc>
        <w:tc>
          <w:tcPr>
            <w:tcW w:w="8110" w:type="dxa"/>
            <w:gridSpan w:val="5"/>
            <w:vAlign w:val="center"/>
          </w:tcPr>
          <w:p w14:paraId="7B56CB77">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1）了解小学教育专业发展的悠久历史，增强文化自信和专业自信。</w:t>
            </w:r>
            <w:r>
              <w:rPr>
                <w:rFonts w:hint="eastAsia" w:ascii="宋体" w:hAnsi="宋体" w:eastAsia="宋体" w:cs="Times New Roman"/>
                <w:color w:val="000000"/>
                <w:szCs w:val="21"/>
              </w:rPr>
              <w:t>（</w:t>
            </w:r>
            <w:r>
              <w:rPr>
                <w:rFonts w:ascii="宋体" w:hAnsi="宋体" w:eastAsia="宋体" w:cs="Times New Roman"/>
                <w:color w:val="000000"/>
                <w:szCs w:val="21"/>
              </w:rPr>
              <w:t>2）通过对专业概况的了解，进一步巩固专业思想，强化专业情怀。</w:t>
            </w:r>
          </w:p>
        </w:tc>
      </w:tr>
      <w:tr w14:paraId="70B3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118BF0A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小学教育专业教师教育课程的学习</w:t>
            </w:r>
          </w:p>
        </w:tc>
        <w:tc>
          <w:tcPr>
            <w:tcW w:w="1704" w:type="dxa"/>
            <w:vAlign w:val="center"/>
          </w:tcPr>
          <w:p w14:paraId="7E865A3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1）教育理论课程的学习与考研方向的选择</w:t>
            </w:r>
          </w:p>
          <w:p w14:paraId="423DB2E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2）教育实践类课程的学习与实践能力的提升</w:t>
            </w:r>
          </w:p>
        </w:tc>
        <w:tc>
          <w:tcPr>
            <w:tcW w:w="1135" w:type="dxa"/>
            <w:vAlign w:val="center"/>
          </w:tcPr>
          <w:p w14:paraId="2533A0A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2FD5053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1）了解教育学、心理学学科的发展情况。</w:t>
            </w:r>
          </w:p>
          <w:p w14:paraId="19AEB7B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2）知道教育学、心理学学科方面的考研方向。</w:t>
            </w:r>
          </w:p>
          <w:p w14:paraId="7D82BA0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3）理解小学教育专业实践能力的内涵及提升路径。</w:t>
            </w:r>
          </w:p>
          <w:p w14:paraId="7D60F4A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4）初步了解并掌握教师教育课程的学习方法。</w:t>
            </w:r>
          </w:p>
        </w:tc>
        <w:tc>
          <w:tcPr>
            <w:tcW w:w="1563" w:type="dxa"/>
            <w:vAlign w:val="center"/>
          </w:tcPr>
          <w:p w14:paraId="11422A6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18DA7A2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297DFFE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19D02D38">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5270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23F6D84C">
            <w:pPr>
              <w:spacing w:line="264" w:lineRule="auto"/>
              <w:jc w:val="center"/>
              <w:rPr>
                <w:rFonts w:ascii="宋体" w:hAnsi="宋体" w:eastAsia="宋体" w:cs="Times New Roman"/>
                <w:color w:val="000000"/>
                <w:szCs w:val="21"/>
              </w:rPr>
            </w:pPr>
          </w:p>
        </w:tc>
        <w:tc>
          <w:tcPr>
            <w:tcW w:w="8110" w:type="dxa"/>
            <w:gridSpan w:val="5"/>
            <w:vAlign w:val="center"/>
          </w:tcPr>
          <w:p w14:paraId="67B75022">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1）注重我国先进教育理念的学习，增强文化自信。</w:t>
            </w:r>
            <w:r>
              <w:rPr>
                <w:rFonts w:hint="eastAsia" w:ascii="宋体" w:hAnsi="宋体" w:eastAsia="宋体" w:cs="Times New Roman"/>
                <w:color w:val="000000"/>
                <w:szCs w:val="21"/>
              </w:rPr>
              <w:t>（</w:t>
            </w:r>
            <w:r>
              <w:rPr>
                <w:rFonts w:ascii="宋体" w:hAnsi="宋体" w:eastAsia="宋体" w:cs="Times New Roman"/>
                <w:color w:val="000000"/>
                <w:szCs w:val="21"/>
              </w:rPr>
              <w:t>2）养成科学、严谨的学习习惯和实事求是的精神。</w:t>
            </w:r>
            <w:r>
              <w:rPr>
                <w:rFonts w:hint="eastAsia" w:ascii="宋体" w:hAnsi="宋体" w:eastAsia="宋体" w:cs="Times New Roman"/>
                <w:color w:val="000000"/>
                <w:szCs w:val="21"/>
              </w:rPr>
              <w:t>（</w:t>
            </w:r>
            <w:r>
              <w:rPr>
                <w:rFonts w:ascii="宋体" w:hAnsi="宋体" w:eastAsia="宋体" w:cs="Times New Roman"/>
                <w:color w:val="000000"/>
                <w:szCs w:val="21"/>
              </w:rPr>
              <w:t>3）注重自身实践能力和创新精神的提高。</w:t>
            </w:r>
          </w:p>
        </w:tc>
      </w:tr>
      <w:tr w14:paraId="6375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30EDDBA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等线" w:hAnsi="等线" w:eastAsia="等线" w:cs="Times New Roman"/>
                <w:szCs w:val="22"/>
              </w:rPr>
              <w:t xml:space="preserve"> 小学教育专业学科方向课程的学习</w:t>
            </w:r>
          </w:p>
        </w:tc>
        <w:tc>
          <w:tcPr>
            <w:tcW w:w="1704" w:type="dxa"/>
            <w:vAlign w:val="center"/>
          </w:tcPr>
          <w:p w14:paraId="0249AA6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1）小学教育专业学科方向课程的发展与考研方向的选择</w:t>
            </w:r>
          </w:p>
          <w:p w14:paraId="3DDF512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2）小学教育专业学科方向课程的学习方法</w:t>
            </w:r>
          </w:p>
        </w:tc>
        <w:tc>
          <w:tcPr>
            <w:tcW w:w="1135" w:type="dxa"/>
            <w:vAlign w:val="center"/>
          </w:tcPr>
          <w:p w14:paraId="18C27A8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r>
              <w:rPr>
                <w:rFonts w:hint="eastAsia" w:ascii="宋体" w:hAnsi="宋体" w:eastAsia="宋体" w:cs="Times New Roman"/>
                <w:color w:val="000000"/>
                <w:szCs w:val="21"/>
              </w:rPr>
              <w:t>、2、3</w:t>
            </w:r>
          </w:p>
        </w:tc>
        <w:tc>
          <w:tcPr>
            <w:tcW w:w="3266" w:type="dxa"/>
            <w:vAlign w:val="center"/>
          </w:tcPr>
          <w:p w14:paraId="393469C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1）了解小学教育专业学科方向课程的发展情况。</w:t>
            </w:r>
          </w:p>
          <w:p w14:paraId="61BDAE7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2）知道小学教育专业学科方向的考研选择。</w:t>
            </w:r>
          </w:p>
          <w:p w14:paraId="44E7C42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3）初步了解小学教育专业学科方向课程学习的一般方法，制订小学教育专业必读学科类书籍的阅读计划并付诸实施。</w:t>
            </w:r>
          </w:p>
        </w:tc>
        <w:tc>
          <w:tcPr>
            <w:tcW w:w="1563" w:type="dxa"/>
            <w:vAlign w:val="center"/>
          </w:tcPr>
          <w:p w14:paraId="6330A22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091BA9A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5D37598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.观察实践</w:t>
            </w:r>
          </w:p>
          <w:p w14:paraId="695D3F3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2" w:type="dxa"/>
            <w:vAlign w:val="center"/>
          </w:tcPr>
          <w:p w14:paraId="05165502">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12</w:t>
            </w:r>
          </w:p>
        </w:tc>
      </w:tr>
      <w:tr w14:paraId="0841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4ABA8025">
            <w:pPr>
              <w:spacing w:line="264" w:lineRule="auto"/>
              <w:jc w:val="center"/>
              <w:rPr>
                <w:rFonts w:ascii="宋体" w:hAnsi="宋体" w:eastAsia="宋体" w:cs="Times New Roman"/>
                <w:color w:val="000000"/>
                <w:szCs w:val="21"/>
              </w:rPr>
            </w:pPr>
          </w:p>
        </w:tc>
        <w:tc>
          <w:tcPr>
            <w:tcW w:w="8110" w:type="dxa"/>
            <w:gridSpan w:val="5"/>
            <w:vAlign w:val="center"/>
          </w:tcPr>
          <w:p w14:paraId="7FC3A87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1）注重对中国传统文化的学习，增强文化自信和民族自豪感。</w:t>
            </w:r>
            <w:r>
              <w:rPr>
                <w:rFonts w:hint="eastAsia" w:ascii="宋体" w:hAnsi="宋体" w:eastAsia="宋体" w:cs="Times New Roman"/>
                <w:color w:val="000000"/>
                <w:szCs w:val="21"/>
              </w:rPr>
              <w:t>（</w:t>
            </w:r>
            <w:r>
              <w:rPr>
                <w:rFonts w:ascii="宋体" w:hAnsi="宋体" w:eastAsia="宋体" w:cs="Times New Roman"/>
                <w:color w:val="000000"/>
                <w:szCs w:val="21"/>
              </w:rPr>
              <w:t>2）养成严谨治学的习惯。</w:t>
            </w:r>
          </w:p>
        </w:tc>
      </w:tr>
      <w:tr w14:paraId="2EC6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35918A0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小学教师的专业发展</w:t>
            </w:r>
          </w:p>
        </w:tc>
        <w:tc>
          <w:tcPr>
            <w:tcW w:w="1704" w:type="dxa"/>
            <w:vAlign w:val="center"/>
          </w:tcPr>
          <w:p w14:paraId="6694490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1）小学教师专业发展的维度</w:t>
            </w:r>
          </w:p>
          <w:p w14:paraId="1DD92E1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2）小学教师专业发展的路径</w:t>
            </w:r>
          </w:p>
          <w:p w14:paraId="4B01230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3）小学教师资格证的获得</w:t>
            </w:r>
          </w:p>
        </w:tc>
        <w:tc>
          <w:tcPr>
            <w:tcW w:w="1135" w:type="dxa"/>
            <w:vAlign w:val="center"/>
          </w:tcPr>
          <w:p w14:paraId="7EEDADA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212D8F1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1）明确小学教师专业发展的意义；</w:t>
            </w:r>
          </w:p>
          <w:p w14:paraId="58F3F04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 xml:space="preserve">2）了解小学教师专业发展的维度与路径； </w:t>
            </w:r>
          </w:p>
          <w:p w14:paraId="3701B58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3）了解小学教师资格的获得条件和流程</w:t>
            </w:r>
          </w:p>
        </w:tc>
        <w:tc>
          <w:tcPr>
            <w:tcW w:w="1563" w:type="dxa"/>
            <w:vAlign w:val="center"/>
          </w:tcPr>
          <w:p w14:paraId="762F9D7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731AC64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3843FCA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6EA765F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2" w:type="dxa"/>
            <w:vAlign w:val="center"/>
          </w:tcPr>
          <w:p w14:paraId="1145030B">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4175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2869CEE1">
            <w:pPr>
              <w:spacing w:line="276" w:lineRule="auto"/>
              <w:jc w:val="center"/>
              <w:rPr>
                <w:rFonts w:ascii="宋体" w:hAnsi="宋体" w:eastAsia="宋体" w:cs="Times New Roman"/>
                <w:color w:val="000000"/>
                <w:szCs w:val="21"/>
              </w:rPr>
            </w:pPr>
          </w:p>
        </w:tc>
        <w:tc>
          <w:tcPr>
            <w:tcW w:w="8110" w:type="dxa"/>
            <w:gridSpan w:val="5"/>
            <w:vAlign w:val="center"/>
          </w:tcPr>
          <w:p w14:paraId="37590C2F">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1）能够以“四有”好老师的标准要求自己，树立为社会主义教育事业奋斗的远大志向。</w:t>
            </w:r>
            <w:r>
              <w:rPr>
                <w:rFonts w:hint="eastAsia" w:ascii="宋体" w:hAnsi="宋体" w:eastAsia="宋体" w:cs="Times New Roman"/>
                <w:color w:val="000000"/>
                <w:szCs w:val="21"/>
              </w:rPr>
              <w:t>（</w:t>
            </w:r>
            <w:r>
              <w:rPr>
                <w:rFonts w:ascii="宋体" w:hAnsi="宋体" w:eastAsia="宋体" w:cs="Times New Roman"/>
                <w:color w:val="000000"/>
                <w:szCs w:val="21"/>
              </w:rPr>
              <w:t>2）愿意为成为一名小学教师不懈努力。</w:t>
            </w:r>
          </w:p>
        </w:tc>
      </w:tr>
    </w:tbl>
    <w:p w14:paraId="516F99F1">
      <w:pPr>
        <w:spacing w:line="360" w:lineRule="auto"/>
        <w:jc w:val="left"/>
        <w:rPr>
          <w:rFonts w:ascii="Times New Roman" w:hAnsi="Times New Roman" w:eastAsia="宋体" w:cs="Times New Roman"/>
          <w:sz w:val="24"/>
          <w:szCs w:val="24"/>
        </w:rPr>
      </w:pPr>
    </w:p>
    <w:p w14:paraId="17A6F561">
      <w:pPr>
        <w:spacing w:line="360" w:lineRule="auto"/>
        <w:jc w:val="left"/>
        <w:outlineLvl w:val="0"/>
        <w:rPr>
          <w:rFonts w:ascii="Times New Roman" w:hAnsi="Times New Roman" w:eastAsia="宋体" w:cs="Times New Roman"/>
          <w:sz w:val="24"/>
          <w:szCs w:val="24"/>
        </w:rPr>
      </w:pPr>
      <w:bookmarkStart w:id="243" w:name="_Toc22853"/>
      <w:bookmarkStart w:id="244" w:name="_Toc20350"/>
      <w:bookmarkStart w:id="245" w:name="_Toc18760"/>
      <w:bookmarkStart w:id="246" w:name="_Toc6656"/>
      <w:bookmarkStart w:id="247" w:name="_Toc22811"/>
      <w:bookmarkStart w:id="248" w:name="_Toc2685"/>
      <w:bookmarkStart w:id="249" w:name="_Toc20318"/>
      <w:r>
        <w:rPr>
          <w:rFonts w:hint="eastAsia" w:ascii="宋体" w:hAnsi="宋体" w:eastAsia="宋体" w:cs="Times New Roman"/>
          <w:b/>
          <w:color w:val="000000"/>
          <w:sz w:val="24"/>
          <w:szCs w:val="24"/>
        </w:rPr>
        <w:t>四、目标评价与成绩评定</w:t>
      </w:r>
      <w:bookmarkEnd w:id="243"/>
      <w:bookmarkEnd w:id="244"/>
      <w:bookmarkEnd w:id="245"/>
      <w:bookmarkEnd w:id="246"/>
      <w:bookmarkEnd w:id="247"/>
      <w:bookmarkEnd w:id="248"/>
      <w:bookmarkEnd w:id="249"/>
    </w:p>
    <w:p w14:paraId="3AD12B57">
      <w:pPr>
        <w:spacing w:line="360" w:lineRule="auto"/>
        <w:jc w:val="left"/>
        <w:outlineLvl w:val="1"/>
        <w:rPr>
          <w:rFonts w:ascii="Times New Roman" w:hAnsi="Times New Roman" w:eastAsia="宋体" w:cs="Times New Roman"/>
          <w:b/>
          <w:szCs w:val="21"/>
        </w:rPr>
      </w:pPr>
      <w:bookmarkStart w:id="250" w:name="_Toc22387"/>
      <w:r>
        <w:rPr>
          <w:rFonts w:hint="eastAsia" w:ascii="Times New Roman" w:hAnsi="Times New Roman" w:eastAsia="宋体" w:cs="Times New Roman"/>
          <w:b/>
          <w:szCs w:val="21"/>
        </w:rPr>
        <w:t>（一）课程目标评价方式</w:t>
      </w:r>
      <w:bookmarkEnd w:id="250"/>
    </w:p>
    <w:p w14:paraId="7AB7921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CA5AD9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908"/>
        <w:gridCol w:w="1735"/>
        <w:gridCol w:w="1735"/>
        <w:gridCol w:w="1046"/>
      </w:tblGrid>
      <w:tr w14:paraId="1F5E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restart"/>
            <w:vAlign w:val="center"/>
          </w:tcPr>
          <w:p w14:paraId="0C6A69B2">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3183E954">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2B49C098">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DC5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Merge w:val="continue"/>
            <w:vAlign w:val="center"/>
          </w:tcPr>
          <w:p w14:paraId="05E17CA4">
            <w:pPr>
              <w:spacing w:line="360" w:lineRule="auto"/>
              <w:jc w:val="center"/>
              <w:rPr>
                <w:rFonts w:ascii="宋体" w:hAnsi="宋体" w:eastAsia="宋体" w:cs="Times New Roman"/>
                <w:szCs w:val="21"/>
              </w:rPr>
            </w:pPr>
          </w:p>
        </w:tc>
        <w:tc>
          <w:tcPr>
            <w:tcW w:w="0" w:type="auto"/>
            <w:vAlign w:val="center"/>
          </w:tcPr>
          <w:p w14:paraId="40D8FFFE">
            <w:pPr>
              <w:spacing w:line="360" w:lineRule="auto"/>
              <w:jc w:val="center"/>
              <w:rPr>
                <w:rFonts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695890FB">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1DDD603">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3ACA1A17">
            <w:pPr>
              <w:spacing w:line="360" w:lineRule="auto"/>
              <w:jc w:val="center"/>
              <w:rPr>
                <w:rFonts w:ascii="宋体" w:hAnsi="宋体" w:eastAsia="宋体" w:cs="Times New Roman"/>
                <w:szCs w:val="21"/>
              </w:rPr>
            </w:pPr>
          </w:p>
        </w:tc>
      </w:tr>
      <w:tr w14:paraId="28B7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17AC9A34">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0667F70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712CA0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A5A57C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514611B">
            <w:pPr>
              <w:spacing w:line="360" w:lineRule="auto"/>
              <w:jc w:val="center"/>
              <w:rPr>
                <w:rFonts w:ascii="宋体" w:hAnsi="宋体" w:eastAsia="宋体" w:cs="Times New Roman"/>
                <w:szCs w:val="21"/>
              </w:rPr>
            </w:pPr>
            <w:r>
              <w:rPr>
                <w:rFonts w:ascii="宋体" w:hAnsi="宋体" w:eastAsia="宋体" w:cs="Times New Roman"/>
                <w:szCs w:val="21"/>
              </w:rPr>
              <w:t>30</w:t>
            </w:r>
          </w:p>
        </w:tc>
      </w:tr>
      <w:tr w14:paraId="439C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551D46EE">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422213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BB51B1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271139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9054E9F">
            <w:pPr>
              <w:spacing w:line="360" w:lineRule="auto"/>
              <w:jc w:val="center"/>
              <w:rPr>
                <w:rFonts w:ascii="宋体" w:hAnsi="宋体" w:eastAsia="宋体" w:cs="Times New Roman"/>
                <w:szCs w:val="21"/>
              </w:rPr>
            </w:pPr>
            <w:r>
              <w:rPr>
                <w:rFonts w:ascii="宋体" w:hAnsi="宋体" w:eastAsia="宋体" w:cs="Times New Roman"/>
                <w:szCs w:val="21"/>
              </w:rPr>
              <w:t>40</w:t>
            </w:r>
          </w:p>
        </w:tc>
      </w:tr>
      <w:tr w14:paraId="3921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2A1A9429">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3E8E11C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EF93B0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6656ED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74ADFAF">
            <w:pPr>
              <w:spacing w:line="360" w:lineRule="auto"/>
              <w:jc w:val="center"/>
              <w:rPr>
                <w:rFonts w:ascii="宋体" w:hAnsi="宋体" w:eastAsia="宋体" w:cs="Times New Roman"/>
                <w:szCs w:val="21"/>
              </w:rPr>
            </w:pPr>
            <w:r>
              <w:rPr>
                <w:rFonts w:ascii="宋体" w:hAnsi="宋体" w:eastAsia="宋体" w:cs="Times New Roman"/>
                <w:szCs w:val="21"/>
              </w:rPr>
              <w:t>30</w:t>
            </w:r>
          </w:p>
        </w:tc>
      </w:tr>
      <w:tr w14:paraId="54A5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52DBADFF">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A53DB49">
            <w:pPr>
              <w:spacing w:line="360" w:lineRule="auto"/>
              <w:jc w:val="center"/>
              <w:rPr>
                <w:rFonts w:ascii="宋体" w:hAnsi="宋体" w:eastAsia="宋体" w:cs="Times New Roman"/>
                <w:szCs w:val="21"/>
              </w:rPr>
            </w:pPr>
            <w:r>
              <w:rPr>
                <w:rFonts w:ascii="宋体" w:hAnsi="宋体" w:eastAsia="宋体" w:cs="Times New Roman"/>
                <w:szCs w:val="21"/>
              </w:rPr>
              <w:t>40</w:t>
            </w:r>
          </w:p>
        </w:tc>
        <w:tc>
          <w:tcPr>
            <w:tcW w:w="0" w:type="auto"/>
            <w:vAlign w:val="center"/>
          </w:tcPr>
          <w:p w14:paraId="3CDC43A4">
            <w:pPr>
              <w:spacing w:line="360" w:lineRule="auto"/>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799995E1">
            <w:pPr>
              <w:spacing w:line="360" w:lineRule="auto"/>
              <w:jc w:val="center"/>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01D5E32F">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2D21D57F">
      <w:pPr>
        <w:spacing w:before="156" w:beforeLines="50" w:line="360" w:lineRule="auto"/>
        <w:jc w:val="left"/>
        <w:outlineLvl w:val="1"/>
        <w:rPr>
          <w:rFonts w:ascii="Times New Roman" w:hAnsi="Times New Roman" w:eastAsia="宋体" w:cs="Times New Roman"/>
          <w:b/>
          <w:szCs w:val="21"/>
        </w:rPr>
      </w:pPr>
      <w:bookmarkStart w:id="251" w:name="_Toc11985"/>
      <w:r>
        <w:rPr>
          <w:rFonts w:hint="eastAsia" w:ascii="Times New Roman" w:hAnsi="Times New Roman" w:eastAsia="宋体" w:cs="Times New Roman"/>
          <w:b/>
          <w:szCs w:val="21"/>
        </w:rPr>
        <w:t>（二）成绩评定细则</w:t>
      </w:r>
      <w:bookmarkEnd w:id="251"/>
    </w:p>
    <w:p w14:paraId="3C15D32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EF5B4F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19ED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75947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2D26CF6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37C06E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88A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1362DC9">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16CD116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03003247">
            <w:pPr>
              <w:jc w:val="center"/>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0%</w:t>
            </w:r>
          </w:p>
        </w:tc>
      </w:tr>
      <w:tr w14:paraId="5A6E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176C0B0">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009F727D">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课堂表现。</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FE8874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F45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758511E">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1B6864CE">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结合专业和自身实际，撰写一份小学教育专业发展规划，规划要有明确的目标和计划，不少于1</w:t>
            </w:r>
            <w:r>
              <w:rPr>
                <w:rFonts w:ascii="Times New Roman" w:hAnsi="Times New Roman" w:eastAsia="宋体" w:cs="Times New Roman"/>
                <w:color w:val="000000"/>
                <w:szCs w:val="21"/>
              </w:rPr>
              <w:t>500</w:t>
            </w:r>
            <w:r>
              <w:rPr>
                <w:rFonts w:hint="eastAsia" w:ascii="Times New Roman" w:hAnsi="Times New Roman" w:eastAsia="宋体" w:cs="Times New Roman"/>
                <w:color w:val="000000"/>
                <w:szCs w:val="21"/>
              </w:rPr>
              <w:t>字</w:t>
            </w:r>
            <w:r>
              <w:rPr>
                <w:rFonts w:ascii="Times New Roman" w:hAnsi="Times New Roman" w:eastAsia="宋体" w:cs="Times New Roman"/>
                <w:color w:val="000000"/>
                <w:szCs w:val="21"/>
              </w:rPr>
              <w:t>。</w:t>
            </w:r>
          </w:p>
        </w:tc>
        <w:tc>
          <w:tcPr>
            <w:tcW w:w="0" w:type="auto"/>
            <w:vAlign w:val="center"/>
          </w:tcPr>
          <w:p w14:paraId="65524531">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164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50219D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8289073">
            <w:pPr>
              <w:jc w:val="left"/>
              <w:rPr>
                <w:rFonts w:ascii="Times New Roman" w:hAnsi="Times New Roman" w:eastAsia="宋体" w:cs="Times New Roman"/>
                <w:szCs w:val="21"/>
              </w:rPr>
            </w:pPr>
          </w:p>
        </w:tc>
        <w:tc>
          <w:tcPr>
            <w:tcW w:w="0" w:type="auto"/>
            <w:vAlign w:val="center"/>
          </w:tcPr>
          <w:p w14:paraId="5A496BE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2E40F4E">
      <w:pPr>
        <w:spacing w:line="360" w:lineRule="auto"/>
        <w:jc w:val="left"/>
        <w:outlineLvl w:val="1"/>
        <w:rPr>
          <w:rFonts w:ascii="宋体" w:hAnsi="宋体" w:eastAsia="宋体" w:cs="Times New Roman"/>
          <w:b/>
          <w:color w:val="000000"/>
          <w:szCs w:val="21"/>
        </w:rPr>
      </w:pPr>
      <w:bookmarkStart w:id="252" w:name="_Toc18886"/>
      <w:r>
        <w:rPr>
          <w:rFonts w:hint="eastAsia" w:ascii="宋体" w:hAnsi="宋体" w:eastAsia="宋体" w:cs="Times New Roman"/>
          <w:b/>
          <w:color w:val="000000"/>
          <w:szCs w:val="21"/>
        </w:rPr>
        <w:t>（三）课程目标达成度计算方法</w:t>
      </w:r>
      <w:bookmarkEnd w:id="252"/>
    </w:p>
    <w:p w14:paraId="26AAB845">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1920DD2">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30"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30" DrawAspect="Content" ObjectID="_1468075730" r:id="rId12">
            <o:LockedField>false</o:LockedField>
          </o:OLEObject>
        </w:object>
      </w:r>
    </w:p>
    <w:p w14:paraId="21E11737">
      <w:pPr>
        <w:spacing w:before="156" w:beforeLines="50" w:line="360" w:lineRule="auto"/>
        <w:jc w:val="left"/>
        <w:outlineLvl w:val="0"/>
        <w:rPr>
          <w:rFonts w:ascii="Times New Roman" w:hAnsi="Times New Roman" w:eastAsia="宋体" w:cs="Times New Roman"/>
          <w:b/>
          <w:sz w:val="24"/>
          <w:szCs w:val="24"/>
        </w:rPr>
      </w:pPr>
      <w:bookmarkStart w:id="253" w:name="_Toc21542"/>
      <w:bookmarkStart w:id="254" w:name="_Toc29090"/>
      <w:bookmarkStart w:id="255" w:name="_Toc12717"/>
      <w:bookmarkStart w:id="256" w:name="_Toc20047"/>
      <w:bookmarkStart w:id="257" w:name="_Toc30066"/>
      <w:bookmarkStart w:id="258" w:name="_Toc25903"/>
      <w:bookmarkStart w:id="259" w:name="_Toc3891"/>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bookmarkEnd w:id="253"/>
      <w:bookmarkEnd w:id="254"/>
      <w:bookmarkEnd w:id="255"/>
      <w:bookmarkEnd w:id="256"/>
      <w:bookmarkEnd w:id="257"/>
      <w:bookmarkEnd w:id="258"/>
      <w:bookmarkEnd w:id="259"/>
    </w:p>
    <w:p w14:paraId="4B896CD2">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595983B5">
      <w:pPr>
        <w:spacing w:line="360" w:lineRule="auto"/>
        <w:jc w:val="left"/>
        <w:outlineLvl w:val="0"/>
        <w:rPr>
          <w:rFonts w:ascii="Times New Roman" w:hAnsi="Times New Roman" w:eastAsia="宋体" w:cs="Times New Roman"/>
          <w:b/>
          <w:bCs/>
          <w:sz w:val="24"/>
          <w:szCs w:val="24"/>
        </w:rPr>
      </w:pPr>
      <w:bookmarkStart w:id="260" w:name="_Toc22670"/>
      <w:bookmarkStart w:id="261" w:name="_Toc6858"/>
      <w:bookmarkStart w:id="262" w:name="_Toc2818"/>
      <w:bookmarkStart w:id="263" w:name="_Toc8138"/>
      <w:bookmarkStart w:id="264" w:name="_Toc10965"/>
      <w:bookmarkStart w:id="265" w:name="_Toc17532"/>
      <w:bookmarkStart w:id="266" w:name="_Toc13622"/>
      <w:r>
        <w:rPr>
          <w:rFonts w:hint="eastAsia" w:ascii="宋体" w:hAnsi="宋体" w:eastAsia="宋体" w:cs="Times New Roman"/>
          <w:b/>
          <w:color w:val="000000"/>
          <w:sz w:val="24"/>
          <w:szCs w:val="24"/>
        </w:rPr>
        <w:t>六、有关说明</w:t>
      </w:r>
      <w:bookmarkEnd w:id="260"/>
      <w:bookmarkEnd w:id="261"/>
      <w:bookmarkEnd w:id="262"/>
      <w:bookmarkEnd w:id="263"/>
      <w:bookmarkEnd w:id="264"/>
      <w:bookmarkEnd w:id="265"/>
      <w:bookmarkEnd w:id="266"/>
    </w:p>
    <w:p w14:paraId="6205E736">
      <w:pPr>
        <w:spacing w:line="360" w:lineRule="auto"/>
        <w:jc w:val="left"/>
        <w:outlineLvl w:val="1"/>
        <w:rPr>
          <w:rFonts w:ascii="Times New Roman" w:hAnsi="Times New Roman" w:eastAsia="宋体" w:cs="Times New Roman"/>
          <w:b/>
          <w:szCs w:val="21"/>
        </w:rPr>
      </w:pPr>
      <w:bookmarkStart w:id="267" w:name="_Toc5222"/>
      <w:r>
        <w:rPr>
          <w:rFonts w:hint="eastAsia" w:ascii="Times New Roman" w:hAnsi="Times New Roman" w:eastAsia="宋体" w:cs="Times New Roman"/>
          <w:b/>
          <w:szCs w:val="21"/>
        </w:rPr>
        <w:t>（一）持续改进</w:t>
      </w:r>
      <w:bookmarkEnd w:id="267"/>
    </w:p>
    <w:p w14:paraId="29E1CDCE">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本课程根据学生作业、课堂讨论和学生、教学督导等的反馈，及时对教学中的不足之处进行改进，并在下一轮课程教学中整改完善，确保相应毕业要求指标点达成。</w:t>
      </w:r>
    </w:p>
    <w:p w14:paraId="59191A73">
      <w:pPr>
        <w:spacing w:line="360" w:lineRule="auto"/>
        <w:ind w:firstLine="527" w:firstLineChars="250"/>
        <w:jc w:val="left"/>
        <w:outlineLvl w:val="1"/>
        <w:rPr>
          <w:rFonts w:ascii="Times New Roman" w:hAnsi="Times New Roman" w:eastAsia="宋体" w:cs="Times New Roman"/>
          <w:b/>
          <w:szCs w:val="21"/>
        </w:rPr>
      </w:pPr>
      <w:bookmarkStart w:id="268" w:name="_Toc10360"/>
      <w:r>
        <w:rPr>
          <w:rFonts w:hint="eastAsia" w:ascii="Times New Roman" w:hAnsi="Times New Roman" w:eastAsia="宋体" w:cs="Times New Roman"/>
          <w:b/>
          <w:szCs w:val="21"/>
        </w:rPr>
        <w:t>（二）建议教材</w:t>
      </w:r>
      <w:bookmarkEnd w:id="268"/>
    </w:p>
    <w:p w14:paraId="4961E200">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无</w:t>
      </w:r>
    </w:p>
    <w:p w14:paraId="59B199D9">
      <w:pPr>
        <w:spacing w:line="360" w:lineRule="auto"/>
        <w:ind w:firstLine="527" w:firstLineChars="250"/>
        <w:jc w:val="left"/>
        <w:outlineLvl w:val="1"/>
        <w:rPr>
          <w:rFonts w:ascii="Times New Roman" w:hAnsi="Times New Roman" w:eastAsia="宋体" w:cs="Times New Roman"/>
          <w:b/>
          <w:szCs w:val="21"/>
        </w:rPr>
      </w:pPr>
      <w:bookmarkStart w:id="269" w:name="_Toc14594"/>
      <w:r>
        <w:rPr>
          <w:rFonts w:hint="eastAsia" w:ascii="Times New Roman" w:hAnsi="Times New Roman" w:eastAsia="宋体" w:cs="Times New Roman"/>
          <w:b/>
          <w:szCs w:val="21"/>
        </w:rPr>
        <w:t>（三）参考书目</w:t>
      </w:r>
      <w:bookmarkEnd w:id="269"/>
    </w:p>
    <w:p w14:paraId="26853A3F">
      <w:pPr>
        <w:spacing w:line="360" w:lineRule="auto"/>
        <w:ind w:firstLine="525" w:firstLineChars="250"/>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惠中</w:t>
      </w:r>
      <w:r>
        <w:rPr>
          <w:rFonts w:ascii="宋体" w:hAnsi="宋体" w:eastAsia="宋体" w:cs="Times New Roman"/>
          <w:szCs w:val="21"/>
        </w:rPr>
        <w:t>.教师教育新视野: 本科学历小学教师培养模式初探.上海：上海科技教育出版社,最新版.</w:t>
      </w:r>
    </w:p>
    <w:p w14:paraId="6D4382CA">
      <w:pPr>
        <w:spacing w:line="360" w:lineRule="auto"/>
        <w:ind w:firstLine="525" w:firstLineChars="250"/>
        <w:jc w:val="left"/>
        <w:rPr>
          <w:rFonts w:ascii="宋体" w:hAnsi="宋体" w:eastAsia="宋体" w:cs="Times New Roman"/>
          <w:szCs w:val="21"/>
        </w:rPr>
      </w:pPr>
      <w:r>
        <w:rPr>
          <w:rFonts w:ascii="宋体" w:hAnsi="宋体" w:eastAsia="宋体" w:cs="Times New Roman"/>
          <w:szCs w:val="21"/>
        </w:rPr>
        <w:t>2.[美]帕梅拉·格罗斯曼.专业化的教师是看样炼油成的.李广平，等译.北京：人民教育出版社，2012.</w:t>
      </w:r>
    </w:p>
    <w:p w14:paraId="074A09D6">
      <w:pPr>
        <w:spacing w:line="360" w:lineRule="auto"/>
        <w:ind w:firstLine="525" w:firstLineChars="250"/>
        <w:jc w:val="left"/>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中华人民共和国教育部文件</w:t>
      </w:r>
      <w:r>
        <w:rPr>
          <w:rFonts w:ascii="宋体" w:hAnsi="宋体" w:eastAsia="宋体" w:cs="Times New Roman"/>
          <w:szCs w:val="21"/>
        </w:rPr>
        <w:t>.小学教师专业标准（试行）.</w:t>
      </w:r>
    </w:p>
    <w:p w14:paraId="43FDE508">
      <w:pPr>
        <w:spacing w:line="360" w:lineRule="auto"/>
        <w:ind w:firstLine="525" w:firstLineChars="250"/>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中华人民共和国教育部文件</w:t>
      </w:r>
      <w:r>
        <w:rPr>
          <w:rFonts w:ascii="宋体" w:hAnsi="宋体" w:eastAsia="宋体" w:cs="Times New Roman"/>
          <w:szCs w:val="21"/>
        </w:rPr>
        <w:t>.教师资格条例.</w:t>
      </w:r>
    </w:p>
    <w:p w14:paraId="581AD8C8">
      <w:pPr>
        <w:spacing w:line="360" w:lineRule="auto"/>
        <w:ind w:firstLine="525" w:firstLineChars="250"/>
        <w:jc w:val="left"/>
        <w:rPr>
          <w:rFonts w:ascii="宋体" w:hAnsi="宋体" w:eastAsia="宋体" w:cs="Times New Roman"/>
          <w:szCs w:val="21"/>
        </w:rPr>
      </w:pPr>
    </w:p>
    <w:p w14:paraId="077EF9AD">
      <w:pPr>
        <w:rPr>
          <w:rFonts w:ascii="等线" w:hAnsi="等线" w:eastAsia="等线" w:cs="Times New Roman"/>
          <w:szCs w:val="22"/>
        </w:rPr>
      </w:pPr>
    </w:p>
    <w:p w14:paraId="47A8313F">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执 笔 人：谢国忠</w:t>
      </w:r>
    </w:p>
    <w:p w14:paraId="44FF5B32">
      <w:pPr>
        <w:wordWrap w:val="0"/>
        <w:spacing w:line="360" w:lineRule="auto"/>
        <w:ind w:right="144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定 人：王 健</w:t>
      </w:r>
    </w:p>
    <w:p w14:paraId="163316FC">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615FC4F4">
      <w:pPr>
        <w:spacing w:line="360" w:lineRule="auto"/>
        <w:ind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25CA64B0">
      <w:pPr>
        <w:rPr>
          <w:rFonts w:hint="eastAsia" w:ascii="Times New Roman" w:hAnsi="Times New Roman" w:eastAsia="宋体" w:cs="Times New Roman"/>
          <w:b/>
          <w:sz w:val="36"/>
          <w:szCs w:val="36"/>
        </w:rPr>
      </w:pPr>
      <w:r>
        <w:rPr>
          <w:rFonts w:hint="eastAsia" w:ascii="Times New Roman" w:hAnsi="Times New Roman" w:eastAsia="宋体" w:cs="Times New Roman"/>
          <w:b/>
          <w:sz w:val="36"/>
          <w:szCs w:val="36"/>
        </w:rPr>
        <w:br w:type="page"/>
      </w:r>
    </w:p>
    <w:p w14:paraId="0C9D1583">
      <w:pPr>
        <w:pStyle w:val="2"/>
        <w:bidi w:val="0"/>
      </w:pPr>
      <w:bookmarkStart w:id="270" w:name="_Toc1888"/>
      <w:r>
        <w:rPr>
          <w:rFonts w:hint="eastAsia"/>
        </w:rPr>
        <w:t>《大学生职业生涯规划》课程教学大纲</w:t>
      </w:r>
      <w:bookmarkEnd w:id="270"/>
    </w:p>
    <w:p w14:paraId="310C5CB8">
      <w:pPr>
        <w:pStyle w:val="2"/>
        <w:bidi w:val="0"/>
      </w:pPr>
      <w:bookmarkStart w:id="271" w:name="_Toc10724"/>
      <w:r>
        <w:t>（</w:t>
      </w:r>
      <w:r>
        <w:rPr>
          <w:rFonts w:hint="eastAsia"/>
        </w:rPr>
        <w:t>Career Planning for College  Students</w:t>
      </w:r>
      <w:r>
        <w:t>）</w:t>
      </w:r>
      <w:bookmarkEnd w:id="271"/>
    </w:p>
    <w:p w14:paraId="06ED3569">
      <w:pPr>
        <w:spacing w:line="360" w:lineRule="auto"/>
        <w:jc w:val="center"/>
        <w:rPr>
          <w:rFonts w:ascii="Times New Roman" w:hAnsi="Times New Roman" w:eastAsia="宋体" w:cs="Times New Roman"/>
          <w:bCs/>
          <w:sz w:val="30"/>
          <w:szCs w:val="30"/>
        </w:rPr>
      </w:pPr>
    </w:p>
    <w:p w14:paraId="56FBD04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课程名称：大学生职业生涯规划</w:t>
      </w:r>
    </w:p>
    <w:p w14:paraId="4F62121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课程代码：0000006</w:t>
      </w:r>
    </w:p>
    <w:p w14:paraId="08C850E0">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分：</w:t>
      </w:r>
      <w:r>
        <w:rPr>
          <w:rFonts w:hint="eastAsia" w:ascii="Times New Roman" w:hAnsi="Times New Roman" w:eastAsia="宋体" w:cs="Times New Roman"/>
          <w:b/>
          <w:sz w:val="24"/>
          <w:szCs w:val="24"/>
        </w:rPr>
        <w:t>1</w:t>
      </w:r>
    </w:p>
    <w:p w14:paraId="0FDEA90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时：</w:t>
      </w:r>
      <w:r>
        <w:rPr>
          <w:rFonts w:hint="eastAsia" w:ascii="Times New Roman" w:hAnsi="Times New Roman" w:eastAsia="宋体" w:cs="Times New Roman"/>
          <w:b/>
          <w:sz w:val="24"/>
          <w:szCs w:val="24"/>
        </w:rPr>
        <w:t>16</w:t>
      </w:r>
      <w:r>
        <w:rPr>
          <w:rFonts w:ascii="Times New Roman" w:hAnsi="Times New Roman" w:eastAsia="宋体" w:cs="Times New Roman"/>
          <w:b/>
          <w:sz w:val="24"/>
          <w:szCs w:val="24"/>
        </w:rPr>
        <w:t xml:space="preserve"> （其中：讲授学时</w:t>
      </w:r>
      <w:r>
        <w:rPr>
          <w:rFonts w:hint="eastAsia" w:ascii="Times New Roman" w:hAnsi="Times New Roman" w:eastAsia="宋体" w:cs="Times New Roman"/>
          <w:b/>
          <w:sz w:val="24"/>
          <w:szCs w:val="24"/>
        </w:rPr>
        <w:t>16</w:t>
      </w:r>
      <w:r>
        <w:rPr>
          <w:rFonts w:ascii="Times New Roman" w:hAnsi="Times New Roman" w:eastAsia="宋体" w:cs="Times New Roman"/>
          <w:b/>
          <w:sz w:val="24"/>
          <w:szCs w:val="24"/>
        </w:rPr>
        <w:t>）</w:t>
      </w:r>
    </w:p>
    <w:p w14:paraId="408A773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先修课程：无</w:t>
      </w:r>
    </w:p>
    <w:p w14:paraId="4366151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适用专业：小学教育（文）、小学教育（理）</w:t>
      </w:r>
    </w:p>
    <w:p w14:paraId="3C4431D1">
      <w:pPr>
        <w:spacing w:line="360" w:lineRule="auto"/>
        <w:jc w:val="left"/>
        <w:rPr>
          <w:rFonts w:ascii="Times New Roman" w:hAnsi="Times New Roman" w:eastAsia="宋体" w:cs="Times New Roman"/>
          <w:b/>
          <w:sz w:val="24"/>
          <w:szCs w:val="24"/>
        </w:rPr>
      </w:pPr>
    </w:p>
    <w:p w14:paraId="41C02CD7">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3C5F4EB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面向全体本科专业开设的通识必修课。通过本课程的学习，唤醒学生的生涯规划意识，并通过理论知识的讲解、生涯工具的使用，帮助学生明确性格类型，并进行初步的职业探索，对本专业今后的就业做出合理的职业发展规划，为后续专业课程及专业实践环节奠定基础。</w:t>
      </w:r>
    </w:p>
    <w:p w14:paraId="499DD4EA">
      <w:pPr>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7B9B8B2">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2B12DBD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w:t>
      </w:r>
      <w:r>
        <w:rPr>
          <w:rFonts w:hint="eastAsia" w:ascii="Times New Roman" w:hAnsi="Times New Roman" w:eastAsia="宋体" w:cs="Times New Roman"/>
          <w:szCs w:val="21"/>
        </w:rPr>
        <w:t>能够从职业的角度了解所学专业、了解个人特点、了解社会需要，树立正确的职业理想和职业观、择业观、创业观以及成才观。</w:t>
      </w:r>
    </w:p>
    <w:p w14:paraId="5DB59A7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w:t>
      </w:r>
      <w:r>
        <w:rPr>
          <w:rFonts w:hint="eastAsia" w:ascii="Times New Roman" w:hAnsi="Times New Roman" w:eastAsia="宋体" w:cs="Times New Roman"/>
          <w:szCs w:val="21"/>
        </w:rPr>
        <w:t>理解职业生涯规划管理和调整对实现职业理想的重要性，明确在校学习与终身学习、职业生涯发展的关系，增强提高职业素质和职业能力的自觉性。</w:t>
      </w:r>
    </w:p>
    <w:p w14:paraId="0F9A109E">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目标3. 理解大学生职业生涯发展的基础理论体系，掌握职业生涯规划的基础知识和常用方法，能科学合理进行职业生涯规划，能够根据经济社会发展和自身条件变化，对职业生涯规划进行科学管理与适时调整。</w:t>
      </w:r>
    </w:p>
    <w:p w14:paraId="69F7E8CF">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7604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3" w:type="dxa"/>
            <w:vAlign w:val="center"/>
          </w:tcPr>
          <w:p w14:paraId="6B052A7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37" w:type="dxa"/>
            <w:gridSpan w:val="2"/>
            <w:vAlign w:val="center"/>
          </w:tcPr>
          <w:p w14:paraId="6E97798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15D0181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E66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06E11468">
            <w:pPr>
              <w:spacing w:line="276" w:lineRule="auto"/>
              <w:jc w:val="center"/>
              <w:rPr>
                <w:rFonts w:ascii="宋体" w:hAnsi="宋体" w:eastAsia="宋体" w:cs="Times New Roman"/>
                <w:szCs w:val="21"/>
              </w:rPr>
            </w:pPr>
            <w:r>
              <w:rPr>
                <w:rFonts w:hint="eastAsia" w:ascii="宋体" w:hAnsi="宋体" w:eastAsia="宋体" w:cs="Times New Roman"/>
                <w:szCs w:val="21"/>
              </w:rPr>
              <w:t>毕业要求</w:t>
            </w:r>
            <w:r>
              <w:rPr>
                <w:rFonts w:ascii="宋体" w:hAnsi="宋体" w:eastAsia="宋体" w:cs="Times New Roman"/>
                <w:szCs w:val="21"/>
              </w:rPr>
              <w:t>1：师德规范</w:t>
            </w:r>
          </w:p>
        </w:tc>
        <w:tc>
          <w:tcPr>
            <w:tcW w:w="6095" w:type="dxa"/>
            <w:vAlign w:val="center"/>
          </w:tcPr>
          <w:p w14:paraId="045DC01E">
            <w:pPr>
              <w:widowControl/>
              <w:autoSpaceDE w:val="0"/>
              <w:autoSpaceDN w:val="0"/>
              <w:rPr>
                <w:rFonts w:hint="eastAsia" w:ascii="宋体" w:hAnsi="宋体" w:eastAsia="宋体"/>
                <w:kern w:val="0"/>
                <w:szCs w:val="21"/>
              </w:rPr>
            </w:pPr>
            <w:r>
              <w:rPr>
                <w:rFonts w:hint="eastAsia" w:ascii="宋体" w:hAnsi="宋体" w:eastAsia="宋体" w:cs="宋体"/>
                <w:kern w:val="0"/>
                <w:szCs w:val="21"/>
              </w:rPr>
              <w:t>指标点</w:t>
            </w:r>
            <w:r>
              <w:rPr>
                <w:rFonts w:hint="eastAsia" w:ascii="宋体" w:hAnsi="宋体" w:eastAsia="宋体" w:cs="宋体"/>
                <w:szCs w:val="21"/>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vAlign w:val="center"/>
          </w:tcPr>
          <w:p w14:paraId="5A777B2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055E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78FCA669">
            <w:pPr>
              <w:spacing w:line="276" w:lineRule="auto"/>
              <w:jc w:val="center"/>
              <w:rPr>
                <w:rFonts w:ascii="宋体" w:hAnsi="宋体" w:eastAsia="宋体" w:cs="Times New Roman"/>
                <w:szCs w:val="21"/>
              </w:rPr>
            </w:pPr>
            <w:r>
              <w:rPr>
                <w:rFonts w:hint="eastAsia" w:ascii="宋体" w:hAnsi="宋体" w:eastAsia="宋体" w:cs="Times New Roman"/>
                <w:szCs w:val="21"/>
              </w:rPr>
              <w:t>毕业要求</w:t>
            </w:r>
            <w:r>
              <w:rPr>
                <w:rFonts w:ascii="宋体" w:hAnsi="宋体" w:eastAsia="宋体" w:cs="Times New Roman"/>
                <w:szCs w:val="21"/>
              </w:rPr>
              <w:t>2：教育情怀</w:t>
            </w:r>
          </w:p>
        </w:tc>
        <w:tc>
          <w:tcPr>
            <w:tcW w:w="6095" w:type="dxa"/>
            <w:vAlign w:val="center"/>
          </w:tcPr>
          <w:p w14:paraId="2672508E">
            <w:pPr>
              <w:spacing w:line="276" w:lineRule="auto"/>
              <w:jc w:val="left"/>
              <w:rPr>
                <w:rFonts w:ascii="宋体" w:hAnsi="宋体"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2-1：【职业认同感强】</w:t>
            </w:r>
            <w:r>
              <w:rPr>
                <w:rFonts w:hint="eastAsia" w:ascii="宋体" w:hAnsi="宋体" w:eastAsia="宋体" w:cs="宋体"/>
                <w:sz w:val="20"/>
                <w:szCs w:val="20"/>
              </w:rPr>
              <w:t>具有家国情怀，热爱教育事业，秉持“坚忍诚勇，立己达人”的师范精神，践行教育家精神，乐于从教，热爱教育事业，具有较高的教师职业认同感，认同教师职业的意义、价值与专业性。</w:t>
            </w:r>
          </w:p>
        </w:tc>
        <w:tc>
          <w:tcPr>
            <w:tcW w:w="1327" w:type="dxa"/>
            <w:vAlign w:val="center"/>
          </w:tcPr>
          <w:p w14:paraId="23594BB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69B0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7634CF99">
            <w:pPr>
              <w:spacing w:line="276" w:lineRule="auto"/>
              <w:jc w:val="center"/>
              <w:rPr>
                <w:rFonts w:ascii="宋体" w:hAnsi="宋体" w:eastAsia="宋体" w:cs="Times New Roman"/>
                <w:szCs w:val="21"/>
              </w:rPr>
            </w:pPr>
            <w:r>
              <w:rPr>
                <w:rFonts w:hint="eastAsia" w:ascii="宋体" w:hAnsi="宋体" w:eastAsia="宋体" w:cs="Times New Roman"/>
                <w:szCs w:val="21"/>
              </w:rPr>
              <w:t>毕业要求</w:t>
            </w:r>
            <w:r>
              <w:rPr>
                <w:rFonts w:ascii="宋体" w:hAnsi="宋体" w:eastAsia="宋体" w:cs="Times New Roman"/>
                <w:szCs w:val="21"/>
              </w:rPr>
              <w:t>7</w:t>
            </w:r>
            <w:r>
              <w:rPr>
                <w:rFonts w:hint="eastAsia" w:ascii="宋体" w:hAnsi="宋体" w:eastAsia="宋体" w:cs="Times New Roman"/>
                <w:szCs w:val="21"/>
              </w:rPr>
              <w:t>：</w:t>
            </w:r>
            <w:r>
              <w:rPr>
                <w:rFonts w:ascii="宋体" w:hAnsi="宋体" w:eastAsia="宋体" w:cs="Times New Roman"/>
                <w:szCs w:val="21"/>
              </w:rPr>
              <w:t>学会反思</w:t>
            </w:r>
          </w:p>
        </w:tc>
        <w:tc>
          <w:tcPr>
            <w:tcW w:w="6095" w:type="dxa"/>
            <w:vAlign w:val="center"/>
          </w:tcPr>
          <w:p w14:paraId="1C28CA6F">
            <w:pPr>
              <w:spacing w:line="276" w:lineRule="auto"/>
              <w:jc w:val="left"/>
              <w:rPr>
                <w:rFonts w:ascii="宋体" w:hAnsi="宋体"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7-2：【职业规划合理】了解教师专业发展的要求，形成终身学习的意识和习惯，注重自身的专业发展，根据基础教育课程改革的动态和发展情况，进行职业生涯规划和自主学习。</w:t>
            </w:r>
          </w:p>
        </w:tc>
        <w:tc>
          <w:tcPr>
            <w:tcW w:w="1327" w:type="dxa"/>
            <w:vAlign w:val="center"/>
          </w:tcPr>
          <w:p w14:paraId="5028EBD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611D3008">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C6257DC">
      <w:pPr>
        <w:spacing w:before="156" w:beforeLines="50" w:line="360" w:lineRule="auto"/>
        <w:ind w:firstLine="420" w:firstLineChars="200"/>
        <w:jc w:val="left"/>
        <w:rPr>
          <w:rFonts w:ascii="宋体" w:hAnsi="宋体" w:eastAsia="宋体" w:cs="Times New Roman"/>
          <w:b/>
          <w:color w:val="000000"/>
          <w:szCs w:val="21"/>
        </w:rPr>
      </w:pPr>
      <w:r>
        <w:rPr>
          <w:rFonts w:hint="eastAsia" w:ascii="Times New Roman" w:hAnsi="Times New Roman" w:eastAsia="宋体" w:cs="Times New Roman"/>
          <w:szCs w:val="21"/>
        </w:rPr>
        <w:t>立足本人实际，把个人发展和经济社会发展结合起来，热爱专业，树立正确的职业观和成才观，增强职业生涯成功的自信心。</w:t>
      </w:r>
    </w:p>
    <w:p w14:paraId="43C1241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704"/>
        <w:gridCol w:w="1135"/>
        <w:gridCol w:w="3266"/>
        <w:gridCol w:w="1563"/>
        <w:gridCol w:w="442"/>
      </w:tblGrid>
      <w:tr w14:paraId="6338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82" w:type="dxa"/>
            <w:vAlign w:val="center"/>
          </w:tcPr>
          <w:p w14:paraId="2C6E8B3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2601A27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4" w:type="dxa"/>
            <w:vAlign w:val="center"/>
          </w:tcPr>
          <w:p w14:paraId="2F3E36D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5" w:type="dxa"/>
            <w:vAlign w:val="center"/>
          </w:tcPr>
          <w:p w14:paraId="68F6B22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6DB5A3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6" w:type="dxa"/>
            <w:vAlign w:val="center"/>
          </w:tcPr>
          <w:p w14:paraId="0999A9D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3" w:type="dxa"/>
            <w:vAlign w:val="center"/>
          </w:tcPr>
          <w:p w14:paraId="7152025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42" w:type="dxa"/>
            <w:vAlign w:val="center"/>
          </w:tcPr>
          <w:p w14:paraId="7ED1DB7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9F8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182" w:type="dxa"/>
            <w:vMerge w:val="restart"/>
            <w:vAlign w:val="center"/>
          </w:tcPr>
          <w:p w14:paraId="181A7EB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觉知与承诺</w:t>
            </w:r>
          </w:p>
        </w:tc>
        <w:tc>
          <w:tcPr>
            <w:tcW w:w="1704" w:type="dxa"/>
            <w:vAlign w:val="center"/>
          </w:tcPr>
          <w:p w14:paraId="6FC466F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什么是职业生涯规划（What）。</w:t>
            </w:r>
          </w:p>
          <w:p w14:paraId="3DE6E82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（2）职业生涯规划的方法（How）。</w:t>
            </w:r>
          </w:p>
          <w:p w14:paraId="427844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职业生涯规划对人生的意义（Why）。</w:t>
            </w:r>
          </w:p>
        </w:tc>
        <w:tc>
          <w:tcPr>
            <w:tcW w:w="1135" w:type="dxa"/>
            <w:vAlign w:val="center"/>
          </w:tcPr>
          <w:p w14:paraId="2E1F9CF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12D293D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理解生涯规划的基本理念。</w:t>
            </w:r>
          </w:p>
          <w:p w14:paraId="692131C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（2）了解学生生涯规划的方法。</w:t>
            </w:r>
          </w:p>
          <w:p w14:paraId="786C83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（3）理解职业生涯规划的意义。</w:t>
            </w:r>
          </w:p>
        </w:tc>
        <w:tc>
          <w:tcPr>
            <w:tcW w:w="1563" w:type="dxa"/>
            <w:vAlign w:val="center"/>
          </w:tcPr>
          <w:p w14:paraId="4C80079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7131E4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55BED8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4A1A7E81">
            <w:pPr>
              <w:spacing w:line="269"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4020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182" w:type="dxa"/>
            <w:vMerge w:val="continue"/>
            <w:vAlign w:val="center"/>
          </w:tcPr>
          <w:p w14:paraId="7BD46E86">
            <w:pPr>
              <w:spacing w:line="264" w:lineRule="auto"/>
              <w:jc w:val="center"/>
              <w:rPr>
                <w:rFonts w:hint="eastAsia" w:ascii="宋体" w:hAnsi="宋体" w:eastAsia="宋体" w:cs="Times New Roman"/>
                <w:color w:val="000000"/>
                <w:szCs w:val="21"/>
              </w:rPr>
            </w:pPr>
          </w:p>
        </w:tc>
        <w:tc>
          <w:tcPr>
            <w:tcW w:w="8110" w:type="dxa"/>
            <w:gridSpan w:val="5"/>
            <w:vAlign w:val="center"/>
          </w:tcPr>
          <w:p w14:paraId="17E18127">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课程思政目标：（1）</w:t>
            </w:r>
            <w:r>
              <w:rPr>
                <w:rFonts w:hint="eastAsia" w:ascii="宋体" w:hAnsi="宋体" w:eastAsia="宋体" w:cs="Times New Roman"/>
                <w:color w:val="000000"/>
                <w:szCs w:val="21"/>
              </w:rPr>
              <w:t>理解职业规划的积极意义；（2）</w:t>
            </w:r>
            <w:r>
              <w:rPr>
                <w:rFonts w:ascii="宋体" w:hAnsi="宋体" w:eastAsia="宋体" w:cs="Times New Roman"/>
                <w:color w:val="000000"/>
                <w:szCs w:val="21"/>
              </w:rPr>
              <w:t>进一步巩固专业思想，强化专业情怀。</w:t>
            </w:r>
          </w:p>
        </w:tc>
      </w:tr>
      <w:tr w14:paraId="3DBB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182" w:type="dxa"/>
            <w:vMerge w:val="restart"/>
            <w:vAlign w:val="center"/>
          </w:tcPr>
          <w:p w14:paraId="4DCC0CA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兴趣探索与性格探索</w:t>
            </w:r>
          </w:p>
        </w:tc>
        <w:tc>
          <w:tcPr>
            <w:tcW w:w="1704" w:type="dxa"/>
            <w:vAlign w:val="center"/>
          </w:tcPr>
          <w:p w14:paraId="233B70D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（1）兴趣与技能、职业兴趣的分类、职业兴趣与职业匹配、职业兴趣的评估方式。</w:t>
            </w:r>
          </w:p>
          <w:p w14:paraId="3FE09AE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（2）性格的定义、性格的分类、性格与职业的匹配、性格的评估方式。</w:t>
            </w:r>
          </w:p>
        </w:tc>
        <w:tc>
          <w:tcPr>
            <w:tcW w:w="1135" w:type="dxa"/>
            <w:vAlign w:val="center"/>
          </w:tcPr>
          <w:p w14:paraId="7ABEB7C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3E33E13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掌握探索兴趣的方式和方法。</w:t>
            </w:r>
          </w:p>
          <w:p w14:paraId="47759BA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（2）厘清兴趣与技能之间的关系。</w:t>
            </w:r>
          </w:p>
          <w:p w14:paraId="55513DE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（3）明确性格探索和未来职业选择之间的关系</w:t>
            </w:r>
          </w:p>
          <w:p w14:paraId="014E67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（4）正确认识性格及进行性格评估。</w:t>
            </w:r>
          </w:p>
        </w:tc>
        <w:tc>
          <w:tcPr>
            <w:tcW w:w="1563" w:type="dxa"/>
            <w:vAlign w:val="center"/>
          </w:tcPr>
          <w:p w14:paraId="66957E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77B29C1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24DEF7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324B0BE7">
            <w:pPr>
              <w:spacing w:line="269"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5F39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182" w:type="dxa"/>
            <w:vMerge w:val="continue"/>
            <w:vAlign w:val="center"/>
          </w:tcPr>
          <w:p w14:paraId="4CB28A60">
            <w:pPr>
              <w:spacing w:line="264" w:lineRule="auto"/>
              <w:jc w:val="center"/>
              <w:rPr>
                <w:rFonts w:hint="eastAsia" w:ascii="宋体" w:hAnsi="宋体" w:eastAsia="宋体" w:cs="Times New Roman"/>
                <w:color w:val="000000"/>
                <w:szCs w:val="21"/>
              </w:rPr>
            </w:pPr>
          </w:p>
        </w:tc>
        <w:tc>
          <w:tcPr>
            <w:tcW w:w="8110" w:type="dxa"/>
            <w:gridSpan w:val="5"/>
            <w:vAlign w:val="center"/>
          </w:tcPr>
          <w:p w14:paraId="66ECD628">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养成实事求是的精神；（2）增强生涯发展的自信心</w:t>
            </w:r>
            <w:r>
              <w:rPr>
                <w:rFonts w:ascii="宋体" w:hAnsi="宋体" w:eastAsia="宋体" w:cs="Times New Roman"/>
                <w:color w:val="000000"/>
                <w:szCs w:val="21"/>
              </w:rPr>
              <w:t>。</w:t>
            </w:r>
          </w:p>
        </w:tc>
      </w:tr>
      <w:tr w14:paraId="545C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182" w:type="dxa"/>
            <w:vMerge w:val="restart"/>
            <w:vAlign w:val="center"/>
          </w:tcPr>
          <w:p w14:paraId="456A900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rPr>
              <w:t xml:space="preserve"> 技能探索、价值观探索与工作世界探索</w:t>
            </w:r>
          </w:p>
        </w:tc>
        <w:tc>
          <w:tcPr>
            <w:tcW w:w="1704" w:type="dxa"/>
            <w:vAlign w:val="center"/>
          </w:tcPr>
          <w:p w14:paraId="246F11F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技能的概念、技能与职业匹配。</w:t>
            </w:r>
          </w:p>
          <w:p w14:paraId="42C25DA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（2）什么是价值观、价值观与需要、价值观与职业匹配。</w:t>
            </w:r>
          </w:p>
        </w:tc>
        <w:tc>
          <w:tcPr>
            <w:tcW w:w="1135" w:type="dxa"/>
            <w:vAlign w:val="center"/>
          </w:tcPr>
          <w:p w14:paraId="697DB67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r>
              <w:rPr>
                <w:rFonts w:hint="eastAsia" w:ascii="宋体" w:hAnsi="宋体" w:eastAsia="宋体" w:cs="Times New Roman"/>
                <w:color w:val="000000"/>
                <w:szCs w:val="21"/>
              </w:rPr>
              <w:t>、2、3</w:t>
            </w:r>
          </w:p>
        </w:tc>
        <w:tc>
          <w:tcPr>
            <w:tcW w:w="3266" w:type="dxa"/>
            <w:vAlign w:val="center"/>
          </w:tcPr>
          <w:p w14:paraId="3D34379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（1）掌握技能的评估方式、价值观的评估方式。</w:t>
            </w:r>
          </w:p>
          <w:p w14:paraId="1898180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（2）理解价值观对个人职业选择和发展的影响。</w:t>
            </w:r>
          </w:p>
          <w:p w14:paraId="13A1ED7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（3）增强探索职业世界的积极性、主动性。</w:t>
            </w:r>
          </w:p>
        </w:tc>
        <w:tc>
          <w:tcPr>
            <w:tcW w:w="1563" w:type="dxa"/>
            <w:vAlign w:val="center"/>
          </w:tcPr>
          <w:p w14:paraId="7BFCA66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3B76656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8CAF51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.观察实践</w:t>
            </w:r>
          </w:p>
          <w:p w14:paraId="7D38277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2" w:type="dxa"/>
            <w:vAlign w:val="center"/>
          </w:tcPr>
          <w:p w14:paraId="7788E0A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5C2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82" w:type="dxa"/>
            <w:vMerge w:val="continue"/>
            <w:vAlign w:val="center"/>
          </w:tcPr>
          <w:p w14:paraId="52FA4642">
            <w:pPr>
              <w:spacing w:line="264" w:lineRule="auto"/>
              <w:jc w:val="center"/>
              <w:rPr>
                <w:rFonts w:hint="eastAsia" w:ascii="宋体" w:hAnsi="宋体" w:eastAsia="宋体" w:cs="Times New Roman"/>
                <w:color w:val="000000"/>
                <w:szCs w:val="21"/>
              </w:rPr>
            </w:pPr>
          </w:p>
        </w:tc>
        <w:tc>
          <w:tcPr>
            <w:tcW w:w="8110" w:type="dxa"/>
            <w:gridSpan w:val="5"/>
            <w:vAlign w:val="center"/>
          </w:tcPr>
          <w:p w14:paraId="579DFEE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 xml:space="preserve">立足本人实际，把个人发展和经济社会发展结合起来，热爱专业；（2）树立正确的职业观和成才观， </w:t>
            </w:r>
          </w:p>
        </w:tc>
      </w:tr>
      <w:tr w14:paraId="4C62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182" w:type="dxa"/>
            <w:vMerge w:val="restart"/>
            <w:vAlign w:val="center"/>
          </w:tcPr>
          <w:p w14:paraId="292D89C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决策、行动与学业规划</w:t>
            </w:r>
          </w:p>
        </w:tc>
        <w:tc>
          <w:tcPr>
            <w:tcW w:w="1704" w:type="dxa"/>
            <w:vAlign w:val="center"/>
          </w:tcPr>
          <w:p w14:paraId="214EDB0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决策内涵及影响决策的因素。</w:t>
            </w:r>
          </w:p>
          <w:p w14:paraId="3D9B2BC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（2）生涯规划书的撰写。</w:t>
            </w:r>
          </w:p>
        </w:tc>
        <w:tc>
          <w:tcPr>
            <w:tcW w:w="1135" w:type="dxa"/>
            <w:vAlign w:val="center"/>
          </w:tcPr>
          <w:p w14:paraId="77FAD99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5D81E44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在前期探索的基础上，确立大学期间的学业目标。</w:t>
            </w:r>
          </w:p>
          <w:p w14:paraId="414B75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（2）能够正确决策，做好全面系统的学业规划安排。</w:t>
            </w:r>
          </w:p>
        </w:tc>
        <w:tc>
          <w:tcPr>
            <w:tcW w:w="1563" w:type="dxa"/>
            <w:vAlign w:val="center"/>
          </w:tcPr>
          <w:p w14:paraId="562F8E9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CC5371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29DC1C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4A9467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2" w:type="dxa"/>
            <w:vAlign w:val="center"/>
          </w:tcPr>
          <w:p w14:paraId="01695D0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48F8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2" w:type="dxa"/>
            <w:vMerge w:val="continue"/>
            <w:vAlign w:val="center"/>
          </w:tcPr>
          <w:p w14:paraId="3845090E">
            <w:pPr>
              <w:spacing w:line="276" w:lineRule="auto"/>
              <w:jc w:val="center"/>
              <w:rPr>
                <w:rFonts w:hint="eastAsia" w:ascii="宋体" w:hAnsi="宋体" w:eastAsia="宋体" w:cs="Times New Roman"/>
                <w:color w:val="000000"/>
                <w:szCs w:val="21"/>
              </w:rPr>
            </w:pPr>
          </w:p>
        </w:tc>
        <w:tc>
          <w:tcPr>
            <w:tcW w:w="8110" w:type="dxa"/>
            <w:gridSpan w:val="5"/>
            <w:vAlign w:val="center"/>
          </w:tcPr>
          <w:p w14:paraId="2110990C">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树立明确的发展目标；（2）正确处理个人发展与社会发展的关系。</w:t>
            </w:r>
          </w:p>
        </w:tc>
      </w:tr>
      <w:tr w14:paraId="1049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182" w:type="dxa"/>
            <w:vMerge w:val="restart"/>
            <w:vAlign w:val="center"/>
          </w:tcPr>
          <w:p w14:paraId="5E1A5B4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rPr>
              <w:t xml:space="preserve"> </w:t>
            </w:r>
            <w:r>
              <w:rPr>
                <w:rFonts w:hint="eastAsia" w:ascii="宋体" w:hAnsi="宋体" w:eastAsia="宋体"/>
              </w:rPr>
              <w:t>生涯规划专家讲座</w:t>
            </w:r>
          </w:p>
        </w:tc>
        <w:tc>
          <w:tcPr>
            <w:tcW w:w="1704" w:type="dxa"/>
            <w:vAlign w:val="center"/>
          </w:tcPr>
          <w:p w14:paraId="720F0DD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职业生涯校外导师讲座。</w:t>
            </w:r>
          </w:p>
          <w:p w14:paraId="6D7AEB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（2）成功校友企业家、资深企业HR讲座</w:t>
            </w:r>
          </w:p>
        </w:tc>
        <w:tc>
          <w:tcPr>
            <w:tcW w:w="1135" w:type="dxa"/>
            <w:vAlign w:val="center"/>
          </w:tcPr>
          <w:p w14:paraId="79AC165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r>
              <w:rPr>
                <w:rFonts w:hint="eastAsia" w:ascii="宋体" w:hAnsi="宋体" w:eastAsia="宋体" w:cs="Times New Roman"/>
                <w:color w:val="000000"/>
                <w:szCs w:val="21"/>
              </w:rPr>
              <w:t>、2、3</w:t>
            </w:r>
          </w:p>
        </w:tc>
        <w:tc>
          <w:tcPr>
            <w:tcW w:w="3266" w:type="dxa"/>
            <w:vAlign w:val="center"/>
          </w:tcPr>
          <w:p w14:paraId="798208A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了解职业成功人士的事迹</w:t>
            </w:r>
            <w:r>
              <w:rPr>
                <w:rFonts w:ascii="宋体" w:hAnsi="宋体" w:eastAsia="宋体" w:cs="Times New Roman"/>
                <w:color w:val="000000"/>
                <w:szCs w:val="21"/>
              </w:rPr>
              <w:t>。</w:t>
            </w:r>
          </w:p>
          <w:p w14:paraId="795710B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借鉴职业成功人士的经验。</w:t>
            </w:r>
          </w:p>
          <w:p w14:paraId="4C85F10E">
            <w:pPr>
              <w:spacing w:line="269" w:lineRule="auto"/>
              <w:jc w:val="left"/>
              <w:rPr>
                <w:rFonts w:hint="eastAsia" w:ascii="宋体" w:hAnsi="宋体" w:eastAsia="宋体" w:cs="Times New Roman"/>
                <w:color w:val="000000"/>
                <w:szCs w:val="21"/>
              </w:rPr>
            </w:pPr>
          </w:p>
        </w:tc>
        <w:tc>
          <w:tcPr>
            <w:tcW w:w="1563" w:type="dxa"/>
            <w:vAlign w:val="center"/>
          </w:tcPr>
          <w:p w14:paraId="5214BEC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4ACDBC5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1E85B918">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.观察实践</w:t>
            </w:r>
          </w:p>
          <w:p w14:paraId="2872E1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2" w:type="dxa"/>
            <w:vAlign w:val="center"/>
          </w:tcPr>
          <w:p w14:paraId="5001E73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01A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82" w:type="dxa"/>
            <w:vMerge w:val="continue"/>
            <w:vAlign w:val="center"/>
          </w:tcPr>
          <w:p w14:paraId="15095B7F">
            <w:pPr>
              <w:spacing w:line="264" w:lineRule="auto"/>
              <w:jc w:val="center"/>
              <w:rPr>
                <w:rFonts w:hint="eastAsia" w:ascii="宋体" w:hAnsi="宋体" w:eastAsia="宋体" w:cs="Times New Roman"/>
                <w:color w:val="000000"/>
                <w:szCs w:val="21"/>
              </w:rPr>
            </w:pPr>
          </w:p>
        </w:tc>
        <w:tc>
          <w:tcPr>
            <w:tcW w:w="8110" w:type="dxa"/>
            <w:gridSpan w:val="5"/>
            <w:vAlign w:val="center"/>
          </w:tcPr>
          <w:p w14:paraId="0EF64A04">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强化学习意识</w:t>
            </w:r>
            <w:r>
              <w:rPr>
                <w:rFonts w:ascii="宋体" w:hAnsi="宋体" w:eastAsia="宋体" w:cs="Times New Roman"/>
                <w:color w:val="000000"/>
                <w:szCs w:val="21"/>
              </w:rPr>
              <w:t>。</w:t>
            </w: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明确努力方向。</w:t>
            </w:r>
          </w:p>
        </w:tc>
      </w:tr>
      <w:tr w14:paraId="130E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182" w:type="dxa"/>
            <w:vMerge w:val="restart"/>
            <w:vAlign w:val="center"/>
          </w:tcPr>
          <w:p w14:paraId="2AB8001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职业生涯实践</w:t>
            </w:r>
          </w:p>
        </w:tc>
        <w:tc>
          <w:tcPr>
            <w:tcW w:w="1704" w:type="dxa"/>
            <w:vAlign w:val="center"/>
          </w:tcPr>
          <w:p w14:paraId="32ED754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参观职业生涯实践基地。</w:t>
            </w:r>
          </w:p>
          <w:p w14:paraId="12803AE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（2）观看生涯规划视频、影片</w:t>
            </w:r>
          </w:p>
        </w:tc>
        <w:tc>
          <w:tcPr>
            <w:tcW w:w="1135" w:type="dxa"/>
            <w:vAlign w:val="center"/>
          </w:tcPr>
          <w:p w14:paraId="50E0F8F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6EA700C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经历职业生涯实践，强化对职业生涯规划意义的理解。</w:t>
            </w:r>
          </w:p>
          <w:p w14:paraId="5EC7128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具有根据实际情况调整生涯规划的能力。</w:t>
            </w:r>
            <w:r>
              <w:rPr>
                <w:rFonts w:ascii="宋体" w:hAnsi="宋体" w:eastAsia="宋体" w:cs="Times New Roman"/>
                <w:color w:val="000000"/>
                <w:szCs w:val="21"/>
              </w:rPr>
              <w:t xml:space="preserve"> </w:t>
            </w:r>
          </w:p>
        </w:tc>
        <w:tc>
          <w:tcPr>
            <w:tcW w:w="1563" w:type="dxa"/>
            <w:vAlign w:val="center"/>
          </w:tcPr>
          <w:p w14:paraId="592D30B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86B107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35E16F5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2D0542D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2" w:type="dxa"/>
            <w:vAlign w:val="center"/>
          </w:tcPr>
          <w:p w14:paraId="0E59F388">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r>
      <w:tr w14:paraId="2FD0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182" w:type="dxa"/>
            <w:vMerge w:val="continue"/>
            <w:vAlign w:val="center"/>
          </w:tcPr>
          <w:p w14:paraId="14B71F9F">
            <w:pPr>
              <w:spacing w:line="276" w:lineRule="auto"/>
              <w:jc w:val="center"/>
              <w:rPr>
                <w:rFonts w:hint="eastAsia" w:ascii="宋体" w:hAnsi="宋体" w:eastAsia="宋体" w:cs="Times New Roman"/>
                <w:color w:val="000000"/>
                <w:szCs w:val="21"/>
              </w:rPr>
            </w:pPr>
          </w:p>
        </w:tc>
        <w:tc>
          <w:tcPr>
            <w:tcW w:w="8110" w:type="dxa"/>
            <w:gridSpan w:val="5"/>
            <w:vAlign w:val="center"/>
          </w:tcPr>
          <w:p w14:paraId="54E72480">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形成正确的职业观和择业观；（2）具有较强的反思能力</w:t>
            </w:r>
            <w:r>
              <w:rPr>
                <w:rFonts w:ascii="宋体" w:hAnsi="宋体" w:eastAsia="宋体" w:cs="Times New Roman"/>
                <w:color w:val="000000"/>
                <w:szCs w:val="21"/>
              </w:rPr>
              <w:t>。</w:t>
            </w:r>
          </w:p>
        </w:tc>
      </w:tr>
    </w:tbl>
    <w:p w14:paraId="0A1C7D28">
      <w:pPr>
        <w:spacing w:line="360" w:lineRule="auto"/>
        <w:jc w:val="left"/>
        <w:rPr>
          <w:rFonts w:ascii="Times New Roman" w:hAnsi="Times New Roman" w:eastAsia="宋体" w:cs="Times New Roman"/>
          <w:sz w:val="24"/>
          <w:szCs w:val="24"/>
        </w:rPr>
      </w:pPr>
    </w:p>
    <w:p w14:paraId="186EB21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79AFB6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F83369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6F6325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908"/>
        <w:gridCol w:w="1735"/>
        <w:gridCol w:w="1735"/>
        <w:gridCol w:w="1046"/>
      </w:tblGrid>
      <w:tr w14:paraId="6BFA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restart"/>
            <w:vAlign w:val="center"/>
          </w:tcPr>
          <w:p w14:paraId="7D37AD7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0C8DE80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166C501E">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11F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Merge w:val="continue"/>
            <w:vAlign w:val="center"/>
          </w:tcPr>
          <w:p w14:paraId="147560C1">
            <w:pPr>
              <w:spacing w:line="360" w:lineRule="auto"/>
              <w:jc w:val="center"/>
              <w:rPr>
                <w:rFonts w:hint="eastAsia" w:ascii="宋体" w:hAnsi="宋体" w:eastAsia="宋体" w:cs="Times New Roman"/>
                <w:szCs w:val="21"/>
              </w:rPr>
            </w:pPr>
          </w:p>
        </w:tc>
        <w:tc>
          <w:tcPr>
            <w:tcW w:w="0" w:type="auto"/>
            <w:vAlign w:val="center"/>
          </w:tcPr>
          <w:p w14:paraId="3926DB6B">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28F3B482">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8C1B9E9">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777AA7AC">
            <w:pPr>
              <w:spacing w:line="360" w:lineRule="auto"/>
              <w:jc w:val="center"/>
              <w:rPr>
                <w:rFonts w:hint="eastAsia" w:ascii="宋体" w:hAnsi="宋体" w:eastAsia="宋体" w:cs="Times New Roman"/>
                <w:szCs w:val="21"/>
              </w:rPr>
            </w:pPr>
          </w:p>
        </w:tc>
      </w:tr>
      <w:tr w14:paraId="67F8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20FD2C4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8108F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A5E2BC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DAE421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633D1BD">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1447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48A4878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77B71BB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75328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DCB125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49ABB3B">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21D3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4213E59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765B532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25CC8F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4A68F8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3D967CA">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r>
      <w:tr w14:paraId="4603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76AFF0F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557A2DF">
            <w:pPr>
              <w:spacing w:line="360" w:lineRule="auto"/>
              <w:jc w:val="center"/>
              <w:rPr>
                <w:rFonts w:hint="eastAsia" w:ascii="宋体" w:hAnsi="宋体" w:eastAsia="宋体" w:cs="Times New Roman"/>
                <w:szCs w:val="21"/>
              </w:rPr>
            </w:pPr>
            <w:r>
              <w:rPr>
                <w:rFonts w:ascii="宋体" w:hAnsi="宋体" w:eastAsia="宋体" w:cs="Times New Roman"/>
                <w:szCs w:val="21"/>
              </w:rPr>
              <w:t>40</w:t>
            </w:r>
          </w:p>
        </w:tc>
        <w:tc>
          <w:tcPr>
            <w:tcW w:w="0" w:type="auto"/>
            <w:vAlign w:val="center"/>
          </w:tcPr>
          <w:p w14:paraId="2C954C88">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2948FB08">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45BB606D">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AEA113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B9C7D5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0BA41D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2860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8A5F2D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4A60EE4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E8F7BC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5F5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3FE09B8">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7465725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45633C1F">
            <w:pPr>
              <w:jc w:val="center"/>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0%</w:t>
            </w:r>
          </w:p>
        </w:tc>
      </w:tr>
      <w:tr w14:paraId="0865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C3B509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609E2C51">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课堂表现。</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按照对应的课程目标及权重给予评定</w:t>
            </w:r>
            <w:r>
              <w:rPr>
                <w:rFonts w:hint="eastAsia" w:ascii="宋体" w:hAnsi="宋体" w:eastAsia="宋体" w:cs="宋体"/>
                <w:color w:val="000000"/>
                <w:kern w:val="0"/>
                <w:szCs w:val="21"/>
                <w:lang w:bidi="ar"/>
              </w:rPr>
              <w:t>。</w:t>
            </w:r>
          </w:p>
        </w:tc>
        <w:tc>
          <w:tcPr>
            <w:tcW w:w="0" w:type="auto"/>
            <w:vAlign w:val="center"/>
          </w:tcPr>
          <w:p w14:paraId="77C5C88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408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3A48FC8">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1EB3BC04">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结合专业和自身实际，撰写一份大学生职业发展规划书，规划要有明确的目标和计划，不少于1</w:t>
            </w:r>
            <w:r>
              <w:rPr>
                <w:rFonts w:ascii="Times New Roman" w:hAnsi="Times New Roman" w:eastAsia="宋体" w:cs="Times New Roman"/>
                <w:color w:val="000000"/>
                <w:szCs w:val="21"/>
              </w:rPr>
              <w:t>500</w:t>
            </w:r>
            <w:r>
              <w:rPr>
                <w:rFonts w:hint="eastAsia" w:ascii="Times New Roman" w:hAnsi="Times New Roman" w:eastAsia="宋体" w:cs="Times New Roman"/>
                <w:color w:val="000000"/>
                <w:szCs w:val="21"/>
              </w:rPr>
              <w:t>字</w:t>
            </w:r>
            <w:r>
              <w:rPr>
                <w:rFonts w:ascii="Times New Roman" w:hAnsi="Times New Roman" w:eastAsia="宋体" w:cs="Times New Roman"/>
                <w:color w:val="000000"/>
                <w:szCs w:val="21"/>
              </w:rPr>
              <w:t>。</w:t>
            </w:r>
          </w:p>
        </w:tc>
        <w:tc>
          <w:tcPr>
            <w:tcW w:w="0" w:type="auto"/>
            <w:vAlign w:val="center"/>
          </w:tcPr>
          <w:p w14:paraId="7CF0F802">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74F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BEB8A7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90294D4">
            <w:pPr>
              <w:jc w:val="left"/>
              <w:rPr>
                <w:rFonts w:ascii="Times New Roman" w:hAnsi="Times New Roman" w:eastAsia="宋体" w:cs="Times New Roman"/>
                <w:szCs w:val="21"/>
              </w:rPr>
            </w:pPr>
          </w:p>
        </w:tc>
        <w:tc>
          <w:tcPr>
            <w:tcW w:w="0" w:type="auto"/>
            <w:vAlign w:val="center"/>
          </w:tcPr>
          <w:p w14:paraId="2FE6DDE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23F452C">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395905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F9BCB72">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1" o:spt="75" type="#_x0000_t75" style="height:24.85pt;width:404.55pt;" o:ole="t" filled="f" o:preferrelative="t" stroked="f" coordsize="21600,21600">
            <v:path/>
            <v:fill on="f" focussize="0,0"/>
            <v:stroke on="f" joinstyle="miter"/>
            <v:imagedata r:id="rId5" o:title=""/>
            <o:lock v:ext="edit" aspectratio="t"/>
            <w10:wrap type="none"/>
            <w10:anchorlock/>
          </v:shape>
          <o:OLEObject Type="Embed" ProgID="Equation.3" ShapeID="_x0000_i1031" DrawAspect="Content" ObjectID="_1468075731" r:id="rId13">
            <o:LockedField>false</o:LockedField>
          </o:OLEObject>
        </w:object>
      </w:r>
    </w:p>
    <w:p w14:paraId="2FD03524">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p>
    <w:p w14:paraId="0F4D7E63">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1CC60214">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1DD807E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094CCED">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本课程根据学生作业、课堂讨论和学生、教学督导等的反馈，及时对教学中的不足之处进行改进，并在下一轮课程教学中整改完善，确保相应毕业要求指标点达成。</w:t>
      </w:r>
    </w:p>
    <w:p w14:paraId="6B58FCA8">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74417B2">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无</w:t>
      </w:r>
    </w:p>
    <w:p w14:paraId="00AC0B64">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14F43F0E">
      <w:pPr>
        <w:spacing w:line="360" w:lineRule="auto"/>
        <w:ind w:firstLine="525" w:firstLineChars="250"/>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rPr>
        <w:t xml:space="preserve"> </w:t>
      </w:r>
      <w:r>
        <w:rPr>
          <w:rFonts w:hint="eastAsia" w:ascii="宋体" w:hAnsi="宋体" w:eastAsia="宋体" w:cs="Times New Roman"/>
          <w:szCs w:val="21"/>
        </w:rPr>
        <w:t>吕莹璐，张侃.大学生职业生涯规划与就业指导.上海：上海交通大学出版社，2019</w:t>
      </w:r>
      <w:r>
        <w:rPr>
          <w:rFonts w:ascii="宋体" w:hAnsi="宋体" w:eastAsia="宋体" w:cs="Times New Roman"/>
          <w:szCs w:val="21"/>
        </w:rPr>
        <w:t>.</w:t>
      </w:r>
    </w:p>
    <w:p w14:paraId="0CD3467F">
      <w:pPr>
        <w:spacing w:line="360" w:lineRule="auto"/>
        <w:ind w:firstLine="525" w:firstLineChars="250"/>
        <w:jc w:val="left"/>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苏文平</w:t>
      </w:r>
      <w:r>
        <w:rPr>
          <w:rFonts w:ascii="宋体" w:hAnsi="宋体" w:eastAsia="宋体" w:cs="Times New Roman"/>
          <w:szCs w:val="21"/>
        </w:rPr>
        <w:t>.</w:t>
      </w:r>
      <w:r>
        <w:rPr>
          <w:rFonts w:hint="eastAsia" w:ascii="宋体" w:hAnsi="宋体" w:eastAsia="宋体" w:cs="Times New Roman"/>
          <w:szCs w:val="21"/>
        </w:rPr>
        <w:t xml:space="preserve"> 职业生涯规划与就业创业指导</w:t>
      </w:r>
      <w:r>
        <w:rPr>
          <w:rFonts w:ascii="宋体" w:hAnsi="宋体" w:eastAsia="宋体" w:cs="Times New Roman"/>
          <w:szCs w:val="21"/>
        </w:rPr>
        <w:t>.北京：</w:t>
      </w:r>
      <w:r>
        <w:rPr>
          <w:rFonts w:hint="eastAsia" w:ascii="宋体" w:hAnsi="宋体" w:eastAsia="宋体" w:cs="Times New Roman"/>
          <w:szCs w:val="21"/>
        </w:rPr>
        <w:t>中国</w:t>
      </w:r>
      <w:r>
        <w:rPr>
          <w:rFonts w:ascii="宋体" w:hAnsi="宋体" w:eastAsia="宋体" w:cs="Times New Roman"/>
          <w:szCs w:val="21"/>
        </w:rPr>
        <w:t>人民</w:t>
      </w:r>
      <w:r>
        <w:rPr>
          <w:rFonts w:hint="eastAsia" w:ascii="宋体" w:hAnsi="宋体" w:eastAsia="宋体" w:cs="Times New Roman"/>
          <w:szCs w:val="21"/>
        </w:rPr>
        <w:t>大学</w:t>
      </w:r>
      <w:r>
        <w:rPr>
          <w:rFonts w:ascii="宋体" w:hAnsi="宋体" w:eastAsia="宋体" w:cs="Times New Roman"/>
          <w:szCs w:val="21"/>
        </w:rPr>
        <w:t>出版社，20</w:t>
      </w:r>
      <w:r>
        <w:rPr>
          <w:rFonts w:hint="eastAsia" w:ascii="宋体" w:hAnsi="宋体" w:eastAsia="宋体" w:cs="Times New Roman"/>
          <w:szCs w:val="21"/>
        </w:rPr>
        <w:t>23</w:t>
      </w:r>
      <w:r>
        <w:rPr>
          <w:rFonts w:ascii="宋体" w:hAnsi="宋体" w:eastAsia="宋体" w:cs="Times New Roman"/>
          <w:szCs w:val="21"/>
        </w:rPr>
        <w:t>.</w:t>
      </w:r>
    </w:p>
    <w:p w14:paraId="46BFFA88">
      <w:pPr>
        <w:spacing w:line="360" w:lineRule="auto"/>
        <w:ind w:firstLine="525" w:firstLineChars="250"/>
        <w:jc w:val="left"/>
        <w:rPr>
          <w:rFonts w:hint="eastAsia" w:ascii="宋体" w:hAnsi="宋体" w:eastAsia="宋体" w:cs="Times New Roman"/>
          <w:szCs w:val="21"/>
        </w:rPr>
      </w:pPr>
    </w:p>
    <w:p w14:paraId="236D750A">
      <w:pPr>
        <w:rPr>
          <w:rFonts w:hint="eastAsia"/>
        </w:rPr>
      </w:pPr>
    </w:p>
    <w:p w14:paraId="45A9B39C">
      <w:pPr>
        <w:spacing w:line="360" w:lineRule="auto"/>
        <w:ind w:right="1200" w:firstLine="4800" w:firstLineChars="20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执 笔 人：</w:t>
      </w:r>
      <w:r>
        <w:rPr>
          <w:rFonts w:hint="eastAsia" w:ascii="Times New Roman" w:hAnsi="Times New Roman" w:eastAsia="宋体" w:cs="Times New Roman"/>
          <w:sz w:val="24"/>
          <w:szCs w:val="24"/>
          <w:lang w:val="en-US" w:eastAsia="zh-CN"/>
        </w:rPr>
        <w:t>周晓飞</w:t>
      </w:r>
    </w:p>
    <w:p w14:paraId="2FAE5284">
      <w:pPr>
        <w:wordWrap w:val="0"/>
        <w:spacing w:line="360" w:lineRule="auto"/>
        <w:ind w:right="1440" w:firstLine="4800" w:firstLineChars="20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 定 人：</w:t>
      </w:r>
      <w:r>
        <w:rPr>
          <w:rFonts w:hint="eastAsia" w:ascii="Times New Roman" w:hAnsi="Times New Roman" w:eastAsia="宋体" w:cs="Times New Roman"/>
          <w:sz w:val="24"/>
          <w:szCs w:val="24"/>
          <w:lang w:val="en-US" w:eastAsia="zh-CN"/>
        </w:rPr>
        <w:t>杨晓岚</w:t>
      </w:r>
    </w:p>
    <w:p w14:paraId="05673F70">
      <w:pPr>
        <w:spacing w:line="360" w:lineRule="auto"/>
        <w:ind w:right="1200" w:firstLine="4800" w:firstLineChars="20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 批 人：</w:t>
      </w:r>
      <w:r>
        <w:rPr>
          <w:rFonts w:hint="eastAsia" w:ascii="Times New Roman" w:hAnsi="Times New Roman" w:eastAsia="宋体" w:cs="Times New Roman"/>
          <w:sz w:val="24"/>
          <w:szCs w:val="24"/>
          <w:lang w:val="en-US" w:eastAsia="zh-CN"/>
        </w:rPr>
        <w:t>张建波</w:t>
      </w:r>
    </w:p>
    <w:p w14:paraId="2D077FA2">
      <w:pPr>
        <w:spacing w:line="360" w:lineRule="auto"/>
        <w:ind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6CA82307">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4D189A9F">
      <w:pPr>
        <w:pStyle w:val="2"/>
        <w:bidi w:val="0"/>
      </w:pPr>
      <w:bookmarkStart w:id="272" w:name="_Toc20249"/>
      <w:r>
        <w:rPr>
          <w:rFonts w:hint="eastAsia"/>
        </w:rPr>
        <w:t>《大学生就业指导》课程教学大纲</w:t>
      </w:r>
      <w:bookmarkEnd w:id="272"/>
    </w:p>
    <w:p w14:paraId="0B694AB4">
      <w:pPr>
        <w:pStyle w:val="2"/>
        <w:bidi w:val="0"/>
      </w:pPr>
      <w:bookmarkStart w:id="273" w:name="_Toc11307"/>
      <w:r>
        <w:t>（</w:t>
      </w:r>
      <w:r>
        <w:rPr>
          <w:rFonts w:hint="eastAsia"/>
        </w:rPr>
        <w:t>College Students Career Guidance</w:t>
      </w:r>
      <w:r>
        <w:t>）</w:t>
      </w:r>
      <w:bookmarkEnd w:id="273"/>
    </w:p>
    <w:p w14:paraId="62F824E9">
      <w:pPr>
        <w:spacing w:line="360" w:lineRule="auto"/>
        <w:jc w:val="center"/>
        <w:rPr>
          <w:rFonts w:ascii="Times New Roman" w:hAnsi="Times New Roman" w:eastAsia="宋体" w:cs="Times New Roman"/>
          <w:bCs/>
          <w:sz w:val="30"/>
          <w:szCs w:val="30"/>
        </w:rPr>
      </w:pPr>
    </w:p>
    <w:p w14:paraId="2052B9F1">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课程名称：大学生就业指导</w:t>
      </w:r>
    </w:p>
    <w:p w14:paraId="4C8B653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课程代码：0000007</w:t>
      </w:r>
    </w:p>
    <w:p w14:paraId="6B1582AE">
      <w:pPr>
        <w:spacing w:line="360" w:lineRule="auto"/>
        <w:ind w:firstLine="482"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分：0.5</w:t>
      </w:r>
    </w:p>
    <w:p w14:paraId="71E43B3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时：8</w:t>
      </w:r>
    </w:p>
    <w:p w14:paraId="6C465C0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先修课程：大学生职业生涯规划</w:t>
      </w:r>
    </w:p>
    <w:p w14:paraId="6CCD291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适用专业：所有专业</w:t>
      </w:r>
    </w:p>
    <w:p w14:paraId="4BA78D21">
      <w:pPr>
        <w:spacing w:line="360" w:lineRule="auto"/>
        <w:jc w:val="left"/>
        <w:rPr>
          <w:rFonts w:ascii="Times New Roman" w:hAnsi="Times New Roman" w:eastAsia="宋体" w:cs="Times New Roman"/>
          <w:b/>
          <w:sz w:val="24"/>
          <w:szCs w:val="24"/>
        </w:rPr>
      </w:pPr>
    </w:p>
    <w:p w14:paraId="14FB851E">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3C5DD623">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针对所有在校全日制本科学生开设的公共必修课程。该课程是帮助大学生了解国家就业形势和政策，引导大学生充分认知自我，合理调整职业预期，树立正确的择业观，增强就业竞争意识，掌握求职择业的基本常识和技巧，把握大学生就业市场的特点和功能，提高大学生的择业、就业能力。通过该课程的学习，让学生对社会、职业和自己有更好的认知，积极适应职业角色和社会环境，培养学生尽快适应社会的能力，做好从“学校人”到“社会人”转变的准备。</w:t>
      </w:r>
    </w:p>
    <w:p w14:paraId="0FCF6D8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6A6AFAD4">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2C202797">
      <w:pPr>
        <w:spacing w:line="360" w:lineRule="auto"/>
        <w:ind w:firstLine="482"/>
        <w:jc w:val="left"/>
        <w:rPr>
          <w:rFonts w:hint="eastAsia"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了解就业形势和创业的意义，树立正确的就业观、择业观、创业观，做好适应社会、融入社会和就业、创业的准备。</w:t>
      </w:r>
    </w:p>
    <w:p w14:paraId="2EC4C193">
      <w:pPr>
        <w:spacing w:line="360" w:lineRule="auto"/>
        <w:ind w:firstLine="482"/>
        <w:jc w:val="left"/>
        <w:rPr>
          <w:rFonts w:hint="eastAsia" w:ascii="Times New Roman" w:hAnsi="Times New Roman" w:eastAsia="宋体" w:cs="Times New Roman"/>
          <w:szCs w:val="21"/>
        </w:rPr>
      </w:pPr>
      <w:r>
        <w:rPr>
          <w:rFonts w:hint="eastAsia" w:ascii="Times New Roman" w:hAnsi="Times New Roman" w:eastAsia="宋体" w:cs="Times New Roman"/>
          <w:b/>
          <w:bCs/>
          <w:szCs w:val="21"/>
        </w:rPr>
        <w:t>目标2.</w:t>
      </w:r>
      <w:r>
        <w:rPr>
          <w:rFonts w:hint="eastAsia" w:ascii="Times New Roman" w:hAnsi="Times New Roman" w:eastAsia="宋体" w:cs="Times New Roman"/>
          <w:b/>
          <w:bCs/>
          <w:szCs w:val="21"/>
        </w:rPr>
        <w:tab/>
      </w:r>
      <w:r>
        <w:rPr>
          <w:rFonts w:hint="eastAsia" w:ascii="Times New Roman" w:hAnsi="Times New Roman" w:eastAsia="宋体" w:cs="Times New Roman"/>
          <w:szCs w:val="21"/>
        </w:rPr>
        <w:t>了解就业政策法规，掌握求职技巧：让学生掌握求职的基本技巧和方法，如简历制作、面试技巧等，提高他们的求职成功率。</w:t>
      </w:r>
    </w:p>
    <w:p w14:paraId="7B7A6619">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目标3.</w:t>
      </w:r>
      <w:r>
        <w:rPr>
          <w:rFonts w:hint="eastAsia" w:ascii="Times New Roman" w:hAnsi="Times New Roman" w:eastAsia="宋体" w:cs="Times New Roman"/>
          <w:b/>
          <w:bCs/>
          <w:szCs w:val="21"/>
        </w:rPr>
        <w:tab/>
      </w:r>
      <w:r>
        <w:rPr>
          <w:rFonts w:hint="eastAsia" w:ascii="Times New Roman" w:hAnsi="Times New Roman" w:eastAsia="宋体" w:cs="Times New Roman"/>
          <w:szCs w:val="21"/>
        </w:rPr>
        <w:t>提高综合素质：通过实践活动和团队合作，培养学生的沟通、协作、创新和解决问题的能力，提高综合素质和适应社会的能力。</w:t>
      </w:r>
    </w:p>
    <w:p w14:paraId="1CEC1933">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A50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4AF7D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830BCC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07BEDC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CBB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7896B3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1684886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191" w:type="dxa"/>
            <w:vAlign w:val="center"/>
          </w:tcPr>
          <w:p w14:paraId="49C5319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233D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3EC27F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4EDA2685">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191" w:type="dxa"/>
            <w:vAlign w:val="center"/>
          </w:tcPr>
          <w:p w14:paraId="753AD61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6A29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F39703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2E0031DA">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指标点7-2：【职业规划合理】了解教师专业发展的要求，形成终身学习的意识和习惯，注重自身的专业发展，根据基础教育课程改革的动态和发展情况，进行职业生涯规划和自主学习。</w:t>
            </w:r>
          </w:p>
        </w:tc>
        <w:tc>
          <w:tcPr>
            <w:tcW w:w="1191" w:type="dxa"/>
            <w:vAlign w:val="center"/>
          </w:tcPr>
          <w:p w14:paraId="451CFB0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1CEA885F">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4C93B8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了解就业形势的基础上，践行社会主义核心价值观，认同中国特色社会主义，认同教师工作的意义和专业性，具有积极的情感、端正的态度、正确的价值观，就业观，立志成为有理想信念、有道德情操、有扎实学习、有仁爱之心的新时代大国良师。</w:t>
      </w:r>
    </w:p>
    <w:p w14:paraId="2C5158DE">
      <w:pPr>
        <w:spacing w:line="360" w:lineRule="auto"/>
        <w:jc w:val="left"/>
        <w:rPr>
          <w:rFonts w:hint="eastAsia" w:ascii="宋体" w:hAnsi="宋体" w:eastAsia="宋体" w:cs="Times New Roman"/>
          <w:b/>
          <w:color w:val="000000"/>
          <w:sz w:val="28"/>
          <w:szCs w:val="28"/>
        </w:rPr>
      </w:pPr>
    </w:p>
    <w:p w14:paraId="4A6D43B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900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F9F301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0CDB80A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0513544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B5E203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888745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D9DC31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B34545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21A735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57A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858291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rPr>
              <w:t xml:space="preserve"> </w:t>
            </w:r>
            <w:r>
              <w:rPr>
                <w:rFonts w:hint="eastAsia" w:ascii="宋体" w:hAnsi="宋体" w:eastAsia="宋体" w:cs="Times New Roman"/>
                <w:color w:val="000000"/>
                <w:szCs w:val="21"/>
              </w:rPr>
              <w:t>发现美丽就业机会</w:t>
            </w:r>
          </w:p>
        </w:tc>
        <w:tc>
          <w:tcPr>
            <w:tcW w:w="1701" w:type="dxa"/>
            <w:vAlign w:val="center"/>
          </w:tcPr>
          <w:p w14:paraId="0D96A4C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（1）就业形势分析</w:t>
            </w:r>
          </w:p>
          <w:p w14:paraId="3A6DDE5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（2）高校毕业生就业政策</w:t>
            </w:r>
          </w:p>
          <w:p w14:paraId="00E0A42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（3）就业选择</w:t>
            </w:r>
          </w:p>
        </w:tc>
        <w:tc>
          <w:tcPr>
            <w:tcW w:w="1134" w:type="dxa"/>
            <w:vAlign w:val="center"/>
          </w:tcPr>
          <w:p w14:paraId="27CD0FE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2C6ADF4">
            <w:pPr>
              <w:pStyle w:val="30"/>
              <w:numPr>
                <w:ilvl w:val="0"/>
                <w:numId w:val="5"/>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了解当前大学生就业的环境</w:t>
            </w:r>
          </w:p>
          <w:p w14:paraId="1318D0E3">
            <w:pPr>
              <w:pStyle w:val="30"/>
              <w:numPr>
                <w:ilvl w:val="0"/>
                <w:numId w:val="5"/>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熟悉大学生就业的有利条件和不利因素</w:t>
            </w:r>
          </w:p>
          <w:p w14:paraId="37D048BF">
            <w:pPr>
              <w:pStyle w:val="30"/>
              <w:numPr>
                <w:ilvl w:val="0"/>
                <w:numId w:val="5"/>
              </w:numPr>
              <w:spacing w:line="269"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掌握自我探索和职业探索的方法。</w:t>
            </w:r>
          </w:p>
        </w:tc>
        <w:tc>
          <w:tcPr>
            <w:tcW w:w="1560" w:type="dxa"/>
            <w:vAlign w:val="center"/>
          </w:tcPr>
          <w:p w14:paraId="0BA235C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0E6611F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5ACCCCE">
            <w:pPr>
              <w:spacing w:line="269" w:lineRule="auto"/>
              <w:jc w:val="left"/>
              <w:rPr>
                <w:rFonts w:hint="eastAsia" w:ascii="宋体" w:hAnsi="宋体" w:eastAsia="宋体" w:cs="Times New Roman"/>
                <w:color w:val="000000"/>
                <w:szCs w:val="21"/>
              </w:rPr>
            </w:pPr>
          </w:p>
        </w:tc>
        <w:tc>
          <w:tcPr>
            <w:tcW w:w="438" w:type="dxa"/>
            <w:vAlign w:val="center"/>
          </w:tcPr>
          <w:p w14:paraId="55FC6B6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2272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97595D">
            <w:pPr>
              <w:spacing w:line="264" w:lineRule="auto"/>
              <w:jc w:val="center"/>
              <w:rPr>
                <w:rFonts w:hint="eastAsia" w:ascii="宋体" w:hAnsi="宋体" w:eastAsia="宋体" w:cs="Times New Roman"/>
                <w:color w:val="000000"/>
                <w:szCs w:val="21"/>
              </w:rPr>
            </w:pPr>
          </w:p>
        </w:tc>
        <w:tc>
          <w:tcPr>
            <w:tcW w:w="8093" w:type="dxa"/>
            <w:gridSpan w:val="5"/>
            <w:vAlign w:val="center"/>
          </w:tcPr>
          <w:p w14:paraId="19290DF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学生</w:t>
            </w:r>
            <w:r>
              <w:rPr>
                <w:rFonts w:hint="eastAsia" w:ascii="宋体" w:hAnsi="宋体" w:eastAsia="宋体" w:cs="Times New Roman"/>
                <w:color w:val="000000"/>
                <w:szCs w:val="21"/>
              </w:rPr>
              <w:t>了解今年的就业形势，清楚就业政策的前提下，相信党和国家为大学毕业生创造的就业环境，使学生树牢“四个意识”，坚定“四个自信”，坚决做到“两个维护”，立志肩负起民族复兴的时代重任。</w:t>
            </w:r>
          </w:p>
        </w:tc>
      </w:tr>
      <w:tr w14:paraId="2206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240221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rPr>
              <w:t xml:space="preserve"> </w:t>
            </w:r>
            <w:r>
              <w:rPr>
                <w:rFonts w:hint="eastAsia" w:ascii="宋体" w:hAnsi="宋体" w:eastAsia="宋体" w:cs="Times New Roman"/>
                <w:color w:val="000000"/>
                <w:szCs w:val="21"/>
              </w:rPr>
              <w:t>求职能力的提升</w:t>
            </w:r>
          </w:p>
        </w:tc>
        <w:tc>
          <w:tcPr>
            <w:tcW w:w="1701" w:type="dxa"/>
            <w:vAlign w:val="center"/>
          </w:tcPr>
          <w:p w14:paraId="5DA9495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（1）就业思维能力</w:t>
            </w:r>
          </w:p>
          <w:p w14:paraId="6DF91EE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（2）沟通与表达能力</w:t>
            </w:r>
          </w:p>
          <w:p w14:paraId="1B97983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（3）自我管理能力</w:t>
            </w:r>
          </w:p>
        </w:tc>
        <w:tc>
          <w:tcPr>
            <w:tcW w:w="1134" w:type="dxa"/>
            <w:vAlign w:val="center"/>
          </w:tcPr>
          <w:p w14:paraId="1660868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34788471">
            <w:pPr>
              <w:pStyle w:val="30"/>
              <w:numPr>
                <w:ilvl w:val="0"/>
                <w:numId w:val="6"/>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了解基本的逻辑思维和沟通表达的方法</w:t>
            </w:r>
          </w:p>
          <w:p w14:paraId="0E3DDF2B">
            <w:pPr>
              <w:pStyle w:val="30"/>
              <w:numPr>
                <w:ilvl w:val="0"/>
                <w:numId w:val="6"/>
              </w:numPr>
              <w:spacing w:line="269"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通过学习时间管理，有效规划求职进程以及日常安排。</w:t>
            </w:r>
          </w:p>
        </w:tc>
        <w:tc>
          <w:tcPr>
            <w:tcW w:w="1560" w:type="dxa"/>
            <w:vAlign w:val="center"/>
          </w:tcPr>
          <w:p w14:paraId="70007B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5DFD7E7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CE41AB8">
            <w:pPr>
              <w:spacing w:line="269" w:lineRule="auto"/>
              <w:jc w:val="left"/>
              <w:rPr>
                <w:rFonts w:hint="eastAsia" w:ascii="宋体" w:hAnsi="宋体" w:eastAsia="宋体" w:cs="Times New Roman"/>
                <w:color w:val="000000"/>
                <w:szCs w:val="21"/>
              </w:rPr>
            </w:pPr>
          </w:p>
        </w:tc>
        <w:tc>
          <w:tcPr>
            <w:tcW w:w="438" w:type="dxa"/>
            <w:vAlign w:val="center"/>
          </w:tcPr>
          <w:p w14:paraId="0136E91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0546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432FCDD">
            <w:pPr>
              <w:spacing w:line="264" w:lineRule="auto"/>
              <w:jc w:val="center"/>
              <w:rPr>
                <w:rFonts w:hint="eastAsia" w:ascii="宋体" w:hAnsi="宋体" w:eastAsia="宋体" w:cs="Times New Roman"/>
                <w:color w:val="000000"/>
                <w:szCs w:val="21"/>
              </w:rPr>
            </w:pPr>
          </w:p>
        </w:tc>
        <w:tc>
          <w:tcPr>
            <w:tcW w:w="8093" w:type="dxa"/>
            <w:gridSpan w:val="5"/>
            <w:vAlign w:val="center"/>
          </w:tcPr>
          <w:p w14:paraId="679DB060">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把</w:t>
            </w:r>
            <w:r>
              <w:rPr>
                <w:rFonts w:hint="eastAsia" w:ascii="宋体" w:hAnsi="宋体" w:eastAsia="宋体" w:cs="Times New Roman"/>
                <w:color w:val="000000"/>
                <w:szCs w:val="21"/>
              </w:rPr>
              <w:t>践行社会主义核心价值观贯穿课程始终，从国家意识、法治意识、社会责任意识和个人诚信意识等层面，加强社会公德、职业道德教育，培养学生正确的世界观和人生观。</w:t>
            </w:r>
          </w:p>
        </w:tc>
      </w:tr>
      <w:tr w14:paraId="475A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4F1A5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rPr>
              <w:t xml:space="preserve"> </w:t>
            </w:r>
            <w:r>
              <w:rPr>
                <w:rFonts w:hint="eastAsia" w:ascii="宋体" w:hAnsi="宋体" w:eastAsia="宋体" w:cs="Times New Roman"/>
                <w:color w:val="000000"/>
                <w:szCs w:val="21"/>
              </w:rPr>
              <w:t>求职信息的获取与利用</w:t>
            </w:r>
          </w:p>
        </w:tc>
        <w:tc>
          <w:tcPr>
            <w:tcW w:w="1701" w:type="dxa"/>
            <w:vAlign w:val="center"/>
          </w:tcPr>
          <w:p w14:paraId="15C580F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（1）求职信息的获取途径</w:t>
            </w:r>
          </w:p>
          <w:p w14:paraId="4A291D2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（2）求职信息的分析与利用（3）求职计划的制订与进程管理</w:t>
            </w:r>
          </w:p>
        </w:tc>
        <w:tc>
          <w:tcPr>
            <w:tcW w:w="1134" w:type="dxa"/>
            <w:vAlign w:val="center"/>
          </w:tcPr>
          <w:p w14:paraId="7400378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76F35E76">
            <w:pPr>
              <w:pStyle w:val="30"/>
              <w:numPr>
                <w:ilvl w:val="0"/>
                <w:numId w:val="7"/>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熟悉就业信息的获取途径和筛选处理方法</w:t>
            </w:r>
          </w:p>
          <w:p w14:paraId="1F2D74F9">
            <w:pPr>
              <w:pStyle w:val="30"/>
              <w:numPr>
                <w:ilvl w:val="0"/>
                <w:numId w:val="7"/>
              </w:numPr>
              <w:spacing w:line="269"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学会求职计划的制订与进程管理，为就业做好准备。</w:t>
            </w:r>
          </w:p>
        </w:tc>
        <w:tc>
          <w:tcPr>
            <w:tcW w:w="1560" w:type="dxa"/>
            <w:vAlign w:val="center"/>
          </w:tcPr>
          <w:p w14:paraId="4529755A">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17BC78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296AF18">
            <w:pPr>
              <w:spacing w:line="269" w:lineRule="auto"/>
              <w:jc w:val="left"/>
              <w:rPr>
                <w:rFonts w:hint="eastAsia" w:ascii="宋体" w:hAnsi="宋体" w:eastAsia="宋体" w:cs="Times New Roman"/>
                <w:color w:val="000000"/>
                <w:szCs w:val="21"/>
              </w:rPr>
            </w:pPr>
          </w:p>
        </w:tc>
        <w:tc>
          <w:tcPr>
            <w:tcW w:w="438" w:type="dxa"/>
            <w:vAlign w:val="center"/>
          </w:tcPr>
          <w:p w14:paraId="0A67720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4113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4E2FC8A">
            <w:pPr>
              <w:spacing w:line="264" w:lineRule="auto"/>
              <w:jc w:val="center"/>
              <w:rPr>
                <w:rFonts w:hint="eastAsia" w:ascii="宋体" w:hAnsi="宋体" w:eastAsia="宋体" w:cs="Times New Roman"/>
                <w:color w:val="000000"/>
                <w:szCs w:val="21"/>
              </w:rPr>
            </w:pPr>
          </w:p>
        </w:tc>
        <w:tc>
          <w:tcPr>
            <w:tcW w:w="8093" w:type="dxa"/>
            <w:gridSpan w:val="5"/>
            <w:vAlign w:val="center"/>
          </w:tcPr>
          <w:p w14:paraId="2D519EE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在求职信息获取与利用过程中践行社会主义核心价值观，强调社会责任感和个人诚信意识，加强社会公德、职业道德教育，培养学生正确的世界观和人生观。</w:t>
            </w:r>
          </w:p>
        </w:tc>
      </w:tr>
      <w:tr w14:paraId="20DF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11F42A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rPr>
              <w:t xml:space="preserve"> </w:t>
            </w:r>
            <w:r>
              <w:rPr>
                <w:rFonts w:hint="eastAsia" w:ascii="宋体" w:hAnsi="宋体" w:eastAsia="宋体" w:cs="Times New Roman"/>
                <w:color w:val="000000"/>
                <w:szCs w:val="21"/>
              </w:rPr>
              <w:t>求职材料的准备</w:t>
            </w:r>
          </w:p>
        </w:tc>
        <w:tc>
          <w:tcPr>
            <w:tcW w:w="1701" w:type="dxa"/>
            <w:vAlign w:val="center"/>
          </w:tcPr>
          <w:p w14:paraId="685E3AA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（1）简历的提炼与整合</w:t>
            </w:r>
          </w:p>
          <w:p w14:paraId="3A3BF49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（2）如何打造优秀简历</w:t>
            </w:r>
          </w:p>
          <w:p w14:paraId="02D1944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（3）其他求职材料的准备</w:t>
            </w:r>
          </w:p>
          <w:p w14:paraId="4CC9B19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（4）简历投递</w:t>
            </w:r>
          </w:p>
        </w:tc>
        <w:tc>
          <w:tcPr>
            <w:tcW w:w="1134" w:type="dxa"/>
            <w:vAlign w:val="center"/>
          </w:tcPr>
          <w:p w14:paraId="3D496D4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4CD7055C">
            <w:pPr>
              <w:pStyle w:val="30"/>
              <w:numPr>
                <w:ilvl w:val="0"/>
                <w:numId w:val="8"/>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明确求职材料准备的内容</w:t>
            </w:r>
          </w:p>
          <w:p w14:paraId="5BB84709">
            <w:pPr>
              <w:pStyle w:val="30"/>
              <w:numPr>
                <w:ilvl w:val="0"/>
                <w:numId w:val="8"/>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理解书写自荐信的原则</w:t>
            </w:r>
          </w:p>
          <w:p w14:paraId="522A82E4">
            <w:pPr>
              <w:pStyle w:val="30"/>
              <w:numPr>
                <w:ilvl w:val="0"/>
                <w:numId w:val="8"/>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掌握个人简历的写法</w:t>
            </w:r>
          </w:p>
          <w:p w14:paraId="4F3C9810">
            <w:pPr>
              <w:pStyle w:val="30"/>
              <w:numPr>
                <w:ilvl w:val="0"/>
                <w:numId w:val="8"/>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掌握自荐书的内容和写法</w:t>
            </w:r>
          </w:p>
          <w:p w14:paraId="6C0A33D4">
            <w:pPr>
              <w:pStyle w:val="30"/>
              <w:numPr>
                <w:ilvl w:val="0"/>
                <w:numId w:val="8"/>
              </w:numPr>
              <w:spacing w:line="276"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掌握电子简历投递的方法。</w:t>
            </w:r>
          </w:p>
        </w:tc>
        <w:tc>
          <w:tcPr>
            <w:tcW w:w="1560" w:type="dxa"/>
            <w:vAlign w:val="center"/>
          </w:tcPr>
          <w:p w14:paraId="23585F2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756CB8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34B5BCC">
            <w:pPr>
              <w:spacing w:line="276" w:lineRule="auto"/>
              <w:jc w:val="left"/>
              <w:rPr>
                <w:rFonts w:hint="eastAsia" w:ascii="宋体" w:hAnsi="宋体" w:eastAsia="宋体" w:cs="Times New Roman"/>
                <w:color w:val="000000"/>
                <w:szCs w:val="21"/>
              </w:rPr>
            </w:pPr>
          </w:p>
        </w:tc>
        <w:tc>
          <w:tcPr>
            <w:tcW w:w="438" w:type="dxa"/>
            <w:vAlign w:val="center"/>
          </w:tcPr>
          <w:p w14:paraId="18F0A3E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33D4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A8CCD0A">
            <w:pPr>
              <w:spacing w:line="276" w:lineRule="auto"/>
              <w:jc w:val="center"/>
              <w:rPr>
                <w:rFonts w:hint="eastAsia" w:ascii="宋体" w:hAnsi="宋体" w:eastAsia="宋体" w:cs="Times New Roman"/>
                <w:color w:val="000000"/>
                <w:szCs w:val="21"/>
              </w:rPr>
            </w:pPr>
          </w:p>
        </w:tc>
        <w:tc>
          <w:tcPr>
            <w:tcW w:w="8093" w:type="dxa"/>
            <w:gridSpan w:val="5"/>
            <w:vAlign w:val="center"/>
          </w:tcPr>
          <w:p w14:paraId="115E61C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在</w:t>
            </w:r>
            <w:r>
              <w:rPr>
                <w:rFonts w:hint="eastAsia" w:ascii="宋体" w:hAnsi="宋体" w:eastAsia="宋体" w:cs="Times New Roman"/>
                <w:color w:val="000000"/>
                <w:szCs w:val="21"/>
              </w:rPr>
              <w:t>求职材料准备过程中践行社会主义核心价值观，强调社会责任感和个人诚信意识，加强社会公德、职业道德教育，培养学生正确的世界观和人生观。</w:t>
            </w:r>
          </w:p>
        </w:tc>
      </w:tr>
      <w:tr w14:paraId="14D9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B68F6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hint="eastAsia"/>
              </w:rPr>
              <w:t xml:space="preserve"> </w:t>
            </w:r>
            <w:r>
              <w:rPr>
                <w:rFonts w:hint="eastAsia" w:ascii="宋体" w:hAnsi="宋体" w:eastAsia="宋体" w:cs="Times New Roman"/>
                <w:color w:val="000000"/>
                <w:szCs w:val="21"/>
              </w:rPr>
              <w:t>成功应聘的秘诀</w:t>
            </w:r>
          </w:p>
        </w:tc>
        <w:tc>
          <w:tcPr>
            <w:tcW w:w="1701" w:type="dxa"/>
            <w:vAlign w:val="center"/>
          </w:tcPr>
          <w:p w14:paraId="6A65AC5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（1）笔试</w:t>
            </w:r>
          </w:p>
          <w:p w14:paraId="1A719BF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（2）面试准备</w:t>
            </w:r>
          </w:p>
          <w:p w14:paraId="1DC691A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（3）个体面试</w:t>
            </w:r>
          </w:p>
          <w:p w14:paraId="47AD201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（4）群体面试</w:t>
            </w:r>
          </w:p>
          <w:p w14:paraId="459C65C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（5）面试总结与行动促进</w:t>
            </w:r>
          </w:p>
        </w:tc>
        <w:tc>
          <w:tcPr>
            <w:tcW w:w="1134" w:type="dxa"/>
            <w:vAlign w:val="center"/>
          </w:tcPr>
          <w:p w14:paraId="2345DEC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911E2C9">
            <w:pPr>
              <w:pStyle w:val="30"/>
              <w:numPr>
                <w:ilvl w:val="0"/>
                <w:numId w:val="9"/>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熟练掌握参加招聘会的注意事项、</w:t>
            </w:r>
          </w:p>
          <w:p w14:paraId="07933BE1">
            <w:pPr>
              <w:pStyle w:val="30"/>
              <w:numPr>
                <w:ilvl w:val="0"/>
                <w:numId w:val="9"/>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笔试及面试的方法与技巧</w:t>
            </w:r>
          </w:p>
          <w:p w14:paraId="17878435">
            <w:pPr>
              <w:pStyle w:val="30"/>
              <w:spacing w:line="276" w:lineRule="auto"/>
              <w:ind w:left="360" w:firstLine="0" w:firstLineChars="0"/>
              <w:jc w:val="left"/>
              <w:rPr>
                <w:rFonts w:hint="eastAsia" w:ascii="宋体" w:hAnsi="宋体" w:eastAsia="宋体" w:cs="Times New Roman"/>
                <w:color w:val="000000"/>
                <w:szCs w:val="21"/>
              </w:rPr>
            </w:pPr>
          </w:p>
        </w:tc>
        <w:tc>
          <w:tcPr>
            <w:tcW w:w="1560" w:type="dxa"/>
            <w:vAlign w:val="center"/>
          </w:tcPr>
          <w:p w14:paraId="6FF0723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55C9F8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9FA8018">
            <w:pPr>
              <w:spacing w:line="276" w:lineRule="auto"/>
              <w:jc w:val="left"/>
              <w:rPr>
                <w:rFonts w:hint="eastAsia" w:ascii="宋体" w:hAnsi="宋体" w:eastAsia="宋体" w:cs="Times New Roman"/>
                <w:color w:val="000000"/>
                <w:szCs w:val="21"/>
              </w:rPr>
            </w:pPr>
          </w:p>
        </w:tc>
        <w:tc>
          <w:tcPr>
            <w:tcW w:w="438" w:type="dxa"/>
            <w:vAlign w:val="center"/>
          </w:tcPr>
          <w:p w14:paraId="4ED7BBC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6CBE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3A13AA">
            <w:pPr>
              <w:spacing w:line="276" w:lineRule="auto"/>
              <w:jc w:val="center"/>
              <w:rPr>
                <w:rFonts w:hint="eastAsia" w:ascii="宋体" w:hAnsi="宋体" w:eastAsia="宋体" w:cs="Times New Roman"/>
                <w:color w:val="000000"/>
                <w:szCs w:val="21"/>
              </w:rPr>
            </w:pPr>
          </w:p>
        </w:tc>
        <w:tc>
          <w:tcPr>
            <w:tcW w:w="8093" w:type="dxa"/>
            <w:gridSpan w:val="5"/>
            <w:vAlign w:val="center"/>
          </w:tcPr>
          <w:p w14:paraId="6750013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r w14:paraId="4861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B8582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hint="eastAsia"/>
              </w:rPr>
              <w:t xml:space="preserve"> </w:t>
            </w:r>
            <w:r>
              <w:rPr>
                <w:rFonts w:hint="eastAsia" w:ascii="宋体" w:hAnsi="宋体" w:eastAsia="宋体" w:cs="Times New Roman"/>
                <w:color w:val="000000"/>
                <w:szCs w:val="21"/>
              </w:rPr>
              <w:t>择己所长，理性做好选择</w:t>
            </w:r>
          </w:p>
        </w:tc>
        <w:tc>
          <w:tcPr>
            <w:tcW w:w="1701" w:type="dxa"/>
            <w:vAlign w:val="center"/>
          </w:tcPr>
          <w:p w14:paraId="4B7E226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（1）职业选择类型</w:t>
            </w:r>
          </w:p>
          <w:p w14:paraId="31AEB98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（2）毕业生就业方向分析</w:t>
            </w:r>
          </w:p>
          <w:p w14:paraId="7066723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（3）职业决策</w:t>
            </w:r>
          </w:p>
        </w:tc>
        <w:tc>
          <w:tcPr>
            <w:tcW w:w="1134" w:type="dxa"/>
            <w:vAlign w:val="center"/>
          </w:tcPr>
          <w:p w14:paraId="02C9D52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BC4B76C">
            <w:pPr>
              <w:pStyle w:val="30"/>
              <w:numPr>
                <w:ilvl w:val="0"/>
                <w:numId w:val="10"/>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了解当前大学生就业观的特点和“误区”</w:t>
            </w:r>
          </w:p>
          <w:p w14:paraId="2FD9EF54">
            <w:pPr>
              <w:pStyle w:val="30"/>
              <w:numPr>
                <w:ilvl w:val="0"/>
                <w:numId w:val="10"/>
              </w:numPr>
              <w:spacing w:line="276"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了解各就业选择的利弊，做出符合自身的就业选择</w:t>
            </w:r>
          </w:p>
        </w:tc>
        <w:tc>
          <w:tcPr>
            <w:tcW w:w="1560" w:type="dxa"/>
            <w:vAlign w:val="center"/>
          </w:tcPr>
          <w:p w14:paraId="04F2025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B4151C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2EC292A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281C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4AB16F1">
            <w:pPr>
              <w:spacing w:line="276" w:lineRule="auto"/>
              <w:jc w:val="center"/>
              <w:rPr>
                <w:rFonts w:hint="eastAsia" w:ascii="宋体" w:hAnsi="宋体" w:eastAsia="宋体" w:cs="Times New Roman"/>
                <w:color w:val="000000"/>
                <w:szCs w:val="21"/>
              </w:rPr>
            </w:pPr>
          </w:p>
        </w:tc>
        <w:tc>
          <w:tcPr>
            <w:tcW w:w="8093" w:type="dxa"/>
            <w:gridSpan w:val="5"/>
            <w:vAlign w:val="center"/>
          </w:tcPr>
          <w:p w14:paraId="6B841D6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r w14:paraId="37B3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02AE18">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r>
              <w:rPr>
                <w:rFonts w:hint="eastAsia"/>
              </w:rPr>
              <w:t xml:space="preserve"> </w:t>
            </w:r>
            <w:r>
              <w:rPr>
                <w:rFonts w:hint="eastAsia" w:ascii="宋体" w:hAnsi="宋体" w:eastAsia="宋体" w:cs="Times New Roman"/>
                <w:szCs w:val="21"/>
              </w:rPr>
              <w:t>毕业生就业管理与权益保护</w:t>
            </w:r>
          </w:p>
        </w:tc>
        <w:tc>
          <w:tcPr>
            <w:tcW w:w="1701" w:type="dxa"/>
            <w:vAlign w:val="center"/>
          </w:tcPr>
          <w:p w14:paraId="35DC4620">
            <w:pPr>
              <w:spacing w:line="276" w:lineRule="auto"/>
              <w:jc w:val="left"/>
              <w:rPr>
                <w:rFonts w:hint="eastAsia" w:ascii="宋体" w:hAnsi="宋体" w:eastAsia="宋体" w:cs="Times New Roman"/>
                <w:szCs w:val="21"/>
              </w:rPr>
            </w:pPr>
            <w:r>
              <w:rPr>
                <w:rFonts w:hint="eastAsia" w:ascii="宋体" w:hAnsi="宋体" w:eastAsia="宋体" w:cs="Times New Roman"/>
                <w:szCs w:val="21"/>
              </w:rPr>
              <w:t>（1）关于就业管理</w:t>
            </w:r>
          </w:p>
          <w:p w14:paraId="3A7B9648">
            <w:pPr>
              <w:spacing w:line="276" w:lineRule="auto"/>
              <w:jc w:val="left"/>
              <w:rPr>
                <w:rFonts w:ascii="宋体" w:hAnsi="宋体" w:eastAsia="宋体" w:cs="Times New Roman"/>
                <w:szCs w:val="21"/>
              </w:rPr>
            </w:pPr>
            <w:r>
              <w:rPr>
                <w:rFonts w:hint="eastAsia" w:ascii="宋体" w:hAnsi="宋体" w:eastAsia="宋体" w:cs="Times New Roman"/>
                <w:szCs w:val="21"/>
              </w:rPr>
              <w:t>（2）就业协议书与推荐表（3）劳动合同</w:t>
            </w:r>
          </w:p>
          <w:p w14:paraId="06F20F0A">
            <w:pPr>
              <w:spacing w:line="276" w:lineRule="auto"/>
              <w:jc w:val="left"/>
              <w:rPr>
                <w:rFonts w:hint="eastAsia" w:ascii="宋体" w:hAnsi="宋体" w:eastAsia="宋体" w:cs="Times New Roman"/>
                <w:szCs w:val="21"/>
              </w:rPr>
            </w:pPr>
            <w:r>
              <w:rPr>
                <w:rFonts w:hint="eastAsia" w:ascii="宋体" w:hAnsi="宋体" w:eastAsia="宋体" w:cs="Times New Roman"/>
                <w:szCs w:val="21"/>
              </w:rPr>
              <w:t>（4）违约与劳动争议</w:t>
            </w:r>
          </w:p>
        </w:tc>
        <w:tc>
          <w:tcPr>
            <w:tcW w:w="1134" w:type="dxa"/>
            <w:vAlign w:val="center"/>
          </w:tcPr>
          <w:p w14:paraId="3451FB0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C08817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1.了解毕业生就业的一般流程及就业陷阱的类型及防范措施；</w:t>
            </w:r>
          </w:p>
          <w:p w14:paraId="69A6DDC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 熟悉《劳动法》、《劳动合同法》的主要内容及就业权益保护内容和方法；</w:t>
            </w:r>
          </w:p>
          <w:p w14:paraId="7B726BA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 掌握就业协议和劳动合同的内容及签订</w:t>
            </w:r>
          </w:p>
        </w:tc>
        <w:tc>
          <w:tcPr>
            <w:tcW w:w="1560" w:type="dxa"/>
            <w:vAlign w:val="center"/>
          </w:tcPr>
          <w:p w14:paraId="160D68E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3F9A5B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9ABCDDE">
            <w:pPr>
              <w:spacing w:line="276" w:lineRule="auto"/>
              <w:jc w:val="left"/>
              <w:rPr>
                <w:rFonts w:hint="eastAsia" w:ascii="宋体" w:hAnsi="宋体" w:eastAsia="宋体" w:cs="Times New Roman"/>
                <w:color w:val="000000"/>
                <w:szCs w:val="21"/>
              </w:rPr>
            </w:pPr>
          </w:p>
        </w:tc>
        <w:tc>
          <w:tcPr>
            <w:tcW w:w="438" w:type="dxa"/>
            <w:vAlign w:val="center"/>
          </w:tcPr>
          <w:p w14:paraId="0D46FED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7761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9A5405">
            <w:pPr>
              <w:spacing w:line="276" w:lineRule="auto"/>
              <w:jc w:val="center"/>
              <w:rPr>
                <w:rFonts w:hint="eastAsia" w:ascii="宋体" w:hAnsi="宋体" w:eastAsia="宋体" w:cs="Times New Roman"/>
                <w:color w:val="000000"/>
                <w:szCs w:val="21"/>
              </w:rPr>
            </w:pPr>
          </w:p>
        </w:tc>
        <w:tc>
          <w:tcPr>
            <w:tcW w:w="8093" w:type="dxa"/>
            <w:gridSpan w:val="5"/>
            <w:vAlign w:val="center"/>
          </w:tcPr>
          <w:p w14:paraId="664DF7CE">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r w14:paraId="14A6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1EED6B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hint="eastAsia"/>
              </w:rPr>
              <w:t xml:space="preserve"> </w:t>
            </w:r>
            <w:r>
              <w:rPr>
                <w:rFonts w:hint="eastAsia" w:ascii="宋体" w:hAnsi="宋体" w:eastAsia="宋体" w:cs="Times New Roman"/>
                <w:color w:val="000000"/>
                <w:szCs w:val="21"/>
              </w:rPr>
              <w:t>胜任职场，创造精彩人生</w:t>
            </w:r>
          </w:p>
        </w:tc>
        <w:tc>
          <w:tcPr>
            <w:tcW w:w="1701" w:type="dxa"/>
            <w:vAlign w:val="center"/>
          </w:tcPr>
          <w:p w14:paraId="3BCDCFA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（1）见变知微，潜字为先——从学生到职场人</w:t>
            </w:r>
          </w:p>
          <w:p w14:paraId="3A87ECB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（2）含蓄勤勉，大人之风——职业发展要点</w:t>
            </w:r>
          </w:p>
          <w:p w14:paraId="719C4AE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（3）找准定位，重视过程——职业发展智慧</w:t>
            </w:r>
          </w:p>
        </w:tc>
        <w:tc>
          <w:tcPr>
            <w:tcW w:w="1134" w:type="dxa"/>
            <w:vAlign w:val="center"/>
          </w:tcPr>
          <w:p w14:paraId="36A726B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161F846D">
            <w:pPr>
              <w:pStyle w:val="30"/>
              <w:numPr>
                <w:ilvl w:val="0"/>
                <w:numId w:val="11"/>
              </w:numPr>
              <w:spacing w:line="264"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要求学生了解职场文化和规则，培养自己的职业技能和素养</w:t>
            </w:r>
          </w:p>
          <w:p w14:paraId="79DCB783">
            <w:pPr>
              <w:pStyle w:val="30"/>
              <w:numPr>
                <w:ilvl w:val="0"/>
                <w:numId w:val="11"/>
              </w:numPr>
              <w:spacing w:line="264"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树立正确的职业观念和态度，学会处理人际关系</w:t>
            </w:r>
          </w:p>
          <w:p w14:paraId="48CAB50B">
            <w:pPr>
              <w:pStyle w:val="30"/>
              <w:numPr>
                <w:ilvl w:val="0"/>
                <w:numId w:val="11"/>
              </w:numPr>
              <w:spacing w:line="264"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自我管理和自我发展，从而更好地适应职场环境和工作要求，实现个人职业发展和成长。</w:t>
            </w:r>
          </w:p>
        </w:tc>
        <w:tc>
          <w:tcPr>
            <w:tcW w:w="1560" w:type="dxa"/>
            <w:vAlign w:val="center"/>
          </w:tcPr>
          <w:p w14:paraId="30CCDC1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3B13B0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48CFA31">
            <w:pPr>
              <w:spacing w:line="264" w:lineRule="auto"/>
              <w:jc w:val="left"/>
              <w:rPr>
                <w:rFonts w:hint="eastAsia" w:ascii="宋体" w:hAnsi="宋体" w:eastAsia="宋体" w:cs="Times New Roman"/>
                <w:color w:val="000000"/>
                <w:szCs w:val="21"/>
              </w:rPr>
            </w:pPr>
          </w:p>
        </w:tc>
        <w:tc>
          <w:tcPr>
            <w:tcW w:w="438" w:type="dxa"/>
            <w:vAlign w:val="center"/>
          </w:tcPr>
          <w:p w14:paraId="5AE3EA0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7877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77BED3D">
            <w:pPr>
              <w:spacing w:line="264" w:lineRule="auto"/>
              <w:jc w:val="center"/>
              <w:rPr>
                <w:rFonts w:hint="eastAsia" w:ascii="宋体" w:hAnsi="宋体" w:eastAsia="宋体" w:cs="Times New Roman"/>
                <w:color w:val="000000"/>
                <w:szCs w:val="21"/>
              </w:rPr>
            </w:pPr>
          </w:p>
        </w:tc>
        <w:tc>
          <w:tcPr>
            <w:tcW w:w="8093" w:type="dxa"/>
            <w:gridSpan w:val="5"/>
            <w:vAlign w:val="center"/>
          </w:tcPr>
          <w:p w14:paraId="05B0C401">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在求职材料准备过程中践行社会主义核心价值观，强调社会责任感和个人诚信意识，加强社会公德、职业道德教育，培养学生正确的世界观和人生观。</w:t>
            </w:r>
          </w:p>
        </w:tc>
      </w:tr>
    </w:tbl>
    <w:p w14:paraId="54A36799">
      <w:pPr>
        <w:spacing w:line="360" w:lineRule="auto"/>
        <w:jc w:val="left"/>
        <w:rPr>
          <w:rFonts w:ascii="Times New Roman" w:hAnsi="Times New Roman" w:eastAsia="宋体" w:cs="Times New Roman"/>
          <w:sz w:val="24"/>
          <w:szCs w:val="24"/>
        </w:rPr>
      </w:pPr>
    </w:p>
    <w:p w14:paraId="0282F6FD">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479B73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0F3A99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691D63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760"/>
        <w:gridCol w:w="1760"/>
        <w:gridCol w:w="1760"/>
        <w:gridCol w:w="1060"/>
      </w:tblGrid>
      <w:tr w14:paraId="00E2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vMerge w:val="restart"/>
            <w:vAlign w:val="center"/>
          </w:tcPr>
          <w:p w14:paraId="21DECFE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1C2122A2">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r>
      <w:tr w14:paraId="330D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0" w:type="auto"/>
            <w:vMerge w:val="continue"/>
            <w:vAlign w:val="center"/>
          </w:tcPr>
          <w:p w14:paraId="3F234EA0">
            <w:pPr>
              <w:spacing w:line="360" w:lineRule="auto"/>
              <w:jc w:val="center"/>
              <w:rPr>
                <w:rFonts w:hint="eastAsia" w:ascii="宋体" w:hAnsi="宋体" w:eastAsia="宋体" w:cs="Times New Roman"/>
                <w:szCs w:val="21"/>
              </w:rPr>
            </w:pPr>
          </w:p>
        </w:tc>
        <w:tc>
          <w:tcPr>
            <w:tcW w:w="0" w:type="auto"/>
            <w:vAlign w:val="center"/>
          </w:tcPr>
          <w:p w14:paraId="37CB8705">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334D9B07">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402A07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Align w:val="center"/>
          </w:tcPr>
          <w:p w14:paraId="2F65E73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790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0" w:type="auto"/>
            <w:vAlign w:val="center"/>
          </w:tcPr>
          <w:p w14:paraId="6674A0E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7E99645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B0FA6F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DEF526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2117B2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1A8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vAlign w:val="center"/>
          </w:tcPr>
          <w:p w14:paraId="12E9112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406CB33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6878DF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F01D62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2A83E1D">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11FE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vAlign w:val="center"/>
          </w:tcPr>
          <w:p w14:paraId="3AF45B7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2A48E4E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BF6DD59">
            <w:pPr>
              <w:spacing w:line="360" w:lineRule="auto"/>
              <w:jc w:val="center"/>
              <w:rPr>
                <w:rFonts w:hint="eastAsia" w:ascii="宋体" w:hAnsi="宋体" w:eastAsia="宋体" w:cs="Times New Roman"/>
                <w:szCs w:val="21"/>
              </w:rPr>
            </w:pPr>
          </w:p>
        </w:tc>
        <w:tc>
          <w:tcPr>
            <w:tcW w:w="0" w:type="auto"/>
            <w:vAlign w:val="center"/>
          </w:tcPr>
          <w:p w14:paraId="01B0F32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16C992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B99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0" w:type="auto"/>
            <w:vAlign w:val="center"/>
          </w:tcPr>
          <w:p w14:paraId="6D1903C1">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154FD04">
            <w:pPr>
              <w:spacing w:line="360" w:lineRule="auto"/>
              <w:jc w:val="center"/>
              <w:rPr>
                <w:rFonts w:hint="eastAsia" w:ascii="宋体" w:hAnsi="宋体" w:eastAsia="宋体" w:cs="Times New Roman"/>
                <w:szCs w:val="21"/>
              </w:rPr>
            </w:pPr>
          </w:p>
        </w:tc>
        <w:tc>
          <w:tcPr>
            <w:tcW w:w="0" w:type="auto"/>
            <w:vAlign w:val="center"/>
          </w:tcPr>
          <w:p w14:paraId="58F1AE71">
            <w:pPr>
              <w:spacing w:line="360" w:lineRule="auto"/>
              <w:jc w:val="center"/>
              <w:rPr>
                <w:rFonts w:hint="eastAsia" w:ascii="宋体" w:hAnsi="宋体" w:eastAsia="宋体" w:cs="Times New Roman"/>
                <w:szCs w:val="21"/>
              </w:rPr>
            </w:pPr>
          </w:p>
        </w:tc>
        <w:tc>
          <w:tcPr>
            <w:tcW w:w="0" w:type="auto"/>
            <w:vAlign w:val="center"/>
          </w:tcPr>
          <w:p w14:paraId="6E58C478">
            <w:pPr>
              <w:spacing w:line="360" w:lineRule="auto"/>
              <w:jc w:val="center"/>
              <w:rPr>
                <w:rFonts w:hint="eastAsia" w:ascii="宋体" w:hAnsi="宋体" w:eastAsia="宋体" w:cs="Times New Roman"/>
                <w:szCs w:val="21"/>
              </w:rPr>
            </w:pPr>
          </w:p>
        </w:tc>
        <w:tc>
          <w:tcPr>
            <w:tcW w:w="0" w:type="auto"/>
            <w:vAlign w:val="center"/>
          </w:tcPr>
          <w:p w14:paraId="4853F46A">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8723A9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A08205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BE6438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4900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0DAB82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3B1F28A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6C186D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0AD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9130F6A">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6924" w:type="dxa"/>
            <w:vAlign w:val="center"/>
          </w:tcPr>
          <w:p w14:paraId="60F10EB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平时作业共2次，第一次是搜索资料，完成新兴职业的介绍；第二次为完成一个个人简历的设计，以美观、内容完整、符合个人特色为主要评分标准。</w:t>
            </w:r>
          </w:p>
        </w:tc>
        <w:tc>
          <w:tcPr>
            <w:tcW w:w="0" w:type="auto"/>
            <w:vAlign w:val="center"/>
          </w:tcPr>
          <w:p w14:paraId="4466E89A">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36B2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1B7664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5432012D">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14AC45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1F85E03">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6E09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90AD1EA">
            <w:pPr>
              <w:rPr>
                <w:rFonts w:ascii="Times New Roman" w:hAnsi="Times New Roman" w:eastAsia="宋体" w:cs="Times New Roman"/>
                <w:szCs w:val="21"/>
              </w:rPr>
            </w:pPr>
            <w:r>
              <w:rPr>
                <w:rFonts w:hint="eastAsia" w:ascii="Times New Roman" w:hAnsi="Times New Roman" w:eastAsia="宋体" w:cs="Times New Roman"/>
                <w:szCs w:val="21"/>
              </w:rPr>
              <w:t>期末考核</w:t>
            </w:r>
          </w:p>
        </w:tc>
        <w:tc>
          <w:tcPr>
            <w:tcW w:w="6924" w:type="dxa"/>
            <w:vAlign w:val="center"/>
          </w:tcPr>
          <w:p w14:paraId="74CFE9BE">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color w:val="000000"/>
                <w:szCs w:val="21"/>
              </w:rPr>
              <w:t>完成一个职业生涯规划，要求内容完整，SWOT分析合理，符合个人特点，具有可行性，格式规范，行文优美为评分参考标准。</w:t>
            </w:r>
          </w:p>
        </w:tc>
        <w:tc>
          <w:tcPr>
            <w:tcW w:w="0" w:type="auto"/>
            <w:vAlign w:val="center"/>
          </w:tcPr>
          <w:p w14:paraId="363FC929">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26C3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0787FF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F9CE2C3">
            <w:pPr>
              <w:jc w:val="left"/>
              <w:rPr>
                <w:rFonts w:ascii="Times New Roman" w:hAnsi="Times New Roman" w:eastAsia="宋体" w:cs="Times New Roman"/>
                <w:szCs w:val="21"/>
              </w:rPr>
            </w:pPr>
          </w:p>
        </w:tc>
        <w:tc>
          <w:tcPr>
            <w:tcW w:w="0" w:type="auto"/>
            <w:vAlign w:val="center"/>
          </w:tcPr>
          <w:p w14:paraId="2A0A82D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89793C7">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24CC82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FC47878">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2"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32" DrawAspect="Content" ObjectID="_1468075732" r:id="rId14">
            <o:LockedField>false</o:LockedField>
          </o:OLEObject>
        </w:object>
      </w:r>
    </w:p>
    <w:p w14:paraId="45BB0640">
      <w:pPr>
        <w:spacing w:line="360" w:lineRule="auto"/>
        <w:ind w:firstLine="551" w:firstLineChars="196"/>
        <w:jc w:val="left"/>
        <w:rPr>
          <w:rFonts w:hint="eastAsia" w:ascii="宋体" w:hAnsi="宋体" w:eastAsia="宋体" w:cs="Times New Roman"/>
          <w:b/>
          <w:color w:val="000000"/>
          <w:sz w:val="28"/>
          <w:szCs w:val="28"/>
        </w:rPr>
      </w:pPr>
    </w:p>
    <w:p w14:paraId="2C2AF5AC">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五、有关说明</w:t>
      </w:r>
    </w:p>
    <w:p w14:paraId="6B76792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AC0D89F">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E6E96D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257B3B5">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bCs/>
          <w:color w:val="000000"/>
          <w:szCs w:val="21"/>
        </w:rPr>
        <w:t>《大学生就业指导（云课堂版）》易高峰、徐新华主编，上海交通大学出版社，2023</w:t>
      </w:r>
      <w:r>
        <w:rPr>
          <w:rFonts w:hint="eastAsia" w:ascii="Times New Roman" w:hAnsi="Times New Roman" w:eastAsia="宋体" w:cs="Times New Roman"/>
          <w:b/>
          <w:szCs w:val="21"/>
        </w:rPr>
        <w:t>（三）参考书目</w:t>
      </w:r>
    </w:p>
    <w:p w14:paraId="63CE7FC8">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1.常栩雨．大学生职业生涯规划与就业指导[M]．北京：北京师范大学出版社，2021．</w:t>
      </w:r>
    </w:p>
    <w:p w14:paraId="728C49BD">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2.陈姗姗．大学生职业生涯规划与就业创业指导[M]．重庆：重庆大学出版社，2017．</w:t>
      </w:r>
    </w:p>
    <w:p w14:paraId="308A66D4">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3.桂舟，张淑谦，罗元浩，等．大学生职业发展与就业指导[M]．2版．北京：清华大学出版社，2018．</w:t>
      </w:r>
    </w:p>
    <w:p w14:paraId="160A27A2">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4.郭帆，崔正华．大学生职业生涯规划与就业指导[M]．南京：东南大学出版社，2018．</w:t>
      </w:r>
    </w:p>
    <w:p w14:paraId="5AE05608">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5.侯士兵，杨薛雯．职业生涯发展与规划[M]．上海：上海交通大学出版社，2017．</w:t>
      </w:r>
    </w:p>
    <w:p w14:paraId="07B499D3">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6.金新．大学生就业与创业指导[M]．北京：中国轻工业出版社，2019．</w:t>
      </w:r>
    </w:p>
    <w:p w14:paraId="28A4497F">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7.李为，代莉．大学生职业生涯规划与就业创业指导[M]．北京：中国农业出版社，2021．</w:t>
      </w:r>
    </w:p>
    <w:p w14:paraId="586D1CCD">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8.梁杰，杨一笔，雷承春．大学生职业生涯规划与就业指导[M]．武汉：华中科技大学出版社，2022．8.约翰•杜威</w:t>
      </w:r>
      <w:r>
        <w:rPr>
          <w:rFonts w:ascii="Times New Roman" w:hAnsi="Times New Roman" w:eastAsia="宋体" w:cs="Times New Roman"/>
          <w:bCs/>
          <w:color w:val="000000"/>
          <w:szCs w:val="21"/>
        </w:rPr>
        <w:t>. 民主主义与教育. 北京：人民教育出版社，2003.</w:t>
      </w:r>
    </w:p>
    <w:p w14:paraId="713B265F">
      <w:pPr>
        <w:rPr>
          <w:rFonts w:hint="eastAsia"/>
        </w:rPr>
      </w:pPr>
    </w:p>
    <w:p w14:paraId="1F9E9F7A">
      <w:pPr>
        <w:rPr>
          <w:rFonts w:hint="eastAsia"/>
        </w:rPr>
      </w:pPr>
    </w:p>
    <w:p w14:paraId="10DBA299">
      <w:pPr>
        <w:rPr>
          <w:rFonts w:hint="eastAsia"/>
        </w:rPr>
      </w:pPr>
    </w:p>
    <w:p w14:paraId="2E90A911">
      <w:pPr>
        <w:rPr>
          <w:rFonts w:hint="eastAsia"/>
        </w:rPr>
      </w:pPr>
    </w:p>
    <w:p w14:paraId="125953E5">
      <w:pPr>
        <w:rPr>
          <w:rFonts w:hint="eastAsia"/>
        </w:rPr>
      </w:pPr>
    </w:p>
    <w:p w14:paraId="28A57DAE">
      <w:pPr>
        <w:spacing w:line="360" w:lineRule="auto"/>
        <w:ind w:right="120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 笔 人：赵 兢</w:t>
      </w:r>
    </w:p>
    <w:p w14:paraId="35CF0183">
      <w:pPr>
        <w:wordWrap w:val="0"/>
        <w:spacing w:line="360" w:lineRule="auto"/>
        <w:ind w:right="96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人：庄燕青</w:t>
      </w:r>
      <w:r>
        <w:rPr>
          <w:rFonts w:ascii="Times New Roman" w:hAnsi="Times New Roman" w:eastAsia="宋体" w:cs="Times New Roman"/>
          <w:sz w:val="24"/>
          <w:szCs w:val="24"/>
        </w:rPr>
        <w:t xml:space="preserve"> </w:t>
      </w:r>
    </w:p>
    <w:p w14:paraId="50B33113">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高静</w:t>
      </w:r>
    </w:p>
    <w:p w14:paraId="08E47F2B">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0193D1D9">
      <w:pPr>
        <w:spacing w:line="360" w:lineRule="auto"/>
        <w:ind w:firstLine="4800" w:firstLineChars="2000"/>
        <w:rPr>
          <w:rFonts w:ascii="Times New Roman" w:hAnsi="Times New Roman" w:eastAsia="宋体" w:cs="Times New Roman"/>
          <w:sz w:val="24"/>
          <w:szCs w:val="24"/>
        </w:rPr>
      </w:pPr>
    </w:p>
    <w:p w14:paraId="35E5AAF7">
      <w:pPr>
        <w:spacing w:line="360" w:lineRule="auto"/>
        <w:ind w:firstLine="4800" w:firstLineChars="2000"/>
        <w:rPr>
          <w:rFonts w:ascii="Times New Roman" w:hAnsi="Times New Roman" w:eastAsia="宋体" w:cs="Times New Roman"/>
          <w:sz w:val="24"/>
          <w:szCs w:val="24"/>
        </w:rPr>
      </w:pPr>
    </w:p>
    <w:p w14:paraId="2104DD8C">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1454086D">
      <w:pPr>
        <w:pStyle w:val="2"/>
        <w:bidi w:val="0"/>
        <w:rPr>
          <w:lang w:val="en-US" w:eastAsia="zh-CN"/>
        </w:rPr>
      </w:pPr>
      <w:bookmarkStart w:id="274" w:name="_Toc20975"/>
      <w:bookmarkStart w:id="275" w:name="_Toc30730"/>
      <w:bookmarkStart w:id="276" w:name="_Toc18247"/>
      <w:bookmarkStart w:id="277" w:name="_Toc5651"/>
      <w:r>
        <w:rPr>
          <w:rFonts w:hint="eastAsia"/>
          <w:lang w:val="en-US" w:eastAsia="zh-CN"/>
        </w:rPr>
        <w:t>《大学生劳动教育》课程教学大纲</w:t>
      </w:r>
      <w:bookmarkEnd w:id="274"/>
      <w:bookmarkEnd w:id="275"/>
      <w:bookmarkEnd w:id="276"/>
      <w:bookmarkEnd w:id="277"/>
    </w:p>
    <w:p w14:paraId="0773CC96">
      <w:pPr>
        <w:pStyle w:val="2"/>
        <w:bidi w:val="0"/>
        <w:rPr>
          <w:lang w:val="en-US" w:eastAsia="zh-CN"/>
        </w:rPr>
      </w:pPr>
      <w:bookmarkStart w:id="278" w:name="_Toc17303"/>
      <w:bookmarkStart w:id="279" w:name="_Toc12056"/>
      <w:bookmarkStart w:id="280" w:name="_Toc24428"/>
      <w:bookmarkStart w:id="281" w:name="_Toc14152"/>
      <w:bookmarkStart w:id="282" w:name="_Toc15987"/>
      <w:bookmarkStart w:id="283" w:name="_Toc5346"/>
      <w:bookmarkStart w:id="284" w:name="_Toc31084"/>
      <w:r>
        <w:rPr>
          <w:lang w:val="en-US" w:eastAsia="zh-CN"/>
        </w:rPr>
        <w:t>（Labor studies for College Students）</w:t>
      </w:r>
      <w:bookmarkEnd w:id="278"/>
      <w:bookmarkEnd w:id="279"/>
      <w:bookmarkEnd w:id="280"/>
      <w:bookmarkEnd w:id="281"/>
      <w:bookmarkEnd w:id="282"/>
      <w:bookmarkEnd w:id="283"/>
      <w:bookmarkEnd w:id="284"/>
    </w:p>
    <w:p w14:paraId="2115F258">
      <w:pPr>
        <w:spacing w:line="360" w:lineRule="auto"/>
        <w:jc w:val="center"/>
        <w:rPr>
          <w:rFonts w:ascii="Times New Roman" w:hAnsi="Times New Roman" w:eastAsia="宋体" w:cs="Times New Roman"/>
          <w:bCs/>
          <w:sz w:val="30"/>
          <w:szCs w:val="30"/>
        </w:rPr>
      </w:pPr>
    </w:p>
    <w:p w14:paraId="31E5135C">
      <w:pPr>
        <w:keepNext/>
        <w:widowControl w:val="0"/>
        <w:tabs>
          <w:tab w:val="left" w:pos="720"/>
          <w:tab w:val="left" w:pos="2700"/>
        </w:tabs>
        <w:bidi w:val="0"/>
        <w:spacing w:line="850" w:lineRule="exact"/>
        <w:jc w:val="center"/>
        <w:outlineLvl w:val="0"/>
        <w:rPr>
          <w:rFonts w:ascii="Times New Roman" w:hAnsi="Times New Roman" w:eastAsia="宋体" w:cs="Arial"/>
          <w:b/>
          <w:bCs/>
          <w:kern w:val="2"/>
          <w:sz w:val="44"/>
          <w:szCs w:val="24"/>
          <w:lang w:val="en-US" w:eastAsia="zh-CN" w:bidi="ar-SA"/>
        </w:rPr>
      </w:pPr>
      <w:bookmarkStart w:id="285" w:name="_Toc23327"/>
      <w:bookmarkStart w:id="286" w:name="_Toc26482"/>
      <w:bookmarkStart w:id="287" w:name="_Toc29293"/>
      <w:bookmarkStart w:id="288" w:name="_Toc3808"/>
      <w:bookmarkStart w:id="289" w:name="_Toc2118"/>
      <w:r>
        <w:rPr>
          <w:rFonts w:hint="eastAsia" w:ascii="Times New Roman" w:hAnsi="Times New Roman" w:eastAsia="宋体" w:cs="Arial"/>
          <w:b/>
          <w:bCs/>
          <w:kern w:val="2"/>
          <w:sz w:val="44"/>
          <w:szCs w:val="24"/>
          <w:lang w:val="en-US" w:eastAsia="zh-CN" w:bidi="ar-SA"/>
        </w:rPr>
        <w:t>课程名称：大学生劳动教育</w:t>
      </w:r>
      <w:bookmarkEnd w:id="285"/>
      <w:bookmarkEnd w:id="286"/>
      <w:bookmarkEnd w:id="287"/>
      <w:bookmarkEnd w:id="288"/>
      <w:bookmarkEnd w:id="289"/>
    </w:p>
    <w:p w14:paraId="1F6B110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2400001</w:t>
      </w:r>
    </w:p>
    <w:p w14:paraId="22D3755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46FCC931">
      <w:pPr>
        <w:spacing w:line="360" w:lineRule="auto"/>
        <w:ind w:firstLine="482"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3376E55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先修课程：小学心理学、教育原理、大学生职业生涯规划</w:t>
      </w:r>
    </w:p>
    <w:p w14:paraId="100034F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1224927E">
      <w:pPr>
        <w:spacing w:line="360" w:lineRule="auto"/>
        <w:jc w:val="left"/>
        <w:rPr>
          <w:rFonts w:ascii="Times New Roman" w:hAnsi="Times New Roman" w:eastAsia="宋体" w:cs="Times New Roman"/>
          <w:b/>
          <w:sz w:val="24"/>
          <w:szCs w:val="24"/>
        </w:rPr>
      </w:pPr>
    </w:p>
    <w:p w14:paraId="556FF368">
      <w:pPr>
        <w:spacing w:line="360" w:lineRule="auto"/>
        <w:jc w:val="left"/>
        <w:outlineLvl w:val="0"/>
        <w:rPr>
          <w:rFonts w:ascii="Times New Roman" w:hAnsi="Times New Roman" w:eastAsia="宋体" w:cs="Times New Roman"/>
          <w:sz w:val="24"/>
          <w:szCs w:val="24"/>
        </w:rPr>
      </w:pPr>
      <w:bookmarkStart w:id="290" w:name="_Toc16268"/>
      <w:bookmarkStart w:id="291" w:name="_Toc29107"/>
      <w:bookmarkStart w:id="292" w:name="_Toc12034"/>
      <w:bookmarkStart w:id="293" w:name="_Toc1567"/>
      <w:bookmarkStart w:id="294" w:name="_Toc15352"/>
      <w:bookmarkStart w:id="295" w:name="_Toc22084"/>
      <w:bookmarkStart w:id="296" w:name="_Toc16133"/>
      <w:r>
        <w:rPr>
          <w:rFonts w:hint="eastAsia" w:ascii="Times New Roman" w:hAnsi="Times New Roman" w:eastAsia="宋体" w:cs="Times New Roman"/>
          <w:b/>
          <w:sz w:val="24"/>
          <w:szCs w:val="24"/>
        </w:rPr>
        <w:t>一、课程简介</w:t>
      </w:r>
      <w:bookmarkEnd w:id="290"/>
      <w:bookmarkEnd w:id="291"/>
      <w:bookmarkEnd w:id="292"/>
      <w:bookmarkEnd w:id="293"/>
      <w:bookmarkEnd w:id="294"/>
      <w:bookmarkEnd w:id="295"/>
      <w:bookmarkEnd w:id="296"/>
    </w:p>
    <w:p w14:paraId="688FC232">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本课程是</w:t>
      </w:r>
      <w:r>
        <w:rPr>
          <w:rFonts w:hint="eastAsia" w:ascii="Times New Roman" w:hAnsi="Times New Roman" w:eastAsia="宋体" w:cs="Times New Roman"/>
          <w:szCs w:val="21"/>
        </w:rPr>
        <w:t>小学教</w:t>
      </w:r>
      <w:r>
        <w:rPr>
          <w:rFonts w:ascii="Times New Roman" w:hAnsi="Times New Roman" w:eastAsia="宋体" w:cs="Times New Roman"/>
          <w:szCs w:val="21"/>
        </w:rPr>
        <w:t>育专业的一门通识必修课程。本课程旨在使学生树立正确的劳动观念，具有必备的劳动能力，培育积极的劳动精神，养成良好的劳动习惯和品质。</w:t>
      </w:r>
    </w:p>
    <w:p w14:paraId="46ED99A5">
      <w:pPr>
        <w:spacing w:line="360" w:lineRule="auto"/>
        <w:jc w:val="left"/>
        <w:rPr>
          <w:rFonts w:ascii="宋体" w:hAnsi="宋体" w:eastAsia="宋体" w:cs="Times New Roman"/>
          <w:b/>
          <w:color w:val="000000"/>
          <w:szCs w:val="21"/>
        </w:rPr>
      </w:pPr>
    </w:p>
    <w:p w14:paraId="505F296B">
      <w:pPr>
        <w:spacing w:line="360" w:lineRule="auto"/>
        <w:jc w:val="left"/>
        <w:outlineLvl w:val="0"/>
        <w:rPr>
          <w:rFonts w:ascii="Times New Roman" w:hAnsi="Times New Roman" w:eastAsia="宋体" w:cs="Times New Roman"/>
          <w:sz w:val="24"/>
          <w:szCs w:val="24"/>
        </w:rPr>
      </w:pPr>
      <w:bookmarkStart w:id="297" w:name="_Toc14762"/>
      <w:bookmarkStart w:id="298" w:name="_Toc23540"/>
      <w:bookmarkStart w:id="299" w:name="_Toc10372"/>
      <w:bookmarkStart w:id="300" w:name="_Toc5642"/>
      <w:bookmarkStart w:id="301" w:name="_Toc5998"/>
      <w:bookmarkStart w:id="302" w:name="_Toc9769"/>
      <w:bookmarkStart w:id="303" w:name="_Toc11145"/>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97"/>
      <w:bookmarkEnd w:id="298"/>
      <w:bookmarkEnd w:id="299"/>
      <w:bookmarkEnd w:id="300"/>
      <w:bookmarkEnd w:id="301"/>
      <w:bookmarkEnd w:id="302"/>
      <w:bookmarkEnd w:id="303"/>
    </w:p>
    <w:p w14:paraId="5F4581A0">
      <w:pPr>
        <w:spacing w:line="360" w:lineRule="auto"/>
        <w:ind w:firstLine="422" w:firstLineChars="200"/>
        <w:outlineLvl w:val="1"/>
        <w:rPr>
          <w:rFonts w:ascii="宋体" w:hAnsi="宋体" w:eastAsia="宋体" w:cs="Times New Roman"/>
          <w:b/>
          <w:color w:val="000000"/>
          <w:szCs w:val="21"/>
        </w:rPr>
      </w:pPr>
      <w:bookmarkStart w:id="304" w:name="_Toc4402"/>
      <w:r>
        <w:rPr>
          <w:rFonts w:hint="eastAsia" w:ascii="宋体" w:hAnsi="宋体" w:eastAsia="宋体" w:cs="Times New Roman"/>
          <w:b/>
          <w:color w:val="000000"/>
          <w:szCs w:val="21"/>
        </w:rPr>
        <w:t>（一）课程具体目标</w:t>
      </w:r>
      <w:bookmarkEnd w:id="304"/>
    </w:p>
    <w:p w14:paraId="69D06280">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bCs/>
          <w:szCs w:val="21"/>
        </w:rPr>
        <w:t>深刻理解劳动内涵，树立正确的新时代大学生劳动价值观。</w:t>
      </w:r>
    </w:p>
    <w:p w14:paraId="21FA28EA">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ascii="Times New Roman" w:hAnsi="Times New Roman" w:eastAsia="宋体" w:cs="Times New Roman"/>
          <w:bCs/>
          <w:szCs w:val="21"/>
        </w:rPr>
        <w:t>积极参与劳动实践，在劳动过程中掌握劳动本领，培育劳动热情，形成良好的劳动习惯。</w:t>
      </w:r>
    </w:p>
    <w:p w14:paraId="3B831360">
      <w:pPr>
        <w:spacing w:before="156" w:beforeLines="50" w:after="156" w:afterLines="50" w:line="360" w:lineRule="auto"/>
        <w:jc w:val="left"/>
        <w:outlineLvl w:val="1"/>
        <w:rPr>
          <w:rFonts w:ascii="Times New Roman" w:hAnsi="Times New Roman" w:eastAsia="宋体" w:cs="Times New Roman"/>
          <w:b/>
          <w:bCs/>
          <w:szCs w:val="21"/>
        </w:rPr>
      </w:pPr>
      <w:bookmarkStart w:id="305" w:name="_Toc24347"/>
      <w:r>
        <w:rPr>
          <w:rFonts w:hint="eastAsia" w:ascii="Times New Roman" w:hAnsi="Times New Roman" w:eastAsia="宋体" w:cs="Times New Roman"/>
          <w:b/>
          <w:bCs/>
          <w:szCs w:val="21"/>
        </w:rPr>
        <w:t>（二）课程目标及其对毕业要求指标点的支撑</w:t>
      </w:r>
      <w:bookmarkEnd w:id="305"/>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399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7CB6C7B">
            <w:pPr>
              <w:spacing w:line="360" w:lineRule="auto"/>
              <w:jc w:val="center"/>
              <w:rPr>
                <w:rFonts w:ascii="宋体" w:hAnsi="宋体" w:eastAsia="宋体" w:cs="Times New Roman"/>
                <w:b/>
                <w:bCs/>
                <w:szCs w:val="21"/>
              </w:rPr>
            </w:pPr>
            <w:r>
              <w:rPr>
                <w:rFonts w:hint="eastAsia" w:ascii="宋体" w:hAnsi="宋体" w:eastAsia="宋体" w:cs="Times New Roman"/>
                <w:b/>
                <w:bCs/>
                <w:szCs w:val="21"/>
              </w:rPr>
              <w:t>毕业要求</w:t>
            </w:r>
          </w:p>
        </w:tc>
        <w:tc>
          <w:tcPr>
            <w:tcW w:w="5688" w:type="dxa"/>
            <w:vAlign w:val="center"/>
          </w:tcPr>
          <w:p w14:paraId="723651CA">
            <w:pPr>
              <w:spacing w:line="360" w:lineRule="auto"/>
              <w:jc w:val="center"/>
              <w:rPr>
                <w:rFonts w:ascii="宋体" w:hAnsi="宋体" w:eastAsia="宋体" w:cs="Times New Roman"/>
                <w:b/>
                <w:bCs/>
                <w:szCs w:val="21"/>
              </w:rPr>
            </w:pPr>
            <w:r>
              <w:rPr>
                <w:rFonts w:hint="eastAsia" w:ascii="宋体" w:hAnsi="宋体" w:eastAsia="宋体" w:cs="Times New Roman"/>
                <w:b/>
                <w:bCs/>
                <w:szCs w:val="21"/>
              </w:rPr>
              <w:t>毕业要求指标点</w:t>
            </w:r>
          </w:p>
        </w:tc>
        <w:tc>
          <w:tcPr>
            <w:tcW w:w="1191" w:type="dxa"/>
            <w:vAlign w:val="center"/>
          </w:tcPr>
          <w:p w14:paraId="3F138FF0">
            <w:pPr>
              <w:spacing w:line="360"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r>
      <w:tr w14:paraId="5549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5E03112">
            <w:pPr>
              <w:jc w:val="center"/>
              <w:rPr>
                <w:rFonts w:hint="eastAsia" w:ascii="宋体" w:hAnsi="宋体" w:eastAsia="宋体" w:cs="Times New Roman"/>
                <w:b/>
                <w:bCs/>
                <w:color w:val="000000"/>
                <w:szCs w:val="23"/>
              </w:rPr>
            </w:pPr>
            <w:r>
              <w:rPr>
                <w:rFonts w:ascii="宋体" w:hAnsi="宋体" w:eastAsia="宋体" w:cs="Times New Roman"/>
                <w:b/>
                <w:bCs/>
                <w:color w:val="000000"/>
                <w:szCs w:val="23"/>
              </w:rPr>
              <w:t>毕业要求1师德规范</w:t>
            </w:r>
          </w:p>
        </w:tc>
        <w:tc>
          <w:tcPr>
            <w:tcW w:w="5688" w:type="dxa"/>
            <w:vAlign w:val="center"/>
          </w:tcPr>
          <w:p w14:paraId="075B1DDC">
            <w:pPr>
              <w:spacing w:line="276" w:lineRule="auto"/>
              <w:jc w:val="left"/>
              <w:rPr>
                <w:rFonts w:ascii="宋体" w:hAnsi="宋体" w:eastAsia="宋体" w:cs="Times New Roman"/>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1-</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宋体"/>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191" w:type="dxa"/>
            <w:vAlign w:val="center"/>
          </w:tcPr>
          <w:p w14:paraId="66B9092E">
            <w:pPr>
              <w:spacing w:line="276" w:lineRule="auto"/>
              <w:jc w:val="left"/>
              <w:rPr>
                <w:rFonts w:ascii="宋体" w:hAnsi="宋体" w:eastAsia="宋体" w:cs="Times New Roman"/>
                <w:szCs w:val="21"/>
              </w:rPr>
            </w:pPr>
            <w:r>
              <w:rPr>
                <w:rFonts w:hint="eastAsia" w:ascii="宋体" w:hAnsi="宋体" w:eastAsia="宋体" w:cs="Times New Roman"/>
                <w:szCs w:val="21"/>
              </w:rPr>
              <w:t>课程目标1</w:t>
            </w:r>
          </w:p>
        </w:tc>
      </w:tr>
      <w:tr w14:paraId="7DF5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AD7D4A6">
            <w:pPr>
              <w:widowControl/>
              <w:jc w:val="center"/>
              <w:rPr>
                <w:rFonts w:hint="eastAsia" w:ascii="宋体" w:hAnsi="宋体" w:eastAsia="宋体" w:cs="Times New Roman"/>
                <w:b/>
                <w:bCs/>
                <w:color w:val="000000"/>
                <w:szCs w:val="23"/>
              </w:rPr>
            </w:pPr>
            <w:r>
              <w:rPr>
                <w:rFonts w:ascii="宋体" w:hAnsi="宋体" w:eastAsia="宋体" w:cs="Times New Roman"/>
                <w:b/>
                <w:bCs/>
                <w:color w:val="000000"/>
                <w:kern w:val="0"/>
                <w:szCs w:val="21"/>
              </w:rPr>
              <w:t>毕业要求2</w:t>
            </w:r>
            <w:r>
              <w:rPr>
                <w:rFonts w:ascii="宋体" w:hAnsi="宋体" w:eastAsia="宋体" w:cs="Times New Roman"/>
                <w:b/>
                <w:bCs/>
                <w:color w:val="000000"/>
                <w:szCs w:val="23"/>
              </w:rPr>
              <w:t>教育情怀</w:t>
            </w:r>
          </w:p>
        </w:tc>
        <w:tc>
          <w:tcPr>
            <w:tcW w:w="5688" w:type="dxa"/>
            <w:vAlign w:val="center"/>
          </w:tcPr>
          <w:p w14:paraId="5004ED15">
            <w:pPr>
              <w:spacing w:line="276" w:lineRule="auto"/>
              <w:jc w:val="left"/>
              <w:rPr>
                <w:rFonts w:ascii="宋体" w:hAnsi="宋体" w:eastAsia="宋体" w:cs="Times New Roman"/>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2-3：</w:t>
            </w:r>
            <w:r>
              <w:rPr>
                <w:rFonts w:hint="eastAsia" w:ascii="宋体" w:hAnsi="宋体" w:eastAsia="宋体" w:cs="宋体"/>
                <w:szCs w:val="21"/>
              </w:rPr>
              <w:t>【自身修养良好】具有较好的人文艺术底蕴与科学精神，言行举止符合教师职业标准，情感积极，人格健全，身心健康。</w:t>
            </w:r>
          </w:p>
        </w:tc>
        <w:tc>
          <w:tcPr>
            <w:tcW w:w="1191" w:type="dxa"/>
            <w:vAlign w:val="center"/>
          </w:tcPr>
          <w:p w14:paraId="7842265C">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tc>
      </w:tr>
      <w:tr w14:paraId="1612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44BE5BC">
            <w:pPr>
              <w:jc w:val="center"/>
              <w:rPr>
                <w:rFonts w:hint="eastAsia" w:ascii="宋体" w:hAnsi="宋体" w:eastAsia="宋体" w:cs="Times New Roman"/>
                <w:b/>
                <w:bCs/>
                <w:color w:val="000000"/>
                <w:szCs w:val="23"/>
              </w:rPr>
            </w:pPr>
            <w:r>
              <w:rPr>
                <w:rFonts w:ascii="宋体" w:hAnsi="宋体" w:eastAsia="宋体" w:cs="Times New Roman"/>
                <w:b/>
                <w:bCs/>
                <w:color w:val="000000"/>
                <w:kern w:val="0"/>
                <w:szCs w:val="21"/>
              </w:rPr>
              <w:t>毕业要求</w:t>
            </w:r>
            <w:r>
              <w:rPr>
                <w:rFonts w:hint="eastAsia" w:ascii="宋体" w:hAnsi="宋体" w:eastAsia="宋体" w:cs="Times New Roman"/>
                <w:b/>
                <w:bCs/>
                <w:color w:val="000000"/>
                <w:kern w:val="0"/>
                <w:szCs w:val="21"/>
              </w:rPr>
              <w:t>3</w:t>
            </w:r>
            <w:r>
              <w:rPr>
                <w:rFonts w:ascii="宋体" w:hAnsi="宋体" w:eastAsia="宋体" w:cs="Times New Roman"/>
                <w:b/>
                <w:bCs/>
                <w:color w:val="000000"/>
                <w:szCs w:val="23"/>
              </w:rPr>
              <w:t>综合育人</w:t>
            </w:r>
          </w:p>
        </w:tc>
        <w:tc>
          <w:tcPr>
            <w:tcW w:w="5688" w:type="dxa"/>
            <w:vAlign w:val="center"/>
          </w:tcPr>
          <w:p w14:paraId="3BD3211C">
            <w:pPr>
              <w:spacing w:line="276" w:lineRule="auto"/>
              <w:jc w:val="left"/>
              <w:rPr>
                <w:rFonts w:ascii="宋体" w:hAnsi="宋体" w:eastAsia="宋体" w:cs="Times New Roman"/>
                <w:szCs w:val="21"/>
              </w:rPr>
            </w:pPr>
            <w:r>
              <w:rPr>
                <w:rFonts w:ascii="宋体" w:hAnsi="宋体" w:eastAsia="宋体" w:cs="Times New Roman"/>
                <w:color w:val="000000"/>
                <w:kern w:val="0"/>
                <w:szCs w:val="21"/>
              </w:rPr>
              <w:t>指标点</w:t>
            </w:r>
            <w:r>
              <w:rPr>
                <w:rFonts w:hint="eastAsia" w:ascii="宋体" w:hAnsi="宋体" w:eastAsia="宋体" w:cs="Times New Roman"/>
                <w:color w:val="000000"/>
                <w:szCs w:val="21"/>
              </w:rPr>
              <w:t>3</w:t>
            </w:r>
            <w:r>
              <w:rPr>
                <w:rFonts w:ascii="宋体" w:hAnsi="宋体" w:eastAsia="宋体" w:cs="Times New Roman"/>
                <w:color w:val="000000"/>
                <w:szCs w:val="21"/>
              </w:rPr>
              <w:t>-3：</w:t>
            </w:r>
            <w:r>
              <w:rPr>
                <w:rFonts w:hint="eastAsia" w:ascii="宋体" w:hAnsi="宋体" w:eastAsia="宋体" w:cs="宋体"/>
                <w:szCs w:val="21"/>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4BB60976">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tc>
      </w:tr>
      <w:tr w14:paraId="3CF1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3E72873">
            <w:pPr>
              <w:jc w:val="center"/>
              <w:rPr>
                <w:rFonts w:hint="eastAsia" w:ascii="宋体" w:hAnsi="宋体" w:eastAsia="宋体" w:cs="Times New Roman"/>
                <w:b/>
                <w:bCs/>
                <w:color w:val="000000"/>
                <w:szCs w:val="23"/>
              </w:rPr>
            </w:pPr>
            <w:r>
              <w:rPr>
                <w:rFonts w:ascii="宋体" w:hAnsi="宋体" w:eastAsia="宋体" w:cs="Times New Roman"/>
                <w:b/>
                <w:bCs/>
                <w:color w:val="000000"/>
                <w:kern w:val="0"/>
                <w:szCs w:val="21"/>
              </w:rPr>
              <w:t>毕业要求</w:t>
            </w:r>
            <w:r>
              <w:rPr>
                <w:rFonts w:hint="eastAsia" w:ascii="宋体" w:hAnsi="宋体" w:eastAsia="宋体" w:cs="Times New Roman"/>
                <w:b/>
                <w:bCs/>
                <w:color w:val="000000"/>
                <w:kern w:val="0"/>
                <w:szCs w:val="21"/>
              </w:rPr>
              <w:t>6</w:t>
            </w:r>
            <w:r>
              <w:rPr>
                <w:rFonts w:ascii="宋体" w:hAnsi="宋体" w:eastAsia="宋体" w:cs="Times New Roman"/>
                <w:b/>
                <w:bCs/>
                <w:color w:val="000000"/>
                <w:szCs w:val="23"/>
              </w:rPr>
              <w:t>综合育人</w:t>
            </w:r>
          </w:p>
        </w:tc>
        <w:tc>
          <w:tcPr>
            <w:tcW w:w="5688" w:type="dxa"/>
            <w:vAlign w:val="center"/>
          </w:tcPr>
          <w:p w14:paraId="60F34E32">
            <w:pPr>
              <w:spacing w:line="276" w:lineRule="auto"/>
              <w:jc w:val="left"/>
              <w:rPr>
                <w:rFonts w:ascii="宋体" w:hAnsi="宋体" w:eastAsia="宋体" w:cs="Times New Roman"/>
                <w:color w:val="000000"/>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szCs w:val="21"/>
              </w:rPr>
              <w:t>6</w:t>
            </w:r>
            <w:r>
              <w:rPr>
                <w:rFonts w:ascii="宋体" w:hAnsi="宋体" w:eastAsia="宋体" w:cs="Times New Roman"/>
                <w:color w:val="000000"/>
                <w:szCs w:val="21"/>
              </w:rPr>
              <w:t>-3：</w:t>
            </w:r>
            <w:r>
              <w:rPr>
                <w:rFonts w:hint="eastAsia" w:ascii="宋体" w:hAnsi="宋体" w:eastAsia="宋体" w:cs="宋体"/>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7D0DB909">
            <w:pPr>
              <w:spacing w:line="276" w:lineRule="auto"/>
              <w:jc w:val="left"/>
              <w:rPr>
                <w:rFonts w:ascii="宋体" w:hAnsi="宋体" w:eastAsia="宋体" w:cs="Times New Roman"/>
                <w:szCs w:val="21"/>
              </w:rPr>
            </w:pPr>
            <w:r>
              <w:rPr>
                <w:rFonts w:hint="eastAsia" w:ascii="宋体" w:hAnsi="宋体" w:eastAsia="宋体" w:cs="Times New Roman"/>
                <w:szCs w:val="21"/>
              </w:rPr>
              <w:t>课程目标1</w:t>
            </w:r>
          </w:p>
          <w:p w14:paraId="630386E3">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bl>
    <w:p w14:paraId="7C78BF65">
      <w:pPr>
        <w:spacing w:before="156" w:beforeLines="50" w:line="360" w:lineRule="auto"/>
        <w:jc w:val="left"/>
        <w:outlineLvl w:val="1"/>
        <w:rPr>
          <w:rFonts w:ascii="宋体" w:hAnsi="宋体" w:eastAsia="宋体" w:cs="Times New Roman"/>
          <w:b/>
          <w:color w:val="000000"/>
          <w:szCs w:val="21"/>
        </w:rPr>
      </w:pPr>
      <w:bookmarkStart w:id="306" w:name="_Toc17779"/>
      <w:r>
        <w:rPr>
          <w:rFonts w:hint="eastAsia" w:ascii="宋体" w:hAnsi="宋体" w:eastAsia="宋体" w:cs="Times New Roman"/>
          <w:b/>
          <w:color w:val="000000"/>
          <w:szCs w:val="21"/>
        </w:rPr>
        <w:t>（三）课程思政目标</w:t>
      </w:r>
      <w:bookmarkEnd w:id="306"/>
    </w:p>
    <w:p w14:paraId="6B0BD003">
      <w:pPr>
        <w:spacing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t>师范专业劳动教育课程思政目标应立足培养未来教师的劳动价值观与社会责任感，通过支教、教育帮扶等实践锤炼教育情怀，以</w:t>
      </w:r>
      <w:r>
        <w:rPr>
          <w:rFonts w:hint="eastAsia" w:ascii="宋体" w:hAnsi="宋体" w:eastAsia="宋体" w:cs="Times New Roman"/>
          <w:color w:val="000000"/>
          <w:szCs w:val="21"/>
        </w:rPr>
        <w:t>教具制作</w:t>
      </w:r>
      <w:r>
        <w:rPr>
          <w:rFonts w:ascii="宋体" w:hAnsi="宋体" w:eastAsia="宋体" w:cs="Times New Roman"/>
          <w:color w:val="000000"/>
          <w:szCs w:val="21"/>
        </w:rPr>
        <w:t>、课件设计等技能训培育工匠精神，引导师范生参与教育服务以理解教育使命，并融合劳动创新与教学方案设计提升实践育人能力，最终塑造兼具师德修养、专业技能和文化担当的新时代教育传承者。</w:t>
      </w:r>
    </w:p>
    <w:p w14:paraId="24FB6B90">
      <w:pPr>
        <w:spacing w:line="360" w:lineRule="auto"/>
        <w:jc w:val="left"/>
        <w:rPr>
          <w:rFonts w:ascii="宋体" w:hAnsi="宋体" w:eastAsia="宋体" w:cs="Times New Roman"/>
          <w:b/>
          <w:color w:val="000000"/>
          <w:sz w:val="28"/>
          <w:szCs w:val="28"/>
        </w:rPr>
      </w:pPr>
    </w:p>
    <w:p w14:paraId="4FF32180">
      <w:pPr>
        <w:spacing w:line="360" w:lineRule="auto"/>
        <w:jc w:val="left"/>
        <w:outlineLvl w:val="0"/>
        <w:rPr>
          <w:rFonts w:ascii="宋体" w:hAnsi="宋体" w:eastAsia="宋体" w:cs="Times New Roman"/>
          <w:b/>
          <w:color w:val="000000"/>
          <w:sz w:val="24"/>
          <w:szCs w:val="24"/>
        </w:rPr>
      </w:pPr>
      <w:bookmarkStart w:id="307" w:name="_Toc21715"/>
      <w:bookmarkStart w:id="308" w:name="_Toc16091"/>
      <w:bookmarkStart w:id="309" w:name="_Toc308"/>
      <w:bookmarkStart w:id="310" w:name="_Toc6166"/>
      <w:bookmarkStart w:id="311" w:name="_Toc23844"/>
      <w:bookmarkStart w:id="312" w:name="_Toc9686"/>
      <w:bookmarkStart w:id="313" w:name="_Toc26890"/>
      <w:r>
        <w:rPr>
          <w:rFonts w:hint="eastAsia" w:ascii="宋体" w:hAnsi="宋体" w:eastAsia="宋体" w:cs="Times New Roman"/>
          <w:b/>
          <w:color w:val="000000"/>
          <w:sz w:val="24"/>
          <w:szCs w:val="24"/>
        </w:rPr>
        <w:t>三、教学内容与预期学习成效</w:t>
      </w:r>
      <w:bookmarkEnd w:id="307"/>
      <w:bookmarkEnd w:id="308"/>
      <w:bookmarkEnd w:id="309"/>
      <w:bookmarkEnd w:id="310"/>
      <w:bookmarkEnd w:id="311"/>
      <w:bookmarkEnd w:id="312"/>
      <w:bookmarkEnd w:id="313"/>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2126"/>
        <w:gridCol w:w="1276"/>
        <w:gridCol w:w="2409"/>
        <w:gridCol w:w="1560"/>
        <w:gridCol w:w="438"/>
      </w:tblGrid>
      <w:tr w14:paraId="7E3F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1534C82B">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A718A4C">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126" w:type="dxa"/>
            <w:vAlign w:val="center"/>
          </w:tcPr>
          <w:p w14:paraId="04AB8059">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76" w:type="dxa"/>
            <w:vAlign w:val="center"/>
          </w:tcPr>
          <w:p w14:paraId="20EC3D07">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57E5F1D">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409" w:type="dxa"/>
            <w:vAlign w:val="center"/>
          </w:tcPr>
          <w:p w14:paraId="392C8C9C">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54B4D6E">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A59822E">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1F85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1BDC2F63">
            <w:pPr>
              <w:jc w:val="center"/>
              <w:rPr>
                <w:rFonts w:hint="eastAsia" w:ascii="宋体" w:hAnsi="宋体" w:eastAsia="宋体" w:cs="Times New Roman"/>
                <w:szCs w:val="21"/>
              </w:rPr>
            </w:pPr>
            <w:r>
              <w:rPr>
                <w:rFonts w:hint="eastAsia" w:ascii="宋体" w:hAnsi="宋体" w:eastAsia="宋体" w:cs="Times New Roman"/>
                <w:szCs w:val="21"/>
              </w:rPr>
              <w:t>劳动实践1：</w:t>
            </w:r>
          </w:p>
          <w:p w14:paraId="247BED62">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1"/>
              </w:rPr>
              <w:t>教室大扫除</w:t>
            </w:r>
          </w:p>
        </w:tc>
        <w:tc>
          <w:tcPr>
            <w:tcW w:w="2126" w:type="dxa"/>
            <w:vAlign w:val="center"/>
          </w:tcPr>
          <w:p w14:paraId="757C0B70">
            <w:pPr>
              <w:spacing w:line="269" w:lineRule="auto"/>
              <w:jc w:val="center"/>
              <w:rPr>
                <w:rFonts w:ascii="宋体" w:hAnsi="宋体" w:eastAsia="宋体" w:cs="Times New Roman"/>
                <w:color w:val="000000"/>
                <w:szCs w:val="21"/>
              </w:rPr>
            </w:pPr>
            <w:r>
              <w:rPr>
                <w:rFonts w:hint="eastAsia" w:ascii="宋体" w:hAnsi="宋体" w:eastAsia="宋体" w:cs="Times New Roman"/>
                <w:szCs w:val="21"/>
              </w:rPr>
              <w:t>学生分组打扫教室卫生，视频记录打扫过程并进行剪辑，最后展示各组劳动成果。</w:t>
            </w:r>
          </w:p>
        </w:tc>
        <w:tc>
          <w:tcPr>
            <w:tcW w:w="1276" w:type="dxa"/>
            <w:vAlign w:val="center"/>
          </w:tcPr>
          <w:p w14:paraId="5C92866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3B578E0C">
            <w:pPr>
              <w:widowControl/>
              <w:jc w:val="left"/>
              <w:rPr>
                <w:rFonts w:hint="eastAsia" w:ascii="宋体" w:hAnsi="宋体" w:eastAsia="宋体" w:cs="Segoe UI"/>
                <w:color w:val="06071F"/>
                <w:szCs w:val="21"/>
              </w:rPr>
            </w:pPr>
            <w:r>
              <w:rPr>
                <w:rFonts w:hint="eastAsia" w:ascii="宋体" w:hAnsi="宋体" w:eastAsia="宋体" w:cs="Segoe UI"/>
                <w:color w:val="06071F"/>
                <w:szCs w:val="21"/>
              </w:rPr>
              <w:t>学生了解教室清洁的重要性和基本清洁方法。通过实际操作，培养学生团队协作和动手能力。</w:t>
            </w:r>
          </w:p>
        </w:tc>
        <w:tc>
          <w:tcPr>
            <w:tcW w:w="1560" w:type="dxa"/>
            <w:vAlign w:val="center"/>
          </w:tcPr>
          <w:p w14:paraId="2FA52661">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5019A685">
            <w:pPr>
              <w:spacing w:line="269" w:lineRule="auto"/>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3DF6DEF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39F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7E692DC0">
            <w:pPr>
              <w:spacing w:line="264" w:lineRule="auto"/>
              <w:jc w:val="center"/>
              <w:rPr>
                <w:rFonts w:ascii="宋体" w:hAnsi="宋体" w:eastAsia="宋体" w:cs="Times New Roman"/>
                <w:color w:val="000000"/>
                <w:szCs w:val="21"/>
              </w:rPr>
            </w:pPr>
          </w:p>
        </w:tc>
        <w:tc>
          <w:tcPr>
            <w:tcW w:w="7809" w:type="dxa"/>
            <w:gridSpan w:val="5"/>
            <w:vAlign w:val="center"/>
          </w:tcPr>
          <w:p w14:paraId="4FF5B658">
            <w:pPr>
              <w:spacing w:line="269"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bookmarkStart w:id="314" w:name="_Toc17795"/>
            <w:r>
              <w:rPr>
                <w:rFonts w:hint="eastAsia" w:ascii="宋体" w:hAnsi="宋体" w:eastAsia="宋体" w:cs="Times New Roman"/>
                <w:szCs w:val="21"/>
              </w:rPr>
              <w:t>理解新时代大学生劳动教育的重要意义。</w:t>
            </w:r>
            <w:bookmarkEnd w:id="314"/>
            <w:r>
              <w:rPr>
                <w:rFonts w:hint="eastAsia" w:ascii="宋体" w:hAnsi="宋体" w:eastAsia="宋体" w:cs="Segoe UI"/>
                <w:color w:val="06071F"/>
                <w:szCs w:val="21"/>
              </w:rPr>
              <w:t>引导学生树立尊重劳动、热爱劳动的观念，培养责任感。</w:t>
            </w:r>
          </w:p>
        </w:tc>
      </w:tr>
      <w:tr w14:paraId="18DC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3ED71A5A">
            <w:pPr>
              <w:jc w:val="center"/>
              <w:rPr>
                <w:rFonts w:hint="eastAsia" w:ascii="宋体" w:hAnsi="宋体" w:eastAsia="宋体" w:cs="Times New Roman"/>
                <w:szCs w:val="21"/>
              </w:rPr>
            </w:pPr>
            <w:r>
              <w:rPr>
                <w:rFonts w:hint="eastAsia" w:ascii="宋体" w:hAnsi="宋体" w:eastAsia="宋体" w:cs="Times New Roman"/>
                <w:szCs w:val="21"/>
              </w:rPr>
              <w:t>技能实操1：</w:t>
            </w:r>
          </w:p>
          <w:p w14:paraId="0D280361">
            <w:pPr>
              <w:spacing w:line="264" w:lineRule="auto"/>
              <w:jc w:val="center"/>
              <w:rPr>
                <w:rFonts w:hint="eastAsia" w:ascii="宋体" w:hAnsi="宋体" w:eastAsia="宋体" w:cs="Times New Roman"/>
                <w:color w:val="000000"/>
                <w:szCs w:val="21"/>
              </w:rPr>
            </w:pPr>
            <w:r>
              <w:rPr>
                <w:rFonts w:hint="eastAsia" w:ascii="宋体" w:hAnsi="宋体" w:eastAsia="宋体" w:cs="宋体"/>
                <w:szCs w:val="21"/>
              </w:rPr>
              <w:t>变废为宝制作</w:t>
            </w:r>
          </w:p>
        </w:tc>
        <w:tc>
          <w:tcPr>
            <w:tcW w:w="2126" w:type="dxa"/>
            <w:vAlign w:val="center"/>
          </w:tcPr>
          <w:p w14:paraId="416A77F2">
            <w:pPr>
              <w:spacing w:line="269" w:lineRule="auto"/>
              <w:jc w:val="center"/>
              <w:rPr>
                <w:rFonts w:ascii="宋体" w:hAnsi="宋体" w:eastAsia="宋体" w:cs="Times New Roman"/>
                <w:color w:val="000000"/>
                <w:szCs w:val="21"/>
              </w:rPr>
            </w:pPr>
            <w:r>
              <w:rPr>
                <w:rFonts w:hint="eastAsia" w:ascii="宋体" w:hAnsi="宋体" w:eastAsia="宋体" w:cs="Times New Roman"/>
                <w:szCs w:val="21"/>
              </w:rPr>
              <w:t>每组围绕两个主题进行废物利用和创意制作  （1）常工院师范学院元素为主题创作</w:t>
            </w:r>
            <w:r>
              <w:rPr>
                <w:rFonts w:ascii="宋体" w:hAnsi="宋体" w:eastAsia="宋体" w:cs="Times New Roman"/>
                <w:szCs w:val="21"/>
              </w:rPr>
              <w:t>（2</w:t>
            </w:r>
            <w:r>
              <w:rPr>
                <w:rFonts w:hint="eastAsia" w:ascii="宋体" w:hAnsi="宋体" w:eastAsia="宋体" w:cs="Times New Roman"/>
                <w:szCs w:val="21"/>
              </w:rPr>
              <w:t>）以节日为主题自由创作。课堂实物展示（创意来源、制作过程、所用材料、分工安排情况等）</w:t>
            </w:r>
          </w:p>
        </w:tc>
        <w:tc>
          <w:tcPr>
            <w:tcW w:w="1276" w:type="dxa"/>
            <w:vAlign w:val="center"/>
          </w:tcPr>
          <w:p w14:paraId="61D9B6D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4E1BEEA1">
            <w:pPr>
              <w:widowControl/>
              <w:jc w:val="left"/>
              <w:rPr>
                <w:rFonts w:hint="eastAsia" w:ascii="宋体" w:hAnsi="宋体" w:eastAsia="宋体" w:cs="Segoe UI"/>
                <w:color w:val="06071F"/>
                <w:szCs w:val="21"/>
              </w:rPr>
            </w:pPr>
            <w:r>
              <w:rPr>
                <w:rFonts w:hint="eastAsia" w:ascii="宋体" w:hAnsi="宋体" w:eastAsia="宋体" w:cs="Segoe UI"/>
                <w:color w:val="06071F"/>
                <w:szCs w:val="21"/>
              </w:rPr>
              <w:t>了解废物利用和创意制作的基本方法。通过实际操作，提高废物利用能力和创意表达能力。培养学生的创新意识和环保意识。</w:t>
            </w:r>
          </w:p>
        </w:tc>
        <w:tc>
          <w:tcPr>
            <w:tcW w:w="1560" w:type="dxa"/>
            <w:vAlign w:val="center"/>
          </w:tcPr>
          <w:p w14:paraId="01A989ED">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336D4011">
            <w:pPr>
              <w:spacing w:line="269" w:lineRule="auto"/>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2258FED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F3F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2969CAB0">
            <w:pPr>
              <w:spacing w:line="264" w:lineRule="auto"/>
              <w:jc w:val="center"/>
              <w:rPr>
                <w:rFonts w:ascii="宋体" w:hAnsi="宋体" w:eastAsia="宋体" w:cs="Times New Roman"/>
                <w:color w:val="000000"/>
                <w:szCs w:val="21"/>
              </w:rPr>
            </w:pPr>
          </w:p>
        </w:tc>
        <w:tc>
          <w:tcPr>
            <w:tcW w:w="7809" w:type="dxa"/>
            <w:gridSpan w:val="5"/>
            <w:vAlign w:val="center"/>
          </w:tcPr>
          <w:p w14:paraId="29F0733C">
            <w:pPr>
              <w:spacing w:line="360" w:lineRule="auto"/>
              <w:jc w:val="left"/>
              <w:rPr>
                <w:rFonts w:hint="eastAsia" w:ascii="宋体" w:hAnsi="宋体" w:eastAsia="宋体" w:cs="宋体"/>
                <w:szCs w:val="21"/>
              </w:rPr>
            </w:pPr>
            <w:r>
              <w:rPr>
                <w:rFonts w:hint="eastAsia" w:ascii="宋体" w:hAnsi="宋体" w:eastAsia="宋体" w:cs="Times New Roman"/>
                <w:b/>
                <w:color w:val="000000"/>
                <w:szCs w:val="21"/>
              </w:rPr>
              <w:t>课程思政目标：</w:t>
            </w:r>
            <w:r>
              <w:rPr>
                <w:rFonts w:hint="eastAsia" w:ascii="宋体" w:hAnsi="宋体" w:eastAsia="宋体" w:cs="Times New Roman"/>
                <w:szCs w:val="21"/>
              </w:rPr>
              <w:t>深刻领会“劳动创造美好生活”的真谛，进一步强化劳动观念、弘扬劳动精神、厚植劳动情怀、激发创新创造。</w:t>
            </w:r>
          </w:p>
        </w:tc>
      </w:tr>
      <w:tr w14:paraId="720D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15D0BC46">
            <w:pPr>
              <w:jc w:val="center"/>
              <w:rPr>
                <w:rFonts w:hint="eastAsia" w:ascii="宋体" w:hAnsi="宋体" w:eastAsia="宋体" w:cs="Times New Roman"/>
                <w:szCs w:val="21"/>
              </w:rPr>
            </w:pPr>
            <w:r>
              <w:rPr>
                <w:rFonts w:hint="eastAsia" w:ascii="宋体" w:hAnsi="宋体" w:eastAsia="宋体" w:cs="Times New Roman"/>
                <w:szCs w:val="21"/>
              </w:rPr>
              <w:t>劳动实践2：</w:t>
            </w:r>
          </w:p>
          <w:p w14:paraId="3723B4CA">
            <w:pPr>
              <w:spacing w:line="264" w:lineRule="auto"/>
              <w:jc w:val="center"/>
              <w:rPr>
                <w:rFonts w:hint="eastAsia" w:ascii="宋体" w:hAnsi="宋体" w:eastAsia="宋体" w:cs="Times New Roman"/>
                <w:color w:val="000000"/>
                <w:szCs w:val="21"/>
              </w:rPr>
            </w:pPr>
            <w:r>
              <w:rPr>
                <w:rFonts w:hint="eastAsia" w:ascii="宋体" w:hAnsi="宋体" w:eastAsia="宋体" w:cs="宋体"/>
                <w:szCs w:val="21"/>
              </w:rPr>
              <w:t>儿童照护与急救知识汇报</w:t>
            </w:r>
          </w:p>
        </w:tc>
        <w:tc>
          <w:tcPr>
            <w:tcW w:w="2126" w:type="dxa"/>
            <w:vAlign w:val="center"/>
          </w:tcPr>
          <w:p w14:paraId="6E117544">
            <w:pPr>
              <w:spacing w:line="269" w:lineRule="auto"/>
              <w:jc w:val="center"/>
              <w:rPr>
                <w:rFonts w:ascii="宋体" w:hAnsi="宋体" w:eastAsia="宋体" w:cs="Times New Roman"/>
                <w:color w:val="000000"/>
                <w:szCs w:val="21"/>
              </w:rPr>
            </w:pPr>
            <w:r>
              <w:rPr>
                <w:rFonts w:hint="eastAsia" w:ascii="宋体" w:hAnsi="宋体" w:eastAsia="宋体" w:cs="Times New Roman"/>
                <w:szCs w:val="21"/>
              </w:rPr>
              <w:t>每组选择儿童照护和儿童急救两个主题制作PPT，儿童照护PPT展示（分工安排情况、内容讲解、现场演绎具体情境），儿童急救展示形式，小剧场式演绎（3分钟）（可以运用道具）。</w:t>
            </w:r>
          </w:p>
        </w:tc>
        <w:tc>
          <w:tcPr>
            <w:tcW w:w="1276" w:type="dxa"/>
            <w:vAlign w:val="center"/>
          </w:tcPr>
          <w:p w14:paraId="4CB020B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4943714B">
            <w:pPr>
              <w:widowControl/>
              <w:jc w:val="left"/>
              <w:rPr>
                <w:rFonts w:hint="eastAsia" w:ascii="宋体" w:hAnsi="宋体" w:eastAsia="宋体" w:cs="Segoe UI"/>
                <w:color w:val="06071F"/>
                <w:szCs w:val="21"/>
              </w:rPr>
            </w:pPr>
            <w:r>
              <w:rPr>
                <w:rFonts w:hint="eastAsia" w:ascii="宋体" w:hAnsi="宋体" w:eastAsia="宋体" w:cs="Segoe UI"/>
                <w:color w:val="06071F"/>
                <w:szCs w:val="21"/>
              </w:rPr>
              <w:t>掌握儿童照护和急救的基本知识。能够运用所学知识解决实际问题。</w:t>
            </w:r>
          </w:p>
        </w:tc>
        <w:tc>
          <w:tcPr>
            <w:tcW w:w="1560" w:type="dxa"/>
            <w:vAlign w:val="center"/>
          </w:tcPr>
          <w:p w14:paraId="51019D5B">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1ED265D8">
            <w:pPr>
              <w:spacing w:line="269" w:lineRule="auto"/>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304228A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C05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3DCE2F5B">
            <w:pPr>
              <w:spacing w:line="264" w:lineRule="auto"/>
              <w:jc w:val="center"/>
              <w:rPr>
                <w:rFonts w:ascii="宋体" w:hAnsi="宋体" w:eastAsia="宋体" w:cs="Times New Roman"/>
                <w:color w:val="000000"/>
                <w:szCs w:val="21"/>
              </w:rPr>
            </w:pPr>
          </w:p>
        </w:tc>
        <w:tc>
          <w:tcPr>
            <w:tcW w:w="7809" w:type="dxa"/>
            <w:gridSpan w:val="5"/>
            <w:vAlign w:val="center"/>
          </w:tcPr>
          <w:p w14:paraId="3E34E941">
            <w:pPr>
              <w:spacing w:line="360" w:lineRule="auto"/>
              <w:outlineLvl w:val="0"/>
              <w:rPr>
                <w:rFonts w:hint="eastAsia" w:ascii="宋体" w:hAnsi="宋体" w:eastAsia="宋体" w:cs="宋体"/>
                <w:szCs w:val="21"/>
              </w:rPr>
            </w:pPr>
            <w:bookmarkStart w:id="315" w:name="_Toc31126"/>
            <w:bookmarkStart w:id="316" w:name="_Toc12375"/>
            <w:bookmarkStart w:id="317" w:name="_Toc20927"/>
            <w:bookmarkStart w:id="318" w:name="_Toc25059"/>
            <w:bookmarkStart w:id="319" w:name="_Toc1098"/>
            <w:bookmarkStart w:id="320" w:name="_Toc19099"/>
            <w:bookmarkStart w:id="321" w:name="_Toc17684"/>
            <w:r>
              <w:rPr>
                <w:rFonts w:hint="eastAsia" w:ascii="宋体" w:hAnsi="宋体" w:eastAsia="宋体" w:cs="Times New Roman"/>
                <w:b/>
                <w:color w:val="000000"/>
                <w:szCs w:val="21"/>
              </w:rPr>
              <w:t>课程思政目标：</w:t>
            </w:r>
            <w:bookmarkStart w:id="322" w:name="_Toc1066"/>
            <w:r>
              <w:rPr>
                <w:rFonts w:hint="eastAsia" w:ascii="宋体" w:hAnsi="宋体" w:eastAsia="宋体" w:cs="Times New Roman"/>
                <w:szCs w:val="21"/>
              </w:rPr>
              <w:t>具有新时代大学生劳动知识和能力。</w:t>
            </w:r>
            <w:bookmarkEnd w:id="322"/>
            <w:r>
              <w:rPr>
                <w:rFonts w:hint="eastAsia" w:ascii="宋体" w:hAnsi="宋体" w:eastAsia="宋体" w:cs="Segoe UI"/>
                <w:color w:val="06071F"/>
                <w:szCs w:val="21"/>
              </w:rPr>
              <w:t>培养学生的社会责任感和爱心。</w:t>
            </w:r>
            <w:bookmarkEnd w:id="315"/>
            <w:bookmarkEnd w:id="316"/>
            <w:bookmarkEnd w:id="317"/>
            <w:bookmarkEnd w:id="318"/>
            <w:bookmarkEnd w:id="319"/>
            <w:bookmarkEnd w:id="320"/>
            <w:bookmarkEnd w:id="321"/>
          </w:p>
        </w:tc>
      </w:tr>
      <w:tr w14:paraId="7897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48364331">
            <w:pPr>
              <w:jc w:val="center"/>
              <w:rPr>
                <w:rFonts w:ascii="宋体" w:hAnsi="宋体" w:eastAsia="宋体" w:cs="Times New Roman"/>
                <w:szCs w:val="21"/>
              </w:rPr>
            </w:pPr>
            <w:r>
              <w:rPr>
                <w:rFonts w:hint="eastAsia" w:ascii="宋体" w:hAnsi="宋体" w:eastAsia="宋体" w:cs="Times New Roman"/>
                <w:szCs w:val="21"/>
              </w:rPr>
              <w:t>劳动实践3：</w:t>
            </w:r>
          </w:p>
          <w:p w14:paraId="05F32D72">
            <w:pPr>
              <w:jc w:val="center"/>
              <w:rPr>
                <w:rFonts w:ascii="宋体" w:hAnsi="宋体" w:eastAsia="宋体" w:cs="Times New Roman"/>
                <w:szCs w:val="21"/>
              </w:rPr>
            </w:pPr>
            <w:r>
              <w:rPr>
                <w:rFonts w:hint="eastAsia" w:ascii="宋体" w:hAnsi="宋体" w:eastAsia="宋体" w:cs="宋体"/>
                <w:szCs w:val="21"/>
              </w:rPr>
              <w:t>劳模故事情景剧</w:t>
            </w:r>
          </w:p>
          <w:p w14:paraId="5AD5E96A">
            <w:pPr>
              <w:spacing w:line="276" w:lineRule="auto"/>
              <w:jc w:val="center"/>
              <w:rPr>
                <w:rFonts w:ascii="宋体" w:hAnsi="宋体" w:eastAsia="宋体" w:cs="Times New Roman"/>
                <w:color w:val="000000"/>
                <w:szCs w:val="21"/>
              </w:rPr>
            </w:pPr>
            <w:r>
              <w:rPr>
                <w:rFonts w:hint="eastAsia" w:ascii="宋体" w:hAnsi="宋体" w:eastAsia="宋体" w:cs="宋体"/>
                <w:szCs w:val="21"/>
              </w:rPr>
              <w:t>创作与演绎</w:t>
            </w:r>
          </w:p>
        </w:tc>
        <w:tc>
          <w:tcPr>
            <w:tcW w:w="2126" w:type="dxa"/>
            <w:vAlign w:val="center"/>
          </w:tcPr>
          <w:p w14:paraId="3BFBB531">
            <w:pPr>
              <w:spacing w:line="276" w:lineRule="auto"/>
              <w:jc w:val="center"/>
              <w:rPr>
                <w:rFonts w:ascii="宋体" w:hAnsi="宋体" w:eastAsia="宋体" w:cs="Times New Roman"/>
                <w:color w:val="000000"/>
                <w:szCs w:val="21"/>
              </w:rPr>
            </w:pPr>
            <w:r>
              <w:rPr>
                <w:rFonts w:hint="eastAsia" w:ascii="宋体" w:hAnsi="宋体" w:eastAsia="宋体" w:cs="Times New Roman"/>
                <w:szCs w:val="21"/>
              </w:rPr>
              <w:t>以小组单位，以“劳动精神”为主题，根据某位真实存在的劳动者事迹为原型而改编，进行情景剧视频创作。</w:t>
            </w:r>
          </w:p>
        </w:tc>
        <w:tc>
          <w:tcPr>
            <w:tcW w:w="1276" w:type="dxa"/>
            <w:vAlign w:val="center"/>
          </w:tcPr>
          <w:p w14:paraId="09D39FC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68FEF625">
            <w:pPr>
              <w:widowControl/>
              <w:jc w:val="left"/>
              <w:rPr>
                <w:rFonts w:hint="eastAsia" w:ascii="宋体" w:hAnsi="宋体" w:eastAsia="宋体" w:cs="Segoe UI"/>
                <w:color w:val="06071F"/>
                <w:szCs w:val="21"/>
              </w:rPr>
            </w:pPr>
            <w:r>
              <w:rPr>
                <w:rFonts w:hint="eastAsia" w:ascii="宋体" w:hAnsi="宋体" w:eastAsia="宋体" w:cs="Segoe UI"/>
                <w:color w:val="06071F"/>
                <w:szCs w:val="21"/>
              </w:rPr>
              <w:t>了解劳模事迹和劳动精神。掌握情景剧创作和演绎的基本技巧。弘扬劳动精神，培养学生的敬业精神。</w:t>
            </w:r>
          </w:p>
        </w:tc>
        <w:tc>
          <w:tcPr>
            <w:tcW w:w="1560" w:type="dxa"/>
            <w:vAlign w:val="center"/>
          </w:tcPr>
          <w:p w14:paraId="138D5222">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750C36D8">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017A8B7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7B3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5D2868C2">
            <w:pPr>
              <w:spacing w:line="276" w:lineRule="auto"/>
              <w:jc w:val="center"/>
              <w:rPr>
                <w:rFonts w:ascii="宋体" w:hAnsi="宋体" w:eastAsia="宋体" w:cs="Times New Roman"/>
                <w:color w:val="000000"/>
                <w:szCs w:val="21"/>
              </w:rPr>
            </w:pPr>
          </w:p>
        </w:tc>
        <w:tc>
          <w:tcPr>
            <w:tcW w:w="7809" w:type="dxa"/>
            <w:gridSpan w:val="5"/>
            <w:vAlign w:val="center"/>
          </w:tcPr>
          <w:p w14:paraId="2463CD5C">
            <w:pPr>
              <w:spacing w:line="360" w:lineRule="auto"/>
              <w:rPr>
                <w:rFonts w:hint="eastAsia" w:ascii="宋体" w:hAnsi="宋体" w:eastAsia="宋体" w:cs="宋体"/>
                <w:szCs w:val="21"/>
              </w:rPr>
            </w:pPr>
            <w:r>
              <w:rPr>
                <w:rFonts w:hint="eastAsia" w:ascii="宋体" w:hAnsi="宋体" w:eastAsia="宋体" w:cs="Times New Roman"/>
                <w:b/>
                <w:color w:val="000000"/>
                <w:szCs w:val="21"/>
              </w:rPr>
              <w:t>课程思政目标：</w:t>
            </w:r>
            <w:r>
              <w:rPr>
                <w:rFonts w:hint="eastAsia" w:ascii="宋体" w:hAnsi="宋体" w:eastAsia="宋体" w:cs="宋体"/>
                <w:szCs w:val="21"/>
              </w:rPr>
              <w:t>树立科学的就业观和职业观，感受劳动创造价值，增强产品质量意识，体会平凡劳动中的伟大。</w:t>
            </w:r>
          </w:p>
        </w:tc>
      </w:tr>
      <w:tr w14:paraId="4157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56299B91">
            <w:pPr>
              <w:jc w:val="center"/>
              <w:rPr>
                <w:rFonts w:hint="eastAsia" w:ascii="宋体" w:hAnsi="宋体" w:eastAsia="宋体" w:cs="Times New Roman"/>
                <w:szCs w:val="21"/>
              </w:rPr>
            </w:pPr>
            <w:r>
              <w:rPr>
                <w:rFonts w:hint="eastAsia" w:ascii="宋体" w:hAnsi="宋体" w:eastAsia="宋体" w:cs="Times New Roman"/>
                <w:szCs w:val="21"/>
              </w:rPr>
              <w:t>技能实操2：</w:t>
            </w:r>
          </w:p>
          <w:p w14:paraId="1508B889">
            <w:pPr>
              <w:spacing w:line="276" w:lineRule="auto"/>
              <w:jc w:val="center"/>
              <w:rPr>
                <w:rFonts w:ascii="宋体" w:hAnsi="宋体" w:eastAsia="宋体" w:cs="Times New Roman"/>
                <w:color w:val="000000"/>
                <w:szCs w:val="21"/>
              </w:rPr>
            </w:pPr>
            <w:r>
              <w:rPr>
                <w:rFonts w:hint="eastAsia" w:ascii="宋体" w:hAnsi="宋体" w:eastAsia="宋体" w:cs="宋体"/>
                <w:szCs w:val="21"/>
              </w:rPr>
              <w:t>小学学科教具制作</w:t>
            </w:r>
          </w:p>
        </w:tc>
        <w:tc>
          <w:tcPr>
            <w:tcW w:w="2126" w:type="dxa"/>
            <w:vAlign w:val="center"/>
          </w:tcPr>
          <w:p w14:paraId="39E39CCF">
            <w:pPr>
              <w:jc w:val="center"/>
              <w:rPr>
                <w:rFonts w:ascii="宋体" w:hAnsi="宋体" w:eastAsia="宋体" w:cs="Times New Roman"/>
                <w:szCs w:val="21"/>
              </w:rPr>
            </w:pPr>
            <w:r>
              <w:rPr>
                <w:rFonts w:hint="eastAsia" w:ascii="宋体" w:hAnsi="宋体" w:eastAsia="宋体" w:cs="Times New Roman"/>
                <w:szCs w:val="21"/>
              </w:rPr>
              <w:t>提前准备材料，现场制作小学教具，并进行展示实物展示（设计意图、制作过程、所用材料和玩法、具体课堂使用情境、分工安排情况）。记录制作过程，课后把制作过程形成总结报告形式。</w:t>
            </w:r>
          </w:p>
        </w:tc>
        <w:tc>
          <w:tcPr>
            <w:tcW w:w="1276" w:type="dxa"/>
            <w:vAlign w:val="center"/>
          </w:tcPr>
          <w:p w14:paraId="51E1C37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0B7F13D2">
            <w:pPr>
              <w:widowControl/>
              <w:jc w:val="left"/>
              <w:rPr>
                <w:rFonts w:hint="eastAsia" w:ascii="宋体" w:hAnsi="宋体" w:eastAsia="宋体" w:cs="Segoe UI"/>
                <w:color w:val="06071F"/>
                <w:szCs w:val="21"/>
              </w:rPr>
            </w:pPr>
            <w:r>
              <w:rPr>
                <w:rFonts w:hint="eastAsia" w:ascii="宋体" w:hAnsi="宋体" w:eastAsia="宋体" w:cs="Segoe UI"/>
                <w:color w:val="06071F"/>
                <w:szCs w:val="21"/>
              </w:rPr>
              <w:t>了解小学学科教具的基本类型和制作原理。掌握教具制作的基本技巧和方法。培养学生的创新意识和实践能力。</w:t>
            </w:r>
          </w:p>
        </w:tc>
        <w:tc>
          <w:tcPr>
            <w:tcW w:w="1560" w:type="dxa"/>
            <w:vAlign w:val="center"/>
          </w:tcPr>
          <w:p w14:paraId="20163240">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07E248A8">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78914DB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BE1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29F815D3">
            <w:pPr>
              <w:spacing w:line="276" w:lineRule="auto"/>
              <w:jc w:val="center"/>
              <w:rPr>
                <w:rFonts w:ascii="宋体" w:hAnsi="宋体" w:eastAsia="宋体" w:cs="Times New Roman"/>
                <w:color w:val="000000"/>
                <w:szCs w:val="21"/>
              </w:rPr>
            </w:pPr>
          </w:p>
        </w:tc>
        <w:tc>
          <w:tcPr>
            <w:tcW w:w="7809" w:type="dxa"/>
            <w:gridSpan w:val="5"/>
            <w:vAlign w:val="center"/>
          </w:tcPr>
          <w:p w14:paraId="0EF39EA4">
            <w:pPr>
              <w:spacing w:line="360" w:lineRule="auto"/>
              <w:rPr>
                <w:rFonts w:hint="eastAsia" w:ascii="宋体" w:hAnsi="宋体" w:eastAsia="宋体" w:cs="宋体"/>
                <w:szCs w:val="21"/>
              </w:rPr>
            </w:pPr>
            <w:r>
              <w:rPr>
                <w:rFonts w:hint="eastAsia" w:ascii="宋体" w:hAnsi="宋体" w:eastAsia="宋体" w:cs="Times New Roman"/>
                <w:b/>
                <w:color w:val="000000"/>
                <w:szCs w:val="21"/>
              </w:rPr>
              <w:t>课程思政目标：</w:t>
            </w:r>
            <w:r>
              <w:rPr>
                <w:rFonts w:hint="eastAsia" w:ascii="宋体" w:hAnsi="宋体" w:eastAsia="宋体" w:cs="Times New Roman"/>
                <w:szCs w:val="21"/>
              </w:rPr>
              <w:t>增强对劳动创造性价值的认同，深刻领会“劳动创造美好生活”的真谛。</w:t>
            </w:r>
          </w:p>
        </w:tc>
      </w:tr>
      <w:tr w14:paraId="5B71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142A422B">
            <w:pPr>
              <w:jc w:val="center"/>
              <w:rPr>
                <w:rFonts w:ascii="宋体" w:hAnsi="宋体" w:eastAsia="宋体" w:cs="Times New Roman"/>
                <w:szCs w:val="21"/>
              </w:rPr>
            </w:pPr>
            <w:r>
              <w:rPr>
                <w:rFonts w:hint="eastAsia" w:ascii="宋体" w:hAnsi="宋体" w:eastAsia="宋体" w:cs="Times New Roman"/>
                <w:szCs w:val="21"/>
              </w:rPr>
              <w:t>劳动实践4:</w:t>
            </w:r>
          </w:p>
          <w:p w14:paraId="68BD7EE4">
            <w:pPr>
              <w:spacing w:line="276" w:lineRule="auto"/>
              <w:jc w:val="center"/>
              <w:rPr>
                <w:rFonts w:ascii="宋体" w:hAnsi="宋体" w:eastAsia="宋体" w:cs="Times New Roman"/>
                <w:color w:val="000000"/>
                <w:szCs w:val="21"/>
              </w:rPr>
            </w:pPr>
            <w:r>
              <w:rPr>
                <w:rFonts w:hint="eastAsia" w:ascii="宋体" w:hAnsi="宋体" w:eastAsia="宋体" w:cs="Times New Roman"/>
                <w:szCs w:val="21"/>
              </w:rPr>
              <w:t>劳动教育大讨论</w:t>
            </w:r>
          </w:p>
        </w:tc>
        <w:tc>
          <w:tcPr>
            <w:tcW w:w="2126" w:type="dxa"/>
            <w:vAlign w:val="center"/>
          </w:tcPr>
          <w:p w14:paraId="168F9E52">
            <w:pPr>
              <w:spacing w:line="276" w:lineRule="auto"/>
              <w:jc w:val="center"/>
              <w:rPr>
                <w:rFonts w:ascii="宋体" w:hAnsi="宋体" w:eastAsia="宋体" w:cs="Times New Roman"/>
                <w:color w:val="000000"/>
                <w:szCs w:val="21"/>
              </w:rPr>
            </w:pPr>
            <w:r>
              <w:rPr>
                <w:rFonts w:hint="eastAsia" w:ascii="宋体" w:hAnsi="宋体" w:eastAsia="宋体" w:cs="Times New Roman"/>
                <w:szCs w:val="21"/>
              </w:rPr>
              <w:t>学生分组抽取劳动相关的辩论题，进行辩论与点评。</w:t>
            </w:r>
          </w:p>
        </w:tc>
        <w:tc>
          <w:tcPr>
            <w:tcW w:w="1276" w:type="dxa"/>
            <w:vAlign w:val="center"/>
          </w:tcPr>
          <w:p w14:paraId="3E9C33A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0A9692A6">
            <w:pPr>
              <w:widowControl/>
              <w:jc w:val="left"/>
              <w:rPr>
                <w:rFonts w:hint="eastAsia" w:ascii="宋体" w:hAnsi="宋体" w:eastAsia="宋体" w:cs="Segoe UI"/>
                <w:color w:val="06071F"/>
                <w:szCs w:val="21"/>
              </w:rPr>
            </w:pPr>
            <w:r>
              <w:rPr>
                <w:rFonts w:hint="eastAsia" w:ascii="宋体" w:hAnsi="宋体" w:eastAsia="宋体" w:cs="Segoe UI"/>
                <w:color w:val="06071F"/>
                <w:szCs w:val="21"/>
              </w:rPr>
              <w:t>了解劳动教育的相关理论和实践案例。培养学生的批判性思维和辩论能力。</w:t>
            </w:r>
          </w:p>
        </w:tc>
        <w:tc>
          <w:tcPr>
            <w:tcW w:w="1560" w:type="dxa"/>
            <w:vAlign w:val="center"/>
          </w:tcPr>
          <w:p w14:paraId="635F8007">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053BB106">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42E13550">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3.课堂讨论</w:t>
            </w:r>
          </w:p>
        </w:tc>
        <w:tc>
          <w:tcPr>
            <w:tcW w:w="438" w:type="dxa"/>
            <w:vAlign w:val="center"/>
          </w:tcPr>
          <w:p w14:paraId="4AD7043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A15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4A54AF17">
            <w:pPr>
              <w:spacing w:line="276" w:lineRule="auto"/>
              <w:jc w:val="center"/>
              <w:rPr>
                <w:rFonts w:ascii="宋体" w:hAnsi="宋体" w:eastAsia="宋体" w:cs="Times New Roman"/>
                <w:color w:val="000000"/>
                <w:szCs w:val="21"/>
              </w:rPr>
            </w:pPr>
          </w:p>
        </w:tc>
        <w:tc>
          <w:tcPr>
            <w:tcW w:w="7809" w:type="dxa"/>
            <w:gridSpan w:val="5"/>
            <w:vAlign w:val="center"/>
          </w:tcPr>
          <w:p w14:paraId="2A620BE2">
            <w:pPr>
              <w:spacing w:line="276" w:lineRule="auto"/>
              <w:rPr>
                <w:rFonts w:ascii="宋体" w:hAnsi="宋体" w:eastAsia="宋体" w:cs="Times New Roman"/>
                <w:color w:val="000000"/>
                <w:szCs w:val="21"/>
              </w:rPr>
            </w:pPr>
            <w:r>
              <w:rPr>
                <w:rFonts w:hint="eastAsia" w:ascii="宋体" w:hAnsi="宋体" w:eastAsia="宋体" w:cs="Times New Roman"/>
                <w:b/>
                <w:color w:val="000000"/>
                <w:szCs w:val="21"/>
              </w:rPr>
              <w:t>课程思政目标：</w:t>
            </w:r>
            <w:bookmarkStart w:id="323" w:name="_Toc32680"/>
            <w:r>
              <w:rPr>
                <w:rFonts w:hint="eastAsia" w:ascii="宋体" w:hAnsi="宋体" w:eastAsia="宋体" w:cs="Times New Roman"/>
                <w:szCs w:val="21"/>
              </w:rPr>
              <w:t>培育新时代大学生劳动情怀。</w:t>
            </w:r>
            <w:bookmarkEnd w:id="323"/>
            <w:r>
              <w:rPr>
                <w:rFonts w:hint="eastAsia" w:ascii="宋体" w:hAnsi="宋体" w:eastAsia="宋体" w:cs="Segoe UI"/>
                <w:color w:val="06071F"/>
                <w:szCs w:val="21"/>
              </w:rPr>
              <w:t>引导学生树立正确的劳动观念，增强劳动意识。</w:t>
            </w:r>
          </w:p>
        </w:tc>
      </w:tr>
      <w:tr w14:paraId="1859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28A1BEB8">
            <w:pPr>
              <w:jc w:val="center"/>
              <w:rPr>
                <w:rFonts w:ascii="宋体" w:hAnsi="宋体" w:eastAsia="宋体" w:cs="Times New Roman"/>
                <w:szCs w:val="21"/>
              </w:rPr>
            </w:pPr>
            <w:r>
              <w:rPr>
                <w:rFonts w:hint="eastAsia" w:ascii="宋体" w:hAnsi="宋体" w:eastAsia="宋体" w:cs="Times New Roman"/>
                <w:szCs w:val="21"/>
              </w:rPr>
              <w:t>劳动实践5:</w:t>
            </w:r>
          </w:p>
          <w:p w14:paraId="7EF0F395">
            <w:pPr>
              <w:spacing w:line="276" w:lineRule="auto"/>
              <w:jc w:val="center"/>
              <w:rPr>
                <w:rFonts w:ascii="宋体" w:hAnsi="宋体" w:eastAsia="宋体" w:cs="Times New Roman"/>
                <w:szCs w:val="21"/>
              </w:rPr>
            </w:pPr>
            <w:r>
              <w:rPr>
                <w:rFonts w:hint="eastAsia" w:ascii="宋体" w:hAnsi="宋体" w:eastAsia="宋体" w:cs="宋体"/>
                <w:szCs w:val="21"/>
              </w:rPr>
              <w:t>点心食品制作与记录</w:t>
            </w:r>
          </w:p>
        </w:tc>
        <w:tc>
          <w:tcPr>
            <w:tcW w:w="2126" w:type="dxa"/>
            <w:vAlign w:val="center"/>
          </w:tcPr>
          <w:p w14:paraId="4672C43C">
            <w:pPr>
              <w:spacing w:line="276" w:lineRule="auto"/>
              <w:jc w:val="center"/>
              <w:rPr>
                <w:rFonts w:ascii="宋体" w:hAnsi="宋体" w:eastAsia="宋体" w:cs="Times New Roman"/>
                <w:szCs w:val="21"/>
              </w:rPr>
            </w:pPr>
            <w:r>
              <w:rPr>
                <w:rFonts w:hint="eastAsia" w:ascii="宋体" w:hAnsi="宋体" w:eastAsia="宋体" w:cs="Times New Roman"/>
                <w:szCs w:val="21"/>
              </w:rPr>
              <w:t>每组进行面点创意制作，在制作品尝面点结束后，以小组为单位制作食物宣传海报。（内容包括分工安排情况、制作过程和成果讲解、劳动心得等）。</w:t>
            </w:r>
          </w:p>
        </w:tc>
        <w:tc>
          <w:tcPr>
            <w:tcW w:w="1276" w:type="dxa"/>
            <w:vAlign w:val="center"/>
          </w:tcPr>
          <w:p w14:paraId="74D77CB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7A8766D7">
            <w:pPr>
              <w:widowControl/>
              <w:jc w:val="left"/>
              <w:rPr>
                <w:rFonts w:hint="eastAsia" w:ascii="宋体" w:hAnsi="宋体" w:eastAsia="宋体" w:cs="Segoe UI"/>
                <w:color w:val="06071F"/>
                <w:szCs w:val="21"/>
              </w:rPr>
            </w:pPr>
            <w:r>
              <w:rPr>
                <w:rFonts w:hint="eastAsia" w:ascii="宋体" w:hAnsi="宋体" w:eastAsia="宋体" w:cs="Segoe UI"/>
                <w:color w:val="06071F"/>
                <w:szCs w:val="21"/>
              </w:rPr>
              <w:t>了解点心食品的基本制作方法和营养搭配。掌握点心食品制作的基本技巧。培养学生的动手能力和团队协作精神。</w:t>
            </w:r>
          </w:p>
        </w:tc>
        <w:tc>
          <w:tcPr>
            <w:tcW w:w="1560" w:type="dxa"/>
            <w:vAlign w:val="center"/>
          </w:tcPr>
          <w:p w14:paraId="1E7C7F8D">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42ED66CF">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7030BB2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248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55ED7B8">
            <w:pPr>
              <w:spacing w:line="276" w:lineRule="auto"/>
              <w:jc w:val="center"/>
              <w:rPr>
                <w:rFonts w:ascii="宋体" w:hAnsi="宋体" w:eastAsia="宋体" w:cs="Times New Roman"/>
                <w:color w:val="000000"/>
                <w:szCs w:val="21"/>
              </w:rPr>
            </w:pPr>
          </w:p>
        </w:tc>
        <w:tc>
          <w:tcPr>
            <w:tcW w:w="7809" w:type="dxa"/>
            <w:gridSpan w:val="5"/>
            <w:vAlign w:val="center"/>
          </w:tcPr>
          <w:p w14:paraId="37B7F19A">
            <w:pPr>
              <w:spacing w:line="276" w:lineRule="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szCs w:val="21"/>
              </w:rPr>
              <w:t>热爱劳动、尊重劳动，养成良好的劳动习惯。</w:t>
            </w:r>
          </w:p>
        </w:tc>
      </w:tr>
      <w:tr w14:paraId="65FD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4131C573">
            <w:pPr>
              <w:spacing w:line="264" w:lineRule="auto"/>
              <w:jc w:val="center"/>
              <w:rPr>
                <w:rFonts w:ascii="宋体" w:hAnsi="宋体" w:eastAsia="宋体" w:cs="Times New Roman"/>
                <w:color w:val="000000"/>
                <w:szCs w:val="21"/>
              </w:rPr>
            </w:pPr>
            <w:r>
              <w:rPr>
                <w:rFonts w:ascii="宋体" w:hAnsi="宋体" w:eastAsia="宋体" w:cs="Segoe UI"/>
                <w:color w:val="06071F"/>
                <w:szCs w:val="21"/>
                <w:shd w:val="clear" w:color="auto" w:fill="FDFDFE"/>
              </w:rPr>
              <w:t>劳动实践6：植物种植与观察</w:t>
            </w:r>
          </w:p>
        </w:tc>
        <w:tc>
          <w:tcPr>
            <w:tcW w:w="2126" w:type="dxa"/>
            <w:vAlign w:val="center"/>
          </w:tcPr>
          <w:p w14:paraId="3929425D">
            <w:pPr>
              <w:spacing w:line="264" w:lineRule="auto"/>
              <w:jc w:val="center"/>
              <w:rPr>
                <w:rFonts w:ascii="宋体" w:hAnsi="宋体" w:eastAsia="宋体" w:cs="Times New Roman"/>
                <w:color w:val="000000"/>
                <w:szCs w:val="21"/>
              </w:rPr>
            </w:pPr>
            <w:r>
              <w:rPr>
                <w:rFonts w:hint="eastAsia" w:ascii="宋体" w:hAnsi="宋体" w:eastAsia="宋体" w:cs="Times New Roman"/>
                <w:szCs w:val="21"/>
              </w:rPr>
              <w:t>教师讲解种植大蒜相关知识，各组完成一份大蒜调查报告和植物种植报告。</w:t>
            </w:r>
          </w:p>
        </w:tc>
        <w:tc>
          <w:tcPr>
            <w:tcW w:w="1276" w:type="dxa"/>
            <w:vAlign w:val="center"/>
          </w:tcPr>
          <w:p w14:paraId="164EF74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2409" w:type="dxa"/>
            <w:vAlign w:val="center"/>
          </w:tcPr>
          <w:p w14:paraId="59C1C8DD">
            <w:pPr>
              <w:widowControl/>
              <w:jc w:val="left"/>
              <w:rPr>
                <w:rFonts w:hint="eastAsia" w:ascii="宋体" w:hAnsi="宋体" w:eastAsia="宋体" w:cs="Segoe UI"/>
                <w:color w:val="06071F"/>
                <w:szCs w:val="21"/>
              </w:rPr>
            </w:pPr>
            <w:r>
              <w:rPr>
                <w:rFonts w:hint="eastAsia" w:ascii="宋体" w:hAnsi="宋体" w:eastAsia="宋体" w:cs="Segoe UI"/>
                <w:color w:val="06071F"/>
                <w:szCs w:val="21"/>
              </w:rPr>
              <w:t>了解植物种植的基本知识和观察方法。掌握植物种植和观察的基本技巧。</w:t>
            </w:r>
          </w:p>
        </w:tc>
        <w:tc>
          <w:tcPr>
            <w:tcW w:w="1560" w:type="dxa"/>
            <w:vAlign w:val="center"/>
          </w:tcPr>
          <w:p w14:paraId="4EA3C728">
            <w:pPr>
              <w:spacing w:line="269" w:lineRule="auto"/>
              <w:rPr>
                <w:rFonts w:hint="eastAsia" w:ascii="宋体" w:hAnsi="宋体" w:eastAsia="宋体" w:cs="Times New Roman"/>
                <w:color w:val="000000"/>
                <w:szCs w:val="21"/>
              </w:rPr>
            </w:pPr>
            <w:r>
              <w:rPr>
                <w:rFonts w:hint="eastAsia" w:ascii="宋体" w:hAnsi="宋体" w:eastAsia="宋体" w:cs="Times New Roman"/>
                <w:color w:val="000000"/>
                <w:szCs w:val="21"/>
              </w:rPr>
              <w:t>1.课堂实践</w:t>
            </w:r>
          </w:p>
          <w:p w14:paraId="5DDA8ABC">
            <w:pPr>
              <w:spacing w:line="264" w:lineRule="auto"/>
              <w:rPr>
                <w:rFonts w:ascii="宋体" w:hAnsi="宋体" w:eastAsia="宋体" w:cs="Times New Roman"/>
                <w:color w:val="000000"/>
                <w:szCs w:val="21"/>
              </w:rPr>
            </w:pPr>
            <w:r>
              <w:rPr>
                <w:rFonts w:hint="eastAsia" w:ascii="宋体" w:hAnsi="宋体" w:eastAsia="宋体" w:cs="Times New Roman"/>
                <w:color w:val="000000"/>
                <w:szCs w:val="21"/>
              </w:rPr>
              <w:t>2.多媒体教学</w:t>
            </w:r>
          </w:p>
          <w:p w14:paraId="557793FE">
            <w:pPr>
              <w:spacing w:line="264" w:lineRule="auto"/>
              <w:rPr>
                <w:rFonts w:ascii="宋体" w:hAnsi="宋体" w:eastAsia="宋体" w:cs="Times New Roman"/>
                <w:color w:val="000000"/>
                <w:szCs w:val="21"/>
              </w:rPr>
            </w:pPr>
            <w:r>
              <w:rPr>
                <w:rFonts w:hint="eastAsia" w:ascii="宋体" w:hAnsi="宋体" w:eastAsia="宋体" w:cs="Times New Roman"/>
                <w:color w:val="000000"/>
                <w:szCs w:val="21"/>
              </w:rPr>
              <w:t>3.课堂讨论</w:t>
            </w:r>
          </w:p>
        </w:tc>
        <w:tc>
          <w:tcPr>
            <w:tcW w:w="438" w:type="dxa"/>
            <w:vAlign w:val="center"/>
          </w:tcPr>
          <w:p w14:paraId="39ABBC0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782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23A0C8AD">
            <w:pPr>
              <w:spacing w:line="264" w:lineRule="auto"/>
              <w:jc w:val="center"/>
              <w:rPr>
                <w:rFonts w:ascii="宋体" w:hAnsi="宋体" w:eastAsia="宋体" w:cs="Times New Roman"/>
                <w:color w:val="000000"/>
                <w:szCs w:val="21"/>
              </w:rPr>
            </w:pPr>
          </w:p>
        </w:tc>
        <w:tc>
          <w:tcPr>
            <w:tcW w:w="7809" w:type="dxa"/>
            <w:gridSpan w:val="5"/>
            <w:vAlign w:val="center"/>
          </w:tcPr>
          <w:p w14:paraId="2F2129D0">
            <w:pPr>
              <w:spacing w:line="264" w:lineRule="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Segoe UI"/>
                <w:color w:val="06071F"/>
                <w:szCs w:val="21"/>
              </w:rPr>
              <w:t>培养学生的耐心和观察力，增强环保意识。</w:t>
            </w:r>
          </w:p>
        </w:tc>
      </w:tr>
    </w:tbl>
    <w:p w14:paraId="7971100E">
      <w:pPr>
        <w:spacing w:line="360" w:lineRule="auto"/>
        <w:jc w:val="left"/>
        <w:rPr>
          <w:rFonts w:ascii="Times New Roman" w:hAnsi="Times New Roman" w:eastAsia="宋体" w:cs="Times New Roman"/>
          <w:sz w:val="24"/>
          <w:szCs w:val="24"/>
        </w:rPr>
      </w:pPr>
    </w:p>
    <w:p w14:paraId="0E4E0307">
      <w:pPr>
        <w:spacing w:line="360" w:lineRule="auto"/>
        <w:jc w:val="left"/>
        <w:outlineLvl w:val="0"/>
        <w:rPr>
          <w:rFonts w:ascii="Times New Roman" w:hAnsi="Times New Roman" w:eastAsia="宋体" w:cs="Times New Roman"/>
          <w:sz w:val="24"/>
          <w:szCs w:val="24"/>
        </w:rPr>
      </w:pPr>
      <w:bookmarkStart w:id="324" w:name="_Toc15656"/>
      <w:bookmarkStart w:id="325" w:name="_Toc21554"/>
      <w:bookmarkStart w:id="326" w:name="_Toc4783"/>
      <w:bookmarkStart w:id="327" w:name="_Toc21349"/>
      <w:bookmarkStart w:id="328" w:name="_Toc26506"/>
      <w:bookmarkStart w:id="329" w:name="_Toc3680"/>
      <w:bookmarkStart w:id="330" w:name="_Toc9393"/>
      <w:r>
        <w:rPr>
          <w:rFonts w:hint="eastAsia" w:ascii="宋体" w:hAnsi="宋体" w:eastAsia="宋体" w:cs="Times New Roman"/>
          <w:b/>
          <w:color w:val="000000"/>
          <w:sz w:val="24"/>
          <w:szCs w:val="24"/>
        </w:rPr>
        <w:t>四、目标评价与成绩评定</w:t>
      </w:r>
      <w:bookmarkEnd w:id="324"/>
      <w:bookmarkEnd w:id="325"/>
      <w:bookmarkEnd w:id="326"/>
      <w:bookmarkEnd w:id="327"/>
      <w:bookmarkEnd w:id="328"/>
      <w:bookmarkEnd w:id="329"/>
      <w:bookmarkEnd w:id="330"/>
    </w:p>
    <w:p w14:paraId="0BC426D5">
      <w:pPr>
        <w:spacing w:line="360" w:lineRule="auto"/>
        <w:jc w:val="left"/>
        <w:outlineLvl w:val="1"/>
        <w:rPr>
          <w:rFonts w:ascii="Times New Roman" w:hAnsi="Times New Roman" w:eastAsia="宋体" w:cs="Times New Roman"/>
          <w:b/>
          <w:szCs w:val="21"/>
        </w:rPr>
      </w:pPr>
      <w:bookmarkStart w:id="331" w:name="_Toc8781"/>
      <w:r>
        <w:rPr>
          <w:rFonts w:hint="eastAsia" w:ascii="Times New Roman" w:hAnsi="Times New Roman" w:eastAsia="宋体" w:cs="Times New Roman"/>
          <w:b/>
          <w:szCs w:val="21"/>
        </w:rPr>
        <w:t>（一）课程目标评价方式</w:t>
      </w:r>
      <w:bookmarkEnd w:id="331"/>
    </w:p>
    <w:p w14:paraId="1C0DB4A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E299D47">
      <w:pPr>
        <w:spacing w:line="360" w:lineRule="auto"/>
        <w:ind w:firstLine="420" w:firstLineChars="200"/>
        <w:jc w:val="left"/>
        <w:rPr>
          <w:rFonts w:ascii="Times New Roman" w:hAnsi="Times New Roman" w:eastAsia="宋体" w:cs="Times New Roman"/>
          <w:szCs w:val="21"/>
        </w:rPr>
      </w:pPr>
    </w:p>
    <w:p w14:paraId="4F6EBF9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2126"/>
        <w:gridCol w:w="1843"/>
        <w:gridCol w:w="1559"/>
      </w:tblGrid>
      <w:tr w14:paraId="47C5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7446EBC">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840" w:type="dxa"/>
            <w:gridSpan w:val="3"/>
            <w:vAlign w:val="center"/>
          </w:tcPr>
          <w:p w14:paraId="32F848B0">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559" w:type="dxa"/>
            <w:vMerge w:val="restart"/>
            <w:vAlign w:val="center"/>
          </w:tcPr>
          <w:p w14:paraId="700904C7">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5A8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CADC7E6">
            <w:pPr>
              <w:spacing w:line="360" w:lineRule="auto"/>
              <w:jc w:val="center"/>
              <w:rPr>
                <w:rFonts w:ascii="宋体" w:hAnsi="宋体" w:eastAsia="宋体" w:cs="Times New Roman"/>
                <w:szCs w:val="21"/>
              </w:rPr>
            </w:pPr>
          </w:p>
        </w:tc>
        <w:tc>
          <w:tcPr>
            <w:tcW w:w="1871" w:type="dxa"/>
            <w:vAlign w:val="center"/>
          </w:tcPr>
          <w:p w14:paraId="5B778A04">
            <w:pPr>
              <w:spacing w:line="360" w:lineRule="auto"/>
              <w:jc w:val="center"/>
              <w:rPr>
                <w:rFonts w:ascii="宋体" w:hAnsi="宋体" w:eastAsia="宋体" w:cs="Times New Roman"/>
                <w:szCs w:val="21"/>
              </w:rPr>
            </w:pPr>
            <w:r>
              <w:rPr>
                <w:rFonts w:hint="eastAsia" w:ascii="宋体" w:hAnsi="宋体" w:eastAsia="宋体" w:cs="Times New Roman"/>
                <w:szCs w:val="21"/>
              </w:rPr>
              <w:t>平时成绩</w:t>
            </w:r>
          </w:p>
        </w:tc>
        <w:tc>
          <w:tcPr>
            <w:tcW w:w="2126" w:type="dxa"/>
            <w:vAlign w:val="center"/>
          </w:tcPr>
          <w:p w14:paraId="42FBEB8C">
            <w:pPr>
              <w:spacing w:line="360" w:lineRule="auto"/>
              <w:jc w:val="center"/>
              <w:rPr>
                <w:rFonts w:ascii="宋体" w:hAnsi="宋体" w:eastAsia="宋体" w:cs="Times New Roman"/>
                <w:szCs w:val="21"/>
              </w:rPr>
            </w:pPr>
            <w:r>
              <w:rPr>
                <w:rFonts w:hint="eastAsia" w:ascii="宋体" w:hAnsi="宋体" w:eastAsia="宋体" w:cs="Times New Roman"/>
                <w:szCs w:val="21"/>
              </w:rPr>
              <w:t>实践活动</w:t>
            </w:r>
          </w:p>
        </w:tc>
        <w:tc>
          <w:tcPr>
            <w:tcW w:w="1843" w:type="dxa"/>
            <w:vAlign w:val="center"/>
          </w:tcPr>
          <w:p w14:paraId="30A23AF7">
            <w:pPr>
              <w:spacing w:line="360" w:lineRule="auto"/>
              <w:jc w:val="center"/>
              <w:rPr>
                <w:rFonts w:hint="eastAsia" w:ascii="宋体" w:hAnsi="宋体" w:eastAsia="宋体" w:cs="Times New Roman"/>
                <w:szCs w:val="21"/>
              </w:rPr>
            </w:pPr>
            <w:r>
              <w:rPr>
                <w:rFonts w:hint="eastAsia" w:ascii="宋体" w:hAnsi="宋体" w:eastAsia="宋体" w:cs="Times New Roman"/>
                <w:szCs w:val="21"/>
              </w:rPr>
              <w:t>技能实操</w:t>
            </w:r>
          </w:p>
        </w:tc>
        <w:tc>
          <w:tcPr>
            <w:tcW w:w="1559" w:type="dxa"/>
            <w:vMerge w:val="continue"/>
            <w:vAlign w:val="center"/>
          </w:tcPr>
          <w:p w14:paraId="7612F525">
            <w:pPr>
              <w:spacing w:line="360" w:lineRule="auto"/>
              <w:jc w:val="center"/>
              <w:rPr>
                <w:rFonts w:ascii="宋体" w:hAnsi="宋体" w:eastAsia="宋体" w:cs="Times New Roman"/>
                <w:szCs w:val="21"/>
              </w:rPr>
            </w:pPr>
          </w:p>
        </w:tc>
      </w:tr>
      <w:tr w14:paraId="6DFB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7CFA94D">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871" w:type="dxa"/>
            <w:vAlign w:val="center"/>
          </w:tcPr>
          <w:p w14:paraId="3C1607A4">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126" w:type="dxa"/>
            <w:vAlign w:val="center"/>
          </w:tcPr>
          <w:p w14:paraId="3F506D6C">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843" w:type="dxa"/>
            <w:vAlign w:val="center"/>
          </w:tcPr>
          <w:p w14:paraId="094609EE">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c>
          <w:tcPr>
            <w:tcW w:w="1559" w:type="dxa"/>
            <w:vAlign w:val="center"/>
          </w:tcPr>
          <w:p w14:paraId="7B6776E7">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30DC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90F1FF">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871" w:type="dxa"/>
            <w:vAlign w:val="center"/>
          </w:tcPr>
          <w:p w14:paraId="613556F7">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126" w:type="dxa"/>
            <w:vAlign w:val="center"/>
          </w:tcPr>
          <w:p w14:paraId="078E121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1843" w:type="dxa"/>
            <w:vAlign w:val="center"/>
          </w:tcPr>
          <w:p w14:paraId="474C9559">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1559" w:type="dxa"/>
            <w:vAlign w:val="center"/>
          </w:tcPr>
          <w:p w14:paraId="67A8C521">
            <w:pPr>
              <w:spacing w:line="360" w:lineRule="auto"/>
              <w:jc w:val="center"/>
              <w:rPr>
                <w:rFonts w:hint="eastAsia" w:ascii="宋体" w:hAnsi="宋体" w:eastAsia="宋体" w:cs="Times New Roman"/>
                <w:szCs w:val="21"/>
              </w:rPr>
            </w:pPr>
            <w:r>
              <w:rPr>
                <w:rFonts w:hint="eastAsia" w:ascii="宋体" w:hAnsi="宋体" w:eastAsia="宋体" w:cs="Times New Roman"/>
                <w:szCs w:val="21"/>
              </w:rPr>
              <w:t>60</w:t>
            </w:r>
          </w:p>
        </w:tc>
      </w:tr>
      <w:tr w14:paraId="1845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1FFC2B4">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871" w:type="dxa"/>
            <w:vAlign w:val="center"/>
          </w:tcPr>
          <w:p w14:paraId="3E7AA927">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2126" w:type="dxa"/>
            <w:vAlign w:val="center"/>
          </w:tcPr>
          <w:p w14:paraId="21F68D5D">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1843" w:type="dxa"/>
            <w:vAlign w:val="center"/>
          </w:tcPr>
          <w:p w14:paraId="5A382499">
            <w:pPr>
              <w:spacing w:line="360" w:lineRule="auto"/>
              <w:jc w:val="center"/>
              <w:rPr>
                <w:rFonts w:ascii="宋体" w:hAnsi="宋体" w:eastAsia="宋体" w:cs="Times New Roman"/>
                <w:szCs w:val="21"/>
              </w:rPr>
            </w:pPr>
            <w:r>
              <w:rPr>
                <w:rFonts w:hint="eastAsia" w:ascii="宋体" w:hAnsi="宋体" w:eastAsia="宋体" w:cs="Times New Roman"/>
                <w:szCs w:val="21"/>
              </w:rPr>
              <w:t>40</w:t>
            </w:r>
          </w:p>
        </w:tc>
        <w:tc>
          <w:tcPr>
            <w:tcW w:w="1559" w:type="dxa"/>
            <w:vAlign w:val="center"/>
          </w:tcPr>
          <w:p w14:paraId="0726F47D">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DBE335A">
      <w:pPr>
        <w:spacing w:before="156" w:beforeLines="50" w:line="360" w:lineRule="auto"/>
        <w:jc w:val="left"/>
        <w:outlineLvl w:val="1"/>
        <w:rPr>
          <w:rFonts w:ascii="Times New Roman" w:hAnsi="Times New Roman" w:eastAsia="宋体" w:cs="Times New Roman"/>
          <w:b/>
          <w:szCs w:val="21"/>
        </w:rPr>
      </w:pPr>
      <w:bookmarkStart w:id="332" w:name="_Toc12305"/>
      <w:r>
        <w:rPr>
          <w:rFonts w:hint="eastAsia" w:ascii="Times New Roman" w:hAnsi="Times New Roman" w:eastAsia="宋体" w:cs="Times New Roman"/>
          <w:b/>
          <w:szCs w:val="21"/>
        </w:rPr>
        <w:t>（二）成绩评定细则</w:t>
      </w:r>
      <w:bookmarkEnd w:id="332"/>
    </w:p>
    <w:p w14:paraId="7B5B50F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641A35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715"/>
        <w:gridCol w:w="638"/>
      </w:tblGrid>
      <w:tr w14:paraId="785A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5FEDABF5">
            <w:pPr>
              <w:jc w:val="center"/>
              <w:rPr>
                <w:rFonts w:ascii="宋体" w:hAnsi="宋体" w:eastAsia="宋体" w:cs="Times New Roman"/>
                <w:b/>
                <w:bCs/>
                <w:szCs w:val="21"/>
              </w:rPr>
            </w:pPr>
            <w:r>
              <w:rPr>
                <w:rFonts w:hint="eastAsia" w:ascii="宋体" w:hAnsi="宋体" w:eastAsia="宋体" w:cs="Times New Roman"/>
                <w:b/>
                <w:bCs/>
                <w:szCs w:val="21"/>
              </w:rPr>
              <w:t>评价方式</w:t>
            </w:r>
          </w:p>
        </w:tc>
        <w:tc>
          <w:tcPr>
            <w:tcW w:w="6715" w:type="dxa"/>
            <w:vAlign w:val="center"/>
          </w:tcPr>
          <w:p w14:paraId="327C037B">
            <w:pPr>
              <w:jc w:val="center"/>
              <w:rPr>
                <w:rFonts w:ascii="宋体" w:hAnsi="宋体" w:eastAsia="宋体" w:cs="Times New Roman"/>
                <w:b/>
                <w:bCs/>
                <w:szCs w:val="21"/>
              </w:rPr>
            </w:pPr>
            <w:r>
              <w:rPr>
                <w:rFonts w:hint="eastAsia" w:ascii="宋体" w:hAnsi="宋体" w:eastAsia="宋体" w:cs="Times New Roman"/>
                <w:b/>
                <w:bCs/>
                <w:szCs w:val="21"/>
              </w:rPr>
              <w:t>评定细则</w:t>
            </w:r>
          </w:p>
        </w:tc>
        <w:tc>
          <w:tcPr>
            <w:tcW w:w="0" w:type="auto"/>
            <w:vAlign w:val="center"/>
          </w:tcPr>
          <w:p w14:paraId="71436369">
            <w:pPr>
              <w:jc w:val="center"/>
              <w:rPr>
                <w:rFonts w:ascii="宋体" w:hAnsi="宋体" w:eastAsia="宋体" w:cs="Times New Roman"/>
                <w:b/>
                <w:bCs/>
                <w:szCs w:val="21"/>
              </w:rPr>
            </w:pPr>
            <w:r>
              <w:rPr>
                <w:rFonts w:hint="eastAsia" w:ascii="宋体" w:hAnsi="宋体" w:eastAsia="宋体" w:cs="Times New Roman"/>
                <w:b/>
                <w:bCs/>
                <w:szCs w:val="21"/>
              </w:rPr>
              <w:t>占比</w:t>
            </w:r>
          </w:p>
        </w:tc>
      </w:tr>
      <w:tr w14:paraId="62D7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195CA0AE">
            <w:pPr>
              <w:rPr>
                <w:rFonts w:ascii="宋体" w:hAnsi="宋体" w:eastAsia="宋体" w:cs="Times New Roman"/>
                <w:szCs w:val="21"/>
              </w:rPr>
            </w:pPr>
            <w:r>
              <w:rPr>
                <w:rFonts w:hint="eastAsia" w:ascii="宋体" w:hAnsi="宋体" w:eastAsia="宋体" w:cs="宋体"/>
                <w:szCs w:val="21"/>
              </w:rPr>
              <w:t>考勤记录</w:t>
            </w:r>
          </w:p>
        </w:tc>
        <w:tc>
          <w:tcPr>
            <w:tcW w:w="6715" w:type="dxa"/>
            <w:vAlign w:val="center"/>
          </w:tcPr>
          <w:p w14:paraId="2B3E1495">
            <w:pPr>
              <w:spacing w:line="264" w:lineRule="auto"/>
              <w:jc w:val="left"/>
              <w:rPr>
                <w:rFonts w:ascii="宋体" w:hAnsi="宋体" w:eastAsia="宋体" w:cs="宋体"/>
                <w:szCs w:val="21"/>
              </w:rPr>
            </w:pPr>
            <w:r>
              <w:rPr>
                <w:rFonts w:ascii="宋体" w:hAnsi="宋体" w:eastAsia="宋体" w:cs="宋体"/>
                <w:szCs w:val="21"/>
              </w:rPr>
              <w:t>1.考勤在平时成绩基础上扣分，旷课5分/次（旷课达2次，本课程考核不合格），病假事假提前报批任课教师或班主任不扣分，迟到、早退分别扣3分/次。</w:t>
            </w:r>
          </w:p>
          <w:p w14:paraId="050F9809">
            <w:pPr>
              <w:spacing w:line="264" w:lineRule="auto"/>
              <w:jc w:val="left"/>
              <w:rPr>
                <w:rFonts w:ascii="宋体" w:hAnsi="宋体" w:eastAsia="宋体" w:cs="Times New Roman"/>
                <w:szCs w:val="21"/>
              </w:rPr>
            </w:pPr>
            <w:r>
              <w:rPr>
                <w:rFonts w:ascii="宋体" w:hAnsi="宋体" w:eastAsia="宋体" w:cs="宋体"/>
                <w:szCs w:val="21"/>
              </w:rPr>
              <w:t>2.平时成绩=课堂表现-考勤扣分。</w:t>
            </w:r>
          </w:p>
        </w:tc>
        <w:tc>
          <w:tcPr>
            <w:tcW w:w="0" w:type="auto"/>
            <w:vAlign w:val="center"/>
          </w:tcPr>
          <w:p w14:paraId="5B2CACB8">
            <w:pPr>
              <w:jc w:val="center"/>
              <w:rPr>
                <w:rFonts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0</w:t>
            </w:r>
            <w:r>
              <w:rPr>
                <w:rFonts w:hint="eastAsia" w:ascii="宋体" w:hAnsi="宋体" w:eastAsia="宋体" w:cs="宋体"/>
                <w:szCs w:val="21"/>
              </w:rPr>
              <w:t>%</w:t>
            </w:r>
          </w:p>
        </w:tc>
      </w:tr>
      <w:tr w14:paraId="1EED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101" w:type="dxa"/>
            <w:vAlign w:val="center"/>
          </w:tcPr>
          <w:p w14:paraId="6724B608">
            <w:pPr>
              <w:rPr>
                <w:rFonts w:hint="eastAsia" w:ascii="宋体" w:hAnsi="宋体" w:eastAsia="宋体" w:cs="Times New Roman"/>
                <w:szCs w:val="21"/>
              </w:rPr>
            </w:pPr>
            <w:r>
              <w:rPr>
                <w:rFonts w:hint="eastAsia" w:ascii="宋体" w:hAnsi="宋体" w:eastAsia="宋体" w:cs="宋体"/>
                <w:szCs w:val="21"/>
              </w:rPr>
              <w:t>实践活动</w:t>
            </w:r>
          </w:p>
        </w:tc>
        <w:tc>
          <w:tcPr>
            <w:tcW w:w="6715" w:type="dxa"/>
            <w:vAlign w:val="center"/>
          </w:tcPr>
          <w:p w14:paraId="0FC1810E">
            <w:pPr>
              <w:rPr>
                <w:rFonts w:ascii="宋体" w:hAnsi="宋体" w:eastAsia="宋体" w:cs="Times New Roman"/>
                <w:szCs w:val="21"/>
              </w:rPr>
            </w:pPr>
            <w:r>
              <w:rPr>
                <w:rFonts w:hint="eastAsia" w:ascii="宋体" w:hAnsi="宋体" w:eastAsia="宋体" w:cs="Times New Roman"/>
                <w:szCs w:val="21"/>
              </w:rPr>
              <w:t>1.主题鲜明且符合要求，能明确介绍成果的制作过程、展示使用情境（20分）</w:t>
            </w:r>
          </w:p>
          <w:p w14:paraId="0F578F15">
            <w:pPr>
              <w:rPr>
                <w:rFonts w:ascii="宋体" w:hAnsi="宋体" w:eastAsia="宋体" w:cs="Times New Roman"/>
                <w:szCs w:val="21"/>
              </w:rPr>
            </w:pPr>
            <w:r>
              <w:rPr>
                <w:rFonts w:hint="eastAsia" w:ascii="宋体" w:hAnsi="宋体" w:eastAsia="宋体" w:cs="Times New Roman"/>
                <w:szCs w:val="21"/>
              </w:rPr>
              <w:t>2.现场表达完整、流畅、得体、大方，能够自信且富有感染力（10分）</w:t>
            </w:r>
          </w:p>
          <w:p w14:paraId="0A039957">
            <w:pPr>
              <w:widowControl/>
              <w:spacing w:line="264" w:lineRule="auto"/>
              <w:jc w:val="left"/>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熟悉实践成果的制作与表达意图，具有一定现场应对能力（10分）</w:t>
            </w:r>
          </w:p>
          <w:p w14:paraId="04F34460">
            <w:pPr>
              <w:tabs>
                <w:tab w:val="left" w:pos="312"/>
              </w:tabs>
              <w:rPr>
                <w:rFonts w:ascii="宋体" w:hAnsi="宋体" w:eastAsia="宋体" w:cs="Times New Roman"/>
                <w:szCs w:val="21"/>
              </w:rPr>
            </w:pPr>
            <w:r>
              <w:rPr>
                <w:rFonts w:hint="eastAsia" w:ascii="宋体" w:hAnsi="宋体" w:eastAsia="宋体" w:cs="Times New Roman"/>
                <w:szCs w:val="21"/>
              </w:rPr>
              <w:t>4.能客观地评价其他组作品，提出合理性建议（10分）</w:t>
            </w:r>
          </w:p>
          <w:p w14:paraId="0B5F1C5A">
            <w:pPr>
              <w:spacing w:line="264" w:lineRule="auto"/>
              <w:jc w:val="left"/>
              <w:rPr>
                <w:rFonts w:ascii="宋体" w:hAnsi="宋体" w:eastAsia="宋体" w:cs="Times New Roman"/>
                <w:szCs w:val="21"/>
              </w:rPr>
            </w:pPr>
            <w:r>
              <w:rPr>
                <w:rFonts w:hint="eastAsia" w:ascii="宋体" w:hAnsi="宋体" w:eastAsia="宋体" w:cs="Times New Roman"/>
                <w:szCs w:val="21"/>
              </w:rPr>
              <w:t>5.能对自己组的作品有客观的评价与反思（10分）</w:t>
            </w:r>
          </w:p>
          <w:p w14:paraId="5A08A146">
            <w:pPr>
              <w:tabs>
                <w:tab w:val="left" w:pos="312"/>
              </w:tabs>
              <w:rPr>
                <w:rFonts w:ascii="宋体" w:hAnsi="宋体" w:eastAsia="宋体" w:cs="Times New Roman"/>
                <w:szCs w:val="21"/>
              </w:rPr>
            </w:pPr>
            <w:r>
              <w:rPr>
                <w:rFonts w:hint="eastAsia" w:ascii="宋体" w:hAnsi="宋体" w:eastAsia="宋体" w:cs="Times New Roman"/>
                <w:szCs w:val="21"/>
              </w:rPr>
              <w:t>6.按要求呈现成果制作过程与展示的各环节内容 (20分)</w:t>
            </w:r>
          </w:p>
          <w:p w14:paraId="212C39FC">
            <w:pPr>
              <w:spacing w:line="264" w:lineRule="auto"/>
              <w:jc w:val="left"/>
              <w:rPr>
                <w:rFonts w:ascii="宋体" w:hAnsi="宋体" w:eastAsia="宋体" w:cs="Times New Roman"/>
                <w:szCs w:val="21"/>
              </w:rPr>
            </w:pPr>
            <w:r>
              <w:rPr>
                <w:rFonts w:hint="eastAsia" w:ascii="宋体" w:hAnsi="宋体" w:eastAsia="宋体" w:cs="Times New Roman"/>
                <w:szCs w:val="21"/>
              </w:rPr>
              <w:t>7.文本内容完整详略得当、形式多样、图片清晰、裁剪得当有一定逻辑性与得体性 (10分)</w:t>
            </w:r>
          </w:p>
          <w:p w14:paraId="673A7278">
            <w:pPr>
              <w:spacing w:line="264" w:lineRule="auto"/>
              <w:jc w:val="left"/>
              <w:rPr>
                <w:rFonts w:hint="eastAsia" w:ascii="宋体" w:hAnsi="宋体" w:eastAsia="宋体" w:cs="Times New Roman"/>
                <w:szCs w:val="21"/>
              </w:rPr>
            </w:pPr>
            <w:r>
              <w:rPr>
                <w:rFonts w:hint="eastAsia" w:ascii="宋体" w:hAnsi="宋体" w:eastAsia="宋体" w:cs="Times New Roman"/>
                <w:szCs w:val="21"/>
              </w:rPr>
              <w:t>8. 全员投入，分工合理，协作性高 (10 分)</w:t>
            </w:r>
          </w:p>
        </w:tc>
        <w:tc>
          <w:tcPr>
            <w:tcW w:w="0" w:type="auto"/>
            <w:vAlign w:val="center"/>
          </w:tcPr>
          <w:p w14:paraId="71374624">
            <w:pPr>
              <w:jc w:val="center"/>
              <w:rPr>
                <w:rFonts w:hint="eastAsia" w:ascii="宋体" w:hAnsi="宋体" w:eastAsia="宋体" w:cs="Times New Roman"/>
                <w:szCs w:val="21"/>
              </w:rPr>
            </w:pPr>
            <w:r>
              <w:rPr>
                <w:rFonts w:hint="eastAsia" w:ascii="宋体" w:hAnsi="宋体" w:eastAsia="宋体" w:cs="宋体"/>
                <w:szCs w:val="21"/>
              </w:rPr>
              <w:t>5</w:t>
            </w:r>
            <w:r>
              <w:rPr>
                <w:rFonts w:ascii="宋体" w:hAnsi="宋体" w:eastAsia="宋体" w:cs="宋体"/>
                <w:szCs w:val="21"/>
              </w:rPr>
              <w:t>0</w:t>
            </w:r>
            <w:r>
              <w:rPr>
                <w:rFonts w:hint="eastAsia" w:ascii="宋体" w:hAnsi="宋体" w:eastAsia="宋体" w:cs="宋体"/>
                <w:szCs w:val="21"/>
              </w:rPr>
              <w:t>%</w:t>
            </w:r>
          </w:p>
        </w:tc>
      </w:tr>
      <w:tr w14:paraId="7862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01" w:type="dxa"/>
            <w:vAlign w:val="center"/>
          </w:tcPr>
          <w:p w14:paraId="34315A6E">
            <w:pPr>
              <w:rPr>
                <w:rFonts w:hint="eastAsia" w:ascii="宋体" w:hAnsi="宋体" w:eastAsia="宋体" w:cs="Times New Roman"/>
                <w:szCs w:val="21"/>
              </w:rPr>
            </w:pPr>
            <w:r>
              <w:rPr>
                <w:rFonts w:hint="eastAsia" w:ascii="宋体" w:hAnsi="宋体" w:eastAsia="宋体" w:cs="宋体"/>
                <w:szCs w:val="21"/>
              </w:rPr>
              <w:t>技能实操</w:t>
            </w:r>
          </w:p>
        </w:tc>
        <w:tc>
          <w:tcPr>
            <w:tcW w:w="6715" w:type="dxa"/>
            <w:vAlign w:val="center"/>
          </w:tcPr>
          <w:p w14:paraId="78F17142">
            <w:pPr>
              <w:widowControl/>
              <w:spacing w:before="0" w:beforeAutospacing="0" w:after="0" w:afterAutospacing="0" w:line="276" w:lineRule="auto"/>
              <w:ind w:firstLine="25" w:firstLineChars="12"/>
              <w:jc w:val="left"/>
              <w:rPr>
                <w:rFonts w:ascii="宋体" w:hAnsi="宋体" w:eastAsia="宋体" w:cs="Segoe UI"/>
                <w:color w:val="06071F"/>
                <w:kern w:val="0"/>
                <w:sz w:val="21"/>
                <w:szCs w:val="21"/>
                <w:lang w:val="en-US" w:eastAsia="zh-CN" w:bidi="ar-SA"/>
              </w:rPr>
            </w:pPr>
            <w:r>
              <w:rPr>
                <w:rFonts w:ascii="宋体" w:hAnsi="宋体" w:eastAsia="宋体" w:cs="Segoe UI"/>
                <w:color w:val="06071F"/>
                <w:kern w:val="0"/>
                <w:sz w:val="21"/>
                <w:szCs w:val="21"/>
                <w:lang w:val="en-US" w:eastAsia="zh-CN" w:bidi="ar-SA"/>
              </w:rPr>
              <w:t>一、主题与制作过程（20分）</w:t>
            </w:r>
          </w:p>
          <w:p w14:paraId="4EAAAC61">
            <w:pPr>
              <w:widowControl/>
              <w:spacing w:before="0" w:beforeAutospacing="0" w:after="0" w:afterAutospacing="0" w:line="276" w:lineRule="auto"/>
              <w:ind w:firstLine="420" w:firstLineChars="200"/>
              <w:jc w:val="left"/>
              <w:rPr>
                <w:rFonts w:hint="eastAsia" w:ascii="宋体" w:hAnsi="宋体" w:eastAsia="宋体" w:cs="微软雅黑"/>
                <w:b/>
                <w:bCs/>
                <w:kern w:val="0"/>
                <w:sz w:val="21"/>
                <w:szCs w:val="21"/>
                <w:lang w:val="en-US" w:eastAsia="zh-CN" w:bidi="ar-SA"/>
              </w:rPr>
            </w:pPr>
            <w:r>
              <w:rPr>
                <w:rFonts w:hint="eastAsia" w:ascii="宋体" w:hAnsi="宋体" w:eastAsia="宋体" w:cs="Segoe UI"/>
                <w:color w:val="06071F"/>
                <w:kern w:val="0"/>
                <w:sz w:val="21"/>
                <w:szCs w:val="21"/>
                <w:lang w:val="en-US" w:eastAsia="zh-CN" w:bidi="ar-SA"/>
              </w:rPr>
              <w:t>实操项目应紧密围绕大学生劳动教育的核心目标，如生活技能、生产实践、志愿服务等，主题明确，具有教育意义。能够详细阐述从项目策划、准备材料、实施步骤到成果完成的整个过程，步骤清晰，逻辑性强。能够结合实际生活或工作场景，展示实操成果的应用价值，说明其在提升个人劳动能力、团队协作等方面的作用。</w:t>
            </w:r>
          </w:p>
          <w:p w14:paraId="16F9EB62">
            <w:pPr>
              <w:widowControl/>
              <w:numPr>
                <w:ilvl w:val="0"/>
                <w:numId w:val="12"/>
              </w:numPr>
              <w:spacing w:before="0" w:beforeAutospacing="0" w:after="0" w:afterAutospacing="0" w:line="276" w:lineRule="auto"/>
              <w:ind w:left="-2" w:leftChars="-1" w:firstLine="0"/>
              <w:jc w:val="left"/>
              <w:rPr>
                <w:rFonts w:hint="eastAsia" w:ascii="宋体" w:hAnsi="宋体" w:eastAsia="宋体" w:cs="Segoe UI"/>
                <w:color w:val="06071F"/>
                <w:kern w:val="0"/>
                <w:sz w:val="21"/>
                <w:szCs w:val="21"/>
                <w:lang w:val="en-US" w:eastAsia="zh-CN" w:bidi="ar-SA"/>
              </w:rPr>
            </w:pPr>
            <w:r>
              <w:rPr>
                <w:rFonts w:ascii="宋体" w:hAnsi="宋体" w:eastAsia="宋体" w:cs="Segoe UI"/>
                <w:color w:val="06071F"/>
                <w:kern w:val="0"/>
                <w:sz w:val="21"/>
                <w:szCs w:val="21"/>
                <w:lang w:val="en-US" w:eastAsia="zh-CN" w:bidi="ar-SA"/>
              </w:rPr>
              <w:t>现场表达与应对能力（20分）</w:t>
            </w:r>
          </w:p>
          <w:p w14:paraId="47325EDE">
            <w:pPr>
              <w:widowControl/>
              <w:spacing w:before="0" w:beforeAutospacing="0" w:after="0" w:afterAutospacing="0" w:line="276" w:lineRule="auto"/>
              <w:ind w:firstLine="420" w:firstLineChars="200"/>
              <w:jc w:val="left"/>
              <w:rPr>
                <w:rFonts w:hint="eastAsia" w:ascii="宋体" w:hAnsi="宋体" w:eastAsia="宋体" w:cs="Segoe UI"/>
                <w:color w:val="06071F"/>
                <w:kern w:val="0"/>
                <w:sz w:val="21"/>
                <w:szCs w:val="21"/>
                <w:lang w:val="en-US" w:eastAsia="zh-CN" w:bidi="ar-SA"/>
              </w:rPr>
            </w:pPr>
            <w:r>
              <w:rPr>
                <w:rFonts w:hint="eastAsia" w:ascii="宋体" w:hAnsi="宋体" w:eastAsia="宋体" w:cs="Segoe UI"/>
                <w:color w:val="06071F"/>
                <w:kern w:val="0"/>
                <w:sz w:val="21"/>
                <w:szCs w:val="21"/>
                <w:lang w:val="en-US" w:eastAsia="zh-CN" w:bidi="ar-SA"/>
              </w:rPr>
              <w:t>现场讲解时，语言清晰、条理分明，能够完整表达实操项目的核心内容和亮点。表达时自信大方，能够吸引听众注意力，通过生动的语言和实例，增强表达的感染力。对项目内容有深入了解，能够自如回答评委或观众提出的问题，展现出良好的应变能力和专业素养。</w:t>
            </w:r>
          </w:p>
          <w:p w14:paraId="5657D0F1">
            <w:pPr>
              <w:widowControl/>
              <w:spacing w:before="0" w:beforeAutospacing="0" w:after="0" w:afterAutospacing="0" w:line="276" w:lineRule="auto"/>
              <w:ind w:left="-2" w:leftChars="-1"/>
              <w:jc w:val="left"/>
              <w:rPr>
                <w:rFonts w:hint="eastAsia" w:ascii="宋体" w:hAnsi="宋体" w:eastAsia="宋体" w:cs="Segoe UI"/>
                <w:color w:val="06071F"/>
                <w:kern w:val="0"/>
                <w:sz w:val="21"/>
                <w:szCs w:val="21"/>
                <w:lang w:val="en-US" w:eastAsia="zh-CN" w:bidi="ar-SA"/>
              </w:rPr>
            </w:pPr>
            <w:r>
              <w:rPr>
                <w:rFonts w:ascii="宋体" w:hAnsi="宋体" w:eastAsia="宋体" w:cs="Segoe UI"/>
                <w:color w:val="06071F"/>
                <w:kern w:val="0"/>
                <w:sz w:val="21"/>
                <w:szCs w:val="21"/>
                <w:lang w:val="en-US" w:eastAsia="zh-CN" w:bidi="ar-SA"/>
              </w:rPr>
              <w:t>三、评价与建议（20分）</w:t>
            </w:r>
          </w:p>
          <w:p w14:paraId="6B00C839">
            <w:pPr>
              <w:widowControl/>
              <w:spacing w:before="0" w:beforeAutospacing="0" w:after="0" w:afterAutospacing="0" w:line="276" w:lineRule="auto"/>
              <w:ind w:firstLine="420" w:firstLineChars="200"/>
              <w:jc w:val="left"/>
              <w:rPr>
                <w:rFonts w:hint="eastAsia" w:ascii="宋体" w:hAnsi="宋体" w:eastAsia="宋体" w:cs="Segoe UI"/>
                <w:color w:val="06071F"/>
                <w:kern w:val="0"/>
                <w:sz w:val="21"/>
                <w:szCs w:val="21"/>
                <w:lang w:val="en-US" w:eastAsia="zh-CN" w:bidi="ar-SA"/>
              </w:rPr>
            </w:pPr>
            <w:r>
              <w:rPr>
                <w:rFonts w:hint="eastAsia" w:ascii="宋体" w:hAnsi="宋体" w:eastAsia="宋体" w:cs="Segoe UI"/>
                <w:color w:val="06071F"/>
                <w:kern w:val="0"/>
                <w:sz w:val="21"/>
                <w:szCs w:val="21"/>
                <w:lang w:val="en-US" w:eastAsia="zh-CN" w:bidi="ar-SA"/>
              </w:rPr>
              <w:t>能够客观、公正地评价其他组的实操项目，指出其优点和不足，提出具有建设性的意见。</w:t>
            </w:r>
            <w:r>
              <w:rPr>
                <w:rFonts w:hint="eastAsia" w:ascii="等线" w:hAnsi="等线" w:eastAsia="等线" w:cs="微软雅黑"/>
                <w:b w:val="0"/>
                <w:bCs w:val="0"/>
                <w:color w:val="06071F"/>
                <w:kern w:val="0"/>
                <w:sz w:val="21"/>
                <w:szCs w:val="21"/>
                <w:lang w:val="en-US" w:eastAsia="zh-CN" w:bidi="ar-SA"/>
              </w:rPr>
              <w:t>自我反思与评价</w:t>
            </w:r>
            <w:r>
              <w:rPr>
                <w:rFonts w:hint="eastAsia" w:ascii="宋体" w:hAnsi="宋体" w:eastAsia="宋体" w:cs="Segoe UI"/>
                <w:color w:val="06071F"/>
                <w:kern w:val="0"/>
                <w:sz w:val="21"/>
                <w:szCs w:val="21"/>
                <w:lang w:val="en-US" w:eastAsia="zh-CN" w:bidi="ar-SA"/>
              </w:rPr>
              <w:t>：对本组的实操项目进行客观评价，总结成功经验，反思不足之处，提出改进措施。</w:t>
            </w:r>
          </w:p>
          <w:p w14:paraId="3FF805BD">
            <w:pPr>
              <w:widowControl/>
              <w:spacing w:before="0" w:beforeAutospacing="0" w:after="0" w:afterAutospacing="0" w:line="276" w:lineRule="auto"/>
              <w:jc w:val="left"/>
              <w:rPr>
                <w:rFonts w:hint="eastAsia" w:ascii="宋体" w:hAnsi="宋体" w:eastAsia="宋体" w:cs="Segoe UI"/>
                <w:color w:val="06071F"/>
                <w:kern w:val="0"/>
                <w:sz w:val="21"/>
                <w:szCs w:val="21"/>
                <w:lang w:val="en-US" w:eastAsia="zh-CN" w:bidi="ar-SA"/>
              </w:rPr>
            </w:pPr>
            <w:r>
              <w:rPr>
                <w:rFonts w:ascii="宋体" w:hAnsi="宋体" w:eastAsia="宋体" w:cs="Segoe UI"/>
                <w:color w:val="06071F"/>
                <w:kern w:val="0"/>
                <w:sz w:val="21"/>
                <w:szCs w:val="21"/>
                <w:lang w:val="en-US" w:eastAsia="zh-CN" w:bidi="ar-SA"/>
              </w:rPr>
              <w:t>四、成果展示与文本内容（20分）</w:t>
            </w:r>
          </w:p>
          <w:p w14:paraId="4C6DA9ED">
            <w:pPr>
              <w:widowControl/>
              <w:spacing w:before="0" w:beforeAutospacing="0" w:after="0" w:afterAutospacing="0" w:line="276" w:lineRule="auto"/>
              <w:ind w:firstLine="420" w:firstLineChars="200"/>
              <w:jc w:val="left"/>
              <w:rPr>
                <w:rFonts w:hint="eastAsia" w:ascii="宋体" w:hAnsi="宋体" w:eastAsia="宋体" w:cs="Segoe UI"/>
                <w:color w:val="06071F"/>
                <w:kern w:val="0"/>
                <w:sz w:val="21"/>
                <w:szCs w:val="21"/>
                <w:lang w:val="en-US" w:eastAsia="zh-CN" w:bidi="ar-SA"/>
              </w:rPr>
            </w:pPr>
            <w:r>
              <w:rPr>
                <w:rFonts w:hint="eastAsia" w:ascii="宋体" w:hAnsi="宋体" w:eastAsia="宋体" w:cs="Segoe UI"/>
                <w:color w:val="06071F"/>
                <w:kern w:val="0"/>
                <w:sz w:val="21"/>
                <w:szCs w:val="21"/>
                <w:lang w:val="en-US" w:eastAsia="zh-CN" w:bidi="ar-SA"/>
              </w:rPr>
              <w:t>按照课程要求，全面展示实操项目的策划、实施、成果及反思等各环节内容。文本内容应涵盖项目背景、目标、过程、成果、反思等方面，详略得当，重点突出。采用多种展示形式，如PPT、视频、实物等，图片清晰、裁剪得当，增强展示效果。</w:t>
            </w:r>
          </w:p>
          <w:p w14:paraId="623170DA">
            <w:pPr>
              <w:widowControl/>
              <w:spacing w:before="0" w:beforeAutospacing="0" w:after="0" w:afterAutospacing="0" w:line="276" w:lineRule="auto"/>
              <w:ind w:left="-2" w:leftChars="-1"/>
              <w:jc w:val="left"/>
              <w:rPr>
                <w:rFonts w:hint="eastAsia" w:ascii="宋体" w:hAnsi="宋体" w:eastAsia="宋体" w:cs="Segoe UI"/>
                <w:color w:val="06071F"/>
                <w:kern w:val="0"/>
                <w:sz w:val="21"/>
                <w:szCs w:val="21"/>
                <w:lang w:val="en-US" w:eastAsia="zh-CN" w:bidi="ar-SA"/>
              </w:rPr>
            </w:pPr>
            <w:r>
              <w:rPr>
                <w:rFonts w:ascii="宋体" w:hAnsi="宋体" w:eastAsia="宋体" w:cs="Segoe UI"/>
                <w:color w:val="06071F"/>
                <w:kern w:val="0"/>
                <w:sz w:val="21"/>
                <w:szCs w:val="21"/>
                <w:lang w:val="en-US" w:eastAsia="zh-CN" w:bidi="ar-SA"/>
              </w:rPr>
              <w:t>五、团队协作与分工（10分）</w:t>
            </w:r>
          </w:p>
          <w:p w14:paraId="1D8176D9">
            <w:pPr>
              <w:widowControl/>
              <w:spacing w:before="0" w:beforeAutospacing="0" w:after="0" w:afterAutospacing="0" w:line="276" w:lineRule="auto"/>
              <w:ind w:firstLine="420" w:firstLineChars="200"/>
              <w:jc w:val="left"/>
              <w:rPr>
                <w:rFonts w:hint="eastAsia" w:ascii="宋体" w:hAnsi="宋体" w:eastAsia="宋体" w:cs="Segoe UI"/>
                <w:color w:val="06071F"/>
                <w:kern w:val="0"/>
                <w:sz w:val="21"/>
                <w:szCs w:val="21"/>
                <w:lang w:val="en-US" w:eastAsia="zh-CN" w:bidi="ar-SA"/>
              </w:rPr>
            </w:pPr>
            <w:r>
              <w:rPr>
                <w:rFonts w:hint="eastAsia" w:ascii="宋体" w:hAnsi="宋体" w:eastAsia="宋体" w:cs="Segoe UI"/>
                <w:color w:val="06071F"/>
                <w:kern w:val="0"/>
                <w:sz w:val="21"/>
                <w:szCs w:val="21"/>
                <w:lang w:val="en-US" w:eastAsia="zh-CN" w:bidi="ar-SA"/>
              </w:rPr>
              <w:t>团队成员均积极参与实操项目，展现出高度的责任心和团队协作精神。根据成员特长进行合理分工，确保每个环节都有专人负责，提高工作效率和质量。团队成员之间沟通顺畅，相互支持，共同解决问题，形成强大的团队合力。</w:t>
            </w:r>
          </w:p>
        </w:tc>
        <w:tc>
          <w:tcPr>
            <w:tcW w:w="0" w:type="auto"/>
            <w:vAlign w:val="center"/>
          </w:tcPr>
          <w:p w14:paraId="3E8328AE">
            <w:pPr>
              <w:jc w:val="center"/>
              <w:rPr>
                <w:rFonts w:hint="eastAsia" w:ascii="宋体" w:hAnsi="宋体" w:eastAsia="宋体" w:cs="Times New Roman"/>
                <w:szCs w:val="21"/>
              </w:rPr>
            </w:pPr>
            <w:r>
              <w:rPr>
                <w:rFonts w:hint="eastAsia" w:ascii="宋体" w:hAnsi="宋体" w:eastAsia="宋体" w:cs="宋体"/>
                <w:szCs w:val="21"/>
              </w:rPr>
              <w:t>40%</w:t>
            </w:r>
          </w:p>
        </w:tc>
      </w:tr>
      <w:tr w14:paraId="7DF8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01" w:type="dxa"/>
            <w:vAlign w:val="center"/>
          </w:tcPr>
          <w:p w14:paraId="36B91239">
            <w:pPr>
              <w:jc w:val="center"/>
              <w:rPr>
                <w:rFonts w:ascii="宋体" w:hAnsi="宋体" w:eastAsia="宋体" w:cs="Times New Roman"/>
                <w:b/>
                <w:bCs/>
                <w:szCs w:val="21"/>
              </w:rPr>
            </w:pPr>
            <w:r>
              <w:rPr>
                <w:rFonts w:hint="eastAsia" w:ascii="宋体" w:hAnsi="宋体" w:eastAsia="宋体" w:cs="Times New Roman"/>
                <w:b/>
                <w:bCs/>
                <w:szCs w:val="21"/>
              </w:rPr>
              <w:t>合计</w:t>
            </w:r>
          </w:p>
        </w:tc>
        <w:tc>
          <w:tcPr>
            <w:tcW w:w="6715" w:type="dxa"/>
            <w:vAlign w:val="center"/>
          </w:tcPr>
          <w:p w14:paraId="32D688B5">
            <w:pPr>
              <w:jc w:val="left"/>
              <w:rPr>
                <w:rFonts w:ascii="宋体" w:hAnsi="宋体" w:eastAsia="宋体" w:cs="Times New Roman"/>
                <w:szCs w:val="21"/>
              </w:rPr>
            </w:pPr>
          </w:p>
        </w:tc>
        <w:tc>
          <w:tcPr>
            <w:tcW w:w="0" w:type="auto"/>
            <w:vAlign w:val="center"/>
          </w:tcPr>
          <w:p w14:paraId="03F51DF3">
            <w:pPr>
              <w:jc w:val="center"/>
              <w:rPr>
                <w:rFonts w:ascii="宋体" w:hAnsi="宋体" w:eastAsia="宋体" w:cs="Times New Roman"/>
                <w:szCs w:val="21"/>
              </w:rPr>
            </w:pPr>
            <w:r>
              <w:rPr>
                <w:rFonts w:hint="eastAsia" w:ascii="宋体" w:hAnsi="宋体" w:eastAsia="宋体" w:cs="Times New Roman"/>
                <w:szCs w:val="21"/>
              </w:rPr>
              <w:t>100%</w:t>
            </w:r>
          </w:p>
        </w:tc>
      </w:tr>
    </w:tbl>
    <w:p w14:paraId="61345F37">
      <w:pPr>
        <w:spacing w:line="360" w:lineRule="auto"/>
        <w:jc w:val="left"/>
        <w:outlineLvl w:val="1"/>
        <w:rPr>
          <w:rFonts w:ascii="宋体" w:hAnsi="宋体" w:eastAsia="宋体" w:cs="Times New Roman"/>
          <w:b/>
          <w:color w:val="000000"/>
          <w:szCs w:val="21"/>
        </w:rPr>
      </w:pPr>
      <w:bookmarkStart w:id="333" w:name="_Toc7965"/>
      <w:r>
        <w:rPr>
          <w:rFonts w:hint="eastAsia" w:ascii="宋体" w:hAnsi="宋体" w:eastAsia="宋体" w:cs="Times New Roman"/>
          <w:b/>
          <w:color w:val="000000"/>
          <w:szCs w:val="21"/>
        </w:rPr>
        <w:t>（三）课程目标达成度计算方法</w:t>
      </w:r>
      <w:bookmarkEnd w:id="333"/>
    </w:p>
    <w:p w14:paraId="5F1F92D4">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E1FBFFF">
      <w:pPr>
        <w:spacing w:before="156" w:beforeLines="50" w:line="360" w:lineRule="auto"/>
        <w:ind w:firstLine="480" w:firstLineChars="200"/>
        <w:jc w:val="left"/>
        <w:rPr>
          <w:rFonts w:ascii="宋体" w:hAnsi="宋体" w:eastAsia="宋体" w:cs="Times New Roman"/>
          <w:color w:val="000000"/>
          <w:szCs w:val="21"/>
        </w:rPr>
      </w:pPr>
      <w:r>
        <w:rPr>
          <w:rFonts w:ascii="宋体" w:hAnsi="等线" w:eastAsia="等线" w:cs="Times New Roman"/>
          <w:sz w:val="24"/>
          <w:szCs w:val="22"/>
        </w:rPr>
        <w:drawing>
          <wp:inline distT="0" distB="0" distL="114300" distR="114300">
            <wp:extent cx="5274310" cy="340360"/>
            <wp:effectExtent l="0" t="0" r="4445"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5"/>
                    <a:stretch>
                      <a:fillRect/>
                    </a:stretch>
                  </pic:blipFill>
                  <pic:spPr>
                    <a:xfrm>
                      <a:off x="0" y="0"/>
                      <a:ext cx="5274310" cy="340578"/>
                    </a:xfrm>
                    <a:prstGeom prst="rect">
                      <a:avLst/>
                    </a:prstGeom>
                    <a:noFill/>
                    <a:ln>
                      <a:noFill/>
                    </a:ln>
                  </pic:spPr>
                </pic:pic>
              </a:graphicData>
            </a:graphic>
          </wp:inline>
        </w:drawing>
      </w:r>
    </w:p>
    <w:p w14:paraId="4CFC5177">
      <w:pPr>
        <w:spacing w:before="156" w:beforeLines="50" w:line="360" w:lineRule="auto"/>
        <w:jc w:val="left"/>
        <w:outlineLvl w:val="0"/>
        <w:rPr>
          <w:rFonts w:ascii="Times New Roman" w:hAnsi="Times New Roman" w:eastAsia="宋体" w:cs="Times New Roman"/>
          <w:b/>
          <w:sz w:val="24"/>
          <w:szCs w:val="24"/>
        </w:rPr>
      </w:pPr>
      <w:bookmarkStart w:id="334" w:name="_Toc1429"/>
      <w:bookmarkStart w:id="335" w:name="_Toc26802"/>
      <w:bookmarkStart w:id="336" w:name="_Toc14585"/>
      <w:bookmarkStart w:id="337" w:name="_Toc16082"/>
      <w:bookmarkStart w:id="338" w:name="_Toc21378"/>
      <w:bookmarkStart w:id="339" w:name="_Toc24165"/>
      <w:bookmarkStart w:id="340" w:name="_Toc9280"/>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334"/>
      <w:bookmarkEnd w:id="335"/>
      <w:bookmarkEnd w:id="336"/>
      <w:bookmarkEnd w:id="337"/>
      <w:bookmarkEnd w:id="338"/>
      <w:bookmarkEnd w:id="339"/>
      <w:bookmarkEnd w:id="340"/>
    </w:p>
    <w:p w14:paraId="0449FDA5">
      <w:pPr>
        <w:spacing w:after="156" w:afterLines="50" w:line="360" w:lineRule="auto"/>
        <w:ind w:firstLine="420" w:firstLineChars="200"/>
        <w:rPr>
          <w:rFonts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115867D5">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252"/>
        <w:gridCol w:w="1134"/>
        <w:gridCol w:w="2032"/>
      </w:tblGrid>
      <w:tr w14:paraId="1FA8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Align w:val="center"/>
          </w:tcPr>
          <w:p w14:paraId="621D8836">
            <w:pPr>
              <w:jc w:val="center"/>
              <w:rPr>
                <w:rFonts w:ascii="宋体" w:hAnsi="宋体" w:eastAsia="宋体" w:cs="宋体"/>
                <w:b/>
                <w:bCs/>
                <w:szCs w:val="21"/>
              </w:rPr>
            </w:pPr>
            <w:r>
              <w:rPr>
                <w:rFonts w:hint="eastAsia" w:ascii="宋体" w:hAnsi="宋体" w:eastAsia="宋体" w:cs="宋体"/>
                <w:b/>
                <w:bCs/>
                <w:szCs w:val="21"/>
              </w:rPr>
              <w:t>活动主题</w:t>
            </w:r>
          </w:p>
        </w:tc>
        <w:tc>
          <w:tcPr>
            <w:tcW w:w="4252" w:type="dxa"/>
            <w:vAlign w:val="center"/>
          </w:tcPr>
          <w:p w14:paraId="692F3DF7">
            <w:pPr>
              <w:jc w:val="center"/>
              <w:rPr>
                <w:rFonts w:ascii="宋体" w:hAnsi="宋体" w:eastAsia="宋体" w:cs="宋体"/>
                <w:b/>
                <w:bCs/>
                <w:szCs w:val="21"/>
              </w:rPr>
            </w:pPr>
            <w:r>
              <w:rPr>
                <w:rFonts w:hint="eastAsia" w:ascii="宋体" w:hAnsi="宋体" w:eastAsia="宋体" w:cs="宋体"/>
                <w:b/>
                <w:bCs/>
                <w:szCs w:val="21"/>
              </w:rPr>
              <w:t>活动内容</w:t>
            </w:r>
          </w:p>
        </w:tc>
        <w:tc>
          <w:tcPr>
            <w:tcW w:w="1134" w:type="dxa"/>
            <w:vAlign w:val="center"/>
          </w:tcPr>
          <w:p w14:paraId="7F6F675C">
            <w:pPr>
              <w:jc w:val="center"/>
              <w:rPr>
                <w:rFonts w:ascii="宋体" w:hAnsi="宋体" w:eastAsia="宋体" w:cs="宋体"/>
                <w:b/>
                <w:bCs/>
                <w:szCs w:val="21"/>
              </w:rPr>
            </w:pPr>
            <w:r>
              <w:rPr>
                <w:rFonts w:hint="eastAsia" w:ascii="宋体" w:hAnsi="宋体" w:eastAsia="宋体" w:cs="宋体"/>
                <w:b/>
                <w:bCs/>
                <w:szCs w:val="21"/>
              </w:rPr>
              <w:t>活动方式</w:t>
            </w:r>
          </w:p>
        </w:tc>
        <w:tc>
          <w:tcPr>
            <w:tcW w:w="2032" w:type="dxa"/>
            <w:vAlign w:val="center"/>
          </w:tcPr>
          <w:p w14:paraId="0ECE7AAC">
            <w:pPr>
              <w:jc w:val="center"/>
              <w:rPr>
                <w:rFonts w:ascii="宋体" w:hAnsi="宋体" w:eastAsia="宋体" w:cs="宋体"/>
                <w:b/>
                <w:bCs/>
                <w:szCs w:val="21"/>
              </w:rPr>
            </w:pPr>
            <w:r>
              <w:rPr>
                <w:rFonts w:hint="eastAsia" w:ascii="宋体" w:hAnsi="宋体" w:eastAsia="宋体" w:cs="宋体"/>
                <w:b/>
                <w:bCs/>
                <w:szCs w:val="21"/>
              </w:rPr>
              <w:t>思政目标</w:t>
            </w:r>
          </w:p>
        </w:tc>
      </w:tr>
      <w:tr w14:paraId="1F5A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76094CC8">
            <w:pPr>
              <w:jc w:val="left"/>
              <w:rPr>
                <w:rFonts w:ascii="宋体" w:hAnsi="宋体" w:eastAsia="宋体" w:cs="宋体"/>
                <w:szCs w:val="21"/>
              </w:rPr>
            </w:pPr>
            <w:r>
              <w:rPr>
                <w:rFonts w:ascii="宋体" w:hAnsi="宋体" w:eastAsia="宋体" w:cs="Segoe UI"/>
                <w:color w:val="06071F"/>
                <w:szCs w:val="21"/>
                <w:shd w:val="clear" w:color="auto" w:fill="FDFDFE"/>
              </w:rPr>
              <w:t>小学学科教具制作</w:t>
            </w:r>
          </w:p>
        </w:tc>
        <w:tc>
          <w:tcPr>
            <w:tcW w:w="4252" w:type="dxa"/>
            <w:vAlign w:val="center"/>
          </w:tcPr>
          <w:p w14:paraId="7C0F0627">
            <w:pPr>
              <w:widowControl/>
              <w:rPr>
                <w:rFonts w:ascii="宋体" w:hAnsi="宋体" w:eastAsia="宋体" w:cs="Segoe UI"/>
                <w:color w:val="06071F"/>
                <w:szCs w:val="21"/>
              </w:rPr>
            </w:pPr>
            <w:r>
              <w:rPr>
                <w:rFonts w:hint="eastAsia" w:ascii="宋体" w:hAnsi="宋体" w:eastAsia="宋体" w:cs="Segoe UI"/>
                <w:color w:val="06071F"/>
                <w:szCs w:val="21"/>
              </w:rPr>
              <w:t>1.引入话题，讲解教具制作的重要性和意义。</w:t>
            </w:r>
          </w:p>
          <w:p w14:paraId="1439F15E">
            <w:pPr>
              <w:widowControl/>
              <w:spacing w:before="90"/>
              <w:rPr>
                <w:rFonts w:ascii="宋体" w:hAnsi="宋体" w:eastAsia="宋体" w:cs="Segoe UI"/>
                <w:color w:val="06071F"/>
                <w:szCs w:val="21"/>
              </w:rPr>
            </w:pPr>
            <w:r>
              <w:rPr>
                <w:rFonts w:hint="eastAsia" w:ascii="宋体" w:hAnsi="宋体" w:eastAsia="宋体" w:cs="Segoe UI"/>
                <w:color w:val="06071F"/>
                <w:szCs w:val="21"/>
              </w:rPr>
              <w:t>2.分组分工，明确制作任务。</w:t>
            </w:r>
          </w:p>
          <w:p w14:paraId="02838711">
            <w:pPr>
              <w:widowControl/>
              <w:spacing w:before="90"/>
              <w:rPr>
                <w:rFonts w:ascii="宋体" w:hAnsi="宋体" w:eastAsia="宋体" w:cs="Segoe UI"/>
                <w:color w:val="06071F"/>
                <w:szCs w:val="21"/>
              </w:rPr>
            </w:pPr>
            <w:r>
              <w:rPr>
                <w:rFonts w:hint="eastAsia" w:ascii="宋体" w:hAnsi="宋体" w:eastAsia="宋体" w:cs="Segoe UI"/>
                <w:color w:val="06071F"/>
                <w:szCs w:val="21"/>
              </w:rPr>
              <w:t>3.学生进行实际操作，教师巡回指导。</w:t>
            </w:r>
          </w:p>
          <w:p w14:paraId="285B0609">
            <w:pPr>
              <w:widowControl/>
              <w:spacing w:before="90"/>
              <w:rPr>
                <w:rFonts w:ascii="宋体" w:hAnsi="宋体" w:eastAsia="宋体" w:cs="Segoe UI"/>
                <w:color w:val="06071F"/>
                <w:szCs w:val="21"/>
              </w:rPr>
            </w:pPr>
            <w:r>
              <w:rPr>
                <w:rFonts w:hint="eastAsia" w:ascii="宋体" w:hAnsi="宋体" w:eastAsia="宋体" w:cs="Segoe UI"/>
                <w:color w:val="06071F"/>
                <w:szCs w:val="21"/>
              </w:rPr>
              <w:t>4.实物展示，讲解设计意图和制作过程。</w:t>
            </w:r>
          </w:p>
          <w:p w14:paraId="0746F2BE">
            <w:pPr>
              <w:widowControl/>
              <w:spacing w:before="90"/>
              <w:rPr>
                <w:rFonts w:hint="eastAsia" w:ascii="宋体" w:hAnsi="宋体" w:eastAsia="宋体" w:cs="Segoe UI"/>
                <w:color w:val="06071F"/>
                <w:szCs w:val="21"/>
              </w:rPr>
            </w:pPr>
            <w:r>
              <w:rPr>
                <w:rFonts w:hint="eastAsia" w:ascii="宋体" w:hAnsi="宋体" w:eastAsia="宋体" w:cs="Segoe UI"/>
                <w:color w:val="06071F"/>
                <w:szCs w:val="21"/>
              </w:rPr>
              <w:t>5.互评作品，分享心得，总结经验。</w:t>
            </w:r>
          </w:p>
        </w:tc>
        <w:tc>
          <w:tcPr>
            <w:tcW w:w="1134" w:type="dxa"/>
            <w:vAlign w:val="center"/>
          </w:tcPr>
          <w:p w14:paraId="4E0DDC45">
            <w:pPr>
              <w:jc w:val="center"/>
              <w:rPr>
                <w:rFonts w:ascii="宋体" w:hAnsi="宋体" w:eastAsia="宋体" w:cs="宋体"/>
                <w:szCs w:val="21"/>
              </w:rPr>
            </w:pPr>
            <w:r>
              <w:rPr>
                <w:rFonts w:hint="eastAsia" w:ascii="宋体" w:hAnsi="宋体" w:eastAsia="宋体" w:cs="宋体"/>
                <w:szCs w:val="21"/>
              </w:rPr>
              <w:t>手工制作</w:t>
            </w:r>
          </w:p>
        </w:tc>
        <w:tc>
          <w:tcPr>
            <w:tcW w:w="2032" w:type="dxa"/>
            <w:vAlign w:val="center"/>
          </w:tcPr>
          <w:p w14:paraId="65D0E92A">
            <w:pPr>
              <w:widowControl/>
              <w:spacing w:before="90"/>
              <w:jc w:val="left"/>
              <w:rPr>
                <w:rFonts w:hint="eastAsia" w:ascii="宋体" w:hAnsi="宋体" w:eastAsia="宋体" w:cs="Segoe UI"/>
                <w:color w:val="06071F"/>
                <w:szCs w:val="21"/>
              </w:rPr>
            </w:pPr>
            <w:r>
              <w:rPr>
                <w:rFonts w:hint="eastAsia" w:ascii="宋体" w:hAnsi="宋体" w:eastAsia="宋体" w:cs="Segoe UI"/>
                <w:color w:val="06071F"/>
                <w:szCs w:val="21"/>
              </w:rPr>
              <w:t>通过实际操作，掌握教具制作的基本技巧和方法，提高废物利用能力和创意表达能力。培养学生的创新意识和环保意识。</w:t>
            </w:r>
          </w:p>
        </w:tc>
      </w:tr>
      <w:tr w14:paraId="3593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101" w:type="dxa"/>
            <w:vAlign w:val="center"/>
          </w:tcPr>
          <w:p w14:paraId="737430A0">
            <w:pPr>
              <w:jc w:val="left"/>
              <w:rPr>
                <w:rFonts w:ascii="宋体" w:hAnsi="宋体" w:eastAsia="宋体" w:cs="宋体"/>
                <w:szCs w:val="21"/>
              </w:rPr>
            </w:pPr>
            <w:r>
              <w:rPr>
                <w:rFonts w:ascii="宋体" w:hAnsi="宋体" w:eastAsia="宋体" w:cs="Segoe UI"/>
                <w:color w:val="06071F"/>
                <w:szCs w:val="21"/>
                <w:shd w:val="clear" w:color="auto" w:fill="FDFDFE"/>
              </w:rPr>
              <w:t>儿童照护与急救知识汇报</w:t>
            </w:r>
          </w:p>
        </w:tc>
        <w:tc>
          <w:tcPr>
            <w:tcW w:w="4252" w:type="dxa"/>
            <w:vAlign w:val="center"/>
          </w:tcPr>
          <w:p w14:paraId="0F6625F1">
            <w:pPr>
              <w:widowControl/>
              <w:rPr>
                <w:rFonts w:ascii="宋体" w:hAnsi="宋体" w:eastAsia="宋体" w:cs="Segoe UI"/>
                <w:color w:val="06071F"/>
                <w:szCs w:val="21"/>
              </w:rPr>
            </w:pPr>
            <w:r>
              <w:rPr>
                <w:rFonts w:hint="eastAsia" w:ascii="宋体" w:hAnsi="宋体" w:eastAsia="宋体" w:cs="Segoe UI"/>
                <w:color w:val="06071F"/>
                <w:szCs w:val="21"/>
              </w:rPr>
              <w:t>1.引入话题，讲解儿童照护和急救的重要性。</w:t>
            </w:r>
          </w:p>
          <w:p w14:paraId="7E680309">
            <w:pPr>
              <w:widowControl/>
              <w:spacing w:before="90"/>
              <w:rPr>
                <w:rFonts w:ascii="宋体" w:hAnsi="宋体" w:eastAsia="宋体" w:cs="Segoe UI"/>
                <w:color w:val="06071F"/>
                <w:szCs w:val="21"/>
              </w:rPr>
            </w:pPr>
            <w:r>
              <w:rPr>
                <w:rFonts w:hint="eastAsia" w:ascii="宋体" w:hAnsi="宋体" w:eastAsia="宋体" w:cs="Segoe UI"/>
                <w:color w:val="06071F"/>
                <w:szCs w:val="21"/>
              </w:rPr>
              <w:t>2.分组分工，明确汇报和演练任务。</w:t>
            </w:r>
          </w:p>
          <w:p w14:paraId="4EC49896">
            <w:pPr>
              <w:widowControl/>
              <w:spacing w:before="90"/>
              <w:rPr>
                <w:rFonts w:ascii="宋体" w:hAnsi="宋体" w:eastAsia="宋体" w:cs="Segoe UI"/>
                <w:color w:val="06071F"/>
                <w:szCs w:val="21"/>
              </w:rPr>
            </w:pPr>
            <w:r>
              <w:rPr>
                <w:rFonts w:hint="eastAsia" w:ascii="宋体" w:hAnsi="宋体" w:eastAsia="宋体" w:cs="Segoe UI"/>
                <w:color w:val="06071F"/>
                <w:szCs w:val="21"/>
              </w:rPr>
              <w:t>3.学生制作PPT并进行汇报，教师点评。</w:t>
            </w:r>
          </w:p>
          <w:p w14:paraId="758A714A">
            <w:pPr>
              <w:widowControl/>
              <w:spacing w:before="90"/>
              <w:rPr>
                <w:rFonts w:ascii="宋体" w:hAnsi="宋体" w:eastAsia="宋体" w:cs="Segoe UI"/>
                <w:color w:val="06071F"/>
                <w:szCs w:val="21"/>
              </w:rPr>
            </w:pPr>
            <w:r>
              <w:rPr>
                <w:rFonts w:hint="eastAsia" w:ascii="宋体" w:hAnsi="宋体" w:eastAsia="宋体" w:cs="Segoe UI"/>
                <w:color w:val="06071F"/>
                <w:szCs w:val="21"/>
              </w:rPr>
              <w:t>4.小剧场式演绎儿童急救情境，模拟实际操作。</w:t>
            </w:r>
          </w:p>
          <w:p w14:paraId="38695EA6">
            <w:pPr>
              <w:widowControl/>
              <w:spacing w:before="90"/>
              <w:rPr>
                <w:rFonts w:hint="eastAsia" w:ascii="宋体" w:hAnsi="宋体" w:eastAsia="宋体" w:cs="Segoe UI"/>
                <w:color w:val="06071F"/>
                <w:szCs w:val="21"/>
              </w:rPr>
            </w:pPr>
            <w:r>
              <w:rPr>
                <w:rFonts w:hint="eastAsia" w:ascii="宋体" w:hAnsi="宋体" w:eastAsia="宋体" w:cs="Segoe UI"/>
                <w:color w:val="06071F"/>
                <w:szCs w:val="21"/>
              </w:rPr>
              <w:t>5.分享心得，总结经验。</w:t>
            </w:r>
          </w:p>
        </w:tc>
        <w:tc>
          <w:tcPr>
            <w:tcW w:w="1134" w:type="dxa"/>
            <w:vAlign w:val="center"/>
          </w:tcPr>
          <w:p w14:paraId="6EE48354">
            <w:pPr>
              <w:jc w:val="center"/>
              <w:rPr>
                <w:rFonts w:ascii="宋体" w:hAnsi="宋体" w:eastAsia="宋体" w:cs="宋体"/>
                <w:szCs w:val="21"/>
              </w:rPr>
            </w:pPr>
            <w:r>
              <w:rPr>
                <w:rFonts w:hint="eastAsia" w:ascii="宋体" w:hAnsi="宋体" w:eastAsia="宋体" w:cs="宋体"/>
                <w:szCs w:val="21"/>
              </w:rPr>
              <w:t>主题汇报及演绎</w:t>
            </w:r>
          </w:p>
        </w:tc>
        <w:tc>
          <w:tcPr>
            <w:tcW w:w="2032" w:type="dxa"/>
            <w:vAlign w:val="center"/>
          </w:tcPr>
          <w:p w14:paraId="05716A9E">
            <w:pPr>
              <w:widowControl/>
              <w:spacing w:before="90"/>
              <w:jc w:val="left"/>
              <w:rPr>
                <w:rFonts w:hint="eastAsia" w:ascii="宋体" w:hAnsi="宋体" w:eastAsia="宋体" w:cs="Segoe UI"/>
                <w:color w:val="06071F"/>
                <w:szCs w:val="21"/>
              </w:rPr>
            </w:pPr>
            <w:r>
              <w:rPr>
                <w:rFonts w:hint="eastAsia" w:ascii="宋体" w:hAnsi="宋体" w:eastAsia="宋体" w:cs="Segoe UI"/>
                <w:color w:val="06071F"/>
                <w:szCs w:val="21"/>
              </w:rPr>
              <w:t>能够运用所学知识解决实际问题。培养学生的社会责任感和爱心。</w:t>
            </w:r>
          </w:p>
        </w:tc>
      </w:tr>
      <w:tr w14:paraId="4C13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633AF064">
            <w:pPr>
              <w:jc w:val="left"/>
              <w:rPr>
                <w:rFonts w:ascii="宋体" w:hAnsi="宋体" w:eastAsia="宋体" w:cs="宋体"/>
                <w:szCs w:val="21"/>
              </w:rPr>
            </w:pPr>
            <w:r>
              <w:rPr>
                <w:rFonts w:ascii="宋体" w:hAnsi="宋体" w:eastAsia="宋体" w:cs="Segoe UI"/>
                <w:color w:val="06071F"/>
                <w:szCs w:val="21"/>
                <w:shd w:val="clear" w:color="auto" w:fill="FDFDFE"/>
              </w:rPr>
              <w:t>点心食品制作与记录</w:t>
            </w:r>
          </w:p>
        </w:tc>
        <w:tc>
          <w:tcPr>
            <w:tcW w:w="4252" w:type="dxa"/>
            <w:vAlign w:val="center"/>
          </w:tcPr>
          <w:p w14:paraId="3A6D4D75">
            <w:pPr>
              <w:widowControl/>
              <w:rPr>
                <w:rFonts w:ascii="宋体" w:hAnsi="宋体" w:eastAsia="宋体" w:cs="Segoe UI"/>
                <w:color w:val="06071F"/>
                <w:szCs w:val="21"/>
              </w:rPr>
            </w:pPr>
            <w:r>
              <w:rPr>
                <w:rFonts w:hint="eastAsia" w:ascii="宋体" w:hAnsi="宋体" w:eastAsia="宋体" w:cs="Segoe UI"/>
                <w:color w:val="06071F"/>
                <w:szCs w:val="21"/>
              </w:rPr>
              <w:t>1.引入话题，讲解点心食品制作的重要性和意义。</w:t>
            </w:r>
          </w:p>
          <w:p w14:paraId="46E52A38">
            <w:pPr>
              <w:widowControl/>
              <w:spacing w:before="90"/>
              <w:rPr>
                <w:rFonts w:ascii="宋体" w:hAnsi="宋体" w:eastAsia="宋体" w:cs="Segoe UI"/>
                <w:color w:val="06071F"/>
                <w:szCs w:val="21"/>
              </w:rPr>
            </w:pPr>
            <w:r>
              <w:rPr>
                <w:rFonts w:hint="eastAsia" w:ascii="宋体" w:hAnsi="宋体" w:eastAsia="宋体" w:cs="Segoe UI"/>
                <w:color w:val="06071F"/>
                <w:szCs w:val="21"/>
              </w:rPr>
              <w:t>2.分组分工，明确制作任务。</w:t>
            </w:r>
          </w:p>
          <w:p w14:paraId="6CFFD318">
            <w:pPr>
              <w:widowControl/>
              <w:spacing w:before="90"/>
              <w:rPr>
                <w:rFonts w:ascii="宋体" w:hAnsi="宋体" w:eastAsia="宋体" w:cs="Segoe UI"/>
                <w:color w:val="06071F"/>
                <w:szCs w:val="21"/>
              </w:rPr>
            </w:pPr>
            <w:r>
              <w:rPr>
                <w:rFonts w:hint="eastAsia" w:ascii="宋体" w:hAnsi="宋体" w:eastAsia="宋体" w:cs="Segoe UI"/>
                <w:color w:val="06071F"/>
                <w:szCs w:val="21"/>
              </w:rPr>
              <w:t>3.学生进行实际操作，教师巡回指导，确保卫生和安全。</w:t>
            </w:r>
          </w:p>
          <w:p w14:paraId="7D75AEB3">
            <w:pPr>
              <w:widowControl/>
              <w:spacing w:before="90"/>
              <w:rPr>
                <w:rFonts w:ascii="宋体" w:hAnsi="宋体" w:eastAsia="宋体" w:cs="Segoe UI"/>
                <w:color w:val="06071F"/>
                <w:szCs w:val="21"/>
              </w:rPr>
            </w:pPr>
            <w:r>
              <w:rPr>
                <w:rFonts w:hint="eastAsia" w:ascii="宋体" w:hAnsi="宋体" w:eastAsia="宋体" w:cs="Segoe UI"/>
                <w:color w:val="06071F"/>
                <w:szCs w:val="21"/>
              </w:rPr>
              <w:t>4.实物展示和记录，讲解制作过程和心得。</w:t>
            </w:r>
          </w:p>
          <w:p w14:paraId="2A7AF922">
            <w:pPr>
              <w:widowControl/>
              <w:spacing w:before="90"/>
              <w:rPr>
                <w:rFonts w:hint="eastAsia" w:ascii="宋体" w:hAnsi="宋体" w:eastAsia="宋体" w:cs="Segoe UI"/>
                <w:color w:val="06071F"/>
                <w:szCs w:val="21"/>
              </w:rPr>
            </w:pPr>
            <w:r>
              <w:rPr>
                <w:rFonts w:hint="eastAsia" w:ascii="宋体" w:hAnsi="宋体" w:eastAsia="宋体" w:cs="Segoe UI"/>
                <w:color w:val="06071F"/>
                <w:szCs w:val="21"/>
              </w:rPr>
              <w:t>5.分享作品，总结经验。</w:t>
            </w:r>
          </w:p>
        </w:tc>
        <w:tc>
          <w:tcPr>
            <w:tcW w:w="1134" w:type="dxa"/>
            <w:vAlign w:val="center"/>
          </w:tcPr>
          <w:p w14:paraId="22DF55C9">
            <w:pPr>
              <w:jc w:val="center"/>
              <w:rPr>
                <w:rFonts w:hint="eastAsia" w:ascii="宋体" w:hAnsi="宋体" w:eastAsia="宋体" w:cs="宋体"/>
                <w:szCs w:val="21"/>
              </w:rPr>
            </w:pPr>
            <w:r>
              <w:rPr>
                <w:rFonts w:hint="eastAsia" w:ascii="宋体" w:hAnsi="宋体" w:eastAsia="宋体" w:cs="宋体"/>
                <w:szCs w:val="21"/>
              </w:rPr>
              <w:t>食品制作</w:t>
            </w:r>
          </w:p>
        </w:tc>
        <w:tc>
          <w:tcPr>
            <w:tcW w:w="2032" w:type="dxa"/>
            <w:vAlign w:val="center"/>
          </w:tcPr>
          <w:p w14:paraId="7549EEEE">
            <w:pPr>
              <w:widowControl/>
              <w:spacing w:before="90"/>
              <w:jc w:val="left"/>
              <w:rPr>
                <w:rFonts w:hint="eastAsia" w:ascii="宋体" w:hAnsi="宋体" w:eastAsia="宋体" w:cs="Segoe UI"/>
                <w:color w:val="06071F"/>
                <w:szCs w:val="21"/>
              </w:rPr>
            </w:pPr>
            <w:r>
              <w:rPr>
                <w:rFonts w:hint="eastAsia" w:ascii="宋体" w:hAnsi="宋体" w:eastAsia="宋体" w:cs="Segoe UI"/>
                <w:color w:val="06071F"/>
                <w:szCs w:val="21"/>
              </w:rPr>
              <w:t>掌握点心食品制作的基本技巧。培养学生的动手能力和团队协作精神。</w:t>
            </w:r>
          </w:p>
        </w:tc>
      </w:tr>
    </w:tbl>
    <w:p w14:paraId="396B0127">
      <w:pPr>
        <w:spacing w:line="360" w:lineRule="auto"/>
        <w:ind w:firstLine="551" w:firstLineChars="196"/>
        <w:jc w:val="left"/>
        <w:rPr>
          <w:rFonts w:ascii="宋体" w:hAnsi="宋体" w:eastAsia="宋体" w:cs="Times New Roman"/>
          <w:b/>
          <w:color w:val="000000"/>
          <w:sz w:val="28"/>
          <w:szCs w:val="28"/>
        </w:rPr>
      </w:pPr>
    </w:p>
    <w:p w14:paraId="688E61E2">
      <w:pPr>
        <w:spacing w:line="360" w:lineRule="auto"/>
        <w:jc w:val="left"/>
        <w:outlineLvl w:val="0"/>
        <w:rPr>
          <w:rFonts w:ascii="Times New Roman" w:hAnsi="Times New Roman" w:eastAsia="宋体" w:cs="Times New Roman"/>
          <w:b/>
          <w:bCs/>
          <w:sz w:val="24"/>
          <w:szCs w:val="24"/>
        </w:rPr>
      </w:pPr>
      <w:bookmarkStart w:id="341" w:name="_Toc13973"/>
      <w:bookmarkStart w:id="342" w:name="_Toc15252"/>
      <w:bookmarkStart w:id="343" w:name="_Toc15096"/>
      <w:bookmarkStart w:id="344" w:name="_Toc4986"/>
      <w:bookmarkStart w:id="345" w:name="_Toc16191"/>
      <w:bookmarkStart w:id="346" w:name="_Toc8959"/>
      <w:bookmarkStart w:id="347" w:name="_Toc26523"/>
      <w:r>
        <w:rPr>
          <w:rFonts w:hint="eastAsia" w:ascii="宋体" w:hAnsi="宋体" w:eastAsia="宋体" w:cs="Times New Roman"/>
          <w:b/>
          <w:color w:val="000000"/>
          <w:sz w:val="24"/>
          <w:szCs w:val="24"/>
        </w:rPr>
        <w:t>六、有关说明</w:t>
      </w:r>
      <w:bookmarkEnd w:id="341"/>
      <w:bookmarkEnd w:id="342"/>
      <w:bookmarkEnd w:id="343"/>
      <w:bookmarkEnd w:id="344"/>
      <w:bookmarkEnd w:id="345"/>
      <w:bookmarkEnd w:id="346"/>
      <w:bookmarkEnd w:id="347"/>
    </w:p>
    <w:p w14:paraId="525EF6C9">
      <w:pPr>
        <w:spacing w:line="360" w:lineRule="auto"/>
        <w:jc w:val="left"/>
        <w:outlineLvl w:val="1"/>
        <w:rPr>
          <w:rFonts w:hint="eastAsia" w:ascii="Times New Roman" w:hAnsi="Times New Roman" w:eastAsia="宋体" w:cs="Times New Roman"/>
          <w:b/>
          <w:szCs w:val="21"/>
        </w:rPr>
      </w:pPr>
      <w:bookmarkStart w:id="348" w:name="_Toc22253"/>
      <w:r>
        <w:rPr>
          <w:rFonts w:hint="eastAsia" w:ascii="Times New Roman" w:hAnsi="Times New Roman" w:eastAsia="宋体" w:cs="Times New Roman"/>
          <w:b/>
          <w:szCs w:val="21"/>
        </w:rPr>
        <w:t>（一）持续改进</w:t>
      </w:r>
      <w:bookmarkEnd w:id="348"/>
    </w:p>
    <w:p w14:paraId="46E90D93">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第一，劳动教育部分活动无法开展，如社会活动类，学生实践受到一定的限制，在今后的教学中要更多的为师范生提供多维度劳动的机会，以提高师范生的感性认识。后期将尝试增加课外实践环节，提升课程教学质量。新时代加强大学生劳动教育要丰富劳动教育形式，顺应时代发展潮流，积极探索劳动教育与德育、智育、体育、美育相融合的劳动教育实践活动。</w:t>
      </w:r>
    </w:p>
    <w:p w14:paraId="322D4057">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第二，丰富课程考核方式，完善评价方式。思考如何在个人自评、同伴互评、小组互评、以及教师评价相结合的方式中保证课程评价结果的客观性。</w:t>
      </w:r>
    </w:p>
    <w:p w14:paraId="01EC72CC">
      <w:pPr>
        <w:spacing w:line="360" w:lineRule="auto"/>
        <w:jc w:val="left"/>
        <w:outlineLvl w:val="1"/>
        <w:rPr>
          <w:rFonts w:ascii="Times New Roman" w:hAnsi="Times New Roman" w:eastAsia="宋体" w:cs="Times New Roman"/>
          <w:b/>
          <w:szCs w:val="21"/>
        </w:rPr>
      </w:pPr>
      <w:bookmarkStart w:id="349" w:name="_Toc11059"/>
      <w:r>
        <w:rPr>
          <w:rFonts w:hint="eastAsia" w:ascii="Times New Roman" w:hAnsi="Times New Roman" w:eastAsia="宋体" w:cs="Times New Roman"/>
          <w:b/>
          <w:szCs w:val="21"/>
        </w:rPr>
        <w:t>（二）建议教材</w:t>
      </w:r>
      <w:bookmarkEnd w:id="349"/>
    </w:p>
    <w:p w14:paraId="500F26E4">
      <w:pPr>
        <w:widowControl/>
        <w:spacing w:before="0" w:beforeAutospacing="0" w:after="0" w:afterAutospacing="0" w:line="400" w:lineRule="exact"/>
        <w:ind w:firstLine="369" w:firstLineChars="176"/>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《新时代大学生劳动教育》，丁晓昌、顾建军主编，上海交通大学出版社，2021年5月。</w:t>
      </w:r>
    </w:p>
    <w:p w14:paraId="716FE65A">
      <w:pPr>
        <w:spacing w:line="360" w:lineRule="auto"/>
        <w:jc w:val="left"/>
        <w:outlineLvl w:val="1"/>
        <w:rPr>
          <w:rFonts w:ascii="Times New Roman" w:hAnsi="Times New Roman" w:eastAsia="宋体" w:cs="Times New Roman"/>
          <w:b/>
          <w:szCs w:val="21"/>
        </w:rPr>
      </w:pPr>
      <w:bookmarkStart w:id="350" w:name="_Toc15963"/>
      <w:r>
        <w:rPr>
          <w:rFonts w:hint="eastAsia" w:ascii="Times New Roman" w:hAnsi="Times New Roman" w:eastAsia="宋体" w:cs="Times New Roman"/>
          <w:b/>
          <w:szCs w:val="21"/>
        </w:rPr>
        <w:t>（三）参考书目</w:t>
      </w:r>
      <w:bookmarkEnd w:id="350"/>
    </w:p>
    <w:p w14:paraId="165956F6">
      <w:pPr>
        <w:widowControl/>
        <w:spacing w:before="0" w:beforeAutospacing="0" w:after="0" w:afterAutospacing="0" w:line="400" w:lineRule="exact"/>
        <w:ind w:firstLine="369" w:firstLineChars="176"/>
        <w:jc w:val="left"/>
        <w:rPr>
          <w:rFonts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（1）《大学生劳动教育》，陈国维主编，高等教育出版社，2020年8月。</w:t>
      </w:r>
    </w:p>
    <w:p w14:paraId="28092E73">
      <w:pPr>
        <w:widowControl/>
        <w:spacing w:before="0" w:beforeAutospacing="0" w:after="0" w:afterAutospacing="0" w:line="400" w:lineRule="exact"/>
        <w:ind w:firstLine="369" w:firstLineChars="176"/>
        <w:jc w:val="left"/>
        <w:rPr>
          <w:rFonts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（2）《新时代大学生劳动教育》，柳友荣等编著，高等教育出版社，2</w:t>
      </w:r>
      <w:r>
        <w:rPr>
          <w:rFonts w:ascii="宋体" w:hAnsi="宋体" w:eastAsia="宋体" w:cs="宋体"/>
          <w:bCs/>
          <w:color w:val="000000"/>
          <w:kern w:val="0"/>
          <w:sz w:val="21"/>
          <w:szCs w:val="21"/>
          <w:lang w:val="en-US" w:eastAsia="zh-CN" w:bidi="ar-SA"/>
        </w:rPr>
        <w:t>021</w:t>
      </w:r>
      <w:r>
        <w:rPr>
          <w:rFonts w:hint="eastAsia" w:ascii="宋体" w:hAnsi="宋体" w:eastAsia="宋体" w:cs="宋体"/>
          <w:bCs/>
          <w:color w:val="000000"/>
          <w:kern w:val="0"/>
          <w:sz w:val="21"/>
          <w:szCs w:val="21"/>
          <w:lang w:val="en-US" w:eastAsia="zh-CN" w:bidi="ar-SA"/>
        </w:rPr>
        <w:t>年8月。</w:t>
      </w:r>
    </w:p>
    <w:p w14:paraId="56C336F0">
      <w:pPr>
        <w:rPr>
          <w:rFonts w:ascii="等线" w:hAnsi="等线" w:eastAsia="等线" w:cs="Times New Roman"/>
          <w:szCs w:val="22"/>
        </w:rPr>
      </w:pPr>
    </w:p>
    <w:p w14:paraId="5BA8D1DB">
      <w:pPr>
        <w:rPr>
          <w:rFonts w:ascii="等线" w:hAnsi="等线" w:eastAsia="等线" w:cs="Times New Roman"/>
          <w:szCs w:val="22"/>
        </w:rPr>
      </w:pPr>
    </w:p>
    <w:p w14:paraId="78FE771F">
      <w:pPr>
        <w:rPr>
          <w:rFonts w:ascii="等线" w:hAnsi="等线" w:eastAsia="等线" w:cs="Times New Roman"/>
          <w:szCs w:val="22"/>
        </w:rPr>
      </w:pPr>
    </w:p>
    <w:p w14:paraId="3CA1FF21">
      <w:pPr>
        <w:rPr>
          <w:rFonts w:ascii="等线" w:hAnsi="等线" w:eastAsia="等线" w:cs="Times New Roman"/>
          <w:szCs w:val="22"/>
        </w:rPr>
      </w:pPr>
    </w:p>
    <w:p w14:paraId="6BB384FF">
      <w:pPr>
        <w:rPr>
          <w:rFonts w:ascii="等线" w:hAnsi="等线" w:eastAsia="等线" w:cs="Times New Roman"/>
          <w:szCs w:val="22"/>
        </w:rPr>
      </w:pPr>
    </w:p>
    <w:p w14:paraId="78594915">
      <w:pPr>
        <w:spacing w:line="360" w:lineRule="auto"/>
        <w:ind w:right="14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周晗</w:t>
      </w:r>
    </w:p>
    <w:p w14:paraId="338965FC">
      <w:pPr>
        <w:wordWrap w:val="0"/>
        <w:spacing w:line="360" w:lineRule="auto"/>
        <w:ind w:right="14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王健</w:t>
      </w:r>
    </w:p>
    <w:p w14:paraId="5456948E">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4A07165D">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0C3E5DD6">
      <w:pPr>
        <w:rPr>
          <w:rFonts w:hint="eastAsia"/>
          <w:sz w:val="44"/>
          <w:szCs w:val="44"/>
          <w:lang w:eastAsia="zh-CN"/>
        </w:rPr>
      </w:pPr>
      <w:bookmarkStart w:id="351" w:name="_Toc4812"/>
      <w:bookmarkStart w:id="352" w:name="_Toc28679"/>
      <w:bookmarkStart w:id="353" w:name="_Toc24366"/>
      <w:r>
        <w:rPr>
          <w:rFonts w:hint="eastAsia"/>
          <w:sz w:val="44"/>
          <w:szCs w:val="44"/>
          <w:lang w:eastAsia="zh-CN"/>
        </w:rPr>
        <w:br w:type="page"/>
      </w:r>
    </w:p>
    <w:p w14:paraId="4FE891E2">
      <w:pPr>
        <w:pStyle w:val="2"/>
        <w:bidi w:val="0"/>
      </w:pPr>
      <w:bookmarkStart w:id="354" w:name="_Toc25635"/>
      <w:r>
        <w:rPr>
          <w:rFonts w:hint="eastAsia"/>
          <w:lang w:eastAsia="zh-CN"/>
        </w:rPr>
        <w:t>《</w:t>
      </w:r>
      <w:r>
        <w:rPr>
          <w:rFonts w:hint="eastAsia"/>
        </w:rPr>
        <w:t>军事理论</w:t>
      </w:r>
      <w:r>
        <w:rPr>
          <w:rFonts w:hint="eastAsia"/>
          <w:lang w:eastAsia="zh-CN"/>
        </w:rPr>
        <w:t>》</w:t>
      </w:r>
      <w:r>
        <w:rPr>
          <w:rFonts w:hint="eastAsia"/>
        </w:rPr>
        <w:t>课程教学大纲</w:t>
      </w:r>
      <w:bookmarkEnd w:id="351"/>
      <w:bookmarkEnd w:id="352"/>
      <w:bookmarkEnd w:id="353"/>
      <w:bookmarkEnd w:id="354"/>
    </w:p>
    <w:p w14:paraId="5332191F">
      <w:pPr>
        <w:pStyle w:val="2"/>
        <w:bidi w:val="0"/>
        <w:rPr>
          <w:rFonts w:hint="eastAsia"/>
        </w:rPr>
      </w:pPr>
      <w:bookmarkStart w:id="355" w:name="_Toc17514"/>
      <w:r>
        <w:rPr>
          <w:rFonts w:hint="eastAsia"/>
        </w:rPr>
        <w:t>（Military theory）</w:t>
      </w:r>
      <w:bookmarkEnd w:id="355"/>
    </w:p>
    <w:p w14:paraId="0BBBFDD3">
      <w:pPr>
        <w:pStyle w:val="2"/>
        <w:bidi w:val="0"/>
        <w:rPr>
          <w:rFonts w:hint="eastAsia"/>
        </w:rPr>
      </w:pPr>
    </w:p>
    <w:p w14:paraId="23F916B2">
      <w:pPr>
        <w:spacing w:line="360" w:lineRule="auto"/>
        <w:ind w:firstLine="482" w:firstLineChars="200"/>
        <w:rPr>
          <w:rFonts w:ascii="宋体" w:hAnsi="宋体" w:eastAsia="宋体" w:cs="Times New Roman"/>
          <w:b/>
          <w:bCs/>
          <w:color w:val="000000" w:themeColor="text1"/>
          <w:kern w:val="0"/>
          <w:sz w:val="24"/>
          <w:szCs w:val="22"/>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课程代码：</w:t>
      </w:r>
      <w:r>
        <w:rPr>
          <w:rFonts w:hint="eastAsia" w:ascii="宋体" w:hAnsi="宋体" w:eastAsia="宋体" w:cs="Times New Roman"/>
          <w:b/>
          <w:bCs/>
          <w:color w:val="000000" w:themeColor="text1"/>
          <w:kern w:val="0"/>
          <w:sz w:val="24"/>
          <w:szCs w:val="22"/>
          <w14:textFill>
            <w14:solidFill>
              <w14:schemeClr w14:val="tx1"/>
            </w14:solidFill>
          </w14:textFill>
        </w:rPr>
        <w:t>0000002</w:t>
      </w:r>
    </w:p>
    <w:p w14:paraId="2186CAFA">
      <w:pPr>
        <w:spacing w:line="360" w:lineRule="auto"/>
        <w:ind w:firstLine="482" w:firstLineChars="200"/>
        <w:rPr>
          <w:rFonts w:ascii="宋体" w:hAnsi="宋体" w:eastAsia="宋体" w:cs="Times New Roman"/>
          <w:b/>
          <w:bCs/>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分：</w:t>
      </w:r>
      <w:r>
        <w:rPr>
          <w:rFonts w:hint="eastAsia" w:ascii="宋体" w:hAnsi="宋体" w:eastAsia="宋体" w:cs="Times New Roman"/>
          <w:b/>
          <w:bCs/>
          <w:color w:val="000000" w:themeColor="text1"/>
          <w:kern w:val="0"/>
          <w:sz w:val="24"/>
          <w:szCs w:val="22"/>
          <w14:textFill>
            <w14:solidFill>
              <w14:schemeClr w14:val="tx1"/>
            </w14:solidFill>
          </w14:textFill>
        </w:rPr>
        <w:t>2</w:t>
      </w:r>
    </w:p>
    <w:p w14:paraId="128BA489">
      <w:pPr>
        <w:spacing w:line="360" w:lineRule="auto"/>
        <w:ind w:firstLine="482" w:firstLineChars="200"/>
        <w:rPr>
          <w:rFonts w:ascii="宋体" w:hAnsi="宋体" w:eastAsia="宋体" w:cs="Times New Roman"/>
          <w:b/>
          <w:bCs/>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时：</w:t>
      </w:r>
      <w:r>
        <w:rPr>
          <w:rFonts w:hint="eastAsia" w:ascii="宋体" w:hAnsi="宋体" w:eastAsia="宋体" w:cs="Times New Roman"/>
          <w:b/>
          <w:bCs/>
          <w:color w:val="000000" w:themeColor="text1"/>
          <w:kern w:val="0"/>
          <w:sz w:val="24"/>
          <w14:textFill>
            <w14:solidFill>
              <w14:schemeClr w14:val="tx1"/>
            </w14:solidFill>
          </w14:textFill>
        </w:rPr>
        <w:t>32</w:t>
      </w:r>
      <w:r>
        <w:rPr>
          <w:rFonts w:ascii="宋体" w:hAnsi="宋体" w:eastAsia="宋体" w:cs="Times New Roman"/>
          <w:b/>
          <w:bCs/>
          <w:color w:val="000000" w:themeColor="text1"/>
          <w:kern w:val="0"/>
          <w:sz w:val="24"/>
          <w14:textFill>
            <w14:solidFill>
              <w14:schemeClr w14:val="tx1"/>
            </w14:solidFill>
          </w14:textFill>
        </w:rPr>
        <w:t xml:space="preserve"> </w:t>
      </w:r>
      <w:r>
        <w:rPr>
          <w:rFonts w:hint="eastAsia" w:ascii="宋体" w:hAnsi="宋体" w:eastAsia="宋体" w:cs="宋体"/>
          <w:b/>
          <w:bCs/>
          <w:color w:val="000000" w:themeColor="text1"/>
          <w:kern w:val="0"/>
          <w:sz w:val="24"/>
          <w14:textFill>
            <w14:solidFill>
              <w14:schemeClr w14:val="tx1"/>
            </w14:solidFill>
          </w14:textFill>
        </w:rPr>
        <w:t>（其中：讲授学时32， 实践学时0）</w:t>
      </w:r>
    </w:p>
    <w:p w14:paraId="0C30AB99">
      <w:pPr>
        <w:spacing w:line="360" w:lineRule="auto"/>
        <w:ind w:firstLine="482" w:firstLineChars="200"/>
        <w:jc w:val="left"/>
        <w:rPr>
          <w:rFonts w:ascii="宋体" w:hAnsi="宋体" w:eastAsia="宋体" w:cs="Times New Roman"/>
          <w:b/>
          <w:bCs/>
          <w:color w:val="000000" w:themeColor="text1"/>
          <w:sz w:val="24"/>
          <w:szCs w:val="22"/>
          <w14:textFill>
            <w14:solidFill>
              <w14:schemeClr w14:val="tx1"/>
            </w14:solidFill>
          </w14:textFill>
        </w:rPr>
      </w:pPr>
      <w:r>
        <w:rPr>
          <w:rFonts w:ascii="宋体" w:hAnsi="宋体" w:eastAsia="宋体" w:cs="Times New Roman"/>
          <w:b/>
          <w:bCs/>
          <w:color w:val="000000" w:themeColor="text1"/>
          <w:kern w:val="0"/>
          <w:sz w:val="24"/>
          <w:lang w:val="zh-CN"/>
          <w14:textFill>
            <w14:solidFill>
              <w14:schemeClr w14:val="tx1"/>
            </w14:solidFill>
          </w14:textFill>
        </w:rPr>
        <w:t>先修课程：</w:t>
      </w:r>
      <w:r>
        <w:rPr>
          <w:rFonts w:hint="eastAsia" w:ascii="宋体" w:hAnsi="宋体" w:eastAsia="宋体" w:cs="Times New Roman"/>
          <w:b/>
          <w:bCs/>
          <w:color w:val="000000" w:themeColor="text1"/>
          <w:kern w:val="0"/>
          <w:sz w:val="24"/>
          <w14:textFill>
            <w14:solidFill>
              <w14:schemeClr w14:val="tx1"/>
            </w14:solidFill>
          </w14:textFill>
        </w:rPr>
        <w:t>无</w:t>
      </w:r>
    </w:p>
    <w:p w14:paraId="4EE51525">
      <w:pPr>
        <w:spacing w:line="360" w:lineRule="auto"/>
        <w:ind w:firstLine="482" w:firstLineChars="200"/>
        <w:rPr>
          <w:rFonts w:hint="eastAsia" w:ascii="宋体" w:hAnsi="宋体" w:eastAsia="宋体" w:cs="Times New Roman"/>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适用专业：</w:t>
      </w:r>
      <w:r>
        <w:rPr>
          <w:rFonts w:hint="eastAsia" w:ascii="宋体" w:hAnsi="宋体" w:eastAsia="宋体" w:cs="Times New Roman"/>
          <w:b/>
          <w:bCs/>
          <w:color w:val="000000" w:themeColor="text1"/>
          <w:kern w:val="0"/>
          <w:sz w:val="24"/>
          <w14:textFill>
            <w14:solidFill>
              <w14:schemeClr w14:val="tx1"/>
            </w14:solidFill>
          </w14:textFill>
        </w:rPr>
        <w:t>学校全部专业</w:t>
      </w:r>
      <w:r>
        <w:rPr>
          <w:rFonts w:hint="eastAsia" w:ascii="宋体" w:hAnsi="宋体" w:eastAsia="宋体" w:cs="Times New Roman"/>
          <w:color w:val="000000" w:themeColor="text1"/>
          <w:kern w:val="0"/>
          <w:sz w:val="24"/>
          <w14:textFill>
            <w14:solidFill>
              <w14:schemeClr w14:val="tx1"/>
            </w14:solidFill>
          </w14:textFill>
        </w:rPr>
        <w:t>。</w:t>
      </w:r>
    </w:p>
    <w:p w14:paraId="56591691">
      <w:pPr>
        <w:spacing w:line="360" w:lineRule="auto"/>
        <w:jc w:val="left"/>
        <w:rPr>
          <w:rFonts w:ascii="Times New Roman" w:hAnsi="Times New Roman" w:eastAsia="宋体" w:cs="Times New Roman"/>
          <w:b/>
          <w:sz w:val="24"/>
          <w:szCs w:val="24"/>
        </w:rPr>
      </w:pPr>
    </w:p>
    <w:p w14:paraId="1B35B471">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E9164A9">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eastAsia="宋体" w:cs="Times New Roman"/>
          <w:b/>
          <w:color w:val="000000"/>
          <w:szCs w:val="21"/>
        </w:rPr>
      </w:pPr>
      <w:r>
        <w:rPr>
          <w:rFonts w:hint="eastAsia" w:ascii="宋体" w:hAnsi="宋体" w:eastAsia="宋体" w:cs="Times New Roman"/>
          <w:b/>
          <w:bCs/>
          <w:color w:val="000000" w:themeColor="text1"/>
          <w:kern w:val="0"/>
          <w:sz w:val="21"/>
          <w:szCs w:val="21"/>
          <w14:textFill>
            <w14:solidFill>
              <w14:schemeClr w14:val="tx1"/>
            </w14:solidFill>
          </w14:textFill>
        </w:rPr>
        <w:t>课程的性质与任务：</w:t>
      </w:r>
      <w:r>
        <w:rPr>
          <w:rFonts w:hint="eastAsia" w:ascii="宋体" w:hAnsi="宋体" w:eastAsia="宋体" w:cs="宋体"/>
          <w:sz w:val="21"/>
          <w:szCs w:val="21"/>
        </w:rPr>
        <w:t>依据《中华人民共和国国防法》《中华人民共和国兵役法》《中华人民共和国教育法》以及国务院、中央军委有关文件精神，军事课是普通高等学校学生的必修课程。军事课要以习近平强军思想和习近平总书记关于教育的重要论述为遵循，全面贯彻党的教育方针、新时代军事战略方针和总体国家安全观，围绕立德树人根本任务和强军目标根本要求，着眼培育和践行社会主义核心价值观,以提升学生国防意识和军事素养为重点，为实施军民融合发展战略和建设国防后备力量服务。</w:t>
      </w:r>
    </w:p>
    <w:p w14:paraId="321E2F9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406419F0">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E98B7A7">
      <w:pPr>
        <w:spacing w:line="360" w:lineRule="auto"/>
        <w:ind w:firstLine="422" w:firstLineChars="200"/>
        <w:jc w:val="left"/>
        <w:rPr>
          <w:rFonts w:ascii="Times New Roman" w:hAnsi="Times New Roman" w:eastAsia="宋体" w:cs="Times New Roman"/>
          <w:b w:val="0"/>
          <w:bCs/>
          <w:szCs w:val="21"/>
        </w:rPr>
      </w:pPr>
      <w:r>
        <w:rPr>
          <w:rFonts w:hint="eastAsia" w:ascii="Times New Roman" w:hAnsi="Times New Roman" w:eastAsia="宋体" w:cs="Times New Roman"/>
          <w:b/>
          <w:szCs w:val="21"/>
        </w:rPr>
        <w:t>目标</w:t>
      </w:r>
      <w:r>
        <w:rPr>
          <w:rFonts w:hint="eastAsia" w:ascii="Times New Roman" w:hAnsi="Times New Roman" w:eastAsia="宋体" w:cs="Times New Roman"/>
          <w:b/>
          <w:szCs w:val="21"/>
          <w:lang w:val="en-US" w:eastAsia="zh-CN"/>
        </w:rPr>
        <w:t>1</w:t>
      </w:r>
      <w:r>
        <w:rPr>
          <w:rFonts w:ascii="Times New Roman" w:hAnsi="Times New Roman" w:eastAsia="宋体" w:cs="Times New Roman"/>
          <w:b/>
          <w:szCs w:val="21"/>
        </w:rPr>
        <w:t xml:space="preserve">. </w:t>
      </w:r>
      <w:r>
        <w:rPr>
          <w:rFonts w:ascii="Times New Roman" w:hAnsi="Times New Roman" w:eastAsia="宋体" w:cs="Times New Roman"/>
          <w:b w:val="0"/>
          <w:bCs/>
          <w:szCs w:val="21"/>
        </w:rPr>
        <w:t>通过系统讲授国防历史、军事思想与国家安全战略，引导学生深刻理解总体国家安全观，强化忧患意识与使命担当，筑牢献身国防的思想根基。</w:t>
      </w:r>
    </w:p>
    <w:p w14:paraId="70D540C5">
      <w:pPr>
        <w:spacing w:line="360" w:lineRule="auto"/>
        <w:ind w:firstLine="482"/>
        <w:jc w:val="left"/>
        <w:rPr>
          <w:rFonts w:ascii="Times New Roman" w:hAnsi="Times New Roman" w:eastAsia="宋体" w:cs="Times New Roman"/>
          <w:b w:val="0"/>
          <w:bCs/>
          <w:szCs w:val="21"/>
        </w:rPr>
      </w:pPr>
      <w:r>
        <w:rPr>
          <w:rFonts w:hint="eastAsia" w:ascii="Times New Roman" w:hAnsi="Times New Roman" w:eastAsia="宋体" w:cs="Times New Roman"/>
          <w:b/>
          <w:szCs w:val="21"/>
        </w:rPr>
        <w:t>目标</w:t>
      </w:r>
      <w:r>
        <w:rPr>
          <w:rFonts w:hint="eastAsia" w:ascii="Times New Roman" w:hAnsi="Times New Roman" w:eastAsia="宋体" w:cs="Times New Roman"/>
          <w:b/>
          <w:szCs w:val="21"/>
          <w:lang w:val="en-US" w:eastAsia="zh-CN"/>
        </w:rPr>
        <w:t>2</w:t>
      </w:r>
      <w:r>
        <w:rPr>
          <w:rFonts w:ascii="Times New Roman" w:hAnsi="Times New Roman" w:eastAsia="宋体" w:cs="Times New Roman"/>
          <w:b/>
          <w:szCs w:val="21"/>
        </w:rPr>
        <w:t>.</w:t>
      </w:r>
      <w:r>
        <w:rPr>
          <w:rFonts w:hint="eastAsia" w:ascii="Times New Roman" w:hAnsi="Times New Roman" w:eastAsia="宋体" w:cs="Times New Roman"/>
          <w:b/>
          <w:szCs w:val="21"/>
        </w:rPr>
        <w:t xml:space="preserve"> </w:t>
      </w:r>
      <w:r>
        <w:rPr>
          <w:rFonts w:hint="eastAsia" w:ascii="Times New Roman" w:hAnsi="Times New Roman" w:eastAsia="宋体" w:cs="Times New Roman"/>
          <w:b w:val="0"/>
          <w:bCs/>
          <w:szCs w:val="21"/>
        </w:rPr>
        <w:t>解析信息化战争本质特征，剖析经典战例与军事变革规律，培养学生运用军事理论框架分析国际安全形势、预判战略走向的能力。</w:t>
      </w:r>
    </w:p>
    <w:p w14:paraId="713DF35F">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b w:val="0"/>
          <w:bCs/>
          <w:kern w:val="0"/>
          <w:szCs w:val="21"/>
        </w:rPr>
        <w:t>结合军事推演、危机决策模拟等实践环节，锤炼学生战略预判、临机决断和综合运筹能力，塑造适应未来智能化战争需求的军事思维品质。</w:t>
      </w:r>
    </w:p>
    <w:p w14:paraId="4B087FFA">
      <w:pPr>
        <w:spacing w:before="156" w:beforeLines="50" w:after="156" w:afterLines="50" w:line="360" w:lineRule="auto"/>
        <w:jc w:val="left"/>
        <w:rPr>
          <w:rFonts w:hint="eastAsia" w:ascii="Times New Roman" w:hAnsi="Times New Roman" w:eastAsia="宋体" w:cs="Times New Roman"/>
          <w:b/>
          <w:bCs/>
          <w:szCs w:val="21"/>
        </w:rPr>
      </w:pPr>
    </w:p>
    <w:p w14:paraId="7BAC7905">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486"/>
      </w:tblGrid>
      <w:tr w14:paraId="23AA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CEDFC7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B8D402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486" w:type="dxa"/>
            <w:vAlign w:val="center"/>
          </w:tcPr>
          <w:p w14:paraId="3178916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4FB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208AF0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w:t>
            </w:r>
            <w:r>
              <w:rPr>
                <w:rFonts w:hint="eastAsia" w:ascii="Times New Roman" w:hAnsi="Times New Roman" w:eastAsia="宋体" w:cs="Times New Roman"/>
                <w:szCs w:val="21"/>
                <w:lang w:val="en-US" w:eastAsia="zh-CN"/>
              </w:rPr>
              <w:t>.</w:t>
            </w:r>
            <w:r>
              <w:rPr>
                <w:rFonts w:hint="eastAsia" w:ascii="Times New Roman" w:hAnsi="Times New Roman" w:eastAsia="宋体" w:cs="Times New Roman"/>
                <w:szCs w:val="21"/>
              </w:rPr>
              <w:t>师德规范</w:t>
            </w:r>
          </w:p>
        </w:tc>
        <w:tc>
          <w:tcPr>
            <w:tcW w:w="5688" w:type="dxa"/>
            <w:vAlign w:val="center"/>
          </w:tcPr>
          <w:p w14:paraId="0E7F7359">
            <w:pPr>
              <w:spacing w:line="276" w:lineRule="auto"/>
              <w:jc w:val="left"/>
              <w:rPr>
                <w:rFonts w:ascii="Times New Roman" w:hAnsi="Times New Roman" w:eastAsia="宋体" w:cs="Times New Roman"/>
                <w:szCs w:val="21"/>
              </w:rPr>
            </w:pPr>
            <w:r>
              <w:rPr>
                <w:rFonts w:hint="eastAsia" w:ascii="宋体" w:hAnsi="宋体" w:eastAsia="宋体" w:cs="宋体"/>
                <w:kern w:val="0"/>
                <w:sz w:val="21"/>
                <w:szCs w:val="21"/>
              </w:rPr>
              <w:t>指标点</w:t>
            </w:r>
            <w:r>
              <w:rPr>
                <w:rFonts w:hint="eastAsia" w:ascii="宋体" w:hAnsi="宋体" w:eastAsia="宋体" w:cs="宋体"/>
                <w:sz w:val="21"/>
                <w:szCs w:val="21"/>
              </w:rPr>
              <w:t>1-1：【理想信念坚定】了解我国国情及国际局势，深刻理解新时代中国特色社会主义思想内涵，高度认识其对中国式现代化建设的指导意义</w:t>
            </w:r>
            <w:r>
              <w:rPr>
                <w:rFonts w:hint="eastAsia" w:eastAsia="宋体" w:cs="宋体"/>
                <w:sz w:val="21"/>
                <w:szCs w:val="21"/>
              </w:rPr>
              <w:t>；</w:t>
            </w:r>
            <w:r>
              <w:rPr>
                <w:rFonts w:hint="eastAsia" w:ascii="宋体" w:hAnsi="宋体" w:eastAsia="宋体" w:cs="宋体"/>
                <w:sz w:val="21"/>
                <w:szCs w:val="21"/>
              </w:rPr>
              <w:t>认同中国特色社会主义，贯彻党的教育方针，自觉践行社会主义核心价值观</w:t>
            </w:r>
            <w:r>
              <w:rPr>
                <w:rFonts w:hint="eastAsia" w:eastAsia="宋体" w:cs="宋体"/>
                <w:sz w:val="21"/>
                <w:szCs w:val="21"/>
              </w:rPr>
              <w:t>；认同教师劳动的价值，</w:t>
            </w:r>
            <w:r>
              <w:rPr>
                <w:rFonts w:hint="eastAsia" w:ascii="宋体" w:hAnsi="宋体" w:eastAsia="宋体" w:cs="宋体"/>
                <w:sz w:val="21"/>
                <w:szCs w:val="21"/>
              </w:rPr>
              <w:t>树立职业理想，立志成为有理想信念、有道德情操、有扎实学识、有仁爱之心受学生爱戴的好老师。</w:t>
            </w:r>
          </w:p>
        </w:tc>
        <w:tc>
          <w:tcPr>
            <w:tcW w:w="1486" w:type="dxa"/>
            <w:vAlign w:val="center"/>
          </w:tcPr>
          <w:p w14:paraId="5D5F53D8">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1</w:t>
            </w:r>
          </w:p>
        </w:tc>
      </w:tr>
      <w:tr w14:paraId="0545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05BB48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6C98279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指标点3-1：【通识知识广博】具有小学教育本科专业相应的自然科学和人文社会科学知识素养。</w:t>
            </w:r>
          </w:p>
        </w:tc>
        <w:tc>
          <w:tcPr>
            <w:tcW w:w="1486" w:type="dxa"/>
            <w:vAlign w:val="center"/>
          </w:tcPr>
          <w:p w14:paraId="48D0024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3</w:t>
            </w:r>
          </w:p>
        </w:tc>
      </w:tr>
    </w:tbl>
    <w:p w14:paraId="588F60EF">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B8CB77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eastAsia="宋体" w:cs="Times New Roman"/>
          <w:b w:val="0"/>
          <w:bCs/>
          <w:color w:val="000000"/>
          <w:sz w:val="21"/>
          <w:szCs w:val="21"/>
        </w:rPr>
      </w:pPr>
      <w:r>
        <w:rPr>
          <w:rFonts w:ascii="宋体" w:hAnsi="宋体" w:eastAsia="宋体" w:cs="Times New Roman"/>
          <w:b w:val="0"/>
          <w:bCs/>
          <w:color w:val="000000"/>
          <w:sz w:val="21"/>
          <w:szCs w:val="21"/>
        </w:rPr>
        <w:t>军事理论课程思政目标在于通过系统讲授国防历史、军事思想与国家安全战略，引导学生深刻理解党对军队绝对领导的根本原则，厚植家国情怀与国防意识，培育"总体国家安全观"的思维视野，激发青年学子科技强军、投身国防的使命担当，在掌握现代战争理论的同时，强化"国之大者"的政治自觉，实现知识传授与价值引领的同频共振。</w:t>
      </w:r>
    </w:p>
    <w:p w14:paraId="33D782E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eastAsia="宋体" w:cs="Times New Roman"/>
          <w:b w:val="0"/>
          <w:bCs/>
          <w:color w:val="000000"/>
          <w:sz w:val="21"/>
          <w:szCs w:val="21"/>
        </w:rPr>
      </w:pPr>
    </w:p>
    <w:p w14:paraId="5B8F1F6B">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86027D3">
        <w:tblPrEx>
          <w:tblCellMar>
            <w:top w:w="0" w:type="dxa"/>
            <w:left w:w="108" w:type="dxa"/>
            <w:bottom w:w="0" w:type="dxa"/>
            <w:right w:w="108" w:type="dxa"/>
          </w:tblCellMar>
        </w:tblPrEx>
        <w:trPr>
          <w:jc w:val="center"/>
        </w:trPr>
        <w:tc>
          <w:tcPr>
            <w:tcW w:w="1205" w:type="dxa"/>
            <w:vAlign w:val="center"/>
          </w:tcPr>
          <w:p w14:paraId="604E0BEA">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9F5EE7A">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0ECF857A">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7506D617">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0206F5C">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3DFEFE50">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CFD5478">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9176E94">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5BC1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ED0A3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中国国防</w:t>
            </w:r>
          </w:p>
        </w:tc>
        <w:tc>
          <w:tcPr>
            <w:tcW w:w="1701" w:type="dxa"/>
            <w:vAlign w:val="center"/>
          </w:tcPr>
          <w:p w14:paraId="39D0F03D">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国防概述</w:t>
            </w:r>
          </w:p>
          <w:p w14:paraId="7C3549CA">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国防法规</w:t>
            </w:r>
          </w:p>
          <w:p w14:paraId="1A46847C">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国防建设</w:t>
            </w:r>
          </w:p>
          <w:p w14:paraId="6F7201AC">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武装力量</w:t>
            </w:r>
          </w:p>
          <w:p w14:paraId="4F8CDFA8">
            <w:pPr>
              <w:numPr>
                <w:ilvl w:val="0"/>
                <w:numId w:val="0"/>
              </w:numPr>
              <w:spacing w:line="269" w:lineRule="auto"/>
              <w:ind w:leftChars="0"/>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国防动员</w:t>
            </w:r>
          </w:p>
        </w:tc>
        <w:tc>
          <w:tcPr>
            <w:tcW w:w="1134" w:type="dxa"/>
            <w:vAlign w:val="center"/>
          </w:tcPr>
          <w:p w14:paraId="7605359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152D8F1A">
            <w:r>
              <w:rPr>
                <w:rFonts w:hint="eastAsia" w:ascii="宋体" w:hAnsi="宋体" w:eastAsia="宋体" w:cs="宋体"/>
                <w:color w:val="000000"/>
                <w:szCs w:val="21"/>
                <w:lang w:val="en-US" w:eastAsia="zh-CN"/>
              </w:rPr>
              <w:t>1.</w:t>
            </w:r>
            <w:r>
              <w:rPr>
                <w:rFonts w:hint="eastAsia" w:ascii="宋体" w:hAnsi="宋体" w:eastAsia="宋体" w:cs="宋体"/>
                <w:color w:val="000000"/>
                <w:szCs w:val="21"/>
              </w:rPr>
              <w:t>国防的内涵、国防类型、国防历史与启示、现代国防观。</w:t>
            </w:r>
          </w:p>
          <w:p w14:paraId="1DF7C109">
            <w:r>
              <w:rPr>
                <w:rFonts w:hint="eastAsia" w:ascii="宋体" w:hAnsi="宋体" w:eastAsia="宋体" w:cs="宋体"/>
                <w:color w:val="000000"/>
                <w:szCs w:val="21"/>
                <w:lang w:val="en-US" w:eastAsia="zh-CN"/>
              </w:rPr>
              <w:t>2.</w:t>
            </w:r>
            <w:r>
              <w:rPr>
                <w:rFonts w:hint="eastAsia" w:ascii="宋体" w:hAnsi="宋体" w:eastAsia="宋体" w:cs="宋体"/>
                <w:color w:val="000000"/>
                <w:szCs w:val="21"/>
              </w:rPr>
              <w:t>国防法规体系、公民的国防权利与义务。</w:t>
            </w:r>
          </w:p>
          <w:p w14:paraId="448F07EE">
            <w:r>
              <w:rPr>
                <w:rFonts w:hint="eastAsia" w:ascii="宋体" w:hAnsi="宋体" w:eastAsia="宋体" w:cs="宋体"/>
                <w:color w:val="000000"/>
                <w:szCs w:val="21"/>
                <w:lang w:val="en-US" w:eastAsia="zh-CN"/>
              </w:rPr>
              <w:t>3.</w:t>
            </w:r>
            <w:r>
              <w:rPr>
                <w:rFonts w:hint="eastAsia" w:ascii="宋体" w:hAnsi="宋体" w:eastAsia="宋体" w:cs="宋体"/>
                <w:color w:val="000000"/>
                <w:szCs w:val="21"/>
              </w:rPr>
              <w:t>国防体制、国防战略、国防政策、国防成就、军民融合。</w:t>
            </w:r>
          </w:p>
          <w:p w14:paraId="269B2ECD">
            <w:r>
              <w:rPr>
                <w:rFonts w:hint="eastAsia" w:ascii="宋体" w:hAnsi="宋体" w:eastAsia="宋体" w:cs="宋体"/>
                <w:color w:val="000000"/>
                <w:szCs w:val="21"/>
                <w:lang w:val="en-US" w:eastAsia="zh-CN"/>
              </w:rPr>
              <w:t>4.</w:t>
            </w:r>
            <w:r>
              <w:rPr>
                <w:rFonts w:hint="eastAsia" w:ascii="宋体" w:hAnsi="宋体" w:eastAsia="宋体" w:cs="宋体"/>
                <w:color w:val="000000"/>
                <w:szCs w:val="21"/>
              </w:rPr>
              <w:t>中国武装力量性质、宗旨、使命及武装力量构成，人民军队的发展历程。</w:t>
            </w:r>
          </w:p>
          <w:p w14:paraId="334729BB">
            <w:pPr>
              <w:rPr>
                <w:rFonts w:ascii="宋体" w:hAnsi="宋体" w:eastAsia="宋体" w:cs="Times New Roman"/>
                <w:color w:val="000000"/>
                <w:szCs w:val="21"/>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rPr>
              <w:t>国防动员内涵、国防动员主要内容及意义。</w:t>
            </w:r>
          </w:p>
        </w:tc>
        <w:tc>
          <w:tcPr>
            <w:tcW w:w="1560" w:type="dxa"/>
            <w:vAlign w:val="center"/>
          </w:tcPr>
          <w:p w14:paraId="682C3E1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38F344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6F31B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4038411">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w:t>
            </w:r>
          </w:p>
        </w:tc>
      </w:tr>
      <w:tr w14:paraId="4F4C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5FC22E">
            <w:pPr>
              <w:spacing w:line="264" w:lineRule="auto"/>
              <w:jc w:val="center"/>
              <w:rPr>
                <w:rFonts w:ascii="宋体" w:hAnsi="宋体" w:eastAsia="宋体" w:cs="Times New Roman"/>
                <w:color w:val="000000"/>
                <w:szCs w:val="21"/>
              </w:rPr>
            </w:pPr>
          </w:p>
        </w:tc>
        <w:tc>
          <w:tcPr>
            <w:tcW w:w="8093" w:type="dxa"/>
            <w:gridSpan w:val="5"/>
            <w:vAlign w:val="center"/>
          </w:tcPr>
          <w:p w14:paraId="21920540">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理解国防内涵和国防历史，树立正确的国防观；了解我国国防体制、国防战略、国防政策以及国防成就，激发学生的爱国热情；熟悉国防法规、武装力量、国防动员的主要内容，增强学生国防意识。</w:t>
            </w:r>
          </w:p>
        </w:tc>
      </w:tr>
      <w:tr w14:paraId="5E34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7642F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2.国家安全</w:t>
            </w:r>
          </w:p>
        </w:tc>
        <w:tc>
          <w:tcPr>
            <w:tcW w:w="1701" w:type="dxa"/>
            <w:vAlign w:val="center"/>
          </w:tcPr>
          <w:p w14:paraId="0EFFBA93">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1</w:t>
            </w:r>
            <w:r>
              <w:rPr>
                <w:rFonts w:hint="eastAsia" w:ascii="宋体" w:hAnsi="宋体" w:eastAsia="宋体" w:cs="宋体"/>
                <w:color w:val="000000"/>
                <w:szCs w:val="21"/>
                <w:lang w:eastAsia="zh-CN"/>
              </w:rPr>
              <w:t>）</w:t>
            </w:r>
            <w:r>
              <w:rPr>
                <w:rFonts w:hint="eastAsia" w:ascii="宋体" w:hAnsi="宋体" w:eastAsia="宋体" w:cs="宋体"/>
                <w:color w:val="000000"/>
                <w:szCs w:val="21"/>
              </w:rPr>
              <w:t>国家安全概述</w:t>
            </w:r>
          </w:p>
          <w:p w14:paraId="52A6286E">
            <w:r>
              <w:rPr>
                <w:rFonts w:hint="eastAsia" w:ascii="宋体" w:hAnsi="宋体" w:eastAsia="宋体" w:cs="宋体"/>
                <w:color w:val="000000"/>
                <w:szCs w:val="21"/>
                <w:lang w:val="en-US" w:eastAsia="zh-CN"/>
              </w:rPr>
              <w:t>（2）</w:t>
            </w:r>
            <w:r>
              <w:rPr>
                <w:rFonts w:hint="eastAsia" w:ascii="宋体" w:hAnsi="宋体" w:eastAsia="宋体" w:cs="宋体"/>
                <w:color w:val="000000"/>
                <w:szCs w:val="21"/>
              </w:rPr>
              <w:t>国家安全形势</w:t>
            </w:r>
          </w:p>
          <w:p w14:paraId="3F1D28DF">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国际战略形势</w:t>
            </w:r>
          </w:p>
        </w:tc>
        <w:tc>
          <w:tcPr>
            <w:tcW w:w="1134" w:type="dxa"/>
            <w:vAlign w:val="center"/>
          </w:tcPr>
          <w:p w14:paraId="6FC5A94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3943B869">
            <w:r>
              <w:rPr>
                <w:rFonts w:hint="eastAsia" w:ascii="宋体" w:hAnsi="宋体" w:eastAsia="宋体" w:cs="Times New Roman"/>
                <w:color w:val="000000"/>
                <w:szCs w:val="21"/>
              </w:rPr>
              <w:t>1.</w:t>
            </w:r>
            <w:r>
              <w:rPr>
                <w:rFonts w:hint="eastAsia" w:ascii="宋体" w:hAnsi="宋体" w:eastAsia="宋体" w:cs="宋体"/>
                <w:color w:val="000000"/>
                <w:szCs w:val="21"/>
              </w:rPr>
              <w:t>国家安全的内涵、原则、总体安全观。</w:t>
            </w:r>
          </w:p>
          <w:p w14:paraId="28E10A06">
            <w:r>
              <w:rPr>
                <w:rFonts w:hint="eastAsia" w:ascii="宋体" w:hAnsi="宋体" w:eastAsia="宋体" w:cs="宋体"/>
                <w:color w:val="000000"/>
                <w:szCs w:val="21"/>
                <w:lang w:val="en-US" w:eastAsia="zh-CN"/>
              </w:rPr>
              <w:t>2.</w:t>
            </w:r>
            <w:r>
              <w:rPr>
                <w:rFonts w:hint="eastAsia" w:ascii="宋体" w:hAnsi="宋体" w:eastAsia="宋体" w:cs="宋体"/>
                <w:color w:val="000000"/>
                <w:szCs w:val="21"/>
              </w:rPr>
              <w:t>我国地缘环境基本概况、地缘安全、新形势下的国家安全、新兴领域的国家安全。</w:t>
            </w:r>
          </w:p>
          <w:p w14:paraId="7B408A24">
            <w:pPr>
              <w:rPr>
                <w:rFonts w:ascii="宋体" w:hAnsi="宋体" w:eastAsia="宋体" w:cs="Times New Roman"/>
                <w:color w:val="000000"/>
                <w:szCs w:val="21"/>
              </w:rPr>
            </w:pPr>
            <w:r>
              <w:rPr>
                <w:rFonts w:hint="eastAsia" w:ascii="宋体" w:hAnsi="宋体" w:eastAsia="宋体" w:cs="宋体"/>
                <w:color w:val="000000"/>
                <w:szCs w:val="21"/>
                <w:lang w:val="en-US" w:eastAsia="zh-CN"/>
              </w:rPr>
              <w:t>3.</w:t>
            </w:r>
            <w:r>
              <w:rPr>
                <w:rFonts w:hint="eastAsia" w:ascii="宋体" w:hAnsi="宋体" w:eastAsia="宋体" w:cs="宋体"/>
                <w:color w:val="000000"/>
                <w:szCs w:val="21"/>
              </w:rPr>
              <w:t>国际战略形势现状与发展趋势、世界主要国家军事力量及战略动向。</w:t>
            </w:r>
          </w:p>
        </w:tc>
        <w:tc>
          <w:tcPr>
            <w:tcW w:w="1560" w:type="dxa"/>
            <w:vAlign w:val="center"/>
          </w:tcPr>
          <w:p w14:paraId="7285D90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395ABC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A75FE8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F686729">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8</w:t>
            </w:r>
          </w:p>
        </w:tc>
      </w:tr>
      <w:tr w14:paraId="5B72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3C3749">
            <w:pPr>
              <w:spacing w:line="264" w:lineRule="auto"/>
              <w:jc w:val="center"/>
              <w:rPr>
                <w:rFonts w:ascii="宋体" w:hAnsi="宋体" w:eastAsia="宋体" w:cs="Times New Roman"/>
                <w:color w:val="000000"/>
                <w:szCs w:val="21"/>
              </w:rPr>
            </w:pPr>
          </w:p>
        </w:tc>
        <w:tc>
          <w:tcPr>
            <w:tcW w:w="8093" w:type="dxa"/>
            <w:gridSpan w:val="5"/>
            <w:vAlign w:val="center"/>
          </w:tcPr>
          <w:p w14:paraId="619D9638">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正确把握和认识国家安全的内涵，理解我国总体国家安全观，提升学生防间保密意识；深刻认识当前我国面临的安全形势。了解世界主要国家军事力量及战略动向，增强学生忧患意识。</w:t>
            </w:r>
          </w:p>
        </w:tc>
      </w:tr>
      <w:tr w14:paraId="1DD2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C7122E">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军事思想</w:t>
            </w:r>
          </w:p>
        </w:tc>
        <w:tc>
          <w:tcPr>
            <w:tcW w:w="1701" w:type="dxa"/>
            <w:vAlign w:val="center"/>
          </w:tcPr>
          <w:p w14:paraId="4D6C32A6">
            <w:r>
              <w:rPr>
                <w:rFonts w:hint="eastAsia" w:ascii="宋体" w:hAnsi="宋体" w:eastAsia="宋体" w:cs="Times New Roman"/>
                <w:color w:val="000000"/>
                <w:szCs w:val="21"/>
              </w:rPr>
              <w:t>（1）</w:t>
            </w:r>
            <w:r>
              <w:rPr>
                <w:rFonts w:hint="eastAsia" w:ascii="宋体" w:hAnsi="宋体" w:eastAsia="宋体" w:cs="宋体"/>
                <w:color w:val="000000"/>
                <w:szCs w:val="21"/>
              </w:rPr>
              <w:t>军事思想概述</w:t>
            </w:r>
          </w:p>
          <w:p w14:paraId="12C37743">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eastAsia="zh-CN"/>
              </w:rPr>
              <w:t>）</w:t>
            </w:r>
            <w:r>
              <w:rPr>
                <w:rFonts w:hint="eastAsia" w:ascii="宋体" w:hAnsi="宋体" w:eastAsia="宋体" w:cs="宋体"/>
                <w:color w:val="000000"/>
                <w:szCs w:val="21"/>
              </w:rPr>
              <w:t>外国军事思想</w:t>
            </w:r>
          </w:p>
          <w:p w14:paraId="294E1823">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中国古代军事思想</w:t>
            </w:r>
          </w:p>
          <w:p w14:paraId="5A30E232">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当代中国军事思想</w:t>
            </w:r>
          </w:p>
        </w:tc>
        <w:tc>
          <w:tcPr>
            <w:tcW w:w="1134" w:type="dxa"/>
            <w:vAlign w:val="center"/>
          </w:tcPr>
          <w:p w14:paraId="28A611F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p>
        </w:tc>
        <w:tc>
          <w:tcPr>
            <w:tcW w:w="3260" w:type="dxa"/>
            <w:vAlign w:val="center"/>
          </w:tcPr>
          <w:p w14:paraId="0085AF77">
            <w:r>
              <w:rPr>
                <w:rFonts w:hint="eastAsia" w:ascii="宋体" w:hAnsi="宋体" w:eastAsia="宋体" w:cs="Times New Roman"/>
                <w:color w:val="000000"/>
                <w:szCs w:val="21"/>
              </w:rPr>
              <w:t>1.</w:t>
            </w:r>
            <w:r>
              <w:rPr>
                <w:rFonts w:hint="eastAsia" w:ascii="宋体" w:hAnsi="宋体" w:eastAsia="宋体" w:cs="宋体"/>
                <w:color w:val="000000"/>
                <w:szCs w:val="21"/>
              </w:rPr>
              <w:t>军事思想的内涵、发展历程以及地位作用。</w:t>
            </w:r>
          </w:p>
          <w:p w14:paraId="15624EF9">
            <w:r>
              <w:rPr>
                <w:rFonts w:hint="eastAsia" w:ascii="宋体" w:hAnsi="宋体" w:eastAsia="宋体" w:cs="宋体"/>
                <w:color w:val="000000"/>
                <w:szCs w:val="21"/>
                <w:lang w:val="en-US" w:eastAsia="zh-CN"/>
              </w:rPr>
              <w:t>2.</w:t>
            </w:r>
            <w:r>
              <w:rPr>
                <w:rFonts w:hint="eastAsia" w:ascii="宋体" w:hAnsi="宋体" w:eastAsia="宋体" w:cs="宋体"/>
                <w:color w:val="000000"/>
                <w:szCs w:val="21"/>
              </w:rPr>
              <w:t>外国军事思想的主要内容、特点以及代表性著作。</w:t>
            </w:r>
          </w:p>
          <w:p w14:paraId="3A7D73C4">
            <w:r>
              <w:rPr>
                <w:rFonts w:hint="eastAsia" w:ascii="宋体" w:hAnsi="宋体" w:eastAsia="宋体" w:cs="宋体"/>
                <w:color w:val="000000"/>
                <w:szCs w:val="21"/>
                <w:lang w:val="en-US" w:eastAsia="zh-CN"/>
              </w:rPr>
              <w:t>3.</w:t>
            </w:r>
            <w:r>
              <w:rPr>
                <w:rFonts w:hint="eastAsia" w:ascii="宋体" w:hAnsi="宋体" w:eastAsia="宋体" w:cs="宋体"/>
                <w:color w:val="000000"/>
                <w:szCs w:val="21"/>
              </w:rPr>
              <w:t>中国古代军事思想的主要内容、特点以及代表性著作。</w:t>
            </w:r>
          </w:p>
          <w:p w14:paraId="4B317EF6">
            <w:pPr>
              <w:rPr>
                <w:rFonts w:ascii="宋体" w:hAnsi="宋体" w:eastAsia="宋体" w:cs="Times New Roman"/>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毛泽东军事思想、邓小平新时期军队建设思想、江泽民国防和军队建设思想、胡锦涛国防和军队建设思想、习近平强军思想。</w:t>
            </w:r>
          </w:p>
        </w:tc>
        <w:tc>
          <w:tcPr>
            <w:tcW w:w="1560" w:type="dxa"/>
            <w:vAlign w:val="center"/>
          </w:tcPr>
          <w:p w14:paraId="2E5450F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B86E3D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9DFC9B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34873E5">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5D26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6CE197B">
            <w:pPr>
              <w:spacing w:line="264" w:lineRule="auto"/>
              <w:jc w:val="center"/>
              <w:rPr>
                <w:rFonts w:ascii="宋体" w:hAnsi="宋体" w:eastAsia="宋体" w:cs="Times New Roman"/>
                <w:color w:val="000000"/>
                <w:szCs w:val="21"/>
              </w:rPr>
            </w:pPr>
          </w:p>
        </w:tc>
        <w:tc>
          <w:tcPr>
            <w:tcW w:w="8093" w:type="dxa"/>
            <w:gridSpan w:val="5"/>
            <w:vAlign w:val="center"/>
          </w:tcPr>
          <w:p w14:paraId="77609769">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了解军事思想的内涵和形成与发展历程，了解外国代表性军事思想，熟悉我国军事思想的主要内容、地位作用和现实意义，理解习近平强军思想的科学含义和主要内容，使学生树立科学的战争观和方法论。</w:t>
            </w:r>
          </w:p>
        </w:tc>
      </w:tr>
      <w:tr w14:paraId="2E09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9E72AC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现代战争</w:t>
            </w:r>
          </w:p>
        </w:tc>
        <w:tc>
          <w:tcPr>
            <w:tcW w:w="1701" w:type="dxa"/>
            <w:vAlign w:val="center"/>
          </w:tcPr>
          <w:p w14:paraId="49C62636">
            <w:r>
              <w:rPr>
                <w:rFonts w:hint="eastAsia" w:ascii="宋体" w:hAnsi="宋体" w:eastAsia="宋体" w:cs="Times New Roman"/>
                <w:color w:val="000000"/>
                <w:szCs w:val="21"/>
              </w:rPr>
              <w:t>（1）</w:t>
            </w:r>
            <w:r>
              <w:rPr>
                <w:rFonts w:hint="eastAsia" w:ascii="宋体" w:hAnsi="宋体" w:eastAsia="宋体" w:cs="宋体"/>
                <w:color w:val="000000"/>
                <w:szCs w:val="21"/>
              </w:rPr>
              <w:t>战争概述</w:t>
            </w:r>
          </w:p>
          <w:p w14:paraId="3C6B596C">
            <w:r>
              <w:rPr>
                <w:rStyle w:val="31"/>
                <w:rFonts w:hint="eastAsia" w:ascii="宋体" w:hAnsi="宋体" w:eastAsia="宋体" w:cs="宋体"/>
                <w:color w:val="000000"/>
                <w:szCs w:val="21"/>
                <w:lang w:val="en-US" w:eastAsia="zh-CN"/>
              </w:rPr>
              <w:t>（2）</w:t>
            </w:r>
            <w:r>
              <w:rPr>
                <w:rFonts w:hint="eastAsia" w:ascii="宋体" w:hAnsi="宋体" w:eastAsia="宋体" w:cs="宋体"/>
                <w:color w:val="000000"/>
                <w:szCs w:val="21"/>
              </w:rPr>
              <w:t>新军事革命</w:t>
            </w:r>
          </w:p>
          <w:p w14:paraId="2981A53F">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机械化战争</w:t>
            </w:r>
          </w:p>
          <w:p w14:paraId="722047F5">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信息化战争</w:t>
            </w:r>
          </w:p>
        </w:tc>
        <w:tc>
          <w:tcPr>
            <w:tcW w:w="1134" w:type="dxa"/>
            <w:vAlign w:val="center"/>
          </w:tcPr>
          <w:p w14:paraId="3FE1311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59319E6D">
            <w:r>
              <w:rPr>
                <w:rFonts w:hint="eastAsia" w:ascii="宋体" w:hAnsi="宋体" w:eastAsia="宋体" w:cs="Times New Roman"/>
                <w:color w:val="000000"/>
                <w:szCs w:val="21"/>
              </w:rPr>
              <w:t>1.</w:t>
            </w:r>
            <w:r>
              <w:rPr>
                <w:rFonts w:hint="eastAsia" w:ascii="宋体" w:hAnsi="宋体" w:eastAsia="宋体" w:cs="宋体"/>
                <w:color w:val="000000"/>
                <w:szCs w:val="21"/>
              </w:rPr>
              <w:t>战争的内涵、特点、发展的历程。</w:t>
            </w:r>
          </w:p>
          <w:p w14:paraId="0F69B852">
            <w:r>
              <w:rPr>
                <w:rFonts w:hint="eastAsia" w:ascii="宋体" w:hAnsi="宋体" w:eastAsia="宋体" w:cs="宋体"/>
                <w:color w:val="000000"/>
                <w:szCs w:val="21"/>
                <w:lang w:val="en-US" w:eastAsia="zh-CN"/>
              </w:rPr>
              <w:t>2.</w:t>
            </w:r>
            <w:r>
              <w:rPr>
                <w:rFonts w:hint="eastAsia" w:ascii="宋体" w:hAnsi="宋体" w:eastAsia="宋体" w:cs="宋体"/>
                <w:color w:val="000000"/>
                <w:szCs w:val="21"/>
              </w:rPr>
              <w:t>新军事革命的内涵、发展演变、主要内容。</w:t>
            </w:r>
          </w:p>
          <w:p w14:paraId="21147BAB">
            <w:r>
              <w:rPr>
                <w:rFonts w:hint="eastAsia" w:ascii="宋体" w:hAnsi="宋体" w:eastAsia="宋体" w:cs="宋体"/>
                <w:color w:val="000000"/>
                <w:szCs w:val="21"/>
                <w:lang w:val="en-US" w:eastAsia="zh-CN"/>
              </w:rPr>
              <w:t>3.</w:t>
            </w:r>
            <w:r>
              <w:rPr>
                <w:rFonts w:hint="eastAsia" w:ascii="宋体" w:hAnsi="宋体" w:eastAsia="宋体" w:cs="宋体"/>
                <w:color w:val="000000"/>
                <w:szCs w:val="21"/>
              </w:rPr>
              <w:t>机械化战争的基本内涵、主要形态、特征和代表性战例。</w:t>
            </w:r>
          </w:p>
          <w:p w14:paraId="1334D570">
            <w:pPr>
              <w:rPr>
                <w:rFonts w:ascii="宋体" w:hAnsi="宋体" w:eastAsia="宋体" w:cs="Times New Roman"/>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信息化战争的基本内涵、主要形态、特征、代表性战例，战争形态发展趋势。</w:t>
            </w:r>
          </w:p>
        </w:tc>
        <w:tc>
          <w:tcPr>
            <w:tcW w:w="1560" w:type="dxa"/>
            <w:vAlign w:val="center"/>
          </w:tcPr>
          <w:p w14:paraId="37748F3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B8C24D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017C1B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2F86BFB">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0660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D4AA87">
            <w:pPr>
              <w:spacing w:line="276" w:lineRule="auto"/>
              <w:jc w:val="center"/>
              <w:rPr>
                <w:rFonts w:ascii="宋体" w:hAnsi="宋体" w:eastAsia="宋体" w:cs="Times New Roman"/>
                <w:color w:val="000000"/>
                <w:szCs w:val="21"/>
              </w:rPr>
            </w:pPr>
          </w:p>
        </w:tc>
        <w:tc>
          <w:tcPr>
            <w:tcW w:w="8093" w:type="dxa"/>
            <w:gridSpan w:val="5"/>
            <w:vAlign w:val="center"/>
          </w:tcPr>
          <w:p w14:paraId="0596BA94">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了解战争内涵、特点、发展历程，理解新军事革命的内涵和发展演变，掌握机械化战争、信息化战争的形成、主要形态、特征、代表性战例和发展趋势，使学生树立打赢信息化战争的信心。</w:t>
            </w:r>
          </w:p>
        </w:tc>
      </w:tr>
      <w:tr w14:paraId="6219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B41E367">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信息化装备</w:t>
            </w:r>
          </w:p>
        </w:tc>
        <w:tc>
          <w:tcPr>
            <w:tcW w:w="1701" w:type="dxa"/>
            <w:vAlign w:val="center"/>
          </w:tcPr>
          <w:p w14:paraId="48053A01">
            <w:r>
              <w:rPr>
                <w:rFonts w:hint="eastAsia" w:ascii="宋体" w:hAnsi="宋体" w:eastAsia="宋体" w:cs="Times New Roman"/>
                <w:color w:val="000000"/>
                <w:szCs w:val="21"/>
              </w:rPr>
              <w:t>（1）</w:t>
            </w:r>
            <w:r>
              <w:rPr>
                <w:rFonts w:hint="eastAsia" w:ascii="宋体" w:hAnsi="宋体" w:eastAsia="宋体" w:cs="宋体"/>
                <w:color w:val="000000"/>
                <w:szCs w:val="21"/>
              </w:rPr>
              <w:t>信息化装备概述</w:t>
            </w:r>
          </w:p>
          <w:p w14:paraId="393E2903">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eastAsia="zh-CN"/>
              </w:rPr>
              <w:t>）</w:t>
            </w:r>
            <w:r>
              <w:rPr>
                <w:rFonts w:hint="eastAsia" w:ascii="宋体" w:hAnsi="宋体" w:eastAsia="宋体" w:cs="宋体"/>
                <w:color w:val="000000"/>
                <w:szCs w:val="21"/>
              </w:rPr>
              <w:t>信息化作战平台</w:t>
            </w:r>
          </w:p>
          <w:p w14:paraId="63AFB1BD">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lang w:eastAsia="zh-CN"/>
              </w:rPr>
              <w:t>）</w:t>
            </w:r>
            <w:r>
              <w:rPr>
                <w:rFonts w:hint="eastAsia" w:ascii="宋体" w:hAnsi="宋体" w:eastAsia="宋体" w:cs="宋体"/>
                <w:color w:val="000000"/>
                <w:szCs w:val="21"/>
              </w:rPr>
              <w:t>综合电子信息系统</w:t>
            </w:r>
          </w:p>
          <w:p w14:paraId="6CDD84E5">
            <w:pPr>
              <w:rPr>
                <w:rFonts w:ascii="宋体" w:hAnsi="宋体" w:eastAsia="宋体" w:cs="Times New Roman"/>
                <w:color w:val="000000"/>
                <w:szCs w:val="21"/>
              </w:rPr>
            </w:pP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4</w:t>
            </w:r>
            <w:r>
              <w:rPr>
                <w:rFonts w:hint="eastAsia" w:ascii="宋体" w:hAnsi="宋体" w:eastAsia="宋体" w:cs="宋体"/>
                <w:color w:val="000000"/>
                <w:szCs w:val="21"/>
                <w:lang w:eastAsia="zh-CN"/>
              </w:rPr>
              <w:t>）</w:t>
            </w:r>
            <w:r>
              <w:rPr>
                <w:rFonts w:hint="eastAsia" w:ascii="宋体" w:hAnsi="宋体" w:eastAsia="宋体" w:cs="宋体"/>
                <w:color w:val="000000"/>
                <w:szCs w:val="21"/>
              </w:rPr>
              <w:t>信息化杀伤武器</w:t>
            </w:r>
          </w:p>
        </w:tc>
        <w:tc>
          <w:tcPr>
            <w:tcW w:w="1134" w:type="dxa"/>
            <w:vAlign w:val="center"/>
          </w:tcPr>
          <w:p w14:paraId="582777E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851711E">
            <w:r>
              <w:rPr>
                <w:rFonts w:hint="eastAsia" w:ascii="宋体" w:hAnsi="宋体" w:eastAsia="宋体" w:cs="Times New Roman"/>
                <w:color w:val="000000"/>
                <w:szCs w:val="21"/>
              </w:rPr>
              <w:t>1.</w:t>
            </w:r>
            <w:r>
              <w:rPr>
                <w:rFonts w:hint="eastAsia" w:ascii="宋体" w:hAnsi="宋体" w:eastAsia="宋体" w:cs="宋体"/>
                <w:color w:val="000000"/>
                <w:szCs w:val="21"/>
              </w:rPr>
              <w:t>信息化装备的内涵、分类、对现代作战的影响以及发展趋势。</w:t>
            </w:r>
          </w:p>
          <w:p w14:paraId="7C894900">
            <w:r>
              <w:rPr>
                <w:rFonts w:hint="eastAsia" w:ascii="宋体" w:hAnsi="宋体" w:eastAsia="宋体" w:cs="宋体"/>
                <w:color w:val="000000"/>
                <w:szCs w:val="21"/>
                <w:lang w:val="en-US" w:eastAsia="zh-CN"/>
              </w:rPr>
              <w:t>2.</w:t>
            </w:r>
            <w:r>
              <w:rPr>
                <w:rFonts w:hint="eastAsia" w:ascii="宋体" w:hAnsi="宋体" w:eastAsia="宋体" w:cs="宋体"/>
                <w:color w:val="000000"/>
                <w:szCs w:val="21"/>
              </w:rPr>
              <w:t>各国主战飞机、坦克、军舰等信息武器装备发展趋势、战例应用。</w:t>
            </w:r>
          </w:p>
          <w:p w14:paraId="47A86F8E">
            <w:r>
              <w:rPr>
                <w:rFonts w:hint="eastAsia" w:ascii="宋体" w:hAnsi="宋体" w:eastAsia="宋体" w:cs="宋体"/>
                <w:color w:val="000000"/>
                <w:szCs w:val="21"/>
                <w:lang w:val="en-US" w:eastAsia="zh-CN"/>
              </w:rPr>
              <w:t>3.</w:t>
            </w:r>
            <w:r>
              <w:rPr>
                <w:rFonts w:hint="eastAsia" w:ascii="宋体" w:hAnsi="宋体" w:eastAsia="宋体" w:cs="宋体"/>
                <w:color w:val="000000"/>
                <w:szCs w:val="21"/>
              </w:rPr>
              <w:t>指挥控制系统、预警系统、导航系统等装备电子信息系统发展趋势、战例应用。</w:t>
            </w:r>
          </w:p>
          <w:p w14:paraId="202054B3">
            <w:pPr>
              <w:rPr>
                <w:rFonts w:ascii="宋体" w:hAnsi="宋体" w:eastAsia="宋体" w:cs="Times New Roman"/>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新概念、精确制导、核生化武器装备等武器装备发展趋势、战例应用。</w:t>
            </w:r>
          </w:p>
        </w:tc>
        <w:tc>
          <w:tcPr>
            <w:tcW w:w="1560" w:type="dxa"/>
            <w:vAlign w:val="center"/>
          </w:tcPr>
          <w:p w14:paraId="6B400DC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7D93EA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46189C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142D401">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723B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F72AE3A">
            <w:pPr>
              <w:spacing w:line="276" w:lineRule="auto"/>
              <w:jc w:val="center"/>
              <w:rPr>
                <w:rFonts w:ascii="宋体" w:hAnsi="宋体" w:eastAsia="宋体" w:cs="Times New Roman"/>
                <w:color w:val="000000"/>
                <w:szCs w:val="21"/>
              </w:rPr>
            </w:pPr>
          </w:p>
        </w:tc>
        <w:tc>
          <w:tcPr>
            <w:tcW w:w="8093" w:type="dxa"/>
            <w:gridSpan w:val="5"/>
            <w:vAlign w:val="center"/>
          </w:tcPr>
          <w:p w14:paraId="698DA779">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Cs w:val="21"/>
              </w:rPr>
              <w:t>了解信息化装备的内涵、分类、发展及对现代作战的影响，熟悉世界主要国家信息化装备的发展情况，激发学生学习高科技的积极性，为国防科研奠定人才基础。</w:t>
            </w:r>
          </w:p>
        </w:tc>
      </w:tr>
    </w:tbl>
    <w:p w14:paraId="2B005048">
      <w:pPr>
        <w:spacing w:line="360" w:lineRule="auto"/>
        <w:jc w:val="left"/>
        <w:rPr>
          <w:rFonts w:ascii="Times New Roman" w:hAnsi="Times New Roman" w:eastAsia="宋体" w:cs="Times New Roman"/>
          <w:sz w:val="24"/>
          <w:szCs w:val="24"/>
        </w:rPr>
      </w:pPr>
    </w:p>
    <w:p w14:paraId="0AC419CF">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1339C7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C89C37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2553FA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422"/>
        <w:gridCol w:w="1368"/>
        <w:gridCol w:w="1308"/>
        <w:gridCol w:w="1272"/>
        <w:gridCol w:w="1212"/>
      </w:tblGrid>
      <w:tr w14:paraId="73C1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2828DE5">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370" w:type="dxa"/>
            <w:gridSpan w:val="4"/>
            <w:vAlign w:val="center"/>
          </w:tcPr>
          <w:p w14:paraId="307EDC6B">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212" w:type="dxa"/>
            <w:vMerge w:val="restart"/>
            <w:vAlign w:val="center"/>
          </w:tcPr>
          <w:p w14:paraId="00261BFB">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2B44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071FE4F">
            <w:pPr>
              <w:spacing w:line="360" w:lineRule="auto"/>
              <w:jc w:val="center"/>
              <w:rPr>
                <w:rFonts w:ascii="宋体" w:hAnsi="宋体" w:eastAsia="宋体" w:cs="Times New Roman"/>
                <w:szCs w:val="21"/>
              </w:rPr>
            </w:pPr>
          </w:p>
        </w:tc>
        <w:tc>
          <w:tcPr>
            <w:tcW w:w="1422" w:type="dxa"/>
            <w:vAlign w:val="center"/>
          </w:tcPr>
          <w:p w14:paraId="7EE8BD93">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368" w:type="dxa"/>
            <w:vAlign w:val="center"/>
          </w:tcPr>
          <w:p w14:paraId="63248C4B">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308" w:type="dxa"/>
            <w:vAlign w:val="center"/>
          </w:tcPr>
          <w:p w14:paraId="10DA149A">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1272" w:type="dxa"/>
            <w:vAlign w:val="center"/>
          </w:tcPr>
          <w:p w14:paraId="3F6A0E65">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212" w:type="dxa"/>
            <w:vMerge w:val="continue"/>
            <w:vAlign w:val="center"/>
          </w:tcPr>
          <w:p w14:paraId="22648C05">
            <w:pPr>
              <w:spacing w:line="360" w:lineRule="auto"/>
              <w:jc w:val="center"/>
              <w:rPr>
                <w:rFonts w:ascii="宋体" w:hAnsi="宋体" w:eastAsia="宋体" w:cs="Times New Roman"/>
                <w:szCs w:val="21"/>
              </w:rPr>
            </w:pPr>
          </w:p>
        </w:tc>
      </w:tr>
      <w:tr w14:paraId="371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77F8F3">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422" w:type="dxa"/>
            <w:vAlign w:val="center"/>
          </w:tcPr>
          <w:p w14:paraId="0441C86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8" w:type="dxa"/>
            <w:vAlign w:val="center"/>
          </w:tcPr>
          <w:p w14:paraId="619C822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08" w:type="dxa"/>
            <w:vAlign w:val="center"/>
          </w:tcPr>
          <w:p w14:paraId="48BE101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72" w:type="dxa"/>
            <w:vAlign w:val="center"/>
          </w:tcPr>
          <w:p w14:paraId="74863A5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12" w:type="dxa"/>
            <w:vAlign w:val="center"/>
          </w:tcPr>
          <w:p w14:paraId="33B4394E">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6862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21529B2">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422" w:type="dxa"/>
            <w:vAlign w:val="center"/>
          </w:tcPr>
          <w:p w14:paraId="1731F07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8" w:type="dxa"/>
            <w:vAlign w:val="center"/>
          </w:tcPr>
          <w:p w14:paraId="159238D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08" w:type="dxa"/>
            <w:vAlign w:val="center"/>
          </w:tcPr>
          <w:p w14:paraId="66CF6F65">
            <w:pPr>
              <w:spacing w:line="360" w:lineRule="auto"/>
              <w:jc w:val="center"/>
              <w:rPr>
                <w:rFonts w:ascii="宋体" w:hAnsi="宋体" w:eastAsia="宋体" w:cs="Times New Roman"/>
                <w:kern w:val="2"/>
                <w:sz w:val="21"/>
                <w:szCs w:val="21"/>
                <w:lang w:val="en-US" w:eastAsia="zh-CN" w:bidi="ar-SA"/>
              </w:rPr>
            </w:pPr>
          </w:p>
        </w:tc>
        <w:tc>
          <w:tcPr>
            <w:tcW w:w="1272" w:type="dxa"/>
            <w:vAlign w:val="center"/>
          </w:tcPr>
          <w:p w14:paraId="76008F7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12" w:type="dxa"/>
            <w:vAlign w:val="center"/>
          </w:tcPr>
          <w:p w14:paraId="2B9AB984">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5B45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vAlign w:val="center"/>
          </w:tcPr>
          <w:p w14:paraId="6B3FE7A2">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422" w:type="dxa"/>
            <w:vAlign w:val="center"/>
          </w:tcPr>
          <w:p w14:paraId="04262CF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68" w:type="dxa"/>
            <w:vAlign w:val="center"/>
          </w:tcPr>
          <w:p w14:paraId="5D471004">
            <w:pPr>
              <w:spacing w:line="360" w:lineRule="auto"/>
              <w:jc w:val="center"/>
              <w:rPr>
                <w:rFonts w:ascii="宋体" w:hAnsi="宋体" w:eastAsia="宋体" w:cs="Times New Roman"/>
                <w:szCs w:val="21"/>
              </w:rPr>
            </w:pPr>
          </w:p>
        </w:tc>
        <w:tc>
          <w:tcPr>
            <w:tcW w:w="1308" w:type="dxa"/>
            <w:vAlign w:val="center"/>
          </w:tcPr>
          <w:p w14:paraId="01317A12">
            <w:pPr>
              <w:spacing w:line="360" w:lineRule="auto"/>
              <w:jc w:val="center"/>
              <w:rPr>
                <w:rFonts w:ascii="宋体" w:hAnsi="宋体" w:eastAsia="宋体" w:cs="Times New Roman"/>
                <w:kern w:val="2"/>
                <w:sz w:val="21"/>
                <w:szCs w:val="21"/>
                <w:lang w:val="en-US" w:eastAsia="zh-CN" w:bidi="ar-SA"/>
              </w:rPr>
            </w:pPr>
          </w:p>
        </w:tc>
        <w:tc>
          <w:tcPr>
            <w:tcW w:w="1272" w:type="dxa"/>
            <w:vAlign w:val="center"/>
          </w:tcPr>
          <w:p w14:paraId="7C0FE55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12" w:type="dxa"/>
            <w:vAlign w:val="center"/>
          </w:tcPr>
          <w:p w14:paraId="23336597">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0B0D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7AC376">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422" w:type="dxa"/>
            <w:vAlign w:val="center"/>
          </w:tcPr>
          <w:p w14:paraId="4B3897E7">
            <w:pPr>
              <w:spacing w:line="360" w:lineRule="auto"/>
              <w:jc w:val="center"/>
              <w:rPr>
                <w:rFonts w:ascii="宋体" w:hAnsi="宋体" w:eastAsia="宋体" w:cs="Times New Roman"/>
                <w:szCs w:val="21"/>
              </w:rPr>
            </w:pPr>
          </w:p>
        </w:tc>
        <w:tc>
          <w:tcPr>
            <w:tcW w:w="1368" w:type="dxa"/>
            <w:vAlign w:val="center"/>
          </w:tcPr>
          <w:p w14:paraId="00E87B93">
            <w:pPr>
              <w:spacing w:line="360" w:lineRule="auto"/>
              <w:jc w:val="center"/>
              <w:rPr>
                <w:rFonts w:ascii="宋体" w:hAnsi="宋体" w:eastAsia="宋体" w:cs="Times New Roman"/>
                <w:szCs w:val="21"/>
              </w:rPr>
            </w:pPr>
          </w:p>
        </w:tc>
        <w:tc>
          <w:tcPr>
            <w:tcW w:w="1308" w:type="dxa"/>
            <w:vAlign w:val="center"/>
          </w:tcPr>
          <w:p w14:paraId="5D7A5D74">
            <w:pPr>
              <w:spacing w:line="360" w:lineRule="auto"/>
              <w:jc w:val="center"/>
              <w:rPr>
                <w:rFonts w:ascii="宋体" w:hAnsi="宋体" w:eastAsia="宋体" w:cs="Times New Roman"/>
                <w:szCs w:val="21"/>
              </w:rPr>
            </w:pPr>
          </w:p>
        </w:tc>
        <w:tc>
          <w:tcPr>
            <w:tcW w:w="1272" w:type="dxa"/>
            <w:vAlign w:val="center"/>
          </w:tcPr>
          <w:p w14:paraId="18F2B2BC">
            <w:pPr>
              <w:spacing w:line="360" w:lineRule="auto"/>
              <w:jc w:val="center"/>
              <w:rPr>
                <w:rFonts w:ascii="宋体" w:hAnsi="宋体" w:eastAsia="宋体" w:cs="Times New Roman"/>
                <w:szCs w:val="21"/>
              </w:rPr>
            </w:pPr>
          </w:p>
        </w:tc>
        <w:tc>
          <w:tcPr>
            <w:tcW w:w="1212" w:type="dxa"/>
            <w:vAlign w:val="center"/>
          </w:tcPr>
          <w:p w14:paraId="58CDA97B">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8F0AB6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3BC9B4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7B7997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200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0A364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0AEE98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1E6975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E7E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14189DA">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589D22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6203A109">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14:paraId="3FFC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6EE676F">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A4409A9">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3A673E26">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14E7D1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41D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B5EE93">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1805427C">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0" w:type="auto"/>
            <w:vAlign w:val="center"/>
          </w:tcPr>
          <w:p w14:paraId="151F303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558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F2F96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3112464">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2E7E6C3D">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w:t>
            </w:r>
            <w:r>
              <w:rPr>
                <w:rFonts w:hint="eastAsia" w:ascii="Times New Roman" w:hAnsi="Times New Roman" w:eastAsia="宋体" w:cs="Times New Roman"/>
                <w:szCs w:val="21"/>
              </w:rPr>
              <w:t>0%</w:t>
            </w:r>
          </w:p>
        </w:tc>
      </w:tr>
      <w:tr w14:paraId="4690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3AEF95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74B576E">
            <w:pPr>
              <w:jc w:val="left"/>
              <w:rPr>
                <w:rFonts w:ascii="Times New Roman" w:hAnsi="Times New Roman" w:eastAsia="宋体" w:cs="Times New Roman"/>
                <w:szCs w:val="21"/>
              </w:rPr>
            </w:pPr>
          </w:p>
        </w:tc>
        <w:tc>
          <w:tcPr>
            <w:tcW w:w="0" w:type="auto"/>
            <w:vAlign w:val="center"/>
          </w:tcPr>
          <w:p w14:paraId="6AE5486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936E7F1">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F2A9C1E">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DD2A67F">
      <w:pPr>
        <w:spacing w:before="156" w:beforeLines="50" w:line="360" w:lineRule="auto"/>
        <w:ind w:firstLine="420" w:firstLineChars="200"/>
        <w:jc w:val="left"/>
        <w:rPr>
          <w:rFonts w:ascii="宋体" w:hAnsi="宋体" w:eastAsia="宋体" w:cs="Times New Roman"/>
          <w:b/>
          <w:color w:val="000000"/>
          <w:sz w:val="28"/>
          <w:szCs w:val="28"/>
        </w:rPr>
      </w:pPr>
      <w:r>
        <w:rPr>
          <w:rFonts w:ascii="宋体" w:hAnsi="宋体" w:eastAsia="宋体" w:cs="Times New Roman"/>
          <w:color w:val="000000"/>
          <w:szCs w:val="21"/>
        </w:rPr>
        <w:object>
          <v:shape id="_x0000_i1033"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33" DrawAspect="Content" ObjectID="_1468075733" r:id="rId16">
            <o:LockedField>false</o:LockedField>
          </o:OLEObject>
        </w:object>
      </w:r>
    </w:p>
    <w:p w14:paraId="134DF487">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p>
    <w:p w14:paraId="13AB718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2D70B31">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16EF805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18C62575">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lang w:val="en-US" w:eastAsia="zh-CN"/>
        </w:rPr>
        <w:t>张政文</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lang w:val="en-US" w:eastAsia="zh-CN"/>
        </w:rPr>
        <w:t>军事理论教程</w:t>
      </w:r>
      <w:r>
        <w:rPr>
          <w:rFonts w:hint="eastAsia" w:ascii="Times New Roman" w:hAnsi="Times New Roman" w:eastAsia="宋体" w:cs="Times New Roman"/>
          <w:bCs/>
          <w:color w:val="000000"/>
          <w:szCs w:val="21"/>
        </w:rPr>
        <w:t>，</w:t>
      </w:r>
      <w:r>
        <w:rPr>
          <w:rFonts w:hint="eastAsia" w:ascii="Times New Roman" w:hAnsi="Times New Roman" w:eastAsia="宋体" w:cs="Times New Roman"/>
          <w:bCs/>
          <w:color w:val="000000"/>
          <w:szCs w:val="21"/>
          <w:lang w:val="en-US" w:eastAsia="zh-CN"/>
        </w:rPr>
        <w:t>南京大学</w:t>
      </w:r>
      <w:r>
        <w:rPr>
          <w:rFonts w:hint="eastAsia" w:ascii="Times New Roman" w:hAnsi="Times New Roman" w:eastAsia="宋体" w:cs="Times New Roman"/>
          <w:bCs/>
          <w:color w:val="000000"/>
          <w:szCs w:val="21"/>
        </w:rPr>
        <w:t>出版社，</w:t>
      </w:r>
      <w:r>
        <w:rPr>
          <w:rFonts w:hint="eastAsia" w:ascii="Times New Roman" w:hAnsi="Times New Roman" w:eastAsia="宋体" w:cs="Times New Roman"/>
          <w:bCs/>
          <w:color w:val="000000"/>
          <w:szCs w:val="21"/>
          <w:lang w:val="en-US" w:eastAsia="zh-CN"/>
        </w:rPr>
        <w:t>2020</w:t>
      </w:r>
      <w:r>
        <w:rPr>
          <w:rFonts w:hint="eastAsia" w:ascii="Times New Roman" w:hAnsi="Times New Roman" w:eastAsia="宋体" w:cs="Times New Roman"/>
          <w:bCs/>
          <w:color w:val="000000"/>
          <w:szCs w:val="21"/>
        </w:rPr>
        <w:t>.（</w:t>
      </w:r>
      <w:r>
        <w:rPr>
          <w:rFonts w:hint="eastAsia" w:ascii="Times New Roman" w:hAnsi="Times New Roman" w:eastAsia="宋体" w:cs="Times New Roman"/>
          <w:bCs/>
          <w:color w:val="000000"/>
          <w:szCs w:val="21"/>
          <w:lang w:val="en-US" w:eastAsia="zh-CN"/>
        </w:rPr>
        <w:t>江苏省高等学校</w:t>
      </w:r>
      <w:r>
        <w:rPr>
          <w:rFonts w:hint="eastAsia" w:ascii="Times New Roman" w:hAnsi="Times New Roman" w:eastAsia="宋体" w:cs="Times New Roman"/>
          <w:bCs/>
          <w:color w:val="000000"/>
          <w:szCs w:val="21"/>
        </w:rPr>
        <w:t>重点教材）</w:t>
      </w:r>
    </w:p>
    <w:p w14:paraId="0701EFE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6E4077B">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1.龚泗琪.《大学军事理论教材》. 北京：电子工业出版社，2016.</w:t>
      </w:r>
    </w:p>
    <w:p w14:paraId="0CE1129D">
      <w:pPr>
        <w:spacing w:line="336" w:lineRule="auto"/>
        <w:ind w:left="420" w:leftChars="200" w:firstLine="0" w:firstLineChars="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2.王和中、吕冀蜀.《军事理论教程》（第二版）. 北京：高等教育出版社，2022.</w:t>
      </w:r>
    </w:p>
    <w:p w14:paraId="63243D88">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3.《盖涛、宋学臣、丁照权.《普通高等学校军事课教程》. 北京：高等教育出版社，2019.</w:t>
      </w:r>
    </w:p>
    <w:p w14:paraId="797FAA65">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4.张彦斌、党小林.《高等学校军事理论课教材》. 北京：白山出版社，1998.</w:t>
      </w:r>
    </w:p>
    <w:p w14:paraId="279A9B4C">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5.军事科学院.《世界军事年鉴》. 北京：解放军出版社，2005</w:t>
      </w:r>
    </w:p>
    <w:p w14:paraId="244F8B67"/>
    <w:p w14:paraId="5AC2BB36"/>
    <w:p w14:paraId="71B25BCB"/>
    <w:p w14:paraId="7BBEACFA"/>
    <w:p w14:paraId="57A3FB54">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执笔人：王同灿</w:t>
      </w:r>
    </w:p>
    <w:p w14:paraId="74A77235">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ascii="宋体" w:hAnsi="宋体" w:eastAsia="宋体" w:cs="Times New Roman"/>
          <w:color w:val="000000" w:themeColor="text1"/>
          <w:kern w:val="0"/>
          <w:sz w:val="24"/>
          <w:szCs w:val="21"/>
          <w14:textFill>
            <w14:solidFill>
              <w14:schemeClr w14:val="tx1"/>
            </w14:solidFill>
          </w14:textFill>
        </w:rPr>
        <w:t>审定人：</w:t>
      </w:r>
      <w:r>
        <w:rPr>
          <w:rFonts w:hint="eastAsia" w:ascii="宋体" w:hAnsi="宋体" w:eastAsia="宋体" w:cs="Times New Roman"/>
          <w:color w:val="000000" w:themeColor="text1"/>
          <w:kern w:val="0"/>
          <w:sz w:val="24"/>
          <w:szCs w:val="21"/>
          <w:lang w:val="en-US" w:eastAsia="zh-CN"/>
          <w14:textFill>
            <w14:solidFill>
              <w14:schemeClr w14:val="tx1"/>
            </w14:solidFill>
          </w14:textFill>
        </w:rPr>
        <w:t>王  健</w:t>
      </w:r>
      <w:r>
        <w:rPr>
          <w:rFonts w:ascii="宋体" w:hAnsi="宋体" w:eastAsia="宋体" w:cs="Times New Roman"/>
          <w:color w:val="000000" w:themeColor="text1"/>
          <w:kern w:val="0"/>
          <w:sz w:val="24"/>
          <w:szCs w:val="21"/>
          <w14:textFill>
            <w14:solidFill>
              <w14:schemeClr w14:val="tx1"/>
            </w14:solidFill>
          </w14:textFill>
        </w:rPr>
        <w:t xml:space="preserve"> </w:t>
      </w:r>
    </w:p>
    <w:p w14:paraId="3C22532D">
      <w:pPr>
        <w:autoSpaceDE w:val="0"/>
        <w:autoSpaceDN w:val="0"/>
        <w:adjustRightInd w:val="0"/>
        <w:spacing w:line="360" w:lineRule="auto"/>
        <w:ind w:firstLine="5280" w:firstLineChars="2200"/>
        <w:jc w:val="left"/>
        <w:rPr>
          <w:rFonts w:hint="default" w:ascii="宋体" w:hAnsi="宋体" w:eastAsia="宋体" w:cs="Times New Roman"/>
          <w:color w:val="000000" w:themeColor="text1"/>
          <w:kern w:val="0"/>
          <w:sz w:val="24"/>
          <w:szCs w:val="21"/>
          <w:lang w:val="en-US" w:eastAsia="zh-CN"/>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审批</w:t>
      </w:r>
      <w:r>
        <w:rPr>
          <w:rFonts w:ascii="宋体" w:hAnsi="宋体" w:eastAsia="宋体" w:cs="Times New Roman"/>
          <w:color w:val="000000" w:themeColor="text1"/>
          <w:kern w:val="0"/>
          <w:sz w:val="24"/>
          <w:szCs w:val="21"/>
          <w14:textFill>
            <w14:solidFill>
              <w14:schemeClr w14:val="tx1"/>
            </w14:solidFill>
          </w14:textFill>
        </w:rPr>
        <w:t>人：</w:t>
      </w:r>
      <w:r>
        <w:rPr>
          <w:rFonts w:hint="eastAsia" w:ascii="宋体" w:hAnsi="宋体" w:eastAsia="宋体" w:cs="Times New Roman"/>
          <w:color w:val="000000" w:themeColor="text1"/>
          <w:kern w:val="0"/>
          <w:sz w:val="24"/>
          <w:szCs w:val="21"/>
          <w14:textFill>
            <w14:solidFill>
              <w14:schemeClr w14:val="tx1"/>
            </w14:solidFill>
          </w14:textFill>
        </w:rPr>
        <w:t>张</w:t>
      </w:r>
      <w:r>
        <w:rPr>
          <w:rFonts w:hint="eastAsia" w:ascii="宋体" w:hAnsi="宋体" w:eastAsia="宋体" w:cs="Times New Roman"/>
          <w:color w:val="000000" w:themeColor="text1"/>
          <w:kern w:val="0"/>
          <w:sz w:val="24"/>
          <w:szCs w:val="21"/>
          <w:lang w:val="en-US" w:eastAsia="zh-CN"/>
          <w14:textFill>
            <w14:solidFill>
              <w14:schemeClr w14:val="tx1"/>
            </w14:solidFill>
          </w14:textFill>
        </w:rPr>
        <w:t>志欣</w:t>
      </w:r>
    </w:p>
    <w:p w14:paraId="75836696">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批准时间：202</w:t>
      </w:r>
      <w:r>
        <w:rPr>
          <w:rFonts w:hint="eastAsia" w:ascii="宋体" w:hAnsi="宋体" w:eastAsia="宋体" w:cs="Times New Roman"/>
          <w:color w:val="000000" w:themeColor="text1"/>
          <w:kern w:val="0"/>
          <w:sz w:val="24"/>
          <w:szCs w:val="21"/>
          <w:lang w:val="en-US" w:eastAsia="zh-CN"/>
          <w14:textFill>
            <w14:solidFill>
              <w14:schemeClr w14:val="tx1"/>
            </w14:solidFill>
          </w14:textFill>
        </w:rPr>
        <w:t>4</w:t>
      </w:r>
      <w:r>
        <w:rPr>
          <w:rFonts w:hint="eastAsia" w:ascii="宋体" w:hAnsi="宋体" w:eastAsia="宋体" w:cs="Times New Roman"/>
          <w:color w:val="000000" w:themeColor="text1"/>
          <w:kern w:val="0"/>
          <w:sz w:val="24"/>
          <w:szCs w:val="21"/>
          <w14:textFill>
            <w14:solidFill>
              <w14:schemeClr w14:val="tx1"/>
            </w14:solidFill>
          </w14:textFill>
        </w:rPr>
        <w:t>年8月30日</w:t>
      </w:r>
    </w:p>
    <w:p w14:paraId="01A5AD39">
      <w:pPr>
        <w:spacing w:line="360" w:lineRule="auto"/>
        <w:jc w:val="right"/>
        <w:rPr>
          <w:rFonts w:ascii="Times New Roman" w:hAnsi="Times New Roman" w:eastAsia="宋体" w:cs="Times New Roman"/>
          <w:sz w:val="24"/>
          <w:szCs w:val="24"/>
        </w:rPr>
      </w:pPr>
    </w:p>
    <w:p w14:paraId="72996EA0">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002DCD64">
      <w:pPr>
        <w:pStyle w:val="2"/>
        <w:bidi w:val="0"/>
      </w:pPr>
      <w:bookmarkStart w:id="356" w:name="_Toc30282"/>
      <w:r>
        <w:rPr>
          <w:rFonts w:hint="eastAsia"/>
        </w:rPr>
        <w:t>《大学生心理健康教育》课程教学大纲</w:t>
      </w:r>
      <w:bookmarkEnd w:id="356"/>
    </w:p>
    <w:p w14:paraId="29B25A95">
      <w:pPr>
        <w:pStyle w:val="2"/>
        <w:bidi w:val="0"/>
      </w:pPr>
      <w:bookmarkStart w:id="357" w:name="_Toc19171"/>
      <w:r>
        <w:t>（</w:t>
      </w:r>
      <w:r>
        <w:rPr>
          <w:rFonts w:hint="eastAsia"/>
        </w:rPr>
        <w:t>Campus Mental Health</w:t>
      </w:r>
      <w:r>
        <w:t>）</w:t>
      </w:r>
      <w:bookmarkEnd w:id="357"/>
    </w:p>
    <w:p w14:paraId="2A0425C1">
      <w:pPr>
        <w:spacing w:line="360" w:lineRule="auto"/>
        <w:jc w:val="center"/>
        <w:rPr>
          <w:rFonts w:ascii="Times New Roman" w:hAnsi="Times New Roman" w:eastAsia="宋体" w:cs="Times New Roman"/>
          <w:bCs/>
          <w:sz w:val="30"/>
          <w:szCs w:val="30"/>
        </w:rPr>
      </w:pPr>
    </w:p>
    <w:p w14:paraId="7BCAFC1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课程名称：大学生心理健康教育</w:t>
      </w:r>
    </w:p>
    <w:p w14:paraId="4450CD8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课程代码：0000012</w:t>
      </w:r>
    </w:p>
    <w:p w14:paraId="167015B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05F2903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2CC8670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先修课程：无</w:t>
      </w:r>
    </w:p>
    <w:p w14:paraId="1A4F36A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适用专业：所有专业</w:t>
      </w:r>
    </w:p>
    <w:p w14:paraId="5FBDBF68">
      <w:pPr>
        <w:spacing w:line="360" w:lineRule="auto"/>
        <w:jc w:val="left"/>
        <w:rPr>
          <w:rFonts w:ascii="Times New Roman" w:hAnsi="Times New Roman" w:eastAsia="宋体" w:cs="Times New Roman"/>
          <w:b/>
          <w:sz w:val="24"/>
          <w:szCs w:val="24"/>
        </w:rPr>
      </w:pPr>
    </w:p>
    <w:p w14:paraId="67D4311E">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BD76701">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大学生心理健康教育》是面向全校各专业一年级学生开设的一门通识必修课程。课程集知识传授、心理体验与行为训练为一体；旨在使学生明确心理健康的标准及意义，增强自我心理保健意识和心理危机预防意识，掌握并应用心理健康知识，培养自我认知能力、人际沟通能力、自我调节能力，切实提高心理素质，促进学生全面发展。</w:t>
      </w:r>
    </w:p>
    <w:p w14:paraId="1B68F270">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687AF7C4">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3FB67F1C">
      <w:pPr>
        <w:spacing w:before="156" w:beforeLines="50" w:after="156" w:afterLines="50" w:line="360" w:lineRule="auto"/>
        <w:ind w:firstLine="422" w:firstLineChars="200"/>
        <w:jc w:val="left"/>
        <w:rPr>
          <w:rFonts w:hint="eastAsia" w:ascii="Times New Roman" w:hAnsi="Times New Roman" w:eastAsia="宋体" w:cs="Times New Roman"/>
          <w:bCs/>
          <w:szCs w:val="21"/>
        </w:rPr>
      </w:pPr>
      <w:r>
        <w:rPr>
          <w:rFonts w:hint="eastAsia" w:ascii="Times New Roman" w:hAnsi="Times New Roman" w:eastAsia="宋体" w:cs="Times New Roman"/>
          <w:b/>
          <w:szCs w:val="21"/>
        </w:rPr>
        <w:t>1.知识目标</w:t>
      </w:r>
      <w:r>
        <w:rPr>
          <w:rFonts w:hint="eastAsia" w:ascii="Times New Roman" w:hAnsi="Times New Roman" w:eastAsia="宋体" w:cs="Times New Roman"/>
          <w:bCs/>
          <w:szCs w:val="21"/>
        </w:rPr>
        <w:t>：了解心理健康的基本概念、大学生心理健康的标准、青年期心理发展的年龄特征以及大学生常见的心理障碍与防治等健康心理学的基本概念和基本理论，学习影响个体心理健康的相关知识。</w:t>
      </w:r>
    </w:p>
    <w:p w14:paraId="2BA89FEA">
      <w:pPr>
        <w:spacing w:before="156" w:beforeLines="50" w:after="156" w:afterLines="50" w:line="360" w:lineRule="auto"/>
        <w:ind w:firstLine="422" w:firstLineChars="200"/>
        <w:jc w:val="left"/>
        <w:rPr>
          <w:rFonts w:hint="eastAsia" w:ascii="Times New Roman" w:hAnsi="Times New Roman" w:eastAsia="宋体" w:cs="Times New Roman"/>
          <w:bCs/>
          <w:szCs w:val="21"/>
        </w:rPr>
      </w:pPr>
      <w:r>
        <w:rPr>
          <w:rFonts w:hint="eastAsia" w:ascii="Times New Roman" w:hAnsi="Times New Roman" w:eastAsia="宋体" w:cs="Times New Roman"/>
          <w:b/>
          <w:szCs w:val="21"/>
        </w:rPr>
        <w:t>2.能力目标：</w:t>
      </w:r>
      <w:r>
        <w:rPr>
          <w:rFonts w:hint="eastAsia" w:ascii="Times New Roman" w:hAnsi="Times New Roman" w:eastAsia="宋体" w:cs="Times New Roman"/>
          <w:bCs/>
          <w:szCs w:val="21"/>
        </w:rPr>
        <w:t>在学习个体心理健康知识的基础上，提升心理保健能力，培养良好自我意识、情绪与情感状态、意志品质和人格特征，锻炼学生维持心理健康的能力。</w:t>
      </w:r>
    </w:p>
    <w:p w14:paraId="593DB58C">
      <w:pPr>
        <w:spacing w:before="156" w:beforeLines="50" w:after="156" w:afterLines="50"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3.素质目标：</w:t>
      </w:r>
      <w:r>
        <w:rPr>
          <w:rFonts w:hint="eastAsia" w:ascii="Times New Roman" w:hAnsi="Times New Roman" w:eastAsia="宋体" w:cs="Times New Roman"/>
          <w:bCs/>
          <w:szCs w:val="21"/>
        </w:rPr>
        <w:t>通过知识学习，心理活动参与和体验，提升学习者的心理保健能力，促进学习者健康心理素质的发展，提升心理资本。具体素质内容包括：掌握大学阶段学习心理规律、人际关系调适、青春期性心理与恋爱心理的维护、绪调适、挫折应对方式等大学生活适应方面的基本方法与技能。</w:t>
      </w:r>
    </w:p>
    <w:p w14:paraId="37D58FD7">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5387"/>
        <w:gridCol w:w="1327"/>
      </w:tblGrid>
      <w:tr w14:paraId="5FE2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3" w:type="dxa"/>
            <w:vAlign w:val="center"/>
          </w:tcPr>
          <w:p w14:paraId="435B8FC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87" w:type="dxa"/>
            <w:vAlign w:val="center"/>
          </w:tcPr>
          <w:p w14:paraId="2A26430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24F1477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8ED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2FDF373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387" w:type="dxa"/>
            <w:vAlign w:val="center"/>
          </w:tcPr>
          <w:p w14:paraId="016D8C4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指标点2-3：【自身修养良好】具有较好的人文艺术底蕴与科学精神，言行举止符合教师职业标准，情感积极，人格健全，身心健康。</w:t>
            </w:r>
          </w:p>
        </w:tc>
        <w:tc>
          <w:tcPr>
            <w:tcW w:w="1327" w:type="dxa"/>
            <w:vAlign w:val="center"/>
          </w:tcPr>
          <w:p w14:paraId="459C973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05A4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7384AB1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毕业要求5班级管理</w:t>
            </w:r>
          </w:p>
        </w:tc>
        <w:tc>
          <w:tcPr>
            <w:tcW w:w="5387" w:type="dxa"/>
            <w:vAlign w:val="center"/>
          </w:tcPr>
          <w:p w14:paraId="22F71EA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327" w:type="dxa"/>
            <w:vAlign w:val="center"/>
          </w:tcPr>
          <w:p w14:paraId="5EAAF3D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2CC5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74AA9DD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毕业要求8沟通合作</w:t>
            </w:r>
          </w:p>
        </w:tc>
        <w:tc>
          <w:tcPr>
            <w:tcW w:w="5387" w:type="dxa"/>
            <w:vAlign w:val="center"/>
          </w:tcPr>
          <w:p w14:paraId="0ED472C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指标点8-2：【学会沟通交流】掌握人际沟通合作技能与方法，在教育教学实践中，能与学生和家长以及同行、同事、专家进行有效沟通与合作，实现共同发展。</w:t>
            </w:r>
          </w:p>
        </w:tc>
        <w:tc>
          <w:tcPr>
            <w:tcW w:w="1327" w:type="dxa"/>
            <w:vAlign w:val="center"/>
          </w:tcPr>
          <w:p w14:paraId="77BAE2F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4A8692AD">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8D2EE1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学生在扎实掌握心理健康教育知识的基础上，践行社会主义核心价值观，认同中国特色社会主义，贯彻党的教育方针，以立德树人为己任，遵守师范生的道德规范，具有积极的情感、端正的态度、正确的价值观，具有人文底蕴和科学精神，富有爱心、责任心、事业心，心理健康，能适应社会发展，立志成为有理想信念、有道德情操、有扎实学习、有仁爱之心的新时代大国良师。</w:t>
      </w:r>
    </w:p>
    <w:p w14:paraId="37ED17E9">
      <w:pPr>
        <w:spacing w:line="360" w:lineRule="auto"/>
        <w:jc w:val="left"/>
        <w:rPr>
          <w:rFonts w:hint="eastAsia" w:ascii="宋体" w:hAnsi="宋体" w:eastAsia="宋体" w:cs="Times New Roman"/>
          <w:b/>
          <w:color w:val="000000"/>
          <w:sz w:val="28"/>
          <w:szCs w:val="28"/>
        </w:rPr>
      </w:pPr>
    </w:p>
    <w:p w14:paraId="100E6BD3">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BC1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90A304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4266352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F331BA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7603DB7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1F1D4B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8E511A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E16898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B693E4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280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DFC3D2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第一讲：心理健康导论</w:t>
            </w:r>
          </w:p>
        </w:tc>
        <w:tc>
          <w:tcPr>
            <w:tcW w:w="1701" w:type="dxa"/>
            <w:vAlign w:val="center"/>
          </w:tcPr>
          <w:p w14:paraId="7EEC4D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心理健康概述；大学生心理健康现状；</w:t>
            </w:r>
          </w:p>
          <w:p w14:paraId="67BF82A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大学阶段的心理发展任务；</w:t>
            </w:r>
          </w:p>
          <w:p w14:paraId="187BC63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心理咨询</w:t>
            </w:r>
          </w:p>
        </w:tc>
        <w:tc>
          <w:tcPr>
            <w:tcW w:w="1134" w:type="dxa"/>
            <w:vAlign w:val="center"/>
          </w:tcPr>
          <w:p w14:paraId="615309E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D5AB031">
            <w:pPr>
              <w:pStyle w:val="30"/>
              <w:numPr>
                <w:ilvl w:val="0"/>
                <w:numId w:val="13"/>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认识心理健康的意义；</w:t>
            </w:r>
          </w:p>
          <w:p w14:paraId="692D2FC1">
            <w:pPr>
              <w:pStyle w:val="30"/>
              <w:numPr>
                <w:ilvl w:val="0"/>
                <w:numId w:val="13"/>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正确理解心理健康的标准；</w:t>
            </w:r>
          </w:p>
          <w:p w14:paraId="10849689">
            <w:pPr>
              <w:pStyle w:val="30"/>
              <w:numPr>
                <w:ilvl w:val="0"/>
                <w:numId w:val="13"/>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了解常见的心理困扰，提高对新环境适应的自觉性；</w:t>
            </w:r>
          </w:p>
          <w:p w14:paraId="4AC4C916">
            <w:pPr>
              <w:pStyle w:val="30"/>
              <w:numPr>
                <w:ilvl w:val="0"/>
                <w:numId w:val="13"/>
              </w:numPr>
              <w:spacing w:line="269"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了解心理咨询的概念及常见误区、任务和设置，普及心理咨询的正确观念。</w:t>
            </w:r>
          </w:p>
        </w:tc>
        <w:tc>
          <w:tcPr>
            <w:tcW w:w="1560" w:type="dxa"/>
            <w:vAlign w:val="center"/>
          </w:tcPr>
          <w:p w14:paraId="79C666C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93E10C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E3C0A7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4.课内实践 </w:t>
            </w:r>
          </w:p>
        </w:tc>
        <w:tc>
          <w:tcPr>
            <w:tcW w:w="438" w:type="dxa"/>
            <w:vAlign w:val="center"/>
          </w:tcPr>
          <w:p w14:paraId="0AACCCE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06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8D33EE">
            <w:pPr>
              <w:spacing w:line="264" w:lineRule="auto"/>
              <w:jc w:val="center"/>
              <w:rPr>
                <w:rFonts w:hint="eastAsia" w:ascii="宋体" w:hAnsi="宋体" w:eastAsia="宋体" w:cs="Times New Roman"/>
                <w:color w:val="000000"/>
                <w:szCs w:val="21"/>
              </w:rPr>
            </w:pPr>
          </w:p>
        </w:tc>
        <w:tc>
          <w:tcPr>
            <w:tcW w:w="8093" w:type="dxa"/>
            <w:gridSpan w:val="5"/>
            <w:vAlign w:val="center"/>
          </w:tcPr>
          <w:p w14:paraId="7EADDCC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了解大学生心理健康的标准，建立正确的心理咨询观念以及自助求助的意识，形成“四个自信”的基础。</w:t>
            </w:r>
          </w:p>
        </w:tc>
      </w:tr>
      <w:tr w14:paraId="7CD5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F6C0F0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第二讲：自我意识</w:t>
            </w:r>
          </w:p>
        </w:tc>
        <w:tc>
          <w:tcPr>
            <w:tcW w:w="1701" w:type="dxa"/>
            <w:vAlign w:val="center"/>
          </w:tcPr>
          <w:p w14:paraId="03B973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遇见未知的我；拥抱独特的我；雕琢出色的我</w:t>
            </w:r>
          </w:p>
        </w:tc>
        <w:tc>
          <w:tcPr>
            <w:tcW w:w="1134" w:type="dxa"/>
            <w:vAlign w:val="center"/>
          </w:tcPr>
          <w:p w14:paraId="3020866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768B07E9">
            <w:pPr>
              <w:pStyle w:val="30"/>
              <w:numPr>
                <w:ilvl w:val="0"/>
                <w:numId w:val="14"/>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了解自我意识的基本概念、分类；</w:t>
            </w:r>
          </w:p>
          <w:p w14:paraId="24DCA6EF">
            <w:pPr>
              <w:pStyle w:val="30"/>
              <w:numPr>
                <w:ilvl w:val="0"/>
                <w:numId w:val="14"/>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认识大学生自我意识的基本特点；</w:t>
            </w:r>
          </w:p>
          <w:p w14:paraId="51A1631C">
            <w:pPr>
              <w:pStyle w:val="30"/>
              <w:numPr>
                <w:ilvl w:val="0"/>
                <w:numId w:val="14"/>
              </w:numPr>
              <w:spacing w:line="269"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培养健全的自我意识和健康的自尊心。</w:t>
            </w:r>
          </w:p>
        </w:tc>
        <w:tc>
          <w:tcPr>
            <w:tcW w:w="1560" w:type="dxa"/>
            <w:vAlign w:val="center"/>
          </w:tcPr>
          <w:p w14:paraId="1E0E2F9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548A773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0A3C47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4.实践活动</w:t>
            </w:r>
          </w:p>
        </w:tc>
        <w:tc>
          <w:tcPr>
            <w:tcW w:w="438" w:type="dxa"/>
            <w:vAlign w:val="center"/>
          </w:tcPr>
          <w:p w14:paraId="0BC0889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BA2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48E516">
            <w:pPr>
              <w:spacing w:line="264" w:lineRule="auto"/>
              <w:jc w:val="center"/>
              <w:rPr>
                <w:rFonts w:hint="eastAsia" w:ascii="宋体" w:hAnsi="宋体" w:eastAsia="宋体" w:cs="Times New Roman"/>
                <w:color w:val="000000"/>
                <w:szCs w:val="21"/>
              </w:rPr>
            </w:pPr>
          </w:p>
        </w:tc>
        <w:tc>
          <w:tcPr>
            <w:tcW w:w="8093" w:type="dxa"/>
            <w:gridSpan w:val="5"/>
            <w:vAlign w:val="center"/>
          </w:tcPr>
          <w:p w14:paraId="138126E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了解自我发展的概念和认识自我的途径，能够识别在自我意识发展过程中出现的偏差及原因，并能够对其进行调适，建立自尊自信的自我意识，确立文化自信。</w:t>
            </w:r>
          </w:p>
        </w:tc>
      </w:tr>
      <w:tr w14:paraId="4AF4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64C56B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第三讲：人格发展</w:t>
            </w:r>
          </w:p>
        </w:tc>
        <w:tc>
          <w:tcPr>
            <w:tcW w:w="1701" w:type="dxa"/>
            <w:vAlign w:val="center"/>
          </w:tcPr>
          <w:p w14:paraId="5D16E86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人格概述；</w:t>
            </w:r>
          </w:p>
          <w:p w14:paraId="2226DC0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人格探索；</w:t>
            </w:r>
          </w:p>
          <w:p w14:paraId="078B7AB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积极人格塑造</w:t>
            </w:r>
          </w:p>
          <w:p w14:paraId="653BF8E0">
            <w:pPr>
              <w:spacing w:line="269" w:lineRule="auto"/>
              <w:jc w:val="left"/>
              <w:rPr>
                <w:rFonts w:hint="eastAsia" w:ascii="宋体" w:hAnsi="宋体" w:eastAsia="宋体" w:cs="Times New Roman"/>
                <w:color w:val="000000"/>
                <w:szCs w:val="21"/>
              </w:rPr>
            </w:pPr>
          </w:p>
        </w:tc>
        <w:tc>
          <w:tcPr>
            <w:tcW w:w="1134" w:type="dxa"/>
            <w:vAlign w:val="center"/>
          </w:tcPr>
          <w:p w14:paraId="08CE80C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26BB47C">
            <w:pPr>
              <w:pStyle w:val="30"/>
              <w:numPr>
                <w:ilvl w:val="0"/>
                <w:numId w:val="15"/>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掌握人格的概念、特征及结构；</w:t>
            </w:r>
          </w:p>
          <w:p w14:paraId="7F84A67A">
            <w:pPr>
              <w:pStyle w:val="30"/>
              <w:numPr>
                <w:ilvl w:val="0"/>
                <w:numId w:val="15"/>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了解主要的人格理论；</w:t>
            </w:r>
          </w:p>
          <w:p w14:paraId="55218F8E">
            <w:pPr>
              <w:pStyle w:val="30"/>
              <w:numPr>
                <w:ilvl w:val="0"/>
                <w:numId w:val="15"/>
              </w:numPr>
              <w:spacing w:line="269"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掌握大学生常见的人格障碍；</w:t>
            </w:r>
          </w:p>
          <w:p w14:paraId="20AEA89F">
            <w:pPr>
              <w:pStyle w:val="30"/>
              <w:numPr>
                <w:ilvl w:val="0"/>
                <w:numId w:val="15"/>
              </w:numPr>
              <w:spacing w:line="269"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培养健全人格发展。</w:t>
            </w:r>
          </w:p>
        </w:tc>
        <w:tc>
          <w:tcPr>
            <w:tcW w:w="1560" w:type="dxa"/>
            <w:vAlign w:val="center"/>
          </w:tcPr>
          <w:p w14:paraId="11D017F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7D0470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D1CD64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课内实践</w:t>
            </w:r>
          </w:p>
        </w:tc>
        <w:tc>
          <w:tcPr>
            <w:tcW w:w="438" w:type="dxa"/>
            <w:vAlign w:val="center"/>
          </w:tcPr>
          <w:p w14:paraId="3A3F879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7AB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74903FE">
            <w:pPr>
              <w:spacing w:line="264" w:lineRule="auto"/>
              <w:jc w:val="center"/>
              <w:rPr>
                <w:rFonts w:hint="eastAsia" w:ascii="宋体" w:hAnsi="宋体" w:eastAsia="宋体" w:cs="Times New Roman"/>
                <w:color w:val="000000"/>
                <w:szCs w:val="21"/>
              </w:rPr>
            </w:pPr>
          </w:p>
        </w:tc>
        <w:tc>
          <w:tcPr>
            <w:tcW w:w="8093" w:type="dxa"/>
            <w:gridSpan w:val="5"/>
            <w:vAlign w:val="center"/>
          </w:tcPr>
          <w:p w14:paraId="6ADAC81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用科学</w:t>
            </w:r>
            <w:r>
              <w:rPr>
                <w:rFonts w:hint="eastAsia" w:ascii="宋体" w:hAnsi="宋体" w:eastAsia="宋体" w:cs="Times New Roman"/>
                <w:color w:val="000000"/>
                <w:szCs w:val="21"/>
              </w:rPr>
              <w:t>的视角了解人格理论，知道培养健全人格的方法，学会在生活中养成自己的健全人格，学习积极人格与幸福人生、大学生人格的自我探索、积极人格塑造的行动策略。</w:t>
            </w:r>
          </w:p>
        </w:tc>
      </w:tr>
      <w:tr w14:paraId="2212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873AE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第四讲：学习心理</w:t>
            </w:r>
          </w:p>
        </w:tc>
        <w:tc>
          <w:tcPr>
            <w:tcW w:w="1701" w:type="dxa"/>
            <w:vAlign w:val="center"/>
          </w:tcPr>
          <w:p w14:paraId="5D26F54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大学生常见学习问题；</w:t>
            </w:r>
          </w:p>
          <w:p w14:paraId="744E4E8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学会思考与学习；</w:t>
            </w:r>
          </w:p>
          <w:p w14:paraId="22AC4A3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高效学习方法与策略</w:t>
            </w:r>
          </w:p>
        </w:tc>
        <w:tc>
          <w:tcPr>
            <w:tcW w:w="1134" w:type="dxa"/>
            <w:vAlign w:val="center"/>
          </w:tcPr>
          <w:p w14:paraId="61BA789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6A02226">
            <w:pPr>
              <w:pStyle w:val="30"/>
              <w:numPr>
                <w:ilvl w:val="0"/>
                <w:numId w:val="16"/>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了解学习心理相关概念，</w:t>
            </w:r>
          </w:p>
          <w:p w14:paraId="1A57E79F">
            <w:pPr>
              <w:pStyle w:val="30"/>
              <w:numPr>
                <w:ilvl w:val="0"/>
                <w:numId w:val="16"/>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掌握大学学习特点、动力特征</w:t>
            </w:r>
          </w:p>
          <w:p w14:paraId="36DFB7BA">
            <w:pPr>
              <w:pStyle w:val="30"/>
              <w:numPr>
                <w:ilvl w:val="0"/>
                <w:numId w:val="16"/>
              </w:numPr>
              <w:spacing w:line="276"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学会自我诊断与调整策略。</w:t>
            </w:r>
          </w:p>
        </w:tc>
        <w:tc>
          <w:tcPr>
            <w:tcW w:w="1560" w:type="dxa"/>
            <w:vAlign w:val="center"/>
          </w:tcPr>
          <w:p w14:paraId="2E8C820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7677908">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25CE508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课内实践</w:t>
            </w:r>
          </w:p>
        </w:tc>
        <w:tc>
          <w:tcPr>
            <w:tcW w:w="438" w:type="dxa"/>
            <w:vAlign w:val="center"/>
          </w:tcPr>
          <w:p w14:paraId="1C4DF67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D1E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ABA0192">
            <w:pPr>
              <w:spacing w:line="276" w:lineRule="auto"/>
              <w:jc w:val="center"/>
              <w:rPr>
                <w:rFonts w:hint="eastAsia" w:ascii="宋体" w:hAnsi="宋体" w:eastAsia="宋体" w:cs="Times New Roman"/>
                <w:color w:val="000000"/>
                <w:szCs w:val="21"/>
              </w:rPr>
            </w:pPr>
          </w:p>
        </w:tc>
        <w:tc>
          <w:tcPr>
            <w:tcW w:w="8093" w:type="dxa"/>
            <w:gridSpan w:val="5"/>
            <w:vAlign w:val="center"/>
          </w:tcPr>
          <w:p w14:paraId="4C8CD29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通过了解学习的特点，学会思考，学会学习，掌握学习动机的激发策略，促使学生提高学习效率，提升学习学习策略。</w:t>
            </w:r>
          </w:p>
        </w:tc>
      </w:tr>
      <w:tr w14:paraId="335A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A257DB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第五讲：情绪管理</w:t>
            </w:r>
          </w:p>
        </w:tc>
        <w:tc>
          <w:tcPr>
            <w:tcW w:w="1701" w:type="dxa"/>
            <w:vAlign w:val="center"/>
          </w:tcPr>
          <w:p w14:paraId="54AE6E8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全面认识情绪；正确看待情绪；有效管理情绪。</w:t>
            </w:r>
          </w:p>
        </w:tc>
        <w:tc>
          <w:tcPr>
            <w:tcW w:w="1134" w:type="dxa"/>
            <w:vAlign w:val="center"/>
          </w:tcPr>
          <w:p w14:paraId="36C2866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1C3BB80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 了解情绪与健康的关系；</w:t>
            </w:r>
            <w:r>
              <w:rPr>
                <w:rFonts w:ascii="宋体" w:hAnsi="宋体" w:eastAsia="宋体" w:cs="Times New Roman"/>
                <w:color w:val="000000"/>
                <w:szCs w:val="21"/>
              </w:rPr>
              <w:t xml:space="preserve"> </w:t>
            </w:r>
          </w:p>
          <w:p w14:paraId="1164385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 掌握情绪经典理论；</w:t>
            </w:r>
            <w:r>
              <w:rPr>
                <w:rFonts w:ascii="宋体" w:hAnsi="宋体" w:eastAsia="宋体" w:cs="Times New Roman"/>
                <w:color w:val="000000"/>
                <w:szCs w:val="21"/>
              </w:rPr>
              <w:t xml:space="preserve"> </w:t>
            </w:r>
          </w:p>
          <w:p w14:paraId="6856B0D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 学会情绪管理技巧。</w:t>
            </w:r>
          </w:p>
        </w:tc>
        <w:tc>
          <w:tcPr>
            <w:tcW w:w="1560" w:type="dxa"/>
            <w:vAlign w:val="center"/>
          </w:tcPr>
          <w:p w14:paraId="57E1124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89AC85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186EBF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课内实践</w:t>
            </w:r>
          </w:p>
        </w:tc>
        <w:tc>
          <w:tcPr>
            <w:tcW w:w="438" w:type="dxa"/>
            <w:vAlign w:val="center"/>
          </w:tcPr>
          <w:p w14:paraId="09558A1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556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02CB152">
            <w:pPr>
              <w:spacing w:line="276" w:lineRule="auto"/>
              <w:jc w:val="center"/>
              <w:rPr>
                <w:rFonts w:hint="eastAsia" w:ascii="宋体" w:hAnsi="宋体" w:eastAsia="宋体" w:cs="Times New Roman"/>
                <w:color w:val="000000"/>
                <w:szCs w:val="21"/>
              </w:rPr>
            </w:pPr>
          </w:p>
        </w:tc>
        <w:tc>
          <w:tcPr>
            <w:tcW w:w="8093" w:type="dxa"/>
            <w:gridSpan w:val="5"/>
            <w:vAlign w:val="center"/>
          </w:tcPr>
          <w:p w14:paraId="7941E8C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通过对情绪理论的学习，学习情绪管理策略和技巧，养成稳定的情绪表现，具有健康人格。</w:t>
            </w:r>
          </w:p>
        </w:tc>
      </w:tr>
      <w:tr w14:paraId="7BDF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2CEFA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第六讲：人际交往</w:t>
            </w:r>
          </w:p>
        </w:tc>
        <w:tc>
          <w:tcPr>
            <w:tcW w:w="1701" w:type="dxa"/>
            <w:vAlign w:val="center"/>
          </w:tcPr>
          <w:p w14:paraId="000D8B6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建立和谐的人际关系；</w:t>
            </w:r>
          </w:p>
          <w:p w14:paraId="52A8B91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提升人际沟通能力；</w:t>
            </w:r>
          </w:p>
          <w:p w14:paraId="4AA4065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人际交往的挑战与应对。</w:t>
            </w:r>
          </w:p>
        </w:tc>
        <w:tc>
          <w:tcPr>
            <w:tcW w:w="1134" w:type="dxa"/>
            <w:vAlign w:val="center"/>
          </w:tcPr>
          <w:p w14:paraId="77AC6F5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1C9C1A8C">
            <w:pPr>
              <w:pStyle w:val="30"/>
              <w:numPr>
                <w:ilvl w:val="0"/>
                <w:numId w:val="17"/>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认识人际关系对大学生成长的重要意义；</w:t>
            </w:r>
          </w:p>
          <w:p w14:paraId="4354BABE">
            <w:pPr>
              <w:pStyle w:val="30"/>
              <w:numPr>
                <w:ilvl w:val="0"/>
                <w:numId w:val="17"/>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了解人际交往的社会心理效应；</w:t>
            </w:r>
          </w:p>
          <w:p w14:paraId="232ABD02">
            <w:pPr>
              <w:pStyle w:val="30"/>
              <w:numPr>
                <w:ilvl w:val="0"/>
                <w:numId w:val="17"/>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分析大学生的人际交往特点与人际关系影响因素；</w:t>
            </w:r>
          </w:p>
          <w:p w14:paraId="11485259">
            <w:pPr>
              <w:pStyle w:val="30"/>
              <w:numPr>
                <w:ilvl w:val="0"/>
                <w:numId w:val="17"/>
              </w:numPr>
              <w:spacing w:line="276"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学习人际交往的基本原则，提升人际交往能力。</w:t>
            </w:r>
          </w:p>
        </w:tc>
        <w:tc>
          <w:tcPr>
            <w:tcW w:w="1560" w:type="dxa"/>
            <w:vAlign w:val="center"/>
          </w:tcPr>
          <w:p w14:paraId="0E9AD37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230782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02EE62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课内实践</w:t>
            </w:r>
          </w:p>
        </w:tc>
        <w:tc>
          <w:tcPr>
            <w:tcW w:w="438" w:type="dxa"/>
            <w:vAlign w:val="center"/>
          </w:tcPr>
          <w:p w14:paraId="2C81E5E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4E3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ACE493">
            <w:pPr>
              <w:spacing w:line="276" w:lineRule="auto"/>
              <w:jc w:val="center"/>
              <w:rPr>
                <w:rFonts w:hint="eastAsia" w:ascii="宋体" w:hAnsi="宋体" w:eastAsia="宋体" w:cs="Times New Roman"/>
                <w:color w:val="000000"/>
                <w:szCs w:val="21"/>
              </w:rPr>
            </w:pPr>
          </w:p>
        </w:tc>
        <w:tc>
          <w:tcPr>
            <w:tcW w:w="8093" w:type="dxa"/>
            <w:gridSpan w:val="5"/>
            <w:vAlign w:val="center"/>
          </w:tcPr>
          <w:p w14:paraId="050E1DE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掌握基本的交往原则和技巧，了解人际关系的调适方法，增强人际交往能力，具有和谐的人际关系。</w:t>
            </w:r>
          </w:p>
        </w:tc>
      </w:tr>
      <w:tr w14:paraId="2595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517167">
            <w:pPr>
              <w:spacing w:line="276" w:lineRule="auto"/>
              <w:jc w:val="center"/>
              <w:rPr>
                <w:rFonts w:hint="eastAsia" w:ascii="宋体" w:hAnsi="宋体" w:eastAsia="宋体" w:cs="Times New Roman"/>
                <w:szCs w:val="21"/>
              </w:rPr>
            </w:pPr>
            <w:r>
              <w:rPr>
                <w:rFonts w:hint="eastAsia" w:ascii="宋体" w:hAnsi="宋体" w:eastAsia="宋体" w:cs="Times New Roman"/>
                <w:szCs w:val="21"/>
              </w:rPr>
              <w:t>第七讲：恋爱心理</w:t>
            </w:r>
          </w:p>
        </w:tc>
        <w:tc>
          <w:tcPr>
            <w:tcW w:w="1701" w:type="dxa"/>
            <w:vAlign w:val="center"/>
          </w:tcPr>
          <w:p w14:paraId="0D77D0AD">
            <w:pPr>
              <w:spacing w:line="276" w:lineRule="auto"/>
              <w:jc w:val="left"/>
              <w:rPr>
                <w:rFonts w:ascii="宋体" w:hAnsi="宋体" w:eastAsia="宋体" w:cs="Times New Roman"/>
                <w:szCs w:val="21"/>
              </w:rPr>
            </w:pPr>
            <w:r>
              <w:rPr>
                <w:rFonts w:hint="eastAsia" w:ascii="宋体" w:hAnsi="宋体" w:eastAsia="宋体" w:cs="Times New Roman"/>
                <w:szCs w:val="21"/>
              </w:rPr>
              <w:t>爱为何物；</w:t>
            </w:r>
          </w:p>
          <w:p w14:paraId="5AD766FF">
            <w:pPr>
              <w:spacing w:line="276" w:lineRule="auto"/>
              <w:jc w:val="left"/>
              <w:rPr>
                <w:rFonts w:ascii="宋体" w:hAnsi="宋体" w:eastAsia="宋体" w:cs="Times New Roman"/>
                <w:szCs w:val="21"/>
              </w:rPr>
            </w:pPr>
            <w:r>
              <w:rPr>
                <w:rFonts w:hint="eastAsia" w:ascii="宋体" w:hAnsi="宋体" w:eastAsia="宋体" w:cs="Times New Roman"/>
                <w:szCs w:val="21"/>
              </w:rPr>
              <w:t>爱的艺术；</w:t>
            </w:r>
          </w:p>
          <w:p w14:paraId="6EFABD86">
            <w:pPr>
              <w:spacing w:line="276" w:lineRule="auto"/>
              <w:jc w:val="left"/>
              <w:rPr>
                <w:rFonts w:hint="eastAsia" w:ascii="宋体" w:hAnsi="宋体" w:eastAsia="宋体" w:cs="Times New Roman"/>
                <w:szCs w:val="21"/>
              </w:rPr>
            </w:pPr>
            <w:r>
              <w:rPr>
                <w:rFonts w:hint="eastAsia" w:ascii="宋体" w:hAnsi="宋体" w:eastAsia="宋体" w:cs="Times New Roman"/>
                <w:szCs w:val="21"/>
              </w:rPr>
              <w:t>爱与性的困扰与调适。</w:t>
            </w:r>
          </w:p>
        </w:tc>
        <w:tc>
          <w:tcPr>
            <w:tcW w:w="1134" w:type="dxa"/>
            <w:vAlign w:val="center"/>
          </w:tcPr>
          <w:p w14:paraId="45F587B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1376B21">
            <w:pPr>
              <w:pStyle w:val="30"/>
              <w:numPr>
                <w:ilvl w:val="0"/>
                <w:numId w:val="18"/>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正确认识恋爱在大学生成长中的地位；</w:t>
            </w:r>
          </w:p>
          <w:p w14:paraId="6871D80A">
            <w:pPr>
              <w:pStyle w:val="30"/>
              <w:numPr>
                <w:ilvl w:val="0"/>
                <w:numId w:val="18"/>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协调好学习与恋爱关系；</w:t>
            </w:r>
          </w:p>
          <w:p w14:paraId="259A56EA">
            <w:pPr>
              <w:pStyle w:val="30"/>
              <w:numPr>
                <w:ilvl w:val="0"/>
                <w:numId w:val="18"/>
              </w:numPr>
              <w:spacing w:line="276"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了解爱情的真正含义，树立健康恋爱观；</w:t>
            </w:r>
          </w:p>
          <w:p w14:paraId="6601FB44">
            <w:pPr>
              <w:pStyle w:val="30"/>
              <w:numPr>
                <w:ilvl w:val="0"/>
                <w:numId w:val="18"/>
              </w:numPr>
              <w:spacing w:line="276"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正确处理大学生恋爱中的心理困扰。</w:t>
            </w:r>
          </w:p>
        </w:tc>
        <w:tc>
          <w:tcPr>
            <w:tcW w:w="1560" w:type="dxa"/>
            <w:vAlign w:val="center"/>
          </w:tcPr>
          <w:p w14:paraId="79B42B8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670690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CBEDB9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课内实践</w:t>
            </w:r>
          </w:p>
        </w:tc>
        <w:tc>
          <w:tcPr>
            <w:tcW w:w="438" w:type="dxa"/>
            <w:vAlign w:val="center"/>
          </w:tcPr>
          <w:p w14:paraId="6D897C5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798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70EEFB">
            <w:pPr>
              <w:spacing w:line="276" w:lineRule="auto"/>
              <w:jc w:val="center"/>
              <w:rPr>
                <w:rFonts w:hint="eastAsia" w:ascii="宋体" w:hAnsi="宋体" w:eastAsia="宋体" w:cs="Times New Roman"/>
                <w:color w:val="000000"/>
                <w:szCs w:val="21"/>
              </w:rPr>
            </w:pPr>
          </w:p>
        </w:tc>
        <w:tc>
          <w:tcPr>
            <w:tcW w:w="8093" w:type="dxa"/>
            <w:gridSpan w:val="5"/>
            <w:vAlign w:val="center"/>
          </w:tcPr>
          <w:p w14:paraId="7056F70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w:t>
            </w:r>
            <w:r>
              <w:rPr>
                <w:rFonts w:hint="eastAsia" w:ascii="宋体" w:hAnsi="宋体" w:eastAsia="宋体" w:cs="Times New Roman"/>
                <w:color w:val="000000"/>
                <w:szCs w:val="21"/>
              </w:rPr>
              <w:t>了解恋爱的含义、特点，建立正确的恋爱观，全面正确认识爱情的本质，提升符合社会主义社会的婚恋能力。</w:t>
            </w:r>
          </w:p>
        </w:tc>
      </w:tr>
      <w:tr w14:paraId="1306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7AFD27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第八讲：生命教育与运动健心</w:t>
            </w:r>
          </w:p>
        </w:tc>
        <w:tc>
          <w:tcPr>
            <w:tcW w:w="1701" w:type="dxa"/>
            <w:vAlign w:val="center"/>
          </w:tcPr>
          <w:p w14:paraId="4FFC1EE5">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生命意义和价值创造；</w:t>
            </w:r>
          </w:p>
          <w:p w14:paraId="47B2F27A">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心理危机的觉察与干预；</w:t>
            </w:r>
          </w:p>
          <w:p w14:paraId="6B0C460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运动育心</w:t>
            </w:r>
          </w:p>
        </w:tc>
        <w:tc>
          <w:tcPr>
            <w:tcW w:w="1134" w:type="dxa"/>
            <w:vAlign w:val="center"/>
          </w:tcPr>
          <w:p w14:paraId="0796021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681C461B">
            <w:pPr>
              <w:pStyle w:val="30"/>
              <w:numPr>
                <w:ilvl w:val="0"/>
                <w:numId w:val="19"/>
              </w:numPr>
              <w:spacing w:line="264" w:lineRule="auto"/>
              <w:ind w:firstLineChars="0"/>
              <w:jc w:val="left"/>
              <w:rPr>
                <w:rFonts w:ascii="宋体" w:hAnsi="宋体" w:eastAsia="宋体" w:cs="Times New Roman"/>
                <w:color w:val="000000"/>
                <w:szCs w:val="21"/>
              </w:rPr>
            </w:pPr>
            <w:r>
              <w:rPr>
                <w:rFonts w:hint="eastAsia" w:ascii="宋体" w:hAnsi="宋体" w:eastAsia="宋体" w:cs="Times New Roman"/>
                <w:color w:val="000000"/>
                <w:szCs w:val="21"/>
              </w:rPr>
              <w:t>了解生命的历程，理解生命的意义，体会生命的独特与可贵；</w:t>
            </w:r>
          </w:p>
          <w:p w14:paraId="04698C4D">
            <w:pPr>
              <w:pStyle w:val="30"/>
              <w:numPr>
                <w:ilvl w:val="0"/>
                <w:numId w:val="19"/>
              </w:numPr>
              <w:spacing w:line="264" w:lineRule="auto"/>
              <w:ind w:firstLineChars="0"/>
              <w:jc w:val="left"/>
              <w:rPr>
                <w:rFonts w:hint="eastAsia" w:ascii="宋体" w:hAnsi="宋体" w:eastAsia="宋体" w:cs="Times New Roman"/>
                <w:color w:val="000000"/>
                <w:szCs w:val="21"/>
              </w:rPr>
            </w:pPr>
            <w:r>
              <w:rPr>
                <w:rFonts w:hint="eastAsia" w:ascii="宋体" w:hAnsi="宋体" w:eastAsia="宋体" w:cs="Times New Roman"/>
                <w:color w:val="000000"/>
                <w:szCs w:val="21"/>
              </w:rPr>
              <w:t>学会热爱生命、尊重生命、珍惜生命、体心融合。</w:t>
            </w:r>
          </w:p>
        </w:tc>
        <w:tc>
          <w:tcPr>
            <w:tcW w:w="1560" w:type="dxa"/>
            <w:vAlign w:val="center"/>
          </w:tcPr>
          <w:p w14:paraId="61124CAB">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0FF35E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FFAA37C">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课内实践</w:t>
            </w:r>
          </w:p>
        </w:tc>
        <w:tc>
          <w:tcPr>
            <w:tcW w:w="438" w:type="dxa"/>
            <w:vAlign w:val="center"/>
          </w:tcPr>
          <w:p w14:paraId="5CA866B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F8B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2D79B9">
            <w:pPr>
              <w:spacing w:line="264" w:lineRule="auto"/>
              <w:jc w:val="center"/>
              <w:rPr>
                <w:rFonts w:hint="eastAsia" w:ascii="宋体" w:hAnsi="宋体" w:eastAsia="宋体" w:cs="Times New Roman"/>
                <w:color w:val="000000"/>
                <w:szCs w:val="21"/>
              </w:rPr>
            </w:pPr>
          </w:p>
        </w:tc>
        <w:tc>
          <w:tcPr>
            <w:tcW w:w="8093" w:type="dxa"/>
            <w:gridSpan w:val="5"/>
            <w:vAlign w:val="center"/>
          </w:tcPr>
          <w:p w14:paraId="1A9C6749">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帮助大学生理解生命的可贵，唤起大学生珍惜生命的意识，认识生命的意义、确立自己的人生价值。同时融入运动健心相关知识点，帮助学生从身、心、脑多角度理解身心健康。</w:t>
            </w:r>
          </w:p>
        </w:tc>
      </w:tr>
    </w:tbl>
    <w:p w14:paraId="12B45231">
      <w:pPr>
        <w:spacing w:line="360" w:lineRule="auto"/>
        <w:jc w:val="left"/>
        <w:rPr>
          <w:rFonts w:ascii="Times New Roman" w:hAnsi="Times New Roman" w:eastAsia="宋体" w:cs="Times New Roman"/>
          <w:sz w:val="24"/>
          <w:szCs w:val="24"/>
        </w:rPr>
      </w:pPr>
    </w:p>
    <w:p w14:paraId="6A7D4109">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26B5FB0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938506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0E3C2E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699"/>
        <w:gridCol w:w="1699"/>
        <w:gridCol w:w="1699"/>
        <w:gridCol w:w="1103"/>
      </w:tblGrid>
      <w:tr w14:paraId="1177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vMerge w:val="restart"/>
            <w:vAlign w:val="center"/>
          </w:tcPr>
          <w:p w14:paraId="404B1BF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10B5F81B">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Align w:val="center"/>
          </w:tcPr>
          <w:p w14:paraId="3B4E023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C25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0" w:type="auto"/>
            <w:vMerge w:val="continue"/>
            <w:vAlign w:val="center"/>
          </w:tcPr>
          <w:p w14:paraId="143989C3">
            <w:pPr>
              <w:spacing w:line="360" w:lineRule="auto"/>
              <w:jc w:val="center"/>
              <w:rPr>
                <w:rFonts w:hint="eastAsia" w:ascii="宋体" w:hAnsi="宋体" w:eastAsia="宋体" w:cs="Times New Roman"/>
                <w:szCs w:val="21"/>
              </w:rPr>
            </w:pPr>
          </w:p>
        </w:tc>
        <w:tc>
          <w:tcPr>
            <w:tcW w:w="0" w:type="auto"/>
            <w:vAlign w:val="center"/>
          </w:tcPr>
          <w:p w14:paraId="25A4F8E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CDF6295">
            <w:pPr>
              <w:spacing w:line="360" w:lineRule="auto"/>
              <w:jc w:val="center"/>
              <w:rPr>
                <w:rFonts w:hint="eastAsia" w:ascii="宋体" w:hAnsi="宋体" w:eastAsia="宋体" w:cs="Times New Roman"/>
                <w:szCs w:val="21"/>
              </w:rPr>
            </w:pPr>
            <w:r>
              <w:rPr>
                <w:rFonts w:hint="eastAsia" w:ascii="宋体" w:hAnsi="宋体" w:eastAsia="宋体" w:cs="Times New Roman"/>
                <w:szCs w:val="21"/>
              </w:rPr>
              <w:t>实践作业</w:t>
            </w:r>
          </w:p>
        </w:tc>
        <w:tc>
          <w:tcPr>
            <w:tcW w:w="0" w:type="auto"/>
            <w:vAlign w:val="center"/>
          </w:tcPr>
          <w:p w14:paraId="5C08847A">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104" w:type="dxa"/>
            <w:vAlign w:val="center"/>
          </w:tcPr>
          <w:p w14:paraId="6B3EA689">
            <w:pPr>
              <w:spacing w:line="360" w:lineRule="auto"/>
              <w:jc w:val="center"/>
              <w:rPr>
                <w:rFonts w:hint="eastAsia" w:ascii="宋体" w:hAnsi="宋体" w:eastAsia="宋体" w:cs="Times New Roman"/>
                <w:szCs w:val="21"/>
              </w:rPr>
            </w:pPr>
          </w:p>
        </w:tc>
      </w:tr>
      <w:tr w14:paraId="703B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0" w:type="auto"/>
            <w:vAlign w:val="center"/>
          </w:tcPr>
          <w:p w14:paraId="3485FEC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24C541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3821220">
            <w:pPr>
              <w:spacing w:line="360" w:lineRule="auto"/>
              <w:jc w:val="center"/>
              <w:rPr>
                <w:rFonts w:hint="eastAsia" w:ascii="宋体" w:hAnsi="宋体" w:eastAsia="宋体" w:cs="Times New Roman"/>
                <w:szCs w:val="21"/>
              </w:rPr>
            </w:pPr>
          </w:p>
        </w:tc>
        <w:tc>
          <w:tcPr>
            <w:tcW w:w="0" w:type="auto"/>
            <w:vAlign w:val="center"/>
          </w:tcPr>
          <w:p w14:paraId="1B88D56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04" w:type="dxa"/>
            <w:vAlign w:val="center"/>
          </w:tcPr>
          <w:p w14:paraId="37B364B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507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vAlign w:val="center"/>
          </w:tcPr>
          <w:p w14:paraId="25A5B81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0B8A64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151DA1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7F1612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04" w:type="dxa"/>
            <w:vAlign w:val="center"/>
          </w:tcPr>
          <w:p w14:paraId="1D63E161">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0F0A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vAlign w:val="center"/>
          </w:tcPr>
          <w:p w14:paraId="7A2B205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128B45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A7A638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AB3E2E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04" w:type="dxa"/>
            <w:vAlign w:val="center"/>
          </w:tcPr>
          <w:p w14:paraId="47EE061B">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2B9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0" w:type="auto"/>
            <w:vAlign w:val="center"/>
          </w:tcPr>
          <w:p w14:paraId="6EF41EC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6506BD55">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0" w:type="auto"/>
            <w:vAlign w:val="center"/>
          </w:tcPr>
          <w:p w14:paraId="569920B9">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0" w:type="auto"/>
            <w:vAlign w:val="center"/>
          </w:tcPr>
          <w:p w14:paraId="09659926">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1104" w:type="dxa"/>
            <w:vAlign w:val="center"/>
          </w:tcPr>
          <w:p w14:paraId="06D97B8C">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F35E0CE">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E693FB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15042C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461"/>
        <w:gridCol w:w="706"/>
      </w:tblGrid>
      <w:tr w14:paraId="092A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C1B18F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461" w:type="dxa"/>
            <w:vAlign w:val="center"/>
          </w:tcPr>
          <w:p w14:paraId="11EC60F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A6856F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A9C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D7B5C1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461" w:type="dxa"/>
            <w:vAlign w:val="center"/>
          </w:tcPr>
          <w:p w14:paraId="25655EDB">
            <w:pPr>
              <w:spacing w:line="264" w:lineRule="auto"/>
              <w:jc w:val="left"/>
              <w:rPr>
                <w:rFonts w:ascii="宋体" w:hAnsi="宋体" w:eastAsia="宋体" w:cs="Times New Roman"/>
                <w:szCs w:val="21"/>
              </w:rPr>
            </w:pPr>
            <w:r>
              <w:rPr>
                <w:rFonts w:hint="eastAsia" w:ascii="宋体" w:hAnsi="宋体" w:eastAsia="宋体"/>
                <w:bCs/>
                <w:kern w:val="24"/>
                <w:szCs w:val="21"/>
              </w:rPr>
              <w:t>按时出勤，不迟到不早退，完成线上视频的观看；积极参与课堂讨论，回答教师提问；能完成课堂作业。</w:t>
            </w:r>
          </w:p>
        </w:tc>
        <w:tc>
          <w:tcPr>
            <w:tcW w:w="0" w:type="auto"/>
            <w:vAlign w:val="center"/>
          </w:tcPr>
          <w:p w14:paraId="3FAF1D14">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61B4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99BE60B">
            <w:pPr>
              <w:rPr>
                <w:rFonts w:ascii="Times New Roman" w:hAnsi="Times New Roman" w:eastAsia="宋体" w:cs="Times New Roman"/>
                <w:szCs w:val="21"/>
              </w:rPr>
            </w:pPr>
            <w:r>
              <w:rPr>
                <w:rFonts w:hint="eastAsia" w:ascii="Times New Roman" w:hAnsi="Times New Roman" w:eastAsia="宋体" w:cs="Times New Roman"/>
                <w:szCs w:val="21"/>
              </w:rPr>
              <w:t>实践作业</w:t>
            </w:r>
          </w:p>
        </w:tc>
        <w:tc>
          <w:tcPr>
            <w:tcW w:w="6461" w:type="dxa"/>
            <w:vAlign w:val="center"/>
          </w:tcPr>
          <w:p w14:paraId="15F33FDE">
            <w:pPr>
              <w:widowControl/>
              <w:spacing w:line="264" w:lineRule="auto"/>
              <w:jc w:val="left"/>
              <w:rPr>
                <w:rFonts w:hint="eastAsia" w:ascii="宋体" w:hAnsi="宋体" w:eastAsia="宋体" w:cs="Times New Roman"/>
                <w:szCs w:val="21"/>
              </w:rPr>
            </w:pPr>
            <w:r>
              <w:rPr>
                <w:rFonts w:hint="eastAsia" w:ascii="宋体" w:hAnsi="宋体" w:eastAsia="宋体" w:cs="Times New Roman"/>
                <w:szCs w:val="21"/>
              </w:rPr>
              <w:t>认真按时完成每次实践项目；积极参与小组实践活动并能做出自己的贡献；实践项目完成质量高，参与投入度高。</w:t>
            </w:r>
          </w:p>
        </w:tc>
        <w:tc>
          <w:tcPr>
            <w:tcW w:w="0" w:type="auto"/>
            <w:vAlign w:val="center"/>
          </w:tcPr>
          <w:p w14:paraId="30B35F3E">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25C7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A3E7E36">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461" w:type="dxa"/>
            <w:vAlign w:val="center"/>
          </w:tcPr>
          <w:p w14:paraId="30CE54F7">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olor w:val="000000"/>
                <w:szCs w:val="21"/>
              </w:rPr>
              <w:t>期末报告/论文完成情况：格式规范、结构完整、自我分析有深度、符合实际情况等进行综合评估。</w:t>
            </w:r>
          </w:p>
        </w:tc>
        <w:tc>
          <w:tcPr>
            <w:tcW w:w="0" w:type="auto"/>
            <w:vAlign w:val="center"/>
          </w:tcPr>
          <w:p w14:paraId="026502D7">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07D7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7841A1D">
            <w:pPr>
              <w:rPr>
                <w:rFonts w:ascii="Times New Roman" w:hAnsi="Times New Roman" w:eastAsia="宋体" w:cs="Times New Roman"/>
                <w:szCs w:val="21"/>
              </w:rPr>
            </w:pPr>
            <w:r>
              <w:rPr>
                <w:rFonts w:hint="eastAsia" w:ascii="Times New Roman" w:hAnsi="Times New Roman" w:eastAsia="宋体" w:cs="Times New Roman"/>
                <w:b/>
                <w:bCs/>
                <w:szCs w:val="21"/>
              </w:rPr>
              <w:t>合计</w:t>
            </w:r>
          </w:p>
        </w:tc>
        <w:tc>
          <w:tcPr>
            <w:tcW w:w="6461" w:type="dxa"/>
            <w:vAlign w:val="center"/>
          </w:tcPr>
          <w:p w14:paraId="6F5252E8">
            <w:pPr>
              <w:spacing w:line="264" w:lineRule="auto"/>
              <w:jc w:val="left"/>
              <w:rPr>
                <w:rFonts w:hint="eastAsia" w:ascii="Times New Roman" w:hAnsi="Times New Roman" w:eastAsia="宋体" w:cs="Times New Roman"/>
                <w:szCs w:val="21"/>
              </w:rPr>
            </w:pPr>
          </w:p>
        </w:tc>
        <w:tc>
          <w:tcPr>
            <w:tcW w:w="0" w:type="auto"/>
            <w:vAlign w:val="center"/>
          </w:tcPr>
          <w:p w14:paraId="77CC733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A4D5B1A">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9873E8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D3C473E">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4"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34" DrawAspect="Content" ObjectID="_1468075734" r:id="rId17">
            <o:LockedField>false</o:LockedField>
          </o:OLEObject>
        </w:object>
      </w:r>
    </w:p>
    <w:p w14:paraId="45C7D820">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5A4C84A2">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本课程在系统教学的基础上，以学生能力为导向，科学设计课内实践活动，丰富教育教学形式，隔周进行课内实践活动，巩固学生心理健康教育教学效果。</w:t>
      </w:r>
    </w:p>
    <w:p w14:paraId="38F9A53B">
      <w:pPr>
        <w:spacing w:after="156" w:afterLines="50" w:line="360" w:lineRule="auto"/>
        <w:ind w:firstLine="442" w:firstLineChars="200"/>
        <w:jc w:val="center"/>
        <w:rPr>
          <w:rFonts w:hint="eastAsia" w:ascii="宋体" w:hAnsi="宋体" w:eastAsia="宋体"/>
          <w:b/>
          <w:bCs/>
          <w:sz w:val="22"/>
        </w:rPr>
      </w:pPr>
      <w:r>
        <w:rPr>
          <w:rFonts w:hint="eastAsia" w:ascii="宋体" w:hAnsi="宋体" w:eastAsia="宋体"/>
          <w:b/>
          <w:bCs/>
          <w:sz w:val="22"/>
        </w:rPr>
        <w:t>课内实践项目表</w:t>
      </w:r>
    </w:p>
    <w:tbl>
      <w:tblPr>
        <w:tblStyle w:val="1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2"/>
        <w:gridCol w:w="5277"/>
      </w:tblGrid>
      <w:tr w14:paraId="36FB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09" w:type="dxa"/>
            <w:shd w:val="clear" w:color="auto" w:fill="auto"/>
            <w:vAlign w:val="center"/>
          </w:tcPr>
          <w:p w14:paraId="42E9F714">
            <w:pPr>
              <w:spacing w:line="360" w:lineRule="auto"/>
              <w:jc w:val="center"/>
              <w:rPr>
                <w:rFonts w:ascii="宋体" w:hAnsi="宋体" w:eastAsia="宋体"/>
                <w:b/>
                <w:bCs/>
                <w:szCs w:val="21"/>
              </w:rPr>
            </w:pPr>
            <w:r>
              <w:rPr>
                <w:rFonts w:ascii="宋体" w:hAnsi="宋体" w:eastAsia="宋体"/>
                <w:b/>
                <w:bCs/>
                <w:szCs w:val="21"/>
              </w:rPr>
              <w:t>序号</w:t>
            </w:r>
          </w:p>
        </w:tc>
        <w:tc>
          <w:tcPr>
            <w:tcW w:w="2121" w:type="dxa"/>
            <w:shd w:val="clear" w:color="auto" w:fill="auto"/>
            <w:vAlign w:val="center"/>
          </w:tcPr>
          <w:p w14:paraId="15692270">
            <w:pPr>
              <w:spacing w:line="360" w:lineRule="auto"/>
              <w:jc w:val="center"/>
              <w:rPr>
                <w:rFonts w:ascii="宋体" w:hAnsi="宋体" w:eastAsia="宋体"/>
                <w:b/>
                <w:bCs/>
                <w:szCs w:val="21"/>
              </w:rPr>
            </w:pPr>
            <w:r>
              <w:rPr>
                <w:rFonts w:hint="eastAsia" w:ascii="宋体" w:hAnsi="宋体" w:eastAsia="宋体"/>
                <w:b/>
                <w:bCs/>
                <w:szCs w:val="21"/>
              </w:rPr>
              <w:t>实践主题</w:t>
            </w:r>
          </w:p>
        </w:tc>
        <w:tc>
          <w:tcPr>
            <w:tcW w:w="4253" w:type="dxa"/>
            <w:vAlign w:val="center"/>
          </w:tcPr>
          <w:p w14:paraId="5025C041">
            <w:pPr>
              <w:spacing w:line="360" w:lineRule="auto"/>
              <w:jc w:val="center"/>
              <w:rPr>
                <w:rFonts w:ascii="宋体" w:hAnsi="宋体" w:eastAsia="宋体"/>
                <w:b/>
                <w:bCs/>
                <w:szCs w:val="21"/>
              </w:rPr>
            </w:pPr>
            <w:r>
              <w:rPr>
                <w:rFonts w:hint="eastAsia" w:ascii="宋体" w:hAnsi="宋体" w:eastAsia="宋体"/>
                <w:b/>
                <w:bCs/>
                <w:szCs w:val="21"/>
              </w:rPr>
              <w:t>实践项目</w:t>
            </w:r>
          </w:p>
        </w:tc>
      </w:tr>
      <w:tr w14:paraId="2346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1EC4B651">
            <w:pPr>
              <w:spacing w:line="360" w:lineRule="auto"/>
              <w:jc w:val="center"/>
              <w:rPr>
                <w:rFonts w:ascii="宋体" w:hAnsi="宋体" w:eastAsia="宋体"/>
                <w:szCs w:val="21"/>
              </w:rPr>
            </w:pPr>
            <w:r>
              <w:rPr>
                <w:rFonts w:hint="eastAsia" w:ascii="宋体" w:hAnsi="宋体" w:eastAsia="宋体"/>
                <w:szCs w:val="21"/>
              </w:rPr>
              <w:t>1</w:t>
            </w:r>
          </w:p>
        </w:tc>
        <w:tc>
          <w:tcPr>
            <w:tcW w:w="2121" w:type="dxa"/>
            <w:shd w:val="clear" w:color="auto" w:fill="auto"/>
            <w:vAlign w:val="center"/>
          </w:tcPr>
          <w:p w14:paraId="3B4B9DB1">
            <w:pPr>
              <w:spacing w:line="360" w:lineRule="auto"/>
              <w:jc w:val="center"/>
              <w:rPr>
                <w:rFonts w:ascii="宋体" w:hAnsi="宋体" w:eastAsia="宋体"/>
                <w:szCs w:val="21"/>
              </w:rPr>
            </w:pPr>
            <w:r>
              <w:rPr>
                <w:rFonts w:hint="eastAsia" w:ascii="宋体" w:hAnsi="宋体" w:eastAsia="宋体"/>
                <w:szCs w:val="21"/>
              </w:rPr>
              <w:t>探寻心理健康</w:t>
            </w:r>
          </w:p>
        </w:tc>
        <w:tc>
          <w:tcPr>
            <w:tcW w:w="4253" w:type="dxa"/>
            <w:vAlign w:val="center"/>
          </w:tcPr>
          <w:p w14:paraId="5E5A5FD8">
            <w:pPr>
              <w:spacing w:line="360" w:lineRule="auto"/>
              <w:jc w:val="left"/>
              <w:rPr>
                <w:rFonts w:ascii="宋体" w:hAnsi="宋体" w:eastAsia="宋体"/>
                <w:szCs w:val="21"/>
              </w:rPr>
            </w:pPr>
            <w:r>
              <w:rPr>
                <w:rFonts w:hint="eastAsia" w:ascii="宋体" w:hAnsi="宋体" w:eastAsia="宋体"/>
                <w:szCs w:val="21"/>
              </w:rPr>
              <w:t>走进心理中心，参加心理健康测评</w:t>
            </w:r>
          </w:p>
        </w:tc>
      </w:tr>
      <w:tr w14:paraId="754A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30629D0">
            <w:pPr>
              <w:spacing w:line="360" w:lineRule="auto"/>
              <w:jc w:val="center"/>
              <w:rPr>
                <w:rFonts w:ascii="宋体" w:hAnsi="宋体" w:eastAsia="宋体"/>
                <w:szCs w:val="21"/>
              </w:rPr>
            </w:pPr>
            <w:r>
              <w:rPr>
                <w:rFonts w:hint="eastAsia" w:ascii="宋体" w:hAnsi="宋体" w:eastAsia="宋体"/>
                <w:szCs w:val="21"/>
              </w:rPr>
              <w:t>2</w:t>
            </w:r>
          </w:p>
        </w:tc>
        <w:tc>
          <w:tcPr>
            <w:tcW w:w="2121" w:type="dxa"/>
            <w:shd w:val="clear" w:color="auto" w:fill="auto"/>
            <w:vAlign w:val="center"/>
          </w:tcPr>
          <w:p w14:paraId="4EB2518C">
            <w:pPr>
              <w:spacing w:line="360" w:lineRule="auto"/>
              <w:jc w:val="center"/>
              <w:rPr>
                <w:rFonts w:ascii="宋体" w:hAnsi="宋体" w:eastAsia="宋体"/>
                <w:szCs w:val="21"/>
              </w:rPr>
            </w:pPr>
            <w:r>
              <w:rPr>
                <w:rFonts w:hint="eastAsia" w:ascii="宋体" w:hAnsi="宋体" w:eastAsia="宋体"/>
                <w:szCs w:val="21"/>
              </w:rPr>
              <w:t>探索自我奥秘</w:t>
            </w:r>
          </w:p>
        </w:tc>
        <w:tc>
          <w:tcPr>
            <w:tcW w:w="4253" w:type="dxa"/>
            <w:vAlign w:val="center"/>
          </w:tcPr>
          <w:p w14:paraId="5A319D61">
            <w:pPr>
              <w:spacing w:line="360" w:lineRule="auto"/>
              <w:jc w:val="left"/>
              <w:rPr>
                <w:rFonts w:ascii="宋体" w:hAnsi="宋体" w:eastAsia="宋体"/>
                <w:szCs w:val="21"/>
              </w:rPr>
            </w:pPr>
            <w:r>
              <w:rPr>
                <w:rFonts w:hint="eastAsia" w:ascii="宋体" w:hAnsi="宋体" w:eastAsia="宋体"/>
                <w:szCs w:val="21"/>
              </w:rPr>
              <w:t>心理自画像，对话未知自我，了解经验自我，提升自我效能感</w:t>
            </w:r>
          </w:p>
        </w:tc>
      </w:tr>
      <w:tr w14:paraId="6272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1B4CFA5C">
            <w:pPr>
              <w:spacing w:line="360" w:lineRule="auto"/>
              <w:jc w:val="center"/>
              <w:rPr>
                <w:rFonts w:ascii="宋体" w:hAnsi="宋体" w:eastAsia="宋体"/>
                <w:szCs w:val="21"/>
              </w:rPr>
            </w:pPr>
            <w:r>
              <w:rPr>
                <w:rFonts w:hint="eastAsia" w:ascii="宋体" w:hAnsi="宋体" w:eastAsia="宋体"/>
                <w:szCs w:val="21"/>
              </w:rPr>
              <w:t>3</w:t>
            </w:r>
          </w:p>
        </w:tc>
        <w:tc>
          <w:tcPr>
            <w:tcW w:w="2121" w:type="dxa"/>
            <w:shd w:val="clear" w:color="auto" w:fill="auto"/>
            <w:vAlign w:val="center"/>
          </w:tcPr>
          <w:p w14:paraId="690105A2">
            <w:pPr>
              <w:spacing w:line="360" w:lineRule="auto"/>
              <w:jc w:val="center"/>
              <w:rPr>
                <w:rFonts w:ascii="宋体" w:hAnsi="宋体" w:eastAsia="宋体"/>
                <w:szCs w:val="21"/>
              </w:rPr>
            </w:pPr>
            <w:r>
              <w:rPr>
                <w:rFonts w:hint="eastAsia" w:ascii="宋体" w:hAnsi="宋体" w:eastAsia="宋体"/>
                <w:szCs w:val="21"/>
              </w:rPr>
              <w:t>揭示人格面具</w:t>
            </w:r>
          </w:p>
        </w:tc>
        <w:tc>
          <w:tcPr>
            <w:tcW w:w="4253" w:type="dxa"/>
            <w:vAlign w:val="center"/>
          </w:tcPr>
          <w:p w14:paraId="0FD05381">
            <w:pPr>
              <w:spacing w:line="360" w:lineRule="auto"/>
              <w:jc w:val="left"/>
              <w:rPr>
                <w:rFonts w:ascii="宋体" w:hAnsi="宋体" w:eastAsia="宋体"/>
                <w:szCs w:val="21"/>
              </w:rPr>
            </w:pPr>
            <w:r>
              <w:rPr>
                <w:rFonts w:hint="eastAsia" w:ascii="宋体" w:hAnsi="宋体" w:eastAsia="宋体"/>
                <w:szCs w:val="21"/>
              </w:rPr>
              <w:t>特质挖挖挖，MBTI测试，优势大拍卖</w:t>
            </w:r>
          </w:p>
        </w:tc>
      </w:tr>
      <w:tr w14:paraId="696E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BF9E29C">
            <w:pPr>
              <w:spacing w:line="360" w:lineRule="auto"/>
              <w:jc w:val="center"/>
              <w:rPr>
                <w:rFonts w:ascii="宋体" w:hAnsi="宋体" w:eastAsia="宋体"/>
                <w:szCs w:val="21"/>
              </w:rPr>
            </w:pPr>
            <w:r>
              <w:rPr>
                <w:rFonts w:ascii="宋体" w:hAnsi="宋体" w:eastAsia="宋体"/>
                <w:szCs w:val="21"/>
              </w:rPr>
              <w:t>4</w:t>
            </w:r>
          </w:p>
        </w:tc>
        <w:tc>
          <w:tcPr>
            <w:tcW w:w="2121" w:type="dxa"/>
            <w:shd w:val="clear" w:color="auto" w:fill="auto"/>
            <w:vAlign w:val="center"/>
          </w:tcPr>
          <w:p w14:paraId="607B0B04">
            <w:pPr>
              <w:spacing w:line="360" w:lineRule="auto"/>
              <w:jc w:val="center"/>
              <w:rPr>
                <w:rFonts w:ascii="宋体" w:hAnsi="宋体" w:eastAsia="宋体"/>
                <w:szCs w:val="21"/>
              </w:rPr>
            </w:pPr>
            <w:r>
              <w:rPr>
                <w:rFonts w:hint="eastAsia" w:ascii="宋体" w:hAnsi="宋体" w:eastAsia="宋体"/>
                <w:szCs w:val="21"/>
              </w:rPr>
              <w:t>成为高效学习者</w:t>
            </w:r>
          </w:p>
        </w:tc>
        <w:tc>
          <w:tcPr>
            <w:tcW w:w="4253" w:type="dxa"/>
            <w:vAlign w:val="center"/>
          </w:tcPr>
          <w:p w14:paraId="2865CCE0">
            <w:pPr>
              <w:spacing w:line="360" w:lineRule="auto"/>
              <w:jc w:val="left"/>
              <w:rPr>
                <w:rFonts w:ascii="宋体" w:hAnsi="宋体" w:eastAsia="宋体"/>
                <w:szCs w:val="21"/>
              </w:rPr>
            </w:pPr>
            <w:r>
              <w:rPr>
                <w:rFonts w:hint="eastAsia" w:ascii="宋体" w:hAnsi="宋体" w:eastAsia="宋体"/>
                <w:szCs w:val="21"/>
              </w:rPr>
              <w:t>学习方式大探索，时间管理方法，头脑风暴集锦，学习策略分享会</w:t>
            </w:r>
          </w:p>
        </w:tc>
      </w:tr>
      <w:tr w14:paraId="486F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74002B7">
            <w:pPr>
              <w:spacing w:line="360" w:lineRule="auto"/>
              <w:jc w:val="center"/>
              <w:rPr>
                <w:rFonts w:ascii="宋体" w:hAnsi="宋体" w:eastAsia="宋体"/>
                <w:szCs w:val="21"/>
              </w:rPr>
            </w:pPr>
            <w:r>
              <w:rPr>
                <w:rFonts w:ascii="宋体" w:hAnsi="宋体" w:eastAsia="宋体"/>
                <w:szCs w:val="21"/>
              </w:rPr>
              <w:t>5</w:t>
            </w:r>
          </w:p>
        </w:tc>
        <w:tc>
          <w:tcPr>
            <w:tcW w:w="2121" w:type="dxa"/>
            <w:shd w:val="clear" w:color="auto" w:fill="auto"/>
            <w:vAlign w:val="center"/>
          </w:tcPr>
          <w:p w14:paraId="3F6F30EB">
            <w:pPr>
              <w:spacing w:line="360" w:lineRule="auto"/>
              <w:jc w:val="center"/>
              <w:rPr>
                <w:rFonts w:ascii="宋体" w:hAnsi="宋体" w:eastAsia="宋体"/>
                <w:szCs w:val="21"/>
              </w:rPr>
            </w:pPr>
            <w:r>
              <w:rPr>
                <w:rFonts w:hint="eastAsia" w:ascii="宋体" w:hAnsi="宋体" w:eastAsia="宋体"/>
                <w:szCs w:val="21"/>
              </w:rPr>
              <w:t>接纳多彩情绪</w:t>
            </w:r>
          </w:p>
        </w:tc>
        <w:tc>
          <w:tcPr>
            <w:tcW w:w="4253" w:type="dxa"/>
            <w:vAlign w:val="center"/>
          </w:tcPr>
          <w:p w14:paraId="7193F802">
            <w:pPr>
              <w:spacing w:line="360" w:lineRule="auto"/>
              <w:jc w:val="left"/>
              <w:rPr>
                <w:rFonts w:ascii="宋体" w:hAnsi="宋体" w:eastAsia="宋体"/>
                <w:szCs w:val="21"/>
              </w:rPr>
            </w:pPr>
            <w:r>
              <w:rPr>
                <w:rFonts w:hint="eastAsia" w:ascii="宋体" w:hAnsi="宋体" w:eastAsia="宋体"/>
                <w:szCs w:val="21"/>
              </w:rPr>
              <w:t>心理电影赏析</w:t>
            </w:r>
          </w:p>
        </w:tc>
      </w:tr>
      <w:tr w14:paraId="679B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9201585">
            <w:pPr>
              <w:spacing w:line="360" w:lineRule="auto"/>
              <w:jc w:val="center"/>
              <w:rPr>
                <w:rFonts w:ascii="宋体" w:hAnsi="宋体" w:eastAsia="宋体"/>
                <w:szCs w:val="21"/>
              </w:rPr>
            </w:pPr>
            <w:r>
              <w:rPr>
                <w:rFonts w:hint="eastAsia" w:ascii="宋体" w:hAnsi="宋体" w:eastAsia="宋体"/>
                <w:szCs w:val="21"/>
              </w:rPr>
              <w:t>6</w:t>
            </w:r>
          </w:p>
        </w:tc>
        <w:tc>
          <w:tcPr>
            <w:tcW w:w="2121" w:type="dxa"/>
            <w:shd w:val="clear" w:color="auto" w:fill="auto"/>
            <w:vAlign w:val="center"/>
          </w:tcPr>
          <w:p w14:paraId="680E77F3">
            <w:pPr>
              <w:spacing w:line="360" w:lineRule="auto"/>
              <w:jc w:val="center"/>
              <w:rPr>
                <w:rFonts w:ascii="宋体" w:hAnsi="宋体" w:eastAsia="宋体"/>
                <w:szCs w:val="21"/>
              </w:rPr>
            </w:pPr>
            <w:r>
              <w:rPr>
                <w:rFonts w:hint="eastAsia" w:ascii="宋体" w:hAnsi="宋体" w:eastAsia="宋体"/>
                <w:szCs w:val="21"/>
              </w:rPr>
              <w:t>掌握沟通秘籍</w:t>
            </w:r>
          </w:p>
        </w:tc>
        <w:tc>
          <w:tcPr>
            <w:tcW w:w="4253" w:type="dxa"/>
            <w:vAlign w:val="center"/>
          </w:tcPr>
          <w:p w14:paraId="7C3DF072">
            <w:pPr>
              <w:spacing w:line="360" w:lineRule="auto"/>
              <w:jc w:val="left"/>
              <w:rPr>
                <w:rFonts w:ascii="宋体" w:hAnsi="宋体" w:eastAsia="宋体"/>
                <w:szCs w:val="21"/>
              </w:rPr>
            </w:pPr>
            <w:r>
              <w:rPr>
                <w:rFonts w:hint="eastAsia" w:ascii="宋体" w:hAnsi="宋体" w:eastAsia="宋体"/>
                <w:szCs w:val="21"/>
              </w:rPr>
              <w:t>班级心理团辅活动</w:t>
            </w:r>
          </w:p>
        </w:tc>
      </w:tr>
      <w:tr w14:paraId="52AA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1244DC84">
            <w:pPr>
              <w:spacing w:line="360" w:lineRule="auto"/>
              <w:jc w:val="center"/>
              <w:rPr>
                <w:rFonts w:ascii="宋体" w:hAnsi="宋体" w:eastAsia="宋体"/>
                <w:szCs w:val="21"/>
              </w:rPr>
            </w:pPr>
            <w:r>
              <w:rPr>
                <w:rFonts w:hint="eastAsia" w:ascii="宋体" w:hAnsi="宋体" w:eastAsia="宋体"/>
                <w:szCs w:val="21"/>
              </w:rPr>
              <w:t>7</w:t>
            </w:r>
          </w:p>
        </w:tc>
        <w:tc>
          <w:tcPr>
            <w:tcW w:w="2121" w:type="dxa"/>
            <w:shd w:val="clear" w:color="auto" w:fill="auto"/>
            <w:vAlign w:val="center"/>
          </w:tcPr>
          <w:p w14:paraId="27395B7B">
            <w:pPr>
              <w:spacing w:line="360" w:lineRule="auto"/>
              <w:jc w:val="center"/>
              <w:rPr>
                <w:rFonts w:ascii="宋体" w:hAnsi="宋体" w:eastAsia="宋体"/>
                <w:szCs w:val="21"/>
              </w:rPr>
            </w:pPr>
            <w:r>
              <w:rPr>
                <w:rFonts w:hint="eastAsia" w:ascii="宋体" w:hAnsi="宋体" w:eastAsia="宋体"/>
                <w:szCs w:val="21"/>
              </w:rPr>
              <w:t>运动健心</w:t>
            </w:r>
          </w:p>
        </w:tc>
        <w:tc>
          <w:tcPr>
            <w:tcW w:w="4253" w:type="dxa"/>
            <w:vAlign w:val="center"/>
          </w:tcPr>
          <w:p w14:paraId="519CDD9B">
            <w:pPr>
              <w:spacing w:line="360" w:lineRule="auto"/>
              <w:jc w:val="left"/>
              <w:rPr>
                <w:rFonts w:ascii="宋体" w:hAnsi="宋体" w:eastAsia="宋体"/>
                <w:szCs w:val="21"/>
              </w:rPr>
            </w:pPr>
            <w:r>
              <w:rPr>
                <w:rFonts w:hint="eastAsia" w:ascii="宋体" w:hAnsi="宋体" w:eastAsia="宋体"/>
                <w:szCs w:val="21"/>
              </w:rPr>
              <w:t>体心融合主题活动</w:t>
            </w:r>
          </w:p>
        </w:tc>
      </w:tr>
      <w:tr w14:paraId="5A8A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5C8A1938">
            <w:pPr>
              <w:spacing w:line="360" w:lineRule="auto"/>
              <w:jc w:val="center"/>
              <w:rPr>
                <w:rFonts w:ascii="宋体" w:hAnsi="宋体" w:eastAsia="宋体"/>
                <w:szCs w:val="21"/>
              </w:rPr>
            </w:pPr>
            <w:r>
              <w:rPr>
                <w:rFonts w:ascii="宋体" w:hAnsi="宋体" w:eastAsia="宋体"/>
                <w:szCs w:val="21"/>
              </w:rPr>
              <w:t>8</w:t>
            </w:r>
          </w:p>
        </w:tc>
        <w:tc>
          <w:tcPr>
            <w:tcW w:w="2121" w:type="dxa"/>
            <w:shd w:val="clear" w:color="auto" w:fill="auto"/>
            <w:vAlign w:val="center"/>
          </w:tcPr>
          <w:p w14:paraId="71E72187">
            <w:pPr>
              <w:spacing w:line="360" w:lineRule="auto"/>
              <w:jc w:val="center"/>
              <w:rPr>
                <w:rFonts w:ascii="宋体" w:hAnsi="宋体" w:eastAsia="宋体"/>
                <w:szCs w:val="21"/>
              </w:rPr>
            </w:pPr>
            <w:r>
              <w:rPr>
                <w:rFonts w:hint="eastAsia" w:ascii="宋体" w:hAnsi="宋体" w:eastAsia="宋体"/>
                <w:szCs w:val="21"/>
              </w:rPr>
              <w:t>自我成长</w:t>
            </w:r>
          </w:p>
        </w:tc>
        <w:tc>
          <w:tcPr>
            <w:tcW w:w="4253" w:type="dxa"/>
            <w:vAlign w:val="center"/>
          </w:tcPr>
          <w:p w14:paraId="4ABCD3E9">
            <w:pPr>
              <w:spacing w:line="360" w:lineRule="auto"/>
              <w:jc w:val="left"/>
              <w:rPr>
                <w:rFonts w:ascii="宋体" w:hAnsi="宋体" w:eastAsia="宋体"/>
                <w:szCs w:val="21"/>
              </w:rPr>
            </w:pPr>
            <w:r>
              <w:rPr>
                <w:rFonts w:hint="eastAsia" w:ascii="宋体" w:hAnsi="宋体" w:eastAsia="宋体"/>
                <w:szCs w:val="21"/>
              </w:rPr>
              <w:t>个人成长报告/论文</w:t>
            </w:r>
          </w:p>
        </w:tc>
      </w:tr>
    </w:tbl>
    <w:p w14:paraId="65F848BB">
      <w:pPr>
        <w:spacing w:after="156" w:afterLines="50" w:line="360" w:lineRule="auto"/>
        <w:ind w:firstLine="420" w:firstLineChars="200"/>
        <w:rPr>
          <w:rFonts w:hint="eastAsia" w:ascii="宋体" w:hAnsi="宋体" w:eastAsia="宋体"/>
          <w:szCs w:val="21"/>
        </w:rPr>
      </w:pPr>
    </w:p>
    <w:p w14:paraId="04A85A32">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6B7C730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D1C7BA4">
      <w:pPr>
        <w:spacing w:line="360" w:lineRule="auto"/>
        <w:ind w:firstLine="420" w:firstLineChars="200"/>
        <w:rPr>
          <w:rFonts w:hint="eastAsia" w:ascii="Times New Roman" w:hAnsi="Times New Roman" w:eastAsia="宋体" w:cs="Times New Roman"/>
          <w:bCs/>
          <w:szCs w:val="21"/>
        </w:rPr>
      </w:pPr>
      <w:r>
        <w:rPr>
          <w:rFonts w:hint="eastAsia" w:ascii="Times New Roman" w:hAnsi="Times New Roman" w:eastAsia="宋体" w:cs="Times New Roman"/>
          <w:bCs/>
          <w:szCs w:val="21"/>
        </w:rPr>
        <w:t>1.用积极心理学的理念指导本课程教学，在教学中大力弘扬乐观、宽容、豁达等为人处世的精神，重在培养和提高大学生实际生活中的自我反思能力、分析问题和解决问题的能力。</w:t>
      </w:r>
    </w:p>
    <w:p w14:paraId="0BD5733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bCs/>
          <w:szCs w:val="21"/>
        </w:rPr>
        <w:t>2.在教学大纲内容范畴内，倡导教学方式、教学手段的多样化，考虑学生的专业特点，开展形式多样的心理素养活动。</w:t>
      </w: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4CD248B6">
      <w:pPr>
        <w:spacing w:line="360" w:lineRule="auto"/>
        <w:jc w:val="left"/>
        <w:rPr>
          <w:rFonts w:ascii="Times New Roman" w:hAnsi="Times New Roman" w:eastAsia="宋体" w:cs="Times New Roman"/>
          <w:b/>
          <w:szCs w:val="21"/>
        </w:rPr>
      </w:pPr>
    </w:p>
    <w:p w14:paraId="0A53899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7417823">
      <w:pPr>
        <w:spacing w:line="360" w:lineRule="auto"/>
        <w:ind w:firstLine="420" w:firstLineChars="20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《大学生心理素养与行动（本科版）》，崔景贵、魏萍主编，上海交通大学出版，2024</w:t>
      </w:r>
    </w:p>
    <w:p w14:paraId="6547EDA4">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（三）参考书目</w:t>
      </w:r>
    </w:p>
    <w:p w14:paraId="0A44C2FF">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[1]</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崔景贵. 积极心理学：教育范式的行动研究[M]. 北京：知识产权出版社，2021.</w:t>
      </w:r>
    </w:p>
    <w:p w14:paraId="64CCCCED">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[2]</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费尔德曼，黄希庭. 心理学与我们[M]. 2版. 黄希庭，等，译. 北京：人民邮电出版社，2020.</w:t>
      </w:r>
    </w:p>
    <w:p w14:paraId="7DB69CDA">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[3]</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弗雷德里克森. 积极情绪的力量[M]. 王珺，译. 北京：中国纺织出版社，2021.</w:t>
      </w:r>
    </w:p>
    <w:p w14:paraId="4DC9EC4D">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[4]</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格里格，津巴多. 心理学与生活[M]. 16版. 北京：人民邮电出版社，2003.</w:t>
      </w:r>
    </w:p>
    <w:p w14:paraId="07DBE7C2">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[5]</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黄希庭，郑涌. 大学生心理健康教育[M]. 3版. 上海：华东师范大学出版社，2020.</w:t>
      </w:r>
    </w:p>
    <w:p w14:paraId="1E6CA335">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[6]</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拉希德，塞利格曼. 积极心理学治疗手册[M]. 邓之君，译. 北京：中信出版社，2020.</w:t>
      </w:r>
    </w:p>
    <w:p w14:paraId="6ADCDD6E">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[7]</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刘翔平. 积极心理学[M]. 2版. 北京：中国人民大学出版社，2018.</w:t>
      </w:r>
    </w:p>
    <w:p w14:paraId="1FDF746D">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[8]</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塞利格曼. 认识自己，接纳自己[M]. 沈阳：万卷出版公司，2010.</w:t>
      </w:r>
    </w:p>
    <w:p w14:paraId="432231F2">
      <w:pPr>
        <w:spacing w:line="360" w:lineRule="auto"/>
        <w:rPr>
          <w:rFonts w:hint="eastAsia" w:ascii="Times New Roman" w:hAnsi="Times New Roman" w:eastAsia="宋体" w:cs="Times New Roman"/>
          <w:bCs/>
          <w:szCs w:val="21"/>
        </w:rPr>
      </w:pPr>
      <w:r>
        <w:rPr>
          <w:rFonts w:hint="eastAsia" w:ascii="Times New Roman" w:hAnsi="Times New Roman" w:eastAsia="宋体" w:cs="Times New Roman"/>
          <w:bCs/>
          <w:szCs w:val="21"/>
        </w:rPr>
        <w:t>[9]</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俞国良. 大学生心理健康[M]. 2版. 北京：北京师范大学出版社，2022.</w:t>
      </w:r>
    </w:p>
    <w:p w14:paraId="43DBEC1F">
      <w:pPr>
        <w:spacing w:line="360" w:lineRule="auto"/>
        <w:rPr>
          <w:rFonts w:hint="eastAsia"/>
          <w:bCs/>
        </w:rPr>
      </w:pPr>
      <w:r>
        <w:rPr>
          <w:rFonts w:hint="eastAsia" w:ascii="Times New Roman" w:hAnsi="Times New Roman" w:eastAsia="宋体" w:cs="Times New Roman"/>
          <w:bCs/>
          <w:szCs w:val="21"/>
        </w:rPr>
        <w:t>[10]</w:t>
      </w:r>
      <w:r>
        <w:rPr>
          <w:rFonts w:hint="eastAsia" w:ascii="Times New Roman" w:hAnsi="Times New Roman" w:eastAsia="宋体" w:cs="Times New Roman"/>
          <w:bCs/>
          <w:szCs w:val="21"/>
        </w:rPr>
        <w:tab/>
      </w:r>
      <w:r>
        <w:rPr>
          <w:rFonts w:hint="eastAsia" w:ascii="Times New Roman" w:hAnsi="Times New Roman" w:eastAsia="宋体" w:cs="Times New Roman"/>
          <w:bCs/>
          <w:szCs w:val="21"/>
        </w:rPr>
        <w:t>周宗奎，等. 网络心理学[M]. 上海：华东师范大学出版社，2017.</w:t>
      </w:r>
    </w:p>
    <w:p w14:paraId="7776FD60">
      <w:pPr>
        <w:rPr>
          <w:rFonts w:hint="eastAsia"/>
        </w:rPr>
      </w:pPr>
    </w:p>
    <w:p w14:paraId="735B6788">
      <w:pPr>
        <w:rPr>
          <w:rFonts w:hint="eastAsia"/>
        </w:rPr>
      </w:pPr>
    </w:p>
    <w:p w14:paraId="674F4541">
      <w:pPr>
        <w:rPr>
          <w:rFonts w:hint="eastAsia"/>
        </w:rPr>
      </w:pPr>
    </w:p>
    <w:p w14:paraId="20E8F704">
      <w:pPr>
        <w:rPr>
          <w:rFonts w:hint="eastAsia"/>
        </w:rPr>
      </w:pPr>
    </w:p>
    <w:p w14:paraId="117A1C3C">
      <w:pPr>
        <w:ind w:right="72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执笔人：薛香</w:t>
      </w:r>
    </w:p>
    <w:p w14:paraId="3B7CD115">
      <w:pPr>
        <w:ind w:right="48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审定人：许飞菲  </w:t>
      </w:r>
    </w:p>
    <w:p w14:paraId="27D8D701">
      <w:pPr>
        <w:ind w:right="72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批准人：眭莉 </w:t>
      </w:r>
    </w:p>
    <w:p w14:paraId="4CFC5D0B">
      <w:pPr>
        <w:ind w:right="48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批准时间：</w:t>
      </w:r>
      <w:r>
        <w:rPr>
          <w:rFonts w:hint="eastAsia" w:ascii="Times New Roman" w:hAnsi="Times New Roman" w:eastAsia="宋体" w:cs="Times New Roman"/>
          <w:sz w:val="24"/>
          <w:szCs w:val="24"/>
        </w:rPr>
        <w:t>2024年8月31日</w:t>
      </w:r>
    </w:p>
    <w:p w14:paraId="6A8AD85B">
      <w:pPr>
        <w:ind w:right="480"/>
        <w:jc w:val="right"/>
        <w:rPr>
          <w:rFonts w:hint="eastAsia" w:ascii="Times New Roman" w:hAnsi="Times New Roman" w:eastAsia="宋体" w:cs="Times New Roman"/>
          <w:sz w:val="24"/>
          <w:szCs w:val="24"/>
        </w:rPr>
      </w:pPr>
    </w:p>
    <w:p w14:paraId="3AD033AC">
      <w:pPr>
        <w:rPr>
          <w:rFonts w:hint="eastAsia"/>
          <w:sz w:val="44"/>
          <w:szCs w:val="44"/>
          <w:lang w:eastAsia="zh-CN"/>
        </w:rPr>
      </w:pPr>
      <w:bookmarkStart w:id="358" w:name="_Toc12753"/>
      <w:bookmarkStart w:id="359" w:name="_Toc5115"/>
      <w:bookmarkStart w:id="360" w:name="_Toc29697"/>
      <w:bookmarkStart w:id="361" w:name="_Toc19522"/>
      <w:r>
        <w:rPr>
          <w:rFonts w:hint="eastAsia"/>
          <w:sz w:val="44"/>
          <w:szCs w:val="44"/>
          <w:lang w:eastAsia="zh-CN"/>
        </w:rPr>
        <w:br w:type="page"/>
      </w:r>
    </w:p>
    <w:p w14:paraId="3121E90E">
      <w:pPr>
        <w:pStyle w:val="2"/>
        <w:bidi w:val="0"/>
      </w:pPr>
      <w:bookmarkStart w:id="362" w:name="_Toc20191"/>
      <w:r>
        <w:rPr>
          <w:rFonts w:hint="eastAsia"/>
          <w:lang w:eastAsia="zh-CN"/>
        </w:rPr>
        <w:t>《</w:t>
      </w:r>
      <w:r>
        <w:rPr>
          <w:rFonts w:hint="eastAsia"/>
        </w:rPr>
        <w:t>大学生安全教育</w:t>
      </w:r>
      <w:r>
        <w:rPr>
          <w:rFonts w:hint="eastAsia"/>
          <w:lang w:eastAsia="zh-CN"/>
        </w:rPr>
        <w:t>》</w:t>
      </w:r>
      <w:r>
        <w:rPr>
          <w:rFonts w:hint="eastAsia"/>
        </w:rPr>
        <w:t>课程教学大纲</w:t>
      </w:r>
      <w:bookmarkEnd w:id="358"/>
      <w:bookmarkEnd w:id="359"/>
      <w:bookmarkEnd w:id="360"/>
      <w:bookmarkEnd w:id="361"/>
      <w:bookmarkEnd w:id="362"/>
    </w:p>
    <w:p w14:paraId="61C78FD9">
      <w:pPr>
        <w:pStyle w:val="2"/>
        <w:bidi w:val="0"/>
        <w:rPr>
          <w:rFonts w:hint="default"/>
        </w:rPr>
      </w:pPr>
      <w:bookmarkStart w:id="363" w:name="_Toc16580"/>
      <w:r>
        <w:rPr>
          <w:rFonts w:hint="default"/>
        </w:rPr>
        <w:t>（Campus Safety）</w:t>
      </w:r>
      <w:bookmarkEnd w:id="363"/>
    </w:p>
    <w:p w14:paraId="6D20C890">
      <w:pPr>
        <w:spacing w:line="360" w:lineRule="auto"/>
        <w:ind w:firstLine="482" w:firstLineChars="200"/>
        <w:jc w:val="left"/>
        <w:rPr>
          <w:rFonts w:ascii="宋体" w:hAnsi="宋体"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sz w:val="24"/>
          <w:szCs w:val="24"/>
        </w:rPr>
        <w:t>课程名称：大学生安全教育</w:t>
      </w:r>
    </w:p>
    <w:p w14:paraId="1D51A936">
      <w:pPr>
        <w:spacing w:line="360" w:lineRule="auto"/>
        <w:ind w:firstLine="482" w:firstLineChars="200"/>
        <w:rPr>
          <w:rFonts w:ascii="宋体" w:hAnsi="宋体" w:eastAsia="宋体" w:cs="Times New Roman"/>
          <w:color w:val="000000" w:themeColor="text1"/>
          <w:kern w:val="0"/>
          <w:sz w:val="24"/>
          <w:szCs w:val="22"/>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课程代码</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bCs/>
          <w:color w:val="000000" w:themeColor="text1"/>
          <w:kern w:val="0"/>
          <w:sz w:val="24"/>
          <w:szCs w:val="22"/>
          <w14:textFill>
            <w14:solidFill>
              <w14:schemeClr w14:val="tx1"/>
            </w14:solidFill>
          </w14:textFill>
        </w:rPr>
        <w:t>0000005</w:t>
      </w:r>
    </w:p>
    <w:p w14:paraId="564597A5">
      <w:pPr>
        <w:spacing w:line="360" w:lineRule="auto"/>
        <w:ind w:firstLine="482" w:firstLineChars="200"/>
        <w:rPr>
          <w:rFonts w:ascii="宋体" w:hAnsi="宋体" w:eastAsia="宋体" w:cs="Times New Roman"/>
          <w:b/>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分</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bCs/>
          <w:color w:val="000000" w:themeColor="text1"/>
          <w:kern w:val="0"/>
          <w:sz w:val="24"/>
          <w:szCs w:val="22"/>
          <w14:textFill>
            <w14:solidFill>
              <w14:schemeClr w14:val="tx1"/>
            </w14:solidFill>
          </w14:textFill>
        </w:rPr>
        <w:t>1</w:t>
      </w:r>
    </w:p>
    <w:p w14:paraId="4DD3A933">
      <w:pPr>
        <w:spacing w:line="360" w:lineRule="auto"/>
        <w:ind w:firstLine="482" w:firstLineChars="200"/>
        <w:rPr>
          <w:rFonts w:hint="eastAsia" w:ascii="宋体" w:hAnsi="宋体" w:eastAsia="宋体" w:cs="Times New Roman"/>
          <w:color w:val="000000" w:themeColor="text1"/>
          <w:kern w:val="0"/>
          <w:sz w:val="24"/>
          <w:lang w:val="en-US" w:eastAsia="zh-CN"/>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学    时</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color w:val="000000" w:themeColor="text1"/>
          <w:kern w:val="0"/>
          <w:sz w:val="24"/>
          <w:lang w:val="en-US" w:eastAsia="zh-CN"/>
          <w14:textFill>
            <w14:solidFill>
              <w14:schemeClr w14:val="tx1"/>
            </w14:solidFill>
          </w14:textFill>
        </w:rPr>
        <w:t>8</w:t>
      </w:r>
    </w:p>
    <w:p w14:paraId="6196C151">
      <w:pPr>
        <w:spacing w:line="360" w:lineRule="auto"/>
        <w:ind w:firstLine="482" w:firstLineChars="200"/>
        <w:jc w:val="left"/>
        <w:rPr>
          <w:rFonts w:ascii="宋体" w:hAnsi="宋体" w:eastAsia="宋体" w:cs="Times New Roman"/>
          <w:color w:val="000000" w:themeColor="text1"/>
          <w:sz w:val="24"/>
          <w:szCs w:val="22"/>
          <w14:textFill>
            <w14:solidFill>
              <w14:schemeClr w14:val="tx1"/>
            </w14:solidFill>
          </w14:textFill>
        </w:rPr>
      </w:pPr>
      <w:r>
        <w:rPr>
          <w:rFonts w:ascii="宋体" w:hAnsi="宋体" w:eastAsia="宋体" w:cs="Times New Roman"/>
          <w:b/>
          <w:bCs/>
          <w:color w:val="000000" w:themeColor="text1"/>
          <w:kern w:val="0"/>
          <w:sz w:val="24"/>
          <w:lang w:val="zh-CN"/>
          <w14:textFill>
            <w14:solidFill>
              <w14:schemeClr w14:val="tx1"/>
            </w14:solidFill>
          </w14:textFill>
        </w:rPr>
        <w:t>先修课程</w:t>
      </w:r>
      <w:r>
        <w:rPr>
          <w:rFonts w:ascii="宋体" w:hAnsi="宋体" w:eastAsia="宋体" w:cs="Times New Roman"/>
          <w:b/>
          <w:color w:val="000000" w:themeColor="text1"/>
          <w:kern w:val="0"/>
          <w:sz w:val="24"/>
          <w:lang w:val="zh-CN"/>
          <w14:textFill>
            <w14:solidFill>
              <w14:schemeClr w14:val="tx1"/>
            </w14:solidFill>
          </w14:textFill>
        </w:rPr>
        <w:t>：</w:t>
      </w:r>
      <w:r>
        <w:rPr>
          <w:rFonts w:hint="eastAsia" w:ascii="宋体" w:hAnsi="宋体" w:eastAsia="宋体" w:cs="Times New Roman"/>
          <w:b/>
          <w:bCs/>
          <w:color w:val="000000" w:themeColor="text1"/>
          <w:sz w:val="24"/>
          <w:szCs w:val="22"/>
          <w14:textFill>
            <w14:solidFill>
              <w14:schemeClr w14:val="tx1"/>
            </w14:solidFill>
          </w14:textFill>
        </w:rPr>
        <w:t>无</w:t>
      </w:r>
    </w:p>
    <w:p w14:paraId="7D9370F9">
      <w:pPr>
        <w:spacing w:line="360" w:lineRule="auto"/>
        <w:ind w:firstLine="482" w:firstLineChars="200"/>
        <w:rPr>
          <w:rFonts w:ascii="宋体" w:hAnsi="宋体" w:eastAsia="宋体" w:cs="Times New Roman"/>
          <w:color w:val="000000" w:themeColor="text1"/>
          <w:kern w:val="0"/>
          <w:sz w:val="24"/>
          <w14:textFill>
            <w14:solidFill>
              <w14:schemeClr w14:val="tx1"/>
            </w14:solidFill>
          </w14:textFill>
        </w:rPr>
      </w:pPr>
      <w:r>
        <w:rPr>
          <w:rFonts w:ascii="宋体" w:hAnsi="宋体" w:eastAsia="宋体" w:cs="Times New Roman"/>
          <w:b/>
          <w:bCs/>
          <w:color w:val="000000" w:themeColor="text1"/>
          <w:kern w:val="0"/>
          <w:sz w:val="24"/>
          <w14:textFill>
            <w14:solidFill>
              <w14:schemeClr w14:val="tx1"/>
            </w14:solidFill>
          </w14:textFill>
        </w:rPr>
        <w:t>适用专业</w:t>
      </w:r>
      <w:r>
        <w:rPr>
          <w:rFonts w:ascii="宋体" w:hAnsi="宋体" w:eastAsia="宋体" w:cs="Times New Roman"/>
          <w:b/>
          <w:color w:val="000000" w:themeColor="text1"/>
          <w:kern w:val="0"/>
          <w:sz w:val="24"/>
          <w14:textFill>
            <w14:solidFill>
              <w14:schemeClr w14:val="tx1"/>
            </w14:solidFill>
          </w14:textFill>
        </w:rPr>
        <w:t>：</w:t>
      </w:r>
      <w:r>
        <w:rPr>
          <w:rFonts w:hint="eastAsia" w:ascii="宋体" w:hAnsi="宋体" w:eastAsia="宋体" w:cs="Times New Roman"/>
          <w:b/>
          <w:bCs/>
          <w:color w:val="000000" w:themeColor="text1"/>
          <w:kern w:val="0"/>
          <w:sz w:val="24"/>
          <w14:textFill>
            <w14:solidFill>
              <w14:schemeClr w14:val="tx1"/>
            </w14:solidFill>
          </w14:textFill>
        </w:rPr>
        <w:t>全校所有专业</w:t>
      </w:r>
    </w:p>
    <w:p w14:paraId="4424C194">
      <w:pPr>
        <w:spacing w:line="360" w:lineRule="auto"/>
        <w:jc w:val="left"/>
        <w:rPr>
          <w:rFonts w:hint="eastAsia" w:ascii="宋体" w:hAnsi="宋体"/>
          <w:b/>
          <w:bCs/>
          <w:color w:val="000000" w:themeColor="text1"/>
          <w:kern w:val="0"/>
          <w:sz w:val="24"/>
          <w14:textFill>
            <w14:solidFill>
              <w14:schemeClr w14:val="tx1"/>
            </w14:solidFill>
          </w14:textFill>
        </w:rPr>
      </w:pPr>
      <w:r>
        <w:rPr>
          <w:rFonts w:hint="eastAsia" w:ascii="Times New Roman" w:hAnsi="Times New Roman" w:eastAsia="宋体" w:cs="Times New Roman"/>
          <w:b/>
          <w:sz w:val="24"/>
          <w:szCs w:val="24"/>
        </w:rPr>
        <w:t>一、课程简介</w:t>
      </w:r>
    </w:p>
    <w:p w14:paraId="29A91FA0">
      <w:pPr>
        <w:pStyle w:val="5"/>
        <w:ind w:firstLine="480"/>
        <w:rPr>
          <w:rFonts w:hint="eastAsia"/>
          <w:sz w:val="24"/>
          <w:szCs w:val="32"/>
        </w:rPr>
      </w:pPr>
      <w:r>
        <w:rPr>
          <w:rFonts w:hint="eastAsia"/>
          <w:bCs/>
          <w:sz w:val="24"/>
          <w:szCs w:val="32"/>
        </w:rPr>
        <w:t>本课程</w:t>
      </w:r>
      <w:r>
        <w:rPr>
          <w:sz w:val="24"/>
        </w:rPr>
        <w:t>是</w:t>
      </w:r>
      <w:r>
        <w:rPr>
          <w:rFonts w:hint="eastAsia"/>
          <w:sz w:val="24"/>
          <w:szCs w:val="32"/>
        </w:rPr>
        <w:t>我校全体学生须学习并考试合格</w:t>
      </w:r>
      <w:r>
        <w:rPr>
          <w:sz w:val="24"/>
          <w:szCs w:val="32"/>
        </w:rPr>
        <w:t>的一门</w:t>
      </w:r>
      <w:r>
        <w:rPr>
          <w:rFonts w:hint="eastAsia"/>
          <w:sz w:val="24"/>
          <w:szCs w:val="32"/>
        </w:rPr>
        <w:t>必修课程</w:t>
      </w:r>
      <w:r>
        <w:rPr>
          <w:sz w:val="24"/>
          <w:szCs w:val="32"/>
        </w:rPr>
        <w:t>。</w:t>
      </w:r>
      <w:r>
        <w:rPr>
          <w:rFonts w:hint="eastAsia"/>
          <w:sz w:val="24"/>
          <w:szCs w:val="32"/>
        </w:rPr>
        <w:t>通过学习《大学生安全知识竞赛题库》，掌握和提高大学生安全意识和防范能力，避免和减少安全事件的发生，确保平安、健康、快乐地度过美好的大学生活。通过学习《实验室安全教育》，使学生了解实验过程中涉及具有一定危险因素的实验环境，如高温、高压、超低温、强磁、真空、辐射、高电压和高转速等基本知识；使学生能够掌握安全、健康和环境方面的基本理论，培养其安全意识和安全素养，使其具有一定的系统安全风险分析的能力，安全操作技能和应急处置能力，以保障大学生在校学习、实验及生活的安全并满足今后职业发展的安全需要。</w:t>
      </w:r>
    </w:p>
    <w:p w14:paraId="6D318981">
      <w:pPr>
        <w:pStyle w:val="5"/>
        <w:ind w:firstLine="480"/>
        <w:rPr>
          <w:rFonts w:hint="eastAsia"/>
          <w:sz w:val="24"/>
          <w:szCs w:val="32"/>
        </w:rPr>
      </w:pPr>
    </w:p>
    <w:p w14:paraId="081D7C9D">
      <w:pPr>
        <w:pStyle w:val="5"/>
        <w:ind w:left="0" w:leftChars="0" w:firstLine="0" w:firstLineChars="0"/>
        <w:rPr>
          <w:rFonts w:hint="eastAsia"/>
          <w:b/>
          <w:bCs/>
          <w:sz w:val="24"/>
          <w:szCs w:val="32"/>
        </w:rPr>
      </w:pPr>
      <w:r>
        <w:rPr>
          <w:rFonts w:hint="eastAsia"/>
          <w:b/>
          <w:bCs/>
          <w:sz w:val="24"/>
          <w:szCs w:val="32"/>
        </w:rPr>
        <w:t>二、课程目标</w:t>
      </w:r>
    </w:p>
    <w:p w14:paraId="04A3A05C">
      <w:pPr>
        <w:pStyle w:val="5"/>
        <w:ind w:left="0" w:leftChars="0" w:firstLine="422" w:firstLineChars="200"/>
        <w:rPr>
          <w:rFonts w:hint="eastAsia"/>
          <w:b/>
          <w:bCs/>
          <w:sz w:val="21"/>
          <w:szCs w:val="21"/>
        </w:rPr>
      </w:pPr>
      <w:r>
        <w:rPr>
          <w:rFonts w:hint="eastAsia"/>
          <w:b/>
          <w:bCs/>
          <w:sz w:val="21"/>
          <w:szCs w:val="21"/>
        </w:rPr>
        <w:t>（一）课程具体目标</w:t>
      </w:r>
    </w:p>
    <w:p w14:paraId="0061CF45">
      <w:pPr>
        <w:pStyle w:val="5"/>
        <w:rPr>
          <w:rFonts w:hint="eastAsia"/>
          <w:sz w:val="21"/>
          <w:szCs w:val="21"/>
        </w:rPr>
      </w:pPr>
      <w:r>
        <w:rPr>
          <w:rFonts w:hint="eastAsia"/>
          <w:b/>
          <w:bCs/>
          <w:sz w:val="21"/>
          <w:szCs w:val="21"/>
        </w:rPr>
        <w:t xml:space="preserve">目标1. </w:t>
      </w:r>
      <w:r>
        <w:rPr>
          <w:rFonts w:hint="eastAsia"/>
          <w:sz w:val="21"/>
          <w:szCs w:val="21"/>
        </w:rPr>
        <w:t>掌握安全教育核心知识体系</w:t>
      </w:r>
      <w:r>
        <w:rPr>
          <w:rFonts w:hint="eastAsia"/>
          <w:sz w:val="21"/>
          <w:szCs w:val="21"/>
          <w:lang w:eastAsia="zh-CN"/>
        </w:rPr>
        <w:t>。</w:t>
      </w:r>
      <w:r>
        <w:rPr>
          <w:rFonts w:hint="eastAsia"/>
          <w:sz w:val="21"/>
          <w:szCs w:val="21"/>
        </w:rPr>
        <w:t>系统学习人身安全、财产安全、网络安全、心理健康、自然灾害应对等领域的核心概念与基础理论，了解国内外校园安全典型案例与政策法规，构建安全知识结构框架，初步具备识别校园及社会环境中的安全风险、制定安全防护策略的能力。</w:t>
      </w:r>
    </w:p>
    <w:p w14:paraId="7ED7E921">
      <w:pPr>
        <w:pStyle w:val="5"/>
        <w:ind w:left="0" w:leftChars="0" w:firstLine="422" w:firstLineChars="200"/>
        <w:rPr>
          <w:rFonts w:hint="eastAsia"/>
          <w:sz w:val="21"/>
          <w:szCs w:val="21"/>
        </w:rPr>
      </w:pPr>
      <w:r>
        <w:rPr>
          <w:rFonts w:hint="eastAsia"/>
          <w:b/>
          <w:bCs/>
          <w:sz w:val="21"/>
          <w:szCs w:val="21"/>
        </w:rPr>
        <w:t>目标2.</w:t>
      </w:r>
      <w:r>
        <w:rPr>
          <w:rFonts w:hint="eastAsia"/>
          <w:sz w:val="21"/>
          <w:szCs w:val="21"/>
        </w:rPr>
        <w:t xml:space="preserve"> 提升安全实践与应急处置能力</w:t>
      </w:r>
      <w:r>
        <w:rPr>
          <w:rFonts w:hint="eastAsia"/>
          <w:sz w:val="21"/>
          <w:szCs w:val="21"/>
          <w:lang w:eastAsia="zh-CN"/>
        </w:rPr>
        <w:t>。</w:t>
      </w:r>
      <w:r>
        <w:rPr>
          <w:rFonts w:hint="eastAsia"/>
          <w:sz w:val="21"/>
          <w:szCs w:val="21"/>
        </w:rPr>
        <w:t>通过情景模拟、实操演练（如火灾逃生、急救技能、防身术等），掌握应对突发安全事件的流程与技巧，能运用专业方法分析安全风险、制定应急预案，并具备在紧急情况下冷静应对、有效自救与互助的能力，为未来独立生活与社会实践奠定安全保障基础。</w:t>
      </w:r>
    </w:p>
    <w:p w14:paraId="1211B5AC">
      <w:pPr>
        <w:pStyle w:val="5"/>
        <w:ind w:left="0" w:leftChars="0" w:firstLine="0" w:firstLineChars="0"/>
        <w:rPr>
          <w:rFonts w:hint="eastAsia"/>
          <w:sz w:val="21"/>
          <w:szCs w:val="21"/>
        </w:rPr>
      </w:pPr>
    </w:p>
    <w:p w14:paraId="31559E25">
      <w:pPr>
        <w:pStyle w:val="5"/>
        <w:ind w:left="0" w:leftChars="0" w:firstLine="422" w:firstLineChars="200"/>
        <w:rPr>
          <w:rFonts w:hint="eastAsia"/>
          <w:sz w:val="21"/>
          <w:szCs w:val="21"/>
        </w:rPr>
      </w:pPr>
      <w:r>
        <w:rPr>
          <w:rFonts w:hint="eastAsia"/>
          <w:b/>
          <w:bCs/>
          <w:sz w:val="21"/>
          <w:szCs w:val="21"/>
        </w:rPr>
        <w:t>目标3.</w:t>
      </w:r>
      <w:r>
        <w:rPr>
          <w:rFonts w:hint="eastAsia"/>
          <w:sz w:val="21"/>
          <w:szCs w:val="21"/>
        </w:rPr>
        <w:t xml:space="preserve"> 树立科学安全观与责任意识</w:t>
      </w:r>
      <w:r>
        <w:rPr>
          <w:rFonts w:hint="eastAsia"/>
          <w:sz w:val="21"/>
          <w:szCs w:val="21"/>
          <w:lang w:eastAsia="zh-CN"/>
        </w:rPr>
        <w:t>。</w:t>
      </w:r>
      <w:r>
        <w:rPr>
          <w:rFonts w:hint="eastAsia"/>
          <w:sz w:val="21"/>
          <w:szCs w:val="21"/>
        </w:rPr>
        <w:t>形成正确的安全价值观，包括生命安全至上、风险防范优先、安全行为自律等理念；养成主动关注安全动态、定期更新安全知识的习惯；强化安全责任意识，自觉在日常生活与未来职业中践行安全规范，积极参与校园及社会安全文化建设，成为安全理念的传播者与实践者。</w:t>
      </w:r>
    </w:p>
    <w:p w14:paraId="597E5C7B">
      <w:pPr>
        <w:numPr>
          <w:ilvl w:val="0"/>
          <w:numId w:val="20"/>
        </w:numPr>
        <w:spacing w:before="156" w:beforeLines="50" w:after="156" w:afterLines="50" w:line="360" w:lineRule="auto"/>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1A7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8D1C3D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C90334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62A1D3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31E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1259B6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13B9196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w:t>
            </w:r>
            <w:r>
              <w:rPr>
                <w:rFonts w:hint="eastAsia" w:ascii="宋体" w:hAnsi="宋体" w:eastAsia="宋体" w:cs="宋体"/>
                <w:i w:val="0"/>
                <w:caps w:val="0"/>
                <w:color w:val="404040"/>
                <w:spacing w:val="0"/>
                <w:sz w:val="21"/>
                <w:szCs w:val="21"/>
                <w:shd w:val="clear" w:fill="FFFFFF"/>
              </w:rPr>
              <w:t>树立正确的安全价值观，深刻理解国家安全与社会稳定的重要性；认同社会主义核心价值观，自觉遵守法律法规，维护校园安全与公共秩序；具备高度的社会责任感，在安全实践中以身作则，成为学生群体中的安全表率</w:t>
            </w:r>
            <w:r>
              <w:rPr>
                <w:rFonts w:ascii="Times New Roman" w:hAnsi="Times New Roman" w:eastAsia="宋体" w:cs="Times New Roman"/>
                <w:szCs w:val="21"/>
              </w:rPr>
              <w:t>。</w:t>
            </w:r>
          </w:p>
        </w:tc>
        <w:tc>
          <w:tcPr>
            <w:tcW w:w="1191" w:type="dxa"/>
            <w:vAlign w:val="center"/>
          </w:tcPr>
          <w:p w14:paraId="323FADBC">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1</w:t>
            </w:r>
          </w:p>
        </w:tc>
      </w:tr>
      <w:tr w14:paraId="44F3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0443A5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14CDBCC8">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w:t>
            </w:r>
            <w:r>
              <w:rPr>
                <w:rFonts w:hint="eastAsia" w:ascii="宋体" w:hAnsi="宋体" w:eastAsia="宋体" w:cs="Times New Roman"/>
                <w:color w:val="000000"/>
                <w:spacing w:val="2"/>
                <w:kern w:val="0"/>
                <w:szCs w:val="21"/>
              </w:rPr>
              <w:t>关爱学生身心健康，重视安全教育在日常生活中的渗透。具备风险识别与预防意识，尊重学生个体差异，通过安全教育培养学生自我保护能力，营造安全、和谐的校园环境，成为学生健康成长的守护者</w:t>
            </w:r>
            <w:r>
              <w:rPr>
                <w:rFonts w:ascii="宋体" w:hAnsi="宋体" w:eastAsia="宋体" w:cs="Times New Roman"/>
                <w:color w:val="000000"/>
                <w:spacing w:val="2"/>
                <w:kern w:val="0"/>
                <w:szCs w:val="21"/>
              </w:rPr>
              <w:t>。</w:t>
            </w:r>
          </w:p>
        </w:tc>
        <w:tc>
          <w:tcPr>
            <w:tcW w:w="1191" w:type="dxa"/>
            <w:vAlign w:val="center"/>
          </w:tcPr>
          <w:p w14:paraId="42F437A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53FE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C914A4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09E2E3E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lang w:val="en-US" w:eastAsia="zh-CN"/>
              </w:rPr>
              <w:t>安全</w:t>
            </w:r>
            <w:r>
              <w:rPr>
                <w:rFonts w:ascii="宋体" w:hAnsi="宋体" w:eastAsia="宋体" w:cs="Times New Roman"/>
                <w:color w:val="000000"/>
                <w:spacing w:val="2"/>
                <w:kern w:val="0"/>
                <w:szCs w:val="21"/>
              </w:rPr>
              <w:t>知识</w:t>
            </w:r>
            <w:r>
              <w:rPr>
                <w:rFonts w:hint="eastAsia" w:ascii="宋体" w:hAnsi="宋体" w:eastAsia="宋体" w:cs="Times New Roman"/>
                <w:color w:val="000000"/>
                <w:spacing w:val="2"/>
                <w:kern w:val="0"/>
                <w:szCs w:val="21"/>
                <w:lang w:val="en-US" w:eastAsia="zh-CN"/>
              </w:rPr>
              <w:t>扎实</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掌握火灾逃生、急救技能、网络安全、防诈骗等基础安全知识与实践技能；熟悉校园安全管理制度与应急预案，能够结合学科特点解读安全规范，形成科学的安全行为习惯。</w:t>
            </w:r>
          </w:p>
        </w:tc>
        <w:tc>
          <w:tcPr>
            <w:tcW w:w="1191" w:type="dxa"/>
            <w:vAlign w:val="center"/>
          </w:tcPr>
          <w:p w14:paraId="17CDCDE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7E51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4F937C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632BFFDB">
            <w:pPr>
              <w:spacing w:line="276" w:lineRule="auto"/>
              <w:jc w:val="left"/>
              <w:rPr>
                <w:rFonts w:ascii="宋体" w:hAnsi="宋体" w:eastAsia="宋体" w:cs="Times New Roman"/>
                <w:color w:val="000000"/>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7</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【教育视野开阔】关注国内外公共安全事件与应急管理动态，了解新时代安全挑战与技术发展，主动学习先进安全教育理念，提升安全教育的针对性与实效性。</w:t>
            </w:r>
          </w:p>
          <w:p w14:paraId="03B43196">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7-3：【反思改进良好】</w:t>
            </w:r>
            <w:r>
              <w:rPr>
                <w:rFonts w:hint="eastAsia" w:ascii="宋体" w:hAnsi="宋体" w:eastAsia="宋体" w:cs="Times New Roman"/>
                <w:color w:val="000000"/>
                <w:kern w:val="0"/>
                <w:szCs w:val="21"/>
              </w:rPr>
              <w:t>通过案例分析、模拟演练等方式，反思自身及他人安全行为中的不足，提出改进策略；能够对校园安全隐患进行独立分析与研究，形成批判性思维与创新性解决方案。</w:t>
            </w:r>
          </w:p>
        </w:tc>
        <w:tc>
          <w:tcPr>
            <w:tcW w:w="1191" w:type="dxa"/>
            <w:vAlign w:val="center"/>
          </w:tcPr>
          <w:p w14:paraId="00DF506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2F585E1D">
      <w:pPr>
        <w:numPr>
          <w:ilvl w:val="0"/>
          <w:numId w:val="0"/>
        </w:numPr>
        <w:spacing w:before="156" w:beforeLines="50" w:after="156" w:afterLines="50" w:line="360" w:lineRule="auto"/>
        <w:jc w:val="left"/>
        <w:rPr>
          <w:rFonts w:hint="eastAsia" w:ascii="Times New Roman" w:hAnsi="Times New Roman" w:eastAsia="宋体" w:cs="Times New Roman"/>
          <w:b/>
          <w:bCs/>
          <w:szCs w:val="21"/>
        </w:rPr>
      </w:pPr>
    </w:p>
    <w:p w14:paraId="1D2F4A86">
      <w:pPr>
        <w:numPr>
          <w:ilvl w:val="0"/>
          <w:numId w:val="20"/>
        </w:numPr>
        <w:spacing w:before="156" w:beforeLines="50" w:line="360" w:lineRule="auto"/>
        <w:ind w:left="0" w:leftChars="0" w:firstLine="0" w:firstLineChars="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p>
    <w:p w14:paraId="2293B264">
      <w:pPr>
        <w:numPr>
          <w:ilvl w:val="0"/>
          <w:numId w:val="0"/>
        </w:numPr>
        <w:spacing w:before="156" w:beforeLines="50" w:line="360" w:lineRule="auto"/>
        <w:ind w:leftChars="0" w:firstLine="420" w:firstLineChars="200"/>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促使学生在系统掌握安全知识体系与实践技能的基础上，深刻理解国家安全与社会稳定的重要意义，践行社会主义核心价值观；树立“生命至上、风险防范、责任为先”的科学安全观，自觉遵守法律法规与校园安全规范，强化公共安全意识；培养自律守则的行为习惯与人文关怀精神，主动参与校园及社会安全文化建设，积极传播安全理念；以高度的社会责任感与创新思维，分析安全挑战、优化防护策略，立志成为具备扎实安全素养、法治观念、仁爱之心和家国情怀的新时代青年，为构建平安校园、维护社会和谐稳定贡献力量。</w:t>
      </w:r>
    </w:p>
    <w:p w14:paraId="6873C3D3">
      <w:pPr>
        <w:numPr>
          <w:ilvl w:val="0"/>
          <w:numId w:val="0"/>
        </w:numPr>
        <w:spacing w:before="156" w:beforeLines="50" w:line="360" w:lineRule="auto"/>
        <w:ind w:leftChars="0" w:firstLine="420" w:firstLineChars="200"/>
        <w:jc w:val="left"/>
        <w:rPr>
          <w:rFonts w:hint="eastAsia" w:ascii="宋体" w:hAnsi="宋体" w:eastAsia="宋体" w:cs="Times New Roman"/>
          <w:b w:val="0"/>
          <w:bCs/>
          <w:color w:val="000000"/>
          <w:szCs w:val="21"/>
        </w:rPr>
      </w:pPr>
    </w:p>
    <w:p w14:paraId="049FA26D">
      <w:pPr>
        <w:numPr>
          <w:ilvl w:val="0"/>
          <w:numId w:val="0"/>
        </w:numPr>
        <w:spacing w:line="360" w:lineRule="auto"/>
        <w:outlineLvl w:val="0"/>
        <w:rPr>
          <w:rFonts w:hint="eastAsia" w:ascii="宋体" w:hAnsi="宋体" w:eastAsia="宋体" w:cs="Times New Roman"/>
          <w:b/>
          <w:color w:val="000000" w:themeColor="text1"/>
          <w:sz w:val="24"/>
          <w:szCs w:val="24"/>
          <w14:textFill>
            <w14:solidFill>
              <w14:schemeClr w14:val="tx1"/>
            </w14:solidFill>
          </w14:textFill>
        </w:rPr>
      </w:pPr>
      <w:bookmarkStart w:id="364" w:name="_Toc10229"/>
      <w:r>
        <w:rPr>
          <w:rFonts w:hint="eastAsia" w:ascii="宋体" w:hAnsi="宋体" w:eastAsia="宋体" w:cs="Times New Roman"/>
          <w:b/>
          <w:color w:val="000000" w:themeColor="text1"/>
          <w:sz w:val="24"/>
          <w:szCs w:val="24"/>
          <w14:textFill>
            <w14:solidFill>
              <w14:schemeClr w14:val="tx1"/>
            </w14:solidFill>
          </w14:textFill>
        </w:rPr>
        <w:t>三、教学内容与预期学习成效</w:t>
      </w:r>
      <w:bookmarkEnd w:id="364"/>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3167"/>
        <w:gridCol w:w="927"/>
        <w:gridCol w:w="2473"/>
        <w:gridCol w:w="1292"/>
        <w:gridCol w:w="438"/>
      </w:tblGrid>
      <w:tr w14:paraId="25C0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Align w:val="center"/>
          </w:tcPr>
          <w:p w14:paraId="681B26BE">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A97019E">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3167" w:type="dxa"/>
            <w:vAlign w:val="center"/>
          </w:tcPr>
          <w:p w14:paraId="0FB196A5">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927" w:type="dxa"/>
            <w:vAlign w:val="center"/>
          </w:tcPr>
          <w:p w14:paraId="1E8B8235">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C9106B6">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473" w:type="dxa"/>
            <w:vAlign w:val="center"/>
          </w:tcPr>
          <w:p w14:paraId="7C488D7D">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92" w:type="dxa"/>
            <w:vAlign w:val="center"/>
          </w:tcPr>
          <w:p w14:paraId="21079754">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36833C5">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56C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0" w:hRule="atLeast"/>
          <w:jc w:val="center"/>
        </w:trPr>
        <w:tc>
          <w:tcPr>
            <w:tcW w:w="1001" w:type="dxa"/>
            <w:vMerge w:val="restart"/>
            <w:vAlign w:val="center"/>
          </w:tcPr>
          <w:p w14:paraId="4F889757">
            <w:pPr>
              <w:spacing w:line="264" w:lineRule="auto"/>
              <w:jc w:val="center"/>
              <w:rPr>
                <w:rFonts w:ascii="宋体" w:hAnsi="宋体" w:eastAsia="宋体" w:cs="Times New Roman"/>
                <w:color w:val="000000"/>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大学生安全知识</w:t>
            </w:r>
          </w:p>
        </w:tc>
        <w:tc>
          <w:tcPr>
            <w:tcW w:w="3167" w:type="dxa"/>
            <w:vAlign w:val="center"/>
          </w:tcPr>
          <w:p w14:paraId="7328F1F8">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rPr>
              <w:t>）维护国家安全。</w:t>
            </w:r>
          </w:p>
          <w:p w14:paraId="2A39A70C">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）不法侵害的预防与处置。</w:t>
            </w:r>
          </w:p>
          <w:p w14:paraId="150288F0">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）诈骗的识别与防范。</w:t>
            </w:r>
          </w:p>
          <w:p w14:paraId="6E2C0BAB">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）心理障碍的预防与调适。</w:t>
            </w:r>
          </w:p>
          <w:p w14:paraId="07943E72">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）火灾事故的预防与应对。</w:t>
            </w:r>
          </w:p>
          <w:p w14:paraId="6EC61235">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）交通事故的预防与处置。</w:t>
            </w:r>
          </w:p>
          <w:p w14:paraId="547AD944">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rPr>
              <w:t>）盗窃案件的预防与应对。</w:t>
            </w:r>
          </w:p>
          <w:p w14:paraId="1818ABA1">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）网络侵害的防范与处置。</w:t>
            </w:r>
          </w:p>
          <w:p w14:paraId="4FA2C9B7">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9</w:t>
            </w:r>
            <w:r>
              <w:rPr>
                <w:rFonts w:hint="eastAsia" w:ascii="宋体" w:hAnsi="宋体" w:eastAsia="宋体" w:cs="宋体"/>
                <w:sz w:val="21"/>
                <w:szCs w:val="21"/>
              </w:rPr>
              <w:t>）灾害及意外伤害事故的防范与应对。</w:t>
            </w:r>
          </w:p>
          <w:p w14:paraId="1B234728">
            <w:pPr>
              <w:spacing w:line="360" w:lineRule="auto"/>
              <w:rPr>
                <w:rFonts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sz w:val="21"/>
                <w:szCs w:val="21"/>
              </w:rPr>
              <w:t>）食物中毒、传染病及猝死的预防与处置。</w:t>
            </w:r>
          </w:p>
          <w:p w14:paraId="22E17111">
            <w:pPr>
              <w:spacing w:line="360" w:lineRule="auto"/>
              <w:rPr>
                <w:rFonts w:ascii="宋体" w:hAnsi="宋体" w:eastAsia="宋体" w:cs="Times New Roman"/>
                <w:color w:val="000000"/>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11</w:t>
            </w:r>
            <w:r>
              <w:rPr>
                <w:rFonts w:hint="eastAsia" w:ascii="宋体" w:hAnsi="宋体" w:eastAsia="宋体" w:cs="宋体"/>
                <w:sz w:val="21"/>
                <w:szCs w:val="21"/>
              </w:rPr>
              <w:t>）学生人身伤害事故处理。</w:t>
            </w:r>
          </w:p>
        </w:tc>
        <w:tc>
          <w:tcPr>
            <w:tcW w:w="927" w:type="dxa"/>
            <w:vAlign w:val="center"/>
          </w:tcPr>
          <w:p w14:paraId="7565193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2、3</w:t>
            </w:r>
          </w:p>
        </w:tc>
        <w:tc>
          <w:tcPr>
            <w:tcW w:w="2473" w:type="dxa"/>
            <w:vAlign w:val="center"/>
          </w:tcPr>
          <w:p w14:paraId="09062DE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理解人身安全、财产安全、网络安全等领域的核心概念与基础理论；</w:t>
            </w:r>
          </w:p>
          <w:p w14:paraId="1CF63A5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了解国内外校园安全典型案例与政策法规，构建安全知识结构框架；</w:t>
            </w:r>
          </w:p>
          <w:p w14:paraId="2182F0E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 掌握识别校园及社会环境中安全风险的方法，能制定基础安全防护策略；</w:t>
            </w:r>
          </w:p>
          <w:p w14:paraId="0ED76FF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 通过案例分析与情景模拟，形成应对突发安全事件的初步能力，具备冷静应对、有效自救与互助的意识。</w:t>
            </w:r>
          </w:p>
        </w:tc>
        <w:tc>
          <w:tcPr>
            <w:tcW w:w="1292" w:type="dxa"/>
            <w:vAlign w:val="center"/>
          </w:tcPr>
          <w:p w14:paraId="51D93BC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课堂讲授</w:t>
            </w:r>
          </w:p>
          <w:p w14:paraId="6F418B6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案例分析</w:t>
            </w:r>
          </w:p>
          <w:p w14:paraId="0BECFB3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情景模拟</w:t>
            </w:r>
          </w:p>
        </w:tc>
        <w:tc>
          <w:tcPr>
            <w:tcW w:w="438" w:type="dxa"/>
            <w:vAlign w:val="center"/>
          </w:tcPr>
          <w:p w14:paraId="7996AF3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4BC2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2BD40730">
            <w:pPr>
              <w:spacing w:line="264" w:lineRule="auto"/>
              <w:jc w:val="center"/>
              <w:rPr>
                <w:rFonts w:ascii="宋体" w:hAnsi="宋体" w:eastAsia="宋体" w:cs="Times New Roman"/>
                <w:color w:val="000000"/>
                <w:szCs w:val="21"/>
              </w:rPr>
            </w:pPr>
          </w:p>
        </w:tc>
        <w:tc>
          <w:tcPr>
            <w:tcW w:w="8297" w:type="dxa"/>
            <w:gridSpan w:val="5"/>
            <w:vAlign w:val="center"/>
          </w:tcPr>
          <w:p w14:paraId="462339A7">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使学生深刻理解国家安全与社会稳定的内在联系，树立 “生命至上、安全第一” 的价值理念；通过典型案例分析，强化社会主义核心价值观，增强法治意识与社会责任感，自觉维护公共安全秩序，立志成为校园安全与社会和谐的守护者。</w:t>
            </w:r>
          </w:p>
        </w:tc>
      </w:tr>
      <w:tr w14:paraId="6D9B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6FAECFF5">
            <w:pPr>
              <w:spacing w:line="360" w:lineRule="auto"/>
              <w:rPr>
                <w:rFonts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实验室</w:t>
            </w:r>
            <w:r>
              <w:rPr>
                <w:rFonts w:hint="eastAsia" w:ascii="宋体" w:hAnsi="宋体" w:eastAsia="宋体" w:cs="宋体"/>
                <w:bCs/>
                <w:sz w:val="21"/>
                <w:szCs w:val="21"/>
                <w:lang w:val="en-US" w:eastAsia="zh-CN"/>
              </w:rPr>
              <w:t>消防</w:t>
            </w:r>
            <w:r>
              <w:rPr>
                <w:rFonts w:hint="eastAsia" w:ascii="宋体" w:hAnsi="宋体" w:eastAsia="宋体" w:cs="宋体"/>
                <w:bCs/>
                <w:sz w:val="21"/>
                <w:szCs w:val="21"/>
              </w:rPr>
              <w:t>安全教育</w:t>
            </w:r>
            <w:r>
              <w:rPr>
                <w:rFonts w:hint="eastAsia" w:ascii="宋体" w:hAnsi="宋体" w:eastAsia="宋体" w:cs="宋体"/>
                <w:bCs/>
                <w:sz w:val="21"/>
                <w:szCs w:val="21"/>
                <w:lang w:val="en-US" w:eastAsia="zh-CN"/>
              </w:rPr>
              <w:t>及</w:t>
            </w:r>
            <w:r>
              <w:rPr>
                <w:rFonts w:hint="eastAsia" w:ascii="宋体" w:hAnsi="宋体" w:cs="宋体"/>
                <w:sz w:val="21"/>
                <w:szCs w:val="21"/>
              </w:rPr>
              <w:t>实验室用电安全</w:t>
            </w:r>
          </w:p>
          <w:p w14:paraId="295B6616">
            <w:pPr>
              <w:spacing w:line="264" w:lineRule="auto"/>
              <w:jc w:val="center"/>
              <w:rPr>
                <w:rFonts w:ascii="宋体" w:hAnsi="宋体" w:eastAsia="宋体" w:cs="Times New Roman"/>
                <w:color w:val="000000"/>
                <w:szCs w:val="21"/>
              </w:rPr>
            </w:pPr>
          </w:p>
        </w:tc>
        <w:tc>
          <w:tcPr>
            <w:tcW w:w="3167" w:type="dxa"/>
            <w:vAlign w:val="center"/>
          </w:tcPr>
          <w:p w14:paraId="3794CFC5">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cs="宋体"/>
                <w:sz w:val="21"/>
                <w:szCs w:val="21"/>
              </w:rPr>
              <w:t>实验室消防常识</w:t>
            </w:r>
            <w:r>
              <w:rPr>
                <w:rFonts w:hint="eastAsia" w:ascii="宋体" w:hAnsi="宋体" w:cs="宋体"/>
                <w:sz w:val="21"/>
                <w:szCs w:val="21"/>
                <w:lang w:eastAsia="zh-CN"/>
              </w:rPr>
              <w:t>。</w:t>
            </w:r>
          </w:p>
          <w:p w14:paraId="5E8B4C32">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rPr>
              <w:t>2</w:t>
            </w:r>
            <w:r>
              <w:rPr>
                <w:rFonts w:hint="eastAsia" w:ascii="宋体" w:hAnsi="宋体" w:cs="宋体"/>
                <w:sz w:val="21"/>
                <w:szCs w:val="21"/>
                <w:lang w:eastAsia="zh-CN"/>
              </w:rPr>
              <w:t>）</w:t>
            </w:r>
            <w:r>
              <w:rPr>
                <w:rFonts w:hint="eastAsia" w:ascii="宋体" w:hAnsi="宋体" w:cs="宋体"/>
                <w:sz w:val="21"/>
                <w:szCs w:val="21"/>
              </w:rPr>
              <w:t>实验室消防安全管理</w:t>
            </w:r>
            <w:r>
              <w:rPr>
                <w:rFonts w:hint="eastAsia" w:ascii="宋体" w:hAnsi="宋体" w:cs="宋体"/>
                <w:sz w:val="21"/>
                <w:szCs w:val="21"/>
                <w:lang w:eastAsia="zh-CN"/>
              </w:rPr>
              <w:t>。</w:t>
            </w:r>
          </w:p>
          <w:p w14:paraId="6A930550">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rPr>
              <w:t>3</w:t>
            </w:r>
            <w:r>
              <w:rPr>
                <w:rFonts w:hint="eastAsia" w:ascii="宋体" w:hAnsi="宋体" w:cs="宋体"/>
                <w:sz w:val="21"/>
                <w:szCs w:val="21"/>
                <w:lang w:eastAsia="zh-CN"/>
              </w:rPr>
              <w:t>）</w:t>
            </w:r>
            <w:r>
              <w:rPr>
                <w:rFonts w:hint="eastAsia" w:ascii="宋体" w:hAnsi="宋体" w:cs="宋体"/>
                <w:sz w:val="21"/>
                <w:szCs w:val="21"/>
              </w:rPr>
              <w:t>实验室消防设施</w:t>
            </w:r>
            <w:r>
              <w:rPr>
                <w:rFonts w:hint="eastAsia" w:ascii="宋体" w:hAnsi="宋体" w:cs="宋体"/>
                <w:sz w:val="21"/>
                <w:szCs w:val="21"/>
                <w:lang w:eastAsia="zh-CN"/>
              </w:rPr>
              <w:t>。</w:t>
            </w:r>
          </w:p>
          <w:p w14:paraId="178B95D4">
            <w:pPr>
              <w:pStyle w:val="5"/>
              <w:ind w:left="0" w:leftChars="0" w:firstLine="0" w:firstLineChars="0"/>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4</w:t>
            </w:r>
            <w:r>
              <w:rPr>
                <w:rFonts w:hint="eastAsia" w:ascii="宋体" w:hAnsi="宋体" w:cs="宋体"/>
                <w:sz w:val="21"/>
                <w:szCs w:val="21"/>
                <w:lang w:eastAsia="zh-CN"/>
              </w:rPr>
              <w:t>）</w:t>
            </w:r>
            <w:r>
              <w:rPr>
                <w:rFonts w:hint="eastAsia" w:ascii="宋体" w:hAnsi="宋体" w:cs="宋体"/>
                <w:sz w:val="21"/>
                <w:szCs w:val="21"/>
              </w:rPr>
              <w:t>火灾应急措施。</w:t>
            </w:r>
          </w:p>
          <w:p w14:paraId="0C3143CC">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cs="宋体"/>
                <w:sz w:val="21"/>
                <w:szCs w:val="21"/>
              </w:rPr>
              <w:t>实验室安全用电常识</w:t>
            </w:r>
            <w:r>
              <w:rPr>
                <w:rFonts w:hint="eastAsia" w:ascii="宋体" w:hAnsi="宋体" w:cs="宋体"/>
                <w:sz w:val="21"/>
                <w:szCs w:val="21"/>
                <w:lang w:eastAsia="zh-CN"/>
              </w:rPr>
              <w:t>。</w:t>
            </w:r>
          </w:p>
          <w:p w14:paraId="12CD352C">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cs="宋体"/>
                <w:sz w:val="21"/>
                <w:szCs w:val="21"/>
              </w:rPr>
              <w:t>实验室安全用电管理</w:t>
            </w:r>
            <w:r>
              <w:rPr>
                <w:rFonts w:hint="eastAsia" w:ascii="宋体" w:hAnsi="宋体" w:cs="宋体"/>
                <w:sz w:val="21"/>
                <w:szCs w:val="21"/>
                <w:lang w:eastAsia="zh-CN"/>
              </w:rPr>
              <w:t>。</w:t>
            </w:r>
          </w:p>
          <w:p w14:paraId="198BC01F">
            <w:pPr>
              <w:pStyle w:val="5"/>
              <w:ind w:left="0" w:leftChars="0" w:firstLine="0" w:firstLineChars="0"/>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cs="宋体"/>
                <w:sz w:val="21"/>
                <w:szCs w:val="21"/>
              </w:rPr>
              <w:t>实验室用电常见安全事故应急措施。</w:t>
            </w:r>
          </w:p>
          <w:p w14:paraId="13B9DE13">
            <w:pPr>
              <w:spacing w:line="269" w:lineRule="auto"/>
              <w:jc w:val="left"/>
              <w:rPr>
                <w:rFonts w:ascii="宋体" w:hAnsi="宋体" w:eastAsia="宋体" w:cs="Times New Roman"/>
                <w:color w:val="000000"/>
                <w:szCs w:val="21"/>
              </w:rPr>
            </w:pPr>
          </w:p>
        </w:tc>
        <w:tc>
          <w:tcPr>
            <w:tcW w:w="927" w:type="dxa"/>
            <w:vAlign w:val="center"/>
          </w:tcPr>
          <w:p w14:paraId="75D8981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2、3</w:t>
            </w:r>
          </w:p>
        </w:tc>
        <w:tc>
          <w:tcPr>
            <w:tcW w:w="2473" w:type="dxa"/>
            <w:vAlign w:val="center"/>
          </w:tcPr>
          <w:p w14:paraId="3530911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掌握实验室消防与用电安全的核心知识，包括消防设施使用、安全用电规范等；</w:t>
            </w:r>
          </w:p>
          <w:p w14:paraId="23B2744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理解实验室消防安全与用电安全管理的重要性，熟悉相关应急措施与操作流程；</w:t>
            </w:r>
          </w:p>
          <w:p w14:paraId="0AFFBC8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 形成实验室安全风险防范意识，能在实践中自觉遵守安全规范，具备初步的事故应急处置能力。</w:t>
            </w:r>
          </w:p>
        </w:tc>
        <w:tc>
          <w:tcPr>
            <w:tcW w:w="1292" w:type="dxa"/>
            <w:vAlign w:val="center"/>
          </w:tcPr>
          <w:p w14:paraId="491593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理论教学</w:t>
            </w:r>
          </w:p>
          <w:p w14:paraId="095336B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实操演练</w:t>
            </w:r>
          </w:p>
          <w:p w14:paraId="4ADEDC4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安全讲座</w:t>
            </w:r>
          </w:p>
        </w:tc>
        <w:tc>
          <w:tcPr>
            <w:tcW w:w="438" w:type="dxa"/>
            <w:vAlign w:val="center"/>
          </w:tcPr>
          <w:p w14:paraId="50F4EEFF">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3A28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5D6E186B">
            <w:pPr>
              <w:spacing w:line="264" w:lineRule="auto"/>
              <w:jc w:val="center"/>
              <w:rPr>
                <w:rFonts w:ascii="宋体" w:hAnsi="宋体" w:eastAsia="宋体" w:cs="Times New Roman"/>
                <w:color w:val="000000"/>
                <w:szCs w:val="21"/>
              </w:rPr>
            </w:pPr>
          </w:p>
        </w:tc>
        <w:tc>
          <w:tcPr>
            <w:tcW w:w="8297" w:type="dxa"/>
            <w:gridSpan w:val="5"/>
            <w:vAlign w:val="center"/>
          </w:tcPr>
          <w:p w14:paraId="54951CAD">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引导学生树立 “责任为先、规范操作” 的实验室安全理念，理解安全生产与科研伦理的辩证关系；通过实操演练强化规则意识与团队协作精神，自觉将安全规范内化为科研实践的基本准则，培养严谨细致、精益求精的科学态度。</w:t>
            </w:r>
          </w:p>
        </w:tc>
      </w:tr>
      <w:tr w14:paraId="0D66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14C9A60D">
            <w:pPr>
              <w:pStyle w:val="5"/>
              <w:ind w:left="0" w:leftChars="0" w:firstLine="0" w:firstLineChars="0"/>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宋体" w:hAnsi="宋体" w:cs="宋体"/>
                <w:sz w:val="21"/>
                <w:szCs w:val="21"/>
              </w:rPr>
              <w:t>实验室危险化学品使用安全</w:t>
            </w:r>
            <w:r>
              <w:rPr>
                <w:rFonts w:hint="eastAsia" w:ascii="宋体" w:hAnsi="宋体" w:cs="宋体"/>
                <w:sz w:val="21"/>
                <w:szCs w:val="21"/>
                <w:lang w:val="en-US" w:eastAsia="zh-CN"/>
              </w:rPr>
              <w:t>及</w:t>
            </w:r>
            <w:r>
              <w:rPr>
                <w:rFonts w:hint="eastAsia" w:ascii="宋体" w:hAnsi="宋体" w:cs="宋体"/>
                <w:sz w:val="21"/>
                <w:szCs w:val="21"/>
              </w:rPr>
              <w:t>实验室电离辐射安全</w:t>
            </w:r>
          </w:p>
        </w:tc>
        <w:tc>
          <w:tcPr>
            <w:tcW w:w="3167" w:type="dxa"/>
            <w:vAlign w:val="center"/>
          </w:tcPr>
          <w:p w14:paraId="4F0635FF">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cs="宋体"/>
                <w:sz w:val="21"/>
                <w:szCs w:val="21"/>
              </w:rPr>
              <w:t>危险化学品常识</w:t>
            </w:r>
            <w:r>
              <w:rPr>
                <w:rFonts w:hint="eastAsia" w:ascii="宋体" w:hAnsi="宋体" w:cs="宋体"/>
                <w:sz w:val="21"/>
                <w:szCs w:val="21"/>
                <w:lang w:eastAsia="zh-CN"/>
              </w:rPr>
              <w:t>。</w:t>
            </w:r>
          </w:p>
          <w:p w14:paraId="241A5603">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cs="宋体"/>
                <w:sz w:val="21"/>
                <w:szCs w:val="21"/>
              </w:rPr>
              <w:t>危险化学品安全管理</w:t>
            </w:r>
            <w:r>
              <w:rPr>
                <w:rFonts w:hint="eastAsia" w:ascii="宋体" w:hAnsi="宋体" w:cs="宋体"/>
                <w:sz w:val="21"/>
                <w:szCs w:val="21"/>
                <w:lang w:eastAsia="zh-CN"/>
              </w:rPr>
              <w:t>。</w:t>
            </w:r>
          </w:p>
          <w:p w14:paraId="280A4DAB">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cs="宋体"/>
                <w:sz w:val="21"/>
                <w:szCs w:val="21"/>
              </w:rPr>
              <w:t>危险化学品防护措施</w:t>
            </w:r>
            <w:r>
              <w:rPr>
                <w:rFonts w:hint="eastAsia" w:ascii="宋体" w:hAnsi="宋体" w:cs="宋体"/>
                <w:sz w:val="21"/>
                <w:szCs w:val="21"/>
                <w:lang w:eastAsia="zh-CN"/>
              </w:rPr>
              <w:t>。</w:t>
            </w:r>
          </w:p>
          <w:p w14:paraId="6850055F">
            <w:pPr>
              <w:pStyle w:val="5"/>
              <w:ind w:left="0" w:leftChars="0" w:firstLine="0" w:firstLineChars="0"/>
              <w:rPr>
                <w:rFonts w:hint="eastAsia"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rPr>
              <w:t>危险化学品事故应急措施。</w:t>
            </w:r>
          </w:p>
          <w:p w14:paraId="1289692A">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cs="宋体"/>
                <w:sz w:val="21"/>
                <w:szCs w:val="21"/>
              </w:rPr>
              <w:t>电离辐射安全常识</w:t>
            </w:r>
            <w:r>
              <w:rPr>
                <w:rFonts w:hint="eastAsia" w:ascii="宋体" w:hAnsi="宋体" w:cs="宋体"/>
                <w:sz w:val="21"/>
                <w:szCs w:val="21"/>
                <w:lang w:eastAsia="zh-CN"/>
              </w:rPr>
              <w:t>。</w:t>
            </w:r>
          </w:p>
          <w:p w14:paraId="246DDB42">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cs="宋体"/>
                <w:sz w:val="21"/>
                <w:szCs w:val="21"/>
              </w:rPr>
              <w:t>实验室电离辐射防护措施</w:t>
            </w:r>
            <w:r>
              <w:rPr>
                <w:rFonts w:hint="eastAsia" w:ascii="宋体" w:hAnsi="宋体" w:cs="宋体"/>
                <w:sz w:val="21"/>
                <w:szCs w:val="21"/>
                <w:lang w:eastAsia="zh-CN"/>
              </w:rPr>
              <w:t>。</w:t>
            </w:r>
          </w:p>
          <w:p w14:paraId="373A6446">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cs="宋体"/>
                <w:sz w:val="21"/>
                <w:szCs w:val="21"/>
              </w:rPr>
              <w:t>电离辐射安全与防护管理</w:t>
            </w:r>
            <w:r>
              <w:rPr>
                <w:rFonts w:hint="eastAsia" w:ascii="宋体" w:hAnsi="宋体" w:cs="宋体"/>
                <w:sz w:val="21"/>
                <w:szCs w:val="21"/>
                <w:lang w:eastAsia="zh-CN"/>
              </w:rPr>
              <w:t>。</w:t>
            </w:r>
          </w:p>
          <w:p w14:paraId="2F236238">
            <w:pPr>
              <w:spacing w:line="269" w:lineRule="auto"/>
              <w:jc w:val="left"/>
              <w:rPr>
                <w:rFonts w:ascii="宋体" w:hAnsi="宋体" w:eastAsia="宋体" w:cs="Times New Roman"/>
                <w:color w:val="000000"/>
                <w:szCs w:val="21"/>
              </w:rPr>
            </w:pPr>
            <w:r>
              <w:rPr>
                <w:rFonts w:hint="eastAsia" w:ascii="宋体" w:hAnsi="宋体" w:cs="宋体"/>
                <w:sz w:val="21"/>
                <w:szCs w:val="21"/>
                <w:lang w:eastAsia="zh-CN"/>
              </w:rPr>
              <w:t>（</w:t>
            </w:r>
            <w:r>
              <w:rPr>
                <w:rFonts w:hint="eastAsia" w:ascii="宋体" w:hAnsi="宋体" w:cs="宋体"/>
                <w:sz w:val="21"/>
                <w:szCs w:val="21"/>
                <w:lang w:val="en-US" w:eastAsia="zh-CN"/>
              </w:rPr>
              <w:t>8</w:t>
            </w:r>
            <w:r>
              <w:rPr>
                <w:rFonts w:hint="eastAsia" w:ascii="宋体" w:hAnsi="宋体" w:cs="宋体"/>
                <w:sz w:val="21"/>
                <w:szCs w:val="21"/>
                <w:lang w:eastAsia="zh-CN"/>
              </w:rPr>
              <w:t>）</w:t>
            </w:r>
            <w:r>
              <w:rPr>
                <w:rFonts w:hint="eastAsia" w:ascii="宋体" w:hAnsi="宋体" w:cs="宋体"/>
                <w:sz w:val="21"/>
                <w:szCs w:val="21"/>
              </w:rPr>
              <w:t>电离辐射事故应急措施。</w:t>
            </w:r>
          </w:p>
        </w:tc>
        <w:tc>
          <w:tcPr>
            <w:tcW w:w="927" w:type="dxa"/>
            <w:vAlign w:val="center"/>
          </w:tcPr>
          <w:p w14:paraId="1D486F24">
            <w:pPr>
              <w:spacing w:line="269"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2、3</w:t>
            </w:r>
          </w:p>
        </w:tc>
        <w:tc>
          <w:tcPr>
            <w:tcW w:w="2473" w:type="dxa"/>
            <w:vAlign w:val="center"/>
          </w:tcPr>
          <w:p w14:paraId="57FA17F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了解危险化学品与电离辐射的基本特性及安全风险，掌握其安全管理与防护的核心知识；</w:t>
            </w:r>
          </w:p>
          <w:p w14:paraId="225261E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熟悉危险化学品与电离辐射事故的应急处理流程与操作技能；</w:t>
            </w:r>
          </w:p>
          <w:p w14:paraId="286D4B7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 强化实验室安全责任意识，形成规范使用危险物品与防范辐射危害的行为习惯，具备风险预判与应急处理的能力。</w:t>
            </w:r>
          </w:p>
        </w:tc>
        <w:tc>
          <w:tcPr>
            <w:tcW w:w="1292" w:type="dxa"/>
            <w:vAlign w:val="center"/>
          </w:tcPr>
          <w:p w14:paraId="21D3954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专题讲解</w:t>
            </w:r>
          </w:p>
          <w:p w14:paraId="602C3E4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模拟演练</w:t>
            </w:r>
          </w:p>
          <w:p w14:paraId="231CD8A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安全实训</w:t>
            </w:r>
          </w:p>
        </w:tc>
        <w:tc>
          <w:tcPr>
            <w:tcW w:w="438" w:type="dxa"/>
            <w:vAlign w:val="center"/>
          </w:tcPr>
          <w:p w14:paraId="0F6F7811">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2800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131C085D">
            <w:pPr>
              <w:spacing w:line="264" w:lineRule="auto"/>
              <w:jc w:val="center"/>
              <w:rPr>
                <w:rFonts w:ascii="宋体" w:hAnsi="宋体" w:eastAsia="宋体" w:cs="Times New Roman"/>
                <w:color w:val="000000"/>
                <w:szCs w:val="21"/>
              </w:rPr>
            </w:pPr>
          </w:p>
        </w:tc>
        <w:tc>
          <w:tcPr>
            <w:tcW w:w="8297" w:type="dxa"/>
            <w:gridSpan w:val="5"/>
            <w:vAlign w:val="center"/>
          </w:tcPr>
          <w:p w14:paraId="2D96A175">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使学生深刻认识危险化学品与电离辐射安全管理的法治内涵，树立 “科学防护、安全可控” 的风险治理理念；通过案例警示与安全实训，强化敬畏生命、遵守规范的职业素养，培养对自身、他人及社会负责的安全责任意识。</w:t>
            </w:r>
          </w:p>
        </w:tc>
      </w:tr>
      <w:tr w14:paraId="58E6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2820CD69">
            <w:pPr>
              <w:pStyle w:val="5"/>
              <w:ind w:left="0" w:leftChars="0" w:firstLine="0" w:firstLineChars="0"/>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eastAsia" w:ascii="宋体" w:hAnsi="宋体" w:cs="Times New Roman"/>
                <w:color w:val="000000"/>
                <w:szCs w:val="21"/>
                <w:lang w:val="en-US" w:eastAsia="zh-CN"/>
              </w:rPr>
              <w:t>.</w:t>
            </w:r>
            <w:r>
              <w:rPr>
                <w:rFonts w:hint="eastAsia" w:ascii="宋体" w:hAnsi="宋体" w:cs="宋体"/>
                <w:sz w:val="21"/>
                <w:szCs w:val="21"/>
              </w:rPr>
              <w:t>实验室特殊仪器设备使用</w:t>
            </w:r>
            <w:r>
              <w:rPr>
                <w:rFonts w:hint="eastAsia" w:ascii="宋体" w:hAnsi="宋体" w:cs="宋体"/>
                <w:sz w:val="21"/>
                <w:szCs w:val="21"/>
                <w:lang w:val="en-US" w:eastAsia="zh-CN"/>
              </w:rPr>
              <w:t>安全及</w:t>
            </w:r>
            <w:r>
              <w:rPr>
                <w:rFonts w:hint="eastAsia" w:ascii="宋体" w:hAnsi="宋体" w:cs="宋体"/>
                <w:sz w:val="21"/>
                <w:szCs w:val="21"/>
              </w:rPr>
              <w:t>实验室事故人员急救</w:t>
            </w:r>
          </w:p>
        </w:tc>
        <w:tc>
          <w:tcPr>
            <w:tcW w:w="3167" w:type="dxa"/>
            <w:vAlign w:val="center"/>
          </w:tcPr>
          <w:p w14:paraId="73A0EB74">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cs="宋体"/>
                <w:sz w:val="21"/>
                <w:szCs w:val="21"/>
              </w:rPr>
              <w:t>高温、高压类仪器设备使用安全</w:t>
            </w:r>
            <w:r>
              <w:rPr>
                <w:rFonts w:hint="eastAsia" w:ascii="宋体" w:hAnsi="宋体" w:cs="宋体"/>
                <w:sz w:val="21"/>
                <w:szCs w:val="21"/>
                <w:lang w:eastAsia="zh-CN"/>
              </w:rPr>
              <w:t>。</w:t>
            </w:r>
          </w:p>
          <w:p w14:paraId="417D1CE1">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cs="宋体"/>
                <w:sz w:val="21"/>
                <w:szCs w:val="21"/>
              </w:rPr>
              <w:t>高速运转类设备使用安全</w:t>
            </w:r>
            <w:r>
              <w:rPr>
                <w:rFonts w:hint="eastAsia" w:ascii="宋体" w:hAnsi="宋体" w:cs="宋体"/>
                <w:sz w:val="21"/>
                <w:szCs w:val="21"/>
                <w:lang w:eastAsia="zh-CN"/>
              </w:rPr>
              <w:t>。</w:t>
            </w:r>
          </w:p>
          <w:p w14:paraId="0C780E4D">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cs="宋体"/>
                <w:sz w:val="21"/>
                <w:szCs w:val="21"/>
              </w:rPr>
              <w:t>强场类仪器设备使用安全</w:t>
            </w:r>
            <w:r>
              <w:rPr>
                <w:rFonts w:hint="eastAsia" w:ascii="宋体" w:hAnsi="宋体" w:cs="宋体"/>
                <w:sz w:val="21"/>
                <w:szCs w:val="21"/>
                <w:lang w:eastAsia="zh-CN"/>
              </w:rPr>
              <w:t>。</w:t>
            </w:r>
          </w:p>
          <w:p w14:paraId="35A6AF77">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cs="宋体"/>
                <w:sz w:val="21"/>
                <w:szCs w:val="21"/>
              </w:rPr>
              <w:t>激光使用安全</w:t>
            </w:r>
            <w:r>
              <w:rPr>
                <w:rFonts w:hint="eastAsia" w:ascii="宋体" w:hAnsi="宋体" w:cs="宋体"/>
                <w:sz w:val="21"/>
                <w:szCs w:val="21"/>
                <w:lang w:eastAsia="zh-CN"/>
              </w:rPr>
              <w:t>。</w:t>
            </w:r>
          </w:p>
          <w:p w14:paraId="08B64842">
            <w:pPr>
              <w:pStyle w:val="5"/>
              <w:ind w:left="0" w:leftChars="0" w:firstLine="0" w:firstLineChars="0"/>
              <w:rPr>
                <w:rFonts w:hint="eastAsia"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cs="宋体"/>
                <w:sz w:val="21"/>
                <w:szCs w:val="21"/>
              </w:rPr>
              <w:t>低温类实验安全。</w:t>
            </w:r>
          </w:p>
          <w:p w14:paraId="65C4BA62">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cs="宋体"/>
                <w:sz w:val="21"/>
                <w:szCs w:val="21"/>
              </w:rPr>
              <w:t>实验室急救箱简介</w:t>
            </w:r>
            <w:r>
              <w:rPr>
                <w:rFonts w:hint="eastAsia" w:ascii="宋体" w:hAnsi="宋体" w:cs="宋体"/>
                <w:sz w:val="21"/>
                <w:szCs w:val="21"/>
                <w:lang w:eastAsia="zh-CN"/>
              </w:rPr>
              <w:t>。</w:t>
            </w:r>
          </w:p>
          <w:p w14:paraId="16FB4CC7">
            <w:pPr>
              <w:pStyle w:val="5"/>
              <w:ind w:left="0" w:leftChars="0" w:firstLine="0" w:firstLineChars="0"/>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cs="宋体"/>
                <w:sz w:val="21"/>
                <w:szCs w:val="21"/>
              </w:rPr>
              <w:t>常见急救措施</w:t>
            </w:r>
            <w:r>
              <w:rPr>
                <w:rFonts w:hint="eastAsia" w:ascii="宋体" w:hAnsi="宋体" w:cs="宋体"/>
                <w:sz w:val="21"/>
                <w:szCs w:val="21"/>
                <w:lang w:eastAsia="zh-CN"/>
              </w:rPr>
              <w:t>。</w:t>
            </w:r>
          </w:p>
          <w:p w14:paraId="10E2EB22">
            <w:pPr>
              <w:pStyle w:val="5"/>
              <w:ind w:left="0" w:leftChars="0" w:firstLine="0" w:firstLineChars="0"/>
              <w:rPr>
                <w:rFonts w:ascii="宋体" w:hAnsi="宋体" w:eastAsia="宋体" w:cs="Times New Roman"/>
                <w:color w:val="000000"/>
                <w:szCs w:val="21"/>
              </w:rPr>
            </w:pPr>
            <w:r>
              <w:rPr>
                <w:rFonts w:hint="eastAsia" w:ascii="宋体" w:hAnsi="宋体" w:cs="宋体"/>
                <w:sz w:val="21"/>
                <w:szCs w:val="21"/>
                <w:lang w:eastAsia="zh-CN"/>
              </w:rPr>
              <w:t>（</w:t>
            </w:r>
            <w:r>
              <w:rPr>
                <w:rFonts w:hint="eastAsia" w:ascii="宋体" w:hAnsi="宋体" w:cs="宋体"/>
                <w:sz w:val="21"/>
                <w:szCs w:val="21"/>
                <w:lang w:val="en-US" w:eastAsia="zh-CN"/>
              </w:rPr>
              <w:t>8</w:t>
            </w:r>
            <w:r>
              <w:rPr>
                <w:rFonts w:hint="eastAsia" w:ascii="宋体" w:hAnsi="宋体" w:cs="宋体"/>
                <w:sz w:val="21"/>
                <w:szCs w:val="21"/>
                <w:lang w:eastAsia="zh-CN"/>
              </w:rPr>
              <w:t>）</w:t>
            </w:r>
            <w:r>
              <w:rPr>
                <w:rFonts w:hint="eastAsia" w:ascii="宋体" w:hAnsi="宋体" w:cs="宋体"/>
                <w:sz w:val="21"/>
                <w:szCs w:val="21"/>
              </w:rPr>
              <w:t>其他实验室事故急救措施。</w:t>
            </w:r>
          </w:p>
        </w:tc>
        <w:tc>
          <w:tcPr>
            <w:tcW w:w="927" w:type="dxa"/>
            <w:vAlign w:val="center"/>
          </w:tcPr>
          <w:p w14:paraId="33A509F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2、3</w:t>
            </w:r>
          </w:p>
        </w:tc>
        <w:tc>
          <w:tcPr>
            <w:tcW w:w="2473" w:type="dxa"/>
            <w:vAlign w:val="center"/>
          </w:tcPr>
          <w:p w14:paraId="1A39C7D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 掌握高温、高压、激光等特殊仪器设备的安全使用规范与操作要点；</w:t>
            </w:r>
          </w:p>
          <w:p w14:paraId="5A5754F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 熟悉实验室常见事故的急救措施，能正确使用急救箱等设备进行初步应急处理；</w:t>
            </w:r>
          </w:p>
          <w:p w14:paraId="013F3F8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 提升实验室安全操作技能与应急处置能力，培养严谨的安全态度与互助精神，形成科学应对设备安全事故的行为习惯。</w:t>
            </w:r>
          </w:p>
        </w:tc>
        <w:tc>
          <w:tcPr>
            <w:tcW w:w="1292" w:type="dxa"/>
            <w:vAlign w:val="center"/>
          </w:tcPr>
          <w:p w14:paraId="2E78B0E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设备演示</w:t>
            </w:r>
          </w:p>
          <w:p w14:paraId="17B6D0D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急救演练</w:t>
            </w:r>
          </w:p>
          <w:p w14:paraId="7A4E549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分组实操</w:t>
            </w:r>
          </w:p>
        </w:tc>
        <w:tc>
          <w:tcPr>
            <w:tcW w:w="438" w:type="dxa"/>
            <w:vAlign w:val="center"/>
          </w:tcPr>
          <w:p w14:paraId="29E4DBD0">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79BC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2F82892B">
            <w:pPr>
              <w:spacing w:line="276" w:lineRule="auto"/>
              <w:jc w:val="center"/>
              <w:rPr>
                <w:rFonts w:ascii="宋体" w:hAnsi="宋体" w:eastAsia="宋体" w:cs="Times New Roman"/>
                <w:color w:val="000000"/>
                <w:szCs w:val="21"/>
              </w:rPr>
            </w:pPr>
          </w:p>
        </w:tc>
        <w:tc>
          <w:tcPr>
            <w:tcW w:w="8297" w:type="dxa"/>
            <w:gridSpan w:val="5"/>
            <w:vAlign w:val="center"/>
          </w:tcPr>
          <w:p w14:paraId="42D153BD">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引导学生理解特殊仪器设备安全操作背后的人文关怀与生命伦理，树立 “精准操作、安全互助” 的科研安全观；通过急救技能训练，强化关爱他人、守护生命的责任意识，培养在危急时刻挺身而出的担当精神。</w:t>
            </w:r>
          </w:p>
        </w:tc>
      </w:tr>
    </w:tbl>
    <w:p w14:paraId="23FF2376">
      <w:pPr>
        <w:spacing w:line="360" w:lineRule="auto"/>
        <w:outlineLvl w:val="0"/>
        <w:rPr>
          <w:rFonts w:ascii="宋体" w:hAnsi="宋体" w:eastAsia="宋体" w:cs="Times New Roman"/>
          <w:b/>
          <w:color w:val="000000" w:themeColor="text1"/>
          <w:sz w:val="28"/>
          <w:szCs w:val="28"/>
          <w14:textFill>
            <w14:solidFill>
              <w14:schemeClr w14:val="tx1"/>
            </w14:solidFill>
          </w14:textFill>
        </w:rPr>
      </w:pPr>
    </w:p>
    <w:p w14:paraId="715BA7D8">
      <w:pPr>
        <w:numPr>
          <w:ilvl w:val="0"/>
          <w:numId w:val="21"/>
        </w:num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目标评价与成绩评定</w:t>
      </w:r>
    </w:p>
    <w:p w14:paraId="33F1F7E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494316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D83286D">
      <w:pPr>
        <w:numPr>
          <w:ilvl w:val="0"/>
          <w:numId w:val="0"/>
        </w:numPr>
        <w:spacing w:line="360" w:lineRule="auto"/>
        <w:ind w:firstLine="2530" w:firstLineChars="1200"/>
        <w:jc w:val="both"/>
        <w:rPr>
          <w:rFonts w:hint="eastAsia" w:ascii="宋体" w:hAnsi="宋体" w:eastAsia="宋体" w:cs="Times New Roman"/>
          <w:b/>
          <w:color w:val="000000"/>
          <w:sz w:val="24"/>
          <w:szCs w:val="24"/>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9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782"/>
        <w:gridCol w:w="1782"/>
        <w:gridCol w:w="1066"/>
        <w:gridCol w:w="2971"/>
        <w:gridCol w:w="702"/>
      </w:tblGrid>
      <w:tr w14:paraId="2D8C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Merge w:val="restart"/>
            <w:vAlign w:val="center"/>
          </w:tcPr>
          <w:p w14:paraId="43F461AD">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7264" w:type="dxa"/>
            <w:gridSpan w:val="4"/>
            <w:vAlign w:val="center"/>
          </w:tcPr>
          <w:p w14:paraId="44621514">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1FE35815">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6D97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Merge w:val="continue"/>
            <w:vAlign w:val="center"/>
          </w:tcPr>
          <w:p w14:paraId="38754701">
            <w:pPr>
              <w:spacing w:line="360" w:lineRule="auto"/>
              <w:jc w:val="center"/>
              <w:rPr>
                <w:rFonts w:ascii="宋体" w:hAnsi="宋体" w:eastAsia="宋体" w:cs="Times New Roman"/>
                <w:szCs w:val="21"/>
              </w:rPr>
            </w:pPr>
          </w:p>
        </w:tc>
        <w:tc>
          <w:tcPr>
            <w:tcW w:w="0" w:type="auto"/>
            <w:vAlign w:val="center"/>
          </w:tcPr>
          <w:p w14:paraId="33C025E8">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40D0841">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697" w:type="dxa"/>
            <w:vAlign w:val="center"/>
          </w:tcPr>
          <w:p w14:paraId="0A08901A">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自主学习</w:t>
            </w:r>
          </w:p>
        </w:tc>
        <w:tc>
          <w:tcPr>
            <w:tcW w:w="1943" w:type="dxa"/>
            <w:vAlign w:val="center"/>
          </w:tcPr>
          <w:p w14:paraId="12F5B58B">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3A9B4FF1">
            <w:pPr>
              <w:spacing w:line="360" w:lineRule="auto"/>
              <w:jc w:val="center"/>
              <w:rPr>
                <w:rFonts w:ascii="宋体" w:hAnsi="宋体" w:eastAsia="宋体" w:cs="Times New Roman"/>
                <w:szCs w:val="21"/>
              </w:rPr>
            </w:pPr>
          </w:p>
        </w:tc>
      </w:tr>
      <w:tr w14:paraId="5F52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Align w:val="center"/>
          </w:tcPr>
          <w:p w14:paraId="503C9F49">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76972F3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BCD01A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697" w:type="dxa"/>
            <w:vAlign w:val="center"/>
          </w:tcPr>
          <w:p w14:paraId="3FEBB2B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43" w:type="dxa"/>
            <w:vAlign w:val="center"/>
          </w:tcPr>
          <w:p w14:paraId="2333065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02C8CCB">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223F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Align w:val="center"/>
          </w:tcPr>
          <w:p w14:paraId="44648AF5">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14D57E1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8AF7A7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697" w:type="dxa"/>
            <w:vAlign w:val="center"/>
          </w:tcPr>
          <w:p w14:paraId="1B39EDD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43" w:type="dxa"/>
            <w:vAlign w:val="center"/>
          </w:tcPr>
          <w:p w14:paraId="7514089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CE9C3BC">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02F0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vAlign w:val="center"/>
          </w:tcPr>
          <w:p w14:paraId="7BF2ED36">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6238496">
            <w:pPr>
              <w:spacing w:line="360" w:lineRule="auto"/>
              <w:jc w:val="center"/>
              <w:rPr>
                <w:rFonts w:ascii="宋体" w:hAnsi="宋体" w:eastAsia="宋体" w:cs="Times New Roman"/>
                <w:szCs w:val="21"/>
              </w:rPr>
            </w:pPr>
          </w:p>
        </w:tc>
        <w:tc>
          <w:tcPr>
            <w:tcW w:w="0" w:type="auto"/>
            <w:vAlign w:val="center"/>
          </w:tcPr>
          <w:p w14:paraId="4E4D325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697" w:type="dxa"/>
            <w:vAlign w:val="center"/>
          </w:tcPr>
          <w:p w14:paraId="621B8C3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43" w:type="dxa"/>
            <w:vAlign w:val="center"/>
          </w:tcPr>
          <w:p w14:paraId="5F13E70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F636CC5">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4570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0" w:type="auto"/>
            <w:vAlign w:val="center"/>
          </w:tcPr>
          <w:p w14:paraId="4FFAED87">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0BA94166">
            <w:pPr>
              <w:spacing w:line="360" w:lineRule="auto"/>
              <w:jc w:val="center"/>
              <w:rPr>
                <w:rFonts w:ascii="宋体" w:hAnsi="宋体" w:eastAsia="宋体" w:cs="Times New Roman"/>
                <w:szCs w:val="21"/>
              </w:rPr>
            </w:pPr>
          </w:p>
        </w:tc>
        <w:tc>
          <w:tcPr>
            <w:tcW w:w="0" w:type="auto"/>
            <w:vAlign w:val="center"/>
          </w:tcPr>
          <w:p w14:paraId="7CD940B4">
            <w:pPr>
              <w:spacing w:line="360" w:lineRule="auto"/>
              <w:jc w:val="center"/>
              <w:rPr>
                <w:rFonts w:ascii="宋体" w:hAnsi="宋体" w:eastAsia="宋体" w:cs="Times New Roman"/>
                <w:szCs w:val="21"/>
              </w:rPr>
            </w:pPr>
          </w:p>
        </w:tc>
        <w:tc>
          <w:tcPr>
            <w:tcW w:w="697" w:type="dxa"/>
            <w:vAlign w:val="center"/>
          </w:tcPr>
          <w:p w14:paraId="5CE0186E">
            <w:pPr>
              <w:spacing w:line="360" w:lineRule="auto"/>
              <w:jc w:val="center"/>
              <w:rPr>
                <w:rFonts w:ascii="宋体" w:hAnsi="宋体" w:eastAsia="宋体" w:cs="Times New Roman"/>
                <w:szCs w:val="21"/>
              </w:rPr>
            </w:pPr>
          </w:p>
        </w:tc>
        <w:tc>
          <w:tcPr>
            <w:tcW w:w="1943" w:type="dxa"/>
            <w:vAlign w:val="center"/>
          </w:tcPr>
          <w:p w14:paraId="24A59BE1">
            <w:pPr>
              <w:spacing w:line="360" w:lineRule="auto"/>
              <w:jc w:val="center"/>
              <w:rPr>
                <w:rFonts w:ascii="宋体" w:hAnsi="宋体" w:eastAsia="宋体" w:cs="Times New Roman"/>
                <w:szCs w:val="21"/>
              </w:rPr>
            </w:pPr>
          </w:p>
        </w:tc>
        <w:tc>
          <w:tcPr>
            <w:tcW w:w="0" w:type="auto"/>
            <w:vAlign w:val="center"/>
          </w:tcPr>
          <w:p w14:paraId="21C1B939">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0A0CF36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E2F7BC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DA4967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172"/>
        <w:gridCol w:w="709"/>
      </w:tblGrid>
      <w:tr w14:paraId="4D29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678" w:type="dxa"/>
            <w:vAlign w:val="center"/>
          </w:tcPr>
          <w:p w14:paraId="355B777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72" w:type="dxa"/>
            <w:vAlign w:val="center"/>
          </w:tcPr>
          <w:p w14:paraId="570FAD7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99BF2D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7D5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678" w:type="dxa"/>
            <w:vAlign w:val="center"/>
          </w:tcPr>
          <w:p w14:paraId="751A1F7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72" w:type="dxa"/>
            <w:vAlign w:val="center"/>
          </w:tcPr>
          <w:p w14:paraId="4FD3F774">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417E6D6">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D2743BD">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0%</w:t>
            </w:r>
          </w:p>
        </w:tc>
      </w:tr>
      <w:tr w14:paraId="366F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8" w:type="dxa"/>
            <w:vAlign w:val="center"/>
          </w:tcPr>
          <w:p w14:paraId="2F3A98C4">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72" w:type="dxa"/>
            <w:vAlign w:val="center"/>
          </w:tcPr>
          <w:p w14:paraId="44031B77">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0" w:type="auto"/>
            <w:vAlign w:val="center"/>
          </w:tcPr>
          <w:p w14:paraId="529D8C0F">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64C1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678" w:type="dxa"/>
            <w:vAlign w:val="center"/>
          </w:tcPr>
          <w:p w14:paraId="5D82EFCF">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72" w:type="dxa"/>
            <w:vAlign w:val="center"/>
          </w:tcPr>
          <w:p w14:paraId="576C2F4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ACB73B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547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678" w:type="dxa"/>
            <w:vAlign w:val="center"/>
          </w:tcPr>
          <w:p w14:paraId="5A74D48A">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72" w:type="dxa"/>
            <w:vAlign w:val="center"/>
          </w:tcPr>
          <w:p w14:paraId="5CEF929F">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29E10EC7">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0%</w:t>
            </w:r>
          </w:p>
        </w:tc>
      </w:tr>
      <w:tr w14:paraId="7171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0" w:type="auto"/>
            <w:vAlign w:val="center"/>
          </w:tcPr>
          <w:p w14:paraId="42E8078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7811C34">
            <w:pPr>
              <w:jc w:val="left"/>
              <w:rPr>
                <w:rFonts w:ascii="Times New Roman" w:hAnsi="Times New Roman" w:eastAsia="宋体" w:cs="Times New Roman"/>
                <w:szCs w:val="21"/>
              </w:rPr>
            </w:pPr>
          </w:p>
        </w:tc>
        <w:tc>
          <w:tcPr>
            <w:tcW w:w="0" w:type="auto"/>
            <w:vAlign w:val="center"/>
          </w:tcPr>
          <w:p w14:paraId="64B8FEED">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24ED142">
      <w:pPr>
        <w:numPr>
          <w:ilvl w:val="0"/>
          <w:numId w:val="0"/>
        </w:numPr>
        <w:spacing w:line="360" w:lineRule="auto"/>
        <w:jc w:val="left"/>
        <w:rPr>
          <w:rFonts w:hint="eastAsia" w:ascii="宋体" w:hAnsi="宋体" w:eastAsia="宋体" w:cs="Times New Roman"/>
          <w:b/>
          <w:color w:val="000000"/>
          <w:sz w:val="24"/>
          <w:szCs w:val="24"/>
        </w:rPr>
      </w:pPr>
    </w:p>
    <w:p w14:paraId="021148E4">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ADCA30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1F10671">
      <w:pPr>
        <w:spacing w:before="156" w:beforeLines="50" w:line="360" w:lineRule="auto"/>
        <w:ind w:firstLine="420" w:firstLineChars="200"/>
        <w:jc w:val="left"/>
        <w:rPr>
          <w:rFonts w:hint="eastAsia" w:ascii="宋体" w:hAnsi="宋体" w:cs="宋体"/>
          <w:sz w:val="24"/>
        </w:rPr>
      </w:pPr>
      <w:r>
        <w:rPr>
          <w:rFonts w:ascii="宋体" w:hAnsi="宋体" w:eastAsia="宋体" w:cs="Times New Roman"/>
          <w:color w:val="000000"/>
          <w:szCs w:val="21"/>
        </w:rPr>
        <w:object>
          <v:shape id="_x0000_i1035"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35" DrawAspect="Content" ObjectID="_1468075735" r:id="rId18">
            <o:LockedField>false</o:LockedField>
          </o:OLEObject>
        </w:object>
      </w:r>
    </w:p>
    <w:p w14:paraId="5EFC7028">
      <w:pPr>
        <w:numPr>
          <w:ilvl w:val="0"/>
          <w:numId w:val="0"/>
        </w:numPr>
        <w:spacing w:line="360" w:lineRule="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五、有关说明</w:t>
      </w:r>
    </w:p>
    <w:p w14:paraId="6B6E11AC">
      <w:pPr>
        <w:numPr>
          <w:ilvl w:val="0"/>
          <w:numId w:val="0"/>
        </w:numPr>
        <w:spacing w:line="360" w:lineRule="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 xml:space="preserve">   （一）参考书目</w:t>
      </w:r>
    </w:p>
    <w:p w14:paraId="64BD1658">
      <w:pPr>
        <w:pStyle w:val="5"/>
        <w:ind w:firstLine="720" w:firstLineChars="300"/>
        <w:rPr>
          <w:rFonts w:hint="eastAsia" w:ascii="宋体" w:hAnsi="宋体" w:cs="宋体"/>
          <w:sz w:val="24"/>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江苏省教育厅编</w:t>
      </w:r>
      <w:r>
        <w:rPr>
          <w:rFonts w:hint="eastAsia" w:ascii="宋体" w:hAnsi="宋体" w:cs="宋体"/>
          <w:sz w:val="24"/>
          <w:lang w:eastAsia="zh-CN"/>
        </w:rPr>
        <w:t>，</w:t>
      </w:r>
      <w:r>
        <w:rPr>
          <w:rFonts w:hint="eastAsia" w:ascii="宋体" w:hAnsi="宋体" w:cs="宋体"/>
          <w:sz w:val="24"/>
        </w:rPr>
        <w:t>《江苏省大学生安全知识竞赛题库》。</w:t>
      </w:r>
    </w:p>
    <w:p w14:paraId="49275254">
      <w:pPr>
        <w:pStyle w:val="5"/>
        <w:ind w:firstLine="720" w:firstLineChars="300"/>
        <w:rPr>
          <w:rFonts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王威、呼东燕、高巍、潘洪涛，《大学生安全教育》，清华大学出版社，2017年第一版。</w:t>
      </w:r>
    </w:p>
    <w:p w14:paraId="10C0D599">
      <w:pPr>
        <w:pStyle w:val="5"/>
        <w:ind w:firstLine="720" w:firstLineChars="300"/>
        <w:rPr>
          <w:rFonts w:ascii="宋体" w:hAnsi="宋体" w:cs="宋体"/>
          <w:sz w:val="24"/>
        </w:rPr>
      </w:pPr>
      <w:r>
        <w:rPr>
          <w:rFonts w:hint="eastAsia" w:ascii="宋体" w:hAnsi="宋体" w:cs="宋体"/>
          <w:sz w:val="24"/>
        </w:rPr>
        <w:t>3</w:t>
      </w:r>
      <w:r>
        <w:rPr>
          <w:rFonts w:hint="eastAsia" w:ascii="宋体" w:hAnsi="宋体" w:cs="宋体"/>
          <w:sz w:val="24"/>
          <w:lang w:eastAsia="zh-CN"/>
        </w:rPr>
        <w:t>.</w:t>
      </w:r>
      <w:r>
        <w:rPr>
          <w:rFonts w:hint="eastAsia" w:ascii="宋体" w:hAnsi="宋体" w:cs="宋体"/>
          <w:sz w:val="24"/>
        </w:rPr>
        <w:t>王传虎，吕思斌，《实验室安全知识手册》，安徽大学出版社，2018年第一版。</w:t>
      </w:r>
    </w:p>
    <w:p w14:paraId="616C0265">
      <w:pPr>
        <w:pStyle w:val="5"/>
        <w:ind w:firstLine="720" w:firstLineChars="300"/>
        <w:rPr>
          <w:rFonts w:ascii="宋体" w:hAnsi="宋体" w:cs="宋体"/>
          <w:sz w:val="24"/>
        </w:rPr>
      </w:pPr>
      <w:r>
        <w:rPr>
          <w:rFonts w:hint="eastAsia" w:ascii="宋体" w:hAnsi="宋体" w:cs="宋体"/>
          <w:sz w:val="24"/>
        </w:rPr>
        <w:t>4</w:t>
      </w:r>
      <w:r>
        <w:rPr>
          <w:rFonts w:hint="eastAsia" w:ascii="宋体" w:hAnsi="宋体" w:cs="宋体"/>
          <w:sz w:val="24"/>
          <w:lang w:eastAsia="zh-CN"/>
        </w:rPr>
        <w:t>.</w:t>
      </w:r>
      <w:r>
        <w:rPr>
          <w:rFonts w:hint="eastAsia" w:ascii="宋体" w:hAnsi="宋体" w:cs="宋体"/>
          <w:sz w:val="24"/>
        </w:rPr>
        <w:t>张才，《高校实验室安全准入教育》，南京大学出版社黄凯，2019年第一版。</w:t>
      </w:r>
    </w:p>
    <w:p w14:paraId="76FE245E">
      <w:pPr>
        <w:pStyle w:val="5"/>
        <w:ind w:firstLine="720" w:firstLineChars="300"/>
        <w:rPr>
          <w:rFonts w:ascii="宋体" w:hAnsi="宋体" w:cs="宋体"/>
          <w:sz w:val="24"/>
        </w:rPr>
      </w:pPr>
      <w:r>
        <w:rPr>
          <w:rFonts w:hint="eastAsia" w:ascii="宋体" w:hAnsi="宋体" w:cs="宋体"/>
          <w:sz w:val="24"/>
        </w:rPr>
        <w:t>5</w:t>
      </w:r>
      <w:r>
        <w:rPr>
          <w:rFonts w:hint="eastAsia" w:ascii="宋体" w:hAnsi="宋体" w:cs="宋体"/>
          <w:sz w:val="24"/>
          <w:lang w:eastAsia="zh-CN"/>
        </w:rPr>
        <w:t>.</w:t>
      </w:r>
      <w:r>
        <w:rPr>
          <w:rFonts w:hint="eastAsia" w:ascii="宋体" w:hAnsi="宋体" w:cs="宋体"/>
          <w:sz w:val="24"/>
        </w:rPr>
        <w:t>秦静，《</w:t>
      </w:r>
      <w:bookmarkStart w:id="365" w:name="itemlist-title"/>
      <w:r>
        <w:rPr>
          <w:rFonts w:hint="eastAsia" w:ascii="宋体" w:hAnsi="宋体" w:cs="宋体"/>
          <w:sz w:val="24"/>
        </w:rPr>
        <w:t>危险化学品和化学实验室安全教育读本</w:t>
      </w:r>
      <w:bookmarkEnd w:id="365"/>
      <w:r>
        <w:rPr>
          <w:rFonts w:hint="eastAsia" w:ascii="宋体" w:hAnsi="宋体" w:cs="宋体"/>
          <w:sz w:val="24"/>
        </w:rPr>
        <w:t>》</w:t>
      </w:r>
      <w:r>
        <w:rPr>
          <w:rFonts w:hint="eastAsia" w:ascii="宋体" w:hAnsi="宋体" w:cs="宋体"/>
          <w:sz w:val="24"/>
          <w:lang w:eastAsia="zh-CN"/>
        </w:rPr>
        <w:t>，</w:t>
      </w:r>
      <w:r>
        <w:rPr>
          <w:rFonts w:hint="eastAsia" w:ascii="宋体" w:hAnsi="宋体" w:cs="宋体"/>
          <w:sz w:val="24"/>
        </w:rPr>
        <w:t>化学工业出版社，2018年第一版。</w:t>
      </w:r>
    </w:p>
    <w:p w14:paraId="4ED3FCA6">
      <w:pPr>
        <w:pStyle w:val="5"/>
        <w:ind w:firstLine="720" w:firstLineChars="300"/>
        <w:rPr>
          <w:rFonts w:ascii="宋体" w:hAnsi="宋体" w:cs="宋体"/>
          <w:sz w:val="24"/>
        </w:rPr>
      </w:pPr>
      <w:r>
        <w:rPr>
          <w:rFonts w:hint="eastAsia" w:ascii="宋体" w:hAnsi="宋体" w:cs="宋体"/>
          <w:sz w:val="24"/>
        </w:rPr>
        <w:t>6</w:t>
      </w:r>
      <w:r>
        <w:rPr>
          <w:rFonts w:hint="eastAsia" w:ascii="宋体" w:hAnsi="宋体" w:cs="宋体"/>
          <w:sz w:val="24"/>
          <w:lang w:eastAsia="zh-CN"/>
        </w:rPr>
        <w:t>.</w:t>
      </w:r>
      <w:r>
        <w:rPr>
          <w:rFonts w:hint="eastAsia" w:ascii="宋体" w:hAnsi="宋体" w:cs="宋体"/>
          <w:sz w:val="24"/>
        </w:rPr>
        <w:t>姜文凤、刘志广，《化学实验室安全基础》，高等教育出版社，2019年第一版。</w:t>
      </w:r>
    </w:p>
    <w:p w14:paraId="65F9DF78">
      <w:pPr>
        <w:spacing w:line="360" w:lineRule="auto"/>
        <w:ind w:firstLine="480" w:firstLineChars="200"/>
        <w:rPr>
          <w:rFonts w:ascii="宋体" w:hAnsi="宋体" w:eastAsia="宋体" w:cs="宋体"/>
          <w:bCs/>
          <w:sz w:val="24"/>
        </w:rPr>
      </w:pPr>
    </w:p>
    <w:p w14:paraId="3BD76812">
      <w:pPr>
        <w:spacing w:line="360" w:lineRule="auto"/>
        <w:ind w:firstLine="480" w:firstLineChars="200"/>
        <w:rPr>
          <w:rFonts w:ascii="宋体" w:hAnsi="宋体" w:eastAsia="宋体" w:cs="宋体"/>
          <w:bCs/>
          <w:sz w:val="24"/>
        </w:rPr>
      </w:pPr>
    </w:p>
    <w:p w14:paraId="5BB6776D">
      <w:pPr>
        <w:autoSpaceDE w:val="0"/>
        <w:autoSpaceDN w:val="0"/>
        <w:adjustRightInd w:val="0"/>
        <w:spacing w:line="360" w:lineRule="auto"/>
        <w:ind w:firstLine="5280" w:firstLineChars="2200"/>
        <w:jc w:val="left"/>
        <w:rPr>
          <w:rFonts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执笔人：王鲲鹏 朱庆伟</w:t>
      </w:r>
    </w:p>
    <w:p w14:paraId="7C68760B">
      <w:pPr>
        <w:autoSpaceDE w:val="0"/>
        <w:autoSpaceDN w:val="0"/>
        <w:adjustRightInd w:val="0"/>
        <w:spacing w:line="360" w:lineRule="auto"/>
        <w:ind w:firstLine="5280" w:firstLineChars="2200"/>
        <w:jc w:val="left"/>
        <w:rPr>
          <w:rFonts w:hint="default" w:ascii="宋体" w:hAnsi="宋体" w:eastAsia="宋体" w:cs="Times New Roman"/>
          <w:color w:val="000000" w:themeColor="text1"/>
          <w:kern w:val="0"/>
          <w:sz w:val="24"/>
          <w:szCs w:val="21"/>
          <w:lang w:val="en-US" w:eastAsia="zh-CN"/>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审定人：</w:t>
      </w:r>
      <w:r>
        <w:rPr>
          <w:rFonts w:hint="eastAsia" w:ascii="宋体" w:hAnsi="宋体" w:eastAsia="宋体" w:cs="Times New Roman"/>
          <w:color w:val="000000" w:themeColor="text1"/>
          <w:kern w:val="0"/>
          <w:sz w:val="24"/>
          <w:szCs w:val="21"/>
          <w:lang w:val="en-US" w:eastAsia="zh-CN"/>
          <w14:textFill>
            <w14:solidFill>
              <w14:schemeClr w14:val="tx1"/>
            </w14:solidFill>
          </w14:textFill>
        </w:rPr>
        <w:t>王  健</w:t>
      </w:r>
    </w:p>
    <w:p w14:paraId="411EB89A">
      <w:pPr>
        <w:autoSpaceDE w:val="0"/>
        <w:autoSpaceDN w:val="0"/>
        <w:adjustRightInd w:val="0"/>
        <w:spacing w:line="360" w:lineRule="auto"/>
        <w:ind w:firstLine="5280" w:firstLineChars="2200"/>
        <w:jc w:val="left"/>
        <w:rPr>
          <w:rFonts w:hint="eastAsia" w:ascii="宋体" w:hAnsi="宋体" w:eastAsia="宋体" w:cs="Times New Roman"/>
          <w:color w:val="000000" w:themeColor="text1"/>
          <w:kern w:val="0"/>
          <w:sz w:val="24"/>
          <w:szCs w:val="21"/>
          <w:lang w:val="en-US" w:eastAsia="zh-CN"/>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审批人：</w:t>
      </w:r>
      <w:r>
        <w:rPr>
          <w:rFonts w:hint="eastAsia" w:ascii="宋体" w:hAnsi="宋体" w:eastAsia="宋体" w:cs="Times New Roman"/>
          <w:color w:val="000000" w:themeColor="text1"/>
          <w:kern w:val="0"/>
          <w:sz w:val="24"/>
          <w:szCs w:val="21"/>
          <w:lang w:val="en-US" w:eastAsia="zh-CN"/>
          <w14:textFill>
            <w14:solidFill>
              <w14:schemeClr w14:val="tx1"/>
            </w14:solidFill>
          </w14:textFill>
        </w:rPr>
        <w:t>张志欣</w:t>
      </w:r>
    </w:p>
    <w:p w14:paraId="7FD98EC7">
      <w:pPr>
        <w:autoSpaceDE w:val="0"/>
        <w:autoSpaceDN w:val="0"/>
        <w:adjustRightInd w:val="0"/>
        <w:spacing w:line="360" w:lineRule="auto"/>
        <w:ind w:firstLine="5280" w:firstLineChars="2200"/>
        <w:jc w:val="left"/>
        <w:rPr>
          <w:rFonts w:hint="eastAsia" w:ascii="宋体" w:hAnsi="宋体" w:eastAsia="宋体" w:cs="Times New Roman"/>
          <w:color w:val="000000" w:themeColor="text1"/>
          <w:kern w:val="0"/>
          <w:sz w:val="24"/>
          <w:szCs w:val="21"/>
          <w14:textFill>
            <w14:solidFill>
              <w14:schemeClr w14:val="tx1"/>
            </w14:solidFill>
          </w14:textFill>
        </w:rPr>
      </w:pPr>
      <w:r>
        <w:rPr>
          <w:rFonts w:hint="eastAsia" w:ascii="宋体" w:hAnsi="宋体" w:eastAsia="宋体" w:cs="Times New Roman"/>
          <w:color w:val="000000" w:themeColor="text1"/>
          <w:kern w:val="0"/>
          <w:sz w:val="24"/>
          <w:szCs w:val="21"/>
          <w14:textFill>
            <w14:solidFill>
              <w14:schemeClr w14:val="tx1"/>
            </w14:solidFill>
          </w14:textFill>
        </w:rPr>
        <w:t>批准时间：202</w:t>
      </w:r>
      <w:r>
        <w:rPr>
          <w:rFonts w:hint="eastAsia" w:ascii="宋体" w:hAnsi="宋体" w:eastAsia="宋体" w:cs="Times New Roman"/>
          <w:color w:val="000000" w:themeColor="text1"/>
          <w:kern w:val="0"/>
          <w:sz w:val="24"/>
          <w:szCs w:val="21"/>
          <w:lang w:val="en-US" w:eastAsia="zh-CN"/>
          <w14:textFill>
            <w14:solidFill>
              <w14:schemeClr w14:val="tx1"/>
            </w14:solidFill>
          </w14:textFill>
        </w:rPr>
        <w:t>4</w:t>
      </w:r>
      <w:r>
        <w:rPr>
          <w:rFonts w:hint="eastAsia" w:ascii="宋体" w:hAnsi="宋体" w:eastAsia="宋体" w:cs="Times New Roman"/>
          <w:color w:val="000000" w:themeColor="text1"/>
          <w:kern w:val="0"/>
          <w:sz w:val="24"/>
          <w:szCs w:val="21"/>
          <w14:textFill>
            <w14:solidFill>
              <w14:schemeClr w14:val="tx1"/>
            </w14:solidFill>
          </w14:textFill>
        </w:rPr>
        <w:t>年8月30日</w:t>
      </w:r>
    </w:p>
    <w:p w14:paraId="41ABC862">
      <w:pPr>
        <w:rPr>
          <w:rFonts w:hint="eastAsia" w:eastAsia="黑体"/>
          <w:bCs/>
          <w:sz w:val="44"/>
        </w:rPr>
      </w:pPr>
      <w:r>
        <w:rPr>
          <w:rFonts w:hint="eastAsia" w:eastAsia="黑体"/>
          <w:bCs/>
          <w:sz w:val="44"/>
        </w:rPr>
        <w:br w:type="page"/>
      </w:r>
    </w:p>
    <w:p w14:paraId="368EDC92">
      <w:pPr>
        <w:spacing w:before="156" w:beforeLines="50"/>
        <w:jc w:val="center"/>
        <w:rPr>
          <w:rFonts w:hint="eastAsia" w:eastAsia="黑体"/>
          <w:bCs/>
          <w:sz w:val="44"/>
        </w:rPr>
      </w:pPr>
      <w:r>
        <w:rPr>
          <w:rFonts w:hint="eastAsia" w:eastAsia="黑体"/>
          <w:bCs/>
          <w:sz w:val="44"/>
        </w:rPr>
        <w:t>实验室安全教育课程教学大纲</w:t>
      </w:r>
    </w:p>
    <w:p w14:paraId="7C1EFF06">
      <w:pPr>
        <w:spacing w:after="100" w:afterAutospacing="1" w:line="360" w:lineRule="exact"/>
        <w:jc w:val="center"/>
        <w:rPr>
          <w:rFonts w:hint="eastAsia" w:eastAsia="仿宋_GB2312"/>
          <w:bCs/>
          <w:sz w:val="24"/>
        </w:rPr>
      </w:pPr>
      <w:r>
        <w:rPr>
          <w:rFonts w:hint="eastAsia" w:eastAsia="仿宋_GB2312"/>
          <w:bCs/>
          <w:sz w:val="24"/>
        </w:rPr>
        <w:t>（学时数：自学不少于</w:t>
      </w:r>
      <w:r>
        <w:rPr>
          <w:rFonts w:eastAsia="仿宋_GB2312"/>
          <w:bCs/>
          <w:sz w:val="24"/>
        </w:rPr>
        <w:t>8</w:t>
      </w:r>
      <w:r>
        <w:rPr>
          <w:rFonts w:hint="eastAsia" w:eastAsia="仿宋_GB2312"/>
          <w:bCs/>
          <w:sz w:val="24"/>
        </w:rPr>
        <w:t>学时，学分数：</w:t>
      </w:r>
      <w:r>
        <w:rPr>
          <w:rFonts w:eastAsia="仿宋_GB2312"/>
          <w:bCs/>
          <w:sz w:val="24"/>
        </w:rPr>
        <w:t>0.5</w:t>
      </w:r>
      <w:r>
        <w:rPr>
          <w:rFonts w:hint="eastAsia" w:eastAsia="仿宋_GB2312"/>
          <w:bCs/>
          <w:sz w:val="24"/>
        </w:rPr>
        <w:t>）</w:t>
      </w:r>
    </w:p>
    <w:p w14:paraId="79D5F0A9">
      <w:pPr>
        <w:spacing w:line="360" w:lineRule="auto"/>
        <w:ind w:firstLine="504" w:firstLineChars="180"/>
        <w:rPr>
          <w:rFonts w:hint="eastAsia" w:eastAsia="黑体"/>
          <w:bCs/>
          <w:sz w:val="28"/>
          <w:szCs w:val="28"/>
        </w:rPr>
      </w:pPr>
      <w:r>
        <w:rPr>
          <w:rFonts w:hint="eastAsia" w:eastAsia="黑体"/>
          <w:bCs/>
          <w:sz w:val="28"/>
          <w:szCs w:val="28"/>
        </w:rPr>
        <w:t>一、课程性质和任务</w:t>
      </w:r>
    </w:p>
    <w:p w14:paraId="743322A3">
      <w:pPr>
        <w:pStyle w:val="5"/>
        <w:rPr>
          <w:rFonts w:hint="eastAsia"/>
        </w:rPr>
      </w:pPr>
      <w:r>
        <w:rPr>
          <w:rFonts w:hint="eastAsia"/>
        </w:rPr>
        <w:t>本课程的性质：</w:t>
      </w:r>
    </w:p>
    <w:p w14:paraId="1D3678E8">
      <w:pPr>
        <w:pStyle w:val="5"/>
        <w:rPr>
          <w:rFonts w:hint="eastAsia"/>
        </w:rPr>
      </w:pPr>
      <w:r>
        <w:rPr>
          <w:rFonts w:hint="eastAsia"/>
          <w:bCs/>
        </w:rPr>
        <w:t>本课程</w:t>
      </w:r>
      <w:r>
        <w:rPr>
          <w:szCs w:val="21"/>
        </w:rPr>
        <w:t>是</w:t>
      </w:r>
      <w:r>
        <w:rPr>
          <w:rFonts w:hint="eastAsia"/>
        </w:rPr>
        <w:t>我校全体学生须学习并考试合格</w:t>
      </w:r>
      <w:r>
        <w:t>的一门</w:t>
      </w:r>
      <w:r>
        <w:rPr>
          <w:rFonts w:hint="eastAsia"/>
        </w:rPr>
        <w:t>通识必修课程</w:t>
      </w:r>
      <w:r>
        <w:t>。</w:t>
      </w:r>
    </w:p>
    <w:p w14:paraId="413766DC">
      <w:pPr>
        <w:pStyle w:val="5"/>
        <w:rPr>
          <w:rFonts w:hint="eastAsia"/>
        </w:rPr>
      </w:pPr>
      <w:r>
        <w:rPr>
          <w:rFonts w:hint="eastAsia"/>
        </w:rPr>
        <w:t>本课程的任务：</w:t>
      </w:r>
    </w:p>
    <w:p w14:paraId="2A48F342">
      <w:pPr>
        <w:pStyle w:val="5"/>
        <w:rPr>
          <w:rFonts w:hint="eastAsia"/>
        </w:rPr>
      </w:pPr>
      <w:r>
        <w:rPr>
          <w:rFonts w:hint="eastAsia"/>
        </w:rPr>
        <w:t>通过学习《实验室安全教育》，使学生了解实验过程中涉及具有一定危险因素的实验环境，如高温、高压、超低温、强磁、真空、辐射、高电压和高转速等基本知识；使学生能够掌握安全、健康和环境方面的基本理论，培养其安全意识和安全素养，使其具有一定的系统安全风险分析的能力，安全操作技能和应急处置能力，以保障大学生在校学习、实验及生活的安全并满足今后职业发展的安全需要。</w:t>
      </w:r>
    </w:p>
    <w:p w14:paraId="13ED8253">
      <w:pPr>
        <w:spacing w:line="360" w:lineRule="auto"/>
        <w:ind w:firstLine="504" w:firstLineChars="180"/>
        <w:rPr>
          <w:rFonts w:hint="eastAsia" w:eastAsia="黑体"/>
          <w:bCs/>
          <w:sz w:val="28"/>
          <w:szCs w:val="28"/>
        </w:rPr>
      </w:pPr>
      <w:r>
        <w:rPr>
          <w:rFonts w:hint="eastAsia" w:eastAsia="黑体"/>
          <w:bCs/>
          <w:sz w:val="28"/>
          <w:szCs w:val="28"/>
        </w:rPr>
        <w:t>二、课程基本内容</w:t>
      </w:r>
    </w:p>
    <w:p w14:paraId="335975A9">
      <w:pPr>
        <w:pStyle w:val="5"/>
        <w:rPr>
          <w:rFonts w:hint="eastAsia"/>
        </w:rPr>
      </w:pPr>
      <w:r>
        <w:rPr>
          <w:rFonts w:hint="eastAsia"/>
        </w:rPr>
        <w:t>（一）实验室消防安全</w:t>
      </w:r>
    </w:p>
    <w:p w14:paraId="6614B514">
      <w:pPr>
        <w:pStyle w:val="5"/>
        <w:rPr>
          <w:rFonts w:hint="eastAsia"/>
        </w:rPr>
      </w:pPr>
      <w:r>
        <w:rPr>
          <w:rFonts w:hint="eastAsia"/>
        </w:rPr>
        <w:t>1．实验室消防常识；</w:t>
      </w:r>
    </w:p>
    <w:p w14:paraId="501BD39D">
      <w:pPr>
        <w:pStyle w:val="5"/>
        <w:rPr>
          <w:rFonts w:hint="eastAsia"/>
        </w:rPr>
      </w:pPr>
      <w:r>
        <w:rPr>
          <w:rFonts w:hint="eastAsia"/>
        </w:rPr>
        <w:t>2．实验室消防安全管理；</w:t>
      </w:r>
    </w:p>
    <w:p w14:paraId="19F08AE3">
      <w:pPr>
        <w:pStyle w:val="5"/>
        <w:rPr>
          <w:rFonts w:hint="eastAsia"/>
        </w:rPr>
      </w:pPr>
      <w:r>
        <w:rPr>
          <w:rFonts w:hint="eastAsia"/>
        </w:rPr>
        <w:t>3．实验室消防设施；</w:t>
      </w:r>
    </w:p>
    <w:p w14:paraId="3D15CD95">
      <w:pPr>
        <w:pStyle w:val="5"/>
        <w:rPr>
          <w:rFonts w:hint="eastAsia"/>
        </w:rPr>
      </w:pPr>
      <w:r>
        <w:rPr>
          <w:rFonts w:hint="eastAsia"/>
        </w:rPr>
        <w:t>4．火灾应急措施。</w:t>
      </w:r>
    </w:p>
    <w:p w14:paraId="09EB6551">
      <w:pPr>
        <w:pStyle w:val="5"/>
        <w:rPr>
          <w:rFonts w:hint="eastAsia"/>
        </w:rPr>
      </w:pPr>
      <w:r>
        <w:rPr>
          <w:rFonts w:hint="eastAsia"/>
        </w:rPr>
        <w:t>（二）实验室用电安全</w:t>
      </w:r>
    </w:p>
    <w:p w14:paraId="087E5E30">
      <w:pPr>
        <w:pStyle w:val="5"/>
        <w:rPr>
          <w:rFonts w:hint="eastAsia"/>
        </w:rPr>
      </w:pPr>
      <w:r>
        <w:rPr>
          <w:rFonts w:hint="eastAsia"/>
        </w:rPr>
        <w:t>1．触电危害</w:t>
      </w:r>
    </w:p>
    <w:p w14:paraId="6151FD6A">
      <w:pPr>
        <w:pStyle w:val="5"/>
        <w:rPr>
          <w:rFonts w:hint="eastAsia"/>
        </w:rPr>
      </w:pPr>
      <w:r>
        <w:rPr>
          <w:rFonts w:hint="eastAsia"/>
        </w:rPr>
        <w:t>2．触电事故防范知识</w:t>
      </w:r>
    </w:p>
    <w:p w14:paraId="522F8B6F">
      <w:pPr>
        <w:pStyle w:val="5"/>
        <w:rPr>
          <w:rFonts w:hint="eastAsia"/>
        </w:rPr>
      </w:pPr>
      <w:r>
        <w:rPr>
          <w:rFonts w:hint="eastAsia"/>
        </w:rPr>
        <w:t>3．触电急救</w:t>
      </w:r>
    </w:p>
    <w:p w14:paraId="76428800">
      <w:pPr>
        <w:pStyle w:val="5"/>
        <w:rPr>
          <w:rFonts w:hint="eastAsia"/>
        </w:rPr>
      </w:pPr>
      <w:r>
        <w:rPr>
          <w:rFonts w:hint="eastAsia"/>
        </w:rPr>
        <w:t>4．电气类安全知识</w:t>
      </w:r>
    </w:p>
    <w:p w14:paraId="7DA3BB24">
      <w:pPr>
        <w:pStyle w:val="5"/>
        <w:rPr>
          <w:rFonts w:hint="eastAsia"/>
        </w:rPr>
      </w:pPr>
      <w:r>
        <w:rPr>
          <w:rFonts w:hint="eastAsia"/>
        </w:rPr>
        <w:t>（三）实验室危险化学品使用安全</w:t>
      </w:r>
    </w:p>
    <w:p w14:paraId="587DD5F0">
      <w:pPr>
        <w:pStyle w:val="5"/>
        <w:rPr>
          <w:rFonts w:hint="eastAsia"/>
        </w:rPr>
      </w:pPr>
      <w:r>
        <w:rPr>
          <w:rFonts w:hint="eastAsia"/>
        </w:rPr>
        <w:t>1．危险化学品常识；</w:t>
      </w:r>
    </w:p>
    <w:p w14:paraId="47D85649">
      <w:pPr>
        <w:pStyle w:val="5"/>
        <w:rPr>
          <w:rFonts w:hint="eastAsia"/>
        </w:rPr>
      </w:pPr>
      <w:r>
        <w:rPr>
          <w:rFonts w:hint="eastAsia"/>
        </w:rPr>
        <w:t>2．危险化学品安全管理；</w:t>
      </w:r>
    </w:p>
    <w:p w14:paraId="13254176">
      <w:pPr>
        <w:pStyle w:val="5"/>
        <w:rPr>
          <w:rFonts w:hint="eastAsia"/>
        </w:rPr>
      </w:pPr>
      <w:r>
        <w:rPr>
          <w:rFonts w:hint="eastAsia"/>
        </w:rPr>
        <w:t>3．危险化学品防护措施；</w:t>
      </w:r>
    </w:p>
    <w:p w14:paraId="56152F58">
      <w:pPr>
        <w:pStyle w:val="5"/>
        <w:rPr>
          <w:rFonts w:hint="eastAsia"/>
        </w:rPr>
      </w:pPr>
      <w:r>
        <w:rPr>
          <w:rFonts w:hint="eastAsia"/>
        </w:rPr>
        <w:t>4．危险化学品事故应急措施。</w:t>
      </w:r>
    </w:p>
    <w:p w14:paraId="61700917">
      <w:pPr>
        <w:pStyle w:val="5"/>
        <w:rPr>
          <w:rFonts w:hint="eastAsia"/>
        </w:rPr>
      </w:pPr>
      <w:r>
        <w:rPr>
          <w:rFonts w:hint="eastAsia"/>
        </w:rPr>
        <w:t>（四）实验室电离辐射安全</w:t>
      </w:r>
    </w:p>
    <w:p w14:paraId="2311869D">
      <w:pPr>
        <w:pStyle w:val="5"/>
        <w:rPr>
          <w:rFonts w:hint="eastAsia"/>
        </w:rPr>
      </w:pPr>
      <w:r>
        <w:rPr>
          <w:rFonts w:hint="eastAsia"/>
        </w:rPr>
        <w:t>1．电离辐射安全常识；</w:t>
      </w:r>
    </w:p>
    <w:p w14:paraId="285E10CC">
      <w:pPr>
        <w:pStyle w:val="5"/>
        <w:rPr>
          <w:rFonts w:hint="eastAsia"/>
        </w:rPr>
      </w:pPr>
      <w:r>
        <w:rPr>
          <w:rFonts w:hint="eastAsia"/>
        </w:rPr>
        <w:t>2．实验室电离辐射防护措施；</w:t>
      </w:r>
    </w:p>
    <w:p w14:paraId="277A9AFE">
      <w:pPr>
        <w:pStyle w:val="5"/>
        <w:rPr>
          <w:rFonts w:hint="eastAsia"/>
        </w:rPr>
      </w:pPr>
      <w:r>
        <w:rPr>
          <w:rFonts w:hint="eastAsia"/>
        </w:rPr>
        <w:t>3．电离辐射安全与防护管理；</w:t>
      </w:r>
    </w:p>
    <w:p w14:paraId="3EBAE45C">
      <w:pPr>
        <w:pStyle w:val="5"/>
        <w:rPr>
          <w:rFonts w:hint="eastAsia"/>
        </w:rPr>
      </w:pPr>
      <w:r>
        <w:rPr>
          <w:rFonts w:hint="eastAsia"/>
        </w:rPr>
        <w:t>4．电离辐射事故应急措施。</w:t>
      </w:r>
    </w:p>
    <w:p w14:paraId="19884FBA">
      <w:pPr>
        <w:pStyle w:val="5"/>
        <w:rPr>
          <w:rFonts w:hint="eastAsia"/>
        </w:rPr>
      </w:pPr>
      <w:r>
        <w:rPr>
          <w:rFonts w:hint="eastAsia"/>
        </w:rPr>
        <w:t>（五）实验室特殊仪器设备使用安全</w:t>
      </w:r>
    </w:p>
    <w:p w14:paraId="18DC657B">
      <w:pPr>
        <w:pStyle w:val="5"/>
        <w:rPr>
          <w:rFonts w:hint="eastAsia"/>
        </w:rPr>
      </w:pPr>
      <w:r>
        <w:rPr>
          <w:rFonts w:hint="eastAsia"/>
        </w:rPr>
        <w:t>1．高温、高压类仪器设备使用安全；</w:t>
      </w:r>
    </w:p>
    <w:p w14:paraId="38ACC481">
      <w:pPr>
        <w:pStyle w:val="5"/>
        <w:rPr>
          <w:rFonts w:hint="eastAsia"/>
        </w:rPr>
      </w:pPr>
      <w:r>
        <w:rPr>
          <w:rFonts w:hint="eastAsia"/>
        </w:rPr>
        <w:t>2．高速运转类设备使用安全；</w:t>
      </w:r>
    </w:p>
    <w:p w14:paraId="624B48D4">
      <w:pPr>
        <w:pStyle w:val="5"/>
        <w:rPr>
          <w:rFonts w:hint="eastAsia"/>
        </w:rPr>
      </w:pPr>
      <w:r>
        <w:rPr>
          <w:rFonts w:hint="eastAsia"/>
        </w:rPr>
        <w:t>3．强场类仪器设备使用安全；</w:t>
      </w:r>
    </w:p>
    <w:p w14:paraId="45AD4C4C">
      <w:pPr>
        <w:pStyle w:val="5"/>
        <w:rPr>
          <w:rFonts w:hint="eastAsia"/>
        </w:rPr>
      </w:pPr>
      <w:r>
        <w:rPr>
          <w:rFonts w:hint="eastAsia"/>
        </w:rPr>
        <w:t>4．激光使用安全；</w:t>
      </w:r>
    </w:p>
    <w:p w14:paraId="47A33500">
      <w:pPr>
        <w:pStyle w:val="5"/>
        <w:rPr>
          <w:rFonts w:hint="eastAsia"/>
        </w:rPr>
      </w:pPr>
      <w:r>
        <w:rPr>
          <w:rFonts w:hint="eastAsia"/>
        </w:rPr>
        <w:t>5．低温类实验安全。</w:t>
      </w:r>
    </w:p>
    <w:p w14:paraId="11779D55">
      <w:pPr>
        <w:pStyle w:val="5"/>
        <w:rPr>
          <w:rFonts w:hint="eastAsia"/>
        </w:rPr>
      </w:pPr>
      <w:r>
        <w:rPr>
          <w:rFonts w:hint="eastAsia"/>
        </w:rPr>
        <w:t>（六）实验室事故人员急救</w:t>
      </w:r>
    </w:p>
    <w:p w14:paraId="33677D33">
      <w:pPr>
        <w:pStyle w:val="5"/>
        <w:rPr>
          <w:rFonts w:hint="eastAsia"/>
        </w:rPr>
      </w:pPr>
      <w:r>
        <w:rPr>
          <w:rFonts w:hint="eastAsia"/>
        </w:rPr>
        <w:t>1．实验室急救箱简介；</w:t>
      </w:r>
    </w:p>
    <w:p w14:paraId="18E0FCA9">
      <w:pPr>
        <w:pStyle w:val="5"/>
        <w:rPr>
          <w:rFonts w:hint="eastAsia"/>
        </w:rPr>
      </w:pPr>
      <w:r>
        <w:rPr>
          <w:rFonts w:hint="eastAsia"/>
        </w:rPr>
        <w:t>2．常见急救措施；</w:t>
      </w:r>
    </w:p>
    <w:p w14:paraId="6ED378CA">
      <w:pPr>
        <w:pStyle w:val="5"/>
        <w:rPr>
          <w:rFonts w:hint="eastAsia"/>
        </w:rPr>
      </w:pPr>
      <w:r>
        <w:rPr>
          <w:rFonts w:hint="eastAsia"/>
        </w:rPr>
        <w:t>3．其他实验室事故急救措施。</w:t>
      </w:r>
    </w:p>
    <w:p w14:paraId="2DAB65DC">
      <w:pPr>
        <w:spacing w:line="360" w:lineRule="auto"/>
        <w:ind w:firstLine="504" w:firstLineChars="180"/>
        <w:rPr>
          <w:rFonts w:hint="eastAsia" w:eastAsia="黑体"/>
          <w:bCs/>
          <w:sz w:val="28"/>
          <w:szCs w:val="28"/>
        </w:rPr>
      </w:pPr>
      <w:r>
        <w:rPr>
          <w:rFonts w:hint="eastAsia" w:eastAsia="黑体"/>
          <w:bCs/>
          <w:sz w:val="28"/>
          <w:szCs w:val="28"/>
        </w:rPr>
        <w:t>三、其他说明</w:t>
      </w:r>
    </w:p>
    <w:p w14:paraId="49D9DC27">
      <w:pPr>
        <w:spacing w:line="360" w:lineRule="auto"/>
        <w:ind w:firstLine="560" w:firstLineChars="200"/>
        <w:rPr>
          <w:rFonts w:hint="eastAsia" w:eastAsia="黑体"/>
          <w:bCs/>
          <w:sz w:val="28"/>
          <w:szCs w:val="28"/>
        </w:rPr>
      </w:pPr>
      <w:r>
        <w:rPr>
          <w:rFonts w:hint="eastAsia" w:eastAsia="黑体"/>
          <w:bCs/>
          <w:sz w:val="28"/>
          <w:szCs w:val="28"/>
        </w:rPr>
        <w:t>1. 课程实施</w:t>
      </w:r>
    </w:p>
    <w:p w14:paraId="4CE41C40">
      <w:pPr>
        <w:pStyle w:val="5"/>
        <w:rPr>
          <w:rFonts w:hint="eastAsia"/>
        </w:rPr>
      </w:pPr>
      <w:r>
        <w:rPr>
          <w:rFonts w:hint="eastAsia"/>
        </w:rPr>
        <w:t>学生通过在线自习相关内容完成课程的学习。学生登录“实验室安全教育与考试系统平台”，浏览“在线学习”栏目进行在线学习、练习。</w:t>
      </w:r>
    </w:p>
    <w:p w14:paraId="67EC300F">
      <w:pPr>
        <w:spacing w:line="360" w:lineRule="auto"/>
        <w:ind w:firstLine="560" w:firstLineChars="200"/>
        <w:rPr>
          <w:rFonts w:hint="eastAsia" w:eastAsia="黑体"/>
          <w:bCs/>
          <w:sz w:val="28"/>
          <w:szCs w:val="28"/>
        </w:rPr>
      </w:pPr>
      <w:r>
        <w:rPr>
          <w:rFonts w:hint="eastAsia" w:eastAsia="黑体"/>
          <w:bCs/>
          <w:sz w:val="28"/>
          <w:szCs w:val="28"/>
        </w:rPr>
        <w:t>2. 课程考核</w:t>
      </w:r>
    </w:p>
    <w:p w14:paraId="7F101A61">
      <w:pPr>
        <w:pStyle w:val="5"/>
      </w:pPr>
      <w:r>
        <w:rPr>
          <w:rFonts w:hint="eastAsia"/>
        </w:rPr>
        <w:t>学生通过在线考试完成课程考核。教务处负责每年组织“实验室安全教育”课程的网络在线考试，考试成绩达到</w:t>
      </w:r>
      <w:r>
        <w:t>8</w:t>
      </w:r>
      <w:r>
        <w:rPr>
          <w:rFonts w:hint="eastAsia"/>
        </w:rPr>
        <w:t>0分为合格，获得0.5学分。</w:t>
      </w:r>
    </w:p>
    <w:p w14:paraId="5FAC5A28">
      <w:pPr>
        <w:spacing w:line="360" w:lineRule="auto"/>
        <w:ind w:firstLine="560" w:firstLineChars="200"/>
        <w:rPr>
          <w:rFonts w:hint="eastAsia" w:eastAsia="黑体"/>
          <w:bCs/>
          <w:sz w:val="28"/>
          <w:szCs w:val="28"/>
        </w:rPr>
      </w:pPr>
      <w:r>
        <w:rPr>
          <w:rFonts w:hint="eastAsia" w:eastAsia="黑体"/>
          <w:bCs/>
          <w:sz w:val="28"/>
          <w:szCs w:val="28"/>
        </w:rPr>
        <w:t>3. 参考资料</w:t>
      </w:r>
    </w:p>
    <w:p w14:paraId="4BA28DC5">
      <w:pPr>
        <w:pStyle w:val="5"/>
        <w:rPr>
          <w:rFonts w:hint="eastAsia"/>
        </w:rPr>
      </w:pPr>
      <w:r>
        <w:rPr>
          <w:rFonts w:hint="eastAsia"/>
        </w:rPr>
        <w:t>（1）《大学生安全教育》，王威、呼东燕、高巍、潘洪涛，清华大学出版社， 2017年第一版；</w:t>
      </w:r>
    </w:p>
    <w:p w14:paraId="68EA13BE">
      <w:pPr>
        <w:pStyle w:val="5"/>
      </w:pPr>
      <w:r>
        <w:rPr>
          <w:rFonts w:hint="eastAsia"/>
        </w:rPr>
        <w:t>（</w:t>
      </w:r>
      <w:r>
        <w:t>2</w:t>
      </w:r>
      <w:r>
        <w:rPr>
          <w:rFonts w:hint="eastAsia"/>
        </w:rPr>
        <w:t>）《实验室安全知识手册》，王传虎，吕思斌，安徽大学出版社，2018年第一版；</w:t>
      </w:r>
    </w:p>
    <w:p w14:paraId="7BB879FB">
      <w:pPr>
        <w:pStyle w:val="5"/>
        <w:rPr>
          <w:rFonts w:hint="eastAsia"/>
        </w:rPr>
      </w:pPr>
      <w:r>
        <w:rPr>
          <w:rFonts w:hint="eastAsia"/>
        </w:rPr>
        <w:t>（</w:t>
      </w:r>
      <w:r>
        <w:t>3</w:t>
      </w:r>
      <w:r>
        <w:rPr>
          <w:rFonts w:hint="eastAsia"/>
        </w:rPr>
        <w:t>）《高校实验室安全准入教育》，张才，南京大学出版社黄凯，201</w:t>
      </w:r>
      <w:r>
        <w:t>9</w:t>
      </w:r>
      <w:r>
        <w:rPr>
          <w:rFonts w:hint="eastAsia"/>
        </w:rPr>
        <w:t>年第一版；</w:t>
      </w:r>
    </w:p>
    <w:p w14:paraId="2EF438DB">
      <w:pPr>
        <w:pStyle w:val="5"/>
        <w:rPr>
          <w:rFonts w:hint="eastAsia"/>
        </w:rPr>
      </w:pPr>
      <w:r>
        <w:rPr>
          <w:rFonts w:hint="eastAsia"/>
        </w:rPr>
        <w:t>（</w:t>
      </w:r>
      <w:r>
        <w:t>4</w:t>
      </w:r>
      <w:r>
        <w:rPr>
          <w:rFonts w:hint="eastAsia"/>
        </w:rPr>
        <w:t>）《危险化学品和化学实验室安全教育读本》，秦静，化学工业出版社，201</w:t>
      </w:r>
      <w:r>
        <w:t>8</w:t>
      </w:r>
      <w:r>
        <w:rPr>
          <w:rFonts w:hint="eastAsia"/>
        </w:rPr>
        <w:t>年第一版；</w:t>
      </w:r>
    </w:p>
    <w:p w14:paraId="0C5A1A07">
      <w:pPr>
        <w:pStyle w:val="5"/>
        <w:rPr>
          <w:rFonts w:hint="eastAsia"/>
        </w:rPr>
      </w:pPr>
      <w:r>
        <w:rPr>
          <w:rFonts w:hint="eastAsia"/>
        </w:rPr>
        <w:t>（</w:t>
      </w:r>
      <w:r>
        <w:t>5</w:t>
      </w:r>
      <w:r>
        <w:rPr>
          <w:rFonts w:hint="eastAsia"/>
        </w:rPr>
        <w:t>）《化学实验室安全基础》，姜文凤、刘志广，高等教育出版社，201</w:t>
      </w:r>
      <w:r>
        <w:t>9</w:t>
      </w:r>
      <w:r>
        <w:rPr>
          <w:rFonts w:hint="eastAsia"/>
        </w:rPr>
        <w:t>年第一版。</w:t>
      </w:r>
    </w:p>
    <w:p w14:paraId="4039A774">
      <w:pPr>
        <w:spacing w:line="360" w:lineRule="auto"/>
        <w:ind w:firstLine="560" w:firstLineChars="200"/>
        <w:rPr>
          <w:rFonts w:hint="eastAsia" w:eastAsia="黑体"/>
          <w:bCs/>
          <w:sz w:val="28"/>
          <w:szCs w:val="28"/>
        </w:rPr>
      </w:pPr>
    </w:p>
    <w:p w14:paraId="4ABCF289">
      <w:pPr>
        <w:spacing w:line="360" w:lineRule="auto"/>
        <w:ind w:firstLine="560" w:firstLineChars="200"/>
        <w:rPr>
          <w:rFonts w:hint="eastAsia" w:eastAsia="黑体"/>
          <w:bCs/>
          <w:sz w:val="28"/>
          <w:szCs w:val="28"/>
        </w:rPr>
      </w:pPr>
    </w:p>
    <w:p w14:paraId="2C27EC62">
      <w:pPr>
        <w:spacing w:line="360" w:lineRule="auto"/>
        <w:ind w:left="5460" w:right="240"/>
        <w:jc w:val="right"/>
        <w:rPr>
          <w:rFonts w:hint="eastAsia"/>
          <w:sz w:val="24"/>
        </w:rPr>
      </w:pPr>
      <w:r>
        <w:rPr>
          <w:rFonts w:hint="eastAsia"/>
          <w:sz w:val="24"/>
        </w:rPr>
        <w:t>执笔人：王鲲鹏</w:t>
      </w:r>
    </w:p>
    <w:p w14:paraId="2422D4E7">
      <w:pPr>
        <w:spacing w:line="360" w:lineRule="auto"/>
        <w:ind w:left="5460" w:right="240"/>
        <w:jc w:val="right"/>
        <w:rPr>
          <w:rFonts w:hint="eastAsia"/>
          <w:sz w:val="24"/>
        </w:rPr>
      </w:pPr>
      <w:r>
        <w:rPr>
          <w:rFonts w:hint="eastAsia"/>
          <w:sz w:val="24"/>
        </w:rPr>
        <w:t xml:space="preserve">审定人：崔 </w:t>
      </w:r>
      <w:r>
        <w:rPr>
          <w:sz w:val="24"/>
        </w:rPr>
        <w:t xml:space="preserve"> </w:t>
      </w:r>
      <w:r>
        <w:rPr>
          <w:rFonts w:hint="eastAsia"/>
          <w:sz w:val="24"/>
        </w:rPr>
        <w:t>涛</w:t>
      </w:r>
    </w:p>
    <w:p w14:paraId="10EEF5E2">
      <w:pPr>
        <w:spacing w:line="360" w:lineRule="auto"/>
        <w:ind w:left="5460" w:right="240"/>
        <w:jc w:val="right"/>
        <w:rPr>
          <w:rFonts w:hint="eastAsia"/>
          <w:sz w:val="24"/>
        </w:rPr>
      </w:pPr>
      <w:r>
        <w:rPr>
          <w:rFonts w:hint="eastAsia"/>
          <w:sz w:val="24"/>
        </w:rPr>
        <w:t>批准人：邹一琴</w:t>
      </w:r>
    </w:p>
    <w:p w14:paraId="70BD3D79">
      <w:pPr>
        <w:spacing w:line="360" w:lineRule="auto"/>
        <w:ind w:right="240" w:firstLine="5040" w:firstLineChars="2100"/>
        <w:jc w:val="both"/>
        <w:rPr>
          <w:rFonts w:hint="default" w:eastAsiaTheme="minorEastAsia"/>
          <w:sz w:val="24"/>
          <w:lang w:val="en-US" w:eastAsia="zh-CN"/>
        </w:rPr>
      </w:pPr>
      <w:r>
        <w:rPr>
          <w:rFonts w:hint="eastAsia"/>
          <w:sz w:val="24"/>
          <w:lang w:val="en-US" w:eastAsia="zh-CN"/>
        </w:rPr>
        <w:t>批准时间：2024年8月30日</w:t>
      </w:r>
    </w:p>
    <w:p w14:paraId="6221D311">
      <w:pPr>
        <w:autoSpaceDE w:val="0"/>
        <w:autoSpaceDN w:val="0"/>
        <w:adjustRightInd w:val="0"/>
        <w:spacing w:line="360" w:lineRule="auto"/>
        <w:ind w:firstLine="5280" w:firstLineChars="2200"/>
        <w:jc w:val="left"/>
        <w:rPr>
          <w:rFonts w:hint="eastAsia" w:ascii="宋体" w:hAnsi="宋体" w:eastAsia="宋体" w:cs="Times New Roman"/>
          <w:color w:val="000000" w:themeColor="text1"/>
          <w:kern w:val="0"/>
          <w:sz w:val="24"/>
          <w:szCs w:val="21"/>
          <w14:textFill>
            <w14:solidFill>
              <w14:schemeClr w14:val="tx1"/>
            </w14:solidFill>
          </w14:textFill>
        </w:rPr>
      </w:pPr>
    </w:p>
    <w:p w14:paraId="66390B23">
      <w:pPr>
        <w:spacing w:line="360" w:lineRule="auto"/>
        <w:jc w:val="right"/>
        <w:rPr>
          <w:rFonts w:ascii="Times New Roman" w:hAnsi="Times New Roman" w:eastAsia="宋体" w:cs="Times New Roman"/>
          <w:sz w:val="24"/>
          <w:szCs w:val="24"/>
        </w:rPr>
      </w:pPr>
    </w:p>
    <w:p w14:paraId="2E09E718">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08A35D6C">
      <w:pPr>
        <w:pStyle w:val="2"/>
        <w:bidi w:val="0"/>
        <w:rPr>
          <w:lang w:val="en-US" w:eastAsia="zh-CN"/>
        </w:rPr>
      </w:pPr>
      <w:bookmarkStart w:id="366" w:name="_Toc22645"/>
      <w:bookmarkStart w:id="367" w:name="_Toc19850"/>
      <w:bookmarkStart w:id="368" w:name="_Toc5153"/>
      <w:bookmarkStart w:id="369" w:name="_Toc31192"/>
      <w:r>
        <w:rPr>
          <w:rFonts w:hint="eastAsia"/>
          <w:lang w:val="en-US" w:eastAsia="zh-CN"/>
        </w:rPr>
        <w:t>《</w:t>
      </w:r>
      <w:r>
        <w:rPr>
          <w:lang w:val="en-US" w:eastAsia="zh-CN"/>
        </w:rPr>
        <w:t>经典阅读与学术素养</w:t>
      </w:r>
      <w:r>
        <w:rPr>
          <w:rFonts w:hint="eastAsia"/>
          <w:lang w:val="en-US" w:eastAsia="zh-CN"/>
        </w:rPr>
        <w:t>》课程教学大纲</w:t>
      </w:r>
      <w:bookmarkEnd w:id="366"/>
      <w:bookmarkEnd w:id="367"/>
      <w:bookmarkEnd w:id="368"/>
      <w:bookmarkEnd w:id="369"/>
    </w:p>
    <w:p w14:paraId="63676AED">
      <w:pPr>
        <w:pStyle w:val="2"/>
        <w:bidi w:val="0"/>
        <w:rPr>
          <w:lang w:val="en-US" w:eastAsia="zh-CN"/>
        </w:rPr>
      </w:pPr>
      <w:bookmarkStart w:id="370" w:name="_Toc27632"/>
      <w:bookmarkStart w:id="371" w:name="_Toc12369"/>
      <w:bookmarkStart w:id="372" w:name="_Toc14966"/>
      <w:bookmarkStart w:id="373" w:name="_Toc5608"/>
      <w:bookmarkStart w:id="374" w:name="_Toc6968"/>
      <w:bookmarkStart w:id="375" w:name="_Toc11188"/>
      <w:bookmarkStart w:id="376" w:name="_Toc32431"/>
      <w:r>
        <w:rPr>
          <w:lang w:val="en-US" w:eastAsia="zh-CN"/>
        </w:rPr>
        <w:t>（Classic Reading and Academic Literacy）</w:t>
      </w:r>
      <w:bookmarkEnd w:id="370"/>
      <w:bookmarkEnd w:id="371"/>
      <w:bookmarkEnd w:id="372"/>
      <w:bookmarkEnd w:id="373"/>
      <w:bookmarkEnd w:id="374"/>
      <w:bookmarkEnd w:id="375"/>
      <w:bookmarkEnd w:id="376"/>
    </w:p>
    <w:p w14:paraId="2F5144CC">
      <w:pPr>
        <w:keepNext/>
        <w:widowControl w:val="0"/>
        <w:tabs>
          <w:tab w:val="left" w:pos="720"/>
          <w:tab w:val="left" w:pos="2700"/>
        </w:tabs>
        <w:bidi w:val="0"/>
        <w:spacing w:line="850" w:lineRule="exact"/>
        <w:jc w:val="center"/>
        <w:outlineLvl w:val="0"/>
        <w:rPr>
          <w:rFonts w:ascii="Times New Roman" w:hAnsi="Times New Roman" w:eastAsia="宋体" w:cs="Arial"/>
          <w:b/>
          <w:bCs/>
          <w:kern w:val="2"/>
          <w:sz w:val="44"/>
          <w:szCs w:val="24"/>
          <w:lang w:val="en-US" w:eastAsia="zh-CN" w:bidi="ar-SA"/>
        </w:rPr>
      </w:pPr>
    </w:p>
    <w:p w14:paraId="468A86A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ascii="Times New Roman" w:hAnsi="Times New Roman" w:eastAsia="宋体" w:cs="Times New Roman"/>
          <w:b/>
          <w:sz w:val="24"/>
          <w:szCs w:val="24"/>
        </w:rPr>
        <w:t>经典阅读与学术素养</w:t>
      </w:r>
    </w:p>
    <w:p w14:paraId="66148C6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2400004</w:t>
      </w:r>
    </w:p>
    <w:p w14:paraId="1A9B596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3FB38DB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225999D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ascii="Times New Roman" w:hAnsi="Times New Roman" w:eastAsia="宋体" w:cs="Times New Roman"/>
          <w:b/>
          <w:sz w:val="24"/>
          <w:szCs w:val="24"/>
        </w:rPr>
        <w:t>小学心理学、教育原理、教育心理学、中国教育史、外国教育史、教育哲学</w:t>
      </w:r>
    </w:p>
    <w:p w14:paraId="4FCE799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45D75B7C">
      <w:pPr>
        <w:spacing w:line="360" w:lineRule="auto"/>
        <w:jc w:val="left"/>
        <w:rPr>
          <w:rFonts w:ascii="Times New Roman" w:hAnsi="Times New Roman" w:eastAsia="宋体" w:cs="Times New Roman"/>
          <w:b/>
          <w:sz w:val="24"/>
          <w:szCs w:val="24"/>
        </w:rPr>
      </w:pPr>
    </w:p>
    <w:p w14:paraId="52A3B5DF">
      <w:pPr>
        <w:spacing w:line="360" w:lineRule="auto"/>
        <w:jc w:val="left"/>
        <w:outlineLvl w:val="0"/>
        <w:rPr>
          <w:rFonts w:ascii="Times New Roman" w:hAnsi="Times New Roman" w:eastAsia="宋体" w:cs="Times New Roman"/>
          <w:sz w:val="24"/>
          <w:szCs w:val="24"/>
        </w:rPr>
      </w:pPr>
      <w:bookmarkStart w:id="377" w:name="_Toc26841"/>
      <w:bookmarkStart w:id="378" w:name="_Toc26368"/>
      <w:bookmarkStart w:id="379" w:name="_Toc19566"/>
      <w:bookmarkStart w:id="380" w:name="_Toc17459"/>
      <w:bookmarkStart w:id="381" w:name="_Toc21360"/>
      <w:bookmarkStart w:id="382" w:name="_Toc3100"/>
      <w:bookmarkStart w:id="383" w:name="_Toc20528"/>
      <w:r>
        <w:rPr>
          <w:rFonts w:hint="eastAsia" w:ascii="Times New Roman" w:hAnsi="Times New Roman" w:eastAsia="宋体" w:cs="Times New Roman"/>
          <w:b/>
          <w:sz w:val="24"/>
          <w:szCs w:val="24"/>
        </w:rPr>
        <w:t>一、课程简介</w:t>
      </w:r>
      <w:bookmarkEnd w:id="377"/>
      <w:bookmarkEnd w:id="378"/>
      <w:bookmarkEnd w:id="379"/>
      <w:bookmarkEnd w:id="380"/>
      <w:bookmarkEnd w:id="381"/>
      <w:bookmarkEnd w:id="382"/>
      <w:bookmarkEnd w:id="383"/>
    </w:p>
    <w:p w14:paraId="3C996062">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课程旨在培养小学教育专业学生的经典阅读能力和学术素养。通过课程学习，学生将能够：掌握经典阅读的方法和技巧；提高独立思考和批判性思维能力；培养学术研究意识和学术规范意识；提升人文素养和综合素质。</w:t>
      </w:r>
    </w:p>
    <w:p w14:paraId="6A14EF22">
      <w:pPr>
        <w:spacing w:line="360" w:lineRule="auto"/>
        <w:jc w:val="left"/>
        <w:rPr>
          <w:rFonts w:ascii="宋体" w:hAnsi="宋体" w:eastAsia="宋体" w:cs="Times New Roman"/>
          <w:b/>
          <w:color w:val="000000"/>
          <w:szCs w:val="21"/>
        </w:rPr>
      </w:pPr>
    </w:p>
    <w:p w14:paraId="43C53C39">
      <w:pPr>
        <w:spacing w:line="360" w:lineRule="auto"/>
        <w:jc w:val="left"/>
        <w:outlineLvl w:val="0"/>
        <w:rPr>
          <w:rFonts w:ascii="Times New Roman" w:hAnsi="Times New Roman" w:eastAsia="宋体" w:cs="Times New Roman"/>
          <w:sz w:val="24"/>
          <w:szCs w:val="24"/>
        </w:rPr>
      </w:pPr>
      <w:bookmarkStart w:id="384" w:name="_Toc5969"/>
      <w:bookmarkStart w:id="385" w:name="_Toc26303"/>
      <w:bookmarkStart w:id="386" w:name="_Toc28585"/>
      <w:bookmarkStart w:id="387" w:name="_Toc5697"/>
      <w:bookmarkStart w:id="388" w:name="_Toc14794"/>
      <w:bookmarkStart w:id="389" w:name="_Toc8802"/>
      <w:bookmarkStart w:id="390" w:name="_Toc27624"/>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384"/>
      <w:bookmarkEnd w:id="385"/>
      <w:bookmarkEnd w:id="386"/>
      <w:bookmarkEnd w:id="387"/>
      <w:bookmarkEnd w:id="388"/>
      <w:bookmarkEnd w:id="389"/>
      <w:bookmarkEnd w:id="390"/>
    </w:p>
    <w:p w14:paraId="04C44B98">
      <w:pPr>
        <w:spacing w:line="360" w:lineRule="auto"/>
        <w:ind w:firstLine="422" w:firstLineChars="200"/>
        <w:outlineLvl w:val="1"/>
        <w:rPr>
          <w:rFonts w:ascii="宋体" w:hAnsi="宋体" w:eastAsia="宋体" w:cs="Times New Roman"/>
          <w:b/>
          <w:color w:val="000000"/>
          <w:szCs w:val="21"/>
        </w:rPr>
      </w:pPr>
      <w:bookmarkStart w:id="391" w:name="_Toc5030"/>
      <w:r>
        <w:rPr>
          <w:rFonts w:hint="eastAsia" w:ascii="宋体" w:hAnsi="宋体" w:eastAsia="宋体" w:cs="Times New Roman"/>
          <w:b/>
          <w:color w:val="000000"/>
          <w:szCs w:val="21"/>
        </w:rPr>
        <w:t>（一）课程具体目标</w:t>
      </w:r>
      <w:bookmarkEnd w:id="391"/>
    </w:p>
    <w:p w14:paraId="42313EC0">
      <w:pPr>
        <w:spacing w:before="156" w:beforeLines="50" w:after="156" w:afterLines="50" w:line="360" w:lineRule="auto"/>
        <w:ind w:firstLine="200"/>
        <w:rPr>
          <w:rFonts w:ascii="Times New Roman" w:hAnsi="Times New Roman" w:eastAsia="宋体" w:cs="Times New Roman"/>
          <w:bCs/>
          <w:szCs w:val="21"/>
        </w:rPr>
      </w:pPr>
      <w:bookmarkStart w:id="392" w:name="OLE_LINK2"/>
      <w:r>
        <w:rPr>
          <w:rFonts w:ascii="Times New Roman" w:hAnsi="Times New Roman" w:eastAsia="宋体" w:cs="Times New Roman"/>
          <w:b/>
          <w:szCs w:val="21"/>
        </w:rPr>
        <w:t>目标1：</w:t>
      </w:r>
      <w:r>
        <w:rPr>
          <w:rFonts w:ascii="Times New Roman" w:hAnsi="Times New Roman" w:eastAsia="宋体" w:cs="Times New Roman"/>
          <w:bCs/>
          <w:szCs w:val="21"/>
        </w:rPr>
        <w:t>熟练掌握经典文献的阅读方法与技巧，深化理解与鉴赏能力。致力于熟练掌握各类经典文献的阅读方法与技巧，通过细致入微的分析与解读，深化对文献内容的理解，同时提升对文学、历史、哲学等经典作品的鉴赏能力，形成独到的见解与感悟。</w:t>
      </w:r>
    </w:p>
    <w:p w14:paraId="7C6D0981">
      <w:pPr>
        <w:spacing w:before="156" w:beforeLines="50" w:after="156" w:afterLines="50" w:line="360" w:lineRule="auto"/>
        <w:ind w:firstLine="200"/>
        <w:rPr>
          <w:rFonts w:ascii="Times New Roman" w:hAnsi="Times New Roman" w:eastAsia="宋体" w:cs="Times New Roman"/>
          <w:bCs/>
          <w:szCs w:val="21"/>
        </w:rPr>
      </w:pPr>
      <w:r>
        <w:rPr>
          <w:rFonts w:ascii="Times New Roman" w:hAnsi="Times New Roman" w:eastAsia="宋体" w:cs="Times New Roman"/>
          <w:b/>
          <w:szCs w:val="21"/>
        </w:rPr>
        <w:t>目标2：</w:t>
      </w:r>
      <w:r>
        <w:rPr>
          <w:rFonts w:ascii="Times New Roman" w:hAnsi="Times New Roman" w:eastAsia="宋体" w:cs="Times New Roman"/>
          <w:bCs/>
          <w:szCs w:val="21"/>
        </w:rPr>
        <w:t>强化独立思考与批判性思维，培养理性审视问题的能力</w:t>
      </w:r>
      <w:r>
        <w:rPr>
          <w:rFonts w:hint="eastAsia" w:ascii="Times New Roman" w:hAnsi="Times New Roman" w:eastAsia="宋体" w:cs="Times New Roman"/>
          <w:bCs/>
          <w:szCs w:val="21"/>
        </w:rPr>
        <w:t>。</w:t>
      </w:r>
      <w:r>
        <w:rPr>
          <w:rFonts w:ascii="Times New Roman" w:hAnsi="Times New Roman" w:eastAsia="宋体" w:cs="Times New Roman"/>
          <w:bCs/>
          <w:szCs w:val="21"/>
        </w:rPr>
        <w:t>着重增强个体的独立思考能力，通过系统的训练与实践，培养严谨的批判性思维模式。鼓励以理性、客观的态度审视问题，勇于质疑、善于分析，形成独立而深刻的见解。</w:t>
      </w:r>
    </w:p>
    <w:p w14:paraId="65852F9E">
      <w:pPr>
        <w:spacing w:before="156" w:beforeLines="50" w:after="156" w:afterLines="50" w:line="360" w:lineRule="auto"/>
        <w:ind w:firstLine="200"/>
        <w:rPr>
          <w:rFonts w:ascii="Times New Roman" w:hAnsi="Times New Roman" w:eastAsia="宋体" w:cs="Times New Roman"/>
          <w:bCs/>
          <w:szCs w:val="21"/>
        </w:rPr>
      </w:pPr>
      <w:r>
        <w:rPr>
          <w:rFonts w:ascii="Times New Roman" w:hAnsi="Times New Roman" w:eastAsia="宋体" w:cs="Times New Roman"/>
          <w:b/>
          <w:szCs w:val="21"/>
        </w:rPr>
        <w:t>目标3：</w:t>
      </w:r>
      <w:r>
        <w:rPr>
          <w:rFonts w:ascii="Times New Roman" w:hAnsi="Times New Roman" w:eastAsia="宋体" w:cs="Times New Roman"/>
          <w:bCs/>
          <w:szCs w:val="21"/>
        </w:rPr>
        <w:t>树立学术研究意识，恪守学术规范，提升科研素养与学术诚信。积极树立学术研究意识，深入理解学术研究的重要性与价值。在科研过程中，严格遵守学术规范，保持高度的学术诚信，不断提升自身的科研素养，为学术研究的深入与发展贡献力量。</w:t>
      </w:r>
    </w:p>
    <w:p w14:paraId="210E3430">
      <w:pPr>
        <w:spacing w:before="156" w:beforeLines="50" w:after="156" w:afterLines="50" w:line="360" w:lineRule="auto"/>
        <w:ind w:firstLine="200"/>
        <w:rPr>
          <w:rFonts w:ascii="Times New Roman" w:hAnsi="Times New Roman" w:eastAsia="宋体" w:cs="Times New Roman"/>
          <w:bCs/>
          <w:szCs w:val="21"/>
        </w:rPr>
      </w:pPr>
      <w:r>
        <w:rPr>
          <w:rFonts w:ascii="Times New Roman" w:hAnsi="Times New Roman" w:eastAsia="宋体" w:cs="Times New Roman"/>
          <w:b/>
          <w:szCs w:val="21"/>
        </w:rPr>
        <w:t>目标4：</w:t>
      </w:r>
      <w:r>
        <w:rPr>
          <w:rFonts w:ascii="Times New Roman" w:hAnsi="Times New Roman" w:eastAsia="宋体" w:cs="Times New Roman"/>
          <w:bCs/>
          <w:szCs w:val="21"/>
        </w:rPr>
        <w:t>全面提升人文素养，拓宽知识视野，强化综合素质，促进个人全面发展。通过广泛阅读、深入学习，拓宽知识视野，增强对人文、社会、科学等多领域的了解与认识。同时，注重强化综合素质的培养，包括沟通能力、团队协作能力、创新能力等，以促进个人的全面发展与成长。</w:t>
      </w:r>
    </w:p>
    <w:bookmarkEnd w:id="392"/>
    <w:p w14:paraId="2A433B8A">
      <w:pPr>
        <w:spacing w:before="156" w:beforeLines="50" w:after="156" w:afterLines="50" w:line="360" w:lineRule="auto"/>
        <w:ind w:firstLine="200"/>
        <w:jc w:val="left"/>
        <w:outlineLvl w:val="1"/>
        <w:rPr>
          <w:rFonts w:ascii="Times New Roman" w:hAnsi="Times New Roman" w:eastAsia="宋体" w:cs="Times New Roman"/>
          <w:b/>
          <w:bCs/>
          <w:szCs w:val="21"/>
        </w:rPr>
      </w:pPr>
      <w:bookmarkStart w:id="393" w:name="_Toc20106"/>
      <w:r>
        <w:rPr>
          <w:rFonts w:hint="eastAsia" w:ascii="Times New Roman" w:hAnsi="Times New Roman" w:eastAsia="宋体" w:cs="Times New Roman"/>
          <w:b/>
          <w:bCs/>
          <w:szCs w:val="21"/>
        </w:rPr>
        <w:t>（二）课程目标及其对毕业要求指标点的支撑</w:t>
      </w:r>
      <w:bookmarkEnd w:id="393"/>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552"/>
        <w:gridCol w:w="1327"/>
      </w:tblGrid>
      <w:tr w14:paraId="7C0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285050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552" w:type="dxa"/>
            <w:vAlign w:val="center"/>
          </w:tcPr>
          <w:p w14:paraId="48DA350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57B1734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298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38E124D">
            <w:pPr>
              <w:widowControl/>
              <w:rPr>
                <w:rFonts w:ascii="宋体" w:hAnsi="宋体" w:eastAsia="宋体" w:cs="Times New Roman"/>
                <w:color w:val="000000"/>
                <w:szCs w:val="23"/>
              </w:rPr>
            </w:pPr>
            <w:r>
              <w:rPr>
                <w:rFonts w:ascii="宋体" w:hAnsi="宋体" w:eastAsia="宋体" w:cs="Times New Roman"/>
                <w:color w:val="000000"/>
                <w:kern w:val="0"/>
                <w:szCs w:val="21"/>
              </w:rPr>
              <w:t>毕业要求2</w:t>
            </w:r>
            <w:r>
              <w:rPr>
                <w:rFonts w:ascii="宋体" w:hAnsi="宋体" w:eastAsia="宋体" w:cs="Times New Roman"/>
                <w:color w:val="000000"/>
                <w:szCs w:val="23"/>
              </w:rPr>
              <w:t>教育情怀</w:t>
            </w:r>
          </w:p>
        </w:tc>
        <w:tc>
          <w:tcPr>
            <w:tcW w:w="5552" w:type="dxa"/>
            <w:vAlign w:val="center"/>
          </w:tcPr>
          <w:p w14:paraId="3AB3BDD8">
            <w:pPr>
              <w:spacing w:line="276" w:lineRule="auto"/>
              <w:jc w:val="left"/>
              <w:rPr>
                <w:rFonts w:ascii="宋体" w:hAnsi="宋体" w:eastAsia="宋体" w:cs="Times New Roman"/>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2-3：【自身修养良好】具有较好的人文底蕴与科学精神，言行举止符合教师职业标准，情感积极，人格健全，心理健康，能通过“知识整合”与“技术融合”增强育人素养。</w:t>
            </w:r>
          </w:p>
        </w:tc>
        <w:tc>
          <w:tcPr>
            <w:tcW w:w="1327" w:type="dxa"/>
            <w:vAlign w:val="center"/>
          </w:tcPr>
          <w:p w14:paraId="6878EDC9">
            <w:pPr>
              <w:spacing w:line="276" w:lineRule="auto"/>
              <w:jc w:val="left"/>
              <w:rPr>
                <w:rFonts w:ascii="宋体" w:hAnsi="宋体" w:eastAsia="宋体" w:cs="Times New Roman"/>
                <w:szCs w:val="21"/>
              </w:rPr>
            </w:pPr>
            <w:r>
              <w:rPr>
                <w:rFonts w:hint="eastAsia" w:ascii="宋体" w:hAnsi="宋体" w:eastAsia="宋体" w:cs="Times New Roman"/>
                <w:szCs w:val="21"/>
              </w:rPr>
              <w:t>课程目标3</w:t>
            </w:r>
          </w:p>
        </w:tc>
      </w:tr>
      <w:tr w14:paraId="579A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9923628">
            <w:pPr>
              <w:rPr>
                <w:rFonts w:ascii="宋体" w:hAnsi="宋体" w:eastAsia="宋体" w:cs="Times New Roman"/>
                <w:color w:val="000000"/>
                <w:szCs w:val="23"/>
              </w:rPr>
            </w:pPr>
            <w:r>
              <w:rPr>
                <w:rFonts w:ascii="宋体" w:hAnsi="宋体" w:eastAsia="宋体" w:cs="Times New Roman"/>
                <w:color w:val="000000"/>
                <w:kern w:val="0"/>
                <w:szCs w:val="21"/>
              </w:rPr>
              <w:t>毕业要求3学科</w:t>
            </w:r>
            <w:r>
              <w:rPr>
                <w:rFonts w:ascii="宋体" w:hAnsi="宋体" w:eastAsia="宋体" w:cs="Times New Roman"/>
                <w:color w:val="000000"/>
                <w:szCs w:val="23"/>
              </w:rPr>
              <w:t>素养</w:t>
            </w:r>
          </w:p>
        </w:tc>
        <w:tc>
          <w:tcPr>
            <w:tcW w:w="5552" w:type="dxa"/>
            <w:vAlign w:val="center"/>
          </w:tcPr>
          <w:p w14:paraId="085756AD">
            <w:pPr>
              <w:spacing w:line="276" w:lineRule="auto"/>
              <w:jc w:val="left"/>
              <w:rPr>
                <w:rFonts w:ascii="宋体" w:hAnsi="宋体" w:eastAsia="宋体" w:cs="Times New Roman"/>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3-3：【注重知识整合】</w:t>
            </w:r>
            <w:r>
              <w:rPr>
                <w:rFonts w:ascii="宋体" w:hAnsi="宋体" w:eastAsia="宋体" w:cs="Times New Roman"/>
                <w:color w:val="000000"/>
                <w:szCs w:val="23"/>
              </w:rPr>
              <w:t>了解所教学科与其他学科及与社会实践、小学生生活实践之间的联系，了解学科整合的在小学教育中的价值，具有跨学科解决问题的意识和能力，能指导综合性学科教学活动。</w:t>
            </w:r>
          </w:p>
        </w:tc>
        <w:tc>
          <w:tcPr>
            <w:tcW w:w="1327" w:type="dxa"/>
            <w:vAlign w:val="center"/>
          </w:tcPr>
          <w:p w14:paraId="279192CD">
            <w:pPr>
              <w:spacing w:line="276" w:lineRule="auto"/>
              <w:jc w:val="left"/>
              <w:rPr>
                <w:rFonts w:ascii="宋体" w:hAnsi="宋体" w:eastAsia="宋体" w:cs="Times New Roman"/>
                <w:szCs w:val="21"/>
              </w:rPr>
            </w:pPr>
            <w:r>
              <w:rPr>
                <w:rFonts w:hint="eastAsia" w:ascii="宋体" w:hAnsi="宋体" w:eastAsia="宋体" w:cs="Times New Roman"/>
                <w:szCs w:val="21"/>
              </w:rPr>
              <w:t>课程目标1</w:t>
            </w:r>
          </w:p>
        </w:tc>
      </w:tr>
      <w:tr w14:paraId="0564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98B03F6">
            <w:pPr>
              <w:rPr>
                <w:rFonts w:ascii="宋体" w:hAnsi="宋体" w:eastAsia="宋体" w:cs="Times New Roman"/>
                <w:color w:val="000000"/>
                <w:kern w:val="0"/>
                <w:szCs w:val="21"/>
              </w:rPr>
            </w:pPr>
            <w:r>
              <w:rPr>
                <w:rFonts w:ascii="宋体" w:hAnsi="宋体" w:eastAsia="宋体" w:cs="Times New Roman"/>
                <w:color w:val="000000"/>
                <w:kern w:val="0"/>
                <w:szCs w:val="21"/>
              </w:rPr>
              <w:t>毕业要求7学会反思</w:t>
            </w:r>
          </w:p>
        </w:tc>
        <w:tc>
          <w:tcPr>
            <w:tcW w:w="5552" w:type="dxa"/>
            <w:vAlign w:val="center"/>
          </w:tcPr>
          <w:p w14:paraId="328811DD">
            <w:pPr>
              <w:spacing w:line="276" w:lineRule="auto"/>
              <w:jc w:val="left"/>
              <w:rPr>
                <w:rFonts w:ascii="宋体" w:hAnsi="宋体" w:eastAsia="宋体" w:cs="Times New Roman"/>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7-1：【教育视野开阔】积极参加基础教育领域的国内外交流，了解国内外基础教育改革发展的动态，具有宽广的教育视野，能够主动适应新时代和教育发展需求。</w:t>
            </w:r>
          </w:p>
        </w:tc>
        <w:tc>
          <w:tcPr>
            <w:tcW w:w="1327" w:type="dxa"/>
            <w:vAlign w:val="center"/>
          </w:tcPr>
          <w:p w14:paraId="5AA54684">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p w14:paraId="49E80281">
            <w:pPr>
              <w:spacing w:line="276" w:lineRule="auto"/>
              <w:jc w:val="left"/>
              <w:rPr>
                <w:rFonts w:ascii="宋体" w:hAnsi="宋体" w:eastAsia="宋体" w:cs="Times New Roman"/>
                <w:szCs w:val="21"/>
              </w:rPr>
            </w:pPr>
            <w:r>
              <w:rPr>
                <w:rFonts w:hint="eastAsia" w:ascii="宋体" w:hAnsi="宋体" w:eastAsia="宋体" w:cs="Times New Roman"/>
                <w:szCs w:val="21"/>
              </w:rPr>
              <w:t>课程目标4</w:t>
            </w:r>
          </w:p>
        </w:tc>
      </w:tr>
    </w:tbl>
    <w:p w14:paraId="24E6179C">
      <w:pPr>
        <w:spacing w:before="156" w:beforeLines="50" w:line="360" w:lineRule="auto"/>
        <w:jc w:val="left"/>
        <w:outlineLvl w:val="1"/>
        <w:rPr>
          <w:rFonts w:ascii="宋体" w:hAnsi="宋体" w:eastAsia="宋体" w:cs="Times New Roman"/>
          <w:b/>
          <w:color w:val="000000"/>
          <w:szCs w:val="21"/>
        </w:rPr>
      </w:pPr>
      <w:bookmarkStart w:id="394" w:name="_Toc7017"/>
      <w:r>
        <w:rPr>
          <w:rFonts w:hint="eastAsia" w:ascii="宋体" w:hAnsi="宋体" w:eastAsia="宋体" w:cs="Times New Roman"/>
          <w:b/>
          <w:color w:val="000000"/>
          <w:szCs w:val="21"/>
        </w:rPr>
        <w:t>（三）课程思政目标</w:t>
      </w:r>
      <w:bookmarkEnd w:id="394"/>
    </w:p>
    <w:p w14:paraId="1D8D52B3">
      <w:pPr>
        <w:spacing w:line="360" w:lineRule="auto"/>
        <w:ind w:firstLine="420" w:firstLineChars="200"/>
        <w:rPr>
          <w:rFonts w:ascii="宋体" w:hAnsi="宋体" w:eastAsia="宋体" w:cs="Times New Roman"/>
          <w:color w:val="000000"/>
          <w:szCs w:val="21"/>
        </w:rPr>
      </w:pPr>
      <w:r>
        <w:rPr>
          <w:rFonts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EC845EC">
      <w:pPr>
        <w:widowControl/>
        <w:jc w:val="left"/>
        <w:rPr>
          <w:rFonts w:ascii="宋体" w:hAnsi="宋体" w:eastAsia="宋体" w:cs="Times New Roman"/>
          <w:color w:val="000000"/>
          <w:szCs w:val="21"/>
        </w:rPr>
      </w:pPr>
    </w:p>
    <w:p w14:paraId="6BAAF3A7">
      <w:pPr>
        <w:widowControl/>
        <w:jc w:val="left"/>
        <w:rPr>
          <w:rFonts w:ascii="宋体" w:hAnsi="宋体" w:eastAsia="宋体" w:cs="Times New Roman"/>
          <w:color w:val="000000"/>
          <w:szCs w:val="21"/>
        </w:rPr>
      </w:pPr>
      <w:r>
        <w:rPr>
          <w:rFonts w:ascii="宋体" w:hAnsi="宋体" w:eastAsia="宋体" w:cs="Times New Roman"/>
          <w:color w:val="000000"/>
          <w:szCs w:val="21"/>
        </w:rPr>
        <w:br w:type="page"/>
      </w:r>
    </w:p>
    <w:p w14:paraId="0561FE18">
      <w:pPr>
        <w:widowControl/>
        <w:jc w:val="left"/>
        <w:outlineLvl w:val="0"/>
        <w:rPr>
          <w:rFonts w:ascii="宋体" w:hAnsi="宋体" w:eastAsia="宋体" w:cs="Times New Roman"/>
          <w:b/>
          <w:color w:val="000000"/>
          <w:sz w:val="24"/>
          <w:szCs w:val="24"/>
        </w:rPr>
      </w:pPr>
      <w:bookmarkStart w:id="395" w:name="_Toc2578"/>
      <w:bookmarkStart w:id="396" w:name="_Toc29841"/>
      <w:bookmarkStart w:id="397" w:name="_Toc24838"/>
      <w:bookmarkStart w:id="398" w:name="_Toc5099"/>
      <w:bookmarkStart w:id="399" w:name="_Toc22619"/>
      <w:bookmarkStart w:id="400" w:name="_Toc31556"/>
      <w:bookmarkStart w:id="401" w:name="_Toc21656"/>
      <w:r>
        <w:rPr>
          <w:rFonts w:hint="eastAsia" w:ascii="宋体" w:hAnsi="宋体" w:eastAsia="宋体" w:cs="Times New Roman"/>
          <w:b/>
          <w:color w:val="000000"/>
          <w:sz w:val="24"/>
          <w:szCs w:val="24"/>
        </w:rPr>
        <w:t>三、教学内容与预期学习成效</w:t>
      </w:r>
      <w:bookmarkEnd w:id="395"/>
      <w:bookmarkEnd w:id="396"/>
      <w:bookmarkEnd w:id="397"/>
      <w:bookmarkEnd w:id="398"/>
      <w:bookmarkEnd w:id="399"/>
      <w:bookmarkEnd w:id="400"/>
      <w:bookmarkEnd w:id="401"/>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342"/>
        <w:gridCol w:w="3052"/>
        <w:gridCol w:w="1560"/>
        <w:gridCol w:w="438"/>
      </w:tblGrid>
      <w:tr w14:paraId="5F93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B3308ED">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B263CA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076F0578">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342" w:type="dxa"/>
            <w:vAlign w:val="center"/>
          </w:tcPr>
          <w:p w14:paraId="7DB33336">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30709AB3">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52" w:type="dxa"/>
            <w:vAlign w:val="center"/>
          </w:tcPr>
          <w:p w14:paraId="17970390">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7D8E0BC">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476BCFC">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02C4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E989781">
            <w:pPr>
              <w:spacing w:line="264" w:lineRule="auto"/>
              <w:rPr>
                <w:rFonts w:ascii="宋体" w:hAnsi="宋体" w:eastAsia="宋体" w:cs="Times New Roman"/>
                <w:color w:val="000000"/>
                <w:szCs w:val="21"/>
              </w:rPr>
            </w:pPr>
            <w:r>
              <w:rPr>
                <w:rFonts w:hint="eastAsia" w:ascii="宋体" w:hAnsi="宋体" w:eastAsia="宋体" w:cs="Times New Roman"/>
                <w:color w:val="000000"/>
                <w:szCs w:val="21"/>
              </w:rPr>
              <w:t>1.阅读方法与技巧模块</w:t>
            </w:r>
          </w:p>
        </w:tc>
        <w:tc>
          <w:tcPr>
            <w:tcW w:w="1701" w:type="dxa"/>
            <w:vAlign w:val="center"/>
          </w:tcPr>
          <w:p w14:paraId="35D96B8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介绍常用的阅读方法和技巧，如泛读、精读、略读等，帮助学生掌握如何高效地阅读不同类型的文献。</w:t>
            </w:r>
          </w:p>
        </w:tc>
        <w:tc>
          <w:tcPr>
            <w:tcW w:w="1342" w:type="dxa"/>
            <w:vAlign w:val="center"/>
          </w:tcPr>
          <w:p w14:paraId="50A31E70">
            <w:pPr>
              <w:spacing w:line="276" w:lineRule="auto"/>
              <w:jc w:val="left"/>
              <w:rPr>
                <w:rFonts w:ascii="宋体" w:hAnsi="宋体" w:eastAsia="宋体" w:cs="Times New Roman"/>
                <w:szCs w:val="21"/>
              </w:rPr>
            </w:pPr>
            <w:r>
              <w:rPr>
                <w:rFonts w:hint="eastAsia" w:ascii="宋体" w:hAnsi="宋体" w:eastAsia="宋体" w:cs="Times New Roman"/>
                <w:szCs w:val="21"/>
              </w:rPr>
              <w:t>课程目标1</w:t>
            </w:r>
          </w:p>
        </w:tc>
        <w:tc>
          <w:tcPr>
            <w:tcW w:w="3052" w:type="dxa"/>
            <w:vAlign w:val="center"/>
          </w:tcPr>
          <w:p w14:paraId="105BCED8">
            <w:pPr>
              <w:spacing w:line="269" w:lineRule="auto"/>
              <w:rPr>
                <w:rFonts w:ascii="宋体" w:hAnsi="宋体" w:eastAsia="宋体" w:cs="Times New Roman"/>
                <w:color w:val="000000"/>
                <w:szCs w:val="21"/>
              </w:rPr>
            </w:pPr>
            <w:r>
              <w:rPr>
                <w:rFonts w:hint="eastAsia" w:ascii="宋体" w:hAnsi="宋体" w:eastAsia="宋体" w:cs="Times New Roman"/>
                <w:szCs w:val="21"/>
              </w:rPr>
              <w:t>理解课程的基本概念、理论和方法，为后续学习打下基础。利用网络资源进行自主学习和拓展阅读，提高学习效果和综合素质。</w:t>
            </w:r>
            <w:r>
              <w:rPr>
                <w:rFonts w:ascii="宋体" w:hAnsi="宋体" w:eastAsia="宋体" w:cs="Times New Roman"/>
                <w:szCs w:val="21"/>
              </w:rPr>
              <w:t>随着阅读经验的积累，学生的阅读速度将会提高，同时保持对文本内容的准确理解。这种能力的提升将使他们能够在有限的时间内阅读更多的材料，获取更多的信息。</w:t>
            </w:r>
          </w:p>
        </w:tc>
        <w:tc>
          <w:tcPr>
            <w:tcW w:w="1560" w:type="dxa"/>
            <w:vAlign w:val="center"/>
          </w:tcPr>
          <w:p w14:paraId="30BBEB9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47752A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4D0E331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29C2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9F0845">
            <w:pPr>
              <w:spacing w:line="264" w:lineRule="auto"/>
              <w:jc w:val="center"/>
              <w:rPr>
                <w:rFonts w:ascii="宋体" w:hAnsi="宋体" w:eastAsia="宋体" w:cs="Times New Roman"/>
                <w:color w:val="000000"/>
                <w:szCs w:val="21"/>
              </w:rPr>
            </w:pPr>
          </w:p>
        </w:tc>
        <w:tc>
          <w:tcPr>
            <w:tcW w:w="8093" w:type="dxa"/>
            <w:gridSpan w:val="5"/>
            <w:vAlign w:val="center"/>
          </w:tcPr>
          <w:p w14:paraId="543F3E38">
            <w:pPr>
              <w:spacing w:line="269" w:lineRule="auto"/>
              <w:rPr>
                <w:rFonts w:ascii="宋体" w:hAnsi="宋体" w:eastAsia="宋体" w:cs="Times New Roman"/>
                <w:bCs/>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了解</w:t>
            </w:r>
            <w:r>
              <w:rPr>
                <w:rFonts w:ascii="宋体" w:hAnsi="宋体" w:eastAsia="宋体" w:cs="Times New Roman"/>
                <w:bCs/>
                <w:color w:val="000000"/>
                <w:szCs w:val="21"/>
              </w:rPr>
              <w:t>阅读方法和技巧的重要性，养成自主学习的习惯</w:t>
            </w:r>
            <w:r>
              <w:rPr>
                <w:rFonts w:hint="eastAsia" w:ascii="宋体" w:hAnsi="宋体" w:eastAsia="宋体" w:cs="Times New Roman"/>
                <w:bCs/>
                <w:color w:val="000000"/>
                <w:szCs w:val="21"/>
              </w:rPr>
              <w:t>，并</w:t>
            </w:r>
            <w:r>
              <w:rPr>
                <w:rFonts w:ascii="宋体" w:hAnsi="宋体" w:eastAsia="宋体" w:cs="Times New Roman"/>
                <w:bCs/>
                <w:color w:val="000000"/>
                <w:szCs w:val="21"/>
              </w:rPr>
              <w:t>学会利用图书馆、网络资源等，提高信息检索和筛选能力。</w:t>
            </w:r>
          </w:p>
        </w:tc>
      </w:tr>
      <w:tr w14:paraId="4A3E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FB357F6">
            <w:pPr>
              <w:spacing w:line="264" w:lineRule="auto"/>
              <w:rPr>
                <w:rFonts w:ascii="宋体" w:hAnsi="宋体" w:eastAsia="宋体" w:cs="Times New Roman"/>
                <w:color w:val="000000"/>
                <w:szCs w:val="21"/>
              </w:rPr>
            </w:pPr>
            <w:r>
              <w:rPr>
                <w:rFonts w:hint="eastAsia" w:ascii="宋体" w:hAnsi="宋体" w:eastAsia="宋体" w:cs="Times New Roman"/>
                <w:color w:val="000000"/>
                <w:szCs w:val="21"/>
              </w:rPr>
              <w:t>2.批判性思维模块</w:t>
            </w:r>
          </w:p>
        </w:tc>
        <w:tc>
          <w:tcPr>
            <w:tcW w:w="1701" w:type="dxa"/>
            <w:vAlign w:val="center"/>
          </w:tcPr>
          <w:p w14:paraId="6A996E38">
            <w:pPr>
              <w:spacing w:line="353" w:lineRule="auto"/>
              <w:rPr>
                <w:rFonts w:ascii="宋体" w:hAnsi="宋体" w:eastAsia="宋体" w:cs="Times New Roman"/>
                <w:color w:val="000000"/>
                <w:szCs w:val="21"/>
              </w:rPr>
            </w:pPr>
            <w:r>
              <w:rPr>
                <w:rFonts w:hint="eastAsia" w:ascii="宋体" w:hAnsi="宋体" w:eastAsia="宋体" w:cs="Times New Roman"/>
                <w:color w:val="000000"/>
                <w:szCs w:val="21"/>
              </w:rPr>
              <w:t>通过案例分析、讨论等形式，培养学生的批判性思维能力，使其能够独立思考、分析问题并提出解决方案。</w:t>
            </w:r>
          </w:p>
        </w:tc>
        <w:tc>
          <w:tcPr>
            <w:tcW w:w="1342" w:type="dxa"/>
            <w:vAlign w:val="center"/>
          </w:tcPr>
          <w:p w14:paraId="7A44CF85">
            <w:pPr>
              <w:spacing w:line="276" w:lineRule="auto"/>
              <w:jc w:val="left"/>
              <w:rPr>
                <w:rFonts w:ascii="宋体" w:hAnsi="宋体" w:eastAsia="宋体" w:cs="Times New Roman"/>
                <w:szCs w:val="21"/>
              </w:rPr>
            </w:pPr>
            <w:r>
              <w:rPr>
                <w:rFonts w:hint="eastAsia" w:ascii="宋体" w:hAnsi="宋体" w:eastAsia="宋体" w:cs="Times New Roman"/>
                <w:szCs w:val="21"/>
              </w:rPr>
              <w:t>课程目标2</w:t>
            </w:r>
          </w:p>
        </w:tc>
        <w:tc>
          <w:tcPr>
            <w:tcW w:w="3052" w:type="dxa"/>
            <w:vAlign w:val="center"/>
          </w:tcPr>
          <w:p w14:paraId="7F355CC1">
            <w:pPr>
              <w:rPr>
                <w:rFonts w:ascii="宋体" w:hAnsi="宋体" w:eastAsia="宋体" w:cs="Times New Roman"/>
                <w:szCs w:val="21"/>
              </w:rPr>
            </w:pPr>
            <w:r>
              <w:rPr>
                <w:rFonts w:hint="eastAsia" w:ascii="宋体" w:hAnsi="宋体" w:eastAsia="宋体" w:cs="Times New Roman"/>
                <w:szCs w:val="21"/>
              </w:rPr>
              <w:t>通过分析真实的经典阅读和学术研究案例，帮助学生将理论知识应用于实际情境。</w:t>
            </w:r>
          </w:p>
        </w:tc>
        <w:tc>
          <w:tcPr>
            <w:tcW w:w="1560" w:type="dxa"/>
            <w:vAlign w:val="center"/>
          </w:tcPr>
          <w:p w14:paraId="6F3D95B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3AEC6CF">
            <w:pPr>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17DD41C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1C38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EB9C1E">
            <w:pPr>
              <w:spacing w:line="264" w:lineRule="auto"/>
              <w:jc w:val="center"/>
              <w:rPr>
                <w:rFonts w:ascii="宋体" w:hAnsi="宋体" w:eastAsia="宋体" w:cs="Times New Roman"/>
                <w:color w:val="000000"/>
                <w:szCs w:val="21"/>
              </w:rPr>
            </w:pPr>
          </w:p>
        </w:tc>
        <w:tc>
          <w:tcPr>
            <w:tcW w:w="8093" w:type="dxa"/>
            <w:gridSpan w:val="5"/>
            <w:vAlign w:val="center"/>
          </w:tcPr>
          <w:p w14:paraId="120022BD">
            <w:pPr>
              <w:spacing w:line="269" w:lineRule="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通过阅读不同类型的文献，学会独立思考，对信息进行批判性分析，不盲目接受</w:t>
            </w:r>
            <w:r>
              <w:rPr>
                <w:rFonts w:hint="eastAsia" w:ascii="宋体" w:hAnsi="宋体" w:eastAsia="宋体" w:cs="Times New Roman"/>
                <w:color w:val="000000"/>
                <w:szCs w:val="21"/>
              </w:rPr>
              <w:t>，善于</w:t>
            </w:r>
            <w:r>
              <w:rPr>
                <w:rFonts w:ascii="宋体" w:hAnsi="宋体" w:eastAsia="宋体" w:cs="Times New Roman"/>
                <w:color w:val="000000"/>
                <w:szCs w:val="21"/>
              </w:rPr>
              <w:t>提出自己的见解，培养质疑精神和创新思维。</w:t>
            </w:r>
          </w:p>
        </w:tc>
      </w:tr>
      <w:tr w14:paraId="302C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8691A7B">
            <w:pPr>
              <w:spacing w:line="353" w:lineRule="auto"/>
              <w:rPr>
                <w:rFonts w:ascii="宋体" w:hAnsi="宋体" w:eastAsia="宋体" w:cs="Times New Roman"/>
                <w:color w:val="000000"/>
                <w:szCs w:val="21"/>
              </w:rPr>
            </w:pPr>
            <w:r>
              <w:rPr>
                <w:rFonts w:hint="eastAsia" w:ascii="宋体" w:hAnsi="宋体" w:eastAsia="宋体" w:cs="Times New Roman"/>
                <w:color w:val="000000"/>
                <w:szCs w:val="21"/>
              </w:rPr>
              <w:t>3．学术研究规范模块</w:t>
            </w:r>
          </w:p>
        </w:tc>
        <w:tc>
          <w:tcPr>
            <w:tcW w:w="1701" w:type="dxa"/>
            <w:vAlign w:val="center"/>
          </w:tcPr>
          <w:p w14:paraId="42DFB6D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介绍学术研究的基本规范和要求，包括学术诚信、引用规范、论文撰写等，帮助学生树立良好的学术道德和规范意识。</w:t>
            </w:r>
          </w:p>
        </w:tc>
        <w:tc>
          <w:tcPr>
            <w:tcW w:w="1342" w:type="dxa"/>
            <w:vAlign w:val="center"/>
          </w:tcPr>
          <w:p w14:paraId="0BC6C6C8">
            <w:pPr>
              <w:spacing w:line="276" w:lineRule="auto"/>
              <w:jc w:val="left"/>
              <w:rPr>
                <w:rFonts w:ascii="宋体" w:hAnsi="宋体" w:eastAsia="宋体" w:cs="Times New Roman"/>
                <w:color w:val="000000"/>
                <w:szCs w:val="21"/>
              </w:rPr>
            </w:pPr>
            <w:r>
              <w:rPr>
                <w:rFonts w:hint="eastAsia" w:ascii="宋体" w:hAnsi="宋体" w:eastAsia="宋体" w:cs="Times New Roman"/>
                <w:szCs w:val="21"/>
              </w:rPr>
              <w:t>课程目标3</w:t>
            </w:r>
          </w:p>
        </w:tc>
        <w:tc>
          <w:tcPr>
            <w:tcW w:w="3052" w:type="dxa"/>
            <w:vAlign w:val="center"/>
          </w:tcPr>
          <w:p w14:paraId="1B010DD4">
            <w:pPr>
              <w:spacing w:line="269" w:lineRule="auto"/>
              <w:rPr>
                <w:rFonts w:ascii="宋体" w:hAnsi="宋体" w:eastAsia="宋体" w:cs="Times New Roman"/>
                <w:color w:val="000000"/>
                <w:szCs w:val="21"/>
              </w:rPr>
            </w:pPr>
            <w:r>
              <w:rPr>
                <w:rFonts w:hint="eastAsia" w:ascii="宋体" w:hAnsi="宋体" w:eastAsia="宋体" w:cs="Times New Roman"/>
                <w:szCs w:val="21"/>
              </w:rPr>
              <w:t>鼓励学生分组进行讨论，分享阅读体验和思考，培养学生的合作意识和沟通能力。组织学生进行经典阅读实践，撰写读书笔记、论文等，培养学生的实践能力和学术规范意识。</w:t>
            </w:r>
          </w:p>
        </w:tc>
        <w:tc>
          <w:tcPr>
            <w:tcW w:w="1560" w:type="dxa"/>
            <w:vAlign w:val="center"/>
          </w:tcPr>
          <w:p w14:paraId="1326BC0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BB880F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1C67EFF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5040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B3BE96">
            <w:pPr>
              <w:spacing w:line="264" w:lineRule="auto"/>
              <w:jc w:val="center"/>
              <w:rPr>
                <w:rFonts w:ascii="宋体" w:hAnsi="宋体" w:eastAsia="宋体" w:cs="Times New Roman"/>
                <w:color w:val="000000"/>
                <w:szCs w:val="21"/>
              </w:rPr>
            </w:pPr>
          </w:p>
        </w:tc>
        <w:tc>
          <w:tcPr>
            <w:tcW w:w="8093" w:type="dxa"/>
            <w:gridSpan w:val="5"/>
            <w:vAlign w:val="center"/>
          </w:tcPr>
          <w:p w14:paraId="7729F4A6">
            <w:pPr>
              <w:spacing w:line="269" w:lineRule="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Cs/>
                <w:color w:val="000000"/>
                <w:szCs w:val="21"/>
              </w:rPr>
              <w:t>通过</w:t>
            </w:r>
            <w:r>
              <w:rPr>
                <w:rFonts w:hint="eastAsia" w:ascii="宋体" w:hAnsi="宋体" w:eastAsia="宋体" w:cs="Times New Roman"/>
                <w:szCs w:val="21"/>
              </w:rPr>
              <w:t>撰写读书笔记和报告、论文等，从而培养自身的实践能力和学术规范意识。</w:t>
            </w:r>
          </w:p>
        </w:tc>
      </w:tr>
      <w:tr w14:paraId="2E12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50AA82">
            <w:pPr>
              <w:spacing w:line="353" w:lineRule="auto"/>
              <w:rPr>
                <w:rFonts w:ascii="宋体" w:hAnsi="宋体" w:eastAsia="宋体" w:cs="Times New Roman"/>
                <w:color w:val="000000"/>
                <w:szCs w:val="21"/>
              </w:rPr>
            </w:pPr>
            <w:r>
              <w:rPr>
                <w:rFonts w:hint="eastAsia" w:ascii="宋体" w:hAnsi="宋体" w:eastAsia="宋体" w:cs="Times New Roman"/>
                <w:color w:val="000000"/>
                <w:szCs w:val="21"/>
              </w:rPr>
              <w:t>4.经典阅读实践模块</w:t>
            </w:r>
          </w:p>
        </w:tc>
        <w:tc>
          <w:tcPr>
            <w:tcW w:w="1701" w:type="dxa"/>
            <w:vAlign w:val="center"/>
          </w:tcPr>
          <w:p w14:paraId="4F36076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通过阅读经典文学作品、教育名著等，提高学生的阅读理解能力和文学鉴赏能力，同时拓展其人文视野和综合素质。</w:t>
            </w:r>
          </w:p>
        </w:tc>
        <w:tc>
          <w:tcPr>
            <w:tcW w:w="1342" w:type="dxa"/>
            <w:vAlign w:val="center"/>
          </w:tcPr>
          <w:p w14:paraId="07C8359A">
            <w:pPr>
              <w:spacing w:line="276" w:lineRule="auto"/>
              <w:rPr>
                <w:rFonts w:ascii="宋体" w:hAnsi="宋体" w:eastAsia="宋体" w:cs="Times New Roman"/>
                <w:color w:val="000000"/>
                <w:szCs w:val="21"/>
              </w:rPr>
            </w:pPr>
            <w:r>
              <w:rPr>
                <w:rFonts w:hint="eastAsia" w:ascii="宋体" w:hAnsi="宋体" w:eastAsia="宋体" w:cs="Times New Roman"/>
                <w:szCs w:val="21"/>
              </w:rPr>
              <w:t>课程目标4</w:t>
            </w:r>
          </w:p>
        </w:tc>
        <w:tc>
          <w:tcPr>
            <w:tcW w:w="3052" w:type="dxa"/>
            <w:vAlign w:val="center"/>
          </w:tcPr>
          <w:p w14:paraId="4A10CA48">
            <w:pPr>
              <w:spacing w:line="276" w:lineRule="auto"/>
              <w:rPr>
                <w:rFonts w:ascii="宋体" w:hAnsi="宋体" w:eastAsia="宋体" w:cs="Times New Roman"/>
                <w:color w:val="000000"/>
                <w:szCs w:val="21"/>
              </w:rPr>
            </w:pPr>
            <w:r>
              <w:rPr>
                <w:rFonts w:ascii="宋体" w:hAnsi="宋体" w:eastAsia="宋体" w:cs="Times New Roman"/>
                <w:color w:val="000000"/>
                <w:szCs w:val="21"/>
              </w:rPr>
              <w:t>学生将能够更好地理解文本的深层含义和作者想要表达的主题思想。通过阅读，捕捉到文本中的关键信息和细节，从而更全面地理解文章的内容。</w:t>
            </w:r>
          </w:p>
          <w:p w14:paraId="2BAA09DE">
            <w:pPr>
              <w:spacing w:line="276" w:lineRule="auto"/>
              <w:rPr>
                <w:rFonts w:ascii="宋体" w:hAnsi="宋体" w:eastAsia="宋体" w:cs="Times New Roman"/>
                <w:color w:val="000000"/>
                <w:szCs w:val="21"/>
              </w:rPr>
            </w:pPr>
            <w:r>
              <w:rPr>
                <w:rFonts w:ascii="宋体" w:hAnsi="宋体" w:eastAsia="宋体" w:cs="Times New Roman"/>
                <w:color w:val="000000"/>
                <w:szCs w:val="21"/>
              </w:rPr>
              <w:t>经典文学作品往往蕴含着丰富的文化内涵和多元的文化视角。通过阅读这些作品，学生将能够更深入地了解不同文化背景下的社会、历史、人文等方面的知识，从而拓展自己的人文视野。</w:t>
            </w:r>
          </w:p>
          <w:p w14:paraId="53761C59">
            <w:pPr>
              <w:spacing w:line="276" w:lineRule="auto"/>
              <w:rPr>
                <w:rFonts w:ascii="宋体" w:hAnsi="宋体" w:eastAsia="宋体" w:cs="Times New Roman"/>
                <w:color w:val="000000"/>
                <w:szCs w:val="21"/>
              </w:rPr>
            </w:pPr>
            <w:r>
              <w:rPr>
                <w:rFonts w:ascii="宋体" w:hAnsi="宋体" w:eastAsia="宋体" w:cs="Times New Roman"/>
                <w:color w:val="000000"/>
                <w:szCs w:val="21"/>
              </w:rPr>
              <w:t>学生将能够更好地理解他人的情感和经历，培养自己的同理心和社会责任感。</w:t>
            </w:r>
          </w:p>
        </w:tc>
        <w:tc>
          <w:tcPr>
            <w:tcW w:w="1560" w:type="dxa"/>
            <w:vAlign w:val="center"/>
          </w:tcPr>
          <w:p w14:paraId="0894C29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87976C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tc>
        <w:tc>
          <w:tcPr>
            <w:tcW w:w="438" w:type="dxa"/>
            <w:vAlign w:val="center"/>
          </w:tcPr>
          <w:p w14:paraId="222181C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7EDD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020C98F">
            <w:pPr>
              <w:spacing w:line="276" w:lineRule="auto"/>
              <w:jc w:val="center"/>
              <w:rPr>
                <w:rFonts w:ascii="宋体" w:hAnsi="宋体" w:eastAsia="宋体" w:cs="Times New Roman"/>
                <w:color w:val="000000"/>
                <w:szCs w:val="21"/>
              </w:rPr>
            </w:pPr>
          </w:p>
        </w:tc>
        <w:tc>
          <w:tcPr>
            <w:tcW w:w="8093" w:type="dxa"/>
            <w:gridSpan w:val="5"/>
            <w:vAlign w:val="center"/>
          </w:tcPr>
          <w:p w14:paraId="66ADD469">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通过阅读经典文学作品和人文社科类文献，拓宽</w:t>
            </w:r>
            <w:r>
              <w:rPr>
                <w:rFonts w:hint="eastAsia" w:ascii="宋体" w:hAnsi="宋体" w:eastAsia="宋体" w:cs="Times New Roman"/>
                <w:color w:val="000000"/>
                <w:szCs w:val="21"/>
              </w:rPr>
              <w:t>自身</w:t>
            </w:r>
            <w:r>
              <w:rPr>
                <w:rFonts w:ascii="宋体" w:hAnsi="宋体" w:eastAsia="宋体" w:cs="Times New Roman"/>
                <w:color w:val="000000"/>
                <w:szCs w:val="21"/>
              </w:rPr>
              <w:t>的文化视野，增强对多元文化的理解和尊重</w:t>
            </w:r>
            <w:r>
              <w:rPr>
                <w:rFonts w:hint="eastAsia" w:ascii="宋体" w:hAnsi="宋体" w:eastAsia="宋体" w:cs="Times New Roman"/>
                <w:color w:val="000000"/>
                <w:szCs w:val="21"/>
              </w:rPr>
              <w:t>，并</w:t>
            </w:r>
            <w:r>
              <w:rPr>
                <w:rFonts w:ascii="宋体" w:hAnsi="宋体" w:eastAsia="宋体" w:cs="Times New Roman"/>
                <w:color w:val="000000"/>
                <w:szCs w:val="21"/>
              </w:rPr>
              <w:t>培养审美情趣和道德观念，促进全面发展。</w:t>
            </w:r>
          </w:p>
        </w:tc>
      </w:tr>
    </w:tbl>
    <w:p w14:paraId="15460520">
      <w:pPr>
        <w:spacing w:line="360" w:lineRule="auto"/>
        <w:jc w:val="left"/>
        <w:rPr>
          <w:rFonts w:ascii="Times New Roman" w:hAnsi="Times New Roman" w:eastAsia="宋体" w:cs="Times New Roman"/>
          <w:sz w:val="24"/>
          <w:szCs w:val="24"/>
        </w:rPr>
      </w:pPr>
    </w:p>
    <w:p w14:paraId="6152B231">
      <w:pPr>
        <w:spacing w:line="360" w:lineRule="auto"/>
        <w:jc w:val="left"/>
        <w:outlineLvl w:val="0"/>
        <w:rPr>
          <w:rFonts w:ascii="Times New Roman" w:hAnsi="Times New Roman" w:eastAsia="宋体" w:cs="Times New Roman"/>
          <w:sz w:val="24"/>
          <w:szCs w:val="24"/>
        </w:rPr>
      </w:pPr>
      <w:bookmarkStart w:id="402" w:name="_Toc16467"/>
      <w:bookmarkStart w:id="403" w:name="_Toc4571"/>
      <w:bookmarkStart w:id="404" w:name="_Toc9742"/>
      <w:bookmarkStart w:id="405" w:name="_Toc29112"/>
      <w:bookmarkStart w:id="406" w:name="_Toc19447"/>
      <w:bookmarkStart w:id="407" w:name="_Toc3491"/>
      <w:bookmarkStart w:id="408" w:name="_Toc24403"/>
      <w:r>
        <w:rPr>
          <w:rFonts w:hint="eastAsia" w:ascii="宋体" w:hAnsi="宋体" w:eastAsia="宋体" w:cs="Times New Roman"/>
          <w:b/>
          <w:color w:val="000000"/>
          <w:sz w:val="24"/>
          <w:szCs w:val="24"/>
        </w:rPr>
        <w:t>四、目标评价与成绩评定</w:t>
      </w:r>
      <w:bookmarkEnd w:id="402"/>
      <w:bookmarkEnd w:id="403"/>
      <w:bookmarkEnd w:id="404"/>
      <w:bookmarkEnd w:id="405"/>
      <w:bookmarkEnd w:id="406"/>
      <w:bookmarkEnd w:id="407"/>
      <w:bookmarkEnd w:id="408"/>
    </w:p>
    <w:p w14:paraId="575C0059">
      <w:pPr>
        <w:spacing w:line="360" w:lineRule="auto"/>
        <w:jc w:val="left"/>
        <w:outlineLvl w:val="1"/>
        <w:rPr>
          <w:rFonts w:ascii="Times New Roman" w:hAnsi="Times New Roman" w:eastAsia="宋体" w:cs="Times New Roman"/>
          <w:b/>
          <w:szCs w:val="21"/>
        </w:rPr>
      </w:pPr>
      <w:bookmarkStart w:id="409" w:name="_Toc4926"/>
      <w:r>
        <w:rPr>
          <w:rFonts w:hint="eastAsia" w:ascii="Times New Roman" w:hAnsi="Times New Roman" w:eastAsia="宋体" w:cs="Times New Roman"/>
          <w:b/>
          <w:szCs w:val="21"/>
        </w:rPr>
        <w:t>（一）课程目标评价方式</w:t>
      </w:r>
      <w:bookmarkEnd w:id="409"/>
    </w:p>
    <w:p w14:paraId="4A36901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06424B5">
      <w:pPr>
        <w:spacing w:line="360" w:lineRule="auto"/>
        <w:ind w:firstLine="420" w:firstLineChars="200"/>
        <w:jc w:val="left"/>
        <w:rPr>
          <w:rFonts w:ascii="Times New Roman" w:hAnsi="Times New Roman" w:eastAsia="宋体" w:cs="Times New Roman"/>
          <w:szCs w:val="21"/>
        </w:rPr>
      </w:pPr>
    </w:p>
    <w:p w14:paraId="157B602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351"/>
        <w:gridCol w:w="1686"/>
        <w:gridCol w:w="1686"/>
        <w:gridCol w:w="1816"/>
        <w:gridCol w:w="636"/>
      </w:tblGrid>
      <w:tr w14:paraId="7B09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51B19F8A">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393" w:type="dxa"/>
            <w:gridSpan w:val="4"/>
            <w:vAlign w:val="center"/>
          </w:tcPr>
          <w:p w14:paraId="535D8B04">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5D606AB8">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F8A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D7ACA5B">
            <w:pPr>
              <w:spacing w:line="360" w:lineRule="auto"/>
              <w:jc w:val="center"/>
              <w:rPr>
                <w:rFonts w:ascii="宋体" w:hAnsi="宋体" w:eastAsia="宋体" w:cs="Times New Roman"/>
                <w:szCs w:val="21"/>
              </w:rPr>
            </w:pPr>
          </w:p>
        </w:tc>
        <w:tc>
          <w:tcPr>
            <w:tcW w:w="1351" w:type="dxa"/>
            <w:vAlign w:val="center"/>
          </w:tcPr>
          <w:p w14:paraId="2720636D">
            <w:pPr>
              <w:spacing w:line="360" w:lineRule="auto"/>
              <w:jc w:val="center"/>
              <w:rPr>
                <w:rFonts w:ascii="宋体" w:hAnsi="宋体" w:eastAsia="宋体" w:cs="Times New Roman"/>
                <w:szCs w:val="21"/>
              </w:rPr>
            </w:pPr>
            <w:r>
              <w:rPr>
                <w:rFonts w:hint="eastAsia" w:ascii="宋体" w:hAnsi="宋体" w:eastAsia="宋体" w:cs="Times New Roman"/>
                <w:szCs w:val="22"/>
              </w:rPr>
              <w:t>经典</w:t>
            </w:r>
            <w:r>
              <w:rPr>
                <w:rFonts w:ascii="宋体" w:hAnsi="宋体" w:eastAsia="宋体" w:cs="Times New Roman"/>
                <w:szCs w:val="22"/>
              </w:rPr>
              <w:t>阅读</w:t>
            </w:r>
            <w:r>
              <w:rPr>
                <w:rFonts w:hint="eastAsia" w:ascii="宋体" w:hAnsi="宋体" w:eastAsia="宋体" w:cs="Times New Roman"/>
                <w:szCs w:val="22"/>
              </w:rPr>
              <w:t>数量</w:t>
            </w:r>
          </w:p>
        </w:tc>
        <w:tc>
          <w:tcPr>
            <w:tcW w:w="0" w:type="auto"/>
            <w:vAlign w:val="center"/>
          </w:tcPr>
          <w:p w14:paraId="5709C68C">
            <w:pPr>
              <w:spacing w:line="360" w:lineRule="auto"/>
              <w:jc w:val="center"/>
              <w:rPr>
                <w:rFonts w:ascii="宋体" w:hAnsi="宋体" w:eastAsia="宋体" w:cs="Times New Roman"/>
                <w:szCs w:val="21"/>
              </w:rPr>
            </w:pPr>
            <w:r>
              <w:rPr>
                <w:rFonts w:ascii="宋体" w:hAnsi="宋体" w:eastAsia="宋体" w:cs="Times New Roman"/>
                <w:szCs w:val="22"/>
              </w:rPr>
              <w:t>参加讲座</w:t>
            </w:r>
            <w:r>
              <w:rPr>
                <w:rFonts w:hint="eastAsia" w:ascii="宋体" w:hAnsi="宋体" w:eastAsia="宋体" w:cs="Times New Roman"/>
                <w:szCs w:val="22"/>
              </w:rPr>
              <w:t>或报告</w:t>
            </w:r>
          </w:p>
        </w:tc>
        <w:tc>
          <w:tcPr>
            <w:tcW w:w="0" w:type="auto"/>
            <w:vAlign w:val="center"/>
          </w:tcPr>
          <w:p w14:paraId="1E1452E2">
            <w:pPr>
              <w:spacing w:line="360" w:lineRule="auto"/>
              <w:jc w:val="center"/>
              <w:rPr>
                <w:rFonts w:ascii="宋体" w:hAnsi="宋体" w:eastAsia="宋体" w:cs="Times New Roman"/>
                <w:szCs w:val="21"/>
              </w:rPr>
            </w:pPr>
            <w:r>
              <w:rPr>
                <w:rFonts w:ascii="宋体" w:hAnsi="宋体" w:eastAsia="宋体" w:cs="Times New Roman"/>
                <w:szCs w:val="22"/>
              </w:rPr>
              <w:t>读书</w:t>
            </w:r>
            <w:r>
              <w:rPr>
                <w:rFonts w:hint="eastAsia" w:ascii="宋体" w:hAnsi="宋体" w:eastAsia="宋体" w:cs="Times New Roman"/>
                <w:szCs w:val="22"/>
              </w:rPr>
              <w:t>体会或笔记</w:t>
            </w:r>
          </w:p>
        </w:tc>
        <w:tc>
          <w:tcPr>
            <w:tcW w:w="0" w:type="auto"/>
            <w:vAlign w:val="center"/>
          </w:tcPr>
          <w:p w14:paraId="397F7BB1">
            <w:pPr>
              <w:spacing w:line="360" w:lineRule="auto"/>
              <w:jc w:val="center"/>
              <w:rPr>
                <w:rFonts w:ascii="宋体" w:hAnsi="宋体" w:eastAsia="宋体" w:cs="Times New Roman"/>
                <w:szCs w:val="21"/>
              </w:rPr>
            </w:pPr>
            <w:r>
              <w:rPr>
                <w:rFonts w:hint="eastAsia" w:ascii="宋体" w:hAnsi="宋体" w:eastAsia="宋体" w:cs="Times New Roman"/>
                <w:spacing w:val="-5"/>
                <w:szCs w:val="21"/>
              </w:rPr>
              <w:t>大学生读书节获奖</w:t>
            </w:r>
          </w:p>
        </w:tc>
        <w:tc>
          <w:tcPr>
            <w:tcW w:w="0" w:type="auto"/>
            <w:vMerge w:val="continue"/>
            <w:vAlign w:val="center"/>
          </w:tcPr>
          <w:p w14:paraId="48D3B864">
            <w:pPr>
              <w:spacing w:line="360" w:lineRule="auto"/>
              <w:jc w:val="center"/>
              <w:rPr>
                <w:rFonts w:ascii="宋体" w:hAnsi="宋体" w:eastAsia="宋体" w:cs="Times New Roman"/>
                <w:szCs w:val="21"/>
              </w:rPr>
            </w:pPr>
          </w:p>
        </w:tc>
      </w:tr>
      <w:tr w14:paraId="1CFB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319D7EA">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351" w:type="dxa"/>
            <w:vAlign w:val="center"/>
          </w:tcPr>
          <w:p w14:paraId="0A081F4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28D420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386096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5E4A5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262B7CE">
            <w:pPr>
              <w:spacing w:line="360" w:lineRule="auto"/>
              <w:jc w:val="center"/>
              <w:rPr>
                <w:rFonts w:ascii="宋体" w:hAnsi="宋体" w:eastAsia="宋体" w:cs="Times New Roman"/>
                <w:szCs w:val="21"/>
              </w:rPr>
            </w:pPr>
            <w:r>
              <w:rPr>
                <w:rFonts w:hint="eastAsia" w:ascii="宋体" w:hAnsi="宋体" w:eastAsia="宋体" w:cs="Times New Roman"/>
                <w:szCs w:val="21"/>
              </w:rPr>
              <w:t>25</w:t>
            </w:r>
          </w:p>
        </w:tc>
      </w:tr>
      <w:tr w14:paraId="2B53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4AF3ED0">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351" w:type="dxa"/>
            <w:vAlign w:val="center"/>
          </w:tcPr>
          <w:p w14:paraId="6F7D259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FB127A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133EE7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42D163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8C965EB">
            <w:pPr>
              <w:spacing w:line="360" w:lineRule="auto"/>
              <w:jc w:val="center"/>
              <w:rPr>
                <w:rFonts w:ascii="宋体" w:hAnsi="宋体" w:eastAsia="宋体" w:cs="Times New Roman"/>
                <w:szCs w:val="21"/>
              </w:rPr>
            </w:pPr>
            <w:r>
              <w:rPr>
                <w:rFonts w:hint="eastAsia" w:ascii="宋体" w:hAnsi="宋体" w:eastAsia="宋体" w:cs="Times New Roman"/>
                <w:szCs w:val="21"/>
              </w:rPr>
              <w:t>25</w:t>
            </w:r>
          </w:p>
        </w:tc>
      </w:tr>
      <w:tr w14:paraId="255E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1E0B5A3">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351" w:type="dxa"/>
            <w:vAlign w:val="center"/>
          </w:tcPr>
          <w:p w14:paraId="12A7E82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84D64B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D0C2C1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74D6DC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E4D052A">
            <w:pPr>
              <w:spacing w:line="360" w:lineRule="auto"/>
              <w:jc w:val="center"/>
              <w:rPr>
                <w:rFonts w:ascii="宋体" w:hAnsi="宋体" w:eastAsia="宋体" w:cs="Times New Roman"/>
                <w:szCs w:val="21"/>
              </w:rPr>
            </w:pPr>
            <w:r>
              <w:rPr>
                <w:rFonts w:hint="eastAsia" w:ascii="宋体" w:hAnsi="宋体" w:eastAsia="宋体" w:cs="Times New Roman"/>
                <w:szCs w:val="21"/>
              </w:rPr>
              <w:t>25</w:t>
            </w:r>
          </w:p>
        </w:tc>
      </w:tr>
      <w:tr w14:paraId="2400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0E2AEC4">
            <w:pPr>
              <w:spacing w:line="360" w:lineRule="auto"/>
              <w:jc w:val="center"/>
              <w:rPr>
                <w:rFonts w:ascii="宋体" w:hAnsi="宋体" w:eastAsia="宋体" w:cs="Times New Roman"/>
                <w:szCs w:val="21"/>
              </w:rPr>
            </w:pPr>
            <w:r>
              <w:rPr>
                <w:rFonts w:hint="eastAsia" w:ascii="宋体" w:hAnsi="宋体" w:eastAsia="宋体" w:cs="Times New Roman"/>
                <w:szCs w:val="21"/>
              </w:rPr>
              <w:t>课程目标4</w:t>
            </w:r>
          </w:p>
        </w:tc>
        <w:tc>
          <w:tcPr>
            <w:tcW w:w="1351" w:type="dxa"/>
            <w:vAlign w:val="center"/>
          </w:tcPr>
          <w:p w14:paraId="6FDD4FF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6A131B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DFC2E5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4D8245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97782E2">
            <w:pPr>
              <w:spacing w:line="360" w:lineRule="auto"/>
              <w:jc w:val="center"/>
              <w:rPr>
                <w:rFonts w:ascii="宋体" w:hAnsi="宋体" w:eastAsia="宋体" w:cs="Times New Roman"/>
                <w:szCs w:val="21"/>
              </w:rPr>
            </w:pPr>
            <w:r>
              <w:rPr>
                <w:rFonts w:hint="eastAsia" w:ascii="宋体" w:hAnsi="宋体" w:eastAsia="宋体" w:cs="Times New Roman"/>
                <w:szCs w:val="21"/>
              </w:rPr>
              <w:t>25</w:t>
            </w:r>
          </w:p>
        </w:tc>
      </w:tr>
      <w:tr w14:paraId="0E23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3ECAF4D">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351" w:type="dxa"/>
            <w:vAlign w:val="center"/>
          </w:tcPr>
          <w:p w14:paraId="085CE1CC">
            <w:pPr>
              <w:spacing w:line="360" w:lineRule="auto"/>
              <w:jc w:val="center"/>
              <w:rPr>
                <w:rFonts w:ascii="宋体" w:hAnsi="宋体" w:eastAsia="宋体" w:cs="Times New Roman"/>
                <w:szCs w:val="21"/>
              </w:rPr>
            </w:pPr>
          </w:p>
        </w:tc>
        <w:tc>
          <w:tcPr>
            <w:tcW w:w="0" w:type="auto"/>
            <w:vAlign w:val="center"/>
          </w:tcPr>
          <w:p w14:paraId="3567E65B">
            <w:pPr>
              <w:spacing w:line="360" w:lineRule="auto"/>
              <w:jc w:val="center"/>
              <w:rPr>
                <w:rFonts w:ascii="宋体" w:hAnsi="宋体" w:eastAsia="宋体" w:cs="Times New Roman"/>
                <w:szCs w:val="21"/>
              </w:rPr>
            </w:pPr>
          </w:p>
        </w:tc>
        <w:tc>
          <w:tcPr>
            <w:tcW w:w="0" w:type="auto"/>
            <w:vAlign w:val="center"/>
          </w:tcPr>
          <w:p w14:paraId="3000ED87">
            <w:pPr>
              <w:spacing w:line="360" w:lineRule="auto"/>
              <w:jc w:val="center"/>
              <w:rPr>
                <w:rFonts w:ascii="宋体" w:hAnsi="宋体" w:eastAsia="宋体" w:cs="Times New Roman"/>
                <w:szCs w:val="21"/>
              </w:rPr>
            </w:pPr>
          </w:p>
        </w:tc>
        <w:tc>
          <w:tcPr>
            <w:tcW w:w="0" w:type="auto"/>
            <w:vAlign w:val="center"/>
          </w:tcPr>
          <w:p w14:paraId="7C7794CD">
            <w:pPr>
              <w:spacing w:line="360" w:lineRule="auto"/>
              <w:jc w:val="center"/>
              <w:rPr>
                <w:rFonts w:ascii="宋体" w:hAnsi="宋体" w:eastAsia="宋体" w:cs="Times New Roman"/>
                <w:szCs w:val="21"/>
              </w:rPr>
            </w:pPr>
          </w:p>
        </w:tc>
        <w:tc>
          <w:tcPr>
            <w:tcW w:w="0" w:type="auto"/>
            <w:vAlign w:val="center"/>
          </w:tcPr>
          <w:p w14:paraId="7378A30E">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3A23CCB2">
      <w:pPr>
        <w:spacing w:before="156" w:beforeLines="50" w:line="360" w:lineRule="auto"/>
        <w:jc w:val="left"/>
        <w:outlineLvl w:val="1"/>
        <w:rPr>
          <w:rFonts w:ascii="Times New Roman" w:hAnsi="Times New Roman" w:eastAsia="宋体" w:cs="Times New Roman"/>
          <w:b/>
          <w:szCs w:val="21"/>
        </w:rPr>
      </w:pPr>
      <w:bookmarkStart w:id="410" w:name="_Toc1109"/>
      <w:r>
        <w:rPr>
          <w:rFonts w:hint="eastAsia" w:ascii="Times New Roman" w:hAnsi="Times New Roman" w:eastAsia="宋体" w:cs="Times New Roman"/>
          <w:b/>
          <w:szCs w:val="21"/>
        </w:rPr>
        <w:t>（二）成绩评定细则</w:t>
      </w:r>
      <w:bookmarkEnd w:id="410"/>
    </w:p>
    <w:p w14:paraId="621CFA1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EF4D7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6095"/>
        <w:gridCol w:w="930"/>
      </w:tblGrid>
      <w:tr w14:paraId="5489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FC3DF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95" w:type="dxa"/>
            <w:vAlign w:val="center"/>
          </w:tcPr>
          <w:p w14:paraId="39370F4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930" w:type="dxa"/>
            <w:vAlign w:val="center"/>
          </w:tcPr>
          <w:p w14:paraId="215BF5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09E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174CE4D">
            <w:pPr>
              <w:rPr>
                <w:rFonts w:ascii="宋体" w:hAnsi="宋体" w:eastAsia="宋体" w:cs="Times New Roman"/>
                <w:szCs w:val="21"/>
              </w:rPr>
            </w:pPr>
            <w:r>
              <w:rPr>
                <w:rFonts w:hint="eastAsia" w:ascii="宋体" w:hAnsi="宋体" w:eastAsia="宋体" w:cs="Times New Roman"/>
                <w:szCs w:val="22"/>
              </w:rPr>
              <w:t>经典</w:t>
            </w:r>
            <w:r>
              <w:rPr>
                <w:rFonts w:ascii="宋体" w:hAnsi="宋体" w:eastAsia="宋体" w:cs="Times New Roman"/>
                <w:szCs w:val="22"/>
              </w:rPr>
              <w:t>阅读</w:t>
            </w:r>
            <w:r>
              <w:rPr>
                <w:rFonts w:hint="eastAsia" w:ascii="宋体" w:hAnsi="宋体" w:eastAsia="宋体" w:cs="Times New Roman"/>
                <w:szCs w:val="22"/>
              </w:rPr>
              <w:t>书籍数量</w:t>
            </w:r>
          </w:p>
        </w:tc>
        <w:tc>
          <w:tcPr>
            <w:tcW w:w="6095" w:type="dxa"/>
            <w:vAlign w:val="center"/>
          </w:tcPr>
          <w:p w14:paraId="6C5F3728">
            <w:pPr>
              <w:spacing w:line="264" w:lineRule="auto"/>
              <w:rPr>
                <w:rFonts w:ascii="宋体" w:hAnsi="宋体" w:eastAsia="宋体" w:cs="Times New Roman"/>
                <w:szCs w:val="21"/>
              </w:rPr>
            </w:pPr>
            <w:r>
              <w:rPr>
                <w:rFonts w:ascii="宋体" w:hAnsi="宋体" w:eastAsia="宋体" w:cs="Times New Roman"/>
                <w:spacing w:val="-7"/>
                <w:szCs w:val="21"/>
              </w:rPr>
              <w:t>学生在校期间，</w:t>
            </w:r>
            <w:r>
              <w:rPr>
                <w:rFonts w:hint="eastAsia" w:ascii="宋体" w:hAnsi="宋体" w:eastAsia="宋体" w:cs="Times New Roman"/>
                <w:spacing w:val="-7"/>
                <w:szCs w:val="21"/>
              </w:rPr>
              <w:t>每学年须完成经典阅读</w:t>
            </w:r>
            <w:r>
              <w:rPr>
                <w:rFonts w:ascii="宋体" w:hAnsi="宋体" w:eastAsia="宋体" w:cs="Times New Roman"/>
                <w:spacing w:val="-7"/>
                <w:szCs w:val="21"/>
              </w:rPr>
              <w:t>20</w:t>
            </w:r>
            <w:r>
              <w:rPr>
                <w:rFonts w:hint="eastAsia" w:ascii="宋体" w:hAnsi="宋体" w:eastAsia="宋体" w:cs="Times New Roman"/>
                <w:spacing w:val="-7"/>
                <w:szCs w:val="21"/>
              </w:rPr>
              <w:t>本/6学时，</w:t>
            </w:r>
            <w:r>
              <w:rPr>
                <w:rFonts w:hint="eastAsia" w:ascii="宋体" w:hAnsi="宋体" w:eastAsia="宋体" w:cs="Times New Roman"/>
                <w:spacing w:val="-5"/>
                <w:szCs w:val="21"/>
              </w:rPr>
              <w:t>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7"/>
                <w:szCs w:val="21"/>
              </w:rPr>
              <w:t>完成经典阅读</w:t>
            </w:r>
            <w:r>
              <w:rPr>
                <w:rFonts w:ascii="宋体" w:hAnsi="宋体" w:eastAsia="宋体" w:cs="Times New Roman"/>
                <w:spacing w:val="-5"/>
                <w:szCs w:val="21"/>
              </w:rPr>
              <w:t>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hint="eastAsia" w:ascii="宋体" w:hAnsi="宋体" w:eastAsia="宋体" w:cs="Times New Roman"/>
                <w:spacing w:val="-10"/>
                <w:szCs w:val="21"/>
              </w:rPr>
              <w:t>24</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5"/>
                <w:szCs w:val="21"/>
              </w:rPr>
              <w:t>。</w:t>
            </w:r>
            <w:r>
              <w:rPr>
                <w:rFonts w:hint="eastAsia" w:ascii="宋体" w:hAnsi="宋体" w:eastAsia="宋体" w:cs="Times New Roman"/>
                <w:spacing w:val="-10"/>
                <w:szCs w:val="21"/>
              </w:rPr>
              <w:t>每学年超过部分，认定附加分，每增加1本经典阅读，计2学时。</w:t>
            </w:r>
            <w:r>
              <w:rPr>
                <w:rFonts w:hint="eastAsia" w:ascii="宋体" w:hAnsi="宋体" w:eastAsia="宋体" w:cs="Times New Roman"/>
                <w:bCs/>
                <w:spacing w:val="-5"/>
                <w:szCs w:val="21"/>
              </w:rPr>
              <w:t>经典阅读书目可涵盖</w:t>
            </w:r>
            <w:r>
              <w:rPr>
                <w:rFonts w:ascii="宋体" w:hAnsi="宋体" w:eastAsia="宋体" w:cs="Times New Roman"/>
                <w:bCs/>
                <w:spacing w:val="-5"/>
                <w:szCs w:val="21"/>
              </w:rPr>
              <w:t>“</w:t>
            </w:r>
            <w:r>
              <w:rPr>
                <w:rFonts w:hint="eastAsia" w:ascii="宋体" w:hAnsi="宋体" w:eastAsia="宋体" w:cs="Times New Roman"/>
                <w:bCs/>
                <w:spacing w:val="-5"/>
                <w:szCs w:val="21"/>
              </w:rPr>
              <w:t>教育学类</w:t>
            </w:r>
            <w:r>
              <w:rPr>
                <w:rFonts w:ascii="宋体" w:hAnsi="宋体" w:eastAsia="宋体" w:cs="Times New Roman"/>
                <w:bCs/>
                <w:spacing w:val="-5"/>
                <w:szCs w:val="21"/>
              </w:rPr>
              <w:t xml:space="preserve"> ” </w:t>
            </w:r>
            <w:r>
              <w:rPr>
                <w:rFonts w:hint="eastAsia" w:ascii="宋体" w:hAnsi="宋体" w:eastAsia="宋体" w:cs="Times New Roman"/>
                <w:bCs/>
                <w:spacing w:val="-5"/>
                <w:szCs w:val="21"/>
              </w:rPr>
              <w:t>“心理学类”</w:t>
            </w:r>
            <w:r>
              <w:rPr>
                <w:rFonts w:ascii="宋体" w:hAnsi="宋体" w:eastAsia="宋体" w:cs="Times New Roman"/>
                <w:bCs/>
                <w:spacing w:val="-5"/>
                <w:szCs w:val="21"/>
              </w:rPr>
              <w:t>“</w:t>
            </w:r>
            <w:r>
              <w:rPr>
                <w:rFonts w:hint="eastAsia" w:ascii="宋体" w:hAnsi="宋体" w:eastAsia="宋体" w:cs="Times New Roman"/>
                <w:bCs/>
                <w:spacing w:val="-5"/>
                <w:szCs w:val="21"/>
              </w:rPr>
              <w:t>文学艺术类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哲学美育类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“社会学类”</w:t>
            </w:r>
            <w:r>
              <w:rPr>
                <w:rFonts w:ascii="宋体" w:hAnsi="宋体" w:eastAsia="宋体" w:cs="Times New Roman"/>
                <w:bCs/>
                <w:spacing w:val="-5"/>
                <w:szCs w:val="21"/>
              </w:rPr>
              <w:t>“</w:t>
            </w:r>
            <w:r>
              <w:rPr>
                <w:rFonts w:hint="eastAsia" w:ascii="宋体" w:hAnsi="宋体" w:eastAsia="宋体" w:cs="Times New Roman"/>
                <w:bCs/>
                <w:spacing w:val="-5"/>
                <w:szCs w:val="21"/>
              </w:rPr>
              <w:t>自然科学类</w:t>
            </w:r>
            <w:r>
              <w:rPr>
                <w:rFonts w:ascii="宋体" w:hAnsi="宋体" w:eastAsia="宋体" w:cs="Times New Roman"/>
                <w:bCs/>
                <w:spacing w:val="-5"/>
                <w:szCs w:val="21"/>
              </w:rPr>
              <w:t>”</w:t>
            </w:r>
            <w:r>
              <w:rPr>
                <w:rFonts w:hint="eastAsia" w:ascii="宋体" w:hAnsi="宋体" w:eastAsia="宋体" w:cs="Times New Roman"/>
                <w:bCs/>
                <w:spacing w:val="-5"/>
                <w:szCs w:val="21"/>
              </w:rPr>
              <w:t>、“历史文明类</w:t>
            </w:r>
            <w:r>
              <w:rPr>
                <w:rFonts w:ascii="宋体" w:hAnsi="宋体" w:eastAsia="宋体" w:cs="Times New Roman"/>
                <w:bCs/>
                <w:spacing w:val="-5"/>
                <w:szCs w:val="21"/>
              </w:rPr>
              <w:t>”“</w:t>
            </w:r>
            <w:r>
              <w:rPr>
                <w:rFonts w:hint="eastAsia" w:ascii="宋体" w:hAnsi="宋体" w:eastAsia="宋体" w:cs="Times New Roman"/>
                <w:bCs/>
                <w:spacing w:val="-5"/>
                <w:szCs w:val="21"/>
              </w:rPr>
              <w:t>全球化领导力类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等八大类。</w:t>
            </w:r>
          </w:p>
        </w:tc>
        <w:tc>
          <w:tcPr>
            <w:tcW w:w="930" w:type="dxa"/>
            <w:vAlign w:val="center"/>
          </w:tcPr>
          <w:p w14:paraId="0E1DABDC">
            <w:pPr>
              <w:jc w:val="center"/>
              <w:rPr>
                <w:rFonts w:ascii="宋体" w:hAnsi="宋体" w:eastAsia="宋体" w:cs="Times New Roman"/>
                <w:szCs w:val="21"/>
              </w:rPr>
            </w:pPr>
            <w:r>
              <w:rPr>
                <w:rFonts w:hint="eastAsia" w:ascii="宋体" w:hAnsi="宋体" w:eastAsia="宋体" w:cs="Times New Roman"/>
                <w:szCs w:val="21"/>
              </w:rPr>
              <w:t>75%</w:t>
            </w:r>
          </w:p>
        </w:tc>
      </w:tr>
      <w:tr w14:paraId="1B87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709BC39">
            <w:pPr>
              <w:rPr>
                <w:rFonts w:ascii="宋体" w:hAnsi="宋体" w:eastAsia="宋体" w:cs="Times New Roman"/>
                <w:szCs w:val="21"/>
              </w:rPr>
            </w:pPr>
            <w:r>
              <w:rPr>
                <w:rFonts w:ascii="宋体" w:hAnsi="宋体" w:eastAsia="宋体" w:cs="Times New Roman"/>
                <w:szCs w:val="22"/>
              </w:rPr>
              <w:t>参加讲座</w:t>
            </w:r>
            <w:r>
              <w:rPr>
                <w:rFonts w:hint="eastAsia" w:ascii="宋体" w:hAnsi="宋体" w:eastAsia="宋体" w:cs="Times New Roman"/>
                <w:szCs w:val="22"/>
              </w:rPr>
              <w:t>或报告场次</w:t>
            </w:r>
          </w:p>
        </w:tc>
        <w:tc>
          <w:tcPr>
            <w:tcW w:w="6095" w:type="dxa"/>
            <w:vAlign w:val="center"/>
          </w:tcPr>
          <w:p w14:paraId="1A61EEEE">
            <w:pPr>
              <w:widowControl/>
              <w:spacing w:line="264" w:lineRule="auto"/>
              <w:rPr>
                <w:rFonts w:ascii="宋体" w:hAnsi="宋体" w:eastAsia="宋体" w:cs="宋体"/>
                <w:color w:val="000000"/>
                <w:kern w:val="0"/>
                <w:szCs w:val="21"/>
                <w:lang w:bidi="ar"/>
              </w:rPr>
            </w:pPr>
            <w:r>
              <w:rPr>
                <w:rFonts w:ascii="宋体" w:hAnsi="宋体" w:eastAsia="宋体" w:cs="Times New Roman"/>
                <w:spacing w:val="-1"/>
                <w:szCs w:val="21"/>
              </w:rPr>
              <w:t>学生每学期参加至少</w:t>
            </w:r>
            <w:r>
              <w:rPr>
                <w:rFonts w:ascii="宋体" w:hAnsi="宋体" w:eastAsia="宋体" w:cs="Times New Roman"/>
                <w:spacing w:val="-49"/>
                <w:szCs w:val="21"/>
              </w:rPr>
              <w:t xml:space="preserve"> </w:t>
            </w:r>
            <w:r>
              <w:rPr>
                <w:rFonts w:ascii="宋体" w:hAnsi="宋体" w:eastAsia="宋体" w:cs="Times New Roman"/>
                <w:spacing w:val="-1"/>
                <w:szCs w:val="21"/>
              </w:rPr>
              <w:t>5</w:t>
            </w:r>
            <w:r>
              <w:rPr>
                <w:rFonts w:ascii="宋体" w:hAnsi="宋体" w:eastAsia="宋体" w:cs="Times New Roman"/>
                <w:spacing w:val="-52"/>
                <w:szCs w:val="21"/>
              </w:rPr>
              <w:t xml:space="preserve"> </w:t>
            </w:r>
            <w:r>
              <w:rPr>
                <w:rFonts w:ascii="宋体" w:hAnsi="宋体" w:eastAsia="宋体" w:cs="Times New Roman"/>
                <w:spacing w:val="-1"/>
                <w:szCs w:val="21"/>
              </w:rPr>
              <w:t>次校内外学术讲座（报告）或者网络</w:t>
            </w:r>
            <w:r>
              <w:rPr>
                <w:rFonts w:ascii="宋体" w:hAnsi="宋体" w:eastAsia="宋体" w:cs="Times New Roman"/>
                <w:spacing w:val="-4"/>
                <w:szCs w:val="21"/>
              </w:rPr>
              <w:t>上公开的学术会议，</w:t>
            </w:r>
            <w:r>
              <w:rPr>
                <w:rFonts w:hint="eastAsia" w:ascii="宋体" w:hAnsi="宋体" w:eastAsia="宋体" w:cs="Times New Roman"/>
                <w:spacing w:val="-7"/>
                <w:szCs w:val="21"/>
              </w:rPr>
              <w:t>每学年须完成参加学术讲座或报告</w:t>
            </w:r>
            <w:r>
              <w:rPr>
                <w:rFonts w:ascii="宋体" w:hAnsi="宋体" w:eastAsia="宋体" w:cs="Times New Roman"/>
                <w:spacing w:val="-7"/>
                <w:szCs w:val="21"/>
              </w:rPr>
              <w:t>10</w:t>
            </w:r>
            <w:r>
              <w:rPr>
                <w:rFonts w:hint="eastAsia" w:ascii="宋体" w:hAnsi="宋体" w:eastAsia="宋体" w:cs="Times New Roman"/>
                <w:spacing w:val="-7"/>
                <w:szCs w:val="21"/>
              </w:rPr>
              <w:t>场，方可获得2学时。学生须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4"/>
                <w:szCs w:val="21"/>
              </w:rPr>
              <w:t>须</w:t>
            </w:r>
            <w:r>
              <w:rPr>
                <w:rFonts w:ascii="宋体" w:hAnsi="宋体" w:eastAsia="宋体" w:cs="Times New Roman"/>
                <w:spacing w:val="-4"/>
                <w:szCs w:val="21"/>
              </w:rPr>
              <w:t>参加学术讲座（报</w:t>
            </w:r>
            <w:r>
              <w:rPr>
                <w:rFonts w:ascii="宋体" w:hAnsi="宋体" w:eastAsia="宋体" w:cs="Times New Roman"/>
                <w:spacing w:val="-5"/>
                <w:szCs w:val="21"/>
              </w:rPr>
              <w:t>告）累计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ascii="宋体" w:hAnsi="宋体" w:eastAsia="宋体" w:cs="Times New Roman"/>
                <w:spacing w:val="-10"/>
                <w:szCs w:val="21"/>
              </w:rPr>
              <w:t>8</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10"/>
                <w:szCs w:val="21"/>
              </w:rPr>
              <w:t>每学年超过部分，认定附加分，每增加1次学术讲座，计2学时。</w:t>
            </w:r>
          </w:p>
        </w:tc>
        <w:tc>
          <w:tcPr>
            <w:tcW w:w="930" w:type="dxa"/>
            <w:vAlign w:val="center"/>
          </w:tcPr>
          <w:p w14:paraId="19D62DD5">
            <w:pPr>
              <w:jc w:val="center"/>
              <w:rPr>
                <w:rFonts w:ascii="宋体" w:hAnsi="宋体" w:eastAsia="宋体" w:cs="Times New Roman"/>
                <w:szCs w:val="21"/>
              </w:rPr>
            </w:pPr>
            <w:r>
              <w:rPr>
                <w:rFonts w:hint="eastAsia" w:ascii="宋体" w:hAnsi="宋体" w:eastAsia="宋体" w:cs="Times New Roman"/>
                <w:szCs w:val="21"/>
              </w:rPr>
              <w:t>25%</w:t>
            </w:r>
          </w:p>
        </w:tc>
      </w:tr>
      <w:tr w14:paraId="29C2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CFD954B">
            <w:pPr>
              <w:rPr>
                <w:rFonts w:ascii="宋体" w:hAnsi="宋体" w:eastAsia="宋体" w:cs="Times New Roman"/>
                <w:szCs w:val="21"/>
              </w:rPr>
            </w:pPr>
            <w:r>
              <w:rPr>
                <w:rFonts w:ascii="宋体" w:hAnsi="宋体" w:eastAsia="宋体" w:cs="Times New Roman"/>
                <w:szCs w:val="22"/>
              </w:rPr>
              <w:t>读书</w:t>
            </w:r>
            <w:r>
              <w:rPr>
                <w:rFonts w:hint="eastAsia" w:ascii="宋体" w:hAnsi="宋体" w:eastAsia="宋体" w:cs="Times New Roman"/>
                <w:szCs w:val="22"/>
              </w:rPr>
              <w:t>体会或笔记</w:t>
            </w:r>
          </w:p>
        </w:tc>
        <w:tc>
          <w:tcPr>
            <w:tcW w:w="6095" w:type="dxa"/>
            <w:vAlign w:val="center"/>
          </w:tcPr>
          <w:p w14:paraId="23A24F52">
            <w:pPr>
              <w:widowControl/>
              <w:spacing w:line="264" w:lineRule="auto"/>
              <w:rPr>
                <w:rFonts w:ascii="宋体" w:hAnsi="宋体" w:eastAsia="宋体" w:cs="宋体"/>
                <w:color w:val="000000"/>
                <w:kern w:val="0"/>
                <w:szCs w:val="21"/>
                <w:lang w:bidi="ar"/>
              </w:rPr>
            </w:pPr>
            <w:r>
              <w:rPr>
                <w:rFonts w:hint="eastAsia" w:ascii="宋体" w:hAnsi="宋体" w:eastAsia="宋体" w:cs="Times New Roman"/>
                <w:spacing w:val="-1"/>
                <w:szCs w:val="21"/>
              </w:rPr>
              <w:t>学</w:t>
            </w:r>
            <w:r>
              <w:rPr>
                <w:rFonts w:ascii="宋体" w:hAnsi="宋体" w:eastAsia="宋体" w:cs="Times New Roman"/>
                <w:spacing w:val="-1"/>
                <w:szCs w:val="21"/>
              </w:rPr>
              <w:t>生每提交1篇读书体会或笔记（至少1500 字）可计</w:t>
            </w:r>
            <w:r>
              <w:rPr>
                <w:rFonts w:hint="eastAsia" w:ascii="宋体" w:hAnsi="宋体" w:eastAsia="宋体" w:cs="Times New Roman"/>
                <w:spacing w:val="-1"/>
                <w:szCs w:val="21"/>
              </w:rPr>
              <w:t>2</w:t>
            </w:r>
            <w:r>
              <w:rPr>
                <w:rFonts w:ascii="宋体" w:hAnsi="宋体" w:eastAsia="宋体" w:cs="Times New Roman"/>
                <w:spacing w:val="-1"/>
                <w:szCs w:val="21"/>
              </w:rPr>
              <w:t>学时</w:t>
            </w:r>
            <w:r>
              <w:rPr>
                <w:rFonts w:hint="eastAsia" w:ascii="宋体" w:hAnsi="宋体" w:eastAsia="宋体" w:cs="Times New Roman"/>
                <w:spacing w:val="-1"/>
                <w:szCs w:val="21"/>
              </w:rPr>
              <w:t>，作为附加分，可在第八学期累计入总学时</w:t>
            </w:r>
            <w:r>
              <w:rPr>
                <w:rFonts w:ascii="宋体" w:hAnsi="宋体" w:eastAsia="宋体" w:cs="Times New Roman"/>
                <w:spacing w:val="-1"/>
                <w:szCs w:val="21"/>
              </w:rPr>
              <w:t>。</w:t>
            </w:r>
            <w:r>
              <w:rPr>
                <w:rFonts w:ascii="宋体" w:hAnsi="宋体" w:eastAsia="宋体" w:cs="Times New Roman"/>
                <w:szCs w:val="21"/>
              </w:rPr>
              <w:t>根据学生的报告撰写的质量（格式、内容、逻辑、理论等）综合评定</w:t>
            </w:r>
            <w:r>
              <w:rPr>
                <w:rFonts w:hint="eastAsia" w:ascii="宋体" w:hAnsi="宋体" w:eastAsia="宋体" w:cs="Times New Roman"/>
                <w:szCs w:val="21"/>
              </w:rPr>
              <w:t>。</w:t>
            </w:r>
          </w:p>
        </w:tc>
        <w:tc>
          <w:tcPr>
            <w:tcW w:w="930" w:type="dxa"/>
            <w:vAlign w:val="center"/>
          </w:tcPr>
          <w:p w14:paraId="3E500BD5">
            <w:pPr>
              <w:jc w:val="center"/>
              <w:rPr>
                <w:rFonts w:ascii="宋体" w:hAnsi="宋体" w:eastAsia="宋体" w:cs="Times New Roman"/>
                <w:szCs w:val="21"/>
              </w:rPr>
            </w:pPr>
            <w:r>
              <w:rPr>
                <w:rFonts w:hint="eastAsia" w:ascii="宋体" w:hAnsi="宋体" w:eastAsia="宋体" w:cs="Times New Roman"/>
                <w:szCs w:val="21"/>
              </w:rPr>
              <w:t>附加分</w:t>
            </w:r>
          </w:p>
        </w:tc>
      </w:tr>
      <w:tr w14:paraId="6757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D28288F">
            <w:pPr>
              <w:rPr>
                <w:rFonts w:ascii="宋体" w:hAnsi="宋体" w:eastAsia="宋体" w:cs="Times New Roman"/>
                <w:szCs w:val="21"/>
              </w:rPr>
            </w:pPr>
            <w:r>
              <w:rPr>
                <w:rFonts w:hint="eastAsia" w:ascii="宋体" w:hAnsi="宋体" w:eastAsia="宋体" w:cs="Times New Roman"/>
                <w:spacing w:val="-5"/>
                <w:szCs w:val="21"/>
              </w:rPr>
              <w:t>大学生读书节获奖</w:t>
            </w:r>
          </w:p>
        </w:tc>
        <w:tc>
          <w:tcPr>
            <w:tcW w:w="6095" w:type="dxa"/>
            <w:vAlign w:val="center"/>
          </w:tcPr>
          <w:p w14:paraId="27E5C786">
            <w:pPr>
              <w:widowControl w:val="0"/>
              <w:spacing w:after="120"/>
              <w:ind w:left="50" w:right="-21" w:rightChars="-10"/>
              <w:jc w:val="both"/>
              <w:rPr>
                <w:rFonts w:ascii="宋体" w:hAnsi="宋体" w:eastAsia="宋体" w:cs="Times New Roman"/>
                <w:spacing w:val="-1"/>
                <w:kern w:val="2"/>
                <w:sz w:val="21"/>
                <w:szCs w:val="21"/>
                <w:lang w:val="en-US" w:eastAsia="zh-CN" w:bidi="ar-SA"/>
              </w:rPr>
            </w:pPr>
            <w:r>
              <w:rPr>
                <w:rFonts w:ascii="宋体" w:hAnsi="宋体" w:eastAsia="宋体" w:cs="Times New Roman"/>
                <w:spacing w:val="-1"/>
                <w:kern w:val="2"/>
                <w:sz w:val="21"/>
                <w:szCs w:val="21"/>
                <w:lang w:val="en-US" w:eastAsia="zh-CN" w:bidi="ar-SA"/>
              </w:rPr>
              <w:t>获得校级奖励每项可计5学时，获得省级（教育厅）奖励每项可计10学时</w:t>
            </w:r>
            <w:r>
              <w:rPr>
                <w:rFonts w:hint="eastAsia" w:ascii="宋体" w:hAnsi="宋体" w:eastAsia="宋体" w:cs="Times New Roman"/>
                <w:spacing w:val="-1"/>
                <w:kern w:val="2"/>
                <w:sz w:val="21"/>
                <w:szCs w:val="21"/>
                <w:lang w:val="en-US" w:eastAsia="zh-CN" w:bidi="ar-SA"/>
              </w:rPr>
              <w:t>，可在第八学期累计入总学时</w:t>
            </w:r>
            <w:r>
              <w:rPr>
                <w:rFonts w:ascii="宋体" w:hAnsi="宋体" w:eastAsia="宋体" w:cs="Times New Roman"/>
                <w:spacing w:val="-1"/>
                <w:kern w:val="2"/>
                <w:sz w:val="21"/>
                <w:szCs w:val="21"/>
                <w:lang w:val="en-US" w:eastAsia="zh-CN" w:bidi="ar-SA"/>
              </w:rPr>
              <w:t>。</w:t>
            </w:r>
          </w:p>
        </w:tc>
        <w:tc>
          <w:tcPr>
            <w:tcW w:w="930" w:type="dxa"/>
            <w:vAlign w:val="center"/>
          </w:tcPr>
          <w:p w14:paraId="2C172190">
            <w:pPr>
              <w:jc w:val="center"/>
              <w:rPr>
                <w:rFonts w:ascii="宋体" w:hAnsi="宋体" w:eastAsia="宋体" w:cs="Times New Roman"/>
                <w:szCs w:val="21"/>
              </w:rPr>
            </w:pPr>
            <w:r>
              <w:rPr>
                <w:rFonts w:hint="eastAsia" w:ascii="宋体" w:hAnsi="宋体" w:eastAsia="宋体" w:cs="Times New Roman"/>
                <w:szCs w:val="21"/>
              </w:rPr>
              <w:t>附加分</w:t>
            </w:r>
          </w:p>
        </w:tc>
      </w:tr>
      <w:tr w14:paraId="3755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71" w:type="dxa"/>
            <w:vAlign w:val="center"/>
          </w:tcPr>
          <w:p w14:paraId="0C78147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95" w:type="dxa"/>
            <w:vAlign w:val="center"/>
          </w:tcPr>
          <w:p w14:paraId="7CFA3685">
            <w:pPr>
              <w:jc w:val="left"/>
              <w:rPr>
                <w:rFonts w:ascii="Times New Roman" w:hAnsi="Times New Roman" w:eastAsia="宋体" w:cs="Times New Roman"/>
                <w:szCs w:val="21"/>
              </w:rPr>
            </w:pPr>
          </w:p>
        </w:tc>
        <w:tc>
          <w:tcPr>
            <w:tcW w:w="930" w:type="dxa"/>
            <w:vAlign w:val="center"/>
          </w:tcPr>
          <w:p w14:paraId="0ED609A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8A3AFE1">
      <w:pPr>
        <w:widowControl w:val="0"/>
        <w:spacing w:after="120"/>
        <w:ind w:left="50" w:right="826" w:firstLine="416" w:firstLineChars="200"/>
        <w:jc w:val="both"/>
        <w:rPr>
          <w:rFonts w:ascii="宋体" w:hAnsi="宋体" w:eastAsia="宋体" w:cs="Times New Roman"/>
          <w:spacing w:val="-1"/>
          <w:kern w:val="2"/>
          <w:sz w:val="21"/>
          <w:szCs w:val="21"/>
          <w:lang w:val="en-US" w:eastAsia="zh-CN" w:bidi="ar-SA"/>
        </w:rPr>
      </w:pPr>
    </w:p>
    <w:p w14:paraId="17DCEF03">
      <w:pPr>
        <w:widowControl w:val="0"/>
        <w:spacing w:after="120"/>
        <w:ind w:left="50" w:right="-199" w:firstLine="416" w:firstLineChars="200"/>
        <w:jc w:val="both"/>
        <w:rPr>
          <w:rFonts w:ascii="宋体" w:hAnsi="宋体" w:eastAsia="宋体" w:cs="Times New Roman"/>
          <w:spacing w:val="-1"/>
          <w:kern w:val="2"/>
          <w:sz w:val="21"/>
          <w:szCs w:val="21"/>
          <w:lang w:val="en-US" w:eastAsia="zh-CN" w:bidi="ar-SA"/>
        </w:rPr>
      </w:pPr>
      <w:r>
        <w:rPr>
          <w:rFonts w:ascii="宋体" w:hAnsi="宋体" w:eastAsia="宋体" w:cs="Times New Roman"/>
          <w:spacing w:val="-1"/>
          <w:kern w:val="2"/>
          <w:sz w:val="21"/>
          <w:szCs w:val="21"/>
          <w:lang w:val="en-US" w:eastAsia="zh-CN" w:bidi="ar-SA"/>
        </w:rPr>
        <w:t>该课程成绩以五级制计算，分别是优秀、 良好、 中等、及格、不及格。对应关系如下：</w:t>
      </w:r>
    </w:p>
    <w:p w14:paraId="6975F20F">
      <w:pPr>
        <w:jc w:val="right"/>
        <w:rPr>
          <w:rFonts w:ascii="宋体" w:hAnsi="宋体" w:eastAsia="宋体" w:cs="Times New Roman"/>
          <w:szCs w:val="21"/>
        </w:rPr>
      </w:pPr>
    </w:p>
    <w:tbl>
      <w:tblPr>
        <w:tblStyle w:val="16"/>
        <w:tblW w:w="468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3"/>
        <w:gridCol w:w="2343"/>
      </w:tblGrid>
      <w:tr w14:paraId="12F83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28A3C26C">
            <w:pPr>
              <w:widowControl/>
              <w:kinsoku w:val="0"/>
              <w:autoSpaceDE w:val="0"/>
              <w:autoSpaceDN w:val="0"/>
              <w:adjustRightInd w:val="0"/>
              <w:snapToGrid w:val="0"/>
              <w:spacing w:before="167"/>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9"/>
                <w:kern w:val="0"/>
                <w:sz w:val="21"/>
                <w:szCs w:val="21"/>
                <w:lang w:val="en-US" w:eastAsia="en-US" w:bidi="ar-SA"/>
              </w:rPr>
              <w:t>五级制</w:t>
            </w:r>
          </w:p>
        </w:tc>
        <w:tc>
          <w:tcPr>
            <w:tcW w:w="2343" w:type="dxa"/>
          </w:tcPr>
          <w:p w14:paraId="557D0E95">
            <w:pPr>
              <w:widowControl/>
              <w:kinsoku w:val="0"/>
              <w:autoSpaceDE w:val="0"/>
              <w:autoSpaceDN w:val="0"/>
              <w:adjustRightInd w:val="0"/>
              <w:snapToGrid w:val="0"/>
              <w:spacing w:before="167"/>
              <w:jc w:val="center"/>
              <w:textAlignment w:val="baseline"/>
              <w:rPr>
                <w:rFonts w:ascii="宋体" w:hAnsi="宋体" w:eastAsia="宋体" w:cs="仿宋"/>
                <w:snapToGrid w:val="0"/>
                <w:color w:val="000000"/>
                <w:kern w:val="0"/>
                <w:sz w:val="21"/>
                <w:szCs w:val="21"/>
                <w:lang w:val="en-US" w:eastAsia="en-US" w:bidi="ar-SA"/>
              </w:rPr>
            </w:pPr>
            <w:r>
              <w:rPr>
                <w:rFonts w:hint="eastAsia" w:ascii="宋体" w:hAnsi="宋体" w:eastAsia="宋体" w:cs="仿宋"/>
                <w:snapToGrid w:val="0"/>
                <w:color w:val="000000"/>
                <w:spacing w:val="-11"/>
                <w:kern w:val="0"/>
                <w:sz w:val="21"/>
                <w:szCs w:val="21"/>
                <w:lang w:val="en-US" w:eastAsia="zh-CN" w:bidi="ar-SA"/>
              </w:rPr>
              <w:t>总</w:t>
            </w:r>
            <w:r>
              <w:rPr>
                <w:rFonts w:ascii="宋体" w:hAnsi="宋体" w:eastAsia="宋体" w:cs="仿宋"/>
                <w:snapToGrid w:val="0"/>
                <w:color w:val="000000"/>
                <w:spacing w:val="-11"/>
                <w:kern w:val="0"/>
                <w:sz w:val="21"/>
                <w:szCs w:val="21"/>
                <w:lang w:val="en-US" w:eastAsia="en-US" w:bidi="ar-SA"/>
              </w:rPr>
              <w:t>学时</w:t>
            </w:r>
          </w:p>
        </w:tc>
      </w:tr>
      <w:tr w14:paraId="3F575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533DA42D">
            <w:pPr>
              <w:widowControl/>
              <w:kinsoku w:val="0"/>
              <w:autoSpaceDE w:val="0"/>
              <w:autoSpaceDN w:val="0"/>
              <w:adjustRightInd w:val="0"/>
              <w:snapToGrid w:val="0"/>
              <w:spacing w:before="168"/>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10"/>
                <w:kern w:val="0"/>
                <w:sz w:val="21"/>
                <w:szCs w:val="21"/>
                <w:lang w:val="en-US" w:eastAsia="en-US" w:bidi="ar-SA"/>
              </w:rPr>
              <w:t>优秀</w:t>
            </w:r>
          </w:p>
        </w:tc>
        <w:tc>
          <w:tcPr>
            <w:tcW w:w="2343" w:type="dxa"/>
          </w:tcPr>
          <w:p w14:paraId="690504D8">
            <w:pPr>
              <w:widowControl/>
              <w:kinsoku w:val="0"/>
              <w:autoSpaceDE w:val="0"/>
              <w:autoSpaceDN w:val="0"/>
              <w:adjustRightInd w:val="0"/>
              <w:snapToGrid w:val="0"/>
              <w:spacing w:before="168"/>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9"/>
                <w:kern w:val="0"/>
                <w:sz w:val="21"/>
                <w:szCs w:val="21"/>
                <w:lang w:val="en-US" w:eastAsia="en-US" w:bidi="ar-SA"/>
              </w:rPr>
              <w:t>56</w:t>
            </w:r>
            <w:r>
              <w:rPr>
                <w:rFonts w:ascii="宋体" w:hAnsi="宋体" w:eastAsia="宋体" w:cs="仿宋"/>
                <w:snapToGrid w:val="0"/>
                <w:color w:val="000000"/>
                <w:spacing w:val="-37"/>
                <w:kern w:val="0"/>
                <w:sz w:val="21"/>
                <w:szCs w:val="21"/>
                <w:lang w:val="en-US" w:eastAsia="en-US" w:bidi="ar-SA"/>
              </w:rPr>
              <w:t xml:space="preserve"> </w:t>
            </w:r>
            <w:r>
              <w:rPr>
                <w:rFonts w:ascii="宋体" w:hAnsi="宋体" w:eastAsia="宋体" w:cs="仿宋"/>
                <w:snapToGrid w:val="0"/>
                <w:color w:val="000000"/>
                <w:spacing w:val="-9"/>
                <w:kern w:val="0"/>
                <w:sz w:val="21"/>
                <w:szCs w:val="21"/>
                <w:lang w:val="en-US" w:eastAsia="en-US" w:bidi="ar-SA"/>
              </w:rPr>
              <w:t>学时以上</w:t>
            </w:r>
          </w:p>
        </w:tc>
      </w:tr>
      <w:tr w14:paraId="5295E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183E8BF6">
            <w:pPr>
              <w:widowControl/>
              <w:kinsoku w:val="0"/>
              <w:autoSpaceDE w:val="0"/>
              <w:autoSpaceDN w:val="0"/>
              <w:adjustRightInd w:val="0"/>
              <w:snapToGrid w:val="0"/>
              <w:spacing w:before="165"/>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33"/>
                <w:kern w:val="0"/>
                <w:sz w:val="21"/>
                <w:szCs w:val="21"/>
                <w:lang w:val="en-US" w:eastAsia="en-US" w:bidi="ar-SA"/>
              </w:rPr>
              <w:t>良好</w:t>
            </w:r>
          </w:p>
        </w:tc>
        <w:tc>
          <w:tcPr>
            <w:tcW w:w="2343" w:type="dxa"/>
          </w:tcPr>
          <w:p w14:paraId="6CBF9BCC">
            <w:pPr>
              <w:widowControl/>
              <w:kinsoku w:val="0"/>
              <w:autoSpaceDE w:val="0"/>
              <w:autoSpaceDN w:val="0"/>
              <w:adjustRightInd w:val="0"/>
              <w:snapToGrid w:val="0"/>
              <w:spacing w:before="165"/>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7"/>
                <w:kern w:val="0"/>
                <w:sz w:val="21"/>
                <w:szCs w:val="21"/>
                <w:lang w:val="en-US" w:eastAsia="en-US" w:bidi="ar-SA"/>
              </w:rPr>
              <w:t>49-56</w:t>
            </w:r>
            <w:r>
              <w:rPr>
                <w:rFonts w:ascii="宋体" w:hAnsi="宋体" w:eastAsia="宋体" w:cs="仿宋"/>
                <w:snapToGrid w:val="0"/>
                <w:color w:val="000000"/>
                <w:spacing w:val="-39"/>
                <w:kern w:val="0"/>
                <w:sz w:val="21"/>
                <w:szCs w:val="21"/>
                <w:lang w:val="en-US" w:eastAsia="en-US" w:bidi="ar-SA"/>
              </w:rPr>
              <w:t xml:space="preserve"> </w:t>
            </w:r>
            <w:r>
              <w:rPr>
                <w:rFonts w:ascii="宋体" w:hAnsi="宋体" w:eastAsia="宋体" w:cs="仿宋"/>
                <w:snapToGrid w:val="0"/>
                <w:color w:val="000000"/>
                <w:spacing w:val="-7"/>
                <w:kern w:val="0"/>
                <w:sz w:val="21"/>
                <w:szCs w:val="21"/>
                <w:lang w:val="en-US" w:eastAsia="en-US" w:bidi="ar-SA"/>
              </w:rPr>
              <w:t>学时</w:t>
            </w:r>
          </w:p>
        </w:tc>
      </w:tr>
      <w:tr w14:paraId="33E56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2CECC178">
            <w:pPr>
              <w:widowControl/>
              <w:kinsoku w:val="0"/>
              <w:autoSpaceDE w:val="0"/>
              <w:autoSpaceDN w:val="0"/>
              <w:adjustRightInd w:val="0"/>
              <w:snapToGrid w:val="0"/>
              <w:spacing w:before="165"/>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30"/>
                <w:kern w:val="0"/>
                <w:sz w:val="21"/>
                <w:szCs w:val="21"/>
                <w:lang w:val="en-US" w:eastAsia="en-US" w:bidi="ar-SA"/>
              </w:rPr>
              <w:t>中等</w:t>
            </w:r>
          </w:p>
        </w:tc>
        <w:tc>
          <w:tcPr>
            <w:tcW w:w="2343" w:type="dxa"/>
          </w:tcPr>
          <w:p w14:paraId="13077ECC">
            <w:pPr>
              <w:widowControl/>
              <w:kinsoku w:val="0"/>
              <w:autoSpaceDE w:val="0"/>
              <w:autoSpaceDN w:val="0"/>
              <w:adjustRightInd w:val="0"/>
              <w:snapToGrid w:val="0"/>
              <w:spacing w:before="164"/>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7"/>
                <w:kern w:val="0"/>
                <w:sz w:val="21"/>
                <w:szCs w:val="21"/>
                <w:lang w:val="en-US" w:eastAsia="en-US" w:bidi="ar-SA"/>
              </w:rPr>
              <w:t>41-48</w:t>
            </w:r>
            <w:r>
              <w:rPr>
                <w:rFonts w:ascii="宋体" w:hAnsi="宋体" w:eastAsia="宋体" w:cs="仿宋"/>
                <w:snapToGrid w:val="0"/>
                <w:color w:val="000000"/>
                <w:spacing w:val="-39"/>
                <w:kern w:val="0"/>
                <w:sz w:val="21"/>
                <w:szCs w:val="21"/>
                <w:lang w:val="en-US" w:eastAsia="en-US" w:bidi="ar-SA"/>
              </w:rPr>
              <w:t xml:space="preserve"> </w:t>
            </w:r>
            <w:r>
              <w:rPr>
                <w:rFonts w:ascii="宋体" w:hAnsi="宋体" w:eastAsia="宋体" w:cs="仿宋"/>
                <w:snapToGrid w:val="0"/>
                <w:color w:val="000000"/>
                <w:spacing w:val="-7"/>
                <w:kern w:val="0"/>
                <w:sz w:val="21"/>
                <w:szCs w:val="21"/>
                <w:lang w:val="en-US" w:eastAsia="en-US" w:bidi="ar-SA"/>
              </w:rPr>
              <w:t>学时</w:t>
            </w:r>
          </w:p>
        </w:tc>
      </w:tr>
      <w:tr w14:paraId="68497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076FA007">
            <w:pPr>
              <w:widowControl/>
              <w:kinsoku w:val="0"/>
              <w:autoSpaceDE w:val="0"/>
              <w:autoSpaceDN w:val="0"/>
              <w:adjustRightInd w:val="0"/>
              <w:snapToGrid w:val="0"/>
              <w:spacing w:before="164"/>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12"/>
                <w:kern w:val="0"/>
                <w:sz w:val="21"/>
                <w:szCs w:val="21"/>
                <w:lang w:val="en-US" w:eastAsia="en-US" w:bidi="ar-SA"/>
              </w:rPr>
              <w:t>及格</w:t>
            </w:r>
          </w:p>
        </w:tc>
        <w:tc>
          <w:tcPr>
            <w:tcW w:w="2343" w:type="dxa"/>
          </w:tcPr>
          <w:p w14:paraId="2D920E88">
            <w:pPr>
              <w:widowControl/>
              <w:kinsoku w:val="0"/>
              <w:autoSpaceDE w:val="0"/>
              <w:autoSpaceDN w:val="0"/>
              <w:adjustRightInd w:val="0"/>
              <w:snapToGrid w:val="0"/>
              <w:spacing w:before="164"/>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8"/>
                <w:kern w:val="0"/>
                <w:sz w:val="21"/>
                <w:szCs w:val="21"/>
                <w:lang w:val="en-US" w:eastAsia="en-US" w:bidi="ar-SA"/>
              </w:rPr>
              <w:t>32-40</w:t>
            </w:r>
            <w:r>
              <w:rPr>
                <w:rFonts w:ascii="宋体" w:hAnsi="宋体" w:eastAsia="宋体" w:cs="仿宋"/>
                <w:snapToGrid w:val="0"/>
                <w:color w:val="000000"/>
                <w:spacing w:val="-39"/>
                <w:kern w:val="0"/>
                <w:sz w:val="21"/>
                <w:szCs w:val="21"/>
                <w:lang w:val="en-US" w:eastAsia="en-US" w:bidi="ar-SA"/>
              </w:rPr>
              <w:t xml:space="preserve"> </w:t>
            </w:r>
            <w:r>
              <w:rPr>
                <w:rFonts w:ascii="宋体" w:hAnsi="宋体" w:eastAsia="宋体" w:cs="仿宋"/>
                <w:snapToGrid w:val="0"/>
                <w:color w:val="000000"/>
                <w:spacing w:val="-8"/>
                <w:kern w:val="0"/>
                <w:sz w:val="21"/>
                <w:szCs w:val="21"/>
                <w:lang w:val="en-US" w:eastAsia="en-US" w:bidi="ar-SA"/>
              </w:rPr>
              <w:t>学时</w:t>
            </w:r>
          </w:p>
        </w:tc>
      </w:tr>
      <w:tr w14:paraId="69447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tcPr>
          <w:p w14:paraId="781B8FF4">
            <w:pPr>
              <w:widowControl/>
              <w:kinsoku w:val="0"/>
              <w:autoSpaceDE w:val="0"/>
              <w:autoSpaceDN w:val="0"/>
              <w:adjustRightInd w:val="0"/>
              <w:snapToGrid w:val="0"/>
              <w:spacing w:before="164"/>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10"/>
                <w:kern w:val="0"/>
                <w:sz w:val="21"/>
                <w:szCs w:val="21"/>
                <w:lang w:val="en-US" w:eastAsia="en-US" w:bidi="ar-SA"/>
              </w:rPr>
              <w:t>不及格</w:t>
            </w:r>
          </w:p>
        </w:tc>
        <w:tc>
          <w:tcPr>
            <w:tcW w:w="2343" w:type="dxa"/>
          </w:tcPr>
          <w:p w14:paraId="2B51FD0B">
            <w:pPr>
              <w:widowControl/>
              <w:kinsoku w:val="0"/>
              <w:autoSpaceDE w:val="0"/>
              <w:autoSpaceDN w:val="0"/>
              <w:adjustRightInd w:val="0"/>
              <w:snapToGrid w:val="0"/>
              <w:spacing w:before="164"/>
              <w:jc w:val="center"/>
              <w:textAlignment w:val="baseline"/>
              <w:rPr>
                <w:rFonts w:ascii="宋体" w:hAnsi="宋体" w:eastAsia="宋体" w:cs="仿宋"/>
                <w:snapToGrid w:val="0"/>
                <w:color w:val="000000"/>
                <w:kern w:val="0"/>
                <w:sz w:val="21"/>
                <w:szCs w:val="21"/>
                <w:lang w:val="en-US" w:eastAsia="en-US" w:bidi="ar-SA"/>
              </w:rPr>
            </w:pPr>
            <w:r>
              <w:rPr>
                <w:rFonts w:ascii="宋体" w:hAnsi="宋体" w:eastAsia="宋体" w:cs="仿宋"/>
                <w:snapToGrid w:val="0"/>
                <w:color w:val="000000"/>
                <w:spacing w:val="-9"/>
                <w:kern w:val="0"/>
                <w:sz w:val="21"/>
                <w:szCs w:val="21"/>
                <w:lang w:val="en-US" w:eastAsia="en-US" w:bidi="ar-SA"/>
              </w:rPr>
              <w:t>32</w:t>
            </w:r>
            <w:r>
              <w:rPr>
                <w:rFonts w:ascii="宋体" w:hAnsi="宋体" w:eastAsia="宋体" w:cs="仿宋"/>
                <w:snapToGrid w:val="0"/>
                <w:color w:val="000000"/>
                <w:spacing w:val="-37"/>
                <w:kern w:val="0"/>
                <w:sz w:val="21"/>
                <w:szCs w:val="21"/>
                <w:lang w:val="en-US" w:eastAsia="en-US" w:bidi="ar-SA"/>
              </w:rPr>
              <w:t xml:space="preserve"> </w:t>
            </w:r>
            <w:r>
              <w:rPr>
                <w:rFonts w:ascii="宋体" w:hAnsi="宋体" w:eastAsia="宋体" w:cs="仿宋"/>
                <w:snapToGrid w:val="0"/>
                <w:color w:val="000000"/>
                <w:spacing w:val="-9"/>
                <w:kern w:val="0"/>
                <w:sz w:val="21"/>
                <w:szCs w:val="21"/>
                <w:lang w:val="en-US" w:eastAsia="en-US" w:bidi="ar-SA"/>
              </w:rPr>
              <w:t>学时以下</w:t>
            </w:r>
          </w:p>
        </w:tc>
      </w:tr>
    </w:tbl>
    <w:p w14:paraId="71E0204A">
      <w:pPr>
        <w:widowControl w:val="0"/>
        <w:spacing w:after="120"/>
        <w:ind w:left="50" w:right="826" w:firstLine="416" w:firstLineChars="200"/>
        <w:jc w:val="both"/>
        <w:rPr>
          <w:rFonts w:ascii="宋体" w:hAnsi="宋体" w:eastAsia="宋体" w:cs="Times New Roman"/>
          <w:spacing w:val="-1"/>
          <w:kern w:val="2"/>
          <w:sz w:val="21"/>
          <w:szCs w:val="21"/>
          <w:lang w:val="en-US" w:eastAsia="zh-CN" w:bidi="ar-SA"/>
        </w:rPr>
      </w:pPr>
    </w:p>
    <w:p w14:paraId="6FC27BA2">
      <w:pPr>
        <w:widowControl w:val="0"/>
        <w:spacing w:after="120"/>
        <w:ind w:right="-58" w:firstLine="416" w:firstLineChars="200"/>
        <w:jc w:val="both"/>
        <w:rPr>
          <w:rFonts w:ascii="宋体" w:hAnsi="宋体" w:eastAsia="宋体" w:cs="Times New Roman"/>
          <w:spacing w:val="-1"/>
          <w:kern w:val="2"/>
          <w:sz w:val="21"/>
          <w:szCs w:val="21"/>
          <w:lang w:val="en-US" w:eastAsia="zh-CN" w:bidi="ar-SA"/>
        </w:rPr>
      </w:pPr>
      <w:r>
        <w:rPr>
          <w:rFonts w:ascii="宋体" w:hAnsi="宋体" w:eastAsia="宋体" w:cs="Times New Roman"/>
          <w:spacing w:val="-1"/>
          <w:kern w:val="2"/>
          <w:sz w:val="21"/>
          <w:szCs w:val="21"/>
          <w:lang w:val="en-US" w:eastAsia="zh-CN" w:bidi="ar-SA"/>
        </w:rPr>
        <w:t>有下列情况之一者，将不给予学时认定：1.存在弄虚作假行为者；2.不在规定时间内上报学分认定材料者。</w:t>
      </w:r>
    </w:p>
    <w:p w14:paraId="11818523">
      <w:pPr>
        <w:jc w:val="left"/>
        <w:rPr>
          <w:rFonts w:ascii="宋体" w:hAnsi="宋体" w:eastAsia="宋体" w:cs="Times New Roman"/>
          <w:b/>
          <w:color w:val="000000"/>
          <w:szCs w:val="21"/>
        </w:rPr>
      </w:pPr>
    </w:p>
    <w:p w14:paraId="42D0D790">
      <w:pPr>
        <w:spacing w:line="360" w:lineRule="auto"/>
        <w:jc w:val="left"/>
        <w:outlineLvl w:val="1"/>
        <w:rPr>
          <w:rFonts w:ascii="宋体" w:hAnsi="宋体" w:eastAsia="宋体" w:cs="Times New Roman"/>
          <w:b/>
          <w:color w:val="000000"/>
          <w:szCs w:val="21"/>
        </w:rPr>
      </w:pPr>
      <w:bookmarkStart w:id="411" w:name="_Toc12024"/>
      <w:r>
        <w:rPr>
          <w:rFonts w:hint="eastAsia" w:ascii="宋体" w:hAnsi="宋体" w:eastAsia="宋体" w:cs="Times New Roman"/>
          <w:b/>
          <w:color w:val="000000"/>
          <w:szCs w:val="21"/>
        </w:rPr>
        <w:t>（三）课程目标达成度计算方法</w:t>
      </w:r>
      <w:bookmarkEnd w:id="411"/>
    </w:p>
    <w:p w14:paraId="4642040F">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48E084C">
      <w:pPr>
        <w:spacing w:before="156" w:beforeLines="50" w:line="360" w:lineRule="auto"/>
        <w:ind w:firstLine="480" w:firstLineChars="200"/>
        <w:jc w:val="left"/>
        <w:rPr>
          <w:rFonts w:ascii="宋体" w:hAnsi="宋体" w:eastAsia="宋体" w:cs="Times New Roman"/>
          <w:color w:val="000000"/>
          <w:szCs w:val="21"/>
        </w:rPr>
      </w:pPr>
      <w:r>
        <w:rPr>
          <w:rFonts w:ascii="宋体" w:hAnsi="宋体" w:eastAsia="宋体" w:cs="Times New Roman"/>
          <w:sz w:val="24"/>
          <w:szCs w:val="22"/>
        </w:rPr>
        <w:drawing>
          <wp:inline distT="0" distB="0" distL="0" distR="0">
            <wp:extent cx="5274310" cy="337185"/>
            <wp:effectExtent l="0" t="0" r="444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7AB88607">
      <w:pPr>
        <w:spacing w:before="156" w:beforeLines="50" w:line="360" w:lineRule="auto"/>
        <w:jc w:val="left"/>
        <w:outlineLvl w:val="0"/>
        <w:rPr>
          <w:rFonts w:ascii="Times New Roman" w:hAnsi="Times New Roman" w:eastAsia="宋体" w:cs="Times New Roman"/>
          <w:b/>
          <w:sz w:val="24"/>
          <w:szCs w:val="24"/>
        </w:rPr>
      </w:pPr>
      <w:bookmarkStart w:id="412" w:name="_Toc20062"/>
      <w:bookmarkStart w:id="413" w:name="_Toc11205"/>
      <w:bookmarkStart w:id="414" w:name="_Toc13021"/>
      <w:bookmarkStart w:id="415" w:name="_Toc16379"/>
      <w:bookmarkStart w:id="416" w:name="_Toc17162"/>
      <w:bookmarkStart w:id="417" w:name="_Toc10381"/>
      <w:bookmarkStart w:id="418" w:name="_Toc7542"/>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412"/>
      <w:bookmarkEnd w:id="413"/>
      <w:bookmarkEnd w:id="414"/>
      <w:bookmarkEnd w:id="415"/>
      <w:bookmarkEnd w:id="416"/>
      <w:bookmarkEnd w:id="417"/>
      <w:bookmarkEnd w:id="418"/>
    </w:p>
    <w:p w14:paraId="435A1E0B">
      <w:pPr>
        <w:spacing w:after="156" w:afterLines="50" w:line="360" w:lineRule="auto"/>
        <w:ind w:firstLine="420" w:firstLineChars="200"/>
        <w:rPr>
          <w:rFonts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562F4B88">
      <w:pPr>
        <w:spacing w:after="156" w:afterLines="50" w:line="360" w:lineRule="auto"/>
        <w:ind w:firstLine="420" w:firstLineChars="200"/>
        <w:rPr>
          <w:rFonts w:ascii="宋体" w:hAnsi="宋体" w:eastAsia="宋体" w:cs="Times New Roman"/>
          <w:szCs w:val="21"/>
        </w:rPr>
      </w:pPr>
    </w:p>
    <w:p w14:paraId="3DA9AED2">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CE2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096A232F">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C081FE0">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1092D90">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934F9B3">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64A0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A1CA923">
            <w:pPr>
              <w:spacing w:line="276" w:lineRule="auto"/>
              <w:jc w:val="left"/>
              <w:rPr>
                <w:rFonts w:ascii="宋体" w:hAnsi="宋体" w:eastAsia="宋体" w:cs="宋体"/>
                <w:szCs w:val="21"/>
              </w:rPr>
            </w:pPr>
            <w:r>
              <w:rPr>
                <w:rFonts w:ascii="宋体" w:hAnsi="宋体" w:eastAsia="宋体" w:cs="Times New Roman"/>
                <w:szCs w:val="22"/>
              </w:rPr>
              <w:t>阅读</w:t>
            </w:r>
            <w:r>
              <w:rPr>
                <w:rFonts w:hint="eastAsia" w:ascii="宋体" w:hAnsi="宋体" w:eastAsia="宋体" w:cs="Times New Roman"/>
                <w:szCs w:val="22"/>
              </w:rPr>
              <w:t>经典书籍</w:t>
            </w:r>
          </w:p>
        </w:tc>
        <w:tc>
          <w:tcPr>
            <w:tcW w:w="3407" w:type="dxa"/>
            <w:vAlign w:val="center"/>
          </w:tcPr>
          <w:p w14:paraId="0F4E8037">
            <w:pPr>
              <w:spacing w:line="276" w:lineRule="auto"/>
              <w:jc w:val="left"/>
              <w:rPr>
                <w:rFonts w:ascii="宋体" w:hAnsi="宋体" w:eastAsia="宋体" w:cs="宋体"/>
                <w:szCs w:val="21"/>
              </w:rPr>
            </w:pPr>
            <w:r>
              <w:rPr>
                <w:rFonts w:ascii="宋体" w:hAnsi="宋体" w:eastAsia="宋体" w:cs="Times New Roman"/>
                <w:spacing w:val="-7"/>
                <w:szCs w:val="21"/>
              </w:rPr>
              <w:t>在校期间，</w:t>
            </w:r>
            <w:r>
              <w:rPr>
                <w:rFonts w:hint="eastAsia" w:ascii="宋体" w:hAnsi="宋体" w:eastAsia="宋体" w:cs="Times New Roman"/>
                <w:spacing w:val="-7"/>
                <w:szCs w:val="21"/>
              </w:rPr>
              <w:t>每学年须完成经典阅读</w:t>
            </w:r>
            <w:r>
              <w:rPr>
                <w:rFonts w:ascii="宋体" w:hAnsi="宋体" w:eastAsia="宋体" w:cs="Times New Roman"/>
                <w:spacing w:val="-7"/>
                <w:szCs w:val="21"/>
              </w:rPr>
              <w:t>20</w:t>
            </w:r>
            <w:r>
              <w:rPr>
                <w:rFonts w:hint="eastAsia" w:ascii="宋体" w:hAnsi="宋体" w:eastAsia="宋体" w:cs="Times New Roman"/>
                <w:spacing w:val="-7"/>
                <w:szCs w:val="21"/>
              </w:rPr>
              <w:t>本/6学时，</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7"/>
                <w:szCs w:val="21"/>
              </w:rPr>
              <w:t>完成经典阅读</w:t>
            </w:r>
            <w:r>
              <w:rPr>
                <w:rFonts w:ascii="宋体" w:hAnsi="宋体" w:eastAsia="宋体" w:cs="Times New Roman"/>
                <w:spacing w:val="-5"/>
                <w:szCs w:val="21"/>
              </w:rPr>
              <w:t>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hint="eastAsia" w:ascii="宋体" w:hAnsi="宋体" w:eastAsia="宋体" w:cs="Times New Roman"/>
                <w:spacing w:val="-10"/>
                <w:szCs w:val="21"/>
              </w:rPr>
              <w:t>24</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5"/>
                <w:szCs w:val="21"/>
              </w:rPr>
              <w:t>。</w:t>
            </w:r>
            <w:r>
              <w:rPr>
                <w:rFonts w:hint="eastAsia" w:ascii="宋体" w:hAnsi="宋体" w:eastAsia="宋体" w:cs="Times New Roman"/>
                <w:spacing w:val="-10"/>
                <w:szCs w:val="21"/>
              </w:rPr>
              <w:t>每学年超过部分，认定附加分，每增加1本经典阅读，计2学时。</w:t>
            </w:r>
            <w:r>
              <w:rPr>
                <w:rFonts w:hint="eastAsia" w:ascii="宋体" w:hAnsi="宋体" w:eastAsia="宋体" w:cs="Times New Roman"/>
                <w:bCs/>
                <w:spacing w:val="-5"/>
                <w:szCs w:val="21"/>
              </w:rPr>
              <w:t>经典阅读书目可涵盖</w:t>
            </w:r>
            <w:r>
              <w:rPr>
                <w:rFonts w:ascii="宋体" w:hAnsi="宋体" w:eastAsia="宋体" w:cs="Times New Roman"/>
                <w:bCs/>
                <w:spacing w:val="-5"/>
                <w:szCs w:val="21"/>
              </w:rPr>
              <w:t>“</w:t>
            </w:r>
            <w:r>
              <w:rPr>
                <w:rFonts w:hint="eastAsia" w:ascii="宋体" w:hAnsi="宋体" w:eastAsia="宋体" w:cs="Times New Roman"/>
                <w:bCs/>
                <w:spacing w:val="-5"/>
                <w:szCs w:val="21"/>
              </w:rPr>
              <w:t>教育学类</w:t>
            </w:r>
            <w:r>
              <w:rPr>
                <w:rFonts w:ascii="宋体" w:hAnsi="宋体" w:eastAsia="宋体" w:cs="Times New Roman"/>
                <w:bCs/>
                <w:spacing w:val="-5"/>
                <w:szCs w:val="21"/>
              </w:rPr>
              <w:t xml:space="preserve"> ” </w:t>
            </w:r>
            <w:r>
              <w:rPr>
                <w:rFonts w:hint="eastAsia" w:ascii="宋体" w:hAnsi="宋体" w:eastAsia="宋体" w:cs="Times New Roman"/>
                <w:bCs/>
                <w:spacing w:val="-5"/>
                <w:szCs w:val="21"/>
              </w:rPr>
              <w:t>“心理学类”</w:t>
            </w:r>
            <w:r>
              <w:rPr>
                <w:rFonts w:ascii="宋体" w:hAnsi="宋体" w:eastAsia="宋体" w:cs="Times New Roman"/>
                <w:bCs/>
                <w:spacing w:val="-5"/>
                <w:szCs w:val="21"/>
              </w:rPr>
              <w:t>“</w:t>
            </w:r>
            <w:r>
              <w:rPr>
                <w:rFonts w:hint="eastAsia" w:ascii="宋体" w:hAnsi="宋体" w:eastAsia="宋体" w:cs="Times New Roman"/>
                <w:bCs/>
                <w:spacing w:val="-5"/>
                <w:szCs w:val="21"/>
              </w:rPr>
              <w:t>文学艺术类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哲学美育类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“社会学类”</w:t>
            </w:r>
            <w:r>
              <w:rPr>
                <w:rFonts w:ascii="宋体" w:hAnsi="宋体" w:eastAsia="宋体" w:cs="Times New Roman"/>
                <w:bCs/>
                <w:spacing w:val="-5"/>
                <w:szCs w:val="21"/>
              </w:rPr>
              <w:t>“</w:t>
            </w:r>
            <w:r>
              <w:rPr>
                <w:rFonts w:hint="eastAsia" w:ascii="宋体" w:hAnsi="宋体" w:eastAsia="宋体" w:cs="Times New Roman"/>
                <w:bCs/>
                <w:spacing w:val="-5"/>
                <w:szCs w:val="21"/>
              </w:rPr>
              <w:t>自然科学类</w:t>
            </w:r>
            <w:r>
              <w:rPr>
                <w:rFonts w:ascii="宋体" w:hAnsi="宋体" w:eastAsia="宋体" w:cs="Times New Roman"/>
                <w:bCs/>
                <w:spacing w:val="-5"/>
                <w:szCs w:val="21"/>
              </w:rPr>
              <w:t>”</w:t>
            </w:r>
            <w:r>
              <w:rPr>
                <w:rFonts w:hint="eastAsia" w:ascii="宋体" w:hAnsi="宋体" w:eastAsia="宋体" w:cs="Times New Roman"/>
                <w:bCs/>
                <w:spacing w:val="-5"/>
                <w:szCs w:val="21"/>
              </w:rPr>
              <w:t>、“历史文明类</w:t>
            </w:r>
            <w:r>
              <w:rPr>
                <w:rFonts w:ascii="宋体" w:hAnsi="宋体" w:eastAsia="宋体" w:cs="Times New Roman"/>
                <w:bCs/>
                <w:spacing w:val="-5"/>
                <w:szCs w:val="21"/>
              </w:rPr>
              <w:t>”“</w:t>
            </w:r>
            <w:r>
              <w:rPr>
                <w:rFonts w:hint="eastAsia" w:ascii="宋体" w:hAnsi="宋体" w:eastAsia="宋体" w:cs="Times New Roman"/>
                <w:bCs/>
                <w:spacing w:val="-5"/>
                <w:szCs w:val="21"/>
              </w:rPr>
              <w:t>全球化领导力类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等八大类。</w:t>
            </w:r>
          </w:p>
        </w:tc>
        <w:tc>
          <w:tcPr>
            <w:tcW w:w="740" w:type="dxa"/>
            <w:vAlign w:val="center"/>
          </w:tcPr>
          <w:p w14:paraId="777B6B0D">
            <w:pPr>
              <w:spacing w:line="276" w:lineRule="auto"/>
              <w:jc w:val="center"/>
              <w:rPr>
                <w:rFonts w:ascii="宋体" w:hAnsi="宋体" w:eastAsia="宋体" w:cs="宋体"/>
                <w:szCs w:val="21"/>
              </w:rPr>
            </w:pPr>
            <w:r>
              <w:rPr>
                <w:rFonts w:hint="eastAsia" w:ascii="宋体" w:hAnsi="宋体" w:eastAsia="宋体" w:cs="宋体"/>
                <w:szCs w:val="21"/>
              </w:rPr>
              <w:t>阅读书籍</w:t>
            </w:r>
          </w:p>
        </w:tc>
        <w:tc>
          <w:tcPr>
            <w:tcW w:w="3160" w:type="dxa"/>
            <w:vAlign w:val="center"/>
          </w:tcPr>
          <w:p w14:paraId="4239A6D1">
            <w:pPr>
              <w:spacing w:line="276" w:lineRule="auto"/>
              <w:jc w:val="left"/>
              <w:rPr>
                <w:rFonts w:ascii="宋体" w:hAnsi="宋体" w:eastAsia="宋体" w:cs="宋体"/>
                <w:szCs w:val="21"/>
              </w:rPr>
            </w:pPr>
            <w:r>
              <w:rPr>
                <w:rFonts w:ascii="宋体" w:hAnsi="宋体" w:eastAsia="宋体" w:cs="宋体"/>
                <w:szCs w:val="21"/>
              </w:rPr>
              <w:t>通过深入阅读经典文化作品，提升学生的人文素养，培养良好的道德情操和社会责任感</w:t>
            </w:r>
            <w:r>
              <w:rPr>
                <w:rFonts w:hint="eastAsia" w:ascii="宋体" w:hAnsi="宋体" w:eastAsia="宋体" w:cs="宋体"/>
                <w:szCs w:val="21"/>
              </w:rPr>
              <w:t>，</w:t>
            </w:r>
            <w:r>
              <w:rPr>
                <w:rFonts w:ascii="宋体" w:hAnsi="宋体" w:eastAsia="宋体" w:cs="宋体"/>
                <w:szCs w:val="21"/>
              </w:rPr>
              <w:t>提升学生的审美鉴赏能力，同时锻炼其语言表达和文学创作能力。</w:t>
            </w:r>
          </w:p>
        </w:tc>
      </w:tr>
      <w:tr w14:paraId="1DFD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497AE66">
            <w:pPr>
              <w:spacing w:line="276" w:lineRule="auto"/>
              <w:jc w:val="left"/>
              <w:rPr>
                <w:rFonts w:ascii="宋体" w:hAnsi="宋体" w:eastAsia="宋体" w:cs="宋体"/>
                <w:szCs w:val="21"/>
              </w:rPr>
            </w:pPr>
            <w:r>
              <w:rPr>
                <w:rFonts w:ascii="宋体" w:hAnsi="宋体" w:eastAsia="宋体" w:cs="Times New Roman"/>
                <w:szCs w:val="22"/>
              </w:rPr>
              <w:t>参加讲座</w:t>
            </w:r>
            <w:r>
              <w:rPr>
                <w:rFonts w:hint="eastAsia" w:ascii="宋体" w:hAnsi="宋体" w:eastAsia="宋体" w:cs="Times New Roman"/>
                <w:szCs w:val="22"/>
              </w:rPr>
              <w:t>或报告</w:t>
            </w:r>
          </w:p>
        </w:tc>
        <w:tc>
          <w:tcPr>
            <w:tcW w:w="3407" w:type="dxa"/>
            <w:vAlign w:val="center"/>
          </w:tcPr>
          <w:p w14:paraId="7E01E2D1">
            <w:pPr>
              <w:spacing w:line="276" w:lineRule="auto"/>
              <w:jc w:val="left"/>
              <w:rPr>
                <w:rFonts w:ascii="宋体" w:hAnsi="宋体" w:eastAsia="宋体" w:cs="宋体"/>
                <w:szCs w:val="21"/>
              </w:rPr>
            </w:pPr>
            <w:r>
              <w:rPr>
                <w:rFonts w:ascii="宋体" w:hAnsi="宋体" w:eastAsia="宋体" w:cs="Times New Roman"/>
                <w:spacing w:val="-1"/>
                <w:szCs w:val="21"/>
              </w:rPr>
              <w:t>每学期参加至少</w:t>
            </w:r>
            <w:r>
              <w:rPr>
                <w:rFonts w:ascii="宋体" w:hAnsi="宋体" w:eastAsia="宋体" w:cs="Times New Roman"/>
                <w:spacing w:val="-49"/>
                <w:szCs w:val="21"/>
              </w:rPr>
              <w:t xml:space="preserve"> </w:t>
            </w:r>
            <w:r>
              <w:rPr>
                <w:rFonts w:ascii="宋体" w:hAnsi="宋体" w:eastAsia="宋体" w:cs="Times New Roman"/>
                <w:spacing w:val="-1"/>
                <w:szCs w:val="21"/>
              </w:rPr>
              <w:t>5</w:t>
            </w:r>
            <w:r>
              <w:rPr>
                <w:rFonts w:ascii="宋体" w:hAnsi="宋体" w:eastAsia="宋体" w:cs="Times New Roman"/>
                <w:spacing w:val="-52"/>
                <w:szCs w:val="21"/>
              </w:rPr>
              <w:t xml:space="preserve"> </w:t>
            </w:r>
            <w:r>
              <w:rPr>
                <w:rFonts w:ascii="宋体" w:hAnsi="宋体" w:eastAsia="宋体" w:cs="Times New Roman"/>
                <w:spacing w:val="-1"/>
                <w:szCs w:val="21"/>
              </w:rPr>
              <w:t>次校内外学术讲座（报告）或者网络</w:t>
            </w:r>
            <w:r>
              <w:rPr>
                <w:rFonts w:ascii="宋体" w:hAnsi="宋体" w:eastAsia="宋体" w:cs="Times New Roman"/>
                <w:spacing w:val="-4"/>
                <w:szCs w:val="21"/>
              </w:rPr>
              <w:t>上公开的学术会议，</w:t>
            </w:r>
            <w:r>
              <w:rPr>
                <w:rFonts w:hint="eastAsia" w:ascii="宋体" w:hAnsi="宋体" w:eastAsia="宋体" w:cs="Times New Roman"/>
                <w:spacing w:val="-7"/>
                <w:szCs w:val="21"/>
              </w:rPr>
              <w:t>每学年须完成参加学术讲座或报告</w:t>
            </w:r>
            <w:r>
              <w:rPr>
                <w:rFonts w:ascii="宋体" w:hAnsi="宋体" w:eastAsia="宋体" w:cs="Times New Roman"/>
                <w:spacing w:val="-7"/>
                <w:szCs w:val="21"/>
              </w:rPr>
              <w:t>10</w:t>
            </w:r>
            <w:r>
              <w:rPr>
                <w:rFonts w:hint="eastAsia" w:ascii="宋体" w:hAnsi="宋体" w:eastAsia="宋体" w:cs="Times New Roman"/>
                <w:spacing w:val="-7"/>
                <w:szCs w:val="21"/>
              </w:rPr>
              <w:t>场，方可获得2学时。学生须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4"/>
                <w:szCs w:val="21"/>
              </w:rPr>
              <w:t>须</w:t>
            </w:r>
            <w:r>
              <w:rPr>
                <w:rFonts w:ascii="宋体" w:hAnsi="宋体" w:eastAsia="宋体" w:cs="Times New Roman"/>
                <w:spacing w:val="-4"/>
                <w:szCs w:val="21"/>
              </w:rPr>
              <w:t>参加学术讲座（报</w:t>
            </w:r>
            <w:r>
              <w:rPr>
                <w:rFonts w:ascii="宋体" w:hAnsi="宋体" w:eastAsia="宋体" w:cs="Times New Roman"/>
                <w:spacing w:val="-5"/>
                <w:szCs w:val="21"/>
              </w:rPr>
              <w:t>告）累计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ascii="宋体" w:hAnsi="宋体" w:eastAsia="宋体" w:cs="Times New Roman"/>
                <w:spacing w:val="-10"/>
                <w:szCs w:val="21"/>
              </w:rPr>
              <w:t>8</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10"/>
                <w:szCs w:val="21"/>
              </w:rPr>
              <w:t>每学年超过部分，认定附加分，每增加1次学术讲座，计2学时。</w:t>
            </w:r>
          </w:p>
        </w:tc>
        <w:tc>
          <w:tcPr>
            <w:tcW w:w="740" w:type="dxa"/>
            <w:vAlign w:val="center"/>
          </w:tcPr>
          <w:p w14:paraId="7F728EB3">
            <w:pPr>
              <w:spacing w:line="276" w:lineRule="auto"/>
              <w:jc w:val="center"/>
              <w:rPr>
                <w:rFonts w:ascii="宋体" w:hAnsi="宋体" w:eastAsia="宋体" w:cs="宋体"/>
                <w:szCs w:val="21"/>
              </w:rPr>
            </w:pPr>
            <w:r>
              <w:rPr>
                <w:rFonts w:hint="eastAsia" w:ascii="宋体" w:hAnsi="宋体" w:eastAsia="宋体" w:cs="宋体"/>
                <w:szCs w:val="21"/>
              </w:rPr>
              <w:t>讲座报告</w:t>
            </w:r>
          </w:p>
        </w:tc>
        <w:tc>
          <w:tcPr>
            <w:tcW w:w="3160" w:type="dxa"/>
            <w:vAlign w:val="center"/>
          </w:tcPr>
          <w:p w14:paraId="1DB8D90A">
            <w:pPr>
              <w:spacing w:line="276" w:lineRule="auto"/>
              <w:rPr>
                <w:rFonts w:ascii="宋体" w:hAnsi="宋体" w:eastAsia="宋体" w:cs="宋体"/>
                <w:szCs w:val="21"/>
              </w:rPr>
            </w:pPr>
            <w:r>
              <w:rPr>
                <w:rFonts w:ascii="宋体" w:hAnsi="宋体" w:eastAsia="宋体" w:cs="宋体"/>
                <w:szCs w:val="21"/>
              </w:rPr>
              <w:t>通过聆听专家学者的讲座或报告，拓宽知识视野，激发创新思维，培养跨学科学习与思考的能力。讲座或报告往往聚焦社会热点、科技发展、文化传承等议题</w:t>
            </w:r>
            <w:r>
              <w:rPr>
                <w:rFonts w:hint="eastAsia" w:ascii="宋体" w:hAnsi="宋体" w:eastAsia="宋体" w:cs="宋体"/>
                <w:szCs w:val="21"/>
              </w:rPr>
              <w:t>，可以增</w:t>
            </w:r>
            <w:r>
              <w:rPr>
                <w:rFonts w:ascii="宋体" w:hAnsi="宋体" w:eastAsia="宋体" w:cs="宋体"/>
                <w:szCs w:val="21"/>
              </w:rPr>
              <w:t>强</w:t>
            </w:r>
            <w:r>
              <w:rPr>
                <w:rFonts w:hint="eastAsia" w:ascii="宋体" w:hAnsi="宋体" w:eastAsia="宋体" w:cs="宋体"/>
                <w:szCs w:val="21"/>
              </w:rPr>
              <w:t>自身</w:t>
            </w:r>
            <w:r>
              <w:rPr>
                <w:rFonts w:ascii="宋体" w:hAnsi="宋体" w:eastAsia="宋体" w:cs="宋体"/>
                <w:szCs w:val="21"/>
              </w:rPr>
              <w:t>社会责任感，激发其为时代进步贡献力量的使命感。通过讲座或报告的互动环节，促进学生与专家、学生之间的学术交流，激发思想碰撞，促进学术氛围的活跃。</w:t>
            </w:r>
          </w:p>
        </w:tc>
      </w:tr>
      <w:tr w14:paraId="5832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95915E0">
            <w:pPr>
              <w:spacing w:line="276" w:lineRule="auto"/>
              <w:jc w:val="left"/>
              <w:rPr>
                <w:rFonts w:ascii="宋体" w:hAnsi="宋体" w:eastAsia="宋体" w:cs="宋体"/>
                <w:szCs w:val="21"/>
              </w:rPr>
            </w:pPr>
            <w:r>
              <w:rPr>
                <w:rFonts w:hint="eastAsia" w:ascii="宋体" w:hAnsi="宋体" w:eastAsia="宋体" w:cs="Times New Roman"/>
                <w:szCs w:val="22"/>
              </w:rPr>
              <w:t>撰写</w:t>
            </w:r>
            <w:r>
              <w:rPr>
                <w:rFonts w:ascii="宋体" w:hAnsi="宋体" w:eastAsia="宋体" w:cs="Times New Roman"/>
                <w:szCs w:val="22"/>
              </w:rPr>
              <w:t>读书</w:t>
            </w:r>
            <w:r>
              <w:rPr>
                <w:rFonts w:hint="eastAsia" w:ascii="宋体" w:hAnsi="宋体" w:eastAsia="宋体" w:cs="Times New Roman"/>
                <w:szCs w:val="22"/>
              </w:rPr>
              <w:t>体会或笔记</w:t>
            </w:r>
          </w:p>
        </w:tc>
        <w:tc>
          <w:tcPr>
            <w:tcW w:w="3407" w:type="dxa"/>
            <w:vAlign w:val="center"/>
          </w:tcPr>
          <w:p w14:paraId="4599504E">
            <w:pPr>
              <w:spacing w:line="276" w:lineRule="auto"/>
              <w:jc w:val="left"/>
              <w:rPr>
                <w:rFonts w:ascii="宋体" w:hAnsi="宋体" w:eastAsia="宋体" w:cs="宋体"/>
                <w:szCs w:val="21"/>
              </w:rPr>
            </w:pPr>
            <w:r>
              <w:rPr>
                <w:rFonts w:ascii="宋体" w:hAnsi="宋体" w:eastAsia="宋体" w:cs="Times New Roman"/>
                <w:spacing w:val="-1"/>
                <w:szCs w:val="21"/>
              </w:rPr>
              <w:t>每提交1篇读书体会或笔记（至少1500 字）可计</w:t>
            </w:r>
            <w:r>
              <w:rPr>
                <w:rFonts w:hint="eastAsia" w:ascii="宋体" w:hAnsi="宋体" w:eastAsia="宋体" w:cs="Times New Roman"/>
                <w:spacing w:val="-1"/>
                <w:szCs w:val="21"/>
              </w:rPr>
              <w:t>2</w:t>
            </w:r>
            <w:r>
              <w:rPr>
                <w:rFonts w:ascii="宋体" w:hAnsi="宋体" w:eastAsia="宋体" w:cs="Times New Roman"/>
                <w:spacing w:val="-1"/>
                <w:szCs w:val="21"/>
              </w:rPr>
              <w:t>学时</w:t>
            </w:r>
            <w:r>
              <w:rPr>
                <w:rFonts w:hint="eastAsia" w:ascii="宋体" w:hAnsi="宋体" w:eastAsia="宋体" w:cs="Times New Roman"/>
                <w:spacing w:val="-1"/>
                <w:szCs w:val="21"/>
              </w:rPr>
              <w:t>，作为附加分，可在第八学期累计入总学时</w:t>
            </w:r>
            <w:r>
              <w:rPr>
                <w:rFonts w:ascii="宋体" w:hAnsi="宋体" w:eastAsia="宋体" w:cs="Times New Roman"/>
                <w:spacing w:val="-1"/>
                <w:szCs w:val="21"/>
              </w:rPr>
              <w:t>。</w:t>
            </w:r>
            <w:r>
              <w:rPr>
                <w:rFonts w:ascii="宋体" w:hAnsi="宋体" w:eastAsia="宋体" w:cs="Times New Roman"/>
                <w:szCs w:val="21"/>
              </w:rPr>
              <w:t>根据学生的报告撰写的质量（格式、内容、逻辑、理论等）综合评定</w:t>
            </w:r>
            <w:r>
              <w:rPr>
                <w:rFonts w:hint="eastAsia" w:ascii="宋体" w:hAnsi="宋体" w:eastAsia="宋体" w:cs="Times New Roman"/>
                <w:szCs w:val="21"/>
              </w:rPr>
              <w:t>。</w:t>
            </w:r>
          </w:p>
        </w:tc>
        <w:tc>
          <w:tcPr>
            <w:tcW w:w="740" w:type="dxa"/>
            <w:vAlign w:val="center"/>
          </w:tcPr>
          <w:p w14:paraId="646B92D4">
            <w:pPr>
              <w:spacing w:line="276" w:lineRule="auto"/>
              <w:jc w:val="center"/>
              <w:rPr>
                <w:rFonts w:ascii="宋体" w:hAnsi="宋体" w:eastAsia="宋体" w:cs="宋体"/>
                <w:szCs w:val="21"/>
              </w:rPr>
            </w:pPr>
            <w:r>
              <w:rPr>
                <w:rFonts w:hint="eastAsia" w:ascii="宋体" w:hAnsi="宋体" w:eastAsia="宋体" w:cs="宋体"/>
                <w:szCs w:val="21"/>
              </w:rPr>
              <w:t>读书笔记</w:t>
            </w:r>
          </w:p>
        </w:tc>
        <w:tc>
          <w:tcPr>
            <w:tcW w:w="3160" w:type="dxa"/>
            <w:vAlign w:val="center"/>
          </w:tcPr>
          <w:p w14:paraId="331FA7FD">
            <w:pPr>
              <w:spacing w:line="276" w:lineRule="auto"/>
              <w:rPr>
                <w:rFonts w:ascii="宋体" w:hAnsi="宋体" w:eastAsia="宋体" w:cs="宋体"/>
                <w:szCs w:val="21"/>
              </w:rPr>
            </w:pPr>
            <w:r>
              <w:rPr>
                <w:rFonts w:hint="eastAsia" w:ascii="宋体" w:hAnsi="宋体" w:eastAsia="宋体" w:cs="宋体"/>
                <w:szCs w:val="21"/>
              </w:rPr>
              <w:t>能够</w:t>
            </w:r>
            <w:r>
              <w:rPr>
                <w:rFonts w:ascii="宋体" w:hAnsi="宋体" w:eastAsia="宋体" w:cs="宋体"/>
                <w:szCs w:val="21"/>
              </w:rPr>
              <w:t>以批判性视角审视经典文化作品，鼓励创新思维，培养独立思考和解决问题的能力。</w:t>
            </w:r>
          </w:p>
        </w:tc>
      </w:tr>
      <w:tr w14:paraId="64B3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5053D620">
            <w:pPr>
              <w:spacing w:line="276" w:lineRule="auto"/>
              <w:jc w:val="left"/>
              <w:rPr>
                <w:rFonts w:ascii="宋体" w:hAnsi="宋体" w:eastAsia="宋体" w:cs="宋体"/>
                <w:szCs w:val="21"/>
              </w:rPr>
            </w:pPr>
            <w:r>
              <w:rPr>
                <w:rFonts w:hint="eastAsia" w:ascii="宋体" w:hAnsi="宋体" w:eastAsia="宋体" w:cs="Times New Roman"/>
                <w:spacing w:val="-5"/>
                <w:szCs w:val="21"/>
              </w:rPr>
              <w:t>参与大学生读书节</w:t>
            </w:r>
          </w:p>
        </w:tc>
        <w:tc>
          <w:tcPr>
            <w:tcW w:w="3407" w:type="dxa"/>
            <w:vAlign w:val="center"/>
          </w:tcPr>
          <w:p w14:paraId="10C979A2">
            <w:pPr>
              <w:spacing w:line="276" w:lineRule="auto"/>
              <w:jc w:val="left"/>
              <w:rPr>
                <w:rFonts w:ascii="宋体" w:hAnsi="宋体" w:eastAsia="宋体" w:cs="宋体"/>
                <w:szCs w:val="21"/>
              </w:rPr>
            </w:pPr>
            <w:r>
              <w:rPr>
                <w:rFonts w:ascii="宋体" w:hAnsi="宋体" w:eastAsia="宋体" w:cs="Times New Roman"/>
                <w:spacing w:val="-1"/>
                <w:szCs w:val="21"/>
              </w:rPr>
              <w:t>获得校级奖励每项可计5学时，获得省级（教育厅）奖励每项可计10学时</w:t>
            </w:r>
            <w:r>
              <w:rPr>
                <w:rFonts w:hint="eastAsia" w:ascii="宋体" w:hAnsi="宋体" w:eastAsia="宋体" w:cs="Times New Roman"/>
                <w:spacing w:val="-1"/>
                <w:szCs w:val="21"/>
              </w:rPr>
              <w:t>，可在第八学期累计入总学时</w:t>
            </w:r>
            <w:r>
              <w:rPr>
                <w:rFonts w:ascii="宋体" w:hAnsi="宋体" w:eastAsia="宋体" w:cs="Times New Roman"/>
                <w:spacing w:val="-1"/>
                <w:szCs w:val="21"/>
              </w:rPr>
              <w:t>。</w:t>
            </w:r>
          </w:p>
        </w:tc>
        <w:tc>
          <w:tcPr>
            <w:tcW w:w="740" w:type="dxa"/>
            <w:vAlign w:val="center"/>
          </w:tcPr>
          <w:p w14:paraId="3151A759">
            <w:pPr>
              <w:spacing w:line="276" w:lineRule="auto"/>
              <w:jc w:val="center"/>
              <w:rPr>
                <w:rFonts w:ascii="宋体" w:hAnsi="宋体" w:eastAsia="宋体" w:cs="宋体"/>
                <w:szCs w:val="21"/>
              </w:rPr>
            </w:pPr>
            <w:r>
              <w:rPr>
                <w:rFonts w:hint="eastAsia" w:ascii="宋体" w:hAnsi="宋体" w:eastAsia="宋体" w:cs="Times New Roman"/>
                <w:spacing w:val="-5"/>
                <w:szCs w:val="21"/>
              </w:rPr>
              <w:t>大学生读书节</w:t>
            </w:r>
          </w:p>
        </w:tc>
        <w:tc>
          <w:tcPr>
            <w:tcW w:w="3160" w:type="dxa"/>
            <w:vAlign w:val="center"/>
          </w:tcPr>
          <w:p w14:paraId="00162E1F">
            <w:pPr>
              <w:spacing w:line="276" w:lineRule="auto"/>
              <w:rPr>
                <w:rFonts w:ascii="宋体" w:hAnsi="宋体" w:eastAsia="宋体" w:cs="宋体"/>
                <w:szCs w:val="21"/>
              </w:rPr>
            </w:pPr>
            <w:r>
              <w:rPr>
                <w:rFonts w:ascii="宋体" w:hAnsi="宋体" w:eastAsia="宋体" w:cs="宋体"/>
                <w:szCs w:val="21"/>
              </w:rPr>
              <w:t>通过表彰阅读成果，激发大学生对书籍的热爱和持续学习的热情，营造浓厚的校园阅读氛围。读书节活动往往包含团队阅读、分享讨论等环节，旨在增强学生的团队协作能力和社交技巧。通过树立获奖学生为榜样，激励更多学生参与阅读，共同塑造积极向上的校园文化。</w:t>
            </w:r>
          </w:p>
          <w:p w14:paraId="5B33CAA2">
            <w:pPr>
              <w:spacing w:line="276" w:lineRule="auto"/>
              <w:rPr>
                <w:rFonts w:ascii="宋体" w:hAnsi="宋体" w:eastAsia="宋体" w:cs="宋体"/>
                <w:szCs w:val="21"/>
              </w:rPr>
            </w:pPr>
          </w:p>
        </w:tc>
      </w:tr>
    </w:tbl>
    <w:p w14:paraId="77BD80B3">
      <w:pPr>
        <w:spacing w:line="360" w:lineRule="auto"/>
        <w:ind w:firstLine="551" w:firstLineChars="196"/>
        <w:jc w:val="left"/>
        <w:rPr>
          <w:rFonts w:ascii="宋体" w:hAnsi="宋体" w:eastAsia="宋体" w:cs="Times New Roman"/>
          <w:b/>
          <w:color w:val="000000"/>
          <w:sz w:val="28"/>
          <w:szCs w:val="28"/>
        </w:rPr>
      </w:pPr>
    </w:p>
    <w:p w14:paraId="660DE1E3">
      <w:pPr>
        <w:spacing w:line="360" w:lineRule="auto"/>
        <w:jc w:val="left"/>
        <w:outlineLvl w:val="0"/>
        <w:rPr>
          <w:rFonts w:ascii="Times New Roman" w:hAnsi="Times New Roman" w:eastAsia="宋体" w:cs="Times New Roman"/>
          <w:b/>
          <w:bCs/>
          <w:sz w:val="24"/>
          <w:szCs w:val="24"/>
        </w:rPr>
      </w:pPr>
      <w:bookmarkStart w:id="419" w:name="_Toc27383"/>
      <w:bookmarkStart w:id="420" w:name="_Toc25049"/>
      <w:bookmarkStart w:id="421" w:name="_Toc29916"/>
      <w:bookmarkStart w:id="422" w:name="_Toc31664"/>
      <w:bookmarkStart w:id="423" w:name="_Toc30632"/>
      <w:bookmarkStart w:id="424" w:name="_Toc26197"/>
      <w:bookmarkStart w:id="425" w:name="_Toc24182"/>
      <w:r>
        <w:rPr>
          <w:rFonts w:hint="eastAsia" w:ascii="宋体" w:hAnsi="宋体" w:eastAsia="宋体" w:cs="Times New Roman"/>
          <w:b/>
          <w:color w:val="000000"/>
          <w:sz w:val="24"/>
          <w:szCs w:val="24"/>
        </w:rPr>
        <w:t>六、有关说明</w:t>
      </w:r>
      <w:bookmarkEnd w:id="419"/>
      <w:bookmarkEnd w:id="420"/>
      <w:bookmarkEnd w:id="421"/>
      <w:bookmarkEnd w:id="422"/>
      <w:bookmarkEnd w:id="423"/>
      <w:bookmarkEnd w:id="424"/>
      <w:bookmarkEnd w:id="425"/>
    </w:p>
    <w:p w14:paraId="49836322">
      <w:pPr>
        <w:spacing w:line="360" w:lineRule="auto"/>
        <w:jc w:val="left"/>
        <w:outlineLvl w:val="1"/>
        <w:rPr>
          <w:rFonts w:ascii="Times New Roman" w:hAnsi="Times New Roman" w:eastAsia="宋体" w:cs="Times New Roman"/>
          <w:b/>
          <w:szCs w:val="21"/>
        </w:rPr>
      </w:pPr>
      <w:bookmarkStart w:id="426" w:name="_Toc28557"/>
      <w:r>
        <w:rPr>
          <w:rFonts w:hint="eastAsia" w:ascii="Times New Roman" w:hAnsi="Times New Roman" w:eastAsia="宋体" w:cs="Times New Roman"/>
          <w:b/>
          <w:szCs w:val="21"/>
        </w:rPr>
        <w:t>（一）持续改进</w:t>
      </w:r>
      <w:bookmarkEnd w:id="426"/>
    </w:p>
    <w:p w14:paraId="1E774EF4">
      <w:pPr>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1.提倡改革教学方法，强调应用现代化教学手段，如课件、互联网教学和网络答疑。</w:t>
      </w:r>
    </w:p>
    <w:p w14:paraId="0A58AA94">
      <w:pPr>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2.合理安排教学课时，加强小组讨论等旨在督促学生自主学习的教学环节；布置任务单，引导学生做好课前预习、讨论的工作；保证学生完成作业的次数。</w:t>
      </w:r>
    </w:p>
    <w:p w14:paraId="13FFCDEC">
      <w:pPr>
        <w:spacing w:line="360" w:lineRule="auto"/>
        <w:ind w:firstLine="420" w:firstLineChars="200"/>
        <w:jc w:val="left"/>
        <w:rPr>
          <w:rFonts w:ascii="宋体" w:hAnsi="宋体" w:eastAsia="宋体" w:cs="Times New Roman"/>
          <w:bCs/>
          <w:szCs w:val="21"/>
        </w:rPr>
      </w:pPr>
      <w:r>
        <w:rPr>
          <w:rFonts w:ascii="宋体" w:hAnsi="宋体" w:eastAsia="宋体" w:cs="Times New Roman"/>
          <w:bCs/>
          <w:szCs w:val="21"/>
        </w:rPr>
        <w:t>3．教学内容密切联系教育学与心理学经典理论。</w:t>
      </w:r>
    </w:p>
    <w:p w14:paraId="2943C6D4">
      <w:pPr>
        <w:spacing w:line="360" w:lineRule="auto"/>
        <w:jc w:val="left"/>
        <w:outlineLvl w:val="1"/>
        <w:rPr>
          <w:rFonts w:ascii="Times New Roman" w:hAnsi="Times New Roman" w:eastAsia="宋体" w:cs="Times New Roman"/>
          <w:b/>
          <w:szCs w:val="21"/>
        </w:rPr>
      </w:pPr>
      <w:bookmarkStart w:id="427" w:name="_Toc22142"/>
      <w:r>
        <w:rPr>
          <w:rFonts w:hint="eastAsia" w:ascii="Times New Roman" w:hAnsi="Times New Roman" w:eastAsia="宋体" w:cs="Times New Roman"/>
          <w:b/>
          <w:szCs w:val="21"/>
        </w:rPr>
        <w:t>（二）建议教材</w:t>
      </w:r>
      <w:bookmarkEnd w:id="427"/>
    </w:p>
    <w:p w14:paraId="718218FC">
      <w:pPr>
        <w:spacing w:line="360" w:lineRule="auto"/>
        <w:ind w:firstLine="420" w:firstLineChars="200"/>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本课程的</w:t>
      </w:r>
      <w:r>
        <w:rPr>
          <w:rFonts w:hint="eastAsia" w:ascii="Times New Roman" w:hAnsi="Times New Roman" w:eastAsia="宋体" w:cs="Times New Roman"/>
          <w:bCs/>
          <w:color w:val="000000"/>
          <w:szCs w:val="21"/>
        </w:rPr>
        <w:t>教材</w:t>
      </w:r>
      <w:r>
        <w:rPr>
          <w:rFonts w:ascii="Times New Roman" w:hAnsi="Times New Roman" w:eastAsia="宋体" w:cs="Times New Roman"/>
          <w:bCs/>
          <w:color w:val="000000"/>
          <w:szCs w:val="21"/>
        </w:rPr>
        <w:t>参考相关课程教师的推荐书目。</w:t>
      </w:r>
    </w:p>
    <w:p w14:paraId="671FECBC">
      <w:pPr>
        <w:spacing w:line="360" w:lineRule="auto"/>
        <w:jc w:val="left"/>
        <w:outlineLvl w:val="1"/>
        <w:rPr>
          <w:rFonts w:ascii="Times New Roman" w:hAnsi="Times New Roman" w:eastAsia="宋体" w:cs="Times New Roman"/>
          <w:b/>
          <w:szCs w:val="21"/>
        </w:rPr>
      </w:pPr>
      <w:bookmarkStart w:id="428" w:name="_Toc17969"/>
      <w:r>
        <w:rPr>
          <w:rFonts w:hint="eastAsia" w:ascii="Times New Roman" w:hAnsi="Times New Roman" w:eastAsia="宋体" w:cs="Times New Roman"/>
          <w:b/>
          <w:szCs w:val="21"/>
        </w:rPr>
        <w:t>（三）参考书目</w:t>
      </w:r>
      <w:bookmarkEnd w:id="428"/>
    </w:p>
    <w:p w14:paraId="006EF5AF">
      <w:pPr>
        <w:spacing w:line="360" w:lineRule="auto"/>
        <w:ind w:firstLine="420" w:firstLineChars="200"/>
        <w:rPr>
          <w:rFonts w:ascii="宋体" w:hAnsi="宋体" w:eastAsia="宋体" w:cs="Times New Roman"/>
          <w:szCs w:val="22"/>
        </w:rPr>
      </w:pPr>
      <w:r>
        <w:rPr>
          <w:rFonts w:ascii="宋体" w:hAnsi="宋体" w:eastAsia="宋体" w:cs="Times New Roman"/>
          <w:szCs w:val="22"/>
        </w:rPr>
        <w:t>1.伯特兰·罗素：《西方哲学史》，何兆武等译，商务印书馆，2020.</w:t>
      </w:r>
    </w:p>
    <w:p w14:paraId="29BAD10E">
      <w:pPr>
        <w:spacing w:line="360" w:lineRule="auto"/>
        <w:ind w:firstLine="420" w:firstLineChars="200"/>
        <w:rPr>
          <w:rFonts w:ascii="宋体" w:hAnsi="宋体" w:eastAsia="宋体" w:cs="Times New Roman"/>
          <w:szCs w:val="22"/>
        </w:rPr>
      </w:pPr>
      <w:r>
        <w:rPr>
          <w:rFonts w:ascii="宋体" w:hAnsi="宋体" w:eastAsia="宋体" w:cs="Times New Roman"/>
          <w:szCs w:val="22"/>
        </w:rPr>
        <w:t>2.柏拉图：《理想国》，郭斌和、张竹明译，商务印书馆，</w:t>
      </w:r>
    </w:p>
    <w:p w14:paraId="6A49B5DC">
      <w:pPr>
        <w:spacing w:line="360" w:lineRule="auto"/>
        <w:ind w:firstLine="420" w:firstLineChars="200"/>
        <w:rPr>
          <w:rFonts w:ascii="宋体" w:hAnsi="宋体" w:eastAsia="宋体" w:cs="Times New Roman"/>
          <w:szCs w:val="22"/>
        </w:rPr>
      </w:pPr>
      <w:r>
        <w:rPr>
          <w:rFonts w:ascii="宋体" w:hAnsi="宋体" w:eastAsia="宋体" w:cs="Times New Roman"/>
          <w:szCs w:val="22"/>
        </w:rPr>
        <w:t>3.伯特兰·罗素：《教育和美好的生活》，张鑫毅译，上海人民出版社，2020.</w:t>
      </w:r>
    </w:p>
    <w:p w14:paraId="73425035">
      <w:pPr>
        <w:spacing w:line="360" w:lineRule="auto"/>
        <w:ind w:firstLine="420" w:firstLineChars="200"/>
        <w:rPr>
          <w:rFonts w:ascii="宋体" w:hAnsi="宋体" w:eastAsia="宋体" w:cs="Times New Roman"/>
          <w:szCs w:val="22"/>
        </w:rPr>
      </w:pPr>
      <w:r>
        <w:rPr>
          <w:rFonts w:ascii="宋体" w:hAnsi="宋体" w:eastAsia="宋体" w:cs="Times New Roman"/>
          <w:szCs w:val="22"/>
        </w:rPr>
        <w:t>4.杜威：《民主主义与教育》，人民教育出版社，2001.</w:t>
      </w:r>
    </w:p>
    <w:p w14:paraId="442ED506">
      <w:pPr>
        <w:spacing w:line="360" w:lineRule="auto"/>
        <w:ind w:firstLine="420" w:firstLineChars="200"/>
        <w:rPr>
          <w:rFonts w:ascii="宋体" w:hAnsi="宋体" w:eastAsia="宋体" w:cs="Times New Roman"/>
          <w:szCs w:val="22"/>
        </w:rPr>
      </w:pPr>
      <w:r>
        <w:rPr>
          <w:rFonts w:ascii="宋体" w:hAnsi="宋体" w:eastAsia="宋体" w:cs="Times New Roman"/>
          <w:szCs w:val="22"/>
        </w:rPr>
        <w:t>5.拉尔夫·泰勒：《课程与教学的基本原理》，施良方译，人民教育出版社，1994.</w:t>
      </w:r>
    </w:p>
    <w:p w14:paraId="193B36C7">
      <w:pPr>
        <w:spacing w:line="360" w:lineRule="auto"/>
        <w:ind w:firstLine="420" w:firstLineChars="200"/>
        <w:rPr>
          <w:rFonts w:ascii="宋体" w:hAnsi="宋体" w:eastAsia="宋体" w:cs="Times New Roman"/>
          <w:szCs w:val="22"/>
        </w:rPr>
      </w:pPr>
      <w:r>
        <w:rPr>
          <w:rFonts w:ascii="宋体" w:hAnsi="宋体" w:eastAsia="宋体" w:cs="Times New Roman"/>
          <w:szCs w:val="22"/>
        </w:rPr>
        <w:t>6.李弘祺，《学以为己：传统中国的教育》（上下册），华东大学出版社，2017.</w:t>
      </w:r>
    </w:p>
    <w:p w14:paraId="676D41C2">
      <w:pPr>
        <w:spacing w:line="360" w:lineRule="auto"/>
        <w:ind w:firstLine="420" w:firstLineChars="200"/>
        <w:rPr>
          <w:rFonts w:ascii="宋体" w:hAnsi="宋体" w:eastAsia="宋体" w:cs="Times New Roman"/>
          <w:szCs w:val="22"/>
        </w:rPr>
      </w:pPr>
      <w:r>
        <w:rPr>
          <w:rFonts w:ascii="宋体" w:hAnsi="宋体" w:eastAsia="宋体" w:cs="Times New Roman"/>
          <w:szCs w:val="22"/>
        </w:rPr>
        <w:t>7.杨伯峻：《论语译注》，中华书局，2017.</w:t>
      </w:r>
    </w:p>
    <w:p w14:paraId="2442AAF8">
      <w:pPr>
        <w:spacing w:line="360" w:lineRule="auto"/>
        <w:ind w:firstLine="420" w:firstLineChars="200"/>
        <w:rPr>
          <w:rFonts w:ascii="宋体" w:hAnsi="宋体" w:eastAsia="宋体" w:cs="Times New Roman"/>
          <w:szCs w:val="22"/>
        </w:rPr>
      </w:pPr>
      <w:r>
        <w:rPr>
          <w:rFonts w:ascii="宋体" w:hAnsi="宋体" w:eastAsia="宋体" w:cs="Times New Roman"/>
          <w:szCs w:val="22"/>
        </w:rPr>
        <w:t>8.陶行知：《陶行知文集》，江苏教育出版社，2008.</w:t>
      </w:r>
    </w:p>
    <w:p w14:paraId="4D5C849D">
      <w:pPr>
        <w:rPr>
          <w:rFonts w:ascii="等线" w:hAnsi="等线" w:eastAsia="等线" w:cs="Times New Roman"/>
          <w:szCs w:val="22"/>
        </w:rPr>
      </w:pPr>
    </w:p>
    <w:p w14:paraId="4819A734">
      <w:pPr>
        <w:spacing w:line="360" w:lineRule="auto"/>
        <w:ind w:right="132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周 晗</w:t>
      </w:r>
    </w:p>
    <w:p w14:paraId="738569E9">
      <w:pPr>
        <w:wordWrap w:val="0"/>
        <w:spacing w:line="360" w:lineRule="auto"/>
        <w:ind w:right="132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王 健</w:t>
      </w:r>
    </w:p>
    <w:p w14:paraId="747B82E1">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38EA1A01">
      <w:pPr>
        <w:spacing w:line="360" w:lineRule="auto"/>
        <w:ind w:right="12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32EC4659">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3333808D">
      <w:pPr>
        <w:pStyle w:val="2"/>
        <w:bidi w:val="0"/>
        <w:rPr>
          <w:rFonts w:hint="eastAsia"/>
          <w:lang w:eastAsia="zh-CN"/>
        </w:rPr>
      </w:pPr>
      <w:bookmarkStart w:id="429" w:name="_Toc13290"/>
      <w:r>
        <w:rPr>
          <w:rFonts w:hint="eastAsia"/>
        </w:rPr>
        <w:t>《国家安全教育》</w:t>
      </w:r>
      <w:r>
        <w:rPr>
          <w:rFonts w:hint="eastAsia"/>
          <w:lang w:eastAsia="zh-CN"/>
        </w:rPr>
        <w:t>课程教学大纲</w:t>
      </w:r>
      <w:bookmarkEnd w:id="429"/>
    </w:p>
    <w:p w14:paraId="46F22A94">
      <w:pPr>
        <w:pStyle w:val="2"/>
        <w:bidi w:val="0"/>
        <w:rPr>
          <w:rFonts w:hint="eastAsia"/>
          <w:lang w:eastAsia="zh-CN"/>
        </w:rPr>
      </w:pPr>
      <w:bookmarkStart w:id="430" w:name="_Toc2958"/>
      <w:r>
        <w:rPr>
          <w:rFonts w:hint="eastAsia"/>
          <w:lang w:val="en-US" w:eastAsia="zh-CN"/>
        </w:rPr>
        <w:t>(</w:t>
      </w:r>
      <w:r>
        <w:rPr>
          <w:rFonts w:hint="default"/>
        </w:rPr>
        <w:t>National Security Education Curriculum Syllabus</w:t>
      </w:r>
      <w:r>
        <w:rPr>
          <w:rFonts w:hint="eastAsia"/>
          <w:lang w:eastAsia="zh-CN"/>
        </w:rPr>
        <w:t>）</w:t>
      </w:r>
      <w:bookmarkEnd w:id="430"/>
    </w:p>
    <w:p w14:paraId="3B4B4431">
      <w:pPr>
        <w:pStyle w:val="2"/>
        <w:bidi w:val="0"/>
        <w:rPr>
          <w:rFonts w:hint="eastAsia"/>
          <w:lang w:eastAsia="zh-CN"/>
        </w:rPr>
      </w:pPr>
    </w:p>
    <w:p w14:paraId="54C467B9">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国家安全教育</w:t>
      </w:r>
    </w:p>
    <w:p w14:paraId="1974A65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sz w:val="24"/>
          <w:szCs w:val="24"/>
          <w:lang w:val="en-US" w:eastAsia="zh-CN"/>
        </w:rPr>
        <w:t>0000046</w:t>
      </w:r>
    </w:p>
    <w:p w14:paraId="5C6E7DBF">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1</w:t>
      </w:r>
    </w:p>
    <w:p w14:paraId="76F66AFA">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16</w:t>
      </w:r>
    </w:p>
    <w:p w14:paraId="33661DE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先修课程：无</w:t>
      </w:r>
    </w:p>
    <w:p w14:paraId="029B414D">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117A77CD">
      <w:pPr>
        <w:spacing w:line="360" w:lineRule="auto"/>
        <w:ind w:firstLine="482" w:firstLineChars="200"/>
        <w:jc w:val="left"/>
        <w:rPr>
          <w:rFonts w:hint="eastAsia" w:ascii="Times New Roman" w:hAnsi="Times New Roman" w:eastAsia="宋体" w:cs="Times New Roman"/>
          <w:b/>
          <w:sz w:val="24"/>
          <w:szCs w:val="24"/>
        </w:rPr>
      </w:pPr>
    </w:p>
    <w:p w14:paraId="6D3BB0CB">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46F6755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本课程是小学教育专业的通识必修课</w:t>
      </w:r>
      <w:r>
        <w:rPr>
          <w:rFonts w:hint="eastAsia" w:ascii="Times New Roman" w:hAnsi="Times New Roman" w:cs="Times New Roman"/>
          <w:szCs w:val="21"/>
          <w:lang w:eastAsia="zh-CN"/>
        </w:rPr>
        <w:t>，</w:t>
      </w:r>
      <w:r>
        <w:rPr>
          <w:rFonts w:hint="eastAsia" w:ascii="Times New Roman" w:hAnsi="Times New Roman" w:eastAsia="宋体" w:cs="Times New Roman"/>
          <w:szCs w:val="21"/>
        </w:rPr>
        <w:t>隶属于高校思想政治教育体系。其宗旨在于培育学生的爱国情感和社会责任感。通过本课程的学习，学生将深入了解国家安全的基础知识、相关法律法规及政策导向；提升对国家安全重要性的认识，并在此基础上培养起强烈的责任感；学习识别和应对国家安全风险的基本技能；引导学生自觉遵守国家安全相关法律，积极履行公民义务；同时，本课程强调理论与实践相结合，注重提升学生的实际应用能力，以全面提高学生的综合素质。</w:t>
      </w:r>
    </w:p>
    <w:p w14:paraId="78F2EF5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559C6356">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3F13178">
      <w:pPr>
        <w:widowControl w:val="0"/>
        <w:spacing w:line="360" w:lineRule="auto"/>
        <w:ind w:firstLine="422" w:firstLineChars="200"/>
        <w:jc w:val="left"/>
        <w:rPr>
          <w:rFonts w:hint="eastAsia" w:ascii="Times New Roman" w:hAnsi="Times New Roman" w:cs="Times New Roman"/>
          <w:b w:val="0"/>
          <w:bCs/>
          <w:szCs w:val="21"/>
          <w:lang w:eastAsia="zh-CN"/>
        </w:rPr>
      </w:pPr>
      <w:r>
        <w:rPr>
          <w:rFonts w:hint="eastAsia" w:ascii="Times New Roman" w:hAnsi="Times New Roman" w:eastAsia="宋体" w:cs="Times New Roman"/>
          <w:b/>
          <w:szCs w:val="21"/>
          <w:lang w:val="en-US" w:eastAsia="zh-CN"/>
        </w:rPr>
        <w:t>目标</w:t>
      </w:r>
      <w:r>
        <w:rPr>
          <w:rFonts w:hint="eastAsia" w:ascii="Times New Roman" w:hAnsi="Times New Roman" w:eastAsia="宋体" w:cs="Times New Roman"/>
          <w:b/>
          <w:szCs w:val="21"/>
          <w:lang w:eastAsia="zh-CN"/>
        </w:rPr>
        <w:t>１．</w:t>
      </w:r>
      <w:r>
        <w:rPr>
          <w:rFonts w:ascii="Times New Roman" w:hAnsi="Times New Roman" w:eastAsia="宋体" w:cs="Times New Roman"/>
          <w:b w:val="0"/>
          <w:bCs/>
          <w:kern w:val="2"/>
          <w:sz w:val="21"/>
          <w:szCs w:val="21"/>
          <w:lang w:bidi="ar-SA"/>
        </w:rPr>
        <w:t>知识目标：掌握国家安全的基本概念、内涵及外延，熟悉国家安全的法律法规和政策。能力目标：培养识别和应对国家安全风险的能力，提升维护国家安全的实践能力。素质目标：树立国家安全意识，强化爱国主义精神和社会责任感。</w:t>
      </w:r>
    </w:p>
    <w:p w14:paraId="691F00DE">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5323"/>
        <w:gridCol w:w="1191"/>
      </w:tblGrid>
      <w:tr w14:paraId="5E30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noWrap w:val="0"/>
            <w:vAlign w:val="center"/>
          </w:tcPr>
          <w:p w14:paraId="0DB3579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23" w:type="dxa"/>
            <w:noWrap w:val="0"/>
            <w:vAlign w:val="center"/>
          </w:tcPr>
          <w:p w14:paraId="73A2CF1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noWrap w:val="0"/>
            <w:vAlign w:val="center"/>
          </w:tcPr>
          <w:p w14:paraId="066A47C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334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3" w:type="dxa"/>
            <w:noWrap w:val="0"/>
            <w:vAlign w:val="center"/>
          </w:tcPr>
          <w:p w14:paraId="28F2FF7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323" w:type="dxa"/>
            <w:noWrap w:val="0"/>
            <w:vAlign w:val="center"/>
          </w:tcPr>
          <w:p w14:paraId="67A1068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宋体" w:hAnsi="Times New Roman" w:eastAsia="宋体" w:cs="宋体"/>
                <w:color w:val="000000"/>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noWrap w:val="0"/>
            <w:vAlign w:val="center"/>
          </w:tcPr>
          <w:p w14:paraId="42E8936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bl>
    <w:p w14:paraId="0ED616E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2930"/>
        <w:gridCol w:w="713"/>
        <w:gridCol w:w="2355"/>
        <w:gridCol w:w="1215"/>
        <w:gridCol w:w="539"/>
      </w:tblGrid>
      <w:tr w14:paraId="381A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333782F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6F500E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930" w:type="dxa"/>
            <w:noWrap w:val="0"/>
            <w:vAlign w:val="center"/>
          </w:tcPr>
          <w:p w14:paraId="0A50944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713" w:type="dxa"/>
            <w:noWrap w:val="0"/>
            <w:vAlign w:val="center"/>
          </w:tcPr>
          <w:p w14:paraId="093EF7C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18824C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355" w:type="dxa"/>
            <w:noWrap w:val="0"/>
            <w:vAlign w:val="center"/>
          </w:tcPr>
          <w:p w14:paraId="2F0C5DE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15" w:type="dxa"/>
            <w:noWrap w:val="0"/>
            <w:vAlign w:val="center"/>
          </w:tcPr>
          <w:p w14:paraId="55C1702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539" w:type="dxa"/>
            <w:noWrap w:val="0"/>
            <w:vAlign w:val="center"/>
          </w:tcPr>
          <w:p w14:paraId="06851F4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7BC4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3E03923A">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国家安全教育的意义</w:t>
            </w:r>
          </w:p>
        </w:tc>
        <w:tc>
          <w:tcPr>
            <w:tcW w:w="2930" w:type="dxa"/>
            <w:noWrap w:val="0"/>
            <w:vAlign w:val="center"/>
          </w:tcPr>
          <w:p w14:paraId="62FFD39A">
            <w:pPr>
              <w:keepNext w:val="0"/>
              <w:keepLines w:val="0"/>
              <w:pageBreakBefore w:val="0"/>
              <w:widowControl w:val="0"/>
              <w:numPr>
                <w:ilvl w:val="0"/>
                <w:numId w:val="22"/>
              </w:numPr>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我国国家安全形势</w:t>
            </w:r>
          </w:p>
          <w:p w14:paraId="7592DD4F">
            <w:pPr>
              <w:keepNext w:val="0"/>
              <w:keepLines w:val="0"/>
              <w:pageBreakBefore w:val="0"/>
              <w:widowControl w:val="0"/>
              <w:numPr>
                <w:ilvl w:val="0"/>
                <w:numId w:val="22"/>
              </w:numPr>
              <w:kinsoku/>
              <w:wordWrap/>
              <w:overflowPunct/>
              <w:topLinePunct w:val="0"/>
              <w:autoSpaceDE/>
              <w:autoSpaceDN/>
              <w:bidi w:val="0"/>
              <w:adjustRightInd/>
              <w:snapToGrid/>
              <w:spacing w:line="22" w:lineRule="atLeast"/>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对大学生开展国家安全教育的意义</w:t>
            </w:r>
          </w:p>
          <w:p w14:paraId="296D41DC">
            <w:pPr>
              <w:keepNext w:val="0"/>
              <w:keepLines w:val="0"/>
              <w:pageBreakBefore w:val="0"/>
              <w:widowControl w:val="0"/>
              <w:numPr>
                <w:ilvl w:val="0"/>
                <w:numId w:val="22"/>
              </w:numPr>
              <w:kinsoku/>
              <w:wordWrap/>
              <w:overflowPunct/>
              <w:topLinePunct w:val="0"/>
              <w:autoSpaceDE/>
              <w:autoSpaceDN/>
              <w:bidi w:val="0"/>
              <w:adjustRightInd/>
              <w:snapToGrid/>
              <w:spacing w:line="22" w:lineRule="atLeast"/>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学习总体国家安全观的主要要求和基本方法</w:t>
            </w:r>
          </w:p>
        </w:tc>
        <w:tc>
          <w:tcPr>
            <w:tcW w:w="713" w:type="dxa"/>
            <w:noWrap w:val="0"/>
            <w:vAlign w:val="center"/>
          </w:tcPr>
          <w:p w14:paraId="2A61305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center"/>
          </w:tcPr>
          <w:p w14:paraId="2BA92F61">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eastAsia="宋体" w:cs="Times New Roman"/>
                <w:color w:val="000000"/>
                <w:szCs w:val="21"/>
              </w:rPr>
              <w:t>形成“国家安全人人有责”的自觉意识，主动抵制危害国家安全的行为</w:t>
            </w:r>
            <w:r>
              <w:rPr>
                <w:rFonts w:ascii="Arial" w:hAnsi="Arial" w:eastAsia="Arial" w:cs="Arial"/>
                <w:i w:val="0"/>
                <w:iCs w:val="0"/>
                <w:caps w:val="0"/>
                <w:color w:val="333333"/>
                <w:spacing w:val="0"/>
                <w:sz w:val="12"/>
                <w:szCs w:val="12"/>
                <w:shd w:val="clear" w:color="auto" w:fill="FFFFFF"/>
              </w:rPr>
              <w:t>‌</w:t>
            </w:r>
          </w:p>
        </w:tc>
        <w:tc>
          <w:tcPr>
            <w:tcW w:w="1215" w:type="dxa"/>
            <w:noWrap w:val="0"/>
            <w:vAlign w:val="center"/>
          </w:tcPr>
          <w:p w14:paraId="2733977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6FE2D2C">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224912DF">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539" w:type="dxa"/>
            <w:noWrap w:val="0"/>
            <w:vAlign w:val="center"/>
          </w:tcPr>
          <w:p w14:paraId="16D34C62">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4FB3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1D68C44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2.</w:t>
            </w:r>
            <w:r>
              <w:rPr>
                <w:rFonts w:hint="eastAsia"/>
                <w:sz w:val="21"/>
                <w:szCs w:val="21"/>
                <w:vertAlign w:val="baseline"/>
                <w:lang w:eastAsia="zh-CN"/>
              </w:rPr>
              <w:t>完整准确领会总体国家安全观</w:t>
            </w:r>
          </w:p>
        </w:tc>
        <w:tc>
          <w:tcPr>
            <w:tcW w:w="2930" w:type="dxa"/>
            <w:noWrap w:val="0"/>
            <w:vAlign w:val="center"/>
          </w:tcPr>
          <w:p w14:paraId="50C10790">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总体国家安全观的创立</w:t>
            </w:r>
          </w:p>
          <w:p w14:paraId="1F5DE856">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lang w:val="en-US" w:eastAsia="zh-CN"/>
              </w:rPr>
              <w:t>科学内涵</w:t>
            </w:r>
          </w:p>
          <w:p w14:paraId="02E85E5D">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lang w:val="en-US" w:eastAsia="zh-CN"/>
              </w:rPr>
              <w:t>重点领域和基本特征</w:t>
            </w:r>
          </w:p>
        </w:tc>
        <w:tc>
          <w:tcPr>
            <w:tcW w:w="713" w:type="dxa"/>
            <w:noWrap w:val="0"/>
            <w:vAlign w:val="center"/>
          </w:tcPr>
          <w:p w14:paraId="23F1BCA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0B883015">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深刻理解国家安全与民族复兴的紧密关联，强化维护国家主权、安全、发展利益的政治自觉‌。掌握国家安全核心领域与法律法规（如《国家安全法》），构建系统化的安全认知框架。</w:t>
            </w:r>
            <w:r>
              <w:rPr>
                <w:rFonts w:ascii="Arial" w:hAnsi="Arial" w:eastAsia="Arial" w:cs="Arial"/>
                <w:i w:val="0"/>
                <w:iCs w:val="0"/>
                <w:caps w:val="0"/>
                <w:color w:val="333333"/>
                <w:spacing w:val="0"/>
                <w:sz w:val="12"/>
                <w:szCs w:val="12"/>
                <w:shd w:val="clear" w:color="auto" w:fill="FFFFFF"/>
              </w:rPr>
              <w:t>‌</w:t>
            </w:r>
          </w:p>
        </w:tc>
        <w:tc>
          <w:tcPr>
            <w:tcW w:w="1215" w:type="dxa"/>
            <w:noWrap w:val="0"/>
            <w:vAlign w:val="top"/>
          </w:tcPr>
          <w:p w14:paraId="24671EF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EAB09CB">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7CDADA73">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3A0CB6E7">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6B3E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22594A3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vertAlign w:val="baseline"/>
                <w:lang w:val="en-US" w:eastAsia="zh-CN"/>
              </w:rPr>
              <w:t>3.</w:t>
            </w:r>
            <w:r>
              <w:rPr>
                <w:rFonts w:hint="eastAsia"/>
                <w:sz w:val="21"/>
                <w:szCs w:val="21"/>
                <w:vertAlign w:val="baseline"/>
                <w:lang w:eastAsia="zh-CN"/>
              </w:rPr>
              <w:t>在党的领导下走好中国特色国家安全道路</w:t>
            </w:r>
          </w:p>
        </w:tc>
        <w:tc>
          <w:tcPr>
            <w:tcW w:w="2930" w:type="dxa"/>
            <w:noWrap w:val="0"/>
            <w:vAlign w:val="center"/>
          </w:tcPr>
          <w:p w14:paraId="74AEBD2B">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（1）坚持党对国家安全工作的绝对领导</w:t>
            </w:r>
          </w:p>
          <w:p w14:paraId="7F44CEF1">
            <w:pPr>
              <w:keepNext w:val="0"/>
              <w:keepLines w:val="0"/>
              <w:pageBreakBefore w:val="0"/>
              <w:widowControl w:val="0"/>
              <w:numPr>
                <w:ilvl w:val="0"/>
                <w:numId w:val="0"/>
              </w:numPr>
              <w:kinsoku/>
              <w:wordWrap/>
              <w:overflowPunct/>
              <w:topLinePunct w:val="0"/>
              <w:autoSpaceDE/>
              <w:autoSpaceDN/>
              <w:bidi w:val="0"/>
              <w:adjustRightInd/>
              <w:snapToGrid/>
              <w:spacing w:line="22"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cs="Times New Roman"/>
                <w:color w:val="000000"/>
                <w:szCs w:val="21"/>
                <w:lang w:val="en-US" w:eastAsia="zh-CN"/>
              </w:rPr>
              <w:t>（2）坚持走好中国特色国家安全道路的科学内涵和实践要求</w:t>
            </w:r>
          </w:p>
        </w:tc>
        <w:tc>
          <w:tcPr>
            <w:tcW w:w="713" w:type="dxa"/>
            <w:noWrap w:val="0"/>
            <w:vAlign w:val="center"/>
          </w:tcPr>
          <w:p w14:paraId="10F0DE2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2E68D802">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default" w:ascii="宋体" w:hAnsi="宋体" w:eastAsia="宋体" w:cs="Times New Roman"/>
                <w:color w:val="000000"/>
                <w:sz w:val="21"/>
                <w:szCs w:val="21"/>
                <w:lang w:val="en-US" w:eastAsia="zh-CN"/>
              </w:rPr>
            </w:pPr>
            <w:r>
              <w:rPr>
                <w:rFonts w:hint="eastAsia" w:ascii="宋体" w:hAnsi="宋体" w:cs="Times New Roman"/>
                <w:color w:val="000000"/>
                <w:sz w:val="21"/>
                <w:szCs w:val="21"/>
                <w:lang w:val="en-US" w:eastAsia="zh-CN"/>
              </w:rPr>
              <w:t>能够深刻理解</w:t>
            </w:r>
            <w:r>
              <w:rPr>
                <w:rFonts w:hint="eastAsia" w:ascii="宋体" w:hAnsi="宋体" w:cs="Times New Roman"/>
                <w:color w:val="000000"/>
                <w:szCs w:val="21"/>
                <w:lang w:val="en-US" w:eastAsia="zh-CN"/>
              </w:rPr>
              <w:t>坚持走好中国特色国家安全道路的科学内涵和实践要求。</w:t>
            </w:r>
          </w:p>
        </w:tc>
        <w:tc>
          <w:tcPr>
            <w:tcW w:w="1215" w:type="dxa"/>
            <w:noWrap w:val="0"/>
            <w:vAlign w:val="top"/>
          </w:tcPr>
          <w:p w14:paraId="1B76FCD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8C31548">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05A4BC68">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570E048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3536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612ED540">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4.</w:t>
            </w:r>
            <w:r>
              <w:rPr>
                <w:rFonts w:hint="eastAsia"/>
                <w:sz w:val="21"/>
                <w:szCs w:val="21"/>
                <w:vertAlign w:val="baseline"/>
                <w:lang w:eastAsia="zh-CN"/>
              </w:rPr>
              <w:t>更好统筹发展和安全</w:t>
            </w:r>
          </w:p>
        </w:tc>
        <w:tc>
          <w:tcPr>
            <w:tcW w:w="2930" w:type="dxa"/>
            <w:noWrap w:val="0"/>
            <w:vAlign w:val="center"/>
          </w:tcPr>
          <w:p w14:paraId="7FA9270A">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w:t>
            </w:r>
            <w:r>
              <w:rPr>
                <w:rFonts w:hint="eastAsia"/>
                <w:sz w:val="21"/>
                <w:szCs w:val="21"/>
                <w:vertAlign w:val="baseline"/>
                <w:lang w:val="en-US" w:eastAsia="zh-CN"/>
              </w:rPr>
              <w:t>1</w:t>
            </w:r>
            <w:r>
              <w:rPr>
                <w:rFonts w:hint="eastAsia"/>
                <w:sz w:val="21"/>
                <w:szCs w:val="21"/>
                <w:vertAlign w:val="baseline"/>
                <w:lang w:eastAsia="zh-CN"/>
              </w:rPr>
              <w:t>）</w:t>
            </w:r>
            <w:r>
              <w:rPr>
                <w:rFonts w:hint="eastAsia"/>
                <w:sz w:val="21"/>
                <w:szCs w:val="21"/>
                <w:vertAlign w:val="baseline"/>
                <w:lang w:val="en-US" w:eastAsia="zh-CN"/>
              </w:rPr>
              <w:t>统筹</w:t>
            </w:r>
            <w:r>
              <w:rPr>
                <w:rFonts w:hint="eastAsia"/>
                <w:sz w:val="21"/>
                <w:szCs w:val="21"/>
                <w:vertAlign w:val="baseline"/>
                <w:lang w:eastAsia="zh-CN"/>
              </w:rPr>
              <w:t>发展和安全</w:t>
            </w:r>
            <w:r>
              <w:rPr>
                <w:rFonts w:hint="eastAsia"/>
                <w:sz w:val="21"/>
                <w:szCs w:val="21"/>
                <w:vertAlign w:val="baseline"/>
                <w:lang w:val="en-US" w:eastAsia="zh-CN"/>
              </w:rPr>
              <w:t>的重大意义</w:t>
            </w:r>
          </w:p>
          <w:p w14:paraId="62E48791">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（2）科学内涵</w:t>
            </w:r>
          </w:p>
        </w:tc>
        <w:tc>
          <w:tcPr>
            <w:tcW w:w="713" w:type="dxa"/>
            <w:noWrap w:val="0"/>
            <w:vAlign w:val="center"/>
          </w:tcPr>
          <w:p w14:paraId="06A5D68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5FA1E796">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 w:val="21"/>
                <w:szCs w:val="21"/>
                <w:lang w:val="en-US" w:eastAsia="zh-CN"/>
              </w:rPr>
              <w:t>能够深刻理解</w:t>
            </w:r>
            <w:r>
              <w:rPr>
                <w:rFonts w:hint="eastAsia" w:ascii="宋体" w:hAnsi="宋体" w:cs="Times New Roman"/>
                <w:color w:val="000000"/>
                <w:szCs w:val="21"/>
                <w:lang w:val="en-US" w:eastAsia="zh-CN"/>
              </w:rPr>
              <w:t>统筹和发展的科学内涵和实践要求。</w:t>
            </w:r>
          </w:p>
        </w:tc>
        <w:tc>
          <w:tcPr>
            <w:tcW w:w="1215" w:type="dxa"/>
            <w:noWrap w:val="0"/>
            <w:vAlign w:val="top"/>
          </w:tcPr>
          <w:p w14:paraId="3354D67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BDF885F">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17D53341">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68ACF047">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1025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1888D34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5.</w:t>
            </w:r>
            <w:r>
              <w:rPr>
                <w:rFonts w:hint="eastAsia"/>
                <w:sz w:val="21"/>
                <w:szCs w:val="21"/>
                <w:vertAlign w:val="baseline"/>
                <w:lang w:eastAsia="zh-CN"/>
              </w:rPr>
              <w:t>坚持以人民安全为宗旨</w:t>
            </w:r>
          </w:p>
        </w:tc>
        <w:tc>
          <w:tcPr>
            <w:tcW w:w="2930" w:type="dxa"/>
            <w:noWrap w:val="0"/>
            <w:vAlign w:val="center"/>
          </w:tcPr>
          <w:p w14:paraId="5994B9A6">
            <w:pPr>
              <w:keepNext w:val="0"/>
              <w:keepLines w:val="0"/>
              <w:pageBreakBefore w:val="0"/>
              <w:widowControl w:val="0"/>
              <w:numPr>
                <w:ilvl w:val="0"/>
                <w:numId w:val="23"/>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坚持以人民安全为宗旨的科学内涵</w:t>
            </w:r>
          </w:p>
          <w:p w14:paraId="58E80076">
            <w:pPr>
              <w:keepNext w:val="0"/>
              <w:keepLines w:val="0"/>
              <w:pageBreakBefore w:val="0"/>
              <w:widowControl w:val="0"/>
              <w:numPr>
                <w:ilvl w:val="0"/>
                <w:numId w:val="23"/>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新时代人民安全面临的风险挑战</w:t>
            </w:r>
          </w:p>
          <w:p w14:paraId="7DA3A5E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（3）新时代维护人民安全的途径和方法</w:t>
            </w:r>
          </w:p>
        </w:tc>
        <w:tc>
          <w:tcPr>
            <w:tcW w:w="713" w:type="dxa"/>
            <w:noWrap w:val="0"/>
            <w:vAlign w:val="center"/>
          </w:tcPr>
          <w:p w14:paraId="4D754846">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79F438DA">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 w:val="21"/>
                <w:szCs w:val="21"/>
                <w:lang w:val="en-US" w:eastAsia="zh-CN"/>
              </w:rPr>
              <w:t>系统掌握“以人民安全为宗旨”的内涵与外延，理解其在总体国家安全观中的核心地位。</w:t>
            </w:r>
            <w:r>
              <w:rPr>
                <w:rFonts w:ascii="Arial" w:hAnsi="Arial" w:eastAsia="Arial" w:cs="Arial"/>
                <w:i w:val="0"/>
                <w:iCs w:val="0"/>
                <w:caps w:val="0"/>
                <w:color w:val="333333"/>
                <w:spacing w:val="0"/>
                <w:sz w:val="12"/>
                <w:szCs w:val="12"/>
                <w:shd w:val="clear" w:color="auto" w:fill="FFFFFF"/>
              </w:rPr>
              <w:t>‌</w:t>
            </w:r>
          </w:p>
        </w:tc>
        <w:tc>
          <w:tcPr>
            <w:tcW w:w="1215" w:type="dxa"/>
            <w:noWrap w:val="0"/>
            <w:vAlign w:val="top"/>
          </w:tcPr>
          <w:p w14:paraId="188D24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5787819">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7ACF134E">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2D50859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2B75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3AF0E726">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6.</w:t>
            </w:r>
            <w:r>
              <w:rPr>
                <w:rFonts w:hint="eastAsia"/>
                <w:sz w:val="21"/>
                <w:szCs w:val="21"/>
                <w:vertAlign w:val="baseline"/>
                <w:lang w:eastAsia="zh-CN"/>
              </w:rPr>
              <w:t>坚持以政治安全为根本</w:t>
            </w:r>
          </w:p>
        </w:tc>
        <w:tc>
          <w:tcPr>
            <w:tcW w:w="2930" w:type="dxa"/>
            <w:noWrap w:val="0"/>
            <w:vAlign w:val="center"/>
          </w:tcPr>
          <w:p w14:paraId="7741C6E0">
            <w:pPr>
              <w:keepNext w:val="0"/>
              <w:keepLines w:val="0"/>
              <w:pageBreakBefore w:val="0"/>
              <w:widowControl w:val="0"/>
              <w:numPr>
                <w:ilvl w:val="0"/>
                <w:numId w:val="24"/>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坚持以政治安全为根本的科学内涵</w:t>
            </w:r>
          </w:p>
          <w:p w14:paraId="0B83688D">
            <w:pPr>
              <w:keepNext w:val="0"/>
              <w:keepLines w:val="0"/>
              <w:pageBreakBefore w:val="0"/>
              <w:widowControl w:val="0"/>
              <w:numPr>
                <w:ilvl w:val="0"/>
                <w:numId w:val="24"/>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新时代政治安全面临的风险挑战</w:t>
            </w:r>
          </w:p>
          <w:p w14:paraId="2B8E44C6">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（3）新时代维护政治安全的途径和方法</w:t>
            </w:r>
          </w:p>
        </w:tc>
        <w:tc>
          <w:tcPr>
            <w:tcW w:w="713" w:type="dxa"/>
            <w:noWrap w:val="0"/>
            <w:vAlign w:val="center"/>
          </w:tcPr>
          <w:p w14:paraId="1D7B02B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3DD2E9A6">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深刻理解政治安全在国家安全体系中的核心地位，增强“两个维护”的政治自觉‌。</w:t>
            </w:r>
          </w:p>
        </w:tc>
        <w:tc>
          <w:tcPr>
            <w:tcW w:w="1215" w:type="dxa"/>
            <w:noWrap w:val="0"/>
            <w:vAlign w:val="top"/>
          </w:tcPr>
          <w:p w14:paraId="280EBC8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9260D63">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0E57291C">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3BE85FB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73AC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274766D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7.</w:t>
            </w:r>
            <w:r>
              <w:rPr>
                <w:rFonts w:hint="eastAsia"/>
                <w:sz w:val="21"/>
                <w:szCs w:val="21"/>
                <w:vertAlign w:val="baseline"/>
                <w:lang w:eastAsia="zh-CN"/>
              </w:rPr>
              <w:t>坚持以经济安全为基础</w:t>
            </w:r>
          </w:p>
        </w:tc>
        <w:tc>
          <w:tcPr>
            <w:tcW w:w="2930" w:type="dxa"/>
            <w:noWrap w:val="0"/>
            <w:vAlign w:val="center"/>
          </w:tcPr>
          <w:p w14:paraId="152B7027">
            <w:pPr>
              <w:keepNext w:val="0"/>
              <w:keepLines w:val="0"/>
              <w:pageBreakBefore w:val="0"/>
              <w:widowControl w:val="0"/>
              <w:numPr>
                <w:ilvl w:val="0"/>
                <w:numId w:val="25"/>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坚持以经济安全为基础的科学内涵</w:t>
            </w:r>
          </w:p>
          <w:p w14:paraId="1D70988E">
            <w:pPr>
              <w:keepNext w:val="0"/>
              <w:keepLines w:val="0"/>
              <w:pageBreakBefore w:val="0"/>
              <w:widowControl w:val="0"/>
              <w:numPr>
                <w:ilvl w:val="0"/>
                <w:numId w:val="25"/>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新时代经济安全面临的风险挑战</w:t>
            </w:r>
          </w:p>
          <w:p w14:paraId="2E6C9B17">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（3）新时代维护经济安全的途径和方法</w:t>
            </w:r>
          </w:p>
        </w:tc>
        <w:tc>
          <w:tcPr>
            <w:tcW w:w="713" w:type="dxa"/>
            <w:noWrap w:val="0"/>
            <w:vAlign w:val="center"/>
          </w:tcPr>
          <w:p w14:paraId="0648A73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3F28AA64">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系统掌握经济安全的内涵及其在总体国家安全观中的基础性作用，理解马克思主义理论与经济安全的关联‌。</w:t>
            </w:r>
          </w:p>
        </w:tc>
        <w:tc>
          <w:tcPr>
            <w:tcW w:w="1215" w:type="dxa"/>
            <w:noWrap w:val="0"/>
            <w:vAlign w:val="top"/>
          </w:tcPr>
          <w:p w14:paraId="76501FC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08C81CA">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72ADEC83">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31CB8AF5">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787F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03657E23">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8.</w:t>
            </w:r>
            <w:r>
              <w:rPr>
                <w:rFonts w:hint="eastAsia"/>
                <w:sz w:val="21"/>
                <w:szCs w:val="21"/>
                <w:vertAlign w:val="baseline"/>
                <w:lang w:eastAsia="zh-CN"/>
              </w:rPr>
              <w:t>坚持以军事、科技、文化、社会安全为保障</w:t>
            </w:r>
          </w:p>
        </w:tc>
        <w:tc>
          <w:tcPr>
            <w:tcW w:w="2930" w:type="dxa"/>
            <w:noWrap w:val="0"/>
            <w:vAlign w:val="center"/>
          </w:tcPr>
          <w:p w14:paraId="3F5290DC">
            <w:pPr>
              <w:keepNext w:val="0"/>
              <w:keepLines w:val="0"/>
              <w:pageBreakBefore w:val="0"/>
              <w:widowControl w:val="0"/>
              <w:numPr>
                <w:ilvl w:val="0"/>
                <w:numId w:val="26"/>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科学内涵</w:t>
            </w:r>
          </w:p>
          <w:p w14:paraId="6A28FFF7">
            <w:pPr>
              <w:keepNext w:val="0"/>
              <w:keepLines w:val="0"/>
              <w:pageBreakBefore w:val="0"/>
              <w:widowControl w:val="0"/>
              <w:numPr>
                <w:ilvl w:val="0"/>
                <w:numId w:val="26"/>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面临的风险挑战</w:t>
            </w:r>
          </w:p>
          <w:p w14:paraId="21725CFA">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eastAsia"/>
                <w:sz w:val="21"/>
                <w:szCs w:val="21"/>
                <w:vertAlign w:val="baseline"/>
                <w:lang w:val="en-US" w:eastAsia="zh-CN"/>
              </w:rPr>
            </w:pPr>
            <w:r>
              <w:rPr>
                <w:rFonts w:hint="eastAsia"/>
                <w:sz w:val="21"/>
                <w:szCs w:val="21"/>
                <w:vertAlign w:val="baseline"/>
                <w:lang w:val="en-US" w:eastAsia="zh-CN"/>
              </w:rPr>
              <w:t>（3）新时代维护相关安全的途径和方法</w:t>
            </w:r>
          </w:p>
        </w:tc>
        <w:tc>
          <w:tcPr>
            <w:tcW w:w="713" w:type="dxa"/>
            <w:noWrap w:val="0"/>
            <w:vAlign w:val="center"/>
          </w:tcPr>
          <w:p w14:paraId="34D7BB67">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095E589F">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掌握军事、科技、文化、社会安全在总体国家安全观中的协同保障作用，理解其与政治、经济安全的联动逻辑‌。</w:t>
            </w:r>
          </w:p>
        </w:tc>
        <w:tc>
          <w:tcPr>
            <w:tcW w:w="1215" w:type="dxa"/>
            <w:noWrap w:val="0"/>
            <w:vAlign w:val="top"/>
          </w:tcPr>
          <w:p w14:paraId="667BED1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0026C181">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7F62A2B1">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3DEDACE3">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5A1F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7E3D73C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9.</w:t>
            </w:r>
            <w:r>
              <w:rPr>
                <w:rFonts w:hint="eastAsia"/>
                <w:sz w:val="21"/>
                <w:szCs w:val="21"/>
                <w:vertAlign w:val="baseline"/>
                <w:lang w:eastAsia="zh-CN"/>
              </w:rPr>
              <w:t>坚持以促进国际安全为依托</w:t>
            </w:r>
          </w:p>
        </w:tc>
        <w:tc>
          <w:tcPr>
            <w:tcW w:w="2930" w:type="dxa"/>
            <w:noWrap w:val="0"/>
            <w:vAlign w:val="center"/>
          </w:tcPr>
          <w:p w14:paraId="67705AD5">
            <w:pPr>
              <w:keepNext w:val="0"/>
              <w:keepLines w:val="0"/>
              <w:pageBreakBefore w:val="0"/>
              <w:widowControl w:val="0"/>
              <w:numPr>
                <w:ilvl w:val="0"/>
                <w:numId w:val="27"/>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坚持以促进国际安全为依托的科学内涵</w:t>
            </w:r>
          </w:p>
          <w:p w14:paraId="6663C51A">
            <w:pPr>
              <w:keepNext w:val="0"/>
              <w:keepLines w:val="0"/>
              <w:pageBreakBefore w:val="0"/>
              <w:widowControl w:val="0"/>
              <w:numPr>
                <w:ilvl w:val="0"/>
                <w:numId w:val="27"/>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新时代国际安全面临的风险挑战</w:t>
            </w:r>
          </w:p>
          <w:p w14:paraId="78649746">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eastAsia"/>
                <w:sz w:val="21"/>
                <w:szCs w:val="21"/>
                <w:vertAlign w:val="baseline"/>
                <w:lang w:val="en-US" w:eastAsia="zh-CN"/>
              </w:rPr>
            </w:pPr>
            <w:r>
              <w:rPr>
                <w:rFonts w:hint="eastAsia"/>
                <w:sz w:val="21"/>
                <w:szCs w:val="21"/>
                <w:vertAlign w:val="baseline"/>
                <w:lang w:val="en-US" w:eastAsia="zh-CN"/>
              </w:rPr>
              <w:t>（3）新时代维护国际安全的途径和方法</w:t>
            </w:r>
          </w:p>
        </w:tc>
        <w:tc>
          <w:tcPr>
            <w:tcW w:w="713" w:type="dxa"/>
            <w:noWrap w:val="0"/>
            <w:vAlign w:val="center"/>
          </w:tcPr>
          <w:p w14:paraId="02A12CAF">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77C6F48A">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 w:val="21"/>
                <w:szCs w:val="21"/>
                <w:lang w:val="en-US" w:eastAsia="zh-CN"/>
              </w:rPr>
            </w:pPr>
            <w:r>
              <w:rPr>
                <w:rFonts w:hint="default" w:ascii="宋体" w:hAnsi="宋体" w:cs="Times New Roman"/>
                <w:color w:val="000000"/>
                <w:sz w:val="21"/>
                <w:szCs w:val="21"/>
                <w:lang w:val="en-US" w:eastAsia="zh-CN"/>
              </w:rPr>
              <w:t>能够</w:t>
            </w:r>
            <w:r>
              <w:rPr>
                <w:rFonts w:hint="eastAsia" w:ascii="宋体" w:hAnsi="宋体" w:cs="Times New Roman"/>
                <w:color w:val="000000"/>
                <w:sz w:val="21"/>
                <w:szCs w:val="21"/>
                <w:lang w:val="en-US" w:eastAsia="zh-CN"/>
              </w:rPr>
              <w:t>理解国际安全作为国家安全重要依托的战略意义及其理论内涵，辨识新时代国际安全领域的主要风险与结构性矛盾。</w:t>
            </w:r>
          </w:p>
          <w:p w14:paraId="52A872D9">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p>
        </w:tc>
        <w:tc>
          <w:tcPr>
            <w:tcW w:w="1215" w:type="dxa"/>
            <w:noWrap w:val="0"/>
            <w:vAlign w:val="top"/>
          </w:tcPr>
          <w:p w14:paraId="1264347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64EB24C2">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3BAB118D">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19540F49">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r>
      <w:tr w14:paraId="3A05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45A30A4A">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10.</w:t>
            </w:r>
            <w:r>
              <w:rPr>
                <w:rFonts w:hint="eastAsia"/>
                <w:sz w:val="21"/>
                <w:szCs w:val="21"/>
                <w:vertAlign w:val="baseline"/>
                <w:lang w:eastAsia="zh-CN"/>
              </w:rPr>
              <w:t>筑牢其他各领域国家安全屏障</w:t>
            </w:r>
          </w:p>
        </w:tc>
        <w:tc>
          <w:tcPr>
            <w:tcW w:w="2930" w:type="dxa"/>
            <w:noWrap w:val="0"/>
            <w:vAlign w:val="center"/>
          </w:tcPr>
          <w:p w14:paraId="3BFFE2B4">
            <w:pPr>
              <w:keepNext w:val="0"/>
              <w:keepLines w:val="0"/>
              <w:pageBreakBefore w:val="0"/>
              <w:widowControl w:val="0"/>
              <w:numPr>
                <w:ilvl w:val="0"/>
                <w:numId w:val="28"/>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国土安全屏障</w:t>
            </w:r>
          </w:p>
          <w:p w14:paraId="7030C0E2">
            <w:pPr>
              <w:keepNext w:val="0"/>
              <w:keepLines w:val="0"/>
              <w:pageBreakBefore w:val="0"/>
              <w:widowControl w:val="0"/>
              <w:numPr>
                <w:ilvl w:val="0"/>
                <w:numId w:val="28"/>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生态安全屏障</w:t>
            </w:r>
          </w:p>
          <w:p w14:paraId="652724BC">
            <w:pPr>
              <w:keepNext w:val="0"/>
              <w:keepLines w:val="0"/>
              <w:pageBreakBefore w:val="0"/>
              <w:widowControl w:val="0"/>
              <w:numPr>
                <w:ilvl w:val="0"/>
                <w:numId w:val="28"/>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资源安全屏障</w:t>
            </w:r>
          </w:p>
          <w:p w14:paraId="2ED4B898">
            <w:pPr>
              <w:keepNext w:val="0"/>
              <w:keepLines w:val="0"/>
              <w:pageBreakBefore w:val="0"/>
              <w:widowControl w:val="0"/>
              <w:numPr>
                <w:ilvl w:val="0"/>
                <w:numId w:val="28"/>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eastAsia="zh-CN"/>
              </w:rPr>
              <w:t>筑牢</w:t>
            </w:r>
            <w:r>
              <w:rPr>
                <w:rFonts w:hint="eastAsia"/>
                <w:sz w:val="21"/>
                <w:szCs w:val="21"/>
                <w:vertAlign w:val="baseline"/>
                <w:lang w:val="en-US" w:eastAsia="zh-CN"/>
              </w:rPr>
              <w:t>网络安全屏障</w:t>
            </w:r>
          </w:p>
          <w:p w14:paraId="427B9B30">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default"/>
                <w:sz w:val="21"/>
                <w:szCs w:val="21"/>
                <w:vertAlign w:val="baseline"/>
                <w:lang w:val="en-US" w:eastAsia="zh-CN"/>
              </w:rPr>
            </w:pPr>
            <w:r>
              <w:rPr>
                <w:rFonts w:hint="eastAsia"/>
                <w:sz w:val="21"/>
                <w:szCs w:val="21"/>
                <w:vertAlign w:val="baseline"/>
                <w:lang w:val="en-US" w:eastAsia="zh-CN"/>
              </w:rPr>
              <w:t>（5）</w:t>
            </w:r>
            <w:r>
              <w:rPr>
                <w:rFonts w:hint="eastAsia"/>
                <w:sz w:val="21"/>
                <w:szCs w:val="21"/>
                <w:vertAlign w:val="baseline"/>
                <w:lang w:eastAsia="zh-CN"/>
              </w:rPr>
              <w:t>筑牢</w:t>
            </w:r>
            <w:r>
              <w:rPr>
                <w:rFonts w:hint="eastAsia"/>
                <w:sz w:val="21"/>
                <w:szCs w:val="21"/>
                <w:vertAlign w:val="baseline"/>
                <w:lang w:val="en-US" w:eastAsia="zh-CN"/>
              </w:rPr>
              <w:t>核安全屏障</w:t>
            </w:r>
          </w:p>
        </w:tc>
        <w:tc>
          <w:tcPr>
            <w:tcW w:w="713" w:type="dxa"/>
            <w:noWrap w:val="0"/>
            <w:vAlign w:val="center"/>
          </w:tcPr>
          <w:p w14:paraId="288B5BA4">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1BE3AE54">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default" w:ascii="宋体" w:hAnsi="宋体" w:cs="Times New Roman"/>
                <w:color w:val="000000"/>
                <w:sz w:val="21"/>
                <w:szCs w:val="21"/>
                <w:lang w:val="en-US" w:eastAsia="zh-CN"/>
              </w:rPr>
            </w:pPr>
            <w:r>
              <w:rPr>
                <w:rFonts w:hint="default" w:ascii="宋体" w:hAnsi="宋体" w:cs="Times New Roman"/>
                <w:color w:val="000000"/>
                <w:sz w:val="21"/>
                <w:szCs w:val="21"/>
                <w:lang w:val="en-US" w:eastAsia="zh-CN"/>
              </w:rPr>
              <w:t>能够‌系统理解各领域安全内涵</w:t>
            </w:r>
            <w:r>
              <w:rPr>
                <w:rFonts w:hint="eastAsia" w:ascii="宋体" w:hAnsi="宋体" w:cs="Times New Roman"/>
                <w:color w:val="000000"/>
                <w:sz w:val="21"/>
                <w:szCs w:val="21"/>
                <w:lang w:val="en-US" w:eastAsia="zh-CN"/>
              </w:rPr>
              <w:t>，</w:t>
            </w:r>
            <w:r>
              <w:rPr>
                <w:rFonts w:hint="default" w:ascii="宋体" w:hAnsi="宋体" w:cs="Times New Roman"/>
                <w:color w:val="000000"/>
                <w:sz w:val="21"/>
                <w:szCs w:val="21"/>
                <w:lang w:val="en-US" w:eastAsia="zh-CN"/>
              </w:rPr>
              <w:t>辨识风险与挑战</w:t>
            </w:r>
            <w:r>
              <w:rPr>
                <w:rFonts w:hint="eastAsia" w:ascii="宋体" w:hAnsi="宋体" w:cs="Times New Roman"/>
                <w:color w:val="000000"/>
                <w:sz w:val="21"/>
                <w:szCs w:val="21"/>
                <w:lang w:val="en-US" w:eastAsia="zh-CN"/>
              </w:rPr>
              <w:t>，</w:t>
            </w:r>
            <w:r>
              <w:rPr>
                <w:rFonts w:hint="default" w:ascii="宋体" w:hAnsi="宋体" w:cs="Times New Roman"/>
                <w:color w:val="000000"/>
                <w:sz w:val="21"/>
                <w:szCs w:val="21"/>
                <w:lang w:val="en-US" w:eastAsia="zh-CN"/>
              </w:rPr>
              <w:t>强化责任意识</w:t>
            </w:r>
            <w:r>
              <w:rPr>
                <w:rFonts w:hint="eastAsia" w:ascii="宋体" w:hAnsi="宋体" w:cs="Times New Roman"/>
                <w:color w:val="000000"/>
                <w:sz w:val="21"/>
                <w:szCs w:val="21"/>
                <w:lang w:val="en-US" w:eastAsia="zh-CN"/>
              </w:rPr>
              <w:t>。</w:t>
            </w:r>
          </w:p>
          <w:p w14:paraId="35C4025A">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 w:val="21"/>
                <w:szCs w:val="21"/>
                <w:lang w:val="en-US" w:eastAsia="zh-CN"/>
              </w:rPr>
            </w:pPr>
          </w:p>
        </w:tc>
        <w:tc>
          <w:tcPr>
            <w:tcW w:w="1215" w:type="dxa"/>
            <w:noWrap w:val="0"/>
            <w:vAlign w:val="top"/>
          </w:tcPr>
          <w:p w14:paraId="208771D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6D8BBE78">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58577D38">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2FC17F5C">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360C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3C8E46D8">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11.</w:t>
            </w:r>
            <w:r>
              <w:rPr>
                <w:rFonts w:hint="eastAsia"/>
                <w:sz w:val="21"/>
                <w:szCs w:val="21"/>
                <w:vertAlign w:val="baseline"/>
                <w:lang w:eastAsia="zh-CN"/>
              </w:rPr>
              <w:t>争做总体国家安全观坚定践行者</w:t>
            </w:r>
          </w:p>
        </w:tc>
        <w:tc>
          <w:tcPr>
            <w:tcW w:w="2930" w:type="dxa"/>
            <w:noWrap w:val="0"/>
            <w:vAlign w:val="center"/>
          </w:tcPr>
          <w:p w14:paraId="336FF613">
            <w:pPr>
              <w:keepNext w:val="0"/>
              <w:keepLines w:val="0"/>
              <w:pageBreakBefore w:val="0"/>
              <w:widowControl w:val="0"/>
              <w:numPr>
                <w:ilvl w:val="0"/>
                <w:numId w:val="29"/>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增强国家安全意识，坚持国家利益之上</w:t>
            </w:r>
          </w:p>
          <w:p w14:paraId="44650E58">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jc w:val="left"/>
              <w:textAlignment w:val="auto"/>
              <w:rPr>
                <w:rFonts w:hint="eastAsia"/>
                <w:sz w:val="21"/>
                <w:szCs w:val="21"/>
                <w:vertAlign w:val="baseline"/>
                <w:lang w:val="en-US" w:eastAsia="zh-CN"/>
              </w:rPr>
            </w:pPr>
            <w:r>
              <w:rPr>
                <w:rFonts w:hint="eastAsia"/>
                <w:sz w:val="21"/>
                <w:szCs w:val="21"/>
                <w:vertAlign w:val="baseline"/>
                <w:lang w:val="en-US" w:eastAsia="zh-CN"/>
              </w:rPr>
              <w:t>（2）增强忧患意识，发扬斗争精神</w:t>
            </w:r>
          </w:p>
          <w:p w14:paraId="6A00C1F8">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（3）增强社会责任，形成维护国家安全合力</w:t>
            </w:r>
          </w:p>
          <w:p w14:paraId="717CF87F">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p>
        </w:tc>
        <w:tc>
          <w:tcPr>
            <w:tcW w:w="713" w:type="dxa"/>
            <w:noWrap w:val="0"/>
            <w:vAlign w:val="center"/>
          </w:tcPr>
          <w:p w14:paraId="2FBE628E">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Calibri" w:hAnsi="Calibri" w:eastAsia="宋体" w:cs="Times New Roman"/>
                <w:kern w:val="2"/>
                <w:sz w:val="21"/>
                <w:szCs w:val="21"/>
                <w:vertAlign w:val="baseline"/>
                <w:lang w:val="en-US" w:eastAsia="zh-CN" w:bidi="ar-SA"/>
              </w:rPr>
            </w:pPr>
            <w:r>
              <w:rPr>
                <w:rFonts w:hint="eastAsia" w:ascii="宋体" w:hAnsi="宋体" w:eastAsia="宋体" w:cs="Times New Roman"/>
                <w:color w:val="000000"/>
                <w:szCs w:val="21"/>
              </w:rPr>
              <w:t>课程目标1</w:t>
            </w:r>
          </w:p>
        </w:tc>
        <w:tc>
          <w:tcPr>
            <w:tcW w:w="2355" w:type="dxa"/>
            <w:noWrap w:val="0"/>
            <w:vAlign w:val="top"/>
          </w:tcPr>
          <w:p w14:paraId="490C9076">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eastAsia="宋体" w:cs="Times New Roman"/>
                <w:color w:val="000000"/>
                <w:szCs w:val="21"/>
                <w:lang w:val="en-US" w:eastAsia="zh-CN"/>
              </w:rPr>
              <w:t>能够</w:t>
            </w:r>
            <w:r>
              <w:rPr>
                <w:rFonts w:hint="eastAsia" w:ascii="宋体" w:hAnsi="宋体" w:eastAsia="宋体" w:cs="Times New Roman"/>
                <w:color w:val="000000"/>
                <w:szCs w:val="21"/>
              </w:rPr>
              <w:t>主动参与国家安全教育与实践，通过科技创新、志愿服务等方式凝聚社会共识，成为维护国家安全的积极行动者</w:t>
            </w:r>
            <w:r>
              <w:rPr>
                <w:rFonts w:hint="eastAsia" w:ascii="宋体" w:hAnsi="宋体" w:eastAsia="宋体" w:cs="Times New Roman"/>
                <w:color w:val="000000"/>
                <w:szCs w:val="21"/>
                <w:lang w:eastAsia="zh-CN"/>
              </w:rPr>
              <w:t>。</w:t>
            </w:r>
            <w:r>
              <w:rPr>
                <w:rFonts w:ascii="Arial" w:hAnsi="Arial" w:eastAsia="Arial" w:cs="Arial"/>
                <w:i w:val="0"/>
                <w:iCs w:val="0"/>
                <w:caps w:val="0"/>
                <w:color w:val="333333"/>
                <w:spacing w:val="0"/>
                <w:sz w:val="12"/>
                <w:szCs w:val="12"/>
                <w:shd w:val="clear" w:color="auto" w:fill="FFFFFF"/>
              </w:rPr>
              <w:t>‌</w:t>
            </w:r>
          </w:p>
        </w:tc>
        <w:tc>
          <w:tcPr>
            <w:tcW w:w="1215" w:type="dxa"/>
            <w:noWrap w:val="0"/>
            <w:vAlign w:val="top"/>
          </w:tcPr>
          <w:p w14:paraId="04746AD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1DDA9B0">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案例分析</w:t>
            </w:r>
          </w:p>
          <w:p w14:paraId="487FE417">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 w:val="21"/>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互动讨论</w:t>
            </w:r>
          </w:p>
        </w:tc>
        <w:tc>
          <w:tcPr>
            <w:tcW w:w="0" w:type="auto"/>
            <w:noWrap w:val="0"/>
            <w:vAlign w:val="center"/>
          </w:tcPr>
          <w:p w14:paraId="03292C2B">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0.5</w:t>
            </w:r>
          </w:p>
        </w:tc>
      </w:tr>
      <w:tr w14:paraId="403E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noWrap w:val="0"/>
            <w:vAlign w:val="center"/>
          </w:tcPr>
          <w:p w14:paraId="1DA66364">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12.国家安全教育网络专题（尔雅系统教学）</w:t>
            </w:r>
          </w:p>
        </w:tc>
        <w:tc>
          <w:tcPr>
            <w:tcW w:w="2930" w:type="dxa"/>
            <w:noWrap w:val="0"/>
            <w:vAlign w:val="center"/>
          </w:tcPr>
          <w:p w14:paraId="5288F873">
            <w:pPr>
              <w:keepNext w:val="0"/>
              <w:keepLines w:val="0"/>
              <w:pageBreakBefore w:val="0"/>
              <w:widowControl w:val="0"/>
              <w:numPr>
                <w:ilvl w:val="0"/>
                <w:numId w:val="3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总体国家安全观基础理论</w:t>
            </w:r>
          </w:p>
          <w:p w14:paraId="7783B5EE">
            <w:pPr>
              <w:keepNext w:val="0"/>
              <w:keepLines w:val="0"/>
              <w:pageBreakBefore w:val="0"/>
              <w:widowControl w:val="0"/>
              <w:numPr>
                <w:ilvl w:val="0"/>
                <w:numId w:val="3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国家安全重点领域解析</w:t>
            </w:r>
          </w:p>
          <w:p w14:paraId="28DF237D">
            <w:pPr>
              <w:keepNext w:val="0"/>
              <w:keepLines w:val="0"/>
              <w:pageBreakBefore w:val="0"/>
              <w:widowControl w:val="0"/>
              <w:numPr>
                <w:ilvl w:val="0"/>
                <w:numId w:val="30"/>
              </w:numPr>
              <w:kinsoku/>
              <w:wordWrap/>
              <w:overflowPunct/>
              <w:topLinePunct w:val="0"/>
              <w:autoSpaceDE/>
              <w:autoSpaceDN/>
              <w:bidi w:val="0"/>
              <w:adjustRightInd/>
              <w:snapToGrid/>
              <w:spacing w:line="22" w:lineRule="atLeast"/>
              <w:ind w:left="0" w:leftChars="0" w:firstLine="0" w:firstLineChars="0"/>
              <w:jc w:val="left"/>
              <w:textAlignment w:val="auto"/>
              <w:rPr>
                <w:rFonts w:hint="eastAsia"/>
                <w:sz w:val="21"/>
                <w:szCs w:val="21"/>
                <w:vertAlign w:val="baseline"/>
                <w:lang w:val="en-US" w:eastAsia="zh-CN"/>
              </w:rPr>
            </w:pPr>
            <w:r>
              <w:rPr>
                <w:rFonts w:hint="eastAsia"/>
                <w:sz w:val="21"/>
                <w:szCs w:val="21"/>
                <w:vertAlign w:val="baseline"/>
                <w:lang w:val="en-US" w:eastAsia="zh-CN"/>
              </w:rPr>
              <w:t>国家安全形势与法治教育</w:t>
            </w:r>
          </w:p>
          <w:p w14:paraId="1DEC6288">
            <w:pPr>
              <w:keepNext w:val="0"/>
              <w:keepLines w:val="0"/>
              <w:pageBreakBefore w:val="0"/>
              <w:widowControl w:val="0"/>
              <w:numPr>
                <w:ilvl w:val="0"/>
                <w:numId w:val="30"/>
              </w:numPr>
              <w:kinsoku/>
              <w:wordWrap/>
              <w:overflowPunct/>
              <w:topLinePunct w:val="0"/>
              <w:autoSpaceDE/>
              <w:autoSpaceDN/>
              <w:bidi w:val="0"/>
              <w:adjustRightInd/>
              <w:snapToGrid/>
              <w:spacing w:line="22" w:lineRule="atLeast"/>
              <w:ind w:left="0" w:leftChars="0" w:firstLine="0" w:firstLineChars="0"/>
              <w:jc w:val="left"/>
              <w:textAlignment w:val="auto"/>
              <w:rPr>
                <w:rFonts w:hint="default"/>
                <w:sz w:val="21"/>
                <w:szCs w:val="21"/>
                <w:vertAlign w:val="baseline"/>
                <w:lang w:val="en-US" w:eastAsia="zh-CN"/>
              </w:rPr>
            </w:pPr>
            <w:r>
              <w:rPr>
                <w:rFonts w:hint="eastAsia"/>
                <w:sz w:val="21"/>
                <w:szCs w:val="21"/>
                <w:vertAlign w:val="baseline"/>
                <w:lang w:val="en-US" w:eastAsia="zh-CN"/>
              </w:rPr>
              <w:t>实践技能与责任意识培养</w:t>
            </w:r>
          </w:p>
        </w:tc>
        <w:tc>
          <w:tcPr>
            <w:tcW w:w="713" w:type="dxa"/>
            <w:noWrap w:val="0"/>
            <w:vAlign w:val="center"/>
          </w:tcPr>
          <w:p w14:paraId="22C5EB5B">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sz w:val="28"/>
                <w:szCs w:val="28"/>
                <w:vertAlign w:val="baseline"/>
                <w:lang w:val="en-US" w:eastAsia="zh-CN"/>
              </w:rPr>
            </w:pPr>
            <w:r>
              <w:rPr>
                <w:rFonts w:hint="eastAsia" w:ascii="宋体" w:hAnsi="宋体" w:eastAsia="宋体" w:cs="Times New Roman"/>
                <w:color w:val="000000"/>
                <w:szCs w:val="21"/>
              </w:rPr>
              <w:t>课程目标1</w:t>
            </w:r>
          </w:p>
        </w:tc>
        <w:tc>
          <w:tcPr>
            <w:tcW w:w="2355" w:type="dxa"/>
            <w:noWrap w:val="0"/>
            <w:vAlign w:val="top"/>
          </w:tcPr>
          <w:p w14:paraId="198C3425">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rPr>
              <w:t>强化</w:t>
            </w:r>
            <w:r>
              <w:rPr>
                <w:rFonts w:hint="eastAsia" w:ascii="宋体" w:hAnsi="宋体" w:cs="Times New Roman"/>
                <w:color w:val="000000"/>
                <w:szCs w:val="21"/>
                <w:lang w:val="en-US" w:eastAsia="zh-CN"/>
              </w:rPr>
              <w:t>学生</w:t>
            </w:r>
            <w:r>
              <w:rPr>
                <w:rFonts w:hint="eastAsia" w:ascii="宋体" w:hAnsi="宋体" w:eastAsia="宋体" w:cs="Times New Roman"/>
                <w:color w:val="000000"/>
                <w:szCs w:val="21"/>
              </w:rPr>
              <w:t>的国家安全责任感，引导践行维护国家安全的行为准则‌</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提升</w:t>
            </w:r>
            <w:r>
              <w:rPr>
                <w:rFonts w:hint="eastAsia" w:ascii="宋体" w:hAnsi="宋体" w:cs="Times New Roman"/>
                <w:color w:val="000000"/>
                <w:szCs w:val="21"/>
                <w:lang w:val="en-US" w:eastAsia="zh-CN"/>
              </w:rPr>
              <w:t>学生</w:t>
            </w:r>
            <w:r>
              <w:rPr>
                <w:rFonts w:hint="eastAsia" w:ascii="宋体" w:hAnsi="宋体" w:eastAsia="宋体" w:cs="Times New Roman"/>
                <w:color w:val="000000"/>
                <w:szCs w:val="21"/>
              </w:rPr>
              <w:t>的国家安全素养和风险防范能力</w:t>
            </w:r>
            <w:r>
              <w:rPr>
                <w:rFonts w:hint="eastAsia" w:ascii="宋体" w:hAnsi="宋体" w:cs="Times New Roman"/>
                <w:color w:val="000000"/>
                <w:szCs w:val="21"/>
                <w:lang w:eastAsia="zh-CN"/>
              </w:rPr>
              <w:t>。</w:t>
            </w:r>
          </w:p>
        </w:tc>
        <w:tc>
          <w:tcPr>
            <w:tcW w:w="1215" w:type="dxa"/>
            <w:noWrap w:val="0"/>
            <w:vAlign w:val="top"/>
          </w:tcPr>
          <w:p w14:paraId="552000BB">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观看视频</w:t>
            </w:r>
          </w:p>
          <w:p w14:paraId="327A05C5">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单元测试</w:t>
            </w:r>
          </w:p>
          <w:p w14:paraId="38303496">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3.期末测试</w:t>
            </w:r>
          </w:p>
        </w:tc>
        <w:tc>
          <w:tcPr>
            <w:tcW w:w="0" w:type="auto"/>
            <w:noWrap w:val="0"/>
            <w:vAlign w:val="center"/>
          </w:tcPr>
          <w:p w14:paraId="5F7D9DE4">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r>
    </w:tbl>
    <w:p w14:paraId="0AF5059E">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6D2683DE">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08892C6F">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4CD68A43">
      <w:pPr>
        <w:keepNext w:val="0"/>
        <w:keepLines w:val="0"/>
        <w:pageBreakBefore w:val="0"/>
        <w:widowControl w:val="0"/>
        <w:kinsoku/>
        <w:wordWrap/>
        <w:overflowPunct/>
        <w:topLinePunct w:val="0"/>
        <w:autoSpaceDE/>
        <w:autoSpaceDN/>
        <w:bidi w:val="0"/>
        <w:adjustRightInd/>
        <w:snapToGrid/>
        <w:spacing w:line="22" w:lineRule="atLeast"/>
        <w:jc w:val="left"/>
        <w:textAlignment w:val="auto"/>
        <w:rPr>
          <w:rFonts w:ascii="Times New Roman" w:hAnsi="Times New Roman" w:eastAsia="宋体" w:cs="Times New Roman"/>
          <w:sz w:val="24"/>
          <w:szCs w:val="24"/>
        </w:rPr>
      </w:pPr>
    </w:p>
    <w:p w14:paraId="6A2D028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4D1ADB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E3CF70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1DEA0B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52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88"/>
        <w:gridCol w:w="1207"/>
        <w:gridCol w:w="1168"/>
        <w:gridCol w:w="1388"/>
        <w:gridCol w:w="1506"/>
        <w:gridCol w:w="1723"/>
      </w:tblGrid>
      <w:tr w14:paraId="45CF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restart"/>
            <w:noWrap w:val="0"/>
            <w:vAlign w:val="center"/>
          </w:tcPr>
          <w:p w14:paraId="32112B1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576" w:type="pct"/>
            <w:gridSpan w:val="5"/>
            <w:noWrap w:val="0"/>
            <w:vAlign w:val="center"/>
          </w:tcPr>
          <w:p w14:paraId="700C3E55">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69" w:type="pct"/>
            <w:vMerge w:val="restart"/>
            <w:noWrap w:val="0"/>
            <w:vAlign w:val="center"/>
          </w:tcPr>
          <w:p w14:paraId="09D5F52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E29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vMerge w:val="continue"/>
            <w:noWrap w:val="0"/>
            <w:vAlign w:val="center"/>
          </w:tcPr>
          <w:p w14:paraId="27FCFBD7">
            <w:pPr>
              <w:spacing w:line="360" w:lineRule="auto"/>
              <w:jc w:val="center"/>
              <w:rPr>
                <w:rFonts w:hint="eastAsia" w:ascii="宋体" w:hAnsi="宋体" w:eastAsia="宋体" w:cs="Times New Roman"/>
                <w:szCs w:val="21"/>
              </w:rPr>
            </w:pPr>
          </w:p>
        </w:tc>
        <w:tc>
          <w:tcPr>
            <w:tcW w:w="1948" w:type="pct"/>
            <w:gridSpan w:val="3"/>
            <w:noWrap w:val="0"/>
            <w:vAlign w:val="center"/>
          </w:tcPr>
          <w:p w14:paraId="365E8588">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线上成绩</w:t>
            </w:r>
          </w:p>
        </w:tc>
        <w:tc>
          <w:tcPr>
            <w:tcW w:w="1627" w:type="pct"/>
            <w:gridSpan w:val="2"/>
            <w:noWrap w:val="0"/>
            <w:vAlign w:val="center"/>
          </w:tcPr>
          <w:p w14:paraId="02C42F29">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线下成绩</w:t>
            </w:r>
          </w:p>
        </w:tc>
        <w:tc>
          <w:tcPr>
            <w:tcW w:w="969" w:type="pct"/>
            <w:vMerge w:val="continue"/>
            <w:noWrap w:val="0"/>
            <w:vAlign w:val="center"/>
          </w:tcPr>
          <w:p w14:paraId="4DBA9B49">
            <w:pPr>
              <w:spacing w:line="360" w:lineRule="auto"/>
              <w:jc w:val="center"/>
              <w:rPr>
                <w:rFonts w:hint="eastAsia" w:ascii="宋体" w:hAnsi="宋体" w:eastAsia="宋体" w:cs="Times New Roman"/>
                <w:szCs w:val="21"/>
              </w:rPr>
            </w:pPr>
          </w:p>
        </w:tc>
      </w:tr>
      <w:tr w14:paraId="6B83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54" w:type="pct"/>
            <w:vMerge w:val="continue"/>
            <w:noWrap w:val="0"/>
            <w:vAlign w:val="center"/>
          </w:tcPr>
          <w:p w14:paraId="1E3A4F1E">
            <w:pPr>
              <w:spacing w:line="360" w:lineRule="auto"/>
              <w:jc w:val="center"/>
              <w:rPr>
                <w:rFonts w:hint="eastAsia" w:ascii="宋体" w:hAnsi="宋体" w:eastAsia="宋体" w:cs="Times New Roman"/>
                <w:szCs w:val="21"/>
              </w:rPr>
            </w:pPr>
          </w:p>
        </w:tc>
        <w:tc>
          <w:tcPr>
            <w:tcW w:w="612" w:type="pct"/>
            <w:noWrap w:val="0"/>
            <w:vAlign w:val="center"/>
          </w:tcPr>
          <w:p w14:paraId="53F89502">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观看视频</w:t>
            </w:r>
          </w:p>
        </w:tc>
        <w:tc>
          <w:tcPr>
            <w:tcW w:w="679" w:type="pct"/>
            <w:noWrap w:val="0"/>
            <w:vAlign w:val="center"/>
          </w:tcPr>
          <w:p w14:paraId="6AAAAF3C">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单元测试</w:t>
            </w:r>
          </w:p>
        </w:tc>
        <w:tc>
          <w:tcPr>
            <w:tcW w:w="657" w:type="pct"/>
            <w:noWrap w:val="0"/>
            <w:vAlign w:val="center"/>
          </w:tcPr>
          <w:p w14:paraId="2CE65BFA">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81" w:type="pct"/>
            <w:noWrap w:val="0"/>
            <w:vAlign w:val="center"/>
          </w:tcPr>
          <w:p w14:paraId="546A1082">
            <w:pPr>
              <w:spacing w:line="360" w:lineRule="auto"/>
              <w:jc w:val="center"/>
              <w:rPr>
                <w:rFonts w:hint="default" w:ascii="宋体" w:hAnsi="宋体" w:eastAsia="宋体" w:cs="Times New Roman"/>
                <w:szCs w:val="21"/>
                <w:lang w:val="en-US" w:eastAsia="zh-CN"/>
              </w:rPr>
            </w:pPr>
            <w:r>
              <w:rPr>
                <w:rFonts w:hint="eastAsia" w:ascii="宋体" w:hAnsi="宋体" w:cs="Times New Roman"/>
                <w:szCs w:val="21"/>
                <w:lang w:val="en-US" w:eastAsia="zh-CN"/>
              </w:rPr>
              <w:t>平时表现</w:t>
            </w:r>
          </w:p>
        </w:tc>
        <w:tc>
          <w:tcPr>
            <w:tcW w:w="846" w:type="pct"/>
            <w:noWrap w:val="0"/>
            <w:vAlign w:val="center"/>
          </w:tcPr>
          <w:p w14:paraId="3F4C3EDC">
            <w:pPr>
              <w:spacing w:line="360" w:lineRule="auto"/>
              <w:jc w:val="center"/>
              <w:rPr>
                <w:rFonts w:hint="eastAsia" w:ascii="宋体" w:hAnsi="宋体" w:eastAsia="宋体" w:cs="Times New Roman"/>
                <w:szCs w:val="21"/>
              </w:rPr>
            </w:pPr>
            <w:r>
              <w:rPr>
                <w:rFonts w:hint="eastAsia" w:ascii="宋体" w:hAnsi="宋体" w:cs="Times New Roman"/>
                <w:szCs w:val="21"/>
                <w:lang w:val="en-US" w:eastAsia="zh-CN"/>
              </w:rPr>
              <w:t>期末作业</w:t>
            </w:r>
          </w:p>
        </w:tc>
        <w:tc>
          <w:tcPr>
            <w:tcW w:w="969" w:type="pct"/>
            <w:vMerge w:val="continue"/>
            <w:noWrap w:val="0"/>
            <w:vAlign w:val="center"/>
          </w:tcPr>
          <w:p w14:paraId="3DD63BAB">
            <w:pPr>
              <w:spacing w:line="360" w:lineRule="auto"/>
              <w:jc w:val="center"/>
              <w:rPr>
                <w:rFonts w:hint="eastAsia" w:ascii="宋体" w:hAnsi="宋体" w:eastAsia="宋体" w:cs="Times New Roman"/>
                <w:szCs w:val="21"/>
              </w:rPr>
            </w:pPr>
          </w:p>
        </w:tc>
      </w:tr>
      <w:tr w14:paraId="0164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3B441ECE">
            <w:pPr>
              <w:spacing w:line="360" w:lineRule="auto"/>
              <w:jc w:val="both"/>
              <w:rPr>
                <w:rFonts w:hint="eastAsia" w:ascii="宋体" w:hAnsi="宋体" w:eastAsia="宋体" w:cs="Times New Roman"/>
                <w:szCs w:val="21"/>
              </w:rPr>
            </w:pPr>
            <w:r>
              <w:rPr>
                <w:rFonts w:hint="eastAsia" w:ascii="宋体" w:hAnsi="宋体" w:eastAsia="宋体" w:cs="Times New Roman"/>
                <w:szCs w:val="21"/>
              </w:rPr>
              <w:t>课程目标1</w:t>
            </w:r>
          </w:p>
        </w:tc>
        <w:tc>
          <w:tcPr>
            <w:tcW w:w="612" w:type="pct"/>
            <w:noWrap w:val="0"/>
            <w:vAlign w:val="center"/>
          </w:tcPr>
          <w:p w14:paraId="11D5F74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679" w:type="pct"/>
            <w:noWrap w:val="0"/>
            <w:vAlign w:val="center"/>
          </w:tcPr>
          <w:p w14:paraId="69B6BBA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657" w:type="pct"/>
            <w:noWrap w:val="0"/>
            <w:vAlign w:val="center"/>
          </w:tcPr>
          <w:p w14:paraId="555D55B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81" w:type="pct"/>
            <w:noWrap w:val="0"/>
            <w:vAlign w:val="center"/>
          </w:tcPr>
          <w:p w14:paraId="25DFEFF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46" w:type="pct"/>
            <w:noWrap w:val="0"/>
            <w:vAlign w:val="center"/>
          </w:tcPr>
          <w:p w14:paraId="5A187A8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969" w:type="pct"/>
            <w:noWrap w:val="0"/>
            <w:vAlign w:val="center"/>
          </w:tcPr>
          <w:p w14:paraId="77C3944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r w14:paraId="6AE5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3422B281">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612" w:type="pct"/>
            <w:noWrap w:val="0"/>
            <w:vAlign w:val="center"/>
          </w:tcPr>
          <w:p w14:paraId="57F64050">
            <w:pPr>
              <w:spacing w:line="360" w:lineRule="auto"/>
              <w:jc w:val="center"/>
              <w:rPr>
                <w:rFonts w:hint="eastAsia" w:ascii="宋体" w:hAnsi="宋体" w:eastAsia="宋体" w:cs="Times New Roman"/>
                <w:szCs w:val="21"/>
              </w:rPr>
            </w:pPr>
          </w:p>
        </w:tc>
        <w:tc>
          <w:tcPr>
            <w:tcW w:w="679" w:type="pct"/>
            <w:noWrap w:val="0"/>
            <w:vAlign w:val="center"/>
          </w:tcPr>
          <w:p w14:paraId="6F9AF49C">
            <w:pPr>
              <w:spacing w:line="360" w:lineRule="auto"/>
              <w:jc w:val="center"/>
              <w:rPr>
                <w:rFonts w:hint="eastAsia" w:ascii="宋体" w:hAnsi="宋体" w:eastAsia="宋体" w:cs="Times New Roman"/>
                <w:szCs w:val="21"/>
              </w:rPr>
            </w:pPr>
          </w:p>
        </w:tc>
        <w:tc>
          <w:tcPr>
            <w:tcW w:w="657" w:type="pct"/>
            <w:noWrap w:val="0"/>
            <w:vAlign w:val="center"/>
          </w:tcPr>
          <w:p w14:paraId="6EF1FFD4">
            <w:pPr>
              <w:spacing w:line="360" w:lineRule="auto"/>
              <w:jc w:val="center"/>
              <w:rPr>
                <w:rFonts w:hint="eastAsia" w:ascii="宋体" w:hAnsi="宋体" w:eastAsia="宋体" w:cs="Times New Roman"/>
                <w:szCs w:val="21"/>
              </w:rPr>
            </w:pPr>
          </w:p>
        </w:tc>
        <w:tc>
          <w:tcPr>
            <w:tcW w:w="781" w:type="pct"/>
            <w:noWrap w:val="0"/>
            <w:vAlign w:val="center"/>
          </w:tcPr>
          <w:p w14:paraId="39A87F06">
            <w:pPr>
              <w:spacing w:line="360" w:lineRule="auto"/>
              <w:jc w:val="center"/>
              <w:rPr>
                <w:rFonts w:hint="eastAsia" w:ascii="宋体" w:hAnsi="宋体" w:eastAsia="宋体" w:cs="Times New Roman"/>
                <w:szCs w:val="21"/>
              </w:rPr>
            </w:pPr>
          </w:p>
        </w:tc>
        <w:tc>
          <w:tcPr>
            <w:tcW w:w="846" w:type="pct"/>
            <w:noWrap w:val="0"/>
            <w:vAlign w:val="center"/>
          </w:tcPr>
          <w:p w14:paraId="2750A5DF">
            <w:pPr>
              <w:spacing w:line="360" w:lineRule="auto"/>
              <w:jc w:val="center"/>
              <w:rPr>
                <w:rFonts w:hint="eastAsia" w:ascii="宋体" w:hAnsi="宋体" w:eastAsia="宋体" w:cs="Times New Roman"/>
                <w:szCs w:val="21"/>
              </w:rPr>
            </w:pPr>
          </w:p>
        </w:tc>
        <w:tc>
          <w:tcPr>
            <w:tcW w:w="969" w:type="pct"/>
            <w:noWrap w:val="0"/>
            <w:vAlign w:val="center"/>
          </w:tcPr>
          <w:p w14:paraId="5832D42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4E38D1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91AB77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D93E4A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0FA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3A110CF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noWrap w:val="0"/>
            <w:vAlign w:val="center"/>
          </w:tcPr>
          <w:p w14:paraId="7EE8CC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noWrap w:val="0"/>
            <w:vAlign w:val="center"/>
          </w:tcPr>
          <w:p w14:paraId="013935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5E4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09BB0FAE">
            <w:pP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线上成绩</w:t>
            </w:r>
          </w:p>
        </w:tc>
        <w:tc>
          <w:tcPr>
            <w:tcW w:w="7141" w:type="dxa"/>
            <w:noWrap w:val="0"/>
            <w:vAlign w:val="center"/>
          </w:tcPr>
          <w:p w14:paraId="755E722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lang w:eastAsia="zh-CN"/>
              </w:rPr>
              <w:t>在线视频观看占40%，在线视频测试作业占30%，在线期末考核占30%</w:t>
            </w:r>
            <w:r>
              <w:rPr>
                <w:rFonts w:hint="eastAsia" w:ascii="Times New Roman" w:hAnsi="Times New Roman" w:cs="Times New Roman"/>
                <w:szCs w:val="21"/>
                <w:lang w:eastAsia="zh-CN"/>
              </w:rPr>
              <w:t>。</w:t>
            </w:r>
          </w:p>
        </w:tc>
        <w:tc>
          <w:tcPr>
            <w:tcW w:w="0" w:type="auto"/>
            <w:noWrap w:val="0"/>
            <w:vAlign w:val="center"/>
          </w:tcPr>
          <w:p w14:paraId="69F93323">
            <w:pPr>
              <w:jc w:val="center"/>
              <w:rPr>
                <w:rFonts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08C5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5984A9D8">
            <w:pP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线下成绩</w:t>
            </w:r>
          </w:p>
        </w:tc>
        <w:tc>
          <w:tcPr>
            <w:tcW w:w="7141" w:type="dxa"/>
            <w:noWrap w:val="0"/>
            <w:vAlign w:val="center"/>
          </w:tcPr>
          <w:p w14:paraId="0917B102">
            <w:pPr>
              <w:widowControl w:val="0"/>
              <w:spacing w:line="264" w:lineRule="auto"/>
              <w:jc w:val="left"/>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平时表现占50%：</w:t>
            </w:r>
            <w:r>
              <w:rPr>
                <w:rFonts w:hint="eastAsia" w:ascii="Times New Roman" w:hAnsi="Times New Roman" w:eastAsia="宋体" w:cs="Times New Roman"/>
                <w:szCs w:val="21"/>
              </w:rPr>
              <w:t>通过听课表现、学习互动等情况，考核对</w:t>
            </w:r>
            <w:r>
              <w:rPr>
                <w:rFonts w:hint="eastAsia" w:ascii="Times New Roman" w:hAnsi="Times New Roman" w:cs="Times New Roman"/>
                <w:szCs w:val="21"/>
                <w:lang w:val="en-US" w:eastAsia="zh-CN"/>
              </w:rPr>
              <w:t>国家安全</w:t>
            </w:r>
            <w:r>
              <w:rPr>
                <w:rFonts w:hint="eastAsia" w:ascii="Times New Roman" w:hAnsi="Times New Roman" w:eastAsia="宋体" w:cs="Times New Roman"/>
                <w:szCs w:val="21"/>
              </w:rPr>
              <w:t>的理解和运用</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期末作业占50%：</w:t>
            </w:r>
            <w:r>
              <w:rPr>
                <w:rFonts w:ascii="Times New Roman" w:hAnsi="Times New Roman" w:eastAsia="宋体" w:cs="Times New Roman"/>
                <w:kern w:val="2"/>
                <w:sz w:val="21"/>
                <w:szCs w:val="21"/>
                <w:lang w:bidi="ar-SA"/>
              </w:rPr>
              <w:t>通过学习，将知识转化为实践，制作出与国家安全相关的宣传海报。</w:t>
            </w:r>
          </w:p>
        </w:tc>
        <w:tc>
          <w:tcPr>
            <w:tcW w:w="0" w:type="auto"/>
            <w:noWrap w:val="0"/>
            <w:vAlign w:val="center"/>
          </w:tcPr>
          <w:p w14:paraId="42E0EFB5">
            <w:pPr>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40%</w:t>
            </w:r>
          </w:p>
        </w:tc>
      </w:tr>
      <w:tr w14:paraId="158A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noWrap w:val="0"/>
            <w:vAlign w:val="center"/>
          </w:tcPr>
          <w:p w14:paraId="22375E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noWrap w:val="0"/>
            <w:vAlign w:val="center"/>
          </w:tcPr>
          <w:p w14:paraId="47C8634C">
            <w:pPr>
              <w:jc w:val="left"/>
              <w:rPr>
                <w:rFonts w:ascii="Times New Roman" w:hAnsi="Times New Roman" w:eastAsia="宋体" w:cs="Times New Roman"/>
                <w:szCs w:val="21"/>
              </w:rPr>
            </w:pPr>
          </w:p>
        </w:tc>
        <w:tc>
          <w:tcPr>
            <w:tcW w:w="0" w:type="auto"/>
            <w:noWrap w:val="0"/>
            <w:vAlign w:val="center"/>
          </w:tcPr>
          <w:p w14:paraId="36880DC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FE70006">
      <w:pPr>
        <w:spacing w:line="360" w:lineRule="auto"/>
        <w:jc w:val="left"/>
        <w:rPr>
          <w:rFonts w:hint="eastAsia" w:ascii="宋体" w:hAnsi="宋体" w:eastAsia="宋体" w:cs="Times New Roman"/>
          <w:b/>
          <w:color w:val="000000"/>
          <w:szCs w:val="21"/>
        </w:rPr>
      </w:pPr>
    </w:p>
    <w:p w14:paraId="2FDD1B09">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5BCACD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DCEAB51">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6" o:spt="75" type="#_x0000_t75" style="height:24.75pt;width:404.25pt;" o:ole="t" filled="f" o:preferrelative="t" stroked="f" coordsize="21600,21600">
            <v:path/>
            <v:fill on="f" focussize="0,0"/>
            <v:stroke on="f"/>
            <v:imagedata r:id="rId5" o:title=""/>
            <o:lock v:ext="edit" aspectratio="t"/>
            <w10:wrap type="none"/>
            <w10:anchorlock/>
          </v:shape>
          <o:OLEObject Type="Embed" ProgID="Equation.3" ShapeID="_x0000_i1036" DrawAspect="Content" ObjectID="_1468075736" r:id="rId19">
            <o:LockedField>false</o:LockedField>
          </o:OLEObject>
        </w:object>
      </w:r>
    </w:p>
    <w:p w14:paraId="392E473D">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五、有关说明</w:t>
      </w:r>
    </w:p>
    <w:p w14:paraId="6B879C7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D713432">
      <w:pPr>
        <w:widowControl w:val="0"/>
        <w:spacing w:line="360" w:lineRule="auto"/>
        <w:ind w:firstLine="420" w:firstLineChars="200"/>
        <w:jc w:val="left"/>
        <w:rPr>
          <w:rFonts w:hint="eastAsia" w:ascii="Times New Roman" w:hAnsi="Times New Roman" w:cs="Times New Roman"/>
          <w:szCs w:val="21"/>
          <w:lang w:eastAsia="zh-CN"/>
        </w:rPr>
      </w:pPr>
      <w:r>
        <w:rPr>
          <w:rFonts w:ascii="Times New Roman" w:hAnsi="Times New Roman" w:eastAsia="宋体" w:cs="Times New Roman"/>
          <w:kern w:val="2"/>
          <w:sz w:val="21"/>
          <w:szCs w:val="21"/>
          <w:lang w:bidi="ar-SA"/>
        </w:rPr>
        <w:t>本课程将依据线上线下的学习表现、期末作业的展示等评估结果，以及学生和教学督导的反馈，及时对教学中的不足进行调整。在接下来的课程中，我们将进行必要的改进，以确保满足相应的毕业要求。</w:t>
      </w:r>
    </w:p>
    <w:p w14:paraId="0EA8DFD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DAFEF5E">
      <w:pPr>
        <w:spacing w:line="360" w:lineRule="auto"/>
        <w:ind w:firstLine="420" w:firstLineChars="200"/>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《国家安全教育大学生读本》，编者：教育部编写组，高等教育出版社，2024年</w:t>
      </w:r>
      <w:r>
        <w:rPr>
          <w:rFonts w:hint="eastAsia" w:ascii="Times New Roman" w:hAnsi="Times New Roman" w:eastAsia="宋体" w:cs="Times New Roman"/>
          <w:szCs w:val="21"/>
          <w:lang w:val="en-US" w:eastAsia="zh-CN"/>
        </w:rPr>
        <w:t>8</w:t>
      </w:r>
      <w:r>
        <w:rPr>
          <w:rFonts w:hint="eastAsia" w:ascii="Times New Roman" w:hAnsi="Times New Roman" w:eastAsia="宋体" w:cs="Times New Roman"/>
          <w:szCs w:val="21"/>
          <w:lang w:eastAsia="zh-CN"/>
        </w:rPr>
        <w:t>月</w:t>
      </w:r>
    </w:p>
    <w:p w14:paraId="367DB95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4CEC12B1">
      <w:pPr>
        <w:spacing w:line="336" w:lineRule="auto"/>
        <w:ind w:firstLine="420" w:firstLineChars="200"/>
        <w:rPr>
          <w:rFonts w:hint="eastAsia" w:ascii="Times New Roman" w:hAnsi="Times New Roman" w:eastAsia="宋体" w:cs="Times New Roman"/>
          <w:szCs w:val="21"/>
          <w:lang w:eastAsia="zh-CN"/>
        </w:rPr>
      </w:pPr>
      <w:r>
        <w:rPr>
          <w:rFonts w:hint="eastAsia" w:ascii="Times New Roman" w:hAnsi="Times New Roman" w:cs="Times New Roman"/>
          <w:bCs/>
          <w:color w:val="000000"/>
          <w:szCs w:val="21"/>
          <w:lang w:val="en-US" w:eastAsia="zh-CN"/>
        </w:rPr>
        <w:t>1.</w:t>
      </w:r>
      <w:r>
        <w:rPr>
          <w:rFonts w:hint="eastAsia" w:ascii="Times New Roman" w:hAnsi="Times New Roman" w:eastAsia="宋体" w:cs="Times New Roman"/>
          <w:szCs w:val="21"/>
          <w:lang w:eastAsia="zh-CN"/>
        </w:rPr>
        <w:t>《世界主要国家和地区的国家安全研究：历史、理论与实践》</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国际关系出版社，2023年</w:t>
      </w:r>
    </w:p>
    <w:p w14:paraId="304A2920">
      <w:pPr>
        <w:spacing w:line="336" w:lineRule="auto"/>
        <w:ind w:firstLine="420" w:firstLineChars="200"/>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2</w:t>
      </w:r>
      <w:r>
        <w:rPr>
          <w:rFonts w:hint="eastAsia" w:ascii="Times New Roman" w:hAnsi="Times New Roman" w:eastAsia="宋体" w:cs="Times New Roman"/>
          <w:bCs/>
          <w:color w:val="000000"/>
          <w:szCs w:val="21"/>
        </w:rPr>
        <w:t>.</w:t>
      </w:r>
      <w:r>
        <w:rPr>
          <w:rFonts w:hint="eastAsia" w:ascii="Times New Roman" w:hAnsi="Times New Roman" w:eastAsia="宋体" w:cs="Times New Roman"/>
          <w:szCs w:val="21"/>
          <w:lang w:eastAsia="zh-CN"/>
        </w:rPr>
        <w:t>《总体国家安全观学习纲要》</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中共中央宣传部、中央国家安全委员会办公室，人民出版社，2022年</w:t>
      </w:r>
    </w:p>
    <w:p w14:paraId="3DA5D63C">
      <w:pPr>
        <w:spacing w:line="336" w:lineRule="auto"/>
        <w:ind w:firstLine="420" w:firstLineChars="200"/>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3.《国家安全：新的安全实践与理论》</w:t>
      </w:r>
      <w:r>
        <w:rPr>
          <w:rFonts w:hint="default" w:ascii="Times New Roman" w:hAnsi="Times New Roman" w:eastAsia="宋体" w:cs="Times New Roman"/>
          <w:szCs w:val="21"/>
          <w:lang w:eastAsia="zh-CN"/>
        </w:rPr>
        <w:t>中国人民大学出版社，2015年</w:t>
      </w:r>
    </w:p>
    <w:p w14:paraId="6DE41DC5">
      <w:pPr>
        <w:spacing w:line="336" w:lineRule="auto"/>
        <w:ind w:firstLine="420" w:firstLineChars="200"/>
        <w:rPr>
          <w:rFonts w:hint="default" w:ascii="Times New Roman" w:hAnsi="Times New Roman" w:eastAsia="宋体" w:cs="Times New Roman"/>
          <w:szCs w:val="21"/>
          <w:lang w:eastAsia="zh-CN"/>
        </w:rPr>
      </w:pPr>
      <w:r>
        <w:rPr>
          <w:rFonts w:hint="eastAsia" w:ascii="Times New Roman" w:hAnsi="Times New Roman" w:eastAsia="宋体" w:cs="Times New Roman"/>
          <w:bCs/>
          <w:color w:val="000000"/>
          <w:szCs w:val="21"/>
        </w:rPr>
        <w:t>4.</w:t>
      </w:r>
      <w:r>
        <w:rPr>
          <w:rFonts w:hint="eastAsia" w:ascii="Times New Roman" w:hAnsi="Times New Roman" w:eastAsia="宋体" w:cs="Times New Roman"/>
          <w:szCs w:val="21"/>
          <w:lang w:eastAsia="zh-CN"/>
        </w:rPr>
        <w:t>《全球政治与安全报告（2024）》</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社会科学文献出版社，2024年</w:t>
      </w:r>
    </w:p>
    <w:p w14:paraId="31589EF4">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 学习网站：</w:t>
      </w:r>
      <w:r>
        <w:rPr>
          <w:rFonts w:hint="eastAsia" w:ascii="Times New Roman" w:hAnsi="Times New Roman" w:cs="Times New Roman"/>
          <w:bCs/>
          <w:color w:val="000000"/>
          <w:szCs w:val="21"/>
          <w:lang w:val="en-US" w:eastAsia="zh-CN"/>
        </w:rPr>
        <w:t>国家安全教育网、</w:t>
      </w:r>
      <w:r>
        <w:rPr>
          <w:rFonts w:hint="eastAsia" w:ascii="Times New Roman" w:hAnsi="Times New Roman" w:eastAsia="宋体" w:cs="Times New Roman"/>
          <w:bCs/>
          <w:color w:val="000000"/>
          <w:szCs w:val="21"/>
        </w:rPr>
        <w:t>人民网、新华网、光明网等</w:t>
      </w:r>
    </w:p>
    <w:p w14:paraId="570E5771">
      <w:pPr>
        <w:bidi w:val="0"/>
        <w:spacing w:line="360" w:lineRule="auto"/>
        <w:ind w:firstLine="5040" w:firstLineChars="2100"/>
        <w:rPr>
          <w:rFonts w:hint="eastAsia" w:ascii="Times New Roman" w:hAnsi="Times New Roman" w:cs="Times New Roman"/>
          <w:sz w:val="24"/>
          <w:szCs w:val="24"/>
          <w:lang w:val="en-US" w:eastAsia="zh-CN"/>
        </w:rPr>
      </w:pPr>
      <w:r>
        <w:rPr>
          <w:rFonts w:hint="eastAsia" w:ascii="Times New Roman" w:hAnsi="Times New Roman" w:eastAsia="宋体" w:cs="Times New Roman"/>
          <w:sz w:val="24"/>
          <w:szCs w:val="24"/>
        </w:rPr>
        <w:t xml:space="preserve"> </w:t>
      </w:r>
      <w:r>
        <w:rPr>
          <w:rFonts w:hint="eastAsia" w:ascii="Times New Roman" w:hAnsi="Times New Roman" w:cs="Times New Roman"/>
          <w:sz w:val="24"/>
          <w:szCs w:val="24"/>
          <w:lang w:val="en-US" w:eastAsia="zh-CN"/>
        </w:rPr>
        <w:t xml:space="preserve">      </w:t>
      </w:r>
    </w:p>
    <w:p w14:paraId="1071A1F6">
      <w:pPr>
        <w:bidi w:val="0"/>
        <w:spacing w:line="360" w:lineRule="auto"/>
        <w:ind w:left="5027" w:leftChars="2394" w:firstLine="0" w:firstLineChars="0"/>
        <w:rPr>
          <w:rFonts w:hint="eastAsia" w:ascii="宋体" w:hAnsi="宋体" w:eastAsia="宋体" w:cs="宋体"/>
          <w:sz w:val="24"/>
          <w:szCs w:val="24"/>
          <w:lang w:eastAsia="zh-CN"/>
        </w:rPr>
      </w:pPr>
      <w:r>
        <w:rPr>
          <w:rFonts w:hint="eastAsia" w:ascii="Times New Roman" w:hAnsi="Times New Roman" w:cs="Times New Roman"/>
          <w:sz w:val="24"/>
          <w:szCs w:val="24"/>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执 笔 人：</w:t>
      </w:r>
      <w:r>
        <w:rPr>
          <w:rFonts w:hint="eastAsia" w:ascii="宋体" w:hAnsi="宋体" w:eastAsia="宋体" w:cs="宋体"/>
          <w:sz w:val="24"/>
          <w:szCs w:val="24"/>
          <w:lang w:eastAsia="zh-CN"/>
        </w:rPr>
        <w:t>陶辉俊</w:t>
      </w:r>
    </w:p>
    <w:p w14:paraId="36F28C8D">
      <w:pPr>
        <w:bidi w:val="0"/>
        <w:spacing w:line="360" w:lineRule="auto"/>
        <w:ind w:left="5027" w:leftChars="2394" w:firstLine="0" w:firstLineChars="0"/>
        <w:jc w:val="left"/>
        <w:rPr>
          <w:rFonts w:hint="eastAsia" w:ascii="宋体" w:hAnsi="宋体" w:eastAsia="宋体" w:cs="宋体"/>
          <w:sz w:val="24"/>
          <w:szCs w:val="24"/>
        </w:rPr>
      </w:pPr>
      <w:r>
        <w:rPr>
          <w:rFonts w:hint="eastAsia" w:ascii="Times New Roman" w:hAnsi="Times New Roman" w:cs="Times New Roman"/>
          <w:sz w:val="24"/>
          <w:szCs w:val="24"/>
          <w:lang w:val="en-US" w:eastAsia="zh-CN"/>
        </w:rPr>
        <w:t>审 定 人：高  静</w:t>
      </w:r>
      <w:r>
        <w:rPr>
          <w:rFonts w:hint="eastAsia" w:ascii="宋体" w:hAnsi="宋体" w:eastAsia="宋体" w:cs="宋体"/>
          <w:sz w:val="24"/>
          <w:szCs w:val="24"/>
        </w:rPr>
        <w:t xml:space="preserve">                                                                审 批 人：</w:t>
      </w:r>
      <w:r>
        <w:rPr>
          <w:rFonts w:hint="eastAsia" w:ascii="宋体" w:hAnsi="宋体" w:eastAsia="宋体" w:cs="宋体"/>
          <w:sz w:val="24"/>
          <w:szCs w:val="24"/>
          <w:lang w:val="en-US" w:eastAsia="zh-CN"/>
        </w:rPr>
        <w:t>周嘉禾</w:t>
      </w:r>
      <w:r>
        <w:rPr>
          <w:rFonts w:hint="eastAsia" w:ascii="宋体" w:hAnsi="宋体" w:eastAsia="宋体" w:cs="宋体"/>
          <w:sz w:val="24"/>
          <w:szCs w:val="24"/>
        </w:rPr>
        <w:t xml:space="preserve">                              </w:t>
      </w:r>
    </w:p>
    <w:p w14:paraId="1CA6CC14">
      <w:pPr>
        <w:bidi w:val="0"/>
        <w:spacing w:line="360" w:lineRule="auto"/>
        <w:ind w:firstLine="5040" w:firstLineChars="2100"/>
        <w:rPr>
          <w:rFonts w:hint="default"/>
          <w:lang w:val="en-US" w:eastAsia="zh-CN"/>
        </w:rPr>
      </w:pPr>
      <w:r>
        <w:rPr>
          <w:rFonts w:hint="eastAsia" w:ascii="宋体" w:hAnsi="宋体" w:eastAsia="宋体" w:cs="宋体"/>
          <w:sz w:val="24"/>
          <w:szCs w:val="24"/>
        </w:rPr>
        <w:t>批准时间：2024年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eastAsia="宋体" w:cs="宋体"/>
          <w:sz w:val="24"/>
          <w:szCs w:val="24"/>
        </w:rPr>
        <w:t>日</w:t>
      </w:r>
    </w:p>
    <w:p w14:paraId="45F8BB4E">
      <w:pPr>
        <w:spacing w:line="360" w:lineRule="auto"/>
        <w:ind w:right="120"/>
        <w:jc w:val="right"/>
        <w:rPr>
          <w:rFonts w:ascii="Times New Roman" w:hAnsi="Times New Roman" w:eastAsia="宋体" w:cs="Times New Roman"/>
          <w:sz w:val="24"/>
          <w:szCs w:val="24"/>
        </w:rPr>
      </w:pPr>
    </w:p>
    <w:p w14:paraId="19FB65C4">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43EC9F56">
      <w:pPr>
        <w:pStyle w:val="2"/>
        <w:bidi w:val="0"/>
        <w:rPr>
          <w:rFonts w:hint="eastAsia"/>
          <w:lang w:val="en-US" w:eastAsia="zh-CN"/>
        </w:rPr>
      </w:pPr>
      <w:bookmarkStart w:id="431" w:name="_Toc31898"/>
      <w:bookmarkStart w:id="432" w:name="_Toc8160"/>
      <w:bookmarkStart w:id="433" w:name="_Toc30438"/>
      <w:bookmarkStart w:id="434" w:name="_Toc20072"/>
      <w:bookmarkStart w:id="435" w:name="_Toc29184"/>
      <w:bookmarkStart w:id="436" w:name="_Toc30052"/>
      <w:bookmarkStart w:id="437" w:name="_Toc3460"/>
      <w:bookmarkStart w:id="438" w:name="_Toc29641"/>
      <w:r>
        <w:rPr>
          <w:rFonts w:hint="eastAsia"/>
          <w:lang w:val="en-US" w:eastAsia="zh-CN"/>
        </w:rPr>
        <w:t>《书写技能》课程教学大纲</w:t>
      </w:r>
      <w:bookmarkEnd w:id="431"/>
      <w:bookmarkEnd w:id="432"/>
      <w:bookmarkEnd w:id="433"/>
      <w:bookmarkEnd w:id="434"/>
      <w:bookmarkEnd w:id="435"/>
      <w:bookmarkEnd w:id="436"/>
      <w:bookmarkEnd w:id="437"/>
      <w:bookmarkEnd w:id="438"/>
    </w:p>
    <w:p w14:paraId="66444169">
      <w:pPr>
        <w:pStyle w:val="2"/>
        <w:bidi w:val="0"/>
        <w:rPr>
          <w:rFonts w:hint="eastAsia"/>
          <w:lang w:val="en-US" w:eastAsia="zh-CN"/>
        </w:rPr>
      </w:pPr>
      <w:bookmarkStart w:id="439" w:name="_Toc21309"/>
      <w:bookmarkStart w:id="440" w:name="_Toc7741"/>
      <w:bookmarkStart w:id="441" w:name="_Toc13615"/>
      <w:bookmarkStart w:id="442" w:name="_Toc28745"/>
      <w:bookmarkStart w:id="443" w:name="_Toc17233"/>
      <w:bookmarkStart w:id="444" w:name="_Toc10302"/>
      <w:bookmarkStart w:id="445" w:name="_Toc29031"/>
      <w:r>
        <w:rPr>
          <w:rFonts w:hint="eastAsia"/>
          <w:lang w:val="en-US" w:eastAsia="zh-CN"/>
        </w:rPr>
        <w:t>（Handwriting）</w:t>
      </w:r>
      <w:bookmarkEnd w:id="439"/>
      <w:bookmarkEnd w:id="440"/>
      <w:bookmarkEnd w:id="441"/>
      <w:bookmarkEnd w:id="442"/>
      <w:bookmarkEnd w:id="443"/>
      <w:bookmarkEnd w:id="444"/>
      <w:bookmarkEnd w:id="445"/>
    </w:p>
    <w:p w14:paraId="79CDD1EC">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hint="eastAsia" w:ascii="等线" w:hAnsi="等线" w:eastAsia="等线" w:cs="Times New Roman"/>
          <w:szCs w:val="22"/>
          <w:lang w:eastAsia="zh-CN"/>
        </w:rPr>
        <w:t>书写技能</w:t>
      </w:r>
    </w:p>
    <w:p w14:paraId="0879CE9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等线" w:hAnsi="等线" w:eastAsia="等线" w:cs="Times New Roman"/>
          <w:bCs/>
          <w:sz w:val="24"/>
          <w:szCs w:val="24"/>
        </w:rPr>
        <w:t>070</w:t>
      </w:r>
      <w:r>
        <w:rPr>
          <w:rFonts w:hint="eastAsia" w:ascii="等线" w:hAnsi="等线" w:eastAsia="等线" w:cs="Times New Roman"/>
          <w:bCs/>
          <w:sz w:val="24"/>
          <w:szCs w:val="24"/>
          <w:lang w:val="en-US" w:eastAsia="zh-CN"/>
        </w:rPr>
        <w:t>1</w:t>
      </w:r>
      <w:r>
        <w:rPr>
          <w:rFonts w:ascii="等线" w:hAnsi="等线" w:eastAsia="等线" w:cs="Times New Roman"/>
          <w:bCs/>
          <w:sz w:val="24"/>
          <w:szCs w:val="24"/>
        </w:rPr>
        <w:t>0</w:t>
      </w:r>
      <w:r>
        <w:rPr>
          <w:rFonts w:hint="eastAsia" w:ascii="等线" w:hAnsi="等线" w:eastAsia="等线" w:cs="Times New Roman"/>
          <w:bCs/>
          <w:sz w:val="24"/>
          <w:szCs w:val="24"/>
          <w:lang w:val="en-US" w:eastAsia="zh-CN"/>
        </w:rPr>
        <w:t>18</w:t>
      </w:r>
    </w:p>
    <w:p w14:paraId="462A8EE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24C883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0820ED4D">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先修课程：</w:t>
      </w:r>
      <w:r>
        <w:rPr>
          <w:rFonts w:hint="eastAsia" w:ascii="等线" w:hAnsi="等线" w:eastAsia="等线" w:cs="Times New Roman"/>
          <w:b/>
          <w:sz w:val="24"/>
          <w:szCs w:val="24"/>
          <w:lang w:eastAsia="zh-CN"/>
        </w:rPr>
        <w:t>无</w:t>
      </w:r>
    </w:p>
    <w:p w14:paraId="3518F22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22B5FEAF">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5025602">
      <w:pPr>
        <w:autoSpaceDE w:val="0"/>
        <w:autoSpaceDN w:val="0"/>
        <w:adjustRightInd w:val="0"/>
        <w:spacing w:line="360" w:lineRule="auto"/>
        <w:ind w:firstLine="480" w:firstLineChars="200"/>
        <w:jc w:val="left"/>
        <w:rPr>
          <w:rFonts w:ascii="等线" w:hAnsi="等线" w:eastAsia="等线" w:cs="Times New Roman"/>
          <w:sz w:val="24"/>
          <w:szCs w:val="24"/>
        </w:rPr>
      </w:pPr>
      <w:r>
        <w:rPr>
          <w:rFonts w:ascii="等线" w:hAnsi="等线" w:eastAsia="等线" w:cs="Times New Roman"/>
          <w:kern w:val="0"/>
          <w:sz w:val="24"/>
          <w:szCs w:val="24"/>
        </w:rPr>
        <w:t>本课程是</w:t>
      </w:r>
      <w:r>
        <w:rPr>
          <w:rFonts w:hint="eastAsia" w:ascii="等线" w:hAnsi="等线" w:eastAsia="等线" w:cs="Times New Roman"/>
          <w:bCs/>
          <w:kern w:val="0"/>
          <w:sz w:val="24"/>
          <w:szCs w:val="24"/>
          <w:lang w:eastAsia="zh-CN"/>
        </w:rPr>
        <w:t>小学教育</w:t>
      </w:r>
      <w:r>
        <w:rPr>
          <w:rFonts w:ascii="等线" w:hAnsi="等线" w:eastAsia="等线" w:cs="Times New Roman"/>
          <w:kern w:val="0"/>
          <w:sz w:val="24"/>
          <w:szCs w:val="24"/>
        </w:rPr>
        <w:t>专业的专业选修课</w:t>
      </w:r>
      <w:r>
        <w:rPr>
          <w:rFonts w:ascii="等线" w:hAnsi="等线" w:eastAsia="等线" w:cs="Times New Roman"/>
          <w:sz w:val="24"/>
          <w:szCs w:val="24"/>
        </w:rPr>
        <w:t>。</w:t>
      </w:r>
      <w:r>
        <w:rPr>
          <w:rFonts w:hint="default" w:ascii="等线" w:hAnsi="等线" w:eastAsia="等线" w:cs="Times New Roman"/>
          <w:sz w:val="24"/>
          <w:szCs w:val="24"/>
          <w:lang w:val="en-US" w:eastAsia="zh-CN"/>
        </w:rPr>
        <w:t>本课程坚持立德树人的根本宗旨，坚持课程思政的教育理念。</w:t>
      </w:r>
      <w:r>
        <w:rPr>
          <w:rFonts w:ascii="等线" w:hAnsi="等线" w:eastAsia="等线" w:cs="Times New Roman"/>
          <w:sz w:val="24"/>
          <w:szCs w:val="24"/>
        </w:rPr>
        <w:t>通过课堂和课外的练习，使学生的书写水平有明显提高，掌握</w:t>
      </w:r>
      <w:r>
        <w:rPr>
          <w:rFonts w:hint="eastAsia" w:ascii="等线" w:hAnsi="等线" w:eastAsia="等线" w:cs="Times New Roman"/>
          <w:sz w:val="24"/>
          <w:szCs w:val="24"/>
          <w:lang w:eastAsia="zh-CN"/>
        </w:rPr>
        <w:t>硬笔</w:t>
      </w:r>
      <w:r>
        <w:rPr>
          <w:rFonts w:ascii="等线" w:hAnsi="等线" w:eastAsia="等线" w:cs="Times New Roman"/>
          <w:sz w:val="24"/>
          <w:szCs w:val="24"/>
        </w:rPr>
        <w:t>楷书</w:t>
      </w:r>
      <w:r>
        <w:rPr>
          <w:rFonts w:hint="eastAsia" w:ascii="等线" w:hAnsi="等线" w:eastAsia="等线" w:cs="Times New Roman"/>
          <w:sz w:val="24"/>
          <w:szCs w:val="24"/>
          <w:lang w:eastAsia="zh-CN"/>
        </w:rPr>
        <w:t>书写、黑板粉笔字楷书书写的</w:t>
      </w:r>
      <w:r>
        <w:rPr>
          <w:rFonts w:ascii="等线" w:hAnsi="等线" w:eastAsia="等线" w:cs="Times New Roman"/>
          <w:sz w:val="24"/>
          <w:szCs w:val="24"/>
        </w:rPr>
        <w:t>基本技能，满足工作的日常需要。</w:t>
      </w:r>
    </w:p>
    <w:p w14:paraId="28B84F8E">
      <w:pPr>
        <w:autoSpaceDE w:val="0"/>
        <w:autoSpaceDN w:val="0"/>
        <w:adjustRightInd w:val="0"/>
        <w:spacing w:line="360" w:lineRule="auto"/>
        <w:ind w:firstLine="480" w:firstLineChars="200"/>
        <w:jc w:val="left"/>
        <w:rPr>
          <w:rFonts w:ascii="等线" w:hAnsi="等线" w:eastAsia="等线" w:cs="Times New Roman"/>
          <w:sz w:val="24"/>
          <w:szCs w:val="24"/>
        </w:rPr>
      </w:pPr>
    </w:p>
    <w:p w14:paraId="41E5070D">
      <w:pPr>
        <w:numPr>
          <w:ilvl w:val="0"/>
          <w:numId w:val="0"/>
        </w:numPr>
        <w:spacing w:line="360" w:lineRule="auto"/>
        <w:rPr>
          <w:rFonts w:ascii="等线" w:hAnsi="等线" w:eastAsia="等线" w:cs="Times New Roman"/>
          <w:b/>
          <w:sz w:val="24"/>
          <w:szCs w:val="24"/>
        </w:rPr>
      </w:pPr>
      <w:r>
        <w:rPr>
          <w:rFonts w:hint="eastAsia" w:ascii="等线" w:hAnsi="等线" w:eastAsia="等线" w:cs="Times New Roman"/>
          <w:b/>
          <w:sz w:val="24"/>
          <w:szCs w:val="24"/>
          <w:lang w:eastAsia="zh-CN"/>
        </w:rPr>
        <w:t>二、</w:t>
      </w:r>
      <w:r>
        <w:rPr>
          <w:rFonts w:ascii="等线" w:hAnsi="等线" w:eastAsia="等线" w:cs="Times New Roman"/>
          <w:b/>
          <w:sz w:val="24"/>
          <w:szCs w:val="24"/>
        </w:rPr>
        <w:t>课程目标</w:t>
      </w:r>
    </w:p>
    <w:p w14:paraId="3B00BE7F">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311541C">
      <w:pPr>
        <w:autoSpaceDE w:val="0"/>
        <w:autoSpaceDN w:val="0"/>
        <w:adjustRightInd w:val="0"/>
        <w:snapToGrid w:val="0"/>
        <w:spacing w:line="360" w:lineRule="auto"/>
        <w:ind w:firstLine="480" w:firstLineChars="200"/>
        <w:rPr>
          <w:rFonts w:ascii="等线" w:hAnsi="等线" w:eastAsia="等线" w:cs="Times New Roman"/>
          <w:sz w:val="24"/>
          <w:szCs w:val="24"/>
        </w:rPr>
      </w:pPr>
      <w:r>
        <w:rPr>
          <w:rFonts w:ascii="等线" w:hAnsi="等线" w:eastAsia="等线" w:cs="Times New Roman"/>
          <w:sz w:val="24"/>
          <w:szCs w:val="24"/>
        </w:rPr>
        <w:t>目标1. 通过讲解和训练，要求学生进一步认识写好汉字的重要意义。</w:t>
      </w:r>
      <w:r>
        <w:rPr>
          <w:rFonts w:hint="eastAsia" w:ascii="等线" w:hAnsi="等线" w:eastAsia="等线" w:cs="Times New Roman"/>
          <w:sz w:val="24"/>
          <w:szCs w:val="24"/>
        </w:rPr>
        <w:t>体会书法是中华民族传统文化的瑰宝，培养爱国主义精神。</w:t>
      </w:r>
    </w:p>
    <w:p w14:paraId="2701B902">
      <w:pPr>
        <w:adjustRightInd w:val="0"/>
        <w:snapToGrid w:val="0"/>
        <w:spacing w:line="360" w:lineRule="auto"/>
        <w:ind w:firstLine="480" w:firstLineChars="200"/>
        <w:rPr>
          <w:rFonts w:ascii="等线" w:hAnsi="等线" w:eastAsia="等线" w:cs="Times New Roman"/>
          <w:sz w:val="24"/>
          <w:szCs w:val="24"/>
        </w:rPr>
      </w:pPr>
      <w:r>
        <w:rPr>
          <w:rFonts w:ascii="等线" w:hAnsi="等线" w:eastAsia="等线" w:cs="Times New Roman"/>
          <w:sz w:val="24"/>
          <w:szCs w:val="24"/>
        </w:rPr>
        <w:t>目标2. 学会掌握汉字的点画、形体和书写特点。</w:t>
      </w:r>
    </w:p>
    <w:p w14:paraId="50633CA3">
      <w:pPr>
        <w:adjustRightInd w:val="0"/>
        <w:snapToGrid w:val="0"/>
        <w:spacing w:line="360" w:lineRule="auto"/>
        <w:ind w:firstLine="480" w:firstLineChars="200"/>
        <w:rPr>
          <w:rFonts w:ascii="等线" w:hAnsi="等线" w:eastAsia="等线" w:cs="Times New Roman"/>
          <w:sz w:val="24"/>
          <w:szCs w:val="24"/>
        </w:rPr>
      </w:pPr>
      <w:r>
        <w:rPr>
          <w:rFonts w:ascii="等线" w:hAnsi="等线" w:eastAsia="等线" w:cs="Times New Roman"/>
          <w:sz w:val="24"/>
          <w:szCs w:val="24"/>
        </w:rPr>
        <w:t>目标3. 掌握</w:t>
      </w:r>
      <w:r>
        <w:rPr>
          <w:rFonts w:hint="eastAsia" w:ascii="等线" w:hAnsi="等线" w:eastAsia="等线" w:cs="Times New Roman"/>
          <w:sz w:val="24"/>
          <w:szCs w:val="24"/>
          <w:lang w:eastAsia="zh-CN"/>
        </w:rPr>
        <w:t>硬笔</w:t>
      </w:r>
      <w:r>
        <w:rPr>
          <w:rFonts w:ascii="等线" w:hAnsi="等线" w:eastAsia="等线" w:cs="Times New Roman"/>
          <w:sz w:val="24"/>
          <w:szCs w:val="24"/>
        </w:rPr>
        <w:t>书写技能，在此基础上学习掌握</w:t>
      </w:r>
      <w:r>
        <w:rPr>
          <w:rFonts w:hint="eastAsia" w:ascii="等线" w:hAnsi="等线" w:eastAsia="等线" w:cs="Times New Roman"/>
          <w:sz w:val="24"/>
          <w:szCs w:val="24"/>
          <w:lang w:eastAsia="zh-CN"/>
        </w:rPr>
        <w:t>提高粉笔</w:t>
      </w:r>
      <w:r>
        <w:rPr>
          <w:rFonts w:ascii="等线" w:hAnsi="等线" w:eastAsia="等线" w:cs="Times New Roman"/>
          <w:sz w:val="24"/>
          <w:szCs w:val="24"/>
        </w:rPr>
        <w:t>书写技能。</w:t>
      </w:r>
    </w:p>
    <w:p w14:paraId="6ED5CB21">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AE6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4C67FDD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noWrap w:val="0"/>
            <w:vAlign w:val="center"/>
          </w:tcPr>
          <w:p w14:paraId="4B89D2B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noWrap w:val="0"/>
            <w:vAlign w:val="center"/>
          </w:tcPr>
          <w:p w14:paraId="4213901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508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6AEC918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noWrap w:val="0"/>
            <w:vAlign w:val="center"/>
          </w:tcPr>
          <w:p w14:paraId="1B01B4E4">
            <w:pPr>
              <w:autoSpaceDE w:val="0"/>
              <w:autoSpaceDN w:val="0"/>
              <w:adjustRightInd w:val="0"/>
              <w:snapToGrid w:val="0"/>
              <w:spacing w:line="336" w:lineRule="auto"/>
              <w:rPr>
                <w:rFonts w:hint="eastAsia" w:ascii="等线" w:hAnsi="等线" w:eastAsia="等线" w:cs="宋体"/>
                <w:sz w:val="22"/>
                <w:szCs w:val="22"/>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w:t>
            </w:r>
            <w:r>
              <w:rPr>
                <w:rFonts w:hint="eastAsia" w:ascii="宋体" w:hAnsi="宋体" w:eastAsia="等线" w:cs="宋体"/>
                <w:sz w:val="22"/>
                <w:szCs w:val="22"/>
              </w:rPr>
              <w:t>准确把握习近平新时代中国特色社会主义思想内涵，高度认识其对中国式现代化建设的指导意义，形成对中国特色社会主义的思想认同、政治认同、理论认同和情感认同，践行社会主义核心价值观。树立坚定贯彻党的教育方针、落实立德树人根本任务的自觉性。具有良好的道德修养，遵守中小学教师职业道德规范和《新时代中小学教师职业行为十项准则》，依法执教，立志成为有理想信念、道德情操、扎实学识、有仁爱之心，受学生爱戴的好老师。</w:t>
            </w:r>
            <w:r>
              <w:rPr>
                <w:rFonts w:hint="eastAsia" w:ascii="等线" w:hAnsi="等线" w:eastAsia="等线" w:cs="宋体"/>
                <w:sz w:val="22"/>
                <w:szCs w:val="22"/>
              </w:rPr>
              <w:t xml:space="preserve">  </w:t>
            </w:r>
          </w:p>
          <w:p w14:paraId="1348486E">
            <w:pPr>
              <w:spacing w:line="276" w:lineRule="auto"/>
              <w:jc w:val="left"/>
              <w:rPr>
                <w:rFonts w:ascii="Times New Roman" w:hAnsi="Times New Roman" w:eastAsia="宋体" w:cs="Times New Roman"/>
                <w:szCs w:val="21"/>
              </w:rPr>
            </w:pPr>
          </w:p>
        </w:tc>
        <w:tc>
          <w:tcPr>
            <w:tcW w:w="1191" w:type="dxa"/>
            <w:noWrap w:val="0"/>
            <w:vAlign w:val="center"/>
          </w:tcPr>
          <w:p w14:paraId="49A9AAA7">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等线" w:hAnsi="等线" w:eastAsia="等线" w:cs="Times New Roman"/>
                <w:szCs w:val="21"/>
                <w:lang w:val="en-US" w:eastAsia="zh-CN"/>
              </w:rPr>
              <w:t>1</w:t>
            </w:r>
          </w:p>
        </w:tc>
      </w:tr>
      <w:tr w14:paraId="2E91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7D90B45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noWrap w:val="0"/>
            <w:vAlign w:val="center"/>
          </w:tcPr>
          <w:p w14:paraId="68DE5D0B">
            <w:pPr>
              <w:autoSpaceDE w:val="0"/>
              <w:autoSpaceDN w:val="0"/>
              <w:adjustRightInd w:val="0"/>
              <w:snapToGrid w:val="0"/>
              <w:spacing w:line="336" w:lineRule="auto"/>
              <w:rPr>
                <w:rFonts w:hint="eastAsia" w:ascii="宋体" w:hAnsi="宋体" w:eastAsia="等线" w:cs="宋体"/>
                <w:sz w:val="22"/>
                <w:szCs w:val="22"/>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w:t>
            </w:r>
            <w:r>
              <w:rPr>
                <w:rFonts w:hint="eastAsia" w:ascii="宋体" w:hAnsi="宋体" w:eastAsia="等线" w:cs="宋体"/>
                <w:sz w:val="22"/>
                <w:szCs w:val="22"/>
              </w:rPr>
              <w:t>秉持“坚忍诚勇，立己达人”的师范精神，具有高尚的人格品质和心理健康素养、良好的人文</w:t>
            </w:r>
            <w:r>
              <w:rPr>
                <w:rFonts w:hint="eastAsia" w:ascii="等线" w:hAnsi="等线" w:eastAsia="等线" w:cs="宋体"/>
                <w:sz w:val="22"/>
                <w:szCs w:val="22"/>
              </w:rPr>
              <w:t>艺术</w:t>
            </w:r>
            <w:r>
              <w:rPr>
                <w:rFonts w:hint="eastAsia" w:ascii="宋体" w:hAnsi="宋体" w:eastAsia="等线" w:cs="宋体"/>
                <w:sz w:val="22"/>
                <w:szCs w:val="22"/>
              </w:rPr>
              <w:t>底蕴和科学精神以及服务基层教育的情怀，爱岗敬业，积极践行教育家精神，关心爱护学生、理解尊重学生，富有爱心、责任心、事业心，工作细心、耐心，做学生</w:t>
            </w:r>
            <w:r>
              <w:rPr>
                <w:rFonts w:hint="eastAsia" w:ascii="等线" w:hAnsi="等线" w:eastAsia="等线" w:cs="宋体"/>
                <w:sz w:val="22"/>
                <w:szCs w:val="22"/>
              </w:rPr>
              <w:t>锤炼品格、学习知识、创新思维、奉献祖国</w:t>
            </w:r>
            <w:r>
              <w:rPr>
                <w:rFonts w:hint="eastAsia" w:ascii="宋体" w:hAnsi="宋体" w:eastAsia="等线" w:cs="宋体"/>
                <w:sz w:val="22"/>
                <w:szCs w:val="22"/>
              </w:rPr>
              <w:t>的引路人。</w:t>
            </w:r>
          </w:p>
          <w:p w14:paraId="58599DF5">
            <w:pPr>
              <w:spacing w:line="276" w:lineRule="auto"/>
              <w:jc w:val="left"/>
              <w:rPr>
                <w:rFonts w:ascii="Times New Roman" w:hAnsi="Times New Roman" w:eastAsia="宋体" w:cs="Times New Roman"/>
                <w:szCs w:val="21"/>
              </w:rPr>
            </w:pPr>
          </w:p>
        </w:tc>
        <w:tc>
          <w:tcPr>
            <w:tcW w:w="1191" w:type="dxa"/>
            <w:noWrap w:val="0"/>
            <w:vAlign w:val="center"/>
          </w:tcPr>
          <w:p w14:paraId="351E942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ascii="等线" w:hAnsi="等线" w:eastAsia="等线" w:cs="Times New Roman"/>
                <w:szCs w:val="21"/>
                <w:lang w:val="en-US" w:eastAsia="zh-CN"/>
              </w:rPr>
              <w:t>2、</w:t>
            </w:r>
            <w:r>
              <w:rPr>
                <w:rFonts w:hint="eastAsia" w:ascii="Times New Roman" w:hAnsi="Times New Roman" w:eastAsia="宋体" w:cs="Times New Roman"/>
                <w:szCs w:val="21"/>
              </w:rPr>
              <w:t>3</w:t>
            </w:r>
          </w:p>
        </w:tc>
      </w:tr>
      <w:tr w14:paraId="46D9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17C61B6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noWrap w:val="0"/>
            <w:vAlign w:val="center"/>
          </w:tcPr>
          <w:p w14:paraId="302AA79F">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3-3：【教育教学知识牢固】掌握教育教学基本理论知识，熟悉所教学科课程标准和教材、教学内容。在教育教学实践中，具有一定的教材解读能力，具有依据课标进行教学的意识和习惯。</w:t>
            </w:r>
          </w:p>
        </w:tc>
        <w:tc>
          <w:tcPr>
            <w:tcW w:w="1191" w:type="dxa"/>
            <w:noWrap w:val="0"/>
            <w:vAlign w:val="center"/>
          </w:tcPr>
          <w:p w14:paraId="2F645BC0">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等线" w:hAnsi="等线" w:eastAsia="等线" w:cs="Times New Roman"/>
                <w:szCs w:val="21"/>
                <w:lang w:val="en-US" w:eastAsia="zh-CN"/>
              </w:rPr>
              <w:t>2、3</w:t>
            </w:r>
          </w:p>
        </w:tc>
      </w:tr>
    </w:tbl>
    <w:p w14:paraId="2D7A9A53">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105AEB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w:t>
      </w:r>
      <w:r>
        <w:rPr>
          <w:rFonts w:hint="eastAsia" w:ascii="宋体" w:hAnsi="宋体" w:eastAsia="等线" w:cs="Times New Roman"/>
          <w:color w:val="000000"/>
          <w:szCs w:val="21"/>
          <w:lang w:eastAsia="zh-CN"/>
        </w:rPr>
        <w:t>。</w:t>
      </w:r>
    </w:p>
    <w:p w14:paraId="7B630607">
      <w:pPr>
        <w:spacing w:line="360" w:lineRule="auto"/>
        <w:jc w:val="left"/>
        <w:rPr>
          <w:rFonts w:ascii="宋体" w:hAnsi="宋体" w:eastAsia="宋体" w:cs="Times New Roman"/>
          <w:b/>
          <w:color w:val="000000"/>
          <w:sz w:val="21"/>
          <w:szCs w:val="21"/>
        </w:rPr>
      </w:pPr>
      <w:r>
        <w:rPr>
          <w:rFonts w:hint="eastAsia" w:ascii="宋体" w:hAnsi="宋体" w:eastAsia="宋体" w:cs="Times New Roman"/>
          <w:b/>
          <w:color w:val="000000"/>
          <w:sz w:val="21"/>
          <w:szCs w:val="21"/>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956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1D4D96BF">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知识</w:t>
            </w:r>
          </w:p>
          <w:p w14:paraId="7BD5E129">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单元</w:t>
            </w:r>
          </w:p>
        </w:tc>
        <w:tc>
          <w:tcPr>
            <w:tcW w:w="1701" w:type="dxa"/>
            <w:noWrap w:val="0"/>
            <w:vAlign w:val="center"/>
          </w:tcPr>
          <w:p w14:paraId="5438CC30">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知识点</w:t>
            </w:r>
          </w:p>
        </w:tc>
        <w:tc>
          <w:tcPr>
            <w:tcW w:w="1134" w:type="dxa"/>
            <w:noWrap w:val="0"/>
            <w:vAlign w:val="center"/>
          </w:tcPr>
          <w:p w14:paraId="75767502">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对应</w:t>
            </w:r>
          </w:p>
          <w:p w14:paraId="69767FB5">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课程目标</w:t>
            </w:r>
          </w:p>
        </w:tc>
        <w:tc>
          <w:tcPr>
            <w:tcW w:w="3260" w:type="dxa"/>
            <w:noWrap w:val="0"/>
            <w:vAlign w:val="center"/>
          </w:tcPr>
          <w:p w14:paraId="3050EEC2">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预期学习成效</w:t>
            </w:r>
          </w:p>
        </w:tc>
        <w:tc>
          <w:tcPr>
            <w:tcW w:w="1560" w:type="dxa"/>
            <w:noWrap w:val="0"/>
            <w:vAlign w:val="center"/>
          </w:tcPr>
          <w:p w14:paraId="1C978A3F">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实现环节</w:t>
            </w:r>
          </w:p>
        </w:tc>
        <w:tc>
          <w:tcPr>
            <w:tcW w:w="438" w:type="dxa"/>
            <w:noWrap w:val="0"/>
            <w:vAlign w:val="center"/>
          </w:tcPr>
          <w:p w14:paraId="7C09C6C9">
            <w:pPr>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学时</w:t>
            </w:r>
          </w:p>
        </w:tc>
      </w:tr>
      <w:tr w14:paraId="376E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2EF7DAFB">
            <w:pPr>
              <w:adjustRightInd w:val="0"/>
              <w:snapToGrid w:val="0"/>
              <w:spacing w:line="360" w:lineRule="auto"/>
              <w:rPr>
                <w:rFonts w:ascii="等线" w:hAnsi="等线" w:eastAsia="等线" w:cs="Times New Roman"/>
                <w:b/>
                <w:bCs/>
                <w:sz w:val="21"/>
                <w:szCs w:val="21"/>
              </w:rPr>
            </w:pPr>
            <w:r>
              <w:rPr>
                <w:rFonts w:hint="eastAsia" w:ascii="宋体" w:hAnsi="宋体" w:eastAsia="宋体" w:cs="Times New Roman"/>
                <w:color w:val="000000"/>
                <w:sz w:val="21"/>
                <w:szCs w:val="21"/>
              </w:rPr>
              <w:t>1</w:t>
            </w:r>
            <w:r>
              <w:rPr>
                <w:rFonts w:hint="eastAsia" w:ascii="宋体" w:hAnsi="宋体" w:eastAsia="宋体" w:cs="Times New Roman"/>
                <w:b w:val="0"/>
                <w:bCs w:val="0"/>
                <w:color w:val="000000"/>
                <w:sz w:val="21"/>
                <w:szCs w:val="21"/>
              </w:rPr>
              <w:t>.</w:t>
            </w:r>
            <w:r>
              <w:rPr>
                <w:rFonts w:ascii="等线" w:hAnsi="等线" w:eastAsia="等线" w:cs="Times New Roman"/>
                <w:b w:val="0"/>
                <w:bCs w:val="0"/>
                <w:sz w:val="21"/>
                <w:szCs w:val="21"/>
              </w:rPr>
              <w:t>绪论</w:t>
            </w:r>
          </w:p>
          <w:p w14:paraId="777CB7FB">
            <w:pPr>
              <w:spacing w:line="264" w:lineRule="auto"/>
              <w:jc w:val="center"/>
              <w:rPr>
                <w:rFonts w:ascii="宋体" w:hAnsi="宋体" w:eastAsia="宋体" w:cs="Times New Roman"/>
                <w:color w:val="000000"/>
                <w:sz w:val="21"/>
                <w:szCs w:val="21"/>
              </w:rPr>
            </w:pPr>
          </w:p>
        </w:tc>
        <w:tc>
          <w:tcPr>
            <w:tcW w:w="1701" w:type="dxa"/>
            <w:noWrap w:val="0"/>
            <w:vAlign w:val="center"/>
          </w:tcPr>
          <w:p w14:paraId="75E4DFB8">
            <w:pPr>
              <w:adjustRightInd w:val="0"/>
              <w:snapToGrid w:val="0"/>
              <w:spacing w:line="360" w:lineRule="auto"/>
              <w:rPr>
                <w:rFonts w:ascii="等线" w:hAnsi="等线" w:eastAsia="等线" w:cs="Times New Roman"/>
                <w:sz w:val="21"/>
                <w:szCs w:val="21"/>
              </w:rPr>
            </w:pPr>
            <w:r>
              <w:rPr>
                <w:rFonts w:ascii="等线" w:hAnsi="等线" w:eastAsia="等线" w:cs="Times New Roman"/>
                <w:sz w:val="21"/>
                <w:szCs w:val="21"/>
              </w:rPr>
              <w:t>（1）</w:t>
            </w:r>
            <w:r>
              <w:rPr>
                <w:rFonts w:hint="eastAsia" w:ascii="等线" w:hAnsi="等线" w:eastAsia="等线" w:cs="Times New Roman"/>
                <w:sz w:val="21"/>
                <w:szCs w:val="21"/>
                <w:lang w:eastAsia="zh-CN"/>
              </w:rPr>
              <w:t>硬笔</w:t>
            </w:r>
            <w:r>
              <w:rPr>
                <w:rFonts w:ascii="等线" w:hAnsi="等线" w:eastAsia="等线" w:cs="Times New Roman"/>
                <w:sz w:val="21"/>
                <w:szCs w:val="21"/>
              </w:rPr>
              <w:t>书法的作用、特点</w:t>
            </w:r>
          </w:p>
          <w:p w14:paraId="350DA68A">
            <w:pPr>
              <w:adjustRightInd w:val="0"/>
              <w:snapToGrid w:val="0"/>
              <w:spacing w:line="360" w:lineRule="auto"/>
              <w:rPr>
                <w:rFonts w:ascii="等线" w:hAnsi="等线" w:eastAsia="等线" w:cs="Times New Roman"/>
                <w:sz w:val="21"/>
                <w:szCs w:val="21"/>
              </w:rPr>
            </w:pPr>
            <w:r>
              <w:rPr>
                <w:rFonts w:ascii="等线" w:hAnsi="等线" w:eastAsia="等线" w:cs="Times New Roman"/>
                <w:sz w:val="21"/>
                <w:szCs w:val="21"/>
              </w:rPr>
              <w:t>（2）</w:t>
            </w:r>
            <w:r>
              <w:rPr>
                <w:rFonts w:hint="eastAsia" w:ascii="等线" w:hAnsi="等线" w:eastAsia="等线" w:cs="Times New Roman"/>
                <w:sz w:val="21"/>
                <w:szCs w:val="21"/>
                <w:lang w:eastAsia="zh-CN"/>
              </w:rPr>
              <w:t>硬笔</w:t>
            </w:r>
            <w:r>
              <w:rPr>
                <w:rFonts w:ascii="等线" w:hAnsi="等线" w:eastAsia="等线" w:cs="Times New Roman"/>
                <w:sz w:val="21"/>
                <w:szCs w:val="21"/>
              </w:rPr>
              <w:t>书法与毛笔书法的区别与联系</w:t>
            </w:r>
          </w:p>
          <w:p w14:paraId="25FBE78D">
            <w:pPr>
              <w:adjustRightInd w:val="0"/>
              <w:snapToGrid w:val="0"/>
              <w:spacing w:line="360" w:lineRule="auto"/>
              <w:rPr>
                <w:rFonts w:ascii="等线" w:hAnsi="等线" w:eastAsia="等线" w:cs="Times New Roman"/>
                <w:sz w:val="21"/>
                <w:szCs w:val="21"/>
              </w:rPr>
            </w:pPr>
            <w:r>
              <w:rPr>
                <w:rFonts w:ascii="等线" w:hAnsi="等线" w:eastAsia="等线" w:cs="Times New Roman"/>
                <w:sz w:val="21"/>
                <w:szCs w:val="21"/>
              </w:rPr>
              <w:t>（3）握笔坐姿</w:t>
            </w:r>
          </w:p>
          <w:p w14:paraId="5DC19E3B">
            <w:pPr>
              <w:adjustRightInd w:val="0"/>
              <w:snapToGrid w:val="0"/>
              <w:spacing w:line="360" w:lineRule="auto"/>
              <w:rPr>
                <w:rFonts w:ascii="等线" w:hAnsi="等线" w:eastAsia="等线" w:cs="Times New Roman"/>
                <w:sz w:val="21"/>
                <w:szCs w:val="21"/>
              </w:rPr>
            </w:pPr>
            <w:r>
              <w:rPr>
                <w:rFonts w:ascii="等线" w:hAnsi="等线" w:eastAsia="等线" w:cs="Times New Roman"/>
                <w:sz w:val="21"/>
                <w:szCs w:val="21"/>
              </w:rPr>
              <w:t>（4）</w:t>
            </w:r>
            <w:r>
              <w:rPr>
                <w:rFonts w:hint="eastAsia" w:ascii="等线" w:hAnsi="等线" w:eastAsia="等线" w:cs="Times New Roman"/>
                <w:sz w:val="21"/>
                <w:szCs w:val="21"/>
                <w:lang w:eastAsia="zh-CN"/>
              </w:rPr>
              <w:t>硬笔</w:t>
            </w:r>
            <w:r>
              <w:rPr>
                <w:rFonts w:ascii="等线" w:hAnsi="等线" w:eastAsia="等线" w:cs="Times New Roman"/>
                <w:sz w:val="21"/>
                <w:szCs w:val="21"/>
              </w:rPr>
              <w:t>书法的学习方法要求</w:t>
            </w:r>
          </w:p>
          <w:p w14:paraId="61A7657F">
            <w:pPr>
              <w:adjustRightInd w:val="0"/>
              <w:snapToGrid w:val="0"/>
              <w:spacing w:line="360" w:lineRule="auto"/>
              <w:rPr>
                <w:rFonts w:ascii="等线" w:hAnsi="等线" w:eastAsia="等线" w:cs="Times New Roman"/>
                <w:sz w:val="21"/>
                <w:szCs w:val="21"/>
              </w:rPr>
            </w:pPr>
            <w:r>
              <w:rPr>
                <w:rFonts w:hint="eastAsia" w:ascii="等线" w:hAnsi="等线" w:eastAsia="等线" w:cs="Times New Roman"/>
                <w:sz w:val="21"/>
                <w:szCs w:val="21"/>
              </w:rPr>
              <w:t>（5）书法与传统文化</w:t>
            </w:r>
          </w:p>
          <w:p w14:paraId="1A35616B">
            <w:pPr>
              <w:spacing w:line="269" w:lineRule="auto"/>
              <w:jc w:val="left"/>
              <w:rPr>
                <w:rFonts w:ascii="宋体" w:hAnsi="宋体" w:eastAsia="宋体" w:cs="Times New Roman"/>
                <w:color w:val="000000"/>
                <w:sz w:val="21"/>
                <w:szCs w:val="21"/>
              </w:rPr>
            </w:pPr>
          </w:p>
        </w:tc>
        <w:tc>
          <w:tcPr>
            <w:tcW w:w="1134" w:type="dxa"/>
            <w:noWrap w:val="0"/>
            <w:vAlign w:val="center"/>
          </w:tcPr>
          <w:p w14:paraId="5B1AA19F">
            <w:pPr>
              <w:spacing w:line="269"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课程目标1</w:t>
            </w:r>
          </w:p>
        </w:tc>
        <w:tc>
          <w:tcPr>
            <w:tcW w:w="3260" w:type="dxa"/>
            <w:noWrap w:val="0"/>
            <w:vAlign w:val="center"/>
          </w:tcPr>
          <w:p w14:paraId="5525E385">
            <w:pPr>
              <w:numPr>
                <w:ilvl w:val="0"/>
                <w:numId w:val="31"/>
              </w:numPr>
              <w:adjustRightInd w:val="0"/>
              <w:snapToGrid w:val="0"/>
              <w:spacing w:line="360" w:lineRule="auto"/>
              <w:ind w:left="480" w:hanging="420" w:hangingChars="200"/>
              <w:rPr>
                <w:rFonts w:ascii="等线" w:hAnsi="等线" w:eastAsia="等线" w:cs="Times New Roman"/>
                <w:sz w:val="21"/>
                <w:szCs w:val="21"/>
              </w:rPr>
            </w:pPr>
            <w:r>
              <w:rPr>
                <w:rFonts w:ascii="等线" w:hAnsi="等线" w:eastAsia="等线" w:cs="Times New Roman"/>
                <w:sz w:val="21"/>
                <w:szCs w:val="21"/>
              </w:rPr>
              <w:t>了解</w:t>
            </w:r>
            <w:r>
              <w:rPr>
                <w:rFonts w:hint="eastAsia" w:ascii="等线" w:hAnsi="等线" w:eastAsia="等线" w:cs="Times New Roman"/>
                <w:sz w:val="21"/>
                <w:szCs w:val="21"/>
                <w:lang w:eastAsia="zh-CN"/>
              </w:rPr>
              <w:t>硬笔</w:t>
            </w:r>
            <w:r>
              <w:rPr>
                <w:rFonts w:ascii="等线" w:hAnsi="等线" w:eastAsia="等线" w:cs="Times New Roman"/>
                <w:sz w:val="21"/>
                <w:szCs w:val="21"/>
              </w:rPr>
              <w:t>书法对于本专业作用</w:t>
            </w:r>
          </w:p>
          <w:p w14:paraId="4DF84284">
            <w:pPr>
              <w:numPr>
                <w:ilvl w:val="0"/>
                <w:numId w:val="31"/>
              </w:numPr>
              <w:adjustRightInd w:val="0"/>
              <w:snapToGrid w:val="0"/>
              <w:spacing w:line="360" w:lineRule="auto"/>
              <w:ind w:left="480" w:hanging="420" w:hangingChars="200"/>
              <w:rPr>
                <w:rFonts w:ascii="等线" w:hAnsi="等线" w:eastAsia="等线" w:cs="Times New Roman"/>
                <w:sz w:val="21"/>
                <w:szCs w:val="21"/>
              </w:rPr>
            </w:pPr>
            <w:r>
              <w:rPr>
                <w:rFonts w:ascii="等线" w:hAnsi="等线" w:eastAsia="等线" w:cs="Times New Roman"/>
                <w:sz w:val="21"/>
                <w:szCs w:val="21"/>
              </w:rPr>
              <w:t>书法的基本特点和学习方法</w:t>
            </w:r>
          </w:p>
          <w:p w14:paraId="24DA2E8F">
            <w:pPr>
              <w:numPr>
                <w:ilvl w:val="0"/>
                <w:numId w:val="31"/>
              </w:numPr>
              <w:adjustRightInd w:val="0"/>
              <w:snapToGrid w:val="0"/>
              <w:spacing w:line="360" w:lineRule="auto"/>
              <w:ind w:left="480" w:hanging="420" w:hangingChars="200"/>
              <w:rPr>
                <w:rFonts w:ascii="等线" w:hAnsi="等线" w:eastAsia="等线" w:cs="Times New Roman"/>
                <w:sz w:val="21"/>
                <w:szCs w:val="21"/>
              </w:rPr>
            </w:pPr>
            <w:r>
              <w:rPr>
                <w:rFonts w:hint="eastAsia" w:ascii="等线" w:hAnsi="等线" w:eastAsia="等线" w:cs="Times New Roman"/>
                <w:sz w:val="21"/>
                <w:szCs w:val="21"/>
                <w:lang w:eastAsia="zh-CN"/>
              </w:rPr>
              <w:t>硬笔</w:t>
            </w:r>
            <w:r>
              <w:rPr>
                <w:rFonts w:ascii="等线" w:hAnsi="等线" w:eastAsia="等线" w:cs="Times New Roman"/>
                <w:sz w:val="21"/>
                <w:szCs w:val="21"/>
              </w:rPr>
              <w:t>书法与毛笔书法的区别与联系</w:t>
            </w:r>
          </w:p>
          <w:p w14:paraId="2CCA21E5">
            <w:pPr>
              <w:adjustRightInd w:val="0"/>
              <w:snapToGrid w:val="0"/>
              <w:spacing w:line="360" w:lineRule="auto"/>
              <w:ind w:left="480" w:hanging="420" w:hangingChars="200"/>
              <w:rPr>
                <w:rFonts w:ascii="宋体" w:hAnsi="宋体" w:eastAsia="宋体" w:cs="Times New Roman"/>
                <w:color w:val="000000"/>
                <w:sz w:val="21"/>
                <w:szCs w:val="21"/>
              </w:rPr>
            </w:pPr>
          </w:p>
        </w:tc>
        <w:tc>
          <w:tcPr>
            <w:tcW w:w="1560" w:type="dxa"/>
            <w:noWrap w:val="0"/>
            <w:vAlign w:val="center"/>
          </w:tcPr>
          <w:p w14:paraId="3813D8EF">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1.线上学习</w:t>
            </w:r>
          </w:p>
          <w:p w14:paraId="25E73ED6">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2.多媒体教学3.课堂讨论</w:t>
            </w:r>
          </w:p>
          <w:p w14:paraId="1B7257CA">
            <w:pPr>
              <w:spacing w:line="269" w:lineRule="auto"/>
              <w:jc w:val="left"/>
              <w:rPr>
                <w:rFonts w:ascii="宋体" w:hAnsi="宋体" w:eastAsia="宋体" w:cs="Times New Roman"/>
                <w:color w:val="000000"/>
                <w:sz w:val="21"/>
                <w:szCs w:val="21"/>
              </w:rPr>
            </w:pPr>
          </w:p>
        </w:tc>
        <w:tc>
          <w:tcPr>
            <w:tcW w:w="438" w:type="dxa"/>
            <w:noWrap w:val="0"/>
            <w:vAlign w:val="center"/>
          </w:tcPr>
          <w:p w14:paraId="15D35C7D">
            <w:pPr>
              <w:spacing w:line="269"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2</w:t>
            </w:r>
          </w:p>
        </w:tc>
      </w:tr>
      <w:tr w14:paraId="0DBA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3D6E5821">
            <w:pPr>
              <w:spacing w:line="264" w:lineRule="auto"/>
              <w:jc w:val="center"/>
              <w:rPr>
                <w:rFonts w:ascii="宋体" w:hAnsi="宋体" w:eastAsia="宋体" w:cs="Times New Roman"/>
                <w:color w:val="000000"/>
                <w:sz w:val="21"/>
                <w:szCs w:val="21"/>
              </w:rPr>
            </w:pPr>
          </w:p>
        </w:tc>
        <w:tc>
          <w:tcPr>
            <w:tcW w:w="8093" w:type="dxa"/>
            <w:gridSpan w:val="5"/>
            <w:noWrap w:val="0"/>
            <w:vAlign w:val="center"/>
          </w:tcPr>
          <w:p w14:paraId="664E3BD4">
            <w:pPr>
              <w:spacing w:line="269" w:lineRule="auto"/>
              <w:jc w:val="left"/>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hint="eastAsia" w:ascii="等线" w:hAnsi="等线" w:eastAsia="等线" w:cs="Times New Roman"/>
                <w:sz w:val="21"/>
                <w:szCs w:val="21"/>
                <w:lang w:eastAsia="zh-CN"/>
              </w:rPr>
              <w:t>了解书法艺术在中国文化中的重要地位、培养文化自信、民族自豪感</w:t>
            </w:r>
          </w:p>
        </w:tc>
      </w:tr>
      <w:tr w14:paraId="5E01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1340570C">
            <w:pPr>
              <w:adjustRightInd w:val="0"/>
              <w:snapToGrid w:val="0"/>
              <w:spacing w:line="360" w:lineRule="auto"/>
              <w:rPr>
                <w:rFonts w:hint="eastAsia" w:ascii="宋体" w:hAnsi="宋体" w:eastAsia="宋体" w:cs="宋体"/>
                <w:b w:val="0"/>
                <w:bCs w:val="0"/>
                <w:sz w:val="21"/>
                <w:szCs w:val="21"/>
              </w:rPr>
            </w:pPr>
            <w:r>
              <w:rPr>
                <w:rFonts w:hint="eastAsia" w:ascii="宋体" w:hAnsi="宋体" w:eastAsia="宋体" w:cs="Times New Roman"/>
                <w:b w:val="0"/>
                <w:bCs w:val="0"/>
                <w:color w:val="000000"/>
                <w:sz w:val="21"/>
                <w:szCs w:val="21"/>
              </w:rPr>
              <w:t>2.</w:t>
            </w:r>
            <w:r>
              <w:rPr>
                <w:rFonts w:hint="eastAsia" w:ascii="宋体" w:hAnsi="宋体" w:eastAsia="宋体" w:cs="宋体"/>
                <w:b w:val="0"/>
                <w:bCs w:val="0"/>
                <w:sz w:val="21"/>
                <w:szCs w:val="21"/>
                <w:lang w:eastAsia="zh-CN"/>
              </w:rPr>
              <w:t>硬笔</w:t>
            </w:r>
            <w:r>
              <w:rPr>
                <w:rFonts w:hint="eastAsia" w:ascii="宋体" w:hAnsi="宋体" w:eastAsia="宋体" w:cs="宋体"/>
                <w:b w:val="0"/>
                <w:bCs w:val="0"/>
                <w:sz w:val="21"/>
                <w:szCs w:val="21"/>
              </w:rPr>
              <w:t>楷书</w:t>
            </w:r>
          </w:p>
          <w:p w14:paraId="5A7F253C">
            <w:pPr>
              <w:spacing w:line="264" w:lineRule="auto"/>
              <w:jc w:val="center"/>
              <w:rPr>
                <w:rFonts w:ascii="宋体" w:hAnsi="宋体" w:eastAsia="宋体" w:cs="Times New Roman"/>
                <w:color w:val="000000"/>
                <w:sz w:val="21"/>
                <w:szCs w:val="21"/>
              </w:rPr>
            </w:pPr>
          </w:p>
        </w:tc>
        <w:tc>
          <w:tcPr>
            <w:tcW w:w="1701" w:type="dxa"/>
            <w:noWrap w:val="0"/>
            <w:vAlign w:val="center"/>
          </w:tcPr>
          <w:p w14:paraId="15C587E6">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（1）结构重心</w:t>
            </w:r>
          </w:p>
          <w:p w14:paraId="6A613858">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（2）起笔收笔</w:t>
            </w:r>
          </w:p>
          <w:p w14:paraId="45D9EB65">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（3）基本笔画练习</w:t>
            </w:r>
          </w:p>
          <w:p w14:paraId="2BDAB55A">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（4）偏旁部首练习</w:t>
            </w:r>
          </w:p>
          <w:p w14:paraId="0385E30F">
            <w:pPr>
              <w:adjustRightInd w:val="0"/>
              <w:snapToGrid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eastAsia="zh-CN"/>
              </w:rPr>
              <w:t>间架结构</w:t>
            </w:r>
          </w:p>
          <w:p w14:paraId="0ED4511D">
            <w:pPr>
              <w:adjustRightInd w:val="0"/>
              <w:snapToGrid w:val="0"/>
              <w:spacing w:line="360" w:lineRule="auto"/>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eastAsia="zh-CN"/>
              </w:rPr>
              <w:t>章法布局</w:t>
            </w:r>
          </w:p>
          <w:p w14:paraId="0EF02452">
            <w:pPr>
              <w:spacing w:line="269" w:lineRule="auto"/>
              <w:jc w:val="left"/>
              <w:rPr>
                <w:rFonts w:ascii="宋体" w:hAnsi="宋体" w:eastAsia="宋体" w:cs="Times New Roman"/>
                <w:color w:val="000000"/>
                <w:sz w:val="21"/>
                <w:szCs w:val="21"/>
              </w:rPr>
            </w:pPr>
          </w:p>
        </w:tc>
        <w:tc>
          <w:tcPr>
            <w:tcW w:w="1134" w:type="dxa"/>
            <w:noWrap w:val="0"/>
            <w:vAlign w:val="center"/>
          </w:tcPr>
          <w:p w14:paraId="292B41D6">
            <w:pPr>
              <w:spacing w:line="269"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课程目标</w:t>
            </w:r>
            <w:r>
              <w:rPr>
                <w:rFonts w:hint="eastAsia" w:ascii="宋体" w:hAnsi="宋体" w:eastAsia="等线" w:cs="Times New Roman"/>
                <w:color w:val="000000"/>
                <w:sz w:val="21"/>
                <w:szCs w:val="21"/>
                <w:lang w:val="en-US" w:eastAsia="zh-CN"/>
              </w:rPr>
              <w:t>2</w:t>
            </w:r>
            <w:r>
              <w:rPr>
                <w:rFonts w:hint="eastAsia" w:ascii="宋体" w:hAnsi="宋体" w:eastAsia="宋体" w:cs="Times New Roman"/>
                <w:color w:val="000000"/>
                <w:sz w:val="21"/>
                <w:szCs w:val="21"/>
              </w:rPr>
              <w:t>、3</w:t>
            </w:r>
          </w:p>
        </w:tc>
        <w:tc>
          <w:tcPr>
            <w:tcW w:w="3260" w:type="dxa"/>
            <w:noWrap w:val="0"/>
            <w:vAlign w:val="center"/>
          </w:tcPr>
          <w:p w14:paraId="7F8D032F">
            <w:pPr>
              <w:adjustRightInd w:val="0"/>
              <w:snapToGrid w:val="0"/>
              <w:spacing w:line="360" w:lineRule="auto"/>
              <w:ind w:firstLine="480"/>
              <w:rPr>
                <w:rFonts w:hint="eastAsia" w:ascii="宋体" w:hAnsi="宋体" w:eastAsia="宋体" w:cs="宋体"/>
                <w:sz w:val="21"/>
                <w:szCs w:val="21"/>
                <w:lang w:eastAsia="zh-CN"/>
              </w:rPr>
            </w:pPr>
            <w:r>
              <w:rPr>
                <w:rFonts w:hint="eastAsia" w:ascii="宋体" w:hAnsi="宋体" w:eastAsia="宋体" w:cs="宋体"/>
                <w:sz w:val="21"/>
                <w:szCs w:val="21"/>
              </w:rPr>
              <w:t>通过练习，要求学生了解</w:t>
            </w:r>
            <w:r>
              <w:rPr>
                <w:rFonts w:hint="eastAsia" w:ascii="宋体" w:hAnsi="宋体" w:eastAsia="宋体" w:cs="宋体"/>
                <w:sz w:val="21"/>
                <w:szCs w:val="21"/>
                <w:lang w:eastAsia="zh-CN"/>
              </w:rPr>
              <w:t>硬笔</w:t>
            </w:r>
            <w:r>
              <w:rPr>
                <w:rFonts w:hint="eastAsia" w:ascii="宋体" w:hAnsi="宋体" w:eastAsia="宋体" w:cs="宋体"/>
                <w:sz w:val="21"/>
                <w:szCs w:val="21"/>
              </w:rPr>
              <w:t>楷书起笔收笔</w:t>
            </w:r>
            <w:r>
              <w:rPr>
                <w:rFonts w:hint="eastAsia" w:ascii="宋体" w:hAnsi="宋体" w:eastAsia="宋体" w:cs="宋体"/>
                <w:sz w:val="21"/>
                <w:szCs w:val="21"/>
                <w:lang w:eastAsia="zh-CN"/>
              </w:rPr>
              <w:t>、基本笔画、偏旁部首、间架结构</w:t>
            </w:r>
            <w:r>
              <w:rPr>
                <w:rFonts w:hint="eastAsia" w:ascii="宋体" w:hAnsi="宋体" w:eastAsia="宋体" w:cs="宋体"/>
                <w:sz w:val="21"/>
                <w:szCs w:val="21"/>
              </w:rPr>
              <w:t>等</w:t>
            </w:r>
            <w:r>
              <w:rPr>
                <w:rFonts w:hint="eastAsia" w:ascii="宋体" w:hAnsi="宋体" w:eastAsia="宋体" w:cs="宋体"/>
                <w:sz w:val="21"/>
                <w:szCs w:val="21"/>
                <w:lang w:eastAsia="zh-CN"/>
              </w:rPr>
              <w:t>书写的</w:t>
            </w:r>
            <w:r>
              <w:rPr>
                <w:rFonts w:hint="eastAsia" w:ascii="宋体" w:hAnsi="宋体" w:eastAsia="宋体" w:cs="宋体"/>
                <w:sz w:val="21"/>
                <w:szCs w:val="21"/>
              </w:rPr>
              <w:t>基本规律</w:t>
            </w:r>
            <w:r>
              <w:rPr>
                <w:rFonts w:hint="eastAsia" w:ascii="宋体" w:hAnsi="宋体" w:eastAsia="宋体" w:cs="宋体"/>
                <w:sz w:val="21"/>
                <w:szCs w:val="21"/>
                <w:lang w:eastAsia="zh-CN"/>
              </w:rPr>
              <w:t>，并掌握其技巧。</w:t>
            </w:r>
          </w:p>
          <w:p w14:paraId="3D7D2DFE">
            <w:pPr>
              <w:spacing w:line="269" w:lineRule="auto"/>
              <w:jc w:val="left"/>
              <w:rPr>
                <w:rFonts w:ascii="宋体" w:hAnsi="宋体" w:eastAsia="宋体" w:cs="Times New Roman"/>
                <w:color w:val="000000"/>
                <w:sz w:val="21"/>
                <w:szCs w:val="21"/>
              </w:rPr>
            </w:pPr>
          </w:p>
        </w:tc>
        <w:tc>
          <w:tcPr>
            <w:tcW w:w="1560" w:type="dxa"/>
            <w:noWrap w:val="0"/>
            <w:vAlign w:val="center"/>
          </w:tcPr>
          <w:p w14:paraId="7C3A3C6B">
            <w:pPr>
              <w:spacing w:line="269" w:lineRule="auto"/>
              <w:jc w:val="left"/>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rPr>
              <w:t>1.</w:t>
            </w:r>
            <w:r>
              <w:rPr>
                <w:rFonts w:hint="eastAsia" w:ascii="宋体" w:hAnsi="宋体" w:eastAsia="等线" w:cs="Times New Roman"/>
                <w:color w:val="000000"/>
                <w:sz w:val="21"/>
                <w:szCs w:val="21"/>
                <w:lang w:eastAsia="zh-CN"/>
              </w:rPr>
              <w:t>课堂练习</w:t>
            </w:r>
          </w:p>
          <w:p w14:paraId="45A8ED9A">
            <w:pPr>
              <w:spacing w:line="269" w:lineRule="auto"/>
              <w:jc w:val="left"/>
              <w:rPr>
                <w:rFonts w:hint="eastAsia" w:ascii="宋体" w:hAnsi="宋体" w:eastAsia="等线" w:cs="Times New Roman"/>
                <w:color w:val="000000"/>
                <w:sz w:val="21"/>
                <w:szCs w:val="21"/>
                <w:lang w:eastAsia="zh-CN"/>
              </w:rPr>
            </w:pPr>
            <w:r>
              <w:rPr>
                <w:rFonts w:hint="eastAsia" w:ascii="宋体" w:hAnsi="宋体" w:eastAsia="宋体" w:cs="Times New Roman"/>
                <w:color w:val="000000"/>
                <w:sz w:val="21"/>
                <w:szCs w:val="21"/>
              </w:rPr>
              <w:t>2.</w:t>
            </w:r>
            <w:r>
              <w:rPr>
                <w:rFonts w:hint="eastAsia" w:ascii="宋体" w:hAnsi="宋体" w:eastAsia="等线" w:cs="Times New Roman"/>
                <w:color w:val="000000"/>
                <w:sz w:val="21"/>
                <w:szCs w:val="21"/>
                <w:lang w:eastAsia="zh-CN"/>
              </w:rPr>
              <w:t>课后练习</w:t>
            </w:r>
          </w:p>
          <w:p w14:paraId="10D54E27">
            <w:pPr>
              <w:spacing w:line="269" w:lineRule="auto"/>
              <w:jc w:val="left"/>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rPr>
              <w:t>3.课堂</w:t>
            </w:r>
            <w:r>
              <w:rPr>
                <w:rFonts w:hint="eastAsia" w:ascii="宋体" w:hAnsi="宋体" w:eastAsia="等线" w:cs="Times New Roman"/>
                <w:color w:val="000000"/>
                <w:sz w:val="21"/>
                <w:szCs w:val="21"/>
                <w:lang w:eastAsia="zh-CN"/>
              </w:rPr>
              <w:t>辅导</w:t>
            </w:r>
          </w:p>
          <w:p w14:paraId="2D97407B">
            <w:pPr>
              <w:spacing w:line="269" w:lineRule="auto"/>
              <w:jc w:val="left"/>
              <w:rPr>
                <w:rFonts w:hint="eastAsia" w:ascii="宋体" w:hAnsi="宋体" w:eastAsia="宋体" w:cs="Times New Roman"/>
                <w:color w:val="000000"/>
                <w:sz w:val="21"/>
                <w:szCs w:val="21"/>
                <w:lang w:val="en-US" w:eastAsia="zh-CN"/>
              </w:rPr>
            </w:pPr>
            <w:r>
              <w:rPr>
                <w:rFonts w:hint="eastAsia" w:ascii="宋体" w:hAnsi="宋体" w:eastAsia="等线" w:cs="Times New Roman"/>
                <w:color w:val="000000"/>
                <w:sz w:val="21"/>
                <w:szCs w:val="21"/>
                <w:lang w:val="en-US" w:eastAsia="zh-CN"/>
              </w:rPr>
              <w:t>4、作业检查与评点</w:t>
            </w:r>
          </w:p>
        </w:tc>
        <w:tc>
          <w:tcPr>
            <w:tcW w:w="438" w:type="dxa"/>
            <w:noWrap w:val="0"/>
            <w:vAlign w:val="center"/>
          </w:tcPr>
          <w:p w14:paraId="3F070BFC">
            <w:pPr>
              <w:spacing w:line="269" w:lineRule="auto"/>
              <w:jc w:val="center"/>
              <w:rPr>
                <w:rFonts w:hint="default" w:ascii="宋体" w:hAnsi="宋体" w:eastAsia="宋体" w:cs="Times New Roman"/>
                <w:color w:val="000000"/>
                <w:sz w:val="21"/>
                <w:szCs w:val="21"/>
                <w:lang w:val="en-US" w:eastAsia="zh-CN"/>
              </w:rPr>
            </w:pPr>
            <w:r>
              <w:rPr>
                <w:rFonts w:hint="eastAsia" w:ascii="宋体" w:hAnsi="宋体" w:eastAsia="等线" w:cs="Times New Roman"/>
                <w:color w:val="000000"/>
                <w:sz w:val="21"/>
                <w:szCs w:val="21"/>
                <w:lang w:val="en-US" w:eastAsia="zh-CN"/>
              </w:rPr>
              <w:t>28</w:t>
            </w:r>
          </w:p>
        </w:tc>
      </w:tr>
      <w:tr w14:paraId="7A25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6F317C23">
            <w:pPr>
              <w:spacing w:line="264" w:lineRule="auto"/>
              <w:jc w:val="center"/>
              <w:rPr>
                <w:rFonts w:ascii="宋体" w:hAnsi="宋体" w:eastAsia="宋体" w:cs="Times New Roman"/>
                <w:color w:val="000000"/>
                <w:sz w:val="21"/>
                <w:szCs w:val="21"/>
              </w:rPr>
            </w:pPr>
          </w:p>
        </w:tc>
        <w:tc>
          <w:tcPr>
            <w:tcW w:w="8093" w:type="dxa"/>
            <w:gridSpan w:val="5"/>
            <w:noWrap w:val="0"/>
            <w:vAlign w:val="center"/>
          </w:tcPr>
          <w:p w14:paraId="77A4A9E6">
            <w:pPr>
              <w:spacing w:line="360" w:lineRule="auto"/>
              <w:ind w:firstLine="413" w:firstLineChars="196"/>
              <w:jc w:val="left"/>
              <w:rPr>
                <w:rFonts w:ascii="宋体" w:hAnsi="宋体" w:eastAsia="宋体" w:cs="Times New Roman"/>
                <w:color w:val="000000"/>
                <w:szCs w:val="21"/>
              </w:rPr>
            </w:pPr>
            <w:r>
              <w:rPr>
                <w:rFonts w:hint="eastAsia" w:ascii="宋体" w:hAnsi="宋体" w:eastAsia="宋体" w:cs="Times New Roman"/>
                <w:b/>
                <w:color w:val="000000"/>
                <w:sz w:val="21"/>
                <w:szCs w:val="21"/>
              </w:rPr>
              <w:t>课程思政目标：</w:t>
            </w:r>
            <w:r>
              <w:rPr>
                <w:rFonts w:hint="eastAsia" w:ascii="宋体" w:hAnsi="宋体" w:eastAsia="等线" w:cs="Times New Roman"/>
                <w:b w:val="0"/>
                <w:bCs/>
                <w:color w:val="000000"/>
                <w:sz w:val="21"/>
                <w:szCs w:val="21"/>
                <w:lang w:eastAsia="zh-CN"/>
              </w:rPr>
              <w:t>通过书法学习</w:t>
            </w:r>
            <w:r>
              <w:rPr>
                <w:rFonts w:hint="eastAsia" w:ascii="宋体" w:hAnsi="宋体" w:eastAsia="宋体" w:cs="Times New Roman"/>
                <w:b w:val="0"/>
                <w:bCs/>
                <w:color w:val="000000"/>
                <w:szCs w:val="21"/>
              </w:rPr>
              <w:t>，</w:t>
            </w:r>
            <w:r>
              <w:rPr>
                <w:rFonts w:hint="eastAsia" w:ascii="宋体" w:hAnsi="宋体" w:eastAsia="等线" w:cs="Times New Roman"/>
                <w:color w:val="000000"/>
                <w:szCs w:val="21"/>
                <w:lang w:eastAsia="zh-CN"/>
              </w:rPr>
              <w:t>培养</w:t>
            </w:r>
            <w:r>
              <w:rPr>
                <w:rFonts w:hint="eastAsia" w:ascii="宋体" w:hAnsi="宋体" w:eastAsia="宋体" w:cs="Times New Roman"/>
                <w:color w:val="000000"/>
                <w:szCs w:val="21"/>
              </w:rPr>
              <w:t>爱心、责任心、事业心，立志成为有理想信念、有道德情操、有扎实学习、有仁爱之心的新时代大国良师。</w:t>
            </w:r>
          </w:p>
          <w:p w14:paraId="2D651DB8">
            <w:pPr>
              <w:spacing w:line="269" w:lineRule="auto"/>
              <w:jc w:val="left"/>
              <w:rPr>
                <w:rFonts w:hint="eastAsia" w:ascii="宋体" w:hAnsi="宋体" w:eastAsia="宋体" w:cs="Times New Roman"/>
                <w:color w:val="000000"/>
                <w:sz w:val="21"/>
                <w:szCs w:val="21"/>
                <w:lang w:eastAsia="zh-CN"/>
              </w:rPr>
            </w:pPr>
          </w:p>
        </w:tc>
      </w:tr>
      <w:tr w14:paraId="335A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3E1CDC29">
            <w:pPr>
              <w:adjustRightInd w:val="0"/>
              <w:snapToGrid w:val="0"/>
              <w:spacing w:line="360" w:lineRule="auto"/>
              <w:rPr>
                <w:rFonts w:hint="eastAsia" w:ascii="宋体" w:hAnsi="宋体" w:eastAsia="宋体" w:cs="宋体"/>
                <w:b w:val="0"/>
                <w:bCs w:val="0"/>
                <w:sz w:val="21"/>
                <w:szCs w:val="21"/>
              </w:rPr>
            </w:pPr>
            <w:r>
              <w:rPr>
                <w:rFonts w:hint="eastAsia" w:ascii="宋体" w:hAnsi="宋体" w:eastAsia="宋体" w:cs="Times New Roman"/>
                <w:b w:val="0"/>
                <w:bCs w:val="0"/>
                <w:color w:val="000000"/>
                <w:sz w:val="21"/>
                <w:szCs w:val="21"/>
              </w:rPr>
              <w:t>3.</w:t>
            </w:r>
            <w:r>
              <w:rPr>
                <w:rFonts w:hint="eastAsia" w:ascii="宋体" w:hAnsi="宋体" w:eastAsia="宋体" w:cs="宋体"/>
                <w:b w:val="0"/>
                <w:bCs w:val="0"/>
                <w:sz w:val="21"/>
                <w:szCs w:val="21"/>
              </w:rPr>
              <w:t>章法布局</w:t>
            </w:r>
          </w:p>
          <w:p w14:paraId="5ACC7C7A">
            <w:pPr>
              <w:spacing w:line="264" w:lineRule="auto"/>
              <w:jc w:val="center"/>
              <w:rPr>
                <w:rFonts w:ascii="宋体" w:hAnsi="宋体" w:eastAsia="宋体" w:cs="Times New Roman"/>
                <w:color w:val="000000"/>
                <w:sz w:val="21"/>
                <w:szCs w:val="21"/>
              </w:rPr>
            </w:pPr>
          </w:p>
        </w:tc>
        <w:tc>
          <w:tcPr>
            <w:tcW w:w="1701" w:type="dxa"/>
            <w:noWrap w:val="0"/>
            <w:vAlign w:val="center"/>
          </w:tcPr>
          <w:p w14:paraId="79671FE6">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（1）基本格式</w:t>
            </w:r>
          </w:p>
          <w:p w14:paraId="6D207F5F">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（2）章法布局</w:t>
            </w:r>
          </w:p>
          <w:p w14:paraId="77A53EBC">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（3）书法创作</w:t>
            </w:r>
          </w:p>
          <w:p w14:paraId="5F5EF321">
            <w:pPr>
              <w:spacing w:line="269" w:lineRule="auto"/>
              <w:jc w:val="left"/>
              <w:rPr>
                <w:rFonts w:ascii="宋体" w:hAnsi="宋体" w:eastAsia="宋体" w:cs="Times New Roman"/>
                <w:color w:val="000000"/>
                <w:sz w:val="21"/>
                <w:szCs w:val="21"/>
              </w:rPr>
            </w:pPr>
          </w:p>
        </w:tc>
        <w:tc>
          <w:tcPr>
            <w:tcW w:w="1134" w:type="dxa"/>
            <w:noWrap w:val="0"/>
            <w:vAlign w:val="center"/>
          </w:tcPr>
          <w:p w14:paraId="6E78F951">
            <w:pPr>
              <w:spacing w:line="269"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课程目标2、3</w:t>
            </w:r>
          </w:p>
        </w:tc>
        <w:tc>
          <w:tcPr>
            <w:tcW w:w="3260" w:type="dxa"/>
            <w:noWrap w:val="0"/>
            <w:vAlign w:val="center"/>
          </w:tcPr>
          <w:p w14:paraId="2B8AB595">
            <w:pPr>
              <w:adjustRightInd w:val="0"/>
              <w:snapToGrid w:val="0"/>
              <w:spacing w:line="360" w:lineRule="auto"/>
              <w:ind w:firstLine="480"/>
              <w:rPr>
                <w:rFonts w:hint="eastAsia" w:ascii="宋体" w:hAnsi="宋体" w:eastAsia="宋体" w:cs="宋体"/>
                <w:sz w:val="21"/>
                <w:szCs w:val="21"/>
                <w:lang w:eastAsia="zh-CN"/>
              </w:rPr>
            </w:pPr>
            <w:r>
              <w:rPr>
                <w:rFonts w:hint="eastAsia" w:ascii="宋体" w:hAnsi="宋体" w:eastAsia="宋体" w:cs="宋体"/>
                <w:sz w:val="21"/>
                <w:szCs w:val="21"/>
              </w:rPr>
              <w:t>通过讲解，帮助学生了解书法的章法布局的基本知识，可以初步进行书法作品的创作</w:t>
            </w:r>
            <w:r>
              <w:rPr>
                <w:rFonts w:hint="eastAsia" w:ascii="宋体" w:hAnsi="宋体" w:eastAsia="宋体" w:cs="宋体"/>
                <w:sz w:val="21"/>
                <w:szCs w:val="21"/>
                <w:lang w:eastAsia="zh-CN"/>
              </w:rPr>
              <w:t>。</w:t>
            </w:r>
          </w:p>
          <w:p w14:paraId="0CEBCE9B">
            <w:pPr>
              <w:spacing w:line="269" w:lineRule="auto"/>
              <w:jc w:val="left"/>
              <w:rPr>
                <w:rFonts w:ascii="宋体" w:hAnsi="宋体" w:eastAsia="宋体" w:cs="Times New Roman"/>
                <w:color w:val="000000"/>
                <w:sz w:val="21"/>
                <w:szCs w:val="21"/>
              </w:rPr>
            </w:pPr>
          </w:p>
        </w:tc>
        <w:tc>
          <w:tcPr>
            <w:tcW w:w="1560" w:type="dxa"/>
            <w:noWrap w:val="0"/>
            <w:vAlign w:val="center"/>
          </w:tcPr>
          <w:p w14:paraId="78F1E828">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4A1156FD">
            <w:pPr>
              <w:spacing w:line="269" w:lineRule="auto"/>
              <w:jc w:val="left"/>
              <w:rPr>
                <w:rFonts w:hint="eastAsia" w:ascii="宋体" w:hAnsi="宋体" w:eastAsia="宋体" w:cs="Times New Roman"/>
                <w:color w:val="000000"/>
                <w:sz w:val="21"/>
                <w:szCs w:val="21"/>
                <w:lang w:eastAsia="zh-CN"/>
              </w:rPr>
            </w:pPr>
            <w:r>
              <w:rPr>
                <w:rFonts w:hint="eastAsia" w:ascii="宋体" w:hAnsi="宋体" w:eastAsia="等线" w:cs="Times New Roman"/>
                <w:color w:val="000000"/>
                <w:sz w:val="21"/>
                <w:szCs w:val="21"/>
                <w:lang w:val="en-US" w:eastAsia="zh-CN"/>
              </w:rPr>
              <w:t>2</w:t>
            </w:r>
            <w:r>
              <w:rPr>
                <w:rFonts w:ascii="宋体" w:hAnsi="宋体" w:eastAsia="宋体" w:cs="Times New Roman"/>
                <w:color w:val="000000"/>
                <w:sz w:val="21"/>
                <w:szCs w:val="21"/>
              </w:rPr>
              <w:t>.课堂</w:t>
            </w:r>
            <w:r>
              <w:rPr>
                <w:rFonts w:hint="eastAsia" w:ascii="宋体" w:hAnsi="宋体" w:eastAsia="等线" w:cs="Times New Roman"/>
                <w:color w:val="000000"/>
                <w:sz w:val="21"/>
                <w:szCs w:val="21"/>
                <w:lang w:eastAsia="zh-CN"/>
              </w:rPr>
              <w:t>练习</w:t>
            </w:r>
          </w:p>
          <w:p w14:paraId="44977BFB">
            <w:pPr>
              <w:spacing w:line="269" w:lineRule="auto"/>
              <w:jc w:val="left"/>
              <w:rPr>
                <w:rFonts w:ascii="宋体" w:hAnsi="宋体" w:eastAsia="宋体" w:cs="Times New Roman"/>
                <w:color w:val="000000"/>
                <w:sz w:val="21"/>
                <w:szCs w:val="21"/>
              </w:rPr>
            </w:pPr>
          </w:p>
        </w:tc>
        <w:tc>
          <w:tcPr>
            <w:tcW w:w="438" w:type="dxa"/>
            <w:noWrap w:val="0"/>
            <w:vAlign w:val="center"/>
          </w:tcPr>
          <w:p w14:paraId="48B5F2F6">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等线" w:cs="Times New Roman"/>
                <w:color w:val="000000"/>
                <w:sz w:val="21"/>
                <w:szCs w:val="21"/>
                <w:lang w:val="en-US" w:eastAsia="zh-CN"/>
              </w:rPr>
              <w:t>2</w:t>
            </w:r>
          </w:p>
        </w:tc>
      </w:tr>
      <w:tr w14:paraId="213B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4DDC17B4">
            <w:pPr>
              <w:spacing w:line="264" w:lineRule="auto"/>
              <w:jc w:val="center"/>
              <w:rPr>
                <w:rFonts w:ascii="宋体" w:hAnsi="宋体" w:eastAsia="宋体" w:cs="Times New Roman"/>
                <w:color w:val="000000"/>
                <w:sz w:val="21"/>
                <w:szCs w:val="21"/>
              </w:rPr>
            </w:pPr>
          </w:p>
        </w:tc>
        <w:tc>
          <w:tcPr>
            <w:tcW w:w="8093" w:type="dxa"/>
            <w:gridSpan w:val="5"/>
            <w:noWrap w:val="0"/>
            <w:vAlign w:val="center"/>
          </w:tcPr>
          <w:p w14:paraId="703B39EA">
            <w:pPr>
              <w:spacing w:line="269" w:lineRule="auto"/>
              <w:jc w:val="left"/>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hint="eastAsia" w:ascii="宋体" w:hAnsi="宋体" w:eastAsia="等线" w:cs="Times New Roman"/>
                <w:color w:val="000000"/>
                <w:sz w:val="21"/>
                <w:szCs w:val="21"/>
                <w:lang w:eastAsia="zh-CN"/>
              </w:rPr>
              <w:t>在艺术的熏陶中</w:t>
            </w:r>
            <w:r>
              <w:rPr>
                <w:rFonts w:hint="eastAsia" w:ascii="宋体" w:hAnsi="宋体" w:eastAsia="宋体" w:cs="Times New Roman"/>
                <w:color w:val="000000"/>
                <w:sz w:val="21"/>
                <w:szCs w:val="21"/>
              </w:rPr>
              <w:t>，树立制度自信和文化自信。</w:t>
            </w:r>
          </w:p>
        </w:tc>
      </w:tr>
    </w:tbl>
    <w:p w14:paraId="7E38DF92">
      <w:pPr>
        <w:adjustRightInd w:val="0"/>
        <w:snapToGrid w:val="0"/>
        <w:spacing w:before="156" w:beforeLines="50" w:line="360" w:lineRule="auto"/>
        <w:ind w:firstLine="480" w:firstLineChars="200"/>
        <w:rPr>
          <w:rFonts w:ascii="等线" w:hAnsi="等线" w:eastAsia="等线" w:cs="Times New Roman"/>
          <w:b/>
          <w:sz w:val="24"/>
          <w:szCs w:val="24"/>
        </w:rPr>
      </w:pPr>
    </w:p>
    <w:p w14:paraId="5F9F2E5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8690CD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1A3B2C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65689F6">
      <w:pPr>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6964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382590AE">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noWrap w:val="0"/>
            <w:vAlign w:val="center"/>
          </w:tcPr>
          <w:p w14:paraId="5D51CAA8">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noWrap w:val="0"/>
            <w:vAlign w:val="center"/>
          </w:tcPr>
          <w:p w14:paraId="0340529F">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6BA6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4C654A95">
            <w:pPr>
              <w:spacing w:line="360" w:lineRule="auto"/>
              <w:jc w:val="center"/>
              <w:rPr>
                <w:rFonts w:ascii="宋体" w:hAnsi="宋体" w:eastAsia="宋体" w:cs="Times New Roman"/>
                <w:szCs w:val="21"/>
              </w:rPr>
            </w:pPr>
          </w:p>
        </w:tc>
        <w:tc>
          <w:tcPr>
            <w:tcW w:w="0" w:type="auto"/>
            <w:noWrap w:val="0"/>
            <w:vAlign w:val="center"/>
          </w:tcPr>
          <w:p w14:paraId="2FF835DE">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noWrap w:val="0"/>
            <w:vAlign w:val="center"/>
          </w:tcPr>
          <w:p w14:paraId="6B271E9E">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noWrap w:val="0"/>
            <w:vAlign w:val="center"/>
          </w:tcPr>
          <w:p w14:paraId="01B54828">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noWrap w:val="0"/>
            <w:vAlign w:val="center"/>
          </w:tcPr>
          <w:p w14:paraId="4318F9B2">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noWrap w:val="0"/>
            <w:vAlign w:val="center"/>
          </w:tcPr>
          <w:p w14:paraId="01A11138">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noWrap w:val="0"/>
            <w:vAlign w:val="top"/>
          </w:tcPr>
          <w:p w14:paraId="007FEA4A">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noWrap w:val="0"/>
            <w:vAlign w:val="center"/>
          </w:tcPr>
          <w:p w14:paraId="43288B9A">
            <w:pPr>
              <w:spacing w:line="360" w:lineRule="auto"/>
              <w:jc w:val="center"/>
              <w:rPr>
                <w:rFonts w:ascii="宋体" w:hAnsi="宋体" w:eastAsia="宋体" w:cs="Times New Roman"/>
                <w:szCs w:val="21"/>
              </w:rPr>
            </w:pPr>
          </w:p>
        </w:tc>
      </w:tr>
      <w:tr w14:paraId="52AD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33AA5F8A">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noWrap w:val="0"/>
            <w:vAlign w:val="center"/>
          </w:tcPr>
          <w:p w14:paraId="2946CC17">
            <w:pPr>
              <w:spacing w:line="360" w:lineRule="auto"/>
              <w:jc w:val="center"/>
              <w:rPr>
                <w:rFonts w:ascii="宋体" w:hAnsi="宋体" w:eastAsia="宋体" w:cs="Times New Roman"/>
                <w:szCs w:val="21"/>
              </w:rPr>
            </w:pPr>
          </w:p>
        </w:tc>
        <w:tc>
          <w:tcPr>
            <w:tcW w:w="0" w:type="auto"/>
            <w:noWrap w:val="0"/>
            <w:vAlign w:val="center"/>
          </w:tcPr>
          <w:p w14:paraId="3A2E510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noWrap w:val="0"/>
            <w:vAlign w:val="center"/>
          </w:tcPr>
          <w:p w14:paraId="51FEE1F1">
            <w:pPr>
              <w:spacing w:line="360" w:lineRule="auto"/>
              <w:jc w:val="center"/>
              <w:rPr>
                <w:rFonts w:ascii="宋体" w:hAnsi="宋体" w:eastAsia="宋体" w:cs="Times New Roman"/>
                <w:szCs w:val="21"/>
              </w:rPr>
            </w:pPr>
          </w:p>
        </w:tc>
        <w:tc>
          <w:tcPr>
            <w:tcW w:w="0" w:type="auto"/>
            <w:noWrap w:val="0"/>
            <w:vAlign w:val="center"/>
          </w:tcPr>
          <w:p w14:paraId="225D0624">
            <w:pPr>
              <w:spacing w:line="360" w:lineRule="auto"/>
              <w:jc w:val="center"/>
              <w:rPr>
                <w:rFonts w:ascii="宋体" w:hAnsi="宋体" w:eastAsia="宋体" w:cs="Times New Roman"/>
                <w:szCs w:val="21"/>
              </w:rPr>
            </w:pPr>
          </w:p>
        </w:tc>
        <w:tc>
          <w:tcPr>
            <w:tcW w:w="0" w:type="auto"/>
            <w:noWrap w:val="0"/>
            <w:vAlign w:val="center"/>
          </w:tcPr>
          <w:p w14:paraId="62CD1822">
            <w:pPr>
              <w:spacing w:line="360" w:lineRule="auto"/>
              <w:jc w:val="center"/>
              <w:rPr>
                <w:rFonts w:ascii="宋体" w:hAnsi="宋体" w:eastAsia="宋体" w:cs="Times New Roman"/>
                <w:szCs w:val="21"/>
              </w:rPr>
            </w:pPr>
          </w:p>
        </w:tc>
        <w:tc>
          <w:tcPr>
            <w:tcW w:w="0" w:type="auto"/>
            <w:noWrap w:val="0"/>
            <w:vAlign w:val="top"/>
          </w:tcPr>
          <w:p w14:paraId="6A0EFD86">
            <w:pPr>
              <w:spacing w:line="360" w:lineRule="auto"/>
              <w:jc w:val="center"/>
              <w:rPr>
                <w:rFonts w:ascii="宋体" w:hAnsi="宋体" w:eastAsia="宋体" w:cs="Times New Roman"/>
                <w:szCs w:val="21"/>
              </w:rPr>
            </w:pPr>
          </w:p>
        </w:tc>
        <w:tc>
          <w:tcPr>
            <w:tcW w:w="0" w:type="auto"/>
            <w:noWrap w:val="0"/>
            <w:vAlign w:val="center"/>
          </w:tcPr>
          <w:p w14:paraId="0130A5AB">
            <w:pPr>
              <w:spacing w:line="360" w:lineRule="auto"/>
              <w:jc w:val="center"/>
              <w:rPr>
                <w:rFonts w:hint="default" w:ascii="宋体" w:hAnsi="宋体" w:eastAsia="宋体" w:cs="Times New Roman"/>
                <w:szCs w:val="21"/>
                <w:lang w:val="en-US" w:eastAsia="zh-CN"/>
              </w:rPr>
            </w:pPr>
            <w:r>
              <w:rPr>
                <w:rFonts w:hint="eastAsia" w:ascii="宋体" w:hAnsi="宋体" w:eastAsia="等线" w:cs="Times New Roman"/>
                <w:szCs w:val="21"/>
                <w:lang w:val="en-US" w:eastAsia="zh-CN"/>
              </w:rPr>
              <w:t>10</w:t>
            </w:r>
          </w:p>
        </w:tc>
      </w:tr>
      <w:tr w14:paraId="0820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07E7BB6">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noWrap w:val="0"/>
            <w:vAlign w:val="center"/>
          </w:tcPr>
          <w:p w14:paraId="029FD85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noWrap w:val="0"/>
            <w:vAlign w:val="center"/>
          </w:tcPr>
          <w:p w14:paraId="791DEE09">
            <w:pPr>
              <w:spacing w:line="360" w:lineRule="auto"/>
              <w:jc w:val="center"/>
              <w:rPr>
                <w:rFonts w:ascii="宋体" w:hAnsi="宋体" w:eastAsia="宋体" w:cs="Times New Roman"/>
                <w:szCs w:val="21"/>
              </w:rPr>
            </w:pPr>
          </w:p>
        </w:tc>
        <w:tc>
          <w:tcPr>
            <w:tcW w:w="0" w:type="auto"/>
            <w:noWrap w:val="0"/>
            <w:vAlign w:val="center"/>
          </w:tcPr>
          <w:p w14:paraId="335EAAE8">
            <w:pPr>
              <w:spacing w:line="360" w:lineRule="auto"/>
              <w:jc w:val="center"/>
              <w:rPr>
                <w:rFonts w:ascii="宋体" w:hAnsi="宋体" w:eastAsia="宋体" w:cs="Times New Roman"/>
                <w:szCs w:val="21"/>
              </w:rPr>
            </w:pPr>
          </w:p>
        </w:tc>
        <w:tc>
          <w:tcPr>
            <w:tcW w:w="0" w:type="auto"/>
            <w:noWrap w:val="0"/>
            <w:vAlign w:val="center"/>
          </w:tcPr>
          <w:p w14:paraId="320B0DC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noWrap w:val="0"/>
            <w:vAlign w:val="center"/>
          </w:tcPr>
          <w:p w14:paraId="542E714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noWrap w:val="0"/>
            <w:vAlign w:val="top"/>
          </w:tcPr>
          <w:p w14:paraId="56F0ED05">
            <w:pPr>
              <w:spacing w:line="360" w:lineRule="auto"/>
              <w:jc w:val="center"/>
              <w:rPr>
                <w:rFonts w:ascii="宋体" w:hAnsi="宋体" w:eastAsia="宋体" w:cs="Times New Roman"/>
                <w:szCs w:val="21"/>
              </w:rPr>
            </w:pPr>
          </w:p>
        </w:tc>
        <w:tc>
          <w:tcPr>
            <w:tcW w:w="0" w:type="auto"/>
            <w:noWrap w:val="0"/>
            <w:vAlign w:val="center"/>
          </w:tcPr>
          <w:p w14:paraId="4533BC2C">
            <w:pPr>
              <w:spacing w:line="360" w:lineRule="auto"/>
              <w:jc w:val="center"/>
              <w:rPr>
                <w:rFonts w:ascii="宋体" w:hAnsi="宋体" w:eastAsia="宋体" w:cs="Times New Roman"/>
                <w:szCs w:val="21"/>
              </w:rPr>
            </w:pPr>
            <w:r>
              <w:rPr>
                <w:rFonts w:hint="eastAsia" w:ascii="宋体" w:hAnsi="宋体" w:eastAsia="等线" w:cs="Times New Roman"/>
                <w:szCs w:val="21"/>
                <w:lang w:val="en-US" w:eastAsia="zh-CN"/>
              </w:rPr>
              <w:t>8</w:t>
            </w:r>
            <w:r>
              <w:rPr>
                <w:rFonts w:hint="eastAsia" w:ascii="宋体" w:hAnsi="宋体" w:eastAsia="宋体" w:cs="Times New Roman"/>
                <w:szCs w:val="21"/>
              </w:rPr>
              <w:t>0</w:t>
            </w:r>
          </w:p>
        </w:tc>
      </w:tr>
      <w:tr w14:paraId="742F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07C6613">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noWrap w:val="0"/>
            <w:vAlign w:val="center"/>
          </w:tcPr>
          <w:p w14:paraId="671F673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noWrap w:val="0"/>
            <w:vAlign w:val="center"/>
          </w:tcPr>
          <w:p w14:paraId="077F1ECD">
            <w:pPr>
              <w:spacing w:line="360" w:lineRule="auto"/>
              <w:jc w:val="center"/>
              <w:rPr>
                <w:rFonts w:ascii="宋体" w:hAnsi="宋体" w:eastAsia="宋体" w:cs="Times New Roman"/>
                <w:szCs w:val="21"/>
              </w:rPr>
            </w:pPr>
          </w:p>
        </w:tc>
        <w:tc>
          <w:tcPr>
            <w:tcW w:w="0" w:type="auto"/>
            <w:noWrap w:val="0"/>
            <w:vAlign w:val="center"/>
          </w:tcPr>
          <w:p w14:paraId="31ED437D">
            <w:pPr>
              <w:spacing w:line="360" w:lineRule="auto"/>
              <w:jc w:val="center"/>
              <w:rPr>
                <w:rFonts w:ascii="宋体" w:hAnsi="宋体" w:eastAsia="宋体" w:cs="Times New Roman"/>
                <w:szCs w:val="21"/>
              </w:rPr>
            </w:pPr>
          </w:p>
        </w:tc>
        <w:tc>
          <w:tcPr>
            <w:tcW w:w="0" w:type="auto"/>
            <w:noWrap w:val="0"/>
            <w:vAlign w:val="center"/>
          </w:tcPr>
          <w:p w14:paraId="6C74F0A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noWrap w:val="0"/>
            <w:vAlign w:val="center"/>
          </w:tcPr>
          <w:p w14:paraId="435C0BD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noWrap w:val="0"/>
            <w:vAlign w:val="top"/>
          </w:tcPr>
          <w:p w14:paraId="21BB0B29">
            <w:pPr>
              <w:spacing w:line="360" w:lineRule="auto"/>
              <w:jc w:val="center"/>
              <w:rPr>
                <w:rFonts w:ascii="宋体" w:hAnsi="宋体" w:eastAsia="宋体" w:cs="Times New Roman"/>
                <w:szCs w:val="21"/>
              </w:rPr>
            </w:pPr>
          </w:p>
        </w:tc>
        <w:tc>
          <w:tcPr>
            <w:tcW w:w="0" w:type="auto"/>
            <w:noWrap w:val="0"/>
            <w:vAlign w:val="center"/>
          </w:tcPr>
          <w:p w14:paraId="3E62CE2F">
            <w:pPr>
              <w:spacing w:line="360" w:lineRule="auto"/>
              <w:jc w:val="center"/>
              <w:rPr>
                <w:rFonts w:ascii="宋体" w:hAnsi="宋体" w:eastAsia="宋体" w:cs="Times New Roman"/>
                <w:szCs w:val="21"/>
              </w:rPr>
            </w:pPr>
            <w:r>
              <w:rPr>
                <w:rFonts w:hint="eastAsia" w:ascii="宋体" w:hAnsi="宋体" w:eastAsia="等线" w:cs="Times New Roman"/>
                <w:szCs w:val="21"/>
                <w:lang w:val="en-US" w:eastAsia="zh-CN"/>
              </w:rPr>
              <w:t>1</w:t>
            </w:r>
            <w:r>
              <w:rPr>
                <w:rFonts w:hint="eastAsia" w:ascii="宋体" w:hAnsi="宋体" w:eastAsia="宋体" w:cs="Times New Roman"/>
                <w:szCs w:val="21"/>
              </w:rPr>
              <w:t>0</w:t>
            </w:r>
          </w:p>
        </w:tc>
      </w:tr>
      <w:tr w14:paraId="1DA3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DAB3D71">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noWrap w:val="0"/>
            <w:vAlign w:val="center"/>
          </w:tcPr>
          <w:p w14:paraId="3763E831">
            <w:pPr>
              <w:spacing w:line="360" w:lineRule="auto"/>
              <w:jc w:val="center"/>
              <w:rPr>
                <w:rFonts w:ascii="宋体" w:hAnsi="宋体" w:eastAsia="宋体" w:cs="Times New Roman"/>
                <w:szCs w:val="21"/>
              </w:rPr>
            </w:pPr>
          </w:p>
        </w:tc>
        <w:tc>
          <w:tcPr>
            <w:tcW w:w="0" w:type="auto"/>
            <w:noWrap w:val="0"/>
            <w:vAlign w:val="center"/>
          </w:tcPr>
          <w:p w14:paraId="093558B7">
            <w:pPr>
              <w:spacing w:line="360" w:lineRule="auto"/>
              <w:jc w:val="center"/>
              <w:rPr>
                <w:rFonts w:ascii="宋体" w:hAnsi="宋体" w:eastAsia="宋体" w:cs="Times New Roman"/>
                <w:szCs w:val="21"/>
              </w:rPr>
            </w:pPr>
          </w:p>
        </w:tc>
        <w:tc>
          <w:tcPr>
            <w:tcW w:w="0" w:type="auto"/>
            <w:noWrap w:val="0"/>
            <w:vAlign w:val="center"/>
          </w:tcPr>
          <w:p w14:paraId="7EAD4224">
            <w:pPr>
              <w:spacing w:line="360" w:lineRule="auto"/>
              <w:jc w:val="center"/>
              <w:rPr>
                <w:rFonts w:ascii="宋体" w:hAnsi="宋体" w:eastAsia="宋体" w:cs="Times New Roman"/>
                <w:szCs w:val="21"/>
              </w:rPr>
            </w:pPr>
          </w:p>
        </w:tc>
        <w:tc>
          <w:tcPr>
            <w:tcW w:w="0" w:type="auto"/>
            <w:noWrap w:val="0"/>
            <w:vAlign w:val="center"/>
          </w:tcPr>
          <w:p w14:paraId="38157E61">
            <w:pPr>
              <w:spacing w:line="360" w:lineRule="auto"/>
              <w:jc w:val="center"/>
              <w:rPr>
                <w:rFonts w:ascii="宋体" w:hAnsi="宋体" w:eastAsia="宋体" w:cs="Times New Roman"/>
                <w:szCs w:val="21"/>
              </w:rPr>
            </w:pPr>
          </w:p>
        </w:tc>
        <w:tc>
          <w:tcPr>
            <w:tcW w:w="0" w:type="auto"/>
            <w:noWrap w:val="0"/>
            <w:vAlign w:val="center"/>
          </w:tcPr>
          <w:p w14:paraId="1F2B39CC">
            <w:pPr>
              <w:spacing w:line="360" w:lineRule="auto"/>
              <w:jc w:val="center"/>
              <w:rPr>
                <w:rFonts w:ascii="宋体" w:hAnsi="宋体" w:eastAsia="宋体" w:cs="Times New Roman"/>
                <w:szCs w:val="21"/>
              </w:rPr>
            </w:pPr>
          </w:p>
        </w:tc>
        <w:tc>
          <w:tcPr>
            <w:tcW w:w="0" w:type="auto"/>
            <w:noWrap w:val="0"/>
            <w:vAlign w:val="top"/>
          </w:tcPr>
          <w:p w14:paraId="12AF22BC">
            <w:pPr>
              <w:spacing w:line="360" w:lineRule="auto"/>
              <w:jc w:val="center"/>
              <w:rPr>
                <w:rFonts w:ascii="宋体" w:hAnsi="宋体" w:eastAsia="宋体" w:cs="Times New Roman"/>
                <w:szCs w:val="21"/>
              </w:rPr>
            </w:pPr>
          </w:p>
        </w:tc>
        <w:tc>
          <w:tcPr>
            <w:tcW w:w="0" w:type="auto"/>
            <w:noWrap w:val="0"/>
            <w:vAlign w:val="center"/>
          </w:tcPr>
          <w:p w14:paraId="38C7B007">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10B92054">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574EFC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E2905B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6B3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1BA0467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noWrap w:val="0"/>
            <w:vAlign w:val="center"/>
          </w:tcPr>
          <w:p w14:paraId="123C3D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noWrap w:val="0"/>
            <w:vAlign w:val="center"/>
          </w:tcPr>
          <w:p w14:paraId="21E508D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ACE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7F9D635B">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noWrap w:val="0"/>
            <w:vAlign w:val="center"/>
          </w:tcPr>
          <w:p w14:paraId="07ED2292">
            <w:pPr>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平时作业共3次，</w:t>
            </w:r>
            <w:r>
              <w:rPr>
                <w:rFonts w:hint="eastAsia" w:ascii="等线" w:hAnsi="等线" w:eastAsia="等线" w:cs="Times New Roman"/>
                <w:szCs w:val="21"/>
                <w:lang w:eastAsia="zh-CN"/>
              </w:rPr>
              <w:t>练习课题学习的字</w:t>
            </w:r>
          </w:p>
        </w:tc>
        <w:tc>
          <w:tcPr>
            <w:tcW w:w="0" w:type="auto"/>
            <w:noWrap w:val="0"/>
            <w:vAlign w:val="center"/>
          </w:tcPr>
          <w:p w14:paraId="6FB71E13">
            <w:pPr>
              <w:jc w:val="center"/>
              <w:rPr>
                <w:rFonts w:ascii="Times New Roman" w:hAnsi="Times New Roman" w:eastAsia="宋体" w:cs="Times New Roman"/>
                <w:szCs w:val="21"/>
              </w:rPr>
            </w:pPr>
            <w:r>
              <w:rPr>
                <w:rFonts w:hint="eastAsia" w:ascii="等线" w:hAnsi="等线" w:eastAsia="等线" w:cs="Times New Roman"/>
                <w:szCs w:val="21"/>
                <w:lang w:val="en-US" w:eastAsia="zh-CN"/>
              </w:rPr>
              <w:t>4</w:t>
            </w:r>
            <w:r>
              <w:rPr>
                <w:rFonts w:hint="eastAsia" w:ascii="Times New Roman" w:hAnsi="Times New Roman" w:eastAsia="宋体" w:cs="Times New Roman"/>
                <w:szCs w:val="21"/>
              </w:rPr>
              <w:t>0%</w:t>
            </w:r>
          </w:p>
        </w:tc>
      </w:tr>
      <w:tr w14:paraId="5213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5074533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noWrap w:val="0"/>
            <w:vAlign w:val="center"/>
          </w:tcPr>
          <w:p w14:paraId="7CCD1C05">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6A995E5">
            <w:pPr>
              <w:widowControl/>
              <w:spacing w:line="264" w:lineRule="auto"/>
              <w:jc w:val="left"/>
              <w:rPr>
                <w:rFonts w:ascii="Times New Roman" w:hAnsi="Times New Roman" w:eastAsia="宋体" w:cs="Times New Roman"/>
                <w:szCs w:val="21"/>
              </w:rPr>
            </w:pPr>
          </w:p>
        </w:tc>
        <w:tc>
          <w:tcPr>
            <w:tcW w:w="0" w:type="auto"/>
            <w:noWrap w:val="0"/>
            <w:vAlign w:val="center"/>
          </w:tcPr>
          <w:p w14:paraId="1CC1DAA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188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09915F43">
            <w:pP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期末</w:t>
            </w:r>
            <w:r>
              <w:rPr>
                <w:rFonts w:hint="eastAsia" w:ascii="等线" w:hAnsi="等线" w:eastAsia="等线" w:cs="Times New Roman"/>
                <w:szCs w:val="21"/>
                <w:lang w:eastAsia="zh-CN"/>
              </w:rPr>
              <w:t>考查</w:t>
            </w:r>
          </w:p>
        </w:tc>
        <w:tc>
          <w:tcPr>
            <w:tcW w:w="7141" w:type="dxa"/>
            <w:noWrap w:val="0"/>
            <w:vAlign w:val="center"/>
          </w:tcPr>
          <w:p w14:paraId="7EBFE1A6">
            <w:pPr>
              <w:spacing w:line="264" w:lineRule="auto"/>
              <w:jc w:val="left"/>
              <w:rPr>
                <w:rFonts w:hint="eastAsia" w:ascii="Times New Roman" w:hAnsi="Times New Roman" w:eastAsia="宋体" w:cs="Times New Roman"/>
                <w:szCs w:val="21"/>
                <w:lang w:eastAsia="zh-CN"/>
              </w:rPr>
            </w:pPr>
            <w:r>
              <w:rPr>
                <w:rFonts w:hint="eastAsia" w:ascii="等线" w:hAnsi="等线" w:eastAsia="等线" w:cs="Times New Roman"/>
                <w:color w:val="000000"/>
                <w:szCs w:val="21"/>
                <w:lang w:eastAsia="zh-CN"/>
              </w:rPr>
              <w:t>书写课题练习的字，临摹书法作品</w:t>
            </w:r>
          </w:p>
        </w:tc>
        <w:tc>
          <w:tcPr>
            <w:tcW w:w="0" w:type="auto"/>
            <w:noWrap w:val="0"/>
            <w:vAlign w:val="center"/>
          </w:tcPr>
          <w:p w14:paraId="2B612F4E">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2A4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noWrap w:val="0"/>
            <w:vAlign w:val="center"/>
          </w:tcPr>
          <w:p w14:paraId="0F656C1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noWrap w:val="0"/>
            <w:vAlign w:val="center"/>
          </w:tcPr>
          <w:p w14:paraId="3D915CB5">
            <w:pPr>
              <w:jc w:val="left"/>
              <w:rPr>
                <w:rFonts w:ascii="Times New Roman" w:hAnsi="Times New Roman" w:eastAsia="宋体" w:cs="Times New Roman"/>
                <w:szCs w:val="21"/>
              </w:rPr>
            </w:pPr>
          </w:p>
        </w:tc>
        <w:tc>
          <w:tcPr>
            <w:tcW w:w="0" w:type="auto"/>
            <w:noWrap w:val="0"/>
            <w:vAlign w:val="center"/>
          </w:tcPr>
          <w:p w14:paraId="43B439F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811086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C743E5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8592107">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37"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37" DrawAspect="Content" ObjectID="_1468075737" r:id="rId20">
            <o:LockedField>false</o:LockedField>
          </o:OLEObject>
        </w:object>
      </w:r>
    </w:p>
    <w:p w14:paraId="053AE1DF">
      <w:pPr>
        <w:spacing w:line="360" w:lineRule="auto"/>
        <w:jc w:val="left"/>
        <w:rPr>
          <w:rFonts w:ascii="Times New Roman" w:hAnsi="Times New Roman" w:eastAsia="宋体" w:cs="Times New Roman"/>
          <w:b/>
          <w:bCs/>
          <w:sz w:val="24"/>
          <w:szCs w:val="24"/>
        </w:rPr>
      </w:pPr>
      <w:r>
        <w:rPr>
          <w:rFonts w:hint="eastAsia" w:ascii="宋体" w:hAnsi="宋体" w:eastAsia="等线" w:cs="Times New Roman"/>
          <w:b/>
          <w:color w:val="000000"/>
          <w:sz w:val="24"/>
          <w:szCs w:val="24"/>
          <w:lang w:eastAsia="zh-CN"/>
        </w:rPr>
        <w:t>五</w:t>
      </w:r>
      <w:r>
        <w:rPr>
          <w:rFonts w:hint="eastAsia" w:ascii="宋体" w:hAnsi="宋体" w:eastAsia="宋体" w:cs="Times New Roman"/>
          <w:b/>
          <w:color w:val="000000"/>
          <w:sz w:val="24"/>
          <w:szCs w:val="24"/>
        </w:rPr>
        <w:t>、有关说明</w:t>
      </w:r>
    </w:p>
    <w:p w14:paraId="71E3AC8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B1958E3">
      <w:pPr>
        <w:spacing w:line="360" w:lineRule="auto"/>
        <w:ind w:firstLine="420" w:firstLineChars="200"/>
        <w:jc w:val="left"/>
        <w:rPr>
          <w:rFonts w:ascii="Times New Roman" w:hAnsi="Times New Roman" w:eastAsia="宋体" w:cs="Times New Roman"/>
          <w:sz w:val="21"/>
          <w:szCs w:val="21"/>
        </w:rPr>
      </w:pPr>
      <w:r>
        <w:rPr>
          <w:rFonts w:hint="eastAsia" w:ascii="Times New Roman" w:hAnsi="Times New Roman" w:eastAsia="宋体" w:cs="Times New Roman"/>
          <w:szCs w:val="21"/>
        </w:rPr>
        <w:t>根据学生课堂教学中的反应、课后反馈、作业质量、答卷情况，以及领导、督导、教师</w:t>
      </w:r>
      <w:r>
        <w:rPr>
          <w:rFonts w:hint="eastAsia" w:ascii="Times New Roman" w:hAnsi="Times New Roman" w:eastAsia="宋体" w:cs="Times New Roman"/>
          <w:sz w:val="21"/>
          <w:szCs w:val="21"/>
        </w:rPr>
        <w:t>同行等的听课情况，及时发现和改进教学中的不足之处，确保相应毕业要求指标点达成。</w:t>
      </w:r>
    </w:p>
    <w:p w14:paraId="3E632912">
      <w:pPr>
        <w:numPr>
          <w:ilvl w:val="0"/>
          <w:numId w:val="32"/>
        </w:numPr>
        <w:spacing w:line="360" w:lineRule="auto"/>
        <w:jc w:val="left"/>
        <w:rPr>
          <w:rFonts w:hint="eastAsia" w:ascii="Times New Roman" w:hAnsi="Times New Roman" w:eastAsia="宋体" w:cs="Times New Roman"/>
          <w:b/>
          <w:sz w:val="21"/>
          <w:szCs w:val="21"/>
        </w:rPr>
      </w:pPr>
      <w:r>
        <w:rPr>
          <w:rFonts w:hint="eastAsia" w:ascii="Times New Roman" w:hAnsi="Times New Roman" w:eastAsia="宋体" w:cs="Times New Roman"/>
          <w:b/>
          <w:sz w:val="21"/>
          <w:szCs w:val="21"/>
        </w:rPr>
        <w:t>建议教材</w:t>
      </w:r>
    </w:p>
    <w:p w14:paraId="45CBD5A5">
      <w:pPr>
        <w:spacing w:line="360" w:lineRule="auto"/>
        <w:ind w:firstLine="420" w:firstLineChars="200"/>
        <w:rPr>
          <w:rFonts w:hint="default" w:ascii="等线" w:hAnsi="等线" w:eastAsia="宋体" w:cs="Times New Roman"/>
          <w:kern w:val="0"/>
          <w:sz w:val="21"/>
          <w:szCs w:val="21"/>
          <w:lang w:val="en-US" w:eastAsia="zh-CN"/>
        </w:rPr>
      </w:pPr>
      <w:r>
        <w:rPr>
          <w:rFonts w:ascii="等线" w:hAnsi="等线" w:eastAsia="等线" w:cs="Times New Roman"/>
          <w:kern w:val="0"/>
          <w:sz w:val="21"/>
          <w:szCs w:val="21"/>
        </w:rPr>
        <w:t>《</w:t>
      </w:r>
      <w:r>
        <w:rPr>
          <w:rFonts w:hint="eastAsia" w:ascii="等线" w:hAnsi="等线" w:eastAsia="等线" w:cs="Times New Roman"/>
          <w:kern w:val="0"/>
          <w:sz w:val="21"/>
          <w:szCs w:val="21"/>
          <w:lang w:eastAsia="zh-CN"/>
        </w:rPr>
        <w:t>硬笔书法实用教程</w:t>
      </w:r>
      <w:r>
        <w:rPr>
          <w:rFonts w:ascii="等线" w:hAnsi="等线" w:eastAsia="等线" w:cs="Times New Roman"/>
          <w:kern w:val="0"/>
          <w:sz w:val="21"/>
          <w:szCs w:val="21"/>
        </w:rPr>
        <w:t>》，主编：</w:t>
      </w:r>
      <w:r>
        <w:rPr>
          <w:rFonts w:hint="eastAsia" w:ascii="等线" w:hAnsi="等线" w:eastAsia="等线" w:cs="Times New Roman"/>
          <w:kern w:val="0"/>
          <w:sz w:val="21"/>
          <w:szCs w:val="21"/>
          <w:lang w:eastAsia="zh-CN"/>
        </w:rPr>
        <w:t>郭立年等</w:t>
      </w:r>
      <w:r>
        <w:rPr>
          <w:rFonts w:ascii="等线" w:hAnsi="等线" w:eastAsia="等线" w:cs="Times New Roman"/>
          <w:kern w:val="0"/>
          <w:sz w:val="21"/>
          <w:szCs w:val="21"/>
        </w:rPr>
        <w:t>，</w:t>
      </w:r>
      <w:r>
        <w:rPr>
          <w:rFonts w:hint="eastAsia" w:ascii="等线" w:hAnsi="等线" w:eastAsia="等线" w:cs="Times New Roman"/>
          <w:kern w:val="0"/>
          <w:sz w:val="21"/>
          <w:szCs w:val="21"/>
          <w:lang w:eastAsia="zh-CN"/>
        </w:rPr>
        <w:t>北京</w:t>
      </w:r>
      <w:r>
        <w:rPr>
          <w:rFonts w:ascii="等线" w:hAnsi="等线" w:eastAsia="等线" w:cs="Times New Roman"/>
          <w:kern w:val="0"/>
          <w:sz w:val="21"/>
          <w:szCs w:val="21"/>
        </w:rPr>
        <w:t>：</w:t>
      </w:r>
      <w:r>
        <w:rPr>
          <w:rFonts w:hint="eastAsia" w:ascii="等线" w:hAnsi="等线" w:eastAsia="等线" w:cs="Times New Roman"/>
          <w:kern w:val="0"/>
          <w:sz w:val="21"/>
          <w:szCs w:val="21"/>
          <w:lang w:eastAsia="zh-CN"/>
        </w:rPr>
        <w:t>航空工业</w:t>
      </w:r>
      <w:r>
        <w:rPr>
          <w:rFonts w:ascii="等线" w:hAnsi="等线" w:eastAsia="等线" w:cs="Times New Roman"/>
          <w:kern w:val="0"/>
          <w:sz w:val="21"/>
          <w:szCs w:val="21"/>
        </w:rPr>
        <w:t>出版社，</w:t>
      </w:r>
      <w:r>
        <w:rPr>
          <w:rFonts w:ascii="等线" w:hAnsi="等线" w:eastAsia="等线" w:cs="Times New Roman"/>
          <w:sz w:val="21"/>
          <w:szCs w:val="21"/>
        </w:rPr>
        <w:t>20</w:t>
      </w:r>
      <w:r>
        <w:rPr>
          <w:rFonts w:hint="eastAsia" w:ascii="等线" w:hAnsi="等线" w:eastAsia="等线" w:cs="Times New Roman"/>
          <w:sz w:val="21"/>
          <w:szCs w:val="21"/>
          <w:lang w:val="en-US" w:eastAsia="zh-CN"/>
        </w:rPr>
        <w:t>23</w:t>
      </w:r>
    </w:p>
    <w:p w14:paraId="603D6930">
      <w:pPr>
        <w:spacing w:line="360" w:lineRule="auto"/>
        <w:rPr>
          <w:rFonts w:ascii="等线" w:hAnsi="等线" w:eastAsia="等线" w:cs="Times New Roman"/>
          <w:b/>
          <w:color w:val="000000"/>
          <w:sz w:val="21"/>
          <w:szCs w:val="21"/>
        </w:rPr>
      </w:pPr>
      <w:r>
        <w:rPr>
          <w:rFonts w:ascii="等线" w:hAnsi="等线" w:eastAsia="等线" w:cs="Times New Roman"/>
          <w:b/>
          <w:color w:val="000000"/>
          <w:sz w:val="21"/>
          <w:szCs w:val="21"/>
        </w:rPr>
        <w:t>（三）参考书目及学习资料</w:t>
      </w:r>
    </w:p>
    <w:p w14:paraId="22F57CE4">
      <w:pPr>
        <w:widowControl/>
        <w:spacing w:line="360" w:lineRule="auto"/>
        <w:ind w:firstLine="420" w:firstLineChars="200"/>
        <w:jc w:val="left"/>
        <w:rPr>
          <w:rFonts w:ascii="等线" w:hAnsi="等线" w:eastAsia="等线" w:cs="Times New Roman"/>
          <w:kern w:val="0"/>
          <w:sz w:val="21"/>
          <w:szCs w:val="21"/>
        </w:rPr>
      </w:pPr>
      <w:r>
        <w:rPr>
          <w:rFonts w:ascii="等线" w:hAnsi="等线" w:eastAsia="等线" w:cs="Times New Roman"/>
          <w:kern w:val="0"/>
          <w:sz w:val="21"/>
          <w:szCs w:val="21"/>
        </w:rPr>
        <w:t>1.</w:t>
      </w:r>
      <w:r>
        <w:rPr>
          <w:rFonts w:ascii="等线" w:hAnsi="等线" w:eastAsia="等线" w:cs="Times New Roman"/>
          <w:sz w:val="21"/>
          <w:szCs w:val="21"/>
        </w:rPr>
        <w:fldChar w:fldCharType="begin"/>
      </w:r>
      <w:r>
        <w:rPr>
          <w:rFonts w:ascii="等线" w:hAnsi="等线" w:eastAsia="等线" w:cs="Times New Roman"/>
          <w:sz w:val="21"/>
          <w:szCs w:val="21"/>
        </w:rPr>
        <w:instrText xml:space="preserve"> HYPERLINK "http://search.dangdang.com/?key2=%B6%A1%D3%C0%BF%B5&amp;medium=01&amp;category_path=01.00.00.00.00.00" \t "http://product.dangdang.com/_blank" </w:instrText>
      </w:r>
      <w:r>
        <w:rPr>
          <w:rFonts w:ascii="等线" w:hAnsi="等线" w:eastAsia="等线" w:cs="Times New Roman"/>
          <w:sz w:val="21"/>
          <w:szCs w:val="21"/>
        </w:rPr>
        <w:fldChar w:fldCharType="separate"/>
      </w:r>
      <w:r>
        <w:rPr>
          <w:rFonts w:ascii="等线" w:hAnsi="等线" w:eastAsia="等线" w:cs="Times New Roman"/>
          <w:kern w:val="0"/>
          <w:sz w:val="21"/>
          <w:szCs w:val="21"/>
        </w:rPr>
        <w:t>丁永康</w:t>
      </w:r>
      <w:r>
        <w:rPr>
          <w:rFonts w:ascii="等线" w:hAnsi="等线" w:eastAsia="等线" w:cs="Times New Roman"/>
          <w:kern w:val="0"/>
          <w:sz w:val="21"/>
          <w:szCs w:val="21"/>
        </w:rPr>
        <w:fldChar w:fldCharType="end"/>
      </w:r>
      <w:r>
        <w:rPr>
          <w:rFonts w:ascii="等线" w:hAnsi="等线" w:eastAsia="等线" w:cs="Times New Roman"/>
          <w:kern w:val="0"/>
          <w:sz w:val="21"/>
          <w:szCs w:val="21"/>
        </w:rPr>
        <w:t>著，硬笔书法教程， 山东：</w:t>
      </w:r>
      <w:r>
        <w:rPr>
          <w:rFonts w:ascii="等线" w:hAnsi="等线" w:eastAsia="等线" w:cs="Times New Roman"/>
          <w:sz w:val="21"/>
          <w:szCs w:val="21"/>
        </w:rPr>
        <w:fldChar w:fldCharType="begin"/>
      </w:r>
      <w:r>
        <w:rPr>
          <w:rFonts w:ascii="等线" w:hAnsi="等线" w:eastAsia="等线" w:cs="Times New Roman"/>
          <w:sz w:val="21"/>
          <w:szCs w:val="21"/>
        </w:rPr>
        <w:instrText xml:space="preserve"> HYPERLINK "http://search.dangdang.com/?key3=%C9%BD%B6%AB%BB%AD%B1%A8%B3%F6%B0%E6%C9%E7&amp;medium=01&amp;category_path=01.00.00.00.00.00" \t "http://product.dangdang.com/_blank" </w:instrText>
      </w:r>
      <w:r>
        <w:rPr>
          <w:rFonts w:ascii="等线" w:hAnsi="等线" w:eastAsia="等线" w:cs="Times New Roman"/>
          <w:sz w:val="21"/>
          <w:szCs w:val="21"/>
        </w:rPr>
        <w:fldChar w:fldCharType="separate"/>
      </w:r>
      <w:r>
        <w:rPr>
          <w:rFonts w:ascii="等线" w:hAnsi="等线" w:eastAsia="等线" w:cs="Times New Roman"/>
          <w:kern w:val="0"/>
          <w:sz w:val="21"/>
          <w:szCs w:val="21"/>
        </w:rPr>
        <w:t>山东画报出版社</w:t>
      </w:r>
      <w:r>
        <w:rPr>
          <w:rFonts w:ascii="等线" w:hAnsi="等线" w:eastAsia="等线" w:cs="Times New Roman"/>
          <w:kern w:val="0"/>
          <w:sz w:val="21"/>
          <w:szCs w:val="21"/>
        </w:rPr>
        <w:fldChar w:fldCharType="end"/>
      </w:r>
      <w:r>
        <w:rPr>
          <w:rFonts w:ascii="等线" w:hAnsi="等线" w:eastAsia="等线" w:cs="Times New Roman"/>
          <w:kern w:val="0"/>
          <w:sz w:val="21"/>
          <w:szCs w:val="21"/>
        </w:rPr>
        <w:t>，2009.5</w:t>
      </w:r>
    </w:p>
    <w:p w14:paraId="4AD2F13B">
      <w:pPr>
        <w:widowControl/>
        <w:spacing w:line="360" w:lineRule="auto"/>
        <w:ind w:firstLine="420" w:firstLineChars="200"/>
        <w:jc w:val="left"/>
        <w:rPr>
          <w:rFonts w:ascii="等线" w:hAnsi="等线" w:eastAsia="等线" w:cs="Times New Roman"/>
          <w:kern w:val="0"/>
          <w:sz w:val="21"/>
          <w:szCs w:val="21"/>
        </w:rPr>
      </w:pPr>
      <w:r>
        <w:rPr>
          <w:rFonts w:ascii="等线" w:hAnsi="等线" w:eastAsia="等线" w:cs="Times New Roman"/>
          <w:kern w:val="0"/>
          <w:sz w:val="21"/>
          <w:szCs w:val="21"/>
        </w:rPr>
        <w:t>2.荆霄鹏书，行楷书法等级考试教程，湖北：湖北美术出版社，2012.10</w:t>
      </w:r>
    </w:p>
    <w:p w14:paraId="7084298D">
      <w:pPr>
        <w:widowControl/>
        <w:spacing w:line="360" w:lineRule="auto"/>
        <w:ind w:firstLine="420" w:firstLineChars="200"/>
        <w:jc w:val="left"/>
        <w:rPr>
          <w:rFonts w:ascii="等线" w:hAnsi="等线" w:eastAsia="等线" w:cs="Times New Roman"/>
          <w:kern w:val="0"/>
          <w:sz w:val="21"/>
          <w:szCs w:val="21"/>
        </w:rPr>
      </w:pPr>
      <w:r>
        <w:rPr>
          <w:rFonts w:ascii="等线" w:hAnsi="等线" w:eastAsia="等线" w:cs="Times New Roman"/>
          <w:kern w:val="0"/>
          <w:sz w:val="21"/>
          <w:szCs w:val="21"/>
        </w:rPr>
        <w:t>3.田英章，硬笔书法国学楷书行楷字帖，上海：上海交通大学出版社，2015.6</w:t>
      </w:r>
    </w:p>
    <w:p w14:paraId="4CB3F596">
      <w:pPr>
        <w:widowControl/>
        <w:jc w:val="left"/>
        <w:rPr>
          <w:rFonts w:ascii="等线" w:hAnsi="等线" w:eastAsia="等线" w:cs="Times New Roman"/>
          <w:kern w:val="0"/>
          <w:sz w:val="21"/>
          <w:szCs w:val="21"/>
        </w:rPr>
      </w:pPr>
    </w:p>
    <w:p w14:paraId="3A980E4B">
      <w:pPr>
        <w:autoSpaceDE w:val="0"/>
        <w:autoSpaceDN w:val="0"/>
        <w:adjustRightInd w:val="0"/>
        <w:spacing w:line="360" w:lineRule="auto"/>
        <w:ind w:left="5519" w:leftChars="228" w:hanging="5040" w:hangingChars="2400"/>
        <w:jc w:val="left"/>
        <w:rPr>
          <w:rFonts w:ascii="等线" w:hAnsi="等线" w:eastAsia="等线" w:cs="Times New Roman"/>
          <w:kern w:val="0"/>
          <w:sz w:val="21"/>
          <w:szCs w:val="21"/>
        </w:rPr>
      </w:pPr>
      <w:r>
        <w:rPr>
          <w:rFonts w:ascii="等线" w:hAnsi="等线" w:eastAsia="等线" w:cs="Times New Roman"/>
          <w:sz w:val="21"/>
          <w:szCs w:val="21"/>
        </w:rPr>
        <w:t xml:space="preserve">                                               </w:t>
      </w:r>
      <w:r>
        <w:rPr>
          <w:rFonts w:ascii="等线" w:hAnsi="等线" w:eastAsia="等线" w:cs="Times New Roman"/>
          <w:kern w:val="0"/>
          <w:sz w:val="21"/>
          <w:szCs w:val="21"/>
        </w:rPr>
        <w:t xml:space="preserve">执笔人： 尹志山 </w:t>
      </w:r>
    </w:p>
    <w:p w14:paraId="6F7ADAB0">
      <w:pPr>
        <w:adjustRightInd w:val="0"/>
        <w:snapToGrid w:val="0"/>
        <w:spacing w:line="360" w:lineRule="auto"/>
        <w:ind w:firstLine="5460" w:firstLineChars="2600"/>
        <w:jc w:val="left"/>
        <w:rPr>
          <w:rFonts w:hint="eastAsia" w:ascii="等线" w:hAnsi="等线" w:eastAsia="宋体" w:cs="Times New Roman"/>
          <w:kern w:val="0"/>
          <w:sz w:val="21"/>
          <w:szCs w:val="21"/>
          <w:lang w:eastAsia="zh-CN"/>
        </w:rPr>
      </w:pPr>
      <w:r>
        <w:rPr>
          <w:rFonts w:ascii="等线" w:hAnsi="等线" w:eastAsia="等线" w:cs="Times New Roman"/>
          <w:kern w:val="0"/>
          <w:sz w:val="21"/>
          <w:szCs w:val="21"/>
        </w:rPr>
        <w:t xml:space="preserve">审定人： </w:t>
      </w:r>
      <w:r>
        <w:rPr>
          <w:rFonts w:hint="eastAsia" w:ascii="等线" w:hAnsi="等线" w:eastAsia="等线" w:cs="Times New Roman"/>
          <w:kern w:val="0"/>
          <w:sz w:val="21"/>
          <w:szCs w:val="21"/>
          <w:lang w:eastAsia="zh-CN"/>
        </w:rPr>
        <w:t>荀洁</w:t>
      </w:r>
    </w:p>
    <w:p w14:paraId="4150C315">
      <w:pPr>
        <w:adjustRightInd w:val="0"/>
        <w:snapToGrid w:val="0"/>
        <w:spacing w:line="360" w:lineRule="auto"/>
        <w:ind w:firstLine="5460" w:firstLineChars="2600"/>
        <w:jc w:val="left"/>
        <w:rPr>
          <w:rFonts w:ascii="等线" w:hAnsi="等线" w:eastAsia="等线" w:cs="Times New Roman"/>
          <w:kern w:val="0"/>
          <w:sz w:val="21"/>
          <w:szCs w:val="21"/>
        </w:rPr>
      </w:pPr>
      <w:r>
        <w:rPr>
          <w:rFonts w:ascii="等线" w:hAnsi="等线" w:eastAsia="等线" w:cs="Times New Roman"/>
          <w:kern w:val="0"/>
          <w:sz w:val="21"/>
          <w:szCs w:val="21"/>
        </w:rPr>
        <w:t>审批人： 陈建忠</w:t>
      </w:r>
    </w:p>
    <w:p w14:paraId="0BE8A118">
      <w:pPr>
        <w:adjustRightInd w:val="0"/>
        <w:snapToGrid w:val="0"/>
        <w:spacing w:line="360" w:lineRule="auto"/>
        <w:ind w:firstLine="5460" w:firstLineChars="2600"/>
        <w:jc w:val="left"/>
        <w:rPr>
          <w:rFonts w:hint="eastAsia" w:ascii="等线" w:hAnsi="等线" w:eastAsia="等线" w:cs="Times New Roman"/>
          <w:kern w:val="0"/>
          <w:sz w:val="21"/>
          <w:szCs w:val="21"/>
        </w:rPr>
      </w:pPr>
      <w:r>
        <w:rPr>
          <w:rFonts w:hint="eastAsia" w:ascii="等线" w:hAnsi="等线" w:eastAsia="等线" w:cs="Times New Roman"/>
          <w:kern w:val="0"/>
          <w:sz w:val="21"/>
          <w:szCs w:val="21"/>
        </w:rPr>
        <w:t>批准时间： 2024年 9月1 日</w:t>
      </w:r>
    </w:p>
    <w:p w14:paraId="3AFE8C86">
      <w:pPr>
        <w:rPr>
          <w:rFonts w:hint="eastAsia" w:ascii="等线" w:hAnsi="等线" w:eastAsia="等线" w:cs="Times New Roman"/>
          <w:kern w:val="0"/>
          <w:sz w:val="21"/>
          <w:szCs w:val="21"/>
        </w:rPr>
      </w:pPr>
      <w:r>
        <w:rPr>
          <w:rFonts w:hint="eastAsia" w:ascii="等线" w:hAnsi="等线" w:eastAsia="等线" w:cs="Times New Roman"/>
          <w:kern w:val="0"/>
          <w:sz w:val="21"/>
          <w:szCs w:val="21"/>
        </w:rPr>
        <w:br w:type="page"/>
      </w:r>
    </w:p>
    <w:p w14:paraId="73DD6B85">
      <w:pPr>
        <w:pStyle w:val="2"/>
        <w:bidi w:val="0"/>
      </w:pPr>
      <w:bookmarkStart w:id="446" w:name="_Toc23792"/>
      <w:bookmarkStart w:id="447" w:name="_Toc57017169"/>
      <w:bookmarkStart w:id="448" w:name="_Toc57017170"/>
      <w:bookmarkStart w:id="449" w:name="_Toc22372"/>
      <w:bookmarkStart w:id="450" w:name="_Toc19313"/>
      <w:bookmarkStart w:id="451" w:name="_Toc3094"/>
      <w:r>
        <w:rPr>
          <w:rFonts w:hint="eastAsia"/>
          <w:lang w:eastAsia="zh-CN"/>
        </w:rPr>
        <w:t>《</w:t>
      </w:r>
      <w:r>
        <w:rPr>
          <w:rFonts w:hint="eastAsia"/>
        </w:rPr>
        <w:t>普通话训练指导</w:t>
      </w:r>
      <w:r>
        <w:rPr>
          <w:rFonts w:hint="eastAsia"/>
          <w:lang w:eastAsia="zh-CN"/>
        </w:rPr>
        <w:t>》</w:t>
      </w:r>
      <w:r>
        <w:rPr>
          <w:rFonts w:hint="eastAsia"/>
        </w:rPr>
        <w:t>课程教学大纲</w:t>
      </w:r>
      <w:bookmarkEnd w:id="446"/>
      <w:bookmarkEnd w:id="447"/>
    </w:p>
    <w:p w14:paraId="7B00E114">
      <w:pPr>
        <w:pStyle w:val="2"/>
        <w:bidi w:val="0"/>
      </w:pPr>
      <w:bookmarkStart w:id="452" w:name="_Toc27239"/>
      <w:bookmarkStart w:id="453" w:name="_Toc13870"/>
      <w:bookmarkStart w:id="454" w:name="_Toc7587"/>
      <w:r>
        <w:rPr>
          <w:rFonts w:hint="eastAsia"/>
        </w:rPr>
        <w:t>（</w:t>
      </w:r>
      <w:r>
        <w:t>Practice of Mandarin</w:t>
      </w:r>
      <w:r>
        <w:rPr>
          <w:rFonts w:hint="eastAsia"/>
        </w:rPr>
        <w:t>）</w:t>
      </w:r>
      <w:bookmarkEnd w:id="452"/>
      <w:bookmarkEnd w:id="453"/>
      <w:bookmarkEnd w:id="454"/>
    </w:p>
    <w:p w14:paraId="3279D3EF">
      <w:pPr>
        <w:spacing w:line="360" w:lineRule="auto"/>
        <w:ind w:firstLine="551" w:firstLineChars="196"/>
        <w:rPr>
          <w:rFonts w:hint="eastAsia" w:ascii="Calibri" w:hAnsi="Calibri" w:eastAsia="宋体" w:cs="Times New Roman"/>
          <w:b/>
          <w:sz w:val="28"/>
          <w:szCs w:val="28"/>
        </w:rPr>
      </w:pPr>
    </w:p>
    <w:p w14:paraId="241C4179">
      <w:pPr>
        <w:spacing w:line="360" w:lineRule="auto"/>
        <w:ind w:firstLine="472" w:firstLineChars="196"/>
        <w:rPr>
          <w:rFonts w:hint="default" w:ascii="Calibri" w:hAnsi="Calibri" w:eastAsia="宋体" w:cs="Times New Roman"/>
          <w:b/>
          <w:sz w:val="24"/>
          <w:szCs w:val="24"/>
          <w:lang w:val="en-US" w:eastAsia="zh-CN"/>
        </w:rPr>
      </w:pPr>
      <w:r>
        <w:rPr>
          <w:rFonts w:hint="eastAsia" w:ascii="Calibri" w:hAnsi="Calibri" w:eastAsia="宋体" w:cs="Times New Roman"/>
          <w:b/>
          <w:sz w:val="24"/>
          <w:szCs w:val="24"/>
        </w:rPr>
        <w:t>课程</w:t>
      </w:r>
      <w:r>
        <w:rPr>
          <w:rFonts w:hint="eastAsia" w:ascii="Calibri" w:hAnsi="Calibri" w:eastAsia="宋体" w:cs="Times New Roman"/>
          <w:b/>
          <w:sz w:val="24"/>
          <w:szCs w:val="24"/>
          <w:lang w:val="en-US" w:eastAsia="zh-CN"/>
        </w:rPr>
        <w:t>名称：普通话训练指导</w:t>
      </w:r>
    </w:p>
    <w:p w14:paraId="73CFE65C">
      <w:pPr>
        <w:spacing w:line="360" w:lineRule="auto"/>
        <w:ind w:firstLine="482" w:firstLineChars="200"/>
        <w:rPr>
          <w:rFonts w:hint="default" w:ascii="Times New Roman" w:hAnsi="Times New Roman" w:eastAsia="华文细黑" w:cs="Times New Roman"/>
          <w:sz w:val="28"/>
          <w:szCs w:val="28"/>
        </w:rPr>
      </w:pPr>
      <w:r>
        <w:rPr>
          <w:rFonts w:hint="eastAsia" w:ascii="宋体" w:hAnsi="宋体" w:eastAsia="宋体" w:cs="Times New Roman"/>
          <w:b/>
          <w:bCs/>
          <w:kern w:val="0"/>
          <w:sz w:val="24"/>
          <w:szCs w:val="22"/>
        </w:rPr>
        <w:t>课程代码</w:t>
      </w:r>
      <w:r>
        <w:rPr>
          <w:rFonts w:hint="eastAsia" w:ascii="宋体" w:hAnsi="宋体" w:eastAsia="宋体" w:cs="Times New Roman"/>
          <w:b/>
          <w:kern w:val="0"/>
          <w:sz w:val="24"/>
          <w:szCs w:val="22"/>
        </w:rPr>
        <w:t>：</w:t>
      </w:r>
      <w:r>
        <w:rPr>
          <w:rFonts w:hint="default" w:ascii="Times New Roman" w:hAnsi="Times New Roman" w:eastAsia="华文细黑" w:cs="Times New Roman"/>
          <w:sz w:val="28"/>
          <w:szCs w:val="28"/>
        </w:rPr>
        <w:t>0705015</w:t>
      </w:r>
    </w:p>
    <w:p w14:paraId="686DE1BD">
      <w:pPr>
        <w:spacing w:line="360" w:lineRule="auto"/>
        <w:ind w:firstLine="482" w:firstLineChars="200"/>
        <w:rPr>
          <w:rFonts w:ascii="宋体" w:hAnsi="宋体" w:eastAsia="宋体" w:cs="Times New Roman"/>
          <w:b/>
          <w:kern w:val="0"/>
          <w:sz w:val="24"/>
          <w:szCs w:val="22"/>
        </w:rPr>
      </w:pPr>
      <w:r>
        <w:rPr>
          <w:rFonts w:hint="eastAsia" w:ascii="宋体" w:hAnsi="宋体" w:eastAsia="宋体" w:cs="Times New Roman"/>
          <w:b/>
          <w:bCs/>
          <w:kern w:val="0"/>
          <w:sz w:val="24"/>
          <w:szCs w:val="22"/>
        </w:rPr>
        <w:t>学    分</w:t>
      </w:r>
      <w:r>
        <w:rPr>
          <w:rFonts w:hint="eastAsia" w:ascii="宋体" w:hAnsi="宋体" w:eastAsia="宋体" w:cs="Times New Roman"/>
          <w:b/>
          <w:kern w:val="0"/>
          <w:sz w:val="24"/>
          <w:szCs w:val="22"/>
        </w:rPr>
        <w:t>：2</w:t>
      </w:r>
    </w:p>
    <w:p w14:paraId="394B9E1F">
      <w:pPr>
        <w:spacing w:line="360" w:lineRule="auto"/>
        <w:ind w:firstLine="482" w:firstLineChars="200"/>
        <w:rPr>
          <w:rFonts w:ascii="宋体" w:hAnsi="宋体" w:eastAsia="宋体" w:cs="Times New Roman"/>
          <w:kern w:val="0"/>
          <w:sz w:val="24"/>
          <w:szCs w:val="22"/>
        </w:rPr>
      </w:pPr>
      <w:r>
        <w:rPr>
          <w:rFonts w:hint="eastAsia" w:ascii="宋体" w:hAnsi="宋体" w:eastAsia="宋体" w:cs="Times New Roman"/>
          <w:b/>
          <w:bCs/>
          <w:kern w:val="0"/>
          <w:sz w:val="24"/>
          <w:szCs w:val="22"/>
        </w:rPr>
        <w:t>学    时</w:t>
      </w:r>
      <w:r>
        <w:rPr>
          <w:rFonts w:hint="eastAsia" w:ascii="宋体" w:hAnsi="宋体" w:eastAsia="宋体" w:cs="Times New Roman"/>
          <w:b/>
          <w:kern w:val="0"/>
          <w:sz w:val="24"/>
          <w:szCs w:val="22"/>
        </w:rPr>
        <w:t>：16</w:t>
      </w:r>
      <w:r>
        <w:rPr>
          <w:rFonts w:hint="eastAsia" w:ascii="宋体" w:hAnsi="宋体" w:eastAsia="宋体" w:cs="Times New Roman"/>
          <w:kern w:val="0"/>
          <w:sz w:val="24"/>
          <w:szCs w:val="22"/>
        </w:rPr>
        <w:t xml:space="preserve"> （其中讲授</w:t>
      </w:r>
      <w:r>
        <w:rPr>
          <w:rFonts w:hint="eastAsia" w:ascii="宋体" w:hAnsi="宋体" w:eastAsia="宋体" w:cs="Times New Roman"/>
          <w:kern w:val="0"/>
          <w:sz w:val="24"/>
          <w:szCs w:val="22"/>
          <w:lang w:val="en-US" w:eastAsia="zh-CN"/>
        </w:rPr>
        <w:t>6</w:t>
      </w:r>
      <w:r>
        <w:rPr>
          <w:rFonts w:hint="eastAsia" w:ascii="宋体" w:hAnsi="宋体" w:eastAsia="宋体" w:cs="Times New Roman"/>
          <w:kern w:val="0"/>
          <w:sz w:val="24"/>
          <w:szCs w:val="22"/>
        </w:rPr>
        <w:t>学时，课内实践</w:t>
      </w:r>
      <w:r>
        <w:rPr>
          <w:rFonts w:hint="eastAsia" w:ascii="宋体" w:hAnsi="宋体" w:eastAsia="宋体" w:cs="Times New Roman"/>
          <w:kern w:val="0"/>
          <w:sz w:val="24"/>
          <w:szCs w:val="22"/>
          <w:lang w:val="en-US" w:eastAsia="zh-CN"/>
        </w:rPr>
        <w:t>10</w:t>
      </w:r>
      <w:r>
        <w:rPr>
          <w:rFonts w:hint="eastAsia" w:ascii="宋体" w:hAnsi="宋体" w:eastAsia="宋体" w:cs="Times New Roman"/>
          <w:kern w:val="0"/>
          <w:sz w:val="24"/>
          <w:szCs w:val="22"/>
        </w:rPr>
        <w:t>学时）</w:t>
      </w:r>
    </w:p>
    <w:p w14:paraId="39C982DB">
      <w:pPr>
        <w:spacing w:line="360" w:lineRule="auto"/>
        <w:ind w:firstLine="482" w:firstLineChars="200"/>
        <w:rPr>
          <w:rFonts w:ascii="宋体" w:hAnsi="宋体" w:eastAsia="宋体" w:cs="Times New Roman"/>
          <w:b/>
          <w:bCs/>
          <w:kern w:val="0"/>
          <w:sz w:val="24"/>
          <w:szCs w:val="22"/>
        </w:rPr>
      </w:pPr>
      <w:r>
        <w:rPr>
          <w:rFonts w:hint="eastAsia" w:ascii="宋体" w:hAnsi="宋体" w:eastAsia="宋体" w:cs="Times New Roman"/>
          <w:b/>
          <w:bCs/>
          <w:kern w:val="0"/>
          <w:sz w:val="24"/>
          <w:szCs w:val="22"/>
        </w:rPr>
        <w:t>先修课程</w:t>
      </w:r>
      <w:r>
        <w:rPr>
          <w:rFonts w:hint="eastAsia" w:ascii="宋体" w:hAnsi="宋体" w:eastAsia="宋体" w:cs="Times New Roman"/>
          <w:b/>
          <w:kern w:val="0"/>
          <w:sz w:val="24"/>
          <w:szCs w:val="22"/>
        </w:rPr>
        <w:t>：</w:t>
      </w:r>
      <w:r>
        <w:rPr>
          <w:rFonts w:hint="eastAsia" w:ascii="宋体" w:hAnsi="宋体" w:eastAsia="宋体" w:cs="Times New Roman"/>
          <w:kern w:val="0"/>
          <w:sz w:val="24"/>
          <w:szCs w:val="22"/>
        </w:rPr>
        <w:t>无</w:t>
      </w:r>
    </w:p>
    <w:p w14:paraId="179F6B50">
      <w:pPr>
        <w:spacing w:line="360" w:lineRule="auto"/>
        <w:ind w:firstLine="482" w:firstLineChars="200"/>
        <w:rPr>
          <w:rFonts w:hint="eastAsia" w:ascii="宋体" w:hAnsi="宋体" w:eastAsia="宋体" w:cs="Times New Roman"/>
          <w:kern w:val="0"/>
          <w:sz w:val="24"/>
          <w:szCs w:val="22"/>
        </w:rPr>
      </w:pPr>
      <w:r>
        <w:rPr>
          <w:rFonts w:hint="eastAsia" w:ascii="宋体" w:hAnsi="宋体" w:eastAsia="宋体" w:cs="Times New Roman"/>
          <w:b/>
          <w:bCs/>
          <w:kern w:val="0"/>
          <w:sz w:val="24"/>
          <w:szCs w:val="22"/>
        </w:rPr>
        <w:t>适用专业</w:t>
      </w:r>
      <w:r>
        <w:rPr>
          <w:rFonts w:hint="eastAsia" w:ascii="宋体" w:hAnsi="宋体" w:eastAsia="宋体" w:cs="Times New Roman"/>
          <w:b/>
          <w:kern w:val="0"/>
          <w:sz w:val="24"/>
          <w:szCs w:val="22"/>
        </w:rPr>
        <w:t>：</w:t>
      </w:r>
      <w:r>
        <w:rPr>
          <w:rFonts w:hint="eastAsia" w:ascii="宋体" w:hAnsi="宋体" w:eastAsia="宋体" w:cs="Times New Roman"/>
          <w:kern w:val="0"/>
          <w:sz w:val="24"/>
          <w:szCs w:val="22"/>
        </w:rPr>
        <w:t xml:space="preserve">小学教育  </w:t>
      </w:r>
    </w:p>
    <w:p w14:paraId="5A165CFF">
      <w:pPr>
        <w:spacing w:line="360" w:lineRule="auto"/>
        <w:ind w:firstLine="480" w:firstLineChars="200"/>
        <w:rPr>
          <w:rFonts w:ascii="宋体" w:hAnsi="宋体" w:eastAsia="宋体" w:cs="Times New Roman"/>
          <w:kern w:val="0"/>
          <w:sz w:val="24"/>
          <w:szCs w:val="22"/>
        </w:rPr>
      </w:pPr>
      <w:r>
        <w:rPr>
          <w:rFonts w:hint="eastAsia" w:ascii="宋体" w:hAnsi="宋体" w:eastAsia="宋体" w:cs="Times New Roman"/>
          <w:kern w:val="0"/>
          <w:sz w:val="24"/>
          <w:szCs w:val="22"/>
        </w:rPr>
        <w:t xml:space="preserve">                    </w:t>
      </w:r>
    </w:p>
    <w:p w14:paraId="0C8F05EE">
      <w:pPr>
        <w:autoSpaceDE w:val="0"/>
        <w:autoSpaceDN w:val="0"/>
        <w:adjustRightInd w:val="0"/>
        <w:spacing w:line="360" w:lineRule="auto"/>
        <w:jc w:val="left"/>
        <w:rPr>
          <w:rFonts w:ascii="宋体" w:hAnsi="宋体" w:eastAsia="宋体" w:cs="Times New Roman"/>
          <w:b/>
          <w:bCs/>
          <w:kern w:val="0"/>
          <w:sz w:val="24"/>
          <w:szCs w:val="22"/>
        </w:rPr>
      </w:pPr>
      <w:r>
        <w:rPr>
          <w:rFonts w:hint="eastAsia" w:ascii="宋体" w:hAnsi="宋体" w:eastAsia="宋体" w:cs="Times New Roman"/>
          <w:b/>
          <w:bCs/>
          <w:kern w:val="0"/>
          <w:sz w:val="24"/>
          <w:szCs w:val="22"/>
          <w:lang w:val="en-US" w:eastAsia="zh-CN"/>
        </w:rPr>
        <w:t>一、课程简介</w:t>
      </w:r>
      <w:r>
        <w:rPr>
          <w:rFonts w:hint="eastAsia" w:ascii="宋体" w:hAnsi="宋体" w:eastAsia="宋体" w:cs="Times New Roman"/>
          <w:b/>
          <w:bCs/>
          <w:kern w:val="0"/>
          <w:sz w:val="24"/>
          <w:szCs w:val="22"/>
        </w:rPr>
        <w:t>：</w:t>
      </w:r>
    </w:p>
    <w:p w14:paraId="67A8C03F">
      <w:pPr>
        <w:autoSpaceDE w:val="0"/>
        <w:autoSpaceDN w:val="0"/>
        <w:adjustRightInd w:val="0"/>
        <w:spacing w:line="360" w:lineRule="auto"/>
        <w:ind w:firstLine="420" w:firstLineChars="200"/>
        <w:rPr>
          <w:rFonts w:ascii="Calibri" w:hAnsi="Calibri" w:eastAsia="宋体" w:cs="Times New Roman"/>
          <w:kern w:val="0"/>
          <w:sz w:val="21"/>
          <w:szCs w:val="21"/>
        </w:rPr>
      </w:pPr>
      <w:r>
        <w:rPr>
          <w:rFonts w:hint="eastAsia" w:ascii="Calibri" w:hAnsi="Calibri" w:eastAsia="宋体" w:cs="Times New Roman"/>
          <w:kern w:val="0"/>
          <w:sz w:val="21"/>
          <w:szCs w:val="21"/>
        </w:rPr>
        <w:t>本课程是</w:t>
      </w:r>
      <w:r>
        <w:rPr>
          <w:rFonts w:hint="eastAsia" w:ascii="宋体" w:hAnsi="宋体" w:eastAsia="宋体" w:cs="Times New Roman"/>
          <w:bCs/>
          <w:kern w:val="0"/>
          <w:sz w:val="21"/>
          <w:szCs w:val="21"/>
        </w:rPr>
        <w:t>小学教育</w:t>
      </w:r>
      <w:r>
        <w:rPr>
          <w:rFonts w:hint="eastAsia" w:ascii="Calibri" w:hAnsi="Calibri" w:eastAsia="宋体" w:cs="Times New Roman"/>
          <w:kern w:val="0"/>
          <w:sz w:val="21"/>
          <w:szCs w:val="21"/>
        </w:rPr>
        <w:t>专业一门专业基础—必修课程。通过该课程的学习不仅要让学生掌握普通话和普通话水平测试的基础理论，还要围绕普通话的重难点音及普通话水平测试的常见失误，对学生进行有针对性的训练，</w:t>
      </w:r>
      <w:r>
        <w:rPr>
          <w:rFonts w:hint="eastAsia" w:ascii="Calibri" w:hAnsi="Calibri" w:eastAsia="宋体" w:cs="Times New Roman"/>
          <w:color w:val="000000"/>
          <w:kern w:val="0"/>
          <w:sz w:val="21"/>
          <w:szCs w:val="21"/>
        </w:rPr>
        <w:t>为后续学习</w:t>
      </w:r>
      <w:r>
        <w:rPr>
          <w:rFonts w:hint="eastAsia" w:ascii="宋体" w:hAnsi="宋体" w:eastAsia="宋体" w:cs="Times New Roman"/>
          <w:bCs/>
          <w:color w:val="000000"/>
          <w:kern w:val="0"/>
          <w:sz w:val="21"/>
          <w:szCs w:val="21"/>
        </w:rPr>
        <w:t>相关</w:t>
      </w:r>
      <w:r>
        <w:rPr>
          <w:rFonts w:hint="eastAsia" w:ascii="Calibri" w:hAnsi="Calibri" w:eastAsia="宋体" w:cs="Times New Roman"/>
          <w:color w:val="000000"/>
          <w:kern w:val="0"/>
          <w:sz w:val="21"/>
          <w:szCs w:val="21"/>
        </w:rPr>
        <w:t>课程以及从事小学教育等方面的工作打下坚实的</w:t>
      </w:r>
      <w:r>
        <w:rPr>
          <w:rFonts w:hint="eastAsia" w:ascii="Calibri" w:hAnsi="Calibri" w:eastAsia="宋体" w:cs="Times New Roman"/>
          <w:kern w:val="0"/>
          <w:sz w:val="21"/>
          <w:szCs w:val="21"/>
        </w:rPr>
        <w:t>基础。</w:t>
      </w:r>
    </w:p>
    <w:p w14:paraId="37F27423">
      <w:pPr>
        <w:autoSpaceDE w:val="0"/>
        <w:autoSpaceDN w:val="0"/>
        <w:adjustRightInd w:val="0"/>
        <w:spacing w:line="360" w:lineRule="auto"/>
        <w:ind w:firstLine="420" w:firstLineChars="200"/>
        <w:rPr>
          <w:rFonts w:ascii="Calibri" w:hAnsi="Calibri" w:eastAsia="宋体" w:cs="Times New Roman"/>
          <w:sz w:val="21"/>
          <w:szCs w:val="21"/>
        </w:rPr>
      </w:pPr>
      <w:r>
        <w:rPr>
          <w:rFonts w:hint="eastAsia" w:ascii="Calibri" w:hAnsi="Calibri" w:eastAsia="宋体" w:cs="Times New Roman"/>
          <w:sz w:val="21"/>
          <w:szCs w:val="21"/>
        </w:rPr>
        <w:t>能说一口标准的普通话，具备较好的口语表达能力，是一项必备的社交技能。教师以普通话为工作语言，师范专业与口语表达密切相关，因此说好普通话也是小学教育专业一项必备的职业技能。提高语言应用能力，继承和弘扬中华民族优秀的传统文化，更是小学教育专业素质教育的重要内容。</w:t>
      </w:r>
    </w:p>
    <w:p w14:paraId="0162A515">
      <w:pPr>
        <w:numPr>
          <w:ilvl w:val="0"/>
          <w:numId w:val="0"/>
        </w:numPr>
        <w:spacing w:line="360" w:lineRule="auto"/>
        <w:rPr>
          <w:rFonts w:ascii="Calibri" w:hAnsi="Calibri" w:eastAsia="宋体" w:cs="Times New Roman"/>
          <w:b/>
          <w:sz w:val="28"/>
          <w:szCs w:val="28"/>
        </w:rPr>
      </w:pPr>
      <w:r>
        <w:rPr>
          <w:rFonts w:hint="eastAsia" w:ascii="Calibri" w:hAnsi="Calibri" w:eastAsia="宋体" w:cs="Times New Roman"/>
          <w:b/>
          <w:sz w:val="28"/>
          <w:szCs w:val="28"/>
          <w:lang w:val="en-US" w:eastAsia="zh-CN"/>
        </w:rPr>
        <w:t>二、</w:t>
      </w:r>
      <w:r>
        <w:rPr>
          <w:rFonts w:hint="eastAsia" w:ascii="Calibri" w:hAnsi="Calibri" w:eastAsia="宋体" w:cs="Times New Roman"/>
          <w:b/>
          <w:sz w:val="28"/>
          <w:szCs w:val="28"/>
        </w:rPr>
        <w:t>课程目标</w:t>
      </w:r>
    </w:p>
    <w:p w14:paraId="74BA0402">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（一）课程具体目标</w:t>
      </w:r>
    </w:p>
    <w:p w14:paraId="30BABCA0">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目标1.使学生了解和掌握普通话语音和普通话水平测试的基础理论知识；</w:t>
      </w:r>
    </w:p>
    <w:p w14:paraId="71D8F2A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目标2.使学生掌握普通话声、韵、调的发音难点并能够准确发音；</w:t>
      </w:r>
    </w:p>
    <w:p w14:paraId="6CCF309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目标3.使学生了解所操方言与普通话的差异，能够进行自我发音矫正；</w:t>
      </w:r>
    </w:p>
    <w:p w14:paraId="4529847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目标4.提高学生人际沟通能力和口语表达能力，掌握发音技巧，为将来从事小学教育工作打下基础；</w:t>
      </w:r>
    </w:p>
    <w:p w14:paraId="3097E39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目标5.学生参加国家普通话水平测试，能够取得二级甲等以上的等级证书。</w:t>
      </w:r>
    </w:p>
    <w:p w14:paraId="0FB96E08">
      <w:pPr>
        <w:numPr>
          <w:ilvl w:val="0"/>
          <w:numId w:val="33"/>
        </w:numPr>
        <w:spacing w:before="156" w:beforeLines="50" w:after="156" w:afterLines="50" w:line="360" w:lineRule="auto"/>
        <w:jc w:val="left"/>
        <w:rPr>
          <w:rFonts w:hint="eastAsia" w:ascii="宋体" w:hAnsi="宋体" w:eastAsia="宋体" w:cs="宋体"/>
          <w:b/>
          <w:bCs/>
          <w:sz w:val="21"/>
          <w:szCs w:val="21"/>
        </w:rPr>
      </w:pPr>
      <w:r>
        <w:rPr>
          <w:rFonts w:hint="eastAsia" w:ascii="宋体" w:hAnsi="宋体" w:eastAsia="宋体" w:cs="宋体"/>
          <w:b/>
          <w:bCs/>
          <w:sz w:val="21"/>
          <w:szCs w:val="21"/>
        </w:rPr>
        <w:t>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3EC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71D4D62">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毕业要求</w:t>
            </w:r>
          </w:p>
        </w:tc>
        <w:tc>
          <w:tcPr>
            <w:tcW w:w="5688" w:type="dxa"/>
            <w:vAlign w:val="center"/>
          </w:tcPr>
          <w:p w14:paraId="1DF1E22E">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毕业要求指标点</w:t>
            </w:r>
          </w:p>
        </w:tc>
        <w:tc>
          <w:tcPr>
            <w:tcW w:w="1191" w:type="dxa"/>
            <w:vAlign w:val="center"/>
          </w:tcPr>
          <w:p w14:paraId="4DF4B9A3">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课程目标</w:t>
            </w:r>
          </w:p>
        </w:tc>
      </w:tr>
      <w:tr w14:paraId="0FCD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732C62CF">
            <w:pPr>
              <w:spacing w:line="276" w:lineRule="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毕业要求4.教学能力</w:t>
            </w:r>
          </w:p>
        </w:tc>
        <w:tc>
          <w:tcPr>
            <w:tcW w:w="5688" w:type="dxa"/>
            <w:vAlign w:val="center"/>
          </w:tcPr>
          <w:p w14:paraId="7D7031C0">
            <w:pPr>
              <w:spacing w:line="276" w:lineRule="auto"/>
              <w:jc w:val="left"/>
              <w:rPr>
                <w:rFonts w:hint="eastAsia" w:ascii="宋体" w:hAnsi="宋体" w:eastAsia="宋体" w:cs="宋体"/>
                <w:sz w:val="21"/>
                <w:szCs w:val="21"/>
              </w:rPr>
            </w:pPr>
            <w:r>
              <w:rPr>
                <w:rFonts w:hint="eastAsia" w:ascii="宋体" w:hAnsi="宋体" w:eastAsia="宋体" w:cs="宋体"/>
                <w:color w:val="000000"/>
                <w:kern w:val="0"/>
                <w:sz w:val="21"/>
                <w:szCs w:val="21"/>
              </w:rPr>
              <w:t>4-3：掌握小学教师基本功技能，包括书写技能、沟通与表达技能、信息技术运用技能等。</w:t>
            </w:r>
          </w:p>
        </w:tc>
        <w:tc>
          <w:tcPr>
            <w:tcW w:w="1191" w:type="dxa"/>
            <w:vAlign w:val="center"/>
          </w:tcPr>
          <w:p w14:paraId="383049FB">
            <w:pPr>
              <w:spacing w:line="276" w:lineRule="auto"/>
              <w:jc w:val="left"/>
              <w:rPr>
                <w:rFonts w:hint="eastAsia" w:ascii="宋体" w:hAnsi="宋体" w:eastAsia="宋体" w:cs="宋体"/>
                <w:sz w:val="21"/>
                <w:szCs w:val="21"/>
              </w:rPr>
            </w:pPr>
            <w:r>
              <w:rPr>
                <w:rFonts w:hint="eastAsia" w:ascii="宋体" w:hAnsi="宋体" w:eastAsia="宋体" w:cs="宋体"/>
                <w:sz w:val="21"/>
                <w:szCs w:val="21"/>
              </w:rPr>
              <w:t>课程目标3</w:t>
            </w:r>
          </w:p>
        </w:tc>
      </w:tr>
      <w:tr w14:paraId="0CCA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1557E077">
            <w:pPr>
              <w:spacing w:line="276" w:lineRule="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毕业要求4.教学能力</w:t>
            </w:r>
          </w:p>
        </w:tc>
        <w:tc>
          <w:tcPr>
            <w:tcW w:w="5688" w:type="dxa"/>
            <w:vAlign w:val="center"/>
          </w:tcPr>
          <w:p w14:paraId="48A83F5B">
            <w:pPr>
              <w:spacing w:line="276" w:lineRule="auto"/>
              <w:jc w:val="left"/>
              <w:rPr>
                <w:rFonts w:hint="eastAsia" w:ascii="宋体" w:hAnsi="宋体" w:eastAsia="宋体" w:cs="宋体"/>
                <w:sz w:val="21"/>
                <w:szCs w:val="21"/>
              </w:rPr>
            </w:pPr>
            <w:r>
              <w:rPr>
                <w:rFonts w:hint="eastAsia" w:ascii="宋体" w:hAnsi="宋体" w:eastAsia="宋体" w:cs="宋体"/>
                <w:color w:val="000000"/>
                <w:kern w:val="0"/>
                <w:sz w:val="21"/>
                <w:szCs w:val="21"/>
              </w:rPr>
              <w:t>4-3：掌握小学教师基本功技能，包括书写技能、沟通与表达技能、信息技术运用技能等。</w:t>
            </w:r>
          </w:p>
        </w:tc>
        <w:tc>
          <w:tcPr>
            <w:tcW w:w="1191" w:type="dxa"/>
            <w:vAlign w:val="center"/>
          </w:tcPr>
          <w:p w14:paraId="2C006C6B">
            <w:pPr>
              <w:spacing w:line="276" w:lineRule="auto"/>
              <w:jc w:val="left"/>
              <w:rPr>
                <w:rFonts w:hint="eastAsia" w:ascii="宋体" w:hAnsi="宋体" w:eastAsia="宋体" w:cs="宋体"/>
                <w:sz w:val="21"/>
                <w:szCs w:val="21"/>
              </w:rPr>
            </w:pPr>
            <w:r>
              <w:rPr>
                <w:rFonts w:hint="eastAsia" w:ascii="宋体" w:hAnsi="宋体" w:eastAsia="宋体" w:cs="宋体"/>
                <w:sz w:val="21"/>
                <w:szCs w:val="21"/>
              </w:rPr>
              <w:t>课程目标3</w:t>
            </w:r>
          </w:p>
        </w:tc>
      </w:tr>
      <w:tr w14:paraId="0245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6F3CD1AC">
            <w:pPr>
              <w:spacing w:line="276" w:lineRule="auto"/>
              <w:rPr>
                <w:rFonts w:hint="eastAsia" w:ascii="宋体" w:hAnsi="宋体" w:eastAsia="宋体" w:cs="宋体"/>
                <w:color w:val="000000"/>
                <w:spacing w:val="2"/>
                <w:kern w:val="0"/>
                <w:sz w:val="21"/>
                <w:szCs w:val="21"/>
                <w:lang w:val="en-US" w:eastAsia="zh-CN" w:bidi="ar-SA"/>
              </w:rPr>
            </w:pPr>
            <w:r>
              <w:rPr>
                <w:rFonts w:hint="eastAsia" w:ascii="宋体" w:hAnsi="宋体" w:eastAsia="宋体" w:cs="宋体"/>
                <w:color w:val="000000"/>
                <w:kern w:val="0"/>
                <w:sz w:val="21"/>
                <w:szCs w:val="21"/>
              </w:rPr>
              <w:t>毕业要求4.教学能力</w:t>
            </w:r>
          </w:p>
        </w:tc>
        <w:tc>
          <w:tcPr>
            <w:tcW w:w="5688" w:type="dxa"/>
            <w:vAlign w:val="center"/>
          </w:tcPr>
          <w:p w14:paraId="0E20D1D8">
            <w:pPr>
              <w:spacing w:line="276" w:lineRule="auto"/>
              <w:jc w:val="left"/>
              <w:rPr>
                <w:rFonts w:hint="eastAsia" w:ascii="宋体" w:hAnsi="宋体" w:eastAsia="宋体" w:cs="宋体"/>
                <w:sz w:val="21"/>
                <w:szCs w:val="21"/>
              </w:rPr>
            </w:pPr>
            <w:r>
              <w:rPr>
                <w:rFonts w:hint="eastAsia" w:ascii="宋体" w:hAnsi="宋体" w:eastAsia="宋体" w:cs="宋体"/>
                <w:color w:val="000000"/>
                <w:kern w:val="0"/>
                <w:sz w:val="21"/>
                <w:szCs w:val="21"/>
              </w:rPr>
              <w:t>4-3：掌握小学教师基本功技能，包括书写技能、沟通与表达技能、信息技术运用技能等。</w:t>
            </w:r>
          </w:p>
        </w:tc>
        <w:tc>
          <w:tcPr>
            <w:tcW w:w="1191" w:type="dxa"/>
            <w:vAlign w:val="center"/>
          </w:tcPr>
          <w:p w14:paraId="7D290A09">
            <w:pPr>
              <w:spacing w:line="276" w:lineRule="auto"/>
              <w:jc w:val="left"/>
              <w:rPr>
                <w:rFonts w:hint="eastAsia" w:ascii="宋体" w:hAnsi="宋体" w:eastAsia="宋体" w:cs="宋体"/>
                <w:sz w:val="21"/>
                <w:szCs w:val="21"/>
              </w:rPr>
            </w:pPr>
            <w:r>
              <w:rPr>
                <w:rFonts w:hint="eastAsia" w:ascii="宋体" w:hAnsi="宋体" w:eastAsia="宋体" w:cs="宋体"/>
                <w:sz w:val="21"/>
                <w:szCs w:val="21"/>
              </w:rPr>
              <w:t>课程目标1</w:t>
            </w:r>
          </w:p>
        </w:tc>
      </w:tr>
      <w:tr w14:paraId="0388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shd w:val="clear" w:color="auto" w:fill="auto"/>
            <w:vAlign w:val="center"/>
          </w:tcPr>
          <w:p w14:paraId="4344586B">
            <w:pPr>
              <w:spacing w:line="276" w:lineRule="auto"/>
              <w:rPr>
                <w:rFonts w:hint="eastAsia" w:ascii="宋体" w:hAnsi="宋体" w:eastAsia="宋体" w:cs="宋体"/>
                <w:color w:val="000000"/>
                <w:spacing w:val="2"/>
                <w:kern w:val="0"/>
                <w:sz w:val="21"/>
                <w:szCs w:val="21"/>
                <w:lang w:val="en-US" w:eastAsia="zh-CN" w:bidi="ar-SA"/>
              </w:rPr>
            </w:pPr>
            <w:r>
              <w:rPr>
                <w:rFonts w:hint="eastAsia" w:ascii="宋体" w:hAnsi="宋体" w:eastAsia="宋体" w:cs="宋体"/>
                <w:color w:val="000000"/>
                <w:kern w:val="0"/>
                <w:sz w:val="21"/>
                <w:szCs w:val="21"/>
              </w:rPr>
              <w:t>毕业要求</w:t>
            </w:r>
            <w:r>
              <w:rPr>
                <w:rFonts w:hint="eastAsia" w:ascii="宋体" w:hAnsi="宋体" w:eastAsia="宋体" w:cs="宋体"/>
                <w:color w:val="000000"/>
                <w:spacing w:val="2"/>
                <w:kern w:val="0"/>
                <w:sz w:val="21"/>
                <w:szCs w:val="21"/>
              </w:rPr>
              <w:t>8.沟通合作</w:t>
            </w:r>
          </w:p>
        </w:tc>
        <w:tc>
          <w:tcPr>
            <w:tcW w:w="5688" w:type="dxa"/>
            <w:vAlign w:val="center"/>
          </w:tcPr>
          <w:p w14:paraId="5DBF95E3">
            <w:pPr>
              <w:spacing w:line="276" w:lineRule="auto"/>
              <w:jc w:val="left"/>
              <w:rPr>
                <w:rFonts w:hint="eastAsia" w:ascii="宋体" w:hAnsi="宋体" w:eastAsia="宋体" w:cs="宋体"/>
                <w:sz w:val="21"/>
                <w:szCs w:val="21"/>
              </w:rPr>
            </w:pPr>
            <w:r>
              <w:rPr>
                <w:rFonts w:hint="eastAsia" w:ascii="宋体" w:hAnsi="宋体" w:eastAsia="宋体" w:cs="宋体"/>
                <w:sz w:val="21"/>
                <w:szCs w:val="21"/>
              </w:rPr>
              <w:t>8-2：掌握人际沟通合作技能，能与学生、家长、同事进行有效沟通与合作</w:t>
            </w:r>
            <w:r>
              <w:rPr>
                <w:rFonts w:hint="eastAsia" w:ascii="宋体" w:hAnsi="宋体" w:eastAsia="宋体" w:cs="宋体"/>
                <w:color w:val="000000"/>
                <w:kern w:val="0"/>
                <w:sz w:val="21"/>
                <w:szCs w:val="21"/>
              </w:rPr>
              <w:t>。</w:t>
            </w:r>
          </w:p>
        </w:tc>
        <w:tc>
          <w:tcPr>
            <w:tcW w:w="1191" w:type="dxa"/>
            <w:vAlign w:val="center"/>
          </w:tcPr>
          <w:p w14:paraId="7DB80CB2">
            <w:pPr>
              <w:spacing w:line="276" w:lineRule="auto"/>
              <w:jc w:val="left"/>
              <w:rPr>
                <w:rFonts w:hint="eastAsia" w:ascii="宋体" w:hAnsi="宋体" w:eastAsia="宋体" w:cs="宋体"/>
                <w:sz w:val="21"/>
                <w:szCs w:val="21"/>
              </w:rPr>
            </w:pPr>
            <w:r>
              <w:rPr>
                <w:rFonts w:hint="eastAsia" w:ascii="宋体" w:hAnsi="宋体" w:eastAsia="宋体" w:cs="宋体"/>
                <w:sz w:val="21"/>
                <w:szCs w:val="21"/>
              </w:rPr>
              <w:t>课程目标2</w:t>
            </w:r>
          </w:p>
        </w:tc>
      </w:tr>
    </w:tbl>
    <w:p w14:paraId="46097505">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6E6EF94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F71B57A">
      <w:pPr>
        <w:spacing w:line="360" w:lineRule="auto"/>
        <w:ind w:firstLine="411" w:firstLineChars="196"/>
        <w:jc w:val="left"/>
        <w:rPr>
          <w:rFonts w:hint="eastAsia" w:ascii="宋体" w:hAnsi="宋体" w:eastAsia="宋体" w:cs="Times New Roman"/>
          <w:color w:val="000000"/>
          <w:szCs w:val="21"/>
        </w:rPr>
      </w:pPr>
    </w:p>
    <w:p w14:paraId="2AD007B4">
      <w:pPr>
        <w:spacing w:line="360" w:lineRule="auto"/>
        <w:jc w:val="left"/>
        <w:rPr>
          <w:rFonts w:hint="eastAsia" w:ascii="Calibri" w:hAnsi="Calibri" w:eastAsia="宋体" w:cs="Times New Roman"/>
          <w:b/>
          <w:sz w:val="24"/>
          <w:szCs w:val="24"/>
        </w:rPr>
      </w:pPr>
      <w:r>
        <w:rPr>
          <w:rFonts w:hint="eastAsia" w:ascii="宋体" w:hAnsi="宋体" w:eastAsia="宋体" w:cs="Times New Roman"/>
          <w:color w:val="000000"/>
          <w:sz w:val="24"/>
          <w:szCs w:val="24"/>
          <w:lang w:val="en-US" w:eastAsia="zh-CN"/>
        </w:rPr>
        <w:t>三、</w:t>
      </w:r>
      <w:r>
        <w:rPr>
          <w:rFonts w:hint="eastAsia" w:ascii="Calibri" w:hAnsi="Calibri" w:eastAsia="宋体" w:cs="Times New Roman"/>
          <w:b/>
          <w:sz w:val="24"/>
          <w:szCs w:val="24"/>
          <w:lang w:val="en-US" w:eastAsia="zh-CN"/>
        </w:rPr>
        <w:t>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684"/>
        <w:gridCol w:w="1112"/>
        <w:gridCol w:w="3186"/>
        <w:gridCol w:w="1519"/>
        <w:gridCol w:w="438"/>
      </w:tblGrid>
      <w:tr w14:paraId="5C59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14:paraId="630301E8">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知识</w:t>
            </w:r>
          </w:p>
          <w:p w14:paraId="2E1956B6">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单元</w:t>
            </w:r>
          </w:p>
        </w:tc>
        <w:tc>
          <w:tcPr>
            <w:tcW w:w="1684" w:type="dxa"/>
            <w:vAlign w:val="center"/>
          </w:tcPr>
          <w:p w14:paraId="4D0EA8C1">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知识点</w:t>
            </w:r>
          </w:p>
        </w:tc>
        <w:tc>
          <w:tcPr>
            <w:tcW w:w="1112" w:type="dxa"/>
            <w:vAlign w:val="center"/>
          </w:tcPr>
          <w:p w14:paraId="3A90617A">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对应</w:t>
            </w:r>
          </w:p>
          <w:p w14:paraId="4D45F0C8">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课程目标</w:t>
            </w:r>
          </w:p>
        </w:tc>
        <w:tc>
          <w:tcPr>
            <w:tcW w:w="3186" w:type="dxa"/>
            <w:vAlign w:val="center"/>
          </w:tcPr>
          <w:p w14:paraId="470EAAAA">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预期学习成效</w:t>
            </w:r>
          </w:p>
        </w:tc>
        <w:tc>
          <w:tcPr>
            <w:tcW w:w="1519" w:type="dxa"/>
            <w:vAlign w:val="center"/>
          </w:tcPr>
          <w:p w14:paraId="65B3F72A">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实现环节</w:t>
            </w:r>
          </w:p>
        </w:tc>
        <w:tc>
          <w:tcPr>
            <w:tcW w:w="438" w:type="dxa"/>
            <w:vAlign w:val="center"/>
          </w:tcPr>
          <w:p w14:paraId="4938E4AB">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学时</w:t>
            </w:r>
          </w:p>
        </w:tc>
      </w:tr>
      <w:tr w14:paraId="4763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20341C09">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普通话语音概说</w:t>
            </w:r>
          </w:p>
          <w:p w14:paraId="2066F039">
            <w:pPr>
              <w:spacing w:line="264" w:lineRule="auto"/>
              <w:jc w:val="center"/>
              <w:rPr>
                <w:rFonts w:hint="eastAsia" w:ascii="宋体" w:hAnsi="宋体" w:eastAsia="宋体" w:cs="宋体"/>
                <w:color w:val="000000"/>
                <w:sz w:val="21"/>
                <w:szCs w:val="21"/>
              </w:rPr>
            </w:pPr>
          </w:p>
        </w:tc>
        <w:tc>
          <w:tcPr>
            <w:tcW w:w="1684" w:type="dxa"/>
            <w:vAlign w:val="center"/>
          </w:tcPr>
          <w:p w14:paraId="28E51D60">
            <w:pPr>
              <w:spacing w:line="360" w:lineRule="auto"/>
              <w:rPr>
                <w:rFonts w:hint="eastAsia" w:ascii="宋体" w:hAnsi="宋体" w:eastAsia="宋体" w:cs="宋体"/>
                <w:bCs/>
                <w:sz w:val="21"/>
                <w:szCs w:val="21"/>
              </w:rPr>
            </w:pPr>
            <w:r>
              <w:rPr>
                <w:rFonts w:hint="eastAsia" w:ascii="宋体" w:hAnsi="宋体" w:eastAsia="宋体" w:cs="宋体"/>
                <w:bCs/>
                <w:sz w:val="21"/>
                <w:szCs w:val="21"/>
              </w:rPr>
              <w:t>普通话概述</w:t>
            </w:r>
          </w:p>
          <w:p w14:paraId="46B55219">
            <w:pPr>
              <w:spacing w:line="360" w:lineRule="auto"/>
              <w:rPr>
                <w:rFonts w:hint="eastAsia" w:ascii="宋体" w:hAnsi="宋体" w:eastAsia="宋体" w:cs="宋体"/>
                <w:bCs/>
                <w:sz w:val="21"/>
                <w:szCs w:val="21"/>
              </w:rPr>
            </w:pPr>
            <w:r>
              <w:rPr>
                <w:rFonts w:hint="eastAsia" w:ascii="宋体" w:hAnsi="宋体" w:eastAsia="宋体" w:cs="宋体"/>
                <w:bCs/>
                <w:sz w:val="21"/>
                <w:szCs w:val="21"/>
              </w:rPr>
              <w:t>江苏方言概述</w:t>
            </w:r>
          </w:p>
          <w:p w14:paraId="5EF68354">
            <w:pPr>
              <w:spacing w:line="269" w:lineRule="auto"/>
              <w:jc w:val="left"/>
              <w:rPr>
                <w:rFonts w:hint="eastAsia" w:ascii="宋体" w:hAnsi="宋体" w:eastAsia="宋体" w:cs="宋体"/>
                <w:color w:val="000000"/>
                <w:sz w:val="21"/>
                <w:szCs w:val="21"/>
              </w:rPr>
            </w:pPr>
          </w:p>
        </w:tc>
        <w:tc>
          <w:tcPr>
            <w:tcW w:w="1112" w:type="dxa"/>
            <w:vAlign w:val="center"/>
          </w:tcPr>
          <w:p w14:paraId="48B205B0">
            <w:pPr>
              <w:spacing w:line="269"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w:t>
            </w:r>
          </w:p>
        </w:tc>
        <w:tc>
          <w:tcPr>
            <w:tcW w:w="3186" w:type="dxa"/>
            <w:vAlign w:val="center"/>
          </w:tcPr>
          <w:p w14:paraId="3DE54B5C">
            <w:pPr>
              <w:spacing w:line="269"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了解普通话语音基本概念和方言情况</w:t>
            </w:r>
          </w:p>
        </w:tc>
        <w:tc>
          <w:tcPr>
            <w:tcW w:w="1519" w:type="dxa"/>
            <w:vAlign w:val="center"/>
          </w:tcPr>
          <w:p w14:paraId="3BE19A6E">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.多媒体教学</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.课堂讨论</w:t>
            </w:r>
          </w:p>
          <w:p w14:paraId="69735917">
            <w:pPr>
              <w:spacing w:line="269"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3.发音练习</w:t>
            </w:r>
          </w:p>
        </w:tc>
        <w:tc>
          <w:tcPr>
            <w:tcW w:w="438" w:type="dxa"/>
            <w:vAlign w:val="center"/>
          </w:tcPr>
          <w:p w14:paraId="529FF946">
            <w:pPr>
              <w:spacing w:line="269"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r>
      <w:tr w14:paraId="2BA7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0851CB8E">
            <w:pPr>
              <w:spacing w:line="264" w:lineRule="auto"/>
              <w:jc w:val="center"/>
              <w:rPr>
                <w:rFonts w:hint="eastAsia" w:ascii="宋体" w:hAnsi="宋体" w:eastAsia="宋体" w:cs="宋体"/>
                <w:color w:val="000000"/>
                <w:sz w:val="21"/>
                <w:szCs w:val="21"/>
              </w:rPr>
            </w:pPr>
          </w:p>
        </w:tc>
        <w:tc>
          <w:tcPr>
            <w:tcW w:w="7939" w:type="dxa"/>
            <w:gridSpan w:val="5"/>
            <w:vAlign w:val="center"/>
          </w:tcPr>
          <w:p w14:paraId="31DB5EF0">
            <w:pPr>
              <w:spacing w:line="269"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5FE4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2909A93F">
            <w:pPr>
              <w:spacing w:line="360" w:lineRule="auto"/>
              <w:rPr>
                <w:rFonts w:hint="eastAsia" w:ascii="宋体" w:hAnsi="宋体" w:eastAsia="宋体" w:cs="宋体"/>
                <w:b/>
                <w:bCs/>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eastAsia="zh-CN"/>
              </w:rPr>
              <w:t>.</w:t>
            </w:r>
            <w:r>
              <w:rPr>
                <w:rFonts w:hint="eastAsia" w:ascii="宋体" w:hAnsi="宋体" w:eastAsia="宋体" w:cs="宋体"/>
                <w:b/>
                <w:bCs/>
                <w:sz w:val="21"/>
                <w:szCs w:val="21"/>
              </w:rPr>
              <w:t>声母的发音及训练</w:t>
            </w:r>
          </w:p>
          <w:p w14:paraId="6CE4B27E">
            <w:pPr>
              <w:spacing w:line="264" w:lineRule="auto"/>
              <w:jc w:val="center"/>
              <w:rPr>
                <w:rFonts w:hint="eastAsia" w:ascii="宋体" w:hAnsi="宋体" w:eastAsia="宋体" w:cs="宋体"/>
                <w:color w:val="000000"/>
                <w:sz w:val="21"/>
                <w:szCs w:val="21"/>
                <w:lang w:eastAsia="zh-CN"/>
              </w:rPr>
            </w:pPr>
          </w:p>
        </w:tc>
        <w:tc>
          <w:tcPr>
            <w:tcW w:w="1684" w:type="dxa"/>
            <w:vAlign w:val="center"/>
          </w:tcPr>
          <w:p w14:paraId="55972550">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声母的分类</w:t>
            </w:r>
          </w:p>
          <w:p w14:paraId="1C2D4700">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声母的辨正</w:t>
            </w:r>
          </w:p>
          <w:p w14:paraId="2084A0E4">
            <w:pPr>
              <w:spacing w:line="269" w:lineRule="auto"/>
              <w:jc w:val="left"/>
              <w:rPr>
                <w:rFonts w:hint="eastAsia" w:ascii="宋体" w:hAnsi="宋体" w:eastAsia="宋体" w:cs="宋体"/>
                <w:color w:val="000000"/>
                <w:sz w:val="21"/>
                <w:szCs w:val="21"/>
              </w:rPr>
            </w:pPr>
          </w:p>
        </w:tc>
        <w:tc>
          <w:tcPr>
            <w:tcW w:w="1112" w:type="dxa"/>
            <w:vAlign w:val="center"/>
          </w:tcPr>
          <w:p w14:paraId="5929087B">
            <w:pPr>
              <w:spacing w:line="269"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课程目标1、3</w:t>
            </w:r>
          </w:p>
        </w:tc>
        <w:tc>
          <w:tcPr>
            <w:tcW w:w="3186" w:type="dxa"/>
            <w:vAlign w:val="center"/>
          </w:tcPr>
          <w:p w14:paraId="3739C64A">
            <w:pPr>
              <w:spacing w:line="360" w:lineRule="auto"/>
              <w:rPr>
                <w:rFonts w:hint="eastAsia" w:ascii="宋体" w:hAnsi="宋体" w:eastAsia="宋体" w:cs="宋体"/>
                <w:color w:val="000000"/>
                <w:sz w:val="21"/>
                <w:szCs w:val="21"/>
              </w:rPr>
            </w:pPr>
            <w:r>
              <w:rPr>
                <w:rFonts w:hint="eastAsia" w:ascii="宋体" w:hAnsi="宋体" w:eastAsia="宋体" w:cs="宋体"/>
                <w:sz w:val="21"/>
                <w:szCs w:val="21"/>
              </w:rPr>
              <w:t>掌握声母的发音部位和发音方法了解所操方言的声母情况以及声母难点音的辨正</w:t>
            </w:r>
          </w:p>
        </w:tc>
        <w:tc>
          <w:tcPr>
            <w:tcW w:w="1519" w:type="dxa"/>
            <w:vAlign w:val="center"/>
          </w:tcPr>
          <w:p w14:paraId="3328F8E4">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.多媒体教学</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.课堂讨论</w:t>
            </w:r>
          </w:p>
          <w:p w14:paraId="5D94FBB3">
            <w:pPr>
              <w:spacing w:line="269"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发音训练</w:t>
            </w:r>
          </w:p>
        </w:tc>
        <w:tc>
          <w:tcPr>
            <w:tcW w:w="438" w:type="dxa"/>
            <w:vAlign w:val="center"/>
          </w:tcPr>
          <w:p w14:paraId="14D23B00">
            <w:pPr>
              <w:spacing w:line="269"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r>
      <w:tr w14:paraId="3559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7CE4134A">
            <w:pPr>
              <w:spacing w:line="264" w:lineRule="auto"/>
              <w:jc w:val="center"/>
              <w:rPr>
                <w:rFonts w:hint="eastAsia" w:ascii="宋体" w:hAnsi="宋体" w:eastAsia="宋体" w:cs="宋体"/>
                <w:color w:val="000000"/>
                <w:sz w:val="21"/>
                <w:szCs w:val="21"/>
              </w:rPr>
            </w:pPr>
          </w:p>
        </w:tc>
        <w:tc>
          <w:tcPr>
            <w:tcW w:w="7939" w:type="dxa"/>
            <w:gridSpan w:val="5"/>
            <w:vAlign w:val="center"/>
          </w:tcPr>
          <w:p w14:paraId="028491FD">
            <w:pPr>
              <w:spacing w:line="269"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7BA8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55305BA2">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b/>
                <w:bCs/>
                <w:sz w:val="21"/>
                <w:szCs w:val="21"/>
              </w:rPr>
              <w:t>韵母的发音及训练</w:t>
            </w:r>
            <w:r>
              <w:rPr>
                <w:rFonts w:hint="eastAsia" w:ascii="宋体" w:hAnsi="宋体" w:eastAsia="宋体" w:cs="宋体"/>
                <w:color w:val="000000"/>
                <w:sz w:val="21"/>
                <w:szCs w:val="21"/>
              </w:rPr>
              <w:t>教育与社会发展</w:t>
            </w:r>
          </w:p>
        </w:tc>
        <w:tc>
          <w:tcPr>
            <w:tcW w:w="1684" w:type="dxa"/>
            <w:vAlign w:val="center"/>
          </w:tcPr>
          <w:p w14:paraId="65BDFE60">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韵母的分类</w:t>
            </w:r>
          </w:p>
          <w:p w14:paraId="71343381">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韵母的辨正</w:t>
            </w:r>
          </w:p>
          <w:p w14:paraId="2B4608B5">
            <w:pPr>
              <w:spacing w:line="269" w:lineRule="auto"/>
              <w:jc w:val="left"/>
              <w:rPr>
                <w:rFonts w:hint="eastAsia" w:ascii="宋体" w:hAnsi="宋体" w:eastAsia="宋体" w:cs="宋体"/>
                <w:color w:val="000000"/>
                <w:sz w:val="21"/>
                <w:szCs w:val="21"/>
              </w:rPr>
            </w:pPr>
          </w:p>
        </w:tc>
        <w:tc>
          <w:tcPr>
            <w:tcW w:w="1112" w:type="dxa"/>
            <w:vAlign w:val="center"/>
          </w:tcPr>
          <w:p w14:paraId="04439D47">
            <w:pPr>
              <w:spacing w:line="269"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课程目标2、3</w:t>
            </w:r>
          </w:p>
        </w:tc>
        <w:tc>
          <w:tcPr>
            <w:tcW w:w="3186" w:type="dxa"/>
            <w:vAlign w:val="center"/>
          </w:tcPr>
          <w:p w14:paraId="03D7C6D5">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掌握韵母的分类</w:t>
            </w:r>
          </w:p>
          <w:p w14:paraId="38EC9FC1">
            <w:pPr>
              <w:spacing w:line="360" w:lineRule="auto"/>
              <w:rPr>
                <w:rFonts w:hint="eastAsia" w:ascii="宋体" w:hAnsi="宋体" w:eastAsia="宋体" w:cs="宋体"/>
                <w:color w:val="000000"/>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了解所操方言的韵母情况以及韵母难点音的辨正</w:t>
            </w:r>
          </w:p>
        </w:tc>
        <w:tc>
          <w:tcPr>
            <w:tcW w:w="1519" w:type="dxa"/>
            <w:vAlign w:val="center"/>
          </w:tcPr>
          <w:p w14:paraId="2F5E0B4E">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.多媒体教学</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.课堂讨论</w:t>
            </w:r>
          </w:p>
          <w:p w14:paraId="4CA8DE4B">
            <w:pPr>
              <w:spacing w:line="269" w:lineRule="auto"/>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3.语音打卡</w:t>
            </w:r>
          </w:p>
        </w:tc>
        <w:tc>
          <w:tcPr>
            <w:tcW w:w="438" w:type="dxa"/>
            <w:vAlign w:val="center"/>
          </w:tcPr>
          <w:p w14:paraId="66C07CA1">
            <w:pPr>
              <w:spacing w:line="269"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r>
      <w:tr w14:paraId="3B3D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3C2D67BA">
            <w:pPr>
              <w:spacing w:line="264" w:lineRule="auto"/>
              <w:jc w:val="center"/>
              <w:rPr>
                <w:rFonts w:hint="eastAsia" w:ascii="宋体" w:hAnsi="宋体" w:eastAsia="宋体" w:cs="宋体"/>
                <w:color w:val="000000"/>
                <w:sz w:val="21"/>
                <w:szCs w:val="21"/>
              </w:rPr>
            </w:pPr>
          </w:p>
        </w:tc>
        <w:tc>
          <w:tcPr>
            <w:tcW w:w="7939" w:type="dxa"/>
            <w:gridSpan w:val="5"/>
            <w:vAlign w:val="center"/>
          </w:tcPr>
          <w:p w14:paraId="2A115854">
            <w:pPr>
              <w:spacing w:line="269"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从辩证思维的角度掌握教育与社会发展的关系在分析教育与经济、教育与政治、教育与文化的关系中，树立制度自信和文化自信。</w:t>
            </w:r>
          </w:p>
        </w:tc>
      </w:tr>
      <w:tr w14:paraId="7F0D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64B030BD">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声调的发音及训练、语流音变</w:t>
            </w:r>
          </w:p>
          <w:p w14:paraId="3BCF7E0D">
            <w:pPr>
              <w:spacing w:line="276" w:lineRule="auto"/>
              <w:jc w:val="center"/>
              <w:rPr>
                <w:rFonts w:hint="eastAsia" w:ascii="宋体" w:hAnsi="宋体" w:eastAsia="宋体" w:cs="宋体"/>
                <w:color w:val="000000"/>
                <w:sz w:val="21"/>
                <w:szCs w:val="21"/>
              </w:rPr>
            </w:pPr>
          </w:p>
        </w:tc>
        <w:tc>
          <w:tcPr>
            <w:tcW w:w="1684" w:type="dxa"/>
            <w:vAlign w:val="center"/>
          </w:tcPr>
          <w:p w14:paraId="4AF81AE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掌握声调以及调值</w:t>
            </w:r>
          </w:p>
          <w:p w14:paraId="50B1035D">
            <w:pPr>
              <w:spacing w:line="360" w:lineRule="auto"/>
              <w:rPr>
                <w:rFonts w:hint="eastAsia" w:ascii="宋体" w:hAnsi="宋体" w:eastAsia="宋体" w:cs="宋体"/>
                <w:color w:val="000000"/>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熟练掌握普通话语流中的音变规律</w:t>
            </w:r>
          </w:p>
        </w:tc>
        <w:tc>
          <w:tcPr>
            <w:tcW w:w="1112" w:type="dxa"/>
            <w:vAlign w:val="center"/>
          </w:tcPr>
          <w:p w14:paraId="333D36FC">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86" w:type="dxa"/>
            <w:vAlign w:val="center"/>
          </w:tcPr>
          <w:p w14:paraId="490C8A27">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声调的调值、调类、声调发音难点</w:t>
            </w:r>
          </w:p>
          <w:p w14:paraId="09632C8F">
            <w:pPr>
              <w:spacing w:line="360" w:lineRule="auto"/>
              <w:rPr>
                <w:rFonts w:hint="eastAsia" w:ascii="宋体" w:hAnsi="宋体" w:eastAsia="宋体" w:cs="宋体"/>
                <w:color w:val="000000"/>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语流音变：变调、轻声、儿化以及“啊”的音变规律</w:t>
            </w:r>
          </w:p>
        </w:tc>
        <w:tc>
          <w:tcPr>
            <w:tcW w:w="1519" w:type="dxa"/>
            <w:vAlign w:val="center"/>
          </w:tcPr>
          <w:p w14:paraId="554C92D8">
            <w:pPr>
              <w:spacing w:line="276" w:lineRule="auto"/>
              <w:jc w:val="left"/>
              <w:rPr>
                <w:rFonts w:hint="eastAsia" w:ascii="宋体" w:hAnsi="宋体" w:eastAsia="宋体" w:cs="宋体"/>
                <w:color w:val="000000"/>
                <w:sz w:val="21"/>
                <w:szCs w:val="21"/>
              </w:rPr>
            </w:pPr>
          </w:p>
          <w:p w14:paraId="126A35AA">
            <w:pPr>
              <w:spacing w:line="276" w:lineRule="auto"/>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.多媒体教学</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发音训练</w:t>
            </w:r>
          </w:p>
          <w:p w14:paraId="799A539D">
            <w:pPr>
              <w:spacing w:line="276" w:lineRule="auto"/>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语音打卡</w:t>
            </w:r>
          </w:p>
        </w:tc>
        <w:tc>
          <w:tcPr>
            <w:tcW w:w="438" w:type="dxa"/>
            <w:vAlign w:val="center"/>
          </w:tcPr>
          <w:p w14:paraId="6D7B9947">
            <w:pPr>
              <w:spacing w:line="276"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r>
      <w:tr w14:paraId="0452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38CFC64A">
            <w:pPr>
              <w:spacing w:line="276" w:lineRule="auto"/>
              <w:jc w:val="center"/>
              <w:rPr>
                <w:rFonts w:hint="eastAsia" w:ascii="宋体" w:hAnsi="宋体" w:eastAsia="宋体" w:cs="宋体"/>
                <w:color w:val="000000"/>
                <w:sz w:val="21"/>
                <w:szCs w:val="21"/>
              </w:rPr>
            </w:pPr>
          </w:p>
        </w:tc>
        <w:tc>
          <w:tcPr>
            <w:tcW w:w="7939" w:type="dxa"/>
            <w:gridSpan w:val="5"/>
            <w:vAlign w:val="center"/>
          </w:tcPr>
          <w:p w14:paraId="76220FEF">
            <w:pPr>
              <w:spacing w:line="276"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通过了解人的身心发展的特点，培养学生热爱教育事业和学生的情感，增强从事教育事业的责任感和使命感。</w:t>
            </w:r>
          </w:p>
        </w:tc>
      </w:tr>
      <w:tr w14:paraId="0F4C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222A38AE">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普通话水平测试介绍</w:t>
            </w:r>
          </w:p>
          <w:p w14:paraId="0B2E72C2">
            <w:pPr>
              <w:spacing w:line="276" w:lineRule="auto"/>
              <w:jc w:val="center"/>
              <w:rPr>
                <w:rFonts w:hint="eastAsia" w:ascii="宋体" w:hAnsi="宋体" w:eastAsia="宋体" w:cs="宋体"/>
                <w:color w:val="000000"/>
                <w:sz w:val="21"/>
                <w:szCs w:val="21"/>
              </w:rPr>
            </w:pPr>
          </w:p>
          <w:p w14:paraId="2CDF1C60">
            <w:pPr>
              <w:spacing w:line="276" w:lineRule="auto"/>
              <w:jc w:val="center"/>
              <w:rPr>
                <w:rFonts w:hint="eastAsia" w:ascii="宋体" w:hAnsi="宋体" w:eastAsia="宋体" w:cs="宋体"/>
                <w:color w:val="000000"/>
                <w:sz w:val="21"/>
                <w:szCs w:val="21"/>
              </w:rPr>
            </w:pPr>
          </w:p>
        </w:tc>
        <w:tc>
          <w:tcPr>
            <w:tcW w:w="1684" w:type="dxa"/>
            <w:vAlign w:val="center"/>
          </w:tcPr>
          <w:p w14:paraId="52EFC121">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普通话水平测试等级和标准以及测试流程</w:t>
            </w:r>
          </w:p>
          <w:p w14:paraId="135F9C89">
            <w:pPr>
              <w:spacing w:line="276" w:lineRule="auto"/>
              <w:jc w:val="left"/>
              <w:rPr>
                <w:rFonts w:hint="eastAsia" w:ascii="宋体" w:hAnsi="宋体" w:eastAsia="宋体" w:cs="宋体"/>
                <w:color w:val="000000"/>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普通话水平测试大纲和样卷</w:t>
            </w:r>
          </w:p>
        </w:tc>
        <w:tc>
          <w:tcPr>
            <w:tcW w:w="1112" w:type="dxa"/>
            <w:vAlign w:val="center"/>
          </w:tcPr>
          <w:p w14:paraId="3F456B83">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86" w:type="dxa"/>
            <w:vAlign w:val="center"/>
          </w:tcPr>
          <w:p w14:paraId="643D1AD4">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了解</w:t>
            </w:r>
            <w:r>
              <w:rPr>
                <w:rFonts w:hint="eastAsia" w:ascii="宋体" w:hAnsi="宋体" w:eastAsia="宋体" w:cs="宋体"/>
                <w:bCs/>
                <w:sz w:val="21"/>
                <w:szCs w:val="21"/>
              </w:rPr>
              <w:t>普通话水平测试等级和标准</w:t>
            </w:r>
          </w:p>
          <w:p w14:paraId="475A46D8">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了解</w:t>
            </w:r>
            <w:r>
              <w:rPr>
                <w:rFonts w:hint="eastAsia" w:ascii="宋体" w:hAnsi="宋体" w:eastAsia="宋体" w:cs="宋体"/>
                <w:bCs/>
                <w:sz w:val="21"/>
                <w:szCs w:val="21"/>
              </w:rPr>
              <w:t>普通话水平测试的流程</w:t>
            </w:r>
          </w:p>
          <w:p w14:paraId="124FAA7B">
            <w:pPr>
              <w:spacing w:line="276" w:lineRule="auto"/>
              <w:jc w:val="left"/>
              <w:rPr>
                <w:rFonts w:hint="eastAsia" w:ascii="宋体" w:hAnsi="宋体" w:eastAsia="宋体" w:cs="宋体"/>
                <w:color w:val="000000"/>
                <w:sz w:val="21"/>
                <w:szCs w:val="21"/>
              </w:rPr>
            </w:pPr>
          </w:p>
        </w:tc>
        <w:tc>
          <w:tcPr>
            <w:tcW w:w="1519" w:type="dxa"/>
            <w:vAlign w:val="center"/>
          </w:tcPr>
          <w:p w14:paraId="54E719C1">
            <w:pPr>
              <w:spacing w:line="276" w:lineRule="auto"/>
              <w:jc w:val="left"/>
              <w:rPr>
                <w:rFonts w:hint="eastAsia" w:ascii="宋体" w:hAnsi="宋体" w:eastAsia="宋体" w:cs="宋体"/>
                <w:color w:val="000000"/>
                <w:sz w:val="21"/>
                <w:szCs w:val="21"/>
              </w:rPr>
            </w:pPr>
          </w:p>
          <w:p w14:paraId="11454CE3">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.多媒体教学</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.课堂讨论</w:t>
            </w:r>
          </w:p>
          <w:p w14:paraId="39AC52F4">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.单元测验</w:t>
            </w:r>
          </w:p>
        </w:tc>
        <w:tc>
          <w:tcPr>
            <w:tcW w:w="438" w:type="dxa"/>
            <w:vAlign w:val="center"/>
          </w:tcPr>
          <w:p w14:paraId="569C11FD">
            <w:pPr>
              <w:spacing w:line="276"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r>
      <w:tr w14:paraId="2375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42319A3D">
            <w:pPr>
              <w:spacing w:line="276" w:lineRule="auto"/>
              <w:jc w:val="center"/>
              <w:rPr>
                <w:rFonts w:hint="eastAsia" w:ascii="宋体" w:hAnsi="宋体" w:eastAsia="宋体" w:cs="宋体"/>
                <w:color w:val="000000"/>
                <w:sz w:val="21"/>
                <w:szCs w:val="21"/>
              </w:rPr>
            </w:pPr>
          </w:p>
        </w:tc>
        <w:tc>
          <w:tcPr>
            <w:tcW w:w="7939" w:type="dxa"/>
            <w:gridSpan w:val="5"/>
            <w:vAlign w:val="center"/>
          </w:tcPr>
          <w:p w14:paraId="31659B16">
            <w:pPr>
              <w:spacing w:line="276"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3A17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jc w:val="center"/>
        </w:trPr>
        <w:tc>
          <w:tcPr>
            <w:tcW w:w="1359" w:type="dxa"/>
            <w:vMerge w:val="restart"/>
            <w:vAlign w:val="center"/>
          </w:tcPr>
          <w:p w14:paraId="77A3E7A3">
            <w:pPr>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6、</w:t>
            </w:r>
            <w:r>
              <w:rPr>
                <w:rFonts w:hint="eastAsia" w:ascii="宋体" w:hAnsi="宋体" w:eastAsia="宋体" w:cs="宋体"/>
                <w:b/>
                <w:bCs/>
                <w:sz w:val="21"/>
                <w:szCs w:val="21"/>
              </w:rPr>
              <w:t>普通话水平朗读训练</w:t>
            </w:r>
          </w:p>
          <w:p w14:paraId="29E34284">
            <w:pPr>
              <w:spacing w:line="360" w:lineRule="auto"/>
              <w:ind w:firstLine="411" w:firstLineChars="196"/>
              <w:rPr>
                <w:rFonts w:hint="eastAsia" w:ascii="宋体" w:hAnsi="宋体" w:eastAsia="宋体" w:cs="宋体"/>
                <w:bCs/>
                <w:sz w:val="21"/>
                <w:szCs w:val="21"/>
              </w:rPr>
            </w:pPr>
          </w:p>
          <w:p w14:paraId="301B294A">
            <w:pPr>
              <w:spacing w:line="276" w:lineRule="auto"/>
              <w:jc w:val="center"/>
              <w:rPr>
                <w:rFonts w:hint="eastAsia" w:ascii="宋体" w:hAnsi="宋体" w:eastAsia="宋体" w:cs="宋体"/>
                <w:color w:val="000000"/>
                <w:sz w:val="21"/>
                <w:szCs w:val="21"/>
              </w:rPr>
            </w:pPr>
          </w:p>
        </w:tc>
        <w:tc>
          <w:tcPr>
            <w:tcW w:w="1684" w:type="dxa"/>
            <w:vAlign w:val="center"/>
          </w:tcPr>
          <w:p w14:paraId="66F94279">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普通话水平测试朗读作品及朗读训练</w:t>
            </w:r>
          </w:p>
          <w:p w14:paraId="5BDF9F65">
            <w:pPr>
              <w:spacing w:line="360" w:lineRule="auto"/>
              <w:rPr>
                <w:rFonts w:hint="eastAsia" w:ascii="宋体" w:hAnsi="宋体" w:eastAsia="宋体" w:cs="宋体"/>
                <w:color w:val="000000"/>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普通话水平测试朗读技巧及扣分标准</w:t>
            </w:r>
          </w:p>
        </w:tc>
        <w:tc>
          <w:tcPr>
            <w:tcW w:w="1112" w:type="dxa"/>
            <w:vAlign w:val="center"/>
          </w:tcPr>
          <w:p w14:paraId="69F508F7">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86" w:type="dxa"/>
            <w:vAlign w:val="center"/>
          </w:tcPr>
          <w:p w14:paraId="5650A5C5">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使学生熟练朗读</w:t>
            </w:r>
            <w:r>
              <w:rPr>
                <w:rFonts w:hint="eastAsia" w:ascii="宋体" w:hAnsi="宋体" w:eastAsia="宋体" w:cs="宋体"/>
                <w:bCs/>
                <w:sz w:val="21"/>
                <w:szCs w:val="21"/>
              </w:rPr>
              <w:t>普通话水平测试大纲的</w:t>
            </w:r>
            <w:r>
              <w:rPr>
                <w:rFonts w:hint="eastAsia" w:ascii="宋体" w:hAnsi="宋体" w:eastAsia="宋体" w:cs="宋体"/>
                <w:bCs/>
                <w:sz w:val="21"/>
                <w:szCs w:val="21"/>
                <w:lang w:val="en-US" w:eastAsia="zh-CN"/>
              </w:rPr>
              <w:t>5</w:t>
            </w:r>
            <w:r>
              <w:rPr>
                <w:rFonts w:hint="eastAsia" w:ascii="宋体" w:hAnsi="宋体" w:eastAsia="宋体" w:cs="宋体"/>
                <w:bCs/>
                <w:sz w:val="21"/>
                <w:szCs w:val="21"/>
              </w:rPr>
              <w:t>0篇朗读作品</w:t>
            </w:r>
          </w:p>
          <w:p w14:paraId="28557D6F">
            <w:pPr>
              <w:spacing w:line="360" w:lineRule="auto"/>
              <w:rPr>
                <w:rFonts w:hint="eastAsia" w:ascii="宋体" w:hAnsi="宋体" w:eastAsia="宋体" w:cs="宋体"/>
                <w:color w:val="000000"/>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使学生了解</w:t>
            </w:r>
            <w:r>
              <w:rPr>
                <w:rFonts w:hint="eastAsia" w:ascii="宋体" w:hAnsi="宋体" w:eastAsia="宋体" w:cs="宋体"/>
                <w:bCs/>
                <w:sz w:val="21"/>
                <w:szCs w:val="21"/>
              </w:rPr>
              <w:t>普通话水平测试的朗读技巧</w:t>
            </w:r>
          </w:p>
        </w:tc>
        <w:tc>
          <w:tcPr>
            <w:tcW w:w="1519" w:type="dxa"/>
            <w:vAlign w:val="center"/>
          </w:tcPr>
          <w:p w14:paraId="456817B5">
            <w:pPr>
              <w:spacing w:line="276" w:lineRule="auto"/>
              <w:jc w:val="left"/>
              <w:rPr>
                <w:rFonts w:hint="eastAsia" w:ascii="宋体" w:hAnsi="宋体" w:eastAsia="宋体" w:cs="宋体"/>
                <w:color w:val="000000"/>
                <w:sz w:val="21"/>
                <w:szCs w:val="21"/>
              </w:rPr>
            </w:pPr>
          </w:p>
          <w:p w14:paraId="23346DFA">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.多媒体教学</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.课堂讨论</w:t>
            </w:r>
          </w:p>
          <w:p w14:paraId="53B5615C">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.单元测验</w:t>
            </w:r>
          </w:p>
        </w:tc>
        <w:tc>
          <w:tcPr>
            <w:tcW w:w="438" w:type="dxa"/>
            <w:vAlign w:val="center"/>
          </w:tcPr>
          <w:p w14:paraId="668B830E">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r>
      <w:tr w14:paraId="6D27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443D3990">
            <w:pPr>
              <w:spacing w:line="276" w:lineRule="auto"/>
              <w:jc w:val="center"/>
              <w:rPr>
                <w:rFonts w:hint="eastAsia" w:ascii="宋体" w:hAnsi="宋体" w:eastAsia="宋体" w:cs="宋体"/>
                <w:color w:val="000000"/>
                <w:sz w:val="21"/>
                <w:szCs w:val="21"/>
              </w:rPr>
            </w:pPr>
          </w:p>
        </w:tc>
        <w:tc>
          <w:tcPr>
            <w:tcW w:w="7939" w:type="dxa"/>
            <w:gridSpan w:val="5"/>
            <w:vAlign w:val="center"/>
          </w:tcPr>
          <w:p w14:paraId="3360A4C2">
            <w:pPr>
              <w:spacing w:line="276"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通过对人的全面发展教育的学习，形成全面发展的教育观，确立从教信念。</w:t>
            </w:r>
          </w:p>
        </w:tc>
      </w:tr>
      <w:tr w14:paraId="61E9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01FB5C34">
            <w:pPr>
              <w:spacing w:line="276" w:lineRule="auto"/>
              <w:jc w:val="center"/>
              <w:rPr>
                <w:rFonts w:hint="eastAsia" w:ascii="宋体" w:hAnsi="宋体" w:eastAsia="宋体" w:cs="宋体"/>
                <w:sz w:val="21"/>
                <w:szCs w:val="21"/>
              </w:rPr>
            </w:pPr>
            <w:r>
              <w:rPr>
                <w:rFonts w:hint="eastAsia" w:ascii="宋体" w:hAnsi="宋体" w:eastAsia="宋体" w:cs="宋体"/>
                <w:b/>
                <w:bCs/>
                <w:sz w:val="21"/>
                <w:szCs w:val="21"/>
              </w:rPr>
              <w:t>7.普通话水平测试命题说话训练</w:t>
            </w:r>
          </w:p>
        </w:tc>
        <w:tc>
          <w:tcPr>
            <w:tcW w:w="1684" w:type="dxa"/>
            <w:vAlign w:val="center"/>
          </w:tcPr>
          <w:p w14:paraId="702CD79D">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普通话水平测试说话技巧和扣分标准</w:t>
            </w:r>
          </w:p>
          <w:p w14:paraId="368B2D90">
            <w:pPr>
              <w:spacing w:line="360" w:lineRule="auto"/>
              <w:rPr>
                <w:rFonts w:hint="eastAsia" w:ascii="宋体" w:hAnsi="宋体" w:eastAsia="宋体" w:cs="宋体"/>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水平测试说话训练</w:t>
            </w:r>
          </w:p>
        </w:tc>
        <w:tc>
          <w:tcPr>
            <w:tcW w:w="1112" w:type="dxa"/>
            <w:vAlign w:val="center"/>
          </w:tcPr>
          <w:p w14:paraId="355E4D5B">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86" w:type="dxa"/>
            <w:vAlign w:val="center"/>
          </w:tcPr>
          <w:p w14:paraId="50C99ED7">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训练学生能够在无文字凭借的情况下自由流畅说话</w:t>
            </w:r>
          </w:p>
          <w:p w14:paraId="75255595">
            <w:pPr>
              <w:spacing w:line="360" w:lineRule="auto"/>
              <w:rPr>
                <w:rFonts w:hint="eastAsia" w:ascii="宋体" w:hAnsi="宋体" w:eastAsia="宋体" w:cs="宋体"/>
                <w:bCs/>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使学生了解</w:t>
            </w:r>
            <w:r>
              <w:rPr>
                <w:rFonts w:hint="eastAsia" w:ascii="宋体" w:hAnsi="宋体" w:eastAsia="宋体" w:cs="宋体"/>
                <w:bCs/>
                <w:sz w:val="21"/>
                <w:szCs w:val="21"/>
              </w:rPr>
              <w:t>普通话水平测试的说话技巧及扣分标准</w:t>
            </w:r>
          </w:p>
          <w:p w14:paraId="4FC0122F">
            <w:pPr>
              <w:spacing w:line="276" w:lineRule="auto"/>
              <w:jc w:val="left"/>
              <w:rPr>
                <w:rFonts w:hint="eastAsia" w:ascii="宋体" w:hAnsi="宋体" w:eastAsia="宋体" w:cs="宋体"/>
                <w:color w:val="000000"/>
                <w:sz w:val="21"/>
                <w:szCs w:val="21"/>
              </w:rPr>
            </w:pPr>
          </w:p>
        </w:tc>
        <w:tc>
          <w:tcPr>
            <w:tcW w:w="1519" w:type="dxa"/>
            <w:vAlign w:val="center"/>
          </w:tcPr>
          <w:p w14:paraId="2414C422">
            <w:pPr>
              <w:spacing w:line="276" w:lineRule="auto"/>
              <w:jc w:val="left"/>
              <w:rPr>
                <w:rFonts w:hint="eastAsia" w:ascii="宋体" w:hAnsi="宋体" w:eastAsia="宋体" w:cs="宋体"/>
                <w:color w:val="000000"/>
                <w:sz w:val="21"/>
                <w:szCs w:val="21"/>
              </w:rPr>
            </w:pPr>
          </w:p>
          <w:p w14:paraId="4EBC2C64">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.多媒体教学</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.课堂讨论</w:t>
            </w:r>
          </w:p>
          <w:p w14:paraId="1ACFEC45">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.单元测验</w:t>
            </w:r>
          </w:p>
        </w:tc>
        <w:tc>
          <w:tcPr>
            <w:tcW w:w="438" w:type="dxa"/>
            <w:vAlign w:val="center"/>
          </w:tcPr>
          <w:p w14:paraId="0A3C6771">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r>
      <w:tr w14:paraId="484F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54A6C523">
            <w:pPr>
              <w:spacing w:line="276" w:lineRule="auto"/>
              <w:jc w:val="center"/>
              <w:rPr>
                <w:rFonts w:hint="eastAsia" w:ascii="宋体" w:hAnsi="宋体" w:eastAsia="宋体" w:cs="宋体"/>
                <w:color w:val="000000"/>
                <w:sz w:val="21"/>
                <w:szCs w:val="21"/>
              </w:rPr>
            </w:pPr>
          </w:p>
        </w:tc>
        <w:tc>
          <w:tcPr>
            <w:tcW w:w="7939" w:type="dxa"/>
            <w:gridSpan w:val="5"/>
            <w:vAlign w:val="center"/>
          </w:tcPr>
          <w:p w14:paraId="3D45D9E9">
            <w:pPr>
              <w:spacing w:line="276"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color w:val="000000"/>
                <w:sz w:val="21"/>
                <w:szCs w:val="21"/>
              </w:rPr>
              <w:t>了解我国现代</w:t>
            </w:r>
            <w:r>
              <w:rPr>
                <w:rFonts w:hint="eastAsia" w:ascii="宋体" w:hAnsi="宋体" w:eastAsia="宋体" w:cs="宋体"/>
                <w:color w:val="000000"/>
                <w:sz w:val="21"/>
                <w:szCs w:val="21"/>
                <w:lang w:val="en-US" w:eastAsia="zh-CN"/>
              </w:rPr>
              <w:t>语言</w:t>
            </w:r>
            <w:r>
              <w:rPr>
                <w:rFonts w:hint="eastAsia" w:ascii="宋体" w:hAnsi="宋体" w:eastAsia="宋体" w:cs="宋体"/>
                <w:color w:val="000000"/>
                <w:sz w:val="21"/>
                <w:szCs w:val="21"/>
              </w:rPr>
              <w:t>的演变及其形态，确立</w:t>
            </w:r>
            <w:r>
              <w:rPr>
                <w:rFonts w:hint="eastAsia" w:ascii="宋体" w:hAnsi="宋体" w:eastAsia="宋体" w:cs="宋体"/>
                <w:color w:val="000000"/>
                <w:sz w:val="21"/>
                <w:szCs w:val="21"/>
                <w:lang w:val="en-US" w:eastAsia="zh-CN"/>
              </w:rPr>
              <w:t>语言</w:t>
            </w:r>
            <w:r>
              <w:rPr>
                <w:rFonts w:hint="eastAsia" w:ascii="宋体" w:hAnsi="宋体" w:eastAsia="宋体" w:cs="宋体"/>
                <w:color w:val="000000"/>
                <w:sz w:val="21"/>
                <w:szCs w:val="21"/>
              </w:rPr>
              <w:t>自信</w:t>
            </w:r>
            <w:r>
              <w:rPr>
                <w:rFonts w:hint="eastAsia" w:ascii="宋体" w:hAnsi="宋体" w:eastAsia="宋体" w:cs="宋体"/>
                <w:color w:val="000000"/>
                <w:sz w:val="21"/>
                <w:szCs w:val="21"/>
                <w:lang w:val="en-US" w:eastAsia="zh-CN"/>
              </w:rPr>
              <w:t>与文化自信</w:t>
            </w:r>
            <w:r>
              <w:rPr>
                <w:rFonts w:hint="eastAsia" w:ascii="宋体" w:hAnsi="宋体" w:eastAsia="宋体" w:cs="宋体"/>
                <w:color w:val="000000"/>
                <w:sz w:val="21"/>
                <w:szCs w:val="21"/>
              </w:rPr>
              <w:t>。</w:t>
            </w:r>
          </w:p>
        </w:tc>
      </w:tr>
    </w:tbl>
    <w:p w14:paraId="3A9B400C">
      <w:pPr>
        <w:spacing w:line="360" w:lineRule="auto"/>
        <w:jc w:val="left"/>
        <w:rPr>
          <w:rFonts w:hint="eastAsia" w:ascii="宋体" w:hAnsi="宋体" w:eastAsia="宋体" w:cs="宋体"/>
          <w:b/>
          <w:color w:val="000000"/>
          <w:sz w:val="21"/>
          <w:szCs w:val="21"/>
        </w:rPr>
      </w:pPr>
    </w:p>
    <w:p w14:paraId="66A3EF8B">
      <w:pPr>
        <w:spacing w:line="360" w:lineRule="auto"/>
        <w:jc w:val="left"/>
        <w:rPr>
          <w:rFonts w:hint="eastAsia" w:ascii="宋体" w:hAnsi="宋体" w:eastAsia="宋体" w:cs="宋体"/>
          <w:sz w:val="24"/>
          <w:szCs w:val="24"/>
        </w:rPr>
      </w:pPr>
      <w:r>
        <w:rPr>
          <w:rFonts w:hint="eastAsia" w:ascii="宋体" w:hAnsi="宋体" w:eastAsia="宋体" w:cs="宋体"/>
          <w:b/>
          <w:color w:val="000000"/>
          <w:sz w:val="24"/>
          <w:szCs w:val="24"/>
        </w:rPr>
        <w:t>四、目标评价与成绩评定</w:t>
      </w:r>
    </w:p>
    <w:p w14:paraId="6CA61D9B">
      <w:pPr>
        <w:spacing w:line="360" w:lineRule="auto"/>
        <w:jc w:val="left"/>
        <w:rPr>
          <w:rFonts w:hint="eastAsia" w:ascii="宋体" w:hAnsi="宋体" w:eastAsia="宋体" w:cs="宋体"/>
          <w:b/>
          <w:sz w:val="21"/>
          <w:szCs w:val="21"/>
        </w:rPr>
      </w:pPr>
      <w:r>
        <w:rPr>
          <w:rFonts w:hint="eastAsia" w:ascii="宋体" w:hAnsi="宋体" w:eastAsia="宋体" w:cs="宋体"/>
          <w:b/>
          <w:sz w:val="21"/>
          <w:szCs w:val="21"/>
        </w:rPr>
        <w:t>（一）课程目标评价方式</w:t>
      </w:r>
    </w:p>
    <w:p w14:paraId="51D37D6E">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根据总体设计，用于评价各课程目标的评价方式如表3所示。</w:t>
      </w:r>
    </w:p>
    <w:p w14:paraId="58F0E288">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表3课程教学评价设计总表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80E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DDF84FD">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w:t>
            </w:r>
          </w:p>
        </w:tc>
        <w:tc>
          <w:tcPr>
            <w:tcW w:w="0" w:type="auto"/>
            <w:gridSpan w:val="6"/>
            <w:vAlign w:val="center"/>
          </w:tcPr>
          <w:p w14:paraId="7E83D50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评价与成绩评定方法</w:t>
            </w:r>
          </w:p>
        </w:tc>
        <w:tc>
          <w:tcPr>
            <w:tcW w:w="0" w:type="auto"/>
            <w:vMerge w:val="restart"/>
            <w:vAlign w:val="center"/>
          </w:tcPr>
          <w:p w14:paraId="28D8378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分值</w:t>
            </w:r>
          </w:p>
        </w:tc>
      </w:tr>
      <w:tr w14:paraId="455A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7CA864E">
            <w:pPr>
              <w:spacing w:line="360" w:lineRule="auto"/>
              <w:jc w:val="center"/>
              <w:rPr>
                <w:rFonts w:hint="eastAsia" w:ascii="宋体" w:hAnsi="宋体" w:eastAsia="宋体" w:cs="宋体"/>
                <w:sz w:val="21"/>
                <w:szCs w:val="21"/>
              </w:rPr>
            </w:pPr>
          </w:p>
        </w:tc>
        <w:tc>
          <w:tcPr>
            <w:tcW w:w="0" w:type="auto"/>
            <w:vAlign w:val="center"/>
          </w:tcPr>
          <w:p w14:paraId="4B8AD953">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平时作业</w:t>
            </w:r>
          </w:p>
        </w:tc>
        <w:tc>
          <w:tcPr>
            <w:tcW w:w="0" w:type="auto"/>
            <w:vAlign w:val="center"/>
          </w:tcPr>
          <w:p w14:paraId="40BE6BDA">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课堂表现</w:t>
            </w:r>
          </w:p>
        </w:tc>
        <w:tc>
          <w:tcPr>
            <w:tcW w:w="0" w:type="auto"/>
            <w:vAlign w:val="center"/>
          </w:tcPr>
          <w:p w14:paraId="70E3B87E">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语言练习</w:t>
            </w:r>
          </w:p>
        </w:tc>
        <w:tc>
          <w:tcPr>
            <w:tcW w:w="0" w:type="auto"/>
            <w:vAlign w:val="center"/>
          </w:tcPr>
          <w:p w14:paraId="2614E079">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语音打卡</w:t>
            </w:r>
          </w:p>
        </w:tc>
        <w:tc>
          <w:tcPr>
            <w:tcW w:w="0" w:type="auto"/>
            <w:vAlign w:val="center"/>
          </w:tcPr>
          <w:p w14:paraId="12DE2CAD">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期末考试</w:t>
            </w:r>
          </w:p>
        </w:tc>
        <w:tc>
          <w:tcPr>
            <w:tcW w:w="0" w:type="auto"/>
          </w:tcPr>
          <w:p w14:paraId="1B56039A">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自主学习</w:t>
            </w:r>
          </w:p>
        </w:tc>
        <w:tc>
          <w:tcPr>
            <w:tcW w:w="0" w:type="auto"/>
            <w:vMerge w:val="continue"/>
            <w:vAlign w:val="center"/>
          </w:tcPr>
          <w:p w14:paraId="4ADB1030">
            <w:pPr>
              <w:spacing w:line="360" w:lineRule="auto"/>
              <w:jc w:val="center"/>
              <w:rPr>
                <w:rFonts w:hint="eastAsia" w:ascii="宋体" w:hAnsi="宋体" w:eastAsia="宋体" w:cs="宋体"/>
                <w:sz w:val="21"/>
                <w:szCs w:val="21"/>
              </w:rPr>
            </w:pPr>
          </w:p>
        </w:tc>
      </w:tr>
      <w:tr w14:paraId="141C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CA70B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课程目标1</w:t>
            </w:r>
          </w:p>
        </w:tc>
        <w:tc>
          <w:tcPr>
            <w:tcW w:w="0" w:type="auto"/>
            <w:vAlign w:val="center"/>
          </w:tcPr>
          <w:p w14:paraId="54433083">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540B8B8E">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4C9D1A92">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050C6246">
            <w:pPr>
              <w:spacing w:line="360" w:lineRule="auto"/>
              <w:jc w:val="center"/>
              <w:rPr>
                <w:rFonts w:hint="eastAsia" w:ascii="宋体" w:hAnsi="宋体" w:eastAsia="宋体" w:cs="宋体"/>
                <w:sz w:val="21"/>
                <w:szCs w:val="21"/>
              </w:rPr>
            </w:pPr>
          </w:p>
        </w:tc>
        <w:tc>
          <w:tcPr>
            <w:tcW w:w="0" w:type="auto"/>
            <w:vAlign w:val="center"/>
          </w:tcPr>
          <w:p w14:paraId="77097919">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tcPr>
          <w:p w14:paraId="08DE34E4">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3D01B2F3">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30</w:t>
            </w:r>
          </w:p>
        </w:tc>
      </w:tr>
      <w:tr w14:paraId="0799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138024C">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课程目标2</w:t>
            </w:r>
          </w:p>
        </w:tc>
        <w:tc>
          <w:tcPr>
            <w:tcW w:w="0" w:type="auto"/>
            <w:vAlign w:val="center"/>
          </w:tcPr>
          <w:p w14:paraId="4149EAEF">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0793EEB8">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5EB90689">
            <w:pPr>
              <w:spacing w:line="360" w:lineRule="auto"/>
              <w:jc w:val="center"/>
              <w:rPr>
                <w:rFonts w:hint="eastAsia" w:ascii="宋体" w:hAnsi="宋体" w:eastAsia="宋体" w:cs="宋体"/>
                <w:sz w:val="21"/>
                <w:szCs w:val="21"/>
              </w:rPr>
            </w:pPr>
          </w:p>
        </w:tc>
        <w:tc>
          <w:tcPr>
            <w:tcW w:w="0" w:type="auto"/>
            <w:vAlign w:val="center"/>
          </w:tcPr>
          <w:p w14:paraId="02C5E5DD">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0E73A56F">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tcPr>
          <w:p w14:paraId="1342C3B9">
            <w:pPr>
              <w:spacing w:line="360" w:lineRule="auto"/>
              <w:jc w:val="center"/>
              <w:rPr>
                <w:rFonts w:hint="eastAsia" w:ascii="宋体" w:hAnsi="宋体" w:eastAsia="宋体" w:cs="宋体"/>
                <w:sz w:val="21"/>
                <w:szCs w:val="21"/>
              </w:rPr>
            </w:pPr>
          </w:p>
        </w:tc>
        <w:tc>
          <w:tcPr>
            <w:tcW w:w="0" w:type="auto"/>
            <w:vAlign w:val="center"/>
          </w:tcPr>
          <w:p w14:paraId="4459910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40</w:t>
            </w:r>
          </w:p>
        </w:tc>
      </w:tr>
      <w:tr w14:paraId="5649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66A3D0">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课程目标3</w:t>
            </w:r>
          </w:p>
        </w:tc>
        <w:tc>
          <w:tcPr>
            <w:tcW w:w="0" w:type="auto"/>
            <w:vAlign w:val="center"/>
          </w:tcPr>
          <w:p w14:paraId="33A7861E">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vAlign w:val="center"/>
          </w:tcPr>
          <w:p w14:paraId="4D2EE49E">
            <w:pPr>
              <w:spacing w:line="360" w:lineRule="auto"/>
              <w:jc w:val="center"/>
              <w:rPr>
                <w:rFonts w:hint="eastAsia" w:ascii="宋体" w:hAnsi="宋体" w:eastAsia="宋体" w:cs="宋体"/>
                <w:sz w:val="21"/>
                <w:szCs w:val="21"/>
              </w:rPr>
            </w:pPr>
          </w:p>
        </w:tc>
        <w:tc>
          <w:tcPr>
            <w:tcW w:w="0" w:type="auto"/>
            <w:vAlign w:val="center"/>
          </w:tcPr>
          <w:p w14:paraId="29D29C15">
            <w:pPr>
              <w:spacing w:line="360" w:lineRule="auto"/>
              <w:jc w:val="center"/>
              <w:rPr>
                <w:rFonts w:hint="eastAsia" w:ascii="宋体" w:hAnsi="宋体" w:eastAsia="宋体" w:cs="宋体"/>
                <w:sz w:val="21"/>
                <w:szCs w:val="21"/>
              </w:rPr>
            </w:pPr>
          </w:p>
        </w:tc>
        <w:tc>
          <w:tcPr>
            <w:tcW w:w="0" w:type="auto"/>
            <w:vAlign w:val="center"/>
          </w:tcPr>
          <w:p w14:paraId="30F159ED">
            <w:pPr>
              <w:spacing w:line="360" w:lineRule="auto"/>
              <w:jc w:val="center"/>
              <w:rPr>
                <w:rFonts w:hint="eastAsia" w:ascii="宋体" w:hAnsi="宋体" w:eastAsia="宋体" w:cs="宋体"/>
                <w:sz w:val="21"/>
                <w:szCs w:val="21"/>
              </w:rPr>
            </w:pPr>
          </w:p>
        </w:tc>
        <w:tc>
          <w:tcPr>
            <w:tcW w:w="0" w:type="auto"/>
            <w:vAlign w:val="center"/>
          </w:tcPr>
          <w:p w14:paraId="0EBA872A">
            <w:pPr>
              <w:spacing w:line="360" w:lineRule="auto"/>
              <w:jc w:val="center"/>
              <w:rPr>
                <w:rFonts w:hint="eastAsia" w:ascii="宋体" w:hAnsi="宋体" w:eastAsia="宋体" w:cs="宋体"/>
                <w:sz w:val="21"/>
                <w:szCs w:val="21"/>
              </w:rPr>
            </w:pPr>
            <w:r>
              <w:rPr>
                <w:rFonts w:hint="eastAsia" w:ascii="宋体" w:hAnsi="宋体" w:eastAsia="宋体" w:cs="宋体"/>
                <w:sz w:val="21"/>
                <w:szCs w:val="21"/>
              </w:rPr>
              <w:sym w:font="Wingdings 2" w:char="F050"/>
            </w:r>
          </w:p>
        </w:tc>
        <w:tc>
          <w:tcPr>
            <w:tcW w:w="0" w:type="auto"/>
          </w:tcPr>
          <w:p w14:paraId="340767C4">
            <w:pPr>
              <w:spacing w:line="360" w:lineRule="auto"/>
              <w:jc w:val="center"/>
              <w:rPr>
                <w:rFonts w:hint="eastAsia" w:ascii="宋体" w:hAnsi="宋体" w:eastAsia="宋体" w:cs="宋体"/>
                <w:sz w:val="21"/>
                <w:szCs w:val="21"/>
              </w:rPr>
            </w:pPr>
          </w:p>
        </w:tc>
        <w:tc>
          <w:tcPr>
            <w:tcW w:w="0" w:type="auto"/>
            <w:vAlign w:val="center"/>
          </w:tcPr>
          <w:p w14:paraId="7C36189B">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30</w:t>
            </w:r>
          </w:p>
        </w:tc>
      </w:tr>
      <w:tr w14:paraId="437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C2E757">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38F789E4">
            <w:pPr>
              <w:spacing w:line="360" w:lineRule="auto"/>
              <w:jc w:val="center"/>
              <w:rPr>
                <w:rFonts w:ascii="宋体" w:hAnsi="宋体" w:eastAsia="宋体" w:cs="Times New Roman"/>
                <w:szCs w:val="21"/>
              </w:rPr>
            </w:pPr>
          </w:p>
        </w:tc>
        <w:tc>
          <w:tcPr>
            <w:tcW w:w="0" w:type="auto"/>
            <w:vAlign w:val="center"/>
          </w:tcPr>
          <w:p w14:paraId="4AB5E7CD">
            <w:pPr>
              <w:spacing w:line="360" w:lineRule="auto"/>
              <w:jc w:val="center"/>
              <w:rPr>
                <w:rFonts w:ascii="宋体" w:hAnsi="宋体" w:eastAsia="宋体" w:cs="Times New Roman"/>
                <w:szCs w:val="21"/>
              </w:rPr>
            </w:pPr>
          </w:p>
        </w:tc>
        <w:tc>
          <w:tcPr>
            <w:tcW w:w="0" w:type="auto"/>
            <w:vAlign w:val="center"/>
          </w:tcPr>
          <w:p w14:paraId="1E835A8D">
            <w:pPr>
              <w:spacing w:line="360" w:lineRule="auto"/>
              <w:jc w:val="center"/>
              <w:rPr>
                <w:rFonts w:ascii="宋体" w:hAnsi="宋体" w:eastAsia="宋体" w:cs="Times New Roman"/>
                <w:szCs w:val="21"/>
              </w:rPr>
            </w:pPr>
          </w:p>
        </w:tc>
        <w:tc>
          <w:tcPr>
            <w:tcW w:w="0" w:type="auto"/>
            <w:vAlign w:val="center"/>
          </w:tcPr>
          <w:p w14:paraId="4E1E6A28">
            <w:pPr>
              <w:spacing w:line="360" w:lineRule="auto"/>
              <w:jc w:val="center"/>
              <w:rPr>
                <w:rFonts w:ascii="宋体" w:hAnsi="宋体" w:eastAsia="宋体" w:cs="Times New Roman"/>
                <w:szCs w:val="21"/>
              </w:rPr>
            </w:pPr>
          </w:p>
        </w:tc>
        <w:tc>
          <w:tcPr>
            <w:tcW w:w="0" w:type="auto"/>
            <w:vAlign w:val="center"/>
          </w:tcPr>
          <w:p w14:paraId="260724AB">
            <w:pPr>
              <w:spacing w:line="360" w:lineRule="auto"/>
              <w:jc w:val="center"/>
              <w:rPr>
                <w:rFonts w:ascii="宋体" w:hAnsi="宋体" w:eastAsia="宋体" w:cs="Times New Roman"/>
                <w:szCs w:val="21"/>
              </w:rPr>
            </w:pPr>
          </w:p>
        </w:tc>
        <w:tc>
          <w:tcPr>
            <w:tcW w:w="0" w:type="auto"/>
          </w:tcPr>
          <w:p w14:paraId="0CB93217">
            <w:pPr>
              <w:spacing w:line="360" w:lineRule="auto"/>
              <w:jc w:val="center"/>
              <w:rPr>
                <w:rFonts w:ascii="宋体" w:hAnsi="宋体" w:eastAsia="宋体" w:cs="Times New Roman"/>
                <w:szCs w:val="21"/>
              </w:rPr>
            </w:pPr>
          </w:p>
        </w:tc>
        <w:tc>
          <w:tcPr>
            <w:tcW w:w="0" w:type="auto"/>
            <w:vAlign w:val="center"/>
          </w:tcPr>
          <w:p w14:paraId="1BC4B8E4">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41231B4C">
      <w:pPr>
        <w:spacing w:before="156" w:beforeLines="50" w:line="360" w:lineRule="auto"/>
        <w:jc w:val="left"/>
        <w:rPr>
          <w:rFonts w:hint="eastAsia" w:ascii="Times New Roman" w:hAnsi="Times New Roman" w:eastAsia="宋体" w:cs="Times New Roman"/>
          <w:b/>
          <w:szCs w:val="21"/>
        </w:rPr>
      </w:pPr>
    </w:p>
    <w:p w14:paraId="5DFEC4B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BACAD6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8A0F32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DD5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540D8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5FBEA3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CD67E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F47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B95B8C0">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EDF86B1">
            <w:pPr>
              <w:spacing w:line="264" w:lineRule="auto"/>
              <w:jc w:val="left"/>
              <w:rPr>
                <w:rFonts w:hint="default" w:ascii="Times New Roman" w:hAnsi="Times New Roman" w:eastAsia="宋体" w:cs="Times New Roman"/>
                <w:szCs w:val="21"/>
                <w:lang w:val="en-US"/>
              </w:rPr>
            </w:pPr>
            <w:r>
              <w:rPr>
                <w:rFonts w:hint="eastAsia" w:ascii="Times New Roman" w:hAnsi="Times New Roman" w:eastAsia="宋体" w:cs="Times New Roman"/>
                <w:szCs w:val="21"/>
                <w:lang w:val="en-US" w:eastAsia="zh-CN"/>
              </w:rPr>
              <w:t>语音打卡八次，选三次成绩进行记录。</w:t>
            </w:r>
          </w:p>
        </w:tc>
        <w:tc>
          <w:tcPr>
            <w:tcW w:w="0" w:type="auto"/>
            <w:vAlign w:val="center"/>
          </w:tcPr>
          <w:p w14:paraId="760D130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B80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623077F">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A9DF69C">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41BE1C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7B138B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7FA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4C6AB56">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语音练习</w:t>
            </w:r>
          </w:p>
        </w:tc>
        <w:tc>
          <w:tcPr>
            <w:tcW w:w="7141" w:type="dxa"/>
            <w:vAlign w:val="center"/>
          </w:tcPr>
          <w:p w14:paraId="3DF8FC41">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每节课都有相关的语音练习，及时纠正语音问题。</w:t>
            </w:r>
          </w:p>
        </w:tc>
        <w:tc>
          <w:tcPr>
            <w:tcW w:w="0" w:type="auto"/>
            <w:vAlign w:val="center"/>
          </w:tcPr>
          <w:p w14:paraId="70B829A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D5C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6EAEF5">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语音打卡</w:t>
            </w:r>
          </w:p>
        </w:tc>
        <w:tc>
          <w:tcPr>
            <w:tcW w:w="7141" w:type="dxa"/>
            <w:vAlign w:val="center"/>
          </w:tcPr>
          <w:p w14:paraId="3EDBD586">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每周至少使用畅言APP进行一次完整的语音打卡，并提交测试成绩。</w:t>
            </w:r>
          </w:p>
        </w:tc>
        <w:tc>
          <w:tcPr>
            <w:tcW w:w="0" w:type="auto"/>
            <w:vAlign w:val="center"/>
          </w:tcPr>
          <w:p w14:paraId="4C57C54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93E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C5C8C6">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46A117AE">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课后学生自主进行语音训练，朗读和强化训练。</w:t>
            </w:r>
          </w:p>
        </w:tc>
        <w:tc>
          <w:tcPr>
            <w:tcW w:w="0" w:type="auto"/>
            <w:vAlign w:val="center"/>
          </w:tcPr>
          <w:p w14:paraId="1BA890A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66F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BEC8C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04345E4">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随机自动生成试卷，采用手机软件和老师同时打分进行评估。</w:t>
            </w:r>
          </w:p>
        </w:tc>
        <w:tc>
          <w:tcPr>
            <w:tcW w:w="0" w:type="auto"/>
            <w:vAlign w:val="center"/>
          </w:tcPr>
          <w:p w14:paraId="130610C4">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9B0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4EB594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A439B1B">
            <w:pPr>
              <w:jc w:val="left"/>
              <w:rPr>
                <w:rFonts w:ascii="Times New Roman" w:hAnsi="Times New Roman" w:eastAsia="宋体" w:cs="Times New Roman"/>
                <w:szCs w:val="21"/>
              </w:rPr>
            </w:pPr>
          </w:p>
        </w:tc>
        <w:tc>
          <w:tcPr>
            <w:tcW w:w="0" w:type="auto"/>
            <w:vAlign w:val="center"/>
          </w:tcPr>
          <w:p w14:paraId="20A5F5E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F55A9BB">
      <w:pPr>
        <w:spacing w:line="360" w:lineRule="auto"/>
        <w:jc w:val="left"/>
        <w:rPr>
          <w:rFonts w:hint="eastAsia" w:ascii="宋体" w:hAnsi="宋体" w:eastAsia="宋体" w:cs="Times New Roman"/>
          <w:b/>
          <w:color w:val="000000"/>
          <w:szCs w:val="21"/>
        </w:rPr>
      </w:pPr>
    </w:p>
    <w:p w14:paraId="65C9407C">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94B19E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25552E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38"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38" DrawAspect="Content" ObjectID="_1468075738" r:id="rId21">
            <o:LockedField>false</o:LockedField>
          </o:OLEObject>
        </w:object>
      </w:r>
    </w:p>
    <w:p w14:paraId="31BEBB42">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0226E10F">
      <w:pPr>
        <w:spacing w:after="156" w:afterLines="50" w:line="360" w:lineRule="auto"/>
        <w:ind w:firstLine="420" w:firstLineChars="200"/>
        <w:rPr>
          <w:rFonts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5D36F206">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6B95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CEEF865">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681B2496">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70E8C0DA">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24D462A">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4FD1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B744AFA">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普通话推广</w:t>
            </w:r>
          </w:p>
        </w:tc>
        <w:tc>
          <w:tcPr>
            <w:tcW w:w="3407" w:type="dxa"/>
            <w:vAlign w:val="center"/>
          </w:tcPr>
          <w:p w14:paraId="6FEF20CA">
            <w:pPr>
              <w:spacing w:line="276" w:lineRule="auto"/>
              <w:jc w:val="left"/>
              <w:rPr>
                <w:rFonts w:hint="default" w:ascii="宋体" w:hAnsi="宋体" w:eastAsia="宋体" w:cs="宋体"/>
                <w:szCs w:val="21"/>
                <w:lang w:val="en-US" w:eastAsia="zh-CN"/>
              </w:rPr>
            </w:pPr>
            <w:r>
              <w:rPr>
                <w:rFonts w:hint="eastAsia" w:ascii="宋体" w:hAnsi="宋体" w:eastAsia="宋体" w:cs="宋体"/>
                <w:szCs w:val="21"/>
              </w:rPr>
              <w:t>通过</w:t>
            </w:r>
            <w:r>
              <w:rPr>
                <w:rFonts w:hint="eastAsia" w:ascii="宋体" w:hAnsi="宋体" w:eastAsia="宋体" w:cs="宋体"/>
                <w:szCs w:val="21"/>
                <w:lang w:eastAsia="zh-CN"/>
              </w:rPr>
              <w:t>《</w:t>
            </w:r>
            <w:r>
              <w:rPr>
                <w:rFonts w:hint="eastAsia" w:ascii="宋体" w:hAnsi="宋体" w:eastAsia="宋体" w:cs="宋体"/>
                <w:szCs w:val="21"/>
                <w:lang w:val="en-US" w:eastAsia="zh-CN"/>
              </w:rPr>
              <w:t>主持人大赛</w:t>
            </w:r>
            <w:r>
              <w:rPr>
                <w:rFonts w:hint="eastAsia" w:ascii="宋体" w:hAnsi="宋体" w:eastAsia="宋体" w:cs="宋体"/>
                <w:szCs w:val="21"/>
                <w:lang w:eastAsia="zh-CN"/>
              </w:rPr>
              <w:t>》、《</w:t>
            </w:r>
            <w:r>
              <w:rPr>
                <w:rFonts w:hint="eastAsia" w:ascii="宋体" w:hAnsi="宋体" w:eastAsia="宋体" w:cs="宋体"/>
                <w:szCs w:val="21"/>
                <w:lang w:val="en-US" w:eastAsia="zh-CN"/>
              </w:rPr>
              <w:t>朗读者</w:t>
            </w:r>
            <w:r>
              <w:rPr>
                <w:rFonts w:hint="eastAsia" w:ascii="宋体" w:hAnsi="宋体" w:eastAsia="宋体" w:cs="宋体"/>
                <w:szCs w:val="21"/>
                <w:lang w:eastAsia="zh-CN"/>
              </w:rPr>
              <w:t>》</w:t>
            </w:r>
            <w:r>
              <w:rPr>
                <w:rFonts w:hint="eastAsia" w:ascii="宋体" w:hAnsi="宋体" w:eastAsia="宋体" w:cs="宋体"/>
                <w:szCs w:val="21"/>
                <w:lang w:val="en-US" w:eastAsia="zh-CN"/>
              </w:rPr>
              <w:t>等节目</w:t>
            </w:r>
            <w:r>
              <w:rPr>
                <w:rFonts w:hint="eastAsia" w:ascii="宋体" w:hAnsi="宋体" w:eastAsia="宋体" w:cs="宋体"/>
                <w:szCs w:val="21"/>
              </w:rPr>
              <w:t>进行课堂主题讨论，让学生</w:t>
            </w:r>
            <w:r>
              <w:rPr>
                <w:rFonts w:hint="eastAsia" w:ascii="宋体" w:hAnsi="宋体" w:eastAsia="宋体" w:cs="宋体"/>
                <w:szCs w:val="21"/>
                <w:lang w:val="en-US" w:eastAsia="zh-CN"/>
              </w:rPr>
              <w:t>模仿与表达</w:t>
            </w:r>
          </w:p>
        </w:tc>
        <w:tc>
          <w:tcPr>
            <w:tcW w:w="740" w:type="dxa"/>
            <w:vAlign w:val="center"/>
          </w:tcPr>
          <w:p w14:paraId="079B3A43">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即兴演讲</w:t>
            </w:r>
          </w:p>
        </w:tc>
        <w:tc>
          <w:tcPr>
            <w:tcW w:w="3160" w:type="dxa"/>
            <w:vAlign w:val="center"/>
          </w:tcPr>
          <w:p w14:paraId="5DB01499">
            <w:pPr>
              <w:spacing w:line="276" w:lineRule="auto"/>
              <w:jc w:val="left"/>
              <w:rPr>
                <w:rFonts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566F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442FCE1">
            <w:pPr>
              <w:spacing w:line="276"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好声音</w:t>
            </w:r>
          </w:p>
          <w:p w14:paraId="44C9203E">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好表达</w:t>
            </w:r>
          </w:p>
        </w:tc>
        <w:tc>
          <w:tcPr>
            <w:tcW w:w="3407" w:type="dxa"/>
            <w:vAlign w:val="center"/>
          </w:tcPr>
          <w:p w14:paraId="5C486E52">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鼓励学生走出课堂进行规范的普通话表达，我的语音我做主。</w:t>
            </w:r>
          </w:p>
        </w:tc>
        <w:tc>
          <w:tcPr>
            <w:tcW w:w="740" w:type="dxa"/>
            <w:vAlign w:val="center"/>
          </w:tcPr>
          <w:p w14:paraId="670EFB16">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演讲比赛</w:t>
            </w:r>
          </w:p>
        </w:tc>
        <w:tc>
          <w:tcPr>
            <w:tcW w:w="3160" w:type="dxa"/>
            <w:vAlign w:val="center"/>
          </w:tcPr>
          <w:p w14:paraId="5EEE48D0">
            <w:pPr>
              <w:spacing w:line="276" w:lineRule="auto"/>
              <w:jc w:val="left"/>
              <w:rPr>
                <w:rFonts w:ascii="宋体" w:hAnsi="宋体" w:eastAsia="宋体" w:cs="宋体"/>
                <w:szCs w:val="21"/>
              </w:rPr>
            </w:pPr>
            <w:r>
              <w:rPr>
                <w:rFonts w:hint="eastAsia" w:ascii="宋体" w:hAnsi="宋体" w:eastAsia="宋体" w:cs="宋体"/>
                <w:szCs w:val="21"/>
              </w:rPr>
              <w:t>用</w:t>
            </w:r>
            <w:r>
              <w:rPr>
                <w:rFonts w:hint="eastAsia" w:ascii="宋体" w:hAnsi="宋体" w:eastAsia="宋体" w:cs="宋体"/>
                <w:szCs w:val="21"/>
                <w:lang w:val="en-US" w:eastAsia="zh-CN"/>
              </w:rPr>
              <w:t>语言</w:t>
            </w:r>
            <w:r>
              <w:rPr>
                <w:rFonts w:hint="eastAsia" w:ascii="宋体" w:hAnsi="宋体" w:eastAsia="宋体" w:cs="宋体"/>
                <w:szCs w:val="21"/>
              </w:rPr>
              <w:t>的力量激发学生爱岗敬业、立志成为卓越教师，为党和国家的发展做出贡献。</w:t>
            </w:r>
          </w:p>
        </w:tc>
      </w:tr>
    </w:tbl>
    <w:p w14:paraId="44876DDE">
      <w:pPr>
        <w:spacing w:line="360" w:lineRule="auto"/>
        <w:jc w:val="left"/>
        <w:rPr>
          <w:rFonts w:hint="eastAsia" w:ascii="宋体" w:hAnsi="宋体" w:eastAsia="宋体" w:cs="Times New Roman"/>
          <w:b/>
          <w:color w:val="000000"/>
          <w:sz w:val="24"/>
          <w:szCs w:val="24"/>
        </w:rPr>
      </w:pPr>
    </w:p>
    <w:p w14:paraId="22EED83E">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6DA31F7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2404F2E">
      <w:pPr>
        <w:spacing w:line="360" w:lineRule="auto"/>
        <w:jc w:val="left"/>
        <w:rPr>
          <w:rFonts w:hint="eastAsia" w:ascii="Calibri" w:hAnsi="Calibri" w:eastAsia="宋体" w:cs="Times New Roman"/>
          <w:sz w:val="24"/>
          <w:szCs w:val="22"/>
        </w:rPr>
      </w:pPr>
      <w:r>
        <w:rPr>
          <w:rFonts w:hint="eastAsia" w:ascii="Calibri" w:hAnsi="Calibri" w:eastAsia="宋体" w:cs="Times New Roman"/>
          <w:sz w:val="24"/>
          <w:szCs w:val="22"/>
        </w:rPr>
        <w:t>课程考核包括期末考查、课堂出勤</w:t>
      </w:r>
      <w:r>
        <w:rPr>
          <w:rFonts w:hint="eastAsia" w:ascii="Calibri" w:hAnsi="Calibri" w:eastAsia="宋体" w:cs="Times New Roman"/>
          <w:sz w:val="24"/>
          <w:szCs w:val="22"/>
          <w:lang w:eastAsia="zh-CN"/>
        </w:rPr>
        <w:t>、</w:t>
      </w:r>
      <w:r>
        <w:rPr>
          <w:rFonts w:hint="eastAsia" w:ascii="Calibri" w:hAnsi="Calibri" w:eastAsia="宋体" w:cs="Times New Roman"/>
          <w:sz w:val="24"/>
          <w:szCs w:val="22"/>
          <w:lang w:val="en-US" w:eastAsia="zh-CN"/>
        </w:rPr>
        <w:t>课堂表现、课后语音打卡</w:t>
      </w:r>
      <w:r>
        <w:rPr>
          <w:rFonts w:hint="eastAsia" w:ascii="Calibri" w:hAnsi="Calibri" w:eastAsia="宋体" w:cs="Times New Roman"/>
          <w:sz w:val="24"/>
          <w:szCs w:val="22"/>
        </w:rPr>
        <w:t>，期末考查建议采用以普通话水平测试的朗读和说话等方式进行。</w:t>
      </w:r>
    </w:p>
    <w:p w14:paraId="30284546">
      <w:pPr>
        <w:spacing w:line="360" w:lineRule="auto"/>
        <w:jc w:val="left"/>
        <w:rPr>
          <w:rFonts w:hint="eastAsia" w:ascii="Calibri" w:hAnsi="Calibri" w:eastAsia="宋体" w:cs="Times New Roman"/>
          <w:sz w:val="24"/>
          <w:szCs w:val="22"/>
        </w:rPr>
      </w:pPr>
    </w:p>
    <w:p w14:paraId="2B8161FB">
      <w:pPr>
        <w:spacing w:line="360" w:lineRule="auto"/>
        <w:rPr>
          <w:rFonts w:ascii="Calibri" w:hAnsi="Calibri" w:eastAsia="宋体" w:cs="Times New Roman"/>
          <w:b w:val="0"/>
          <w:bCs/>
          <w:color w:val="000000"/>
          <w:sz w:val="21"/>
          <w:szCs w:val="21"/>
        </w:rPr>
      </w:pPr>
      <w:r>
        <w:rPr>
          <w:rFonts w:hint="eastAsia" w:ascii="Calibri" w:hAnsi="Calibri" w:eastAsia="宋体" w:cs="Times New Roman"/>
          <w:b w:val="0"/>
          <w:bCs/>
          <w:color w:val="000000"/>
          <w:sz w:val="21"/>
          <w:szCs w:val="21"/>
        </w:rPr>
        <w:t>（二）参考书目及学习资料</w:t>
      </w:r>
    </w:p>
    <w:p w14:paraId="622484F6">
      <w:pPr>
        <w:spacing w:line="360" w:lineRule="auto"/>
        <w:rPr>
          <w:rFonts w:ascii="宋体" w:hAnsi="宋体" w:eastAsia="宋体" w:cs="Times New Roman"/>
          <w:b/>
          <w:bCs/>
          <w:sz w:val="21"/>
          <w:szCs w:val="21"/>
        </w:rPr>
      </w:pPr>
      <w:r>
        <w:rPr>
          <w:rFonts w:hint="eastAsia" w:ascii="宋体" w:hAnsi="宋体" w:eastAsia="宋体" w:cs="Times New Roman"/>
          <w:b/>
          <w:bCs/>
          <w:sz w:val="21"/>
          <w:szCs w:val="21"/>
        </w:rPr>
        <w:t>1.教材</w:t>
      </w:r>
    </w:p>
    <w:p w14:paraId="29EFA057">
      <w:pPr>
        <w:spacing w:line="360" w:lineRule="auto"/>
        <w:rPr>
          <w:rFonts w:ascii="宋体" w:hAnsi="宋体" w:eastAsia="宋体" w:cs="Times New Roman"/>
          <w:b/>
          <w:kern w:val="0"/>
          <w:sz w:val="24"/>
          <w:szCs w:val="22"/>
        </w:rPr>
      </w:pPr>
      <w:r>
        <w:rPr>
          <w:rFonts w:hint="eastAsia" w:ascii="宋体" w:hAnsi="宋体" w:eastAsia="宋体" w:cs="Times New Roman"/>
          <w:sz w:val="24"/>
          <w:szCs w:val="22"/>
        </w:rPr>
        <w:t>《普通话水平测试指导用书》(最新版）普通话水平测试研究组,语文出版社，2024</w:t>
      </w:r>
    </w:p>
    <w:p w14:paraId="739F87DE">
      <w:pPr>
        <w:spacing w:line="360" w:lineRule="auto"/>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rPr>
        <w:t>2.</w:t>
      </w:r>
      <w:r>
        <w:rPr>
          <w:rFonts w:hint="eastAsia" w:ascii="宋体" w:hAnsi="宋体" w:eastAsia="宋体" w:cs="Times New Roman"/>
          <w:b/>
          <w:bCs/>
          <w:sz w:val="21"/>
          <w:szCs w:val="21"/>
          <w:lang w:val="en-US" w:eastAsia="zh-CN"/>
        </w:rPr>
        <w:t>参考书目</w:t>
      </w:r>
    </w:p>
    <w:p w14:paraId="2B2C1FE5">
      <w:pPr>
        <w:spacing w:line="360" w:lineRule="auto"/>
        <w:rPr>
          <w:rFonts w:ascii="宋体" w:hAnsi="宋体" w:eastAsia="宋体" w:cs="Times New Roman"/>
          <w:b/>
          <w:kern w:val="0"/>
          <w:sz w:val="24"/>
          <w:szCs w:val="22"/>
        </w:rPr>
      </w:pPr>
      <w:r>
        <w:rPr>
          <w:rFonts w:hint="eastAsia" w:ascii="宋体" w:hAnsi="宋体" w:eastAsia="宋体" w:cs="Times New Roman"/>
          <w:sz w:val="24"/>
          <w:szCs w:val="22"/>
          <w:lang w:val="en-US" w:eastAsia="zh-CN"/>
        </w:rPr>
        <w:t>1、</w:t>
      </w:r>
      <w:r>
        <w:rPr>
          <w:rFonts w:hint="eastAsia" w:ascii="宋体" w:hAnsi="宋体" w:eastAsia="宋体" w:cs="Times New Roman"/>
          <w:sz w:val="24"/>
          <w:szCs w:val="22"/>
        </w:rPr>
        <w:t>普通话水平测试研究组</w:t>
      </w:r>
      <w:r>
        <w:rPr>
          <w:rFonts w:hint="eastAsia" w:ascii="宋体" w:hAnsi="宋体" w:eastAsia="宋体" w:cs="Times New Roman"/>
          <w:sz w:val="24"/>
          <w:szCs w:val="22"/>
          <w:lang w:val="en-US" w:eastAsia="zh-CN"/>
        </w:rPr>
        <w:t>.</w:t>
      </w:r>
      <w:r>
        <w:rPr>
          <w:rFonts w:hint="eastAsia" w:ascii="宋体" w:hAnsi="宋体" w:eastAsia="宋体" w:cs="Times New Roman"/>
          <w:sz w:val="24"/>
          <w:szCs w:val="22"/>
        </w:rPr>
        <w:t>《普通话水平测试指导用书》(最新版）</w:t>
      </w:r>
      <w:r>
        <w:rPr>
          <w:rFonts w:hint="eastAsia" w:ascii="宋体" w:hAnsi="宋体" w:eastAsia="宋体" w:cs="Times New Roman"/>
          <w:sz w:val="24"/>
          <w:szCs w:val="22"/>
          <w:lang w:val="en-US" w:eastAsia="zh-CN"/>
        </w:rPr>
        <w:t>.</w:t>
      </w:r>
      <w:r>
        <w:rPr>
          <w:rFonts w:hint="eastAsia" w:ascii="宋体" w:hAnsi="宋体" w:eastAsia="宋体" w:cs="Times New Roman"/>
          <w:sz w:val="24"/>
          <w:szCs w:val="22"/>
        </w:rPr>
        <w:t>语文出版社，2024</w:t>
      </w:r>
    </w:p>
    <w:p w14:paraId="1C12D623">
      <w:pPr>
        <w:spacing w:line="360" w:lineRule="auto"/>
        <w:rPr>
          <w:rFonts w:ascii="宋体" w:hAnsi="宋体" w:eastAsia="宋体" w:cs="Times New Roman"/>
          <w:sz w:val="24"/>
          <w:szCs w:val="22"/>
        </w:rPr>
      </w:pPr>
      <w:r>
        <w:rPr>
          <w:rFonts w:hint="eastAsia" w:ascii="宋体" w:hAnsi="宋体" w:eastAsia="宋体" w:cs="Times New Roman"/>
          <w:sz w:val="24"/>
          <w:szCs w:val="22"/>
          <w:lang w:val="en-US" w:eastAsia="zh-CN"/>
        </w:rPr>
        <w:t>2、</w:t>
      </w:r>
      <w:r>
        <w:rPr>
          <w:rFonts w:hint="eastAsia" w:ascii="宋体" w:hAnsi="宋体" w:eastAsia="宋体" w:cs="Times New Roman"/>
          <w:sz w:val="24"/>
          <w:szCs w:val="22"/>
        </w:rPr>
        <w:t>秦存钢等.普通话口语教程.高等教育出版社,2018</w:t>
      </w:r>
    </w:p>
    <w:p w14:paraId="1E5B7F64">
      <w:pPr>
        <w:spacing w:line="360" w:lineRule="auto"/>
        <w:rPr>
          <w:rFonts w:ascii="宋体" w:hAnsi="宋体" w:eastAsia="宋体" w:cs="Times New Roman"/>
          <w:sz w:val="24"/>
          <w:szCs w:val="22"/>
        </w:rPr>
      </w:pPr>
      <w:r>
        <w:rPr>
          <w:rFonts w:hint="eastAsia" w:ascii="宋体" w:hAnsi="宋体" w:eastAsia="宋体" w:cs="Times New Roman"/>
          <w:sz w:val="24"/>
          <w:szCs w:val="22"/>
          <w:lang w:val="en-US" w:eastAsia="zh-CN"/>
        </w:rPr>
        <w:t>3、</w:t>
      </w:r>
      <w:r>
        <w:rPr>
          <w:rFonts w:hint="eastAsia" w:ascii="宋体" w:hAnsi="宋体" w:eastAsia="宋体" w:cs="Times New Roman"/>
          <w:sz w:val="24"/>
          <w:szCs w:val="22"/>
        </w:rPr>
        <w:t>高乃尧.普通话教程.江苏大学出版社,2022</w:t>
      </w:r>
    </w:p>
    <w:p w14:paraId="38A15E78">
      <w:pPr>
        <w:spacing w:line="360" w:lineRule="auto"/>
        <w:rPr>
          <w:rFonts w:ascii="宋体" w:hAnsi="宋体" w:eastAsia="宋体" w:cs="Times New Roman"/>
          <w:sz w:val="24"/>
          <w:szCs w:val="22"/>
        </w:rPr>
      </w:pPr>
      <w:r>
        <w:rPr>
          <w:rFonts w:hint="eastAsia" w:ascii="宋体" w:hAnsi="宋体" w:eastAsia="宋体" w:cs="Times New Roman"/>
          <w:sz w:val="24"/>
          <w:szCs w:val="22"/>
          <w:lang w:val="en-US" w:eastAsia="zh-CN"/>
        </w:rPr>
        <w:t>4、</w:t>
      </w:r>
      <w:r>
        <w:rPr>
          <w:rFonts w:hint="eastAsia" w:ascii="宋体" w:hAnsi="宋体" w:eastAsia="宋体" w:cs="Times New Roman"/>
          <w:sz w:val="24"/>
          <w:szCs w:val="22"/>
        </w:rPr>
        <w:t>周芸等.普通话训练与测试.北京大学出版社,2023</w:t>
      </w:r>
    </w:p>
    <w:p w14:paraId="4396FE97">
      <w:pPr>
        <w:autoSpaceDE w:val="0"/>
        <w:autoSpaceDN w:val="0"/>
        <w:adjustRightInd w:val="0"/>
        <w:spacing w:line="360" w:lineRule="auto"/>
        <w:ind w:firstLine="480" w:firstLineChars="200"/>
        <w:jc w:val="right"/>
        <w:rPr>
          <w:rFonts w:ascii="Calibri" w:hAnsi="Calibri" w:eastAsia="宋体" w:cs="Times New Roman"/>
          <w:sz w:val="24"/>
          <w:szCs w:val="22"/>
        </w:rPr>
      </w:pPr>
      <w:r>
        <w:rPr>
          <w:rFonts w:ascii="Calibri" w:hAnsi="Calibri" w:eastAsia="宋体" w:cs="Times New Roman"/>
          <w:sz w:val="24"/>
          <w:szCs w:val="22"/>
        </w:rPr>
        <w:t xml:space="preserve">                                                   </w:t>
      </w:r>
    </w:p>
    <w:p w14:paraId="3D2FB113">
      <w:pPr>
        <w:autoSpaceDE w:val="0"/>
        <w:autoSpaceDN w:val="0"/>
        <w:adjustRightInd w:val="0"/>
        <w:spacing w:line="360" w:lineRule="auto"/>
        <w:ind w:left="210" w:leftChars="100" w:firstLine="480" w:firstLineChars="200"/>
        <w:jc w:val="center"/>
        <w:rPr>
          <w:rFonts w:ascii="Calibri" w:hAnsi="Calibri" w:eastAsia="宋体" w:cs="Times New Roman"/>
          <w:kern w:val="0"/>
          <w:sz w:val="24"/>
          <w:szCs w:val="21"/>
        </w:rPr>
      </w:pPr>
      <w:r>
        <w:rPr>
          <w:rFonts w:ascii="Calibri" w:hAnsi="Calibri" w:eastAsia="宋体" w:cs="Times New Roman"/>
          <w:sz w:val="24"/>
          <w:szCs w:val="22"/>
        </w:rPr>
        <w:t xml:space="preserve">                                        </w:t>
      </w:r>
      <w:r>
        <w:rPr>
          <w:rFonts w:hint="eastAsia" w:ascii="Calibri" w:hAnsi="Calibri" w:eastAsia="宋体" w:cs="Times New Roman"/>
          <w:sz w:val="24"/>
          <w:szCs w:val="22"/>
          <w:lang w:val="en-US" w:eastAsia="zh-CN"/>
        </w:rPr>
        <w:t xml:space="preserve">  </w:t>
      </w:r>
      <w:r>
        <w:rPr>
          <w:rFonts w:hint="eastAsia" w:ascii="Calibri" w:hAnsi="Calibri" w:eastAsia="宋体" w:cs="Times New Roman"/>
          <w:kern w:val="0"/>
          <w:sz w:val="24"/>
          <w:szCs w:val="21"/>
        </w:rPr>
        <w:t>执笔人：张香萍</w:t>
      </w:r>
      <w:r>
        <w:rPr>
          <w:rFonts w:ascii="Calibri" w:hAnsi="Calibri" w:eastAsia="宋体" w:cs="Times New Roman"/>
          <w:kern w:val="0"/>
          <w:sz w:val="24"/>
          <w:szCs w:val="21"/>
        </w:rPr>
        <w:t xml:space="preserve">                                                                                          </w:t>
      </w:r>
    </w:p>
    <w:p w14:paraId="69352E3D">
      <w:pPr>
        <w:autoSpaceDE w:val="0"/>
        <w:autoSpaceDN w:val="0"/>
        <w:adjustRightInd w:val="0"/>
        <w:spacing w:line="360" w:lineRule="auto"/>
        <w:ind w:firstLine="6240" w:firstLineChars="2600"/>
        <w:rPr>
          <w:rFonts w:hint="eastAsia" w:ascii="宋体" w:hAnsi="宋体" w:eastAsia="宋体" w:cs="Times New Roman"/>
          <w:kern w:val="0"/>
          <w:sz w:val="24"/>
          <w:szCs w:val="21"/>
          <w:lang w:val="en-US" w:eastAsia="zh-CN"/>
        </w:rPr>
      </w:pPr>
      <w:r>
        <w:rPr>
          <w:rFonts w:hint="eastAsia" w:ascii="Calibri" w:hAnsi="Calibri" w:eastAsia="宋体" w:cs="Times New Roman"/>
          <w:kern w:val="0"/>
          <w:sz w:val="24"/>
          <w:szCs w:val="21"/>
        </w:rPr>
        <w:t>审定人：</w:t>
      </w:r>
      <w:r>
        <w:rPr>
          <w:rFonts w:hint="eastAsia" w:ascii="宋体" w:hAnsi="宋体" w:eastAsia="宋体" w:cs="Times New Roman"/>
          <w:kern w:val="0"/>
          <w:sz w:val="24"/>
          <w:szCs w:val="21"/>
        </w:rPr>
        <w:t xml:space="preserve"> </w:t>
      </w:r>
      <w:r>
        <w:rPr>
          <w:rFonts w:hint="eastAsia" w:ascii="宋体" w:hAnsi="宋体" w:eastAsia="宋体" w:cs="Times New Roman"/>
          <w:kern w:val="0"/>
          <w:sz w:val="24"/>
          <w:szCs w:val="21"/>
          <w:lang w:val="en-US" w:eastAsia="zh-CN"/>
        </w:rPr>
        <w:t>张律</w:t>
      </w:r>
    </w:p>
    <w:p w14:paraId="234FC326">
      <w:pPr>
        <w:autoSpaceDE w:val="0"/>
        <w:autoSpaceDN w:val="0"/>
        <w:adjustRightInd w:val="0"/>
        <w:spacing w:line="360" w:lineRule="auto"/>
        <w:ind w:firstLine="6240" w:firstLineChars="2600"/>
        <w:rPr>
          <w:rFonts w:ascii="宋体" w:hAnsi="宋体" w:eastAsia="宋体" w:cs="Times New Roman"/>
          <w:kern w:val="0"/>
          <w:sz w:val="24"/>
          <w:szCs w:val="21"/>
        </w:rPr>
      </w:pPr>
      <w:r>
        <w:rPr>
          <w:rFonts w:hint="eastAsia" w:ascii="宋体" w:hAnsi="宋体" w:eastAsia="宋体" w:cs="Times New Roman"/>
          <w:kern w:val="0"/>
          <w:sz w:val="24"/>
          <w:szCs w:val="21"/>
        </w:rPr>
        <w:t>审批人：岳芬</w:t>
      </w:r>
    </w:p>
    <w:p w14:paraId="4B906E94">
      <w:pPr>
        <w:autoSpaceDE w:val="0"/>
        <w:autoSpaceDN w:val="0"/>
        <w:adjustRightInd w:val="0"/>
        <w:spacing w:line="360" w:lineRule="auto"/>
        <w:ind w:firstLine="6000" w:firstLineChars="2500"/>
        <w:rPr>
          <w:rFonts w:hint="eastAsia" w:ascii="宋体" w:hAnsi="宋体" w:eastAsia="宋体" w:cs="Times New Roman"/>
          <w:kern w:val="0"/>
          <w:sz w:val="24"/>
          <w:szCs w:val="21"/>
        </w:rPr>
      </w:pPr>
      <w:r>
        <w:rPr>
          <w:rFonts w:hint="eastAsia" w:ascii="宋体" w:hAnsi="宋体" w:eastAsia="宋体" w:cs="Times New Roman"/>
          <w:kern w:val="0"/>
          <w:sz w:val="24"/>
          <w:szCs w:val="21"/>
        </w:rPr>
        <w:t>审批时间：2024年8月</w:t>
      </w:r>
    </w:p>
    <w:p w14:paraId="445C5789">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5B7E2402">
      <w:pPr>
        <w:autoSpaceDE w:val="0"/>
        <w:autoSpaceDN w:val="0"/>
        <w:adjustRightInd w:val="0"/>
        <w:spacing w:line="360" w:lineRule="auto"/>
        <w:ind w:firstLine="6000" w:firstLineChars="2500"/>
        <w:rPr>
          <w:rFonts w:hint="eastAsia" w:ascii="宋体" w:hAnsi="宋体" w:eastAsia="宋体" w:cs="Times New Roman"/>
          <w:kern w:val="0"/>
          <w:sz w:val="24"/>
          <w:szCs w:val="21"/>
          <w:lang w:val="en-US" w:eastAsia="zh-CN"/>
        </w:rPr>
      </w:pPr>
    </w:p>
    <w:p w14:paraId="7D43A2F7">
      <w:pPr>
        <w:pStyle w:val="2"/>
        <w:bidi w:val="0"/>
        <w:rPr>
          <w:lang w:val="en-US" w:eastAsia="zh-CN"/>
        </w:rPr>
      </w:pPr>
      <w:bookmarkStart w:id="455" w:name="_Toc26924"/>
      <w:r>
        <w:rPr>
          <w:rFonts w:hint="eastAsia"/>
          <w:lang w:val="en-US" w:eastAsia="zh-CN"/>
        </w:rPr>
        <w:t>《小学心理学》课程教学大纲</w:t>
      </w:r>
      <w:bookmarkEnd w:id="448"/>
      <w:bookmarkEnd w:id="449"/>
      <w:bookmarkEnd w:id="450"/>
      <w:bookmarkEnd w:id="451"/>
      <w:bookmarkEnd w:id="455"/>
    </w:p>
    <w:p w14:paraId="549ED598">
      <w:pPr>
        <w:pStyle w:val="2"/>
        <w:bidi w:val="0"/>
        <w:rPr>
          <w:lang w:val="en-US" w:eastAsia="zh-CN"/>
        </w:rPr>
      </w:pPr>
      <w:bookmarkStart w:id="456" w:name="_Toc1383"/>
      <w:bookmarkStart w:id="457" w:name="_Toc14550"/>
      <w:bookmarkStart w:id="458" w:name="_Toc24781"/>
      <w:bookmarkStart w:id="459" w:name="_Toc10024"/>
      <w:bookmarkStart w:id="460" w:name="_Toc21007"/>
      <w:bookmarkStart w:id="461" w:name="_Toc20285"/>
      <w:bookmarkStart w:id="462" w:name="_Toc22867"/>
      <w:r>
        <w:rPr>
          <w:lang w:val="en-US" w:eastAsia="zh-CN"/>
        </w:rPr>
        <w:t>（Psychology of Primary Children）</w:t>
      </w:r>
      <w:bookmarkEnd w:id="456"/>
      <w:bookmarkEnd w:id="457"/>
      <w:bookmarkEnd w:id="458"/>
      <w:bookmarkEnd w:id="459"/>
      <w:bookmarkEnd w:id="460"/>
      <w:bookmarkEnd w:id="461"/>
      <w:bookmarkEnd w:id="462"/>
    </w:p>
    <w:p w14:paraId="55DEA0FE">
      <w:pPr>
        <w:spacing w:line="360" w:lineRule="auto"/>
        <w:jc w:val="center"/>
        <w:rPr>
          <w:rFonts w:ascii="Times New Roman" w:hAnsi="Times New Roman" w:eastAsia="黑体" w:cs="Times New Roman"/>
          <w:bCs/>
          <w:sz w:val="30"/>
          <w:szCs w:val="24"/>
        </w:rPr>
      </w:pPr>
    </w:p>
    <w:p w14:paraId="1BEDEAA2">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hint="eastAsia" w:ascii="宋体" w:hAnsi="宋体" w:eastAsia="宋体" w:cs="Times New Roman"/>
          <w:bCs/>
          <w:kern w:val="0"/>
          <w:sz w:val="24"/>
          <w:szCs w:val="24"/>
        </w:rPr>
        <w:t>2401</w:t>
      </w:r>
      <w:r>
        <w:rPr>
          <w:rFonts w:ascii="宋体" w:hAnsi="宋体" w:eastAsia="宋体" w:cs="Times New Roman"/>
          <w:bCs/>
          <w:kern w:val="0"/>
          <w:sz w:val="24"/>
          <w:szCs w:val="24"/>
        </w:rPr>
        <w:t>003</w:t>
      </w:r>
    </w:p>
    <w:p w14:paraId="194C3FB0">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3</w:t>
      </w:r>
    </w:p>
    <w:p w14:paraId="196268ED">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48（其中：讲授学时39</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实验学时9）</w:t>
      </w:r>
    </w:p>
    <w:p w14:paraId="2B13EB21">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先修课程：</w:t>
      </w:r>
      <w:r>
        <w:rPr>
          <w:rFonts w:hint="eastAsia" w:ascii="Times New Roman" w:hAnsi="Times New Roman" w:eastAsia="宋体" w:cs="Times New Roman"/>
          <w:kern w:val="0"/>
          <w:sz w:val="24"/>
          <w:szCs w:val="24"/>
        </w:rPr>
        <w:t>无</w:t>
      </w:r>
    </w:p>
    <w:p w14:paraId="76D9E27C">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hint="eastAsia" w:ascii="Times New Roman" w:hAnsi="Times New Roman" w:eastAsia="宋体" w:cs="Times New Roman"/>
          <w:sz w:val="24"/>
          <w:szCs w:val="24"/>
        </w:rPr>
        <w:t>小学教育（文）、小学教育（理）</w:t>
      </w:r>
      <w:r>
        <w:rPr>
          <w:rFonts w:ascii="Times New Roman" w:hAnsi="Times New Roman" w:eastAsia="黑体" w:cs="Times New Roman"/>
          <w:sz w:val="24"/>
          <w:szCs w:val="24"/>
        </w:rPr>
        <w:t xml:space="preserve">  </w:t>
      </w:r>
      <w:r>
        <w:rPr>
          <w:rFonts w:ascii="Times New Roman" w:hAnsi="Times New Roman" w:eastAsia="宋体" w:cs="Times New Roman"/>
          <w:kern w:val="0"/>
          <w:sz w:val="24"/>
          <w:szCs w:val="24"/>
        </w:rPr>
        <w:t xml:space="preserve"> </w:t>
      </w:r>
    </w:p>
    <w:p w14:paraId="660D4BE7">
      <w:pPr>
        <w:spacing w:line="360" w:lineRule="auto"/>
        <w:ind w:firstLine="480" w:firstLineChars="200"/>
        <w:rPr>
          <w:rFonts w:ascii="Times New Roman" w:hAnsi="Times New Roman" w:eastAsia="宋体" w:cs="Times New Roman"/>
          <w:kern w:val="0"/>
          <w:sz w:val="24"/>
          <w:szCs w:val="24"/>
        </w:rPr>
      </w:pPr>
    </w:p>
    <w:p w14:paraId="3B846132">
      <w:pPr>
        <w:spacing w:line="360" w:lineRule="auto"/>
        <w:ind w:left="480"/>
        <w:outlineLvl w:val="0"/>
        <w:rPr>
          <w:rFonts w:ascii="Times New Roman" w:hAnsi="Times New Roman" w:eastAsia="宋体" w:cs="Times New Roman"/>
          <w:b/>
          <w:bCs/>
          <w:kern w:val="0"/>
          <w:sz w:val="24"/>
          <w:szCs w:val="24"/>
        </w:rPr>
      </w:pPr>
      <w:bookmarkStart w:id="463" w:name="_Toc19112"/>
      <w:bookmarkStart w:id="464" w:name="_Toc964"/>
      <w:bookmarkStart w:id="465" w:name="_Toc9989"/>
      <w:bookmarkStart w:id="466" w:name="_Toc337"/>
      <w:bookmarkStart w:id="467" w:name="_Toc2424"/>
      <w:bookmarkStart w:id="468" w:name="_Toc26394"/>
      <w:bookmarkStart w:id="469" w:name="_Toc29717"/>
      <w:r>
        <w:rPr>
          <w:rFonts w:hint="eastAsia" w:ascii="Times New Roman" w:hAnsi="Times New Roman" w:eastAsia="宋体" w:cs="Times New Roman"/>
          <w:b/>
          <w:bCs/>
          <w:kern w:val="0"/>
          <w:sz w:val="24"/>
          <w:szCs w:val="24"/>
        </w:rPr>
        <w:t>一、课程简介</w:t>
      </w:r>
      <w:bookmarkEnd w:id="463"/>
      <w:bookmarkEnd w:id="464"/>
      <w:bookmarkEnd w:id="465"/>
      <w:bookmarkEnd w:id="466"/>
      <w:bookmarkEnd w:id="467"/>
      <w:bookmarkEnd w:id="468"/>
      <w:bookmarkEnd w:id="469"/>
    </w:p>
    <w:p w14:paraId="27E6DF5A">
      <w:pPr>
        <w:spacing w:line="360" w:lineRule="auto"/>
        <w:ind w:left="480"/>
        <w:rPr>
          <w:rFonts w:ascii="Times New Roman" w:hAnsi="Times New Roman" w:eastAsia="宋体" w:cs="Times New Roman"/>
          <w:kern w:val="0"/>
          <w:sz w:val="24"/>
          <w:szCs w:val="24"/>
        </w:rPr>
      </w:pPr>
      <w:r>
        <w:rPr>
          <w:rFonts w:hint="eastAsia" w:ascii="Times New Roman" w:hAnsi="Times New Roman" w:eastAsia="宋体" w:cs="Times New Roman"/>
          <w:kern w:val="0"/>
          <w:szCs w:val="21"/>
        </w:rPr>
        <w:t xml:space="preserve">    本课程是小学教育的专业基础必修课，课程内容包括心理学基础和发展心理学的基本观点、心理学的研究方法，以及儿童认知、情感、意志、人格、道德等各个领域发展的基本规律和理论，和对小学儿童教育的建议。通过本课程的学习，学生要了解心理学的基本概念和理论框架，形成小学生心理发展的基本理念，一方面，掌握人类心理和行为的基本规律，并运用能心理学的基础知识，描述、解释小学儿童的心理特点，有效地指导今后的教育教学工作；另一方面，全面提升教师心理素质，养成健全人格，提高教育教学素养。本课程是后续教师教育类课程的先修课程。</w:t>
      </w:r>
      <w:r>
        <w:rPr>
          <w:rFonts w:ascii="Times New Roman" w:hAnsi="Times New Roman" w:eastAsia="宋体" w:cs="Times New Roman"/>
          <w:kern w:val="0"/>
          <w:sz w:val="24"/>
          <w:szCs w:val="24"/>
        </w:rPr>
        <w:t xml:space="preserve">                         </w:t>
      </w:r>
    </w:p>
    <w:p w14:paraId="7ACD5362">
      <w:pPr>
        <w:spacing w:line="360" w:lineRule="auto"/>
        <w:ind w:firstLine="562" w:firstLineChars="200"/>
        <w:outlineLvl w:val="0"/>
        <w:rPr>
          <w:rFonts w:ascii="Times New Roman" w:hAnsi="Times New Roman" w:eastAsia="宋体" w:cs="Times New Roman"/>
          <w:b/>
          <w:sz w:val="28"/>
          <w:szCs w:val="28"/>
        </w:rPr>
      </w:pPr>
      <w:bookmarkStart w:id="470" w:name="_Toc21219"/>
      <w:bookmarkStart w:id="471" w:name="_Toc23355"/>
      <w:bookmarkStart w:id="472" w:name="_Toc17206"/>
      <w:bookmarkStart w:id="473" w:name="_Toc27153"/>
      <w:bookmarkStart w:id="474" w:name="_Toc13351"/>
      <w:bookmarkStart w:id="475" w:name="_Toc29074"/>
      <w:bookmarkStart w:id="476" w:name="_Toc28942"/>
      <w:r>
        <w:rPr>
          <w:rFonts w:hint="eastAsia" w:ascii="Times New Roman" w:hAnsi="Times New Roman" w:eastAsia="宋体" w:cs="Times New Roman"/>
          <w:b/>
          <w:sz w:val="28"/>
          <w:szCs w:val="28"/>
        </w:rPr>
        <w:t>二</w:t>
      </w:r>
      <w:r>
        <w:rPr>
          <w:rFonts w:ascii="Times New Roman" w:hAnsi="Times New Roman" w:eastAsia="宋体" w:cs="Times New Roman"/>
          <w:b/>
          <w:sz w:val="28"/>
          <w:szCs w:val="28"/>
        </w:rPr>
        <w:t>、课程目标</w:t>
      </w:r>
      <w:bookmarkEnd w:id="470"/>
      <w:bookmarkEnd w:id="471"/>
      <w:bookmarkEnd w:id="472"/>
      <w:bookmarkEnd w:id="473"/>
      <w:bookmarkEnd w:id="474"/>
      <w:bookmarkEnd w:id="475"/>
      <w:bookmarkEnd w:id="476"/>
    </w:p>
    <w:p w14:paraId="6DC16A25">
      <w:pPr>
        <w:spacing w:line="360" w:lineRule="auto"/>
        <w:ind w:firstLine="482" w:firstLineChars="200"/>
        <w:outlineLvl w:val="1"/>
        <w:rPr>
          <w:rFonts w:ascii="Times New Roman" w:hAnsi="Times New Roman" w:eastAsia="宋体" w:cs="Times New Roman"/>
          <w:b/>
          <w:sz w:val="24"/>
          <w:szCs w:val="28"/>
        </w:rPr>
      </w:pPr>
      <w:bookmarkStart w:id="477" w:name="_Toc24074"/>
      <w:r>
        <w:rPr>
          <w:rFonts w:hint="eastAsia" w:ascii="Times New Roman" w:hAnsi="Times New Roman" w:eastAsia="宋体" w:cs="Times New Roman"/>
          <w:b/>
          <w:sz w:val="24"/>
          <w:szCs w:val="28"/>
        </w:rPr>
        <w:t>（一）课程具体目标</w:t>
      </w:r>
      <w:bookmarkEnd w:id="477"/>
    </w:p>
    <w:p w14:paraId="1AF7A1AF">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目标1.了解心理学的学科特点，掌握心理学的研究方法，心理现象的基本构成和主要特点，能结合实际分析心理的心理过程和个性的心理的特征，具有科学思维，形成科学的儿童观和教育观。</w:t>
      </w:r>
    </w:p>
    <w:p w14:paraId="381230F2">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目标2.理解不同年龄的小学儿童身心发展特点和规律，掌握小学生心理发展的特征，学会分析影响小学儿童身心发展的因素，初步学会培养小学儿童健康发展的方法。</w:t>
      </w:r>
    </w:p>
    <w:p w14:paraId="4E397DBF">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目标3.形成科学的儿童发展观，初步具有现代儿童教育理念，初步掌握保护和促进小学儿童身心健康发展的策略和方法。</w:t>
      </w:r>
    </w:p>
    <w:p w14:paraId="3C76D719">
      <w:pPr>
        <w:spacing w:line="360" w:lineRule="auto"/>
        <w:ind w:firstLine="482"/>
        <w:jc w:val="left"/>
        <w:rPr>
          <w:rFonts w:ascii="Times New Roman" w:hAnsi="Times New Roman" w:eastAsia="宋体" w:cs="Times New Roman"/>
          <w:szCs w:val="21"/>
        </w:rPr>
      </w:pPr>
    </w:p>
    <w:p w14:paraId="749FFCA7">
      <w:pPr>
        <w:spacing w:before="156" w:beforeLines="50" w:after="156" w:afterLines="50" w:line="360" w:lineRule="auto"/>
        <w:jc w:val="left"/>
        <w:outlineLvl w:val="1"/>
        <w:rPr>
          <w:rFonts w:ascii="Times New Roman" w:hAnsi="Times New Roman" w:eastAsia="宋体" w:cs="Times New Roman"/>
          <w:b/>
          <w:bCs/>
          <w:szCs w:val="21"/>
        </w:rPr>
      </w:pPr>
      <w:bookmarkStart w:id="478" w:name="_Toc31291"/>
      <w:r>
        <w:rPr>
          <w:rFonts w:hint="eastAsia" w:ascii="Times New Roman" w:hAnsi="Times New Roman" w:eastAsia="宋体" w:cs="Times New Roman"/>
          <w:b/>
          <w:bCs/>
          <w:szCs w:val="21"/>
        </w:rPr>
        <w:t>（二）课程目标及其对毕业要求指标点的支撑</w:t>
      </w:r>
      <w:bookmarkEnd w:id="478"/>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E43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8813DE7">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485CF8F7">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40A34D87">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4D8B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09F2CF8">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毕业要求5学生管理</w:t>
            </w:r>
          </w:p>
        </w:tc>
        <w:tc>
          <w:tcPr>
            <w:tcW w:w="5688" w:type="dxa"/>
            <w:vAlign w:val="center"/>
          </w:tcPr>
          <w:p w14:paraId="083111B3">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36F8683C">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w:t>
            </w:r>
          </w:p>
          <w:p w14:paraId="3D90CBBC">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r w14:paraId="499F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56F800A">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毕业要求6综合育人</w:t>
            </w:r>
          </w:p>
        </w:tc>
        <w:tc>
          <w:tcPr>
            <w:tcW w:w="5688" w:type="dxa"/>
            <w:vAlign w:val="center"/>
          </w:tcPr>
          <w:p w14:paraId="36164A35">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指标点6-1：【遵循身心规律】了解不同年龄以及有特殊需要的小学生的身心发展特点和规律、不同年龄小学生学习的特点，掌握小学生良好行为习惯养成的知识。</w:t>
            </w:r>
          </w:p>
        </w:tc>
        <w:tc>
          <w:tcPr>
            <w:tcW w:w="1191" w:type="dxa"/>
            <w:vAlign w:val="center"/>
          </w:tcPr>
          <w:p w14:paraId="4FA2CC46">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课程目标2</w:t>
            </w:r>
          </w:p>
        </w:tc>
      </w:tr>
    </w:tbl>
    <w:p w14:paraId="6AF24216">
      <w:pPr>
        <w:spacing w:before="156" w:beforeLines="50" w:line="360" w:lineRule="auto"/>
        <w:jc w:val="left"/>
        <w:outlineLvl w:val="1"/>
        <w:rPr>
          <w:rFonts w:hint="eastAsia" w:ascii="宋体" w:hAnsi="宋体" w:eastAsia="宋体" w:cs="Times New Roman"/>
          <w:b/>
          <w:color w:val="000000"/>
          <w:szCs w:val="21"/>
        </w:rPr>
      </w:pPr>
      <w:bookmarkStart w:id="479" w:name="_Toc12581"/>
      <w:r>
        <w:rPr>
          <w:rFonts w:hint="eastAsia" w:ascii="宋体" w:hAnsi="宋体" w:eastAsia="宋体" w:cs="Times New Roman"/>
          <w:b/>
          <w:color w:val="000000"/>
          <w:szCs w:val="21"/>
        </w:rPr>
        <w:t>（三）课程思政目标</w:t>
      </w:r>
      <w:bookmarkEnd w:id="479"/>
    </w:p>
    <w:p w14:paraId="12DBD30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学生在扎实掌握小学心理学学科知识体系、思想与方法的基础上，践行社会主义核心价值观，认同中国特色社会主义，贯彻党的教育方针，以立德树人为己任，认同教师工作的意义和专业性，形成科学的儿童观，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40E5FB2">
      <w:pPr>
        <w:spacing w:line="360" w:lineRule="auto"/>
        <w:ind w:firstLine="562" w:firstLineChars="200"/>
        <w:rPr>
          <w:rFonts w:ascii="Times New Roman" w:hAnsi="Times New Roman" w:eastAsia="宋体" w:cs="Times New Roman"/>
          <w:b/>
          <w:sz w:val="28"/>
          <w:szCs w:val="28"/>
        </w:rPr>
      </w:pPr>
    </w:p>
    <w:p w14:paraId="01B1F3B2">
      <w:pPr>
        <w:spacing w:line="360" w:lineRule="auto"/>
        <w:jc w:val="left"/>
        <w:outlineLvl w:val="0"/>
        <w:rPr>
          <w:rFonts w:hint="eastAsia" w:ascii="宋体" w:hAnsi="宋体" w:eastAsia="宋体" w:cs="Times New Roman"/>
          <w:b/>
          <w:color w:val="000000"/>
          <w:sz w:val="24"/>
          <w:szCs w:val="24"/>
        </w:rPr>
      </w:pPr>
      <w:bookmarkStart w:id="480" w:name="_Toc30018"/>
      <w:bookmarkStart w:id="481" w:name="_Toc21185"/>
      <w:bookmarkStart w:id="482" w:name="_Toc3138"/>
      <w:bookmarkStart w:id="483" w:name="_Toc26539"/>
      <w:bookmarkStart w:id="484" w:name="_Toc6146"/>
      <w:bookmarkStart w:id="485" w:name="_Toc23713"/>
      <w:bookmarkStart w:id="486" w:name="_Toc26140"/>
      <w:r>
        <w:rPr>
          <w:rFonts w:hint="eastAsia" w:ascii="宋体" w:hAnsi="宋体" w:eastAsia="宋体" w:cs="Times New Roman"/>
          <w:b/>
          <w:color w:val="000000"/>
          <w:sz w:val="24"/>
          <w:szCs w:val="24"/>
        </w:rPr>
        <w:t>三、教学内容与预期学习成效</w:t>
      </w:r>
      <w:bookmarkEnd w:id="480"/>
      <w:bookmarkEnd w:id="481"/>
      <w:bookmarkEnd w:id="482"/>
      <w:bookmarkEnd w:id="483"/>
      <w:bookmarkEnd w:id="484"/>
      <w:bookmarkEnd w:id="485"/>
      <w:bookmarkEnd w:id="486"/>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769"/>
        <w:gridCol w:w="1050"/>
        <w:gridCol w:w="18"/>
        <w:gridCol w:w="3261"/>
        <w:gridCol w:w="1560"/>
        <w:gridCol w:w="438"/>
      </w:tblGrid>
      <w:tr w14:paraId="7D5B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Align w:val="center"/>
          </w:tcPr>
          <w:p w14:paraId="0692ED77">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305D6A36">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69" w:type="dxa"/>
            <w:vAlign w:val="center"/>
          </w:tcPr>
          <w:p w14:paraId="57FEDC17">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068" w:type="dxa"/>
            <w:gridSpan w:val="2"/>
            <w:vAlign w:val="center"/>
          </w:tcPr>
          <w:p w14:paraId="00F07DC6">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26573026">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1" w:type="dxa"/>
            <w:vAlign w:val="center"/>
          </w:tcPr>
          <w:p w14:paraId="0CE8EB48">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0" w:type="dxa"/>
            <w:vAlign w:val="center"/>
          </w:tcPr>
          <w:p w14:paraId="3A86BE5F">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实践环节</w:t>
            </w:r>
          </w:p>
        </w:tc>
        <w:tc>
          <w:tcPr>
            <w:tcW w:w="438" w:type="dxa"/>
            <w:vAlign w:val="center"/>
          </w:tcPr>
          <w:p w14:paraId="480B80FD">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57ED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CB2DA9D">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1．绪论</w:t>
            </w:r>
          </w:p>
        </w:tc>
        <w:tc>
          <w:tcPr>
            <w:tcW w:w="1769" w:type="dxa"/>
            <w:vAlign w:val="center"/>
          </w:tcPr>
          <w:p w14:paraId="32FAE56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1.心理学与心理现象</w:t>
            </w:r>
          </w:p>
          <w:p w14:paraId="422B2A0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2.小学儿童的发展</w:t>
            </w:r>
          </w:p>
          <w:p w14:paraId="3A0CE40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3.小学心理学的研究内容与方法</w:t>
            </w:r>
          </w:p>
        </w:tc>
        <w:tc>
          <w:tcPr>
            <w:tcW w:w="1068" w:type="dxa"/>
            <w:gridSpan w:val="2"/>
            <w:vAlign w:val="center"/>
          </w:tcPr>
          <w:p w14:paraId="56B7255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tc>
        <w:tc>
          <w:tcPr>
            <w:tcW w:w="3261" w:type="dxa"/>
            <w:vAlign w:val="center"/>
          </w:tcPr>
          <w:p w14:paraId="50322E8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1.了解心理学的研究对象，正确理解心理的实质</w:t>
            </w:r>
          </w:p>
          <w:p w14:paraId="12D2329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2.掌握发展的一般概念，理解儿童发展的年龄特征</w:t>
            </w:r>
          </w:p>
          <w:p w14:paraId="4BED96C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3.了解小学心理学的研究内容和研究方法，知道心理学的主要流派</w:t>
            </w:r>
          </w:p>
        </w:tc>
        <w:tc>
          <w:tcPr>
            <w:tcW w:w="1560" w:type="dxa"/>
            <w:vAlign w:val="center"/>
          </w:tcPr>
          <w:p w14:paraId="2D88747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1CF09A3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3CD1BF2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tc>
        <w:tc>
          <w:tcPr>
            <w:tcW w:w="438" w:type="dxa"/>
            <w:vAlign w:val="center"/>
          </w:tcPr>
          <w:p w14:paraId="5D77AD6E">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6</w:t>
            </w:r>
          </w:p>
        </w:tc>
      </w:tr>
      <w:tr w14:paraId="7521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5FA12DF">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3C61719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bCs/>
                <w:color w:val="000000"/>
                <w:kern w:val="0"/>
                <w:sz w:val="20"/>
                <w:szCs w:val="21"/>
              </w:rPr>
              <w:t>在充分了解心理学的学科特点和小学心理学的学习内容的基础上，</w:t>
            </w:r>
            <w:r>
              <w:rPr>
                <w:rFonts w:hint="eastAsia" w:ascii="宋体" w:hAnsi="宋体" w:eastAsia="宋体" w:cs="Times New Roman"/>
                <w:color w:val="000000"/>
                <w:kern w:val="0"/>
                <w:sz w:val="20"/>
                <w:szCs w:val="21"/>
              </w:rPr>
              <w:t>形成初步的科学的儿童观，具备基本的发展观，对师范生的学习生涯产生较大的兴趣，同时形成科学的人生观和自我发展意识。</w:t>
            </w:r>
          </w:p>
        </w:tc>
      </w:tr>
      <w:tr w14:paraId="5773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43AF5A10">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2．小学儿童的注意</w:t>
            </w:r>
          </w:p>
        </w:tc>
        <w:tc>
          <w:tcPr>
            <w:tcW w:w="1769" w:type="dxa"/>
            <w:vAlign w:val="center"/>
          </w:tcPr>
          <w:p w14:paraId="3486326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1.注意的概述</w:t>
            </w:r>
          </w:p>
          <w:p w14:paraId="1F27E75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2.小学儿童的注意</w:t>
            </w:r>
          </w:p>
        </w:tc>
        <w:tc>
          <w:tcPr>
            <w:tcW w:w="1068" w:type="dxa"/>
            <w:gridSpan w:val="2"/>
            <w:vAlign w:val="center"/>
          </w:tcPr>
          <w:p w14:paraId="0FC828FE">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4956AEC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（1）正确理解注意的含义、注意与其他心理过程的关系，注意的外部表现，注意的种类，注意的品质</w:t>
            </w:r>
          </w:p>
          <w:p w14:paraId="5304E6E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（2）理解三种注意之间的关系，掌握引起无意注意、有意注意的条件；小学儿童注意发展的一般特点</w:t>
            </w:r>
          </w:p>
          <w:p w14:paraId="06D72AC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（3）学会培养小学儿童良好注意品质；初步具有在教学的各个阶段恰当组织学生注意，提高课堂效果的能力</w:t>
            </w:r>
            <w:r>
              <w:rPr>
                <w:rFonts w:ascii="宋体" w:hAnsi="宋体" w:eastAsia="宋体" w:cs="Times New Roman"/>
                <w:color w:val="000000"/>
                <w:kern w:val="0"/>
                <w:sz w:val="20"/>
                <w:szCs w:val="21"/>
              </w:rPr>
              <w:t>。</w:t>
            </w:r>
          </w:p>
        </w:tc>
        <w:tc>
          <w:tcPr>
            <w:tcW w:w="1560" w:type="dxa"/>
            <w:vAlign w:val="center"/>
          </w:tcPr>
          <w:p w14:paraId="13E4AF0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34F3EF6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480A3246">
            <w:pPr>
              <w:spacing w:line="269"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p w14:paraId="14B3621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5.划消实验</w:t>
            </w:r>
          </w:p>
        </w:tc>
        <w:tc>
          <w:tcPr>
            <w:tcW w:w="438" w:type="dxa"/>
            <w:vAlign w:val="center"/>
          </w:tcPr>
          <w:p w14:paraId="4944EC94">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w:t>
            </w:r>
          </w:p>
        </w:tc>
      </w:tr>
      <w:tr w14:paraId="652E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1FAA2281">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17A2D49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6468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2B7B7B8A">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 小学儿童的感知觉</w:t>
            </w:r>
          </w:p>
        </w:tc>
        <w:tc>
          <w:tcPr>
            <w:tcW w:w="1769" w:type="dxa"/>
            <w:vAlign w:val="center"/>
          </w:tcPr>
          <w:p w14:paraId="264718E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1.感知觉概述</w:t>
            </w:r>
          </w:p>
          <w:p w14:paraId="30D9DF1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2.小学儿童的感知觉</w:t>
            </w:r>
          </w:p>
        </w:tc>
        <w:tc>
          <w:tcPr>
            <w:tcW w:w="1068" w:type="dxa"/>
            <w:gridSpan w:val="2"/>
            <w:vAlign w:val="center"/>
          </w:tcPr>
          <w:p w14:paraId="38E070C8">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6E9BCFD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1.了解感觉和知觉的类型、理解感觉和知觉的概念</w:t>
            </w:r>
          </w:p>
          <w:p w14:paraId="524F7E8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2.掌握感觉的基本规律、知觉的特性，小学儿童感知觉发展的特点</w:t>
            </w:r>
          </w:p>
          <w:p w14:paraId="492D3CA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3.正确把握感受性与感觉阈限的关系，懂得如何促进小学儿童观察力的发展</w:t>
            </w:r>
          </w:p>
          <w:p w14:paraId="22C9080F">
            <w:pPr>
              <w:spacing w:line="269" w:lineRule="auto"/>
              <w:jc w:val="left"/>
              <w:rPr>
                <w:rFonts w:hint="eastAsia" w:ascii="宋体" w:hAnsi="宋体" w:eastAsia="宋体" w:cs="Times New Roman"/>
                <w:color w:val="000000"/>
                <w:kern w:val="0"/>
                <w:sz w:val="20"/>
                <w:szCs w:val="21"/>
              </w:rPr>
            </w:pPr>
          </w:p>
        </w:tc>
        <w:tc>
          <w:tcPr>
            <w:tcW w:w="1560" w:type="dxa"/>
            <w:vAlign w:val="center"/>
          </w:tcPr>
          <w:p w14:paraId="4B25CB2E">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66739DBC">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325D1ACA">
            <w:pPr>
              <w:spacing w:line="269" w:lineRule="auto"/>
              <w:jc w:val="left"/>
              <w:rPr>
                <w:rFonts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p w14:paraId="339526B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5.简单反应时实验</w:t>
            </w:r>
          </w:p>
        </w:tc>
        <w:tc>
          <w:tcPr>
            <w:tcW w:w="438" w:type="dxa"/>
            <w:vAlign w:val="center"/>
          </w:tcPr>
          <w:p w14:paraId="34EC0C9B">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p>
        </w:tc>
      </w:tr>
      <w:tr w14:paraId="251E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0C355F4F">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09D9D51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49DD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3DD123B5">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4.小学儿童的记忆</w:t>
            </w:r>
          </w:p>
        </w:tc>
        <w:tc>
          <w:tcPr>
            <w:tcW w:w="1769" w:type="dxa"/>
            <w:vAlign w:val="center"/>
          </w:tcPr>
          <w:p w14:paraId="3B655EB7">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1.记忆概述</w:t>
            </w:r>
          </w:p>
          <w:p w14:paraId="5D4C6DDF">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2.小学儿童的记忆</w:t>
            </w:r>
          </w:p>
        </w:tc>
        <w:tc>
          <w:tcPr>
            <w:tcW w:w="1068" w:type="dxa"/>
            <w:gridSpan w:val="2"/>
            <w:vAlign w:val="center"/>
          </w:tcPr>
          <w:p w14:paraId="6D549349">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6F7270E8">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1.了解记忆的含义，记忆的分类，记忆的品质；理解影响遗忘的因素，三种记忆的相互关系</w:t>
            </w:r>
          </w:p>
          <w:p w14:paraId="2D9241EC">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2.掌握遗忘的规律，小学儿童记忆发展的特点</w:t>
            </w:r>
          </w:p>
          <w:p w14:paraId="68B326E7">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3.学会有效运用增进记忆的方法，懂得小学儿童良好记忆策略的方法</w:t>
            </w:r>
          </w:p>
        </w:tc>
        <w:tc>
          <w:tcPr>
            <w:tcW w:w="1560" w:type="dxa"/>
            <w:vAlign w:val="center"/>
          </w:tcPr>
          <w:p w14:paraId="45EA2B32">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4CD763E8">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541DB3FC">
            <w:pPr>
              <w:spacing w:line="276" w:lineRule="auto"/>
              <w:jc w:val="left"/>
              <w:rPr>
                <w:rFonts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p w14:paraId="41E3269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5.记忆实验</w:t>
            </w:r>
          </w:p>
        </w:tc>
        <w:tc>
          <w:tcPr>
            <w:tcW w:w="438" w:type="dxa"/>
            <w:vAlign w:val="center"/>
          </w:tcPr>
          <w:p w14:paraId="790C0E18">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p>
        </w:tc>
      </w:tr>
      <w:tr w14:paraId="3821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471F3A9">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3F3AD1BB">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0665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45851CC9">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5.小学儿童的言语</w:t>
            </w:r>
          </w:p>
        </w:tc>
        <w:tc>
          <w:tcPr>
            <w:tcW w:w="1769" w:type="dxa"/>
            <w:vAlign w:val="center"/>
          </w:tcPr>
          <w:p w14:paraId="2789A1DC">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1.言语概述</w:t>
            </w:r>
          </w:p>
          <w:p w14:paraId="7F0AE2AA">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2.小学儿童的言语</w:t>
            </w:r>
          </w:p>
        </w:tc>
        <w:tc>
          <w:tcPr>
            <w:tcW w:w="1068" w:type="dxa"/>
            <w:gridSpan w:val="2"/>
            <w:vAlign w:val="center"/>
          </w:tcPr>
          <w:p w14:paraId="11EBCBEF">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1E77C75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 xml:space="preserve"> </w:t>
            </w:r>
            <w:r>
              <w:rPr>
                <w:rFonts w:hint="eastAsia" w:ascii="宋体" w:hAnsi="宋体" w:eastAsia="宋体" w:cs="Times New Roman"/>
                <w:color w:val="000000"/>
                <w:kern w:val="0"/>
                <w:sz w:val="20"/>
                <w:szCs w:val="21"/>
              </w:rPr>
              <w:t>理解言语的概念及特征，了解言语和语言的关系，言语的分类</w:t>
            </w:r>
          </w:p>
          <w:p w14:paraId="431C8671">
            <w:pPr>
              <w:spacing w:line="276"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2.掌握小学儿童言语发展的特点，懂得小学儿童言语能力培养的心理基础</w:t>
            </w:r>
          </w:p>
          <w:p w14:paraId="654A0FB6">
            <w:pPr>
              <w:spacing w:line="276" w:lineRule="auto"/>
              <w:jc w:val="left"/>
              <w:rPr>
                <w:rFonts w:hint="eastAsia" w:ascii="宋体" w:hAnsi="宋体" w:eastAsia="宋体" w:cs="Times New Roman"/>
                <w:color w:val="000000"/>
                <w:kern w:val="0"/>
                <w:sz w:val="20"/>
                <w:szCs w:val="21"/>
              </w:rPr>
            </w:pPr>
          </w:p>
        </w:tc>
        <w:tc>
          <w:tcPr>
            <w:tcW w:w="1560" w:type="dxa"/>
            <w:vAlign w:val="center"/>
          </w:tcPr>
          <w:p w14:paraId="17B58F87">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10C6FE00">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47FBBF64">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074FF75D">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1724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4D0F7050">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4697E1C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1B5C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29879176">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6.小学儿童的想象</w:t>
            </w:r>
          </w:p>
        </w:tc>
        <w:tc>
          <w:tcPr>
            <w:tcW w:w="1769" w:type="dxa"/>
            <w:vAlign w:val="center"/>
          </w:tcPr>
          <w:p w14:paraId="1185D7B9">
            <w:pPr>
              <w:spacing w:line="276"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1.想象概述</w:t>
            </w:r>
          </w:p>
          <w:p w14:paraId="394B0AF4">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2.小学儿童的想象</w:t>
            </w:r>
          </w:p>
        </w:tc>
        <w:tc>
          <w:tcPr>
            <w:tcW w:w="1068" w:type="dxa"/>
            <w:gridSpan w:val="2"/>
            <w:vAlign w:val="center"/>
          </w:tcPr>
          <w:p w14:paraId="21B79D6D">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7EA6F1A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1.理解表象、想象概念，了解想象的种类、想象与记忆、思维的关系</w:t>
            </w:r>
          </w:p>
          <w:p w14:paraId="5457C4E9">
            <w:pPr>
              <w:spacing w:line="276"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2.掌握小学儿童想象发展的特点，懂得小学生想象力、创造性思维能力的培养的方法</w:t>
            </w:r>
          </w:p>
          <w:p w14:paraId="233215AA">
            <w:pPr>
              <w:spacing w:line="276" w:lineRule="auto"/>
              <w:jc w:val="left"/>
              <w:rPr>
                <w:rFonts w:hint="eastAsia" w:ascii="宋体" w:hAnsi="宋体" w:eastAsia="宋体" w:cs="Times New Roman"/>
                <w:color w:val="000000"/>
                <w:kern w:val="0"/>
                <w:sz w:val="20"/>
                <w:szCs w:val="21"/>
              </w:rPr>
            </w:pPr>
          </w:p>
        </w:tc>
        <w:tc>
          <w:tcPr>
            <w:tcW w:w="1560" w:type="dxa"/>
            <w:vAlign w:val="center"/>
          </w:tcPr>
          <w:p w14:paraId="32455F08">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5CC368E5">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045BEA2B">
            <w:pPr>
              <w:spacing w:line="276" w:lineRule="auto"/>
              <w:jc w:val="left"/>
              <w:rPr>
                <w:rFonts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p w14:paraId="4241B841">
            <w:pPr>
              <w:spacing w:line="276" w:lineRule="auto"/>
              <w:jc w:val="left"/>
              <w:rPr>
                <w:rFonts w:hint="eastAsia" w:ascii="宋体" w:hAnsi="宋体" w:eastAsia="宋体" w:cs="Times New Roman"/>
                <w:color w:val="000000"/>
                <w:kern w:val="0"/>
                <w:sz w:val="20"/>
                <w:szCs w:val="21"/>
              </w:rPr>
            </w:pPr>
          </w:p>
        </w:tc>
        <w:tc>
          <w:tcPr>
            <w:tcW w:w="438" w:type="dxa"/>
            <w:vAlign w:val="center"/>
          </w:tcPr>
          <w:p w14:paraId="4D59C84B">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3376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2B308F3">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0222EF3D">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458E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4E536995">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7.小学儿童的思维</w:t>
            </w:r>
          </w:p>
        </w:tc>
        <w:tc>
          <w:tcPr>
            <w:tcW w:w="1769" w:type="dxa"/>
            <w:vAlign w:val="center"/>
          </w:tcPr>
          <w:p w14:paraId="7FC290C8">
            <w:pPr>
              <w:spacing w:line="276" w:lineRule="auto"/>
              <w:jc w:val="left"/>
              <w:rPr>
                <w:rFonts w:ascii="宋体" w:hAnsi="宋体" w:eastAsia="宋体" w:cs="Times New Roman"/>
                <w:kern w:val="0"/>
                <w:sz w:val="20"/>
                <w:szCs w:val="21"/>
              </w:rPr>
            </w:pPr>
            <w:r>
              <w:rPr>
                <w:rFonts w:hint="eastAsia" w:ascii="宋体" w:hAnsi="宋体" w:eastAsia="宋体" w:cs="Times New Roman"/>
                <w:kern w:val="0"/>
                <w:sz w:val="20"/>
                <w:szCs w:val="21"/>
              </w:rPr>
              <w:t>1，思维概述</w:t>
            </w:r>
          </w:p>
          <w:p w14:paraId="48085A24">
            <w:pPr>
              <w:spacing w:line="276"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2.小学儿童的思维发展</w:t>
            </w:r>
          </w:p>
        </w:tc>
        <w:tc>
          <w:tcPr>
            <w:tcW w:w="1068" w:type="dxa"/>
            <w:gridSpan w:val="2"/>
            <w:vAlign w:val="center"/>
          </w:tcPr>
          <w:p w14:paraId="292DA621">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tc>
        <w:tc>
          <w:tcPr>
            <w:tcW w:w="3261" w:type="dxa"/>
            <w:vAlign w:val="center"/>
          </w:tcPr>
          <w:p w14:paraId="662B7AFB">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1.理解思维的概念，思维的类型和品质</w:t>
            </w:r>
          </w:p>
          <w:p w14:paraId="2147A09A">
            <w:pPr>
              <w:spacing w:line="276"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2.了解思维的过程和形式，掌握小学儿童思维发展的特点，懂得小学生创造性思维能力的培养的方法</w:t>
            </w:r>
          </w:p>
          <w:p w14:paraId="280FD95C">
            <w:pPr>
              <w:spacing w:line="276" w:lineRule="auto"/>
              <w:jc w:val="left"/>
              <w:rPr>
                <w:rFonts w:hint="eastAsia" w:ascii="宋体" w:hAnsi="宋体" w:eastAsia="宋体" w:cs="Times New Roman"/>
                <w:color w:val="000000"/>
                <w:kern w:val="0"/>
                <w:sz w:val="20"/>
                <w:szCs w:val="21"/>
              </w:rPr>
            </w:pPr>
          </w:p>
        </w:tc>
        <w:tc>
          <w:tcPr>
            <w:tcW w:w="1560" w:type="dxa"/>
            <w:vAlign w:val="center"/>
          </w:tcPr>
          <w:p w14:paraId="3DE4CA9B">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5D091C05">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3EC35EBA">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209DFE43">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p>
        </w:tc>
      </w:tr>
      <w:tr w14:paraId="5DBF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30F9D096">
            <w:pPr>
              <w:spacing w:line="276" w:lineRule="auto"/>
              <w:jc w:val="center"/>
              <w:rPr>
                <w:rFonts w:hint="eastAsia" w:ascii="宋体" w:hAnsi="宋体" w:eastAsia="宋体" w:cs="Times New Roman"/>
                <w:color w:val="000000"/>
                <w:kern w:val="0"/>
                <w:sz w:val="20"/>
                <w:szCs w:val="21"/>
              </w:rPr>
            </w:pPr>
          </w:p>
        </w:tc>
        <w:tc>
          <w:tcPr>
            <w:tcW w:w="8096" w:type="dxa"/>
            <w:gridSpan w:val="6"/>
            <w:vAlign w:val="center"/>
          </w:tcPr>
          <w:p w14:paraId="342FD3B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7680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3CFC04E0">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8.小学儿童的情绪和情感</w:t>
            </w:r>
          </w:p>
        </w:tc>
        <w:tc>
          <w:tcPr>
            <w:tcW w:w="1769" w:type="dxa"/>
            <w:vAlign w:val="center"/>
          </w:tcPr>
          <w:p w14:paraId="638B3A36">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1.情绪、情感概述</w:t>
            </w:r>
          </w:p>
          <w:p w14:paraId="73ABA057">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2.小学儿童的情绪与情感</w:t>
            </w:r>
          </w:p>
        </w:tc>
        <w:tc>
          <w:tcPr>
            <w:tcW w:w="1068" w:type="dxa"/>
            <w:gridSpan w:val="2"/>
            <w:vAlign w:val="center"/>
          </w:tcPr>
          <w:p w14:paraId="4B041F9A">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2F04B834">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1.理解情绪、情感的概念，了解情绪与情感的关系以及情感过程与认识过程的关系，情绪情感的功能及分类</w:t>
            </w:r>
          </w:p>
          <w:p w14:paraId="760D90DB">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2.掌握小学儿童情绪情感发展的特点，懂得如何培养小学儿童的情感</w:t>
            </w:r>
          </w:p>
        </w:tc>
        <w:tc>
          <w:tcPr>
            <w:tcW w:w="1560" w:type="dxa"/>
            <w:vAlign w:val="center"/>
          </w:tcPr>
          <w:p w14:paraId="148DF656">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2B35CC79">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3685710C">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13241620">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067F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7C07A62">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1C053BF4">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468C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0AE3118">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9.小学儿童的意志</w:t>
            </w:r>
          </w:p>
        </w:tc>
        <w:tc>
          <w:tcPr>
            <w:tcW w:w="1769" w:type="dxa"/>
            <w:vAlign w:val="center"/>
          </w:tcPr>
          <w:p w14:paraId="6EAEC96C">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1.意志概述</w:t>
            </w:r>
          </w:p>
          <w:p w14:paraId="08921AC7">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2.小学儿童的意志</w:t>
            </w:r>
          </w:p>
        </w:tc>
        <w:tc>
          <w:tcPr>
            <w:tcW w:w="1068" w:type="dxa"/>
            <w:gridSpan w:val="2"/>
            <w:vAlign w:val="center"/>
          </w:tcPr>
          <w:p w14:paraId="74CAC922">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1" w:type="dxa"/>
            <w:vAlign w:val="center"/>
          </w:tcPr>
          <w:p w14:paraId="37043AFA">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 xml:space="preserve"> </w:t>
            </w:r>
            <w:r>
              <w:rPr>
                <w:rFonts w:hint="eastAsia" w:ascii="宋体" w:hAnsi="宋体" w:eastAsia="宋体" w:cs="Times New Roman"/>
                <w:color w:val="000000"/>
                <w:kern w:val="0"/>
                <w:sz w:val="20"/>
                <w:szCs w:val="21"/>
              </w:rPr>
              <w:t>了解意志的品质及意志与认知、情感过程的关系，意志行动的具体表现和阶段，理解意志的概念和特征</w:t>
            </w:r>
          </w:p>
          <w:p w14:paraId="3D7A784D">
            <w:pPr>
              <w:spacing w:line="264"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2.掌握小学儿童意志发展特点，懂得小学意志力培养的方法</w:t>
            </w:r>
          </w:p>
          <w:p w14:paraId="13510DCA">
            <w:pPr>
              <w:spacing w:line="264" w:lineRule="auto"/>
              <w:jc w:val="left"/>
              <w:rPr>
                <w:rFonts w:hint="eastAsia" w:ascii="宋体" w:hAnsi="宋体" w:eastAsia="宋体" w:cs="Times New Roman"/>
                <w:color w:val="000000"/>
                <w:kern w:val="0"/>
                <w:sz w:val="20"/>
                <w:szCs w:val="21"/>
              </w:rPr>
            </w:pPr>
          </w:p>
        </w:tc>
        <w:tc>
          <w:tcPr>
            <w:tcW w:w="1560" w:type="dxa"/>
            <w:vAlign w:val="center"/>
          </w:tcPr>
          <w:p w14:paraId="462A334F">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55045E2C">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39BA23AD">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27793859">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p>
        </w:tc>
      </w:tr>
      <w:tr w14:paraId="7510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BEEFD22">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42FEECD4">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形成科学的儿童注意的发展观，对学生发展的个别差异和特点有所了解，初步学习因人而异的教育理念，为大国良师打下基础。</w:t>
            </w:r>
          </w:p>
        </w:tc>
      </w:tr>
      <w:tr w14:paraId="138E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310285F7">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10.小学儿童的个性倾向性</w:t>
            </w:r>
          </w:p>
        </w:tc>
        <w:tc>
          <w:tcPr>
            <w:tcW w:w="1769" w:type="dxa"/>
            <w:vAlign w:val="center"/>
          </w:tcPr>
          <w:p w14:paraId="5B250123">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1．个性概述</w:t>
            </w:r>
          </w:p>
          <w:p w14:paraId="6CB84FB9">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2.小学儿童的需要</w:t>
            </w:r>
          </w:p>
          <w:p w14:paraId="4584BA7D">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3.小学儿童的兴趣</w:t>
            </w:r>
          </w:p>
        </w:tc>
        <w:tc>
          <w:tcPr>
            <w:tcW w:w="1068" w:type="dxa"/>
            <w:gridSpan w:val="2"/>
            <w:vAlign w:val="center"/>
          </w:tcPr>
          <w:p w14:paraId="6CC51D12">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p w14:paraId="05225AF9">
            <w:pPr>
              <w:spacing w:line="264" w:lineRule="auto"/>
              <w:jc w:val="center"/>
              <w:rPr>
                <w:rFonts w:hint="eastAsia" w:ascii="宋体" w:hAnsi="宋体" w:eastAsia="宋体" w:cs="Times New Roman"/>
                <w:color w:val="000000"/>
                <w:kern w:val="0"/>
                <w:sz w:val="20"/>
                <w:szCs w:val="21"/>
              </w:rPr>
            </w:pPr>
          </w:p>
        </w:tc>
        <w:tc>
          <w:tcPr>
            <w:tcW w:w="3261" w:type="dxa"/>
            <w:vAlign w:val="center"/>
          </w:tcPr>
          <w:p w14:paraId="662E1947">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了解兴趣的作用、分类和品质，理解个性、需要和兴趣的概念及基本特征</w:t>
            </w:r>
          </w:p>
          <w:p w14:paraId="76C2860C">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2.掌握小学儿童需要和兴趣的发展特点</w:t>
            </w:r>
          </w:p>
          <w:p w14:paraId="36B15EAB">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3.懂得正确引导小学儿童的需要，学会小学儿童兴趣的培养方法</w:t>
            </w:r>
            <w:r>
              <w:rPr>
                <w:rFonts w:ascii="宋体" w:hAnsi="宋体" w:eastAsia="宋体" w:cs="Times New Roman"/>
                <w:color w:val="000000"/>
                <w:kern w:val="0"/>
                <w:sz w:val="20"/>
                <w:szCs w:val="21"/>
              </w:rPr>
              <w:t xml:space="preserve"> </w:t>
            </w:r>
          </w:p>
        </w:tc>
        <w:tc>
          <w:tcPr>
            <w:tcW w:w="1560" w:type="dxa"/>
            <w:vAlign w:val="center"/>
          </w:tcPr>
          <w:p w14:paraId="38688BB0">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77D64139">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32926832">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12D5F05A">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6</w:t>
            </w:r>
          </w:p>
        </w:tc>
      </w:tr>
      <w:tr w14:paraId="3C10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16929A4">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13A7B310">
            <w:pPr>
              <w:spacing w:line="264"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形成科学的儿童注意的发展观，对学生发展的个别差异和特点有所了解，初步形成全人教育理念，为大国良师打下基础。</w:t>
            </w:r>
          </w:p>
        </w:tc>
      </w:tr>
      <w:tr w14:paraId="101F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FED42E6">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11.小学儿童的气质与性格</w:t>
            </w:r>
          </w:p>
        </w:tc>
        <w:tc>
          <w:tcPr>
            <w:tcW w:w="1769" w:type="dxa"/>
            <w:vAlign w:val="center"/>
          </w:tcPr>
          <w:p w14:paraId="73CDC72D">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1.气质与性格概述</w:t>
            </w:r>
          </w:p>
          <w:p w14:paraId="3799C7CE">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2.小学儿童的气质与性格</w:t>
            </w:r>
          </w:p>
        </w:tc>
        <w:tc>
          <w:tcPr>
            <w:tcW w:w="1050" w:type="dxa"/>
            <w:vAlign w:val="center"/>
          </w:tcPr>
          <w:p w14:paraId="49D258A2">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color w:val="000000"/>
                <w:kern w:val="0"/>
                <w:sz w:val="20"/>
                <w:szCs w:val="21"/>
              </w:rPr>
              <w:t>课程目标2、3</w:t>
            </w:r>
          </w:p>
        </w:tc>
        <w:tc>
          <w:tcPr>
            <w:tcW w:w="3279" w:type="dxa"/>
            <w:gridSpan w:val="2"/>
            <w:vAlign w:val="center"/>
          </w:tcPr>
          <w:p w14:paraId="735F3243">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1.了解气质的类型与气质研究对实践活动的意义，性格和气质的关系；理解气质和性格的概念，性格的结构，理解高级神经活动活动类型与气质的关系</w:t>
            </w:r>
          </w:p>
          <w:p w14:paraId="4D3C07E8">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2.掌握小学儿童气质和性格的特点</w:t>
            </w:r>
          </w:p>
          <w:p w14:paraId="74B3171C">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3.能根据学生的气质特点和规律开展教育活动，懂得小学儿童性格的培养</w:t>
            </w:r>
          </w:p>
        </w:tc>
        <w:tc>
          <w:tcPr>
            <w:tcW w:w="1560" w:type="dxa"/>
            <w:vAlign w:val="center"/>
          </w:tcPr>
          <w:p w14:paraId="175EDE60">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1.线上学习</w:t>
            </w:r>
          </w:p>
          <w:p w14:paraId="4A3B7F3E">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2.多媒体教学3.课堂讨论</w:t>
            </w:r>
          </w:p>
          <w:p w14:paraId="3F69F17E">
            <w:pPr>
              <w:spacing w:line="264" w:lineRule="auto"/>
              <w:jc w:val="left"/>
              <w:rPr>
                <w:rFonts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4.单元测验</w:t>
            </w:r>
          </w:p>
          <w:p w14:paraId="006E2676">
            <w:pPr>
              <w:spacing w:line="264" w:lineRule="auto"/>
              <w:jc w:val="left"/>
              <w:rPr>
                <w:rFonts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5.16PF人格测验</w:t>
            </w:r>
          </w:p>
          <w:p w14:paraId="12B5D673">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6.气质测验</w:t>
            </w:r>
          </w:p>
        </w:tc>
        <w:tc>
          <w:tcPr>
            <w:tcW w:w="438" w:type="dxa"/>
            <w:vAlign w:val="center"/>
          </w:tcPr>
          <w:p w14:paraId="6706D2E7">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6</w:t>
            </w:r>
          </w:p>
        </w:tc>
      </w:tr>
      <w:tr w14:paraId="72B5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8B0BBD0">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60DF45AB">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形成科学的儿童注意的发展观，对学生发展的个别差异和特点有所了解，初步形成全人教育理念，为大国良师打下基础。</w:t>
            </w:r>
          </w:p>
        </w:tc>
      </w:tr>
      <w:tr w14:paraId="2C80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109EA848">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13.小学儿童的能力</w:t>
            </w:r>
          </w:p>
        </w:tc>
        <w:tc>
          <w:tcPr>
            <w:tcW w:w="1769" w:type="dxa"/>
            <w:vAlign w:val="center"/>
          </w:tcPr>
          <w:p w14:paraId="68FBA895">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1.能力的概述</w:t>
            </w:r>
          </w:p>
          <w:p w14:paraId="0C1E106F">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2.小学儿童的能力</w:t>
            </w:r>
          </w:p>
        </w:tc>
        <w:tc>
          <w:tcPr>
            <w:tcW w:w="1050" w:type="dxa"/>
            <w:vAlign w:val="center"/>
          </w:tcPr>
          <w:p w14:paraId="398872B5">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color w:val="000000"/>
                <w:kern w:val="0"/>
                <w:sz w:val="20"/>
                <w:szCs w:val="21"/>
              </w:rPr>
              <w:t>课程目标2、3</w:t>
            </w:r>
          </w:p>
        </w:tc>
        <w:tc>
          <w:tcPr>
            <w:tcW w:w="3279" w:type="dxa"/>
            <w:gridSpan w:val="2"/>
            <w:vAlign w:val="center"/>
          </w:tcPr>
          <w:p w14:paraId="5EBAB242">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1.了解能力的分类，理解能力的概念及能力的个别差异，掌握能力发展的影响因素，知道小学生智力发展的特点</w:t>
            </w:r>
          </w:p>
          <w:p w14:paraId="5A0C5C60">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Cs/>
                <w:color w:val="000000"/>
                <w:kern w:val="0"/>
                <w:sz w:val="20"/>
                <w:szCs w:val="21"/>
              </w:rPr>
              <w:t>2.学会在教育教学中运用科学的方法培养小学儿童的能力</w:t>
            </w:r>
          </w:p>
        </w:tc>
        <w:tc>
          <w:tcPr>
            <w:tcW w:w="1560" w:type="dxa"/>
            <w:vAlign w:val="center"/>
          </w:tcPr>
          <w:p w14:paraId="72B23D4C">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1C46B746">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2E149CA8">
            <w:pPr>
              <w:spacing w:line="264" w:lineRule="auto"/>
              <w:jc w:val="left"/>
              <w:rPr>
                <w:rFonts w:hint="eastAsia" w:ascii="宋体" w:hAnsi="宋体" w:eastAsia="宋体" w:cs="Times New Roman"/>
                <w:b/>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3DB7DF25">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6</w:t>
            </w:r>
          </w:p>
        </w:tc>
      </w:tr>
      <w:tr w14:paraId="6768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2804316">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0BFB52C9">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形成科学的儿童注意的发展观，对学生发展的个别差异和特点有所了解，初步形成全人教育理念，为大国良师打下坚实基础。</w:t>
            </w:r>
          </w:p>
        </w:tc>
      </w:tr>
      <w:tr w14:paraId="238E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10E0B421">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14.小学儿童的自我意识</w:t>
            </w:r>
          </w:p>
        </w:tc>
        <w:tc>
          <w:tcPr>
            <w:tcW w:w="1769" w:type="dxa"/>
            <w:vAlign w:val="center"/>
          </w:tcPr>
          <w:p w14:paraId="62FED20D">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1.自我意识概述</w:t>
            </w:r>
          </w:p>
          <w:p w14:paraId="756C2A91">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2.小学儿童的自我意识</w:t>
            </w:r>
          </w:p>
        </w:tc>
        <w:tc>
          <w:tcPr>
            <w:tcW w:w="1050" w:type="dxa"/>
            <w:vAlign w:val="center"/>
          </w:tcPr>
          <w:p w14:paraId="35361A64">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课程目标2、3</w:t>
            </w:r>
          </w:p>
        </w:tc>
        <w:tc>
          <w:tcPr>
            <w:tcW w:w="3279" w:type="dxa"/>
            <w:gridSpan w:val="2"/>
            <w:vAlign w:val="center"/>
          </w:tcPr>
          <w:p w14:paraId="6DDEA2DC">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1.了解自我意识的心理结构和作用，理解自我意识的概念</w:t>
            </w:r>
          </w:p>
          <w:p w14:paraId="72C54478">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2.掌握小学儿童自我意识发展的特点</w:t>
            </w:r>
          </w:p>
          <w:p w14:paraId="4BFF2145">
            <w:pPr>
              <w:spacing w:line="264" w:lineRule="auto"/>
              <w:jc w:val="left"/>
              <w:rPr>
                <w:rFonts w:hint="eastAsia"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3.学会灵活运用促进小学儿童自我意识发展策略和方法</w:t>
            </w:r>
          </w:p>
        </w:tc>
        <w:tc>
          <w:tcPr>
            <w:tcW w:w="1560" w:type="dxa"/>
            <w:vAlign w:val="center"/>
          </w:tcPr>
          <w:p w14:paraId="7060214A">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64184897">
            <w:pPr>
              <w:spacing w:line="264"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121E7942">
            <w:pPr>
              <w:spacing w:line="264" w:lineRule="auto"/>
              <w:jc w:val="left"/>
              <w:rPr>
                <w:rFonts w:hint="eastAsia" w:ascii="宋体" w:hAnsi="宋体" w:eastAsia="宋体" w:cs="Times New Roman"/>
                <w:b/>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3F7C4B39">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3</w:t>
            </w:r>
          </w:p>
        </w:tc>
      </w:tr>
      <w:tr w14:paraId="4037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0C6F5080">
            <w:pPr>
              <w:spacing w:line="264" w:lineRule="auto"/>
              <w:jc w:val="center"/>
              <w:rPr>
                <w:rFonts w:hint="eastAsia" w:ascii="宋体" w:hAnsi="宋体" w:eastAsia="宋体" w:cs="Times New Roman"/>
                <w:color w:val="000000"/>
                <w:kern w:val="0"/>
                <w:sz w:val="20"/>
                <w:szCs w:val="21"/>
              </w:rPr>
            </w:pPr>
          </w:p>
        </w:tc>
        <w:tc>
          <w:tcPr>
            <w:tcW w:w="8096" w:type="dxa"/>
            <w:gridSpan w:val="6"/>
            <w:vAlign w:val="center"/>
          </w:tcPr>
          <w:p w14:paraId="50033B3B">
            <w:pPr>
              <w:spacing w:line="264"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形成科学的儿童注意的发展观，对学生发展的个别差异和特点有所了解，形成尊重学生主观能动性和主体性的教育理念，为大国良师打下坚实基础。</w:t>
            </w:r>
          </w:p>
        </w:tc>
      </w:tr>
    </w:tbl>
    <w:p w14:paraId="76EC9243">
      <w:pPr>
        <w:spacing w:line="360" w:lineRule="auto"/>
        <w:jc w:val="left"/>
        <w:rPr>
          <w:rFonts w:ascii="宋体" w:hAnsi="宋体" w:eastAsia="宋体" w:cs="Times New Roman"/>
          <w:b/>
          <w:color w:val="000000"/>
          <w:sz w:val="24"/>
          <w:szCs w:val="24"/>
        </w:rPr>
      </w:pPr>
    </w:p>
    <w:p w14:paraId="53A5CFE7">
      <w:pPr>
        <w:spacing w:line="360" w:lineRule="auto"/>
        <w:jc w:val="left"/>
        <w:outlineLvl w:val="0"/>
        <w:rPr>
          <w:rFonts w:ascii="Times New Roman" w:hAnsi="Times New Roman" w:eastAsia="宋体" w:cs="Times New Roman"/>
          <w:sz w:val="24"/>
          <w:szCs w:val="24"/>
        </w:rPr>
      </w:pPr>
      <w:bookmarkStart w:id="487" w:name="_Toc25446"/>
      <w:bookmarkStart w:id="488" w:name="_Toc2547"/>
      <w:bookmarkStart w:id="489" w:name="_Toc13537"/>
      <w:bookmarkStart w:id="490" w:name="_Toc10993"/>
      <w:bookmarkStart w:id="491" w:name="_Toc19596"/>
      <w:bookmarkStart w:id="492" w:name="_Toc12447"/>
      <w:bookmarkStart w:id="493" w:name="_Toc20850"/>
      <w:r>
        <w:rPr>
          <w:rFonts w:hint="eastAsia" w:ascii="宋体" w:hAnsi="宋体" w:eastAsia="宋体" w:cs="Times New Roman"/>
          <w:b/>
          <w:color w:val="000000"/>
          <w:sz w:val="24"/>
          <w:szCs w:val="24"/>
        </w:rPr>
        <w:t>四、目标评价与成绩评定</w:t>
      </w:r>
      <w:bookmarkEnd w:id="487"/>
      <w:bookmarkEnd w:id="488"/>
      <w:bookmarkEnd w:id="489"/>
      <w:bookmarkEnd w:id="490"/>
      <w:bookmarkEnd w:id="491"/>
      <w:bookmarkEnd w:id="492"/>
      <w:bookmarkEnd w:id="493"/>
    </w:p>
    <w:p w14:paraId="25D6BF9C">
      <w:pPr>
        <w:spacing w:line="360" w:lineRule="auto"/>
        <w:jc w:val="left"/>
        <w:outlineLvl w:val="1"/>
        <w:rPr>
          <w:rFonts w:ascii="Times New Roman" w:hAnsi="Times New Roman" w:eastAsia="宋体" w:cs="Times New Roman"/>
          <w:b/>
          <w:szCs w:val="21"/>
        </w:rPr>
      </w:pPr>
      <w:bookmarkStart w:id="494" w:name="_Toc5473"/>
      <w:r>
        <w:rPr>
          <w:rFonts w:hint="eastAsia" w:ascii="Times New Roman" w:hAnsi="Times New Roman" w:eastAsia="宋体" w:cs="Times New Roman"/>
          <w:b/>
          <w:szCs w:val="21"/>
        </w:rPr>
        <w:t>（一）课程目标评价方式</w:t>
      </w:r>
      <w:bookmarkEnd w:id="494"/>
    </w:p>
    <w:p w14:paraId="5253AF0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CE5EE2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16"/>
        <w:gridCol w:w="1016"/>
        <w:gridCol w:w="1016"/>
        <w:gridCol w:w="1016"/>
        <w:gridCol w:w="1016"/>
        <w:gridCol w:w="616"/>
      </w:tblGrid>
      <w:tr w14:paraId="5F9B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738FEE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0" w:type="auto"/>
            <w:gridSpan w:val="5"/>
            <w:vAlign w:val="center"/>
          </w:tcPr>
          <w:p w14:paraId="2E77AA3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0" w:type="auto"/>
            <w:vMerge w:val="restart"/>
            <w:vAlign w:val="center"/>
          </w:tcPr>
          <w:p w14:paraId="720765A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5B1A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64F3F5A">
            <w:pPr>
              <w:spacing w:line="360" w:lineRule="auto"/>
              <w:jc w:val="center"/>
              <w:rPr>
                <w:rFonts w:hint="eastAsia" w:ascii="宋体" w:hAnsi="宋体" w:eastAsia="宋体" w:cs="Times New Roman"/>
                <w:kern w:val="0"/>
                <w:sz w:val="20"/>
                <w:szCs w:val="21"/>
              </w:rPr>
            </w:pPr>
          </w:p>
        </w:tc>
        <w:tc>
          <w:tcPr>
            <w:tcW w:w="0" w:type="auto"/>
            <w:vAlign w:val="center"/>
          </w:tcPr>
          <w:p w14:paraId="6156459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0" w:type="auto"/>
            <w:vAlign w:val="center"/>
          </w:tcPr>
          <w:p w14:paraId="6CD9ED6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0" w:type="auto"/>
            <w:vAlign w:val="center"/>
          </w:tcPr>
          <w:p w14:paraId="4B700CC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课内实验</w:t>
            </w:r>
          </w:p>
        </w:tc>
        <w:tc>
          <w:tcPr>
            <w:tcW w:w="0" w:type="auto"/>
            <w:vAlign w:val="center"/>
          </w:tcPr>
          <w:p w14:paraId="2C6E019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0" w:type="auto"/>
          </w:tcPr>
          <w:p w14:paraId="44AA9B8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网络学习</w:t>
            </w:r>
          </w:p>
        </w:tc>
        <w:tc>
          <w:tcPr>
            <w:tcW w:w="0" w:type="auto"/>
            <w:vMerge w:val="continue"/>
            <w:vAlign w:val="center"/>
          </w:tcPr>
          <w:p w14:paraId="5F962C1F">
            <w:pPr>
              <w:spacing w:line="360" w:lineRule="auto"/>
              <w:jc w:val="center"/>
              <w:rPr>
                <w:rFonts w:hint="eastAsia" w:ascii="宋体" w:hAnsi="宋体" w:eastAsia="宋体" w:cs="Times New Roman"/>
                <w:kern w:val="0"/>
                <w:sz w:val="20"/>
                <w:szCs w:val="21"/>
              </w:rPr>
            </w:pPr>
          </w:p>
        </w:tc>
      </w:tr>
      <w:tr w14:paraId="180D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75275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0" w:type="auto"/>
            <w:vAlign w:val="center"/>
          </w:tcPr>
          <w:p w14:paraId="5AF6381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1A6663C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3634641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147F028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tcPr>
          <w:p w14:paraId="45E12E7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05A61C4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6108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61952E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0" w:type="auto"/>
            <w:vAlign w:val="center"/>
          </w:tcPr>
          <w:p w14:paraId="716968A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76A3842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5D5EEDD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43126FE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tcPr>
          <w:p w14:paraId="36358F6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1C3F979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50</w:t>
            </w:r>
          </w:p>
        </w:tc>
      </w:tr>
      <w:tr w14:paraId="2032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72A9E9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0" w:type="auto"/>
            <w:vAlign w:val="center"/>
          </w:tcPr>
          <w:p w14:paraId="0F64839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544F8BA8">
            <w:pPr>
              <w:spacing w:line="360" w:lineRule="auto"/>
              <w:jc w:val="center"/>
              <w:rPr>
                <w:rFonts w:hint="eastAsia" w:ascii="宋体" w:hAnsi="宋体" w:eastAsia="宋体" w:cs="Times New Roman"/>
                <w:kern w:val="0"/>
                <w:sz w:val="20"/>
                <w:szCs w:val="21"/>
              </w:rPr>
            </w:pPr>
          </w:p>
        </w:tc>
        <w:tc>
          <w:tcPr>
            <w:tcW w:w="0" w:type="auto"/>
            <w:vAlign w:val="center"/>
          </w:tcPr>
          <w:p w14:paraId="40705B1E">
            <w:pPr>
              <w:spacing w:line="360" w:lineRule="auto"/>
              <w:jc w:val="center"/>
              <w:rPr>
                <w:rFonts w:hint="eastAsia" w:ascii="宋体" w:hAnsi="宋体" w:eastAsia="宋体" w:cs="Times New Roman"/>
                <w:kern w:val="0"/>
                <w:sz w:val="20"/>
                <w:szCs w:val="21"/>
              </w:rPr>
            </w:pPr>
          </w:p>
        </w:tc>
        <w:tc>
          <w:tcPr>
            <w:tcW w:w="0" w:type="auto"/>
            <w:vAlign w:val="center"/>
          </w:tcPr>
          <w:p w14:paraId="6D667CC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tcPr>
          <w:p w14:paraId="64A28AC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2576867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4EA5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3F9AF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0" w:type="auto"/>
            <w:vAlign w:val="center"/>
          </w:tcPr>
          <w:p w14:paraId="224D8353">
            <w:pPr>
              <w:spacing w:line="360" w:lineRule="auto"/>
              <w:jc w:val="center"/>
              <w:rPr>
                <w:rFonts w:hint="eastAsia" w:ascii="宋体" w:hAnsi="宋体" w:eastAsia="宋体" w:cs="Times New Roman"/>
                <w:kern w:val="0"/>
                <w:sz w:val="20"/>
                <w:szCs w:val="21"/>
              </w:rPr>
            </w:pPr>
          </w:p>
        </w:tc>
        <w:tc>
          <w:tcPr>
            <w:tcW w:w="0" w:type="auto"/>
            <w:vAlign w:val="center"/>
          </w:tcPr>
          <w:p w14:paraId="731B43BA">
            <w:pPr>
              <w:spacing w:line="360" w:lineRule="auto"/>
              <w:jc w:val="center"/>
              <w:rPr>
                <w:rFonts w:hint="eastAsia" w:ascii="宋体" w:hAnsi="宋体" w:eastAsia="宋体" w:cs="Times New Roman"/>
                <w:kern w:val="0"/>
                <w:sz w:val="20"/>
                <w:szCs w:val="21"/>
              </w:rPr>
            </w:pPr>
          </w:p>
        </w:tc>
        <w:tc>
          <w:tcPr>
            <w:tcW w:w="0" w:type="auto"/>
            <w:vAlign w:val="center"/>
          </w:tcPr>
          <w:p w14:paraId="6F3AFE6A">
            <w:pPr>
              <w:spacing w:line="360" w:lineRule="auto"/>
              <w:jc w:val="center"/>
              <w:rPr>
                <w:rFonts w:hint="eastAsia" w:ascii="宋体" w:hAnsi="宋体" w:eastAsia="宋体" w:cs="Times New Roman"/>
                <w:kern w:val="0"/>
                <w:sz w:val="20"/>
                <w:szCs w:val="21"/>
              </w:rPr>
            </w:pPr>
          </w:p>
        </w:tc>
        <w:tc>
          <w:tcPr>
            <w:tcW w:w="0" w:type="auto"/>
            <w:vAlign w:val="center"/>
          </w:tcPr>
          <w:p w14:paraId="43F9CE57">
            <w:pPr>
              <w:spacing w:line="360" w:lineRule="auto"/>
              <w:jc w:val="center"/>
              <w:rPr>
                <w:rFonts w:hint="eastAsia" w:ascii="宋体" w:hAnsi="宋体" w:eastAsia="宋体" w:cs="Times New Roman"/>
                <w:kern w:val="0"/>
                <w:sz w:val="20"/>
                <w:szCs w:val="21"/>
              </w:rPr>
            </w:pPr>
          </w:p>
        </w:tc>
        <w:tc>
          <w:tcPr>
            <w:tcW w:w="0" w:type="auto"/>
          </w:tcPr>
          <w:p w14:paraId="07AC855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0" w:type="auto"/>
            <w:vAlign w:val="center"/>
          </w:tcPr>
          <w:p w14:paraId="57BC303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6DA7028D">
      <w:pPr>
        <w:spacing w:before="156" w:beforeLines="50" w:line="360" w:lineRule="auto"/>
        <w:jc w:val="left"/>
        <w:outlineLvl w:val="1"/>
        <w:rPr>
          <w:rFonts w:ascii="Times New Roman" w:hAnsi="Times New Roman" w:eastAsia="宋体" w:cs="Times New Roman"/>
          <w:b/>
          <w:szCs w:val="21"/>
        </w:rPr>
      </w:pPr>
      <w:bookmarkStart w:id="495" w:name="_Toc2525"/>
      <w:r>
        <w:rPr>
          <w:rFonts w:hint="eastAsia" w:ascii="Times New Roman" w:hAnsi="Times New Roman" w:eastAsia="宋体" w:cs="Times New Roman"/>
          <w:b/>
          <w:szCs w:val="21"/>
        </w:rPr>
        <w:t>（二）成绩评定细则</w:t>
      </w:r>
      <w:bookmarkEnd w:id="495"/>
    </w:p>
    <w:p w14:paraId="0316C7A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9A0028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46"/>
        <w:gridCol w:w="683"/>
      </w:tblGrid>
      <w:tr w14:paraId="5905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F3125AC">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946" w:type="dxa"/>
            <w:vAlign w:val="center"/>
          </w:tcPr>
          <w:p w14:paraId="49DAD161">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763E1538">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4BBF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38C3FBA">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946" w:type="dxa"/>
            <w:vAlign w:val="center"/>
          </w:tcPr>
          <w:p w14:paraId="0B040548">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平时作业共5次，包括网络课程中每章课后测验，以及课后作业，</w:t>
            </w:r>
          </w:p>
        </w:tc>
        <w:tc>
          <w:tcPr>
            <w:tcW w:w="0" w:type="auto"/>
            <w:vAlign w:val="center"/>
          </w:tcPr>
          <w:p w14:paraId="5FF8607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3F2F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E8829D4">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946" w:type="dxa"/>
            <w:vAlign w:val="center"/>
          </w:tcPr>
          <w:p w14:paraId="0AE673C3">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color w:val="000000"/>
                <w:kern w:val="0"/>
                <w:sz w:val="20"/>
                <w:szCs w:val="21"/>
                <w:lang w:bidi="ar"/>
              </w:rPr>
              <w:t>一是课题考勤情况</w:t>
            </w:r>
            <w:r>
              <w:rPr>
                <w:rFonts w:ascii="宋体" w:hAnsi="宋体" w:eastAsia="宋体" w:cs="宋体"/>
                <w:color w:val="000000"/>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47A66782">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color w:val="000000"/>
                <w:kern w:val="0"/>
                <w:sz w:val="20"/>
                <w:szCs w:val="21"/>
                <w:lang w:bidi="ar"/>
              </w:rPr>
              <w:t>课堂参与</w:t>
            </w:r>
            <w:r>
              <w:rPr>
                <w:rFonts w:hint="eastAsia" w:ascii="宋体" w:hAnsi="宋体" w:eastAsia="宋体" w:cs="宋体"/>
                <w:color w:val="000000"/>
                <w:kern w:val="0"/>
                <w:sz w:val="20"/>
                <w:szCs w:val="21"/>
                <w:lang w:bidi="ar"/>
              </w:rPr>
              <w:t>情况。以课堂讨论的参与情况，超过10次满分，获赞可以额外外加分。</w:t>
            </w:r>
          </w:p>
        </w:tc>
        <w:tc>
          <w:tcPr>
            <w:tcW w:w="0" w:type="auto"/>
            <w:vAlign w:val="center"/>
          </w:tcPr>
          <w:p w14:paraId="33B501B8">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229F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35E36B2">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课内实验</w:t>
            </w:r>
          </w:p>
        </w:tc>
        <w:tc>
          <w:tcPr>
            <w:tcW w:w="6946" w:type="dxa"/>
            <w:vAlign w:val="center"/>
          </w:tcPr>
          <w:p w14:paraId="10D88518">
            <w:pPr>
              <w:widowControl/>
              <w:spacing w:line="264" w:lineRule="auto"/>
              <w:jc w:val="left"/>
              <w:rPr>
                <w:rFonts w:hint="eastAsia" w:ascii="宋体" w:hAnsi="宋体" w:eastAsia="宋体" w:cs="宋体"/>
                <w:color w:val="000000"/>
                <w:kern w:val="0"/>
                <w:sz w:val="20"/>
                <w:szCs w:val="21"/>
                <w:lang w:bidi="ar"/>
              </w:rPr>
            </w:pPr>
            <w:r>
              <w:rPr>
                <w:rFonts w:hint="eastAsia" w:ascii="宋体" w:hAnsi="宋体" w:eastAsia="宋体" w:cs="宋体"/>
                <w:color w:val="000000"/>
                <w:kern w:val="0"/>
                <w:sz w:val="20"/>
                <w:szCs w:val="21"/>
                <w:lang w:bidi="ar"/>
              </w:rPr>
              <w:t>根据学生参与实验的情况，实验手册的填写情况打分，实验的平均分计入总成绩。</w:t>
            </w:r>
          </w:p>
        </w:tc>
        <w:tc>
          <w:tcPr>
            <w:tcW w:w="0" w:type="auto"/>
            <w:vAlign w:val="center"/>
          </w:tcPr>
          <w:p w14:paraId="6BE7AA3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3DB2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E2BEAFF">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网络学习</w:t>
            </w:r>
          </w:p>
        </w:tc>
        <w:tc>
          <w:tcPr>
            <w:tcW w:w="6946" w:type="dxa"/>
            <w:vAlign w:val="center"/>
          </w:tcPr>
          <w:p w14:paraId="3DA4F1CA">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3CB861F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43D4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569DA0B">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946" w:type="dxa"/>
            <w:vAlign w:val="center"/>
          </w:tcPr>
          <w:p w14:paraId="0325EAF4">
            <w:pPr>
              <w:spacing w:line="264" w:lineRule="auto"/>
              <w:jc w:val="left"/>
              <w:rPr>
                <w:rFonts w:ascii="Times New Roman" w:hAnsi="Times New Roman" w:eastAsia="宋体" w:cs="Times New Roman"/>
                <w:kern w:val="0"/>
                <w:sz w:val="20"/>
                <w:szCs w:val="21"/>
              </w:rPr>
            </w:pPr>
            <w:r>
              <w:rPr>
                <w:rFonts w:ascii="Times New Roman" w:hAnsi="Times New Roman" w:eastAsia="宋体" w:cs="Times New Roman"/>
                <w:color w:val="000000"/>
                <w:kern w:val="0"/>
                <w:sz w:val="20"/>
                <w:szCs w:val="21"/>
              </w:rPr>
              <w:t>试卷题型包括</w:t>
            </w:r>
            <w:r>
              <w:rPr>
                <w:rFonts w:hint="eastAsia" w:ascii="Times New Roman" w:hAnsi="Times New Roman" w:eastAsia="宋体" w:cs="Times New Roman"/>
                <w:color w:val="000000"/>
                <w:kern w:val="0"/>
                <w:sz w:val="20"/>
                <w:szCs w:val="21"/>
              </w:rPr>
              <w:t>选择题</w:t>
            </w:r>
            <w:r>
              <w:rPr>
                <w:rFonts w:ascii="Times New Roman" w:hAnsi="Times New Roman" w:eastAsia="宋体" w:cs="Times New Roman"/>
                <w:color w:val="000000"/>
                <w:kern w:val="0"/>
                <w:sz w:val="20"/>
                <w:szCs w:val="21"/>
              </w:rPr>
              <w:t>、</w:t>
            </w:r>
            <w:r>
              <w:rPr>
                <w:rFonts w:hint="eastAsia" w:ascii="Times New Roman" w:hAnsi="Times New Roman" w:eastAsia="宋体" w:cs="Times New Roman"/>
                <w:color w:val="000000"/>
                <w:kern w:val="0"/>
                <w:sz w:val="20"/>
                <w:szCs w:val="21"/>
              </w:rPr>
              <w:t>辨析</w:t>
            </w:r>
            <w:r>
              <w:rPr>
                <w:rFonts w:ascii="Times New Roman" w:hAnsi="Times New Roman" w:eastAsia="宋体" w:cs="Times New Roman"/>
                <w:color w:val="000000"/>
                <w:kern w:val="0"/>
                <w:sz w:val="20"/>
                <w:szCs w:val="21"/>
              </w:rPr>
              <w:t>、</w:t>
            </w:r>
            <w:r>
              <w:rPr>
                <w:rFonts w:hint="eastAsia" w:ascii="Times New Roman" w:hAnsi="Times New Roman" w:eastAsia="宋体" w:cs="Times New Roman"/>
                <w:color w:val="000000"/>
                <w:kern w:val="0"/>
                <w:sz w:val="20"/>
                <w:szCs w:val="21"/>
              </w:rPr>
              <w:t>简答题、案例分析、论述题</w:t>
            </w:r>
            <w:r>
              <w:rPr>
                <w:rFonts w:ascii="Times New Roman" w:hAnsi="Times New Roman" w:eastAsia="宋体" w:cs="Times New Roman"/>
                <w:color w:val="000000"/>
                <w:kern w:val="0"/>
                <w:sz w:val="20"/>
                <w:szCs w:val="21"/>
              </w:rPr>
              <w:t>等，以卷面成绩的50%计入课程总成绩。其中考核</w:t>
            </w:r>
            <w:r>
              <w:rPr>
                <w:rFonts w:hint="eastAsia" w:ascii="Times New Roman" w:hAnsi="Times New Roman" w:eastAsia="宋体" w:cs="Times New Roman"/>
                <w:color w:val="000000"/>
                <w:kern w:val="0"/>
                <w:sz w:val="20"/>
                <w:szCs w:val="21"/>
              </w:rPr>
              <w:t>小学心理学基本理论的知识类题目占4</w:t>
            </w:r>
            <w:r>
              <w:rPr>
                <w:rFonts w:ascii="Times New Roman" w:hAnsi="Times New Roman" w:eastAsia="宋体" w:cs="Times New Roman"/>
                <w:color w:val="000000"/>
                <w:kern w:val="0"/>
                <w:sz w:val="20"/>
                <w:szCs w:val="21"/>
              </w:rPr>
              <w:t>0</w:t>
            </w:r>
            <w:r>
              <w:rPr>
                <w:rFonts w:hint="eastAsia" w:ascii="Times New Roman" w:hAnsi="Times New Roman" w:eastAsia="宋体" w:cs="Times New Roman"/>
                <w:color w:val="000000"/>
                <w:kern w:val="0"/>
                <w:sz w:val="20"/>
                <w:szCs w:val="21"/>
              </w:rPr>
              <w:t>%；考核学生运用基本理论知识进行分析能力的题型占</w:t>
            </w:r>
            <w:r>
              <w:rPr>
                <w:rFonts w:ascii="Times New Roman" w:hAnsi="Times New Roman" w:eastAsia="宋体" w:cs="Times New Roman"/>
                <w:color w:val="000000"/>
                <w:kern w:val="0"/>
                <w:sz w:val="20"/>
                <w:szCs w:val="21"/>
              </w:rPr>
              <w:t>30</w:t>
            </w:r>
            <w:r>
              <w:rPr>
                <w:rFonts w:hint="eastAsia" w:ascii="Times New Roman" w:hAnsi="Times New Roman" w:eastAsia="宋体" w:cs="Times New Roman"/>
                <w:color w:val="000000"/>
                <w:kern w:val="0"/>
                <w:sz w:val="20"/>
                <w:szCs w:val="21"/>
              </w:rPr>
              <w:t>%；考核学生运用学与教的基本理论和知识进行教学设计的题型占</w:t>
            </w:r>
            <w:r>
              <w:rPr>
                <w:rFonts w:ascii="Times New Roman" w:hAnsi="Times New Roman" w:eastAsia="宋体" w:cs="Times New Roman"/>
                <w:color w:val="000000"/>
                <w:kern w:val="0"/>
                <w:sz w:val="20"/>
                <w:szCs w:val="21"/>
              </w:rPr>
              <w:t>30</w:t>
            </w:r>
            <w:r>
              <w:rPr>
                <w:rFonts w:hint="eastAsia" w:ascii="Times New Roman" w:hAnsi="Times New Roman" w:eastAsia="宋体" w:cs="Times New Roman"/>
                <w:color w:val="000000"/>
                <w:kern w:val="0"/>
                <w:sz w:val="20"/>
                <w:szCs w:val="21"/>
              </w:rPr>
              <w:t>%。</w:t>
            </w:r>
          </w:p>
        </w:tc>
        <w:tc>
          <w:tcPr>
            <w:tcW w:w="0" w:type="auto"/>
            <w:vAlign w:val="center"/>
          </w:tcPr>
          <w:p w14:paraId="60092C63">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4F36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6AC1DFB">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0" w:type="auto"/>
            <w:vAlign w:val="center"/>
          </w:tcPr>
          <w:p w14:paraId="790C4F9F">
            <w:pPr>
              <w:jc w:val="left"/>
              <w:rPr>
                <w:rFonts w:ascii="Times New Roman" w:hAnsi="Times New Roman" w:eastAsia="宋体" w:cs="Times New Roman"/>
                <w:kern w:val="0"/>
                <w:sz w:val="20"/>
                <w:szCs w:val="21"/>
              </w:rPr>
            </w:pPr>
          </w:p>
        </w:tc>
        <w:tc>
          <w:tcPr>
            <w:tcW w:w="0" w:type="auto"/>
            <w:vAlign w:val="center"/>
          </w:tcPr>
          <w:p w14:paraId="408ADAF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539C8EA6">
      <w:pPr>
        <w:spacing w:line="360" w:lineRule="auto"/>
        <w:jc w:val="left"/>
        <w:outlineLvl w:val="1"/>
        <w:rPr>
          <w:rFonts w:hint="eastAsia" w:ascii="宋体" w:hAnsi="宋体" w:eastAsia="宋体" w:cs="Times New Roman"/>
          <w:b/>
          <w:color w:val="000000"/>
          <w:szCs w:val="21"/>
        </w:rPr>
      </w:pPr>
      <w:bookmarkStart w:id="496" w:name="_Toc13636"/>
      <w:r>
        <w:rPr>
          <w:rFonts w:hint="eastAsia" w:ascii="宋体" w:hAnsi="宋体" w:eastAsia="宋体" w:cs="Times New Roman"/>
          <w:b/>
          <w:color w:val="000000"/>
          <w:szCs w:val="21"/>
        </w:rPr>
        <w:t>（三）课程目标达成度计算方法</w:t>
      </w:r>
      <w:bookmarkEnd w:id="496"/>
    </w:p>
    <w:p w14:paraId="1AAC1F2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04B2339">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39"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39" DrawAspect="Content" ObjectID="_1468075739" r:id="rId22">
            <o:LockedField>false</o:LockedField>
          </o:OLEObject>
        </w:object>
      </w:r>
    </w:p>
    <w:p w14:paraId="23564695">
      <w:pPr>
        <w:spacing w:line="360" w:lineRule="auto"/>
        <w:jc w:val="left"/>
        <w:rPr>
          <w:rFonts w:ascii="宋体" w:hAnsi="宋体" w:eastAsia="宋体" w:cs="Times New Roman"/>
          <w:b/>
          <w:color w:val="000000"/>
          <w:sz w:val="24"/>
          <w:szCs w:val="24"/>
        </w:rPr>
      </w:pPr>
    </w:p>
    <w:p w14:paraId="470E79D4">
      <w:pPr>
        <w:spacing w:line="360" w:lineRule="auto"/>
        <w:jc w:val="left"/>
        <w:outlineLvl w:val="0"/>
        <w:rPr>
          <w:rFonts w:ascii="Times New Roman" w:hAnsi="Times New Roman" w:eastAsia="宋体" w:cs="Times New Roman"/>
          <w:b/>
          <w:bCs/>
          <w:sz w:val="24"/>
          <w:szCs w:val="24"/>
        </w:rPr>
      </w:pPr>
      <w:bookmarkStart w:id="497" w:name="_Toc20998"/>
      <w:bookmarkStart w:id="498" w:name="_Toc13073"/>
      <w:bookmarkStart w:id="499" w:name="_Toc20792"/>
      <w:bookmarkStart w:id="500" w:name="_Toc31594"/>
      <w:bookmarkStart w:id="501" w:name="_Toc10349"/>
      <w:bookmarkStart w:id="502" w:name="_Toc7706"/>
      <w:bookmarkStart w:id="503" w:name="_Toc16383"/>
      <w:r>
        <w:rPr>
          <w:rFonts w:hint="eastAsia" w:ascii="宋体" w:hAnsi="宋体" w:eastAsia="宋体" w:cs="Times New Roman"/>
          <w:b/>
          <w:color w:val="000000"/>
          <w:sz w:val="24"/>
          <w:szCs w:val="24"/>
        </w:rPr>
        <w:t>五、有关说明</w:t>
      </w:r>
      <w:bookmarkEnd w:id="497"/>
      <w:bookmarkEnd w:id="498"/>
      <w:bookmarkEnd w:id="499"/>
      <w:bookmarkEnd w:id="500"/>
      <w:bookmarkEnd w:id="501"/>
      <w:bookmarkEnd w:id="502"/>
      <w:bookmarkEnd w:id="503"/>
    </w:p>
    <w:p w14:paraId="081EA745">
      <w:pPr>
        <w:spacing w:line="360" w:lineRule="auto"/>
        <w:jc w:val="left"/>
        <w:outlineLvl w:val="1"/>
        <w:rPr>
          <w:rFonts w:ascii="Times New Roman" w:hAnsi="Times New Roman" w:eastAsia="宋体" w:cs="Times New Roman"/>
          <w:b/>
          <w:szCs w:val="21"/>
        </w:rPr>
      </w:pPr>
      <w:bookmarkStart w:id="504" w:name="_Toc26389"/>
      <w:r>
        <w:rPr>
          <w:rFonts w:hint="eastAsia" w:ascii="Times New Roman" w:hAnsi="Times New Roman" w:eastAsia="宋体" w:cs="Times New Roman"/>
          <w:b/>
          <w:szCs w:val="21"/>
        </w:rPr>
        <w:t>（一）持续改进</w:t>
      </w:r>
      <w:bookmarkEnd w:id="504"/>
    </w:p>
    <w:p w14:paraId="15F9300E">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本课程根据学生作业、课堂讨论、实验环节、平时考核情况和学生、教学督导等的反馈，及时对教学中的不足之处进行改进，并在下一轮课程教学中整改完善，确保相应毕业要求指标点达成。</w:t>
      </w:r>
    </w:p>
    <w:p w14:paraId="2B7B33DF">
      <w:pPr>
        <w:spacing w:line="360" w:lineRule="auto"/>
        <w:outlineLvl w:val="1"/>
        <w:rPr>
          <w:rFonts w:ascii="Times New Roman" w:hAnsi="Times New Roman" w:eastAsia="宋体" w:cs="Times New Roman"/>
          <w:b/>
          <w:color w:val="000000"/>
          <w:szCs w:val="21"/>
        </w:rPr>
      </w:pPr>
      <w:bookmarkStart w:id="505" w:name="_Toc25649"/>
      <w:r>
        <w:rPr>
          <w:rFonts w:hint="eastAsia" w:ascii="Times New Roman" w:hAnsi="Times New Roman" w:eastAsia="宋体" w:cs="Times New Roman"/>
          <w:b/>
          <w:color w:val="000000"/>
          <w:szCs w:val="21"/>
        </w:rPr>
        <w:t>（二）</w:t>
      </w:r>
      <w:r>
        <w:rPr>
          <w:rFonts w:ascii="Times New Roman" w:hAnsi="Times New Roman" w:eastAsia="宋体" w:cs="Times New Roman"/>
          <w:b/>
          <w:color w:val="000000"/>
          <w:szCs w:val="21"/>
        </w:rPr>
        <w:t>参考书目</w:t>
      </w:r>
      <w:bookmarkEnd w:id="505"/>
    </w:p>
    <w:p w14:paraId="0EC3EF06">
      <w:pPr>
        <w:autoSpaceDE w:val="0"/>
        <w:autoSpaceDN w:val="0"/>
        <w:adjustRightInd w:val="0"/>
        <w:spacing w:line="360" w:lineRule="auto"/>
        <w:jc w:val="left"/>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hint="eastAsia" w:ascii="等线" w:hAnsi="等线" w:eastAsia="等线" w:cs="Times New Roman"/>
          <w:szCs w:val="22"/>
        </w:rPr>
        <w:t xml:space="preserve"> </w:t>
      </w:r>
      <w:r>
        <w:rPr>
          <w:rFonts w:hint="eastAsia" w:ascii="Times New Roman" w:hAnsi="Times New Roman" w:eastAsia="宋体" w:cs="Times New Roman"/>
          <w:kern w:val="0"/>
          <w:szCs w:val="21"/>
        </w:rPr>
        <w:t>张厚粲，许燕编，心理学导论（第2版新世纪高等学校教材），北京师范大学出版社，2024</w:t>
      </w:r>
    </w:p>
    <w:p w14:paraId="10BF8FF6">
      <w:pPr>
        <w:autoSpaceDE w:val="0"/>
        <w:autoSpaceDN w:val="0"/>
        <w:adjustRightInd w:val="0"/>
        <w:spacing w:line="360" w:lineRule="auto"/>
        <w:jc w:val="left"/>
        <w:rPr>
          <w:rFonts w:ascii="Times New Roman" w:hAnsi="Times New Roman" w:eastAsia="宋体" w:cs="Times New Roman"/>
          <w:kern w:val="0"/>
          <w:szCs w:val="21"/>
        </w:rPr>
      </w:pPr>
      <w:r>
        <w:rPr>
          <w:rFonts w:ascii="等线" w:hAnsi="等线" w:eastAsia="等线" w:cs="Times New Roman"/>
          <w:szCs w:val="21"/>
        </w:rPr>
        <w:t xml:space="preserve"> </w:t>
      </w:r>
      <w:r>
        <w:rPr>
          <w:rFonts w:hint="eastAsia" w:ascii="Times New Roman" w:hAnsi="Times New Roman" w:eastAsia="宋体" w:cs="Times New Roman"/>
          <w:szCs w:val="21"/>
        </w:rPr>
        <w:t>2.</w:t>
      </w:r>
      <w:r>
        <w:rPr>
          <w:rFonts w:ascii="Times New Roman" w:hAnsi="Times New Roman" w:eastAsia="宋体" w:cs="Times New Roman"/>
          <w:kern w:val="0"/>
          <w:szCs w:val="21"/>
        </w:rPr>
        <w:t>(美)罗伯特·S·费尔德曼著，苏彦捷译</w:t>
      </w:r>
      <w:r>
        <w:rPr>
          <w:rFonts w:hint="eastAsia" w:ascii="Times New Roman" w:hAnsi="Times New Roman" w:eastAsia="宋体" w:cs="Times New Roman"/>
          <w:kern w:val="0"/>
          <w:szCs w:val="21"/>
        </w:rPr>
        <w:t>，儿童发展心理学：费尔德曼带你开启孩子的成长之旅（第</w:t>
      </w:r>
      <w:r>
        <w:rPr>
          <w:rFonts w:ascii="Times New Roman" w:hAnsi="Times New Roman" w:eastAsia="宋体" w:cs="Times New Roman"/>
          <w:kern w:val="0"/>
          <w:szCs w:val="21"/>
        </w:rPr>
        <w:t>8版） (Child Development, 8th Edition)</w:t>
      </w:r>
      <w:r>
        <w:rPr>
          <w:rFonts w:hint="eastAsia" w:ascii="Times New Roman" w:hAnsi="Times New Roman" w:eastAsia="宋体" w:cs="Times New Roman"/>
          <w:kern w:val="0"/>
          <w:szCs w:val="21"/>
        </w:rPr>
        <w:t>，机械工业出版社，2</w:t>
      </w:r>
      <w:r>
        <w:rPr>
          <w:rFonts w:ascii="Times New Roman" w:hAnsi="Times New Roman" w:eastAsia="宋体" w:cs="Times New Roman"/>
          <w:kern w:val="0"/>
          <w:szCs w:val="21"/>
        </w:rPr>
        <w:t>021</w:t>
      </w:r>
    </w:p>
    <w:p w14:paraId="10B14686">
      <w:pPr>
        <w:autoSpaceDE w:val="0"/>
        <w:autoSpaceDN w:val="0"/>
        <w:adjustRightInd w:val="0"/>
        <w:spacing w:line="360" w:lineRule="auto"/>
        <w:jc w:val="left"/>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3.（美）墨顿.亨特 著，寒川子，张积模译 ，心理学的故事--源起与演变，商务印书馆，2024</w:t>
      </w:r>
    </w:p>
    <w:p w14:paraId="2F02A1F9">
      <w:pPr>
        <w:autoSpaceDE w:val="0"/>
        <w:autoSpaceDN w:val="0"/>
        <w:adjustRightInd w:val="0"/>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kern w:val="0"/>
          <w:szCs w:val="21"/>
        </w:rPr>
        <w:t>4.</w:t>
      </w:r>
      <w:r>
        <w:rPr>
          <w:rFonts w:hint="eastAsia" w:ascii="宋体" w:hAnsi="宋体" w:eastAsia="宋体" w:cs="Times New Roman"/>
          <w:szCs w:val="22"/>
        </w:rPr>
        <w:t xml:space="preserve"> [美] 罗伯特·费尔德曼著，苏彦捷，邹丹等译，</w:t>
      </w:r>
      <w:r>
        <w:rPr>
          <w:rFonts w:hint="eastAsia" w:ascii="Times New Roman" w:hAnsi="Times New Roman" w:eastAsia="宋体" w:cs="Times New Roman"/>
          <w:szCs w:val="21"/>
        </w:rPr>
        <w:t>发展心理学——人的毕生发展（第6版），世界图书出版公司，2021</w:t>
      </w:r>
    </w:p>
    <w:p w14:paraId="1493166D">
      <w:pPr>
        <w:autoSpaceDE w:val="0"/>
        <w:autoSpaceDN w:val="0"/>
        <w:adjustRightInd w:val="0"/>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5.彭聃龄，普通心理学(第5版)，北京师范大学出版社，201</w:t>
      </w:r>
      <w:r>
        <w:rPr>
          <w:rFonts w:ascii="Times New Roman" w:hAnsi="Times New Roman" w:eastAsia="宋体" w:cs="Times New Roman"/>
          <w:kern w:val="0"/>
          <w:szCs w:val="21"/>
        </w:rPr>
        <w:t>9</w:t>
      </w:r>
    </w:p>
    <w:p w14:paraId="28265ABE">
      <w:pPr>
        <w:autoSpaceDE w:val="0"/>
        <w:autoSpaceDN w:val="0"/>
        <w:adjustRightInd w:val="0"/>
        <w:spacing w:line="360" w:lineRule="auto"/>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6.桑标，儿童发展，华东师范大学出版社，201</w:t>
      </w:r>
      <w:r>
        <w:rPr>
          <w:rFonts w:ascii="Times New Roman" w:hAnsi="Times New Roman" w:eastAsia="宋体" w:cs="Times New Roman"/>
          <w:kern w:val="0"/>
          <w:szCs w:val="21"/>
        </w:rPr>
        <w:t>4</w:t>
      </w:r>
    </w:p>
    <w:p w14:paraId="147F2271">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24146040">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34B30A6C">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0E29992A">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缪周芬</w:t>
      </w:r>
    </w:p>
    <w:p w14:paraId="5AA40D45">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王健</w:t>
      </w:r>
    </w:p>
    <w:p w14:paraId="1208BD13">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审批</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张志欣</w:t>
      </w:r>
    </w:p>
    <w:p w14:paraId="7DCB2340">
      <w:pPr>
        <w:spacing w:line="720" w:lineRule="auto"/>
        <w:jc w:val="both"/>
        <w:rPr>
          <w:rFonts w:hint="eastAsia"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20</w:t>
      </w:r>
      <w:r>
        <w:rPr>
          <w:rFonts w:ascii="Times New Roman" w:hAnsi="Times New Roman" w:eastAsia="宋体" w:cs="Times New Roman"/>
          <w:kern w:val="0"/>
          <w:sz w:val="24"/>
          <w:szCs w:val="21"/>
        </w:rPr>
        <w:t>2</w:t>
      </w:r>
      <w:r>
        <w:rPr>
          <w:rFonts w:hint="eastAsia" w:ascii="Times New Roman" w:hAnsi="Times New Roman" w:eastAsia="宋体" w:cs="Times New Roman"/>
          <w:kern w:val="0"/>
          <w:sz w:val="24"/>
          <w:szCs w:val="21"/>
        </w:rPr>
        <w:t>4年8月30日</w:t>
      </w:r>
    </w:p>
    <w:p w14:paraId="3D352075">
      <w:pPr>
        <w:rPr>
          <w:rFonts w:hint="eastAsia" w:ascii="Times New Roman" w:hAnsi="Times New Roman" w:eastAsia="宋体" w:cs="Times New Roman"/>
          <w:kern w:val="0"/>
          <w:sz w:val="24"/>
          <w:szCs w:val="21"/>
        </w:rPr>
      </w:pPr>
      <w:r>
        <w:rPr>
          <w:rFonts w:hint="eastAsia" w:ascii="Times New Roman" w:hAnsi="Times New Roman" w:eastAsia="宋体" w:cs="Times New Roman"/>
          <w:kern w:val="0"/>
          <w:sz w:val="24"/>
          <w:szCs w:val="21"/>
        </w:rPr>
        <w:br w:type="page"/>
      </w:r>
    </w:p>
    <w:p w14:paraId="115CEB6C">
      <w:pPr>
        <w:pStyle w:val="2"/>
        <w:bidi w:val="0"/>
        <w:rPr>
          <w:lang w:val="en-US" w:eastAsia="zh-CN"/>
        </w:rPr>
      </w:pPr>
      <w:bookmarkStart w:id="506" w:name="_Toc29617"/>
      <w:bookmarkStart w:id="507" w:name="_Toc4480"/>
      <w:bookmarkStart w:id="508" w:name="_Toc25163"/>
      <w:bookmarkStart w:id="509" w:name="_Toc32054"/>
      <w:r>
        <w:rPr>
          <w:rFonts w:hint="eastAsia"/>
          <w:lang w:val="en-US" w:eastAsia="zh-CN"/>
        </w:rPr>
        <w:t>《教育原理》课程教学大纲</w:t>
      </w:r>
      <w:bookmarkEnd w:id="506"/>
      <w:bookmarkEnd w:id="507"/>
      <w:bookmarkEnd w:id="508"/>
      <w:bookmarkEnd w:id="509"/>
    </w:p>
    <w:p w14:paraId="4EE25B34">
      <w:pPr>
        <w:pStyle w:val="2"/>
        <w:bidi w:val="0"/>
        <w:rPr>
          <w:lang w:val="en-US" w:eastAsia="zh-CN"/>
        </w:rPr>
      </w:pPr>
      <w:bookmarkStart w:id="510" w:name="_Toc6362"/>
      <w:bookmarkStart w:id="511" w:name="_Toc20230"/>
      <w:bookmarkStart w:id="512" w:name="_Toc2629"/>
      <w:bookmarkStart w:id="513" w:name="_Toc30969"/>
      <w:bookmarkStart w:id="514" w:name="_Toc15781"/>
      <w:bookmarkStart w:id="515" w:name="_Toc25730"/>
      <w:bookmarkStart w:id="516" w:name="_Toc12668"/>
      <w:r>
        <w:rPr>
          <w:lang w:val="en-US" w:eastAsia="zh-CN"/>
        </w:rPr>
        <w:t>（</w:t>
      </w:r>
      <w:r>
        <w:rPr>
          <w:rFonts w:hint="eastAsia"/>
          <w:lang w:val="en-US" w:eastAsia="zh-CN"/>
        </w:rPr>
        <w:t>Pedagogical Principles</w:t>
      </w:r>
      <w:r>
        <w:rPr>
          <w:lang w:val="en-US" w:eastAsia="zh-CN"/>
        </w:rPr>
        <w:t>）</w:t>
      </w:r>
      <w:bookmarkEnd w:id="510"/>
      <w:bookmarkEnd w:id="511"/>
      <w:bookmarkEnd w:id="512"/>
      <w:bookmarkEnd w:id="513"/>
      <w:bookmarkEnd w:id="514"/>
      <w:bookmarkEnd w:id="515"/>
      <w:bookmarkEnd w:id="516"/>
    </w:p>
    <w:p w14:paraId="0996DF69">
      <w:pPr>
        <w:spacing w:line="360" w:lineRule="auto"/>
        <w:jc w:val="center"/>
        <w:rPr>
          <w:rFonts w:ascii="Times New Roman" w:hAnsi="Times New Roman" w:eastAsia="宋体" w:cs="Times New Roman"/>
          <w:bCs/>
          <w:sz w:val="30"/>
          <w:szCs w:val="30"/>
        </w:rPr>
      </w:pPr>
    </w:p>
    <w:p w14:paraId="70E7C89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课程名称：教育原理</w:t>
      </w:r>
    </w:p>
    <w:p w14:paraId="7027C17C">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课程代码：2401005</w:t>
      </w:r>
    </w:p>
    <w:p w14:paraId="3380057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2F1B76F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1DB94CC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先修课程：小学心理学、专业导论</w:t>
      </w:r>
    </w:p>
    <w:p w14:paraId="62E7E6B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07C92933">
      <w:pPr>
        <w:spacing w:line="360" w:lineRule="auto"/>
        <w:jc w:val="left"/>
        <w:rPr>
          <w:rFonts w:ascii="Times New Roman" w:hAnsi="Times New Roman" w:eastAsia="宋体" w:cs="Times New Roman"/>
          <w:b/>
          <w:sz w:val="24"/>
          <w:szCs w:val="24"/>
        </w:rPr>
      </w:pPr>
    </w:p>
    <w:p w14:paraId="17717BA2">
      <w:pPr>
        <w:spacing w:line="360" w:lineRule="auto"/>
        <w:jc w:val="left"/>
        <w:outlineLvl w:val="0"/>
        <w:rPr>
          <w:rFonts w:ascii="Times New Roman" w:hAnsi="Times New Roman" w:eastAsia="宋体" w:cs="Times New Roman"/>
          <w:sz w:val="24"/>
          <w:szCs w:val="24"/>
        </w:rPr>
      </w:pPr>
      <w:bookmarkStart w:id="517" w:name="_Toc13958"/>
      <w:bookmarkStart w:id="518" w:name="_Toc14916"/>
      <w:bookmarkStart w:id="519" w:name="_Toc9320"/>
      <w:bookmarkStart w:id="520" w:name="_Toc441"/>
      <w:bookmarkStart w:id="521" w:name="_Toc22823"/>
      <w:bookmarkStart w:id="522" w:name="_Toc22694"/>
      <w:bookmarkStart w:id="523" w:name="_Toc9638"/>
      <w:r>
        <w:rPr>
          <w:rFonts w:hint="eastAsia" w:ascii="Times New Roman" w:hAnsi="Times New Roman" w:eastAsia="宋体" w:cs="Times New Roman"/>
          <w:b/>
          <w:sz w:val="24"/>
          <w:szCs w:val="24"/>
        </w:rPr>
        <w:t>一、课程简介</w:t>
      </w:r>
      <w:bookmarkEnd w:id="517"/>
      <w:bookmarkEnd w:id="518"/>
      <w:bookmarkEnd w:id="519"/>
      <w:bookmarkEnd w:id="520"/>
      <w:bookmarkEnd w:id="521"/>
      <w:bookmarkEnd w:id="522"/>
      <w:bookmarkEnd w:id="523"/>
    </w:p>
    <w:p w14:paraId="46357EE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首先，使学生掌握基本的教育理念，理解不同教育现象之间的关系，在此基础上，形成正确的教育意识和观念；其次，让学生了解我国教育理论和实践发展的现状与趋势，提高其教育理论素养，为今后的工作实践奠定坚实的理论基础；最后，引导学生运用所学的基本理论分析我国目前不断发展和变化着的教育实践，将所学理论知识和教育实践结合起来，增强分析和解决实际问题的能力。</w:t>
      </w:r>
    </w:p>
    <w:p w14:paraId="0DCF5CEA">
      <w:pPr>
        <w:spacing w:line="360" w:lineRule="auto"/>
        <w:jc w:val="left"/>
        <w:rPr>
          <w:rFonts w:hint="eastAsia" w:ascii="宋体" w:hAnsi="宋体" w:eastAsia="宋体" w:cs="Times New Roman"/>
          <w:b/>
          <w:color w:val="000000"/>
          <w:szCs w:val="21"/>
        </w:rPr>
      </w:pPr>
    </w:p>
    <w:p w14:paraId="767E74FC">
      <w:pPr>
        <w:spacing w:line="360" w:lineRule="auto"/>
        <w:jc w:val="left"/>
        <w:outlineLvl w:val="0"/>
        <w:rPr>
          <w:rFonts w:ascii="Times New Roman" w:hAnsi="Times New Roman" w:eastAsia="宋体" w:cs="Times New Roman"/>
          <w:sz w:val="24"/>
          <w:szCs w:val="24"/>
        </w:rPr>
      </w:pPr>
      <w:bookmarkStart w:id="524" w:name="_Toc25742"/>
      <w:bookmarkStart w:id="525" w:name="_Toc32427"/>
      <w:bookmarkStart w:id="526" w:name="_Toc31505"/>
      <w:bookmarkStart w:id="527" w:name="_Toc14640"/>
      <w:bookmarkStart w:id="528" w:name="_Toc1715"/>
      <w:bookmarkStart w:id="529" w:name="_Toc31108"/>
      <w:bookmarkStart w:id="530" w:name="_Toc13037"/>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524"/>
      <w:bookmarkEnd w:id="525"/>
      <w:bookmarkEnd w:id="526"/>
      <w:bookmarkEnd w:id="527"/>
      <w:bookmarkEnd w:id="528"/>
      <w:bookmarkEnd w:id="529"/>
      <w:bookmarkEnd w:id="530"/>
    </w:p>
    <w:p w14:paraId="256A41A5">
      <w:pPr>
        <w:spacing w:line="360" w:lineRule="auto"/>
        <w:ind w:firstLine="422" w:firstLineChars="200"/>
        <w:outlineLvl w:val="1"/>
        <w:rPr>
          <w:rFonts w:hint="eastAsia" w:ascii="宋体" w:hAnsi="宋体" w:eastAsia="宋体" w:cs="Times New Roman"/>
          <w:b/>
          <w:color w:val="000000"/>
          <w:szCs w:val="21"/>
        </w:rPr>
      </w:pPr>
      <w:bookmarkStart w:id="531" w:name="_Toc25570"/>
      <w:r>
        <w:rPr>
          <w:rFonts w:hint="eastAsia" w:ascii="宋体" w:hAnsi="宋体" w:eastAsia="宋体" w:cs="Times New Roman"/>
          <w:b/>
          <w:color w:val="000000"/>
          <w:szCs w:val="21"/>
        </w:rPr>
        <w:t>（一）课程具体目标</w:t>
      </w:r>
      <w:bookmarkEnd w:id="531"/>
    </w:p>
    <w:p w14:paraId="099ACEAF">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教育学基础理论知识，正确认识与“教育是什么”和“什么是教育”有关的一系列基本概念、基本理论、基本规律等关于教育的基本原理，了解当前国内外教育发展现状，形成教育学相关理论完整的知识结构，初步具备从事小学教育教学实践的能力和不断提升自我专业发展的能力。</w:t>
      </w:r>
    </w:p>
    <w:p w14:paraId="333A76D1">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理解教育问题与教育现象背后的教育本质与教育规律，能自觉运用专业思维和方法探究教育现象、反思教育实践、分析并解决教育问题，为今后从事教育实践工作打下良好基础。</w:t>
      </w:r>
    </w:p>
    <w:p w14:paraId="6A407D94">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2E018095">
      <w:pPr>
        <w:spacing w:before="156" w:beforeLines="50" w:after="156" w:afterLines="50" w:line="360" w:lineRule="auto"/>
        <w:jc w:val="left"/>
        <w:outlineLvl w:val="1"/>
        <w:rPr>
          <w:rFonts w:ascii="Times New Roman" w:hAnsi="Times New Roman" w:eastAsia="宋体" w:cs="Times New Roman"/>
          <w:b/>
          <w:bCs/>
          <w:szCs w:val="21"/>
        </w:rPr>
      </w:pPr>
      <w:bookmarkStart w:id="532" w:name="_Toc27479"/>
      <w:r>
        <w:rPr>
          <w:rFonts w:hint="eastAsia" w:ascii="Times New Roman" w:hAnsi="Times New Roman" w:eastAsia="宋体" w:cs="Times New Roman"/>
          <w:b/>
          <w:bCs/>
          <w:szCs w:val="21"/>
        </w:rPr>
        <w:t>（二）课程目标及其对毕业要求指标点的支撑</w:t>
      </w:r>
      <w:bookmarkEnd w:id="532"/>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545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B8C190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1F4513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C3D49B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FA2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02D653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13BC91E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3FA6211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2338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44DD3B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6FFDE1C5">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21267FF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3C0E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B66ADB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46D26600">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3-3：【教育教学知识牢固】掌握教育教学基本理论知识，熟悉所教学科课程标准和教材、教学内容。在教育教学实践中，具有一定的教材解读能力，具有依据课标进行教学的意识和习惯。</w:t>
            </w:r>
          </w:p>
        </w:tc>
        <w:tc>
          <w:tcPr>
            <w:tcW w:w="1191" w:type="dxa"/>
            <w:vAlign w:val="center"/>
          </w:tcPr>
          <w:p w14:paraId="037C75B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545E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1E13B4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2AAAC387">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7</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【教育视野开阔】积极参加基础教育领域的国内外交流，了解国内外基础教育改革发展的动态，具有宽广的教育视野，能够主动适应新时代和教育发展需求。</w:t>
            </w:r>
          </w:p>
          <w:p w14:paraId="122A0BEB">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2E4E464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45C5BD41">
      <w:pPr>
        <w:spacing w:before="156" w:beforeLines="50" w:line="360" w:lineRule="auto"/>
        <w:jc w:val="left"/>
        <w:outlineLvl w:val="1"/>
        <w:rPr>
          <w:rFonts w:hint="eastAsia" w:ascii="宋体" w:hAnsi="宋体" w:eastAsia="宋体" w:cs="Times New Roman"/>
          <w:b/>
          <w:color w:val="000000"/>
          <w:szCs w:val="21"/>
        </w:rPr>
      </w:pPr>
      <w:bookmarkStart w:id="533" w:name="_Toc18043"/>
      <w:r>
        <w:rPr>
          <w:rFonts w:hint="eastAsia" w:ascii="宋体" w:hAnsi="宋体" w:eastAsia="宋体" w:cs="Times New Roman"/>
          <w:b/>
          <w:color w:val="000000"/>
          <w:szCs w:val="21"/>
        </w:rPr>
        <w:t>（三）课程思政目标</w:t>
      </w:r>
      <w:bookmarkEnd w:id="533"/>
    </w:p>
    <w:p w14:paraId="7E8A613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7FF3EF4">
      <w:pPr>
        <w:spacing w:line="360" w:lineRule="auto"/>
        <w:jc w:val="left"/>
        <w:rPr>
          <w:rFonts w:hint="eastAsia" w:ascii="宋体" w:hAnsi="宋体" w:eastAsia="宋体" w:cs="Times New Roman"/>
          <w:b/>
          <w:color w:val="000000"/>
          <w:sz w:val="28"/>
          <w:szCs w:val="28"/>
        </w:rPr>
      </w:pPr>
    </w:p>
    <w:p w14:paraId="51CD3ECD">
      <w:pPr>
        <w:spacing w:line="360" w:lineRule="auto"/>
        <w:jc w:val="left"/>
        <w:outlineLvl w:val="0"/>
        <w:rPr>
          <w:rFonts w:hint="eastAsia" w:ascii="宋体" w:hAnsi="宋体" w:eastAsia="宋体" w:cs="Times New Roman"/>
          <w:b/>
          <w:color w:val="000000"/>
          <w:sz w:val="24"/>
          <w:szCs w:val="24"/>
        </w:rPr>
      </w:pPr>
      <w:bookmarkStart w:id="534" w:name="_Toc11545"/>
      <w:bookmarkStart w:id="535" w:name="_Toc19701"/>
      <w:bookmarkStart w:id="536" w:name="_Toc2004"/>
      <w:bookmarkStart w:id="537" w:name="_Toc20730"/>
      <w:bookmarkStart w:id="538" w:name="_Toc21296"/>
      <w:bookmarkStart w:id="539" w:name="_Toc21784"/>
      <w:bookmarkStart w:id="540" w:name="_Toc7215"/>
      <w:r>
        <w:rPr>
          <w:rFonts w:hint="eastAsia" w:ascii="宋体" w:hAnsi="宋体" w:eastAsia="宋体" w:cs="Times New Roman"/>
          <w:b/>
          <w:color w:val="000000"/>
          <w:sz w:val="24"/>
          <w:szCs w:val="24"/>
        </w:rPr>
        <w:t>三、教学内容与预期学习成效</w:t>
      </w:r>
      <w:bookmarkEnd w:id="534"/>
      <w:bookmarkEnd w:id="535"/>
      <w:bookmarkEnd w:id="536"/>
      <w:bookmarkEnd w:id="537"/>
      <w:bookmarkEnd w:id="538"/>
      <w:bookmarkEnd w:id="539"/>
      <w:bookmarkEnd w:id="540"/>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4FB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935D62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FC24C4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BBC177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4EDCB1A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D84375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257643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1E85085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30678E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91D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73E95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1.教育学及其发展</w:t>
            </w:r>
          </w:p>
        </w:tc>
        <w:tc>
          <w:tcPr>
            <w:tcW w:w="1701" w:type="dxa"/>
            <w:vAlign w:val="center"/>
          </w:tcPr>
          <w:p w14:paraId="5C9615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（1）教育学及其研究对象</w:t>
            </w:r>
          </w:p>
          <w:p w14:paraId="460830F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（2）教育学的产生和发展</w:t>
            </w:r>
          </w:p>
          <w:p w14:paraId="23F8C16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（3）中国化马克思主义教育理论的发展</w:t>
            </w:r>
          </w:p>
          <w:p w14:paraId="13C54D8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（4）学习和研究教育学的指导思想</w:t>
            </w:r>
          </w:p>
        </w:tc>
        <w:tc>
          <w:tcPr>
            <w:tcW w:w="1134" w:type="dxa"/>
            <w:vAlign w:val="center"/>
          </w:tcPr>
          <w:p w14:paraId="7A3BF4D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6C09682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1.理解教育学的概念表述</w:t>
            </w:r>
            <w:r>
              <w:rPr>
                <w:rFonts w:hint="eastAsia" w:ascii="宋体" w:hAnsi="宋体" w:eastAsia="宋体" w:cs="Times New Roman"/>
                <w:color w:val="000000"/>
                <w:szCs w:val="21"/>
              </w:rPr>
              <w:t>；</w:t>
            </w:r>
          </w:p>
          <w:p w14:paraId="515FED3F">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2.了解教育学的学科性质、研究对象、发展历史以及中国化马克思主义教育理论的发展</w:t>
            </w:r>
            <w:r>
              <w:rPr>
                <w:rFonts w:hint="eastAsia" w:ascii="宋体" w:hAnsi="宋体" w:eastAsia="宋体" w:cs="Times New Roman"/>
                <w:color w:val="000000"/>
                <w:szCs w:val="21"/>
              </w:rPr>
              <w:t>；</w:t>
            </w:r>
          </w:p>
          <w:p w14:paraId="25FDDAD0">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3.掌握学习和研究教育学的基本方法和指导思想</w:t>
            </w:r>
            <w:r>
              <w:rPr>
                <w:rFonts w:hint="eastAsia" w:ascii="宋体" w:hAnsi="宋体" w:eastAsia="宋体" w:cs="Times New Roman"/>
                <w:color w:val="000000"/>
                <w:szCs w:val="21"/>
              </w:rPr>
              <w:t>；</w:t>
            </w:r>
          </w:p>
          <w:p w14:paraId="3B87292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4.初步学会运用教育理论、教育规律指导实践，提高学习教育学的自觉性</w:t>
            </w:r>
            <w:r>
              <w:rPr>
                <w:rFonts w:hint="eastAsia" w:ascii="宋体" w:hAnsi="宋体" w:eastAsia="宋体" w:cs="Times New Roman"/>
                <w:color w:val="000000"/>
                <w:szCs w:val="21"/>
              </w:rPr>
              <w:t>。</w:t>
            </w:r>
          </w:p>
        </w:tc>
        <w:tc>
          <w:tcPr>
            <w:tcW w:w="1560" w:type="dxa"/>
            <w:vAlign w:val="center"/>
          </w:tcPr>
          <w:p w14:paraId="2CF827F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E16C77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DB391F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666A82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D0C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B25621">
            <w:pPr>
              <w:spacing w:line="264" w:lineRule="auto"/>
              <w:jc w:val="center"/>
              <w:rPr>
                <w:rFonts w:hint="eastAsia" w:ascii="宋体" w:hAnsi="宋体" w:eastAsia="宋体" w:cs="Times New Roman"/>
                <w:color w:val="000000"/>
                <w:szCs w:val="21"/>
              </w:rPr>
            </w:pPr>
          </w:p>
        </w:tc>
        <w:tc>
          <w:tcPr>
            <w:tcW w:w="8093" w:type="dxa"/>
            <w:gridSpan w:val="5"/>
            <w:vAlign w:val="center"/>
          </w:tcPr>
          <w:p w14:paraId="1C24818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4283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0BAE8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2.教育及其本质</w:t>
            </w:r>
          </w:p>
        </w:tc>
        <w:tc>
          <w:tcPr>
            <w:tcW w:w="1701" w:type="dxa"/>
            <w:vAlign w:val="center"/>
          </w:tcPr>
          <w:p w14:paraId="581AE33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（1）教育的产生与发展</w:t>
            </w:r>
          </w:p>
          <w:p w14:paraId="41F5541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（2）教育的基本内涵</w:t>
            </w:r>
          </w:p>
          <w:p w14:paraId="0A4EA5C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（3）教育的要素与形态</w:t>
            </w:r>
          </w:p>
        </w:tc>
        <w:tc>
          <w:tcPr>
            <w:tcW w:w="1134" w:type="dxa"/>
            <w:vAlign w:val="center"/>
          </w:tcPr>
          <w:p w14:paraId="5041760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7D1007C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正确理解并掌握“教育”的概念及其含义</w:t>
            </w:r>
            <w:r>
              <w:rPr>
                <w:rFonts w:hint="eastAsia" w:ascii="宋体" w:hAnsi="宋体" w:eastAsia="宋体" w:cs="Times New Roman"/>
                <w:color w:val="000000"/>
                <w:szCs w:val="21"/>
              </w:rPr>
              <w:t>；</w:t>
            </w:r>
          </w:p>
          <w:p w14:paraId="2357C31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了解教育发展的基本阶段及每个阶段教育的重要特征、代表人物及其著作和主要思想主张</w:t>
            </w:r>
            <w:r>
              <w:rPr>
                <w:rFonts w:hint="eastAsia" w:ascii="宋体" w:hAnsi="宋体" w:eastAsia="宋体" w:cs="Times New Roman"/>
                <w:color w:val="000000"/>
                <w:szCs w:val="21"/>
              </w:rPr>
              <w:t>；</w:t>
            </w:r>
          </w:p>
          <w:p w14:paraId="234E829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理解教育的基本要素及它们之间的关系，以及在当代的变化。</w:t>
            </w:r>
          </w:p>
        </w:tc>
        <w:tc>
          <w:tcPr>
            <w:tcW w:w="1560" w:type="dxa"/>
            <w:vAlign w:val="center"/>
          </w:tcPr>
          <w:p w14:paraId="57B1AFF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61CEB75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49231C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0FF87524">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D2C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C2EB537">
            <w:pPr>
              <w:spacing w:line="264" w:lineRule="auto"/>
              <w:jc w:val="center"/>
              <w:rPr>
                <w:rFonts w:hint="eastAsia" w:ascii="宋体" w:hAnsi="宋体" w:eastAsia="宋体" w:cs="Times New Roman"/>
                <w:color w:val="000000"/>
                <w:szCs w:val="21"/>
              </w:rPr>
            </w:pPr>
          </w:p>
        </w:tc>
        <w:tc>
          <w:tcPr>
            <w:tcW w:w="8093" w:type="dxa"/>
            <w:gridSpan w:val="5"/>
            <w:vAlign w:val="center"/>
          </w:tcPr>
          <w:p w14:paraId="443AB2D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32CE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13079A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3.教育与社会发展</w:t>
            </w:r>
          </w:p>
        </w:tc>
        <w:tc>
          <w:tcPr>
            <w:tcW w:w="1701" w:type="dxa"/>
            <w:vAlign w:val="center"/>
          </w:tcPr>
          <w:p w14:paraId="36D2149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（1）社会对教育发展的影响</w:t>
            </w:r>
          </w:p>
          <w:p w14:paraId="466F9F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（2）教育对社会发展的促进功能</w:t>
            </w:r>
          </w:p>
          <w:p w14:paraId="50E16ED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（3）教育在社会主义现代化建设中的地位与作用</w:t>
            </w:r>
          </w:p>
        </w:tc>
        <w:tc>
          <w:tcPr>
            <w:tcW w:w="1134" w:type="dxa"/>
            <w:vAlign w:val="center"/>
          </w:tcPr>
          <w:p w14:paraId="465238E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452BF9E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全面地认识经济、政治、文化、科技等对现代教育的制约性影响</w:t>
            </w:r>
            <w:r>
              <w:rPr>
                <w:rFonts w:hint="eastAsia" w:ascii="宋体" w:hAnsi="宋体" w:eastAsia="宋体" w:cs="Times New Roman"/>
                <w:color w:val="000000"/>
                <w:szCs w:val="21"/>
              </w:rPr>
              <w:t>；</w:t>
            </w:r>
          </w:p>
          <w:p w14:paraId="4622975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科学地认识教育对政治、经济、文化、科技等社会要求影响的原理与有限性</w:t>
            </w:r>
            <w:r>
              <w:rPr>
                <w:rFonts w:hint="eastAsia" w:ascii="宋体" w:hAnsi="宋体" w:eastAsia="宋体" w:cs="Times New Roman"/>
                <w:color w:val="000000"/>
                <w:szCs w:val="21"/>
              </w:rPr>
              <w:t>；</w:t>
            </w:r>
          </w:p>
          <w:p w14:paraId="0295E98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了解当前政治、经济、文化、科技等社会要素的新发展带来的教育影响。</w:t>
            </w:r>
          </w:p>
        </w:tc>
        <w:tc>
          <w:tcPr>
            <w:tcW w:w="1560" w:type="dxa"/>
            <w:vAlign w:val="center"/>
          </w:tcPr>
          <w:p w14:paraId="66E4E40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B1D008B">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C6DAB9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9DA42D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48BA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A68687">
            <w:pPr>
              <w:spacing w:line="264" w:lineRule="auto"/>
              <w:jc w:val="center"/>
              <w:rPr>
                <w:rFonts w:hint="eastAsia" w:ascii="宋体" w:hAnsi="宋体" w:eastAsia="宋体" w:cs="Times New Roman"/>
                <w:color w:val="000000"/>
                <w:szCs w:val="21"/>
              </w:rPr>
            </w:pPr>
          </w:p>
        </w:tc>
        <w:tc>
          <w:tcPr>
            <w:tcW w:w="8093" w:type="dxa"/>
            <w:gridSpan w:val="5"/>
            <w:vAlign w:val="center"/>
          </w:tcPr>
          <w:p w14:paraId="3C87BDE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5269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CBCA86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4.教育与人的发展</w:t>
            </w:r>
          </w:p>
        </w:tc>
        <w:tc>
          <w:tcPr>
            <w:tcW w:w="1701" w:type="dxa"/>
            <w:vAlign w:val="center"/>
          </w:tcPr>
          <w:p w14:paraId="3B0C5D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（1）人的身心发展及其影响因素</w:t>
            </w:r>
          </w:p>
          <w:p w14:paraId="0D124C2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（2）教育促进个体发展的功能</w:t>
            </w:r>
          </w:p>
          <w:p w14:paraId="3F96916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（3）教育促进个体发展的条件</w:t>
            </w:r>
          </w:p>
        </w:tc>
        <w:tc>
          <w:tcPr>
            <w:tcW w:w="1134" w:type="dxa"/>
            <w:vAlign w:val="center"/>
          </w:tcPr>
          <w:p w14:paraId="15E0791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C30C63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1.理解并掌握人的发展的内涵及特征及其影响因素，且能运用其对相关教育理论和实践问题进行分析；</w:t>
            </w:r>
          </w:p>
          <w:p w14:paraId="6D6A296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w:t>
            </w:r>
            <w:r>
              <w:rPr>
                <w:rFonts w:hint="eastAsia" w:ascii="宋体" w:hAnsi="宋体" w:eastAsia="宋体" w:cs="Times New Roman"/>
                <w:color w:val="000000"/>
                <w:szCs w:val="21"/>
              </w:rPr>
              <w:t>并掌握</w:t>
            </w:r>
            <w:r>
              <w:rPr>
                <w:rFonts w:ascii="宋体" w:hAnsi="宋体" w:eastAsia="宋体" w:cs="Times New Roman"/>
                <w:color w:val="000000"/>
                <w:szCs w:val="21"/>
              </w:rPr>
              <w:t>教育与</w:t>
            </w:r>
            <w:r>
              <w:rPr>
                <w:rFonts w:hint="eastAsia" w:ascii="宋体" w:hAnsi="宋体" w:eastAsia="宋体" w:cs="Times New Roman"/>
                <w:color w:val="000000"/>
                <w:szCs w:val="21"/>
              </w:rPr>
              <w:t>个体</w:t>
            </w:r>
            <w:r>
              <w:rPr>
                <w:rFonts w:ascii="宋体" w:hAnsi="宋体" w:eastAsia="宋体" w:cs="Times New Roman"/>
                <w:color w:val="000000"/>
                <w:szCs w:val="21"/>
              </w:rPr>
              <w:t>发展的关系</w:t>
            </w:r>
            <w:r>
              <w:rPr>
                <w:rFonts w:hint="eastAsia" w:ascii="宋体" w:hAnsi="宋体" w:eastAsia="宋体" w:cs="Times New Roman"/>
                <w:color w:val="000000"/>
                <w:szCs w:val="21"/>
              </w:rPr>
              <w:t>，其能运用其对教育相关理论和实践问题进行分析。</w:t>
            </w:r>
          </w:p>
        </w:tc>
        <w:tc>
          <w:tcPr>
            <w:tcW w:w="1560" w:type="dxa"/>
            <w:vAlign w:val="center"/>
          </w:tcPr>
          <w:p w14:paraId="71B078C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FA4584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B17A881">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7C7BD1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57AF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7BB3B2">
            <w:pPr>
              <w:spacing w:line="276" w:lineRule="auto"/>
              <w:jc w:val="center"/>
              <w:rPr>
                <w:rFonts w:hint="eastAsia" w:ascii="宋体" w:hAnsi="宋体" w:eastAsia="宋体" w:cs="Times New Roman"/>
                <w:color w:val="000000"/>
                <w:szCs w:val="21"/>
              </w:rPr>
            </w:pPr>
          </w:p>
        </w:tc>
        <w:tc>
          <w:tcPr>
            <w:tcW w:w="8093" w:type="dxa"/>
            <w:gridSpan w:val="5"/>
            <w:vAlign w:val="center"/>
          </w:tcPr>
          <w:p w14:paraId="503AE1D3">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7950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9FE47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5.教育目的</w:t>
            </w:r>
          </w:p>
        </w:tc>
        <w:tc>
          <w:tcPr>
            <w:tcW w:w="1701" w:type="dxa"/>
            <w:vAlign w:val="center"/>
          </w:tcPr>
          <w:p w14:paraId="6CB4865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（1）教育目的概述</w:t>
            </w:r>
          </w:p>
          <w:p w14:paraId="1C2E09F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（2）我国教育目的的理论基础</w:t>
            </w:r>
          </w:p>
          <w:p w14:paraId="37111CD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（3）我国的教育目的</w:t>
            </w:r>
          </w:p>
          <w:p w14:paraId="5D404BF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（4）素质教育创新人才培养</w:t>
            </w:r>
          </w:p>
        </w:tc>
        <w:tc>
          <w:tcPr>
            <w:tcW w:w="1134" w:type="dxa"/>
            <w:vAlign w:val="center"/>
          </w:tcPr>
          <w:p w14:paraId="360AB31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7F571B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掌握教育目的、培养目标、全面发展教育等基本概念</w:t>
            </w:r>
            <w:r>
              <w:rPr>
                <w:rFonts w:hint="eastAsia" w:ascii="宋体" w:hAnsi="宋体" w:eastAsia="宋体" w:cs="Times New Roman"/>
                <w:color w:val="000000"/>
                <w:szCs w:val="21"/>
              </w:rPr>
              <w:t>；</w:t>
            </w:r>
          </w:p>
          <w:p w14:paraId="5556A9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理解教育目的的内容与功能、依据与类型</w:t>
            </w:r>
            <w:r>
              <w:rPr>
                <w:rFonts w:hint="eastAsia" w:ascii="宋体" w:hAnsi="宋体" w:eastAsia="宋体" w:cs="Times New Roman"/>
                <w:color w:val="000000"/>
                <w:szCs w:val="21"/>
              </w:rPr>
              <w:t>；</w:t>
            </w:r>
          </w:p>
          <w:p w14:paraId="5907992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了解我国教育方针的演变，能够联系实际认识我国教育目的，能够正确认识素质教育和应试教育问题。</w:t>
            </w:r>
          </w:p>
        </w:tc>
        <w:tc>
          <w:tcPr>
            <w:tcW w:w="1560" w:type="dxa"/>
            <w:vAlign w:val="center"/>
          </w:tcPr>
          <w:p w14:paraId="3D88341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410099C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7BB8FB3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93A414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4001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BD91F2">
            <w:pPr>
              <w:spacing w:line="276" w:lineRule="auto"/>
              <w:jc w:val="center"/>
              <w:rPr>
                <w:rFonts w:hint="eastAsia" w:ascii="宋体" w:hAnsi="宋体" w:eastAsia="宋体" w:cs="Times New Roman"/>
                <w:color w:val="000000"/>
                <w:szCs w:val="21"/>
              </w:rPr>
            </w:pPr>
          </w:p>
        </w:tc>
        <w:tc>
          <w:tcPr>
            <w:tcW w:w="8093" w:type="dxa"/>
            <w:gridSpan w:val="5"/>
            <w:vAlign w:val="center"/>
          </w:tcPr>
          <w:p w14:paraId="634544F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478C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599EE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6.人的全面发展</w:t>
            </w:r>
          </w:p>
        </w:tc>
        <w:tc>
          <w:tcPr>
            <w:tcW w:w="1701" w:type="dxa"/>
            <w:vAlign w:val="center"/>
          </w:tcPr>
          <w:p w14:paraId="2DAFF6B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（1）德育</w:t>
            </w:r>
          </w:p>
          <w:p w14:paraId="7846A1D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（2）智育</w:t>
            </w:r>
          </w:p>
          <w:p w14:paraId="43DC8B0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（3）体育</w:t>
            </w:r>
          </w:p>
          <w:p w14:paraId="689E084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（4）美育</w:t>
            </w:r>
          </w:p>
          <w:p w14:paraId="48D276A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（5）劳动技术教育</w:t>
            </w:r>
          </w:p>
        </w:tc>
        <w:tc>
          <w:tcPr>
            <w:tcW w:w="1134" w:type="dxa"/>
            <w:vAlign w:val="center"/>
          </w:tcPr>
          <w:p w14:paraId="0376112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BA8C99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了解人的全面发展理论、内涵以及其相互关系</w:t>
            </w:r>
            <w:r>
              <w:rPr>
                <w:rFonts w:hint="eastAsia" w:ascii="宋体" w:hAnsi="宋体" w:eastAsia="宋体" w:cs="Times New Roman"/>
                <w:color w:val="000000"/>
                <w:szCs w:val="21"/>
              </w:rPr>
              <w:t>；</w:t>
            </w:r>
          </w:p>
          <w:p w14:paraId="7B4B580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理解德育、智育、体育、美育、劳动技术教育的内涵及实施</w:t>
            </w:r>
            <w:r>
              <w:rPr>
                <w:rFonts w:hint="eastAsia" w:ascii="宋体" w:hAnsi="宋体" w:eastAsia="宋体" w:cs="Times New Roman"/>
                <w:color w:val="000000"/>
                <w:szCs w:val="21"/>
              </w:rPr>
              <w:t>；</w:t>
            </w:r>
          </w:p>
          <w:p w14:paraId="366A300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掌握全面发展教育各内容之间的辩证关系</w:t>
            </w:r>
            <w:r>
              <w:rPr>
                <w:rFonts w:hint="eastAsia" w:ascii="宋体" w:hAnsi="宋体" w:eastAsia="宋体" w:cs="Times New Roman"/>
                <w:color w:val="000000"/>
                <w:szCs w:val="21"/>
              </w:rPr>
              <w:t>。</w:t>
            </w:r>
          </w:p>
        </w:tc>
        <w:tc>
          <w:tcPr>
            <w:tcW w:w="1560" w:type="dxa"/>
            <w:vAlign w:val="center"/>
          </w:tcPr>
          <w:p w14:paraId="65DE4AC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12002E6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00627F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4E467A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0E5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ABE643">
            <w:pPr>
              <w:spacing w:line="276" w:lineRule="auto"/>
              <w:jc w:val="center"/>
              <w:rPr>
                <w:rFonts w:hint="eastAsia" w:ascii="宋体" w:hAnsi="宋体" w:eastAsia="宋体" w:cs="Times New Roman"/>
                <w:color w:val="000000"/>
                <w:szCs w:val="21"/>
              </w:rPr>
            </w:pPr>
          </w:p>
        </w:tc>
        <w:tc>
          <w:tcPr>
            <w:tcW w:w="8093" w:type="dxa"/>
            <w:gridSpan w:val="5"/>
            <w:vAlign w:val="center"/>
          </w:tcPr>
          <w:p w14:paraId="2A9D1D9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通过对人的全面发展教育的学习，形成全面发展的教育观，确立从教信念。</w:t>
            </w:r>
          </w:p>
        </w:tc>
      </w:tr>
      <w:tr w14:paraId="6EDF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A9C74E7">
            <w:pPr>
              <w:spacing w:line="276" w:lineRule="auto"/>
              <w:jc w:val="center"/>
              <w:rPr>
                <w:rFonts w:hint="eastAsia" w:ascii="宋体" w:hAnsi="宋体" w:eastAsia="宋体" w:cs="Times New Roman"/>
                <w:szCs w:val="21"/>
              </w:rPr>
            </w:pPr>
            <w:r>
              <w:rPr>
                <w:rFonts w:hint="eastAsia" w:ascii="宋体" w:hAnsi="宋体" w:eastAsia="宋体" w:cs="Times New Roman"/>
                <w:szCs w:val="21"/>
              </w:rPr>
              <w:t>7.学校教育制度</w:t>
            </w:r>
          </w:p>
        </w:tc>
        <w:tc>
          <w:tcPr>
            <w:tcW w:w="1701" w:type="dxa"/>
            <w:vAlign w:val="center"/>
          </w:tcPr>
          <w:p w14:paraId="70E5B81D">
            <w:pPr>
              <w:spacing w:line="276" w:lineRule="auto"/>
              <w:jc w:val="left"/>
              <w:rPr>
                <w:rFonts w:hint="eastAsia" w:ascii="宋体" w:hAnsi="宋体" w:eastAsia="宋体" w:cs="Times New Roman"/>
                <w:szCs w:val="21"/>
              </w:rPr>
            </w:pPr>
            <w:r>
              <w:rPr>
                <w:rFonts w:hint="eastAsia" w:ascii="宋体" w:hAnsi="宋体" w:eastAsia="宋体" w:cs="Times New Roman"/>
                <w:szCs w:val="21"/>
              </w:rPr>
              <w:t>（1）学校的形成与发展</w:t>
            </w:r>
          </w:p>
          <w:p w14:paraId="583FC38E">
            <w:pPr>
              <w:spacing w:line="276" w:lineRule="auto"/>
              <w:jc w:val="left"/>
              <w:rPr>
                <w:rFonts w:hint="eastAsia" w:ascii="宋体" w:hAnsi="宋体" w:eastAsia="宋体" w:cs="Times New Roman"/>
                <w:szCs w:val="21"/>
              </w:rPr>
            </w:pPr>
            <w:r>
              <w:rPr>
                <w:rFonts w:hint="eastAsia" w:ascii="宋体" w:hAnsi="宋体" w:eastAsia="宋体" w:cs="Times New Roman"/>
                <w:szCs w:val="21"/>
              </w:rPr>
              <w:t>（2）现代学校教育制度</w:t>
            </w:r>
          </w:p>
          <w:p w14:paraId="72B3097A">
            <w:pPr>
              <w:spacing w:line="276" w:lineRule="auto"/>
              <w:jc w:val="left"/>
              <w:rPr>
                <w:rFonts w:hint="eastAsia" w:ascii="宋体" w:hAnsi="宋体" w:eastAsia="宋体" w:cs="Times New Roman"/>
                <w:szCs w:val="21"/>
              </w:rPr>
            </w:pPr>
            <w:r>
              <w:rPr>
                <w:rFonts w:hint="eastAsia" w:ascii="宋体" w:hAnsi="宋体" w:eastAsia="宋体" w:cs="Times New Roman"/>
                <w:szCs w:val="21"/>
              </w:rPr>
              <w:t>（3）学校教育制度的改革</w:t>
            </w:r>
          </w:p>
        </w:tc>
        <w:tc>
          <w:tcPr>
            <w:tcW w:w="1134" w:type="dxa"/>
            <w:vAlign w:val="center"/>
          </w:tcPr>
          <w:p w14:paraId="79B51C5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647C25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1）识记教育制度和学校教育制度的含义、现代学校教育制度的类型</w:t>
            </w:r>
            <w:r>
              <w:rPr>
                <w:rFonts w:hint="eastAsia" w:ascii="宋体" w:hAnsi="宋体" w:eastAsia="宋体" w:cs="Times New Roman"/>
                <w:color w:val="000000"/>
                <w:szCs w:val="21"/>
              </w:rPr>
              <w:t>；</w:t>
            </w:r>
          </w:p>
          <w:p w14:paraId="4722D3F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2）理解教育制度和学校教育制度的历史发展过程</w:t>
            </w:r>
            <w:r>
              <w:rPr>
                <w:rFonts w:hint="eastAsia" w:ascii="宋体" w:hAnsi="宋体" w:eastAsia="宋体" w:cs="Times New Roman"/>
                <w:color w:val="000000"/>
                <w:szCs w:val="21"/>
              </w:rPr>
              <w:t>；</w:t>
            </w:r>
          </w:p>
          <w:p w14:paraId="319ECCF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3）把握教育制度和学校教育制度的改革和发展趋势</w:t>
            </w:r>
            <w:r>
              <w:rPr>
                <w:rFonts w:hint="eastAsia" w:ascii="宋体" w:hAnsi="宋体" w:eastAsia="宋体" w:cs="Times New Roman"/>
                <w:color w:val="000000"/>
                <w:szCs w:val="21"/>
              </w:rPr>
              <w:t>；</w:t>
            </w:r>
          </w:p>
          <w:p w14:paraId="1ADBE2B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4）运用学校教育制度的有关知识来分析我国现行教育制度</w:t>
            </w:r>
            <w:r>
              <w:rPr>
                <w:rFonts w:hint="eastAsia" w:ascii="宋体" w:hAnsi="宋体" w:eastAsia="宋体" w:cs="Times New Roman"/>
                <w:color w:val="000000"/>
                <w:szCs w:val="21"/>
              </w:rPr>
              <w:t>。</w:t>
            </w:r>
          </w:p>
        </w:tc>
        <w:tc>
          <w:tcPr>
            <w:tcW w:w="1560" w:type="dxa"/>
            <w:vAlign w:val="center"/>
          </w:tcPr>
          <w:p w14:paraId="7CA66D2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5EDE0F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FD0A0A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DE7056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97E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44E7C82">
            <w:pPr>
              <w:spacing w:line="276" w:lineRule="auto"/>
              <w:jc w:val="center"/>
              <w:rPr>
                <w:rFonts w:hint="eastAsia" w:ascii="宋体" w:hAnsi="宋体" w:eastAsia="宋体" w:cs="Times New Roman"/>
                <w:color w:val="000000"/>
                <w:szCs w:val="21"/>
              </w:rPr>
            </w:pPr>
          </w:p>
        </w:tc>
        <w:tc>
          <w:tcPr>
            <w:tcW w:w="8093" w:type="dxa"/>
            <w:gridSpan w:val="5"/>
            <w:vAlign w:val="center"/>
          </w:tcPr>
          <w:p w14:paraId="6C943BB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了解我国现代学校教育制度的演变及其形态，确立制度自信。</w:t>
            </w:r>
          </w:p>
        </w:tc>
      </w:tr>
      <w:tr w14:paraId="68FD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69DEDC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8.课程</w:t>
            </w:r>
          </w:p>
        </w:tc>
        <w:tc>
          <w:tcPr>
            <w:tcW w:w="1701" w:type="dxa"/>
            <w:vAlign w:val="center"/>
          </w:tcPr>
          <w:p w14:paraId="4FDC46D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（1）课程概述</w:t>
            </w:r>
          </w:p>
          <w:p w14:paraId="73BC2B4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（2）课程开发</w:t>
            </w:r>
          </w:p>
          <w:p w14:paraId="3B0556D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（3）课程改革</w:t>
            </w:r>
          </w:p>
        </w:tc>
        <w:tc>
          <w:tcPr>
            <w:tcW w:w="1134" w:type="dxa"/>
            <w:vAlign w:val="center"/>
          </w:tcPr>
          <w:p w14:paraId="1E6482E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629D6A4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1）了解关于课程本质的不同观点，掌握现代课程的本质和特点，能够批判性地分析各种现代课程的各种理念</w:t>
            </w:r>
            <w:r>
              <w:rPr>
                <w:rFonts w:hint="eastAsia" w:ascii="宋体" w:hAnsi="宋体" w:eastAsia="宋体" w:cs="Times New Roman"/>
                <w:color w:val="000000"/>
                <w:szCs w:val="21"/>
              </w:rPr>
              <w:t>；</w:t>
            </w:r>
          </w:p>
          <w:p w14:paraId="2D934AA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2）了解课程结构的内涵、特点和组织， 能够掌握现代课程资源的类型和开发策略，并能够根据实际工作需要开发课程资源</w:t>
            </w:r>
            <w:r>
              <w:rPr>
                <w:rFonts w:hint="eastAsia" w:ascii="宋体" w:hAnsi="宋体" w:eastAsia="宋体" w:cs="Times New Roman"/>
                <w:color w:val="000000"/>
                <w:szCs w:val="21"/>
              </w:rPr>
              <w:t>；</w:t>
            </w:r>
          </w:p>
          <w:p w14:paraId="3676B24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3）能够正确理解我国基础教育改革的背景、目标、创新，了解其未来的发展趋势。</w:t>
            </w:r>
          </w:p>
        </w:tc>
        <w:tc>
          <w:tcPr>
            <w:tcW w:w="1560" w:type="dxa"/>
            <w:vAlign w:val="center"/>
          </w:tcPr>
          <w:p w14:paraId="27E4D038">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C7F3182">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9A67D3B">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44D4AF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01C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77464E">
            <w:pPr>
              <w:spacing w:line="264" w:lineRule="auto"/>
              <w:jc w:val="center"/>
              <w:rPr>
                <w:rFonts w:hint="eastAsia" w:ascii="宋体" w:hAnsi="宋体" w:eastAsia="宋体" w:cs="Times New Roman"/>
                <w:color w:val="000000"/>
                <w:szCs w:val="21"/>
              </w:rPr>
            </w:pPr>
          </w:p>
        </w:tc>
        <w:tc>
          <w:tcPr>
            <w:tcW w:w="8093" w:type="dxa"/>
            <w:gridSpan w:val="5"/>
            <w:vAlign w:val="center"/>
          </w:tcPr>
          <w:p w14:paraId="61D7FEB8">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理解新课程的基本价值取向是：为了中华民族的复兴，为了每一个学生的发展，培养教育情怀，确立从教信念。</w:t>
            </w:r>
          </w:p>
        </w:tc>
      </w:tr>
      <w:tr w14:paraId="0932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B6C7E1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9.教学</w:t>
            </w:r>
          </w:p>
        </w:tc>
        <w:tc>
          <w:tcPr>
            <w:tcW w:w="1701" w:type="dxa"/>
            <w:vAlign w:val="center"/>
          </w:tcPr>
          <w:p w14:paraId="11D07D3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（1）教学概述</w:t>
            </w:r>
          </w:p>
          <w:p w14:paraId="565ADF9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（2）教学理论与规律</w:t>
            </w:r>
          </w:p>
          <w:p w14:paraId="386DCDC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（3）教学实施</w:t>
            </w:r>
          </w:p>
          <w:p w14:paraId="3525E14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（4）教学改革</w:t>
            </w:r>
          </w:p>
        </w:tc>
        <w:tc>
          <w:tcPr>
            <w:tcW w:w="1134" w:type="dxa"/>
            <w:vAlign w:val="center"/>
          </w:tcPr>
          <w:p w14:paraId="245CE2B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8AA37D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掌握现代教学的概念，理解现代教学的地位，了解现代教学的形成与发展</w:t>
            </w:r>
            <w:r>
              <w:rPr>
                <w:rFonts w:hint="eastAsia" w:ascii="宋体" w:hAnsi="宋体" w:eastAsia="宋体" w:cs="Times New Roman"/>
                <w:color w:val="000000"/>
                <w:szCs w:val="21"/>
              </w:rPr>
              <w:t>；</w:t>
            </w:r>
          </w:p>
          <w:p w14:paraId="1FC007B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理解主要教学理论流派的主张，并结合实际教学加以评论</w:t>
            </w:r>
            <w:r>
              <w:rPr>
                <w:rFonts w:hint="eastAsia" w:ascii="宋体" w:hAnsi="宋体" w:eastAsia="宋体" w:cs="Times New Roman"/>
                <w:color w:val="000000"/>
                <w:szCs w:val="21"/>
              </w:rPr>
              <w:t>；</w:t>
            </w:r>
          </w:p>
          <w:p w14:paraId="44CC258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理解并掌握教学实施的各环节和要素</w:t>
            </w:r>
            <w:r>
              <w:rPr>
                <w:rFonts w:hint="eastAsia" w:ascii="宋体" w:hAnsi="宋体" w:eastAsia="宋体" w:cs="Times New Roman"/>
                <w:color w:val="000000"/>
                <w:szCs w:val="21"/>
              </w:rPr>
              <w:t>；</w:t>
            </w:r>
          </w:p>
          <w:p w14:paraId="28271A4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把握当代我国和世界中小学教学改革的趋势</w:t>
            </w:r>
            <w:r>
              <w:rPr>
                <w:rFonts w:hint="eastAsia" w:ascii="宋体" w:hAnsi="宋体" w:eastAsia="宋体" w:cs="Times New Roman"/>
                <w:color w:val="000000"/>
                <w:szCs w:val="21"/>
              </w:rPr>
              <w:t>。</w:t>
            </w:r>
          </w:p>
        </w:tc>
        <w:tc>
          <w:tcPr>
            <w:tcW w:w="1560" w:type="dxa"/>
            <w:vAlign w:val="center"/>
          </w:tcPr>
          <w:p w14:paraId="43404B75">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56890810">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06D6A1B">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FD63BB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52C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CBD297">
            <w:pPr>
              <w:spacing w:line="264" w:lineRule="auto"/>
              <w:jc w:val="center"/>
              <w:rPr>
                <w:rFonts w:hint="eastAsia" w:ascii="宋体" w:hAnsi="宋体" w:eastAsia="宋体" w:cs="Times New Roman"/>
                <w:color w:val="000000"/>
                <w:szCs w:val="21"/>
              </w:rPr>
            </w:pPr>
          </w:p>
        </w:tc>
        <w:tc>
          <w:tcPr>
            <w:tcW w:w="8093" w:type="dxa"/>
            <w:gridSpan w:val="5"/>
            <w:vAlign w:val="center"/>
          </w:tcPr>
          <w:p w14:paraId="7FF4B499">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学会遵循马克思主义的立场、观点和方法、遵循当代社会的伦理规范来实施教学，同时形成教育公平、民主、法治等的正确理念。</w:t>
            </w:r>
          </w:p>
        </w:tc>
      </w:tr>
      <w:tr w14:paraId="1AFC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2296E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10.教师与学生</w:t>
            </w:r>
          </w:p>
        </w:tc>
        <w:tc>
          <w:tcPr>
            <w:tcW w:w="1701" w:type="dxa"/>
            <w:vAlign w:val="center"/>
          </w:tcPr>
          <w:p w14:paraId="678C58A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（1）教师</w:t>
            </w:r>
          </w:p>
          <w:p w14:paraId="0780174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（2）班主任</w:t>
            </w:r>
          </w:p>
          <w:p w14:paraId="7E5E4BB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（3）学生</w:t>
            </w:r>
          </w:p>
        </w:tc>
        <w:tc>
          <w:tcPr>
            <w:tcW w:w="1134" w:type="dxa"/>
            <w:vAlign w:val="center"/>
          </w:tcPr>
          <w:p w14:paraId="12E815C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p w14:paraId="5B8EEA19">
            <w:pPr>
              <w:spacing w:line="264" w:lineRule="auto"/>
              <w:jc w:val="center"/>
              <w:rPr>
                <w:rFonts w:hint="eastAsia" w:ascii="宋体" w:hAnsi="宋体" w:eastAsia="宋体" w:cs="Times New Roman"/>
                <w:color w:val="000000"/>
                <w:szCs w:val="21"/>
              </w:rPr>
            </w:pPr>
          </w:p>
        </w:tc>
        <w:tc>
          <w:tcPr>
            <w:tcW w:w="3260" w:type="dxa"/>
            <w:vAlign w:val="center"/>
          </w:tcPr>
          <w:p w14:paraId="0E77C0D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了解教师职业的历史发展、特点及意义、教师的权利与义务</w:t>
            </w:r>
            <w:r>
              <w:rPr>
                <w:rFonts w:hint="eastAsia" w:ascii="宋体" w:hAnsi="宋体" w:eastAsia="宋体" w:cs="Times New Roman"/>
                <w:color w:val="000000"/>
                <w:szCs w:val="21"/>
              </w:rPr>
              <w:t>；</w:t>
            </w:r>
          </w:p>
          <w:p w14:paraId="71F8483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理解教师专业发展的内涵和内容、途径；熟悉各级各类教师专业标准</w:t>
            </w:r>
            <w:r>
              <w:rPr>
                <w:rFonts w:hint="eastAsia" w:ascii="宋体" w:hAnsi="宋体" w:eastAsia="宋体" w:cs="Times New Roman"/>
                <w:color w:val="000000"/>
                <w:szCs w:val="21"/>
              </w:rPr>
              <w:t>；</w:t>
            </w:r>
          </w:p>
          <w:p w14:paraId="48F3410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了解班主任的角色、任务与职责</w:t>
            </w:r>
            <w:r>
              <w:rPr>
                <w:rFonts w:hint="eastAsia" w:ascii="宋体" w:hAnsi="宋体" w:eastAsia="宋体" w:cs="Times New Roman"/>
                <w:color w:val="000000"/>
                <w:szCs w:val="21"/>
              </w:rPr>
              <w:t>；</w:t>
            </w:r>
          </w:p>
          <w:p w14:paraId="38F43CD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描述学生身心发展的一般规律和时代特点；了解学生的权利与义务；描述理想的师生关系特点及建构策略</w:t>
            </w:r>
            <w:r>
              <w:rPr>
                <w:rFonts w:hint="eastAsia" w:ascii="宋体" w:hAnsi="宋体" w:eastAsia="宋体" w:cs="Times New Roman"/>
                <w:color w:val="000000"/>
                <w:szCs w:val="21"/>
              </w:rPr>
              <w:t>；</w:t>
            </w:r>
          </w:p>
          <w:p w14:paraId="13EB91E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以马克思关于人的本质和人的发展的观点，阐述理想的学生观</w:t>
            </w:r>
            <w:r>
              <w:rPr>
                <w:rFonts w:hint="eastAsia" w:ascii="宋体" w:hAnsi="宋体" w:eastAsia="宋体" w:cs="Times New Roman"/>
                <w:color w:val="000000"/>
                <w:szCs w:val="21"/>
              </w:rPr>
              <w:t>。</w:t>
            </w:r>
          </w:p>
        </w:tc>
        <w:tc>
          <w:tcPr>
            <w:tcW w:w="1560" w:type="dxa"/>
            <w:vAlign w:val="center"/>
          </w:tcPr>
          <w:p w14:paraId="1E2531DD">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E9CC9CF">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86587DA">
            <w:pPr>
              <w:spacing w:line="264"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CFAA12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E05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9B8F599">
            <w:pPr>
              <w:spacing w:line="264" w:lineRule="auto"/>
              <w:jc w:val="center"/>
              <w:rPr>
                <w:rFonts w:hint="eastAsia" w:ascii="宋体" w:hAnsi="宋体" w:eastAsia="宋体" w:cs="Times New Roman"/>
                <w:color w:val="000000"/>
                <w:szCs w:val="21"/>
              </w:rPr>
            </w:pPr>
          </w:p>
        </w:tc>
        <w:tc>
          <w:tcPr>
            <w:tcW w:w="8093" w:type="dxa"/>
            <w:gridSpan w:val="5"/>
            <w:vAlign w:val="center"/>
          </w:tcPr>
          <w:p w14:paraId="424D4EFE">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bl>
    <w:p w14:paraId="447BFDA9">
      <w:pPr>
        <w:spacing w:line="360" w:lineRule="auto"/>
        <w:jc w:val="left"/>
        <w:rPr>
          <w:rFonts w:ascii="Times New Roman" w:hAnsi="Times New Roman" w:eastAsia="宋体" w:cs="Times New Roman"/>
          <w:sz w:val="24"/>
          <w:szCs w:val="24"/>
        </w:rPr>
      </w:pPr>
    </w:p>
    <w:p w14:paraId="4766822A">
      <w:pPr>
        <w:spacing w:line="360" w:lineRule="auto"/>
        <w:jc w:val="left"/>
        <w:outlineLvl w:val="0"/>
        <w:rPr>
          <w:rFonts w:ascii="Times New Roman" w:hAnsi="Times New Roman" w:eastAsia="宋体" w:cs="Times New Roman"/>
          <w:sz w:val="24"/>
          <w:szCs w:val="24"/>
        </w:rPr>
      </w:pPr>
      <w:bookmarkStart w:id="541" w:name="_Toc31553"/>
      <w:bookmarkStart w:id="542" w:name="_Toc7946"/>
      <w:bookmarkStart w:id="543" w:name="_Toc31686"/>
      <w:bookmarkStart w:id="544" w:name="_Toc15950"/>
      <w:bookmarkStart w:id="545" w:name="_Toc12391"/>
      <w:bookmarkStart w:id="546" w:name="_Toc19561"/>
      <w:bookmarkStart w:id="547" w:name="_Toc23925"/>
      <w:r>
        <w:rPr>
          <w:rFonts w:hint="eastAsia" w:ascii="宋体" w:hAnsi="宋体" w:eastAsia="宋体" w:cs="Times New Roman"/>
          <w:b/>
          <w:color w:val="000000"/>
          <w:sz w:val="24"/>
          <w:szCs w:val="24"/>
        </w:rPr>
        <w:t>四、目标评价与成绩评定</w:t>
      </w:r>
      <w:bookmarkEnd w:id="541"/>
      <w:bookmarkEnd w:id="542"/>
      <w:bookmarkEnd w:id="543"/>
      <w:bookmarkEnd w:id="544"/>
      <w:bookmarkEnd w:id="545"/>
      <w:bookmarkEnd w:id="546"/>
      <w:bookmarkEnd w:id="547"/>
    </w:p>
    <w:p w14:paraId="263013E3">
      <w:pPr>
        <w:spacing w:line="360" w:lineRule="auto"/>
        <w:jc w:val="left"/>
        <w:outlineLvl w:val="1"/>
        <w:rPr>
          <w:rFonts w:ascii="Times New Roman" w:hAnsi="Times New Roman" w:eastAsia="宋体" w:cs="Times New Roman"/>
          <w:b/>
          <w:szCs w:val="21"/>
        </w:rPr>
      </w:pPr>
      <w:bookmarkStart w:id="548" w:name="_Toc32071"/>
      <w:r>
        <w:rPr>
          <w:rFonts w:hint="eastAsia" w:ascii="Times New Roman" w:hAnsi="Times New Roman" w:eastAsia="宋体" w:cs="Times New Roman"/>
          <w:b/>
          <w:szCs w:val="21"/>
        </w:rPr>
        <w:t>（一）课程目标评价方式</w:t>
      </w:r>
      <w:bookmarkEnd w:id="548"/>
    </w:p>
    <w:p w14:paraId="468C701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91CB4D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8D5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83AF27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01989837">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6A9C4D2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65D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D140421">
            <w:pPr>
              <w:spacing w:line="360" w:lineRule="auto"/>
              <w:jc w:val="center"/>
              <w:rPr>
                <w:rFonts w:hint="eastAsia" w:ascii="宋体" w:hAnsi="宋体" w:eastAsia="宋体" w:cs="Times New Roman"/>
                <w:szCs w:val="21"/>
              </w:rPr>
            </w:pPr>
          </w:p>
        </w:tc>
        <w:tc>
          <w:tcPr>
            <w:tcW w:w="0" w:type="auto"/>
            <w:vAlign w:val="center"/>
          </w:tcPr>
          <w:p w14:paraId="07BD44A1">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1C95BAC">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A821D61">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1BE196DF">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598704FC">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4C7B44C3">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402485C4">
            <w:pPr>
              <w:spacing w:line="360" w:lineRule="auto"/>
              <w:jc w:val="center"/>
              <w:rPr>
                <w:rFonts w:hint="eastAsia" w:ascii="宋体" w:hAnsi="宋体" w:eastAsia="宋体" w:cs="Times New Roman"/>
                <w:szCs w:val="21"/>
              </w:rPr>
            </w:pPr>
          </w:p>
        </w:tc>
      </w:tr>
      <w:tr w14:paraId="4313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C72FE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7CADC20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FF19A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BABA7C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3B91DD2">
            <w:pPr>
              <w:spacing w:line="360" w:lineRule="auto"/>
              <w:jc w:val="center"/>
              <w:rPr>
                <w:rFonts w:hint="eastAsia" w:ascii="宋体" w:hAnsi="宋体" w:eastAsia="宋体" w:cs="Times New Roman"/>
                <w:szCs w:val="21"/>
              </w:rPr>
            </w:pPr>
          </w:p>
        </w:tc>
        <w:tc>
          <w:tcPr>
            <w:tcW w:w="0" w:type="auto"/>
            <w:vAlign w:val="center"/>
          </w:tcPr>
          <w:p w14:paraId="523D1EF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3A87C4C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35EB33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57D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C227A1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950880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FF17AC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8FFBF5D">
            <w:pPr>
              <w:spacing w:line="360" w:lineRule="auto"/>
              <w:jc w:val="center"/>
              <w:rPr>
                <w:rFonts w:hint="eastAsia" w:ascii="宋体" w:hAnsi="宋体" w:eastAsia="宋体" w:cs="Times New Roman"/>
                <w:szCs w:val="21"/>
              </w:rPr>
            </w:pPr>
          </w:p>
        </w:tc>
        <w:tc>
          <w:tcPr>
            <w:tcW w:w="0" w:type="auto"/>
            <w:vAlign w:val="center"/>
          </w:tcPr>
          <w:p w14:paraId="0580B02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6BB695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6B8AC860">
            <w:pPr>
              <w:spacing w:line="360" w:lineRule="auto"/>
              <w:jc w:val="center"/>
              <w:rPr>
                <w:rFonts w:hint="eastAsia" w:ascii="宋体" w:hAnsi="宋体" w:eastAsia="宋体" w:cs="Times New Roman"/>
                <w:szCs w:val="21"/>
              </w:rPr>
            </w:pPr>
          </w:p>
        </w:tc>
        <w:tc>
          <w:tcPr>
            <w:tcW w:w="0" w:type="auto"/>
            <w:vAlign w:val="center"/>
          </w:tcPr>
          <w:p w14:paraId="6FEC3361">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0570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1D93FA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2810D71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DE1675B">
            <w:pPr>
              <w:spacing w:line="360" w:lineRule="auto"/>
              <w:jc w:val="center"/>
              <w:rPr>
                <w:rFonts w:hint="eastAsia" w:ascii="宋体" w:hAnsi="宋体" w:eastAsia="宋体" w:cs="Times New Roman"/>
                <w:szCs w:val="21"/>
              </w:rPr>
            </w:pPr>
          </w:p>
        </w:tc>
        <w:tc>
          <w:tcPr>
            <w:tcW w:w="0" w:type="auto"/>
            <w:vAlign w:val="center"/>
          </w:tcPr>
          <w:p w14:paraId="42D3023C">
            <w:pPr>
              <w:spacing w:line="360" w:lineRule="auto"/>
              <w:jc w:val="center"/>
              <w:rPr>
                <w:rFonts w:hint="eastAsia" w:ascii="宋体" w:hAnsi="宋体" w:eastAsia="宋体" w:cs="Times New Roman"/>
                <w:szCs w:val="21"/>
              </w:rPr>
            </w:pPr>
          </w:p>
        </w:tc>
        <w:tc>
          <w:tcPr>
            <w:tcW w:w="0" w:type="auto"/>
            <w:vAlign w:val="center"/>
          </w:tcPr>
          <w:p w14:paraId="5E6DEECB">
            <w:pPr>
              <w:spacing w:line="360" w:lineRule="auto"/>
              <w:jc w:val="center"/>
              <w:rPr>
                <w:rFonts w:hint="eastAsia" w:ascii="宋体" w:hAnsi="宋体" w:eastAsia="宋体" w:cs="Times New Roman"/>
                <w:szCs w:val="21"/>
              </w:rPr>
            </w:pPr>
          </w:p>
        </w:tc>
        <w:tc>
          <w:tcPr>
            <w:tcW w:w="0" w:type="auto"/>
            <w:vAlign w:val="center"/>
          </w:tcPr>
          <w:p w14:paraId="5E96F27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67EC13BD">
            <w:pPr>
              <w:spacing w:line="360" w:lineRule="auto"/>
              <w:jc w:val="center"/>
              <w:rPr>
                <w:rFonts w:hint="eastAsia" w:ascii="宋体" w:hAnsi="宋体" w:eastAsia="宋体" w:cs="Times New Roman"/>
                <w:szCs w:val="21"/>
              </w:rPr>
            </w:pPr>
          </w:p>
        </w:tc>
        <w:tc>
          <w:tcPr>
            <w:tcW w:w="0" w:type="auto"/>
            <w:vAlign w:val="center"/>
          </w:tcPr>
          <w:p w14:paraId="10DE139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5DC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B7460BB">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C6542C7">
            <w:pPr>
              <w:spacing w:line="360" w:lineRule="auto"/>
              <w:jc w:val="center"/>
              <w:rPr>
                <w:rFonts w:hint="eastAsia" w:ascii="宋体" w:hAnsi="宋体" w:eastAsia="宋体" w:cs="Times New Roman"/>
                <w:szCs w:val="21"/>
              </w:rPr>
            </w:pPr>
          </w:p>
        </w:tc>
        <w:tc>
          <w:tcPr>
            <w:tcW w:w="0" w:type="auto"/>
            <w:vAlign w:val="center"/>
          </w:tcPr>
          <w:p w14:paraId="3F806EFF">
            <w:pPr>
              <w:spacing w:line="360" w:lineRule="auto"/>
              <w:jc w:val="center"/>
              <w:rPr>
                <w:rFonts w:hint="eastAsia" w:ascii="宋体" w:hAnsi="宋体" w:eastAsia="宋体" w:cs="Times New Roman"/>
                <w:szCs w:val="21"/>
              </w:rPr>
            </w:pPr>
          </w:p>
        </w:tc>
        <w:tc>
          <w:tcPr>
            <w:tcW w:w="0" w:type="auto"/>
            <w:vAlign w:val="center"/>
          </w:tcPr>
          <w:p w14:paraId="0AD0A622">
            <w:pPr>
              <w:spacing w:line="360" w:lineRule="auto"/>
              <w:jc w:val="center"/>
              <w:rPr>
                <w:rFonts w:hint="eastAsia" w:ascii="宋体" w:hAnsi="宋体" w:eastAsia="宋体" w:cs="Times New Roman"/>
                <w:szCs w:val="21"/>
              </w:rPr>
            </w:pPr>
          </w:p>
        </w:tc>
        <w:tc>
          <w:tcPr>
            <w:tcW w:w="0" w:type="auto"/>
            <w:vAlign w:val="center"/>
          </w:tcPr>
          <w:p w14:paraId="0F9FC932">
            <w:pPr>
              <w:spacing w:line="360" w:lineRule="auto"/>
              <w:jc w:val="center"/>
              <w:rPr>
                <w:rFonts w:hint="eastAsia" w:ascii="宋体" w:hAnsi="宋体" w:eastAsia="宋体" w:cs="Times New Roman"/>
                <w:szCs w:val="21"/>
              </w:rPr>
            </w:pPr>
          </w:p>
        </w:tc>
        <w:tc>
          <w:tcPr>
            <w:tcW w:w="0" w:type="auto"/>
            <w:vAlign w:val="center"/>
          </w:tcPr>
          <w:p w14:paraId="13487CB7">
            <w:pPr>
              <w:spacing w:line="360" w:lineRule="auto"/>
              <w:jc w:val="center"/>
              <w:rPr>
                <w:rFonts w:hint="eastAsia" w:ascii="宋体" w:hAnsi="宋体" w:eastAsia="宋体" w:cs="Times New Roman"/>
                <w:szCs w:val="21"/>
              </w:rPr>
            </w:pPr>
          </w:p>
        </w:tc>
        <w:tc>
          <w:tcPr>
            <w:tcW w:w="0" w:type="auto"/>
          </w:tcPr>
          <w:p w14:paraId="28AFC462">
            <w:pPr>
              <w:spacing w:line="360" w:lineRule="auto"/>
              <w:jc w:val="center"/>
              <w:rPr>
                <w:rFonts w:hint="eastAsia" w:ascii="宋体" w:hAnsi="宋体" w:eastAsia="宋体" w:cs="Times New Roman"/>
                <w:szCs w:val="21"/>
              </w:rPr>
            </w:pPr>
          </w:p>
        </w:tc>
        <w:tc>
          <w:tcPr>
            <w:tcW w:w="0" w:type="auto"/>
            <w:vAlign w:val="center"/>
          </w:tcPr>
          <w:p w14:paraId="6CEA08D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FF5E0E8">
      <w:pPr>
        <w:spacing w:before="156" w:beforeLines="50" w:line="360" w:lineRule="auto"/>
        <w:jc w:val="left"/>
        <w:outlineLvl w:val="1"/>
        <w:rPr>
          <w:rFonts w:ascii="Times New Roman" w:hAnsi="Times New Roman" w:eastAsia="宋体" w:cs="Times New Roman"/>
          <w:b/>
          <w:szCs w:val="21"/>
        </w:rPr>
      </w:pPr>
      <w:bookmarkStart w:id="549" w:name="_Toc25949"/>
      <w:r>
        <w:rPr>
          <w:rFonts w:hint="eastAsia" w:ascii="Times New Roman" w:hAnsi="Times New Roman" w:eastAsia="宋体" w:cs="Times New Roman"/>
          <w:b/>
          <w:szCs w:val="21"/>
        </w:rPr>
        <w:t>（二）成绩评定细则</w:t>
      </w:r>
      <w:bookmarkEnd w:id="549"/>
    </w:p>
    <w:p w14:paraId="5843F33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50476F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169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32184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809D71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99370C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08F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7F5724">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B8AACA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2F29F63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C62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1E546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B0E88BE">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CF0CCA6">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7E74BF2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48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C75E6B">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70EE29A0">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0" w:type="auto"/>
            <w:vAlign w:val="center"/>
          </w:tcPr>
          <w:p w14:paraId="6E8B756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B64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887A71">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4F51A04A">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课前5分钟左右，每位同学评说教育时事、教育事件或教育现象等，以学生表达的流程性、逻辑性和分析的深度为评分的主要依据。</w:t>
            </w:r>
          </w:p>
        </w:tc>
        <w:tc>
          <w:tcPr>
            <w:tcW w:w="0" w:type="auto"/>
            <w:vAlign w:val="center"/>
          </w:tcPr>
          <w:p w14:paraId="023F929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5CB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104DA47">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C5BD0B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B316B1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1E4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1BEDC4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C89113E">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48D75B40">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161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7457AC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02C8E0D">
            <w:pPr>
              <w:jc w:val="left"/>
              <w:rPr>
                <w:rFonts w:ascii="Times New Roman" w:hAnsi="Times New Roman" w:eastAsia="宋体" w:cs="Times New Roman"/>
                <w:szCs w:val="21"/>
              </w:rPr>
            </w:pPr>
          </w:p>
        </w:tc>
        <w:tc>
          <w:tcPr>
            <w:tcW w:w="0" w:type="auto"/>
            <w:vAlign w:val="center"/>
          </w:tcPr>
          <w:p w14:paraId="7AD2AC63">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0B62A87">
      <w:pPr>
        <w:spacing w:line="360" w:lineRule="auto"/>
        <w:jc w:val="left"/>
        <w:outlineLvl w:val="1"/>
        <w:rPr>
          <w:rFonts w:hint="eastAsia" w:ascii="宋体" w:hAnsi="宋体" w:eastAsia="宋体" w:cs="Times New Roman"/>
          <w:b/>
          <w:color w:val="000000"/>
          <w:szCs w:val="21"/>
        </w:rPr>
      </w:pPr>
      <w:bookmarkStart w:id="550" w:name="_Toc20607"/>
      <w:r>
        <w:rPr>
          <w:rFonts w:hint="eastAsia" w:ascii="宋体" w:hAnsi="宋体" w:eastAsia="宋体" w:cs="Times New Roman"/>
          <w:b/>
          <w:color w:val="000000"/>
          <w:szCs w:val="21"/>
        </w:rPr>
        <w:t>（三）课程目标达成度计算方法</w:t>
      </w:r>
      <w:bookmarkEnd w:id="550"/>
    </w:p>
    <w:p w14:paraId="2E9495A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30C788B">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40"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40" DrawAspect="Content" ObjectID="_1468075740" r:id="rId23">
            <o:LockedField>false</o:LockedField>
          </o:OLEObject>
        </w:object>
      </w:r>
    </w:p>
    <w:p w14:paraId="43B6A527">
      <w:pPr>
        <w:spacing w:before="156" w:beforeLines="50" w:line="360" w:lineRule="auto"/>
        <w:jc w:val="left"/>
        <w:outlineLvl w:val="0"/>
        <w:rPr>
          <w:rFonts w:ascii="Times New Roman" w:hAnsi="Times New Roman" w:eastAsia="宋体" w:cs="Times New Roman"/>
          <w:b/>
          <w:sz w:val="24"/>
          <w:szCs w:val="24"/>
        </w:rPr>
      </w:pPr>
      <w:bookmarkStart w:id="551" w:name="_Toc10903"/>
      <w:bookmarkStart w:id="552" w:name="_Toc20388"/>
      <w:bookmarkStart w:id="553" w:name="_Toc15129"/>
      <w:bookmarkStart w:id="554" w:name="_Toc25389"/>
      <w:bookmarkStart w:id="555" w:name="_Toc13884"/>
      <w:bookmarkStart w:id="556" w:name="_Toc6684"/>
      <w:bookmarkStart w:id="557" w:name="_Toc31343"/>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551"/>
      <w:bookmarkEnd w:id="552"/>
      <w:bookmarkEnd w:id="553"/>
      <w:bookmarkEnd w:id="554"/>
      <w:bookmarkEnd w:id="555"/>
      <w:bookmarkEnd w:id="556"/>
      <w:bookmarkEnd w:id="557"/>
    </w:p>
    <w:p w14:paraId="6E7F44AB">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44B1AEBE">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D56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F28C4D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C399D8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79F28B9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C074F6A">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71F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34145F2">
            <w:pPr>
              <w:spacing w:line="276" w:lineRule="auto"/>
              <w:jc w:val="left"/>
              <w:rPr>
                <w:rFonts w:hint="eastAsia" w:ascii="宋体" w:hAnsi="宋体" w:eastAsia="宋体" w:cs="宋体"/>
                <w:szCs w:val="21"/>
              </w:rPr>
            </w:pPr>
            <w:r>
              <w:rPr>
                <w:rFonts w:hint="eastAsia" w:ascii="宋体" w:hAnsi="宋体" w:eastAsia="宋体" w:cs="宋体"/>
                <w:szCs w:val="21"/>
              </w:rPr>
              <w:t>教育家精神</w:t>
            </w:r>
          </w:p>
        </w:tc>
        <w:tc>
          <w:tcPr>
            <w:tcW w:w="3407" w:type="dxa"/>
            <w:vAlign w:val="center"/>
          </w:tcPr>
          <w:p w14:paraId="20121907">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通过阅读相关书籍或讲述中国教育家的故事，进行课堂主题讨论，让学生领会教育家精神</w:t>
            </w:r>
          </w:p>
        </w:tc>
        <w:tc>
          <w:tcPr>
            <w:tcW w:w="740" w:type="dxa"/>
            <w:vAlign w:val="center"/>
          </w:tcPr>
          <w:p w14:paraId="4E1650F1">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61BA454D">
            <w:pPr>
              <w:spacing w:line="276" w:lineRule="auto"/>
              <w:jc w:val="left"/>
              <w:rPr>
                <w:rFonts w:hint="eastAsia"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1C93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67D2958">
            <w:pPr>
              <w:spacing w:line="276" w:lineRule="auto"/>
              <w:jc w:val="left"/>
              <w:rPr>
                <w:rFonts w:hint="eastAsia" w:ascii="宋体" w:hAnsi="宋体" w:eastAsia="宋体" w:cs="宋体"/>
                <w:szCs w:val="21"/>
              </w:rPr>
            </w:pPr>
            <w:r>
              <w:rPr>
                <w:rFonts w:hint="eastAsia" w:ascii="宋体" w:hAnsi="宋体" w:eastAsia="宋体" w:cs="宋体"/>
                <w:szCs w:val="21"/>
              </w:rPr>
              <w:t>最美教师或师德模范进课堂</w:t>
            </w:r>
          </w:p>
        </w:tc>
        <w:tc>
          <w:tcPr>
            <w:tcW w:w="3407" w:type="dxa"/>
            <w:vAlign w:val="center"/>
          </w:tcPr>
          <w:p w14:paraId="69FB212C">
            <w:pPr>
              <w:spacing w:line="276" w:lineRule="auto"/>
              <w:jc w:val="left"/>
              <w:rPr>
                <w:rFonts w:hint="eastAsia" w:ascii="宋体" w:hAnsi="宋体" w:eastAsia="宋体" w:cs="宋体"/>
                <w:szCs w:val="21"/>
              </w:rPr>
            </w:pPr>
            <w:r>
              <w:rPr>
                <w:rFonts w:hint="eastAsia" w:ascii="宋体" w:hAnsi="宋体" w:eastAsia="宋体" w:cs="宋体"/>
                <w:szCs w:val="21"/>
              </w:rPr>
              <w:t>邀请当地获得最美教师、师德模范等荣誉称号的教师做报告，让学生进一步认识基础一线优秀教师的优秀事迹并向他们学习。</w:t>
            </w:r>
          </w:p>
        </w:tc>
        <w:tc>
          <w:tcPr>
            <w:tcW w:w="740" w:type="dxa"/>
            <w:vAlign w:val="center"/>
          </w:tcPr>
          <w:p w14:paraId="6844B855">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0F14AF8F">
            <w:pPr>
              <w:spacing w:line="276" w:lineRule="auto"/>
              <w:jc w:val="left"/>
              <w:rPr>
                <w:rFonts w:hint="eastAsia" w:ascii="宋体" w:hAnsi="宋体" w:eastAsia="宋体" w:cs="宋体"/>
                <w:szCs w:val="21"/>
              </w:rPr>
            </w:pPr>
            <w:r>
              <w:rPr>
                <w:rFonts w:hint="eastAsia" w:ascii="宋体" w:hAnsi="宋体" w:eastAsia="宋体" w:cs="宋体"/>
                <w:szCs w:val="21"/>
              </w:rPr>
              <w:t>用榜样的力量激发学生爱岗敬业、立志成为卓越教师，为党和国家的发展做出贡献。</w:t>
            </w:r>
          </w:p>
        </w:tc>
      </w:tr>
      <w:tr w14:paraId="738A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2B1FDCA">
            <w:pPr>
              <w:spacing w:line="276" w:lineRule="auto"/>
              <w:jc w:val="left"/>
              <w:rPr>
                <w:rFonts w:hint="eastAsia" w:ascii="宋体" w:hAnsi="宋体" w:eastAsia="宋体" w:cs="宋体"/>
                <w:szCs w:val="21"/>
              </w:rPr>
            </w:pPr>
            <w:r>
              <w:rPr>
                <w:rFonts w:hint="eastAsia" w:ascii="宋体" w:hAnsi="宋体" w:eastAsia="宋体" w:cs="宋体"/>
                <w:szCs w:val="21"/>
              </w:rPr>
              <w:t>寻找最感动我的教师</w:t>
            </w:r>
          </w:p>
        </w:tc>
        <w:tc>
          <w:tcPr>
            <w:tcW w:w="3407" w:type="dxa"/>
            <w:vAlign w:val="center"/>
          </w:tcPr>
          <w:p w14:paraId="1C44CCC3">
            <w:pPr>
              <w:spacing w:line="276" w:lineRule="auto"/>
              <w:jc w:val="left"/>
              <w:rPr>
                <w:rFonts w:hint="eastAsia" w:ascii="宋体" w:hAnsi="宋体" w:eastAsia="宋体" w:cs="宋体"/>
                <w:szCs w:val="21"/>
              </w:rPr>
            </w:pPr>
            <w:r>
              <w:rPr>
                <w:rFonts w:hint="eastAsia" w:ascii="宋体" w:hAnsi="宋体" w:eastAsia="宋体" w:cs="宋体"/>
                <w:szCs w:val="21"/>
              </w:rPr>
              <w:t>利用假期，让学生访谈自己求学生涯中最感动自己的教师，在调查中加强对教育和教师的认识。</w:t>
            </w:r>
          </w:p>
        </w:tc>
        <w:tc>
          <w:tcPr>
            <w:tcW w:w="740" w:type="dxa"/>
            <w:vAlign w:val="center"/>
          </w:tcPr>
          <w:p w14:paraId="3AF0FFBB">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1A574067">
            <w:pPr>
              <w:spacing w:line="276" w:lineRule="auto"/>
              <w:jc w:val="left"/>
              <w:rPr>
                <w:rFonts w:hint="eastAsia" w:ascii="宋体" w:hAnsi="宋体" w:eastAsia="宋体" w:cs="宋体"/>
                <w:szCs w:val="21"/>
              </w:rPr>
            </w:pPr>
            <w:r>
              <w:rPr>
                <w:rFonts w:hint="eastAsia" w:ascii="宋体" w:hAnsi="宋体" w:eastAsia="宋体" w:cs="宋体"/>
                <w:szCs w:val="21"/>
              </w:rPr>
              <w:t>提高学生对教师职业特性的认识，增强学生从教意愿、责任感、使命感和职业荣耀感， 愿意为党和国家的教育事业奉献终身。</w:t>
            </w:r>
          </w:p>
        </w:tc>
      </w:tr>
      <w:tr w14:paraId="36FB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77DE7D0">
            <w:pPr>
              <w:spacing w:line="276" w:lineRule="auto"/>
              <w:jc w:val="left"/>
              <w:rPr>
                <w:rFonts w:hint="eastAsia" w:ascii="宋体" w:hAnsi="宋体" w:eastAsia="宋体" w:cs="宋体"/>
                <w:szCs w:val="21"/>
              </w:rPr>
            </w:pPr>
            <w:r>
              <w:rPr>
                <w:rFonts w:hint="eastAsia" w:ascii="宋体" w:hAnsi="宋体" w:eastAsia="宋体" w:cs="宋体"/>
                <w:szCs w:val="21"/>
              </w:rPr>
              <w:t>师范生从教宣誓</w:t>
            </w:r>
          </w:p>
        </w:tc>
        <w:tc>
          <w:tcPr>
            <w:tcW w:w="3407" w:type="dxa"/>
            <w:vAlign w:val="center"/>
          </w:tcPr>
          <w:p w14:paraId="0BE07F32">
            <w:pPr>
              <w:spacing w:line="276" w:lineRule="auto"/>
              <w:jc w:val="left"/>
              <w:rPr>
                <w:rFonts w:hint="eastAsia" w:ascii="宋体" w:hAnsi="宋体" w:eastAsia="宋体" w:cs="宋体"/>
                <w:szCs w:val="21"/>
              </w:rPr>
            </w:pPr>
            <w:r>
              <w:rPr>
                <w:rFonts w:hint="eastAsia" w:ascii="宋体" w:hAnsi="宋体" w:eastAsia="宋体" w:cs="宋体"/>
                <w:szCs w:val="21"/>
              </w:rPr>
              <w:t>学期末，结合课程中的所思、所感、和所得 ，以活动展示的新式进行从教宣誓活动。</w:t>
            </w:r>
          </w:p>
        </w:tc>
        <w:tc>
          <w:tcPr>
            <w:tcW w:w="740" w:type="dxa"/>
            <w:vAlign w:val="center"/>
          </w:tcPr>
          <w:p w14:paraId="1859A0CB">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7B132FEA">
            <w:pPr>
              <w:spacing w:line="276" w:lineRule="auto"/>
              <w:jc w:val="left"/>
              <w:rPr>
                <w:rFonts w:hint="eastAsia" w:ascii="宋体" w:hAnsi="宋体" w:eastAsia="宋体" w:cs="宋体"/>
                <w:szCs w:val="21"/>
              </w:rPr>
            </w:pPr>
            <w:r>
              <w:rPr>
                <w:rFonts w:hint="eastAsia" w:ascii="宋体" w:hAnsi="宋体" w:eastAsia="宋体" w:cs="宋体"/>
                <w:szCs w:val="21"/>
              </w:rPr>
              <w:t>用庄严的意识，增强学生从教的意愿，以及成为人民教师的荣耀感、责任感和使命感。</w:t>
            </w:r>
          </w:p>
        </w:tc>
      </w:tr>
    </w:tbl>
    <w:p w14:paraId="396A8050">
      <w:pPr>
        <w:spacing w:line="360" w:lineRule="auto"/>
        <w:ind w:firstLine="551" w:firstLineChars="196"/>
        <w:jc w:val="left"/>
        <w:rPr>
          <w:rFonts w:hint="eastAsia" w:ascii="宋体" w:hAnsi="宋体" w:eastAsia="宋体" w:cs="Times New Roman"/>
          <w:b/>
          <w:color w:val="000000"/>
          <w:sz w:val="28"/>
          <w:szCs w:val="28"/>
        </w:rPr>
      </w:pPr>
    </w:p>
    <w:p w14:paraId="05999CD4">
      <w:pPr>
        <w:spacing w:line="360" w:lineRule="auto"/>
        <w:jc w:val="left"/>
        <w:outlineLvl w:val="0"/>
        <w:rPr>
          <w:rFonts w:ascii="Times New Roman" w:hAnsi="Times New Roman" w:eastAsia="宋体" w:cs="Times New Roman"/>
          <w:b/>
          <w:bCs/>
          <w:sz w:val="24"/>
          <w:szCs w:val="24"/>
        </w:rPr>
      </w:pPr>
      <w:bookmarkStart w:id="558" w:name="_Toc12535"/>
      <w:bookmarkStart w:id="559" w:name="_Toc8628"/>
      <w:bookmarkStart w:id="560" w:name="_Toc1458"/>
      <w:bookmarkStart w:id="561" w:name="_Toc30915"/>
      <w:bookmarkStart w:id="562" w:name="_Toc5552"/>
      <w:bookmarkStart w:id="563" w:name="_Toc12547"/>
      <w:bookmarkStart w:id="564" w:name="_Toc22725"/>
      <w:r>
        <w:rPr>
          <w:rFonts w:hint="eastAsia" w:ascii="宋体" w:hAnsi="宋体" w:eastAsia="宋体" w:cs="Times New Roman"/>
          <w:b/>
          <w:color w:val="000000"/>
          <w:sz w:val="24"/>
          <w:szCs w:val="24"/>
        </w:rPr>
        <w:t>六、有关说明</w:t>
      </w:r>
      <w:bookmarkEnd w:id="558"/>
      <w:bookmarkEnd w:id="559"/>
      <w:bookmarkEnd w:id="560"/>
      <w:bookmarkEnd w:id="561"/>
      <w:bookmarkEnd w:id="562"/>
      <w:bookmarkEnd w:id="563"/>
      <w:bookmarkEnd w:id="564"/>
    </w:p>
    <w:p w14:paraId="41137D52">
      <w:pPr>
        <w:spacing w:line="360" w:lineRule="auto"/>
        <w:jc w:val="left"/>
        <w:outlineLvl w:val="1"/>
        <w:rPr>
          <w:rFonts w:ascii="Times New Roman" w:hAnsi="Times New Roman" w:eastAsia="宋体" w:cs="Times New Roman"/>
          <w:b/>
          <w:szCs w:val="21"/>
        </w:rPr>
      </w:pPr>
      <w:bookmarkStart w:id="565" w:name="_Toc11285"/>
      <w:r>
        <w:rPr>
          <w:rFonts w:hint="eastAsia" w:ascii="Times New Roman" w:hAnsi="Times New Roman" w:eastAsia="宋体" w:cs="Times New Roman"/>
          <w:b/>
          <w:szCs w:val="21"/>
        </w:rPr>
        <w:t>（一）持续改进</w:t>
      </w:r>
      <w:bookmarkEnd w:id="565"/>
    </w:p>
    <w:p w14:paraId="6F384A3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10633CDC">
      <w:pPr>
        <w:spacing w:line="360" w:lineRule="auto"/>
        <w:jc w:val="left"/>
        <w:rPr>
          <w:rFonts w:ascii="Times New Roman" w:hAnsi="Times New Roman" w:eastAsia="宋体" w:cs="Times New Roman"/>
          <w:b/>
          <w:szCs w:val="21"/>
        </w:rPr>
      </w:pPr>
    </w:p>
    <w:p w14:paraId="4D3BD179">
      <w:pPr>
        <w:spacing w:line="360" w:lineRule="auto"/>
        <w:jc w:val="left"/>
        <w:outlineLvl w:val="1"/>
        <w:rPr>
          <w:rFonts w:ascii="Times New Roman" w:hAnsi="Times New Roman" w:eastAsia="宋体" w:cs="Times New Roman"/>
          <w:b/>
          <w:szCs w:val="21"/>
        </w:rPr>
      </w:pPr>
      <w:bookmarkStart w:id="566" w:name="_Toc24332"/>
      <w:r>
        <w:rPr>
          <w:rFonts w:hint="eastAsia" w:ascii="Times New Roman" w:hAnsi="Times New Roman" w:eastAsia="宋体" w:cs="Times New Roman"/>
          <w:b/>
          <w:szCs w:val="21"/>
        </w:rPr>
        <w:t>（二）建议教材</w:t>
      </w:r>
      <w:bookmarkEnd w:id="566"/>
    </w:p>
    <w:p w14:paraId="19AFFC0D">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《教育学原理》编写组.</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教育学原理，高等教育出版社，2</w:t>
      </w:r>
      <w:r>
        <w:rPr>
          <w:rFonts w:ascii="Times New Roman" w:hAnsi="Times New Roman" w:eastAsia="宋体" w:cs="Times New Roman"/>
          <w:bCs/>
          <w:color w:val="000000"/>
          <w:szCs w:val="21"/>
        </w:rPr>
        <w:t>019</w:t>
      </w:r>
      <w:r>
        <w:rPr>
          <w:rFonts w:hint="eastAsia" w:ascii="Times New Roman" w:hAnsi="Times New Roman" w:eastAsia="宋体" w:cs="Times New Roman"/>
          <w:bCs/>
          <w:color w:val="000000"/>
          <w:szCs w:val="21"/>
        </w:rPr>
        <w:t>.（马克思主义理论研究和建设工程重点教材）</w:t>
      </w:r>
    </w:p>
    <w:p w14:paraId="7BECAB38">
      <w:pPr>
        <w:spacing w:line="360" w:lineRule="auto"/>
        <w:jc w:val="left"/>
        <w:outlineLvl w:val="1"/>
        <w:rPr>
          <w:rFonts w:ascii="Times New Roman" w:hAnsi="Times New Roman" w:eastAsia="宋体" w:cs="Times New Roman"/>
          <w:b/>
          <w:szCs w:val="21"/>
        </w:rPr>
      </w:pPr>
      <w:bookmarkStart w:id="567" w:name="_Toc27936"/>
      <w:r>
        <w:rPr>
          <w:rFonts w:hint="eastAsia" w:ascii="Times New Roman" w:hAnsi="Times New Roman" w:eastAsia="宋体" w:cs="Times New Roman"/>
          <w:b/>
          <w:szCs w:val="21"/>
        </w:rPr>
        <w:t>（三）参考书目</w:t>
      </w:r>
      <w:bookmarkEnd w:id="567"/>
    </w:p>
    <w:p w14:paraId="025BE6E5">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1.郝文武</w:t>
      </w:r>
      <w:r>
        <w:rPr>
          <w:rFonts w:ascii="Times New Roman" w:hAnsi="Times New Roman" w:eastAsia="宋体" w:cs="Times New Roman"/>
          <w:bCs/>
          <w:color w:val="000000"/>
          <w:szCs w:val="21"/>
        </w:rPr>
        <w:t>. 教育学原理. 北京：北京师范大学出版社，2012.</w:t>
      </w:r>
    </w:p>
    <w:p w14:paraId="385F6F27">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2.孙喜亭</w:t>
      </w:r>
      <w:r>
        <w:rPr>
          <w:rFonts w:ascii="Times New Roman" w:hAnsi="Times New Roman" w:eastAsia="宋体" w:cs="Times New Roman"/>
          <w:bCs/>
          <w:color w:val="000000"/>
          <w:szCs w:val="21"/>
        </w:rPr>
        <w:t>. 教育原理（修订版）. 北京：北京师范大学出版社，2003.</w:t>
      </w:r>
    </w:p>
    <w:p w14:paraId="48B79DFE">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3.王道俊、王汉澜</w:t>
      </w:r>
      <w:r>
        <w:rPr>
          <w:rFonts w:ascii="Times New Roman" w:hAnsi="Times New Roman" w:eastAsia="宋体" w:cs="Times New Roman"/>
          <w:bCs/>
          <w:color w:val="000000"/>
          <w:szCs w:val="21"/>
        </w:rPr>
        <w:t>. 教育学. 北京：人民教育出版社，1989.</w:t>
      </w:r>
    </w:p>
    <w:p w14:paraId="1C63546E">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4.黄济、王策三</w:t>
      </w:r>
      <w:r>
        <w:rPr>
          <w:rFonts w:ascii="Times New Roman" w:hAnsi="Times New Roman" w:eastAsia="宋体" w:cs="Times New Roman"/>
          <w:bCs/>
          <w:color w:val="000000"/>
          <w:szCs w:val="21"/>
        </w:rPr>
        <w:t>. 现代教育论. 北京人民教育出版社，2004.</w:t>
      </w:r>
    </w:p>
    <w:p w14:paraId="1A2B8D3B">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5.陈桂生</w:t>
      </w:r>
      <w:r>
        <w:rPr>
          <w:rFonts w:ascii="Times New Roman" w:hAnsi="Times New Roman" w:eastAsia="宋体" w:cs="Times New Roman"/>
          <w:bCs/>
          <w:color w:val="000000"/>
          <w:szCs w:val="21"/>
        </w:rPr>
        <w:t>. 教育原理. 上海：华东师范大学出版社，2000.</w:t>
      </w:r>
    </w:p>
    <w:p w14:paraId="60070220">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6.贾馥茗，教育的本质：什么是真正的教育</w:t>
      </w:r>
      <w:r>
        <w:rPr>
          <w:rFonts w:ascii="Times New Roman" w:hAnsi="Times New Roman" w:eastAsia="宋体" w:cs="Times New Roman"/>
          <w:bCs/>
          <w:color w:val="000000"/>
          <w:szCs w:val="21"/>
        </w:rPr>
        <w:t>. 北京：世界图书出版公司北京公司，2006.</w:t>
      </w:r>
    </w:p>
    <w:p w14:paraId="5D8B5E74">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7.叶澜</w:t>
      </w:r>
      <w:r>
        <w:rPr>
          <w:rFonts w:ascii="Times New Roman" w:hAnsi="Times New Roman" w:eastAsia="宋体" w:cs="Times New Roman"/>
          <w:bCs/>
          <w:color w:val="000000"/>
          <w:szCs w:val="21"/>
        </w:rPr>
        <w:t>. 教育概论. 北京：人民教育出版社，2006.</w:t>
      </w:r>
    </w:p>
    <w:p w14:paraId="4CF6DF1C">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8.约翰•杜威</w:t>
      </w:r>
      <w:r>
        <w:rPr>
          <w:rFonts w:ascii="Times New Roman" w:hAnsi="Times New Roman" w:eastAsia="宋体" w:cs="Times New Roman"/>
          <w:bCs/>
          <w:color w:val="000000"/>
          <w:szCs w:val="21"/>
        </w:rPr>
        <w:t>. 民主主义与教育. 北京：人民教育出版社，2003.</w:t>
      </w:r>
    </w:p>
    <w:p w14:paraId="3622DF7F">
      <w:pPr>
        <w:rPr>
          <w:rFonts w:hint="eastAsia" w:ascii="等线" w:hAnsi="等线" w:eastAsia="等线" w:cs="Times New Roman"/>
          <w:szCs w:val="22"/>
        </w:rPr>
      </w:pPr>
    </w:p>
    <w:p w14:paraId="0F0A0245">
      <w:pPr>
        <w:rPr>
          <w:rFonts w:hint="eastAsia" w:ascii="等线" w:hAnsi="等线" w:eastAsia="等线" w:cs="Times New Roman"/>
          <w:szCs w:val="22"/>
        </w:rPr>
      </w:pPr>
    </w:p>
    <w:p w14:paraId="0C9ADF9D">
      <w:pPr>
        <w:rPr>
          <w:rFonts w:hint="eastAsia" w:ascii="等线" w:hAnsi="等线" w:eastAsia="等线" w:cs="Times New Roman"/>
          <w:szCs w:val="22"/>
        </w:rPr>
      </w:pPr>
    </w:p>
    <w:p w14:paraId="4A8DDB63">
      <w:pPr>
        <w:rPr>
          <w:rFonts w:hint="eastAsia" w:ascii="等线" w:hAnsi="等线" w:eastAsia="等线" w:cs="Times New Roman"/>
          <w:szCs w:val="22"/>
        </w:rPr>
      </w:pPr>
    </w:p>
    <w:p w14:paraId="76D9B755">
      <w:pPr>
        <w:rPr>
          <w:rFonts w:hint="eastAsia" w:ascii="等线" w:hAnsi="等线" w:eastAsia="等线" w:cs="Times New Roman"/>
          <w:szCs w:val="22"/>
        </w:rPr>
      </w:pPr>
    </w:p>
    <w:p w14:paraId="60D82A22">
      <w:pPr>
        <w:spacing w:line="360" w:lineRule="auto"/>
        <w:ind w:right="144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执 笔 人： </w:t>
      </w:r>
      <w:r>
        <w:rPr>
          <w:rFonts w:hint="eastAsia" w:ascii="Times New Roman" w:hAnsi="Times New Roman" w:eastAsia="宋体" w:cs="Times New Roman"/>
          <w:sz w:val="24"/>
          <w:szCs w:val="24"/>
          <w:lang w:val="en-US" w:eastAsia="zh-CN"/>
        </w:rPr>
        <w:t>刘丽</w:t>
      </w:r>
    </w:p>
    <w:p w14:paraId="16D08E16">
      <w:pPr>
        <w:wordWrap w:val="0"/>
        <w:spacing w:line="360" w:lineRule="auto"/>
        <w:ind w:right="168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 王健</w:t>
      </w:r>
    </w:p>
    <w:p w14:paraId="029FF370">
      <w:pPr>
        <w:spacing w:line="360" w:lineRule="auto"/>
        <w:ind w:right="14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5E1DAE86">
      <w:pPr>
        <w:spacing w:line="360" w:lineRule="auto"/>
        <w:ind w:firstLine="4800" w:firstLineChars="20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3C21C496">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33ACE03B">
      <w:pPr>
        <w:pStyle w:val="2"/>
        <w:bidi w:val="0"/>
        <w:rPr>
          <w:rFonts w:hint="eastAsia"/>
          <w:lang w:val="en-US" w:eastAsia="zh-CN"/>
        </w:rPr>
      </w:pPr>
      <w:bookmarkStart w:id="568" w:name="_Toc23569"/>
      <w:bookmarkStart w:id="569" w:name="_Toc166164848"/>
      <w:bookmarkStart w:id="570" w:name="_Toc25531"/>
      <w:bookmarkStart w:id="571" w:name="_Toc22068"/>
      <w:bookmarkStart w:id="572" w:name="_Toc22439"/>
      <w:r>
        <w:rPr>
          <w:rFonts w:hint="eastAsia"/>
          <w:lang w:val="en-US" w:eastAsia="zh-CN"/>
        </w:rPr>
        <w:t>《中国教育史》课程教学大纲</w:t>
      </w:r>
      <w:bookmarkEnd w:id="568"/>
      <w:bookmarkEnd w:id="569"/>
      <w:bookmarkEnd w:id="570"/>
      <w:bookmarkEnd w:id="571"/>
      <w:bookmarkEnd w:id="572"/>
    </w:p>
    <w:p w14:paraId="00285DCB">
      <w:pPr>
        <w:pStyle w:val="2"/>
        <w:bidi w:val="0"/>
        <w:rPr>
          <w:rFonts w:hint="eastAsia"/>
          <w:lang w:val="en-US" w:eastAsia="zh-CN"/>
        </w:rPr>
      </w:pPr>
      <w:bookmarkStart w:id="573" w:name="_Toc2822"/>
      <w:bookmarkStart w:id="574" w:name="_Toc30600"/>
      <w:bookmarkStart w:id="575" w:name="_Toc3471"/>
      <w:bookmarkStart w:id="576" w:name="_Toc23951"/>
      <w:bookmarkStart w:id="577" w:name="_Toc31781"/>
      <w:bookmarkStart w:id="578" w:name="_Toc24780"/>
      <w:bookmarkStart w:id="579" w:name="_Toc19592"/>
      <w:r>
        <w:rPr>
          <w:rFonts w:hint="eastAsia"/>
          <w:lang w:val="en-US" w:eastAsia="zh-CN"/>
        </w:rPr>
        <w:t>（History of Chinese Education）</w:t>
      </w:r>
      <w:bookmarkEnd w:id="573"/>
      <w:bookmarkEnd w:id="574"/>
      <w:bookmarkEnd w:id="575"/>
      <w:bookmarkEnd w:id="576"/>
      <w:bookmarkEnd w:id="577"/>
      <w:bookmarkEnd w:id="578"/>
      <w:bookmarkEnd w:id="579"/>
    </w:p>
    <w:p w14:paraId="678DF4E2">
      <w:pPr>
        <w:spacing w:line="360" w:lineRule="auto"/>
        <w:jc w:val="center"/>
        <w:rPr>
          <w:rFonts w:ascii="Times New Roman" w:hAnsi="Times New Roman" w:eastAsia="宋体" w:cs="Times New Roman"/>
          <w:bCs/>
          <w:sz w:val="30"/>
          <w:szCs w:val="30"/>
        </w:rPr>
      </w:pPr>
    </w:p>
    <w:p w14:paraId="1035A73D">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课程名称：中国教育史</w:t>
      </w:r>
    </w:p>
    <w:p w14:paraId="34C736A6">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课程代码：2401006</w:t>
      </w:r>
    </w:p>
    <w:p w14:paraId="15A75371">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分：2</w:t>
      </w:r>
    </w:p>
    <w:p w14:paraId="6C177438">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时：32</w:t>
      </w:r>
    </w:p>
    <w:p w14:paraId="39B838F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先修课程：小学心理学</w:t>
      </w:r>
    </w:p>
    <w:p w14:paraId="52EC7FD6">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4B10BB87">
      <w:pPr>
        <w:numPr>
          <w:ilvl w:val="0"/>
          <w:numId w:val="0"/>
        </w:numPr>
        <w:spacing w:line="360" w:lineRule="auto"/>
        <w:rPr>
          <w:rFonts w:hint="eastAsia" w:ascii="Times New Roman" w:hAnsi="Times New Roman" w:eastAsia="宋体" w:cs="Times New Roman"/>
          <w:b/>
          <w:sz w:val="24"/>
          <w:szCs w:val="24"/>
          <w:lang w:val="en-US" w:eastAsia="zh-CN"/>
        </w:rPr>
      </w:pPr>
    </w:p>
    <w:p w14:paraId="6CAEAF7B">
      <w:pPr>
        <w:numPr>
          <w:ilvl w:val="0"/>
          <w:numId w:val="0"/>
        </w:numPr>
        <w:spacing w:line="360" w:lineRule="auto"/>
        <w:rPr>
          <w:rFonts w:hint="eastAsia" w:ascii="Times New Roman" w:hAnsi="Times New Roman" w:eastAsia="宋体" w:cs="Times New Roman"/>
          <w:b/>
          <w:sz w:val="24"/>
          <w:szCs w:val="24"/>
          <w:lang w:val="en-US" w:eastAsia="zh-CN"/>
        </w:rPr>
      </w:pPr>
    </w:p>
    <w:p w14:paraId="07B97ED9">
      <w:pPr>
        <w:numPr>
          <w:ilvl w:val="0"/>
          <w:numId w:val="0"/>
        </w:numPr>
        <w:spacing w:line="360" w:lineRule="auto"/>
        <w:outlineLvl w:val="0"/>
        <w:rPr>
          <w:rFonts w:hint="eastAsia" w:ascii="Times New Roman" w:hAnsi="Times New Roman" w:eastAsia="宋体" w:cs="Times New Roman"/>
          <w:b/>
          <w:sz w:val="24"/>
          <w:szCs w:val="24"/>
          <w:lang w:val="en-US" w:eastAsia="zh-CN"/>
        </w:rPr>
      </w:pPr>
      <w:bookmarkStart w:id="580" w:name="_Toc1791"/>
      <w:bookmarkStart w:id="581" w:name="_Toc10185"/>
      <w:bookmarkStart w:id="582" w:name="_Toc22336"/>
      <w:bookmarkStart w:id="583" w:name="_Toc480"/>
      <w:bookmarkStart w:id="584" w:name="_Toc32315"/>
      <w:bookmarkStart w:id="585" w:name="_Toc27161"/>
      <w:bookmarkStart w:id="586" w:name="_Toc12229"/>
      <w:r>
        <w:rPr>
          <w:rFonts w:hint="eastAsia" w:ascii="Times New Roman" w:hAnsi="Times New Roman" w:eastAsia="宋体" w:cs="Times New Roman"/>
          <w:b/>
          <w:sz w:val="24"/>
          <w:szCs w:val="24"/>
          <w:lang w:val="en-US" w:eastAsia="zh-CN"/>
        </w:rPr>
        <w:t>一、课程简介</w:t>
      </w:r>
      <w:bookmarkEnd w:id="580"/>
      <w:bookmarkEnd w:id="581"/>
      <w:bookmarkEnd w:id="582"/>
      <w:bookmarkEnd w:id="583"/>
      <w:bookmarkEnd w:id="584"/>
      <w:bookmarkEnd w:id="585"/>
      <w:bookmarkEnd w:id="586"/>
    </w:p>
    <w:p w14:paraId="3F33CA1F">
      <w:pPr>
        <w:numPr>
          <w:ilvl w:val="0"/>
          <w:numId w:val="0"/>
        </w:numPr>
        <w:spacing w:line="360" w:lineRule="auto"/>
        <w:ind w:firstLine="420" w:firstLineChars="20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本课程是小学教育专业的一门专业基础必修课程</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rPr>
        <w:t>课程的任务在于使学生了解中国教育发展的基本线索和一般规律；初步认识中国教育发展的历史经验和教训；培养</w:t>
      </w:r>
      <w:r>
        <w:rPr>
          <w:rFonts w:hint="eastAsia" w:ascii="Times New Roman" w:hAnsi="Times New Roman" w:eastAsia="宋体" w:cs="Times New Roman"/>
          <w:kern w:val="0"/>
          <w:sz w:val="21"/>
          <w:szCs w:val="21"/>
          <w:lang w:val="en-US" w:eastAsia="zh-CN"/>
        </w:rPr>
        <w:t>学生</w:t>
      </w:r>
      <w:r>
        <w:rPr>
          <w:rFonts w:hint="eastAsia" w:ascii="Times New Roman" w:hAnsi="Times New Roman" w:eastAsia="宋体" w:cs="Times New Roman"/>
          <w:kern w:val="0"/>
          <w:sz w:val="21"/>
          <w:szCs w:val="21"/>
        </w:rPr>
        <w:t>运用辩证唯物主义和历史唯物主义观点和方法考察、分析教育问题的意识和能力，树立唯物辨证的教育发展观；扩大教育知识眼界，为学习教育学科打下基础；培养热爱教育、献身教育的职业精神。</w:t>
      </w:r>
    </w:p>
    <w:p w14:paraId="5F91A80B">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0"/>
        <w:rPr>
          <w:rFonts w:ascii="Times New Roman" w:hAnsi="Times New Roman" w:eastAsia="宋体" w:cs="Times New Roman"/>
          <w:b/>
          <w:bCs/>
          <w:sz w:val="28"/>
          <w:szCs w:val="28"/>
        </w:rPr>
      </w:pPr>
      <w:bookmarkStart w:id="587" w:name="_Toc1422"/>
      <w:bookmarkStart w:id="588" w:name="_Toc15366"/>
      <w:bookmarkStart w:id="589" w:name="_Toc6156"/>
      <w:bookmarkStart w:id="590" w:name="_Toc30903"/>
      <w:bookmarkStart w:id="591" w:name="_Toc13868"/>
      <w:bookmarkStart w:id="592" w:name="_Toc1765"/>
      <w:bookmarkStart w:id="593" w:name="_Toc497"/>
      <w:r>
        <w:rPr>
          <w:rFonts w:hint="eastAsia" w:ascii="Times New Roman" w:hAnsi="Times New Roman" w:eastAsia="宋体" w:cs="Times New Roman"/>
          <w:b/>
          <w:bCs/>
          <w:sz w:val="24"/>
          <w:szCs w:val="24"/>
        </w:rPr>
        <w:t>二、课程目标</w:t>
      </w:r>
      <w:bookmarkEnd w:id="587"/>
      <w:bookmarkEnd w:id="588"/>
      <w:bookmarkEnd w:id="589"/>
      <w:bookmarkEnd w:id="590"/>
      <w:bookmarkEnd w:id="591"/>
      <w:bookmarkEnd w:id="592"/>
      <w:bookmarkEnd w:id="593"/>
    </w:p>
    <w:p w14:paraId="506990E0">
      <w:pPr>
        <w:spacing w:line="360" w:lineRule="auto"/>
        <w:ind w:firstLine="422" w:firstLineChars="200"/>
        <w:outlineLvl w:val="1"/>
        <w:rPr>
          <w:rFonts w:ascii="Times New Roman" w:hAnsi="Times New Roman" w:eastAsia="宋体" w:cs="Times New Roman"/>
          <w:b/>
          <w:bCs/>
          <w:sz w:val="21"/>
          <w:szCs w:val="21"/>
        </w:rPr>
      </w:pPr>
      <w:bookmarkStart w:id="594" w:name="_Toc23885"/>
      <w:r>
        <w:rPr>
          <w:rFonts w:hint="eastAsia" w:ascii="Times New Roman" w:hAnsi="Times New Roman" w:eastAsia="宋体" w:cs="Times New Roman"/>
          <w:b/>
          <w:bCs/>
          <w:sz w:val="21"/>
          <w:szCs w:val="21"/>
        </w:rPr>
        <w:t>（一）课程具体目标</w:t>
      </w:r>
      <w:bookmarkEnd w:id="594"/>
    </w:p>
    <w:p w14:paraId="05E4AD1D">
      <w:pPr>
        <w:spacing w:line="360" w:lineRule="auto"/>
        <w:ind w:firstLine="422" w:firstLineChars="200"/>
        <w:rPr>
          <w:rFonts w:hint="eastAsia" w:ascii="Times New Roman" w:hAnsi="Times New Roman" w:eastAsia="宋体" w:cs="Times New Roman"/>
          <w:sz w:val="21"/>
          <w:szCs w:val="21"/>
        </w:rPr>
      </w:pPr>
      <w:r>
        <w:rPr>
          <w:rFonts w:hint="eastAsia" w:ascii="Times New Roman" w:hAnsi="Times New Roman" w:eastAsia="宋体" w:cs="Times New Roman"/>
          <w:b/>
          <w:bCs/>
          <w:sz w:val="21"/>
          <w:szCs w:val="21"/>
        </w:rPr>
        <w:t xml:space="preserve">目标1. </w:t>
      </w:r>
      <w:r>
        <w:rPr>
          <w:rFonts w:hint="eastAsia" w:ascii="Times New Roman" w:hAnsi="Times New Roman" w:eastAsia="宋体" w:cs="Times New Roman"/>
          <w:sz w:val="21"/>
          <w:szCs w:val="21"/>
        </w:rPr>
        <w:t>了解中国教育制度发展的基本线索和各个时期的文教政策，掌握学校教育发展史上的重要事件及其历史影响；初步认识中国教育思想发展的脉络和演变历程，掌握主要教育家和教育著作中的重要思想及其历史影响。</w:t>
      </w:r>
    </w:p>
    <w:p w14:paraId="18353118">
      <w:pPr>
        <w:spacing w:line="360" w:lineRule="auto"/>
        <w:ind w:firstLine="422" w:firstLineChars="200"/>
        <w:rPr>
          <w:rFonts w:hint="eastAsia" w:ascii="Times New Roman" w:hAnsi="Times New Roman" w:eastAsia="宋体" w:cs="Times New Roman"/>
          <w:sz w:val="21"/>
          <w:szCs w:val="21"/>
        </w:rPr>
      </w:pPr>
      <w:r>
        <w:rPr>
          <w:rFonts w:hint="eastAsia" w:ascii="Times New Roman" w:hAnsi="Times New Roman" w:eastAsia="宋体" w:cs="Times New Roman"/>
          <w:b/>
          <w:bCs/>
          <w:sz w:val="21"/>
          <w:szCs w:val="21"/>
        </w:rPr>
        <w:t>目标2.</w:t>
      </w:r>
      <w:r>
        <w:rPr>
          <w:rFonts w:hint="eastAsia" w:ascii="Times New Roman" w:hAnsi="Times New Roman" w:eastAsia="宋体" w:cs="Times New Roman"/>
          <w:sz w:val="21"/>
          <w:szCs w:val="21"/>
        </w:rPr>
        <w:t xml:space="preserve"> </w:t>
      </w:r>
      <w:r>
        <w:rPr>
          <w:rFonts w:hint="eastAsia" w:ascii="Times New Roman" w:hAnsi="Times New Roman" w:eastAsia="宋体" w:cs="Times New Roman"/>
          <w:sz w:val="21"/>
          <w:szCs w:val="21"/>
          <w:lang w:val="en-US" w:eastAsia="zh-CN"/>
        </w:rPr>
        <w:t>秉持“论从史出，史论结合”的原则，能够灵活运用历史与逻辑相统一的思维方法，以发展的眼光、</w:t>
      </w:r>
      <w:r>
        <w:rPr>
          <w:rFonts w:hint="eastAsia" w:ascii="Times New Roman" w:hAnsi="Times New Roman" w:eastAsia="宋体" w:cs="Times New Roman"/>
          <w:sz w:val="21"/>
          <w:szCs w:val="21"/>
        </w:rPr>
        <w:t>批判</w:t>
      </w:r>
      <w:r>
        <w:rPr>
          <w:rFonts w:hint="eastAsia" w:ascii="Times New Roman" w:hAnsi="Times New Roman" w:eastAsia="宋体" w:cs="Times New Roman"/>
          <w:sz w:val="21"/>
          <w:szCs w:val="21"/>
          <w:lang w:val="en-US" w:eastAsia="zh-CN"/>
        </w:rPr>
        <w:t>意识、辩证</w:t>
      </w:r>
      <w:r>
        <w:rPr>
          <w:rFonts w:hint="eastAsia" w:ascii="Times New Roman" w:hAnsi="Times New Roman" w:eastAsia="宋体" w:cs="Times New Roman"/>
          <w:sz w:val="21"/>
          <w:szCs w:val="21"/>
        </w:rPr>
        <w:t>思维和</w:t>
      </w:r>
      <w:r>
        <w:rPr>
          <w:rFonts w:hint="eastAsia" w:ascii="Times New Roman" w:hAnsi="Times New Roman" w:eastAsia="宋体" w:cs="Times New Roman"/>
          <w:sz w:val="21"/>
          <w:szCs w:val="21"/>
          <w:lang w:val="en-US" w:eastAsia="zh-CN"/>
        </w:rPr>
        <w:t>创新精神</w:t>
      </w:r>
      <w:r>
        <w:rPr>
          <w:rFonts w:hint="eastAsia" w:ascii="Times New Roman" w:hAnsi="Times New Roman" w:eastAsia="宋体" w:cs="Times New Roman"/>
          <w:sz w:val="21"/>
          <w:szCs w:val="21"/>
        </w:rPr>
        <w:t>，对历史事件、制度政策、人物（著作）及其思想进行正确的认识和评价，在扬弃的前提下</w:t>
      </w:r>
      <w:r>
        <w:rPr>
          <w:rFonts w:hint="eastAsia" w:ascii="Times New Roman" w:hAnsi="Times New Roman" w:eastAsia="宋体" w:cs="Times New Roman"/>
          <w:sz w:val="21"/>
          <w:szCs w:val="21"/>
          <w:lang w:val="en-US" w:eastAsia="zh-CN"/>
        </w:rPr>
        <w:t>反思和解决当下教育教学中存在的问题，</w:t>
      </w:r>
      <w:r>
        <w:rPr>
          <w:rFonts w:hint="eastAsia" w:ascii="Times New Roman" w:hAnsi="Times New Roman" w:eastAsia="宋体" w:cs="Times New Roman"/>
          <w:sz w:val="21"/>
          <w:szCs w:val="21"/>
        </w:rPr>
        <w:t>古为今用。</w:t>
      </w:r>
    </w:p>
    <w:p w14:paraId="39BF1A21">
      <w:pPr>
        <w:spacing w:line="360" w:lineRule="auto"/>
        <w:ind w:firstLine="422" w:firstLineChars="200"/>
        <w:rPr>
          <w:rFonts w:hint="eastAsia" w:ascii="Times New Roman" w:hAnsi="Times New Roman" w:eastAsia="宋体" w:cs="Times New Roman"/>
          <w:sz w:val="21"/>
          <w:szCs w:val="21"/>
        </w:rPr>
      </w:pPr>
      <w:r>
        <w:rPr>
          <w:rFonts w:hint="eastAsia" w:ascii="Times New Roman" w:hAnsi="Times New Roman" w:eastAsia="宋体" w:cs="Times New Roman"/>
          <w:b/>
          <w:bCs/>
          <w:sz w:val="21"/>
          <w:szCs w:val="21"/>
        </w:rPr>
        <w:t xml:space="preserve">目标3. </w:t>
      </w:r>
      <w:r>
        <w:rPr>
          <w:rFonts w:hint="eastAsia" w:ascii="Times New Roman" w:hAnsi="Times New Roman" w:eastAsia="宋体" w:cs="Times New Roman"/>
          <w:sz w:val="21"/>
          <w:szCs w:val="21"/>
        </w:rPr>
        <w:t>以立德树人为己任；形成正确的</w:t>
      </w:r>
      <w:r>
        <w:rPr>
          <w:rFonts w:hint="eastAsia" w:ascii="Times New Roman" w:hAnsi="Times New Roman" w:eastAsia="宋体" w:cs="Times New Roman"/>
          <w:sz w:val="21"/>
          <w:szCs w:val="21"/>
          <w:lang w:val="en-US" w:eastAsia="zh-CN"/>
        </w:rPr>
        <w:t>历史观、文化观、</w:t>
      </w:r>
      <w:r>
        <w:rPr>
          <w:rFonts w:hint="eastAsia" w:ascii="Times New Roman" w:hAnsi="Times New Roman" w:eastAsia="宋体" w:cs="Times New Roman"/>
          <w:sz w:val="21"/>
          <w:szCs w:val="21"/>
        </w:rPr>
        <w:t>教育观、教师观</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学生观</w:t>
      </w:r>
      <w:r>
        <w:rPr>
          <w:rFonts w:hint="eastAsia" w:ascii="Times New Roman" w:hAnsi="Times New Roman" w:eastAsia="宋体" w:cs="Times New Roman"/>
          <w:sz w:val="21"/>
          <w:szCs w:val="21"/>
        </w:rPr>
        <w:t>，增强职业认同感、责任感与使命感</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以历史上教育家为榜样，以教育家精神为引领，为</w:t>
      </w:r>
      <w:r>
        <w:rPr>
          <w:rFonts w:hint="eastAsia" w:ascii="Times New Roman" w:hAnsi="Times New Roman" w:eastAsia="宋体" w:cs="Times New Roman"/>
          <w:sz w:val="21"/>
          <w:szCs w:val="21"/>
        </w:rPr>
        <w:t>成</w:t>
      </w:r>
      <w:r>
        <w:rPr>
          <w:rFonts w:hint="eastAsia" w:ascii="Times New Roman" w:hAnsi="Times New Roman" w:eastAsia="宋体" w:cs="Times New Roman"/>
          <w:sz w:val="21"/>
          <w:szCs w:val="21"/>
          <w:lang w:val="en-US" w:eastAsia="zh-CN"/>
        </w:rPr>
        <w:t>长</w:t>
      </w:r>
      <w:r>
        <w:rPr>
          <w:rFonts w:hint="eastAsia" w:ascii="Times New Roman" w:hAnsi="Times New Roman" w:eastAsia="宋体" w:cs="Times New Roman"/>
          <w:sz w:val="21"/>
          <w:szCs w:val="21"/>
        </w:rPr>
        <w:t>为学生发展的“四个引路人”“四有好老师”和经师与人师相统一的“大先生”</w:t>
      </w:r>
      <w:r>
        <w:rPr>
          <w:rFonts w:hint="eastAsia" w:ascii="Times New Roman" w:hAnsi="Times New Roman" w:eastAsia="宋体" w:cs="Times New Roman"/>
          <w:sz w:val="21"/>
          <w:szCs w:val="21"/>
          <w:lang w:val="en-US" w:eastAsia="zh-CN"/>
        </w:rPr>
        <w:t>而不懈努力</w:t>
      </w:r>
      <w:r>
        <w:rPr>
          <w:rFonts w:hint="eastAsia" w:ascii="Times New Roman" w:hAnsi="Times New Roman" w:eastAsia="宋体" w:cs="Times New Roman"/>
          <w:sz w:val="21"/>
          <w:szCs w:val="21"/>
        </w:rPr>
        <w:t>。</w:t>
      </w:r>
    </w:p>
    <w:p w14:paraId="74EEA182">
      <w:pPr>
        <w:spacing w:line="360" w:lineRule="auto"/>
        <w:ind w:firstLine="482" w:firstLineChars="200"/>
        <w:outlineLvl w:val="1"/>
        <w:rPr>
          <w:rFonts w:ascii="Times New Roman" w:hAnsi="Times New Roman" w:eastAsia="宋体" w:cs="Times New Roman"/>
          <w:b/>
          <w:bCs/>
          <w:sz w:val="24"/>
          <w:szCs w:val="28"/>
        </w:rPr>
      </w:pPr>
      <w:bookmarkStart w:id="595" w:name="_Toc28839"/>
      <w:r>
        <w:rPr>
          <w:rFonts w:hint="eastAsia" w:ascii="Times New Roman" w:hAnsi="Times New Roman" w:eastAsia="宋体" w:cs="Times New Roman"/>
          <w:b/>
          <w:bCs/>
          <w:sz w:val="24"/>
          <w:szCs w:val="28"/>
        </w:rPr>
        <w:t>（二）课程目标与专业毕业要求的关系</w:t>
      </w:r>
      <w:bookmarkEnd w:id="595"/>
    </w:p>
    <w:tbl>
      <w:tblPr>
        <w:tblStyle w:val="10"/>
        <w:tblW w:w="90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5216"/>
        <w:gridCol w:w="1595"/>
      </w:tblGrid>
      <w:tr w14:paraId="6EBBA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vAlign w:val="center"/>
          </w:tcPr>
          <w:p w14:paraId="23A26474">
            <w:pPr>
              <w:spacing w:line="264" w:lineRule="auto"/>
              <w:jc w:val="center"/>
              <w:rPr>
                <w:rFonts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5216" w:type="dxa"/>
            <w:vAlign w:val="center"/>
          </w:tcPr>
          <w:p w14:paraId="57730392">
            <w:pPr>
              <w:spacing w:line="264" w:lineRule="auto"/>
              <w:jc w:val="center"/>
              <w:rPr>
                <w:rFonts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c>
          <w:tcPr>
            <w:tcW w:w="1595" w:type="dxa"/>
            <w:shd w:val="clear" w:color="auto" w:fill="auto"/>
            <w:vAlign w:val="center"/>
          </w:tcPr>
          <w:p w14:paraId="5B98E316">
            <w:pPr>
              <w:spacing w:line="264" w:lineRule="auto"/>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cs="Times New Roman"/>
                <w:b/>
                <w:bCs/>
                <w:color w:val="000000"/>
                <w:szCs w:val="21"/>
              </w:rPr>
              <w:t>课程目标</w:t>
            </w:r>
          </w:p>
        </w:tc>
      </w:tr>
      <w:tr w14:paraId="1CB56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2200" w:type="dxa"/>
            <w:vAlign w:val="center"/>
          </w:tcPr>
          <w:p w14:paraId="2146848B">
            <w:pPr>
              <w:spacing w:line="264"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kern w:val="0"/>
                <w:szCs w:val="21"/>
                <w:lang w:val="en-US" w:eastAsia="zh-CN"/>
              </w:rPr>
              <w:t>2.</w:t>
            </w:r>
            <w:r>
              <w:rPr>
                <w:rFonts w:hint="eastAsia" w:ascii="宋体" w:hAnsi="宋体" w:eastAsia="宋体" w:cs="Times New Roman"/>
                <w:color w:val="000000"/>
                <w:kern w:val="0"/>
                <w:szCs w:val="21"/>
              </w:rPr>
              <w:t>师德规范</w:t>
            </w:r>
          </w:p>
          <w:p w14:paraId="21700227">
            <w:pPr>
              <w:spacing w:line="264" w:lineRule="auto"/>
              <w:rPr>
                <w:rFonts w:hint="default" w:ascii="宋体" w:hAnsi="宋体" w:eastAsia="宋体" w:cs="Times New Roman"/>
                <w:color w:val="000000"/>
                <w:kern w:val="0"/>
                <w:szCs w:val="21"/>
                <w:lang w:val="en-US" w:eastAsia="zh-CN"/>
              </w:rPr>
            </w:pPr>
          </w:p>
        </w:tc>
        <w:tc>
          <w:tcPr>
            <w:tcW w:w="5216" w:type="dxa"/>
            <w:vAlign w:val="center"/>
          </w:tcPr>
          <w:p w14:paraId="6F7C5D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595" w:type="dxa"/>
            <w:shd w:val="clear" w:color="auto" w:fill="auto"/>
            <w:vAlign w:val="center"/>
          </w:tcPr>
          <w:p w14:paraId="3391EBA8">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课程目标3</w:t>
            </w:r>
          </w:p>
        </w:tc>
      </w:tr>
      <w:tr w14:paraId="44DDE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00" w:type="dxa"/>
            <w:vAlign w:val="center"/>
          </w:tcPr>
          <w:p w14:paraId="1AE12D06">
            <w:pPr>
              <w:spacing w:line="264" w:lineRule="auto"/>
              <w:rPr>
                <w:rFonts w:hint="eastAsia"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毕业要求4.教学能力</w:t>
            </w:r>
          </w:p>
        </w:tc>
        <w:tc>
          <w:tcPr>
            <w:tcW w:w="5216" w:type="dxa"/>
            <w:vAlign w:val="center"/>
          </w:tcPr>
          <w:p w14:paraId="512CA4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595" w:type="dxa"/>
            <w:shd w:val="clear" w:color="auto" w:fill="auto"/>
            <w:vAlign w:val="center"/>
          </w:tcPr>
          <w:p w14:paraId="37B7BC43">
            <w:pPr>
              <w:spacing w:line="264"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课程目标1</w:t>
            </w:r>
          </w:p>
          <w:p w14:paraId="57023C69">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课程目标2</w:t>
            </w:r>
          </w:p>
        </w:tc>
      </w:tr>
      <w:tr w14:paraId="63493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0" w:hRule="atLeast"/>
          <w:jc w:val="center"/>
        </w:trPr>
        <w:tc>
          <w:tcPr>
            <w:tcW w:w="2200" w:type="dxa"/>
            <w:vAlign w:val="center"/>
          </w:tcPr>
          <w:p w14:paraId="7D0399E6">
            <w:pPr>
              <w:spacing w:line="264" w:lineRule="auto"/>
              <w:rPr>
                <w:rFonts w:ascii="宋体" w:hAnsi="宋体" w:eastAsia="宋体" w:cs="Times New Roman"/>
                <w:color w:val="000000"/>
                <w:kern w:val="0"/>
                <w:szCs w:val="21"/>
              </w:rPr>
            </w:pPr>
            <w:r>
              <w:rPr>
                <w:rFonts w:hint="eastAsia" w:ascii="宋体" w:hAnsi="宋体" w:eastAsia="宋体" w:cs="Times New Roman"/>
                <w:color w:val="000000"/>
                <w:spacing w:val="2"/>
                <w:kern w:val="0"/>
                <w:szCs w:val="21"/>
              </w:rPr>
              <w:t>毕业要求7</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学会反思</w:t>
            </w:r>
          </w:p>
        </w:tc>
        <w:tc>
          <w:tcPr>
            <w:tcW w:w="5216" w:type="dxa"/>
            <w:vAlign w:val="center"/>
          </w:tcPr>
          <w:p w14:paraId="328108A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指标点7-1：【教育视野开阔】积极关注基础教育领域的国内外交流进展，了解国内外基础教育改革发展的动态，具有宽广的教育视野，能够主动适应新时代和教育发展需求。</w:t>
            </w:r>
          </w:p>
          <w:p w14:paraId="3720A8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Times New Roman"/>
                <w:color w:val="000000"/>
                <w:kern w:val="0"/>
                <w:szCs w:val="21"/>
              </w:rPr>
            </w:pPr>
            <w:r>
              <w:rPr>
                <w:rFonts w:hint="eastAsia" w:ascii="宋体" w:hAnsi="宋体" w:eastAsia="宋体" w:cs="Times New Roman"/>
                <w:color w:val="000000"/>
                <w:spacing w:val="2"/>
                <w:kern w:val="0"/>
                <w:szCs w:val="21"/>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595" w:type="dxa"/>
            <w:shd w:val="clear" w:color="auto" w:fill="auto"/>
            <w:vAlign w:val="center"/>
          </w:tcPr>
          <w:p w14:paraId="2B55F268">
            <w:pPr>
              <w:spacing w:line="264" w:lineRule="auto"/>
              <w:jc w:val="center"/>
              <w:rPr>
                <w:rFonts w:hint="eastAsia" w:ascii="宋体" w:hAnsi="宋体" w:eastAsia="宋体" w:cs="宋体"/>
                <w:bCs/>
                <w:color w:val="000000"/>
                <w:kern w:val="2"/>
                <w:sz w:val="21"/>
                <w:szCs w:val="21"/>
                <w:lang w:val="en-US" w:eastAsia="zh-CN" w:bidi="ar-SA"/>
              </w:rPr>
            </w:pPr>
            <w:r>
              <w:rPr>
                <w:rFonts w:hint="eastAsia" w:ascii="宋体" w:hAnsi="宋体" w:eastAsia="宋体" w:cs="宋体"/>
                <w:bCs/>
                <w:color w:val="000000"/>
                <w:szCs w:val="21"/>
              </w:rPr>
              <w:t>课程目标2</w:t>
            </w:r>
          </w:p>
        </w:tc>
      </w:tr>
    </w:tbl>
    <w:p w14:paraId="2CC1A47A">
      <w:pPr>
        <w:spacing w:line="360" w:lineRule="auto"/>
        <w:ind w:firstLine="482" w:firstLineChars="200"/>
        <w:outlineLvl w:val="1"/>
        <w:rPr>
          <w:rFonts w:ascii="Times New Roman" w:hAnsi="Times New Roman" w:eastAsia="宋体" w:cs="Times New Roman"/>
          <w:b/>
          <w:bCs/>
          <w:sz w:val="24"/>
          <w:szCs w:val="24"/>
        </w:rPr>
      </w:pPr>
      <w:bookmarkStart w:id="596" w:name="_Toc24057"/>
      <w:r>
        <w:rPr>
          <w:rFonts w:hint="eastAsia" w:ascii="Times New Roman" w:hAnsi="Times New Roman" w:eastAsia="宋体" w:cs="Times New Roman"/>
          <w:b/>
          <w:bCs/>
          <w:sz w:val="24"/>
          <w:szCs w:val="24"/>
        </w:rPr>
        <w:t>（三）</w:t>
      </w:r>
      <w:r>
        <w:rPr>
          <w:rFonts w:hint="eastAsia" w:ascii="Times New Roman" w:hAnsi="Times New Roman" w:eastAsia="宋体" w:cs="Times New Roman"/>
          <w:b/>
          <w:bCs/>
          <w:sz w:val="24"/>
          <w:szCs w:val="24"/>
          <w:lang w:val="en-US" w:eastAsia="zh-CN"/>
        </w:rPr>
        <w:t>课程</w:t>
      </w:r>
      <w:r>
        <w:rPr>
          <w:rFonts w:hint="eastAsia" w:ascii="Times New Roman" w:hAnsi="Times New Roman" w:eastAsia="宋体" w:cs="Times New Roman"/>
          <w:b/>
          <w:bCs/>
          <w:sz w:val="24"/>
          <w:szCs w:val="24"/>
        </w:rPr>
        <w:t>思政目标</w:t>
      </w:r>
      <w:bookmarkEnd w:id="596"/>
    </w:p>
    <w:p w14:paraId="31CCDC77">
      <w:pPr>
        <w:spacing w:line="360" w:lineRule="auto"/>
        <w:rPr>
          <w:rFonts w:ascii="Times New Roman" w:hAnsi="Times New Roman" w:eastAsia="宋体" w:cs="Times New Roman"/>
          <w:sz w:val="21"/>
          <w:szCs w:val="21"/>
        </w:rPr>
      </w:pP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1"/>
          <w:szCs w:val="21"/>
        </w:rPr>
        <w:t>在</w:t>
      </w:r>
      <w:r>
        <w:rPr>
          <w:rFonts w:hint="eastAsia" w:ascii="Times New Roman" w:hAnsi="Times New Roman" w:eastAsia="宋体" w:cs="Times New Roman"/>
          <w:sz w:val="21"/>
          <w:szCs w:val="21"/>
          <w:lang w:val="en-US" w:eastAsia="zh-CN"/>
        </w:rPr>
        <w:t>掌握教育制度和教育思想发展脉络及其基本史实的</w:t>
      </w:r>
      <w:r>
        <w:rPr>
          <w:rFonts w:hint="eastAsia" w:ascii="Times New Roman" w:hAnsi="Times New Roman" w:eastAsia="宋体" w:cs="Times New Roman"/>
          <w:sz w:val="21"/>
          <w:szCs w:val="21"/>
        </w:rPr>
        <w:t>基础上，坚定文化自信、制度自信，认识到中国特色社会主义制度的优越性，增强民族自豪感</w:t>
      </w:r>
      <w:r>
        <w:rPr>
          <w:rFonts w:hint="eastAsia" w:ascii="Times New Roman" w:hAnsi="Times New Roman" w:eastAsia="宋体" w:cs="Times New Roman"/>
          <w:sz w:val="21"/>
          <w:szCs w:val="21"/>
          <w:lang w:eastAsia="zh-CN"/>
        </w:rPr>
        <w:t>；深刻理解教育强国，人才强国</w:t>
      </w:r>
      <w:r>
        <w:rPr>
          <w:rFonts w:hint="eastAsia" w:ascii="Times New Roman" w:hAnsi="Times New Roman" w:eastAsia="宋体" w:cs="Times New Roman"/>
          <w:sz w:val="21"/>
          <w:szCs w:val="21"/>
          <w:lang w:val="en-US" w:eastAsia="zh-CN"/>
        </w:rPr>
        <w:t>战略意义；</w:t>
      </w:r>
      <w:r>
        <w:rPr>
          <w:rFonts w:hint="eastAsia" w:ascii="Times New Roman" w:hAnsi="Times New Roman" w:eastAsia="宋体" w:cs="Times New Roman"/>
          <w:sz w:val="21"/>
          <w:szCs w:val="21"/>
        </w:rPr>
        <w:t>以立德树人为己任，坚持为党育人、为国育才；形成正确的</w:t>
      </w:r>
      <w:r>
        <w:rPr>
          <w:rFonts w:hint="eastAsia" w:ascii="Times New Roman" w:hAnsi="Times New Roman" w:eastAsia="宋体" w:cs="Times New Roman"/>
          <w:sz w:val="21"/>
          <w:szCs w:val="21"/>
          <w:lang w:val="en-US" w:eastAsia="zh-CN"/>
        </w:rPr>
        <w:t>历史观、文化观、</w:t>
      </w:r>
      <w:r>
        <w:rPr>
          <w:rFonts w:hint="eastAsia" w:ascii="Times New Roman" w:hAnsi="Times New Roman" w:eastAsia="宋体" w:cs="Times New Roman"/>
          <w:sz w:val="21"/>
          <w:szCs w:val="21"/>
        </w:rPr>
        <w:t>教育观、教师观</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学生观</w:t>
      </w:r>
      <w:r>
        <w:rPr>
          <w:rFonts w:hint="eastAsia" w:ascii="Times New Roman" w:hAnsi="Times New Roman" w:eastAsia="宋体" w:cs="Times New Roman"/>
          <w:sz w:val="21"/>
          <w:szCs w:val="21"/>
        </w:rPr>
        <w:t>，增强职业认同感、责任感与使命感，</w:t>
      </w:r>
      <w:r>
        <w:rPr>
          <w:rFonts w:hint="eastAsia" w:ascii="Times New Roman" w:hAnsi="Times New Roman" w:eastAsia="宋体" w:cs="Times New Roman"/>
          <w:sz w:val="21"/>
          <w:szCs w:val="21"/>
          <w:lang w:val="en-US" w:eastAsia="zh-CN"/>
        </w:rPr>
        <w:t>自觉以教育家精神为引领，为</w:t>
      </w:r>
      <w:r>
        <w:rPr>
          <w:rFonts w:hint="eastAsia" w:ascii="Times New Roman" w:hAnsi="Times New Roman" w:eastAsia="宋体" w:cs="Times New Roman"/>
          <w:sz w:val="21"/>
          <w:szCs w:val="21"/>
        </w:rPr>
        <w:t>成</w:t>
      </w:r>
      <w:r>
        <w:rPr>
          <w:rFonts w:hint="eastAsia" w:ascii="Times New Roman" w:hAnsi="Times New Roman" w:eastAsia="宋体" w:cs="Times New Roman"/>
          <w:sz w:val="21"/>
          <w:szCs w:val="21"/>
          <w:lang w:val="en-US" w:eastAsia="zh-CN"/>
        </w:rPr>
        <w:t>长</w:t>
      </w:r>
      <w:r>
        <w:rPr>
          <w:rFonts w:hint="eastAsia" w:ascii="Times New Roman" w:hAnsi="Times New Roman" w:eastAsia="宋体" w:cs="Times New Roman"/>
          <w:sz w:val="21"/>
          <w:szCs w:val="21"/>
        </w:rPr>
        <w:t>为学生发展的“四个引路人”“四有好老师”和经师与人师相统一的“大先生”</w:t>
      </w:r>
      <w:r>
        <w:rPr>
          <w:rFonts w:hint="eastAsia" w:ascii="Times New Roman" w:hAnsi="Times New Roman" w:eastAsia="宋体" w:cs="Times New Roman"/>
          <w:sz w:val="21"/>
          <w:szCs w:val="21"/>
          <w:lang w:val="en-US" w:eastAsia="zh-CN"/>
        </w:rPr>
        <w:t>而不懈努力</w:t>
      </w:r>
      <w:r>
        <w:rPr>
          <w:rFonts w:hint="eastAsia" w:ascii="Times New Roman" w:hAnsi="Times New Roman" w:eastAsia="宋体" w:cs="Times New Roman"/>
          <w:sz w:val="21"/>
          <w:szCs w:val="21"/>
        </w:rPr>
        <w:t>。</w:t>
      </w:r>
      <w:r>
        <w:rPr>
          <w:rFonts w:ascii="Times New Roman" w:hAnsi="Times New Roman" w:eastAsia="宋体" w:cs="Times New Roman"/>
          <w:sz w:val="21"/>
          <w:szCs w:val="21"/>
        </w:rPr>
        <w:t xml:space="preserve">  </w:t>
      </w:r>
    </w:p>
    <w:p w14:paraId="622B43F2">
      <w:pPr>
        <w:numPr>
          <w:ilvl w:val="0"/>
          <w:numId w:val="34"/>
        </w:numPr>
        <w:spacing w:line="360" w:lineRule="auto"/>
        <w:outlineLvl w:val="0"/>
        <w:rPr>
          <w:rFonts w:hint="eastAsia" w:ascii="Times New Roman" w:hAnsi="Times New Roman" w:eastAsia="宋体" w:cs="Times New Roman"/>
          <w:b/>
          <w:bCs/>
          <w:sz w:val="24"/>
          <w:szCs w:val="24"/>
          <w:lang w:val="en-US" w:eastAsia="zh-CN"/>
        </w:rPr>
      </w:pPr>
      <w:bookmarkStart w:id="597" w:name="_Toc8147"/>
      <w:bookmarkStart w:id="598" w:name="_Toc29196"/>
      <w:bookmarkStart w:id="599" w:name="_Toc20261"/>
      <w:bookmarkStart w:id="600" w:name="_Toc10324"/>
      <w:bookmarkStart w:id="601" w:name="_Toc23598"/>
      <w:bookmarkStart w:id="602" w:name="_Toc31177"/>
      <w:bookmarkStart w:id="603" w:name="_Toc18605"/>
      <w:r>
        <w:rPr>
          <w:rFonts w:hint="eastAsia" w:ascii="Times New Roman" w:hAnsi="Times New Roman" w:eastAsia="宋体" w:cs="Times New Roman"/>
          <w:b/>
          <w:bCs/>
          <w:sz w:val="24"/>
          <w:szCs w:val="24"/>
          <w:lang w:val="en-US" w:eastAsia="zh-CN"/>
        </w:rPr>
        <w:t>教学内容与预期学习成效</w:t>
      </w:r>
      <w:bookmarkEnd w:id="597"/>
      <w:bookmarkEnd w:id="598"/>
      <w:bookmarkEnd w:id="599"/>
      <w:bookmarkEnd w:id="600"/>
      <w:bookmarkEnd w:id="601"/>
      <w:bookmarkEnd w:id="602"/>
      <w:bookmarkEnd w:id="603"/>
    </w:p>
    <w:tbl>
      <w:tblPr>
        <w:tblStyle w:val="11"/>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522"/>
        <w:gridCol w:w="1065"/>
        <w:gridCol w:w="4568"/>
        <w:gridCol w:w="963"/>
        <w:gridCol w:w="438"/>
      </w:tblGrid>
      <w:tr w14:paraId="4BDB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2EA69C7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87A860A">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522" w:type="dxa"/>
            <w:vAlign w:val="center"/>
          </w:tcPr>
          <w:p w14:paraId="662F9741">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065" w:type="dxa"/>
            <w:vAlign w:val="center"/>
          </w:tcPr>
          <w:p w14:paraId="6BCF034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7899D98">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4568" w:type="dxa"/>
            <w:vAlign w:val="center"/>
          </w:tcPr>
          <w:p w14:paraId="07DD01AC">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963" w:type="dxa"/>
            <w:vAlign w:val="center"/>
          </w:tcPr>
          <w:p w14:paraId="18F40EB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w:t>
            </w:r>
          </w:p>
          <w:p w14:paraId="0B11BE5B">
            <w:pPr>
              <w:jc w:val="center"/>
              <w:rPr>
                <w:rFonts w:ascii="宋体" w:hAnsi="宋体" w:eastAsia="宋体" w:cs="Times New Roman"/>
                <w:b/>
                <w:color w:val="000000"/>
                <w:szCs w:val="21"/>
              </w:rPr>
            </w:pPr>
            <w:r>
              <w:rPr>
                <w:rFonts w:hint="eastAsia" w:ascii="宋体" w:hAnsi="宋体" w:eastAsia="宋体" w:cs="Times New Roman"/>
                <w:b/>
                <w:color w:val="000000"/>
                <w:szCs w:val="21"/>
              </w:rPr>
              <w:t>环节</w:t>
            </w:r>
          </w:p>
        </w:tc>
        <w:tc>
          <w:tcPr>
            <w:tcW w:w="438" w:type="dxa"/>
            <w:vAlign w:val="center"/>
          </w:tcPr>
          <w:p w14:paraId="04CCA802">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011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7DDD9845">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1.中国古代的文教政策与教育制度</w:t>
            </w:r>
          </w:p>
        </w:tc>
        <w:tc>
          <w:tcPr>
            <w:tcW w:w="1522" w:type="dxa"/>
            <w:vAlign w:val="center"/>
          </w:tcPr>
          <w:p w14:paraId="23CB51B3">
            <w:pPr>
              <w:keepNext w:val="0"/>
              <w:keepLines w:val="0"/>
              <w:pageBreakBefore w:val="0"/>
              <w:widowControl w:val="0"/>
              <w:numPr>
                <w:ilvl w:val="0"/>
                <w:numId w:val="35"/>
              </w:numPr>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官学制度的建立</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发展</w:t>
            </w:r>
            <w:r>
              <w:rPr>
                <w:rFonts w:hint="eastAsia" w:ascii="宋体" w:hAnsi="宋体" w:eastAsia="宋体" w:cs="Times New Roman"/>
                <w:color w:val="000000"/>
                <w:szCs w:val="21"/>
              </w:rPr>
              <w:t>与</w:t>
            </w:r>
            <w:r>
              <w:rPr>
                <w:rFonts w:hint="eastAsia" w:ascii="宋体" w:hAnsi="宋体" w:eastAsia="宋体" w:cs="Times New Roman"/>
                <w:color w:val="000000"/>
                <w:szCs w:val="21"/>
                <w:lang w:val="en-US" w:eastAsia="zh-CN"/>
              </w:rPr>
              <w:t>衰落</w:t>
            </w:r>
          </w:p>
          <w:p w14:paraId="5DF67809">
            <w:pPr>
              <w:keepNext w:val="0"/>
              <w:keepLines w:val="0"/>
              <w:pageBreakBefore w:val="0"/>
              <w:widowControl w:val="0"/>
              <w:numPr>
                <w:ilvl w:val="0"/>
                <w:numId w:val="35"/>
              </w:numPr>
              <w:kinsoku/>
              <w:wordWrap/>
              <w:overflowPunct/>
              <w:topLinePunct w:val="0"/>
              <w:autoSpaceDE/>
              <w:autoSpaceDN/>
              <w:bidi w:val="0"/>
              <w:adjustRightInd w:val="0"/>
              <w:snapToGrid w:val="0"/>
              <w:spacing w:line="312" w:lineRule="auto"/>
              <w:ind w:left="0" w:leftChars="0" w:firstLine="0" w:firstLineChars="0"/>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私学的产生与发展</w:t>
            </w:r>
          </w:p>
          <w:p w14:paraId="54954B2B">
            <w:pPr>
              <w:keepNext w:val="0"/>
              <w:keepLines w:val="0"/>
              <w:pageBreakBefore w:val="0"/>
              <w:widowControl w:val="0"/>
              <w:numPr>
                <w:ilvl w:val="0"/>
                <w:numId w:val="35"/>
              </w:numPr>
              <w:kinsoku/>
              <w:wordWrap/>
              <w:overflowPunct/>
              <w:topLinePunct w:val="0"/>
              <w:autoSpaceDE/>
              <w:autoSpaceDN/>
              <w:bidi w:val="0"/>
              <w:adjustRightInd w:val="0"/>
              <w:snapToGrid w:val="0"/>
              <w:spacing w:line="312" w:lineRule="auto"/>
              <w:ind w:left="0" w:leftChars="0" w:firstLine="0" w:firstLine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书院的发展嬗变</w:t>
            </w:r>
          </w:p>
          <w:p w14:paraId="667BA56B">
            <w:pPr>
              <w:keepNext w:val="0"/>
              <w:keepLines w:val="0"/>
              <w:pageBreakBefore w:val="0"/>
              <w:widowControl w:val="0"/>
              <w:numPr>
                <w:ilvl w:val="0"/>
                <w:numId w:val="35"/>
              </w:numPr>
              <w:kinsoku/>
              <w:wordWrap/>
              <w:overflowPunct/>
              <w:topLinePunct w:val="0"/>
              <w:autoSpaceDE/>
              <w:autoSpaceDN/>
              <w:bidi w:val="0"/>
              <w:adjustRightInd w:val="0"/>
              <w:snapToGrid w:val="0"/>
              <w:spacing w:line="312" w:lineRule="auto"/>
              <w:ind w:left="0" w:leftChars="0" w:firstLine="0" w:firstLine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蒙养教育与蒙养教材</w:t>
            </w:r>
          </w:p>
          <w:p w14:paraId="453FC5EA">
            <w:pPr>
              <w:keepNext w:val="0"/>
              <w:keepLines w:val="0"/>
              <w:pageBreakBefore w:val="0"/>
              <w:widowControl w:val="0"/>
              <w:numPr>
                <w:ilvl w:val="0"/>
                <w:numId w:val="35"/>
              </w:numPr>
              <w:kinsoku/>
              <w:wordWrap/>
              <w:overflowPunct/>
              <w:topLinePunct w:val="0"/>
              <w:autoSpaceDE/>
              <w:autoSpaceDN/>
              <w:bidi w:val="0"/>
              <w:adjustRightInd w:val="0"/>
              <w:snapToGrid w:val="0"/>
              <w:spacing w:line="312" w:lineRule="auto"/>
              <w:ind w:left="0" w:leftChars="0" w:firstLine="0" w:firstLine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选士制度的变迁</w:t>
            </w:r>
          </w:p>
        </w:tc>
        <w:tc>
          <w:tcPr>
            <w:tcW w:w="1065" w:type="dxa"/>
            <w:vAlign w:val="center"/>
          </w:tcPr>
          <w:p w14:paraId="51A6EB73">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2、3</w:t>
            </w:r>
          </w:p>
        </w:tc>
        <w:tc>
          <w:tcPr>
            <w:tcW w:w="4568" w:type="dxa"/>
            <w:vAlign w:val="center"/>
          </w:tcPr>
          <w:p w14:paraId="3BBB9DDF">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了解远古时期的教育及学校的起源</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掌握西周、秦汉魏晋南北朝、隋唐五代、宋元明清时期官学的发展演变；</w:t>
            </w:r>
          </w:p>
          <w:p w14:paraId="74499B81">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ascii="宋体" w:hAnsi="宋体" w:eastAsia="宋体" w:cs="Times New Roman"/>
                <w:color w:val="000000"/>
                <w:szCs w:val="21"/>
              </w:rPr>
              <w:t>2.</w:t>
            </w:r>
            <w:r>
              <w:rPr>
                <w:rFonts w:hint="eastAsia" w:ascii="宋体" w:hAnsi="宋体" w:eastAsia="宋体" w:cs="Times New Roman"/>
                <w:color w:val="000000"/>
                <w:szCs w:val="21"/>
                <w:lang w:val="en-US" w:eastAsia="zh-CN"/>
              </w:rPr>
              <w:t>掌握私人讲学的兴起与诸子百家私学的发展、齐国的稷下学宫；</w:t>
            </w:r>
          </w:p>
          <w:p w14:paraId="7C3E155B">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3.了解书院产生的原因，知道北宋六大书院、东林书院、诂经精舍、学海堂以及《白鹿洞揭示》；正确理解并掌握书院教育宗旨、书院讲会制度、书院学术研究及书院教育的特点；</w:t>
            </w:r>
          </w:p>
          <w:p w14:paraId="040867D7">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4.掌握私塾的发展、私塾教育的特点以及蒙学教材的发展、种类和特点；</w:t>
            </w:r>
          </w:p>
          <w:p w14:paraId="1C547503">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ascii="宋体" w:hAnsi="宋体" w:eastAsia="宋体" w:cs="Times New Roman"/>
                <w:color w:val="000000"/>
                <w:szCs w:val="21"/>
              </w:rPr>
              <w:t>.</w:t>
            </w:r>
            <w:r>
              <w:rPr>
                <w:rFonts w:hint="eastAsia" w:ascii="宋体" w:hAnsi="宋体" w:eastAsia="宋体" w:cs="Times New Roman"/>
                <w:color w:val="000000"/>
                <w:szCs w:val="21"/>
                <w:lang w:val="en-US" w:eastAsia="zh-CN"/>
              </w:rPr>
              <w:t>掌握察举制、九品中正制、察举制等选士制度的基本情况，并能对其进行正确评价</w:t>
            </w:r>
            <w:r>
              <w:rPr>
                <w:rFonts w:hint="eastAsia" w:ascii="宋体" w:hAnsi="宋体" w:eastAsia="宋体" w:cs="Times New Roman"/>
                <w:color w:val="000000"/>
                <w:szCs w:val="21"/>
              </w:rPr>
              <w:t>。</w:t>
            </w:r>
          </w:p>
        </w:tc>
        <w:tc>
          <w:tcPr>
            <w:tcW w:w="963" w:type="dxa"/>
            <w:vAlign w:val="center"/>
          </w:tcPr>
          <w:p w14:paraId="74F81E77">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rPr>
              <w:t>1.线上学习</w:t>
            </w:r>
          </w:p>
          <w:p w14:paraId="4037EF68">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0B41AD21">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r>
              <w:rPr>
                <w:rFonts w:hint="eastAsia" w:ascii="宋体" w:hAnsi="宋体" w:eastAsia="宋体" w:cs="Times New Roman"/>
                <w:color w:val="000000"/>
                <w:szCs w:val="21"/>
              </w:rPr>
              <w:t>3.课堂讨论</w:t>
            </w:r>
          </w:p>
          <w:p w14:paraId="13826B40">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4.平时作业</w:t>
            </w:r>
          </w:p>
          <w:p w14:paraId="005D1E65">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.单元测验</w:t>
            </w:r>
          </w:p>
          <w:p w14:paraId="330DF427">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p>
        </w:tc>
        <w:tc>
          <w:tcPr>
            <w:tcW w:w="438" w:type="dxa"/>
            <w:vAlign w:val="center"/>
          </w:tcPr>
          <w:p w14:paraId="23D5A71F">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010E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03C51742">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eastAsia="宋体" w:cs="Times New Roman"/>
                <w:color w:val="000000"/>
                <w:szCs w:val="21"/>
              </w:rPr>
            </w:pPr>
          </w:p>
        </w:tc>
        <w:tc>
          <w:tcPr>
            <w:tcW w:w="8556" w:type="dxa"/>
            <w:gridSpan w:val="5"/>
            <w:vAlign w:val="center"/>
          </w:tcPr>
          <w:p w14:paraId="7E800166">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eastAsia="宋体" w:cs="Times New Roman"/>
                <w:color w:val="000000"/>
                <w:szCs w:val="21"/>
                <w:lang w:val="en-US" w:eastAsia="zh-CN"/>
              </w:rPr>
              <w:t>古代不同历史时期的文教政策、学校的嬗变以及选士取士制度的历史影响，形成正确的历史观、教育观、文化观，坚定文化自信、制度自信，增强国家认同感。</w:t>
            </w:r>
          </w:p>
        </w:tc>
      </w:tr>
      <w:tr w14:paraId="55A3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5293876D">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2.中国近代教育制度的发展演变</w:t>
            </w:r>
          </w:p>
        </w:tc>
        <w:tc>
          <w:tcPr>
            <w:tcW w:w="1522" w:type="dxa"/>
            <w:vAlign w:val="center"/>
          </w:tcPr>
          <w:p w14:paraId="2E36B21A">
            <w:pPr>
              <w:keepNext w:val="0"/>
              <w:keepLines w:val="0"/>
              <w:pageBreakBefore w:val="0"/>
              <w:widowControl w:val="0"/>
              <w:numPr>
                <w:ilvl w:val="0"/>
                <w:numId w:val="36"/>
              </w:numPr>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鸦片战争与洋务运动时期的教育</w:t>
            </w:r>
          </w:p>
          <w:p w14:paraId="0ADD44C5">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（2）戊戌维新运动与清末新政时期的教育</w:t>
            </w:r>
          </w:p>
          <w:p w14:paraId="6D1CB8AC">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晚清时期的留学教育</w:t>
            </w:r>
          </w:p>
          <w:p w14:paraId="1FFDF0B9">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（4）民国成立初期的教育</w:t>
            </w:r>
          </w:p>
          <w:p w14:paraId="59EC3814">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（5）新文化运动时期的教育</w:t>
            </w:r>
          </w:p>
          <w:p w14:paraId="76DECBF7">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（6）新民主主义时期的教育改革</w:t>
            </w:r>
          </w:p>
        </w:tc>
        <w:tc>
          <w:tcPr>
            <w:tcW w:w="1065" w:type="dxa"/>
            <w:vAlign w:val="center"/>
          </w:tcPr>
          <w:p w14:paraId="344C6C0D">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3</w:t>
            </w:r>
          </w:p>
        </w:tc>
        <w:tc>
          <w:tcPr>
            <w:tcW w:w="4568" w:type="dxa"/>
            <w:vAlign w:val="center"/>
          </w:tcPr>
          <w:p w14:paraId="3E8058D2">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.了解教会学校在中国的举办情况，正确认识教会学校的性质与影响；掌握洋务学堂的类别、特点及其京师同文馆、福建船政学堂等新式学堂；</w:t>
            </w:r>
          </w:p>
          <w:p w14:paraId="5453CFBB">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2.了解早期改良派的教育主张与维新派的教育实践；正确认识“百日维新”及清末新政中的教育改革；</w:t>
            </w:r>
          </w:p>
          <w:p w14:paraId="0781BC8A">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3.了解留学教育的发展情况；掌握起步时期的幼童留美、派遣留欧以及后期的留日教育、“庚款兴学”与留美教育；</w:t>
            </w:r>
          </w:p>
          <w:p w14:paraId="11935983">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4.了解民国初年的教育改革；正确认识民国教育方针；</w:t>
            </w:r>
          </w:p>
          <w:p w14:paraId="3D45E628">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5.了解新文化运动时期和20世纪20年代的教育改革运动以及教会教育的扩张与收回教育权运动；</w:t>
            </w:r>
          </w:p>
          <w:p w14:paraId="1B8252B6">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6.了解新民主主义教育提出的背景，正确认识新学制。</w:t>
            </w:r>
          </w:p>
        </w:tc>
        <w:tc>
          <w:tcPr>
            <w:tcW w:w="963" w:type="dxa"/>
            <w:vAlign w:val="center"/>
          </w:tcPr>
          <w:p w14:paraId="6F3ED57A">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rPr>
              <w:t>1.线上学习</w:t>
            </w:r>
          </w:p>
          <w:p w14:paraId="5EEC7258">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040E52E">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634EA0A0">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6524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12286DE5">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eastAsia="宋体" w:cs="Times New Roman"/>
                <w:color w:val="000000"/>
                <w:szCs w:val="21"/>
              </w:rPr>
            </w:pPr>
          </w:p>
        </w:tc>
        <w:tc>
          <w:tcPr>
            <w:tcW w:w="8556" w:type="dxa"/>
            <w:gridSpan w:val="5"/>
            <w:vAlign w:val="center"/>
          </w:tcPr>
          <w:p w14:paraId="63006E75">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运用辩证唯物主义和历史唯物主义的思想方法，</w:t>
            </w:r>
            <w:r>
              <w:rPr>
                <w:rFonts w:hint="eastAsia" w:ascii="宋体" w:hAnsi="宋体" w:eastAsia="宋体" w:cs="Times New Roman"/>
                <w:b w:val="0"/>
                <w:bCs/>
                <w:color w:val="000000"/>
                <w:szCs w:val="21"/>
                <w:lang w:val="en-US" w:eastAsia="zh-CN"/>
              </w:rPr>
              <w:t>在了解清末封建制度的衰朽、教育内容的空疏、学校教育的衰废以及西方列强的入侵以及地主阶级改革派、洋务派、维新派、资产阶级革命派等所进行的教育救国行动基础上，理解爱国人士为国家教育发展所做出的努力与贡献，激发学生的民族精神和爱国情怀，进一步理解教育强国、人才强国。</w:t>
            </w:r>
          </w:p>
        </w:tc>
      </w:tr>
      <w:tr w14:paraId="14BD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459CCEF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3.中国现代教育制度的发展演变</w:t>
            </w:r>
          </w:p>
        </w:tc>
        <w:tc>
          <w:tcPr>
            <w:tcW w:w="1522" w:type="dxa"/>
            <w:vAlign w:val="center"/>
          </w:tcPr>
          <w:p w14:paraId="2524318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南京国民政府时期的教育</w:t>
            </w:r>
          </w:p>
          <w:p w14:paraId="70AAE09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中国共产党领导下的革命根据地教育</w:t>
            </w:r>
          </w:p>
        </w:tc>
        <w:tc>
          <w:tcPr>
            <w:tcW w:w="1065" w:type="dxa"/>
            <w:vAlign w:val="center"/>
          </w:tcPr>
          <w:p w14:paraId="38DDCEE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p>
        </w:tc>
        <w:tc>
          <w:tcPr>
            <w:tcW w:w="4568" w:type="dxa"/>
            <w:vAlign w:val="center"/>
          </w:tcPr>
          <w:p w14:paraId="461BC3C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1.掌握“党化教育”到“三民主义教育”的变迁，了解“戊辰学制”相对于“壬戌学制”的变化，熟悉大学院制和大学区制的实施过程；</w:t>
            </w:r>
          </w:p>
          <w:p w14:paraId="5D578EB8">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2.了解新民主主义教育方针及其形成过程，掌握认识革命根据地的干部教育、群众教育，正确认识革命根据地教育的基本经验。</w:t>
            </w:r>
          </w:p>
        </w:tc>
        <w:tc>
          <w:tcPr>
            <w:tcW w:w="963" w:type="dxa"/>
            <w:vAlign w:val="center"/>
          </w:tcPr>
          <w:p w14:paraId="21B21D7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BCEC09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62C79E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05DC0C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773D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0DE37009">
            <w:pPr>
              <w:spacing w:line="264" w:lineRule="auto"/>
              <w:jc w:val="center"/>
              <w:rPr>
                <w:rFonts w:ascii="宋体" w:hAnsi="宋体" w:eastAsia="宋体" w:cs="Times New Roman"/>
                <w:color w:val="000000"/>
                <w:szCs w:val="21"/>
              </w:rPr>
            </w:pPr>
          </w:p>
        </w:tc>
        <w:tc>
          <w:tcPr>
            <w:tcW w:w="8556" w:type="dxa"/>
            <w:gridSpan w:val="5"/>
            <w:vAlign w:val="center"/>
          </w:tcPr>
          <w:p w14:paraId="43C7B55B">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认识到</w:t>
            </w:r>
            <w:r>
              <w:rPr>
                <w:rFonts w:hint="eastAsia" w:ascii="宋体" w:hAnsi="宋体" w:eastAsia="宋体" w:cs="Times New Roman"/>
                <w:b w:val="0"/>
                <w:bCs/>
                <w:color w:val="000000"/>
                <w:szCs w:val="21"/>
              </w:rPr>
              <w:t>新民主主义教育纲领的确立，是中国共产党为广大劳动人民争取教育权、扩大教育普及、提升女性受教育权提供的制度保障</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lang w:val="en-US" w:eastAsia="zh-CN"/>
              </w:rPr>
              <w:t>理解</w:t>
            </w:r>
            <w:r>
              <w:rPr>
                <w:rFonts w:hint="eastAsia" w:ascii="宋体" w:hAnsi="宋体" w:eastAsia="宋体" w:cs="Times New Roman"/>
                <w:b w:val="0"/>
                <w:bCs/>
                <w:color w:val="000000"/>
                <w:szCs w:val="21"/>
              </w:rPr>
              <w:t>党领导和创立的革命干部学校，培养了大量的革命干部，为后期的革命运动播下了火种，培养了人才</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lang w:val="en-US" w:eastAsia="zh-CN"/>
              </w:rPr>
              <w:t>体悟</w:t>
            </w:r>
            <w:r>
              <w:rPr>
                <w:rFonts w:hint="eastAsia" w:ascii="宋体" w:hAnsi="宋体" w:eastAsia="宋体" w:cs="Times New Roman"/>
                <w:color w:val="000000"/>
                <w:szCs w:val="21"/>
                <w:lang w:val="en-US" w:eastAsia="zh-CN"/>
              </w:rPr>
              <w:t>中国共产党在现代教育发展中所起的领导作用以及革命根据地教育的重要影响，深厚爱国情怀、树立制度自信。</w:t>
            </w:r>
          </w:p>
        </w:tc>
      </w:tr>
      <w:tr w14:paraId="767E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71B0E2D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先秦时期的教育思想</w:t>
            </w:r>
          </w:p>
        </w:tc>
        <w:tc>
          <w:tcPr>
            <w:tcW w:w="1522" w:type="dxa"/>
            <w:vAlign w:val="center"/>
          </w:tcPr>
          <w:p w14:paraId="14500727">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孔子的教育思想</w:t>
            </w:r>
          </w:p>
          <w:p w14:paraId="6BB90494">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孟子的教育思想</w:t>
            </w:r>
          </w:p>
          <w:p w14:paraId="7D665158">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荀子的教育思想</w:t>
            </w:r>
          </w:p>
          <w:p w14:paraId="56883A93">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（4）墨子和墨家学派的教育思想</w:t>
            </w:r>
          </w:p>
          <w:p w14:paraId="131856B8">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（5）《礼记》中的教育思想</w:t>
            </w:r>
          </w:p>
        </w:tc>
        <w:tc>
          <w:tcPr>
            <w:tcW w:w="1065" w:type="dxa"/>
            <w:vAlign w:val="center"/>
          </w:tcPr>
          <w:p w14:paraId="3FBA808C">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4C0C0FB8">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1.掌握孔子的教育思想</w:t>
            </w:r>
            <w:r>
              <w:rPr>
                <w:rFonts w:hint="eastAsia" w:ascii="宋体" w:hAnsi="宋体" w:eastAsia="宋体" w:cs="Times New Roman"/>
                <w:color w:val="000000"/>
                <w:szCs w:val="21"/>
                <w:lang w:eastAsia="zh-CN"/>
              </w:rPr>
              <w:t>；</w:t>
            </w:r>
          </w:p>
          <w:p w14:paraId="0CFF8218">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领会</w:t>
            </w:r>
            <w:r>
              <w:rPr>
                <w:rFonts w:hint="eastAsia" w:ascii="宋体" w:hAnsi="宋体" w:eastAsia="宋体" w:cs="Times New Roman"/>
                <w:color w:val="000000"/>
                <w:szCs w:val="21"/>
              </w:rPr>
              <w:t>孟子、荀子关于教育的不同见解</w:t>
            </w:r>
            <w:r>
              <w:rPr>
                <w:rFonts w:hint="eastAsia" w:ascii="宋体" w:hAnsi="宋体" w:eastAsia="宋体" w:cs="Times New Roman"/>
                <w:color w:val="000000"/>
                <w:szCs w:val="21"/>
                <w:lang w:eastAsia="zh-CN"/>
              </w:rPr>
              <w:t>；</w:t>
            </w:r>
          </w:p>
          <w:p w14:paraId="26DA51E1">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.了解墨家的科技教育思想</w:t>
            </w:r>
            <w:r>
              <w:rPr>
                <w:rFonts w:hint="eastAsia" w:ascii="宋体" w:hAnsi="宋体" w:eastAsia="宋体" w:cs="Times New Roman"/>
                <w:color w:val="000000"/>
                <w:szCs w:val="21"/>
                <w:lang w:eastAsia="zh-CN"/>
              </w:rPr>
              <w:t>；</w:t>
            </w:r>
          </w:p>
          <w:p w14:paraId="55D3ACB5">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.掌握《礼记》重点篇章中的教育思想</w:t>
            </w:r>
            <w:r>
              <w:rPr>
                <w:rFonts w:hint="eastAsia" w:ascii="宋体" w:hAnsi="宋体" w:eastAsia="宋体" w:cs="Times New Roman"/>
                <w:color w:val="000000"/>
                <w:szCs w:val="21"/>
                <w:lang w:eastAsia="zh-CN"/>
              </w:rPr>
              <w:t>；</w:t>
            </w:r>
          </w:p>
          <w:p w14:paraId="69B8948F">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5.能够正确评价先秦教育家的教育思想、历史影响，认识其现代价值。</w:t>
            </w:r>
          </w:p>
        </w:tc>
        <w:tc>
          <w:tcPr>
            <w:tcW w:w="963" w:type="dxa"/>
            <w:vAlign w:val="center"/>
          </w:tcPr>
          <w:p w14:paraId="6AD614C0">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ascii="宋体" w:hAnsi="宋体" w:eastAsia="宋体" w:cs="Times New Roman"/>
                <w:color w:val="000000"/>
                <w:szCs w:val="21"/>
              </w:rPr>
            </w:pPr>
            <w:r>
              <w:rPr>
                <w:rFonts w:ascii="宋体" w:hAnsi="宋体" w:eastAsia="宋体" w:cs="Times New Roman"/>
                <w:color w:val="000000"/>
                <w:szCs w:val="21"/>
              </w:rPr>
              <w:t>1.线上学习</w:t>
            </w:r>
          </w:p>
          <w:p w14:paraId="71ADCE5D">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A36B979">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hint="eastAsia" w:ascii="宋体" w:hAnsi="宋体" w:eastAsia="宋体" w:cs="Times New Roman"/>
                <w:color w:val="000000"/>
                <w:szCs w:val="21"/>
                <w:lang w:val="en-US" w:eastAsia="zh-CN"/>
              </w:rPr>
            </w:pPr>
            <w:r>
              <w:rPr>
                <w:rFonts w:ascii="宋体" w:hAnsi="宋体" w:eastAsia="宋体" w:cs="Times New Roman"/>
                <w:color w:val="000000"/>
                <w:szCs w:val="21"/>
              </w:rPr>
              <w:t>4.</w:t>
            </w:r>
            <w:r>
              <w:rPr>
                <w:rFonts w:hint="eastAsia" w:ascii="宋体" w:hAnsi="宋体" w:eastAsia="宋体" w:cs="Times New Roman"/>
                <w:color w:val="000000"/>
                <w:szCs w:val="21"/>
                <w:lang w:val="en-US" w:eastAsia="zh-CN"/>
              </w:rPr>
              <w:t>平时作业</w:t>
            </w:r>
          </w:p>
          <w:p w14:paraId="19E20751">
            <w:pPr>
              <w:keepNext w:val="0"/>
              <w:keepLines w:val="0"/>
              <w:pageBreakBefore w:val="0"/>
              <w:widowControl w:val="0"/>
              <w:kinsoku/>
              <w:wordWrap/>
              <w:overflowPunct/>
              <w:topLinePunct w:val="0"/>
              <w:autoSpaceDE/>
              <w:autoSpaceDN/>
              <w:bidi w:val="0"/>
              <w:adjustRightInd/>
              <w:snapToGrid/>
              <w:spacing w:line="264"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ascii="宋体" w:hAnsi="宋体" w:eastAsia="宋体" w:cs="Times New Roman"/>
                <w:color w:val="000000"/>
                <w:szCs w:val="21"/>
              </w:rPr>
              <w:t>单元测验</w:t>
            </w:r>
          </w:p>
        </w:tc>
        <w:tc>
          <w:tcPr>
            <w:tcW w:w="438" w:type="dxa"/>
            <w:vAlign w:val="center"/>
          </w:tcPr>
          <w:p w14:paraId="7833693B">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5094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42F1CD93">
            <w:pPr>
              <w:spacing w:line="276" w:lineRule="auto"/>
              <w:jc w:val="center"/>
              <w:rPr>
                <w:rFonts w:ascii="宋体" w:hAnsi="宋体" w:eastAsia="宋体" w:cs="Times New Roman"/>
                <w:color w:val="000000"/>
                <w:szCs w:val="21"/>
              </w:rPr>
            </w:pPr>
          </w:p>
        </w:tc>
        <w:tc>
          <w:tcPr>
            <w:tcW w:w="8556" w:type="dxa"/>
            <w:gridSpan w:val="5"/>
            <w:vAlign w:val="center"/>
          </w:tcPr>
          <w:p w14:paraId="58D64FEC">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通过学习先秦教育家的</w:t>
            </w:r>
            <w:r>
              <w:rPr>
                <w:rFonts w:hint="eastAsia" w:ascii="宋体" w:hAnsi="宋体" w:eastAsia="宋体" w:cs="Times New Roman"/>
                <w:b w:val="0"/>
                <w:bCs/>
                <w:color w:val="000000"/>
                <w:szCs w:val="21"/>
              </w:rPr>
              <w:t>生平与教育实践，</w:t>
            </w:r>
            <w:r>
              <w:rPr>
                <w:rFonts w:hint="eastAsia" w:ascii="宋体" w:hAnsi="宋体" w:eastAsia="宋体" w:cs="Times New Roman"/>
                <w:b w:val="0"/>
                <w:bCs/>
                <w:color w:val="000000"/>
                <w:szCs w:val="21"/>
                <w:lang w:val="en-US" w:eastAsia="zh-CN"/>
              </w:rPr>
              <w:t>领会</w:t>
            </w:r>
            <w:r>
              <w:rPr>
                <w:rFonts w:hint="eastAsia" w:ascii="宋体" w:hAnsi="宋体" w:eastAsia="宋体" w:cs="Times New Roman"/>
                <w:b w:val="0"/>
                <w:bCs/>
                <w:color w:val="000000"/>
                <w:szCs w:val="21"/>
              </w:rPr>
              <w:t>他们深厚的教育情怀</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lang w:val="en-US" w:eastAsia="zh-CN"/>
              </w:rPr>
              <w:t>自觉</w:t>
            </w:r>
            <w:r>
              <w:rPr>
                <w:rFonts w:hint="eastAsia" w:ascii="宋体" w:hAnsi="宋体" w:eastAsia="宋体" w:cs="Times New Roman"/>
                <w:color w:val="000000"/>
                <w:szCs w:val="21"/>
              </w:rPr>
              <w:t>以教育家为榜样，忠诚人民教育事业，坚定成为“四个引路人”“四有好老师”“大先生”的理想信念；</w:t>
            </w:r>
            <w:r>
              <w:rPr>
                <w:rFonts w:hint="eastAsia" w:ascii="宋体" w:hAnsi="宋体" w:eastAsia="宋体" w:cs="Times New Roman"/>
                <w:color w:val="000000"/>
                <w:szCs w:val="21"/>
                <w:lang w:val="en-US" w:eastAsia="zh-CN"/>
              </w:rPr>
              <w:t>认识到</w:t>
            </w:r>
            <w:r>
              <w:rPr>
                <w:rFonts w:hint="eastAsia" w:ascii="宋体" w:hAnsi="宋体" w:eastAsia="宋体" w:cs="Times New Roman"/>
                <w:color w:val="000000"/>
                <w:szCs w:val="21"/>
              </w:rPr>
              <w:t>教育家、教育著作提出的教育思想观点，体现了强国兴邦重在人才，人才兴邦重在教育，教育发展靠教师，古代要培养的人才均是德才兼备的，德是首要素养</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自觉</w:t>
            </w:r>
            <w:r>
              <w:rPr>
                <w:rFonts w:hint="eastAsia" w:ascii="宋体" w:hAnsi="宋体" w:eastAsia="宋体" w:cs="Times New Roman"/>
                <w:color w:val="000000"/>
                <w:szCs w:val="21"/>
              </w:rPr>
              <w:t>落实立德树人根本任务，坚持为党育人、为国育才，培养担当民族复兴大任的时代新人；</w:t>
            </w:r>
            <w:r>
              <w:rPr>
                <w:rFonts w:hint="eastAsia" w:ascii="宋体" w:hAnsi="宋体" w:eastAsia="宋体" w:cs="Times New Roman"/>
                <w:color w:val="000000"/>
                <w:szCs w:val="21"/>
                <w:lang w:val="en-US" w:eastAsia="zh-CN"/>
              </w:rPr>
              <w:t>认识到</w:t>
            </w:r>
            <w:r>
              <w:rPr>
                <w:rFonts w:hint="eastAsia" w:ascii="宋体" w:hAnsi="宋体" w:eastAsia="宋体" w:cs="Times New Roman"/>
                <w:color w:val="000000"/>
                <w:szCs w:val="21"/>
              </w:rPr>
              <w:t>中国古代虽然没有系统的教育理论，但却有着丰富的教育思想，已经覆盖了教育原理学科的所有范畴，中国在教育学的发展历程中并没有缺席，为世界教育学的发展做出了重要贡献，值得每一位中国人为之骄傲和自豪</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树立文化自信，增强民族自豪感。</w:t>
            </w:r>
          </w:p>
        </w:tc>
      </w:tr>
      <w:tr w14:paraId="0EA9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527C5C5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秦汉魏晋南北朝时期的教育思想</w:t>
            </w:r>
          </w:p>
        </w:tc>
        <w:tc>
          <w:tcPr>
            <w:tcW w:w="1522" w:type="dxa"/>
            <w:vAlign w:val="center"/>
          </w:tcPr>
          <w:p w14:paraId="6770525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董仲舒的教育思想</w:t>
            </w:r>
          </w:p>
          <w:p w14:paraId="419195F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王充的教育思想</w:t>
            </w:r>
          </w:p>
          <w:p w14:paraId="2A29615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颜之推的教育思想</w:t>
            </w:r>
          </w:p>
        </w:tc>
        <w:tc>
          <w:tcPr>
            <w:tcW w:w="1065" w:type="dxa"/>
            <w:vAlign w:val="center"/>
          </w:tcPr>
          <w:p w14:paraId="09CFD26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3E6F877D">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1.理解并掌握董仲舒的主要教育思想及其现实意义</w:t>
            </w:r>
            <w:r>
              <w:rPr>
                <w:rFonts w:hint="eastAsia" w:ascii="宋体" w:hAnsi="宋体" w:eastAsia="宋体" w:cs="Times New Roman"/>
                <w:color w:val="000000"/>
                <w:szCs w:val="21"/>
                <w:lang w:eastAsia="zh-CN"/>
              </w:rPr>
              <w:t>；</w:t>
            </w:r>
          </w:p>
          <w:p w14:paraId="488EBE8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2.理解并掌握王充的主要教育思想及其现实意义</w:t>
            </w:r>
            <w:r>
              <w:rPr>
                <w:rFonts w:hint="eastAsia" w:ascii="宋体" w:hAnsi="宋体" w:eastAsia="宋体" w:cs="Times New Roman"/>
                <w:color w:val="000000"/>
                <w:szCs w:val="21"/>
                <w:lang w:eastAsia="zh-CN"/>
              </w:rPr>
              <w:t>；</w:t>
            </w:r>
          </w:p>
          <w:p w14:paraId="224D3EFC">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3.正确认识</w:t>
            </w:r>
            <w:r>
              <w:rPr>
                <w:rFonts w:hint="eastAsia" w:ascii="宋体" w:hAnsi="宋体" w:eastAsia="宋体" w:cs="Times New Roman"/>
                <w:color w:val="000000"/>
                <w:szCs w:val="21"/>
              </w:rPr>
              <w:t>颜之推的家庭教育思想及其现代意义</w:t>
            </w:r>
            <w:r>
              <w:rPr>
                <w:rFonts w:hint="eastAsia" w:ascii="宋体" w:hAnsi="宋体" w:eastAsia="宋体" w:cs="Times New Roman"/>
                <w:color w:val="000000"/>
                <w:szCs w:val="21"/>
                <w:lang w:eastAsia="zh-CN"/>
              </w:rPr>
              <w:t>。</w:t>
            </w:r>
          </w:p>
        </w:tc>
        <w:tc>
          <w:tcPr>
            <w:tcW w:w="963" w:type="dxa"/>
            <w:vAlign w:val="center"/>
          </w:tcPr>
          <w:p w14:paraId="6271456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58ABE8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8EE3A6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3CC3668">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2C6C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79C76088">
            <w:pPr>
              <w:spacing w:line="276" w:lineRule="auto"/>
              <w:jc w:val="center"/>
              <w:rPr>
                <w:rFonts w:ascii="宋体" w:hAnsi="宋体" w:eastAsia="宋体" w:cs="Times New Roman"/>
                <w:color w:val="000000"/>
                <w:szCs w:val="21"/>
              </w:rPr>
            </w:pPr>
          </w:p>
        </w:tc>
        <w:tc>
          <w:tcPr>
            <w:tcW w:w="8556" w:type="dxa"/>
            <w:gridSpan w:val="5"/>
            <w:vAlign w:val="center"/>
          </w:tcPr>
          <w:p w14:paraId="6E6EBF55">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理解教育家的思想，巩固专业思想，乐于从教</w:t>
            </w:r>
            <w:r>
              <w:rPr>
                <w:rFonts w:hint="eastAsia" w:ascii="宋体" w:hAnsi="宋体" w:eastAsia="宋体" w:cs="Times New Roman"/>
                <w:b w:val="0"/>
                <w:bCs/>
                <w:color w:val="000000"/>
                <w:szCs w:val="21"/>
                <w:lang w:eastAsia="zh-CN"/>
              </w:rPr>
              <w:t>；</w:t>
            </w:r>
            <w:r>
              <w:rPr>
                <w:rFonts w:hint="eastAsia" w:ascii="宋体" w:hAnsi="宋体" w:eastAsia="宋体" w:cs="Times New Roman"/>
                <w:color w:val="000000"/>
                <w:szCs w:val="21"/>
              </w:rPr>
              <w:t>继承祖国优秀教育遗产，如《颜氏家训》是世界上第一本系统全面的家教著作，从而增强民族自尊心和自信心。</w:t>
            </w:r>
          </w:p>
        </w:tc>
      </w:tr>
      <w:tr w14:paraId="4478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228DC7F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en-US" w:eastAsia="zh-CN"/>
              </w:rPr>
              <w:t>隋唐宋元明清时期的教育思想</w:t>
            </w:r>
          </w:p>
        </w:tc>
        <w:tc>
          <w:tcPr>
            <w:tcW w:w="1522" w:type="dxa"/>
            <w:vAlign w:val="center"/>
          </w:tcPr>
          <w:p w14:paraId="4A09C57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韩愈的教育思想</w:t>
            </w:r>
          </w:p>
          <w:p w14:paraId="63B90F3B">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朱熹的教育思想</w:t>
            </w:r>
          </w:p>
          <w:p w14:paraId="616E7A9F">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王守仁的教育思想</w:t>
            </w:r>
          </w:p>
          <w:p w14:paraId="7562B23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颜元的教育思想</w:t>
            </w:r>
          </w:p>
        </w:tc>
        <w:tc>
          <w:tcPr>
            <w:tcW w:w="1065" w:type="dxa"/>
            <w:vAlign w:val="center"/>
          </w:tcPr>
          <w:p w14:paraId="2A44FB4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61AEF1F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掌握韩愈的教师思想</w:t>
            </w:r>
            <w:r>
              <w:rPr>
                <w:rFonts w:hint="eastAsia" w:ascii="宋体" w:hAnsi="宋体" w:eastAsia="宋体" w:cs="Times New Roman"/>
                <w:color w:val="000000"/>
                <w:szCs w:val="21"/>
              </w:rPr>
              <w:t>；</w:t>
            </w:r>
          </w:p>
          <w:p w14:paraId="46C673C3">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2.理解并掌握朱熹的教育思想及其现实意义</w:t>
            </w:r>
            <w:r>
              <w:rPr>
                <w:rFonts w:hint="eastAsia" w:ascii="宋体" w:hAnsi="宋体" w:eastAsia="宋体" w:cs="Times New Roman"/>
                <w:color w:val="000000"/>
                <w:szCs w:val="21"/>
                <w:lang w:eastAsia="zh-CN"/>
              </w:rPr>
              <w:t>；</w:t>
            </w:r>
          </w:p>
          <w:p w14:paraId="774CE512">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3.理解并掌握王守仁的教育思想及其现实意义</w:t>
            </w:r>
            <w:r>
              <w:rPr>
                <w:rFonts w:hint="eastAsia" w:ascii="宋体" w:hAnsi="宋体" w:eastAsia="宋体" w:cs="Times New Roman"/>
                <w:color w:val="000000"/>
                <w:szCs w:val="21"/>
                <w:lang w:eastAsia="zh-CN"/>
              </w:rPr>
              <w:t>；</w:t>
            </w:r>
          </w:p>
          <w:p w14:paraId="17B9D34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4.掌握颜元“实德实才”的培养目标、“六斋”与“实学”的教育内容以及“习行”的教学方法。</w:t>
            </w:r>
          </w:p>
        </w:tc>
        <w:tc>
          <w:tcPr>
            <w:tcW w:w="963" w:type="dxa"/>
            <w:vAlign w:val="center"/>
          </w:tcPr>
          <w:p w14:paraId="00C8CA4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9C3C1D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99FCE2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7AF0770">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7D55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2C3F34A3">
            <w:pPr>
              <w:spacing w:line="276" w:lineRule="auto"/>
              <w:jc w:val="center"/>
              <w:rPr>
                <w:rFonts w:ascii="宋体" w:hAnsi="宋体" w:eastAsia="宋体" w:cs="Times New Roman"/>
                <w:color w:val="000000"/>
                <w:szCs w:val="21"/>
              </w:rPr>
            </w:pPr>
          </w:p>
        </w:tc>
        <w:tc>
          <w:tcPr>
            <w:tcW w:w="8556" w:type="dxa"/>
            <w:gridSpan w:val="5"/>
            <w:vAlign w:val="center"/>
          </w:tcPr>
          <w:p w14:paraId="58616F5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在了解教育思想演变过程的基础上，</w:t>
            </w:r>
            <w:r>
              <w:rPr>
                <w:rFonts w:hint="eastAsia" w:ascii="宋体" w:hAnsi="宋体" w:eastAsia="宋体" w:cs="Times New Roman"/>
                <w:color w:val="000000"/>
                <w:szCs w:val="21"/>
              </w:rPr>
              <w:t>教育引导学生传承中华优秀教育遗产，弘扬以爱国主义为核心的民族精神和以改革创新为核心的时代精神；以教育家为榜样，忠诚人民教育事业，进一步巩固专业思想，具有为了中华民族的复兴，为了培养全面发展的社会主义建设者和接班人投身小学教育事业的职业理想。</w:t>
            </w:r>
          </w:p>
        </w:tc>
      </w:tr>
      <w:tr w14:paraId="7D6E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4FF6989D">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7.</w:t>
            </w:r>
            <w:r>
              <w:rPr>
                <w:rFonts w:hint="eastAsia" w:ascii="宋体" w:hAnsi="宋体" w:eastAsia="宋体" w:cs="Times New Roman"/>
                <w:szCs w:val="21"/>
                <w:lang w:val="en-US" w:eastAsia="zh-CN"/>
              </w:rPr>
              <w:t>中国近代教育思想</w:t>
            </w:r>
          </w:p>
        </w:tc>
        <w:tc>
          <w:tcPr>
            <w:tcW w:w="1522" w:type="dxa"/>
            <w:vAlign w:val="center"/>
          </w:tcPr>
          <w:p w14:paraId="57F5BE78">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rPr>
              <w:t>（1）</w:t>
            </w:r>
            <w:r>
              <w:rPr>
                <w:rFonts w:hint="eastAsia" w:ascii="宋体" w:hAnsi="宋体" w:eastAsia="宋体" w:cs="Times New Roman"/>
                <w:szCs w:val="21"/>
                <w:lang w:val="en-US" w:eastAsia="zh-CN"/>
              </w:rPr>
              <w:t>张之洞的教育思想</w:t>
            </w:r>
          </w:p>
          <w:p w14:paraId="069EF8F4">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rPr>
              <w:t>（2）</w:t>
            </w:r>
            <w:r>
              <w:rPr>
                <w:rFonts w:hint="eastAsia" w:ascii="宋体" w:hAnsi="宋体" w:eastAsia="宋体" w:cs="Times New Roman"/>
                <w:szCs w:val="21"/>
                <w:lang w:val="en-US" w:eastAsia="zh-CN"/>
              </w:rPr>
              <w:t>康有为的教育思想</w:t>
            </w:r>
          </w:p>
          <w:p w14:paraId="6C0DF979">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rPr>
              <w:t>（3）</w:t>
            </w:r>
            <w:r>
              <w:rPr>
                <w:rFonts w:hint="eastAsia" w:ascii="宋体" w:hAnsi="宋体" w:eastAsia="宋体" w:cs="Times New Roman"/>
                <w:szCs w:val="21"/>
                <w:lang w:val="en-US" w:eastAsia="zh-CN"/>
              </w:rPr>
              <w:t>梁启超的教育思想</w:t>
            </w:r>
          </w:p>
          <w:p w14:paraId="21C5BBB9">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（4）蔡元培的教育思想</w:t>
            </w:r>
          </w:p>
        </w:tc>
        <w:tc>
          <w:tcPr>
            <w:tcW w:w="1065" w:type="dxa"/>
            <w:vAlign w:val="center"/>
          </w:tcPr>
          <w:p w14:paraId="79886D2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24F235D2">
            <w:pPr>
              <w:numPr>
                <w:ilvl w:val="0"/>
                <w:numId w:val="0"/>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（1）掌握“中体西用”思想的形成和发展，能够正确认识“中体西用”的历史作用与局限； </w:t>
            </w:r>
          </w:p>
          <w:p w14:paraId="5EDF42A7">
            <w:pPr>
              <w:numPr>
                <w:ilvl w:val="0"/>
                <w:numId w:val="0"/>
              </w:num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掌握康有为</w:t>
            </w:r>
            <w:r>
              <w:rPr>
                <w:rFonts w:hint="eastAsia" w:ascii="宋体" w:hAnsi="宋体" w:eastAsia="宋体" w:cs="Times New Roman"/>
                <w:color w:val="000000"/>
                <w:szCs w:val="21"/>
              </w:rPr>
              <w:t>《大同书》中的教育理想</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 xml:space="preserve"> </w:t>
            </w:r>
          </w:p>
          <w:p w14:paraId="73F22EC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lang w:val="en-US" w:eastAsia="zh-CN"/>
              </w:rPr>
              <w:t>正确理解梁启超关于</w:t>
            </w:r>
            <w:r>
              <w:rPr>
                <w:rFonts w:hint="eastAsia" w:ascii="宋体" w:hAnsi="宋体" w:eastAsia="宋体" w:cs="Times New Roman"/>
                <w:color w:val="000000"/>
                <w:szCs w:val="21"/>
              </w:rPr>
              <w:t>“开民智”“伸民权”与教育作用</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培养“新民”的教育目的</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学制</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论</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师范教育、女子教育和儿童教育</w:t>
            </w:r>
            <w:r>
              <w:rPr>
                <w:rFonts w:hint="eastAsia" w:ascii="宋体" w:hAnsi="宋体" w:eastAsia="宋体" w:cs="Times New Roman"/>
                <w:color w:val="000000"/>
                <w:szCs w:val="21"/>
                <w:lang w:val="en-US" w:eastAsia="zh-CN"/>
              </w:rPr>
              <w:t>的相关思想；</w:t>
            </w:r>
            <w:r>
              <w:rPr>
                <w:rFonts w:hint="eastAsia" w:ascii="宋体" w:hAnsi="宋体" w:eastAsia="宋体" w:cs="Times New Roman"/>
                <w:color w:val="000000"/>
                <w:szCs w:val="21"/>
              </w:rPr>
              <w:t xml:space="preserve"> </w:t>
            </w:r>
          </w:p>
          <w:p w14:paraId="32730A8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lang w:val="en-US" w:eastAsia="zh-CN"/>
              </w:rPr>
              <w:t>深刻理解蔡元培</w:t>
            </w:r>
            <w:r>
              <w:rPr>
                <w:rFonts w:hint="eastAsia" w:ascii="宋体" w:hAnsi="宋体" w:eastAsia="宋体" w:cs="Times New Roman"/>
                <w:color w:val="000000"/>
                <w:szCs w:val="21"/>
              </w:rPr>
              <w:t>“五育”并举的教育方针</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对</w:t>
            </w:r>
            <w:r>
              <w:rPr>
                <w:rFonts w:hint="eastAsia" w:ascii="宋体" w:hAnsi="宋体" w:eastAsia="宋体" w:cs="Times New Roman"/>
                <w:color w:val="000000"/>
                <w:szCs w:val="21"/>
              </w:rPr>
              <w:t>北京大学的教育改革实践</w:t>
            </w:r>
            <w:r>
              <w:rPr>
                <w:rFonts w:hint="eastAsia" w:ascii="宋体" w:hAnsi="宋体" w:eastAsia="宋体" w:cs="Times New Roman"/>
                <w:color w:val="000000"/>
                <w:szCs w:val="21"/>
                <w:lang w:val="en-US" w:eastAsia="zh-CN"/>
              </w:rPr>
              <w:t>以及</w:t>
            </w:r>
            <w:r>
              <w:rPr>
                <w:rFonts w:hint="eastAsia" w:ascii="宋体" w:hAnsi="宋体" w:eastAsia="宋体" w:cs="Times New Roman"/>
                <w:color w:val="000000"/>
                <w:szCs w:val="21"/>
              </w:rPr>
              <w:t>教育独立</w:t>
            </w:r>
            <w:r>
              <w:rPr>
                <w:rFonts w:hint="eastAsia" w:ascii="宋体" w:hAnsi="宋体" w:eastAsia="宋体" w:cs="Times New Roman"/>
                <w:color w:val="000000"/>
                <w:szCs w:val="21"/>
                <w:lang w:val="en-US" w:eastAsia="zh-CN"/>
              </w:rPr>
              <w:t>的</w:t>
            </w:r>
            <w:r>
              <w:rPr>
                <w:rFonts w:hint="eastAsia" w:ascii="宋体" w:hAnsi="宋体" w:eastAsia="宋体" w:cs="Times New Roman"/>
                <w:color w:val="000000"/>
                <w:szCs w:val="21"/>
              </w:rPr>
              <w:t>思想。</w:t>
            </w:r>
          </w:p>
        </w:tc>
        <w:tc>
          <w:tcPr>
            <w:tcW w:w="963" w:type="dxa"/>
            <w:vAlign w:val="center"/>
          </w:tcPr>
          <w:p w14:paraId="24EC651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99D8A3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5A5B839">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4.平时作业</w:t>
            </w:r>
          </w:p>
          <w:p w14:paraId="273F8D1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ascii="宋体" w:hAnsi="宋体" w:eastAsia="宋体" w:cs="Times New Roman"/>
                <w:color w:val="000000"/>
                <w:szCs w:val="21"/>
              </w:rPr>
              <w:t>.单元测验</w:t>
            </w:r>
          </w:p>
        </w:tc>
        <w:tc>
          <w:tcPr>
            <w:tcW w:w="438" w:type="dxa"/>
            <w:vAlign w:val="center"/>
          </w:tcPr>
          <w:p w14:paraId="06330540">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48D9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2A7A097F">
            <w:pPr>
              <w:spacing w:line="276" w:lineRule="auto"/>
              <w:jc w:val="center"/>
              <w:rPr>
                <w:rFonts w:ascii="宋体" w:hAnsi="宋体" w:eastAsia="宋体" w:cs="Times New Roman"/>
                <w:color w:val="000000"/>
                <w:szCs w:val="21"/>
              </w:rPr>
            </w:pPr>
          </w:p>
        </w:tc>
        <w:tc>
          <w:tcPr>
            <w:tcW w:w="8556" w:type="dxa"/>
            <w:gridSpan w:val="5"/>
            <w:vAlign w:val="center"/>
          </w:tcPr>
          <w:p w14:paraId="481D767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在深刻领会</w:t>
            </w:r>
            <w:r>
              <w:rPr>
                <w:rFonts w:hint="eastAsia" w:ascii="宋体" w:hAnsi="宋体" w:eastAsia="宋体" w:cs="Times New Roman"/>
                <w:b w:val="0"/>
                <w:bCs/>
                <w:color w:val="000000"/>
                <w:szCs w:val="21"/>
              </w:rPr>
              <w:t>近代教育家们们</w:t>
            </w:r>
            <w:r>
              <w:rPr>
                <w:rFonts w:hint="eastAsia" w:ascii="宋体" w:hAnsi="宋体" w:eastAsia="宋体" w:cs="Times New Roman"/>
                <w:color w:val="000000"/>
                <w:szCs w:val="21"/>
              </w:rPr>
              <w:t>教育强国、教育救国的教育实践</w:t>
            </w:r>
            <w:r>
              <w:rPr>
                <w:rFonts w:hint="eastAsia" w:ascii="宋体" w:hAnsi="宋体" w:eastAsia="宋体" w:cs="Times New Roman"/>
                <w:color w:val="000000"/>
                <w:szCs w:val="21"/>
                <w:lang w:val="en-US" w:eastAsia="zh-CN"/>
              </w:rPr>
              <w:t>的基础上，理解教育先行的教育战略；领会为党育人、为国育才的育人目标；坚持守正创新；落实立德树人教育根本任务；重视美育的价值，丰富人民精神世界以推进中国式现代化。</w:t>
            </w:r>
          </w:p>
        </w:tc>
      </w:tr>
      <w:tr w14:paraId="680F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6E29AB7">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8.</w:t>
            </w:r>
            <w:r>
              <w:rPr>
                <w:rFonts w:hint="eastAsia" w:ascii="宋体" w:hAnsi="宋体" w:eastAsia="宋体" w:cs="Times New Roman"/>
                <w:color w:val="000000"/>
                <w:szCs w:val="21"/>
                <w:lang w:val="en-US" w:eastAsia="zh-CN"/>
              </w:rPr>
              <w:t>中国现代教育思想</w:t>
            </w:r>
          </w:p>
        </w:tc>
        <w:tc>
          <w:tcPr>
            <w:tcW w:w="1522" w:type="dxa"/>
            <w:vAlign w:val="center"/>
          </w:tcPr>
          <w:p w14:paraId="064B17AF">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陶行知的生活教育思想</w:t>
            </w:r>
          </w:p>
          <w:p w14:paraId="209056BF">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黄炎培的职业教育思想</w:t>
            </w:r>
          </w:p>
          <w:p w14:paraId="470D3BC1">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陈鹤琴的活教育思想</w:t>
            </w:r>
          </w:p>
          <w:p w14:paraId="2AD09B80">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（4）晏阳初的平民教育思想</w:t>
            </w:r>
          </w:p>
          <w:p w14:paraId="5878234A">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（5）梁漱溟的乡村教育思想</w:t>
            </w:r>
          </w:p>
        </w:tc>
        <w:tc>
          <w:tcPr>
            <w:tcW w:w="1065" w:type="dxa"/>
            <w:vAlign w:val="center"/>
          </w:tcPr>
          <w:p w14:paraId="4A593C87">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4568" w:type="dxa"/>
            <w:vAlign w:val="center"/>
          </w:tcPr>
          <w:p w14:paraId="3C6C1B07">
            <w:pPr>
              <w:numPr>
                <w:ilvl w:val="0"/>
                <w:numId w:val="37"/>
              </w:num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了解陶行知的</w:t>
            </w:r>
            <w:r>
              <w:rPr>
                <w:rFonts w:hint="eastAsia" w:ascii="宋体" w:hAnsi="宋体" w:eastAsia="宋体" w:cs="Times New Roman"/>
                <w:color w:val="000000"/>
                <w:szCs w:val="21"/>
              </w:rPr>
              <w:t>“生活教育”实践：</w:t>
            </w:r>
            <w:r>
              <w:rPr>
                <w:rFonts w:hint="eastAsia" w:ascii="宋体" w:hAnsi="宋体" w:eastAsia="宋体" w:cs="Times New Roman"/>
                <w:color w:val="000000"/>
                <w:szCs w:val="21"/>
                <w:lang w:val="en-US" w:eastAsia="zh-CN"/>
              </w:rPr>
              <w:t>正确认识</w:t>
            </w:r>
            <w:r>
              <w:rPr>
                <w:rFonts w:hint="eastAsia" w:ascii="宋体" w:hAnsi="宋体" w:eastAsia="宋体" w:cs="Times New Roman"/>
                <w:color w:val="000000"/>
                <w:szCs w:val="21"/>
              </w:rPr>
              <w:t>晓庄学校</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山海工学团</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“小先生制”</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育才学校</w:t>
            </w:r>
            <w:r>
              <w:rPr>
                <w:rFonts w:hint="eastAsia" w:ascii="宋体" w:hAnsi="宋体" w:eastAsia="宋体" w:cs="Times New Roman"/>
                <w:color w:val="000000"/>
                <w:szCs w:val="21"/>
                <w:lang w:val="en-US" w:eastAsia="zh-CN"/>
              </w:rPr>
              <w:t>的影响，掌握</w:t>
            </w:r>
            <w:r>
              <w:rPr>
                <w:rFonts w:hint="eastAsia" w:ascii="宋体" w:hAnsi="宋体" w:eastAsia="宋体" w:cs="Times New Roman"/>
                <w:color w:val="000000"/>
                <w:szCs w:val="21"/>
              </w:rPr>
              <w:t>“生活教育”理论体系</w:t>
            </w:r>
            <w:r>
              <w:rPr>
                <w:rFonts w:hint="eastAsia" w:ascii="宋体" w:hAnsi="宋体" w:eastAsia="宋体" w:cs="Times New Roman"/>
                <w:color w:val="000000"/>
                <w:szCs w:val="21"/>
                <w:lang w:eastAsia="zh-CN"/>
              </w:rPr>
              <w:t>；</w:t>
            </w:r>
          </w:p>
          <w:p w14:paraId="4CEC091F">
            <w:pPr>
              <w:numPr>
                <w:ilvl w:val="0"/>
                <w:numId w:val="37"/>
              </w:num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了解黄炎培对职业教育的探索；理解其提倡的“学校采用实用主义”，掌握其职业教育思想体系；</w:t>
            </w:r>
          </w:p>
          <w:p w14:paraId="2C8EBE93">
            <w:pPr>
              <w:numPr>
                <w:ilvl w:val="0"/>
                <w:numId w:val="37"/>
              </w:num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了解陈鹤琴</w:t>
            </w:r>
            <w:r>
              <w:rPr>
                <w:rFonts w:hint="eastAsia" w:ascii="宋体" w:hAnsi="宋体" w:eastAsia="宋体" w:cs="Times New Roman"/>
                <w:color w:val="000000"/>
                <w:szCs w:val="21"/>
              </w:rPr>
              <w:t>幼儿教育和儿童教育探索</w:t>
            </w:r>
            <w:r>
              <w:rPr>
                <w:rFonts w:hint="eastAsia" w:ascii="宋体" w:hAnsi="宋体" w:eastAsia="宋体" w:cs="Times New Roman"/>
                <w:color w:val="000000"/>
                <w:szCs w:val="21"/>
                <w:lang w:val="en-US" w:eastAsia="zh-CN"/>
              </w:rPr>
              <w:t>及</w:t>
            </w:r>
            <w:r>
              <w:rPr>
                <w:rFonts w:hint="eastAsia" w:ascii="宋体" w:hAnsi="宋体" w:eastAsia="宋体" w:cs="Times New Roman"/>
                <w:color w:val="000000"/>
                <w:szCs w:val="21"/>
              </w:rPr>
              <w:t>“活教育”实验</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掌握</w:t>
            </w:r>
            <w:r>
              <w:rPr>
                <w:rFonts w:hint="eastAsia" w:ascii="宋体" w:hAnsi="宋体" w:eastAsia="宋体" w:cs="Times New Roman"/>
                <w:color w:val="000000"/>
                <w:szCs w:val="21"/>
              </w:rPr>
              <w:t>“活教育”理论体系</w:t>
            </w:r>
            <w:r>
              <w:rPr>
                <w:rFonts w:hint="eastAsia" w:ascii="宋体" w:hAnsi="宋体" w:eastAsia="宋体" w:cs="Times New Roman"/>
                <w:color w:val="000000"/>
                <w:szCs w:val="21"/>
                <w:lang w:eastAsia="zh-CN"/>
              </w:rPr>
              <w:t>；</w:t>
            </w:r>
          </w:p>
          <w:p w14:paraId="7DD2607E">
            <w:pPr>
              <w:numPr>
                <w:ilvl w:val="0"/>
                <w:numId w:val="37"/>
              </w:numPr>
              <w:spacing w:line="264" w:lineRule="auto"/>
              <w:ind w:left="0" w:leftChars="0" w:firstLine="0" w:firstLineChars="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了解晏阳初</w:t>
            </w:r>
            <w:r>
              <w:rPr>
                <w:rFonts w:hint="eastAsia" w:ascii="宋体" w:hAnsi="宋体" w:eastAsia="宋体" w:cs="Times New Roman"/>
                <w:color w:val="000000"/>
                <w:szCs w:val="21"/>
              </w:rPr>
              <w:t>定县调查与对中国农村问题的分析</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掌握</w:t>
            </w:r>
            <w:r>
              <w:rPr>
                <w:rFonts w:hint="eastAsia" w:ascii="宋体" w:hAnsi="宋体" w:eastAsia="宋体" w:cs="Times New Roman"/>
                <w:color w:val="000000"/>
                <w:szCs w:val="21"/>
              </w:rPr>
              <w:t>“四大教育”“三大方式”“化农民”与“农民化”</w:t>
            </w:r>
            <w:r>
              <w:rPr>
                <w:rFonts w:hint="eastAsia" w:ascii="宋体" w:hAnsi="宋体" w:eastAsia="宋体" w:cs="Times New Roman"/>
                <w:color w:val="000000"/>
                <w:szCs w:val="21"/>
                <w:lang w:val="en-US" w:eastAsia="zh-CN"/>
              </w:rPr>
              <w:t>的相关主张；</w:t>
            </w:r>
          </w:p>
          <w:p w14:paraId="5B2E2903">
            <w:pPr>
              <w:numPr>
                <w:ilvl w:val="0"/>
                <w:numId w:val="37"/>
              </w:numPr>
              <w:spacing w:line="264" w:lineRule="auto"/>
              <w:ind w:left="0" w:leftChars="0" w:firstLine="0" w:firstLineChars="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掌握梁漱溟</w:t>
            </w:r>
            <w:r>
              <w:rPr>
                <w:rFonts w:hint="default" w:ascii="宋体" w:hAnsi="宋体" w:eastAsia="宋体" w:cs="Times New Roman"/>
                <w:color w:val="000000"/>
                <w:szCs w:val="21"/>
                <w:lang w:val="en-US" w:eastAsia="zh-CN"/>
              </w:rPr>
              <w:t>乡村建设和乡村教育理论</w:t>
            </w:r>
            <w:r>
              <w:rPr>
                <w:rFonts w:hint="eastAsia" w:ascii="宋体" w:hAnsi="宋体" w:eastAsia="宋体" w:cs="Times New Roman"/>
                <w:color w:val="000000"/>
                <w:szCs w:val="21"/>
                <w:lang w:val="en-US" w:eastAsia="zh-CN"/>
              </w:rPr>
              <w:t>。</w:t>
            </w:r>
          </w:p>
        </w:tc>
        <w:tc>
          <w:tcPr>
            <w:tcW w:w="963" w:type="dxa"/>
            <w:vAlign w:val="center"/>
          </w:tcPr>
          <w:p w14:paraId="58F0019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B2C2FC8">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CAFD4D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208998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4BB8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71320718">
            <w:pPr>
              <w:spacing w:line="264" w:lineRule="auto"/>
              <w:jc w:val="center"/>
              <w:rPr>
                <w:rFonts w:ascii="宋体" w:hAnsi="宋体" w:eastAsia="宋体" w:cs="Times New Roman"/>
                <w:color w:val="000000"/>
                <w:szCs w:val="21"/>
              </w:rPr>
            </w:pPr>
          </w:p>
        </w:tc>
        <w:tc>
          <w:tcPr>
            <w:tcW w:w="8556" w:type="dxa"/>
            <w:gridSpan w:val="5"/>
            <w:vAlign w:val="center"/>
          </w:tcPr>
          <w:p w14:paraId="19E54475">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通过学习黄炎培、陈鹤琴、陶行知</w:t>
            </w:r>
            <w:r>
              <w:rPr>
                <w:rFonts w:hint="eastAsia" w:ascii="宋体" w:hAnsi="宋体" w:eastAsia="宋体" w:cs="Times New Roman"/>
                <w:b w:val="0"/>
                <w:bCs/>
                <w:color w:val="000000"/>
                <w:szCs w:val="21"/>
                <w:lang w:val="en-US" w:eastAsia="zh-CN"/>
              </w:rPr>
              <w:t>等教育家</w:t>
            </w:r>
            <w:r>
              <w:rPr>
                <w:rFonts w:hint="eastAsia" w:ascii="宋体" w:hAnsi="宋体" w:eastAsia="宋体" w:cs="Times New Roman"/>
                <w:b w:val="0"/>
                <w:bCs/>
                <w:color w:val="000000"/>
                <w:szCs w:val="21"/>
              </w:rPr>
              <w:t>的教育思想</w:t>
            </w:r>
            <w:r>
              <w:rPr>
                <w:rFonts w:hint="eastAsia" w:ascii="宋体" w:hAnsi="宋体" w:eastAsia="宋体" w:cs="Times New Roman"/>
                <w:b w:val="0"/>
                <w:bCs/>
                <w:color w:val="000000"/>
                <w:szCs w:val="21"/>
                <w:lang w:val="en-US" w:eastAsia="zh-CN"/>
              </w:rPr>
              <w:t>及教育实践</w:t>
            </w:r>
            <w:r>
              <w:rPr>
                <w:rFonts w:hint="eastAsia" w:ascii="宋体" w:hAnsi="宋体" w:eastAsia="宋体" w:cs="Times New Roman"/>
                <w:b w:val="0"/>
                <w:bCs/>
                <w:color w:val="000000"/>
                <w:szCs w:val="21"/>
              </w:rPr>
              <w:t>，树立教育情怀，坚定教育信念</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rPr>
              <w:t>文化自信</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lang w:val="en-US" w:eastAsia="zh-CN"/>
              </w:rPr>
              <w:t>自觉</w:t>
            </w:r>
            <w:r>
              <w:rPr>
                <w:rFonts w:hint="eastAsia" w:ascii="宋体" w:hAnsi="宋体" w:eastAsia="宋体" w:cs="Times New Roman"/>
                <w:b w:val="0"/>
                <w:bCs/>
                <w:color w:val="000000"/>
                <w:szCs w:val="21"/>
              </w:rPr>
              <w:t>以教育家为榜样，忠诚人民教育事业，进一步巩固专业思想，具有为了中华民族的复兴，为了培养全面发展的社会主义建设者和接班人投身小学教育事业的职业理想。</w:t>
            </w:r>
          </w:p>
        </w:tc>
      </w:tr>
    </w:tbl>
    <w:p w14:paraId="200888A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0"/>
        <w:rPr>
          <w:rFonts w:ascii="Times New Roman" w:hAnsi="Times New Roman" w:eastAsia="宋体" w:cs="Times New Roman"/>
          <w:b/>
          <w:bCs/>
          <w:sz w:val="28"/>
          <w:szCs w:val="28"/>
        </w:rPr>
      </w:pPr>
      <w:bookmarkStart w:id="604" w:name="_Toc11495"/>
      <w:bookmarkStart w:id="605" w:name="_Toc28031"/>
      <w:bookmarkStart w:id="606" w:name="_Toc31999"/>
      <w:bookmarkStart w:id="607" w:name="_Toc8661"/>
      <w:bookmarkStart w:id="608" w:name="_Toc13048"/>
      <w:bookmarkStart w:id="609" w:name="_Toc32310"/>
      <w:bookmarkStart w:id="610" w:name="_Toc10338"/>
      <w:r>
        <w:rPr>
          <w:rFonts w:hint="eastAsia" w:ascii="Times New Roman" w:hAnsi="Times New Roman" w:eastAsia="宋体" w:cs="Times New Roman"/>
          <w:b/>
          <w:bCs/>
          <w:sz w:val="24"/>
          <w:szCs w:val="24"/>
        </w:rPr>
        <w:t>四、目标评价与成绩评定</w:t>
      </w:r>
      <w:bookmarkEnd w:id="604"/>
      <w:bookmarkEnd w:id="605"/>
      <w:bookmarkEnd w:id="606"/>
      <w:bookmarkEnd w:id="607"/>
      <w:bookmarkEnd w:id="608"/>
      <w:bookmarkEnd w:id="609"/>
      <w:bookmarkEnd w:id="610"/>
    </w:p>
    <w:p w14:paraId="3405A23F">
      <w:pPr>
        <w:spacing w:line="360" w:lineRule="auto"/>
        <w:jc w:val="left"/>
        <w:outlineLvl w:val="1"/>
        <w:rPr>
          <w:rFonts w:ascii="Times New Roman" w:hAnsi="Times New Roman" w:eastAsia="宋体" w:cs="Times New Roman"/>
          <w:b/>
          <w:szCs w:val="21"/>
        </w:rPr>
      </w:pPr>
      <w:bookmarkStart w:id="611" w:name="_Toc31936"/>
      <w:r>
        <w:rPr>
          <w:rFonts w:hint="eastAsia" w:ascii="Times New Roman" w:hAnsi="Times New Roman" w:eastAsia="宋体" w:cs="Times New Roman"/>
          <w:b/>
          <w:szCs w:val="21"/>
        </w:rPr>
        <w:t>（一）课程目标评价方式</w:t>
      </w:r>
      <w:bookmarkEnd w:id="611"/>
    </w:p>
    <w:p w14:paraId="33584EC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03AE7A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31"/>
        <w:gridCol w:w="1358"/>
        <w:gridCol w:w="1762"/>
        <w:gridCol w:w="1669"/>
        <w:gridCol w:w="1140"/>
      </w:tblGrid>
      <w:tr w14:paraId="5762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6" w:type="dxa"/>
            <w:vMerge w:val="restart"/>
            <w:vAlign w:val="center"/>
          </w:tcPr>
          <w:p w14:paraId="4EB7086C">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17A7F718">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67F6CC99">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53D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441FAC61">
            <w:pPr>
              <w:spacing w:line="360" w:lineRule="auto"/>
              <w:jc w:val="center"/>
              <w:rPr>
                <w:rFonts w:ascii="宋体" w:hAnsi="宋体" w:eastAsia="宋体" w:cs="Times New Roman"/>
                <w:szCs w:val="21"/>
              </w:rPr>
            </w:pPr>
          </w:p>
        </w:tc>
        <w:tc>
          <w:tcPr>
            <w:tcW w:w="1631" w:type="dxa"/>
            <w:vAlign w:val="center"/>
          </w:tcPr>
          <w:p w14:paraId="1F729622">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358" w:type="dxa"/>
            <w:vAlign w:val="center"/>
          </w:tcPr>
          <w:p w14:paraId="2F2A54E9">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762" w:type="dxa"/>
            <w:vAlign w:val="center"/>
          </w:tcPr>
          <w:p w14:paraId="54B67980">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1669" w:type="dxa"/>
            <w:vAlign w:val="center"/>
          </w:tcPr>
          <w:p w14:paraId="29E24106">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140" w:type="dxa"/>
            <w:vMerge w:val="continue"/>
            <w:vAlign w:val="center"/>
          </w:tcPr>
          <w:p w14:paraId="1FEFC720">
            <w:pPr>
              <w:spacing w:line="360" w:lineRule="auto"/>
              <w:jc w:val="center"/>
              <w:rPr>
                <w:rFonts w:ascii="宋体" w:hAnsi="宋体" w:eastAsia="宋体" w:cs="Times New Roman"/>
                <w:szCs w:val="21"/>
              </w:rPr>
            </w:pPr>
          </w:p>
        </w:tc>
      </w:tr>
      <w:tr w14:paraId="7D42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7755682">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631" w:type="dxa"/>
            <w:vAlign w:val="center"/>
          </w:tcPr>
          <w:p w14:paraId="71235F2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1B1F78A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52B980D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69" w:type="dxa"/>
            <w:vAlign w:val="center"/>
          </w:tcPr>
          <w:p w14:paraId="4830452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29380EB4">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03B3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77D0A30">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631" w:type="dxa"/>
            <w:vAlign w:val="center"/>
          </w:tcPr>
          <w:p w14:paraId="5204F0D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633D44F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1A3C6B8E">
            <w:pPr>
              <w:spacing w:line="360" w:lineRule="auto"/>
              <w:jc w:val="center"/>
              <w:rPr>
                <w:rFonts w:ascii="宋体" w:hAnsi="宋体" w:eastAsia="宋体" w:cs="Times New Roman"/>
                <w:szCs w:val="21"/>
              </w:rPr>
            </w:pPr>
          </w:p>
        </w:tc>
        <w:tc>
          <w:tcPr>
            <w:tcW w:w="1669" w:type="dxa"/>
            <w:vAlign w:val="center"/>
          </w:tcPr>
          <w:p w14:paraId="1E91FF3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78582D5B">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5820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5271464">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631" w:type="dxa"/>
            <w:vAlign w:val="center"/>
          </w:tcPr>
          <w:p w14:paraId="2BDD4D2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6853DD8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4A7B789F">
            <w:pPr>
              <w:spacing w:line="360" w:lineRule="auto"/>
              <w:jc w:val="center"/>
              <w:rPr>
                <w:rFonts w:ascii="宋体" w:hAnsi="宋体" w:eastAsia="宋体" w:cs="Times New Roman"/>
                <w:szCs w:val="21"/>
              </w:rPr>
            </w:pPr>
          </w:p>
        </w:tc>
        <w:tc>
          <w:tcPr>
            <w:tcW w:w="1669" w:type="dxa"/>
            <w:vAlign w:val="center"/>
          </w:tcPr>
          <w:p w14:paraId="3F87741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DBDC9F0">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1863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1ECE40F">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631" w:type="dxa"/>
            <w:vAlign w:val="center"/>
          </w:tcPr>
          <w:p w14:paraId="644B4066">
            <w:pPr>
              <w:spacing w:line="360" w:lineRule="auto"/>
              <w:jc w:val="center"/>
              <w:rPr>
                <w:rFonts w:ascii="宋体" w:hAnsi="宋体" w:eastAsia="宋体" w:cs="Times New Roman"/>
                <w:szCs w:val="21"/>
              </w:rPr>
            </w:pPr>
          </w:p>
        </w:tc>
        <w:tc>
          <w:tcPr>
            <w:tcW w:w="1358" w:type="dxa"/>
            <w:vAlign w:val="center"/>
          </w:tcPr>
          <w:p w14:paraId="4CBB6763">
            <w:pPr>
              <w:spacing w:line="360" w:lineRule="auto"/>
              <w:jc w:val="center"/>
              <w:rPr>
                <w:rFonts w:ascii="宋体" w:hAnsi="宋体" w:eastAsia="宋体" w:cs="Times New Roman"/>
                <w:szCs w:val="21"/>
              </w:rPr>
            </w:pPr>
          </w:p>
        </w:tc>
        <w:tc>
          <w:tcPr>
            <w:tcW w:w="1762" w:type="dxa"/>
            <w:vAlign w:val="center"/>
          </w:tcPr>
          <w:p w14:paraId="50F1ED61">
            <w:pPr>
              <w:spacing w:line="360" w:lineRule="auto"/>
              <w:jc w:val="center"/>
              <w:rPr>
                <w:rFonts w:ascii="宋体" w:hAnsi="宋体" w:eastAsia="宋体" w:cs="Times New Roman"/>
                <w:szCs w:val="21"/>
              </w:rPr>
            </w:pPr>
          </w:p>
        </w:tc>
        <w:tc>
          <w:tcPr>
            <w:tcW w:w="1669" w:type="dxa"/>
            <w:vAlign w:val="center"/>
          </w:tcPr>
          <w:p w14:paraId="2007D02D">
            <w:pPr>
              <w:spacing w:line="360" w:lineRule="auto"/>
              <w:jc w:val="center"/>
              <w:rPr>
                <w:rFonts w:ascii="宋体" w:hAnsi="宋体" w:eastAsia="宋体" w:cs="Times New Roman"/>
                <w:szCs w:val="21"/>
              </w:rPr>
            </w:pPr>
          </w:p>
        </w:tc>
        <w:tc>
          <w:tcPr>
            <w:tcW w:w="1140" w:type="dxa"/>
            <w:vAlign w:val="center"/>
          </w:tcPr>
          <w:p w14:paraId="540C3778">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65764185">
      <w:pPr>
        <w:spacing w:before="156" w:beforeLines="50" w:line="360" w:lineRule="auto"/>
        <w:jc w:val="left"/>
        <w:outlineLvl w:val="1"/>
        <w:rPr>
          <w:rFonts w:ascii="Times New Roman" w:hAnsi="Times New Roman" w:eastAsia="宋体" w:cs="Times New Roman"/>
          <w:b/>
          <w:szCs w:val="21"/>
        </w:rPr>
      </w:pPr>
      <w:bookmarkStart w:id="612" w:name="_Toc31071"/>
      <w:r>
        <w:rPr>
          <w:rFonts w:hint="eastAsia" w:ascii="Times New Roman" w:hAnsi="Times New Roman" w:eastAsia="宋体" w:cs="Times New Roman"/>
          <w:b/>
          <w:szCs w:val="21"/>
        </w:rPr>
        <w:t>（二）成绩评定细则</w:t>
      </w:r>
      <w:bookmarkEnd w:id="612"/>
    </w:p>
    <w:p w14:paraId="65D1A20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F76AC4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6BBE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E46AE3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6804A2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25C1E23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76D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509E09">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D85779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w:t>
            </w:r>
            <w:r>
              <w:rPr>
                <w:rFonts w:hint="eastAsia" w:ascii="Times New Roman" w:hAnsi="Times New Roman" w:eastAsia="宋体" w:cs="Times New Roman"/>
                <w:szCs w:val="21"/>
                <w:lang w:val="en-US" w:eastAsia="zh-CN"/>
              </w:rPr>
              <w:t>一是对选士取士制度的评述；二是对先秦教育家某一思想或某一先秦教育家思想的评述</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三是对近代某一教育家思想的评述。</w:t>
            </w:r>
            <w:r>
              <w:rPr>
                <w:rFonts w:hint="eastAsia" w:ascii="Times New Roman" w:hAnsi="Times New Roman" w:eastAsia="宋体" w:cs="Times New Roman"/>
                <w:szCs w:val="21"/>
              </w:rPr>
              <w:t>以小论文的</w:t>
            </w:r>
            <w:r>
              <w:rPr>
                <w:rFonts w:hint="eastAsia" w:ascii="Times New Roman" w:hAnsi="Times New Roman" w:eastAsia="宋体" w:cs="Times New Roman"/>
                <w:szCs w:val="21"/>
                <w:lang w:val="en-US" w:eastAsia="zh-CN"/>
              </w:rPr>
              <w:t>形式完成，以</w:t>
            </w:r>
            <w:r>
              <w:rPr>
                <w:rFonts w:hint="eastAsia" w:ascii="Times New Roman" w:hAnsi="Times New Roman" w:eastAsia="宋体" w:cs="Times New Roman"/>
                <w:szCs w:val="21"/>
              </w:rPr>
              <w:t>规范性、逻辑性、创新性及整洁性为评分的主要依据。</w:t>
            </w:r>
          </w:p>
        </w:tc>
        <w:tc>
          <w:tcPr>
            <w:tcW w:w="1136" w:type="dxa"/>
            <w:vAlign w:val="center"/>
          </w:tcPr>
          <w:p w14:paraId="55D1E9AB">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rPr>
              <w:t>%</w:t>
            </w:r>
          </w:p>
        </w:tc>
      </w:tr>
      <w:tr w14:paraId="2D95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1BD120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7163F2D">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648EE9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1136" w:type="dxa"/>
            <w:vAlign w:val="center"/>
          </w:tcPr>
          <w:p w14:paraId="0ED2E88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1519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6886C48">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50BF1626">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1136" w:type="dxa"/>
            <w:vAlign w:val="center"/>
          </w:tcPr>
          <w:p w14:paraId="5189E49C">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rPr>
              <w:t>%</w:t>
            </w:r>
          </w:p>
        </w:tc>
      </w:tr>
      <w:tr w14:paraId="0AAB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338133">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D0E2028">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lang w:val="en-US" w:eastAsia="zh-CN"/>
              </w:rPr>
              <w:t>对</w:t>
            </w:r>
            <w:r>
              <w:rPr>
                <w:rFonts w:hint="eastAsia" w:ascii="Times New Roman" w:hAnsi="Times New Roman" w:eastAsia="宋体" w:cs="Times New Roman"/>
                <w:color w:val="000000"/>
                <w:szCs w:val="21"/>
              </w:rPr>
              <w:t>教育</w:t>
            </w:r>
            <w:r>
              <w:rPr>
                <w:rFonts w:hint="eastAsia" w:ascii="Times New Roman" w:hAnsi="Times New Roman" w:eastAsia="宋体" w:cs="Times New Roman"/>
                <w:color w:val="000000"/>
                <w:szCs w:val="21"/>
                <w:lang w:val="en-US" w:eastAsia="zh-CN"/>
              </w:rPr>
              <w:t>史实理解和掌握的</w:t>
            </w:r>
            <w:r>
              <w:rPr>
                <w:rFonts w:hint="eastAsia" w:ascii="Times New Roman" w:hAnsi="Times New Roman" w:eastAsia="宋体" w:cs="Times New Roman"/>
                <w:color w:val="000000"/>
                <w:szCs w:val="21"/>
              </w:rPr>
              <w:t>题目占</w:t>
            </w:r>
            <w:r>
              <w:rPr>
                <w:rFonts w:hint="eastAsia" w:ascii="Times New Roman" w:hAnsi="Times New Roman" w:eastAsia="宋体" w:cs="Times New Roman"/>
                <w:color w:val="000000"/>
                <w:szCs w:val="21"/>
                <w:lang w:val="en-US" w:eastAsia="zh-CN"/>
              </w:rPr>
              <w:t>4</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w:t>
            </w:r>
            <w:r>
              <w:rPr>
                <w:rFonts w:hint="eastAsia" w:ascii="Times New Roman" w:hAnsi="Times New Roman" w:eastAsia="宋体" w:cs="Times New Roman"/>
                <w:color w:val="000000"/>
                <w:szCs w:val="21"/>
                <w:lang w:val="en-US" w:eastAsia="zh-CN"/>
              </w:rPr>
              <w:t>理解和</w:t>
            </w:r>
            <w:r>
              <w:rPr>
                <w:rFonts w:hint="eastAsia" w:ascii="Times New Roman" w:hAnsi="Times New Roman" w:eastAsia="宋体" w:cs="Times New Roman"/>
                <w:color w:val="000000"/>
                <w:szCs w:val="21"/>
              </w:rPr>
              <w:t>运用</w:t>
            </w:r>
            <w:r>
              <w:rPr>
                <w:rFonts w:hint="eastAsia" w:ascii="Times New Roman" w:hAnsi="Times New Roman" w:eastAsia="宋体" w:cs="Times New Roman"/>
                <w:color w:val="000000"/>
                <w:szCs w:val="21"/>
                <w:lang w:val="en-US" w:eastAsia="zh-CN"/>
              </w:rPr>
              <w:t>教育思想</w:t>
            </w:r>
            <w:r>
              <w:rPr>
                <w:rFonts w:hint="eastAsia" w:ascii="Times New Roman" w:hAnsi="Times New Roman" w:eastAsia="宋体" w:cs="Times New Roman"/>
                <w:color w:val="000000"/>
                <w:szCs w:val="21"/>
              </w:rPr>
              <w:t>分析</w:t>
            </w:r>
            <w:r>
              <w:rPr>
                <w:rFonts w:hint="eastAsia" w:ascii="Times New Roman" w:hAnsi="Times New Roman" w:eastAsia="宋体" w:cs="Times New Roman"/>
                <w:color w:val="000000"/>
                <w:szCs w:val="21"/>
                <w:lang w:val="en-US" w:eastAsia="zh-CN"/>
              </w:rPr>
              <w:t>问题</w:t>
            </w:r>
            <w:r>
              <w:rPr>
                <w:rFonts w:hint="eastAsia" w:ascii="Times New Roman" w:hAnsi="Times New Roman" w:eastAsia="宋体" w:cs="Times New Roman"/>
                <w:color w:val="000000"/>
                <w:szCs w:val="21"/>
              </w:rPr>
              <w:t>的题型占</w:t>
            </w:r>
            <w:r>
              <w:rPr>
                <w:rFonts w:hint="eastAsia" w:ascii="Times New Roman" w:hAnsi="Times New Roman" w:eastAsia="宋体" w:cs="Times New Roman"/>
                <w:color w:val="000000"/>
                <w:szCs w:val="21"/>
                <w:lang w:val="en-US" w:eastAsia="zh-CN"/>
              </w:rPr>
              <w:t>6</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1136" w:type="dxa"/>
            <w:vAlign w:val="center"/>
          </w:tcPr>
          <w:p w14:paraId="345EDD72">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55F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969141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F8098F4">
            <w:pPr>
              <w:jc w:val="left"/>
              <w:rPr>
                <w:rFonts w:ascii="Times New Roman" w:hAnsi="Times New Roman" w:eastAsia="宋体" w:cs="Times New Roman"/>
                <w:szCs w:val="21"/>
              </w:rPr>
            </w:pPr>
          </w:p>
        </w:tc>
        <w:tc>
          <w:tcPr>
            <w:tcW w:w="1136" w:type="dxa"/>
            <w:vAlign w:val="center"/>
          </w:tcPr>
          <w:p w14:paraId="61D5688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87FF6C8">
      <w:pPr>
        <w:spacing w:line="360" w:lineRule="auto"/>
        <w:jc w:val="left"/>
        <w:outlineLvl w:val="1"/>
        <w:rPr>
          <w:rFonts w:ascii="宋体" w:hAnsi="宋体" w:eastAsia="宋体" w:cs="Times New Roman"/>
          <w:b/>
          <w:color w:val="000000"/>
          <w:szCs w:val="21"/>
        </w:rPr>
      </w:pPr>
      <w:bookmarkStart w:id="613" w:name="_Toc2766"/>
      <w:r>
        <w:rPr>
          <w:rFonts w:hint="eastAsia" w:ascii="宋体" w:hAnsi="宋体" w:eastAsia="宋体" w:cs="Times New Roman"/>
          <w:b/>
          <w:color w:val="000000"/>
          <w:szCs w:val="21"/>
        </w:rPr>
        <w:t>（三）课程目标达成度计算方法</w:t>
      </w:r>
      <w:bookmarkEnd w:id="613"/>
    </w:p>
    <w:p w14:paraId="07CD1ECE">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B081F47">
      <w:pPr>
        <w:spacing w:before="156" w:beforeLines="50" w:line="360" w:lineRule="auto"/>
        <w:ind w:firstLine="420" w:firstLineChars="200"/>
        <w:jc w:val="left"/>
        <w:rPr>
          <w:rFonts w:hint="eastAsia" w:ascii="Times New Roman" w:hAnsi="Times New Roman" w:eastAsia="宋体" w:cs="Times New Roman"/>
          <w:b/>
          <w:sz w:val="24"/>
          <w:szCs w:val="24"/>
        </w:rPr>
      </w:pPr>
      <w:r>
        <w:rPr>
          <w:rFonts w:ascii="宋体" w:hAnsi="宋体" w:eastAsia="宋体" w:cs="Times New Roman"/>
          <w:color w:val="000000"/>
          <w:szCs w:val="21"/>
        </w:rPr>
        <w:object>
          <v:shape id="_x0000_i1041"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41" DrawAspect="Content" ObjectID="_1468075741" r:id="rId24">
            <o:LockedField>false</o:LockedField>
          </o:OLEObject>
        </w:object>
      </w: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785A84D5">
      <w:pPr>
        <w:spacing w:line="360" w:lineRule="auto"/>
        <w:ind w:firstLine="480" w:firstLineChars="200"/>
        <w:jc w:val="left"/>
        <w:rPr>
          <w:rFonts w:hint="eastAsia" w:ascii="宋体" w:hAnsi="宋体" w:eastAsia="宋体" w:cs="Times New Roman"/>
          <w:b w:val="0"/>
          <w:bCs/>
          <w:color w:val="000000"/>
          <w:sz w:val="24"/>
          <w:szCs w:val="24"/>
          <w:lang w:val="en-US" w:eastAsia="zh-CN"/>
        </w:rPr>
      </w:pPr>
      <w:r>
        <w:rPr>
          <w:rFonts w:hint="eastAsia" w:ascii="宋体" w:hAnsi="宋体" w:eastAsia="宋体" w:cs="Times New Roman"/>
          <w:b w:val="0"/>
          <w:bCs/>
          <w:color w:val="000000"/>
          <w:sz w:val="24"/>
          <w:szCs w:val="24"/>
          <w:lang w:val="en-US" w:eastAsia="zh-CN"/>
        </w:rPr>
        <w:t>无</w:t>
      </w:r>
    </w:p>
    <w:p w14:paraId="30F2BE30">
      <w:pPr>
        <w:spacing w:line="360" w:lineRule="auto"/>
        <w:jc w:val="left"/>
        <w:outlineLvl w:val="0"/>
        <w:rPr>
          <w:rFonts w:ascii="Times New Roman" w:hAnsi="Times New Roman" w:eastAsia="宋体" w:cs="Times New Roman"/>
          <w:b/>
          <w:bCs/>
          <w:sz w:val="24"/>
          <w:szCs w:val="24"/>
        </w:rPr>
      </w:pPr>
      <w:bookmarkStart w:id="614" w:name="_Toc1612"/>
      <w:bookmarkStart w:id="615" w:name="_Toc1415"/>
      <w:bookmarkStart w:id="616" w:name="_Toc1556"/>
      <w:bookmarkStart w:id="617" w:name="_Toc26748"/>
      <w:bookmarkStart w:id="618" w:name="_Toc18292"/>
      <w:bookmarkStart w:id="619" w:name="_Toc4050"/>
      <w:bookmarkStart w:id="620" w:name="_Toc10836"/>
      <w:r>
        <w:rPr>
          <w:rFonts w:hint="eastAsia" w:ascii="宋体" w:hAnsi="宋体" w:eastAsia="宋体" w:cs="Times New Roman"/>
          <w:b/>
          <w:color w:val="000000"/>
          <w:sz w:val="24"/>
          <w:szCs w:val="24"/>
        </w:rPr>
        <w:t>六、有关说明</w:t>
      </w:r>
      <w:bookmarkEnd w:id="614"/>
      <w:bookmarkEnd w:id="615"/>
      <w:bookmarkEnd w:id="616"/>
      <w:bookmarkEnd w:id="617"/>
      <w:bookmarkEnd w:id="618"/>
      <w:bookmarkEnd w:id="619"/>
      <w:bookmarkEnd w:id="620"/>
    </w:p>
    <w:p w14:paraId="3A275A77">
      <w:pPr>
        <w:spacing w:line="360" w:lineRule="auto"/>
        <w:jc w:val="left"/>
        <w:outlineLvl w:val="1"/>
        <w:rPr>
          <w:rFonts w:ascii="Times New Roman" w:hAnsi="Times New Roman" w:eastAsia="宋体" w:cs="Times New Roman"/>
          <w:b/>
          <w:szCs w:val="21"/>
        </w:rPr>
      </w:pPr>
      <w:bookmarkStart w:id="621" w:name="_Toc10047"/>
      <w:r>
        <w:rPr>
          <w:rFonts w:hint="eastAsia" w:ascii="Times New Roman" w:hAnsi="Times New Roman" w:eastAsia="宋体" w:cs="Times New Roman"/>
          <w:b/>
          <w:szCs w:val="21"/>
        </w:rPr>
        <w:t>（一）持续改进</w:t>
      </w:r>
      <w:bookmarkEnd w:id="621"/>
    </w:p>
    <w:p w14:paraId="1D2448C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472D9AE8">
      <w:pPr>
        <w:spacing w:line="360" w:lineRule="auto"/>
        <w:jc w:val="left"/>
        <w:outlineLvl w:val="1"/>
        <w:rPr>
          <w:rFonts w:ascii="Times New Roman" w:hAnsi="Times New Roman" w:eastAsia="宋体" w:cs="Times New Roman"/>
          <w:b/>
          <w:szCs w:val="21"/>
        </w:rPr>
      </w:pPr>
      <w:bookmarkStart w:id="622" w:name="_Toc13882"/>
      <w:r>
        <w:rPr>
          <w:rFonts w:hint="eastAsia" w:ascii="Times New Roman" w:hAnsi="Times New Roman" w:eastAsia="宋体" w:cs="Times New Roman"/>
          <w:b/>
          <w:szCs w:val="21"/>
        </w:rPr>
        <w:t>（二）建议教材</w:t>
      </w:r>
      <w:bookmarkEnd w:id="622"/>
    </w:p>
    <w:p w14:paraId="308E27BA">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lang w:val="en-US" w:eastAsia="zh-CN"/>
        </w:rPr>
        <w:t>孙培青</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lang w:val="en-US" w:eastAsia="zh-CN"/>
        </w:rPr>
        <w:t>中国教育史（第四版）.华东师范大学</w:t>
      </w:r>
      <w:r>
        <w:rPr>
          <w:rFonts w:hint="eastAsia" w:ascii="Times New Roman" w:hAnsi="Times New Roman" w:eastAsia="宋体" w:cs="Times New Roman"/>
          <w:bCs/>
          <w:color w:val="000000"/>
          <w:szCs w:val="21"/>
        </w:rPr>
        <w:t>出版社，2</w:t>
      </w:r>
      <w:r>
        <w:rPr>
          <w:rFonts w:ascii="Times New Roman" w:hAnsi="Times New Roman" w:eastAsia="宋体" w:cs="Times New Roman"/>
          <w:bCs/>
          <w:color w:val="000000"/>
          <w:szCs w:val="21"/>
        </w:rPr>
        <w:t>019</w:t>
      </w:r>
      <w:r>
        <w:rPr>
          <w:rFonts w:hint="eastAsia" w:ascii="Times New Roman" w:hAnsi="Times New Roman" w:eastAsia="宋体" w:cs="Times New Roman"/>
          <w:bCs/>
          <w:color w:val="000000"/>
          <w:szCs w:val="21"/>
        </w:rPr>
        <w:t>.</w:t>
      </w:r>
    </w:p>
    <w:p w14:paraId="06CB7417">
      <w:pPr>
        <w:spacing w:line="360" w:lineRule="auto"/>
        <w:jc w:val="left"/>
        <w:outlineLvl w:val="1"/>
        <w:rPr>
          <w:rFonts w:ascii="Times New Roman" w:hAnsi="Times New Roman" w:eastAsia="宋体" w:cs="Times New Roman"/>
          <w:b/>
          <w:szCs w:val="21"/>
        </w:rPr>
      </w:pPr>
      <w:bookmarkStart w:id="623" w:name="_Toc28534"/>
      <w:r>
        <w:rPr>
          <w:rFonts w:hint="eastAsia" w:ascii="Times New Roman" w:hAnsi="Times New Roman" w:eastAsia="宋体" w:cs="Times New Roman"/>
          <w:b/>
          <w:szCs w:val="21"/>
        </w:rPr>
        <w:t>（三）参考书目</w:t>
      </w:r>
      <w:bookmarkEnd w:id="623"/>
    </w:p>
    <w:p w14:paraId="6AEA6B93">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1.王炳照等.简明中国教育史. 北京：北京师范大学出版社，2018.</w:t>
      </w:r>
    </w:p>
    <w:p w14:paraId="7D035606">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孙培青.李国钧.中国教育思想史(第1-3卷).上海：华东师范大学出版社，1995.</w:t>
      </w:r>
    </w:p>
    <w:p w14:paraId="3A445BBA">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3.</w:t>
      </w:r>
      <w:r>
        <w:rPr>
          <w:rFonts w:hint="eastAsia" w:ascii="Times New Roman" w:hAnsi="Times New Roman" w:eastAsia="宋体" w:cs="Times New Roman"/>
          <w:bCs/>
          <w:color w:val="000000"/>
          <w:szCs w:val="21"/>
        </w:rPr>
        <w:t>毛礼锐，沈灌群.中国教育通史(第1-6卷).济南：山东教育出版社，1985-1989.</w:t>
      </w:r>
    </w:p>
    <w:p w14:paraId="0860FFE6">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4.</w:t>
      </w:r>
      <w:r>
        <w:rPr>
          <w:rFonts w:hint="eastAsia" w:ascii="Times New Roman" w:hAnsi="Times New Roman" w:eastAsia="宋体" w:cs="Times New Roman"/>
          <w:bCs/>
          <w:color w:val="000000"/>
          <w:szCs w:val="21"/>
        </w:rPr>
        <w:t>王炳照，阎国华.中国教育思想通史(第1-8卷).长沙：湖南教育出版社，1994.</w:t>
      </w:r>
    </w:p>
    <w:p w14:paraId="3F7C6270">
      <w:pPr>
        <w:autoSpaceDE w:val="0"/>
        <w:autoSpaceDN w:val="0"/>
        <w:adjustRightInd w:val="0"/>
        <w:spacing w:line="360" w:lineRule="auto"/>
        <w:jc w:val="right"/>
        <w:rPr>
          <w:rFonts w:ascii="宋体" w:hAnsi="宋体" w:eastAsia="宋体" w:cs="Times New Roman"/>
          <w:kern w:val="0"/>
          <w:sz w:val="24"/>
          <w:szCs w:val="21"/>
        </w:rPr>
      </w:pPr>
    </w:p>
    <w:p w14:paraId="68182ABF">
      <w:pPr>
        <w:autoSpaceDE w:val="0"/>
        <w:autoSpaceDN w:val="0"/>
        <w:adjustRightInd w:val="0"/>
        <w:spacing w:line="360" w:lineRule="auto"/>
        <w:jc w:val="right"/>
        <w:rPr>
          <w:rFonts w:ascii="宋体" w:hAnsi="宋体" w:eastAsia="宋体" w:cs="Times New Roman"/>
          <w:kern w:val="0"/>
          <w:sz w:val="24"/>
          <w:szCs w:val="21"/>
        </w:rPr>
      </w:pPr>
    </w:p>
    <w:p w14:paraId="2CCA6D3A">
      <w:pPr>
        <w:autoSpaceDE w:val="0"/>
        <w:autoSpaceDN w:val="0"/>
        <w:adjustRightInd w:val="0"/>
        <w:spacing w:line="360" w:lineRule="auto"/>
        <w:jc w:val="right"/>
        <w:rPr>
          <w:rFonts w:hint="eastAsia" w:ascii="宋体" w:hAnsi="宋体" w:eastAsia="宋体" w:cs="Times New Roman"/>
          <w:kern w:val="0"/>
          <w:sz w:val="24"/>
          <w:szCs w:val="21"/>
          <w:lang w:eastAsia="zh-CN"/>
        </w:rPr>
      </w:pPr>
      <w:r>
        <w:rPr>
          <w:rFonts w:ascii="宋体" w:hAnsi="宋体" w:eastAsia="宋体" w:cs="Times New Roman"/>
          <w:kern w:val="0"/>
          <w:sz w:val="24"/>
          <w:szCs w:val="21"/>
        </w:rPr>
        <w:t>执笔人：</w:t>
      </w:r>
      <w:r>
        <w:rPr>
          <w:rFonts w:hint="eastAsia" w:ascii="宋体" w:hAnsi="宋体" w:eastAsia="宋体" w:cs="Times New Roman"/>
          <w:kern w:val="0"/>
          <w:sz w:val="24"/>
          <w:szCs w:val="21"/>
          <w:lang w:val="en-US" w:eastAsia="zh-CN"/>
        </w:rPr>
        <w:t>姚玉香</w:t>
      </w:r>
    </w:p>
    <w:p w14:paraId="029E01D4">
      <w:pPr>
        <w:autoSpaceDE w:val="0"/>
        <w:autoSpaceDN w:val="0"/>
        <w:adjustRightInd w:val="0"/>
        <w:spacing w:line="360" w:lineRule="auto"/>
        <w:jc w:val="right"/>
        <w:rPr>
          <w:rFonts w:ascii="宋体" w:hAnsi="宋体" w:eastAsia="宋体" w:cs="Times New Roman"/>
          <w:kern w:val="0"/>
          <w:sz w:val="24"/>
          <w:szCs w:val="21"/>
        </w:rPr>
      </w:pPr>
      <w:r>
        <w:rPr>
          <w:rFonts w:hint="eastAsia" w:ascii="宋体" w:hAnsi="宋体" w:eastAsia="宋体" w:cs="Times New Roman"/>
          <w:kern w:val="0"/>
          <w:sz w:val="24"/>
          <w:szCs w:val="21"/>
        </w:rPr>
        <w:t>审定人：王  健</w:t>
      </w:r>
    </w:p>
    <w:p w14:paraId="6C440DD5">
      <w:pPr>
        <w:autoSpaceDE w:val="0"/>
        <w:autoSpaceDN w:val="0"/>
        <w:adjustRightInd w:val="0"/>
        <w:spacing w:line="360" w:lineRule="auto"/>
        <w:jc w:val="right"/>
        <w:rPr>
          <w:rFonts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422823F2">
      <w:pPr>
        <w:jc w:val="right"/>
        <w:rPr>
          <w:rFonts w:ascii="等线" w:hAnsi="等线" w:eastAsia="等线" w:cs="Times New Roman"/>
          <w:szCs w:val="22"/>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4</w:t>
      </w:r>
      <w:r>
        <w:rPr>
          <w:rFonts w:hint="eastAsia" w:ascii="宋体" w:hAnsi="宋体" w:eastAsia="宋体" w:cs="Times New Roman"/>
          <w:kern w:val="0"/>
          <w:sz w:val="24"/>
          <w:szCs w:val="21"/>
        </w:rPr>
        <w:t>年</w:t>
      </w:r>
      <w:r>
        <w:rPr>
          <w:rFonts w:hint="eastAsia" w:ascii="宋体" w:hAnsi="宋体" w:eastAsia="宋体" w:cs="Times New Roman"/>
          <w:kern w:val="0"/>
          <w:sz w:val="24"/>
          <w:szCs w:val="21"/>
          <w:lang w:val="en-US" w:eastAsia="zh-CN"/>
        </w:rPr>
        <w:t>9</w:t>
      </w:r>
      <w:r>
        <w:rPr>
          <w:rFonts w:hint="eastAsia" w:ascii="宋体" w:hAnsi="宋体" w:eastAsia="宋体" w:cs="Times New Roman"/>
          <w:kern w:val="0"/>
          <w:sz w:val="24"/>
          <w:szCs w:val="21"/>
        </w:rPr>
        <w:t>月</w:t>
      </w:r>
      <w:r>
        <w:rPr>
          <w:rFonts w:hint="eastAsia" w:ascii="宋体" w:hAnsi="宋体" w:eastAsia="宋体" w:cs="Times New Roman"/>
          <w:kern w:val="0"/>
          <w:sz w:val="24"/>
          <w:szCs w:val="21"/>
          <w:lang w:val="en-US" w:eastAsia="zh-CN"/>
        </w:rPr>
        <w:t>1</w:t>
      </w:r>
      <w:r>
        <w:rPr>
          <w:rFonts w:hint="eastAsia" w:ascii="宋体" w:hAnsi="宋体" w:eastAsia="宋体" w:cs="Times New Roman"/>
          <w:kern w:val="0"/>
          <w:sz w:val="24"/>
          <w:szCs w:val="21"/>
        </w:rPr>
        <w:t>日</w:t>
      </w:r>
    </w:p>
    <w:p w14:paraId="771D1858">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br w:type="page"/>
      </w:r>
    </w:p>
    <w:p w14:paraId="033105E6">
      <w:pPr>
        <w:pStyle w:val="2"/>
        <w:bidi w:val="0"/>
        <w:rPr>
          <w:lang w:val="en-US" w:eastAsia="zh-CN"/>
        </w:rPr>
      </w:pPr>
      <w:bookmarkStart w:id="624" w:name="_Toc15006"/>
      <w:bookmarkStart w:id="625" w:name="_Toc166164849"/>
      <w:bookmarkStart w:id="626" w:name="_Toc8143"/>
      <w:bookmarkStart w:id="627" w:name="_Toc8040"/>
      <w:bookmarkStart w:id="628" w:name="_Toc856"/>
      <w:bookmarkStart w:id="629" w:name="_Toc57017173"/>
      <w:r>
        <w:rPr>
          <w:rFonts w:hint="eastAsia"/>
          <w:lang w:val="en-US" w:eastAsia="zh-CN"/>
        </w:rPr>
        <w:t>《外国教育史》课程与教学大纲</w:t>
      </w:r>
      <w:bookmarkEnd w:id="624"/>
      <w:bookmarkEnd w:id="625"/>
      <w:bookmarkEnd w:id="626"/>
      <w:bookmarkEnd w:id="627"/>
      <w:bookmarkEnd w:id="628"/>
      <w:bookmarkEnd w:id="629"/>
    </w:p>
    <w:p w14:paraId="6AC1FEB8">
      <w:pPr>
        <w:pStyle w:val="2"/>
        <w:bidi w:val="0"/>
        <w:rPr>
          <w:lang w:val="en-US" w:eastAsia="zh-CN"/>
        </w:rPr>
      </w:pPr>
      <w:bookmarkStart w:id="630" w:name="_Toc15844"/>
      <w:bookmarkStart w:id="631" w:name="_Toc20184"/>
      <w:bookmarkStart w:id="632" w:name="_Toc30396"/>
      <w:bookmarkStart w:id="633" w:name="_Toc13657"/>
      <w:bookmarkStart w:id="634" w:name="_Toc4622"/>
      <w:bookmarkStart w:id="635" w:name="_Toc7886"/>
      <w:bookmarkStart w:id="636" w:name="_Toc27865"/>
      <w:r>
        <w:rPr>
          <w:lang w:val="en-US" w:eastAsia="zh-CN"/>
        </w:rPr>
        <w:t>（History of Foreign Education）</w:t>
      </w:r>
      <w:bookmarkEnd w:id="630"/>
      <w:bookmarkEnd w:id="631"/>
      <w:bookmarkEnd w:id="632"/>
      <w:bookmarkEnd w:id="633"/>
      <w:bookmarkEnd w:id="634"/>
      <w:bookmarkEnd w:id="635"/>
      <w:bookmarkEnd w:id="636"/>
    </w:p>
    <w:p w14:paraId="2D82A267">
      <w:pPr>
        <w:spacing w:line="360" w:lineRule="auto"/>
        <w:ind w:firstLine="562" w:firstLineChars="200"/>
        <w:rPr>
          <w:rFonts w:ascii="宋体" w:hAnsi="宋体" w:eastAsia="宋体" w:cs="Times New Roman"/>
          <w:b/>
          <w:bCs/>
          <w:sz w:val="28"/>
          <w:szCs w:val="28"/>
        </w:rPr>
      </w:pPr>
      <w:bookmarkStart w:id="637" w:name="_Toc27847256"/>
      <w:bookmarkStart w:id="638" w:name="_Toc27846238"/>
      <w:r>
        <w:rPr>
          <w:rFonts w:hint="eastAsia" w:ascii="宋体" w:hAnsi="宋体" w:eastAsia="宋体" w:cs="Times New Roman"/>
          <w:b/>
          <w:bCs/>
          <w:sz w:val="28"/>
          <w:szCs w:val="28"/>
        </w:rPr>
        <w:t>一、课程概况</w:t>
      </w:r>
      <w:bookmarkEnd w:id="637"/>
      <w:bookmarkEnd w:id="638"/>
    </w:p>
    <w:p w14:paraId="19DF5333">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课程代码</w:t>
      </w:r>
      <w:r>
        <w:rPr>
          <w:rFonts w:hint="eastAsia" w:ascii="宋体" w:hAnsi="宋体" w:eastAsia="宋体" w:cs="Times New Roman"/>
          <w:color w:val="000000"/>
          <w:kern w:val="0"/>
          <w:sz w:val="24"/>
          <w:szCs w:val="24"/>
        </w:rPr>
        <w:t>：</w:t>
      </w:r>
      <w:r>
        <w:rPr>
          <w:rFonts w:ascii="宋体" w:hAnsi="宋体" w:eastAsia="宋体" w:cs="Times New Roman"/>
          <w:color w:val="000000"/>
          <w:kern w:val="0"/>
          <w:sz w:val="24"/>
          <w:szCs w:val="24"/>
        </w:rPr>
        <w:t>2401007</w:t>
      </w:r>
    </w:p>
    <w:p w14:paraId="6F07725A">
      <w:pPr>
        <w:spacing w:line="360" w:lineRule="auto"/>
        <w:ind w:firstLine="482" w:firstLineChars="200"/>
        <w:rPr>
          <w:rFonts w:ascii="宋体" w:hAnsi="宋体" w:eastAsia="宋体" w:cs="Times New Roman"/>
          <w:b/>
          <w:color w:val="000000"/>
          <w:kern w:val="0"/>
          <w:sz w:val="24"/>
          <w:szCs w:val="24"/>
        </w:rPr>
      </w:pPr>
      <w:r>
        <w:rPr>
          <w:rFonts w:hint="eastAsia" w:ascii="宋体" w:hAnsi="宋体" w:eastAsia="宋体" w:cs="Times New Roman"/>
          <w:b/>
          <w:color w:val="000000"/>
          <w:kern w:val="0"/>
          <w:sz w:val="24"/>
          <w:szCs w:val="24"/>
        </w:rPr>
        <w:t>学</w:t>
      </w:r>
      <w:r>
        <w:rPr>
          <w:rFonts w:ascii="宋体" w:hAnsi="宋体" w:eastAsia="宋体" w:cs="Times New Roman"/>
          <w:b/>
          <w:color w:val="000000"/>
          <w:kern w:val="0"/>
          <w:sz w:val="24"/>
          <w:szCs w:val="24"/>
        </w:rPr>
        <w:t xml:space="preserve">    </w:t>
      </w:r>
      <w:r>
        <w:rPr>
          <w:rFonts w:hint="eastAsia" w:ascii="宋体" w:hAnsi="宋体" w:eastAsia="宋体" w:cs="Times New Roman"/>
          <w:b/>
          <w:color w:val="000000"/>
          <w:kern w:val="0"/>
          <w:sz w:val="24"/>
          <w:szCs w:val="24"/>
        </w:rPr>
        <w:t>分</w:t>
      </w:r>
      <w:r>
        <w:rPr>
          <w:rFonts w:hint="eastAsia" w:ascii="宋体" w:hAnsi="宋体" w:eastAsia="宋体" w:cs="Times New Roman"/>
          <w:color w:val="000000"/>
          <w:kern w:val="0"/>
          <w:sz w:val="24"/>
          <w:szCs w:val="24"/>
        </w:rPr>
        <w:t>：</w:t>
      </w:r>
      <w:r>
        <w:rPr>
          <w:rFonts w:ascii="宋体" w:hAnsi="宋体" w:eastAsia="宋体" w:cs="Times New Roman"/>
          <w:color w:val="000000"/>
          <w:kern w:val="0"/>
          <w:sz w:val="24"/>
          <w:szCs w:val="24"/>
        </w:rPr>
        <w:t>2</w:t>
      </w:r>
    </w:p>
    <w:p w14:paraId="62D47DB4">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学</w:t>
      </w:r>
      <w:r>
        <w:rPr>
          <w:rFonts w:ascii="宋体" w:hAnsi="宋体" w:eastAsia="宋体" w:cs="Times New Roman"/>
          <w:b/>
          <w:color w:val="000000"/>
          <w:kern w:val="0"/>
          <w:sz w:val="24"/>
          <w:szCs w:val="24"/>
        </w:rPr>
        <w:t xml:space="preserve">    </w:t>
      </w:r>
      <w:r>
        <w:rPr>
          <w:rFonts w:hint="eastAsia" w:ascii="宋体" w:hAnsi="宋体" w:eastAsia="宋体" w:cs="Times New Roman"/>
          <w:b/>
          <w:color w:val="000000"/>
          <w:kern w:val="0"/>
          <w:sz w:val="24"/>
          <w:szCs w:val="24"/>
        </w:rPr>
        <w:t>时</w:t>
      </w:r>
      <w:r>
        <w:rPr>
          <w:rFonts w:hint="eastAsia" w:ascii="宋体" w:hAnsi="宋体" w:eastAsia="宋体" w:cs="Times New Roman"/>
          <w:color w:val="000000"/>
          <w:kern w:val="0"/>
          <w:sz w:val="24"/>
          <w:szCs w:val="24"/>
        </w:rPr>
        <w:t>：</w:t>
      </w:r>
      <w:r>
        <w:rPr>
          <w:rFonts w:ascii="宋体" w:hAnsi="宋体" w:eastAsia="宋体" w:cs="Times New Roman"/>
          <w:color w:val="000000"/>
          <w:kern w:val="0"/>
          <w:sz w:val="24"/>
          <w:szCs w:val="24"/>
        </w:rPr>
        <w:t>32</w:t>
      </w:r>
    </w:p>
    <w:p w14:paraId="21118077">
      <w:pPr>
        <w:spacing w:line="360" w:lineRule="auto"/>
        <w:ind w:firstLine="482" w:firstLineChars="200"/>
        <w:jc w:val="left"/>
        <w:rPr>
          <w:rFonts w:ascii="宋体" w:hAnsi="宋体" w:eastAsia="宋体" w:cs="Times New Roman"/>
          <w:color w:val="000000"/>
          <w:sz w:val="24"/>
          <w:szCs w:val="24"/>
        </w:rPr>
      </w:pPr>
      <w:r>
        <w:rPr>
          <w:rFonts w:hint="eastAsia" w:ascii="宋体" w:hAnsi="宋体" w:eastAsia="宋体" w:cs="Times New Roman"/>
          <w:b/>
          <w:color w:val="000000"/>
          <w:kern w:val="0"/>
          <w:sz w:val="24"/>
          <w:szCs w:val="24"/>
        </w:rPr>
        <w:t>先修课程</w:t>
      </w:r>
      <w:r>
        <w:rPr>
          <w:rFonts w:hint="eastAsia" w:ascii="宋体" w:hAnsi="宋体" w:eastAsia="宋体" w:cs="Times New Roman"/>
          <w:color w:val="000000"/>
          <w:kern w:val="0"/>
          <w:sz w:val="24"/>
          <w:szCs w:val="24"/>
        </w:rPr>
        <w:t>：</w:t>
      </w:r>
      <w:r>
        <w:rPr>
          <w:rFonts w:hint="eastAsia" w:ascii="宋体" w:hAnsi="宋体" w:eastAsia="宋体" w:cs="Times New Roman"/>
          <w:color w:val="000000"/>
          <w:sz w:val="24"/>
          <w:szCs w:val="24"/>
        </w:rPr>
        <w:t>教育原理、中国教育史</w:t>
      </w:r>
    </w:p>
    <w:p w14:paraId="17F56BD6">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适用专业</w:t>
      </w:r>
      <w:r>
        <w:rPr>
          <w:rFonts w:hint="eastAsia" w:ascii="宋体" w:hAnsi="宋体" w:eastAsia="宋体" w:cs="Times New Roman"/>
          <w:color w:val="000000"/>
          <w:kern w:val="0"/>
          <w:sz w:val="24"/>
          <w:szCs w:val="24"/>
        </w:rPr>
        <w:t>：小学教育（文）、小学教育（理）</w:t>
      </w:r>
    </w:p>
    <w:p w14:paraId="3177C5A0">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建议教材：</w:t>
      </w:r>
      <w:r>
        <w:rPr>
          <w:rFonts w:hint="eastAsia" w:ascii="宋体" w:hAnsi="宋体" w:eastAsia="宋体" w:cs="Times New Roman"/>
          <w:color w:val="000000"/>
          <w:kern w:val="0"/>
          <w:sz w:val="24"/>
          <w:szCs w:val="24"/>
        </w:rPr>
        <w:t>《西方教育思想史</w:t>
      </w:r>
      <w:r>
        <w:rPr>
          <w:rFonts w:hint="eastAsia" w:ascii="宋体" w:hAnsi="宋体" w:eastAsia="宋体" w:cs="Times New Roman"/>
          <w:color w:val="000000"/>
          <w:sz w:val="24"/>
          <w:szCs w:val="24"/>
        </w:rPr>
        <w:t>》（第</w:t>
      </w:r>
      <w:r>
        <w:rPr>
          <w:rFonts w:ascii="宋体" w:hAnsi="宋体" w:eastAsia="宋体" w:cs="Times New Roman"/>
          <w:color w:val="000000"/>
          <w:sz w:val="24"/>
          <w:szCs w:val="24"/>
        </w:rPr>
        <w:t>2</w:t>
      </w:r>
      <w:r>
        <w:rPr>
          <w:rFonts w:hint="eastAsia" w:ascii="宋体" w:hAnsi="宋体" w:eastAsia="宋体" w:cs="Times New Roman"/>
          <w:color w:val="000000"/>
          <w:sz w:val="24"/>
          <w:szCs w:val="24"/>
        </w:rPr>
        <w:t>版），张斌贤等，人民教育出版社，</w:t>
      </w:r>
      <w:r>
        <w:rPr>
          <w:rFonts w:ascii="宋体" w:hAnsi="宋体" w:eastAsia="宋体" w:cs="Times New Roman"/>
          <w:color w:val="000000"/>
          <w:kern w:val="0"/>
          <w:sz w:val="24"/>
          <w:szCs w:val="24"/>
        </w:rPr>
        <w:t>20</w:t>
      </w:r>
      <w:r>
        <w:rPr>
          <w:rFonts w:hint="eastAsia" w:ascii="宋体" w:hAnsi="宋体" w:eastAsia="宋体" w:cs="Times New Roman"/>
          <w:color w:val="000000"/>
          <w:kern w:val="0"/>
          <w:sz w:val="24"/>
          <w:szCs w:val="24"/>
          <w:lang w:val="en-US" w:eastAsia="zh-CN"/>
        </w:rPr>
        <w:t>23</w:t>
      </w:r>
      <w:r>
        <w:rPr>
          <w:rFonts w:ascii="宋体" w:hAnsi="宋体" w:eastAsia="宋体" w:cs="Times New Roman"/>
          <w:color w:val="000000"/>
          <w:kern w:val="0"/>
          <w:sz w:val="24"/>
          <w:szCs w:val="24"/>
        </w:rPr>
        <w:t>.</w:t>
      </w:r>
    </w:p>
    <w:p w14:paraId="3AFDF714">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color w:val="000000"/>
          <w:kern w:val="0"/>
          <w:sz w:val="24"/>
          <w:szCs w:val="24"/>
        </w:rPr>
        <w:t>课程归口</w:t>
      </w:r>
      <w:r>
        <w:rPr>
          <w:rFonts w:hint="eastAsia" w:ascii="宋体" w:hAnsi="宋体" w:eastAsia="宋体" w:cs="Times New Roman"/>
          <w:color w:val="000000"/>
          <w:kern w:val="0"/>
          <w:sz w:val="24"/>
          <w:szCs w:val="24"/>
        </w:rPr>
        <w:t>：</w:t>
      </w:r>
      <w:r>
        <w:rPr>
          <w:rFonts w:hint="eastAsia" w:ascii="宋体" w:hAnsi="宋体" w:eastAsia="宋体" w:cs="Times New Roman"/>
          <w:color w:val="000000"/>
          <w:sz w:val="24"/>
          <w:szCs w:val="24"/>
        </w:rPr>
        <w:t>师范学院</w:t>
      </w:r>
    </w:p>
    <w:p w14:paraId="44845AB4">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课程的性质与任务</w:t>
      </w:r>
      <w:r>
        <w:rPr>
          <w:rFonts w:hint="eastAsia" w:ascii="宋体" w:hAnsi="宋体" w:eastAsia="宋体" w:cs="Times New Roman"/>
          <w:bCs/>
          <w:color w:val="000000"/>
          <w:sz w:val="24"/>
          <w:szCs w:val="24"/>
        </w:rPr>
        <w:t>：</w:t>
      </w:r>
      <w:r>
        <w:rPr>
          <w:rFonts w:hint="eastAsia" w:ascii="宋体" w:hAnsi="宋体" w:eastAsia="宋体" w:cs="Times New Roman"/>
          <w:color w:val="000000"/>
          <w:sz w:val="24"/>
          <w:szCs w:val="24"/>
        </w:rPr>
        <w:t>本课程是小学教育本科专业教师教育类必修课程。课程的主要任务是通过梳理和介绍外国（主要是西方发达国家）的教育制度、教育实践发展历史进程以及主要教育家的教育思想，培养师范生正确的教育历史观、提升教师理论综合素养，提高其针对当今教育现象进行古今中外对比分析的意识和能力，从而形成对人类教育发展规律的历史性认识。</w:t>
      </w:r>
    </w:p>
    <w:p w14:paraId="25B9F126">
      <w:pPr>
        <w:spacing w:line="360" w:lineRule="auto"/>
        <w:ind w:firstLine="562" w:firstLineChars="200"/>
        <w:rPr>
          <w:rFonts w:ascii="宋体" w:hAnsi="宋体" w:eastAsia="宋体" w:cs="Times New Roman"/>
          <w:b/>
          <w:bCs/>
          <w:sz w:val="28"/>
          <w:szCs w:val="28"/>
        </w:rPr>
      </w:pPr>
      <w:bookmarkStart w:id="639" w:name="_Toc27847257"/>
      <w:bookmarkStart w:id="640" w:name="_Toc27846239"/>
      <w:r>
        <w:rPr>
          <w:rFonts w:hint="eastAsia" w:ascii="宋体" w:hAnsi="宋体" w:eastAsia="宋体" w:cs="Times New Roman"/>
          <w:b/>
          <w:bCs/>
          <w:sz w:val="28"/>
          <w:szCs w:val="28"/>
        </w:rPr>
        <w:t>二、课程目标</w:t>
      </w:r>
      <w:bookmarkEnd w:id="639"/>
      <w:bookmarkEnd w:id="640"/>
    </w:p>
    <w:p w14:paraId="7C9076FE">
      <w:pPr>
        <w:spacing w:line="360" w:lineRule="auto"/>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（一）课程具体目标</w:t>
      </w:r>
    </w:p>
    <w:p w14:paraId="41869F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1.</w:t>
      </w:r>
      <w:r>
        <w:rPr>
          <w:rFonts w:hint="eastAsia" w:ascii="宋体" w:hAnsi="宋体" w:eastAsia="宋体" w:cs="Times New Roman"/>
          <w:color w:val="000000"/>
          <w:sz w:val="24"/>
          <w:szCs w:val="24"/>
        </w:rPr>
        <w:t>理解外国教育史的学科性质、研究对象、基本概念、基本方法论，建立外国教育史</w:t>
      </w:r>
      <w:r>
        <w:rPr>
          <w:rFonts w:hint="eastAsia" w:ascii="宋体" w:hAnsi="宋体" w:eastAsia="宋体" w:cs="Times New Roman"/>
          <w:color w:val="000000"/>
          <w:sz w:val="24"/>
          <w:szCs w:val="24"/>
          <w:lang w:val="en-US" w:eastAsia="zh-CN"/>
        </w:rPr>
        <w:t>有关问题</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lang w:val="en-US" w:eastAsia="zh-CN"/>
        </w:rPr>
        <w:t>批判</w:t>
      </w:r>
      <w:r>
        <w:rPr>
          <w:rFonts w:hint="eastAsia" w:ascii="宋体" w:hAnsi="宋体" w:eastAsia="宋体" w:cs="Times New Roman"/>
          <w:color w:val="000000"/>
          <w:sz w:val="24"/>
          <w:szCs w:val="24"/>
        </w:rPr>
        <w:t>分析意识和对比研究能力，牢固树立国家民族自豪感</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增强中国文化自信</w:t>
      </w:r>
      <w:r>
        <w:rPr>
          <w:rFonts w:hint="eastAsia" w:ascii="宋体" w:hAnsi="宋体" w:eastAsia="宋体" w:cs="Times New Roman"/>
          <w:color w:val="000000"/>
          <w:sz w:val="24"/>
          <w:szCs w:val="24"/>
        </w:rPr>
        <w:t>。</w:t>
      </w:r>
    </w:p>
    <w:p w14:paraId="0835A4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2.</w:t>
      </w:r>
      <w:r>
        <w:rPr>
          <w:rFonts w:hint="eastAsia" w:ascii="宋体" w:hAnsi="宋体" w:eastAsia="宋体" w:cs="Times New Roman"/>
          <w:color w:val="000000"/>
          <w:sz w:val="24"/>
          <w:szCs w:val="24"/>
        </w:rPr>
        <w:t>理解西方主要发达国家教育发展的进程和经验得失，掌握综合分析教育历史现象的能力。</w:t>
      </w:r>
    </w:p>
    <w:p w14:paraId="4A7C1C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3.</w:t>
      </w:r>
      <w:r>
        <w:rPr>
          <w:rFonts w:hint="eastAsia" w:ascii="宋体" w:hAnsi="宋体" w:eastAsia="宋体" w:cs="Times New Roman"/>
          <w:color w:val="000000"/>
          <w:sz w:val="24"/>
          <w:szCs w:val="24"/>
        </w:rPr>
        <w:t>了解西方自古希腊以来教育发展的历史线索和相互继承关系，理解教育家的教育思想在人类教育发展中积极作用，逐步建立古为今用和洋为中用的解决问题意识。</w:t>
      </w:r>
    </w:p>
    <w:p w14:paraId="24EFF8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4.</w:t>
      </w:r>
      <w:r>
        <w:rPr>
          <w:rFonts w:hint="eastAsia" w:ascii="宋体" w:hAnsi="宋体" w:eastAsia="宋体" w:cs="Times New Roman"/>
          <w:color w:val="000000"/>
          <w:sz w:val="24"/>
          <w:szCs w:val="24"/>
        </w:rPr>
        <w:t>理解西方主要社会转折时期影响教育发展的诸多因素，正确使用历史的眼光分析当今世界教育发展的现状问题。</w:t>
      </w:r>
    </w:p>
    <w:p w14:paraId="6FFE64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5.</w:t>
      </w:r>
      <w:r>
        <w:rPr>
          <w:rFonts w:hint="eastAsia" w:ascii="宋体" w:hAnsi="宋体" w:eastAsia="宋体" w:cs="Times New Roman"/>
          <w:color w:val="000000"/>
          <w:sz w:val="24"/>
          <w:szCs w:val="24"/>
        </w:rPr>
        <w:t>理解世界范围内的教育发展成就问题，掌握使用历史学方法分析和思考未来人类教育发展趋势问题。</w:t>
      </w:r>
    </w:p>
    <w:p w14:paraId="7B4F0F0D">
      <w:pPr>
        <w:spacing w:line="360" w:lineRule="auto"/>
        <w:ind w:firstLine="480" w:firstLineChars="200"/>
        <w:rPr>
          <w:rFonts w:ascii="黑体" w:hAnsi="黑体" w:eastAsia="黑体" w:cs="Times New Roman"/>
          <w:bCs/>
          <w:color w:val="000000"/>
          <w:sz w:val="24"/>
          <w:szCs w:val="24"/>
        </w:rPr>
      </w:pPr>
      <w:r>
        <w:rPr>
          <w:rFonts w:hint="eastAsia" w:ascii="黑体" w:hAnsi="黑体" w:eastAsia="黑体" w:cs="Times New Roman"/>
          <w:bCs/>
          <w:color w:val="000000"/>
          <w:sz w:val="24"/>
          <w:szCs w:val="24"/>
        </w:rPr>
        <w:t>（二）课程目标与专业毕业要求的关系</w:t>
      </w:r>
    </w:p>
    <w:tbl>
      <w:tblPr>
        <w:tblStyle w:val="10"/>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2312"/>
        <w:gridCol w:w="5298"/>
      </w:tblGrid>
      <w:tr w14:paraId="0723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6" w:type="dxa"/>
            <w:vAlign w:val="center"/>
          </w:tcPr>
          <w:p w14:paraId="6075634C">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课程目标</w:t>
            </w:r>
          </w:p>
        </w:tc>
        <w:tc>
          <w:tcPr>
            <w:tcW w:w="2312" w:type="dxa"/>
            <w:vAlign w:val="center"/>
          </w:tcPr>
          <w:p w14:paraId="2F78C551">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w:t>
            </w:r>
          </w:p>
        </w:tc>
        <w:tc>
          <w:tcPr>
            <w:tcW w:w="5298" w:type="dxa"/>
            <w:vAlign w:val="center"/>
          </w:tcPr>
          <w:p w14:paraId="377D04B8">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4827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586" w:type="dxa"/>
            <w:vAlign w:val="center"/>
          </w:tcPr>
          <w:p w14:paraId="18F67BEC">
            <w:pPr>
              <w:adjustRightInd w:val="0"/>
              <w:snapToGrid w:val="0"/>
              <w:spacing w:line="276" w:lineRule="auto"/>
              <w:jc w:val="center"/>
              <w:rPr>
                <w:rFonts w:ascii="宋体" w:hAnsi="Calibri" w:eastAsia="宋体" w:cs="宋体"/>
                <w:bCs/>
                <w:color w:val="000000"/>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c>
          <w:tcPr>
            <w:tcW w:w="2312" w:type="dxa"/>
            <w:vAlign w:val="center"/>
          </w:tcPr>
          <w:p w14:paraId="4FFF7502">
            <w:pPr>
              <w:adjustRightInd w:val="0"/>
              <w:snapToGrid w:val="0"/>
              <w:spacing w:line="276" w:lineRule="auto"/>
              <w:rPr>
                <w:rFonts w:hint="default" w:ascii="宋体" w:hAnsi="Calibri" w:eastAsia="宋体" w:cs="Times New Roman"/>
                <w:color w:val="000000"/>
                <w:kern w:val="0"/>
                <w:szCs w:val="21"/>
                <w:lang w:val="en-US" w:eastAsia="zh-CN"/>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ascii="宋体" w:hAnsi="Calibri" w:eastAsia="宋体" w:cs="Times New Roman"/>
                <w:color w:val="000000"/>
                <w:kern w:val="0"/>
                <w:szCs w:val="21"/>
              </w:rPr>
              <w:t>.</w:t>
            </w:r>
            <w:r>
              <w:rPr>
                <w:rFonts w:hint="eastAsia" w:ascii="宋体" w:hAnsi="宋体" w:eastAsia="宋体" w:cs="Times New Roman"/>
                <w:color w:val="000000"/>
                <w:kern w:val="0"/>
                <w:szCs w:val="21"/>
                <w:lang w:val="en-US" w:eastAsia="zh-CN"/>
              </w:rPr>
              <w:t>教育情怀</w:t>
            </w:r>
          </w:p>
        </w:tc>
        <w:tc>
          <w:tcPr>
            <w:tcW w:w="5298" w:type="dxa"/>
            <w:vAlign w:val="center"/>
          </w:tcPr>
          <w:p w14:paraId="41030956">
            <w:pPr>
              <w:adjustRightInd w:val="0"/>
              <w:snapToGrid w:val="0"/>
              <w:spacing w:line="276" w:lineRule="auto"/>
              <w:jc w:val="left"/>
              <w:rPr>
                <w:rFonts w:ascii="宋体" w:hAnsi="Calibri" w:eastAsia="宋体" w:cs="Times New Roman"/>
                <w:color w:val="000000"/>
                <w:kern w:val="0"/>
                <w:sz w:val="18"/>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tc>
      </w:tr>
      <w:tr w14:paraId="6A42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586" w:type="dxa"/>
            <w:vAlign w:val="center"/>
          </w:tcPr>
          <w:p w14:paraId="6528655D">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312" w:type="dxa"/>
            <w:vAlign w:val="center"/>
          </w:tcPr>
          <w:p w14:paraId="207C1F8D">
            <w:pPr>
              <w:adjustRightInd w:val="0"/>
              <w:snapToGrid w:val="0"/>
              <w:spacing w:line="276" w:lineRule="auto"/>
              <w:rPr>
                <w:rFonts w:hint="default" w:ascii="宋体" w:hAnsi="Calibri" w:eastAsia="宋体" w:cs="Times New Roman"/>
                <w:color w:val="000000"/>
                <w:kern w:val="0"/>
                <w:sz w:val="18"/>
                <w:szCs w:val="18"/>
                <w:lang w:val="en-US" w:eastAsia="zh-CN"/>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kern w:val="0"/>
                <w:szCs w:val="21"/>
                <w:lang w:val="en-US" w:eastAsia="zh-CN"/>
              </w:rPr>
              <w:t>7</w:t>
            </w:r>
            <w:r>
              <w:rPr>
                <w:rFonts w:ascii="宋体" w:hAnsi="宋体" w:eastAsia="宋体" w:cs="Times New Roman"/>
                <w:color w:val="000000"/>
                <w:kern w:val="0"/>
                <w:szCs w:val="21"/>
              </w:rPr>
              <w:t>.</w:t>
            </w:r>
            <w:r>
              <w:rPr>
                <w:rFonts w:hint="eastAsia" w:ascii="宋体" w:hAnsi="宋体" w:eastAsia="宋体" w:cs="Times New Roman"/>
                <w:color w:val="000000"/>
                <w:kern w:val="0"/>
                <w:szCs w:val="21"/>
                <w:lang w:val="en-US" w:eastAsia="zh-CN"/>
              </w:rPr>
              <w:t>学会反思</w:t>
            </w:r>
          </w:p>
        </w:tc>
        <w:tc>
          <w:tcPr>
            <w:tcW w:w="5298" w:type="dxa"/>
            <w:vAlign w:val="center"/>
          </w:tcPr>
          <w:p w14:paraId="16BAB743">
            <w:pPr>
              <w:adjustRightInd w:val="0"/>
              <w:snapToGrid w:val="0"/>
              <w:spacing w:line="276" w:lineRule="auto"/>
              <w:jc w:val="left"/>
              <w:rPr>
                <w:rFonts w:ascii="宋体" w:hAnsi="Calibri" w:eastAsia="宋体" w:cs="Times New Roman"/>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7-1：【教育视野开阔】积极关注基础教育领域的国内外交流进展，了解国内外基础教育改革发展的动态，具有宽广的教育视野，能够主动适应新时代和教育发展需求。</w:t>
            </w:r>
          </w:p>
        </w:tc>
      </w:tr>
      <w:tr w14:paraId="7433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586" w:type="dxa"/>
            <w:vAlign w:val="center"/>
          </w:tcPr>
          <w:p w14:paraId="3DD0AB9E">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312" w:type="dxa"/>
            <w:vAlign w:val="center"/>
          </w:tcPr>
          <w:p w14:paraId="41DE3435">
            <w:pPr>
              <w:adjustRightInd w:val="0"/>
              <w:snapToGrid w:val="0"/>
              <w:spacing w:line="276" w:lineRule="auto"/>
              <w:rPr>
                <w:rFonts w:hint="default" w:ascii="宋体" w:hAnsi="Calibri"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rPr>
              <w:t>毕业要求</w:t>
            </w:r>
            <w:r>
              <w:rPr>
                <w:rFonts w:hint="eastAsia" w:ascii="宋体" w:hAnsi="宋体" w:eastAsia="宋体" w:cs="Times New Roman"/>
                <w:color w:val="000000"/>
                <w:spacing w:val="2"/>
                <w:kern w:val="0"/>
                <w:szCs w:val="21"/>
                <w:lang w:val="en-US" w:eastAsia="zh-CN"/>
              </w:rPr>
              <w:t>4</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lang w:val="en-US" w:eastAsia="zh-CN"/>
              </w:rPr>
              <w:t>教学能力</w:t>
            </w:r>
          </w:p>
        </w:tc>
        <w:tc>
          <w:tcPr>
            <w:tcW w:w="5298" w:type="dxa"/>
            <w:vAlign w:val="center"/>
          </w:tcPr>
          <w:p w14:paraId="21830CF8">
            <w:pPr>
              <w:adjustRightInd w:val="0"/>
              <w:snapToGrid w:val="0"/>
              <w:spacing w:line="276" w:lineRule="auto"/>
              <w:jc w:val="left"/>
              <w:rPr>
                <w:rFonts w:ascii="宋体" w:hAnsi="Calibri" w:eastAsia="宋体" w:cs="宋体"/>
                <w:color w:val="000000"/>
                <w:szCs w:val="21"/>
              </w:rPr>
            </w:pPr>
            <w:r>
              <w:rPr>
                <w:rFonts w:hint="eastAsia" w:ascii="宋体" w:hAnsi="宋体" w:eastAsia="等线" w:cs="宋体"/>
                <w:color w:val="000000"/>
                <w:kern w:val="0"/>
                <w:sz w:val="20"/>
                <w:szCs w:val="20"/>
              </w:rPr>
              <w:t>指标点4-1：</w:t>
            </w:r>
            <w:r>
              <w:rPr>
                <w:rFonts w:hint="eastAsia" w:ascii="宋体" w:hAnsi="宋体" w:eastAsia="等线" w:cs="宋体"/>
                <w:color w:val="000000"/>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r>
      <w:tr w14:paraId="6960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86" w:type="dxa"/>
            <w:vAlign w:val="center"/>
          </w:tcPr>
          <w:p w14:paraId="4D7BC024">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312" w:type="dxa"/>
            <w:vAlign w:val="center"/>
          </w:tcPr>
          <w:p w14:paraId="2E8331A4">
            <w:pPr>
              <w:adjustRightInd w:val="0"/>
              <w:snapToGrid w:val="0"/>
              <w:spacing w:line="276" w:lineRule="auto"/>
              <w:rPr>
                <w:rFonts w:hint="default" w:ascii="宋体" w:hAnsi="Calibri" w:eastAsia="宋体" w:cs="Times New Roman"/>
                <w:color w:val="000000"/>
                <w:spacing w:val="2"/>
                <w:kern w:val="0"/>
                <w:szCs w:val="21"/>
                <w:lang w:val="en-US" w:eastAsia="zh-CN"/>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spacing w:val="2"/>
                <w:kern w:val="0"/>
                <w:szCs w:val="21"/>
                <w:lang w:val="en-US" w:eastAsia="zh-CN"/>
              </w:rPr>
              <w:t>7</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lang w:val="en-US" w:eastAsia="zh-CN"/>
              </w:rPr>
              <w:t>学会反思</w:t>
            </w:r>
          </w:p>
        </w:tc>
        <w:tc>
          <w:tcPr>
            <w:tcW w:w="5298" w:type="dxa"/>
            <w:vAlign w:val="center"/>
          </w:tcPr>
          <w:p w14:paraId="400D2BC3">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r>
      <w:tr w14:paraId="7A2D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586" w:type="dxa"/>
            <w:vAlign w:val="center"/>
          </w:tcPr>
          <w:p w14:paraId="1759C3FB">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c>
          <w:tcPr>
            <w:tcW w:w="2312" w:type="dxa"/>
            <w:vAlign w:val="center"/>
          </w:tcPr>
          <w:p w14:paraId="2194B554">
            <w:pPr>
              <w:adjustRightInd w:val="0"/>
              <w:snapToGrid w:val="0"/>
              <w:spacing w:line="276" w:lineRule="auto"/>
              <w:rPr>
                <w:rFonts w:hint="default" w:ascii="宋体" w:hAnsi="Calibri" w:eastAsia="宋体" w:cs="Times New Roman"/>
                <w:color w:val="000000"/>
                <w:kern w:val="0"/>
                <w:szCs w:val="21"/>
                <w:lang w:val="en-US" w:eastAsia="zh-CN"/>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kern w:val="0"/>
                <w:szCs w:val="21"/>
                <w:lang w:val="en-US" w:eastAsia="zh-CN"/>
              </w:rPr>
              <w:t>7</w:t>
            </w:r>
            <w:r>
              <w:rPr>
                <w:rFonts w:ascii="宋体" w:hAnsi="Calibri" w:eastAsia="宋体" w:cs="Times New Roman"/>
                <w:color w:val="000000"/>
                <w:kern w:val="0"/>
                <w:szCs w:val="21"/>
              </w:rPr>
              <w:t>.</w:t>
            </w:r>
            <w:r>
              <w:rPr>
                <w:rFonts w:hint="eastAsia" w:ascii="宋体" w:hAnsi="宋体" w:eastAsia="宋体" w:cs="Times New Roman"/>
                <w:color w:val="000000"/>
                <w:kern w:val="0"/>
                <w:szCs w:val="21"/>
                <w:lang w:val="en-US" w:eastAsia="zh-CN"/>
              </w:rPr>
              <w:t>学会反思</w:t>
            </w:r>
          </w:p>
        </w:tc>
        <w:tc>
          <w:tcPr>
            <w:tcW w:w="5298" w:type="dxa"/>
            <w:vAlign w:val="center"/>
          </w:tcPr>
          <w:p w14:paraId="4D3169BC">
            <w:pPr>
              <w:shd w:val="clear" w:color="auto" w:fill="FFFFFF"/>
              <w:adjustRightInd w:val="0"/>
              <w:snapToGrid w:val="0"/>
              <w:spacing w:line="276" w:lineRule="auto"/>
              <w:jc w:val="left"/>
              <w:rPr>
                <w:rFonts w:ascii="宋体" w:hAnsi="Calibri" w:eastAsia="宋体" w:cs="Times New Roman"/>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7-1：【教育视野开阔】积极关注基础教育领域的国内外交流进展，了解国内外基础教育改革发展的动态，具有宽广的教育视野，能够主动适应新时代和教育发展需求。</w:t>
            </w:r>
          </w:p>
        </w:tc>
      </w:tr>
    </w:tbl>
    <w:p w14:paraId="56C67DED">
      <w:pPr>
        <w:adjustRightInd w:val="0"/>
        <w:snapToGrid w:val="0"/>
        <w:spacing w:line="360" w:lineRule="auto"/>
        <w:rPr>
          <w:rFonts w:ascii="宋体" w:hAnsi="宋体" w:eastAsia="宋体" w:cs="Times New Roman"/>
          <w:b/>
          <w:color w:val="000000"/>
          <w:sz w:val="28"/>
          <w:szCs w:val="28"/>
        </w:rPr>
      </w:pPr>
    </w:p>
    <w:p w14:paraId="4D4B9BEF">
      <w:pPr>
        <w:adjustRightInd w:val="0"/>
        <w:snapToGrid w:val="0"/>
        <w:spacing w:line="360" w:lineRule="auto"/>
        <w:ind w:firstLine="562" w:firstLineChars="200"/>
        <w:rPr>
          <w:rFonts w:ascii="宋体" w:hAnsi="宋体" w:eastAsia="宋体" w:cs="Times New Roman"/>
          <w:b/>
          <w:color w:val="000000"/>
          <w:sz w:val="28"/>
          <w:szCs w:val="24"/>
        </w:rPr>
      </w:pPr>
      <w:r>
        <w:rPr>
          <w:rFonts w:hint="eastAsia" w:ascii="宋体" w:hAnsi="宋体" w:eastAsia="宋体" w:cs="Times New Roman"/>
          <w:b/>
          <w:color w:val="000000"/>
          <w:sz w:val="28"/>
          <w:szCs w:val="24"/>
        </w:rPr>
        <w:t>三、课程内容</w:t>
      </w:r>
    </w:p>
    <w:p w14:paraId="7597FDCB">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w:t>
      </w:r>
      <w:r>
        <w:rPr>
          <w:rFonts w:hint="eastAsia" w:ascii="宋体" w:hAnsi="宋体" w:eastAsia="宋体" w:cs="宋体"/>
          <w:b/>
          <w:color w:val="000000"/>
          <w:kern w:val="0"/>
          <w:sz w:val="24"/>
          <w:szCs w:val="24"/>
        </w:rPr>
        <w:t>外国教育史概</w:t>
      </w:r>
      <w:r>
        <w:rPr>
          <w:rFonts w:hint="eastAsia" w:ascii="宋体" w:hAnsi="宋体" w:eastAsia="宋体" w:cs="Times New Roman"/>
          <w:b/>
          <w:color w:val="000000"/>
          <w:sz w:val="24"/>
          <w:szCs w:val="24"/>
        </w:rPr>
        <w:t>论（本模块各知识点的讲授与学习，支撑课程目标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w:t>
      </w:r>
    </w:p>
    <w:p w14:paraId="5443472C">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4BA7A279">
      <w:pPr>
        <w:widowControl/>
        <w:adjustRightInd w:val="0"/>
        <w:snapToGrid w:val="0"/>
        <w:spacing w:line="360" w:lineRule="auto"/>
        <w:jc w:val="lef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）外国教育史</w:t>
      </w:r>
      <w:r>
        <w:rPr>
          <w:rFonts w:hint="eastAsia" w:ascii="宋体" w:hAnsi="宋体" w:eastAsia="宋体" w:cs="宋体"/>
          <w:color w:val="000000"/>
          <w:kern w:val="0"/>
          <w:sz w:val="24"/>
          <w:szCs w:val="24"/>
          <w:lang w:val="en-US" w:eastAsia="zh-CN"/>
        </w:rPr>
        <w:t>课程分析</w:t>
      </w:r>
    </w:p>
    <w:p w14:paraId="1D337EB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）外国教育史的发展与研究现状</w:t>
      </w:r>
    </w:p>
    <w:p w14:paraId="512EC99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）外国教育史的学科功能和学习要求</w:t>
      </w:r>
    </w:p>
    <w:p w14:paraId="04E40C6F">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196536E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）了解外国教育史的学科性质、研究对象、学科功能和学习要求</w:t>
      </w:r>
    </w:p>
    <w:p w14:paraId="239653A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）理解外国教育史的内容脉络和研究现状</w:t>
      </w:r>
    </w:p>
    <w:p w14:paraId="5F5A966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）掌握外国教育史的研究视角和研究热点</w:t>
      </w:r>
    </w:p>
    <w:p w14:paraId="3072836D">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6928C62B">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通过本章内容学习，使师范生理解外国教育史在整个教育学科中的地位和学习意义，在中外教育史的学习对比中发现我国悠久历史文化中所积累的教育精华，增强民族自豪感和文化自信心。</w:t>
      </w:r>
    </w:p>
    <w:p w14:paraId="0D39452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：了解外国教育史的内容安排，理解其学习的现实意义。</w:t>
      </w:r>
    </w:p>
    <w:p w14:paraId="1F8DC94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：理解外国教育史的学习意义和实际运用方法，形成分析当今教育现象的历史对比意识。</w:t>
      </w:r>
    </w:p>
    <w:p w14:paraId="35CE51B5">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（二）教育的起源与东方文明古国的教育（本模块各知识点的讲授与学习，可以支撑课程目标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7310B696">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3C0E6A0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）教育的三种起源学说</w:t>
      </w:r>
    </w:p>
    <w:p w14:paraId="2AE791C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）原始社会的教育</w:t>
      </w:r>
    </w:p>
    <w:p w14:paraId="6FDD19F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）古巴比伦、古埃及、古印度、古希伯来的教育</w:t>
      </w:r>
    </w:p>
    <w:p w14:paraId="26FC47D0">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2A33733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）了解教育起源的主要观点</w:t>
      </w:r>
    </w:p>
    <w:p w14:paraId="0251A05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）理解原始社会教育的特点</w:t>
      </w:r>
    </w:p>
    <w:p w14:paraId="661526B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）掌握古巴比伦、古埃及和古印度教育的基本特征</w:t>
      </w:r>
    </w:p>
    <w:p w14:paraId="71831796">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6838D029">
      <w:pPr>
        <w:adjustRightInd w:val="0"/>
        <w:snapToGrid w:val="0"/>
        <w:spacing w:line="36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通过本章内容学习，了解域外三大文明古国灿烂的教育文明，并通过对比发现我国古代教育文明的优越性，不断加强人类命运共同体概念的理解，并运用马克思主义的基本哲学思想分析人类文明的发展变化。</w:t>
      </w:r>
    </w:p>
    <w:p w14:paraId="08975E3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：掌握教育的三种起源学说和古印度的种性教育制度</w:t>
      </w:r>
    </w:p>
    <w:p w14:paraId="40771EA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：理解四个文明古国教育的联系</w:t>
      </w:r>
    </w:p>
    <w:p w14:paraId="48A87A9D">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（三）古希腊的教育和古罗马的教育（本模块各知识点的讲授与学习，可以支撑课程目标</w:t>
      </w: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w:t>
      </w:r>
    </w:p>
    <w:p w14:paraId="5B5C4C8B">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7DD90C0">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）古希腊教育的分期、斯巴达和雅典的城邦教育</w:t>
      </w:r>
    </w:p>
    <w:p w14:paraId="0BD33CC1">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）苏格拉底、柏拉图、亚里士多德、昆体良的教育思想</w:t>
      </w:r>
    </w:p>
    <w:p w14:paraId="0DCAECC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）古罗马的教育</w:t>
      </w:r>
    </w:p>
    <w:p w14:paraId="6262A112">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667A748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）了解古希腊教育的主要分期及主要成就、古罗马教育概况</w:t>
      </w:r>
    </w:p>
    <w:p w14:paraId="439FB3C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）理解斯巴达和雅典教育的区别</w:t>
      </w:r>
    </w:p>
    <w:p w14:paraId="4920906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）掌握四个教育家的教育思想及其现代意义</w:t>
      </w:r>
    </w:p>
    <w:p w14:paraId="52137E10">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35B18F06">
      <w:pPr>
        <w:adjustRightInd w:val="0"/>
        <w:snapToGrid w:val="0"/>
        <w:spacing w:line="36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通过本章内容学习，使学生了解古代希腊和罗马曾经出现过的伟大教育文明成就，运用历史唯物主义的辩证思维看待今天的希腊和罗马现状，树立不厚古薄今的正确态度。</w:t>
      </w:r>
    </w:p>
    <w:p w14:paraId="06D5321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：理解四个教育家的教育思想的主要内容</w:t>
      </w:r>
    </w:p>
    <w:p w14:paraId="3BD8F69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：辨析斯巴达和雅典教育的区别及其成因，古罗马帝国时期教育的特征及其历史影响</w:t>
      </w:r>
    </w:p>
    <w:p w14:paraId="45DE7CA5">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（四）中世纪时期西欧的教育（本模块各知识点的讲授与学习，可以支撑课程目标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51509444">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2363EA0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）基督教的产生及其对中世纪的影响</w:t>
      </w:r>
    </w:p>
    <w:p w14:paraId="47CCD45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）骑士教育的产生及其特点</w:t>
      </w:r>
    </w:p>
    <w:p w14:paraId="7E6542C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）中世纪大学的产生及影响</w:t>
      </w:r>
    </w:p>
    <w:p w14:paraId="3FC3067C">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579F38F1">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）了解基督教产生的社会背景</w:t>
      </w:r>
    </w:p>
    <w:p w14:paraId="2C04929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）区分教会教育和世俗教育的特征</w:t>
      </w:r>
    </w:p>
    <w:p w14:paraId="7716A8F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）理解骑士教育的内容</w:t>
      </w:r>
    </w:p>
    <w:p w14:paraId="4DCD84E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）掌握中世纪大学的作用</w:t>
      </w:r>
    </w:p>
    <w:p w14:paraId="122354EB">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1965FB1A">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通过本章内容学习，使师范生了解所谓黑暗的中世纪所具有的历史进步意义，没有中世纪一千年的积淀和孕育，伟大的文艺复兴、宗教改革和科学革命等都不可能相继发生。因此，看待任何事物都必须一分为二。</w:t>
      </w:r>
    </w:p>
    <w:p w14:paraId="03BA637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：教会教育和世俗教育的特征，中世纪大学的历史作用</w:t>
      </w:r>
    </w:p>
    <w:p w14:paraId="572AF72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：把握经院哲学的历史影响</w:t>
      </w:r>
    </w:p>
    <w:p w14:paraId="66CD5302">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（五）文艺复兴和宗教改革时期的教育（本模块各知识点的讲授与学习，可以支撑课程目标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5F78AA00">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4E6C6B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）文艺复兴的产生及其人文主义教育</w:t>
      </w:r>
    </w:p>
    <w:p w14:paraId="742F8A1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）宗教改革的背景及其对教育发展的影响</w:t>
      </w:r>
    </w:p>
    <w:p w14:paraId="6F92F664">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C180FD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）了解中世纪和文艺复兴的联系；</w:t>
      </w:r>
    </w:p>
    <w:p w14:paraId="2E2805B1">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）理解人文主义教育的主要内容；</w:t>
      </w:r>
    </w:p>
    <w:p w14:paraId="709B991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）掌握文艺复兴和宗教改革对西欧近代教育的影响。</w:t>
      </w:r>
    </w:p>
    <w:p w14:paraId="53B07730">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3998A6EF">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回忆和温故西方历史上曾经出现过的划时代事件和重要人物，以及宗教对欧洲诸国的深刻影响，通过对比，发现我国历史同期所创造的灿烂文化对欧洲历史进程的影响，深刻理解我国当前实行的民族区域自治政策的特殊意义。</w:t>
      </w:r>
    </w:p>
    <w:p w14:paraId="4E7D97D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：理解人文主义教育家的教育主张；国民教育的兴起</w:t>
      </w:r>
    </w:p>
    <w:p w14:paraId="473E143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：中世纪教育和文艺复兴时期教育的联系</w:t>
      </w:r>
    </w:p>
    <w:p w14:paraId="0C487B0B">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（六）夸美纽斯的教育思想（本模块各知识点的讲授与学习，可以支撑课程目标</w:t>
      </w:r>
      <w:r>
        <w:rPr>
          <w:rFonts w:ascii="宋体" w:hAnsi="宋体" w:eastAsia="宋体" w:cs="Times New Roman"/>
          <w:b/>
          <w:color w:val="000000"/>
          <w:sz w:val="24"/>
          <w:szCs w:val="24"/>
        </w:rPr>
        <w:t>4</w:t>
      </w:r>
      <w:r>
        <w:rPr>
          <w:rFonts w:hint="eastAsia" w:ascii="宋体" w:hAnsi="宋体" w:eastAsia="宋体" w:cs="Times New Roman"/>
          <w:b/>
          <w:color w:val="000000"/>
          <w:sz w:val="24"/>
          <w:szCs w:val="24"/>
        </w:rPr>
        <w:t>）</w:t>
      </w:r>
    </w:p>
    <w:p w14:paraId="05D9AE13">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6D509F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）生平活动和代表性著作</w:t>
      </w:r>
    </w:p>
    <w:p w14:paraId="5444446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）主要教育观点</w:t>
      </w:r>
    </w:p>
    <w:p w14:paraId="559E02D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）历史影响和局限性</w:t>
      </w:r>
    </w:p>
    <w:p w14:paraId="47F16350">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3ED4F74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）了解夸美纽斯的生平和《大教学论》的影响</w:t>
      </w:r>
    </w:p>
    <w:p w14:paraId="4B83071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）理解其教育思想的主要观点</w:t>
      </w:r>
    </w:p>
    <w:p w14:paraId="436B8ED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）掌握其普及教育思想和教学理论</w:t>
      </w:r>
    </w:p>
    <w:p w14:paraId="622E91DB">
      <w:pPr>
        <w:adjustRightInd w:val="0"/>
        <w:snapToGrid w:val="0"/>
        <w:spacing w:line="360" w:lineRule="auto"/>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w:t>
      </w:r>
      <w:r>
        <w:rPr>
          <w:rFonts w:ascii="宋体" w:hAnsi="宋体" w:eastAsia="宋体" w:cs="宋体"/>
          <w:b/>
          <w:bCs/>
          <w:color w:val="000000"/>
          <w:kern w:val="0"/>
          <w:sz w:val="24"/>
          <w:szCs w:val="24"/>
        </w:rPr>
        <w:t>.</w:t>
      </w:r>
      <w:r>
        <w:rPr>
          <w:rFonts w:hint="eastAsia" w:ascii="宋体" w:hAnsi="宋体" w:eastAsia="宋体" w:cs="宋体"/>
          <w:b/>
          <w:bCs/>
          <w:color w:val="000000"/>
          <w:kern w:val="0"/>
          <w:sz w:val="24"/>
          <w:szCs w:val="24"/>
        </w:rPr>
        <w:t>课程思政育人目标</w:t>
      </w:r>
    </w:p>
    <w:p w14:paraId="3C86C77C">
      <w:pPr>
        <w:adjustRightInd w:val="0"/>
        <w:snapToGri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通过本章内容学习，使学生了解欧洲一个小国——捷克所诞生的伟大教育家对世界教育史和教育学科发展所做出的贡献，进而使学生意识到人的的价值是在奋斗中创造的，任何人都不可能轻易成功。</w:t>
      </w:r>
    </w:p>
    <w:p w14:paraId="041D16F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：理解夸美纽斯教育思想的主要内容</w:t>
      </w:r>
    </w:p>
    <w:p w14:paraId="7D42297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：理解夸美纽斯教育思想的历史局限性。</w:t>
      </w:r>
    </w:p>
    <w:p w14:paraId="257DA373">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（七）启蒙运动和洛克、卢梭的教育思想（本模块各知识点的讲授与学习，可以支撑课程目标</w:t>
      </w:r>
      <w:r>
        <w:rPr>
          <w:rFonts w:ascii="宋体" w:hAnsi="宋体" w:eastAsia="宋体" w:cs="Times New Roman"/>
          <w:b/>
          <w:color w:val="000000"/>
          <w:sz w:val="24"/>
          <w:szCs w:val="24"/>
        </w:rPr>
        <w:t>5</w:t>
      </w:r>
      <w:r>
        <w:rPr>
          <w:rFonts w:hint="eastAsia" w:ascii="宋体" w:hAnsi="宋体" w:eastAsia="宋体" w:cs="Times New Roman"/>
          <w:b/>
          <w:color w:val="000000"/>
          <w:sz w:val="24"/>
          <w:szCs w:val="24"/>
        </w:rPr>
        <w:t>）</w:t>
      </w:r>
    </w:p>
    <w:p w14:paraId="1CC75E05">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5B392A2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）启蒙运动的产生和历史作用</w:t>
      </w:r>
    </w:p>
    <w:p w14:paraId="16733C0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）洛克的绅士教育思想</w:t>
      </w:r>
    </w:p>
    <w:p w14:paraId="0508C40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）卢梭的自然主义教育理论</w:t>
      </w:r>
    </w:p>
    <w:p w14:paraId="5BB8CE96">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439188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）了解启蒙运动的历史作用；</w:t>
      </w:r>
    </w:p>
    <w:p w14:paraId="1C236E6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）理解洛克的白板说；</w:t>
      </w:r>
    </w:p>
    <w:p w14:paraId="627A4310">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）掌握卢梭自然主义教育的内涵。</w:t>
      </w:r>
    </w:p>
    <w:p w14:paraId="38374D58">
      <w:pPr>
        <w:widowControl/>
        <w:adjustRightInd w:val="0"/>
        <w:snapToGrid w:val="0"/>
        <w:spacing w:line="360" w:lineRule="auto"/>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w:t>
      </w:r>
      <w:r>
        <w:rPr>
          <w:rFonts w:ascii="宋体" w:hAnsi="宋体" w:eastAsia="宋体" w:cs="宋体"/>
          <w:b/>
          <w:bCs/>
          <w:color w:val="000000"/>
          <w:kern w:val="0"/>
          <w:sz w:val="24"/>
          <w:szCs w:val="24"/>
        </w:rPr>
        <w:t>.</w:t>
      </w:r>
      <w:r>
        <w:rPr>
          <w:rFonts w:hint="eastAsia" w:ascii="宋体" w:hAnsi="宋体" w:eastAsia="宋体" w:cs="宋体"/>
          <w:b/>
          <w:bCs/>
          <w:color w:val="000000"/>
          <w:kern w:val="0"/>
          <w:sz w:val="24"/>
          <w:szCs w:val="24"/>
        </w:rPr>
        <w:t>课程思政育人目标</w:t>
      </w:r>
    </w:p>
    <w:p w14:paraId="2D1F3470">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通过本章内容学习，使师范生理解时代与个人之间的关系，没有启蒙运动的时代背景，也就不可能产生洛克和卢梭这样伟大的时代精英。因此，一个人的成功除了个人天赋和后天努力之外，也是时代的产物。</w:t>
      </w:r>
    </w:p>
    <w:p w14:paraId="22C7535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：理解洛克白板说、经验论与绅士教育思想之间的关系；卢梭自然主义教育的实质</w:t>
      </w:r>
    </w:p>
    <w:p w14:paraId="1BA61DF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：洛克经验论哲学和卢梭的儿童中心主义思想</w:t>
      </w:r>
    </w:p>
    <w:p w14:paraId="5E2D74EF">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（八）</w:t>
      </w:r>
      <w:r>
        <w:rPr>
          <w:rFonts w:ascii="宋体" w:hAnsi="宋体" w:eastAsia="宋体" w:cs="Times New Roman"/>
          <w:b/>
          <w:color w:val="000000"/>
          <w:sz w:val="24"/>
          <w:szCs w:val="24"/>
        </w:rPr>
        <w:t>19</w:t>
      </w:r>
      <w:r>
        <w:rPr>
          <w:rFonts w:hint="eastAsia" w:ascii="宋体" w:hAnsi="宋体" w:eastAsia="宋体" w:cs="Times New Roman"/>
          <w:b/>
          <w:color w:val="000000"/>
          <w:sz w:val="24"/>
          <w:szCs w:val="24"/>
        </w:rPr>
        <w:t>世纪西欧主要国家的教育改革和主要教育家的教育思想（本模块各知识点的讲授与学习，可以支撑课程目标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34581207">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363FF5F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）英国教育改革与斯宾塞的科学教育思想</w:t>
      </w:r>
      <w:r>
        <w:rPr>
          <w:rFonts w:ascii="宋体" w:hAnsi="宋体" w:eastAsia="宋体" w:cs="宋体"/>
          <w:color w:val="000000"/>
          <w:kern w:val="0"/>
          <w:sz w:val="24"/>
          <w:szCs w:val="24"/>
        </w:rPr>
        <w:t xml:space="preserve"> </w:t>
      </w:r>
    </w:p>
    <w:p w14:paraId="7BBBCBB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）德国的教育改革与福禄贝尔、第斯多惠、洪堡的教育思想</w:t>
      </w:r>
    </w:p>
    <w:p w14:paraId="248AE48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）俄国的教育改革与乌申斯基的教育思想</w:t>
      </w:r>
    </w:p>
    <w:p w14:paraId="5638D42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）美国教育的改革</w:t>
      </w:r>
    </w:p>
    <w:p w14:paraId="5EB91EA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5</w:t>
      </w:r>
      <w:r>
        <w:rPr>
          <w:rFonts w:hint="eastAsia" w:ascii="宋体" w:hAnsi="宋体" w:eastAsia="宋体" w:cs="宋体"/>
          <w:color w:val="000000"/>
          <w:kern w:val="0"/>
          <w:sz w:val="24"/>
          <w:szCs w:val="24"/>
        </w:rPr>
        <w:t>）日本的教育改革与福泽谕吉的教育思想</w:t>
      </w:r>
    </w:p>
    <w:p w14:paraId="3E9316DB">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78122B1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w:t>
      </w:r>
      <w:r>
        <w:rPr>
          <w:rFonts w:ascii="宋体" w:hAnsi="宋体" w:eastAsia="宋体" w:cs="宋体"/>
          <w:color w:val="000000"/>
          <w:kern w:val="0"/>
          <w:sz w:val="24"/>
          <w:szCs w:val="24"/>
        </w:rPr>
        <w:t>19</w:t>
      </w:r>
      <w:r>
        <w:rPr>
          <w:rFonts w:hint="eastAsia" w:ascii="宋体" w:hAnsi="宋体" w:eastAsia="宋体" w:cs="宋体"/>
          <w:color w:val="000000"/>
          <w:kern w:val="0"/>
          <w:sz w:val="24"/>
          <w:szCs w:val="24"/>
        </w:rPr>
        <w:t>世纪西欧主要国家教育改革的概况</w:t>
      </w:r>
    </w:p>
    <w:p w14:paraId="21DD0D5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）理解主要教育家的教育思想及其历史影响</w:t>
      </w:r>
    </w:p>
    <w:p w14:paraId="4C64CA0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）理解近代教育制度的确立和近代大学的创建</w:t>
      </w:r>
    </w:p>
    <w:p w14:paraId="425F0380">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）掌握主要教育家的教育思想观点</w:t>
      </w:r>
    </w:p>
    <w:p w14:paraId="0D84582D">
      <w:pPr>
        <w:widowControl/>
        <w:adjustRightInd w:val="0"/>
        <w:snapToGrid w:val="0"/>
        <w:spacing w:line="360" w:lineRule="auto"/>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w:t>
      </w:r>
      <w:r>
        <w:rPr>
          <w:rFonts w:ascii="宋体" w:hAnsi="宋体" w:eastAsia="宋体" w:cs="宋体"/>
          <w:b/>
          <w:bCs/>
          <w:color w:val="000000"/>
          <w:kern w:val="0"/>
          <w:sz w:val="24"/>
          <w:szCs w:val="24"/>
        </w:rPr>
        <w:t>.</w:t>
      </w:r>
      <w:r>
        <w:rPr>
          <w:rFonts w:hint="eastAsia" w:ascii="宋体" w:hAnsi="宋体" w:eastAsia="宋体" w:cs="宋体"/>
          <w:b/>
          <w:bCs/>
          <w:color w:val="000000"/>
          <w:kern w:val="0"/>
          <w:sz w:val="24"/>
          <w:szCs w:val="24"/>
        </w:rPr>
        <w:t>课程思政育人目标</w:t>
      </w:r>
    </w:p>
    <w:p w14:paraId="76559E5B">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通过本章内容学习，使师范生了解近代欧洲主要国家教育发展所取得的成就，以及我国同时期教育所存在的落后局面，在对比中理解我国近代所遭受到的侵略，不断增强爱国情怀和报国之志。</w:t>
      </w:r>
    </w:p>
    <w:p w14:paraId="311B27B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：理解主要教育家的教育观点及其历史意义</w:t>
      </w:r>
    </w:p>
    <w:p w14:paraId="611C5DE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：近代教育制度的确立对教育发展的历史作用；近代大学的改革内容及其历史影响</w:t>
      </w:r>
    </w:p>
    <w:p w14:paraId="6CAAEC95">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（九）裴斯泰洛齐和赫尔巴特的教育思想（本模块各知识点的讲授与学习，可以支撑课程目标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09B89756">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3EFC77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）裴斯泰洛齐和赫尔巴特的生平和代表性著作</w:t>
      </w:r>
    </w:p>
    <w:p w14:paraId="5D42A3F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）裴斯泰洛齐和赫尔巴特的教育思想的主要内容</w:t>
      </w:r>
    </w:p>
    <w:p w14:paraId="5BF0443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）裴斯泰洛齐和赫尔巴特教育思想的历史影响</w:t>
      </w:r>
    </w:p>
    <w:p w14:paraId="4DD480BE">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A4BE10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）了解两个教育家的生平和教育实践活动</w:t>
      </w:r>
    </w:p>
    <w:p w14:paraId="1128970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）理解两个教育家的教育思想及其历史影响</w:t>
      </w:r>
    </w:p>
    <w:p w14:paraId="0D8F220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）掌握赫尔巴特在教育史上的贡献和局限性</w:t>
      </w:r>
    </w:p>
    <w:p w14:paraId="36B09B84">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0C937B71">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在理解两个伟大教育家教育思想和教育实践的同时，发现他们对近现代教育发展所作出的主要贡献，以及对当前我国教育改革所具有的启发意义。他们两个人毕生的精力都放在了教育事业上，对师范生而言，他们的人生经历具有一定的教育意义。</w:t>
      </w:r>
    </w:p>
    <w:p w14:paraId="66AC043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：理解两个教育家的教育观点及其历史意义</w:t>
      </w:r>
    </w:p>
    <w:p w14:paraId="282DEE3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：裴斯泰洛齐的教育理论和赫尔巴特的教育双重教育目的</w:t>
      </w:r>
    </w:p>
    <w:p w14:paraId="1DA89C82">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（十）</w:t>
      </w:r>
      <w:r>
        <w:rPr>
          <w:rFonts w:ascii="宋体" w:hAnsi="宋体" w:eastAsia="宋体" w:cs="Times New Roman"/>
          <w:b/>
          <w:color w:val="000000"/>
          <w:sz w:val="24"/>
          <w:szCs w:val="24"/>
        </w:rPr>
        <w:t>20</w:t>
      </w:r>
      <w:r>
        <w:rPr>
          <w:rFonts w:hint="eastAsia" w:ascii="宋体" w:hAnsi="宋体" w:eastAsia="宋体" w:cs="Times New Roman"/>
          <w:b/>
          <w:color w:val="000000"/>
          <w:sz w:val="24"/>
          <w:szCs w:val="24"/>
        </w:rPr>
        <w:t>世纪前期欧美教育改革运动（本模块各知识点的讲授与学习，可以支撑课程目标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49B64336">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04FC97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）欧洲新教育运动和美国进步主义教育运动概况</w:t>
      </w:r>
    </w:p>
    <w:p w14:paraId="2D9E94B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）欧美实验教育学的产生及其影响</w:t>
      </w:r>
    </w:p>
    <w:p w14:paraId="23C4315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）主要教育家的教育思想</w:t>
      </w:r>
    </w:p>
    <w:p w14:paraId="4D4776FE">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6776597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）了解欧洲新教育运动和美国进步主义教育运动的进程</w:t>
      </w:r>
    </w:p>
    <w:p w14:paraId="18A45CF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）理解实验教育学的产生及其对教育学科发展的影响</w:t>
      </w:r>
    </w:p>
    <w:p w14:paraId="36D49E4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）掌握主要教育家的教育思想</w:t>
      </w:r>
    </w:p>
    <w:p w14:paraId="7733123F">
      <w:pPr>
        <w:widowControl/>
        <w:adjustRightInd w:val="0"/>
        <w:snapToGrid w:val="0"/>
        <w:spacing w:line="360" w:lineRule="auto"/>
        <w:jc w:val="left"/>
        <w:rPr>
          <w:rFonts w:ascii="宋体" w:hAnsi="宋体" w:eastAsia="宋体" w:cs="宋体"/>
          <w:b/>
          <w:bCs/>
          <w:color w:val="000000"/>
          <w:kern w:val="0"/>
          <w:sz w:val="24"/>
          <w:szCs w:val="24"/>
        </w:rPr>
      </w:pPr>
      <w:r>
        <w:rPr>
          <w:rFonts w:ascii="宋体" w:hAnsi="宋体" w:eastAsia="宋体" w:cs="宋体"/>
          <w:b/>
          <w:bCs/>
          <w:color w:val="000000"/>
          <w:kern w:val="0"/>
          <w:sz w:val="24"/>
          <w:szCs w:val="24"/>
        </w:rPr>
        <w:t>3.</w:t>
      </w:r>
      <w:r>
        <w:rPr>
          <w:rFonts w:hint="eastAsia" w:ascii="宋体" w:hAnsi="宋体" w:eastAsia="宋体" w:cs="宋体"/>
          <w:b/>
          <w:bCs/>
          <w:color w:val="000000"/>
          <w:kern w:val="0"/>
          <w:sz w:val="24"/>
          <w:szCs w:val="24"/>
        </w:rPr>
        <w:t>课程思政育人目标</w:t>
      </w:r>
    </w:p>
    <w:p w14:paraId="5982FA98">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理解教育工作的复杂性和艰巨性，欧洲的新教育革新运动虽然取得了一定的成功，但影响毕竟是有限的。一个人一生能做的事情也是有限的，因此要想作出成就，就必须专注于自己喜欢的事情，并努力坚持。</w:t>
      </w:r>
    </w:p>
    <w:p w14:paraId="7F23AAA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：理解欧洲新教育运动和美国进步主义教育运动之间的联系</w:t>
      </w:r>
    </w:p>
    <w:p w14:paraId="28E5596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：实验教育学的历史影响</w:t>
      </w:r>
    </w:p>
    <w:p w14:paraId="5510D69A">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（十一）杜威的教育思想（本模块各知识点的讲授与学习，可以支撑课程目标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72FF4559">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BC1E1B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）杜威的生平和代表性著作</w:t>
      </w:r>
    </w:p>
    <w:p w14:paraId="1962745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）杜威教育思想的主要内容</w:t>
      </w:r>
    </w:p>
    <w:p w14:paraId="6D60E8F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）杜威教育思想的历史影响</w:t>
      </w:r>
    </w:p>
    <w:p w14:paraId="62AD3380">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6095748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）了解杜威的生平和教育实践活动</w:t>
      </w:r>
    </w:p>
    <w:p w14:paraId="4C76948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）理解杜威的教育目的观</w:t>
      </w:r>
    </w:p>
    <w:p w14:paraId="3685139F">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）掌握杜威的课程与教学论</w:t>
      </w:r>
    </w:p>
    <w:p w14:paraId="1325505C">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6CD5133B">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理解杜威教育思想的当代启发意义，从杜威教育思想中领会教育即生活、学校即社会、从做中学的本质内涵，结合我国当前小学教育存在的实际问题，看到教育改革的艰难，并增强教育改革的信心。</w:t>
      </w:r>
    </w:p>
    <w:p w14:paraId="65685E3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：理解杜威的教育观点及其历史意义</w:t>
      </w:r>
    </w:p>
    <w:p w14:paraId="66D472B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：杜威教育目的的特征</w:t>
      </w:r>
    </w:p>
    <w:p w14:paraId="12814255">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（十二）现代欧美教育思潮（本模块各知识点的讲授与学习，可以支撑课程目标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055151D1">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0F3C91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）现代欧美教育哲学概况</w:t>
      </w:r>
    </w:p>
    <w:p w14:paraId="550F257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）存在主义、永恒主义、要素主义等教育思潮的主要内容</w:t>
      </w:r>
    </w:p>
    <w:p w14:paraId="7C2EE2F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）教育思潮的历史影响</w:t>
      </w:r>
    </w:p>
    <w:p w14:paraId="6BB11C6F">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7A71848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）了解欧美教育思潮概况</w:t>
      </w:r>
    </w:p>
    <w:p w14:paraId="1761931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）理解主要教育思潮的主要观点</w:t>
      </w:r>
    </w:p>
    <w:p w14:paraId="21C418F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）掌握主要教育思潮的历史影响</w:t>
      </w:r>
    </w:p>
    <w:p w14:paraId="16F31F96">
      <w:pPr>
        <w:adjustRightInd w:val="0"/>
        <w:snapToGrid w:val="0"/>
        <w:spacing w:line="360" w:lineRule="auto"/>
        <w:rPr>
          <w:rFonts w:ascii="宋体" w:hAnsi="宋体" w:eastAsia="宋体" w:cs="Times New Roman"/>
          <w:b/>
          <w:color w:val="000000"/>
          <w:sz w:val="24"/>
          <w:szCs w:val="22"/>
        </w:rPr>
      </w:pPr>
      <w:r>
        <w:rPr>
          <w:rFonts w:hint="eastAsia" w:ascii="宋体" w:hAnsi="宋体" w:eastAsia="宋体" w:cs="Times New Roman"/>
          <w:b/>
          <w:color w:val="000000"/>
          <w:sz w:val="24"/>
          <w:szCs w:val="22"/>
        </w:rPr>
        <w:t>3.课程思政育人目标</w:t>
      </w:r>
    </w:p>
    <w:p w14:paraId="4EF8EF37">
      <w:pPr>
        <w:adjustRightInd w:val="0"/>
        <w:snapToGrid w:val="0"/>
        <w:spacing w:line="360" w:lineRule="auto"/>
        <w:ind w:firstLine="480" w:firstLineChars="200"/>
        <w:rPr>
          <w:rFonts w:ascii="宋体" w:hAnsi="宋体" w:eastAsia="宋体" w:cs="Times New Roman"/>
          <w:bCs/>
          <w:color w:val="000000"/>
          <w:sz w:val="24"/>
          <w:szCs w:val="22"/>
        </w:rPr>
      </w:pPr>
      <w:r>
        <w:rPr>
          <w:rFonts w:hint="eastAsia" w:ascii="宋体" w:hAnsi="宋体" w:eastAsia="宋体" w:cs="Times New Roman"/>
          <w:bCs/>
          <w:color w:val="000000"/>
          <w:sz w:val="24"/>
          <w:szCs w:val="22"/>
        </w:rPr>
        <w:t>通过本质内容学习，使学生理解不同教育思潮产生的时代背景和产生的历史价值，并从中体会社会思潮对个人成长发展所产生的潜移默化的深刻影响，以及未来如何在工作中加强对小学生的思想引导。</w:t>
      </w:r>
    </w:p>
    <w:p w14:paraId="77C79721">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：理解现代欧美主要教育哲学</w:t>
      </w:r>
    </w:p>
    <w:p w14:paraId="22EA47E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：存在主义、分析哲学和后现代主义教育思潮</w:t>
      </w:r>
    </w:p>
    <w:p w14:paraId="4B674E9E">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教学内容与课程目标的对应关系及学时分配如表所示：</w:t>
      </w:r>
    </w:p>
    <w:tbl>
      <w:tblPr>
        <w:tblStyle w:val="10"/>
        <w:tblW w:w="876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3415"/>
        <w:gridCol w:w="1580"/>
        <w:gridCol w:w="2450"/>
        <w:gridCol w:w="9"/>
        <w:gridCol w:w="722"/>
      </w:tblGrid>
      <w:tr w14:paraId="10B3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85" w:type="dxa"/>
            <w:shd w:val="clear" w:color="auto" w:fill="FFFFFF"/>
            <w:vAlign w:val="center"/>
          </w:tcPr>
          <w:p w14:paraId="091BF2C4">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序号</w:t>
            </w:r>
          </w:p>
        </w:tc>
        <w:tc>
          <w:tcPr>
            <w:tcW w:w="3415" w:type="dxa"/>
            <w:shd w:val="clear" w:color="auto" w:fill="FFFFFF"/>
            <w:vAlign w:val="center"/>
          </w:tcPr>
          <w:p w14:paraId="5E286354">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1580" w:type="dxa"/>
            <w:shd w:val="clear" w:color="auto" w:fill="FFFFFF"/>
            <w:vAlign w:val="center"/>
          </w:tcPr>
          <w:p w14:paraId="60B2430E">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支撑的课程目标</w:t>
            </w:r>
          </w:p>
        </w:tc>
        <w:tc>
          <w:tcPr>
            <w:tcW w:w="2450" w:type="dxa"/>
            <w:shd w:val="clear" w:color="auto" w:fill="FFFFFF"/>
            <w:vAlign w:val="center"/>
          </w:tcPr>
          <w:p w14:paraId="2708DF72">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支撑的毕业要求指标点</w:t>
            </w:r>
          </w:p>
        </w:tc>
        <w:tc>
          <w:tcPr>
            <w:tcW w:w="729" w:type="dxa"/>
            <w:gridSpan w:val="2"/>
            <w:shd w:val="clear" w:color="auto" w:fill="FFFFFF"/>
            <w:vAlign w:val="center"/>
          </w:tcPr>
          <w:p w14:paraId="249372D4">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讲授学时</w:t>
            </w:r>
          </w:p>
        </w:tc>
      </w:tr>
      <w:tr w14:paraId="7F37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5" w:type="dxa"/>
            <w:shd w:val="clear" w:color="auto" w:fill="FFFFFF"/>
            <w:vAlign w:val="center"/>
          </w:tcPr>
          <w:p w14:paraId="73CAF1AF">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3415" w:type="dxa"/>
            <w:shd w:val="clear" w:color="auto" w:fill="FFFFFF"/>
            <w:vAlign w:val="center"/>
          </w:tcPr>
          <w:p w14:paraId="4FBDFD00">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外国教育史概述</w:t>
            </w:r>
          </w:p>
        </w:tc>
        <w:tc>
          <w:tcPr>
            <w:tcW w:w="1580" w:type="dxa"/>
            <w:shd w:val="clear" w:color="auto" w:fill="FFFFFF"/>
            <w:vAlign w:val="center"/>
          </w:tcPr>
          <w:p w14:paraId="168EFCC0">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shd w:val="clear" w:color="auto" w:fill="FFFFFF"/>
            <w:vAlign w:val="center"/>
          </w:tcPr>
          <w:p w14:paraId="6A9CA9A5">
            <w:pPr>
              <w:spacing w:line="276" w:lineRule="auto"/>
              <w:jc w:val="center"/>
              <w:rPr>
                <w:rFonts w:ascii="宋体" w:hAnsi="宋体" w:eastAsia="宋体" w:cs="Times New Roman"/>
                <w:color w:val="000000"/>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shd w:val="clear" w:color="auto" w:fill="FFFFFF"/>
            <w:vAlign w:val="center"/>
          </w:tcPr>
          <w:p w14:paraId="5E9DCC51">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39F0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85" w:type="dxa"/>
            <w:vAlign w:val="center"/>
          </w:tcPr>
          <w:p w14:paraId="4D89D8E4">
            <w:pPr>
              <w:spacing w:line="276" w:lineRule="auto"/>
              <w:jc w:val="center"/>
              <w:rPr>
                <w:rFonts w:ascii="宋体" w:hAnsi="宋体" w:eastAsia="宋体" w:cs="Times New Roman"/>
                <w:szCs w:val="21"/>
              </w:rPr>
            </w:pPr>
            <w:r>
              <w:rPr>
                <w:rFonts w:ascii="宋体" w:hAnsi="宋体" w:eastAsia="宋体" w:cs="Times New Roman"/>
                <w:szCs w:val="21"/>
              </w:rPr>
              <w:t>2</w:t>
            </w:r>
          </w:p>
        </w:tc>
        <w:tc>
          <w:tcPr>
            <w:tcW w:w="3415" w:type="dxa"/>
            <w:vAlign w:val="center"/>
          </w:tcPr>
          <w:p w14:paraId="2C4996F3">
            <w:pPr>
              <w:widowControl/>
              <w:snapToGrid w:val="0"/>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教育的起源和东方文明古国的教育</w:t>
            </w:r>
          </w:p>
        </w:tc>
        <w:tc>
          <w:tcPr>
            <w:tcW w:w="1580" w:type="dxa"/>
            <w:vAlign w:val="center"/>
          </w:tcPr>
          <w:p w14:paraId="3EE1E68A">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396FFBBA">
            <w:pPr>
              <w:spacing w:line="276" w:lineRule="auto"/>
              <w:jc w:val="center"/>
              <w:rPr>
                <w:rFonts w:ascii="宋体" w:hAnsi="宋体"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7-1</w:t>
            </w:r>
          </w:p>
        </w:tc>
        <w:tc>
          <w:tcPr>
            <w:tcW w:w="729" w:type="dxa"/>
            <w:gridSpan w:val="2"/>
            <w:vAlign w:val="center"/>
          </w:tcPr>
          <w:p w14:paraId="770141B0">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2579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85" w:type="dxa"/>
            <w:vAlign w:val="center"/>
          </w:tcPr>
          <w:p w14:paraId="07D19357">
            <w:pPr>
              <w:spacing w:line="276" w:lineRule="auto"/>
              <w:jc w:val="center"/>
              <w:rPr>
                <w:rFonts w:ascii="宋体" w:hAnsi="宋体" w:eastAsia="宋体" w:cs="Times New Roman"/>
                <w:szCs w:val="21"/>
              </w:rPr>
            </w:pPr>
            <w:r>
              <w:rPr>
                <w:rFonts w:ascii="宋体" w:hAnsi="宋体" w:eastAsia="宋体" w:cs="Times New Roman"/>
                <w:szCs w:val="21"/>
              </w:rPr>
              <w:t>3</w:t>
            </w:r>
          </w:p>
        </w:tc>
        <w:tc>
          <w:tcPr>
            <w:tcW w:w="3415" w:type="dxa"/>
            <w:vAlign w:val="center"/>
          </w:tcPr>
          <w:p w14:paraId="750F7DB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古希腊和古罗马的教育</w:t>
            </w:r>
          </w:p>
        </w:tc>
        <w:tc>
          <w:tcPr>
            <w:tcW w:w="1580" w:type="dxa"/>
            <w:vAlign w:val="center"/>
          </w:tcPr>
          <w:p w14:paraId="0239CAE2">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69447770">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1D9B0A91">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661C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5" w:type="dxa"/>
            <w:vAlign w:val="center"/>
          </w:tcPr>
          <w:p w14:paraId="10AD738B">
            <w:pPr>
              <w:spacing w:line="276" w:lineRule="auto"/>
              <w:jc w:val="center"/>
              <w:rPr>
                <w:rFonts w:ascii="宋体" w:hAnsi="宋体" w:eastAsia="宋体" w:cs="Times New Roman"/>
                <w:szCs w:val="21"/>
              </w:rPr>
            </w:pPr>
            <w:r>
              <w:rPr>
                <w:rFonts w:ascii="宋体" w:hAnsi="宋体" w:eastAsia="宋体" w:cs="Times New Roman"/>
                <w:szCs w:val="21"/>
              </w:rPr>
              <w:t>4</w:t>
            </w:r>
          </w:p>
        </w:tc>
        <w:tc>
          <w:tcPr>
            <w:tcW w:w="3415" w:type="dxa"/>
            <w:vAlign w:val="center"/>
          </w:tcPr>
          <w:p w14:paraId="3D79370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中世纪时期西欧的教育</w:t>
            </w:r>
          </w:p>
        </w:tc>
        <w:tc>
          <w:tcPr>
            <w:tcW w:w="1580" w:type="dxa"/>
            <w:vAlign w:val="center"/>
          </w:tcPr>
          <w:p w14:paraId="10197AFF">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00338F40">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509B6251">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1980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85" w:type="dxa"/>
            <w:vAlign w:val="center"/>
          </w:tcPr>
          <w:p w14:paraId="13A5A25D">
            <w:pPr>
              <w:spacing w:line="276" w:lineRule="auto"/>
              <w:jc w:val="center"/>
              <w:rPr>
                <w:rFonts w:ascii="宋体" w:hAnsi="宋体" w:eastAsia="宋体" w:cs="Times New Roman"/>
                <w:szCs w:val="21"/>
              </w:rPr>
            </w:pPr>
            <w:r>
              <w:rPr>
                <w:rFonts w:ascii="宋体" w:hAnsi="宋体" w:eastAsia="宋体" w:cs="Times New Roman"/>
                <w:szCs w:val="21"/>
              </w:rPr>
              <w:t>5</w:t>
            </w:r>
          </w:p>
        </w:tc>
        <w:tc>
          <w:tcPr>
            <w:tcW w:w="3415" w:type="dxa"/>
            <w:vAlign w:val="center"/>
          </w:tcPr>
          <w:p w14:paraId="3A4AA08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文艺复兴和宗教改革时期的教育</w:t>
            </w:r>
          </w:p>
        </w:tc>
        <w:tc>
          <w:tcPr>
            <w:tcW w:w="1580" w:type="dxa"/>
            <w:vAlign w:val="center"/>
          </w:tcPr>
          <w:p w14:paraId="2A03F12F">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570BFAF8">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0B8E6EE5">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7E7A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85" w:type="dxa"/>
            <w:vAlign w:val="center"/>
          </w:tcPr>
          <w:p w14:paraId="500EDABA">
            <w:pPr>
              <w:spacing w:line="276" w:lineRule="auto"/>
              <w:jc w:val="center"/>
              <w:rPr>
                <w:rFonts w:ascii="宋体" w:hAnsi="宋体" w:eastAsia="宋体" w:cs="Times New Roman"/>
                <w:szCs w:val="21"/>
              </w:rPr>
            </w:pPr>
            <w:r>
              <w:rPr>
                <w:rFonts w:ascii="宋体" w:hAnsi="宋体" w:eastAsia="宋体" w:cs="Times New Roman"/>
                <w:szCs w:val="21"/>
              </w:rPr>
              <w:t>6</w:t>
            </w:r>
          </w:p>
        </w:tc>
        <w:tc>
          <w:tcPr>
            <w:tcW w:w="3415" w:type="dxa"/>
            <w:vAlign w:val="center"/>
          </w:tcPr>
          <w:p w14:paraId="4DF29477">
            <w:pPr>
              <w:widowControl/>
              <w:snapToGrid w:val="0"/>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夸美纽斯的教育思想</w:t>
            </w:r>
          </w:p>
        </w:tc>
        <w:tc>
          <w:tcPr>
            <w:tcW w:w="1580" w:type="dxa"/>
            <w:vAlign w:val="center"/>
          </w:tcPr>
          <w:p w14:paraId="09768F92">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6106FCD7">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4EE76551">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5B92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85" w:type="dxa"/>
            <w:vAlign w:val="center"/>
          </w:tcPr>
          <w:p w14:paraId="664D0E5C">
            <w:pPr>
              <w:spacing w:line="276" w:lineRule="auto"/>
              <w:jc w:val="center"/>
              <w:rPr>
                <w:rFonts w:ascii="宋体" w:hAnsi="宋体" w:eastAsia="宋体" w:cs="Times New Roman"/>
                <w:szCs w:val="21"/>
              </w:rPr>
            </w:pPr>
            <w:r>
              <w:rPr>
                <w:rFonts w:ascii="宋体" w:hAnsi="宋体" w:eastAsia="宋体" w:cs="Times New Roman"/>
                <w:szCs w:val="21"/>
              </w:rPr>
              <w:t>7</w:t>
            </w:r>
          </w:p>
        </w:tc>
        <w:tc>
          <w:tcPr>
            <w:tcW w:w="3415" w:type="dxa"/>
            <w:vAlign w:val="center"/>
          </w:tcPr>
          <w:p w14:paraId="776F1F5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启蒙运动和洛克、卢梭的教育思想</w:t>
            </w:r>
          </w:p>
        </w:tc>
        <w:tc>
          <w:tcPr>
            <w:tcW w:w="1580" w:type="dxa"/>
            <w:vAlign w:val="center"/>
          </w:tcPr>
          <w:p w14:paraId="06B4568C">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395670A4">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01CD05D9">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1874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67B48EB9">
            <w:pPr>
              <w:spacing w:line="276" w:lineRule="auto"/>
              <w:jc w:val="center"/>
              <w:rPr>
                <w:rFonts w:ascii="宋体" w:hAnsi="宋体" w:eastAsia="宋体" w:cs="Times New Roman"/>
                <w:szCs w:val="21"/>
              </w:rPr>
            </w:pPr>
            <w:r>
              <w:rPr>
                <w:rFonts w:ascii="宋体" w:hAnsi="宋体" w:eastAsia="宋体" w:cs="Times New Roman"/>
                <w:szCs w:val="21"/>
              </w:rPr>
              <w:t>8</w:t>
            </w:r>
          </w:p>
        </w:tc>
        <w:tc>
          <w:tcPr>
            <w:tcW w:w="3415" w:type="dxa"/>
            <w:vAlign w:val="center"/>
          </w:tcPr>
          <w:p w14:paraId="0220191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19</w:t>
            </w:r>
            <w:r>
              <w:rPr>
                <w:rFonts w:hint="eastAsia" w:ascii="宋体" w:hAnsi="宋体" w:eastAsia="宋体" w:cs="Times New Roman"/>
                <w:color w:val="000000"/>
                <w:szCs w:val="21"/>
              </w:rPr>
              <w:t>世纪西欧主要国家的教育改革和主要教育家的教育思想</w:t>
            </w:r>
          </w:p>
        </w:tc>
        <w:tc>
          <w:tcPr>
            <w:tcW w:w="1580" w:type="dxa"/>
            <w:vAlign w:val="center"/>
          </w:tcPr>
          <w:p w14:paraId="33F16D13">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16B94727">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48C0E0F2">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3C76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368D75BE">
            <w:pPr>
              <w:spacing w:line="276" w:lineRule="auto"/>
              <w:jc w:val="center"/>
              <w:rPr>
                <w:rFonts w:ascii="宋体" w:hAnsi="宋体" w:eastAsia="宋体" w:cs="Times New Roman"/>
                <w:szCs w:val="21"/>
              </w:rPr>
            </w:pPr>
            <w:r>
              <w:rPr>
                <w:rFonts w:ascii="宋体" w:hAnsi="宋体" w:eastAsia="宋体" w:cs="Times New Roman"/>
                <w:szCs w:val="21"/>
              </w:rPr>
              <w:t>9</w:t>
            </w:r>
          </w:p>
        </w:tc>
        <w:tc>
          <w:tcPr>
            <w:tcW w:w="3415" w:type="dxa"/>
            <w:vAlign w:val="center"/>
          </w:tcPr>
          <w:p w14:paraId="5D2671D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裴斯泰洛齐和赫尔巴特的教育思想</w:t>
            </w:r>
          </w:p>
        </w:tc>
        <w:tc>
          <w:tcPr>
            <w:tcW w:w="1580" w:type="dxa"/>
            <w:vAlign w:val="center"/>
          </w:tcPr>
          <w:p w14:paraId="1467938E">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0C80CABB">
            <w:pPr>
              <w:spacing w:line="276" w:lineRule="auto"/>
              <w:jc w:val="center"/>
              <w:rPr>
                <w:rFonts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038E0506">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697E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4C64B6E8">
            <w:pPr>
              <w:spacing w:line="276" w:lineRule="auto"/>
              <w:jc w:val="center"/>
              <w:rPr>
                <w:rFonts w:ascii="宋体" w:hAnsi="宋体" w:eastAsia="宋体" w:cs="Times New Roman"/>
                <w:szCs w:val="21"/>
              </w:rPr>
            </w:pPr>
            <w:r>
              <w:rPr>
                <w:rFonts w:ascii="宋体" w:hAnsi="宋体" w:eastAsia="宋体" w:cs="Times New Roman"/>
                <w:szCs w:val="21"/>
              </w:rPr>
              <w:t>10</w:t>
            </w:r>
          </w:p>
        </w:tc>
        <w:tc>
          <w:tcPr>
            <w:tcW w:w="3415" w:type="dxa"/>
            <w:vAlign w:val="center"/>
          </w:tcPr>
          <w:p w14:paraId="4413FD7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20</w:t>
            </w:r>
            <w:r>
              <w:rPr>
                <w:rFonts w:hint="eastAsia" w:ascii="宋体" w:hAnsi="宋体" w:eastAsia="宋体" w:cs="Times New Roman"/>
                <w:color w:val="000000"/>
                <w:szCs w:val="21"/>
              </w:rPr>
              <w:t>世纪前期欧美教育改革运动</w:t>
            </w:r>
          </w:p>
        </w:tc>
        <w:tc>
          <w:tcPr>
            <w:tcW w:w="1580" w:type="dxa"/>
            <w:vAlign w:val="center"/>
          </w:tcPr>
          <w:p w14:paraId="03EAE036">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0D98A207">
            <w:pPr>
              <w:spacing w:line="276" w:lineRule="auto"/>
              <w:jc w:val="center"/>
              <w:rPr>
                <w:rFonts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088AAB84">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3390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1C5ADC02">
            <w:pPr>
              <w:spacing w:line="276" w:lineRule="auto"/>
              <w:jc w:val="center"/>
              <w:rPr>
                <w:rFonts w:ascii="宋体" w:hAnsi="宋体" w:eastAsia="宋体" w:cs="Times New Roman"/>
                <w:szCs w:val="21"/>
              </w:rPr>
            </w:pPr>
            <w:r>
              <w:rPr>
                <w:rFonts w:ascii="宋体" w:hAnsi="宋体" w:eastAsia="宋体" w:cs="Times New Roman"/>
                <w:szCs w:val="21"/>
              </w:rPr>
              <w:t>11</w:t>
            </w:r>
          </w:p>
        </w:tc>
        <w:tc>
          <w:tcPr>
            <w:tcW w:w="3415" w:type="dxa"/>
            <w:vAlign w:val="center"/>
          </w:tcPr>
          <w:p w14:paraId="55E74F0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杜威的教育思想</w:t>
            </w:r>
          </w:p>
        </w:tc>
        <w:tc>
          <w:tcPr>
            <w:tcW w:w="1580" w:type="dxa"/>
            <w:vAlign w:val="center"/>
          </w:tcPr>
          <w:p w14:paraId="360EB208">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5E1D5F26">
            <w:pPr>
              <w:spacing w:line="276" w:lineRule="auto"/>
              <w:jc w:val="center"/>
              <w:rPr>
                <w:rFonts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4CAADAE0">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3534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4D70EF17">
            <w:pPr>
              <w:spacing w:line="276" w:lineRule="auto"/>
              <w:jc w:val="center"/>
              <w:rPr>
                <w:rFonts w:ascii="宋体" w:hAnsi="宋体" w:eastAsia="宋体" w:cs="Times New Roman"/>
                <w:szCs w:val="21"/>
              </w:rPr>
            </w:pPr>
            <w:r>
              <w:rPr>
                <w:rFonts w:ascii="宋体" w:hAnsi="宋体" w:eastAsia="宋体" w:cs="Times New Roman"/>
                <w:szCs w:val="21"/>
              </w:rPr>
              <w:t>12</w:t>
            </w:r>
          </w:p>
        </w:tc>
        <w:tc>
          <w:tcPr>
            <w:tcW w:w="3415" w:type="dxa"/>
            <w:vAlign w:val="center"/>
          </w:tcPr>
          <w:p w14:paraId="30A5E9F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现代欧美教育思潮</w:t>
            </w:r>
          </w:p>
        </w:tc>
        <w:tc>
          <w:tcPr>
            <w:tcW w:w="1580" w:type="dxa"/>
            <w:vAlign w:val="center"/>
          </w:tcPr>
          <w:p w14:paraId="54A50AD1">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5</w:t>
            </w:r>
          </w:p>
        </w:tc>
        <w:tc>
          <w:tcPr>
            <w:tcW w:w="2450" w:type="dxa"/>
            <w:vAlign w:val="center"/>
          </w:tcPr>
          <w:p w14:paraId="7D8B400B">
            <w:pPr>
              <w:spacing w:line="276" w:lineRule="auto"/>
              <w:jc w:val="center"/>
              <w:rPr>
                <w:rFonts w:ascii="宋体" w:hAnsi="宋体" w:eastAsia="宋体" w:cs="Times New Roman"/>
                <w:kern w:val="0"/>
                <w:szCs w:val="21"/>
              </w:rPr>
            </w:pPr>
            <w:r>
              <w:rPr>
                <w:rFonts w:ascii="宋体" w:hAnsi="宋体" w:eastAsia="宋体" w:cs="Times New Roman"/>
                <w:kern w:val="0"/>
                <w:szCs w:val="21"/>
              </w:rPr>
              <w:t>8-3</w:t>
            </w:r>
          </w:p>
        </w:tc>
        <w:tc>
          <w:tcPr>
            <w:tcW w:w="729" w:type="dxa"/>
            <w:gridSpan w:val="2"/>
            <w:vAlign w:val="center"/>
          </w:tcPr>
          <w:p w14:paraId="248B54B9">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335B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039" w:type="dxa"/>
            <w:gridSpan w:val="5"/>
            <w:vAlign w:val="center"/>
          </w:tcPr>
          <w:p w14:paraId="31048A7C">
            <w:pPr>
              <w:spacing w:line="276" w:lineRule="auto"/>
              <w:jc w:val="center"/>
              <w:rPr>
                <w:rFonts w:ascii="宋体" w:hAnsi="宋体" w:eastAsia="宋体" w:cs="Times New Roman"/>
                <w:szCs w:val="21"/>
              </w:rPr>
            </w:pPr>
            <w:r>
              <w:rPr>
                <w:rFonts w:hint="eastAsia" w:ascii="宋体" w:hAnsi="宋体" w:eastAsia="宋体" w:cs="Times New Roman"/>
                <w:szCs w:val="21"/>
              </w:rPr>
              <w:t>合计</w:t>
            </w:r>
          </w:p>
        </w:tc>
        <w:tc>
          <w:tcPr>
            <w:tcW w:w="722" w:type="dxa"/>
            <w:vAlign w:val="center"/>
          </w:tcPr>
          <w:p w14:paraId="596EFE43">
            <w:pPr>
              <w:spacing w:line="276" w:lineRule="auto"/>
              <w:jc w:val="center"/>
              <w:rPr>
                <w:rFonts w:ascii="宋体" w:hAnsi="Calibri" w:eastAsia="宋体" w:cs="Times New Roman"/>
                <w:kern w:val="0"/>
                <w:szCs w:val="21"/>
              </w:rPr>
            </w:pPr>
            <w:r>
              <w:rPr>
                <w:rFonts w:ascii="宋体" w:hAnsi="宋体" w:eastAsia="宋体" w:cs="Times New Roman"/>
                <w:kern w:val="0"/>
                <w:szCs w:val="21"/>
              </w:rPr>
              <w:t>32</w:t>
            </w:r>
          </w:p>
        </w:tc>
      </w:tr>
    </w:tbl>
    <w:p w14:paraId="290F7266">
      <w:pPr>
        <w:adjustRightInd w:val="0"/>
        <w:snapToGrid w:val="0"/>
        <w:spacing w:line="360" w:lineRule="auto"/>
        <w:rPr>
          <w:rFonts w:ascii="宋体" w:hAnsi="Calibri" w:eastAsia="宋体" w:cs="Times New Roman"/>
          <w:color w:val="000000"/>
          <w:szCs w:val="22"/>
        </w:rPr>
      </w:pPr>
    </w:p>
    <w:p w14:paraId="03B93121">
      <w:pPr>
        <w:adjustRightInd w:val="0"/>
        <w:snapToGrid w:val="0"/>
        <w:spacing w:line="360" w:lineRule="auto"/>
        <w:ind w:firstLine="562" w:firstLineChars="200"/>
        <w:rPr>
          <w:rFonts w:ascii="宋体" w:hAnsi="宋体" w:eastAsia="宋体" w:cs="Times New Roman"/>
          <w:b/>
          <w:bCs/>
          <w:color w:val="000000"/>
          <w:sz w:val="28"/>
          <w:szCs w:val="24"/>
        </w:rPr>
      </w:pPr>
      <w:r>
        <w:rPr>
          <w:rFonts w:hint="eastAsia" w:ascii="宋体" w:hAnsi="宋体" w:eastAsia="宋体" w:cs="Times New Roman"/>
          <w:b/>
          <w:bCs/>
          <w:color w:val="000000"/>
          <w:sz w:val="28"/>
          <w:szCs w:val="24"/>
        </w:rPr>
        <w:t>四、课程实施</w:t>
      </w:r>
    </w:p>
    <w:p w14:paraId="665004FC">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（一）课程在展开之前，要借助教育学视频、</w:t>
      </w:r>
      <w:r>
        <w:rPr>
          <w:rFonts w:hint="eastAsia" w:ascii="宋体" w:hAnsi="宋体" w:eastAsia="宋体" w:cs="Times New Roman"/>
          <w:sz w:val="24"/>
          <w:szCs w:val="24"/>
          <w:lang w:val="en-US" w:eastAsia="zh-CN"/>
        </w:rPr>
        <w:t>外国</w:t>
      </w:r>
      <w:r>
        <w:rPr>
          <w:rFonts w:hint="eastAsia" w:ascii="宋体" w:hAnsi="宋体" w:eastAsia="宋体" w:cs="Times New Roman"/>
          <w:sz w:val="24"/>
          <w:szCs w:val="24"/>
        </w:rPr>
        <w:t>历史学入门著作等奠定学生对外国教育史的印象，建立学生对学科的初步认识。</w:t>
      </w:r>
    </w:p>
    <w:p w14:paraId="0E2ECA64">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（二）课程在教学中要充分搜集好的历史视频，引导学生使用所学历史学意识审视外国教育问题。</w:t>
      </w:r>
    </w:p>
    <w:p w14:paraId="3B67C8FA">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（三）教师要积极采用平时考勤、课堂讨论、期末考试等多种形式相结合的考核方法，引导学生按时、保质保量地完成本课程学习任务。</w:t>
      </w:r>
    </w:p>
    <w:p w14:paraId="31BB31CB">
      <w:pPr>
        <w:spacing w:line="360" w:lineRule="auto"/>
        <w:ind w:firstLine="482" w:firstLineChars="200"/>
        <w:rPr>
          <w:rFonts w:ascii="宋体" w:hAnsi="宋体" w:eastAsia="宋体" w:cs="Times New Roman"/>
          <w:b/>
          <w:sz w:val="24"/>
          <w:szCs w:val="24"/>
        </w:rPr>
      </w:pPr>
      <w:r>
        <w:rPr>
          <w:rFonts w:hint="eastAsia" w:ascii="宋体" w:hAnsi="宋体" w:eastAsia="宋体" w:cs="Times New Roman"/>
          <w:b/>
          <w:bCs/>
          <w:sz w:val="24"/>
          <w:szCs w:val="24"/>
        </w:rPr>
        <w:t>主要教学环节的质量要求如表所示：</w:t>
      </w:r>
    </w:p>
    <w:tbl>
      <w:tblPr>
        <w:tblStyle w:val="10"/>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187B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6663246D">
            <w:pPr>
              <w:adjustRightInd w:val="0"/>
              <w:snapToGrid w:val="0"/>
              <w:spacing w:line="276" w:lineRule="auto"/>
              <w:jc w:val="center"/>
              <w:rPr>
                <w:rFonts w:ascii="宋体" w:hAnsi="宋体" w:eastAsia="宋体" w:cs="Times New Roman"/>
                <w:b/>
                <w:color w:val="000000"/>
                <w:szCs w:val="21"/>
              </w:rPr>
            </w:pPr>
            <w:r>
              <w:rPr>
                <w:rFonts w:hint="eastAsia" w:ascii="宋体" w:hAnsi="宋体" w:eastAsia="宋体" w:cs="Times New Roman"/>
                <w:b/>
                <w:bCs/>
                <w:color w:val="000000"/>
                <w:szCs w:val="21"/>
              </w:rPr>
              <w:t>主要教学环节</w:t>
            </w:r>
          </w:p>
        </w:tc>
        <w:tc>
          <w:tcPr>
            <w:tcW w:w="7525" w:type="dxa"/>
            <w:tcBorders>
              <w:top w:val="single" w:color="auto" w:sz="8" w:space="0"/>
              <w:left w:val="single" w:color="auto" w:sz="8" w:space="0"/>
              <w:right w:val="single" w:color="auto" w:sz="8" w:space="0"/>
            </w:tcBorders>
            <w:vAlign w:val="center"/>
          </w:tcPr>
          <w:p w14:paraId="7CDB1258">
            <w:pPr>
              <w:adjustRightInd w:val="0"/>
              <w:snapToGrid w:val="0"/>
              <w:spacing w:line="276" w:lineRule="auto"/>
              <w:jc w:val="center"/>
              <w:rPr>
                <w:rFonts w:ascii="宋体" w:hAnsi="宋体" w:eastAsia="宋体" w:cs="Times New Roman"/>
                <w:b/>
                <w:color w:val="000000"/>
                <w:szCs w:val="21"/>
              </w:rPr>
            </w:pPr>
            <w:r>
              <w:rPr>
                <w:rFonts w:hint="eastAsia" w:ascii="宋体" w:hAnsi="宋体" w:eastAsia="宋体" w:cs="Times New Roman"/>
                <w:b/>
                <w:bCs/>
                <w:color w:val="000000"/>
                <w:szCs w:val="21"/>
              </w:rPr>
              <w:t>质量要求</w:t>
            </w:r>
          </w:p>
        </w:tc>
      </w:tr>
      <w:tr w14:paraId="005C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582" w:type="dxa"/>
            <w:tcBorders>
              <w:left w:val="single" w:color="auto" w:sz="8" w:space="0"/>
            </w:tcBorders>
            <w:vAlign w:val="center"/>
          </w:tcPr>
          <w:p w14:paraId="4769CFEB">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38F200B6">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备课</w:t>
            </w:r>
          </w:p>
        </w:tc>
        <w:tc>
          <w:tcPr>
            <w:tcW w:w="7525" w:type="dxa"/>
            <w:tcBorders>
              <w:right w:val="single" w:color="auto" w:sz="8" w:space="0"/>
            </w:tcBorders>
            <w:vAlign w:val="center"/>
          </w:tcPr>
          <w:p w14:paraId="08E69B2D">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）掌握课程教学大纲内容，严格按照教学大纲要求进行课程教学内容的组织。</w:t>
            </w:r>
          </w:p>
          <w:p w14:paraId="6C8E0A29">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2500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82" w:type="dxa"/>
            <w:tcBorders>
              <w:left w:val="single" w:color="auto" w:sz="8" w:space="0"/>
            </w:tcBorders>
            <w:vAlign w:val="center"/>
          </w:tcPr>
          <w:p w14:paraId="4D5C38BF">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01E58911">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讲授</w:t>
            </w:r>
          </w:p>
        </w:tc>
        <w:tc>
          <w:tcPr>
            <w:tcW w:w="7525" w:type="dxa"/>
            <w:tcBorders>
              <w:right w:val="single" w:color="auto" w:sz="8" w:space="0"/>
            </w:tcBorders>
            <w:vAlign w:val="center"/>
          </w:tcPr>
          <w:p w14:paraId="0894766B">
            <w:pPr>
              <w:adjustRightInd w:val="0"/>
              <w:snapToGrid w:val="0"/>
              <w:spacing w:line="276" w:lineRule="auto"/>
              <w:rPr>
                <w:rFonts w:ascii="宋体" w:hAnsi="宋体" w:eastAsia="宋体" w:cs="Times New Roman"/>
                <w:color w:val="000000"/>
                <w:szCs w:val="22"/>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hint="eastAsia" w:ascii="宋体" w:hAnsi="宋体" w:eastAsia="宋体" w:cs="Times New Roman"/>
                <w:color w:val="000000"/>
                <w:szCs w:val="22"/>
              </w:rPr>
              <w:t>教师仪表端庄，情绪情感要饱满；</w:t>
            </w:r>
          </w:p>
          <w:p w14:paraId="2D7EE616">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宋体" w:hAnsi="宋体" w:eastAsia="宋体" w:cs="Times New Roman"/>
                <w:color w:val="000000"/>
                <w:szCs w:val="22"/>
              </w:rPr>
              <w:t>教学准备充分，熟悉教学内容；</w:t>
            </w:r>
          </w:p>
          <w:p w14:paraId="55DCA803">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szCs w:val="22"/>
              </w:rPr>
              <w:t>教学内容充实，不断充实最新研究成果；</w:t>
            </w:r>
          </w:p>
          <w:p w14:paraId="3CCFDC4C">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hint="eastAsia" w:ascii="宋体" w:hAnsi="宋体" w:eastAsia="宋体" w:cs="Times New Roman"/>
                <w:color w:val="000000"/>
                <w:szCs w:val="22"/>
              </w:rPr>
              <w:t>严格执行计划，教学进度适宜；</w:t>
            </w:r>
          </w:p>
          <w:p w14:paraId="239909AD">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w:t>
            </w:r>
            <w:r>
              <w:rPr>
                <w:rFonts w:hint="eastAsia" w:ascii="宋体" w:hAnsi="宋体" w:eastAsia="宋体" w:cs="Times New Roman"/>
                <w:color w:val="000000"/>
                <w:szCs w:val="22"/>
              </w:rPr>
              <w:t>课堂教学信息充分，注重理论联系实际；</w:t>
            </w:r>
          </w:p>
          <w:p w14:paraId="2DA7B831">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w:t>
            </w:r>
            <w:r>
              <w:rPr>
                <w:rFonts w:hint="eastAsia" w:ascii="宋体" w:hAnsi="宋体" w:eastAsia="宋体" w:cs="Times New Roman"/>
                <w:color w:val="000000"/>
                <w:szCs w:val="21"/>
              </w:rPr>
              <w:t>）</w:t>
            </w:r>
            <w:r>
              <w:rPr>
                <w:rFonts w:hint="eastAsia" w:ascii="宋体" w:hAnsi="宋体" w:eastAsia="宋体" w:cs="Times New Roman"/>
                <w:color w:val="000000"/>
                <w:szCs w:val="22"/>
              </w:rPr>
              <w:t>注重启发学生思维，培养学生的教学能力；</w:t>
            </w:r>
          </w:p>
          <w:p w14:paraId="3ED4F806">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7</w:t>
            </w:r>
            <w:r>
              <w:rPr>
                <w:rFonts w:hint="eastAsia" w:ascii="宋体" w:hAnsi="宋体" w:eastAsia="宋体" w:cs="Times New Roman"/>
                <w:color w:val="000000"/>
                <w:szCs w:val="21"/>
              </w:rPr>
              <w:t>）</w:t>
            </w:r>
            <w:r>
              <w:rPr>
                <w:rFonts w:hint="eastAsia" w:ascii="宋体" w:hAnsi="宋体" w:eastAsia="宋体" w:cs="Times New Roman"/>
                <w:color w:val="000000"/>
                <w:szCs w:val="22"/>
              </w:rPr>
              <w:t>面向全体基础上因材施教，灵活运用多种教学方法；</w:t>
            </w:r>
          </w:p>
          <w:p w14:paraId="5045DD95">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8</w:t>
            </w:r>
            <w:r>
              <w:rPr>
                <w:rFonts w:hint="eastAsia" w:ascii="宋体" w:hAnsi="宋体" w:eastAsia="宋体" w:cs="Times New Roman"/>
                <w:color w:val="000000"/>
                <w:szCs w:val="21"/>
              </w:rPr>
              <w:t>）</w:t>
            </w:r>
            <w:r>
              <w:rPr>
                <w:rFonts w:hint="eastAsia" w:ascii="宋体" w:hAnsi="宋体" w:eastAsia="宋体" w:cs="Times New Roman"/>
                <w:color w:val="000000"/>
                <w:szCs w:val="22"/>
              </w:rPr>
              <w:t>教学语言规范，为学生教育教学做好表率；</w:t>
            </w:r>
          </w:p>
          <w:p w14:paraId="1DEC0BD2">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color w:val="000000"/>
                <w:szCs w:val="22"/>
              </w:rPr>
              <w:t>教学条理清楚，教学思路逻辑严密；</w:t>
            </w:r>
          </w:p>
          <w:p w14:paraId="67A30E86">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color w:val="000000"/>
                <w:szCs w:val="22"/>
              </w:rPr>
              <w:t>充分运用现代化教学手段，教学技术熟练；</w:t>
            </w:r>
          </w:p>
          <w:p w14:paraId="31AD395B">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宋体" w:hAnsi="宋体" w:eastAsia="宋体" w:cs="Times New Roman"/>
                <w:color w:val="000000"/>
                <w:szCs w:val="22"/>
              </w:rPr>
              <w:t>课堂教学要重点突出，难点突破；</w:t>
            </w:r>
          </w:p>
          <w:p w14:paraId="7BF12839">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12</w:t>
            </w:r>
            <w:r>
              <w:rPr>
                <w:rFonts w:hint="eastAsia" w:ascii="宋体" w:hAnsi="宋体" w:eastAsia="宋体" w:cs="Times New Roman"/>
                <w:color w:val="000000"/>
                <w:szCs w:val="21"/>
              </w:rPr>
              <w:t>）</w:t>
            </w:r>
            <w:r>
              <w:rPr>
                <w:rFonts w:hint="eastAsia" w:ascii="宋体" w:hAnsi="宋体" w:eastAsia="宋体" w:cs="Times New Roman"/>
                <w:color w:val="000000"/>
                <w:szCs w:val="22"/>
              </w:rPr>
              <w:t>注重师生互动，形成良好的课堂氛围。</w:t>
            </w:r>
          </w:p>
        </w:tc>
      </w:tr>
      <w:tr w14:paraId="3EE0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582" w:type="dxa"/>
            <w:tcBorders>
              <w:left w:val="single" w:color="auto" w:sz="8" w:space="0"/>
            </w:tcBorders>
            <w:vAlign w:val="center"/>
          </w:tcPr>
          <w:p w14:paraId="32DDA18B">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11A740E1">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作业布置与批改</w:t>
            </w:r>
          </w:p>
        </w:tc>
        <w:tc>
          <w:tcPr>
            <w:tcW w:w="7525" w:type="dxa"/>
            <w:tcBorders>
              <w:right w:val="single" w:color="auto" w:sz="8" w:space="0"/>
            </w:tcBorders>
            <w:vAlign w:val="center"/>
          </w:tcPr>
          <w:p w14:paraId="52D04F98">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4501B740">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）按时按量完成作业，不缺交，不抄袭。</w:t>
            </w:r>
          </w:p>
          <w:p w14:paraId="3D336180">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）书写规范、</w:t>
            </w:r>
            <w:r>
              <w:rPr>
                <w:rFonts w:hint="eastAsia" w:ascii="宋体" w:hAnsi="宋体" w:eastAsia="宋体" w:cs="Times New Roman"/>
                <w:color w:val="000000"/>
                <w:szCs w:val="21"/>
                <w:lang w:val="en-US" w:eastAsia="zh-CN"/>
              </w:rPr>
              <w:t>字迹美观</w:t>
            </w:r>
            <w:r>
              <w:rPr>
                <w:rFonts w:hint="eastAsia" w:ascii="宋体" w:hAnsi="宋体" w:eastAsia="宋体" w:cs="Times New Roman"/>
                <w:color w:val="000000"/>
                <w:szCs w:val="21"/>
              </w:rPr>
              <w:t>。</w:t>
            </w:r>
          </w:p>
          <w:p w14:paraId="185C047E">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有一定深度和自己独立见解</w:t>
            </w:r>
            <w:r>
              <w:rPr>
                <w:rFonts w:hint="eastAsia" w:ascii="宋体" w:hAnsi="宋体" w:eastAsia="宋体" w:cs="Times New Roman"/>
                <w:color w:val="000000"/>
                <w:szCs w:val="21"/>
              </w:rPr>
              <w:t>。</w:t>
            </w:r>
          </w:p>
          <w:p w14:paraId="2F40C2BA">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教师批改和讲评作业要求如下：</w:t>
            </w:r>
          </w:p>
          <w:p w14:paraId="7E7E2A1D">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）学生的作业要按时全部批改，并及时进行讲评。</w:t>
            </w:r>
          </w:p>
          <w:p w14:paraId="0C806036">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）教师批改和讲评作业要认真、细致，按百分制评定成绩并写明日期。</w:t>
            </w:r>
          </w:p>
          <w:p w14:paraId="26671083">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）学生作业平均成绩应作为本课程总评成绩中平时成绩的重要组成部分。</w:t>
            </w:r>
          </w:p>
        </w:tc>
      </w:tr>
      <w:tr w14:paraId="5B56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456CD2ED">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03316A9F">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课外答疑</w:t>
            </w:r>
          </w:p>
        </w:tc>
        <w:tc>
          <w:tcPr>
            <w:tcW w:w="7525" w:type="dxa"/>
            <w:tcBorders>
              <w:right w:val="single" w:color="auto" w:sz="8" w:space="0"/>
            </w:tcBorders>
            <w:vAlign w:val="center"/>
          </w:tcPr>
          <w:p w14:paraId="3AF3525D">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为了解学生的学习情况，帮助学生更好地理解和消化所学知识、改进学习方法和思维方式，培养其独立的反思与评价能力，任课教师需每周安排一定时间进行课外答疑与辅导。</w:t>
            </w:r>
          </w:p>
        </w:tc>
      </w:tr>
      <w:tr w14:paraId="57E8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82" w:type="dxa"/>
            <w:tcBorders>
              <w:left w:val="single" w:color="auto" w:sz="8" w:space="0"/>
            </w:tcBorders>
            <w:vAlign w:val="center"/>
          </w:tcPr>
          <w:p w14:paraId="2DC97E4B">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38A77614">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成绩考核</w:t>
            </w:r>
          </w:p>
        </w:tc>
        <w:tc>
          <w:tcPr>
            <w:tcW w:w="7525" w:type="dxa"/>
            <w:tcBorders>
              <w:right w:val="single" w:color="auto" w:sz="8" w:space="0"/>
            </w:tcBorders>
            <w:vAlign w:val="center"/>
          </w:tcPr>
          <w:p w14:paraId="50EDA01C">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1F7820A3">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）缺交作业次数达</w:t>
            </w:r>
            <w:r>
              <w:rPr>
                <w:rFonts w:ascii="宋体" w:hAnsi="宋体" w:eastAsia="宋体" w:cs="Times New Roman"/>
                <w:color w:val="000000"/>
                <w:szCs w:val="21"/>
              </w:rPr>
              <w:t>1/3</w:t>
            </w:r>
            <w:r>
              <w:rPr>
                <w:rFonts w:hint="eastAsia" w:ascii="宋体" w:hAnsi="宋体" w:eastAsia="宋体" w:cs="Times New Roman"/>
                <w:color w:val="000000"/>
                <w:szCs w:val="21"/>
              </w:rPr>
              <w:t>以上者。</w:t>
            </w:r>
          </w:p>
          <w:p w14:paraId="60ECC263">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）缺课次数达本学期总授课学时的</w:t>
            </w:r>
            <w:r>
              <w:rPr>
                <w:rFonts w:ascii="宋体" w:hAnsi="宋体" w:eastAsia="宋体" w:cs="Times New Roman"/>
                <w:color w:val="000000"/>
                <w:szCs w:val="21"/>
              </w:rPr>
              <w:t>1/3</w:t>
            </w:r>
            <w:r>
              <w:rPr>
                <w:rFonts w:hint="eastAsia" w:ascii="宋体" w:hAnsi="宋体" w:eastAsia="宋体" w:cs="Times New Roman"/>
                <w:color w:val="000000"/>
                <w:szCs w:val="21"/>
              </w:rPr>
              <w:t>以上者。</w:t>
            </w:r>
          </w:p>
        </w:tc>
      </w:tr>
    </w:tbl>
    <w:p w14:paraId="69B46725">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五、课程考核</w:t>
      </w:r>
    </w:p>
    <w:p w14:paraId="07519B98">
      <w:pPr>
        <w:adjustRightInd w:val="0"/>
        <w:snapToGrid w:val="0"/>
        <w:spacing w:line="360" w:lineRule="auto"/>
        <w:rPr>
          <w:rFonts w:ascii="宋体" w:hAnsi="宋体" w:eastAsia="宋体" w:cs="Times New Roman"/>
          <w:sz w:val="24"/>
          <w:szCs w:val="24"/>
        </w:rPr>
      </w:pPr>
      <w:r>
        <w:rPr>
          <w:rFonts w:hint="eastAsia" w:ascii="宋体" w:hAnsi="宋体" w:eastAsia="宋体" w:cs="Times New Roman"/>
          <w:sz w:val="24"/>
          <w:szCs w:val="24"/>
        </w:rPr>
        <w:t>（一）课程考核包括期末考试、平时及作业考核，期末考试采用</w:t>
      </w:r>
      <w:r>
        <w:rPr>
          <w:rFonts w:hint="eastAsia" w:ascii="宋体" w:hAnsi="宋体" w:eastAsia="宋体" w:cs="Times New Roman"/>
          <w:sz w:val="24"/>
          <w:szCs w:val="24"/>
          <w:lang w:val="en-US" w:eastAsia="zh-CN"/>
        </w:rPr>
        <w:t>开</w:t>
      </w:r>
      <w:r>
        <w:rPr>
          <w:rFonts w:hint="eastAsia" w:ascii="宋体" w:hAnsi="宋体" w:eastAsia="宋体" w:cs="Times New Roman"/>
          <w:sz w:val="24"/>
          <w:szCs w:val="24"/>
        </w:rPr>
        <w:t>卷笔试方式。</w:t>
      </w:r>
    </w:p>
    <w:p w14:paraId="34B652E6">
      <w:pPr>
        <w:adjustRightInd w:val="0"/>
        <w:snapToGrid w:val="0"/>
        <w:spacing w:line="360" w:lineRule="auto"/>
        <w:rPr>
          <w:rFonts w:ascii="宋体" w:hAnsi="宋体" w:eastAsia="宋体" w:cs="Times New Roman"/>
          <w:sz w:val="24"/>
          <w:szCs w:val="24"/>
        </w:rPr>
      </w:pPr>
      <w:r>
        <w:rPr>
          <w:rFonts w:hint="eastAsia" w:ascii="宋体" w:hAnsi="宋体" w:eastAsia="宋体" w:cs="Times New Roman"/>
          <w:sz w:val="24"/>
          <w:szCs w:val="24"/>
        </w:rPr>
        <w:t>（二）课程成绩</w:t>
      </w:r>
      <w:r>
        <w:rPr>
          <w:rFonts w:ascii="宋体" w:hAnsi="宋体" w:eastAsia="宋体" w:cs="Times New Roman"/>
          <w:sz w:val="24"/>
          <w:szCs w:val="24"/>
        </w:rPr>
        <w:t>=</w:t>
      </w:r>
      <w:r>
        <w:rPr>
          <w:rFonts w:hint="eastAsia" w:ascii="宋体" w:hAnsi="宋体" w:eastAsia="宋体" w:cs="Times New Roman"/>
          <w:sz w:val="24"/>
          <w:szCs w:val="24"/>
        </w:rPr>
        <w:t>平时成绩×</w:t>
      </w:r>
      <w:r>
        <w:rPr>
          <w:rFonts w:ascii="宋体" w:hAnsi="宋体" w:eastAsia="宋体" w:cs="Times New Roman"/>
          <w:sz w:val="24"/>
          <w:szCs w:val="24"/>
        </w:rPr>
        <w:t>20%+</w:t>
      </w:r>
      <w:r>
        <w:rPr>
          <w:rFonts w:hint="eastAsia" w:ascii="宋体" w:hAnsi="宋体" w:eastAsia="宋体" w:cs="Times New Roman"/>
          <w:sz w:val="24"/>
          <w:szCs w:val="24"/>
          <w:lang w:val="en-US" w:eastAsia="zh-CN"/>
        </w:rPr>
        <w:t>作业</w:t>
      </w:r>
      <w:r>
        <w:rPr>
          <w:rFonts w:hint="eastAsia" w:ascii="宋体" w:hAnsi="宋体" w:eastAsia="宋体" w:cs="Times New Roman"/>
          <w:sz w:val="24"/>
          <w:szCs w:val="24"/>
        </w:rPr>
        <w:t>成绩×</w:t>
      </w:r>
      <w:r>
        <w:rPr>
          <w:rFonts w:ascii="宋体" w:hAnsi="宋体" w:eastAsia="宋体" w:cs="Times New Roman"/>
          <w:sz w:val="24"/>
          <w:szCs w:val="24"/>
        </w:rPr>
        <w:t>20%+</w:t>
      </w:r>
      <w:r>
        <w:rPr>
          <w:rFonts w:hint="eastAsia" w:ascii="宋体" w:hAnsi="宋体" w:eastAsia="宋体" w:cs="Times New Roman"/>
          <w:sz w:val="24"/>
          <w:szCs w:val="24"/>
        </w:rPr>
        <w:t>期末考试成绩×</w:t>
      </w:r>
      <w:r>
        <w:rPr>
          <w:rFonts w:ascii="宋体" w:hAnsi="宋体" w:eastAsia="宋体" w:cs="Times New Roman"/>
          <w:sz w:val="24"/>
          <w:szCs w:val="24"/>
        </w:rPr>
        <w:t>60%</w:t>
      </w:r>
      <w:r>
        <w:rPr>
          <w:rFonts w:hint="eastAsia" w:ascii="宋体" w:hAnsi="宋体" w:eastAsia="宋体" w:cs="Times New Roman"/>
          <w:sz w:val="24"/>
          <w:szCs w:val="24"/>
        </w:rPr>
        <w:t>。</w:t>
      </w:r>
    </w:p>
    <w:p w14:paraId="52998EBD">
      <w:pPr>
        <w:adjustRightInd w:val="0"/>
        <w:snapToGrid w:val="0"/>
        <w:spacing w:line="360" w:lineRule="auto"/>
        <w:rPr>
          <w:rFonts w:ascii="宋体" w:hAnsi="宋体" w:eastAsia="宋体" w:cs="Times New Roman"/>
          <w:sz w:val="24"/>
          <w:szCs w:val="24"/>
        </w:rPr>
      </w:pPr>
      <w:r>
        <w:rPr>
          <w:rFonts w:hint="eastAsia" w:ascii="宋体" w:hAnsi="宋体" w:eastAsia="宋体" w:cs="Times New Roman"/>
          <w:b/>
          <w:sz w:val="24"/>
          <w:szCs w:val="24"/>
        </w:rPr>
        <w:t>具体内容和比例如下表所示</w:t>
      </w:r>
      <w:r>
        <w:rPr>
          <w:rFonts w:hint="eastAsia" w:ascii="宋体" w:hAnsi="宋体" w:eastAsia="宋体" w:cs="Times New Roman"/>
          <w:sz w:val="24"/>
          <w:szCs w:val="24"/>
        </w:rPr>
        <w:t>：</w:t>
      </w:r>
    </w:p>
    <w:tbl>
      <w:tblPr>
        <w:tblStyle w:val="10"/>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2977"/>
        <w:gridCol w:w="1418"/>
        <w:gridCol w:w="1275"/>
        <w:gridCol w:w="1143"/>
      </w:tblGrid>
      <w:tr w14:paraId="6F96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10" w:type="dxa"/>
            <w:shd w:val="clear" w:color="auto" w:fill="FFFFFF"/>
            <w:tcMar>
              <w:left w:w="57" w:type="dxa"/>
              <w:right w:w="57" w:type="dxa"/>
            </w:tcMar>
            <w:vAlign w:val="center"/>
          </w:tcPr>
          <w:p w14:paraId="0B96032A">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成绩组成</w:t>
            </w:r>
          </w:p>
        </w:tc>
        <w:tc>
          <w:tcPr>
            <w:tcW w:w="1134" w:type="dxa"/>
            <w:shd w:val="clear" w:color="auto" w:fill="FFFFFF"/>
            <w:vAlign w:val="center"/>
          </w:tcPr>
          <w:p w14:paraId="2A5308B0">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考核</w:t>
            </w:r>
            <w:r>
              <w:rPr>
                <w:rFonts w:ascii="Times New Roman" w:hAnsi="Times New Roman" w:eastAsia="宋体" w:cs="Times New Roman"/>
                <w:b/>
                <w:szCs w:val="24"/>
              </w:rPr>
              <w:t>/</w:t>
            </w:r>
            <w:r>
              <w:rPr>
                <w:rFonts w:hint="eastAsia" w:ascii="Times New Roman" w:hAnsi="Times New Roman" w:eastAsia="宋体" w:cs="Times New Roman"/>
                <w:b/>
                <w:szCs w:val="24"/>
              </w:rPr>
              <w:t>评价环节</w:t>
            </w:r>
          </w:p>
        </w:tc>
        <w:tc>
          <w:tcPr>
            <w:tcW w:w="708" w:type="dxa"/>
            <w:shd w:val="clear" w:color="auto" w:fill="FFFFFF"/>
            <w:vAlign w:val="center"/>
          </w:tcPr>
          <w:p w14:paraId="2D8B7464">
            <w:pPr>
              <w:adjustRightInd w:val="0"/>
              <w:snapToGrid w:val="0"/>
              <w:spacing w:line="276" w:lineRule="auto"/>
              <w:jc w:val="center"/>
              <w:rPr>
                <w:rFonts w:ascii="Times New Roman" w:hAnsi="Times New Roman" w:eastAsia="Times New Roman" w:cs="Times New Roman"/>
                <w:b/>
                <w:szCs w:val="24"/>
              </w:rPr>
            </w:pPr>
            <w:r>
              <w:rPr>
                <w:rFonts w:hint="eastAsia" w:ascii="宋体" w:hAnsi="宋体" w:eastAsia="宋体" w:cs="宋体"/>
                <w:b/>
                <w:szCs w:val="24"/>
              </w:rPr>
              <w:t>权重</w:t>
            </w:r>
          </w:p>
        </w:tc>
        <w:tc>
          <w:tcPr>
            <w:tcW w:w="2977" w:type="dxa"/>
            <w:shd w:val="clear" w:color="auto" w:fill="FFFFFF"/>
            <w:vAlign w:val="center"/>
          </w:tcPr>
          <w:p w14:paraId="3EDDC652">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考核</w:t>
            </w:r>
            <w:r>
              <w:rPr>
                <w:rFonts w:ascii="Times New Roman" w:hAnsi="Times New Roman" w:eastAsia="宋体" w:cs="Times New Roman"/>
                <w:b/>
                <w:szCs w:val="24"/>
              </w:rPr>
              <w:t>/</w:t>
            </w:r>
            <w:r>
              <w:rPr>
                <w:rFonts w:hint="eastAsia" w:ascii="Times New Roman" w:hAnsi="Times New Roman" w:eastAsia="宋体" w:cs="Times New Roman"/>
                <w:b/>
                <w:szCs w:val="24"/>
              </w:rPr>
              <w:t>评价细则</w:t>
            </w:r>
          </w:p>
        </w:tc>
        <w:tc>
          <w:tcPr>
            <w:tcW w:w="1418" w:type="dxa"/>
            <w:shd w:val="clear" w:color="auto" w:fill="FFFFFF"/>
            <w:vAlign w:val="center"/>
          </w:tcPr>
          <w:p w14:paraId="517BD82F">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课程目标</w:t>
            </w:r>
          </w:p>
        </w:tc>
        <w:tc>
          <w:tcPr>
            <w:tcW w:w="1275" w:type="dxa"/>
            <w:shd w:val="clear" w:color="auto" w:fill="FFFFFF"/>
            <w:vAlign w:val="center"/>
          </w:tcPr>
          <w:p w14:paraId="09FC41E7">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考核内容</w:t>
            </w:r>
          </w:p>
        </w:tc>
        <w:tc>
          <w:tcPr>
            <w:tcW w:w="1143" w:type="dxa"/>
            <w:shd w:val="clear" w:color="auto" w:fill="FFFFFF"/>
            <w:vAlign w:val="center"/>
          </w:tcPr>
          <w:p w14:paraId="5AA2B07D">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对应的毕业要求指标点</w:t>
            </w:r>
          </w:p>
        </w:tc>
      </w:tr>
      <w:tr w14:paraId="4E52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710" w:type="dxa"/>
            <w:tcMar>
              <w:left w:w="57" w:type="dxa"/>
              <w:right w:w="57" w:type="dxa"/>
            </w:tcMar>
            <w:vAlign w:val="center"/>
          </w:tcPr>
          <w:p w14:paraId="124B62C3">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平时成绩</w:t>
            </w:r>
          </w:p>
        </w:tc>
        <w:tc>
          <w:tcPr>
            <w:tcW w:w="1134" w:type="dxa"/>
            <w:vAlign w:val="center"/>
          </w:tcPr>
          <w:p w14:paraId="47BEAEAC">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课堂考勤、表现及平时作业</w:t>
            </w:r>
          </w:p>
        </w:tc>
        <w:tc>
          <w:tcPr>
            <w:tcW w:w="708" w:type="dxa"/>
            <w:vAlign w:val="center"/>
          </w:tcPr>
          <w:p w14:paraId="047546AA">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40%</w:t>
            </w:r>
          </w:p>
        </w:tc>
        <w:tc>
          <w:tcPr>
            <w:tcW w:w="2977" w:type="dxa"/>
            <w:vAlign w:val="center"/>
          </w:tcPr>
          <w:p w14:paraId="07E33D89">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课堂考勤：病假和事假一次扣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p w14:paraId="7416958A">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p w14:paraId="7317C761">
            <w:pPr>
              <w:adjustRightInd w:val="0"/>
              <w:snapToGrid w:val="0"/>
              <w:spacing w:line="276" w:lineRule="auto"/>
              <w:rPr>
                <w:rFonts w:ascii="宋体" w:hAnsi="宋体" w:eastAsia="宋体" w:cs="Times New Roman"/>
                <w:szCs w:val="24"/>
              </w:rPr>
            </w:pPr>
            <w:r>
              <w:rPr>
                <w:rFonts w:hint="eastAsia" w:ascii="宋体" w:hAnsi="宋体" w:eastAsia="宋体" w:cs="Times New Roman"/>
                <w:szCs w:val="21"/>
              </w:rPr>
              <w:t>平时作业：</w:t>
            </w:r>
            <w:r>
              <w:rPr>
                <w:rFonts w:ascii="宋体" w:hAnsi="宋体" w:eastAsia="宋体" w:cs="Times New Roman"/>
                <w:szCs w:val="21"/>
              </w:rPr>
              <w:t>3</w:t>
            </w:r>
            <w:r>
              <w:rPr>
                <w:rFonts w:hint="eastAsia" w:ascii="宋体" w:hAnsi="宋体" w:eastAsia="宋体" w:cs="Times New Roman"/>
                <w:szCs w:val="21"/>
              </w:rPr>
              <w:t>次书面作业，主要考核学生运用教育史知识分析当今教育现象的能力。</w:t>
            </w:r>
          </w:p>
        </w:tc>
        <w:tc>
          <w:tcPr>
            <w:tcW w:w="1418" w:type="dxa"/>
            <w:vAlign w:val="center"/>
          </w:tcPr>
          <w:p w14:paraId="53E42CF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7E919CA5">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2F29E89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7DE7EFAB">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05B30BF6">
            <w:pPr>
              <w:adjustRightInd w:val="0"/>
              <w:snapToGrid w:val="0"/>
              <w:spacing w:line="276" w:lineRule="auto"/>
              <w:jc w:val="center"/>
              <w:rPr>
                <w:rFonts w:ascii="宋体" w:hAnsi="宋体" w:eastAsia="宋体" w:cs="Times New Roman"/>
                <w:szCs w:val="24"/>
              </w:rPr>
            </w:pPr>
          </w:p>
        </w:tc>
        <w:tc>
          <w:tcPr>
            <w:tcW w:w="1275" w:type="dxa"/>
            <w:vAlign w:val="center"/>
          </w:tcPr>
          <w:p w14:paraId="25CDDCCA">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每章节的基本知识和理论的掌握及运用</w:t>
            </w:r>
          </w:p>
        </w:tc>
        <w:tc>
          <w:tcPr>
            <w:tcW w:w="1143" w:type="dxa"/>
            <w:vAlign w:val="center"/>
          </w:tcPr>
          <w:p w14:paraId="11CB4440">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1-2</w:t>
            </w:r>
          </w:p>
          <w:p w14:paraId="2695C8B1">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2-2</w:t>
            </w:r>
          </w:p>
          <w:p w14:paraId="6835AF8D">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p>
          <w:p w14:paraId="2CFC312E">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3-1</w:t>
            </w:r>
          </w:p>
          <w:p w14:paraId="2B912723">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8-3</w:t>
            </w:r>
          </w:p>
        </w:tc>
      </w:tr>
      <w:tr w14:paraId="4240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jc w:val="center"/>
        </w:trPr>
        <w:tc>
          <w:tcPr>
            <w:tcW w:w="710" w:type="dxa"/>
            <w:tcMar>
              <w:left w:w="57" w:type="dxa"/>
              <w:right w:w="57" w:type="dxa"/>
            </w:tcMar>
            <w:vAlign w:val="center"/>
          </w:tcPr>
          <w:p w14:paraId="118B8EBF">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tc>
        <w:tc>
          <w:tcPr>
            <w:tcW w:w="1134" w:type="dxa"/>
            <w:vAlign w:val="center"/>
          </w:tcPr>
          <w:p w14:paraId="064C03AE">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p w14:paraId="01B84C85">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卷面成绩</w:t>
            </w:r>
          </w:p>
        </w:tc>
        <w:tc>
          <w:tcPr>
            <w:tcW w:w="708" w:type="dxa"/>
            <w:vAlign w:val="center"/>
          </w:tcPr>
          <w:p w14:paraId="186C932D">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60%</w:t>
            </w:r>
          </w:p>
        </w:tc>
        <w:tc>
          <w:tcPr>
            <w:tcW w:w="2977" w:type="dxa"/>
            <w:vAlign w:val="center"/>
          </w:tcPr>
          <w:p w14:paraId="1DFF3005">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试卷题型包括填空题、简答题、</w:t>
            </w:r>
            <w:r>
              <w:rPr>
                <w:rFonts w:hint="eastAsia" w:ascii="宋体" w:hAnsi="宋体" w:eastAsia="宋体" w:cs="Times New Roman"/>
                <w:color w:val="000000"/>
                <w:szCs w:val="21"/>
                <w:lang w:val="en-US" w:eastAsia="zh-CN"/>
              </w:rPr>
              <w:t>判断题、</w:t>
            </w:r>
            <w:r>
              <w:rPr>
                <w:rFonts w:hint="eastAsia" w:ascii="宋体" w:hAnsi="宋体" w:eastAsia="宋体" w:cs="Times New Roman"/>
                <w:color w:val="000000"/>
                <w:szCs w:val="21"/>
              </w:rPr>
              <w:t>论述题等，以卷面成绩的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计入课程总成绩。其中：考核基本概念知识型题目占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；考核知识理解型题目占</w:t>
            </w:r>
            <w:r>
              <w:rPr>
                <w:rFonts w:ascii="宋体" w:hAnsi="宋体" w:eastAsia="宋体" w:cs="Times New Roman"/>
                <w:color w:val="000000"/>
                <w:szCs w:val="21"/>
              </w:rPr>
              <w:t>30%</w:t>
            </w:r>
            <w:r>
              <w:rPr>
                <w:rFonts w:hint="eastAsia" w:ascii="宋体" w:hAnsi="宋体" w:eastAsia="宋体" w:cs="Times New Roman"/>
                <w:color w:val="000000"/>
                <w:szCs w:val="21"/>
              </w:rPr>
              <w:t>；考核综合分析能力题目占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1418" w:type="dxa"/>
            <w:vAlign w:val="center"/>
          </w:tcPr>
          <w:p w14:paraId="726FD2F2">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28E0AEB3">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658B1F66">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62668A34">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3A2FEFD9">
            <w:pPr>
              <w:adjustRightInd w:val="0"/>
              <w:snapToGrid w:val="0"/>
              <w:spacing w:line="276" w:lineRule="auto"/>
              <w:jc w:val="center"/>
              <w:rPr>
                <w:rFonts w:ascii="宋体" w:hAnsi="宋体" w:eastAsia="宋体" w:cs="Times New Roman"/>
                <w:b/>
                <w:szCs w:val="24"/>
              </w:rPr>
            </w:pPr>
          </w:p>
        </w:tc>
        <w:tc>
          <w:tcPr>
            <w:tcW w:w="1275" w:type="dxa"/>
            <w:vAlign w:val="center"/>
          </w:tcPr>
          <w:p w14:paraId="7A77A86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外国教育史上的主要教育事件、主要教育家的教育思想、教育事件的历史作用等</w:t>
            </w:r>
          </w:p>
        </w:tc>
        <w:tc>
          <w:tcPr>
            <w:tcW w:w="1143" w:type="dxa"/>
            <w:vAlign w:val="center"/>
          </w:tcPr>
          <w:p w14:paraId="43B2221E">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1-1</w:t>
            </w:r>
          </w:p>
          <w:p w14:paraId="11AE9DBE">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0A90B4F5">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5-3</w:t>
            </w:r>
          </w:p>
          <w:p w14:paraId="4ABEE290">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bl>
    <w:p w14:paraId="11E47B22">
      <w:pPr>
        <w:adjustRightInd w:val="0"/>
        <w:snapToGrid w:val="0"/>
        <w:spacing w:line="360" w:lineRule="auto"/>
        <w:rPr>
          <w:rFonts w:ascii="宋体" w:hAnsi="Calibri" w:eastAsia="宋体" w:cs="Times New Roman"/>
          <w:color w:val="000000"/>
          <w:szCs w:val="22"/>
        </w:rPr>
      </w:pPr>
    </w:p>
    <w:p w14:paraId="41FFC0B5">
      <w:pPr>
        <w:spacing w:line="360" w:lineRule="auto"/>
        <w:rPr>
          <w:rFonts w:ascii="宋体" w:hAnsi="宋体" w:eastAsia="宋体" w:cs="Times New Roman"/>
          <w:sz w:val="24"/>
          <w:szCs w:val="24"/>
        </w:rPr>
      </w:pPr>
      <w:r>
        <w:rPr>
          <w:rFonts w:hint="eastAsia" w:ascii="宋体" w:hAnsi="宋体" w:eastAsia="宋体" w:cs="Times New Roman"/>
          <w:sz w:val="24"/>
          <w:szCs w:val="24"/>
        </w:rPr>
        <w:t>（三）课程目标及考核方式权重分配表</w:t>
      </w:r>
    </w:p>
    <w:tbl>
      <w:tblPr>
        <w:tblStyle w:val="10"/>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352"/>
        <w:gridCol w:w="1911"/>
        <w:gridCol w:w="1432"/>
        <w:gridCol w:w="2075"/>
      </w:tblGrid>
      <w:tr w14:paraId="16CF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341" w:type="dxa"/>
            <w:gridSpan w:val="2"/>
            <w:vAlign w:val="center"/>
          </w:tcPr>
          <w:p w14:paraId="4F639FE7">
            <w:pPr>
              <w:adjustRightInd w:val="0"/>
              <w:snapToGrid w:val="0"/>
              <w:spacing w:line="276" w:lineRule="auto"/>
              <w:jc w:val="center"/>
              <w:rPr>
                <w:rFonts w:ascii="宋体" w:hAnsi="宋体" w:eastAsia="宋体" w:cs="Times New Roman"/>
                <w:b/>
                <w:kern w:val="0"/>
                <w:szCs w:val="21"/>
              </w:rPr>
            </w:pPr>
            <w:r>
              <w:rPr>
                <w:rFonts w:hint="eastAsia" w:ascii="宋体" w:hAnsi="宋体" w:eastAsia="宋体" w:cs="Times New Roman"/>
                <w:b/>
                <w:kern w:val="0"/>
                <w:szCs w:val="21"/>
              </w:rPr>
              <w:t>课程目标及权重</w:t>
            </w:r>
          </w:p>
        </w:tc>
        <w:tc>
          <w:tcPr>
            <w:tcW w:w="5418" w:type="dxa"/>
            <w:gridSpan w:val="3"/>
            <w:vAlign w:val="center"/>
          </w:tcPr>
          <w:p w14:paraId="21E090E9">
            <w:pPr>
              <w:adjustRightInd w:val="0"/>
              <w:snapToGrid w:val="0"/>
              <w:spacing w:line="276" w:lineRule="auto"/>
              <w:jc w:val="center"/>
              <w:rPr>
                <w:rFonts w:ascii="宋体" w:hAnsi="宋体" w:eastAsia="宋体" w:cs="Times New Roman"/>
                <w:b/>
                <w:kern w:val="0"/>
                <w:szCs w:val="21"/>
              </w:rPr>
            </w:pPr>
            <w:r>
              <w:rPr>
                <w:rFonts w:hint="eastAsia" w:ascii="宋体" w:hAnsi="宋体" w:eastAsia="宋体" w:cs="Times New Roman"/>
                <w:b/>
                <w:kern w:val="0"/>
                <w:szCs w:val="21"/>
              </w:rPr>
              <w:t>考核方式及权重</w:t>
            </w:r>
          </w:p>
        </w:tc>
      </w:tr>
      <w:tr w14:paraId="03DF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989" w:type="dxa"/>
            <w:vAlign w:val="center"/>
          </w:tcPr>
          <w:p w14:paraId="35886F1D">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352" w:type="dxa"/>
            <w:vAlign w:val="center"/>
          </w:tcPr>
          <w:p w14:paraId="2856E41D">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11" w:type="dxa"/>
            <w:vAlign w:val="center"/>
          </w:tcPr>
          <w:p w14:paraId="2B530AF1">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1432" w:type="dxa"/>
            <w:vAlign w:val="center"/>
          </w:tcPr>
          <w:p w14:paraId="70A90B6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074" w:type="dxa"/>
            <w:vAlign w:val="center"/>
          </w:tcPr>
          <w:p w14:paraId="7510FFA3">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考核方式权重合计</w:t>
            </w:r>
          </w:p>
        </w:tc>
      </w:tr>
      <w:tr w14:paraId="4AF5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1C3A2E2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52" w:type="dxa"/>
            <w:vMerge w:val="restart"/>
            <w:vAlign w:val="center"/>
          </w:tcPr>
          <w:p w14:paraId="543365A1">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15%</w:t>
            </w:r>
          </w:p>
        </w:tc>
        <w:tc>
          <w:tcPr>
            <w:tcW w:w="1911" w:type="dxa"/>
            <w:vAlign w:val="center"/>
          </w:tcPr>
          <w:p w14:paraId="6A835A86">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32" w:type="dxa"/>
            <w:vAlign w:val="center"/>
          </w:tcPr>
          <w:p w14:paraId="2EA7D2BE">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restart"/>
            <w:vAlign w:val="center"/>
          </w:tcPr>
          <w:p w14:paraId="30A2E8C9">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0599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continue"/>
            <w:vAlign w:val="center"/>
          </w:tcPr>
          <w:p w14:paraId="032FA373">
            <w:pPr>
              <w:adjustRightInd w:val="0"/>
              <w:snapToGrid w:val="0"/>
              <w:spacing w:line="276" w:lineRule="auto"/>
              <w:jc w:val="center"/>
              <w:rPr>
                <w:rFonts w:ascii="宋体" w:hAnsi="宋体" w:eastAsia="宋体" w:cs="Times New Roman"/>
                <w:kern w:val="0"/>
                <w:szCs w:val="21"/>
              </w:rPr>
            </w:pPr>
          </w:p>
        </w:tc>
        <w:tc>
          <w:tcPr>
            <w:tcW w:w="1352" w:type="dxa"/>
            <w:vMerge w:val="continue"/>
            <w:vAlign w:val="center"/>
          </w:tcPr>
          <w:p w14:paraId="4081AC79">
            <w:pPr>
              <w:adjustRightInd w:val="0"/>
              <w:snapToGrid w:val="0"/>
              <w:spacing w:line="276" w:lineRule="auto"/>
              <w:jc w:val="center"/>
              <w:rPr>
                <w:rFonts w:ascii="宋体" w:hAnsi="宋体" w:eastAsia="宋体" w:cs="Times New Roman"/>
                <w:kern w:val="0"/>
                <w:szCs w:val="21"/>
              </w:rPr>
            </w:pPr>
          </w:p>
        </w:tc>
        <w:tc>
          <w:tcPr>
            <w:tcW w:w="1911" w:type="dxa"/>
            <w:vAlign w:val="center"/>
          </w:tcPr>
          <w:p w14:paraId="4BF11231">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23F5B421">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continue"/>
            <w:vAlign w:val="center"/>
          </w:tcPr>
          <w:p w14:paraId="443C48BB">
            <w:pPr>
              <w:adjustRightInd w:val="0"/>
              <w:snapToGrid w:val="0"/>
              <w:spacing w:line="276" w:lineRule="auto"/>
              <w:jc w:val="center"/>
              <w:rPr>
                <w:rFonts w:ascii="宋体" w:hAnsi="宋体" w:eastAsia="宋体" w:cs="Times New Roman"/>
                <w:kern w:val="0"/>
                <w:szCs w:val="21"/>
              </w:rPr>
            </w:pPr>
          </w:p>
        </w:tc>
      </w:tr>
      <w:tr w14:paraId="0B70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989" w:type="dxa"/>
            <w:vAlign w:val="center"/>
          </w:tcPr>
          <w:p w14:paraId="2F94B08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52" w:type="dxa"/>
            <w:vAlign w:val="center"/>
          </w:tcPr>
          <w:p w14:paraId="6899B5B1">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15%</w:t>
            </w:r>
          </w:p>
        </w:tc>
        <w:tc>
          <w:tcPr>
            <w:tcW w:w="1911" w:type="dxa"/>
            <w:vAlign w:val="center"/>
          </w:tcPr>
          <w:p w14:paraId="3C3BDC93">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32" w:type="dxa"/>
            <w:vAlign w:val="center"/>
          </w:tcPr>
          <w:p w14:paraId="5819BC8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74" w:type="dxa"/>
            <w:vAlign w:val="center"/>
          </w:tcPr>
          <w:p w14:paraId="3FAE2F89">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03F2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989" w:type="dxa"/>
            <w:vAlign w:val="center"/>
          </w:tcPr>
          <w:p w14:paraId="17B58365">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52" w:type="dxa"/>
            <w:vAlign w:val="center"/>
          </w:tcPr>
          <w:p w14:paraId="2D6D9C06">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20%</w:t>
            </w:r>
          </w:p>
        </w:tc>
        <w:tc>
          <w:tcPr>
            <w:tcW w:w="1911" w:type="dxa"/>
            <w:vAlign w:val="center"/>
          </w:tcPr>
          <w:p w14:paraId="5D983AE6">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418497BD">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74" w:type="dxa"/>
            <w:vAlign w:val="center"/>
          </w:tcPr>
          <w:p w14:paraId="41BD727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2896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3BDC503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352" w:type="dxa"/>
            <w:vMerge w:val="restart"/>
            <w:vAlign w:val="center"/>
          </w:tcPr>
          <w:p w14:paraId="0F70D50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11" w:type="dxa"/>
            <w:vAlign w:val="center"/>
          </w:tcPr>
          <w:p w14:paraId="3B0FA024">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32" w:type="dxa"/>
            <w:vAlign w:val="center"/>
          </w:tcPr>
          <w:p w14:paraId="300E12B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restart"/>
            <w:vAlign w:val="center"/>
          </w:tcPr>
          <w:p w14:paraId="3304FB1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76F4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continue"/>
            <w:vAlign w:val="center"/>
          </w:tcPr>
          <w:p w14:paraId="206E9A63">
            <w:pPr>
              <w:adjustRightInd w:val="0"/>
              <w:snapToGrid w:val="0"/>
              <w:spacing w:line="276" w:lineRule="auto"/>
              <w:jc w:val="center"/>
              <w:rPr>
                <w:rFonts w:ascii="宋体" w:hAnsi="宋体" w:eastAsia="宋体" w:cs="Times New Roman"/>
                <w:kern w:val="0"/>
                <w:szCs w:val="21"/>
              </w:rPr>
            </w:pPr>
          </w:p>
        </w:tc>
        <w:tc>
          <w:tcPr>
            <w:tcW w:w="1352" w:type="dxa"/>
            <w:vMerge w:val="continue"/>
            <w:vAlign w:val="center"/>
          </w:tcPr>
          <w:p w14:paraId="33DD6FC0">
            <w:pPr>
              <w:adjustRightInd w:val="0"/>
              <w:snapToGrid w:val="0"/>
              <w:spacing w:line="276" w:lineRule="auto"/>
              <w:jc w:val="center"/>
              <w:rPr>
                <w:rFonts w:ascii="宋体" w:hAnsi="宋体" w:eastAsia="宋体" w:cs="Times New Roman"/>
                <w:kern w:val="0"/>
                <w:szCs w:val="21"/>
              </w:rPr>
            </w:pPr>
          </w:p>
        </w:tc>
        <w:tc>
          <w:tcPr>
            <w:tcW w:w="1911" w:type="dxa"/>
            <w:vAlign w:val="center"/>
          </w:tcPr>
          <w:p w14:paraId="17994F2B">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32" w:type="dxa"/>
            <w:vAlign w:val="center"/>
          </w:tcPr>
          <w:p w14:paraId="3272637E">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continue"/>
            <w:vAlign w:val="center"/>
          </w:tcPr>
          <w:p w14:paraId="19EFBE5B">
            <w:pPr>
              <w:adjustRightInd w:val="0"/>
              <w:snapToGrid w:val="0"/>
              <w:spacing w:line="276" w:lineRule="auto"/>
              <w:jc w:val="center"/>
              <w:rPr>
                <w:rFonts w:ascii="宋体" w:hAnsi="宋体" w:eastAsia="宋体" w:cs="Times New Roman"/>
                <w:kern w:val="0"/>
                <w:szCs w:val="21"/>
              </w:rPr>
            </w:pPr>
          </w:p>
        </w:tc>
      </w:tr>
      <w:tr w14:paraId="1284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5804E2F8">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352" w:type="dxa"/>
            <w:vMerge w:val="restart"/>
            <w:vAlign w:val="center"/>
          </w:tcPr>
          <w:p w14:paraId="5F91C508">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11" w:type="dxa"/>
            <w:vAlign w:val="center"/>
          </w:tcPr>
          <w:p w14:paraId="69EB0F1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32" w:type="dxa"/>
            <w:vAlign w:val="center"/>
          </w:tcPr>
          <w:p w14:paraId="72ED8DEC">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74" w:type="dxa"/>
            <w:vMerge w:val="restart"/>
            <w:vAlign w:val="center"/>
          </w:tcPr>
          <w:p w14:paraId="60A108A8">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6207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989" w:type="dxa"/>
            <w:vMerge w:val="continue"/>
            <w:vAlign w:val="center"/>
          </w:tcPr>
          <w:p w14:paraId="3C48EC2E">
            <w:pPr>
              <w:adjustRightInd w:val="0"/>
              <w:snapToGrid w:val="0"/>
              <w:spacing w:line="276" w:lineRule="auto"/>
              <w:jc w:val="center"/>
              <w:rPr>
                <w:rFonts w:ascii="宋体" w:hAnsi="宋体" w:eastAsia="宋体" w:cs="Times New Roman"/>
                <w:kern w:val="0"/>
                <w:szCs w:val="21"/>
              </w:rPr>
            </w:pPr>
          </w:p>
        </w:tc>
        <w:tc>
          <w:tcPr>
            <w:tcW w:w="1352" w:type="dxa"/>
            <w:vMerge w:val="continue"/>
            <w:vAlign w:val="center"/>
          </w:tcPr>
          <w:p w14:paraId="7DC3BB8E">
            <w:pPr>
              <w:adjustRightInd w:val="0"/>
              <w:snapToGrid w:val="0"/>
              <w:spacing w:line="276" w:lineRule="auto"/>
              <w:jc w:val="center"/>
              <w:rPr>
                <w:rFonts w:ascii="宋体" w:hAnsi="宋体" w:eastAsia="宋体" w:cs="Times New Roman"/>
                <w:kern w:val="0"/>
                <w:szCs w:val="21"/>
              </w:rPr>
            </w:pPr>
          </w:p>
        </w:tc>
        <w:tc>
          <w:tcPr>
            <w:tcW w:w="1911" w:type="dxa"/>
            <w:vAlign w:val="center"/>
          </w:tcPr>
          <w:p w14:paraId="499C1C25">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315DA54A">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74" w:type="dxa"/>
            <w:vMerge w:val="continue"/>
            <w:vAlign w:val="center"/>
          </w:tcPr>
          <w:p w14:paraId="2A4D9E8B">
            <w:pPr>
              <w:adjustRightInd w:val="0"/>
              <w:snapToGrid w:val="0"/>
              <w:spacing w:line="276" w:lineRule="auto"/>
              <w:jc w:val="center"/>
              <w:rPr>
                <w:rFonts w:ascii="宋体" w:hAnsi="宋体" w:eastAsia="宋体" w:cs="Times New Roman"/>
                <w:kern w:val="0"/>
                <w:szCs w:val="21"/>
              </w:rPr>
            </w:pPr>
          </w:p>
        </w:tc>
      </w:tr>
      <w:tr w14:paraId="4859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89" w:type="dxa"/>
            <w:vAlign w:val="center"/>
          </w:tcPr>
          <w:p w14:paraId="56C8BF6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352" w:type="dxa"/>
            <w:vAlign w:val="center"/>
          </w:tcPr>
          <w:p w14:paraId="7AB2D668">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c>
          <w:tcPr>
            <w:tcW w:w="5418" w:type="dxa"/>
            <w:gridSpan w:val="3"/>
            <w:vAlign w:val="center"/>
          </w:tcPr>
          <w:p w14:paraId="43A7DC2B">
            <w:pPr>
              <w:adjustRightInd w:val="0"/>
              <w:snapToGrid w:val="0"/>
              <w:spacing w:line="276" w:lineRule="auto"/>
              <w:jc w:val="center"/>
              <w:rPr>
                <w:rFonts w:ascii="宋体" w:hAnsi="宋体" w:eastAsia="宋体" w:cs="Times New Roman"/>
                <w:kern w:val="0"/>
                <w:szCs w:val="21"/>
              </w:rPr>
            </w:pPr>
          </w:p>
        </w:tc>
      </w:tr>
    </w:tbl>
    <w:p w14:paraId="0A774ED3">
      <w:pPr>
        <w:spacing w:line="360" w:lineRule="auto"/>
        <w:rPr>
          <w:rFonts w:ascii="Calibri" w:hAnsi="Calibri" w:eastAsia="宋体" w:cs="Times New Roman"/>
          <w:szCs w:val="22"/>
        </w:rPr>
      </w:pPr>
    </w:p>
    <w:p w14:paraId="229A4817">
      <w:pPr>
        <w:spacing w:line="360" w:lineRule="auto"/>
        <w:rPr>
          <w:rFonts w:ascii="宋体" w:hAnsi="宋体" w:eastAsia="宋体" w:cs="Times New Roman"/>
          <w:sz w:val="24"/>
          <w:szCs w:val="24"/>
        </w:rPr>
      </w:pPr>
      <w:r>
        <w:rPr>
          <w:rFonts w:hint="eastAsia" w:ascii="宋体" w:hAnsi="宋体" w:eastAsia="宋体" w:cs="Times New Roman"/>
          <w:sz w:val="24"/>
          <w:szCs w:val="24"/>
        </w:rPr>
        <w:t>（四）课程目标达成度计算方法</w:t>
      </w:r>
    </w:p>
    <w:p w14:paraId="601AC451">
      <w:pPr>
        <w:adjustRightInd w:val="0"/>
        <w:snapToGrid w:val="0"/>
        <w:spacing w:line="360" w:lineRule="auto"/>
        <w:rPr>
          <w:rFonts w:ascii="宋体" w:hAnsi="宋体" w:eastAsia="宋体" w:cs="Times New Roman"/>
          <w:sz w:val="24"/>
          <w:szCs w:val="24"/>
        </w:rPr>
      </w:pPr>
      <w:r>
        <w:rPr>
          <w:rFonts w:hint="eastAsia" w:ascii="宋体" w:hAnsi="宋体" w:eastAsia="宋体" w:cs="Times New Roman"/>
          <w:sz w:val="24"/>
          <w:szCs w:val="24"/>
        </w:rPr>
        <w:t>所有课程目标均需大于等于</w:t>
      </w:r>
      <w:r>
        <w:rPr>
          <w:rFonts w:ascii="宋体" w:hAnsi="宋体" w:eastAsia="宋体" w:cs="Times New Roman"/>
          <w:sz w:val="24"/>
          <w:szCs w:val="24"/>
        </w:rPr>
        <w:t>0.6</w:t>
      </w:r>
      <w:r>
        <w:rPr>
          <w:rFonts w:hint="eastAsia" w:ascii="宋体" w:hAnsi="宋体" w:eastAsia="宋体" w:cs="Times New Roman"/>
          <w:sz w:val="24"/>
          <w:szCs w:val="24"/>
        </w:rPr>
        <w:t>，否则总评成绩不及格，需要补考或重修。每门课程目标总体达成度计算方法如下：</w:t>
      </w:r>
    </w:p>
    <w:p w14:paraId="35A94583">
      <w:pPr>
        <w:adjustRightInd w:val="0"/>
        <w:snapToGrid w:val="0"/>
        <w:spacing w:line="360" w:lineRule="auto"/>
        <w:jc w:val="left"/>
        <w:rPr>
          <w:rFonts w:ascii="宋体" w:hAnsi="宋体" w:eastAsia="宋体" w:cs="Times New Roman"/>
          <w:sz w:val="24"/>
          <w:szCs w:val="24"/>
        </w:rPr>
      </w:pPr>
      <w:bookmarkStart w:id="641" w:name="_Hlk23969649"/>
      <w:r>
        <w:rPr>
          <w:rFonts w:ascii="宋体" w:hAnsi="宋体" w:eastAsia="宋体" w:cs="Times New Roman"/>
          <w:position w:val="-26"/>
          <w:sz w:val="24"/>
          <w:szCs w:val="24"/>
        </w:rPr>
        <w:object>
          <v:shape id="_x0000_i1042" o:spt="75" type="#_x0000_t75" style="height:26.5pt;width:376pt;" o:ole="t" filled="f" o:preferrelative="t" stroked="f" coordsize="21600,21600">
            <v:path/>
            <v:fill on="f" focussize="0,0"/>
            <v:stroke on="f" joinstyle="miter"/>
            <v:imagedata r:id="rId5" o:title=""/>
            <o:lock v:ext="edit" aspectratio="t"/>
            <w10:wrap type="none"/>
            <w10:anchorlock/>
          </v:shape>
          <o:OLEObject Type="Embed" ProgID="Equation.KSEE3" ShapeID="_x0000_i1042" DrawAspect="Content" ObjectID="_1468075742" r:id="rId25">
            <o:LockedField>false</o:LockedField>
          </o:OLEObject>
        </w:object>
      </w:r>
      <w:bookmarkEnd w:id="641"/>
    </w:p>
    <w:p w14:paraId="3ABE4ED1">
      <w:pPr>
        <w:adjustRightInd w:val="0"/>
        <w:snapToGrid w:val="0"/>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六、有关说明</w:t>
      </w:r>
    </w:p>
    <w:p w14:paraId="3F3DC5B8">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（一）持续改进</w:t>
      </w:r>
    </w:p>
    <w:p w14:paraId="3509DC49">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本课程根据学生作业、课堂讨论、教学环节、平时考核情况和学生、教学督导等的反馈，及时对教学中的不足之处进行改进，并在下一轮课程教学中整改完善，确保相应毕业要求指标点达成。</w:t>
      </w:r>
    </w:p>
    <w:p w14:paraId="646CA7A3">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（二）参考书目及学习资料</w:t>
      </w:r>
    </w:p>
    <w:p w14:paraId="4CA1B68F">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课程</w:t>
      </w:r>
      <w:r>
        <w:rPr>
          <w:rFonts w:hint="eastAsia" w:ascii="宋体" w:hAnsi="宋体" w:eastAsia="宋体" w:cs="Times New Roman"/>
          <w:color w:val="000000"/>
          <w:sz w:val="24"/>
          <w:szCs w:val="24"/>
        </w:rPr>
        <w:t>教材</w:t>
      </w:r>
    </w:p>
    <w:p w14:paraId="7205F1F8">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张斌贤等</w:t>
      </w:r>
      <w:r>
        <w:rPr>
          <w:rFonts w:ascii="宋体" w:hAnsi="宋体" w:eastAsia="宋体" w:cs="Times New Roman"/>
          <w:color w:val="000000"/>
          <w:sz w:val="24"/>
          <w:szCs w:val="24"/>
        </w:rPr>
        <w:t>.</w:t>
      </w:r>
      <w:r>
        <w:rPr>
          <w:rFonts w:hint="eastAsia" w:ascii="宋体" w:hAnsi="宋体" w:eastAsia="宋体" w:cs="Times New Roman"/>
          <w:color w:val="000000"/>
          <w:sz w:val="24"/>
          <w:szCs w:val="24"/>
        </w:rPr>
        <w:t>西方教育思想史</w:t>
      </w:r>
      <w:r>
        <w:rPr>
          <w:rFonts w:ascii="宋体" w:hAnsi="宋体" w:eastAsia="宋体" w:cs="Times New Roman"/>
          <w:color w:val="000000"/>
          <w:sz w:val="24"/>
          <w:szCs w:val="24"/>
        </w:rPr>
        <w:t>[M].</w:t>
      </w:r>
      <w:r>
        <w:rPr>
          <w:rFonts w:hint="eastAsia" w:ascii="宋体" w:hAnsi="宋体" w:eastAsia="宋体" w:cs="Times New Roman"/>
          <w:color w:val="000000"/>
          <w:sz w:val="24"/>
          <w:szCs w:val="24"/>
        </w:rPr>
        <w:t>北京：人民教育出版社，</w:t>
      </w:r>
      <w:r>
        <w:rPr>
          <w:rFonts w:ascii="宋体" w:hAnsi="宋体" w:eastAsia="宋体" w:cs="Times New Roman"/>
          <w:color w:val="000000"/>
          <w:sz w:val="24"/>
          <w:szCs w:val="24"/>
        </w:rPr>
        <w:t>20</w:t>
      </w:r>
      <w:r>
        <w:rPr>
          <w:rFonts w:hint="eastAsia" w:ascii="宋体" w:hAnsi="宋体" w:eastAsia="宋体" w:cs="Times New Roman"/>
          <w:color w:val="000000"/>
          <w:sz w:val="24"/>
          <w:szCs w:val="24"/>
          <w:lang w:val="en-US" w:eastAsia="zh-CN"/>
        </w:rPr>
        <w:t>23</w:t>
      </w:r>
      <w:r>
        <w:rPr>
          <w:rFonts w:ascii="宋体" w:hAnsi="宋体" w:eastAsia="宋体" w:cs="Times New Roman"/>
          <w:color w:val="000000"/>
          <w:sz w:val="24"/>
          <w:szCs w:val="24"/>
        </w:rPr>
        <w:t>.</w:t>
      </w:r>
    </w:p>
    <w:p w14:paraId="18FD1B3C">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其他</w:t>
      </w:r>
      <w:r>
        <w:rPr>
          <w:rFonts w:hint="eastAsia" w:ascii="宋体" w:hAnsi="宋体" w:eastAsia="宋体" w:cs="Times New Roman"/>
          <w:color w:val="000000"/>
          <w:sz w:val="24"/>
          <w:szCs w:val="24"/>
        </w:rPr>
        <w:t>教学参考书</w:t>
      </w:r>
    </w:p>
    <w:p w14:paraId="1B8FCF5B">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滕大春</w:t>
      </w:r>
      <w:r>
        <w:rPr>
          <w:rFonts w:ascii="宋体" w:hAnsi="宋体" w:eastAsia="宋体" w:cs="Times New Roman"/>
          <w:color w:val="000000"/>
          <w:sz w:val="24"/>
          <w:szCs w:val="24"/>
        </w:rPr>
        <w:t>.</w:t>
      </w:r>
      <w:r>
        <w:rPr>
          <w:rFonts w:hint="eastAsia" w:ascii="宋体" w:hAnsi="宋体" w:eastAsia="宋体" w:cs="Times New Roman"/>
          <w:color w:val="000000"/>
          <w:sz w:val="24"/>
          <w:szCs w:val="24"/>
        </w:rPr>
        <w:t>外国教育通史</w:t>
      </w:r>
      <w:r>
        <w:rPr>
          <w:rFonts w:ascii="宋体" w:hAnsi="宋体" w:eastAsia="宋体" w:cs="Times New Roman"/>
          <w:color w:val="000000"/>
          <w:sz w:val="24"/>
          <w:szCs w:val="24"/>
        </w:rPr>
        <w:t>[M].</w:t>
      </w:r>
      <w:r>
        <w:rPr>
          <w:rFonts w:hint="eastAsia" w:ascii="宋体" w:hAnsi="宋体" w:eastAsia="宋体" w:cs="Times New Roman"/>
          <w:color w:val="000000"/>
          <w:sz w:val="24"/>
          <w:szCs w:val="24"/>
        </w:rPr>
        <w:t>济南：山东教育出版社，</w:t>
      </w:r>
      <w:r>
        <w:rPr>
          <w:rFonts w:ascii="宋体" w:hAnsi="宋体" w:eastAsia="宋体" w:cs="Times New Roman"/>
          <w:color w:val="000000"/>
          <w:sz w:val="24"/>
          <w:szCs w:val="24"/>
        </w:rPr>
        <w:t>1992-1994.</w:t>
      </w:r>
    </w:p>
    <w:p w14:paraId="672C9D8A">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吴式颖</w:t>
      </w:r>
      <w:r>
        <w:rPr>
          <w:rFonts w:ascii="宋体" w:hAnsi="宋体" w:eastAsia="宋体" w:cs="Times New Roman"/>
          <w:color w:val="000000"/>
          <w:sz w:val="24"/>
          <w:szCs w:val="24"/>
        </w:rPr>
        <w:t>.</w:t>
      </w:r>
      <w:r>
        <w:rPr>
          <w:rFonts w:hint="eastAsia" w:ascii="宋体" w:hAnsi="宋体" w:eastAsia="宋体" w:cs="Times New Roman"/>
          <w:color w:val="000000"/>
          <w:sz w:val="24"/>
          <w:szCs w:val="24"/>
        </w:rPr>
        <w:t>外国现代教育史</w:t>
      </w:r>
      <w:r>
        <w:rPr>
          <w:rFonts w:ascii="宋体" w:hAnsi="宋体" w:eastAsia="宋体" w:cs="Times New Roman"/>
          <w:color w:val="000000"/>
          <w:sz w:val="24"/>
          <w:szCs w:val="24"/>
        </w:rPr>
        <w:t>[M].</w:t>
      </w:r>
      <w:r>
        <w:rPr>
          <w:rFonts w:hint="eastAsia" w:ascii="宋体" w:hAnsi="宋体" w:eastAsia="宋体" w:cs="Times New Roman"/>
          <w:color w:val="000000"/>
          <w:sz w:val="24"/>
          <w:szCs w:val="24"/>
        </w:rPr>
        <w:t>北京：人民教育出版社，</w:t>
      </w:r>
      <w:r>
        <w:rPr>
          <w:rFonts w:ascii="宋体" w:hAnsi="宋体" w:eastAsia="宋体" w:cs="Times New Roman"/>
          <w:color w:val="000000"/>
          <w:sz w:val="24"/>
          <w:szCs w:val="24"/>
        </w:rPr>
        <w:t>1997.</w:t>
      </w:r>
    </w:p>
    <w:p w14:paraId="2692E743">
      <w:pPr>
        <w:autoSpaceDE w:val="0"/>
        <w:autoSpaceDN w:val="0"/>
        <w:adjustRightInd w:val="0"/>
        <w:snapToGrid w:val="0"/>
        <w:spacing w:line="360" w:lineRule="auto"/>
        <w:ind w:right="1440"/>
        <w:jc w:val="right"/>
        <w:rPr>
          <w:rFonts w:ascii="宋体" w:hAnsi="宋体" w:eastAsia="宋体" w:cs="Times New Roman"/>
          <w:kern w:val="0"/>
          <w:sz w:val="24"/>
          <w:szCs w:val="24"/>
        </w:rPr>
      </w:pPr>
    </w:p>
    <w:p w14:paraId="39497004">
      <w:pPr>
        <w:autoSpaceDE w:val="0"/>
        <w:autoSpaceDN w:val="0"/>
        <w:adjustRightInd w:val="0"/>
        <w:snapToGrid w:val="0"/>
        <w:spacing w:line="360" w:lineRule="auto"/>
        <w:ind w:right="1440"/>
        <w:jc w:val="right"/>
        <w:rPr>
          <w:rFonts w:ascii="宋体" w:hAnsi="宋体" w:eastAsia="宋体" w:cs="Times New Roman"/>
          <w:kern w:val="0"/>
          <w:sz w:val="24"/>
          <w:szCs w:val="24"/>
        </w:rPr>
      </w:pPr>
    </w:p>
    <w:p w14:paraId="00C7B1CA">
      <w:pPr>
        <w:autoSpaceDE w:val="0"/>
        <w:autoSpaceDN w:val="0"/>
        <w:adjustRightInd w:val="0"/>
        <w:snapToGrid w:val="0"/>
        <w:spacing w:line="360" w:lineRule="auto"/>
        <w:ind w:right="1440"/>
        <w:jc w:val="right"/>
        <w:rPr>
          <w:rFonts w:ascii="宋体" w:hAnsi="宋体" w:eastAsia="宋体" w:cs="Times New Roman"/>
          <w:kern w:val="0"/>
          <w:sz w:val="24"/>
          <w:szCs w:val="24"/>
        </w:rPr>
      </w:pPr>
      <w:r>
        <w:rPr>
          <w:rFonts w:hint="eastAsia" w:ascii="宋体" w:hAnsi="宋体" w:eastAsia="宋体" w:cs="Times New Roman"/>
          <w:kern w:val="0"/>
          <w:sz w:val="24"/>
          <w:szCs w:val="24"/>
        </w:rPr>
        <w:t>执笔人：赵振杰</w:t>
      </w:r>
    </w:p>
    <w:p w14:paraId="61A03D07">
      <w:pPr>
        <w:autoSpaceDE w:val="0"/>
        <w:autoSpaceDN w:val="0"/>
        <w:adjustRightInd w:val="0"/>
        <w:snapToGrid w:val="0"/>
        <w:spacing w:line="360" w:lineRule="auto"/>
        <w:ind w:right="1440"/>
        <w:jc w:val="right"/>
        <w:rPr>
          <w:rFonts w:ascii="宋体" w:hAnsi="宋体" w:eastAsia="宋体" w:cs="Times New Roman"/>
          <w:kern w:val="0"/>
          <w:sz w:val="24"/>
          <w:szCs w:val="24"/>
        </w:rPr>
      </w:pPr>
      <w:r>
        <w:rPr>
          <w:rFonts w:hint="eastAsia" w:ascii="宋体" w:hAnsi="宋体" w:eastAsia="宋体" w:cs="Times New Roman"/>
          <w:kern w:val="0"/>
          <w:sz w:val="24"/>
          <w:szCs w:val="24"/>
        </w:rPr>
        <w:t>审定人：王  健</w:t>
      </w:r>
    </w:p>
    <w:p w14:paraId="7C804C2F">
      <w:pPr>
        <w:autoSpaceDE w:val="0"/>
        <w:autoSpaceDN w:val="0"/>
        <w:adjustRightInd w:val="0"/>
        <w:snapToGrid w:val="0"/>
        <w:spacing w:line="360" w:lineRule="auto"/>
        <w:ind w:right="1440"/>
        <w:jc w:val="right"/>
        <w:rPr>
          <w:rFonts w:ascii="宋体" w:hAnsi="宋体" w:eastAsia="宋体" w:cs="Times New Roman"/>
          <w:kern w:val="0"/>
          <w:sz w:val="24"/>
          <w:szCs w:val="24"/>
        </w:rPr>
      </w:pPr>
      <w:r>
        <w:rPr>
          <w:rFonts w:hint="eastAsia" w:ascii="宋体" w:hAnsi="宋体" w:eastAsia="宋体" w:cs="Times New Roman"/>
          <w:kern w:val="0"/>
          <w:sz w:val="24"/>
          <w:szCs w:val="24"/>
        </w:rPr>
        <w:t>审批人：张志欣</w:t>
      </w:r>
    </w:p>
    <w:p w14:paraId="137CD22B">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4"/>
        </w:rPr>
        <w:t xml:space="preserve">                                        批准时间：</w:t>
      </w:r>
      <w:r>
        <w:rPr>
          <w:rFonts w:ascii="宋体" w:hAnsi="宋体" w:eastAsia="宋体" w:cs="Times New Roman"/>
          <w:kern w:val="0"/>
          <w:sz w:val="24"/>
          <w:szCs w:val="24"/>
        </w:rPr>
        <w:t>202</w:t>
      </w:r>
      <w:r>
        <w:rPr>
          <w:rFonts w:hint="eastAsia" w:ascii="宋体" w:hAnsi="宋体" w:eastAsia="宋体" w:cs="Times New Roman"/>
          <w:kern w:val="0"/>
          <w:sz w:val="24"/>
          <w:szCs w:val="24"/>
          <w:lang w:val="en-US" w:eastAsia="zh-CN"/>
        </w:rPr>
        <w:t>4</w:t>
      </w:r>
      <w:r>
        <w:rPr>
          <w:rFonts w:hint="eastAsia" w:ascii="宋体" w:hAnsi="宋体" w:eastAsia="宋体" w:cs="Times New Roman"/>
          <w:kern w:val="0"/>
          <w:sz w:val="24"/>
          <w:szCs w:val="24"/>
        </w:rPr>
        <w:t>年8月2</w:t>
      </w:r>
      <w:r>
        <w:rPr>
          <w:rFonts w:ascii="宋体" w:hAnsi="宋体" w:eastAsia="宋体" w:cs="Times New Roman"/>
          <w:kern w:val="0"/>
          <w:sz w:val="24"/>
          <w:szCs w:val="24"/>
        </w:rPr>
        <w:t>0</w:t>
      </w:r>
      <w:r>
        <w:rPr>
          <w:rFonts w:hint="eastAsia" w:ascii="宋体" w:hAnsi="宋体" w:eastAsia="宋体" w:cs="Times New Roman"/>
          <w:kern w:val="0"/>
          <w:sz w:val="24"/>
          <w:szCs w:val="24"/>
        </w:rPr>
        <w:t>日</w:t>
      </w:r>
    </w:p>
    <w:p w14:paraId="01DAB9CA">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br w:type="page"/>
      </w:r>
    </w:p>
    <w:p w14:paraId="1ECA05D2">
      <w:pPr>
        <w:pStyle w:val="2"/>
        <w:bidi w:val="0"/>
      </w:pPr>
      <w:bookmarkStart w:id="642" w:name="_Toc23130"/>
      <w:bookmarkStart w:id="643" w:name="_Toc166164850"/>
      <w:bookmarkStart w:id="644" w:name="_Toc12889"/>
      <w:bookmarkStart w:id="645" w:name="_Toc369"/>
      <w:bookmarkStart w:id="646" w:name="_Toc20220"/>
      <w:bookmarkStart w:id="647" w:name="_Toc57017174"/>
      <w:r>
        <w:rPr>
          <w:rFonts w:hint="eastAsia"/>
          <w:lang w:eastAsia="zh-CN"/>
        </w:rPr>
        <w:t>《</w:t>
      </w:r>
      <w:r>
        <w:rPr>
          <w:rFonts w:hint="eastAsia"/>
        </w:rPr>
        <w:t>小学教育政策与法规</w:t>
      </w:r>
      <w:r>
        <w:rPr>
          <w:rFonts w:hint="eastAsia"/>
          <w:lang w:eastAsia="zh-CN"/>
        </w:rPr>
        <w:t>》</w:t>
      </w:r>
      <w:r>
        <w:rPr>
          <w:rFonts w:hint="eastAsia"/>
        </w:rPr>
        <w:t>课程与教学大纲</w:t>
      </w:r>
      <w:bookmarkEnd w:id="642"/>
      <w:bookmarkEnd w:id="643"/>
      <w:bookmarkEnd w:id="644"/>
      <w:bookmarkEnd w:id="645"/>
      <w:bookmarkEnd w:id="646"/>
      <w:bookmarkEnd w:id="647"/>
    </w:p>
    <w:p w14:paraId="3ECF802F">
      <w:pPr>
        <w:pStyle w:val="2"/>
        <w:bidi w:val="0"/>
      </w:pPr>
      <w:bookmarkStart w:id="648" w:name="_Toc10677"/>
      <w:bookmarkStart w:id="649" w:name="_Toc14310"/>
      <w:bookmarkStart w:id="650" w:name="_Toc6215"/>
      <w:bookmarkStart w:id="651" w:name="_Toc13253"/>
      <w:bookmarkStart w:id="652" w:name="_Toc32181"/>
      <w:bookmarkStart w:id="653" w:name="_Toc6412"/>
      <w:bookmarkStart w:id="654" w:name="_Toc19952"/>
      <w:r>
        <w:rPr>
          <w:rFonts w:hint="eastAsia"/>
        </w:rPr>
        <w:t>（</w:t>
      </w:r>
      <w:r>
        <w:t>Primary Education Policies and Regulations</w:t>
      </w:r>
      <w:r>
        <w:rPr>
          <w:rFonts w:hint="eastAsia"/>
        </w:rPr>
        <w:t>）</w:t>
      </w:r>
      <w:bookmarkEnd w:id="648"/>
      <w:bookmarkEnd w:id="649"/>
      <w:bookmarkEnd w:id="650"/>
      <w:bookmarkEnd w:id="651"/>
      <w:bookmarkEnd w:id="652"/>
      <w:bookmarkEnd w:id="653"/>
      <w:bookmarkEnd w:id="654"/>
    </w:p>
    <w:p w14:paraId="1E9C76B0">
      <w:pPr>
        <w:spacing w:line="360" w:lineRule="auto"/>
        <w:ind w:firstLine="562" w:firstLineChars="200"/>
        <w:rPr>
          <w:rFonts w:ascii="宋体" w:hAnsi="等线" w:eastAsia="宋体" w:cs="Times New Roman"/>
          <w:b/>
          <w:color w:val="000000"/>
          <w:sz w:val="28"/>
          <w:szCs w:val="28"/>
        </w:rPr>
      </w:pPr>
      <w:bookmarkStart w:id="655" w:name="_Toc27846241"/>
      <w:bookmarkStart w:id="656" w:name="_Toc27847259"/>
      <w:r>
        <w:rPr>
          <w:rFonts w:hint="eastAsia" w:ascii="宋体" w:hAnsi="宋体" w:eastAsia="宋体" w:cs="Times New Roman"/>
          <w:b/>
          <w:color w:val="000000"/>
          <w:sz w:val="28"/>
          <w:szCs w:val="28"/>
        </w:rPr>
        <w:t>一、课程概况</w:t>
      </w:r>
      <w:bookmarkEnd w:id="655"/>
      <w:bookmarkEnd w:id="656"/>
    </w:p>
    <w:p w14:paraId="557D694B">
      <w:pPr>
        <w:spacing w:line="360" w:lineRule="auto"/>
        <w:ind w:firstLine="482" w:firstLineChars="200"/>
        <w:rPr>
          <w:rFonts w:ascii="宋体" w:hAnsi="等线" w:eastAsia="宋体" w:cs="Times New Roman"/>
          <w:color w:val="000000"/>
          <w:kern w:val="0"/>
          <w:sz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rPr>
        <w:t>2401008</w:t>
      </w:r>
    </w:p>
    <w:p w14:paraId="7FCDE6C0">
      <w:pPr>
        <w:spacing w:line="360" w:lineRule="auto"/>
        <w:ind w:firstLine="482" w:firstLineChars="200"/>
        <w:rPr>
          <w:rFonts w:ascii="宋体" w:hAnsi="等线" w:eastAsia="宋体" w:cs="Times New Roman"/>
          <w:b/>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rPr>
        <w:t>1</w:t>
      </w:r>
    </w:p>
    <w:p w14:paraId="7E4EA936">
      <w:pPr>
        <w:spacing w:line="360" w:lineRule="auto"/>
        <w:ind w:firstLine="482" w:firstLineChars="200"/>
        <w:rPr>
          <w:rFonts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szCs w:val="24"/>
        </w:rPr>
        <w:t>16</w:t>
      </w:r>
    </w:p>
    <w:p w14:paraId="5D5C4032">
      <w:pPr>
        <w:spacing w:line="360" w:lineRule="auto"/>
        <w:ind w:firstLine="482" w:firstLineChars="200"/>
        <w:jc w:val="left"/>
        <w:rPr>
          <w:rFonts w:ascii="宋体" w:hAnsi="等线" w:eastAsia="宋体" w:cs="Times New Roman"/>
          <w:color w:val="000000"/>
          <w:sz w:val="24"/>
        </w:rPr>
      </w:pPr>
      <w:r>
        <w:rPr>
          <w:rFonts w:hint="eastAsia" w:ascii="宋体" w:hAnsi="宋体" w:eastAsia="宋体" w:cs="Times New Roman"/>
          <w:b/>
          <w:bCs/>
          <w:color w:val="000000"/>
          <w:kern w:val="0"/>
          <w:sz w:val="24"/>
          <w:szCs w:val="24"/>
        </w:rPr>
        <w:t>先修课程</w:t>
      </w:r>
      <w:r>
        <w:rPr>
          <w:rFonts w:hint="eastAsia" w:ascii="宋体" w:hAnsi="宋体" w:eastAsia="宋体" w:cs="Times New Roman"/>
          <w:b/>
          <w:color w:val="000000"/>
          <w:kern w:val="0"/>
          <w:sz w:val="24"/>
          <w:szCs w:val="24"/>
        </w:rPr>
        <w:t>：</w:t>
      </w:r>
      <w:r>
        <w:rPr>
          <w:rFonts w:hint="eastAsia" w:ascii="宋体" w:hAnsi="宋体" w:eastAsia="宋体" w:cs="Times New Roman"/>
          <w:color w:val="000000"/>
          <w:sz w:val="24"/>
        </w:rPr>
        <w:t>教育原理、中外教育史、教师职业道德</w:t>
      </w:r>
    </w:p>
    <w:p w14:paraId="51758FEE">
      <w:pPr>
        <w:spacing w:line="360" w:lineRule="auto"/>
        <w:ind w:firstLine="482" w:firstLineChars="200"/>
        <w:rPr>
          <w:rFonts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b/>
          <w:color w:val="000000"/>
          <w:kern w:val="0"/>
          <w:sz w:val="24"/>
          <w:szCs w:val="24"/>
        </w:rPr>
        <w:t>：</w:t>
      </w:r>
      <w:r>
        <w:rPr>
          <w:rFonts w:hint="eastAsia" w:ascii="宋体" w:hAnsi="宋体" w:eastAsia="宋体" w:cs="Times New Roman"/>
          <w:color w:val="000000"/>
          <w:kern w:val="0"/>
          <w:sz w:val="24"/>
          <w:szCs w:val="24"/>
        </w:rPr>
        <w:t>小学教育（文）、小学教育（理）</w:t>
      </w:r>
    </w:p>
    <w:p w14:paraId="1E3C73D0">
      <w:pPr>
        <w:spacing w:line="360" w:lineRule="auto"/>
        <w:ind w:firstLine="482" w:firstLineChars="200"/>
        <w:rPr>
          <w:rFonts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
          <w:color w:val="000000"/>
          <w:kern w:val="0"/>
          <w:sz w:val="24"/>
          <w:szCs w:val="24"/>
        </w:rPr>
        <w:t>：</w:t>
      </w:r>
      <w:r>
        <w:rPr>
          <w:rFonts w:hint="eastAsia" w:ascii="宋体" w:hAnsi="宋体" w:eastAsia="宋体" w:cs="Times New Roman"/>
          <w:color w:val="000000"/>
          <w:kern w:val="0"/>
          <w:sz w:val="24"/>
          <w:szCs w:val="24"/>
        </w:rPr>
        <w:t>《小学教育政策与法规</w:t>
      </w:r>
      <w:r>
        <w:rPr>
          <w:rFonts w:hint="eastAsia" w:ascii="宋体" w:hAnsi="宋体" w:eastAsia="宋体" w:cs="Times New Roman"/>
          <w:color w:val="000000"/>
          <w:sz w:val="24"/>
        </w:rPr>
        <w:t>》，石正义，北京师范大学出版社，</w:t>
      </w:r>
      <w:r>
        <w:rPr>
          <w:rFonts w:ascii="宋体" w:hAnsi="宋体" w:eastAsia="宋体" w:cs="Times New Roman"/>
          <w:color w:val="000000"/>
          <w:kern w:val="0"/>
          <w:sz w:val="24"/>
          <w:szCs w:val="24"/>
        </w:rPr>
        <w:t>20</w:t>
      </w:r>
      <w:r>
        <w:rPr>
          <w:rFonts w:hint="eastAsia" w:ascii="宋体" w:hAnsi="宋体" w:eastAsia="宋体" w:cs="Times New Roman"/>
          <w:color w:val="000000"/>
          <w:kern w:val="0"/>
          <w:sz w:val="24"/>
          <w:szCs w:val="24"/>
          <w:lang w:val="en-US" w:eastAsia="zh-CN"/>
        </w:rPr>
        <w:t>23</w:t>
      </w:r>
      <w:r>
        <w:rPr>
          <w:rFonts w:ascii="宋体" w:hAnsi="等线" w:eastAsia="宋体" w:cs="Times New Roman"/>
          <w:color w:val="000000"/>
          <w:kern w:val="0"/>
          <w:sz w:val="24"/>
          <w:szCs w:val="24"/>
        </w:rPr>
        <w:t>.</w:t>
      </w:r>
    </w:p>
    <w:p w14:paraId="2F7E16CC">
      <w:pPr>
        <w:spacing w:line="360" w:lineRule="auto"/>
        <w:ind w:firstLine="482" w:firstLineChars="200"/>
        <w:rPr>
          <w:rFonts w:ascii="宋体" w:hAnsi="等线" w:eastAsia="宋体" w:cs="Times New Roman"/>
          <w:color w:val="000000"/>
          <w:sz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color w:val="000000"/>
          <w:sz w:val="24"/>
        </w:rPr>
        <w:t>师范学院</w:t>
      </w:r>
    </w:p>
    <w:p w14:paraId="59283269">
      <w:pPr>
        <w:adjustRightInd w:val="0"/>
        <w:snapToGrid w:val="0"/>
        <w:spacing w:line="360" w:lineRule="auto"/>
        <w:ind w:firstLine="482" w:firstLineChars="200"/>
        <w:rPr>
          <w:rFonts w:ascii="宋体" w:hAnsi="等线" w:eastAsia="宋体" w:cs="Times New Roman"/>
          <w:color w:val="000000"/>
          <w:sz w:val="24"/>
        </w:rPr>
      </w:pPr>
      <w:r>
        <w:rPr>
          <w:rFonts w:hint="eastAsia" w:ascii="宋体" w:hAnsi="宋体" w:eastAsia="宋体" w:cs="Times New Roman"/>
          <w:b/>
          <w:color w:val="000000"/>
          <w:sz w:val="24"/>
        </w:rPr>
        <w:t>课程的性质与任务</w:t>
      </w:r>
      <w:r>
        <w:rPr>
          <w:rFonts w:hint="eastAsia" w:ascii="宋体" w:hAnsi="宋体" w:eastAsia="宋体" w:cs="Times New Roman"/>
          <w:color w:val="000000"/>
          <w:sz w:val="24"/>
        </w:rPr>
        <w:t>：作为小学教育本科专业的必修教材，本课程以教育政策和教育法规方面的基本概念、官方文本和有关解释为知识基础，初步建立起以小学教育政策和法规应用为主线的知识课程体系。本课程立足于一个实践型、反思型小学教师专业实践的需要兼及小学教育管理者在教育政策学和教育法学的基础上凸显小学教育政策与法规的特定内涵，以新时期涉及小学教育的现实问题为焦点、以典型案例为其切入点、促进文本与实践应用的有机结合。</w:t>
      </w:r>
    </w:p>
    <w:p w14:paraId="325C0E9B">
      <w:pPr>
        <w:adjustRightInd w:val="0"/>
        <w:snapToGrid w:val="0"/>
        <w:spacing w:line="360" w:lineRule="auto"/>
        <w:ind w:firstLine="562" w:firstLineChars="200"/>
        <w:rPr>
          <w:rFonts w:ascii="宋体" w:hAnsi="等线" w:eastAsia="宋体" w:cs="Times New Roman"/>
          <w:b/>
          <w:color w:val="000000"/>
          <w:sz w:val="28"/>
          <w:szCs w:val="28"/>
        </w:rPr>
      </w:pPr>
      <w:r>
        <w:rPr>
          <w:rFonts w:hint="eastAsia" w:ascii="宋体" w:hAnsi="宋体" w:eastAsia="宋体" w:cs="Times New Roman"/>
          <w:b/>
          <w:color w:val="000000"/>
          <w:sz w:val="28"/>
          <w:szCs w:val="28"/>
        </w:rPr>
        <w:t>二、课程目标</w:t>
      </w:r>
    </w:p>
    <w:p w14:paraId="605A560F">
      <w:pPr>
        <w:adjustRightInd w:val="0"/>
        <w:snapToGrid w:val="0"/>
        <w:spacing w:line="360" w:lineRule="auto"/>
        <w:ind w:firstLine="482" w:firstLineChars="200"/>
        <w:rPr>
          <w:rFonts w:ascii="宋体" w:hAnsi="等线" w:eastAsia="宋体" w:cs="Times New Roman"/>
          <w:b/>
          <w:color w:val="000000"/>
          <w:sz w:val="24"/>
        </w:rPr>
      </w:pPr>
      <w:r>
        <w:rPr>
          <w:rFonts w:hint="eastAsia" w:ascii="宋体" w:hAnsi="宋体" w:eastAsia="宋体" w:cs="Times New Roman"/>
          <w:b/>
          <w:color w:val="000000"/>
          <w:sz w:val="24"/>
        </w:rPr>
        <w:t>（一）课程具体目标</w:t>
      </w:r>
    </w:p>
    <w:p w14:paraId="7C237B51">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1.</w:t>
      </w:r>
      <w:r>
        <w:rPr>
          <w:rFonts w:hint="eastAsia" w:ascii="宋体" w:hAnsi="宋体" w:eastAsia="宋体" w:cs="Times New Roman"/>
          <w:color w:val="000000"/>
          <w:sz w:val="24"/>
        </w:rPr>
        <w:t>熟悉教育政策的属性、功能、过程，增强中国特色社会主义核心价值观的理解。</w:t>
      </w:r>
    </w:p>
    <w:p w14:paraId="2D225710">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2.</w:t>
      </w:r>
      <w:r>
        <w:rPr>
          <w:rFonts w:hint="eastAsia" w:ascii="宋体" w:hAnsi="宋体" w:eastAsia="宋体" w:cs="Times New Roman"/>
          <w:color w:val="000000"/>
          <w:sz w:val="24"/>
        </w:rPr>
        <w:t>理解我国小学教育政策和法规体系，客观完整的把握我国国情。</w:t>
      </w:r>
    </w:p>
    <w:p w14:paraId="250CF387">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hint="eastAsia" w:ascii="宋体" w:hAnsi="宋体" w:eastAsia="宋体" w:cs="Times New Roman"/>
          <w:color w:val="000000"/>
          <w:sz w:val="24"/>
          <w:lang w:val="en-US" w:eastAsia="zh-CN"/>
        </w:rPr>
        <w:t>3</w:t>
      </w:r>
      <w:r>
        <w:rPr>
          <w:rFonts w:ascii="宋体" w:hAnsi="宋体" w:eastAsia="宋体" w:cs="Times New Roman"/>
          <w:color w:val="000000"/>
          <w:sz w:val="24"/>
        </w:rPr>
        <w:t>.</w:t>
      </w:r>
      <w:r>
        <w:rPr>
          <w:rFonts w:hint="eastAsia" w:ascii="宋体" w:hAnsi="宋体" w:eastAsia="宋体" w:cs="Times New Roman"/>
          <w:color w:val="000000"/>
          <w:sz w:val="24"/>
        </w:rPr>
        <w:t>掌握小学教师、小学生的权益和保护规定，增强职业责任感。</w:t>
      </w:r>
    </w:p>
    <w:p w14:paraId="43201619">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hint="eastAsia" w:ascii="宋体" w:hAnsi="宋体" w:eastAsia="宋体" w:cs="Times New Roman"/>
          <w:color w:val="000000"/>
          <w:sz w:val="24"/>
          <w:lang w:val="en-US" w:eastAsia="zh-CN"/>
        </w:rPr>
        <w:t>4</w:t>
      </w:r>
      <w:r>
        <w:rPr>
          <w:rFonts w:ascii="宋体" w:hAnsi="宋体" w:eastAsia="宋体" w:cs="Times New Roman"/>
          <w:color w:val="000000"/>
          <w:sz w:val="24"/>
        </w:rPr>
        <w:t>.</w:t>
      </w:r>
      <w:r>
        <w:rPr>
          <w:rFonts w:hint="eastAsia" w:ascii="宋体" w:hAnsi="宋体" w:eastAsia="宋体" w:cs="Times New Roman"/>
          <w:color w:val="000000"/>
          <w:sz w:val="24"/>
        </w:rPr>
        <w:t>掌握政府、家庭和社会的教育职责和责任，强化教育的政治功能。</w:t>
      </w:r>
    </w:p>
    <w:p w14:paraId="5792A313">
      <w:pPr>
        <w:adjustRightInd w:val="0"/>
        <w:snapToGrid w:val="0"/>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目标</w:t>
      </w:r>
      <w:r>
        <w:rPr>
          <w:rFonts w:hint="eastAsia" w:ascii="宋体" w:hAnsi="宋体" w:eastAsia="宋体" w:cs="Times New Roman"/>
          <w:color w:val="000000"/>
          <w:sz w:val="24"/>
          <w:lang w:val="en-US" w:eastAsia="zh-CN"/>
        </w:rPr>
        <w:t>5</w:t>
      </w:r>
      <w:r>
        <w:rPr>
          <w:rFonts w:ascii="宋体" w:hAnsi="宋体" w:eastAsia="宋体" w:cs="Times New Roman"/>
          <w:color w:val="000000"/>
          <w:sz w:val="24"/>
        </w:rPr>
        <w:t>.</w:t>
      </w:r>
      <w:r>
        <w:rPr>
          <w:rFonts w:hint="eastAsia" w:ascii="宋体" w:hAnsi="宋体" w:eastAsia="宋体" w:cs="Times New Roman"/>
          <w:color w:val="000000"/>
          <w:sz w:val="24"/>
        </w:rPr>
        <w:t>运用我国涉及小学生的重要法律法规和政策，树立依法</w:t>
      </w:r>
      <w:r>
        <w:rPr>
          <w:rFonts w:hint="eastAsia" w:ascii="宋体" w:hAnsi="宋体" w:eastAsia="宋体" w:cs="Times New Roman"/>
          <w:color w:val="000000"/>
          <w:sz w:val="24"/>
          <w:lang w:val="en-US" w:eastAsia="zh-CN"/>
        </w:rPr>
        <w:t>执</w:t>
      </w:r>
      <w:r>
        <w:rPr>
          <w:rFonts w:hint="eastAsia" w:ascii="宋体" w:hAnsi="宋体" w:eastAsia="宋体" w:cs="Times New Roman"/>
          <w:color w:val="000000"/>
          <w:sz w:val="24"/>
        </w:rPr>
        <w:t>教的意识。</w:t>
      </w:r>
    </w:p>
    <w:p w14:paraId="59BD9A83">
      <w:pPr>
        <w:adjustRightInd w:val="0"/>
        <w:snapToGrid w:val="0"/>
        <w:spacing w:line="360" w:lineRule="auto"/>
        <w:rPr>
          <w:rFonts w:ascii="宋体" w:hAnsi="等线" w:eastAsia="宋体" w:cs="Times New Roman"/>
          <w:color w:val="000000"/>
          <w:sz w:val="24"/>
        </w:rPr>
      </w:pPr>
    </w:p>
    <w:p w14:paraId="6A46CF14">
      <w:pPr>
        <w:adjustRightInd w:val="0"/>
        <w:snapToGrid w:val="0"/>
        <w:spacing w:line="360" w:lineRule="auto"/>
        <w:rPr>
          <w:rFonts w:ascii="宋体" w:hAnsi="等线" w:eastAsia="宋体" w:cs="Times New Roman"/>
          <w:color w:val="000000"/>
          <w:sz w:val="24"/>
        </w:rPr>
      </w:pPr>
    </w:p>
    <w:p w14:paraId="24085592">
      <w:pPr>
        <w:adjustRightInd w:val="0"/>
        <w:snapToGrid w:val="0"/>
        <w:spacing w:line="360" w:lineRule="auto"/>
        <w:rPr>
          <w:rFonts w:ascii="宋体" w:hAnsi="等线" w:eastAsia="宋体" w:cs="Times New Roman"/>
          <w:color w:val="000000"/>
          <w:sz w:val="24"/>
        </w:rPr>
      </w:pPr>
    </w:p>
    <w:p w14:paraId="4FB2C6DD">
      <w:pPr>
        <w:adjustRightInd w:val="0"/>
        <w:snapToGrid w:val="0"/>
        <w:spacing w:line="360" w:lineRule="auto"/>
        <w:rPr>
          <w:rFonts w:ascii="宋体" w:hAnsi="等线" w:eastAsia="宋体" w:cs="Times New Roman"/>
          <w:color w:val="000000"/>
          <w:sz w:val="24"/>
        </w:rPr>
      </w:pPr>
    </w:p>
    <w:p w14:paraId="5DF05494">
      <w:pPr>
        <w:spacing w:line="360" w:lineRule="auto"/>
        <w:rPr>
          <w:rFonts w:ascii="宋体" w:hAnsi="宋体" w:eastAsia="宋体" w:cs="Times New Roman"/>
          <w:b/>
          <w:color w:val="000000"/>
          <w:sz w:val="24"/>
        </w:rPr>
      </w:pPr>
      <w:r>
        <w:rPr>
          <w:rFonts w:hint="eastAsia" w:ascii="宋体" w:hAnsi="宋体" w:eastAsia="宋体" w:cs="Times New Roman"/>
          <w:b/>
          <w:color w:val="000000"/>
          <w:sz w:val="24"/>
        </w:rPr>
        <w:t>（二）课程目标与专业毕业要求的关系</w:t>
      </w:r>
    </w:p>
    <w:tbl>
      <w:tblPr>
        <w:tblStyle w:val="10"/>
        <w:tblW w:w="9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309"/>
        <w:gridCol w:w="5290"/>
      </w:tblGrid>
      <w:tr w14:paraId="4C31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584" w:type="dxa"/>
            <w:vAlign w:val="center"/>
          </w:tcPr>
          <w:p w14:paraId="5824AEDC">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课程目标</w:t>
            </w:r>
          </w:p>
        </w:tc>
        <w:tc>
          <w:tcPr>
            <w:tcW w:w="2309" w:type="dxa"/>
            <w:vAlign w:val="center"/>
          </w:tcPr>
          <w:p w14:paraId="347510D7">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w:t>
            </w:r>
          </w:p>
        </w:tc>
        <w:tc>
          <w:tcPr>
            <w:tcW w:w="5290" w:type="dxa"/>
            <w:vAlign w:val="center"/>
          </w:tcPr>
          <w:p w14:paraId="67B28CA2">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2F26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584" w:type="dxa"/>
            <w:vAlign w:val="center"/>
          </w:tcPr>
          <w:p w14:paraId="094CFA57">
            <w:pPr>
              <w:adjustRightInd w:val="0"/>
              <w:snapToGrid w:val="0"/>
              <w:spacing w:line="276" w:lineRule="auto"/>
              <w:jc w:val="center"/>
              <w:rPr>
                <w:rFonts w:ascii="宋体" w:hAnsi="Calibri" w:eastAsia="宋体" w:cs="宋体"/>
                <w:bCs/>
                <w:color w:val="000000"/>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c>
          <w:tcPr>
            <w:tcW w:w="2309" w:type="dxa"/>
            <w:vAlign w:val="center"/>
          </w:tcPr>
          <w:p w14:paraId="1DE9A953">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师德规范</w:t>
            </w:r>
          </w:p>
        </w:tc>
        <w:tc>
          <w:tcPr>
            <w:tcW w:w="5290" w:type="dxa"/>
            <w:vAlign w:val="center"/>
          </w:tcPr>
          <w:p w14:paraId="1E047E1C">
            <w:pPr>
              <w:adjustRightInd w:val="0"/>
              <w:snapToGrid w:val="0"/>
              <w:spacing w:line="276" w:lineRule="auto"/>
              <w:jc w:val="left"/>
              <w:rPr>
                <w:rFonts w:ascii="宋体" w:hAnsi="Calibri" w:eastAsia="宋体" w:cs="Times New Roman"/>
                <w:color w:val="000000"/>
                <w:kern w:val="0"/>
                <w:sz w:val="18"/>
                <w:szCs w:val="18"/>
              </w:rPr>
            </w:pPr>
            <w:r>
              <w:rPr>
                <w:rFonts w:hint="eastAsia" w:ascii="宋体" w:hAnsi="宋体" w:cs="宋体"/>
                <w:color w:val="000000"/>
                <w:kern w:val="0"/>
                <w:sz w:val="20"/>
                <w:szCs w:val="20"/>
              </w:rPr>
              <w:t>指标点</w:t>
            </w:r>
            <w:r>
              <w:rPr>
                <w:rFonts w:hint="eastAsia" w:ascii="宋体" w:hAnsi="宋体" w:cs="宋体"/>
                <w:color w:val="000000"/>
                <w:sz w:val="20"/>
                <w:szCs w:val="20"/>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14:paraId="242C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84" w:type="dxa"/>
            <w:vAlign w:val="center"/>
          </w:tcPr>
          <w:p w14:paraId="2DA9DFD1">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309" w:type="dxa"/>
            <w:vAlign w:val="center"/>
          </w:tcPr>
          <w:p w14:paraId="5C5D31BE">
            <w:pPr>
              <w:adjustRightInd w:val="0"/>
              <w:snapToGrid w:val="0"/>
              <w:spacing w:line="276" w:lineRule="auto"/>
              <w:rPr>
                <w:rFonts w:hint="default" w:ascii="宋体" w:hAnsi="Calibri" w:eastAsia="宋体" w:cs="Times New Roman"/>
                <w:color w:val="000000"/>
                <w:kern w:val="0"/>
                <w:sz w:val="18"/>
                <w:szCs w:val="18"/>
                <w:lang w:val="en-US" w:eastAsia="zh-CN"/>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kern w:val="0"/>
                <w:szCs w:val="21"/>
                <w:lang w:val="en-US" w:eastAsia="zh-CN"/>
              </w:rPr>
              <w:t>2</w:t>
            </w:r>
            <w:r>
              <w:rPr>
                <w:rFonts w:ascii="宋体" w:hAnsi="宋体" w:eastAsia="宋体" w:cs="Times New Roman"/>
                <w:color w:val="000000"/>
                <w:kern w:val="0"/>
                <w:szCs w:val="21"/>
              </w:rPr>
              <w:t>.</w:t>
            </w:r>
            <w:r>
              <w:rPr>
                <w:rFonts w:hint="eastAsia" w:ascii="宋体" w:hAnsi="宋体" w:eastAsia="宋体" w:cs="Times New Roman"/>
                <w:color w:val="000000"/>
                <w:kern w:val="0"/>
                <w:szCs w:val="21"/>
                <w:lang w:val="en-US" w:eastAsia="zh-CN"/>
              </w:rPr>
              <w:t>教育情怀</w:t>
            </w:r>
          </w:p>
        </w:tc>
        <w:tc>
          <w:tcPr>
            <w:tcW w:w="5290" w:type="dxa"/>
            <w:vAlign w:val="center"/>
          </w:tcPr>
          <w:p w14:paraId="71FD65B8">
            <w:pPr>
              <w:adjustRightInd w:val="0"/>
              <w:snapToGrid w:val="0"/>
              <w:spacing w:line="276" w:lineRule="auto"/>
              <w:jc w:val="left"/>
              <w:rPr>
                <w:rFonts w:ascii="宋体" w:hAnsi="Calibri" w:eastAsia="宋体" w:cs="Times New Roman"/>
                <w:color w:val="000000"/>
                <w:kern w:val="0"/>
                <w:sz w:val="18"/>
                <w:szCs w:val="18"/>
              </w:rPr>
            </w:pPr>
            <w:r>
              <w:rPr>
                <w:rFonts w:hint="eastAsia" w:ascii="宋体" w:hAnsi="宋体" w:cs="宋体"/>
                <w:color w:val="000000"/>
                <w:kern w:val="0"/>
                <w:sz w:val="20"/>
                <w:szCs w:val="20"/>
              </w:rPr>
              <w:t>指标点</w:t>
            </w:r>
            <w:r>
              <w:rPr>
                <w:rFonts w:hint="eastAsia" w:ascii="宋体" w:hAnsi="宋体"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tc>
      </w:tr>
      <w:tr w14:paraId="7DDB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84" w:type="dxa"/>
            <w:vAlign w:val="center"/>
          </w:tcPr>
          <w:p w14:paraId="602FBCE6">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309" w:type="dxa"/>
            <w:vAlign w:val="center"/>
          </w:tcPr>
          <w:p w14:paraId="7F05C812">
            <w:pPr>
              <w:adjustRightInd w:val="0"/>
              <w:snapToGrid w:val="0"/>
              <w:spacing w:line="276" w:lineRule="auto"/>
              <w:rPr>
                <w:rFonts w:hint="eastAsia" w:ascii="宋体" w:hAnsi="Calibri" w:eastAsia="宋体" w:cs="Times New Roman"/>
                <w:color w:val="000000"/>
                <w:spacing w:val="2"/>
                <w:kern w:val="0"/>
                <w:szCs w:val="21"/>
                <w:lang w:eastAsia="zh-CN"/>
              </w:rPr>
            </w:pPr>
            <w:r>
              <w:rPr>
                <w:rFonts w:hint="eastAsia" w:ascii="宋体" w:hAnsi="宋体" w:eastAsia="宋体" w:cs="Times New Roman"/>
                <w:color w:val="000000"/>
                <w:spacing w:val="2"/>
                <w:kern w:val="0"/>
                <w:szCs w:val="21"/>
              </w:rPr>
              <w:t>毕业要求</w:t>
            </w:r>
            <w:r>
              <w:rPr>
                <w:rFonts w:hint="eastAsia" w:ascii="宋体" w:hAnsi="宋体" w:eastAsia="宋体" w:cs="Times New Roman"/>
                <w:color w:val="000000"/>
                <w:spacing w:val="2"/>
                <w:kern w:val="0"/>
                <w:szCs w:val="21"/>
                <w:lang w:val="en-US" w:eastAsia="zh-CN"/>
              </w:rPr>
              <w:t>1</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lang w:val="en-US" w:eastAsia="zh-CN"/>
              </w:rPr>
              <w:t>师德规范</w:t>
            </w:r>
          </w:p>
        </w:tc>
        <w:tc>
          <w:tcPr>
            <w:tcW w:w="5290" w:type="dxa"/>
            <w:vAlign w:val="center"/>
          </w:tcPr>
          <w:p w14:paraId="3B4E78A1">
            <w:pPr>
              <w:adjustRightInd w:val="0"/>
              <w:snapToGrid w:val="0"/>
              <w:spacing w:line="276" w:lineRule="auto"/>
              <w:jc w:val="left"/>
              <w:rPr>
                <w:rFonts w:hint="eastAsia" w:ascii="宋体" w:hAnsi="宋体" w:cs="宋体"/>
                <w:color w:val="000000"/>
                <w:sz w:val="20"/>
                <w:szCs w:val="20"/>
              </w:rPr>
            </w:pPr>
            <w:r>
              <w:rPr>
                <w:rFonts w:hint="eastAsia" w:ascii="宋体" w:hAnsi="宋体" w:cs="宋体"/>
                <w:color w:val="000000"/>
                <w:kern w:val="0"/>
                <w:sz w:val="20"/>
                <w:szCs w:val="20"/>
              </w:rPr>
              <w:t>指标点</w:t>
            </w:r>
            <w:r>
              <w:rPr>
                <w:rFonts w:hint="eastAsia" w:ascii="宋体" w:hAnsi="宋体"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p w14:paraId="71A2025D">
            <w:pPr>
              <w:adjustRightInd w:val="0"/>
              <w:snapToGrid w:val="0"/>
              <w:spacing w:line="276" w:lineRule="auto"/>
              <w:jc w:val="left"/>
              <w:rPr>
                <w:rFonts w:hint="eastAsia" w:ascii="宋体" w:hAnsi="宋体" w:cs="宋体"/>
                <w:color w:val="000000"/>
                <w:sz w:val="20"/>
                <w:szCs w:val="20"/>
              </w:rPr>
            </w:pPr>
            <w:r>
              <w:rPr>
                <w:rFonts w:hint="eastAsia" w:ascii="宋体" w:hAnsi="宋体" w:cs="宋体"/>
                <w:color w:val="000000"/>
                <w:kern w:val="0"/>
                <w:sz w:val="20"/>
                <w:szCs w:val="20"/>
              </w:rPr>
              <w:t>指标点</w:t>
            </w:r>
            <w:r>
              <w:rPr>
                <w:rFonts w:hint="eastAsia" w:ascii="宋体" w:hAnsi="宋体" w:cs="宋体"/>
                <w:color w:val="000000"/>
                <w:sz w:val="20"/>
                <w:szCs w:val="20"/>
              </w:rPr>
              <w:t>2-3：【自身修养良好】具有较好的人文</w:t>
            </w:r>
            <w:r>
              <w:rPr>
                <w:rFonts w:hint="eastAsia" w:cs="宋体"/>
                <w:color w:val="000000"/>
                <w:sz w:val="20"/>
                <w:szCs w:val="20"/>
              </w:rPr>
              <w:t>艺术</w:t>
            </w:r>
            <w:r>
              <w:rPr>
                <w:rFonts w:hint="eastAsia" w:ascii="宋体" w:hAnsi="宋体" w:cs="宋体"/>
                <w:color w:val="000000"/>
                <w:sz w:val="20"/>
                <w:szCs w:val="20"/>
              </w:rPr>
              <w:t>底蕴与科学精神，言行举止符合教师职业标准，情感积极，人格健全，身心健康。</w:t>
            </w:r>
          </w:p>
        </w:tc>
      </w:tr>
      <w:tr w14:paraId="494F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84" w:type="dxa"/>
            <w:vAlign w:val="center"/>
          </w:tcPr>
          <w:p w14:paraId="19736451">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309" w:type="dxa"/>
            <w:vAlign w:val="center"/>
          </w:tcPr>
          <w:p w14:paraId="44242A15">
            <w:pPr>
              <w:adjustRightInd w:val="0"/>
              <w:snapToGrid w:val="0"/>
              <w:spacing w:line="276" w:lineRule="auto"/>
              <w:rPr>
                <w:rFonts w:hint="default" w:ascii="宋体" w:hAnsi="Calibri" w:eastAsia="宋体" w:cs="Times New Roman"/>
                <w:color w:val="000000"/>
                <w:spacing w:val="2"/>
                <w:kern w:val="0"/>
                <w:szCs w:val="21"/>
                <w:lang w:val="en-US" w:eastAsia="zh-CN"/>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spacing w:val="2"/>
                <w:kern w:val="0"/>
                <w:szCs w:val="21"/>
                <w:lang w:val="en-US" w:eastAsia="zh-CN"/>
              </w:rPr>
              <w:t>2</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lang w:val="en-US" w:eastAsia="zh-CN"/>
              </w:rPr>
              <w:t>教育情怀</w:t>
            </w:r>
          </w:p>
        </w:tc>
        <w:tc>
          <w:tcPr>
            <w:tcW w:w="5290" w:type="dxa"/>
            <w:vAlign w:val="center"/>
          </w:tcPr>
          <w:p w14:paraId="47CD66BF">
            <w:pPr>
              <w:shd w:val="clear" w:color="auto" w:fill="FFFFFF"/>
              <w:adjustRightInd w:val="0"/>
              <w:snapToGrid w:val="0"/>
              <w:spacing w:line="276" w:lineRule="auto"/>
              <w:jc w:val="left"/>
              <w:rPr>
                <w:rFonts w:ascii="宋体" w:hAnsi="Calibri" w:eastAsia="宋体" w:cs="Times New Roman"/>
                <w:color w:val="000000"/>
                <w:spacing w:val="2"/>
                <w:kern w:val="0"/>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2-1：【职业认同感强】具有家国情怀，热爱教育事业，秉持“坚忍诚勇，立己达人”的师范精神，践行教育家精神，乐于从教，热爱教育事业，具有较高的教师职业认同感，认同教师职业的意义、价值与专业性。</w:t>
            </w:r>
          </w:p>
        </w:tc>
      </w:tr>
      <w:tr w14:paraId="7381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84" w:type="dxa"/>
            <w:vAlign w:val="center"/>
          </w:tcPr>
          <w:p w14:paraId="5007CE03">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c>
          <w:tcPr>
            <w:tcW w:w="2309" w:type="dxa"/>
            <w:vAlign w:val="center"/>
          </w:tcPr>
          <w:p w14:paraId="6426A5E8">
            <w:pPr>
              <w:adjustRightInd w:val="0"/>
              <w:snapToGrid w:val="0"/>
              <w:spacing w:line="276" w:lineRule="auto"/>
              <w:rPr>
                <w:rFonts w:hint="eastAsia" w:ascii="宋体" w:hAnsi="Calibri" w:eastAsia="宋体" w:cs="Times New Roman"/>
                <w:color w:val="000000"/>
                <w:kern w:val="0"/>
                <w:szCs w:val="21"/>
                <w:lang w:eastAsia="zh-CN"/>
              </w:rPr>
            </w:pPr>
            <w:r>
              <w:rPr>
                <w:rFonts w:hint="eastAsia" w:ascii="宋体" w:hAnsi="宋体" w:eastAsia="宋体" w:cs="Times New Roman"/>
                <w:color w:val="000000"/>
                <w:kern w:val="0"/>
                <w:szCs w:val="21"/>
              </w:rPr>
              <w:t>毕业要求</w:t>
            </w:r>
            <w:r>
              <w:rPr>
                <w:rFonts w:hint="eastAsia" w:ascii="宋体" w:hAnsi="宋体" w:eastAsia="宋体" w:cs="Times New Roman"/>
                <w:color w:val="000000"/>
                <w:kern w:val="0"/>
                <w:szCs w:val="21"/>
                <w:lang w:val="en-US" w:eastAsia="zh-CN"/>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lang w:val="en-US" w:eastAsia="zh-CN"/>
              </w:rPr>
              <w:t>师德规范</w:t>
            </w:r>
          </w:p>
        </w:tc>
        <w:tc>
          <w:tcPr>
            <w:tcW w:w="5290" w:type="dxa"/>
            <w:vAlign w:val="center"/>
          </w:tcPr>
          <w:p w14:paraId="6572F9EF">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cs="宋体"/>
                <w:color w:val="000000"/>
                <w:kern w:val="0"/>
                <w:sz w:val="20"/>
                <w:szCs w:val="20"/>
              </w:rPr>
              <w:t>指标点</w:t>
            </w:r>
            <w:r>
              <w:rPr>
                <w:rFonts w:hint="eastAsia" w:ascii="宋体" w:hAnsi="宋体" w:cs="宋体"/>
                <w:color w:val="000000"/>
                <w:sz w:val="20"/>
                <w:szCs w:val="20"/>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bl>
    <w:p w14:paraId="24F33F94">
      <w:pPr>
        <w:spacing w:line="360" w:lineRule="auto"/>
        <w:rPr>
          <w:rFonts w:ascii="宋体" w:hAnsi="等线" w:eastAsia="宋体" w:cs="Times New Roman"/>
          <w:b/>
          <w:color w:val="000000"/>
          <w:sz w:val="24"/>
        </w:rPr>
      </w:pPr>
    </w:p>
    <w:p w14:paraId="7534B6A9">
      <w:pPr>
        <w:adjustRightInd w:val="0"/>
        <w:snapToGrid w:val="0"/>
        <w:spacing w:line="360" w:lineRule="auto"/>
        <w:rPr>
          <w:rFonts w:ascii="宋体" w:hAnsi="等线" w:eastAsia="宋体" w:cs="Times New Roman"/>
          <w:color w:val="000000"/>
          <w:sz w:val="24"/>
        </w:rPr>
      </w:pPr>
    </w:p>
    <w:p w14:paraId="5ACF8277">
      <w:pPr>
        <w:adjustRightInd w:val="0"/>
        <w:snapToGrid w:val="0"/>
        <w:spacing w:line="360" w:lineRule="auto"/>
        <w:rPr>
          <w:rFonts w:ascii="宋体" w:hAnsi="等线" w:eastAsia="宋体" w:cs="Times New Roman"/>
          <w:b/>
          <w:color w:val="000000"/>
          <w:sz w:val="28"/>
          <w:szCs w:val="28"/>
        </w:rPr>
      </w:pPr>
      <w:r>
        <w:rPr>
          <w:rFonts w:hint="eastAsia" w:ascii="宋体" w:hAnsi="宋体" w:eastAsia="宋体" w:cs="Times New Roman"/>
          <w:b/>
          <w:color w:val="000000"/>
          <w:sz w:val="28"/>
          <w:szCs w:val="28"/>
        </w:rPr>
        <w:t>三、课程内容</w:t>
      </w:r>
    </w:p>
    <w:p w14:paraId="7756C107">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（一）</w:t>
      </w:r>
      <w:r>
        <w:rPr>
          <w:rFonts w:hint="eastAsia" w:ascii="宋体" w:hAnsi="宋体" w:eastAsia="宋体" w:cs="宋体"/>
          <w:b/>
          <w:color w:val="000000"/>
          <w:kern w:val="0"/>
          <w:sz w:val="24"/>
          <w:szCs w:val="24"/>
        </w:rPr>
        <w:t>教育政策概</w:t>
      </w:r>
      <w:r>
        <w:rPr>
          <w:rFonts w:hint="eastAsia" w:ascii="宋体" w:hAnsi="宋体" w:eastAsia="宋体" w:cs="Times New Roman"/>
          <w:b/>
          <w:color w:val="000000"/>
          <w:sz w:val="24"/>
          <w:szCs w:val="24"/>
        </w:rPr>
        <w:t>论（本模块各知识点的讲授与学习，可以支撑课程目标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w:t>
      </w:r>
    </w:p>
    <w:p w14:paraId="33D2F4C6">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4758BDB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）教育政策的本质和特点、功能</w:t>
      </w:r>
    </w:p>
    <w:p w14:paraId="57AA5E2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）教育政策的价值取向</w:t>
      </w:r>
    </w:p>
    <w:p w14:paraId="6EDE63C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）教育政策过程</w:t>
      </w:r>
    </w:p>
    <w:p w14:paraId="4287E330">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755E643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）了解教育政策的基本内涵</w:t>
      </w:r>
    </w:p>
    <w:p w14:paraId="36C9263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）理解教育政策的价值取向</w:t>
      </w:r>
    </w:p>
    <w:p w14:paraId="480DDFC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）掌握教育政策的过程</w:t>
      </w:r>
    </w:p>
    <w:p w14:paraId="4BD4A2F1">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22219AA0">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通过理解教育政策的公共性，让学生结合国家最近出台的一系列教育政策思考我国目前现实中所遇到的教育危机和面临的挑战，从而能在宏观的层面上增强“四个自信”。</w:t>
      </w:r>
    </w:p>
    <w:p w14:paraId="7CDA656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：了解教育政策的功能</w:t>
      </w:r>
    </w:p>
    <w:p w14:paraId="31079AD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：理解教育政策的制定、执行和评估</w:t>
      </w:r>
    </w:p>
    <w:p w14:paraId="0172BB5C">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（二）小学教育政策体系（本模块各知识点的讲授与学习，可以支撑课程目标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697E5881">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B01006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）教育政策体系内涵</w:t>
      </w:r>
    </w:p>
    <w:p w14:paraId="47807F01">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）小学教育政策体系的结构</w:t>
      </w:r>
    </w:p>
    <w:p w14:paraId="6D42838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）我国小学教育政策体系的形成和发展</w:t>
      </w:r>
    </w:p>
    <w:p w14:paraId="377056E5">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16A1DC5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）了解教育政策体系的基本内涵</w:t>
      </w:r>
    </w:p>
    <w:p w14:paraId="371B3DD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）理解小学教育政策体系的结构特征</w:t>
      </w:r>
    </w:p>
    <w:p w14:paraId="0F2F703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）掌握我国小学教育政策体系的发展</w:t>
      </w:r>
    </w:p>
    <w:p w14:paraId="0D0CC39F">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5562E6E2">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通过本章内容学习，使学生在理解教育政策体系重要性和存在问题的基础上，坚定小学教师职业使命感，树立正确的人生价值观。</w:t>
      </w:r>
    </w:p>
    <w:p w14:paraId="68BDC83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：掌握小学教育政策体系的结构特征和发展</w:t>
      </w:r>
    </w:p>
    <w:p w14:paraId="2CBA5EC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：理解教育政策体系的内涵</w:t>
      </w:r>
    </w:p>
    <w:p w14:paraId="1D2E5524">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（三）教育法规与小学教育法制建设（本模块各知识点的讲授与学习，可以支撑课程目标</w:t>
      </w: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w:t>
      </w:r>
    </w:p>
    <w:p w14:paraId="5C7CAA75">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70243FC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）教育法规概述</w:t>
      </w:r>
    </w:p>
    <w:p w14:paraId="7F6A2F0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）教育法律关系和教育法律责任</w:t>
      </w:r>
    </w:p>
    <w:p w14:paraId="090D7F6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）小学教育立法、实施和监督</w:t>
      </w:r>
    </w:p>
    <w:p w14:paraId="0D905475">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516D6B5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）了解教育法规</w:t>
      </w:r>
    </w:p>
    <w:p w14:paraId="31709190">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）理解教育法律关系和教育法律责任</w:t>
      </w:r>
    </w:p>
    <w:p w14:paraId="75ECA28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）掌握小学教育法规实施和监督</w:t>
      </w:r>
    </w:p>
    <w:p w14:paraId="4B4970CA">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39FBAB68">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通过本章内容学习，使学生深刻理解我国依法治国和依法治教的意义，以及当前我国建设法治国家所面临的严峻形势，更加自觉的做到敬畏法律、遵守法律，在今后的工作中积极宣扬法治精神，维护法律尊严。</w:t>
      </w:r>
    </w:p>
    <w:p w14:paraId="2A3A0E7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：理解教育法律关系的类型</w:t>
      </w:r>
    </w:p>
    <w:p w14:paraId="2A14ACD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：教育法律责任的认定</w:t>
      </w:r>
    </w:p>
    <w:p w14:paraId="72DB7044">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（四）政府、家庭和社会的职责和责任（本模块各知识点的讲授与学习，可以支撑课程目标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385B07CF">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A52EAE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）政府的法律责任</w:t>
      </w:r>
    </w:p>
    <w:p w14:paraId="3C665F8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）家庭的教育义务和责任</w:t>
      </w:r>
    </w:p>
    <w:p w14:paraId="563B702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）社会的教育义务和责任</w:t>
      </w:r>
    </w:p>
    <w:p w14:paraId="7F975354">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5DFA839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）了解政府的职责</w:t>
      </w:r>
    </w:p>
    <w:p w14:paraId="34B4225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）区分政府、家庭和社会的教育义务</w:t>
      </w:r>
    </w:p>
    <w:p w14:paraId="5FC6BE5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）理解政府、家庭和社会的教育责任</w:t>
      </w:r>
    </w:p>
    <w:p w14:paraId="15C47503">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213627E3">
      <w:pPr>
        <w:widowControl/>
        <w:adjustRightInd w:val="0"/>
        <w:snapToGrid w:val="0"/>
        <w:spacing w:line="360" w:lineRule="auto"/>
        <w:ind w:firstLine="480" w:firstLineChars="200"/>
        <w:jc w:val="left"/>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通过本章内容学习，使学生理解我国社会主义制度和社会结构的特殊优越性，增强爱国主义情怀和集体主义意识，明确作为一个公民的社会责任和公共道德。</w:t>
      </w:r>
    </w:p>
    <w:p w14:paraId="64739B8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：政府、家庭和社会的教育责任划分</w:t>
      </w:r>
    </w:p>
    <w:p w14:paraId="39B0434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：政府、家庭和社会的教育义务监督</w:t>
      </w:r>
    </w:p>
    <w:p w14:paraId="0B4215EC">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（五）小学的权利和责任（本模块各知识点的讲授与学习，可以支撑课程目标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1E2DF72D">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2D6418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）小学的法律地位</w:t>
      </w:r>
    </w:p>
    <w:p w14:paraId="727394A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）小学的权利义务和责任</w:t>
      </w:r>
    </w:p>
    <w:p w14:paraId="48D6C07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）学校事故及侵权责任</w:t>
      </w:r>
    </w:p>
    <w:p w14:paraId="7F5DD8E1">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070AD44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）了解小学的法律地位</w:t>
      </w:r>
    </w:p>
    <w:p w14:paraId="2A44B4F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）理解小学的权利义务和责任</w:t>
      </w:r>
    </w:p>
    <w:p w14:paraId="1339840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）掌握学校事故及侵权责任</w:t>
      </w:r>
    </w:p>
    <w:p w14:paraId="242C8158">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23B0EAE0">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通过本章内容学习，使学生理解未来作为一个学校管理者和决策者所承担的法律责任，从而做到谨慎决策、科学决策，并不断提高创新管理的水平。</w:t>
      </w:r>
    </w:p>
    <w:p w14:paraId="2FC839BF">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：理解小学法律地位</w:t>
      </w:r>
    </w:p>
    <w:p w14:paraId="12A4AC80">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：学校事故的责任划分</w:t>
      </w:r>
    </w:p>
    <w:p w14:paraId="601A045C">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（六）小学教师的权益及保护（本模块各知识点的讲授与学习，可以支撑课程目标</w:t>
      </w:r>
      <w:r>
        <w:rPr>
          <w:rFonts w:ascii="宋体" w:hAnsi="宋体" w:eastAsia="宋体" w:cs="Times New Roman"/>
          <w:b/>
          <w:color w:val="000000"/>
          <w:sz w:val="24"/>
          <w:szCs w:val="24"/>
        </w:rPr>
        <w:t>4</w:t>
      </w:r>
      <w:r>
        <w:rPr>
          <w:rFonts w:hint="eastAsia" w:ascii="宋体" w:hAnsi="宋体" w:eastAsia="宋体" w:cs="Times New Roman"/>
          <w:b/>
          <w:color w:val="000000"/>
          <w:sz w:val="24"/>
          <w:szCs w:val="24"/>
        </w:rPr>
        <w:t>）</w:t>
      </w:r>
    </w:p>
    <w:p w14:paraId="083483C0">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2A08745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）小学教师的法律地位</w:t>
      </w:r>
    </w:p>
    <w:p w14:paraId="2819757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）小学教师的权利与义务</w:t>
      </w:r>
    </w:p>
    <w:p w14:paraId="72BB362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）教师的惩戒与权利救济</w:t>
      </w:r>
    </w:p>
    <w:p w14:paraId="4AB8162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）教师职业制度</w:t>
      </w:r>
    </w:p>
    <w:p w14:paraId="2219D61F">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3A4FB0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）了解小学教师的法律地位</w:t>
      </w:r>
    </w:p>
    <w:p w14:paraId="2202793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）理解教师的惩戒和权利救济</w:t>
      </w:r>
    </w:p>
    <w:p w14:paraId="2431C2B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）掌握小学教师的权利与义务</w:t>
      </w:r>
    </w:p>
    <w:p w14:paraId="6AEEDC9E">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65234B97">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通过本章内容学习，使学生深刻理解习近平总书记提出的“四有好老师”所蕴含的时代意义，在今后的教师岗位上不断增强履职尽责的自觉性和为国育人的崇高精神。</w:t>
      </w:r>
    </w:p>
    <w:p w14:paraId="3D74DB4C">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：理解小学教师的法律地位</w:t>
      </w:r>
    </w:p>
    <w:p w14:paraId="019D664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：理解教师的权利救济和教师职业制度。</w:t>
      </w:r>
    </w:p>
    <w:p w14:paraId="55BE1DFD">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（七）小学生的权益及保护（本模块各知识点的讲授与学习，可以支撑课程目标</w:t>
      </w:r>
      <w:r>
        <w:rPr>
          <w:rFonts w:ascii="宋体" w:hAnsi="宋体" w:eastAsia="宋体" w:cs="Times New Roman"/>
          <w:b/>
          <w:color w:val="000000"/>
          <w:sz w:val="24"/>
          <w:szCs w:val="24"/>
        </w:rPr>
        <w:t>5</w:t>
      </w:r>
      <w:r>
        <w:rPr>
          <w:rFonts w:hint="eastAsia" w:ascii="宋体" w:hAnsi="宋体" w:eastAsia="宋体" w:cs="Times New Roman"/>
          <w:b/>
          <w:color w:val="000000"/>
          <w:sz w:val="24"/>
          <w:szCs w:val="24"/>
        </w:rPr>
        <w:t>）</w:t>
      </w:r>
    </w:p>
    <w:p w14:paraId="5217A1E0">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4EE279D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）小学生的法律地位</w:t>
      </w:r>
    </w:p>
    <w:p w14:paraId="0127AA1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）小学生的权利与义务</w:t>
      </w:r>
    </w:p>
    <w:p w14:paraId="54D0300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）学生惩戒与权利救济</w:t>
      </w:r>
    </w:p>
    <w:p w14:paraId="42AE1AE6">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5454384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）了解小学生的法律地位</w:t>
      </w:r>
    </w:p>
    <w:p w14:paraId="2D67CE8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）理解学生惩戒与权利救济；</w:t>
      </w:r>
    </w:p>
    <w:p w14:paraId="2618C5DD">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）掌握小学生的权利与义务</w:t>
      </w:r>
    </w:p>
    <w:p w14:paraId="0213AA8A">
      <w:pPr>
        <w:adjustRightInd w:val="0"/>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09180B5E">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不断增强教育立德树人的时代意义，尤其是理解小学教育是基础教育的基础这一基本观点，在加强自身品德修养中培养小学生的综合素质，履行培养担当民族复兴大任时代新人的历史使命。</w:t>
      </w:r>
    </w:p>
    <w:p w14:paraId="36F5E740">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：理解学生惩戒与权利救济的内涵</w:t>
      </w:r>
    </w:p>
    <w:p w14:paraId="7574548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：小学生的法律地位</w:t>
      </w:r>
    </w:p>
    <w:p w14:paraId="7E7DDDA1">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（八）小学教育重要法律法规和政策解读（本模块各知识点的讲授与学习，可以支撑课程目标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4D47E33C">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49C9FCF">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）教育法与义务教育法</w:t>
      </w:r>
    </w:p>
    <w:p w14:paraId="56BBA34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）教师法与未成年人保护法</w:t>
      </w:r>
    </w:p>
    <w:p w14:paraId="269BEA55">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）预防未成年人犯罪法</w:t>
      </w:r>
    </w:p>
    <w:p w14:paraId="7A5C429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）学生伤害事故处理办法</w:t>
      </w:r>
    </w:p>
    <w:p w14:paraId="6C0781C3">
      <w:pPr>
        <w:widowControl/>
        <w:adjustRightInd w:val="0"/>
        <w:snapToGrid w:val="0"/>
        <w:spacing w:line="360" w:lineRule="auto"/>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2BED696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）了解小学教育重要法律法规的内容</w:t>
      </w:r>
    </w:p>
    <w:p w14:paraId="3742E2C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）理解相关法律法规中的具体内容现实意义</w:t>
      </w:r>
    </w:p>
    <w:p w14:paraId="54FB399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）理解相关法律法规执行中的问题</w:t>
      </w:r>
    </w:p>
    <w:p w14:paraId="7DEC14A8">
      <w:pPr>
        <w:adjustRightInd w:val="0"/>
        <w:snapToGrid w:val="0"/>
        <w:spacing w:line="360" w:lineRule="auto"/>
        <w:rPr>
          <w:rFonts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353DF13F">
      <w:pPr>
        <w:adjustRightInd w:val="0"/>
        <w:snapToGrid w:val="0"/>
        <w:spacing w:line="360" w:lineRule="auto"/>
        <w:ind w:firstLine="480" w:firstLineChars="200"/>
        <w:rPr>
          <w:rFonts w:ascii="宋体" w:hAnsi="宋体" w:eastAsia="宋体" w:cs="Times New Roman"/>
          <w:bCs/>
          <w:color w:val="000000"/>
          <w:sz w:val="24"/>
        </w:rPr>
      </w:pPr>
      <w:r>
        <w:rPr>
          <w:rFonts w:hint="eastAsia" w:ascii="宋体" w:hAnsi="宋体" w:eastAsia="宋体" w:cs="Times New Roman"/>
          <w:bCs/>
          <w:color w:val="000000"/>
          <w:sz w:val="24"/>
        </w:rPr>
        <w:t>通过本章内容学习，使学生了解我国教育政策与法规内容中所体现的中国特色社会主义精神，深刻理解中国共产党领导下的教育宏图大业，增强作为一个新时代中国小学教师的自豪感。</w:t>
      </w:r>
    </w:p>
    <w:p w14:paraId="3CA32F6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：理解小学教育重要法律法规和政策中的具体内容规定</w:t>
      </w:r>
    </w:p>
    <w:p w14:paraId="2A1DB8FB">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：教育法律法规</w:t>
      </w:r>
      <w:r>
        <w:rPr>
          <w:rFonts w:hint="eastAsia" w:ascii="宋体" w:hAnsi="宋体" w:eastAsia="宋体" w:cs="宋体"/>
          <w:color w:val="000000"/>
          <w:kern w:val="0"/>
          <w:sz w:val="24"/>
          <w:szCs w:val="24"/>
          <w:lang w:val="en-US" w:eastAsia="zh-CN"/>
        </w:rPr>
        <w:t>制订、</w:t>
      </w:r>
      <w:r>
        <w:rPr>
          <w:rFonts w:hint="eastAsia" w:ascii="宋体" w:hAnsi="宋体" w:eastAsia="宋体" w:cs="宋体"/>
          <w:color w:val="000000"/>
          <w:kern w:val="0"/>
          <w:sz w:val="24"/>
          <w:szCs w:val="24"/>
        </w:rPr>
        <w:t>修订的现实意义</w:t>
      </w:r>
    </w:p>
    <w:p w14:paraId="481FB409">
      <w:pPr>
        <w:adjustRightInd w:val="0"/>
        <w:snapToGrid w:val="0"/>
        <w:spacing w:line="360" w:lineRule="auto"/>
        <w:rPr>
          <w:rFonts w:ascii="宋体" w:hAnsi="宋体" w:eastAsia="宋体" w:cs="Times New Roman"/>
          <w:b/>
          <w:color w:val="000000"/>
          <w:sz w:val="24"/>
        </w:rPr>
      </w:pPr>
      <w:r>
        <w:rPr>
          <w:rFonts w:hint="eastAsia" w:ascii="宋体" w:hAnsi="宋体" w:eastAsia="宋体" w:cs="Times New Roman"/>
          <w:b/>
          <w:color w:val="000000"/>
          <w:sz w:val="24"/>
        </w:rPr>
        <w:t>教学内容与课程目标的对应关系及学时分配如表所示：</w:t>
      </w:r>
    </w:p>
    <w:tbl>
      <w:tblPr>
        <w:tblStyle w:val="10"/>
        <w:tblW w:w="883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3417"/>
        <w:gridCol w:w="1703"/>
        <w:gridCol w:w="2385"/>
        <w:gridCol w:w="10"/>
        <w:gridCol w:w="727"/>
      </w:tblGrid>
      <w:tr w14:paraId="7EFE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89" w:type="dxa"/>
            <w:shd w:val="clear" w:color="auto" w:fill="FFFFFF"/>
            <w:vAlign w:val="center"/>
          </w:tcPr>
          <w:p w14:paraId="22A29F74">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序号</w:t>
            </w:r>
          </w:p>
        </w:tc>
        <w:tc>
          <w:tcPr>
            <w:tcW w:w="3417" w:type="dxa"/>
            <w:shd w:val="clear" w:color="auto" w:fill="FFFFFF"/>
            <w:vAlign w:val="center"/>
          </w:tcPr>
          <w:p w14:paraId="21421A11">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教学内容</w:t>
            </w:r>
          </w:p>
        </w:tc>
        <w:tc>
          <w:tcPr>
            <w:tcW w:w="1703" w:type="dxa"/>
            <w:shd w:val="clear" w:color="auto" w:fill="FFFFFF"/>
            <w:vAlign w:val="center"/>
          </w:tcPr>
          <w:p w14:paraId="194D6038">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支撑的课程目标</w:t>
            </w:r>
          </w:p>
        </w:tc>
        <w:tc>
          <w:tcPr>
            <w:tcW w:w="2385" w:type="dxa"/>
            <w:shd w:val="clear" w:color="auto" w:fill="FFFFFF"/>
            <w:vAlign w:val="center"/>
          </w:tcPr>
          <w:p w14:paraId="31F30FE7">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支撑的毕业要求指标点</w:t>
            </w:r>
          </w:p>
        </w:tc>
        <w:tc>
          <w:tcPr>
            <w:tcW w:w="735" w:type="dxa"/>
            <w:gridSpan w:val="2"/>
            <w:shd w:val="clear" w:color="auto" w:fill="FFFFFF"/>
            <w:vAlign w:val="center"/>
          </w:tcPr>
          <w:p w14:paraId="56EF761D">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讲授学时</w:t>
            </w:r>
          </w:p>
        </w:tc>
      </w:tr>
      <w:tr w14:paraId="4C77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9" w:type="dxa"/>
            <w:shd w:val="clear" w:color="auto" w:fill="FFFFFF"/>
            <w:vAlign w:val="center"/>
          </w:tcPr>
          <w:p w14:paraId="34CB5461">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3417" w:type="dxa"/>
            <w:shd w:val="clear" w:color="auto" w:fill="FFFFFF"/>
            <w:vAlign w:val="center"/>
          </w:tcPr>
          <w:p w14:paraId="7D2D8C4D">
            <w:pPr>
              <w:spacing w:line="276" w:lineRule="auto"/>
              <w:jc w:val="left"/>
              <w:rPr>
                <w:rFonts w:ascii="宋体" w:hAnsi="等线" w:eastAsia="宋体" w:cs="宋体"/>
                <w:color w:val="000000"/>
                <w:kern w:val="0"/>
                <w:szCs w:val="21"/>
              </w:rPr>
            </w:pPr>
            <w:r>
              <w:rPr>
                <w:rFonts w:hint="eastAsia" w:ascii="宋体" w:hAnsi="等线" w:eastAsia="宋体" w:cs="宋体"/>
                <w:color w:val="000000"/>
                <w:kern w:val="0"/>
                <w:szCs w:val="21"/>
              </w:rPr>
              <w:t>教育政策概论</w:t>
            </w:r>
          </w:p>
        </w:tc>
        <w:tc>
          <w:tcPr>
            <w:tcW w:w="1703" w:type="dxa"/>
            <w:shd w:val="clear" w:color="auto" w:fill="FFFFFF"/>
            <w:vAlign w:val="center"/>
          </w:tcPr>
          <w:p w14:paraId="27F0A008">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p>
        </w:tc>
        <w:tc>
          <w:tcPr>
            <w:tcW w:w="2385" w:type="dxa"/>
            <w:shd w:val="clear" w:color="auto" w:fill="FFFFFF"/>
            <w:vAlign w:val="center"/>
          </w:tcPr>
          <w:p w14:paraId="48576AD6">
            <w:pPr>
              <w:spacing w:line="276" w:lineRule="auto"/>
              <w:jc w:val="center"/>
              <w:rPr>
                <w:rFonts w:ascii="宋体" w:hAnsi="等线" w:eastAsia="宋体" w:cs="Times New Roman"/>
                <w:color w:val="000000"/>
                <w:szCs w:val="21"/>
              </w:rPr>
            </w:pPr>
            <w:r>
              <w:rPr>
                <w:rFonts w:ascii="宋体" w:hAnsi="宋体" w:eastAsia="宋体" w:cs="Times New Roman"/>
                <w:kern w:val="0"/>
                <w:szCs w:val="21"/>
              </w:rPr>
              <w:t>1-1</w:t>
            </w:r>
          </w:p>
        </w:tc>
        <w:tc>
          <w:tcPr>
            <w:tcW w:w="735" w:type="dxa"/>
            <w:gridSpan w:val="2"/>
            <w:shd w:val="clear" w:color="auto" w:fill="FFFFFF"/>
            <w:vAlign w:val="center"/>
          </w:tcPr>
          <w:p w14:paraId="77C051C3">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4229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9" w:type="dxa"/>
            <w:vAlign w:val="center"/>
          </w:tcPr>
          <w:p w14:paraId="289E818B">
            <w:pPr>
              <w:spacing w:line="276" w:lineRule="auto"/>
              <w:jc w:val="center"/>
              <w:rPr>
                <w:rFonts w:ascii="宋体" w:hAnsi="宋体" w:eastAsia="宋体" w:cs="Times New Roman"/>
                <w:szCs w:val="21"/>
              </w:rPr>
            </w:pPr>
            <w:r>
              <w:rPr>
                <w:rFonts w:ascii="宋体" w:hAnsi="宋体" w:eastAsia="宋体" w:cs="Times New Roman"/>
                <w:szCs w:val="21"/>
              </w:rPr>
              <w:t>2</w:t>
            </w:r>
          </w:p>
        </w:tc>
        <w:tc>
          <w:tcPr>
            <w:tcW w:w="3417" w:type="dxa"/>
            <w:vAlign w:val="center"/>
          </w:tcPr>
          <w:p w14:paraId="37F9A8BB">
            <w:pPr>
              <w:widowControl/>
              <w:snapToGrid w:val="0"/>
              <w:spacing w:line="276" w:lineRule="auto"/>
              <w:jc w:val="left"/>
              <w:rPr>
                <w:rFonts w:ascii="宋体" w:hAnsi="等线" w:eastAsia="宋体" w:cs="宋体"/>
                <w:color w:val="000000"/>
                <w:kern w:val="0"/>
                <w:szCs w:val="21"/>
              </w:rPr>
            </w:pPr>
            <w:r>
              <w:rPr>
                <w:rFonts w:hint="eastAsia" w:ascii="宋体" w:hAnsi="等线" w:eastAsia="宋体" w:cs="宋体"/>
                <w:color w:val="000000"/>
                <w:kern w:val="0"/>
                <w:szCs w:val="21"/>
              </w:rPr>
              <w:t>小学教育政策体系</w:t>
            </w:r>
          </w:p>
        </w:tc>
        <w:tc>
          <w:tcPr>
            <w:tcW w:w="1703" w:type="dxa"/>
            <w:vAlign w:val="center"/>
          </w:tcPr>
          <w:p w14:paraId="7DD23D26">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385" w:type="dxa"/>
            <w:vAlign w:val="center"/>
          </w:tcPr>
          <w:p w14:paraId="59CCEC05">
            <w:pPr>
              <w:spacing w:line="276" w:lineRule="auto"/>
              <w:jc w:val="center"/>
              <w:rPr>
                <w:rFonts w:ascii="宋体" w:hAnsi="等线"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7-1</w:t>
            </w:r>
          </w:p>
        </w:tc>
        <w:tc>
          <w:tcPr>
            <w:tcW w:w="735" w:type="dxa"/>
            <w:gridSpan w:val="2"/>
            <w:vAlign w:val="center"/>
          </w:tcPr>
          <w:p w14:paraId="2D9F3A6D">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4391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89" w:type="dxa"/>
            <w:vAlign w:val="center"/>
          </w:tcPr>
          <w:p w14:paraId="6BD7F3A6">
            <w:pPr>
              <w:spacing w:line="276" w:lineRule="auto"/>
              <w:jc w:val="center"/>
              <w:rPr>
                <w:rFonts w:ascii="宋体" w:hAnsi="宋体" w:eastAsia="宋体" w:cs="Times New Roman"/>
                <w:szCs w:val="21"/>
              </w:rPr>
            </w:pPr>
            <w:r>
              <w:rPr>
                <w:rFonts w:ascii="宋体" w:hAnsi="宋体" w:eastAsia="宋体" w:cs="Times New Roman"/>
                <w:szCs w:val="21"/>
              </w:rPr>
              <w:t>3</w:t>
            </w:r>
          </w:p>
        </w:tc>
        <w:tc>
          <w:tcPr>
            <w:tcW w:w="3417" w:type="dxa"/>
            <w:vAlign w:val="center"/>
          </w:tcPr>
          <w:p w14:paraId="618495A8">
            <w:pPr>
              <w:spacing w:line="276" w:lineRule="auto"/>
              <w:jc w:val="left"/>
              <w:rPr>
                <w:rFonts w:ascii="宋体" w:hAnsi="等线" w:eastAsia="宋体" w:cs="Times New Roman"/>
                <w:color w:val="000000"/>
                <w:szCs w:val="21"/>
              </w:rPr>
            </w:pPr>
            <w:r>
              <w:rPr>
                <w:rFonts w:hint="eastAsia" w:ascii="宋体" w:hAnsi="等线" w:eastAsia="宋体" w:cs="Times New Roman"/>
                <w:color w:val="000000"/>
                <w:szCs w:val="21"/>
              </w:rPr>
              <w:t>教育法规与小学教育法制建设</w:t>
            </w:r>
          </w:p>
        </w:tc>
        <w:tc>
          <w:tcPr>
            <w:tcW w:w="1703" w:type="dxa"/>
            <w:vAlign w:val="center"/>
          </w:tcPr>
          <w:p w14:paraId="33E4AC70">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p>
        </w:tc>
        <w:tc>
          <w:tcPr>
            <w:tcW w:w="2385" w:type="dxa"/>
            <w:vAlign w:val="center"/>
          </w:tcPr>
          <w:p w14:paraId="034E6BF1">
            <w:pPr>
              <w:spacing w:line="276" w:lineRule="auto"/>
              <w:jc w:val="center"/>
              <w:rPr>
                <w:rFonts w:ascii="宋体" w:hAnsi="等线" w:eastAsia="宋体" w:cs="Times New Roman"/>
                <w:szCs w:val="21"/>
              </w:rPr>
            </w:pPr>
            <w:r>
              <w:rPr>
                <w:rFonts w:ascii="宋体" w:hAnsi="宋体" w:eastAsia="宋体" w:cs="Times New Roman"/>
                <w:kern w:val="0"/>
                <w:szCs w:val="21"/>
              </w:rPr>
              <w:t>5-1</w:t>
            </w:r>
            <w:r>
              <w:rPr>
                <w:rFonts w:hint="eastAsia" w:ascii="宋体" w:hAnsi="宋体" w:eastAsia="宋体" w:cs="Times New Roman"/>
                <w:kern w:val="0"/>
                <w:szCs w:val="21"/>
              </w:rPr>
              <w:t>、</w:t>
            </w:r>
            <w:r>
              <w:rPr>
                <w:rFonts w:ascii="宋体" w:hAnsi="宋体" w:eastAsia="宋体" w:cs="Times New Roman"/>
                <w:kern w:val="0"/>
                <w:szCs w:val="21"/>
              </w:rPr>
              <w:t>5-3</w:t>
            </w:r>
          </w:p>
        </w:tc>
        <w:tc>
          <w:tcPr>
            <w:tcW w:w="735" w:type="dxa"/>
            <w:gridSpan w:val="2"/>
            <w:vAlign w:val="center"/>
          </w:tcPr>
          <w:p w14:paraId="615069ED">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59D6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89" w:type="dxa"/>
            <w:vAlign w:val="center"/>
          </w:tcPr>
          <w:p w14:paraId="6954A9ED">
            <w:pPr>
              <w:spacing w:line="276" w:lineRule="auto"/>
              <w:jc w:val="center"/>
              <w:rPr>
                <w:rFonts w:ascii="宋体" w:hAnsi="宋体" w:eastAsia="宋体" w:cs="Times New Roman"/>
                <w:szCs w:val="21"/>
              </w:rPr>
            </w:pPr>
            <w:r>
              <w:rPr>
                <w:rFonts w:ascii="宋体" w:hAnsi="宋体" w:eastAsia="宋体" w:cs="Times New Roman"/>
                <w:szCs w:val="21"/>
              </w:rPr>
              <w:t>4</w:t>
            </w:r>
          </w:p>
        </w:tc>
        <w:tc>
          <w:tcPr>
            <w:tcW w:w="3417" w:type="dxa"/>
            <w:vAlign w:val="center"/>
          </w:tcPr>
          <w:p w14:paraId="62DEA42F">
            <w:pPr>
              <w:spacing w:line="276" w:lineRule="auto"/>
              <w:jc w:val="left"/>
              <w:rPr>
                <w:rFonts w:ascii="宋体" w:hAnsi="等线" w:eastAsia="宋体" w:cs="Times New Roman"/>
                <w:color w:val="000000"/>
                <w:szCs w:val="21"/>
              </w:rPr>
            </w:pPr>
            <w:r>
              <w:rPr>
                <w:rFonts w:hint="eastAsia" w:ascii="宋体" w:hAnsi="等线" w:eastAsia="宋体" w:cs="Times New Roman"/>
                <w:color w:val="000000"/>
                <w:szCs w:val="21"/>
              </w:rPr>
              <w:t>政府、家庭和社会的义务和责任</w:t>
            </w:r>
          </w:p>
        </w:tc>
        <w:tc>
          <w:tcPr>
            <w:tcW w:w="1703" w:type="dxa"/>
            <w:vAlign w:val="center"/>
          </w:tcPr>
          <w:p w14:paraId="1771B027">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385" w:type="dxa"/>
            <w:vAlign w:val="center"/>
          </w:tcPr>
          <w:p w14:paraId="77B68671">
            <w:pPr>
              <w:spacing w:line="276" w:lineRule="auto"/>
              <w:jc w:val="center"/>
              <w:rPr>
                <w:rFonts w:ascii="宋体" w:hAnsi="等线" w:eastAsia="宋体" w:cs="Times New Roman"/>
                <w:szCs w:val="21"/>
              </w:rPr>
            </w:pPr>
            <w:r>
              <w:rPr>
                <w:rFonts w:ascii="宋体" w:hAnsi="宋体" w:eastAsia="宋体" w:cs="Times New Roman"/>
                <w:kern w:val="0"/>
                <w:szCs w:val="21"/>
              </w:rPr>
              <w:t>7-1</w:t>
            </w:r>
          </w:p>
        </w:tc>
        <w:tc>
          <w:tcPr>
            <w:tcW w:w="735" w:type="dxa"/>
            <w:gridSpan w:val="2"/>
            <w:vAlign w:val="center"/>
          </w:tcPr>
          <w:p w14:paraId="350C4814">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3AD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9" w:type="dxa"/>
            <w:vAlign w:val="center"/>
          </w:tcPr>
          <w:p w14:paraId="0841B875">
            <w:pPr>
              <w:spacing w:line="276" w:lineRule="auto"/>
              <w:jc w:val="center"/>
              <w:rPr>
                <w:rFonts w:ascii="宋体" w:hAnsi="宋体" w:eastAsia="宋体" w:cs="Times New Roman"/>
                <w:szCs w:val="21"/>
              </w:rPr>
            </w:pPr>
            <w:r>
              <w:rPr>
                <w:rFonts w:ascii="宋体" w:hAnsi="宋体" w:eastAsia="宋体" w:cs="Times New Roman"/>
                <w:szCs w:val="21"/>
              </w:rPr>
              <w:t>5</w:t>
            </w:r>
          </w:p>
        </w:tc>
        <w:tc>
          <w:tcPr>
            <w:tcW w:w="3417" w:type="dxa"/>
            <w:vAlign w:val="center"/>
          </w:tcPr>
          <w:p w14:paraId="76C89F5B">
            <w:pPr>
              <w:spacing w:line="276" w:lineRule="auto"/>
              <w:jc w:val="left"/>
              <w:rPr>
                <w:rFonts w:ascii="宋体" w:hAnsi="等线" w:eastAsia="宋体" w:cs="Times New Roman"/>
                <w:color w:val="000000"/>
                <w:szCs w:val="21"/>
              </w:rPr>
            </w:pPr>
            <w:r>
              <w:rPr>
                <w:rFonts w:hint="eastAsia" w:ascii="宋体" w:hAnsi="等线" w:eastAsia="宋体" w:cs="Times New Roman"/>
                <w:color w:val="000000"/>
                <w:szCs w:val="21"/>
              </w:rPr>
              <w:t>小学的权利和责任</w:t>
            </w:r>
          </w:p>
        </w:tc>
        <w:tc>
          <w:tcPr>
            <w:tcW w:w="1703" w:type="dxa"/>
            <w:vAlign w:val="center"/>
          </w:tcPr>
          <w:p w14:paraId="7736081A">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385" w:type="dxa"/>
            <w:vAlign w:val="center"/>
          </w:tcPr>
          <w:p w14:paraId="5643692A">
            <w:pPr>
              <w:spacing w:line="276" w:lineRule="auto"/>
              <w:jc w:val="center"/>
              <w:rPr>
                <w:rFonts w:ascii="宋体" w:hAnsi="等线" w:eastAsia="宋体" w:cs="Times New Roman"/>
                <w:szCs w:val="21"/>
              </w:rPr>
            </w:pPr>
            <w:r>
              <w:rPr>
                <w:rFonts w:ascii="宋体" w:hAnsi="宋体" w:eastAsia="宋体" w:cs="Times New Roman"/>
                <w:kern w:val="0"/>
                <w:szCs w:val="21"/>
              </w:rPr>
              <w:t>7-1</w:t>
            </w:r>
          </w:p>
        </w:tc>
        <w:tc>
          <w:tcPr>
            <w:tcW w:w="735" w:type="dxa"/>
            <w:gridSpan w:val="2"/>
            <w:vAlign w:val="center"/>
          </w:tcPr>
          <w:p w14:paraId="5975777F">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56C6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9" w:type="dxa"/>
            <w:vAlign w:val="center"/>
          </w:tcPr>
          <w:p w14:paraId="24EAB477">
            <w:pPr>
              <w:spacing w:line="276" w:lineRule="auto"/>
              <w:jc w:val="center"/>
              <w:rPr>
                <w:rFonts w:ascii="宋体" w:hAnsi="宋体" w:eastAsia="宋体" w:cs="Times New Roman"/>
                <w:szCs w:val="21"/>
              </w:rPr>
            </w:pPr>
            <w:r>
              <w:rPr>
                <w:rFonts w:ascii="宋体" w:hAnsi="宋体" w:eastAsia="宋体" w:cs="Times New Roman"/>
                <w:szCs w:val="21"/>
              </w:rPr>
              <w:t>6</w:t>
            </w:r>
          </w:p>
        </w:tc>
        <w:tc>
          <w:tcPr>
            <w:tcW w:w="3417" w:type="dxa"/>
            <w:vAlign w:val="center"/>
          </w:tcPr>
          <w:p w14:paraId="723FB7C9">
            <w:pPr>
              <w:widowControl/>
              <w:snapToGrid w:val="0"/>
              <w:spacing w:line="276" w:lineRule="auto"/>
              <w:jc w:val="left"/>
              <w:rPr>
                <w:rFonts w:ascii="宋体" w:hAnsi="等线" w:eastAsia="宋体" w:cs="宋体"/>
                <w:color w:val="000000"/>
                <w:kern w:val="0"/>
                <w:szCs w:val="21"/>
              </w:rPr>
            </w:pPr>
            <w:r>
              <w:rPr>
                <w:rFonts w:hint="eastAsia" w:ascii="宋体" w:hAnsi="宋体" w:eastAsia="宋体" w:cs="宋体"/>
                <w:color w:val="000000"/>
                <w:kern w:val="0"/>
                <w:szCs w:val="21"/>
              </w:rPr>
              <w:t>小学教师的权益及保护</w:t>
            </w:r>
          </w:p>
        </w:tc>
        <w:tc>
          <w:tcPr>
            <w:tcW w:w="1703" w:type="dxa"/>
            <w:vAlign w:val="center"/>
          </w:tcPr>
          <w:p w14:paraId="2A4405F8">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4</w:t>
            </w:r>
          </w:p>
        </w:tc>
        <w:tc>
          <w:tcPr>
            <w:tcW w:w="2385" w:type="dxa"/>
            <w:vAlign w:val="center"/>
          </w:tcPr>
          <w:p w14:paraId="0C65660F">
            <w:pPr>
              <w:spacing w:line="276" w:lineRule="auto"/>
              <w:jc w:val="center"/>
              <w:rPr>
                <w:rFonts w:ascii="宋体" w:hAnsi="等线" w:eastAsia="宋体" w:cs="Times New Roman"/>
                <w:szCs w:val="21"/>
              </w:rPr>
            </w:pPr>
            <w:r>
              <w:rPr>
                <w:rFonts w:ascii="宋体" w:hAnsi="宋体" w:eastAsia="宋体" w:cs="Times New Roman"/>
                <w:kern w:val="0"/>
                <w:szCs w:val="21"/>
              </w:rPr>
              <w:t>7-3</w:t>
            </w:r>
          </w:p>
        </w:tc>
        <w:tc>
          <w:tcPr>
            <w:tcW w:w="735" w:type="dxa"/>
            <w:gridSpan w:val="2"/>
            <w:vAlign w:val="center"/>
          </w:tcPr>
          <w:p w14:paraId="6787ADBA">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6F38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9" w:type="dxa"/>
            <w:vAlign w:val="center"/>
          </w:tcPr>
          <w:p w14:paraId="7CB4E42F">
            <w:pPr>
              <w:spacing w:line="276" w:lineRule="auto"/>
              <w:jc w:val="center"/>
              <w:rPr>
                <w:rFonts w:ascii="宋体" w:hAnsi="宋体" w:eastAsia="宋体" w:cs="Times New Roman"/>
                <w:szCs w:val="21"/>
              </w:rPr>
            </w:pPr>
            <w:r>
              <w:rPr>
                <w:rFonts w:ascii="宋体" w:hAnsi="宋体" w:eastAsia="宋体" w:cs="Times New Roman"/>
                <w:szCs w:val="21"/>
              </w:rPr>
              <w:t>7</w:t>
            </w:r>
          </w:p>
        </w:tc>
        <w:tc>
          <w:tcPr>
            <w:tcW w:w="3417" w:type="dxa"/>
            <w:vAlign w:val="center"/>
          </w:tcPr>
          <w:p w14:paraId="5445DBB4">
            <w:pPr>
              <w:spacing w:line="276" w:lineRule="auto"/>
              <w:jc w:val="left"/>
              <w:rPr>
                <w:rFonts w:ascii="宋体" w:hAnsi="等线" w:eastAsia="宋体" w:cs="Times New Roman"/>
                <w:color w:val="000000"/>
                <w:szCs w:val="21"/>
              </w:rPr>
            </w:pPr>
            <w:r>
              <w:rPr>
                <w:rFonts w:hint="eastAsia" w:ascii="宋体" w:hAnsi="宋体" w:eastAsia="宋体" w:cs="Times New Roman"/>
                <w:color w:val="000000"/>
                <w:szCs w:val="21"/>
              </w:rPr>
              <w:t>小学生的权益和保护</w:t>
            </w:r>
          </w:p>
        </w:tc>
        <w:tc>
          <w:tcPr>
            <w:tcW w:w="1703" w:type="dxa"/>
            <w:vAlign w:val="center"/>
          </w:tcPr>
          <w:p w14:paraId="2AAC7301">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5</w:t>
            </w:r>
          </w:p>
        </w:tc>
        <w:tc>
          <w:tcPr>
            <w:tcW w:w="2385" w:type="dxa"/>
            <w:vAlign w:val="center"/>
          </w:tcPr>
          <w:p w14:paraId="703AB342">
            <w:pPr>
              <w:spacing w:line="276" w:lineRule="auto"/>
              <w:jc w:val="center"/>
              <w:rPr>
                <w:rFonts w:ascii="宋体" w:hAnsi="等线" w:eastAsia="宋体" w:cs="Times New Roman"/>
                <w:szCs w:val="21"/>
              </w:rPr>
            </w:pPr>
            <w:r>
              <w:rPr>
                <w:rFonts w:ascii="宋体" w:hAnsi="宋体" w:eastAsia="宋体" w:cs="Times New Roman"/>
                <w:kern w:val="0"/>
                <w:szCs w:val="21"/>
              </w:rPr>
              <w:t>5-1</w:t>
            </w:r>
            <w:r>
              <w:rPr>
                <w:rFonts w:hint="eastAsia" w:ascii="宋体" w:hAnsi="宋体" w:eastAsia="宋体" w:cs="Times New Roman"/>
                <w:kern w:val="0"/>
                <w:szCs w:val="21"/>
              </w:rPr>
              <w:t>、</w:t>
            </w:r>
            <w:r>
              <w:rPr>
                <w:rFonts w:ascii="宋体" w:hAnsi="宋体" w:eastAsia="宋体" w:cs="Times New Roman"/>
                <w:kern w:val="0"/>
                <w:szCs w:val="21"/>
              </w:rPr>
              <w:t>5-2</w:t>
            </w:r>
          </w:p>
        </w:tc>
        <w:tc>
          <w:tcPr>
            <w:tcW w:w="735" w:type="dxa"/>
            <w:gridSpan w:val="2"/>
            <w:vAlign w:val="center"/>
          </w:tcPr>
          <w:p w14:paraId="47BDC744">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5561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9" w:type="dxa"/>
            <w:vAlign w:val="center"/>
          </w:tcPr>
          <w:p w14:paraId="3EF97369">
            <w:pPr>
              <w:spacing w:line="276" w:lineRule="auto"/>
              <w:jc w:val="center"/>
              <w:rPr>
                <w:rFonts w:ascii="宋体" w:hAnsi="宋体" w:eastAsia="宋体" w:cs="Times New Roman"/>
                <w:szCs w:val="21"/>
              </w:rPr>
            </w:pPr>
            <w:r>
              <w:rPr>
                <w:rFonts w:ascii="宋体" w:hAnsi="宋体" w:eastAsia="宋体" w:cs="Times New Roman"/>
                <w:szCs w:val="21"/>
              </w:rPr>
              <w:t>8</w:t>
            </w:r>
          </w:p>
        </w:tc>
        <w:tc>
          <w:tcPr>
            <w:tcW w:w="3417" w:type="dxa"/>
            <w:vAlign w:val="center"/>
          </w:tcPr>
          <w:p w14:paraId="70D3D072">
            <w:pPr>
              <w:spacing w:line="276" w:lineRule="auto"/>
              <w:jc w:val="left"/>
              <w:rPr>
                <w:rFonts w:ascii="宋体" w:hAnsi="等线" w:eastAsia="宋体" w:cs="Times New Roman"/>
                <w:color w:val="000000"/>
                <w:szCs w:val="21"/>
              </w:rPr>
            </w:pPr>
            <w:r>
              <w:rPr>
                <w:rFonts w:hint="eastAsia" w:ascii="宋体" w:hAnsi="宋体" w:eastAsia="宋体" w:cs="Times New Roman"/>
                <w:color w:val="000000"/>
                <w:szCs w:val="21"/>
              </w:rPr>
              <w:t>小学教育重要法律法规和政策解读</w:t>
            </w:r>
          </w:p>
        </w:tc>
        <w:tc>
          <w:tcPr>
            <w:tcW w:w="1703" w:type="dxa"/>
            <w:vAlign w:val="center"/>
          </w:tcPr>
          <w:p w14:paraId="43ABF68B">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6</w:t>
            </w:r>
          </w:p>
        </w:tc>
        <w:tc>
          <w:tcPr>
            <w:tcW w:w="2385" w:type="dxa"/>
            <w:vAlign w:val="center"/>
          </w:tcPr>
          <w:p w14:paraId="2C087519">
            <w:pPr>
              <w:spacing w:line="276" w:lineRule="auto"/>
              <w:jc w:val="center"/>
              <w:rPr>
                <w:rFonts w:ascii="宋体" w:hAnsi="等线"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7-3</w:t>
            </w:r>
          </w:p>
        </w:tc>
        <w:tc>
          <w:tcPr>
            <w:tcW w:w="735" w:type="dxa"/>
            <w:gridSpan w:val="2"/>
            <w:vAlign w:val="center"/>
          </w:tcPr>
          <w:p w14:paraId="167CB8E3">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7EF4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04" w:type="dxa"/>
            <w:gridSpan w:val="5"/>
            <w:vAlign w:val="center"/>
          </w:tcPr>
          <w:p w14:paraId="010B8255">
            <w:pPr>
              <w:spacing w:line="276" w:lineRule="auto"/>
              <w:jc w:val="center"/>
              <w:rPr>
                <w:rFonts w:ascii="宋体" w:hAnsi="等线" w:eastAsia="宋体" w:cs="Times New Roman"/>
                <w:szCs w:val="21"/>
              </w:rPr>
            </w:pPr>
            <w:r>
              <w:rPr>
                <w:rFonts w:hint="eastAsia" w:ascii="宋体" w:hAnsi="宋体" w:eastAsia="宋体" w:cs="Times New Roman"/>
                <w:szCs w:val="21"/>
              </w:rPr>
              <w:t>合计</w:t>
            </w:r>
          </w:p>
        </w:tc>
        <w:tc>
          <w:tcPr>
            <w:tcW w:w="727" w:type="dxa"/>
            <w:vAlign w:val="center"/>
          </w:tcPr>
          <w:p w14:paraId="1023F9E2">
            <w:pPr>
              <w:spacing w:line="276" w:lineRule="auto"/>
              <w:jc w:val="center"/>
              <w:rPr>
                <w:rFonts w:ascii="宋体" w:hAnsi="等线" w:eastAsia="宋体" w:cs="Times New Roman"/>
                <w:kern w:val="0"/>
                <w:szCs w:val="21"/>
              </w:rPr>
            </w:pPr>
            <w:r>
              <w:rPr>
                <w:rFonts w:ascii="宋体" w:hAnsi="宋体" w:eastAsia="宋体" w:cs="Times New Roman"/>
                <w:kern w:val="0"/>
                <w:szCs w:val="21"/>
              </w:rPr>
              <w:t>16</w:t>
            </w:r>
          </w:p>
        </w:tc>
      </w:tr>
    </w:tbl>
    <w:p w14:paraId="3CEC67F7">
      <w:pPr>
        <w:adjustRightInd w:val="0"/>
        <w:snapToGrid w:val="0"/>
        <w:spacing w:line="360" w:lineRule="auto"/>
        <w:rPr>
          <w:rFonts w:ascii="宋体" w:hAnsi="宋体" w:eastAsia="宋体" w:cs="Times New Roman"/>
          <w:b/>
          <w:color w:val="000000"/>
          <w:sz w:val="28"/>
          <w:szCs w:val="28"/>
        </w:rPr>
      </w:pPr>
    </w:p>
    <w:p w14:paraId="2691667E">
      <w:pPr>
        <w:adjustRightInd w:val="0"/>
        <w:snapToGrid w:val="0"/>
        <w:spacing w:line="360" w:lineRule="auto"/>
        <w:ind w:firstLine="562" w:firstLineChars="200"/>
        <w:rPr>
          <w:rFonts w:ascii="宋体" w:hAnsi="等线" w:eastAsia="宋体" w:cs="Times New Roman"/>
          <w:b/>
          <w:color w:val="000000"/>
          <w:sz w:val="28"/>
          <w:szCs w:val="28"/>
        </w:rPr>
      </w:pPr>
      <w:r>
        <w:rPr>
          <w:rFonts w:hint="eastAsia" w:ascii="宋体" w:hAnsi="宋体" w:eastAsia="宋体" w:cs="Times New Roman"/>
          <w:b/>
          <w:color w:val="000000"/>
          <w:sz w:val="28"/>
          <w:szCs w:val="28"/>
        </w:rPr>
        <w:t>四、课程实施</w:t>
      </w:r>
    </w:p>
    <w:p w14:paraId="2DA883AD">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（一）课程在展开之前，要借助相关视频奠定学生关注小学教育法律法规和政策现象，引导学生对学科的初步认识。</w:t>
      </w:r>
    </w:p>
    <w:p w14:paraId="58392789">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（二）课程在教学中要充分搜集相关案例引导学生使用所学理论审视现实问题、用法律意识不断深入的分析和思考。</w:t>
      </w:r>
    </w:p>
    <w:p w14:paraId="21EE3B43">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（三）教师要积极采用平时考勤、课堂讨论、期末考试等多种形式相结合的考核方法，引导学生按时、保质保量地完成本课程学习任务。</w:t>
      </w:r>
    </w:p>
    <w:p w14:paraId="4E32EA31">
      <w:pPr>
        <w:spacing w:line="360" w:lineRule="auto"/>
        <w:ind w:firstLine="482" w:firstLineChars="200"/>
        <w:rPr>
          <w:rFonts w:ascii="Calibri" w:hAnsi="Calibri" w:eastAsia="宋体" w:cs="Times New Roman"/>
          <w:b/>
          <w:sz w:val="24"/>
          <w:szCs w:val="24"/>
        </w:rPr>
      </w:pPr>
      <w:r>
        <w:rPr>
          <w:rFonts w:hint="eastAsia" w:ascii="Calibri" w:hAnsi="Calibri" w:eastAsia="宋体" w:cs="Times New Roman"/>
          <w:b/>
          <w:bCs/>
          <w:sz w:val="24"/>
          <w:szCs w:val="24"/>
        </w:rPr>
        <w:t>主要教学环节的质量要求如表所示：</w:t>
      </w:r>
    </w:p>
    <w:tbl>
      <w:tblPr>
        <w:tblStyle w:val="10"/>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204"/>
      </w:tblGrid>
      <w:tr w14:paraId="2BCE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03DF86CA">
            <w:pPr>
              <w:adjustRightInd w:val="0"/>
              <w:snapToGrid w:val="0"/>
              <w:spacing w:line="276" w:lineRule="auto"/>
              <w:jc w:val="center"/>
              <w:rPr>
                <w:rFonts w:ascii="宋体" w:hAnsi="等线" w:eastAsia="宋体" w:cs="Times New Roman"/>
                <w:b/>
                <w:color w:val="000000"/>
                <w:szCs w:val="21"/>
              </w:rPr>
            </w:pPr>
            <w:r>
              <w:rPr>
                <w:rFonts w:hint="eastAsia" w:ascii="宋体" w:hAnsi="宋体" w:eastAsia="宋体" w:cs="Times New Roman"/>
                <w:b/>
                <w:bCs/>
                <w:color w:val="000000"/>
                <w:szCs w:val="21"/>
              </w:rPr>
              <w:t>主要教学环节</w:t>
            </w:r>
          </w:p>
        </w:tc>
        <w:tc>
          <w:tcPr>
            <w:tcW w:w="7204" w:type="dxa"/>
            <w:tcBorders>
              <w:top w:val="single" w:color="auto" w:sz="8" w:space="0"/>
              <w:left w:val="single" w:color="auto" w:sz="8" w:space="0"/>
              <w:right w:val="single" w:color="auto" w:sz="8" w:space="0"/>
            </w:tcBorders>
            <w:vAlign w:val="center"/>
          </w:tcPr>
          <w:p w14:paraId="528EF99A">
            <w:pPr>
              <w:adjustRightInd w:val="0"/>
              <w:snapToGrid w:val="0"/>
              <w:spacing w:line="276" w:lineRule="auto"/>
              <w:jc w:val="center"/>
              <w:rPr>
                <w:rFonts w:ascii="宋体" w:hAnsi="等线" w:eastAsia="宋体" w:cs="Times New Roman"/>
                <w:b/>
                <w:color w:val="000000"/>
                <w:szCs w:val="21"/>
              </w:rPr>
            </w:pPr>
            <w:r>
              <w:rPr>
                <w:rFonts w:hint="eastAsia" w:ascii="宋体" w:hAnsi="宋体" w:eastAsia="宋体" w:cs="Times New Roman"/>
                <w:b/>
                <w:bCs/>
                <w:color w:val="000000"/>
                <w:szCs w:val="21"/>
              </w:rPr>
              <w:t>质量要求</w:t>
            </w:r>
          </w:p>
        </w:tc>
      </w:tr>
      <w:tr w14:paraId="7493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582" w:type="dxa"/>
            <w:tcBorders>
              <w:left w:val="single" w:color="auto" w:sz="8" w:space="0"/>
            </w:tcBorders>
            <w:vAlign w:val="center"/>
          </w:tcPr>
          <w:p w14:paraId="6B9E9D10">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27006C02">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备课</w:t>
            </w:r>
          </w:p>
        </w:tc>
        <w:tc>
          <w:tcPr>
            <w:tcW w:w="7204" w:type="dxa"/>
            <w:tcBorders>
              <w:right w:val="single" w:color="auto" w:sz="8" w:space="0"/>
            </w:tcBorders>
            <w:vAlign w:val="center"/>
          </w:tcPr>
          <w:p w14:paraId="739AA2B5">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）掌握课程教学大纲内容，严格按照教学大纲要求进行课程教学内容的组织。</w:t>
            </w:r>
          </w:p>
          <w:p w14:paraId="353F6B62">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）悉心了解学生的现有水平和最新发展区水平，深透钻研教材内容，广泛阅读相关文献资料，精心选择教学方法、组织形式和教学手段，认真编写授课计划。</w:t>
            </w:r>
          </w:p>
          <w:p w14:paraId="7BF9FAED">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（3）授课教案内容包括章节标题、教学目标、教学准备、教学方法、课堂类型、时间分配、授课内容、课后作业、教学效果分析等方面。</w:t>
            </w:r>
          </w:p>
        </w:tc>
      </w:tr>
      <w:tr w14:paraId="3583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582" w:type="dxa"/>
            <w:tcBorders>
              <w:left w:val="single" w:color="auto" w:sz="8" w:space="0"/>
            </w:tcBorders>
            <w:vAlign w:val="center"/>
          </w:tcPr>
          <w:p w14:paraId="75CD346D">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5070EC3F">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讲授</w:t>
            </w:r>
          </w:p>
        </w:tc>
        <w:tc>
          <w:tcPr>
            <w:tcW w:w="7204" w:type="dxa"/>
            <w:tcBorders>
              <w:right w:val="single" w:color="auto" w:sz="8" w:space="0"/>
            </w:tcBorders>
            <w:vAlign w:val="center"/>
          </w:tcPr>
          <w:p w14:paraId="786E0446">
            <w:pPr>
              <w:adjustRightInd w:val="0"/>
              <w:snapToGrid w:val="0"/>
              <w:spacing w:line="276" w:lineRule="auto"/>
              <w:rPr>
                <w:rFonts w:ascii="宋体" w:hAnsi="等线" w:eastAsia="宋体" w:cs="Times New Roman"/>
                <w:color w:val="000000"/>
                <w:szCs w:val="24"/>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hint="eastAsia" w:ascii="宋体" w:hAnsi="宋体" w:eastAsia="宋体" w:cs="Times New Roman"/>
                <w:color w:val="000000"/>
                <w:szCs w:val="24"/>
              </w:rPr>
              <w:t>教师仪表端庄，情绪情感要饱满；</w:t>
            </w:r>
          </w:p>
          <w:p w14:paraId="02984076">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宋体" w:hAnsi="宋体" w:eastAsia="宋体" w:cs="Times New Roman"/>
                <w:color w:val="000000"/>
                <w:szCs w:val="24"/>
              </w:rPr>
              <w:t>教学准备充分，熟悉教学内容；</w:t>
            </w:r>
          </w:p>
          <w:p w14:paraId="524979DE">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szCs w:val="24"/>
              </w:rPr>
              <w:t>教学内容充实，不断充实最新研究成果；</w:t>
            </w:r>
          </w:p>
          <w:p w14:paraId="7636F9C1">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hint="eastAsia" w:ascii="宋体" w:hAnsi="宋体" w:eastAsia="宋体" w:cs="Times New Roman"/>
                <w:color w:val="000000"/>
                <w:szCs w:val="24"/>
              </w:rPr>
              <w:t>严格执行计划，教学进度适宜；</w:t>
            </w:r>
          </w:p>
          <w:p w14:paraId="28ED598B">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w:t>
            </w:r>
            <w:r>
              <w:rPr>
                <w:rFonts w:hint="eastAsia" w:ascii="宋体" w:hAnsi="宋体" w:eastAsia="宋体" w:cs="Times New Roman"/>
                <w:color w:val="000000"/>
                <w:szCs w:val="24"/>
              </w:rPr>
              <w:t>课堂教学信息充分，注重理论联系实际；</w:t>
            </w:r>
          </w:p>
          <w:p w14:paraId="443E9730">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w:t>
            </w:r>
            <w:r>
              <w:rPr>
                <w:rFonts w:hint="eastAsia" w:ascii="宋体" w:hAnsi="宋体" w:eastAsia="宋体" w:cs="Times New Roman"/>
                <w:color w:val="000000"/>
                <w:szCs w:val="21"/>
              </w:rPr>
              <w:t>）</w:t>
            </w:r>
            <w:r>
              <w:rPr>
                <w:rFonts w:hint="eastAsia" w:ascii="宋体" w:hAnsi="宋体" w:eastAsia="宋体" w:cs="Times New Roman"/>
                <w:color w:val="000000"/>
                <w:szCs w:val="24"/>
              </w:rPr>
              <w:t>注重启发学生思维，培养学生的教学能力；</w:t>
            </w:r>
          </w:p>
          <w:p w14:paraId="75B64791">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7</w:t>
            </w:r>
            <w:r>
              <w:rPr>
                <w:rFonts w:hint="eastAsia" w:ascii="宋体" w:hAnsi="宋体" w:eastAsia="宋体" w:cs="Times New Roman"/>
                <w:color w:val="000000"/>
                <w:szCs w:val="21"/>
              </w:rPr>
              <w:t>）</w:t>
            </w:r>
            <w:r>
              <w:rPr>
                <w:rFonts w:hint="eastAsia" w:ascii="宋体" w:hAnsi="宋体" w:eastAsia="宋体" w:cs="Times New Roman"/>
                <w:color w:val="000000"/>
                <w:szCs w:val="24"/>
              </w:rPr>
              <w:t>面向全体基础上因材施教，灵活运用多种教学方法；</w:t>
            </w:r>
          </w:p>
          <w:p w14:paraId="4DBA87E8">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8</w:t>
            </w:r>
            <w:r>
              <w:rPr>
                <w:rFonts w:hint="eastAsia" w:ascii="宋体" w:hAnsi="宋体" w:eastAsia="宋体" w:cs="Times New Roman"/>
                <w:color w:val="000000"/>
                <w:szCs w:val="21"/>
              </w:rPr>
              <w:t>）</w:t>
            </w:r>
            <w:r>
              <w:rPr>
                <w:rFonts w:hint="eastAsia" w:ascii="宋体" w:hAnsi="宋体" w:eastAsia="宋体" w:cs="Times New Roman"/>
                <w:color w:val="000000"/>
                <w:szCs w:val="24"/>
              </w:rPr>
              <w:t>教学语言规范，为学生教育教学做好表率；</w:t>
            </w:r>
          </w:p>
          <w:p w14:paraId="60320B34">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color w:val="000000"/>
                <w:szCs w:val="24"/>
              </w:rPr>
              <w:t>教学条理清楚，教学思路逻辑严密；</w:t>
            </w:r>
          </w:p>
          <w:p w14:paraId="4E15C77F">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color w:val="000000"/>
                <w:szCs w:val="24"/>
              </w:rPr>
              <w:t>充分运用现代化教学手段，教学技术熟练；</w:t>
            </w:r>
          </w:p>
          <w:p w14:paraId="688AEE16">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宋体" w:hAnsi="宋体" w:eastAsia="宋体" w:cs="Times New Roman"/>
                <w:color w:val="000000"/>
                <w:szCs w:val="24"/>
              </w:rPr>
              <w:t>课堂教学要重点突出，难点突破；</w:t>
            </w:r>
          </w:p>
          <w:p w14:paraId="23685C03">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12</w:t>
            </w:r>
            <w:r>
              <w:rPr>
                <w:rFonts w:hint="eastAsia" w:ascii="宋体" w:hAnsi="宋体" w:eastAsia="宋体" w:cs="Times New Roman"/>
                <w:color w:val="000000"/>
                <w:szCs w:val="21"/>
              </w:rPr>
              <w:t>）</w:t>
            </w:r>
            <w:r>
              <w:rPr>
                <w:rFonts w:hint="eastAsia" w:ascii="宋体" w:hAnsi="宋体" w:eastAsia="宋体" w:cs="Times New Roman"/>
                <w:color w:val="000000"/>
                <w:szCs w:val="24"/>
              </w:rPr>
              <w:t>注重师生互动，形成良好的课堂氛围。</w:t>
            </w:r>
          </w:p>
        </w:tc>
      </w:tr>
      <w:tr w14:paraId="6E0C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582" w:type="dxa"/>
            <w:tcBorders>
              <w:left w:val="single" w:color="auto" w:sz="8" w:space="0"/>
            </w:tcBorders>
            <w:vAlign w:val="center"/>
          </w:tcPr>
          <w:p w14:paraId="1C412E40">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5B3E677C">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作业布置与批改</w:t>
            </w:r>
          </w:p>
        </w:tc>
        <w:tc>
          <w:tcPr>
            <w:tcW w:w="7204" w:type="dxa"/>
            <w:tcBorders>
              <w:right w:val="single" w:color="auto" w:sz="8" w:space="0"/>
            </w:tcBorders>
            <w:vAlign w:val="center"/>
          </w:tcPr>
          <w:p w14:paraId="0E377A1E">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6C1E0C22">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）按时按量完成作业，不缺交，不抄袭。</w:t>
            </w:r>
          </w:p>
          <w:p w14:paraId="1A1EB412">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）书写规范、</w:t>
            </w:r>
            <w:r>
              <w:rPr>
                <w:rFonts w:hint="eastAsia" w:ascii="宋体" w:hAnsi="宋体" w:eastAsia="宋体" w:cs="Times New Roman"/>
                <w:color w:val="000000"/>
                <w:szCs w:val="21"/>
                <w:lang w:val="en-US" w:eastAsia="zh-CN"/>
              </w:rPr>
              <w:t>字迹美观</w:t>
            </w:r>
            <w:r>
              <w:rPr>
                <w:rFonts w:hint="eastAsia" w:ascii="宋体" w:hAnsi="宋体" w:eastAsia="宋体" w:cs="Times New Roman"/>
                <w:color w:val="000000"/>
                <w:szCs w:val="21"/>
              </w:rPr>
              <w:t>。</w:t>
            </w:r>
          </w:p>
          <w:p w14:paraId="63613DFB">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有一定的独立见解</w:t>
            </w:r>
            <w:r>
              <w:rPr>
                <w:rFonts w:hint="eastAsia" w:ascii="宋体" w:hAnsi="宋体" w:eastAsia="宋体" w:cs="Times New Roman"/>
                <w:color w:val="000000"/>
                <w:szCs w:val="21"/>
              </w:rPr>
              <w:t>。</w:t>
            </w:r>
          </w:p>
          <w:p w14:paraId="73768AB0">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教师批改和讲评作业要求如下：</w:t>
            </w:r>
          </w:p>
          <w:p w14:paraId="1A336F21">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）学生的作业要按时全部批改，并及时进行讲评。</w:t>
            </w:r>
          </w:p>
          <w:p w14:paraId="688D7421">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）教师批改和讲评作业要认真、细致，按百分制评定成绩并写明日期。</w:t>
            </w:r>
          </w:p>
          <w:p w14:paraId="59701499">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）学生作业平均成绩应作为本课程总评成绩中平时成绩的重要组成部分。</w:t>
            </w:r>
          </w:p>
        </w:tc>
      </w:tr>
      <w:tr w14:paraId="5780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3B6F7608">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5207066F">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课外答疑</w:t>
            </w:r>
          </w:p>
        </w:tc>
        <w:tc>
          <w:tcPr>
            <w:tcW w:w="7204" w:type="dxa"/>
            <w:tcBorders>
              <w:right w:val="single" w:color="auto" w:sz="8" w:space="0"/>
            </w:tcBorders>
            <w:vAlign w:val="center"/>
          </w:tcPr>
          <w:p w14:paraId="0B921A61">
            <w:pPr>
              <w:adjustRightInd w:val="0"/>
              <w:snapToGrid w:val="0"/>
              <w:spacing w:line="276" w:lineRule="auto"/>
              <w:ind w:firstLine="420" w:firstLineChars="200"/>
              <w:rPr>
                <w:rFonts w:ascii="宋体" w:hAnsi="等线"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为了解学生的学习情况，帮助学生更好地理解和消化所学知识、改进学习方法和思维方式，培养其独立的反思与评价能力，任课教师</w:t>
            </w:r>
            <w:r>
              <w:rPr>
                <w:rFonts w:hint="eastAsia" w:ascii="宋体" w:hAnsi="宋体" w:eastAsia="宋体" w:cs="Times New Roman"/>
                <w:color w:val="000000"/>
                <w:szCs w:val="21"/>
                <w:lang w:val="en-US" w:eastAsia="zh-CN"/>
              </w:rPr>
              <w:t>根据需要</w:t>
            </w:r>
            <w:r>
              <w:rPr>
                <w:rFonts w:hint="eastAsia" w:ascii="宋体" w:hAnsi="宋体" w:eastAsia="宋体" w:cs="Times New Roman"/>
                <w:color w:val="000000"/>
                <w:szCs w:val="21"/>
              </w:rPr>
              <w:t>安排一定时间进行课外答疑与辅导。</w:t>
            </w:r>
          </w:p>
        </w:tc>
      </w:tr>
      <w:tr w14:paraId="2C75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82" w:type="dxa"/>
            <w:tcBorders>
              <w:left w:val="single" w:color="auto" w:sz="8" w:space="0"/>
            </w:tcBorders>
            <w:vAlign w:val="center"/>
          </w:tcPr>
          <w:p w14:paraId="73E8A774">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34C4CFD0">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成绩考核</w:t>
            </w:r>
          </w:p>
        </w:tc>
        <w:tc>
          <w:tcPr>
            <w:tcW w:w="7204" w:type="dxa"/>
            <w:tcBorders>
              <w:right w:val="single" w:color="auto" w:sz="8" w:space="0"/>
            </w:tcBorders>
            <w:vAlign w:val="center"/>
          </w:tcPr>
          <w:p w14:paraId="401DEDC9">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2B05B03B">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）缺交作业者。</w:t>
            </w:r>
          </w:p>
          <w:p w14:paraId="4533D85B">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）缺课次数达本学期总授课学时的</w:t>
            </w:r>
            <w:r>
              <w:rPr>
                <w:rFonts w:ascii="宋体" w:hAnsi="宋体" w:eastAsia="宋体" w:cs="Times New Roman"/>
                <w:color w:val="000000"/>
                <w:szCs w:val="21"/>
              </w:rPr>
              <w:t>1/3</w:t>
            </w:r>
            <w:r>
              <w:rPr>
                <w:rFonts w:hint="eastAsia" w:ascii="宋体" w:hAnsi="宋体" w:eastAsia="宋体" w:cs="Times New Roman"/>
                <w:color w:val="000000"/>
                <w:szCs w:val="21"/>
              </w:rPr>
              <w:t>以上者。</w:t>
            </w:r>
          </w:p>
        </w:tc>
      </w:tr>
    </w:tbl>
    <w:p w14:paraId="573ABBC8">
      <w:pPr>
        <w:spacing w:line="360" w:lineRule="auto"/>
        <w:rPr>
          <w:rFonts w:ascii="宋体" w:hAnsi="等线" w:eastAsia="宋体" w:cs="宋体"/>
          <w:bCs/>
          <w:szCs w:val="21"/>
        </w:rPr>
      </w:pPr>
    </w:p>
    <w:p w14:paraId="58ADD3E1">
      <w:pPr>
        <w:spacing w:line="360" w:lineRule="auto"/>
        <w:rPr>
          <w:rFonts w:ascii="Calibri" w:hAnsi="Calibri" w:eastAsia="宋体" w:cs="Times New Roman"/>
          <w:b/>
          <w:sz w:val="28"/>
          <w:szCs w:val="28"/>
        </w:rPr>
      </w:pPr>
      <w:r>
        <w:rPr>
          <w:rFonts w:hint="eastAsia" w:ascii="Calibri" w:hAnsi="Calibri" w:eastAsia="宋体" w:cs="Times New Roman"/>
          <w:b/>
          <w:sz w:val="28"/>
          <w:szCs w:val="28"/>
        </w:rPr>
        <w:t>五、课程考核</w:t>
      </w:r>
    </w:p>
    <w:p w14:paraId="60F8C199">
      <w:pPr>
        <w:adjustRightInd w:val="0"/>
        <w:snapToGrid w:val="0"/>
        <w:spacing w:line="360" w:lineRule="auto"/>
        <w:rPr>
          <w:rFonts w:ascii="Calibri" w:hAnsi="Calibri" w:eastAsia="宋体" w:cs="Times New Roman"/>
          <w:sz w:val="24"/>
          <w:szCs w:val="24"/>
        </w:rPr>
      </w:pPr>
      <w:r>
        <w:rPr>
          <w:rFonts w:hint="eastAsia" w:ascii="Calibri" w:hAnsi="Calibri" w:eastAsia="宋体" w:cs="Times New Roman"/>
          <w:sz w:val="24"/>
          <w:szCs w:val="24"/>
        </w:rPr>
        <w:t>（一）课程考核包括期末考试、平时及作业考核，期末考试采用</w:t>
      </w:r>
      <w:r>
        <w:rPr>
          <w:rFonts w:hint="eastAsia" w:ascii="Calibri" w:hAnsi="Calibri" w:eastAsia="宋体" w:cs="Times New Roman"/>
          <w:sz w:val="24"/>
          <w:szCs w:val="24"/>
          <w:lang w:val="en-US" w:eastAsia="zh-CN"/>
        </w:rPr>
        <w:t>开</w:t>
      </w:r>
      <w:r>
        <w:rPr>
          <w:rFonts w:hint="eastAsia" w:ascii="Calibri" w:hAnsi="Calibri" w:eastAsia="宋体" w:cs="Times New Roman"/>
          <w:sz w:val="24"/>
          <w:szCs w:val="24"/>
        </w:rPr>
        <w:t>卷笔试方式。</w:t>
      </w:r>
    </w:p>
    <w:p w14:paraId="0B33347A">
      <w:pPr>
        <w:adjustRightInd w:val="0"/>
        <w:snapToGrid w:val="0"/>
        <w:spacing w:line="360" w:lineRule="auto"/>
        <w:rPr>
          <w:rFonts w:ascii="宋体" w:hAnsi="宋体" w:eastAsia="宋体" w:cs="Times New Roman"/>
          <w:sz w:val="24"/>
          <w:szCs w:val="24"/>
        </w:rPr>
      </w:pPr>
      <w:r>
        <w:rPr>
          <w:rFonts w:hint="eastAsia" w:ascii="Calibri" w:hAnsi="Calibri" w:eastAsia="宋体" w:cs="Times New Roman"/>
          <w:sz w:val="24"/>
          <w:szCs w:val="24"/>
        </w:rPr>
        <w:t>（二）课程成绩</w:t>
      </w:r>
      <w:r>
        <w:rPr>
          <w:rFonts w:ascii="Calibri" w:hAnsi="Calibri" w:eastAsia="宋体" w:cs="Times New Roman"/>
          <w:sz w:val="24"/>
          <w:szCs w:val="24"/>
        </w:rPr>
        <w:t>=</w:t>
      </w:r>
      <w:r>
        <w:rPr>
          <w:rFonts w:hint="eastAsia" w:ascii="Calibri" w:hAnsi="Calibri" w:eastAsia="宋体" w:cs="Times New Roman"/>
          <w:sz w:val="24"/>
          <w:szCs w:val="24"/>
        </w:rPr>
        <w:t>平时成绩</w:t>
      </w:r>
      <w:r>
        <w:rPr>
          <w:rFonts w:hint="eastAsia" w:ascii="宋体" w:hAnsi="宋体" w:eastAsia="宋体" w:cs="Times New Roman"/>
          <w:sz w:val="24"/>
          <w:szCs w:val="24"/>
        </w:rPr>
        <w:t>×</w:t>
      </w:r>
      <w:r>
        <w:rPr>
          <w:rFonts w:ascii="宋体" w:hAnsi="宋体" w:eastAsia="宋体" w:cs="Times New Roman"/>
          <w:sz w:val="24"/>
          <w:szCs w:val="24"/>
        </w:rPr>
        <w:t>20%+</w:t>
      </w:r>
      <w:r>
        <w:rPr>
          <w:rFonts w:hint="eastAsia" w:ascii="宋体" w:hAnsi="宋体" w:eastAsia="宋体" w:cs="Times New Roman"/>
          <w:sz w:val="24"/>
          <w:szCs w:val="24"/>
          <w:lang w:val="en-US" w:eastAsia="zh-CN"/>
        </w:rPr>
        <w:t>作业</w:t>
      </w:r>
      <w:r>
        <w:rPr>
          <w:rFonts w:hint="eastAsia" w:ascii="宋体" w:hAnsi="宋体" w:eastAsia="宋体" w:cs="Times New Roman"/>
          <w:sz w:val="24"/>
          <w:szCs w:val="24"/>
        </w:rPr>
        <w:t>成绩×</w:t>
      </w:r>
      <w:r>
        <w:rPr>
          <w:rFonts w:ascii="宋体" w:hAnsi="宋体" w:eastAsia="宋体" w:cs="Times New Roman"/>
          <w:sz w:val="24"/>
          <w:szCs w:val="24"/>
        </w:rPr>
        <w:t>20%+</w:t>
      </w:r>
      <w:r>
        <w:rPr>
          <w:rFonts w:hint="eastAsia" w:ascii="宋体" w:hAnsi="宋体" w:eastAsia="宋体" w:cs="Times New Roman"/>
          <w:sz w:val="24"/>
          <w:szCs w:val="24"/>
        </w:rPr>
        <w:t>期末考试成绩×</w:t>
      </w:r>
      <w:r>
        <w:rPr>
          <w:rFonts w:ascii="宋体" w:hAnsi="宋体" w:eastAsia="宋体" w:cs="Times New Roman"/>
          <w:sz w:val="24"/>
          <w:szCs w:val="24"/>
        </w:rPr>
        <w:t>60%</w:t>
      </w:r>
      <w:r>
        <w:rPr>
          <w:rFonts w:hint="eastAsia" w:ascii="宋体" w:hAnsi="宋体" w:eastAsia="宋体" w:cs="Times New Roman"/>
          <w:sz w:val="24"/>
          <w:szCs w:val="24"/>
        </w:rPr>
        <w:t>。</w:t>
      </w:r>
    </w:p>
    <w:p w14:paraId="11F66E79">
      <w:pPr>
        <w:adjustRightInd w:val="0"/>
        <w:snapToGrid w:val="0"/>
        <w:spacing w:line="360" w:lineRule="auto"/>
        <w:rPr>
          <w:rFonts w:ascii="宋体" w:hAnsi="宋体" w:eastAsia="宋体" w:cs="Times New Roman"/>
          <w:sz w:val="24"/>
          <w:szCs w:val="24"/>
        </w:rPr>
      </w:pPr>
      <w:r>
        <w:rPr>
          <w:rFonts w:hint="eastAsia" w:ascii="宋体" w:hAnsi="宋体" w:eastAsia="宋体" w:cs="Times New Roman"/>
          <w:b/>
          <w:sz w:val="24"/>
          <w:szCs w:val="24"/>
        </w:rPr>
        <w:t>具体内容和比例如下表所示</w:t>
      </w:r>
      <w:r>
        <w:rPr>
          <w:rFonts w:hint="eastAsia" w:ascii="宋体" w:hAnsi="宋体" w:eastAsia="宋体" w:cs="Times New Roman"/>
          <w:sz w:val="24"/>
          <w:szCs w:val="24"/>
        </w:rPr>
        <w:t>：</w:t>
      </w:r>
    </w:p>
    <w:tbl>
      <w:tblPr>
        <w:tblStyle w:val="10"/>
        <w:tblW w:w="936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2977"/>
        <w:gridCol w:w="1418"/>
        <w:gridCol w:w="1275"/>
        <w:gridCol w:w="1143"/>
      </w:tblGrid>
      <w:tr w14:paraId="4753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10" w:type="dxa"/>
            <w:shd w:val="clear" w:color="auto" w:fill="FFFFFF"/>
            <w:tcMar>
              <w:left w:w="57" w:type="dxa"/>
              <w:right w:w="57" w:type="dxa"/>
            </w:tcMar>
            <w:vAlign w:val="center"/>
          </w:tcPr>
          <w:p w14:paraId="64A9D8EB">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成绩组成</w:t>
            </w:r>
          </w:p>
        </w:tc>
        <w:tc>
          <w:tcPr>
            <w:tcW w:w="1134" w:type="dxa"/>
            <w:shd w:val="clear" w:color="auto" w:fill="FFFFFF"/>
            <w:vAlign w:val="center"/>
          </w:tcPr>
          <w:p w14:paraId="56817B41">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考核</w:t>
            </w:r>
            <w:r>
              <w:rPr>
                <w:rFonts w:ascii="等线" w:hAnsi="等线" w:eastAsia="宋体" w:cs="Times New Roman"/>
                <w:b/>
                <w:szCs w:val="24"/>
              </w:rPr>
              <w:t>/</w:t>
            </w:r>
            <w:r>
              <w:rPr>
                <w:rFonts w:hint="eastAsia" w:ascii="等线" w:hAnsi="等线" w:eastAsia="宋体" w:cs="Times New Roman"/>
                <w:b/>
                <w:szCs w:val="24"/>
              </w:rPr>
              <w:t>评价环节</w:t>
            </w:r>
          </w:p>
        </w:tc>
        <w:tc>
          <w:tcPr>
            <w:tcW w:w="708" w:type="dxa"/>
            <w:shd w:val="clear" w:color="auto" w:fill="FFFFFF"/>
            <w:vAlign w:val="center"/>
          </w:tcPr>
          <w:p w14:paraId="269B854F">
            <w:pPr>
              <w:adjustRightInd w:val="0"/>
              <w:snapToGrid w:val="0"/>
              <w:spacing w:line="276" w:lineRule="auto"/>
              <w:jc w:val="center"/>
              <w:rPr>
                <w:rFonts w:ascii="等线" w:hAnsi="等线" w:eastAsia="Times New Roman" w:cs="Times New Roman"/>
                <w:b/>
                <w:szCs w:val="24"/>
              </w:rPr>
            </w:pPr>
            <w:r>
              <w:rPr>
                <w:rFonts w:hint="eastAsia" w:ascii="宋体" w:hAnsi="宋体" w:eastAsia="宋体" w:cs="宋体"/>
                <w:b/>
                <w:szCs w:val="24"/>
              </w:rPr>
              <w:t>权重</w:t>
            </w:r>
          </w:p>
        </w:tc>
        <w:tc>
          <w:tcPr>
            <w:tcW w:w="2977" w:type="dxa"/>
            <w:shd w:val="clear" w:color="auto" w:fill="FFFFFF"/>
            <w:vAlign w:val="center"/>
          </w:tcPr>
          <w:p w14:paraId="59A404E0">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考核</w:t>
            </w:r>
            <w:r>
              <w:rPr>
                <w:rFonts w:ascii="等线" w:hAnsi="等线" w:eastAsia="宋体" w:cs="Times New Roman"/>
                <w:b/>
                <w:szCs w:val="24"/>
              </w:rPr>
              <w:t>/</w:t>
            </w:r>
            <w:r>
              <w:rPr>
                <w:rFonts w:hint="eastAsia" w:ascii="等线" w:hAnsi="等线" w:eastAsia="宋体" w:cs="Times New Roman"/>
                <w:b/>
                <w:szCs w:val="24"/>
              </w:rPr>
              <w:t>评价细则</w:t>
            </w:r>
          </w:p>
        </w:tc>
        <w:tc>
          <w:tcPr>
            <w:tcW w:w="1418" w:type="dxa"/>
            <w:shd w:val="clear" w:color="auto" w:fill="FFFFFF"/>
            <w:vAlign w:val="center"/>
          </w:tcPr>
          <w:p w14:paraId="74A68542">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课程目标</w:t>
            </w:r>
          </w:p>
        </w:tc>
        <w:tc>
          <w:tcPr>
            <w:tcW w:w="1275" w:type="dxa"/>
            <w:shd w:val="clear" w:color="auto" w:fill="FFFFFF"/>
            <w:vAlign w:val="center"/>
          </w:tcPr>
          <w:p w14:paraId="02F6068E">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考核内容</w:t>
            </w:r>
          </w:p>
        </w:tc>
        <w:tc>
          <w:tcPr>
            <w:tcW w:w="1143" w:type="dxa"/>
            <w:shd w:val="clear" w:color="auto" w:fill="FFFFFF"/>
            <w:vAlign w:val="center"/>
          </w:tcPr>
          <w:p w14:paraId="4485BD95">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对应的毕业要求指标点</w:t>
            </w:r>
          </w:p>
        </w:tc>
      </w:tr>
      <w:tr w14:paraId="2FB8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710" w:type="dxa"/>
            <w:tcMar>
              <w:left w:w="57" w:type="dxa"/>
              <w:right w:w="57" w:type="dxa"/>
            </w:tcMar>
            <w:vAlign w:val="center"/>
          </w:tcPr>
          <w:p w14:paraId="766E5E29">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平时成绩</w:t>
            </w:r>
          </w:p>
        </w:tc>
        <w:tc>
          <w:tcPr>
            <w:tcW w:w="1134" w:type="dxa"/>
            <w:vAlign w:val="center"/>
          </w:tcPr>
          <w:p w14:paraId="04EDA618">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课堂考勤、表现及平时作业</w:t>
            </w:r>
          </w:p>
        </w:tc>
        <w:tc>
          <w:tcPr>
            <w:tcW w:w="708" w:type="dxa"/>
            <w:vAlign w:val="center"/>
          </w:tcPr>
          <w:p w14:paraId="40F7DC03">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40%</w:t>
            </w:r>
          </w:p>
        </w:tc>
        <w:tc>
          <w:tcPr>
            <w:tcW w:w="2977" w:type="dxa"/>
            <w:vAlign w:val="center"/>
          </w:tcPr>
          <w:p w14:paraId="76B20320">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课堂考勤：病假和事假一次</w:t>
            </w:r>
            <w:r>
              <w:rPr>
                <w:rFonts w:hint="eastAsia" w:ascii="宋体" w:hAnsi="宋体" w:eastAsia="宋体" w:cs="宋体"/>
                <w:kern w:val="0"/>
                <w:szCs w:val="21"/>
                <w:lang w:val="en-US" w:eastAsia="zh-CN"/>
              </w:rPr>
              <w:t>不</w:t>
            </w:r>
            <w:r>
              <w:rPr>
                <w:rFonts w:hint="eastAsia" w:ascii="宋体" w:hAnsi="宋体" w:eastAsia="宋体" w:cs="宋体"/>
                <w:kern w:val="0"/>
                <w:szCs w:val="21"/>
              </w:rPr>
              <w:t>扣分，无故缺席</w:t>
            </w:r>
            <w:r>
              <w:rPr>
                <w:rFonts w:hint="eastAsia" w:ascii="宋体" w:hAnsi="宋体" w:eastAsia="宋体" w:cs="宋体"/>
                <w:kern w:val="0"/>
                <w:szCs w:val="21"/>
                <w:lang w:val="en-US" w:eastAsia="zh-CN"/>
              </w:rPr>
              <w:t>或迟到</w:t>
            </w:r>
            <w:r>
              <w:rPr>
                <w:rFonts w:hint="eastAsia" w:ascii="宋体" w:hAnsi="宋体" w:eastAsia="宋体" w:cs="宋体"/>
                <w:kern w:val="0"/>
                <w:szCs w:val="21"/>
              </w:rPr>
              <w:t>一次扣</w:t>
            </w:r>
            <w:r>
              <w:rPr>
                <w:rFonts w:hint="eastAsia" w:ascii="宋体" w:hAnsi="宋体" w:eastAsia="宋体" w:cs="宋体"/>
                <w:kern w:val="0"/>
                <w:szCs w:val="21"/>
                <w:lang w:val="en-US" w:eastAsia="zh-CN"/>
              </w:rPr>
              <w:t>1</w:t>
            </w:r>
            <w:r>
              <w:rPr>
                <w:rFonts w:hint="eastAsia" w:ascii="宋体" w:hAnsi="宋体" w:eastAsia="宋体" w:cs="宋体"/>
                <w:kern w:val="0"/>
                <w:szCs w:val="21"/>
              </w:rPr>
              <w:t>分。</w:t>
            </w:r>
          </w:p>
          <w:p w14:paraId="2DB60136">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p w14:paraId="0DC4639C">
            <w:pPr>
              <w:adjustRightInd w:val="0"/>
              <w:snapToGrid w:val="0"/>
              <w:spacing w:line="276" w:lineRule="auto"/>
              <w:rPr>
                <w:rFonts w:ascii="宋体" w:hAnsi="宋体" w:eastAsia="宋体" w:cs="Times New Roman"/>
                <w:szCs w:val="24"/>
              </w:rPr>
            </w:pPr>
            <w:r>
              <w:rPr>
                <w:rFonts w:hint="eastAsia" w:ascii="宋体" w:hAnsi="宋体" w:eastAsia="宋体" w:cs="Times New Roman"/>
                <w:szCs w:val="21"/>
              </w:rPr>
              <w:t>平时作业：</w:t>
            </w:r>
            <w:r>
              <w:rPr>
                <w:rFonts w:hint="eastAsia" w:ascii="宋体" w:hAnsi="宋体" w:eastAsia="宋体" w:cs="Times New Roman"/>
                <w:szCs w:val="21"/>
                <w:lang w:val="en-US" w:eastAsia="zh-CN"/>
              </w:rPr>
              <w:t>2</w:t>
            </w:r>
            <w:r>
              <w:rPr>
                <w:rFonts w:hint="eastAsia" w:ascii="宋体" w:hAnsi="宋体" w:eastAsia="宋体" w:cs="Times New Roman"/>
                <w:szCs w:val="21"/>
              </w:rPr>
              <w:t>次书面作业，主要考核学生运用理论分析问题的能力。</w:t>
            </w:r>
          </w:p>
        </w:tc>
        <w:tc>
          <w:tcPr>
            <w:tcW w:w="1418" w:type="dxa"/>
            <w:vAlign w:val="center"/>
          </w:tcPr>
          <w:p w14:paraId="45076AF6">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0D79C0D3">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0D3523F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51F0CB7A">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74707DFE">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6</w:t>
            </w:r>
          </w:p>
        </w:tc>
        <w:tc>
          <w:tcPr>
            <w:tcW w:w="1275" w:type="dxa"/>
            <w:vAlign w:val="center"/>
          </w:tcPr>
          <w:p w14:paraId="5A0F9124">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每章节的基本知识和理论的掌握及运用</w:t>
            </w:r>
          </w:p>
        </w:tc>
        <w:tc>
          <w:tcPr>
            <w:tcW w:w="1143" w:type="dxa"/>
            <w:vAlign w:val="center"/>
          </w:tcPr>
          <w:p w14:paraId="1BEF44A9">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1-1</w:t>
            </w:r>
          </w:p>
          <w:p w14:paraId="43D2A22E">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10A95792">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5-3</w:t>
            </w:r>
          </w:p>
          <w:p w14:paraId="080BF617">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r w14:paraId="6AC4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trPr>
        <w:tc>
          <w:tcPr>
            <w:tcW w:w="710" w:type="dxa"/>
            <w:tcMar>
              <w:left w:w="57" w:type="dxa"/>
              <w:right w:w="57" w:type="dxa"/>
            </w:tcMar>
            <w:vAlign w:val="center"/>
          </w:tcPr>
          <w:p w14:paraId="10C551EF">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tc>
        <w:tc>
          <w:tcPr>
            <w:tcW w:w="1134" w:type="dxa"/>
            <w:vAlign w:val="center"/>
          </w:tcPr>
          <w:p w14:paraId="6742541F">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p w14:paraId="2AC18D24">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卷面成绩</w:t>
            </w:r>
          </w:p>
        </w:tc>
        <w:tc>
          <w:tcPr>
            <w:tcW w:w="708" w:type="dxa"/>
            <w:vAlign w:val="center"/>
          </w:tcPr>
          <w:p w14:paraId="6DECC993">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60%</w:t>
            </w:r>
          </w:p>
        </w:tc>
        <w:tc>
          <w:tcPr>
            <w:tcW w:w="2977" w:type="dxa"/>
            <w:vAlign w:val="center"/>
          </w:tcPr>
          <w:p w14:paraId="37981A40">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试卷题型包括填空题、简答题、论述题</w:t>
            </w:r>
            <w:r>
              <w:rPr>
                <w:rFonts w:hint="eastAsia" w:ascii="宋体" w:hAnsi="宋体" w:eastAsia="宋体" w:cs="Times New Roman"/>
                <w:color w:val="000000"/>
                <w:szCs w:val="21"/>
                <w:lang w:val="en-US" w:eastAsia="zh-CN"/>
              </w:rPr>
              <w:t>和案例分析题</w:t>
            </w:r>
            <w:r>
              <w:rPr>
                <w:rFonts w:hint="eastAsia" w:ascii="宋体" w:hAnsi="宋体" w:eastAsia="宋体" w:cs="Times New Roman"/>
                <w:color w:val="000000"/>
                <w:szCs w:val="21"/>
              </w:rPr>
              <w:t>等，以卷面成绩的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计入课程总成绩。其中：考核基本概念知识型题目占</w:t>
            </w:r>
            <w:r>
              <w:rPr>
                <w:rFonts w:hint="eastAsia" w:ascii="宋体" w:hAnsi="宋体" w:eastAsia="宋体" w:cs="Times New Roman"/>
                <w:color w:val="000000"/>
                <w:szCs w:val="21"/>
                <w:lang w:val="en-US" w:eastAsia="zh-CN"/>
              </w:rPr>
              <w:t>25</w:t>
            </w:r>
            <w:r>
              <w:rPr>
                <w:rFonts w:ascii="宋体" w:hAnsi="宋体" w:eastAsia="宋体" w:cs="Times New Roman"/>
                <w:color w:val="000000"/>
                <w:szCs w:val="21"/>
              </w:rPr>
              <w:t>%</w:t>
            </w:r>
            <w:r>
              <w:rPr>
                <w:rFonts w:hint="eastAsia" w:ascii="宋体" w:hAnsi="宋体" w:eastAsia="宋体" w:cs="Times New Roman"/>
                <w:color w:val="000000"/>
                <w:szCs w:val="21"/>
              </w:rPr>
              <w:t>；考核知识理解型题目占</w:t>
            </w:r>
            <w:r>
              <w:rPr>
                <w:rFonts w:hint="eastAsia" w:ascii="宋体" w:hAnsi="宋体" w:eastAsia="宋体" w:cs="Times New Roman"/>
                <w:color w:val="000000"/>
                <w:szCs w:val="21"/>
                <w:lang w:val="en-US" w:eastAsia="zh-CN"/>
              </w:rPr>
              <w:t>25</w:t>
            </w:r>
            <w:r>
              <w:rPr>
                <w:rFonts w:ascii="宋体" w:hAnsi="宋体" w:eastAsia="宋体" w:cs="Times New Roman"/>
                <w:color w:val="000000"/>
                <w:szCs w:val="21"/>
              </w:rPr>
              <w:t>%</w:t>
            </w:r>
            <w:r>
              <w:rPr>
                <w:rFonts w:hint="eastAsia" w:ascii="宋体" w:hAnsi="宋体" w:eastAsia="宋体" w:cs="Times New Roman"/>
                <w:color w:val="000000"/>
                <w:szCs w:val="21"/>
              </w:rPr>
              <w:t>；考核综合分析能力题目占</w:t>
            </w:r>
            <w:r>
              <w:rPr>
                <w:rFonts w:hint="eastAsia" w:ascii="宋体" w:hAnsi="宋体" w:eastAsia="宋体" w:cs="Times New Roman"/>
                <w:color w:val="000000"/>
                <w:szCs w:val="21"/>
                <w:lang w:val="en-US" w:eastAsia="zh-CN"/>
              </w:rPr>
              <w:t>5</w:t>
            </w:r>
            <w:r>
              <w:rPr>
                <w:rFonts w:ascii="宋体" w:hAnsi="宋体" w:eastAsia="宋体" w:cs="Times New Roman"/>
                <w:color w:val="000000"/>
                <w:szCs w:val="21"/>
              </w:rPr>
              <w:t>0%</w:t>
            </w:r>
            <w:r>
              <w:rPr>
                <w:rFonts w:hint="eastAsia" w:ascii="宋体" w:hAnsi="宋体" w:eastAsia="宋体" w:cs="Times New Roman"/>
                <w:color w:val="000000"/>
                <w:szCs w:val="21"/>
              </w:rPr>
              <w:t>。</w:t>
            </w:r>
          </w:p>
        </w:tc>
        <w:tc>
          <w:tcPr>
            <w:tcW w:w="1418" w:type="dxa"/>
            <w:vAlign w:val="center"/>
          </w:tcPr>
          <w:p w14:paraId="023DDA16">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1549820C">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720AA536">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4884FE8D">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2DB66274">
            <w:pPr>
              <w:adjustRightInd w:val="0"/>
              <w:snapToGrid w:val="0"/>
              <w:spacing w:line="276" w:lineRule="auto"/>
              <w:jc w:val="center"/>
              <w:rPr>
                <w:rFonts w:ascii="宋体" w:hAnsi="宋体" w:eastAsia="宋体" w:cs="Times New Roman"/>
                <w:b/>
                <w:szCs w:val="24"/>
              </w:rPr>
            </w:pPr>
            <w:r>
              <w:rPr>
                <w:rFonts w:hint="eastAsia" w:ascii="宋体" w:hAnsi="宋体" w:eastAsia="宋体" w:cs="Times New Roman"/>
                <w:szCs w:val="24"/>
              </w:rPr>
              <w:t>课程目标</w:t>
            </w:r>
            <w:r>
              <w:rPr>
                <w:rFonts w:ascii="宋体" w:hAnsi="宋体" w:eastAsia="宋体" w:cs="Times New Roman"/>
                <w:szCs w:val="24"/>
              </w:rPr>
              <w:t>6</w:t>
            </w:r>
          </w:p>
        </w:tc>
        <w:tc>
          <w:tcPr>
            <w:tcW w:w="1275" w:type="dxa"/>
            <w:vAlign w:val="center"/>
          </w:tcPr>
          <w:p w14:paraId="1728AFAB">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教育政策的价值取向、教育法律关系和教育法律责任、学校事故及侵权责任、小学教师的权利和义务、重要法律法规文件解读</w:t>
            </w:r>
          </w:p>
        </w:tc>
        <w:tc>
          <w:tcPr>
            <w:tcW w:w="1143" w:type="dxa"/>
            <w:vAlign w:val="center"/>
          </w:tcPr>
          <w:p w14:paraId="41080D2A">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1-1</w:t>
            </w:r>
          </w:p>
          <w:p w14:paraId="5E1DEEE1">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3B38995D">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5-3</w:t>
            </w:r>
          </w:p>
          <w:p w14:paraId="2B765A5C">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bl>
    <w:p w14:paraId="4096D475">
      <w:pPr>
        <w:adjustRightInd w:val="0"/>
        <w:snapToGrid w:val="0"/>
        <w:spacing w:line="360" w:lineRule="auto"/>
        <w:rPr>
          <w:rFonts w:ascii="宋体" w:hAnsi="等线" w:eastAsia="宋体" w:cs="Times New Roman"/>
          <w:color w:val="000000"/>
          <w:sz w:val="24"/>
        </w:rPr>
      </w:pPr>
    </w:p>
    <w:p w14:paraId="57131C40">
      <w:pPr>
        <w:spacing w:line="360" w:lineRule="auto"/>
        <w:rPr>
          <w:rFonts w:ascii="Calibri" w:hAnsi="Calibri" w:eastAsia="宋体" w:cs="Times New Roman"/>
          <w:b/>
          <w:bCs/>
          <w:sz w:val="24"/>
          <w:szCs w:val="24"/>
        </w:rPr>
      </w:pPr>
      <w:r>
        <w:rPr>
          <w:rFonts w:hint="eastAsia" w:ascii="Calibri" w:hAnsi="Calibri" w:eastAsia="宋体" w:cs="Times New Roman"/>
          <w:b/>
          <w:bCs/>
          <w:sz w:val="24"/>
          <w:szCs w:val="24"/>
        </w:rPr>
        <w:t>（三）课程目标及考核方式权重分配表</w:t>
      </w:r>
    </w:p>
    <w:tbl>
      <w:tblPr>
        <w:tblStyle w:val="10"/>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346"/>
        <w:gridCol w:w="1902"/>
        <w:gridCol w:w="1426"/>
        <w:gridCol w:w="2065"/>
      </w:tblGrid>
      <w:tr w14:paraId="7BD1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326" w:type="dxa"/>
            <w:gridSpan w:val="2"/>
            <w:vAlign w:val="center"/>
          </w:tcPr>
          <w:p w14:paraId="444CA99E">
            <w:pPr>
              <w:adjustRightInd w:val="0"/>
              <w:snapToGrid w:val="0"/>
              <w:spacing w:line="276" w:lineRule="auto"/>
              <w:jc w:val="center"/>
              <w:rPr>
                <w:rFonts w:ascii="宋体" w:hAnsi="等线" w:eastAsia="宋体" w:cs="Times New Roman"/>
                <w:b/>
                <w:kern w:val="0"/>
                <w:szCs w:val="21"/>
              </w:rPr>
            </w:pPr>
            <w:r>
              <w:rPr>
                <w:rFonts w:hint="eastAsia" w:ascii="宋体" w:hAnsi="宋体" w:eastAsia="宋体" w:cs="Times New Roman"/>
                <w:b/>
                <w:kern w:val="0"/>
                <w:szCs w:val="21"/>
              </w:rPr>
              <w:t>课程目标及权重</w:t>
            </w:r>
          </w:p>
        </w:tc>
        <w:tc>
          <w:tcPr>
            <w:tcW w:w="5393" w:type="dxa"/>
            <w:gridSpan w:val="3"/>
            <w:vAlign w:val="center"/>
          </w:tcPr>
          <w:p w14:paraId="65B65647">
            <w:pPr>
              <w:adjustRightInd w:val="0"/>
              <w:snapToGrid w:val="0"/>
              <w:spacing w:line="276" w:lineRule="auto"/>
              <w:jc w:val="center"/>
              <w:rPr>
                <w:rFonts w:ascii="宋体" w:hAnsi="等线" w:eastAsia="宋体" w:cs="Times New Roman"/>
                <w:b/>
                <w:kern w:val="0"/>
                <w:szCs w:val="21"/>
              </w:rPr>
            </w:pPr>
            <w:r>
              <w:rPr>
                <w:rFonts w:hint="eastAsia" w:ascii="宋体" w:hAnsi="宋体" w:eastAsia="宋体" w:cs="Times New Roman"/>
                <w:b/>
                <w:kern w:val="0"/>
                <w:szCs w:val="21"/>
              </w:rPr>
              <w:t>考核方式及权重</w:t>
            </w:r>
          </w:p>
        </w:tc>
      </w:tr>
      <w:tr w14:paraId="058A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80" w:type="dxa"/>
            <w:vAlign w:val="center"/>
          </w:tcPr>
          <w:p w14:paraId="210E2C1A">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项目</w:t>
            </w:r>
          </w:p>
        </w:tc>
        <w:tc>
          <w:tcPr>
            <w:tcW w:w="1346" w:type="dxa"/>
            <w:vAlign w:val="center"/>
          </w:tcPr>
          <w:p w14:paraId="31AF5131">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02" w:type="dxa"/>
            <w:vAlign w:val="center"/>
          </w:tcPr>
          <w:p w14:paraId="36F88F23">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评价依据</w:t>
            </w:r>
          </w:p>
        </w:tc>
        <w:tc>
          <w:tcPr>
            <w:tcW w:w="1426" w:type="dxa"/>
            <w:vAlign w:val="center"/>
          </w:tcPr>
          <w:p w14:paraId="35EAE637">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065" w:type="dxa"/>
            <w:vAlign w:val="center"/>
          </w:tcPr>
          <w:p w14:paraId="02283556">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考核方式权重合计</w:t>
            </w:r>
          </w:p>
        </w:tc>
      </w:tr>
      <w:tr w14:paraId="33FF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253F6693">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46" w:type="dxa"/>
            <w:vMerge w:val="restart"/>
            <w:vAlign w:val="center"/>
          </w:tcPr>
          <w:p w14:paraId="46B4D7E2">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7F2406D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7AEEFCDF">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6A8777A8">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44AC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647D6E4B">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1C2B0028">
            <w:pPr>
              <w:adjustRightInd w:val="0"/>
              <w:snapToGrid w:val="0"/>
              <w:spacing w:line="276" w:lineRule="auto"/>
              <w:jc w:val="center"/>
              <w:rPr>
                <w:rFonts w:ascii="宋体" w:hAnsi="等线" w:eastAsia="宋体" w:cs="Times New Roman"/>
                <w:kern w:val="0"/>
                <w:szCs w:val="21"/>
              </w:rPr>
            </w:pPr>
          </w:p>
        </w:tc>
        <w:tc>
          <w:tcPr>
            <w:tcW w:w="1902" w:type="dxa"/>
            <w:vAlign w:val="center"/>
          </w:tcPr>
          <w:p w14:paraId="156F07DA">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3B0F1BD8">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29AF1E0D">
            <w:pPr>
              <w:adjustRightInd w:val="0"/>
              <w:snapToGrid w:val="0"/>
              <w:spacing w:line="276" w:lineRule="auto"/>
              <w:jc w:val="center"/>
              <w:rPr>
                <w:rFonts w:ascii="宋体" w:hAnsi="宋体" w:eastAsia="宋体" w:cs="Times New Roman"/>
                <w:kern w:val="0"/>
                <w:szCs w:val="21"/>
              </w:rPr>
            </w:pPr>
          </w:p>
        </w:tc>
      </w:tr>
      <w:tr w14:paraId="0C17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980" w:type="dxa"/>
            <w:vAlign w:val="center"/>
          </w:tcPr>
          <w:p w14:paraId="124790B0">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46" w:type="dxa"/>
            <w:vAlign w:val="center"/>
          </w:tcPr>
          <w:p w14:paraId="58AB525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64EA3A81">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1D4E7282">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65" w:type="dxa"/>
            <w:vAlign w:val="center"/>
          </w:tcPr>
          <w:p w14:paraId="3F058909">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0B5B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980" w:type="dxa"/>
            <w:vAlign w:val="center"/>
          </w:tcPr>
          <w:p w14:paraId="59E4EAAE">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46" w:type="dxa"/>
            <w:vAlign w:val="center"/>
          </w:tcPr>
          <w:p w14:paraId="4067AE1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20%</w:t>
            </w:r>
          </w:p>
        </w:tc>
        <w:tc>
          <w:tcPr>
            <w:tcW w:w="1902" w:type="dxa"/>
            <w:vAlign w:val="center"/>
          </w:tcPr>
          <w:p w14:paraId="68E0CEE9">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60CE8383">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65" w:type="dxa"/>
            <w:vAlign w:val="center"/>
          </w:tcPr>
          <w:p w14:paraId="35680169">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135A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1CE2D52E">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346" w:type="dxa"/>
            <w:vMerge w:val="restart"/>
            <w:vAlign w:val="center"/>
          </w:tcPr>
          <w:p w14:paraId="4B95088A">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4E658350">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6E109F8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259B6B4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7E2A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44B65C8F">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5CFC8B08">
            <w:pPr>
              <w:adjustRightInd w:val="0"/>
              <w:snapToGrid w:val="0"/>
              <w:spacing w:line="276" w:lineRule="auto"/>
              <w:jc w:val="center"/>
              <w:rPr>
                <w:rFonts w:ascii="宋体" w:hAnsi="等线" w:eastAsia="宋体" w:cs="Times New Roman"/>
                <w:kern w:val="0"/>
                <w:szCs w:val="21"/>
              </w:rPr>
            </w:pPr>
          </w:p>
        </w:tc>
        <w:tc>
          <w:tcPr>
            <w:tcW w:w="1902" w:type="dxa"/>
            <w:vAlign w:val="center"/>
          </w:tcPr>
          <w:p w14:paraId="700FA3FB">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2975ADC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0DFF5B09">
            <w:pPr>
              <w:adjustRightInd w:val="0"/>
              <w:snapToGrid w:val="0"/>
              <w:spacing w:line="276" w:lineRule="auto"/>
              <w:jc w:val="center"/>
              <w:rPr>
                <w:rFonts w:ascii="宋体" w:hAnsi="宋体" w:eastAsia="宋体" w:cs="Times New Roman"/>
                <w:kern w:val="0"/>
                <w:szCs w:val="21"/>
              </w:rPr>
            </w:pPr>
          </w:p>
        </w:tc>
      </w:tr>
      <w:tr w14:paraId="700F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6029E301">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346" w:type="dxa"/>
            <w:vMerge w:val="restart"/>
            <w:vAlign w:val="center"/>
          </w:tcPr>
          <w:p w14:paraId="455EB592">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1CBB251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5B1070BD">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65" w:type="dxa"/>
            <w:vMerge w:val="restart"/>
            <w:vAlign w:val="center"/>
          </w:tcPr>
          <w:p w14:paraId="19CB27F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57F7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3CF7D6C2">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09EACEFA">
            <w:pPr>
              <w:adjustRightInd w:val="0"/>
              <w:snapToGrid w:val="0"/>
              <w:spacing w:line="276" w:lineRule="auto"/>
              <w:jc w:val="center"/>
              <w:rPr>
                <w:rFonts w:ascii="宋体" w:hAnsi="等线" w:eastAsia="宋体" w:cs="Times New Roman"/>
                <w:kern w:val="0"/>
                <w:szCs w:val="21"/>
              </w:rPr>
            </w:pPr>
          </w:p>
        </w:tc>
        <w:tc>
          <w:tcPr>
            <w:tcW w:w="1902" w:type="dxa"/>
            <w:vAlign w:val="center"/>
          </w:tcPr>
          <w:p w14:paraId="7A5C5C32">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06D750E2">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65" w:type="dxa"/>
            <w:vMerge w:val="continue"/>
            <w:vAlign w:val="center"/>
          </w:tcPr>
          <w:p w14:paraId="66168F55">
            <w:pPr>
              <w:adjustRightInd w:val="0"/>
              <w:snapToGrid w:val="0"/>
              <w:spacing w:line="276" w:lineRule="auto"/>
              <w:jc w:val="center"/>
              <w:rPr>
                <w:rFonts w:ascii="宋体" w:hAnsi="宋体" w:eastAsia="宋体" w:cs="Times New Roman"/>
                <w:kern w:val="0"/>
                <w:szCs w:val="21"/>
              </w:rPr>
            </w:pPr>
          </w:p>
        </w:tc>
      </w:tr>
      <w:tr w14:paraId="286E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4C8C5C7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346" w:type="dxa"/>
            <w:vMerge w:val="restart"/>
            <w:vAlign w:val="center"/>
          </w:tcPr>
          <w:p w14:paraId="587E87F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07AC8146">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27C717B9">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30%</w:t>
            </w:r>
          </w:p>
        </w:tc>
        <w:tc>
          <w:tcPr>
            <w:tcW w:w="2065" w:type="dxa"/>
            <w:vMerge w:val="restart"/>
            <w:vAlign w:val="center"/>
          </w:tcPr>
          <w:p w14:paraId="3830C2D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5815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3DC1EE67">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17258EF8">
            <w:pPr>
              <w:adjustRightInd w:val="0"/>
              <w:snapToGrid w:val="0"/>
              <w:spacing w:line="276" w:lineRule="auto"/>
              <w:jc w:val="center"/>
              <w:rPr>
                <w:rFonts w:ascii="宋体" w:hAnsi="等线" w:eastAsia="宋体" w:cs="Times New Roman"/>
                <w:kern w:val="0"/>
                <w:szCs w:val="21"/>
              </w:rPr>
            </w:pPr>
          </w:p>
        </w:tc>
        <w:tc>
          <w:tcPr>
            <w:tcW w:w="1902" w:type="dxa"/>
            <w:vAlign w:val="center"/>
          </w:tcPr>
          <w:p w14:paraId="0D73371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4656083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20%</w:t>
            </w:r>
          </w:p>
        </w:tc>
        <w:tc>
          <w:tcPr>
            <w:tcW w:w="2065" w:type="dxa"/>
            <w:vMerge w:val="continue"/>
            <w:vAlign w:val="center"/>
          </w:tcPr>
          <w:p w14:paraId="1C434566">
            <w:pPr>
              <w:adjustRightInd w:val="0"/>
              <w:snapToGrid w:val="0"/>
              <w:spacing w:line="276" w:lineRule="auto"/>
              <w:jc w:val="center"/>
              <w:rPr>
                <w:rFonts w:ascii="宋体" w:hAnsi="宋体" w:eastAsia="宋体" w:cs="Times New Roman"/>
                <w:kern w:val="0"/>
                <w:szCs w:val="21"/>
              </w:rPr>
            </w:pPr>
          </w:p>
        </w:tc>
      </w:tr>
      <w:tr w14:paraId="5C84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0CF9659B">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65512B88">
            <w:pPr>
              <w:adjustRightInd w:val="0"/>
              <w:snapToGrid w:val="0"/>
              <w:spacing w:line="276" w:lineRule="auto"/>
              <w:jc w:val="center"/>
              <w:rPr>
                <w:rFonts w:ascii="宋体" w:hAnsi="等线" w:eastAsia="宋体" w:cs="Times New Roman"/>
                <w:kern w:val="0"/>
                <w:szCs w:val="21"/>
              </w:rPr>
            </w:pPr>
          </w:p>
        </w:tc>
        <w:tc>
          <w:tcPr>
            <w:tcW w:w="1902" w:type="dxa"/>
            <w:vAlign w:val="center"/>
          </w:tcPr>
          <w:p w14:paraId="7476CDB7">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48BAAC26">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397C2A88">
            <w:pPr>
              <w:adjustRightInd w:val="0"/>
              <w:snapToGrid w:val="0"/>
              <w:spacing w:line="276" w:lineRule="auto"/>
              <w:jc w:val="center"/>
              <w:rPr>
                <w:rFonts w:ascii="宋体" w:hAnsi="宋体" w:eastAsia="宋体" w:cs="Times New Roman"/>
                <w:kern w:val="0"/>
                <w:szCs w:val="21"/>
              </w:rPr>
            </w:pPr>
          </w:p>
        </w:tc>
      </w:tr>
      <w:tr w14:paraId="0A9B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Align w:val="center"/>
          </w:tcPr>
          <w:p w14:paraId="1EF6A507">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课程目标权重合计</w:t>
            </w:r>
          </w:p>
        </w:tc>
        <w:tc>
          <w:tcPr>
            <w:tcW w:w="1346" w:type="dxa"/>
            <w:vAlign w:val="center"/>
          </w:tcPr>
          <w:p w14:paraId="3465CEB6">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c>
          <w:tcPr>
            <w:tcW w:w="5393" w:type="dxa"/>
            <w:gridSpan w:val="3"/>
            <w:vAlign w:val="center"/>
          </w:tcPr>
          <w:p w14:paraId="0DD3B2A1">
            <w:pPr>
              <w:adjustRightInd w:val="0"/>
              <w:snapToGrid w:val="0"/>
              <w:spacing w:line="276" w:lineRule="auto"/>
              <w:jc w:val="center"/>
              <w:rPr>
                <w:rFonts w:ascii="宋体" w:hAnsi="宋体" w:eastAsia="宋体" w:cs="Times New Roman"/>
                <w:kern w:val="0"/>
                <w:szCs w:val="21"/>
              </w:rPr>
            </w:pPr>
          </w:p>
        </w:tc>
      </w:tr>
    </w:tbl>
    <w:p w14:paraId="240AE24F">
      <w:pPr>
        <w:spacing w:line="360" w:lineRule="auto"/>
        <w:rPr>
          <w:rFonts w:ascii="Calibri" w:hAnsi="Calibri" w:eastAsia="宋体" w:cs="Times New Roman"/>
          <w:b/>
          <w:bCs/>
          <w:sz w:val="24"/>
          <w:szCs w:val="24"/>
        </w:rPr>
      </w:pPr>
    </w:p>
    <w:p w14:paraId="4623D277">
      <w:pPr>
        <w:spacing w:line="360" w:lineRule="auto"/>
        <w:rPr>
          <w:rFonts w:ascii="Calibri" w:hAnsi="Calibri" w:eastAsia="宋体" w:cs="Times New Roman"/>
          <w:b/>
          <w:bCs/>
          <w:sz w:val="24"/>
          <w:szCs w:val="24"/>
        </w:rPr>
      </w:pPr>
      <w:r>
        <w:rPr>
          <w:rFonts w:hint="eastAsia" w:ascii="Calibri" w:hAnsi="Calibri" w:eastAsia="宋体" w:cs="Times New Roman"/>
          <w:b/>
          <w:bCs/>
          <w:sz w:val="24"/>
          <w:szCs w:val="24"/>
        </w:rPr>
        <w:t>（四）课程目标达成度计算方法</w:t>
      </w:r>
    </w:p>
    <w:p w14:paraId="676EDF6B">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所有课程目标均需大于等</w:t>
      </w:r>
      <w:r>
        <w:rPr>
          <w:rFonts w:hint="eastAsia" w:ascii="宋体" w:hAnsi="宋体" w:eastAsia="宋体" w:cs="Times New Roman"/>
          <w:sz w:val="24"/>
          <w:szCs w:val="24"/>
        </w:rPr>
        <w:t>于</w:t>
      </w:r>
      <w:r>
        <w:rPr>
          <w:rFonts w:ascii="宋体" w:hAnsi="宋体" w:eastAsia="宋体" w:cs="Times New Roman"/>
          <w:szCs w:val="21"/>
        </w:rPr>
        <w:t>0.6</w:t>
      </w:r>
      <w:r>
        <w:rPr>
          <w:rFonts w:hint="eastAsia" w:ascii="Calibri" w:hAnsi="Calibri" w:eastAsia="宋体" w:cs="Times New Roman"/>
          <w:sz w:val="24"/>
          <w:szCs w:val="24"/>
        </w:rPr>
        <w:t>，否则总评成绩不及格，需要补考或重修。每门课程目标总体达成度计算方法如下：</w:t>
      </w:r>
    </w:p>
    <w:p w14:paraId="7D7AE3EC">
      <w:pPr>
        <w:adjustRightInd w:val="0"/>
        <w:snapToGrid w:val="0"/>
        <w:spacing w:line="360" w:lineRule="auto"/>
        <w:jc w:val="left"/>
        <w:rPr>
          <w:rFonts w:ascii="宋体" w:hAnsi="等线" w:eastAsia="宋体" w:cs="Times New Roman"/>
          <w:color w:val="000000"/>
          <w:sz w:val="24"/>
        </w:rPr>
      </w:pPr>
      <w:r>
        <w:rPr>
          <w:rFonts w:ascii="宋体" w:hAnsi="宋体" w:eastAsia="宋体" w:cs="Times New Roman"/>
          <w:position w:val="-26"/>
          <w:sz w:val="24"/>
          <w:szCs w:val="24"/>
        </w:rPr>
        <w:object>
          <v:shape id="_x0000_i1043" o:spt="75" type="#_x0000_t75" style="height:28.5pt;width:387pt;" o:ole="t" filled="f" o:preferrelative="t" stroked="f" coordsize="21600,21600">
            <v:path/>
            <v:fill on="f" focussize="0,0"/>
            <v:stroke on="f" joinstyle="miter"/>
            <v:imagedata r:id="rId5" o:title=""/>
            <o:lock v:ext="edit" aspectratio="t"/>
            <w10:wrap type="none"/>
            <w10:anchorlock/>
          </v:shape>
          <o:OLEObject Type="Embed" ProgID="Equation.KSEE3" ShapeID="_x0000_i1043" DrawAspect="Content" ObjectID="_1468075743" r:id="rId26">
            <o:LockedField>false</o:LockedField>
          </o:OLEObject>
        </w:object>
      </w:r>
    </w:p>
    <w:p w14:paraId="0B2E3A0E">
      <w:pPr>
        <w:adjustRightInd w:val="0"/>
        <w:snapToGrid w:val="0"/>
        <w:spacing w:line="360" w:lineRule="auto"/>
        <w:rPr>
          <w:rFonts w:ascii="Calibri" w:hAnsi="Calibri" w:eastAsia="宋体" w:cs="Times New Roman"/>
          <w:b/>
          <w:sz w:val="28"/>
          <w:szCs w:val="28"/>
        </w:rPr>
      </w:pPr>
      <w:r>
        <w:rPr>
          <w:rFonts w:hint="eastAsia" w:ascii="Calibri" w:hAnsi="Calibri" w:eastAsia="宋体" w:cs="Times New Roman"/>
          <w:b/>
          <w:sz w:val="28"/>
          <w:szCs w:val="28"/>
        </w:rPr>
        <w:t>六、有关说明</w:t>
      </w:r>
    </w:p>
    <w:p w14:paraId="61207F93">
      <w:pPr>
        <w:adjustRightInd w:val="0"/>
        <w:snapToGrid w:val="0"/>
        <w:spacing w:line="360" w:lineRule="auto"/>
        <w:rPr>
          <w:rFonts w:ascii="Calibri" w:hAnsi="Calibri" w:eastAsia="宋体" w:cs="Times New Roman"/>
          <w:b/>
          <w:color w:val="000000"/>
          <w:sz w:val="24"/>
          <w:szCs w:val="24"/>
        </w:rPr>
      </w:pPr>
      <w:r>
        <w:rPr>
          <w:rFonts w:hint="eastAsia" w:ascii="Calibri" w:hAnsi="Calibri" w:eastAsia="宋体" w:cs="Times New Roman"/>
          <w:b/>
          <w:color w:val="000000"/>
          <w:sz w:val="24"/>
          <w:szCs w:val="24"/>
        </w:rPr>
        <w:t>（一）持续改进</w:t>
      </w:r>
    </w:p>
    <w:p w14:paraId="18666BEE">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本课程根据学生作业、课堂讨论、教学环节、平时考核情况和学生、教学督导等的反馈，及时对教学中的不足之处进行改进，并在下一轮课程教学中整改完善，确保相应毕业要求指标点达成。</w:t>
      </w:r>
    </w:p>
    <w:p w14:paraId="2972F762">
      <w:pPr>
        <w:adjustRightInd w:val="0"/>
        <w:snapToGrid w:val="0"/>
        <w:spacing w:line="360" w:lineRule="auto"/>
        <w:rPr>
          <w:rFonts w:ascii="Calibri" w:hAnsi="Calibri" w:eastAsia="宋体" w:cs="Times New Roman"/>
          <w:b/>
          <w:color w:val="000000"/>
          <w:sz w:val="24"/>
          <w:szCs w:val="24"/>
        </w:rPr>
      </w:pPr>
      <w:r>
        <w:rPr>
          <w:rFonts w:hint="eastAsia" w:ascii="Calibri" w:hAnsi="Calibri" w:eastAsia="宋体" w:cs="Times New Roman"/>
          <w:b/>
          <w:color w:val="000000"/>
          <w:sz w:val="24"/>
          <w:szCs w:val="24"/>
        </w:rPr>
        <w:t>（二）参考书目及学习资料</w:t>
      </w:r>
    </w:p>
    <w:p w14:paraId="7C09DE24">
      <w:pPr>
        <w:spacing w:line="360" w:lineRule="auto"/>
        <w:rPr>
          <w:rFonts w:ascii="Calibri" w:hAnsi="Calibri" w:eastAsia="宋体" w:cs="Times New Roman"/>
          <w:sz w:val="24"/>
        </w:rPr>
      </w:pPr>
      <w:r>
        <w:rPr>
          <w:rFonts w:ascii="Calibri" w:hAnsi="Calibri" w:eastAsia="宋体" w:cs="Times New Roman"/>
          <w:sz w:val="24"/>
        </w:rPr>
        <w:t>1.</w:t>
      </w:r>
      <w:r>
        <w:rPr>
          <w:rFonts w:hint="eastAsia" w:ascii="Calibri" w:hAnsi="Calibri" w:eastAsia="宋体" w:cs="Times New Roman"/>
          <w:sz w:val="24"/>
          <w:lang w:val="en-US" w:eastAsia="zh-CN"/>
        </w:rPr>
        <w:t>参考</w:t>
      </w:r>
      <w:r>
        <w:rPr>
          <w:rFonts w:hint="eastAsia" w:ascii="Calibri" w:hAnsi="Calibri" w:eastAsia="宋体" w:cs="Times New Roman"/>
          <w:sz w:val="24"/>
        </w:rPr>
        <w:t>教材</w:t>
      </w:r>
    </w:p>
    <w:p w14:paraId="786DD350">
      <w:pPr>
        <w:spacing w:line="360" w:lineRule="auto"/>
        <w:rPr>
          <w:rFonts w:ascii="Calibri" w:hAnsi="Calibri" w:eastAsia="宋体" w:cs="Times New Roman"/>
          <w:sz w:val="24"/>
        </w:rPr>
      </w:pPr>
      <w:r>
        <w:rPr>
          <w:rFonts w:hint="eastAsia" w:ascii="Calibri" w:hAnsi="Calibri" w:eastAsia="宋体" w:cs="Times New Roman"/>
          <w:sz w:val="24"/>
        </w:rPr>
        <w:t>石正义</w:t>
      </w:r>
      <w:r>
        <w:rPr>
          <w:rFonts w:ascii="Calibri" w:hAnsi="Calibri" w:eastAsia="宋体" w:cs="Times New Roman"/>
          <w:sz w:val="24"/>
        </w:rPr>
        <w:t>.</w:t>
      </w:r>
      <w:r>
        <w:rPr>
          <w:rFonts w:hint="eastAsia" w:ascii="Calibri" w:hAnsi="Calibri" w:eastAsia="宋体" w:cs="Times New Roman"/>
          <w:sz w:val="24"/>
        </w:rPr>
        <w:t>小学教育政策与法规</w:t>
      </w:r>
      <w:r>
        <w:rPr>
          <w:rFonts w:ascii="Calibri" w:hAnsi="Calibri" w:eastAsia="宋体" w:cs="Times New Roman"/>
          <w:sz w:val="24"/>
        </w:rPr>
        <w:t>[M].</w:t>
      </w:r>
      <w:r>
        <w:rPr>
          <w:rFonts w:hint="eastAsia" w:ascii="Calibri" w:hAnsi="Calibri" w:eastAsia="宋体" w:cs="Times New Roman"/>
          <w:sz w:val="24"/>
        </w:rPr>
        <w:t>北京：北京师范大学出版社，</w:t>
      </w:r>
      <w:r>
        <w:rPr>
          <w:rFonts w:ascii="Calibri" w:hAnsi="Calibri" w:eastAsia="宋体" w:cs="Times New Roman"/>
          <w:sz w:val="24"/>
        </w:rPr>
        <w:t>20</w:t>
      </w:r>
      <w:r>
        <w:rPr>
          <w:rFonts w:hint="eastAsia" w:ascii="Calibri" w:hAnsi="Calibri" w:eastAsia="宋体" w:cs="Times New Roman"/>
          <w:sz w:val="24"/>
          <w:lang w:val="en-US" w:eastAsia="zh-CN"/>
        </w:rPr>
        <w:t>22</w:t>
      </w:r>
      <w:r>
        <w:rPr>
          <w:rFonts w:ascii="Calibri" w:hAnsi="Calibri" w:eastAsia="宋体" w:cs="Times New Roman"/>
          <w:sz w:val="24"/>
        </w:rPr>
        <w:t>.</w:t>
      </w:r>
    </w:p>
    <w:p w14:paraId="50EFAC7D">
      <w:pPr>
        <w:spacing w:line="360" w:lineRule="auto"/>
        <w:rPr>
          <w:rFonts w:ascii="Calibri" w:hAnsi="Calibri" w:eastAsia="宋体" w:cs="Times New Roman"/>
          <w:sz w:val="24"/>
        </w:rPr>
      </w:pPr>
      <w:r>
        <w:rPr>
          <w:rFonts w:ascii="Calibri" w:hAnsi="Calibri" w:eastAsia="宋体" w:cs="Times New Roman"/>
          <w:sz w:val="24"/>
        </w:rPr>
        <w:t>2.</w:t>
      </w:r>
      <w:r>
        <w:rPr>
          <w:rFonts w:hint="eastAsia" w:ascii="Calibri" w:hAnsi="Calibri" w:eastAsia="宋体" w:cs="Times New Roman"/>
          <w:sz w:val="24"/>
          <w:lang w:val="en-US" w:eastAsia="zh-CN"/>
        </w:rPr>
        <w:t>其他</w:t>
      </w:r>
      <w:r>
        <w:rPr>
          <w:rFonts w:hint="eastAsia" w:ascii="Calibri" w:hAnsi="Calibri" w:eastAsia="宋体" w:cs="Times New Roman"/>
          <w:sz w:val="24"/>
        </w:rPr>
        <w:t>教学参考书</w:t>
      </w:r>
    </w:p>
    <w:p w14:paraId="3480D98C">
      <w:pPr>
        <w:spacing w:line="360" w:lineRule="auto"/>
        <w:rPr>
          <w:rFonts w:ascii="Calibri" w:hAnsi="Calibri" w:eastAsia="宋体" w:cs="Times New Roman"/>
          <w:sz w:val="24"/>
        </w:rPr>
      </w:pPr>
      <w:r>
        <w:rPr>
          <w:rFonts w:hint="eastAsia" w:ascii="Calibri" w:hAnsi="Calibri" w:eastAsia="宋体" w:cs="Times New Roman"/>
          <w:sz w:val="24"/>
        </w:rPr>
        <w:t>阮成武</w:t>
      </w:r>
      <w:r>
        <w:rPr>
          <w:rFonts w:ascii="Calibri" w:hAnsi="Calibri" w:eastAsia="宋体" w:cs="Times New Roman"/>
          <w:sz w:val="24"/>
        </w:rPr>
        <w:t>.</w:t>
      </w:r>
      <w:r>
        <w:rPr>
          <w:rFonts w:hint="eastAsia" w:ascii="Calibri" w:hAnsi="Calibri" w:eastAsia="宋体" w:cs="Times New Roman"/>
          <w:sz w:val="24"/>
        </w:rPr>
        <w:t>小学教育政策与法规</w:t>
      </w:r>
      <w:r>
        <w:rPr>
          <w:rFonts w:ascii="Calibri" w:hAnsi="Calibri" w:eastAsia="宋体" w:cs="Times New Roman"/>
          <w:sz w:val="24"/>
        </w:rPr>
        <w:t>[M].</w:t>
      </w:r>
      <w:r>
        <w:rPr>
          <w:rFonts w:hint="eastAsia" w:ascii="Calibri" w:hAnsi="Calibri" w:eastAsia="宋体" w:cs="Times New Roman"/>
          <w:sz w:val="24"/>
        </w:rPr>
        <w:t>北京：高等教育出版社，</w:t>
      </w:r>
      <w:r>
        <w:rPr>
          <w:rFonts w:ascii="Calibri" w:hAnsi="Calibri" w:eastAsia="宋体" w:cs="Times New Roman"/>
          <w:sz w:val="24"/>
        </w:rPr>
        <w:t>20</w:t>
      </w:r>
      <w:r>
        <w:rPr>
          <w:rFonts w:hint="eastAsia" w:ascii="Calibri" w:hAnsi="Calibri" w:eastAsia="宋体" w:cs="Times New Roman"/>
          <w:sz w:val="24"/>
          <w:lang w:val="en-US" w:eastAsia="zh-CN"/>
        </w:rPr>
        <w:t>2</w:t>
      </w:r>
      <w:r>
        <w:rPr>
          <w:rFonts w:hint="eastAsia" w:ascii="Calibri" w:hAnsi="Calibri" w:eastAsia="宋体" w:cs="Times New Roman"/>
          <w:sz w:val="24"/>
        </w:rPr>
        <w:t>3</w:t>
      </w:r>
      <w:r>
        <w:rPr>
          <w:rFonts w:ascii="Calibri" w:hAnsi="Calibri" w:eastAsia="宋体" w:cs="Times New Roman"/>
          <w:sz w:val="24"/>
        </w:rPr>
        <w:t>.</w:t>
      </w:r>
    </w:p>
    <w:p w14:paraId="7BD643C0">
      <w:pPr>
        <w:spacing w:line="360" w:lineRule="auto"/>
        <w:rPr>
          <w:rFonts w:ascii="Calibri" w:hAnsi="Calibri" w:eastAsia="宋体" w:cs="Times New Roman"/>
          <w:sz w:val="24"/>
        </w:rPr>
      </w:pPr>
    </w:p>
    <w:p w14:paraId="15116D86">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执笔人：赵振杰</w:t>
      </w:r>
    </w:p>
    <w:p w14:paraId="064EEB75">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审定人：王  健</w:t>
      </w:r>
    </w:p>
    <w:p w14:paraId="73D54C17">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审批人：张志欣</w:t>
      </w:r>
    </w:p>
    <w:p w14:paraId="5C926CFC">
      <w:pPr>
        <w:spacing w:line="360" w:lineRule="auto"/>
        <w:ind w:firstLine="5040" w:firstLineChars="2100"/>
        <w:jc w:val="both"/>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w:t>
      </w:r>
      <w:r>
        <w:rPr>
          <w:rFonts w:ascii="宋体" w:hAnsi="宋体" w:eastAsia="宋体" w:cs="Times New Roman"/>
          <w:kern w:val="0"/>
          <w:sz w:val="24"/>
          <w:szCs w:val="21"/>
        </w:rPr>
        <w:t>202</w:t>
      </w:r>
      <w:r>
        <w:rPr>
          <w:rFonts w:hint="eastAsia" w:ascii="宋体" w:hAnsi="宋体" w:eastAsia="宋体" w:cs="Times New Roman"/>
          <w:kern w:val="0"/>
          <w:sz w:val="24"/>
          <w:szCs w:val="21"/>
          <w:lang w:val="en-US" w:eastAsia="zh-CN"/>
        </w:rPr>
        <w:t>4</w:t>
      </w:r>
      <w:r>
        <w:rPr>
          <w:rFonts w:hint="eastAsia" w:ascii="宋体" w:hAnsi="宋体" w:eastAsia="宋体" w:cs="Times New Roman"/>
          <w:kern w:val="0"/>
          <w:sz w:val="24"/>
          <w:szCs w:val="21"/>
        </w:rPr>
        <w:t>年8月2</w:t>
      </w:r>
      <w:r>
        <w:rPr>
          <w:rFonts w:ascii="宋体" w:hAnsi="宋体" w:eastAsia="宋体" w:cs="Times New Roman"/>
          <w:kern w:val="0"/>
          <w:sz w:val="24"/>
          <w:szCs w:val="21"/>
        </w:rPr>
        <w:t>0</w:t>
      </w:r>
      <w:r>
        <w:rPr>
          <w:rFonts w:hint="eastAsia" w:ascii="宋体" w:hAnsi="宋体" w:eastAsia="宋体" w:cs="Times New Roman"/>
          <w:kern w:val="0"/>
          <w:sz w:val="24"/>
          <w:szCs w:val="21"/>
        </w:rPr>
        <w:t>日</w:t>
      </w:r>
    </w:p>
    <w:p w14:paraId="03917D24">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69FECF88">
      <w:pPr>
        <w:pStyle w:val="2"/>
        <w:bidi w:val="0"/>
        <w:rPr>
          <w:lang w:val="en-US" w:eastAsia="zh-CN"/>
        </w:rPr>
      </w:pPr>
      <w:bookmarkStart w:id="657" w:name="_Toc1826"/>
      <w:bookmarkStart w:id="658" w:name="_Toc30594"/>
      <w:bookmarkStart w:id="659" w:name="_Toc14359"/>
      <w:bookmarkStart w:id="660" w:name="_Toc28412"/>
      <w:r>
        <w:rPr>
          <w:rFonts w:hint="eastAsia"/>
          <w:lang w:val="en-US" w:eastAsia="zh-CN"/>
        </w:rPr>
        <w:t>《教师职业道德》课程教学大纲</w:t>
      </w:r>
      <w:bookmarkEnd w:id="657"/>
      <w:bookmarkEnd w:id="658"/>
      <w:bookmarkEnd w:id="659"/>
      <w:bookmarkEnd w:id="660"/>
    </w:p>
    <w:p w14:paraId="073B6E02">
      <w:pPr>
        <w:pStyle w:val="2"/>
        <w:bidi w:val="0"/>
        <w:rPr>
          <w:lang w:val="en-US" w:eastAsia="zh-CN"/>
        </w:rPr>
      </w:pPr>
      <w:bookmarkStart w:id="661" w:name="_Toc30716"/>
      <w:bookmarkStart w:id="662" w:name="_Toc17174"/>
      <w:bookmarkStart w:id="663" w:name="_Toc31858"/>
      <w:bookmarkStart w:id="664" w:name="_Toc8502"/>
      <w:bookmarkStart w:id="665" w:name="_Toc10485"/>
      <w:bookmarkStart w:id="666" w:name="_Toc29968"/>
      <w:bookmarkStart w:id="667" w:name="_Toc2385"/>
      <w:r>
        <w:rPr>
          <w:lang w:val="en-US" w:eastAsia="zh-CN"/>
        </w:rPr>
        <w:t>（Professional Ethics of Teachers）</w:t>
      </w:r>
      <w:bookmarkEnd w:id="661"/>
      <w:bookmarkEnd w:id="662"/>
      <w:bookmarkEnd w:id="663"/>
      <w:bookmarkEnd w:id="664"/>
      <w:bookmarkEnd w:id="665"/>
      <w:bookmarkEnd w:id="666"/>
      <w:bookmarkEnd w:id="667"/>
    </w:p>
    <w:p w14:paraId="50938C20">
      <w:pPr>
        <w:spacing w:line="276" w:lineRule="auto"/>
        <w:ind w:firstLine="422" w:firstLineChars="200"/>
        <w:rPr>
          <w:rFonts w:ascii="宋体" w:hAnsi="宋体" w:eastAsia="宋体" w:cs="Times New Roman"/>
          <w:b/>
          <w:szCs w:val="22"/>
        </w:rPr>
      </w:pPr>
      <w:r>
        <w:rPr>
          <w:rFonts w:hint="eastAsia" w:ascii="宋体" w:hAnsi="宋体" w:eastAsia="宋体" w:cs="Times New Roman"/>
          <w:b/>
          <w:szCs w:val="22"/>
        </w:rPr>
        <w:t>课程名称：教师职业道德</w:t>
      </w:r>
    </w:p>
    <w:p w14:paraId="1470BE72">
      <w:pPr>
        <w:spacing w:line="276" w:lineRule="auto"/>
        <w:ind w:firstLine="422" w:firstLineChars="200"/>
        <w:rPr>
          <w:rFonts w:ascii="宋体" w:hAnsi="宋体" w:eastAsia="宋体" w:cs="Times New Roman"/>
          <w:b/>
          <w:color w:val="000000"/>
          <w:szCs w:val="22"/>
        </w:rPr>
      </w:pPr>
      <w:r>
        <w:rPr>
          <w:rFonts w:hint="eastAsia" w:ascii="宋体" w:hAnsi="宋体" w:eastAsia="宋体" w:cs="Times New Roman"/>
          <w:b/>
          <w:color w:val="000000"/>
          <w:szCs w:val="22"/>
        </w:rPr>
        <w:t>课程代码：2</w:t>
      </w:r>
      <w:r>
        <w:rPr>
          <w:rFonts w:ascii="宋体" w:hAnsi="宋体" w:eastAsia="宋体" w:cs="Times New Roman"/>
          <w:b/>
          <w:color w:val="000000"/>
          <w:szCs w:val="22"/>
        </w:rPr>
        <w:t>401009</w:t>
      </w:r>
    </w:p>
    <w:p w14:paraId="3834D38A">
      <w:pPr>
        <w:spacing w:line="276" w:lineRule="auto"/>
        <w:ind w:firstLine="422" w:firstLineChars="200"/>
        <w:rPr>
          <w:rFonts w:ascii="宋体" w:hAnsi="宋体" w:eastAsia="宋体" w:cs="Times New Roman"/>
          <w:b/>
          <w:color w:val="000000"/>
          <w:szCs w:val="22"/>
        </w:rPr>
      </w:pPr>
      <w:r>
        <w:rPr>
          <w:rFonts w:hint="eastAsia" w:ascii="宋体" w:hAnsi="宋体" w:eastAsia="宋体" w:cs="Times New Roman"/>
          <w:b/>
          <w:color w:val="000000"/>
          <w:szCs w:val="22"/>
        </w:rPr>
        <w:t xml:space="preserve">学 </w:t>
      </w:r>
      <w:r>
        <w:rPr>
          <w:rFonts w:ascii="宋体" w:hAnsi="宋体" w:eastAsia="宋体" w:cs="Times New Roman"/>
          <w:b/>
          <w:color w:val="000000"/>
          <w:szCs w:val="22"/>
        </w:rPr>
        <w:t xml:space="preserve"> </w:t>
      </w:r>
      <w:r>
        <w:rPr>
          <w:rFonts w:hint="eastAsia" w:ascii="宋体" w:hAnsi="宋体" w:eastAsia="宋体" w:cs="Times New Roman"/>
          <w:b/>
          <w:color w:val="000000"/>
          <w:szCs w:val="22"/>
        </w:rPr>
        <w:t>分：1</w:t>
      </w:r>
    </w:p>
    <w:p w14:paraId="0D05DA43">
      <w:pPr>
        <w:spacing w:line="276" w:lineRule="auto"/>
        <w:ind w:firstLine="422" w:firstLineChars="200"/>
        <w:rPr>
          <w:rFonts w:ascii="宋体" w:hAnsi="宋体" w:eastAsia="宋体" w:cs="Times New Roman"/>
          <w:b/>
          <w:color w:val="000000"/>
          <w:szCs w:val="22"/>
        </w:rPr>
      </w:pPr>
      <w:r>
        <w:rPr>
          <w:rFonts w:hint="eastAsia" w:ascii="宋体" w:hAnsi="宋体" w:eastAsia="宋体" w:cs="Times New Roman"/>
          <w:b/>
          <w:color w:val="000000"/>
          <w:szCs w:val="22"/>
        </w:rPr>
        <w:t xml:space="preserve">学 </w:t>
      </w:r>
      <w:r>
        <w:rPr>
          <w:rFonts w:ascii="宋体" w:hAnsi="宋体" w:eastAsia="宋体" w:cs="Times New Roman"/>
          <w:b/>
          <w:color w:val="000000"/>
          <w:szCs w:val="22"/>
        </w:rPr>
        <w:t xml:space="preserve"> </w:t>
      </w:r>
      <w:r>
        <w:rPr>
          <w:rFonts w:hint="eastAsia" w:ascii="宋体" w:hAnsi="宋体" w:eastAsia="宋体" w:cs="Times New Roman"/>
          <w:b/>
          <w:color w:val="000000"/>
          <w:szCs w:val="22"/>
        </w:rPr>
        <w:t>时：1</w:t>
      </w:r>
      <w:r>
        <w:rPr>
          <w:rFonts w:ascii="宋体" w:hAnsi="宋体" w:eastAsia="宋体" w:cs="Times New Roman"/>
          <w:b/>
          <w:color w:val="000000"/>
          <w:szCs w:val="22"/>
        </w:rPr>
        <w:t>6</w:t>
      </w:r>
    </w:p>
    <w:p w14:paraId="477F8829">
      <w:pPr>
        <w:spacing w:line="276" w:lineRule="auto"/>
        <w:ind w:firstLine="422" w:firstLineChars="200"/>
        <w:rPr>
          <w:rFonts w:ascii="宋体" w:hAnsi="宋体" w:eastAsia="宋体" w:cs="Times New Roman"/>
          <w:b/>
          <w:color w:val="000000"/>
          <w:szCs w:val="22"/>
        </w:rPr>
      </w:pPr>
      <w:r>
        <w:rPr>
          <w:rFonts w:hint="eastAsia" w:ascii="宋体" w:hAnsi="宋体" w:eastAsia="宋体" w:cs="Times New Roman"/>
          <w:b/>
          <w:color w:val="000000"/>
          <w:szCs w:val="22"/>
        </w:rPr>
        <w:t>先修课程：专业导学</w:t>
      </w:r>
    </w:p>
    <w:p w14:paraId="6AC4CC7A">
      <w:pPr>
        <w:spacing w:line="276" w:lineRule="auto"/>
        <w:ind w:firstLine="422" w:firstLineChars="200"/>
        <w:rPr>
          <w:rFonts w:ascii="宋体" w:hAnsi="宋体" w:eastAsia="宋体" w:cs="Times New Roman"/>
          <w:szCs w:val="22"/>
        </w:rPr>
      </w:pPr>
      <w:r>
        <w:rPr>
          <w:rFonts w:hint="eastAsia" w:ascii="宋体" w:hAnsi="宋体" w:eastAsia="宋体" w:cs="Times New Roman"/>
          <w:b/>
          <w:szCs w:val="22"/>
        </w:rPr>
        <w:t>适用专业</w:t>
      </w:r>
      <w:r>
        <w:rPr>
          <w:rFonts w:hint="eastAsia" w:ascii="宋体" w:hAnsi="宋体" w:eastAsia="宋体" w:cs="Times New Roman"/>
          <w:b/>
          <w:bCs/>
          <w:szCs w:val="22"/>
        </w:rPr>
        <w:t>：小学教育（文）、小学教育（理）</w:t>
      </w:r>
    </w:p>
    <w:p w14:paraId="0C791774">
      <w:pPr>
        <w:spacing w:line="276" w:lineRule="auto"/>
        <w:ind w:firstLine="422" w:firstLineChars="200"/>
        <w:rPr>
          <w:rFonts w:ascii="宋体" w:hAnsi="宋体" w:eastAsia="宋体" w:cs="Times New Roman"/>
          <w:b/>
          <w:szCs w:val="22"/>
        </w:rPr>
      </w:pPr>
    </w:p>
    <w:p w14:paraId="4D8E25D5">
      <w:pPr>
        <w:spacing w:line="276" w:lineRule="auto"/>
        <w:ind w:firstLine="422" w:firstLineChars="200"/>
        <w:outlineLvl w:val="0"/>
        <w:rPr>
          <w:rFonts w:ascii="宋体" w:hAnsi="宋体" w:eastAsia="宋体" w:cs="Times New Roman"/>
          <w:b/>
          <w:szCs w:val="22"/>
        </w:rPr>
      </w:pPr>
      <w:bookmarkStart w:id="668" w:name="_Toc6916"/>
      <w:bookmarkStart w:id="669" w:name="_Toc8174"/>
      <w:bookmarkStart w:id="670" w:name="_Toc15160"/>
      <w:bookmarkStart w:id="671" w:name="_Toc24030"/>
      <w:bookmarkStart w:id="672" w:name="_Toc1197"/>
      <w:bookmarkStart w:id="673" w:name="_Toc4564"/>
      <w:bookmarkStart w:id="674" w:name="_Toc7769"/>
      <w:r>
        <w:rPr>
          <w:rFonts w:hint="eastAsia" w:ascii="宋体" w:hAnsi="宋体" w:eastAsia="宋体" w:cs="Times New Roman"/>
          <w:b/>
          <w:szCs w:val="22"/>
        </w:rPr>
        <w:t>一、课程简介</w:t>
      </w:r>
      <w:bookmarkEnd w:id="668"/>
      <w:bookmarkEnd w:id="669"/>
      <w:bookmarkEnd w:id="670"/>
      <w:bookmarkEnd w:id="671"/>
      <w:bookmarkEnd w:id="672"/>
      <w:bookmarkEnd w:id="673"/>
      <w:bookmarkEnd w:id="674"/>
    </w:p>
    <w:p w14:paraId="263E2C00">
      <w:pPr>
        <w:spacing w:line="276" w:lineRule="auto"/>
        <w:ind w:firstLine="420" w:firstLineChars="200"/>
        <w:rPr>
          <w:rFonts w:ascii="宋体" w:hAnsi="宋体" w:eastAsia="宋体" w:cs="Times New Roman"/>
          <w:szCs w:val="22"/>
        </w:rPr>
      </w:pPr>
      <w:r>
        <w:rPr>
          <w:rFonts w:hint="eastAsia" w:ascii="宋体" w:hAnsi="宋体" w:eastAsia="宋体" w:cs="Times New Roman"/>
          <w:szCs w:val="22"/>
        </w:rPr>
        <w:t>《教师职业道德》是小学教育专业必修课程。通过本课程的学习，旨在使师范生系统了解教师职业道德的内涵、理论、基本内容与规范，正确认识和理解教育工作、教师职业劳动与社会、国家、集体、他人的关系，全面了解并积极践行教师职业道德规范，掌握教师职业道德修养的途径与方法，自觉提高自身素质，以便在未来更好地教书育人、做好教育教学工作，为建设新时代特色社会主义强国尽职尽责。</w:t>
      </w:r>
    </w:p>
    <w:p w14:paraId="08403197">
      <w:pPr>
        <w:spacing w:line="276" w:lineRule="auto"/>
        <w:ind w:firstLine="562" w:firstLineChars="200"/>
        <w:outlineLvl w:val="0"/>
        <w:rPr>
          <w:rFonts w:ascii="宋体" w:hAnsi="宋体" w:eastAsia="宋体" w:cs="Times New Roman"/>
          <w:b/>
          <w:sz w:val="28"/>
          <w:szCs w:val="22"/>
        </w:rPr>
      </w:pPr>
      <w:bookmarkStart w:id="675" w:name="_Toc18290"/>
      <w:bookmarkStart w:id="676" w:name="_Toc19045"/>
      <w:bookmarkStart w:id="677" w:name="_Toc23657"/>
      <w:bookmarkStart w:id="678" w:name="_Toc608"/>
      <w:bookmarkStart w:id="679" w:name="_Toc14952"/>
      <w:bookmarkStart w:id="680" w:name="_Toc2016"/>
      <w:bookmarkStart w:id="681" w:name="_Toc31235"/>
      <w:r>
        <w:rPr>
          <w:rFonts w:hint="eastAsia" w:ascii="宋体" w:hAnsi="宋体" w:eastAsia="宋体" w:cs="Times New Roman"/>
          <w:b/>
          <w:sz w:val="28"/>
          <w:szCs w:val="22"/>
        </w:rPr>
        <w:t>二、课程目标</w:t>
      </w:r>
      <w:bookmarkEnd w:id="675"/>
      <w:bookmarkEnd w:id="676"/>
      <w:bookmarkEnd w:id="677"/>
      <w:bookmarkEnd w:id="678"/>
      <w:bookmarkEnd w:id="679"/>
      <w:bookmarkEnd w:id="680"/>
      <w:bookmarkEnd w:id="681"/>
    </w:p>
    <w:p w14:paraId="70B526A6">
      <w:pPr>
        <w:adjustRightInd w:val="0"/>
        <w:snapToGrid w:val="0"/>
        <w:spacing w:line="360" w:lineRule="auto"/>
        <w:ind w:firstLine="316" w:firstLineChars="150"/>
        <w:outlineLvl w:val="1"/>
        <w:rPr>
          <w:rFonts w:ascii="宋体" w:hAnsi="宋体" w:eastAsia="宋体" w:cs="Times New Roman"/>
          <w:b/>
          <w:szCs w:val="22"/>
        </w:rPr>
      </w:pPr>
      <w:bookmarkStart w:id="682" w:name="_Toc21820"/>
      <w:r>
        <w:rPr>
          <w:rFonts w:hint="eastAsia" w:ascii="宋体" w:hAnsi="宋体" w:eastAsia="宋体" w:cs="Times New Roman"/>
          <w:b/>
          <w:szCs w:val="22"/>
        </w:rPr>
        <w:t>（一）课程具体目标</w:t>
      </w:r>
      <w:bookmarkEnd w:id="682"/>
    </w:p>
    <w:p w14:paraId="65CE2F27">
      <w:pPr>
        <w:adjustRightInd w:val="0"/>
        <w:snapToGrid w:val="0"/>
        <w:spacing w:line="360" w:lineRule="auto"/>
        <w:ind w:firstLine="420" w:firstLineChars="200"/>
        <w:rPr>
          <w:rFonts w:ascii="宋体" w:hAnsi="宋体" w:eastAsia="宋体" w:cs="Times New Roman"/>
          <w:szCs w:val="22"/>
        </w:rPr>
      </w:pPr>
      <w:r>
        <w:rPr>
          <w:rFonts w:hint="eastAsia" w:ascii="宋体" w:hAnsi="宋体" w:eastAsia="宋体" w:cs="Times New Roman"/>
          <w:szCs w:val="22"/>
        </w:rPr>
        <w:t>目标1.了解教师职业道德的基本概念、基本理论、基本规范，理解教师职业道德在提高教师自身素质和教书育人方面的价值与意义。</w:t>
      </w:r>
    </w:p>
    <w:p w14:paraId="250D392A">
      <w:pPr>
        <w:adjustRightInd w:val="0"/>
        <w:snapToGrid w:val="0"/>
        <w:spacing w:line="360" w:lineRule="auto"/>
        <w:ind w:firstLine="420" w:firstLineChars="200"/>
        <w:rPr>
          <w:rFonts w:ascii="宋体" w:hAnsi="宋体" w:eastAsia="宋体" w:cs="Times New Roman"/>
          <w:szCs w:val="22"/>
        </w:rPr>
      </w:pPr>
      <w:r>
        <w:rPr>
          <w:rFonts w:hint="eastAsia" w:ascii="宋体" w:hAnsi="宋体" w:eastAsia="宋体" w:cs="Times New Roman"/>
          <w:szCs w:val="22"/>
        </w:rPr>
        <w:t>目标2</w:t>
      </w:r>
      <w:r>
        <w:rPr>
          <w:rFonts w:ascii="宋体" w:hAnsi="宋体" w:eastAsia="宋体" w:cs="Times New Roman"/>
          <w:szCs w:val="22"/>
        </w:rPr>
        <w:t>.</w:t>
      </w:r>
      <w:r>
        <w:rPr>
          <w:rFonts w:hint="eastAsia" w:ascii="宋体" w:hAnsi="宋体" w:eastAsia="宋体" w:cs="Times New Roman"/>
          <w:szCs w:val="22"/>
        </w:rPr>
        <w:t>掌握教师职业道德评价的方法、原则、理念等，会运用教师职业道德规范评判教师日常行为。</w:t>
      </w:r>
    </w:p>
    <w:p w14:paraId="2787820E">
      <w:pPr>
        <w:adjustRightInd w:val="0"/>
        <w:snapToGrid w:val="0"/>
        <w:spacing w:line="360" w:lineRule="auto"/>
        <w:ind w:firstLine="420" w:firstLineChars="200"/>
        <w:rPr>
          <w:rFonts w:ascii="宋体" w:hAnsi="宋体" w:eastAsia="宋体" w:cs="Times New Roman"/>
          <w:szCs w:val="22"/>
        </w:rPr>
      </w:pPr>
      <w:r>
        <w:rPr>
          <w:rFonts w:hint="eastAsia" w:ascii="宋体" w:hAnsi="宋体" w:eastAsia="宋体" w:cs="Times New Roman"/>
          <w:szCs w:val="22"/>
        </w:rPr>
        <w:t>目标3.正确认识教师与学生、与学生家长、与其他教师之间的关系，掌握调适相互关系的原则与办法。</w:t>
      </w:r>
    </w:p>
    <w:p w14:paraId="379AE56B">
      <w:pPr>
        <w:adjustRightInd w:val="0"/>
        <w:snapToGrid w:val="0"/>
        <w:spacing w:line="360" w:lineRule="auto"/>
        <w:ind w:firstLine="420" w:firstLineChars="200"/>
        <w:rPr>
          <w:rFonts w:ascii="宋体" w:hAnsi="宋体" w:eastAsia="宋体" w:cs="Times New Roman"/>
          <w:szCs w:val="22"/>
        </w:rPr>
      </w:pPr>
      <w:r>
        <w:rPr>
          <w:rFonts w:hint="eastAsia" w:ascii="宋体" w:hAnsi="宋体" w:eastAsia="宋体" w:cs="Times New Roman"/>
          <w:szCs w:val="22"/>
        </w:rPr>
        <w:t>目标</w:t>
      </w:r>
      <w:r>
        <w:rPr>
          <w:rFonts w:ascii="宋体" w:hAnsi="宋体" w:eastAsia="宋体" w:cs="Times New Roman"/>
          <w:szCs w:val="22"/>
        </w:rPr>
        <w:t>4</w:t>
      </w:r>
      <w:r>
        <w:rPr>
          <w:rFonts w:hint="eastAsia" w:ascii="宋体" w:hAnsi="宋体" w:eastAsia="宋体" w:cs="Times New Roman"/>
          <w:szCs w:val="22"/>
        </w:rPr>
        <w:t>.理解教师职业道德修养的途径与方法，自觉提高自身素养，促进自身师德发展。</w:t>
      </w:r>
    </w:p>
    <w:p w14:paraId="145C3F78">
      <w:pPr>
        <w:adjustRightInd w:val="0"/>
        <w:snapToGrid w:val="0"/>
        <w:spacing w:line="360" w:lineRule="auto"/>
        <w:ind w:firstLine="211" w:firstLineChars="100"/>
        <w:outlineLvl w:val="1"/>
        <w:rPr>
          <w:rFonts w:ascii="宋体" w:hAnsi="宋体" w:eastAsia="宋体" w:cs="Times New Roman"/>
          <w:b/>
          <w:szCs w:val="22"/>
        </w:rPr>
      </w:pPr>
      <w:bookmarkStart w:id="683" w:name="_Toc14272"/>
      <w:r>
        <w:rPr>
          <w:rFonts w:hint="eastAsia" w:ascii="宋体" w:hAnsi="宋体" w:eastAsia="宋体" w:cs="Times New Roman"/>
          <w:b/>
          <w:szCs w:val="22"/>
        </w:rPr>
        <w:t>（二）课程目标及其对毕业要求指标点的支撑</w:t>
      </w:r>
      <w:bookmarkEnd w:id="683"/>
    </w:p>
    <w:p w14:paraId="0E7B40A7">
      <w:pPr>
        <w:adjustRightInd w:val="0"/>
        <w:snapToGrid w:val="0"/>
        <w:spacing w:line="360" w:lineRule="auto"/>
        <w:ind w:firstLine="211" w:firstLineChars="100"/>
        <w:rPr>
          <w:rFonts w:ascii="宋体" w:hAnsi="宋体" w:eastAsia="宋体" w:cs="Times New Roman"/>
          <w:b/>
          <w:szCs w:val="22"/>
        </w:rPr>
      </w:pPr>
    </w:p>
    <w:p w14:paraId="5F4C84AB">
      <w:pPr>
        <w:adjustRightInd w:val="0"/>
        <w:snapToGrid w:val="0"/>
        <w:spacing w:line="360" w:lineRule="auto"/>
        <w:ind w:firstLine="211" w:firstLineChars="100"/>
        <w:rPr>
          <w:rFonts w:ascii="宋体" w:hAnsi="宋体" w:eastAsia="宋体" w:cs="Times New Roman"/>
          <w:b/>
          <w:szCs w:val="22"/>
        </w:rPr>
      </w:pPr>
    </w:p>
    <w:tbl>
      <w:tblPr>
        <w:tblStyle w:val="11"/>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244"/>
        <w:gridCol w:w="1701"/>
      </w:tblGrid>
      <w:tr w14:paraId="3BEE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27F9A7D8">
            <w:pPr>
              <w:adjustRightInd w:val="0"/>
              <w:snapToGrid w:val="0"/>
              <w:spacing w:line="360" w:lineRule="auto"/>
              <w:jc w:val="center"/>
              <w:rPr>
                <w:rFonts w:ascii="宋体" w:hAnsi="宋体" w:eastAsia="宋体" w:cs="Times New Roman"/>
                <w:b/>
                <w:sz w:val="21"/>
                <w:szCs w:val="21"/>
              </w:rPr>
            </w:pPr>
            <w:r>
              <w:rPr>
                <w:rFonts w:hint="eastAsia" w:ascii="宋体" w:hAnsi="宋体" w:eastAsia="宋体" w:cs="Times New Roman"/>
                <w:b/>
                <w:sz w:val="21"/>
                <w:szCs w:val="21"/>
              </w:rPr>
              <w:t>毕业要求</w:t>
            </w:r>
          </w:p>
        </w:tc>
        <w:tc>
          <w:tcPr>
            <w:tcW w:w="5244" w:type="dxa"/>
          </w:tcPr>
          <w:p w14:paraId="032902CE">
            <w:pPr>
              <w:adjustRightInd w:val="0"/>
              <w:snapToGrid w:val="0"/>
              <w:spacing w:line="276" w:lineRule="auto"/>
              <w:jc w:val="center"/>
              <w:rPr>
                <w:rFonts w:ascii="宋体" w:hAnsi="宋体" w:eastAsia="宋体" w:cs="Times New Roman"/>
                <w:b/>
                <w:sz w:val="21"/>
                <w:szCs w:val="21"/>
              </w:rPr>
            </w:pPr>
            <w:r>
              <w:rPr>
                <w:rFonts w:hint="eastAsia" w:ascii="宋体" w:hAnsi="宋体" w:eastAsia="宋体" w:cs="Times New Roman"/>
                <w:b/>
                <w:sz w:val="21"/>
                <w:szCs w:val="21"/>
              </w:rPr>
              <w:t>毕业要求指标点</w:t>
            </w:r>
          </w:p>
        </w:tc>
        <w:tc>
          <w:tcPr>
            <w:tcW w:w="1701" w:type="dxa"/>
            <w:vAlign w:val="center"/>
          </w:tcPr>
          <w:p w14:paraId="7A212783">
            <w:pPr>
              <w:adjustRightInd w:val="0"/>
              <w:snapToGrid w:val="0"/>
              <w:spacing w:line="360" w:lineRule="auto"/>
              <w:jc w:val="center"/>
              <w:rPr>
                <w:rFonts w:ascii="宋体" w:hAnsi="宋体" w:eastAsia="宋体" w:cs="Times New Roman"/>
                <w:b/>
                <w:sz w:val="21"/>
                <w:szCs w:val="21"/>
              </w:rPr>
            </w:pPr>
            <w:r>
              <w:rPr>
                <w:rFonts w:hint="eastAsia" w:ascii="宋体" w:hAnsi="宋体" w:eastAsia="宋体" w:cs="Times New Roman"/>
                <w:b/>
                <w:sz w:val="21"/>
                <w:szCs w:val="21"/>
              </w:rPr>
              <w:t>课标目标</w:t>
            </w:r>
          </w:p>
        </w:tc>
      </w:tr>
      <w:tr w14:paraId="46EC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trPr>
        <w:tc>
          <w:tcPr>
            <w:tcW w:w="1555" w:type="dxa"/>
            <w:vAlign w:val="center"/>
          </w:tcPr>
          <w:p w14:paraId="1480F39D">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毕业要求</w:t>
            </w:r>
            <w:r>
              <w:rPr>
                <w:rFonts w:ascii="宋体" w:hAnsi="宋体" w:eastAsia="宋体" w:cs="Times New Roman"/>
                <w:bCs/>
                <w:color w:val="000000"/>
                <w:kern w:val="0"/>
                <w:sz w:val="21"/>
                <w:szCs w:val="21"/>
              </w:rPr>
              <w:t>1</w:t>
            </w:r>
            <w:r>
              <w:rPr>
                <w:rFonts w:hint="eastAsia" w:ascii="宋体" w:hAnsi="宋体" w:eastAsia="宋体" w:cs="Times New Roman"/>
                <w:bCs/>
                <w:color w:val="000000"/>
                <w:kern w:val="0"/>
                <w:sz w:val="21"/>
                <w:szCs w:val="21"/>
              </w:rPr>
              <w:t>：</w:t>
            </w:r>
          </w:p>
          <w:p w14:paraId="27AF2F7B">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color w:val="000000"/>
                <w:kern w:val="0"/>
                <w:sz w:val="21"/>
                <w:szCs w:val="21"/>
              </w:rPr>
              <w:t>师德规范</w:t>
            </w:r>
          </w:p>
        </w:tc>
        <w:tc>
          <w:tcPr>
            <w:tcW w:w="5244" w:type="dxa"/>
          </w:tcPr>
          <w:p w14:paraId="5E0F5251">
            <w:pPr>
              <w:adjustRightInd w:val="0"/>
              <w:snapToGrid w:val="0"/>
              <w:spacing w:line="276" w:lineRule="auto"/>
              <w:rPr>
                <w:rFonts w:ascii="宋体" w:hAnsi="宋体" w:eastAsia="宋体" w:cs="Times New Roman"/>
                <w:bCs/>
                <w:sz w:val="21"/>
                <w:szCs w:val="21"/>
              </w:rPr>
            </w:pPr>
            <w:r>
              <w:rPr>
                <w:rFonts w:ascii="宋体" w:hAnsi="宋体" w:eastAsia="宋体" w:cs="Times New Roman"/>
                <w:bCs/>
                <w:sz w:val="21"/>
                <w:szCs w:val="21"/>
              </w:rPr>
              <w:t>指标点1-2:【职业修养良好】以立德树人为己任，掌握立德树人的途径和方法，着眼于学生的全面发展，实施素质教育，培养 学生的核心素养</w:t>
            </w:r>
            <w:r>
              <w:rPr>
                <w:rFonts w:hint="eastAsia" w:ascii="宋体" w:hAnsi="宋体" w:eastAsia="宋体" w:cs="Times New Roman"/>
                <w:bCs/>
                <w:sz w:val="21"/>
                <w:szCs w:val="21"/>
              </w:rPr>
              <w:t>；理</w:t>
            </w:r>
            <w:r>
              <w:rPr>
                <w:rFonts w:ascii="宋体" w:hAnsi="宋体" w:eastAsia="宋体" w:cs="Times New Roman"/>
                <w:bCs/>
                <w:sz w:val="21"/>
                <w:szCs w:val="21"/>
              </w:rPr>
              <w:t>解教师职业道德规范内涵与要求，遵守《新时代中小学教师职业行为十项准则》，依法执教，教育实践中能履行应尽义务，自觉维护学生和自身的合法权益。</w:t>
            </w:r>
          </w:p>
        </w:tc>
        <w:tc>
          <w:tcPr>
            <w:tcW w:w="1701" w:type="dxa"/>
            <w:vAlign w:val="center"/>
          </w:tcPr>
          <w:p w14:paraId="032CCD32">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课程目标1</w:t>
            </w:r>
          </w:p>
          <w:p w14:paraId="26E1B764">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课程目标2</w:t>
            </w:r>
          </w:p>
          <w:p w14:paraId="642CE0AF">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课程目标3</w:t>
            </w:r>
          </w:p>
        </w:tc>
      </w:tr>
      <w:tr w14:paraId="63A7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303FB841">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毕业要求2：</w:t>
            </w:r>
          </w:p>
          <w:p w14:paraId="7D491524">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教育情怀</w:t>
            </w:r>
          </w:p>
        </w:tc>
        <w:tc>
          <w:tcPr>
            <w:tcW w:w="5244" w:type="dxa"/>
          </w:tcPr>
          <w:p w14:paraId="6C6EA40C">
            <w:pPr>
              <w:adjustRightInd w:val="0"/>
              <w:snapToGrid w:val="0"/>
              <w:spacing w:line="276" w:lineRule="auto"/>
              <w:rPr>
                <w:rFonts w:ascii="宋体" w:hAnsi="宋体" w:eastAsia="宋体" w:cs="Times New Roman"/>
                <w:bCs/>
                <w:sz w:val="21"/>
                <w:szCs w:val="21"/>
              </w:rPr>
            </w:pPr>
            <w:r>
              <w:rPr>
                <w:rFonts w:ascii="宋体" w:hAnsi="宋体" w:eastAsia="宋体" w:cs="Times New Roman"/>
                <w:bCs/>
                <w:sz w:val="21"/>
                <w:szCs w:val="21"/>
              </w:rPr>
              <w:t>指标点2-2</w:t>
            </w:r>
            <w:r>
              <w:rPr>
                <w:rFonts w:hint="eastAsia" w:ascii="宋体" w:hAnsi="宋体" w:eastAsia="宋体" w:cs="Times New Roman"/>
                <w:bCs/>
                <w:sz w:val="21"/>
                <w:szCs w:val="21"/>
              </w:rPr>
              <w:t>：</w:t>
            </w:r>
            <w:r>
              <w:rPr>
                <w:rFonts w:ascii="宋体" w:hAnsi="宋体" w:eastAsia="宋体" w:cs="Times New Roman"/>
                <w:bCs/>
                <w:sz w:val="21"/>
                <w:szCs w:val="21"/>
              </w:rPr>
              <w:t>【仁爱之心深厚】关爱学生，用心从教。具有正确的儿童观，理解、尊重、关爱、保护学生，以儿童发展为教育的中心。爱岗敬业，在教育实践中能认真履行教育教学职责与班主 任工作职责，富有爱心、责任心、工作细心、耐心，做学生学习的促进者、道德品质和创新思维的培养者，奉献祖国的引路人。</w:t>
            </w:r>
          </w:p>
        </w:tc>
        <w:tc>
          <w:tcPr>
            <w:tcW w:w="1701" w:type="dxa"/>
            <w:vAlign w:val="center"/>
          </w:tcPr>
          <w:p w14:paraId="0C475FAD">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课程目标1</w:t>
            </w:r>
          </w:p>
          <w:p w14:paraId="2F609912">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课程目标2</w:t>
            </w:r>
          </w:p>
          <w:p w14:paraId="078D2769">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课程目标3</w:t>
            </w:r>
          </w:p>
        </w:tc>
      </w:tr>
      <w:tr w14:paraId="52F7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09F878D0">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毕业要求8：</w:t>
            </w:r>
          </w:p>
          <w:p w14:paraId="70BD1598">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沟通合作</w:t>
            </w:r>
          </w:p>
        </w:tc>
        <w:tc>
          <w:tcPr>
            <w:tcW w:w="5244" w:type="dxa"/>
          </w:tcPr>
          <w:p w14:paraId="3B8DAAAD">
            <w:pPr>
              <w:adjustRightInd w:val="0"/>
              <w:snapToGrid w:val="0"/>
              <w:spacing w:line="276" w:lineRule="auto"/>
              <w:rPr>
                <w:rFonts w:ascii="宋体" w:hAnsi="宋体" w:eastAsia="宋体" w:cs="Times New Roman"/>
                <w:bCs/>
                <w:sz w:val="21"/>
                <w:szCs w:val="21"/>
              </w:rPr>
            </w:pPr>
            <w:r>
              <w:rPr>
                <w:rFonts w:ascii="宋体" w:hAnsi="宋体" w:eastAsia="宋体" w:cs="Times New Roman"/>
                <w:bCs/>
                <w:sz w:val="21"/>
                <w:szCs w:val="21"/>
              </w:rPr>
              <w:t>指标点</w:t>
            </w:r>
            <w:r>
              <w:rPr>
                <w:rFonts w:hint="eastAsia" w:ascii="宋体" w:hAnsi="宋体" w:eastAsia="宋体" w:cs="Times New Roman"/>
                <w:bCs/>
                <w:sz w:val="21"/>
                <w:szCs w:val="21"/>
              </w:rPr>
              <w:t>8</w:t>
            </w:r>
            <w:r>
              <w:rPr>
                <w:rFonts w:ascii="宋体" w:hAnsi="宋体" w:eastAsia="宋体" w:cs="Times New Roman"/>
                <w:bCs/>
                <w:sz w:val="21"/>
                <w:szCs w:val="21"/>
              </w:rPr>
              <w:t>-2</w:t>
            </w:r>
            <w:r>
              <w:rPr>
                <w:rFonts w:hint="eastAsia" w:ascii="宋体" w:hAnsi="宋体" w:eastAsia="宋体" w:cs="Times New Roman"/>
                <w:bCs/>
                <w:sz w:val="21"/>
                <w:szCs w:val="21"/>
              </w:rPr>
              <w:t>：</w:t>
            </w:r>
            <w:r>
              <w:rPr>
                <w:rFonts w:ascii="宋体" w:hAnsi="宋体" w:eastAsia="宋体" w:cs="Times New Roman"/>
                <w:bCs/>
                <w:sz w:val="21"/>
                <w:szCs w:val="21"/>
              </w:rPr>
              <w:t>【学会沟通交流】掌握人际沟通合作技能与方法，在教育教学实践中，能与学生和家长以及同行、同事、专家进行有效沟通与合作，实现共同发展。</w:t>
            </w:r>
          </w:p>
        </w:tc>
        <w:tc>
          <w:tcPr>
            <w:tcW w:w="1701" w:type="dxa"/>
            <w:vAlign w:val="center"/>
          </w:tcPr>
          <w:p w14:paraId="51B71EC3">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课程目标3</w:t>
            </w:r>
          </w:p>
          <w:p w14:paraId="10C1F7CC">
            <w:pPr>
              <w:adjustRightInd w:val="0"/>
              <w:snapToGrid w:val="0"/>
              <w:spacing w:line="360" w:lineRule="auto"/>
              <w:jc w:val="center"/>
              <w:rPr>
                <w:rFonts w:ascii="宋体" w:hAnsi="宋体" w:eastAsia="宋体" w:cs="Times New Roman"/>
                <w:bCs/>
                <w:sz w:val="21"/>
                <w:szCs w:val="21"/>
              </w:rPr>
            </w:pPr>
            <w:r>
              <w:rPr>
                <w:rFonts w:hint="eastAsia" w:ascii="宋体" w:hAnsi="宋体" w:eastAsia="宋体" w:cs="Times New Roman"/>
                <w:bCs/>
                <w:sz w:val="21"/>
                <w:szCs w:val="21"/>
              </w:rPr>
              <w:t>课程目标4</w:t>
            </w:r>
          </w:p>
        </w:tc>
      </w:tr>
    </w:tbl>
    <w:p w14:paraId="79A6897B">
      <w:pPr>
        <w:adjustRightInd w:val="0"/>
        <w:snapToGrid w:val="0"/>
        <w:spacing w:line="360" w:lineRule="auto"/>
        <w:ind w:firstLine="211" w:firstLineChars="100"/>
        <w:rPr>
          <w:rFonts w:ascii="宋体" w:hAnsi="宋体" w:eastAsia="宋体" w:cs="Times New Roman"/>
          <w:b/>
          <w:szCs w:val="22"/>
        </w:rPr>
      </w:pPr>
    </w:p>
    <w:p w14:paraId="237711F6">
      <w:pPr>
        <w:adjustRightInd w:val="0"/>
        <w:snapToGrid w:val="0"/>
        <w:spacing w:line="360" w:lineRule="auto"/>
        <w:ind w:firstLine="211" w:firstLineChars="100"/>
        <w:outlineLvl w:val="1"/>
        <w:rPr>
          <w:rFonts w:ascii="宋体" w:hAnsi="宋体" w:eastAsia="宋体" w:cs="Times New Roman"/>
          <w:b/>
          <w:szCs w:val="22"/>
        </w:rPr>
      </w:pPr>
      <w:bookmarkStart w:id="684" w:name="_Toc27192"/>
      <w:r>
        <w:rPr>
          <w:rFonts w:hint="eastAsia" w:ascii="宋体" w:hAnsi="宋体" w:eastAsia="宋体" w:cs="Times New Roman"/>
          <w:b/>
          <w:szCs w:val="22"/>
        </w:rPr>
        <w:t>（三）课程思政目标</w:t>
      </w:r>
      <w:bookmarkEnd w:id="684"/>
    </w:p>
    <w:p w14:paraId="6F29A72A">
      <w:pPr>
        <w:adjustRightInd w:val="0"/>
        <w:snapToGrid w:val="0"/>
        <w:spacing w:line="360" w:lineRule="auto"/>
        <w:ind w:firstLine="420" w:firstLineChars="200"/>
        <w:rPr>
          <w:rFonts w:ascii="宋体" w:hAnsi="宋体" w:eastAsia="宋体" w:cs="Times New Roman"/>
          <w:bCs/>
          <w:szCs w:val="22"/>
        </w:rPr>
      </w:pPr>
      <w:r>
        <w:rPr>
          <w:rFonts w:ascii="宋体" w:hAnsi="宋体" w:eastAsia="宋体" w:cs="Times New Roman"/>
          <w:bCs/>
          <w:szCs w:val="22"/>
        </w:rPr>
        <w:t>树立正确的教育理念</w:t>
      </w:r>
      <w:r>
        <w:rPr>
          <w:rFonts w:hint="eastAsia" w:ascii="宋体" w:hAnsi="宋体" w:eastAsia="宋体" w:cs="Times New Roman"/>
          <w:bCs/>
          <w:szCs w:val="22"/>
        </w:rPr>
        <w:t>，加深教育情怀和对教育工作的热爱；谦虚好学、持续发展，热爱儿童，关心儿童，遵循教育规律，掌握教育教学的正确方法。</w:t>
      </w:r>
    </w:p>
    <w:p w14:paraId="12D4D0A4">
      <w:pPr>
        <w:spacing w:line="360" w:lineRule="auto"/>
        <w:ind w:firstLine="422" w:firstLineChars="200"/>
        <w:outlineLvl w:val="0"/>
        <w:rPr>
          <w:rFonts w:ascii="宋体" w:hAnsi="宋体" w:eastAsia="宋体" w:cs="Times New Roman"/>
          <w:b/>
          <w:szCs w:val="22"/>
        </w:rPr>
      </w:pPr>
      <w:bookmarkStart w:id="685" w:name="_Toc28308"/>
      <w:bookmarkStart w:id="686" w:name="_Toc22308"/>
      <w:bookmarkStart w:id="687" w:name="_Toc2994"/>
      <w:bookmarkStart w:id="688" w:name="_Toc1980"/>
      <w:bookmarkStart w:id="689" w:name="_Toc11314"/>
      <w:bookmarkStart w:id="690" w:name="_Toc25590"/>
      <w:bookmarkStart w:id="691" w:name="_Toc4954"/>
      <w:r>
        <w:rPr>
          <w:rFonts w:hint="eastAsia" w:ascii="宋体" w:hAnsi="宋体" w:eastAsia="宋体" w:cs="Times New Roman"/>
          <w:b/>
          <w:szCs w:val="22"/>
        </w:rPr>
        <w:t>三、教学内容与预期学习成效</w:t>
      </w:r>
      <w:bookmarkEnd w:id="685"/>
      <w:bookmarkEnd w:id="686"/>
      <w:bookmarkEnd w:id="687"/>
      <w:bookmarkEnd w:id="688"/>
      <w:bookmarkEnd w:id="689"/>
      <w:bookmarkEnd w:id="690"/>
      <w:bookmarkEnd w:id="691"/>
    </w:p>
    <w:tbl>
      <w:tblPr>
        <w:tblStyle w:val="11"/>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835"/>
        <w:gridCol w:w="1276"/>
        <w:gridCol w:w="2410"/>
        <w:gridCol w:w="1559"/>
        <w:gridCol w:w="476"/>
      </w:tblGrid>
      <w:tr w14:paraId="1165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28" w:type="dxa"/>
            <w:vAlign w:val="center"/>
          </w:tcPr>
          <w:p w14:paraId="46D41031">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知识</w:t>
            </w:r>
          </w:p>
          <w:p w14:paraId="531F682C">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单元</w:t>
            </w:r>
          </w:p>
        </w:tc>
        <w:tc>
          <w:tcPr>
            <w:tcW w:w="2835" w:type="dxa"/>
            <w:vAlign w:val="center"/>
          </w:tcPr>
          <w:p w14:paraId="51ED1BFB">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知识点</w:t>
            </w:r>
          </w:p>
        </w:tc>
        <w:tc>
          <w:tcPr>
            <w:tcW w:w="1276" w:type="dxa"/>
            <w:vAlign w:val="center"/>
          </w:tcPr>
          <w:p w14:paraId="0818C5DE">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对应</w:t>
            </w:r>
          </w:p>
          <w:p w14:paraId="0C44D9F7">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课程目标</w:t>
            </w:r>
          </w:p>
        </w:tc>
        <w:tc>
          <w:tcPr>
            <w:tcW w:w="2410" w:type="dxa"/>
            <w:vAlign w:val="center"/>
          </w:tcPr>
          <w:p w14:paraId="1DA6E916">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预期学习成效</w:t>
            </w:r>
          </w:p>
        </w:tc>
        <w:tc>
          <w:tcPr>
            <w:tcW w:w="1559" w:type="dxa"/>
            <w:vAlign w:val="center"/>
          </w:tcPr>
          <w:p w14:paraId="39C84578">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实现环节</w:t>
            </w:r>
          </w:p>
        </w:tc>
        <w:tc>
          <w:tcPr>
            <w:tcW w:w="476" w:type="dxa"/>
            <w:vAlign w:val="center"/>
          </w:tcPr>
          <w:p w14:paraId="4EBEBEFC">
            <w:pPr>
              <w:adjustRightInd w:val="0"/>
              <w:snapToGrid w:val="0"/>
              <w:spacing w:line="276" w:lineRule="auto"/>
              <w:jc w:val="center"/>
              <w:rPr>
                <w:rFonts w:ascii="宋体" w:hAnsi="宋体" w:eastAsia="宋体" w:cs="Times New Roman"/>
                <w:b/>
                <w:color w:val="000000"/>
                <w:sz w:val="21"/>
                <w:szCs w:val="21"/>
              </w:rPr>
            </w:pPr>
            <w:r>
              <w:rPr>
                <w:rFonts w:hint="eastAsia" w:ascii="宋体" w:hAnsi="宋体" w:eastAsia="宋体" w:cs="Times New Roman"/>
                <w:b/>
                <w:color w:val="000000"/>
                <w:sz w:val="21"/>
                <w:szCs w:val="21"/>
              </w:rPr>
              <w:t>学时</w:t>
            </w:r>
          </w:p>
        </w:tc>
      </w:tr>
      <w:tr w14:paraId="1942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128" w:type="dxa"/>
            <w:vMerge w:val="restart"/>
            <w:vAlign w:val="center"/>
          </w:tcPr>
          <w:p w14:paraId="7833CCCE">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第一章</w:t>
            </w:r>
          </w:p>
          <w:p w14:paraId="07074E0F">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教育劳动与教师职业道德</w:t>
            </w:r>
          </w:p>
        </w:tc>
        <w:tc>
          <w:tcPr>
            <w:tcW w:w="2835" w:type="dxa"/>
            <w:vAlign w:val="center"/>
          </w:tcPr>
          <w:p w14:paraId="07574A58">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w:t>
            </w:r>
            <w:r>
              <w:rPr>
                <w:rFonts w:ascii="宋体" w:hAnsi="宋体" w:eastAsia="宋体" w:cs="Times New Roman"/>
                <w:bCs/>
                <w:color w:val="000000"/>
                <w:sz w:val="21"/>
                <w:szCs w:val="21"/>
              </w:rPr>
              <w:t>.学校教育的价值</w:t>
            </w:r>
          </w:p>
          <w:p w14:paraId="75B0BDAD">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r>
              <w:rPr>
                <w:rFonts w:ascii="宋体" w:hAnsi="宋体" w:eastAsia="宋体" w:cs="Times New Roman"/>
                <w:bCs/>
                <w:color w:val="000000"/>
                <w:sz w:val="21"/>
                <w:szCs w:val="21"/>
              </w:rPr>
              <w:t>.教育劳动的德性</w:t>
            </w:r>
          </w:p>
          <w:p w14:paraId="08321DA5">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3</w:t>
            </w:r>
            <w:r>
              <w:rPr>
                <w:rFonts w:ascii="宋体" w:hAnsi="宋体" w:eastAsia="宋体" w:cs="Times New Roman"/>
                <w:bCs/>
                <w:color w:val="000000"/>
                <w:sz w:val="21"/>
                <w:szCs w:val="21"/>
              </w:rPr>
              <w:t>.教师职业道德的形成与特点</w:t>
            </w:r>
          </w:p>
          <w:p w14:paraId="19847049">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4</w:t>
            </w:r>
            <w:r>
              <w:rPr>
                <w:rFonts w:ascii="宋体" w:hAnsi="宋体" w:eastAsia="宋体" w:cs="Times New Roman"/>
                <w:bCs/>
                <w:color w:val="000000"/>
                <w:sz w:val="21"/>
                <w:szCs w:val="21"/>
              </w:rPr>
              <w:t>.学习和实践教师职业道德的意义</w:t>
            </w:r>
          </w:p>
        </w:tc>
        <w:tc>
          <w:tcPr>
            <w:tcW w:w="1276" w:type="dxa"/>
            <w:vAlign w:val="center"/>
          </w:tcPr>
          <w:p w14:paraId="3E90C4DD">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tc>
        <w:tc>
          <w:tcPr>
            <w:tcW w:w="2410" w:type="dxa"/>
            <w:vAlign w:val="center"/>
          </w:tcPr>
          <w:p w14:paraId="68153236">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了解教师劳动的特点，</w:t>
            </w:r>
            <w:r>
              <w:rPr>
                <w:rFonts w:ascii="宋体" w:hAnsi="宋体" w:eastAsia="宋体" w:cs="Times New Roman"/>
                <w:bCs/>
                <w:sz w:val="21"/>
                <w:szCs w:val="21"/>
              </w:rPr>
              <w:t>理解教师劳动的德性价值，认同践行教师职业道德的价值意义。</w:t>
            </w:r>
          </w:p>
        </w:tc>
        <w:tc>
          <w:tcPr>
            <w:tcW w:w="1559" w:type="dxa"/>
            <w:vAlign w:val="center"/>
          </w:tcPr>
          <w:p w14:paraId="0ED73CC9">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40C776A1">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717DA0FB">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59B8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28" w:type="dxa"/>
            <w:vMerge w:val="continue"/>
            <w:vAlign w:val="center"/>
          </w:tcPr>
          <w:p w14:paraId="0342BDA7">
            <w:pPr>
              <w:adjustRightInd w:val="0"/>
              <w:snapToGrid w:val="0"/>
              <w:spacing w:line="276" w:lineRule="auto"/>
              <w:rPr>
                <w:rFonts w:ascii="宋体" w:hAnsi="宋体" w:eastAsia="宋体" w:cs="Times New Roman"/>
                <w:bCs/>
                <w:color w:val="000000"/>
                <w:sz w:val="21"/>
                <w:szCs w:val="21"/>
              </w:rPr>
            </w:pPr>
          </w:p>
        </w:tc>
        <w:tc>
          <w:tcPr>
            <w:tcW w:w="8556" w:type="dxa"/>
            <w:gridSpan w:val="5"/>
            <w:vAlign w:val="center"/>
          </w:tcPr>
          <w:p w14:paraId="450A2C56">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Times New Roman"/>
                <w:bCs/>
                <w:color w:val="000000"/>
                <w:sz w:val="21"/>
                <w:szCs w:val="21"/>
              </w:rPr>
              <w:t>坚定政治方向，全面贯彻国家教育方针；自觉爱国守法，依法履行教师职责权利。</w:t>
            </w:r>
          </w:p>
        </w:tc>
      </w:tr>
      <w:tr w14:paraId="6B14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D634A1F">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第二章</w:t>
            </w:r>
          </w:p>
          <w:p w14:paraId="72CC1ED2">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教师职业道德范畴与基本原则</w:t>
            </w:r>
          </w:p>
        </w:tc>
        <w:tc>
          <w:tcPr>
            <w:tcW w:w="2835" w:type="dxa"/>
            <w:vAlign w:val="center"/>
          </w:tcPr>
          <w:p w14:paraId="5B05485C">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w:t>
            </w:r>
            <w:r>
              <w:rPr>
                <w:rFonts w:ascii="宋体" w:hAnsi="宋体" w:eastAsia="宋体" w:cs="Times New Roman"/>
                <w:bCs/>
                <w:color w:val="000000"/>
                <w:sz w:val="21"/>
                <w:szCs w:val="21"/>
              </w:rPr>
              <w:t>.教师职业道德范畴（教育爱、教育良心、教育威信、教育公正）</w:t>
            </w:r>
          </w:p>
          <w:p w14:paraId="594FFDF4">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r>
              <w:rPr>
                <w:rFonts w:ascii="宋体" w:hAnsi="宋体" w:eastAsia="宋体" w:cs="Times New Roman"/>
                <w:bCs/>
                <w:color w:val="000000"/>
                <w:sz w:val="21"/>
                <w:szCs w:val="21"/>
              </w:rPr>
              <w:t>.教师职业道德的基本原则</w:t>
            </w:r>
          </w:p>
        </w:tc>
        <w:tc>
          <w:tcPr>
            <w:tcW w:w="1276" w:type="dxa"/>
            <w:vAlign w:val="center"/>
          </w:tcPr>
          <w:p w14:paraId="15788DF6">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p w14:paraId="3521A746">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课程目标2</w:t>
            </w:r>
          </w:p>
        </w:tc>
        <w:tc>
          <w:tcPr>
            <w:tcW w:w="2410" w:type="dxa"/>
            <w:vAlign w:val="center"/>
          </w:tcPr>
          <w:p w14:paraId="0A874EF4">
            <w:pPr>
              <w:adjustRightInd w:val="0"/>
              <w:snapToGrid w:val="0"/>
              <w:spacing w:line="276" w:lineRule="auto"/>
              <w:rPr>
                <w:rFonts w:ascii="宋体" w:hAnsi="宋体" w:eastAsia="宋体" w:cs="Times New Roman"/>
                <w:bCs/>
                <w:color w:val="000000"/>
                <w:sz w:val="21"/>
                <w:szCs w:val="21"/>
              </w:rPr>
            </w:pPr>
            <w:r>
              <w:rPr>
                <w:rFonts w:ascii="宋体" w:hAnsi="宋体" w:eastAsia="宋体" w:cs="Times New Roman"/>
                <w:bCs/>
                <w:color w:val="000000"/>
                <w:sz w:val="21"/>
                <w:szCs w:val="21"/>
              </w:rPr>
              <w:t>理解教师职业道德的基本原则，感受教育爱、教育良心、教育威信、教育公正等范畴在教育实践中的体现</w:t>
            </w:r>
            <w:r>
              <w:rPr>
                <w:rFonts w:hint="eastAsia" w:ascii="宋体" w:hAnsi="宋体" w:eastAsia="宋体" w:cs="Times New Roman"/>
                <w:bCs/>
                <w:color w:val="000000"/>
                <w:sz w:val="21"/>
                <w:szCs w:val="21"/>
              </w:rPr>
              <w:t>。</w:t>
            </w:r>
          </w:p>
        </w:tc>
        <w:tc>
          <w:tcPr>
            <w:tcW w:w="1559" w:type="dxa"/>
            <w:vAlign w:val="center"/>
          </w:tcPr>
          <w:p w14:paraId="03EFEBFE">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44A88B3B">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4D642420">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6E2A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128" w:type="dxa"/>
            <w:vMerge w:val="continue"/>
            <w:vAlign w:val="center"/>
          </w:tcPr>
          <w:p w14:paraId="3480188F">
            <w:pPr>
              <w:adjustRightInd w:val="0"/>
              <w:snapToGrid w:val="0"/>
              <w:spacing w:line="276" w:lineRule="auto"/>
              <w:rPr>
                <w:rFonts w:ascii="宋体" w:hAnsi="宋体" w:eastAsia="宋体" w:cs="Times New Roman"/>
                <w:bCs/>
                <w:color w:val="000000"/>
                <w:sz w:val="21"/>
                <w:szCs w:val="21"/>
              </w:rPr>
            </w:pPr>
          </w:p>
        </w:tc>
        <w:tc>
          <w:tcPr>
            <w:tcW w:w="8556" w:type="dxa"/>
            <w:gridSpan w:val="5"/>
            <w:vAlign w:val="center"/>
          </w:tcPr>
          <w:p w14:paraId="0E99DB63">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
                <w:color w:val="000000"/>
                <w:sz w:val="21"/>
                <w:szCs w:val="21"/>
              </w:rPr>
              <w:t>课程思政目标：</w:t>
            </w:r>
            <w:r>
              <w:rPr>
                <w:rFonts w:hint="eastAsia" w:ascii="宋体" w:hAnsi="宋体" w:eastAsia="宋体" w:cs="Times New Roman"/>
                <w:bCs/>
                <w:color w:val="000000"/>
                <w:sz w:val="21"/>
                <w:szCs w:val="21"/>
              </w:rPr>
              <w:t>加</w:t>
            </w:r>
            <w:r>
              <w:rPr>
                <w:rFonts w:ascii="宋体" w:hAnsi="宋体" w:eastAsia="宋体" w:cs="Times New Roman"/>
                <w:bCs/>
                <w:color w:val="000000"/>
                <w:sz w:val="21"/>
                <w:szCs w:val="21"/>
              </w:rPr>
              <w:t>强教师使命教育，从国家意识、法治意识、社会责任意识和个人诚信意识等层面，树立正确的职业价值认知，形成教育爱、教育良心、教育威信和教育公正等信念。</w:t>
            </w:r>
          </w:p>
        </w:tc>
      </w:tr>
      <w:tr w14:paraId="341E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5C802FE3">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第三章</w:t>
            </w:r>
          </w:p>
          <w:p w14:paraId="1EFDB220">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师生交往中的道德问题</w:t>
            </w:r>
          </w:p>
        </w:tc>
        <w:tc>
          <w:tcPr>
            <w:tcW w:w="2835" w:type="dxa"/>
            <w:vAlign w:val="center"/>
          </w:tcPr>
          <w:p w14:paraId="14BD8DEF">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w:t>
            </w:r>
            <w:r>
              <w:rPr>
                <w:rFonts w:ascii="宋体" w:hAnsi="宋体" w:eastAsia="宋体" w:cs="Times New Roman"/>
                <w:bCs/>
                <w:color w:val="000000"/>
                <w:sz w:val="21"/>
                <w:szCs w:val="21"/>
              </w:rPr>
              <w:t>.师生关系在教育中的意义</w:t>
            </w:r>
          </w:p>
          <w:p w14:paraId="2685A952">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r>
              <w:rPr>
                <w:rFonts w:ascii="宋体" w:hAnsi="宋体" w:eastAsia="宋体" w:cs="Times New Roman"/>
                <w:bCs/>
                <w:color w:val="000000"/>
                <w:sz w:val="21"/>
                <w:szCs w:val="21"/>
              </w:rPr>
              <w:t>.师生关系中的矛盾分析</w:t>
            </w:r>
          </w:p>
          <w:p w14:paraId="1DB1DF17">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3</w:t>
            </w:r>
            <w:r>
              <w:rPr>
                <w:rFonts w:ascii="宋体" w:hAnsi="宋体" w:eastAsia="宋体" w:cs="Times New Roman"/>
                <w:bCs/>
                <w:color w:val="000000"/>
                <w:sz w:val="21"/>
                <w:szCs w:val="21"/>
              </w:rPr>
              <w:t>.师生关系的伦理调适</w:t>
            </w:r>
          </w:p>
          <w:p w14:paraId="01FC9A0F">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4</w:t>
            </w:r>
            <w:r>
              <w:rPr>
                <w:rFonts w:ascii="宋体" w:hAnsi="宋体" w:eastAsia="宋体" w:cs="Times New Roman"/>
                <w:bCs/>
                <w:color w:val="000000"/>
                <w:sz w:val="21"/>
                <w:szCs w:val="21"/>
              </w:rPr>
              <w:t>.教师的性道德修养</w:t>
            </w:r>
          </w:p>
        </w:tc>
        <w:tc>
          <w:tcPr>
            <w:tcW w:w="1276" w:type="dxa"/>
            <w:vAlign w:val="center"/>
          </w:tcPr>
          <w:p w14:paraId="4719CA4B">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p w14:paraId="4E2F0434">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课程目标3</w:t>
            </w:r>
          </w:p>
        </w:tc>
        <w:tc>
          <w:tcPr>
            <w:tcW w:w="2410" w:type="dxa"/>
            <w:vAlign w:val="center"/>
          </w:tcPr>
          <w:p w14:paraId="3293FEB2">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认识师生关系中存在的矛盾与问题，掌握师生关系调适的原则与方法。</w:t>
            </w:r>
          </w:p>
        </w:tc>
        <w:tc>
          <w:tcPr>
            <w:tcW w:w="1559" w:type="dxa"/>
            <w:vAlign w:val="center"/>
          </w:tcPr>
          <w:p w14:paraId="3EFBE4A5">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0A4419F2">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2CC2C69D">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5BA5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128" w:type="dxa"/>
            <w:vMerge w:val="continue"/>
            <w:vAlign w:val="center"/>
          </w:tcPr>
          <w:p w14:paraId="72C8F394">
            <w:pPr>
              <w:adjustRightInd w:val="0"/>
              <w:snapToGrid w:val="0"/>
              <w:spacing w:line="276" w:lineRule="auto"/>
              <w:rPr>
                <w:rFonts w:ascii="宋体" w:hAnsi="宋体" w:eastAsia="宋体" w:cs="Times New Roman"/>
                <w:bCs/>
                <w:color w:val="000000"/>
                <w:sz w:val="21"/>
                <w:szCs w:val="21"/>
              </w:rPr>
            </w:pPr>
          </w:p>
        </w:tc>
        <w:tc>
          <w:tcPr>
            <w:tcW w:w="8556" w:type="dxa"/>
            <w:gridSpan w:val="5"/>
            <w:vAlign w:val="center"/>
          </w:tcPr>
          <w:p w14:paraId="3D7AC8BB">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
                <w:color w:val="000000"/>
                <w:sz w:val="21"/>
                <w:szCs w:val="21"/>
              </w:rPr>
              <w:t>课程思政目标</w:t>
            </w:r>
            <w:r>
              <w:rPr>
                <w:rFonts w:hint="eastAsia" w:ascii="宋体" w:hAnsi="宋体" w:eastAsia="宋体" w:cs="Times New Roman"/>
                <w:bCs/>
                <w:color w:val="000000"/>
                <w:sz w:val="21"/>
                <w:szCs w:val="21"/>
              </w:rPr>
              <w:t>：</w:t>
            </w:r>
            <w:r>
              <w:rPr>
                <w:rFonts w:ascii="宋体" w:hAnsi="宋体" w:eastAsia="宋体" w:cs="Times New Roman"/>
                <w:bCs/>
                <w:color w:val="000000"/>
                <w:sz w:val="21"/>
                <w:szCs w:val="21"/>
              </w:rPr>
              <w:t>树立辩证统一的思维，学会正确分析师生关系中的道德问题，热爱学生、尊重学生、赏识学生，塑造良好的师生关系。</w:t>
            </w:r>
          </w:p>
        </w:tc>
      </w:tr>
      <w:tr w14:paraId="476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5A17A125">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第四章</w:t>
            </w:r>
          </w:p>
          <w:p w14:paraId="13E364D3">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家校合作中的道德问题</w:t>
            </w:r>
          </w:p>
        </w:tc>
        <w:tc>
          <w:tcPr>
            <w:tcW w:w="2835" w:type="dxa"/>
            <w:vAlign w:val="center"/>
          </w:tcPr>
          <w:p w14:paraId="46656C4D">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1</w:t>
            </w:r>
            <w:r>
              <w:rPr>
                <w:rFonts w:ascii="宋体" w:hAnsi="宋体" w:eastAsia="宋体" w:cs="Times New Roman"/>
                <w:bCs/>
                <w:sz w:val="21"/>
                <w:szCs w:val="21"/>
              </w:rPr>
              <w:t>.家校沟通与合作</w:t>
            </w:r>
          </w:p>
          <w:p w14:paraId="30918781">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2</w:t>
            </w:r>
            <w:r>
              <w:rPr>
                <w:rFonts w:ascii="宋体" w:hAnsi="宋体" w:eastAsia="宋体" w:cs="Times New Roman"/>
                <w:bCs/>
                <w:sz w:val="21"/>
                <w:szCs w:val="21"/>
              </w:rPr>
              <w:t>.家校关系的</w:t>
            </w:r>
            <w:r>
              <w:rPr>
                <w:rFonts w:hint="eastAsia" w:ascii="宋体" w:hAnsi="宋体" w:eastAsia="宋体" w:cs="Times New Roman"/>
                <w:bCs/>
                <w:sz w:val="21"/>
                <w:szCs w:val="21"/>
              </w:rPr>
              <w:t>伦理</w:t>
            </w:r>
            <w:r>
              <w:rPr>
                <w:rFonts w:ascii="宋体" w:hAnsi="宋体" w:eastAsia="宋体" w:cs="Times New Roman"/>
                <w:bCs/>
                <w:sz w:val="21"/>
                <w:szCs w:val="21"/>
              </w:rPr>
              <w:t>调适</w:t>
            </w:r>
          </w:p>
        </w:tc>
        <w:tc>
          <w:tcPr>
            <w:tcW w:w="1276" w:type="dxa"/>
            <w:vAlign w:val="center"/>
          </w:tcPr>
          <w:p w14:paraId="54ADA379">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p w14:paraId="08C32EAE">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课程目标3</w:t>
            </w:r>
          </w:p>
        </w:tc>
        <w:tc>
          <w:tcPr>
            <w:tcW w:w="2410" w:type="dxa"/>
            <w:vAlign w:val="center"/>
          </w:tcPr>
          <w:p w14:paraId="7918CEE6">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了解家校沟通与合作相关知识与技能，分析家校沟通中存在的问题，掌握家校关系调适的原则与方法。</w:t>
            </w:r>
          </w:p>
        </w:tc>
        <w:tc>
          <w:tcPr>
            <w:tcW w:w="1559" w:type="dxa"/>
            <w:vAlign w:val="center"/>
          </w:tcPr>
          <w:p w14:paraId="75E5F9C6">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4318447B">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16866E99">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3009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28" w:type="dxa"/>
            <w:vMerge w:val="continue"/>
            <w:vAlign w:val="center"/>
          </w:tcPr>
          <w:p w14:paraId="539714C3">
            <w:pPr>
              <w:adjustRightInd w:val="0"/>
              <w:snapToGrid w:val="0"/>
              <w:spacing w:line="276" w:lineRule="auto"/>
              <w:rPr>
                <w:rFonts w:ascii="宋体" w:hAnsi="宋体" w:eastAsia="宋体" w:cs="Times New Roman"/>
                <w:bCs/>
                <w:color w:val="000000"/>
                <w:sz w:val="21"/>
                <w:szCs w:val="21"/>
              </w:rPr>
            </w:pPr>
          </w:p>
        </w:tc>
        <w:tc>
          <w:tcPr>
            <w:tcW w:w="8556" w:type="dxa"/>
            <w:gridSpan w:val="5"/>
            <w:vAlign w:val="center"/>
          </w:tcPr>
          <w:p w14:paraId="3D4D2AA3">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
                <w:color w:val="000000"/>
                <w:sz w:val="21"/>
                <w:szCs w:val="21"/>
              </w:rPr>
              <w:t>课程思政目标：</w:t>
            </w:r>
            <w:r>
              <w:rPr>
                <w:rFonts w:hint="eastAsia" w:ascii="宋体" w:hAnsi="宋体" w:eastAsia="宋体" w:cs="Times New Roman"/>
                <w:bCs/>
                <w:sz w:val="21"/>
                <w:szCs w:val="21"/>
              </w:rPr>
              <w:t>树立辩证统一的思维，学会正确分析家校交往过程中的道德问题，与家长平等沟通，尊重家长人格，教育学生尊重家长；廉洁奉公，不利用职责之便牟取私利，塑造良好的家校合作关系。</w:t>
            </w:r>
          </w:p>
        </w:tc>
      </w:tr>
      <w:tr w14:paraId="7AD4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61FC5D1E">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第五章</w:t>
            </w:r>
          </w:p>
          <w:p w14:paraId="27830248">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教师集体中的道德问题</w:t>
            </w:r>
          </w:p>
        </w:tc>
        <w:tc>
          <w:tcPr>
            <w:tcW w:w="2835" w:type="dxa"/>
            <w:vAlign w:val="center"/>
          </w:tcPr>
          <w:p w14:paraId="224504F5">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1</w:t>
            </w:r>
            <w:r>
              <w:rPr>
                <w:rFonts w:ascii="宋体" w:hAnsi="宋体" w:eastAsia="宋体" w:cs="Times New Roman"/>
                <w:bCs/>
                <w:sz w:val="21"/>
                <w:szCs w:val="21"/>
              </w:rPr>
              <w:t>.教师集体在教育中的意义</w:t>
            </w:r>
          </w:p>
          <w:p w14:paraId="0EC1566D">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2</w:t>
            </w:r>
            <w:r>
              <w:rPr>
                <w:rFonts w:ascii="宋体" w:hAnsi="宋体" w:eastAsia="宋体" w:cs="Times New Roman"/>
                <w:bCs/>
                <w:sz w:val="21"/>
                <w:szCs w:val="21"/>
              </w:rPr>
              <w:t>.教师集体人际矛盾的原因分析</w:t>
            </w:r>
          </w:p>
          <w:p w14:paraId="16480CFB">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3</w:t>
            </w:r>
            <w:r>
              <w:rPr>
                <w:rFonts w:ascii="宋体" w:hAnsi="宋体" w:eastAsia="宋体" w:cs="Times New Roman"/>
                <w:bCs/>
                <w:sz w:val="21"/>
                <w:szCs w:val="21"/>
              </w:rPr>
              <w:t>.教师集体关系的道德调节</w:t>
            </w:r>
          </w:p>
        </w:tc>
        <w:tc>
          <w:tcPr>
            <w:tcW w:w="1276" w:type="dxa"/>
            <w:vAlign w:val="center"/>
          </w:tcPr>
          <w:p w14:paraId="037A0156">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p w14:paraId="260351AA">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课程目标3</w:t>
            </w:r>
          </w:p>
        </w:tc>
        <w:tc>
          <w:tcPr>
            <w:tcW w:w="2410" w:type="dxa"/>
            <w:vAlign w:val="center"/>
          </w:tcPr>
          <w:p w14:paraId="116F0557">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了解教师集体人际矛盾的原因，掌握教师集体关系的道德调节技巧。</w:t>
            </w:r>
          </w:p>
        </w:tc>
        <w:tc>
          <w:tcPr>
            <w:tcW w:w="1559" w:type="dxa"/>
            <w:vAlign w:val="center"/>
          </w:tcPr>
          <w:p w14:paraId="7BA3E8C9">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54AFC5E7">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3C65300F">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6CD0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continue"/>
            <w:vAlign w:val="center"/>
          </w:tcPr>
          <w:p w14:paraId="71AD971D">
            <w:pPr>
              <w:adjustRightInd w:val="0"/>
              <w:snapToGrid w:val="0"/>
              <w:spacing w:line="276" w:lineRule="auto"/>
              <w:rPr>
                <w:rFonts w:ascii="宋体" w:hAnsi="宋体" w:eastAsia="宋体" w:cs="Times New Roman"/>
                <w:bCs/>
                <w:color w:val="000000"/>
                <w:sz w:val="21"/>
                <w:szCs w:val="21"/>
              </w:rPr>
            </w:pPr>
          </w:p>
        </w:tc>
        <w:tc>
          <w:tcPr>
            <w:tcW w:w="8556" w:type="dxa"/>
            <w:gridSpan w:val="5"/>
            <w:vAlign w:val="center"/>
          </w:tcPr>
          <w:p w14:paraId="03176E3B">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
                <w:color w:val="000000"/>
                <w:sz w:val="21"/>
                <w:szCs w:val="21"/>
              </w:rPr>
              <w:t>课程思政目标：</w:t>
            </w:r>
            <w:r>
              <w:rPr>
                <w:rFonts w:hint="eastAsia" w:ascii="宋体" w:hAnsi="宋体" w:eastAsia="宋体" w:cs="Times New Roman"/>
                <w:bCs/>
                <w:sz w:val="21"/>
                <w:szCs w:val="21"/>
              </w:rPr>
              <w:t>树立辩证统一的思维，学会正确分析教师集体中发生的道德问题。弘扬教师职业精神，互相尊重、互相学习，保持协同、向上的合作关系，促进个人和集体的共同成长。</w:t>
            </w:r>
          </w:p>
        </w:tc>
      </w:tr>
      <w:tr w14:paraId="3064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4B9BC562">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第六章</w:t>
            </w:r>
          </w:p>
          <w:p w14:paraId="4C144943">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课堂教学中的道德问题</w:t>
            </w:r>
          </w:p>
        </w:tc>
        <w:tc>
          <w:tcPr>
            <w:tcW w:w="2835" w:type="dxa"/>
            <w:vAlign w:val="center"/>
          </w:tcPr>
          <w:p w14:paraId="5BD09870">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1</w:t>
            </w:r>
            <w:r>
              <w:rPr>
                <w:rFonts w:ascii="宋体" w:hAnsi="宋体" w:eastAsia="宋体" w:cs="Times New Roman"/>
                <w:bCs/>
                <w:sz w:val="21"/>
                <w:szCs w:val="21"/>
              </w:rPr>
              <w:t>.教学工作的道德特征</w:t>
            </w:r>
          </w:p>
          <w:p w14:paraId="0E427443">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2</w:t>
            </w:r>
            <w:r>
              <w:rPr>
                <w:rFonts w:ascii="宋体" w:hAnsi="宋体" w:eastAsia="宋体" w:cs="Times New Roman"/>
                <w:bCs/>
                <w:sz w:val="21"/>
                <w:szCs w:val="21"/>
              </w:rPr>
              <w:t>.教学活动的道德意义</w:t>
            </w:r>
          </w:p>
          <w:p w14:paraId="202D0120">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3</w:t>
            </w:r>
            <w:r>
              <w:rPr>
                <w:rFonts w:ascii="宋体" w:hAnsi="宋体" w:eastAsia="宋体" w:cs="Times New Roman"/>
                <w:bCs/>
                <w:sz w:val="21"/>
                <w:szCs w:val="21"/>
              </w:rPr>
              <w:t>.教学工作中的道德要求</w:t>
            </w:r>
          </w:p>
          <w:p w14:paraId="11B2FFF7">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4</w:t>
            </w:r>
            <w:r>
              <w:rPr>
                <w:rFonts w:ascii="宋体" w:hAnsi="宋体" w:eastAsia="宋体" w:cs="Times New Roman"/>
                <w:bCs/>
                <w:sz w:val="21"/>
                <w:szCs w:val="21"/>
              </w:rPr>
              <w:t>.我国基础教育课程改革的价值追求</w:t>
            </w:r>
          </w:p>
        </w:tc>
        <w:tc>
          <w:tcPr>
            <w:tcW w:w="1276" w:type="dxa"/>
            <w:vAlign w:val="center"/>
          </w:tcPr>
          <w:p w14:paraId="40D2FCC5">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p w14:paraId="0117A197">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课程目标4</w:t>
            </w:r>
          </w:p>
        </w:tc>
        <w:tc>
          <w:tcPr>
            <w:tcW w:w="2410" w:type="dxa"/>
            <w:vAlign w:val="center"/>
          </w:tcPr>
          <w:p w14:paraId="22A32E31">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了解课堂教学的道德特征及其道德意义，理解教学工作中的道德要求，树立正确的教育观，学会分析当前教育中的道德问题。</w:t>
            </w:r>
          </w:p>
        </w:tc>
        <w:tc>
          <w:tcPr>
            <w:tcW w:w="1559" w:type="dxa"/>
            <w:vAlign w:val="center"/>
          </w:tcPr>
          <w:p w14:paraId="58038401">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5C413D21">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454D143E">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3D51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28" w:type="dxa"/>
            <w:vMerge w:val="continue"/>
            <w:vAlign w:val="center"/>
          </w:tcPr>
          <w:p w14:paraId="544E5A32">
            <w:pPr>
              <w:adjustRightInd w:val="0"/>
              <w:snapToGrid w:val="0"/>
              <w:spacing w:line="276" w:lineRule="auto"/>
              <w:rPr>
                <w:rFonts w:ascii="宋体" w:hAnsi="宋体" w:eastAsia="宋体" w:cs="Times New Roman"/>
                <w:bCs/>
                <w:sz w:val="21"/>
                <w:szCs w:val="21"/>
              </w:rPr>
            </w:pPr>
          </w:p>
        </w:tc>
        <w:tc>
          <w:tcPr>
            <w:tcW w:w="8556" w:type="dxa"/>
            <w:gridSpan w:val="5"/>
            <w:vAlign w:val="center"/>
          </w:tcPr>
          <w:p w14:paraId="28E76150">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
                <w:color w:val="000000"/>
                <w:sz w:val="21"/>
                <w:szCs w:val="21"/>
              </w:rPr>
              <w:t>课程思政目标：</w:t>
            </w:r>
            <w:r>
              <w:rPr>
                <w:rFonts w:hint="eastAsia" w:ascii="宋体" w:hAnsi="宋体" w:eastAsia="宋体" w:cs="Times New Roman"/>
                <w:bCs/>
                <w:sz w:val="21"/>
                <w:szCs w:val="21"/>
              </w:rPr>
              <w:t>树立辩证统一的思维，学会正确分析课堂教学中的问题。确立正确的教育观，遵循教育规律，实施素质教育，将促进学生的全面发展作为教育目标。</w:t>
            </w:r>
          </w:p>
        </w:tc>
      </w:tr>
      <w:tr w14:paraId="30BF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2E5E5C04">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第七章</w:t>
            </w:r>
          </w:p>
          <w:p w14:paraId="660F108E">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学校行政管理中的道德问题</w:t>
            </w:r>
          </w:p>
        </w:tc>
        <w:tc>
          <w:tcPr>
            <w:tcW w:w="2835" w:type="dxa"/>
            <w:vAlign w:val="center"/>
          </w:tcPr>
          <w:p w14:paraId="388FCF2D">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1</w:t>
            </w:r>
            <w:r>
              <w:rPr>
                <w:rFonts w:ascii="宋体" w:hAnsi="宋体" w:eastAsia="宋体" w:cs="Times New Roman"/>
                <w:bCs/>
                <w:sz w:val="21"/>
                <w:szCs w:val="21"/>
              </w:rPr>
              <w:t>.学校行政管理工作对师生发展的意义</w:t>
            </w:r>
          </w:p>
          <w:p w14:paraId="6DFAAA5F">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2</w:t>
            </w:r>
            <w:r>
              <w:rPr>
                <w:rFonts w:ascii="宋体" w:hAnsi="宋体" w:eastAsia="宋体" w:cs="Times New Roman"/>
                <w:bCs/>
                <w:sz w:val="21"/>
                <w:szCs w:val="21"/>
              </w:rPr>
              <w:t>.当前我国学校行政管理中存在的问题</w:t>
            </w:r>
          </w:p>
          <w:p w14:paraId="4AC0858C">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3</w:t>
            </w:r>
            <w:r>
              <w:rPr>
                <w:rFonts w:ascii="宋体" w:hAnsi="宋体" w:eastAsia="宋体" w:cs="Times New Roman"/>
                <w:bCs/>
                <w:sz w:val="21"/>
                <w:szCs w:val="21"/>
              </w:rPr>
              <w:t>.学校行政管理的伦理基础及其功能</w:t>
            </w:r>
          </w:p>
          <w:p w14:paraId="7FF090A6">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sz w:val="21"/>
                <w:szCs w:val="21"/>
              </w:rPr>
              <w:t>4</w:t>
            </w:r>
            <w:r>
              <w:rPr>
                <w:rFonts w:ascii="宋体" w:hAnsi="宋体" w:eastAsia="宋体" w:cs="Times New Roman"/>
                <w:bCs/>
                <w:sz w:val="21"/>
                <w:szCs w:val="21"/>
              </w:rPr>
              <w:t>.学校行政管理伦理化的实现路径</w:t>
            </w:r>
          </w:p>
        </w:tc>
        <w:tc>
          <w:tcPr>
            <w:tcW w:w="1276" w:type="dxa"/>
            <w:vAlign w:val="center"/>
          </w:tcPr>
          <w:p w14:paraId="4A7D4F3A">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p w14:paraId="0FDB0F60">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课程目标4</w:t>
            </w:r>
          </w:p>
        </w:tc>
        <w:tc>
          <w:tcPr>
            <w:tcW w:w="2410" w:type="dxa"/>
            <w:vAlign w:val="center"/>
          </w:tcPr>
          <w:p w14:paraId="2365EEBB">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了解学校管理对师生发展的意义，掌握学校行政管理的伦理基础及其功能。</w:t>
            </w:r>
          </w:p>
        </w:tc>
        <w:tc>
          <w:tcPr>
            <w:tcW w:w="1559" w:type="dxa"/>
            <w:vAlign w:val="center"/>
          </w:tcPr>
          <w:p w14:paraId="306108A7">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2050EAFB">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4DADE3E3">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75C9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continue"/>
            <w:vAlign w:val="center"/>
          </w:tcPr>
          <w:p w14:paraId="0156B141">
            <w:pPr>
              <w:adjustRightInd w:val="0"/>
              <w:snapToGrid w:val="0"/>
              <w:spacing w:line="276" w:lineRule="auto"/>
              <w:rPr>
                <w:rFonts w:ascii="宋体" w:hAnsi="宋体" w:eastAsia="宋体" w:cs="Times New Roman"/>
                <w:bCs/>
                <w:sz w:val="21"/>
                <w:szCs w:val="21"/>
              </w:rPr>
            </w:pPr>
          </w:p>
        </w:tc>
        <w:tc>
          <w:tcPr>
            <w:tcW w:w="8556" w:type="dxa"/>
            <w:gridSpan w:val="5"/>
            <w:vAlign w:val="center"/>
          </w:tcPr>
          <w:p w14:paraId="337C7D18">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
                <w:color w:val="000000"/>
                <w:sz w:val="21"/>
                <w:szCs w:val="21"/>
              </w:rPr>
              <w:t>课程思政目标：</w:t>
            </w:r>
            <w:r>
              <w:rPr>
                <w:rFonts w:hint="eastAsia" w:ascii="宋体" w:hAnsi="宋体" w:eastAsia="宋体" w:cs="Times New Roman"/>
                <w:bCs/>
                <w:sz w:val="21"/>
                <w:szCs w:val="21"/>
              </w:rPr>
              <w:t>树立辩证统一的思维，学会正确分析行政管理中的道德问题；弘扬教师职业精神，尊重、理解，服从安排，积极配合，以主人公精神积极参与管理事务。</w:t>
            </w:r>
          </w:p>
        </w:tc>
      </w:tr>
      <w:tr w14:paraId="5E28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restart"/>
            <w:vAlign w:val="center"/>
          </w:tcPr>
          <w:p w14:paraId="328D2086">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第八章</w:t>
            </w:r>
          </w:p>
          <w:p w14:paraId="0CE0AB94">
            <w:pPr>
              <w:adjustRightInd w:val="0"/>
              <w:snapToGrid w:val="0"/>
              <w:spacing w:line="276" w:lineRule="auto"/>
              <w:rPr>
                <w:rFonts w:ascii="宋体" w:hAnsi="宋体" w:eastAsia="宋体" w:cs="Times New Roman"/>
                <w:bCs/>
                <w:sz w:val="21"/>
                <w:szCs w:val="21"/>
              </w:rPr>
            </w:pPr>
            <w:r>
              <w:rPr>
                <w:rFonts w:hint="eastAsia" w:ascii="宋体" w:hAnsi="宋体" w:eastAsia="宋体" w:cs="Times New Roman"/>
                <w:bCs/>
                <w:sz w:val="21"/>
                <w:szCs w:val="21"/>
              </w:rPr>
              <w:t>教师职业道德修养</w:t>
            </w:r>
          </w:p>
        </w:tc>
        <w:tc>
          <w:tcPr>
            <w:tcW w:w="2835" w:type="dxa"/>
            <w:vAlign w:val="center"/>
          </w:tcPr>
          <w:p w14:paraId="3FA9866D">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w:t>
            </w:r>
            <w:r>
              <w:rPr>
                <w:rFonts w:ascii="宋体" w:hAnsi="宋体" w:eastAsia="宋体" w:cs="Times New Roman"/>
                <w:bCs/>
                <w:color w:val="000000"/>
                <w:sz w:val="21"/>
                <w:szCs w:val="21"/>
              </w:rPr>
              <w:t>.教师职业道德修养的目标</w:t>
            </w:r>
          </w:p>
          <w:p w14:paraId="0ED40733">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r>
              <w:rPr>
                <w:rFonts w:ascii="宋体" w:hAnsi="宋体" w:eastAsia="宋体" w:cs="Times New Roman"/>
                <w:bCs/>
                <w:color w:val="000000"/>
                <w:sz w:val="21"/>
                <w:szCs w:val="21"/>
              </w:rPr>
              <w:t>.教师职业道德修养的内容</w:t>
            </w:r>
          </w:p>
          <w:p w14:paraId="787501A2">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3</w:t>
            </w:r>
            <w:r>
              <w:rPr>
                <w:rFonts w:ascii="宋体" w:hAnsi="宋体" w:eastAsia="宋体" w:cs="Times New Roman"/>
                <w:bCs/>
                <w:color w:val="000000"/>
                <w:sz w:val="21"/>
                <w:szCs w:val="21"/>
              </w:rPr>
              <w:t>.教师职业道德修养的途径和方法</w:t>
            </w:r>
          </w:p>
        </w:tc>
        <w:tc>
          <w:tcPr>
            <w:tcW w:w="1276" w:type="dxa"/>
            <w:vAlign w:val="center"/>
          </w:tcPr>
          <w:p w14:paraId="44963069">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课程目标1</w:t>
            </w:r>
          </w:p>
          <w:p w14:paraId="7C1D8EBA">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课程目标2</w:t>
            </w:r>
          </w:p>
        </w:tc>
        <w:tc>
          <w:tcPr>
            <w:tcW w:w="2410" w:type="dxa"/>
            <w:vAlign w:val="center"/>
          </w:tcPr>
          <w:p w14:paraId="2A464A21">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了解教师职业道德修养的目标，掌握教师职业道德修养的基本内容、途径与方法，认同并自觉内化为自身专业发展要求。</w:t>
            </w:r>
          </w:p>
        </w:tc>
        <w:tc>
          <w:tcPr>
            <w:tcW w:w="1559" w:type="dxa"/>
            <w:vAlign w:val="center"/>
          </w:tcPr>
          <w:p w14:paraId="30E121CE">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1.多媒体教学</w:t>
            </w:r>
          </w:p>
          <w:p w14:paraId="0A63C900">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2.案例研讨</w:t>
            </w:r>
          </w:p>
        </w:tc>
        <w:tc>
          <w:tcPr>
            <w:tcW w:w="476" w:type="dxa"/>
            <w:vAlign w:val="center"/>
          </w:tcPr>
          <w:p w14:paraId="0F3E785C">
            <w:pPr>
              <w:adjustRightInd w:val="0"/>
              <w:snapToGrid w:val="0"/>
              <w:spacing w:line="276" w:lineRule="auto"/>
              <w:rPr>
                <w:rFonts w:ascii="宋体" w:hAnsi="宋体" w:eastAsia="宋体" w:cs="Times New Roman"/>
                <w:bCs/>
                <w:color w:val="000000"/>
                <w:sz w:val="21"/>
                <w:szCs w:val="21"/>
              </w:rPr>
            </w:pPr>
            <w:r>
              <w:rPr>
                <w:rFonts w:hint="eastAsia" w:ascii="宋体" w:hAnsi="宋体" w:eastAsia="宋体" w:cs="Times New Roman"/>
                <w:bCs/>
                <w:color w:val="000000"/>
                <w:sz w:val="21"/>
                <w:szCs w:val="21"/>
              </w:rPr>
              <w:t>2</w:t>
            </w:r>
          </w:p>
        </w:tc>
      </w:tr>
      <w:tr w14:paraId="114A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28" w:type="dxa"/>
            <w:vMerge w:val="continue"/>
            <w:vAlign w:val="center"/>
          </w:tcPr>
          <w:p w14:paraId="4BF087C3">
            <w:pPr>
              <w:adjustRightInd w:val="0"/>
              <w:snapToGrid w:val="0"/>
              <w:spacing w:line="276" w:lineRule="auto"/>
              <w:rPr>
                <w:rFonts w:ascii="宋体" w:hAnsi="宋体" w:eastAsia="宋体" w:cs="Times New Roman"/>
                <w:bCs/>
                <w:sz w:val="21"/>
                <w:szCs w:val="21"/>
              </w:rPr>
            </w:pPr>
          </w:p>
        </w:tc>
        <w:tc>
          <w:tcPr>
            <w:tcW w:w="8556" w:type="dxa"/>
            <w:gridSpan w:val="5"/>
            <w:vAlign w:val="center"/>
          </w:tcPr>
          <w:p w14:paraId="5855C758">
            <w:pPr>
              <w:adjustRightInd w:val="0"/>
              <w:snapToGrid w:val="0"/>
              <w:spacing w:line="276" w:lineRule="auto"/>
              <w:rPr>
                <w:rFonts w:ascii="宋体" w:hAnsi="宋体" w:eastAsia="宋体" w:cs="Times New Roman"/>
                <w:b/>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Times New Roman"/>
                <w:bCs/>
                <w:color w:val="000000"/>
                <w:sz w:val="21"/>
                <w:szCs w:val="21"/>
              </w:rPr>
              <w:t>树立终身学习理念，自觉更新教育观念，潜心钻研教育教学业务。</w:t>
            </w:r>
          </w:p>
        </w:tc>
      </w:tr>
    </w:tbl>
    <w:p w14:paraId="6B778525">
      <w:pPr>
        <w:adjustRightInd w:val="0"/>
        <w:snapToGrid w:val="0"/>
        <w:spacing w:line="360" w:lineRule="auto"/>
        <w:ind w:firstLine="422" w:firstLineChars="200"/>
        <w:rPr>
          <w:rFonts w:ascii="宋体" w:hAnsi="宋体" w:eastAsia="宋体" w:cs="Times New Roman"/>
          <w:b/>
          <w:szCs w:val="22"/>
        </w:rPr>
      </w:pPr>
    </w:p>
    <w:p w14:paraId="198FE22D">
      <w:pPr>
        <w:adjustRightInd w:val="0"/>
        <w:snapToGrid w:val="0"/>
        <w:spacing w:line="360" w:lineRule="auto"/>
        <w:ind w:firstLine="422" w:firstLineChars="200"/>
        <w:outlineLvl w:val="0"/>
        <w:rPr>
          <w:rFonts w:ascii="宋体" w:hAnsi="宋体" w:eastAsia="宋体" w:cs="Times New Roman"/>
          <w:b/>
          <w:szCs w:val="22"/>
        </w:rPr>
      </w:pPr>
      <w:bookmarkStart w:id="692" w:name="_Toc6238"/>
      <w:bookmarkStart w:id="693" w:name="_Toc7179"/>
      <w:bookmarkStart w:id="694" w:name="_Toc22443"/>
      <w:bookmarkStart w:id="695" w:name="_Toc8896"/>
      <w:bookmarkStart w:id="696" w:name="_Toc26578"/>
      <w:bookmarkStart w:id="697" w:name="_Toc4356"/>
      <w:bookmarkStart w:id="698" w:name="_Toc28719"/>
      <w:r>
        <w:rPr>
          <w:rFonts w:hint="eastAsia" w:ascii="宋体" w:hAnsi="宋体" w:eastAsia="宋体" w:cs="Times New Roman"/>
          <w:b/>
          <w:szCs w:val="22"/>
        </w:rPr>
        <w:t>四、目标评价与成绩评定</w:t>
      </w:r>
      <w:bookmarkEnd w:id="692"/>
      <w:bookmarkEnd w:id="693"/>
      <w:bookmarkEnd w:id="694"/>
      <w:bookmarkEnd w:id="695"/>
      <w:bookmarkEnd w:id="696"/>
      <w:bookmarkEnd w:id="697"/>
      <w:bookmarkEnd w:id="698"/>
    </w:p>
    <w:p w14:paraId="28CD684A">
      <w:pPr>
        <w:adjustRightInd w:val="0"/>
        <w:snapToGrid w:val="0"/>
        <w:spacing w:line="360" w:lineRule="auto"/>
        <w:jc w:val="left"/>
        <w:outlineLvl w:val="1"/>
        <w:rPr>
          <w:rFonts w:ascii="Times New Roman" w:hAnsi="Times New Roman" w:eastAsia="宋体" w:cs="Times New Roman"/>
          <w:b/>
          <w:sz w:val="21"/>
          <w:szCs w:val="21"/>
        </w:rPr>
      </w:pPr>
      <w:bookmarkStart w:id="699" w:name="_Toc4155"/>
      <w:r>
        <w:rPr>
          <w:rFonts w:hint="eastAsia" w:ascii="Times New Roman" w:hAnsi="Times New Roman" w:eastAsia="宋体" w:cs="Times New Roman"/>
          <w:b/>
          <w:sz w:val="21"/>
          <w:szCs w:val="21"/>
        </w:rPr>
        <w:t>（一）课程目标评价方式</w:t>
      </w:r>
      <w:bookmarkEnd w:id="699"/>
    </w:p>
    <w:p w14:paraId="7BB0AE09">
      <w:pPr>
        <w:adjustRightInd w:val="0"/>
        <w:snapToGrid w:val="0"/>
        <w:spacing w:line="360" w:lineRule="auto"/>
        <w:ind w:firstLine="420" w:firstLineChars="200"/>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根据总体设计，用于评价各课程目标的评价方式如表3</w:t>
      </w:r>
      <w:r>
        <w:rPr>
          <w:rFonts w:ascii="Times New Roman" w:hAnsi="Times New Roman" w:eastAsia="宋体" w:cs="Times New Roman"/>
          <w:sz w:val="21"/>
          <w:szCs w:val="21"/>
        </w:rPr>
        <w:t>所示。</w:t>
      </w:r>
    </w:p>
    <w:p w14:paraId="442E2AEF">
      <w:pPr>
        <w:adjustRightInd w:val="0"/>
        <w:snapToGrid w:val="0"/>
        <w:spacing w:line="36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表3</w:t>
      </w:r>
      <w:r>
        <w:rPr>
          <w:rFonts w:ascii="Times New Roman" w:hAnsi="Times New Roman" w:eastAsia="宋体" w:cs="Times New Roman"/>
          <w:b/>
          <w:bCs/>
          <w:sz w:val="21"/>
          <w:szCs w:val="21"/>
        </w:rPr>
        <w:t>课程教学评价设计总表</w:t>
      </w:r>
    </w:p>
    <w:tbl>
      <w:tblPr>
        <w:tblStyle w:val="1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0F4D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439A70A6">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w:t>
            </w:r>
          </w:p>
        </w:tc>
        <w:tc>
          <w:tcPr>
            <w:tcW w:w="5670" w:type="dxa"/>
            <w:gridSpan w:val="4"/>
          </w:tcPr>
          <w:p w14:paraId="0B7FBDD5">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评价与成绩评定方法</w:t>
            </w:r>
          </w:p>
        </w:tc>
        <w:tc>
          <w:tcPr>
            <w:tcW w:w="1355" w:type="dxa"/>
            <w:vMerge w:val="restart"/>
            <w:vAlign w:val="center"/>
          </w:tcPr>
          <w:p w14:paraId="40D5EEED">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分值</w:t>
            </w:r>
          </w:p>
        </w:tc>
      </w:tr>
      <w:tr w14:paraId="0140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3AF7CE86">
            <w:pPr>
              <w:adjustRightInd w:val="0"/>
              <w:snapToGrid w:val="0"/>
              <w:spacing w:line="276" w:lineRule="auto"/>
              <w:jc w:val="center"/>
              <w:rPr>
                <w:rFonts w:ascii="宋体" w:hAnsi="宋体" w:eastAsia="宋体" w:cs="Times New Roman"/>
                <w:kern w:val="0"/>
                <w:sz w:val="21"/>
                <w:szCs w:val="21"/>
              </w:rPr>
            </w:pPr>
          </w:p>
        </w:tc>
        <w:tc>
          <w:tcPr>
            <w:tcW w:w="1559" w:type="dxa"/>
            <w:vAlign w:val="center"/>
          </w:tcPr>
          <w:p w14:paraId="53A17192">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课堂发言</w:t>
            </w:r>
          </w:p>
        </w:tc>
        <w:tc>
          <w:tcPr>
            <w:tcW w:w="1418" w:type="dxa"/>
            <w:vAlign w:val="center"/>
          </w:tcPr>
          <w:p w14:paraId="75B5C9A5">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平时作业</w:t>
            </w:r>
          </w:p>
        </w:tc>
        <w:tc>
          <w:tcPr>
            <w:tcW w:w="1276" w:type="dxa"/>
            <w:vAlign w:val="center"/>
          </w:tcPr>
          <w:p w14:paraId="4710DBCB">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主题汇报</w:t>
            </w:r>
          </w:p>
        </w:tc>
        <w:tc>
          <w:tcPr>
            <w:tcW w:w="1417" w:type="dxa"/>
            <w:vAlign w:val="center"/>
          </w:tcPr>
          <w:p w14:paraId="135E75D7">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期末考试</w:t>
            </w:r>
          </w:p>
        </w:tc>
        <w:tc>
          <w:tcPr>
            <w:tcW w:w="1355" w:type="dxa"/>
            <w:vMerge w:val="continue"/>
            <w:vAlign w:val="center"/>
          </w:tcPr>
          <w:p w14:paraId="4727C94E">
            <w:pPr>
              <w:adjustRightInd w:val="0"/>
              <w:snapToGrid w:val="0"/>
              <w:spacing w:line="276" w:lineRule="auto"/>
              <w:jc w:val="center"/>
              <w:rPr>
                <w:rFonts w:ascii="宋体" w:hAnsi="宋体" w:eastAsia="宋体" w:cs="Times New Roman"/>
                <w:kern w:val="0"/>
                <w:sz w:val="21"/>
                <w:szCs w:val="21"/>
              </w:rPr>
            </w:pPr>
          </w:p>
        </w:tc>
      </w:tr>
      <w:tr w14:paraId="6849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569503F5">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课程目标1</w:t>
            </w:r>
          </w:p>
        </w:tc>
        <w:tc>
          <w:tcPr>
            <w:tcW w:w="1559" w:type="dxa"/>
            <w:vAlign w:val="center"/>
          </w:tcPr>
          <w:p w14:paraId="06AE9D81">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vAlign w:val="center"/>
          </w:tcPr>
          <w:p w14:paraId="574EFF9E">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vAlign w:val="center"/>
          </w:tcPr>
          <w:p w14:paraId="65FF8518">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vAlign w:val="center"/>
          </w:tcPr>
          <w:p w14:paraId="400DFC9D">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42F2BA1E">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20</w:t>
            </w:r>
          </w:p>
        </w:tc>
      </w:tr>
      <w:tr w14:paraId="72D5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14122552">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课程目标2</w:t>
            </w:r>
          </w:p>
        </w:tc>
        <w:tc>
          <w:tcPr>
            <w:tcW w:w="1559" w:type="dxa"/>
            <w:vAlign w:val="center"/>
          </w:tcPr>
          <w:p w14:paraId="2B7ADFF0">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vAlign w:val="center"/>
          </w:tcPr>
          <w:p w14:paraId="786FF791">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vAlign w:val="center"/>
          </w:tcPr>
          <w:p w14:paraId="5BDA8859">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vAlign w:val="center"/>
          </w:tcPr>
          <w:p w14:paraId="44CE6642">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07F32F0D">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30</w:t>
            </w:r>
          </w:p>
        </w:tc>
      </w:tr>
      <w:tr w14:paraId="52B1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5B0231D8">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课程目标3</w:t>
            </w:r>
          </w:p>
        </w:tc>
        <w:tc>
          <w:tcPr>
            <w:tcW w:w="1559" w:type="dxa"/>
            <w:vAlign w:val="center"/>
          </w:tcPr>
          <w:p w14:paraId="594159FB">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vAlign w:val="center"/>
          </w:tcPr>
          <w:p w14:paraId="007D5659">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vAlign w:val="center"/>
          </w:tcPr>
          <w:p w14:paraId="213DA667">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vAlign w:val="center"/>
          </w:tcPr>
          <w:p w14:paraId="61ACC02E">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54ADB4FA">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30</w:t>
            </w:r>
          </w:p>
        </w:tc>
      </w:tr>
      <w:tr w14:paraId="7D48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1" w:type="dxa"/>
            <w:vAlign w:val="center"/>
          </w:tcPr>
          <w:p w14:paraId="28A30537">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课程目标4</w:t>
            </w:r>
          </w:p>
        </w:tc>
        <w:tc>
          <w:tcPr>
            <w:tcW w:w="1559" w:type="dxa"/>
          </w:tcPr>
          <w:p w14:paraId="1D91EA39">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tcPr>
          <w:p w14:paraId="35E10F4C">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tcPr>
          <w:p w14:paraId="6416E5ED">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tcPr>
          <w:p w14:paraId="30090471">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72F4C417">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20</w:t>
            </w:r>
          </w:p>
        </w:tc>
      </w:tr>
      <w:tr w14:paraId="6781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2880CD72">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合计</w:t>
            </w:r>
          </w:p>
        </w:tc>
        <w:tc>
          <w:tcPr>
            <w:tcW w:w="1559" w:type="dxa"/>
            <w:vAlign w:val="center"/>
          </w:tcPr>
          <w:p w14:paraId="371583D3">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1</w:t>
            </w:r>
            <w:r>
              <w:rPr>
                <w:rFonts w:ascii="宋体" w:hAnsi="宋体" w:eastAsia="宋体" w:cs="Times New Roman"/>
                <w:kern w:val="0"/>
                <w:sz w:val="21"/>
                <w:szCs w:val="21"/>
              </w:rPr>
              <w:t>0</w:t>
            </w:r>
          </w:p>
        </w:tc>
        <w:tc>
          <w:tcPr>
            <w:tcW w:w="1418" w:type="dxa"/>
            <w:vAlign w:val="center"/>
          </w:tcPr>
          <w:p w14:paraId="0A03417A">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20</w:t>
            </w:r>
          </w:p>
        </w:tc>
        <w:tc>
          <w:tcPr>
            <w:tcW w:w="1276" w:type="dxa"/>
            <w:vAlign w:val="center"/>
          </w:tcPr>
          <w:p w14:paraId="5DA9CF8C">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2</w:t>
            </w:r>
            <w:r>
              <w:rPr>
                <w:rFonts w:ascii="宋体" w:hAnsi="宋体" w:eastAsia="宋体" w:cs="Times New Roman"/>
                <w:kern w:val="0"/>
                <w:sz w:val="21"/>
                <w:szCs w:val="21"/>
              </w:rPr>
              <w:t>0</w:t>
            </w:r>
          </w:p>
        </w:tc>
        <w:tc>
          <w:tcPr>
            <w:tcW w:w="1417" w:type="dxa"/>
            <w:vAlign w:val="center"/>
          </w:tcPr>
          <w:p w14:paraId="5644DDD1">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50</w:t>
            </w:r>
          </w:p>
        </w:tc>
        <w:tc>
          <w:tcPr>
            <w:tcW w:w="1355" w:type="dxa"/>
            <w:vAlign w:val="center"/>
          </w:tcPr>
          <w:p w14:paraId="5A3A796D">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100</w:t>
            </w:r>
          </w:p>
        </w:tc>
      </w:tr>
    </w:tbl>
    <w:p w14:paraId="45DDBCB5">
      <w:pPr>
        <w:spacing w:before="211" w:beforeLines="50" w:line="360" w:lineRule="auto"/>
        <w:ind w:firstLine="422" w:firstLineChars="200"/>
        <w:jc w:val="left"/>
        <w:outlineLvl w:val="1"/>
        <w:rPr>
          <w:rFonts w:ascii="Times New Roman" w:hAnsi="Times New Roman" w:eastAsia="宋体" w:cs="Times New Roman"/>
          <w:b/>
          <w:szCs w:val="21"/>
        </w:rPr>
      </w:pPr>
      <w:bookmarkStart w:id="700" w:name="_Toc9554"/>
      <w:r>
        <w:rPr>
          <w:rFonts w:hint="eastAsia" w:ascii="宋体" w:hAnsi="宋体" w:eastAsia="宋体" w:cs="Times New Roman"/>
          <w:b/>
          <w:szCs w:val="22"/>
        </w:rPr>
        <w:t>（二）</w:t>
      </w:r>
      <w:r>
        <w:rPr>
          <w:rFonts w:hint="eastAsia" w:ascii="Times New Roman" w:hAnsi="Times New Roman" w:eastAsia="宋体" w:cs="Times New Roman"/>
          <w:b/>
          <w:szCs w:val="21"/>
        </w:rPr>
        <w:t>成绩评定细则</w:t>
      </w:r>
      <w:bookmarkEnd w:id="700"/>
    </w:p>
    <w:p w14:paraId="1F249BD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2B7990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6C41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4035D69E">
            <w:pPr>
              <w:adjustRightInd w:val="0"/>
              <w:snapToGrid w:val="0"/>
              <w:spacing w:line="276"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评价方式</w:t>
            </w:r>
          </w:p>
        </w:tc>
        <w:tc>
          <w:tcPr>
            <w:tcW w:w="7509" w:type="dxa"/>
            <w:vAlign w:val="center"/>
          </w:tcPr>
          <w:p w14:paraId="5444EBEE">
            <w:pPr>
              <w:adjustRightInd w:val="0"/>
              <w:snapToGrid w:val="0"/>
              <w:spacing w:line="276"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评定细则</w:t>
            </w:r>
          </w:p>
        </w:tc>
        <w:tc>
          <w:tcPr>
            <w:tcW w:w="0" w:type="auto"/>
            <w:vAlign w:val="center"/>
          </w:tcPr>
          <w:p w14:paraId="19ED9E32">
            <w:pPr>
              <w:adjustRightInd w:val="0"/>
              <w:snapToGrid w:val="0"/>
              <w:spacing w:line="276"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占比</w:t>
            </w:r>
          </w:p>
        </w:tc>
      </w:tr>
      <w:tr w14:paraId="1B49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197D29BB">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453482A4">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根据学生课堂发言情况、学习</w:t>
            </w:r>
            <w:r>
              <w:rPr>
                <w:rFonts w:ascii="宋体" w:hAnsi="宋体" w:eastAsia="宋体" w:cs="Times New Roman"/>
                <w:sz w:val="21"/>
                <w:szCs w:val="21"/>
              </w:rPr>
              <w:t>态度</w:t>
            </w:r>
            <w:r>
              <w:rPr>
                <w:rFonts w:hint="eastAsia" w:ascii="宋体" w:hAnsi="宋体" w:eastAsia="宋体" w:cs="Times New Roman"/>
                <w:sz w:val="21"/>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103184B1">
            <w:pPr>
              <w:snapToGrid w:val="0"/>
              <w:spacing w:line="276" w:lineRule="auto"/>
              <w:rPr>
                <w:rFonts w:ascii="宋体" w:hAnsi="宋体" w:eastAsia="宋体" w:cs="Times New Roman"/>
                <w:sz w:val="21"/>
                <w:szCs w:val="21"/>
              </w:rPr>
            </w:pPr>
            <w:r>
              <w:rPr>
                <w:rFonts w:ascii="宋体" w:hAnsi="宋体" w:eastAsia="宋体" w:cs="Times New Roman"/>
                <w:sz w:val="21"/>
                <w:szCs w:val="21"/>
              </w:rPr>
              <w:t>10%</w:t>
            </w:r>
          </w:p>
        </w:tc>
      </w:tr>
      <w:tr w14:paraId="4144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31EA1E62">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29003C78">
            <w:pPr>
              <w:snapToGrid w:val="0"/>
              <w:spacing w:line="276" w:lineRule="auto"/>
              <w:rPr>
                <w:rFonts w:ascii="宋体" w:hAnsi="宋体" w:eastAsia="宋体" w:cs="Times New Roman"/>
                <w:sz w:val="21"/>
                <w:szCs w:val="21"/>
              </w:rPr>
            </w:pPr>
            <w:r>
              <w:rPr>
                <w:rFonts w:ascii="宋体" w:hAnsi="宋体" w:eastAsia="宋体" w:cs="Times New Roman"/>
                <w:color w:val="000000"/>
                <w:sz w:val="21"/>
                <w:szCs w:val="22"/>
              </w:rPr>
              <w:t>考核学生对</w:t>
            </w:r>
            <w:r>
              <w:rPr>
                <w:rFonts w:hint="eastAsia" w:ascii="宋体" w:hAnsi="宋体" w:eastAsia="宋体" w:cs="Times New Roman"/>
                <w:color w:val="000000"/>
                <w:sz w:val="21"/>
                <w:szCs w:val="22"/>
              </w:rPr>
              <w:t>各章节重要</w:t>
            </w:r>
            <w:r>
              <w:rPr>
                <w:rFonts w:ascii="宋体" w:hAnsi="宋体" w:eastAsia="宋体" w:cs="Times New Roman"/>
                <w:color w:val="000000"/>
                <w:sz w:val="21"/>
                <w:szCs w:val="22"/>
              </w:rPr>
              <w:t>知识点的理解和掌握</w:t>
            </w:r>
            <w:r>
              <w:rPr>
                <w:rFonts w:hint="eastAsia" w:ascii="宋体" w:hAnsi="宋体" w:eastAsia="宋体" w:cs="Times New Roman"/>
                <w:color w:val="000000"/>
                <w:sz w:val="21"/>
                <w:szCs w:val="22"/>
              </w:rPr>
              <w:t>情况</w:t>
            </w:r>
            <w:r>
              <w:rPr>
                <w:rFonts w:ascii="宋体" w:hAnsi="宋体" w:eastAsia="宋体" w:cs="Times New Roman"/>
                <w:color w:val="000000"/>
                <w:sz w:val="21"/>
                <w:szCs w:val="22"/>
              </w:rPr>
              <w:t>，</w:t>
            </w:r>
            <w:r>
              <w:rPr>
                <w:rFonts w:hint="eastAsia" w:ascii="宋体" w:hAnsi="宋体" w:eastAsia="宋体" w:cs="Times New Roman"/>
                <w:color w:val="000000"/>
                <w:sz w:val="21"/>
                <w:szCs w:val="22"/>
              </w:rPr>
              <w:t>作业次数不少于2次，安排在课后，教师批改反馈并进行讲解。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75E4E678">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2</w:t>
            </w:r>
            <w:r>
              <w:rPr>
                <w:rFonts w:ascii="宋体" w:hAnsi="宋体" w:eastAsia="宋体" w:cs="Times New Roman"/>
                <w:sz w:val="21"/>
                <w:szCs w:val="21"/>
              </w:rPr>
              <w:t>0%</w:t>
            </w:r>
          </w:p>
        </w:tc>
      </w:tr>
      <w:tr w14:paraId="7A2F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08CC3AE2">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主题汇报</w:t>
            </w:r>
          </w:p>
        </w:tc>
        <w:tc>
          <w:tcPr>
            <w:tcW w:w="7509" w:type="dxa"/>
            <w:tcBorders>
              <w:top w:val="single" w:color="auto" w:sz="4" w:space="0"/>
              <w:left w:val="single" w:color="auto" w:sz="4" w:space="0"/>
              <w:bottom w:val="single" w:color="auto" w:sz="4" w:space="0"/>
              <w:right w:val="single" w:color="auto" w:sz="4" w:space="0"/>
            </w:tcBorders>
            <w:vAlign w:val="center"/>
          </w:tcPr>
          <w:p w14:paraId="5BC9CA30">
            <w:pPr>
              <w:snapToGrid w:val="0"/>
              <w:spacing w:line="276" w:lineRule="auto"/>
              <w:rPr>
                <w:rFonts w:ascii="宋体" w:hAnsi="宋体" w:eastAsia="宋体" w:cs="Times New Roman"/>
                <w:sz w:val="21"/>
                <w:szCs w:val="21"/>
              </w:rPr>
            </w:pPr>
            <w:r>
              <w:rPr>
                <w:rFonts w:hint="eastAsia" w:ascii="宋体" w:hAnsi="宋体" w:eastAsia="宋体" w:cs="Times New Roman"/>
                <w:color w:val="000000"/>
                <w:sz w:val="21"/>
                <w:szCs w:val="22"/>
              </w:rPr>
              <w:t>小组合作，围绕一个师德主题，分享教育故事和感悟，考察学生运用师德理念以及相关理论知识分析具体案例的能力。</w:t>
            </w:r>
          </w:p>
        </w:tc>
        <w:tc>
          <w:tcPr>
            <w:tcW w:w="0" w:type="auto"/>
            <w:tcBorders>
              <w:top w:val="single" w:color="auto" w:sz="4" w:space="0"/>
              <w:left w:val="single" w:color="auto" w:sz="4" w:space="0"/>
              <w:bottom w:val="single" w:color="auto" w:sz="4" w:space="0"/>
              <w:right w:val="single" w:color="auto" w:sz="4" w:space="0"/>
            </w:tcBorders>
            <w:vAlign w:val="center"/>
          </w:tcPr>
          <w:p w14:paraId="6CABAC89">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2</w:t>
            </w:r>
            <w:r>
              <w:rPr>
                <w:rFonts w:ascii="宋体" w:hAnsi="宋体" w:eastAsia="宋体" w:cs="Times New Roman"/>
                <w:sz w:val="21"/>
                <w:szCs w:val="21"/>
              </w:rPr>
              <w:t>0%</w:t>
            </w:r>
          </w:p>
        </w:tc>
      </w:tr>
      <w:tr w14:paraId="0F89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2E9B7226">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71EF16F5">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考试形式由教师确定，</w:t>
            </w:r>
            <w:r>
              <w:rPr>
                <w:rFonts w:ascii="宋体" w:hAnsi="宋体" w:eastAsia="宋体" w:cs="Times New Roman"/>
                <w:sz w:val="21"/>
                <w:szCs w:val="21"/>
              </w:rPr>
              <w:t>题型包括选择题、简答题、材料分析题、论述题，</w:t>
            </w:r>
            <w:r>
              <w:rPr>
                <w:rFonts w:hint="eastAsia" w:ascii="宋体" w:hAnsi="宋体" w:eastAsia="宋体" w:cs="Times New Roman"/>
                <w:sz w:val="21"/>
                <w:szCs w:val="21"/>
              </w:rPr>
              <w:t>其中：</w:t>
            </w:r>
          </w:p>
          <w:p w14:paraId="0C297211">
            <w:pPr>
              <w:snapToGrid w:val="0"/>
              <w:spacing w:line="276" w:lineRule="auto"/>
              <w:rPr>
                <w:rFonts w:ascii="宋体" w:hAnsi="宋体" w:eastAsia="宋体" w:cs="Times New Roman"/>
                <w:sz w:val="21"/>
                <w:szCs w:val="21"/>
              </w:rPr>
            </w:pPr>
            <w:r>
              <w:rPr>
                <w:rFonts w:ascii="宋体" w:hAnsi="宋体" w:eastAsia="宋体" w:cs="Times New Roman"/>
                <w:sz w:val="21"/>
                <w:szCs w:val="21"/>
              </w:rPr>
              <w:t>考核教师职业道德基本理论的知识型题目</w:t>
            </w:r>
            <w:r>
              <w:rPr>
                <w:rFonts w:hint="eastAsia" w:ascii="宋体" w:hAnsi="宋体" w:eastAsia="宋体" w:cs="Times New Roman"/>
                <w:sz w:val="21"/>
                <w:szCs w:val="21"/>
              </w:rPr>
              <w:t>不少于</w:t>
            </w:r>
            <w:r>
              <w:rPr>
                <w:rFonts w:ascii="宋体" w:hAnsi="宋体" w:eastAsia="宋体" w:cs="Times New Roman"/>
                <w:sz w:val="21"/>
                <w:szCs w:val="21"/>
              </w:rPr>
              <w:t>40%。</w:t>
            </w:r>
          </w:p>
          <w:p w14:paraId="10CACAC6">
            <w:pPr>
              <w:snapToGrid w:val="0"/>
              <w:spacing w:line="276" w:lineRule="auto"/>
              <w:rPr>
                <w:rFonts w:ascii="宋体" w:hAnsi="宋体" w:eastAsia="宋体" w:cs="Times New Roman"/>
                <w:sz w:val="21"/>
                <w:szCs w:val="21"/>
              </w:rPr>
            </w:pPr>
            <w:r>
              <w:rPr>
                <w:rFonts w:ascii="宋体" w:hAnsi="宋体" w:eastAsia="宋体" w:cs="Times New Roman"/>
                <w:sz w:val="21"/>
                <w:szCs w:val="21"/>
              </w:rPr>
              <w:t>考核学生运用职业道德基本理论知识分析材料的能力型题目</w:t>
            </w:r>
            <w:r>
              <w:rPr>
                <w:rFonts w:hint="eastAsia" w:ascii="宋体" w:hAnsi="宋体" w:eastAsia="宋体" w:cs="Times New Roman"/>
                <w:sz w:val="21"/>
                <w:szCs w:val="21"/>
              </w:rPr>
              <w:t>不少于</w:t>
            </w:r>
            <w:r>
              <w:rPr>
                <w:rFonts w:ascii="宋体" w:hAnsi="宋体" w:eastAsia="宋体" w:cs="Times New Roman"/>
                <w:sz w:val="21"/>
                <w:szCs w:val="21"/>
              </w:rPr>
              <w:t>60%。</w:t>
            </w:r>
          </w:p>
        </w:tc>
        <w:tc>
          <w:tcPr>
            <w:tcW w:w="0" w:type="auto"/>
            <w:tcBorders>
              <w:top w:val="single" w:color="auto" w:sz="4" w:space="0"/>
              <w:left w:val="single" w:color="auto" w:sz="4" w:space="0"/>
              <w:bottom w:val="single" w:color="auto" w:sz="4" w:space="0"/>
              <w:right w:val="single" w:color="auto" w:sz="4" w:space="0"/>
            </w:tcBorders>
            <w:vAlign w:val="center"/>
          </w:tcPr>
          <w:p w14:paraId="0AAA4DCC">
            <w:pPr>
              <w:snapToGrid w:val="0"/>
              <w:spacing w:line="276" w:lineRule="auto"/>
              <w:rPr>
                <w:rFonts w:ascii="宋体" w:hAnsi="宋体" w:eastAsia="宋体" w:cs="Times New Roman"/>
                <w:sz w:val="21"/>
                <w:szCs w:val="21"/>
              </w:rPr>
            </w:pPr>
            <w:r>
              <w:rPr>
                <w:rFonts w:ascii="宋体" w:hAnsi="宋体" w:eastAsia="宋体" w:cs="Times New Roman"/>
                <w:sz w:val="21"/>
                <w:szCs w:val="21"/>
              </w:rPr>
              <w:t>50%</w:t>
            </w:r>
          </w:p>
        </w:tc>
      </w:tr>
      <w:tr w14:paraId="2463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1051E1ED">
            <w:pPr>
              <w:snapToGrid w:val="0"/>
              <w:spacing w:line="276" w:lineRule="auto"/>
              <w:jc w:val="center"/>
              <w:rPr>
                <w:rFonts w:ascii="宋体" w:hAnsi="宋体" w:eastAsia="宋体" w:cs="Times New Roman"/>
                <w:sz w:val="21"/>
                <w:szCs w:val="21"/>
              </w:rPr>
            </w:pPr>
            <w:r>
              <w:rPr>
                <w:rFonts w:hint="eastAsia" w:ascii="宋体" w:hAnsi="宋体" w:eastAsia="宋体" w:cs="Times New Roman"/>
                <w:sz w:val="21"/>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5E2D75D9">
            <w:pPr>
              <w:snapToGrid w:val="0"/>
              <w:spacing w:line="276" w:lineRule="auto"/>
              <w:rPr>
                <w:rFonts w:ascii="宋体" w:hAnsi="宋体" w:eastAsia="宋体" w:cs="Times New Roman"/>
                <w:sz w:val="21"/>
                <w:szCs w:val="21"/>
              </w:rPr>
            </w:pPr>
            <w:r>
              <w:rPr>
                <w:rFonts w:hint="eastAsia" w:ascii="宋体" w:hAnsi="宋体" w:eastAsia="宋体" w:cs="Times New Roman"/>
                <w:sz w:val="21"/>
                <w:szCs w:val="21"/>
              </w:rPr>
              <w:t>1</w:t>
            </w:r>
            <w:r>
              <w:rPr>
                <w:rFonts w:ascii="宋体" w:hAnsi="宋体" w:eastAsia="宋体" w:cs="Times New Roman"/>
                <w:sz w:val="21"/>
                <w:szCs w:val="21"/>
              </w:rPr>
              <w:t>00%</w:t>
            </w:r>
          </w:p>
        </w:tc>
      </w:tr>
    </w:tbl>
    <w:p w14:paraId="79D59062">
      <w:pPr>
        <w:spacing w:line="276" w:lineRule="auto"/>
        <w:ind w:firstLine="316" w:firstLineChars="150"/>
        <w:rPr>
          <w:rFonts w:ascii="宋体" w:hAnsi="宋体" w:eastAsia="宋体" w:cs="Times New Roman"/>
          <w:b/>
          <w:szCs w:val="22"/>
        </w:rPr>
      </w:pPr>
    </w:p>
    <w:p w14:paraId="737A18DB">
      <w:pPr>
        <w:spacing w:line="276" w:lineRule="auto"/>
        <w:ind w:firstLine="316" w:firstLineChars="150"/>
        <w:outlineLvl w:val="1"/>
        <w:rPr>
          <w:rFonts w:ascii="宋体" w:hAnsi="宋体" w:eastAsia="宋体" w:cs="Times New Roman"/>
          <w:b/>
          <w:szCs w:val="22"/>
        </w:rPr>
      </w:pPr>
      <w:bookmarkStart w:id="701" w:name="_Toc11523"/>
      <w:r>
        <w:rPr>
          <w:rFonts w:hint="eastAsia" w:ascii="宋体" w:hAnsi="宋体" w:eastAsia="宋体" w:cs="Times New Roman"/>
          <w:b/>
          <w:szCs w:val="22"/>
        </w:rPr>
        <w:t>（三）</w:t>
      </w:r>
      <w:r>
        <w:rPr>
          <w:rFonts w:hint="eastAsia" w:ascii="宋体" w:hAnsi="宋体" w:eastAsia="宋体" w:cs="Times New Roman"/>
          <w:b/>
          <w:bCs/>
          <w:szCs w:val="22"/>
        </w:rPr>
        <w:t>课程目标达成度计算方法</w:t>
      </w:r>
      <w:bookmarkEnd w:id="701"/>
    </w:p>
    <w:p w14:paraId="5D67F265">
      <w:pPr>
        <w:spacing w:line="276" w:lineRule="auto"/>
        <w:ind w:firstLine="420" w:firstLineChars="200"/>
        <w:rPr>
          <w:rFonts w:ascii="Calibri" w:hAnsi="Calibri" w:eastAsia="宋体" w:cs="Times New Roman"/>
          <w:szCs w:val="22"/>
        </w:rPr>
      </w:pPr>
      <w:r>
        <w:rPr>
          <w:rFonts w:hint="eastAsia" w:ascii="Calibri" w:hAnsi="Calibri" w:eastAsia="宋体" w:cs="Times New Roman"/>
          <w:szCs w:val="22"/>
        </w:rPr>
        <w:t>所有课程目标均需大于等</w:t>
      </w:r>
      <w:r>
        <w:rPr>
          <w:rFonts w:hint="eastAsia" w:ascii="宋体" w:hAnsi="宋体" w:eastAsia="宋体" w:cs="Times New Roman"/>
          <w:szCs w:val="22"/>
        </w:rPr>
        <w:t>于</w:t>
      </w:r>
      <w:r>
        <w:rPr>
          <w:rFonts w:hint="eastAsia" w:ascii="宋体" w:hAnsi="宋体" w:eastAsia="宋体" w:cs="Times New Roman"/>
          <w:sz w:val="21"/>
          <w:szCs w:val="21"/>
        </w:rPr>
        <w:t>0</w:t>
      </w:r>
      <w:r>
        <w:rPr>
          <w:rFonts w:ascii="宋体" w:hAnsi="宋体" w:eastAsia="宋体" w:cs="Times New Roman"/>
          <w:sz w:val="21"/>
          <w:szCs w:val="21"/>
        </w:rPr>
        <w:t>.6</w:t>
      </w:r>
      <w:r>
        <w:rPr>
          <w:rFonts w:hint="eastAsia" w:ascii="Calibri" w:hAnsi="Calibri" w:eastAsia="宋体" w:cs="Times New Roman"/>
          <w:szCs w:val="22"/>
        </w:rPr>
        <w:t>，否则总评成绩不及格，需要补考或重修。每门课程目标总体达成度计算方法如下：</w:t>
      </w:r>
    </w:p>
    <w:p w14:paraId="42438126">
      <w:pPr>
        <w:spacing w:line="276" w:lineRule="auto"/>
        <w:rPr>
          <w:rFonts w:ascii="Calibri" w:hAnsi="Calibri" w:eastAsia="宋体" w:cs="Times New Roman"/>
          <w:sz w:val="21"/>
          <w:szCs w:val="21"/>
        </w:rPr>
      </w:pPr>
      <w:r>
        <w:rPr>
          <w:rFonts w:hint="eastAsia" w:ascii="Calibri" w:hAnsi="Calibri" w:eastAsia="宋体" w:cs="Times New Roman"/>
          <w:sz w:val="21"/>
          <w:szCs w:val="21"/>
        </w:rPr>
        <w:t>课程目标达成度=</w:t>
      </w:r>
      <m:oMath>
        <m:r>
          <m:rPr>
            <m:sty m:val="p"/>
          </m:rPr>
          <w:rPr>
            <w:rFonts w:ascii="Cambria Math" w:hAnsi="Cambria Math" w:eastAsia="宋体" w:cs="Times New Roman"/>
            <w:sz w:val="21"/>
            <w:szCs w:val="21"/>
          </w:rPr>
          <m:t>Σ</m:t>
        </m:r>
        <m:r>
          <m:rPr>
            <m:sty m:val="p"/>
          </m:rPr>
          <w:rPr>
            <w:rFonts w:hint="eastAsia" w:ascii="Cambria Math" w:hAnsi="Cambria Math" w:eastAsia="宋体" w:cs="Times New Roman"/>
            <w:sz w:val="21"/>
            <w:szCs w:val="21"/>
          </w:rPr>
          <m:t>课程子目标的权重值（</m:t>
        </m:r>
        <m:r>
          <m:rPr/>
          <w:rPr>
            <w:rFonts w:ascii="Cambria Math" w:hAnsi="Cambria Math" w:eastAsia="宋体" w:cs="Times New Roman"/>
            <w:sz w:val="21"/>
            <w:szCs w:val="21"/>
          </w:rPr>
          <m:t>a</m:t>
        </m:r>
        <m:r>
          <m:rPr>
            <m:sty m:val="p"/>
          </m:rPr>
          <w:rPr>
            <w:rFonts w:hint="eastAsia" w:ascii="Cambria Math" w:hAnsi="Cambria Math" w:eastAsia="宋体" w:cs="Times New Roman"/>
            <w:sz w:val="21"/>
            <w:szCs w:val="21"/>
          </w:rPr>
          <m:t>）</m:t>
        </m:r>
        <m:r>
          <m:rPr>
            <m:sty m:val="p"/>
          </m:rPr>
          <w:rPr>
            <w:rFonts w:ascii="Cambria Math" w:hAnsi="Cambria Math" w:eastAsia="宋体" w:cs="Times New Roman"/>
            <w:sz w:val="21"/>
            <w:szCs w:val="21"/>
          </w:rPr>
          <m:t>×Σ</m:t>
        </m:r>
        <m:r>
          <m:rPr>
            <m:sty m:val="p"/>
          </m:rPr>
          <w:rPr>
            <w:rFonts w:hint="eastAsia" w:ascii="Cambria Math" w:hAnsi="Cambria Math" w:eastAsia="宋体" w:cs="Times New Roman"/>
            <w:sz w:val="21"/>
            <w:szCs w:val="21"/>
          </w:rPr>
          <m:t>课程考核目标的权重值（</m:t>
        </m:r>
        <m:r>
          <m:rPr/>
          <w:rPr>
            <w:rFonts w:ascii="Cambria Math" w:hAnsi="Cambria Math" w:eastAsia="宋体" w:cs="Times New Roman"/>
            <w:sz w:val="21"/>
            <w:szCs w:val="21"/>
          </w:rPr>
          <m:t>b</m:t>
        </m:r>
        <m:r>
          <m:rPr>
            <m:sty m:val="p"/>
          </m:rPr>
          <w:rPr>
            <w:rFonts w:hint="eastAsia" w:ascii="Cambria Math" w:hAnsi="Cambria Math" w:eastAsia="宋体" w:cs="Times New Roman"/>
            <w:sz w:val="21"/>
            <w:szCs w:val="21"/>
          </w:rPr>
          <m:t>）</m:t>
        </m:r>
        <m:f>
          <m:fPr>
            <m:ctrlPr>
              <w:rPr>
                <w:rFonts w:ascii="Cambria Math" w:hAnsi="Cambria Math" w:eastAsia="宋体" w:cs="Times New Roman"/>
                <w:sz w:val="21"/>
                <w:szCs w:val="21"/>
              </w:rPr>
            </m:ctrlPr>
          </m:fPr>
          <m:num>
            <m:r>
              <m:rPr/>
              <w:rPr>
                <w:rFonts w:hint="eastAsia" w:ascii="Cambria Math" w:hAnsi="Cambria Math" w:eastAsia="宋体" w:cs="Times New Roman"/>
                <w:sz w:val="21"/>
                <w:szCs w:val="21"/>
              </w:rPr>
              <m:t>考核项目平均分</m:t>
            </m:r>
            <m:ctrlPr>
              <w:rPr>
                <w:rFonts w:ascii="Cambria Math" w:hAnsi="Cambria Math" w:eastAsia="宋体" w:cs="Times New Roman"/>
                <w:sz w:val="21"/>
                <w:szCs w:val="21"/>
              </w:rPr>
            </m:ctrlPr>
          </m:num>
          <m:den>
            <m:r>
              <m:rPr/>
              <w:rPr>
                <w:rFonts w:hint="eastAsia" w:ascii="Cambria Math" w:hAnsi="Cambria Math" w:eastAsia="宋体" w:cs="Times New Roman"/>
                <w:sz w:val="21"/>
                <w:szCs w:val="21"/>
              </w:rPr>
              <m:t>考核项目总分</m:t>
            </m:r>
            <m:ctrlPr>
              <w:rPr>
                <w:rFonts w:ascii="Cambria Math" w:hAnsi="Cambria Math" w:eastAsia="宋体" w:cs="Times New Roman"/>
                <w:sz w:val="21"/>
                <w:szCs w:val="21"/>
              </w:rPr>
            </m:ctrlPr>
          </m:den>
        </m:f>
      </m:oMath>
    </w:p>
    <w:p w14:paraId="14382C02">
      <w:pPr>
        <w:spacing w:line="276" w:lineRule="auto"/>
        <w:ind w:firstLine="422" w:firstLineChars="200"/>
        <w:outlineLvl w:val="0"/>
        <w:rPr>
          <w:rFonts w:ascii="Calibri" w:hAnsi="Calibri" w:eastAsia="宋体" w:cs="Times New Roman"/>
          <w:b/>
          <w:szCs w:val="22"/>
        </w:rPr>
      </w:pPr>
      <w:bookmarkStart w:id="702" w:name="_Toc5527"/>
      <w:bookmarkStart w:id="703" w:name="_Toc22305"/>
      <w:bookmarkStart w:id="704" w:name="_Toc11075"/>
      <w:bookmarkStart w:id="705" w:name="_Toc8769"/>
      <w:bookmarkStart w:id="706" w:name="_Toc24658"/>
      <w:bookmarkStart w:id="707" w:name="_Toc19178"/>
      <w:bookmarkStart w:id="708" w:name="_Toc23984"/>
      <w:r>
        <w:rPr>
          <w:rFonts w:hint="eastAsia" w:ascii="Calibri" w:hAnsi="Calibri" w:eastAsia="宋体" w:cs="Times New Roman"/>
          <w:b/>
          <w:szCs w:val="22"/>
        </w:rPr>
        <w:t>五、课内实践</w:t>
      </w:r>
      <w:bookmarkEnd w:id="702"/>
      <w:bookmarkEnd w:id="703"/>
      <w:bookmarkEnd w:id="704"/>
      <w:bookmarkEnd w:id="705"/>
      <w:bookmarkEnd w:id="706"/>
      <w:bookmarkEnd w:id="707"/>
      <w:bookmarkEnd w:id="708"/>
    </w:p>
    <w:p w14:paraId="0AB7559D">
      <w:pPr>
        <w:spacing w:line="276" w:lineRule="auto"/>
        <w:ind w:firstLine="420" w:firstLineChars="200"/>
        <w:rPr>
          <w:rFonts w:ascii="Calibri" w:hAnsi="Calibri" w:eastAsia="宋体" w:cs="Times New Roman"/>
          <w:bCs/>
          <w:szCs w:val="22"/>
        </w:rPr>
      </w:pPr>
      <w:r>
        <w:rPr>
          <w:rFonts w:hint="eastAsia" w:ascii="Calibri" w:hAnsi="Calibri" w:eastAsia="宋体" w:cs="Times New Roman"/>
          <w:bCs/>
          <w:szCs w:val="22"/>
        </w:rPr>
        <w:t>无</w:t>
      </w:r>
    </w:p>
    <w:p w14:paraId="3C3CE8E8">
      <w:pPr>
        <w:spacing w:line="276" w:lineRule="auto"/>
        <w:ind w:firstLine="422" w:firstLineChars="200"/>
        <w:outlineLvl w:val="0"/>
        <w:rPr>
          <w:rFonts w:ascii="Calibri" w:hAnsi="Calibri" w:eastAsia="宋体" w:cs="Times New Roman"/>
          <w:b/>
          <w:szCs w:val="22"/>
        </w:rPr>
      </w:pPr>
      <w:bookmarkStart w:id="709" w:name="_Toc3845"/>
      <w:bookmarkStart w:id="710" w:name="_Toc29182"/>
      <w:bookmarkStart w:id="711" w:name="_Toc21406"/>
      <w:bookmarkStart w:id="712" w:name="_Toc8218"/>
      <w:bookmarkStart w:id="713" w:name="_Toc1176"/>
      <w:bookmarkStart w:id="714" w:name="_Toc5008"/>
      <w:bookmarkStart w:id="715" w:name="_Toc31066"/>
      <w:r>
        <w:rPr>
          <w:rFonts w:hint="eastAsia" w:ascii="Calibri" w:hAnsi="Calibri" w:eastAsia="宋体" w:cs="Times New Roman"/>
          <w:b/>
          <w:szCs w:val="22"/>
        </w:rPr>
        <w:t>六</w:t>
      </w:r>
      <w:r>
        <w:rPr>
          <w:rFonts w:ascii="Calibri" w:hAnsi="Calibri" w:eastAsia="宋体" w:cs="Times New Roman"/>
          <w:b/>
          <w:szCs w:val="22"/>
        </w:rPr>
        <w:t>、</w:t>
      </w:r>
      <w:r>
        <w:rPr>
          <w:rFonts w:hint="eastAsia" w:ascii="Calibri" w:hAnsi="Calibri" w:eastAsia="宋体" w:cs="Times New Roman"/>
          <w:b/>
          <w:szCs w:val="22"/>
        </w:rPr>
        <w:t>有关说明</w:t>
      </w:r>
      <w:bookmarkEnd w:id="709"/>
      <w:bookmarkEnd w:id="710"/>
      <w:bookmarkEnd w:id="711"/>
      <w:bookmarkEnd w:id="712"/>
      <w:bookmarkEnd w:id="713"/>
      <w:bookmarkEnd w:id="714"/>
      <w:bookmarkEnd w:id="715"/>
    </w:p>
    <w:p w14:paraId="75E81F6D">
      <w:pPr>
        <w:spacing w:line="276" w:lineRule="auto"/>
        <w:ind w:firstLine="422" w:firstLineChars="200"/>
        <w:outlineLvl w:val="1"/>
        <w:rPr>
          <w:rFonts w:ascii="Calibri" w:hAnsi="Calibri" w:eastAsia="宋体" w:cs="Times New Roman"/>
          <w:b/>
          <w:color w:val="000000"/>
          <w:szCs w:val="22"/>
        </w:rPr>
      </w:pPr>
      <w:bookmarkStart w:id="716" w:name="_Toc5386"/>
      <w:r>
        <w:rPr>
          <w:rFonts w:hint="eastAsia" w:ascii="Calibri" w:hAnsi="Calibri" w:eastAsia="宋体" w:cs="Times New Roman"/>
          <w:b/>
          <w:color w:val="000000"/>
          <w:szCs w:val="22"/>
        </w:rPr>
        <w:t>（一）持续改进</w:t>
      </w:r>
      <w:bookmarkEnd w:id="716"/>
    </w:p>
    <w:p w14:paraId="60EF5269">
      <w:pPr>
        <w:spacing w:line="276" w:lineRule="auto"/>
        <w:ind w:firstLine="420" w:firstLineChars="200"/>
        <w:rPr>
          <w:rFonts w:ascii="Calibri" w:hAnsi="Calibri" w:eastAsia="宋体" w:cs="Times New Roman"/>
          <w:szCs w:val="22"/>
        </w:rPr>
      </w:pPr>
      <w:r>
        <w:rPr>
          <w:rFonts w:ascii="Calibri" w:hAnsi="Calibri" w:eastAsia="宋体" w:cs="Times New Roman"/>
          <w:szCs w:val="22"/>
        </w:rPr>
        <w:t>本课程根据学生作业、课堂讨论、</w:t>
      </w:r>
      <w:r>
        <w:rPr>
          <w:rFonts w:hint="eastAsia" w:ascii="Calibri" w:hAnsi="Calibri" w:eastAsia="宋体" w:cs="Times New Roman"/>
          <w:szCs w:val="22"/>
        </w:rPr>
        <w:t>教学</w:t>
      </w:r>
      <w:r>
        <w:rPr>
          <w:rFonts w:ascii="Calibri" w:hAnsi="Calibri" w:eastAsia="宋体" w:cs="Times New Roman"/>
          <w:szCs w:val="22"/>
        </w:rPr>
        <w:t>环节、平时考核情况和学生、教学督导等</w:t>
      </w:r>
      <w:r>
        <w:rPr>
          <w:rFonts w:hint="eastAsia" w:ascii="Calibri" w:hAnsi="Calibri" w:eastAsia="宋体" w:cs="Times New Roman"/>
          <w:szCs w:val="22"/>
        </w:rPr>
        <w:t>的</w:t>
      </w:r>
      <w:r>
        <w:rPr>
          <w:rFonts w:ascii="Calibri" w:hAnsi="Calibri" w:eastAsia="宋体" w:cs="Times New Roman"/>
          <w:szCs w:val="22"/>
        </w:rPr>
        <w:t>反馈，及时对教学中</w:t>
      </w:r>
      <w:r>
        <w:rPr>
          <w:rFonts w:hint="eastAsia" w:ascii="Calibri" w:hAnsi="Calibri" w:eastAsia="宋体" w:cs="Times New Roman"/>
          <w:szCs w:val="22"/>
        </w:rPr>
        <w:t>的</w:t>
      </w:r>
      <w:r>
        <w:rPr>
          <w:rFonts w:ascii="Calibri" w:hAnsi="Calibri" w:eastAsia="宋体" w:cs="Times New Roman"/>
          <w:szCs w:val="22"/>
        </w:rPr>
        <w:t>不足之处进行改进，并在下一轮课程教学中</w:t>
      </w:r>
      <w:r>
        <w:rPr>
          <w:rFonts w:hint="eastAsia" w:ascii="Calibri" w:hAnsi="Calibri" w:eastAsia="宋体" w:cs="Times New Roman"/>
          <w:szCs w:val="22"/>
        </w:rPr>
        <w:t>整改完善</w:t>
      </w:r>
      <w:r>
        <w:rPr>
          <w:rFonts w:ascii="Calibri" w:hAnsi="Calibri" w:eastAsia="宋体" w:cs="Times New Roman"/>
          <w:szCs w:val="22"/>
        </w:rPr>
        <w:t>，确保相应毕业要求指标点达成。</w:t>
      </w:r>
    </w:p>
    <w:p w14:paraId="55036278">
      <w:pPr>
        <w:spacing w:line="276" w:lineRule="auto"/>
        <w:ind w:firstLine="422" w:firstLineChars="200"/>
        <w:outlineLvl w:val="1"/>
        <w:rPr>
          <w:rFonts w:ascii="Calibri" w:hAnsi="Calibri" w:eastAsia="宋体" w:cs="Times New Roman"/>
          <w:b/>
          <w:color w:val="000000"/>
          <w:szCs w:val="22"/>
        </w:rPr>
      </w:pPr>
      <w:bookmarkStart w:id="717" w:name="_Toc21274"/>
      <w:r>
        <w:rPr>
          <w:rFonts w:hint="eastAsia" w:ascii="Calibri" w:hAnsi="Calibri" w:eastAsia="宋体" w:cs="Times New Roman"/>
          <w:b/>
          <w:color w:val="000000"/>
          <w:szCs w:val="22"/>
        </w:rPr>
        <w:t>（二）建议教材</w:t>
      </w:r>
      <w:bookmarkEnd w:id="717"/>
    </w:p>
    <w:p w14:paraId="58F00C29">
      <w:pPr>
        <w:spacing w:line="276" w:lineRule="auto"/>
        <w:ind w:firstLine="525" w:firstLineChars="250"/>
        <w:rPr>
          <w:rFonts w:ascii="宋体" w:hAnsi="宋体" w:eastAsia="宋体" w:cs="Times New Roman"/>
          <w:szCs w:val="22"/>
        </w:rPr>
      </w:pPr>
      <w:r>
        <w:rPr>
          <w:rFonts w:hint="eastAsia" w:ascii="宋体" w:hAnsi="宋体" w:eastAsia="宋体" w:cs="Times New Roman"/>
          <w:szCs w:val="22"/>
        </w:rPr>
        <w:t>钱焕琦</w:t>
      </w:r>
      <w:r>
        <w:rPr>
          <w:rFonts w:ascii="宋体" w:hAnsi="宋体" w:eastAsia="宋体" w:cs="Times New Roman"/>
          <w:szCs w:val="22"/>
        </w:rPr>
        <w:t>.</w:t>
      </w:r>
      <w:r>
        <w:rPr>
          <w:rFonts w:hint="eastAsia" w:ascii="宋体" w:hAnsi="宋体" w:eastAsia="宋体" w:cs="Times New Roman"/>
          <w:szCs w:val="22"/>
        </w:rPr>
        <w:t>教师职业道德（第四版）.华东师范大学出版社，2</w:t>
      </w:r>
      <w:r>
        <w:rPr>
          <w:rFonts w:ascii="宋体" w:hAnsi="宋体" w:eastAsia="宋体" w:cs="Times New Roman"/>
          <w:szCs w:val="22"/>
        </w:rPr>
        <w:t>020</w:t>
      </w:r>
      <w:r>
        <w:rPr>
          <w:rFonts w:hint="eastAsia" w:ascii="宋体" w:hAnsi="宋体" w:eastAsia="宋体" w:cs="Times New Roman"/>
          <w:szCs w:val="22"/>
        </w:rPr>
        <w:t>年8月</w:t>
      </w:r>
      <w:r>
        <w:rPr>
          <w:rFonts w:ascii="宋体" w:hAnsi="宋体" w:eastAsia="宋体" w:cs="Times New Roman"/>
          <w:szCs w:val="22"/>
        </w:rPr>
        <w:t>.</w:t>
      </w:r>
    </w:p>
    <w:p w14:paraId="35ADAB4D">
      <w:pPr>
        <w:spacing w:line="276" w:lineRule="auto"/>
        <w:ind w:firstLine="422" w:firstLineChars="200"/>
        <w:outlineLvl w:val="1"/>
        <w:rPr>
          <w:rFonts w:ascii="宋体" w:hAnsi="宋体" w:eastAsia="宋体" w:cs="Times New Roman"/>
          <w:b/>
          <w:bCs/>
          <w:szCs w:val="22"/>
        </w:rPr>
      </w:pPr>
      <w:bookmarkStart w:id="718" w:name="_Toc15485"/>
      <w:r>
        <w:rPr>
          <w:rFonts w:hint="eastAsia" w:ascii="宋体" w:hAnsi="宋体" w:eastAsia="宋体" w:cs="Times New Roman"/>
          <w:b/>
          <w:bCs/>
          <w:szCs w:val="22"/>
        </w:rPr>
        <w:t>（三）参考书目</w:t>
      </w:r>
      <w:bookmarkEnd w:id="718"/>
    </w:p>
    <w:p w14:paraId="5A5BEA43">
      <w:pPr>
        <w:spacing w:line="276" w:lineRule="auto"/>
        <w:ind w:firstLine="525" w:firstLineChars="250"/>
        <w:rPr>
          <w:rFonts w:ascii="宋体" w:hAnsi="宋体" w:eastAsia="宋体" w:cs="Times New Roman"/>
          <w:szCs w:val="22"/>
        </w:rPr>
      </w:pPr>
      <w:r>
        <w:rPr>
          <w:rFonts w:hint="eastAsia" w:ascii="宋体" w:hAnsi="宋体" w:eastAsia="宋体" w:cs="Times New Roman"/>
          <w:szCs w:val="22"/>
        </w:rPr>
        <w:t>1</w:t>
      </w:r>
      <w:r>
        <w:rPr>
          <w:rFonts w:ascii="宋体" w:hAnsi="宋体" w:eastAsia="宋体" w:cs="Times New Roman"/>
          <w:szCs w:val="22"/>
        </w:rPr>
        <w:t>.</w:t>
      </w:r>
      <w:r>
        <w:rPr>
          <w:rFonts w:hint="eastAsia" w:ascii="宋体" w:hAnsi="宋体" w:eastAsia="宋体" w:cs="Times New Roman"/>
          <w:szCs w:val="22"/>
        </w:rPr>
        <w:t>刘亭亭</w:t>
      </w:r>
      <w:r>
        <w:rPr>
          <w:rFonts w:ascii="宋体" w:hAnsi="宋体" w:eastAsia="宋体" w:cs="Times New Roman"/>
          <w:szCs w:val="22"/>
        </w:rPr>
        <w:t>.</w:t>
      </w:r>
      <w:r>
        <w:rPr>
          <w:rFonts w:hint="eastAsia" w:ascii="宋体" w:hAnsi="宋体" w:eastAsia="宋体" w:cs="Times New Roman"/>
          <w:szCs w:val="22"/>
        </w:rPr>
        <w:t>教师职业道德</w:t>
      </w:r>
      <w:r>
        <w:rPr>
          <w:rFonts w:ascii="宋体" w:hAnsi="宋体" w:eastAsia="宋体" w:cs="Times New Roman"/>
          <w:szCs w:val="22"/>
        </w:rPr>
        <w:t>.</w:t>
      </w:r>
      <w:r>
        <w:rPr>
          <w:rFonts w:hint="eastAsia" w:ascii="宋体" w:hAnsi="宋体" w:eastAsia="宋体" w:cs="Times New Roman"/>
          <w:szCs w:val="22"/>
        </w:rPr>
        <w:t>北京大学出版社，2</w:t>
      </w:r>
      <w:r>
        <w:rPr>
          <w:rFonts w:ascii="宋体" w:hAnsi="宋体" w:eastAsia="宋体" w:cs="Times New Roman"/>
          <w:szCs w:val="22"/>
        </w:rPr>
        <w:t>017.</w:t>
      </w:r>
    </w:p>
    <w:p w14:paraId="33EB1FE4">
      <w:pPr>
        <w:spacing w:line="276" w:lineRule="auto"/>
        <w:ind w:firstLine="525" w:firstLineChars="250"/>
        <w:rPr>
          <w:rFonts w:ascii="宋体" w:hAnsi="宋体" w:eastAsia="宋体" w:cs="Times New Roman"/>
          <w:szCs w:val="22"/>
        </w:rPr>
      </w:pPr>
      <w:r>
        <w:rPr>
          <w:rFonts w:hint="eastAsia" w:ascii="宋体" w:hAnsi="宋体" w:eastAsia="宋体" w:cs="Times New Roman"/>
          <w:szCs w:val="22"/>
        </w:rPr>
        <w:t>2</w:t>
      </w:r>
      <w:r>
        <w:rPr>
          <w:rFonts w:ascii="宋体" w:hAnsi="宋体" w:eastAsia="宋体" w:cs="Times New Roman"/>
          <w:szCs w:val="22"/>
        </w:rPr>
        <w:t>.</w:t>
      </w:r>
      <w:r>
        <w:rPr>
          <w:rFonts w:hint="eastAsia" w:ascii="宋体" w:hAnsi="宋体" w:eastAsia="宋体" w:cs="Times New Roman"/>
          <w:szCs w:val="22"/>
        </w:rPr>
        <w:t>檀传宝.教师职业道德.北京师范大学出版社，2</w:t>
      </w:r>
      <w:r>
        <w:rPr>
          <w:rFonts w:ascii="宋体" w:hAnsi="宋体" w:eastAsia="宋体" w:cs="Times New Roman"/>
          <w:szCs w:val="22"/>
        </w:rPr>
        <w:t>015.</w:t>
      </w:r>
    </w:p>
    <w:p w14:paraId="7ABF57F7">
      <w:pPr>
        <w:spacing w:line="276" w:lineRule="auto"/>
        <w:ind w:firstLine="525" w:firstLineChars="250"/>
        <w:rPr>
          <w:rFonts w:ascii="宋体" w:hAnsi="宋体" w:eastAsia="宋体" w:cs="Times New Roman"/>
          <w:szCs w:val="22"/>
        </w:rPr>
      </w:pPr>
      <w:r>
        <w:rPr>
          <w:rFonts w:hint="eastAsia" w:ascii="宋体" w:hAnsi="宋体" w:eastAsia="宋体" w:cs="Times New Roman"/>
          <w:szCs w:val="22"/>
        </w:rPr>
        <w:t>3</w:t>
      </w:r>
      <w:r>
        <w:rPr>
          <w:rFonts w:ascii="宋体" w:hAnsi="宋体" w:eastAsia="宋体" w:cs="Times New Roman"/>
          <w:szCs w:val="22"/>
        </w:rPr>
        <w:t>.</w:t>
      </w:r>
      <w:r>
        <w:rPr>
          <w:rFonts w:hint="eastAsia" w:ascii="宋体" w:hAnsi="宋体" w:eastAsia="宋体" w:cs="Times New Roman"/>
          <w:szCs w:val="22"/>
        </w:rPr>
        <w:t>檀传宝</w:t>
      </w:r>
      <w:r>
        <w:rPr>
          <w:rFonts w:ascii="宋体" w:hAnsi="宋体" w:eastAsia="宋体" w:cs="Times New Roman"/>
          <w:szCs w:val="22"/>
        </w:rPr>
        <w:t>.</w:t>
      </w:r>
      <w:r>
        <w:rPr>
          <w:rFonts w:hint="eastAsia" w:ascii="宋体" w:hAnsi="宋体" w:eastAsia="宋体" w:cs="Times New Roman"/>
          <w:szCs w:val="22"/>
        </w:rPr>
        <w:t>教师专业伦理基础与实践，华东师范大学出版社，2</w:t>
      </w:r>
      <w:r>
        <w:rPr>
          <w:rFonts w:ascii="宋体" w:hAnsi="宋体" w:eastAsia="宋体" w:cs="Times New Roman"/>
          <w:szCs w:val="22"/>
        </w:rPr>
        <w:t>016.</w:t>
      </w:r>
    </w:p>
    <w:p w14:paraId="3844C1FE">
      <w:pPr>
        <w:spacing w:line="276" w:lineRule="auto"/>
        <w:ind w:firstLine="525" w:firstLineChars="250"/>
        <w:rPr>
          <w:rFonts w:ascii="宋体" w:hAnsi="宋体" w:eastAsia="宋体" w:cs="Times New Roman"/>
          <w:szCs w:val="22"/>
        </w:rPr>
      </w:pPr>
      <w:r>
        <w:rPr>
          <w:rFonts w:hint="eastAsia" w:ascii="宋体" w:hAnsi="宋体" w:eastAsia="宋体" w:cs="Times New Roman"/>
          <w:szCs w:val="22"/>
        </w:rPr>
        <w:t>4</w:t>
      </w:r>
      <w:r>
        <w:rPr>
          <w:rFonts w:ascii="宋体" w:hAnsi="宋体" w:eastAsia="宋体" w:cs="Times New Roman"/>
          <w:szCs w:val="22"/>
        </w:rPr>
        <w:t>.</w:t>
      </w:r>
      <w:r>
        <w:rPr>
          <w:rFonts w:hint="eastAsia" w:ascii="宋体" w:hAnsi="宋体" w:eastAsia="宋体" w:cs="Times New Roman"/>
          <w:szCs w:val="22"/>
        </w:rPr>
        <w:t>肯尼斯·斯特赖克</w:t>
      </w:r>
      <w:r>
        <w:rPr>
          <w:rFonts w:ascii="宋体" w:hAnsi="宋体" w:eastAsia="宋体" w:cs="Times New Roman"/>
          <w:szCs w:val="22"/>
        </w:rPr>
        <w:t>.</w:t>
      </w:r>
      <w:r>
        <w:rPr>
          <w:rFonts w:hint="eastAsia" w:ascii="宋体" w:hAnsi="宋体" w:eastAsia="宋体" w:cs="Times New Roman"/>
          <w:szCs w:val="22"/>
        </w:rPr>
        <w:t>教学伦理</w:t>
      </w:r>
      <w:r>
        <w:rPr>
          <w:rFonts w:ascii="宋体" w:hAnsi="宋体" w:eastAsia="宋体" w:cs="Times New Roman"/>
          <w:szCs w:val="22"/>
        </w:rPr>
        <w:t>.</w:t>
      </w:r>
      <w:r>
        <w:rPr>
          <w:rFonts w:hint="eastAsia" w:ascii="宋体" w:hAnsi="宋体" w:eastAsia="宋体" w:cs="Times New Roman"/>
          <w:szCs w:val="22"/>
        </w:rPr>
        <w:t>黄向阳译</w:t>
      </w:r>
      <w:r>
        <w:rPr>
          <w:rFonts w:ascii="宋体" w:hAnsi="宋体" w:eastAsia="宋体" w:cs="Times New Roman"/>
          <w:szCs w:val="22"/>
        </w:rPr>
        <w:t>.</w:t>
      </w:r>
      <w:r>
        <w:rPr>
          <w:rFonts w:hint="eastAsia" w:ascii="宋体" w:hAnsi="宋体" w:eastAsia="宋体" w:cs="Times New Roman"/>
          <w:szCs w:val="22"/>
        </w:rPr>
        <w:t>华东师范大学出版社，2</w:t>
      </w:r>
      <w:r>
        <w:rPr>
          <w:rFonts w:ascii="宋体" w:hAnsi="宋体" w:eastAsia="宋体" w:cs="Times New Roman"/>
          <w:szCs w:val="22"/>
        </w:rPr>
        <w:t>018.</w:t>
      </w:r>
    </w:p>
    <w:p w14:paraId="2556D7D9">
      <w:pPr>
        <w:spacing w:line="276" w:lineRule="auto"/>
        <w:ind w:firstLine="525" w:firstLineChars="250"/>
        <w:rPr>
          <w:rFonts w:ascii="宋体" w:hAnsi="宋体" w:eastAsia="宋体" w:cs="Times New Roman"/>
          <w:szCs w:val="22"/>
        </w:rPr>
      </w:pPr>
      <w:r>
        <w:rPr>
          <w:rFonts w:hint="eastAsia" w:ascii="宋体" w:hAnsi="宋体" w:eastAsia="宋体" w:cs="Times New Roman"/>
          <w:szCs w:val="22"/>
        </w:rPr>
        <w:t>5</w:t>
      </w:r>
      <w:r>
        <w:rPr>
          <w:rFonts w:ascii="宋体" w:hAnsi="宋体" w:eastAsia="宋体" w:cs="Times New Roman"/>
          <w:szCs w:val="22"/>
        </w:rPr>
        <w:t>.</w:t>
      </w:r>
      <w:r>
        <w:rPr>
          <w:rFonts w:hint="eastAsia" w:ascii="宋体" w:hAnsi="宋体" w:eastAsia="宋体" w:cs="Times New Roman"/>
          <w:szCs w:val="22"/>
        </w:rPr>
        <w:t>刘建华</w:t>
      </w:r>
      <w:r>
        <w:rPr>
          <w:rFonts w:ascii="宋体" w:hAnsi="宋体" w:eastAsia="宋体" w:cs="Times New Roman"/>
          <w:szCs w:val="22"/>
        </w:rPr>
        <w:t>.</w:t>
      </w:r>
      <w:r>
        <w:rPr>
          <w:rFonts w:hint="eastAsia" w:ascii="宋体" w:hAnsi="宋体" w:eastAsia="宋体" w:cs="Times New Roman"/>
          <w:szCs w:val="22"/>
        </w:rPr>
        <w:t>师生交往论</w:t>
      </w:r>
      <w:r>
        <w:rPr>
          <w:rFonts w:ascii="宋体" w:hAnsi="宋体" w:eastAsia="宋体" w:cs="Times New Roman"/>
          <w:szCs w:val="22"/>
        </w:rPr>
        <w:t>.</w:t>
      </w:r>
      <w:r>
        <w:rPr>
          <w:rFonts w:hint="eastAsia" w:ascii="宋体" w:hAnsi="宋体" w:eastAsia="宋体" w:cs="Times New Roman"/>
          <w:szCs w:val="22"/>
        </w:rPr>
        <w:t>北京师范大学出版社，2</w:t>
      </w:r>
      <w:r>
        <w:rPr>
          <w:rFonts w:ascii="宋体" w:hAnsi="宋体" w:eastAsia="宋体" w:cs="Times New Roman"/>
          <w:szCs w:val="22"/>
        </w:rPr>
        <w:t>011.</w:t>
      </w:r>
    </w:p>
    <w:p w14:paraId="49B1FA61">
      <w:pPr>
        <w:spacing w:line="276" w:lineRule="auto"/>
        <w:ind w:firstLine="525" w:firstLineChars="250"/>
        <w:rPr>
          <w:rFonts w:ascii="宋体" w:hAnsi="宋体" w:eastAsia="宋体" w:cs="Times New Roman"/>
          <w:szCs w:val="22"/>
        </w:rPr>
      </w:pPr>
      <w:r>
        <w:rPr>
          <w:rFonts w:hint="eastAsia" w:ascii="宋体" w:hAnsi="宋体" w:eastAsia="宋体" w:cs="Times New Roman"/>
          <w:szCs w:val="22"/>
        </w:rPr>
        <w:t>6</w:t>
      </w:r>
      <w:r>
        <w:rPr>
          <w:rFonts w:ascii="宋体" w:hAnsi="宋体" w:eastAsia="宋体" w:cs="Times New Roman"/>
          <w:szCs w:val="22"/>
        </w:rPr>
        <w:t>.</w:t>
      </w:r>
      <w:r>
        <w:rPr>
          <w:rFonts w:hint="eastAsia" w:ascii="宋体" w:hAnsi="宋体" w:eastAsia="宋体" w:cs="Times New Roman"/>
          <w:szCs w:val="22"/>
        </w:rPr>
        <w:t>陈娇云</w:t>
      </w:r>
      <w:r>
        <w:rPr>
          <w:rFonts w:ascii="宋体" w:hAnsi="宋体" w:eastAsia="宋体" w:cs="Times New Roman"/>
          <w:szCs w:val="22"/>
        </w:rPr>
        <w:t>,</w:t>
      </w:r>
      <w:r>
        <w:rPr>
          <w:rFonts w:hint="eastAsia" w:ascii="宋体" w:hAnsi="宋体" w:eastAsia="宋体" w:cs="Times New Roman"/>
          <w:szCs w:val="22"/>
        </w:rPr>
        <w:t>汪荣有</w:t>
      </w:r>
      <w:r>
        <w:rPr>
          <w:rFonts w:ascii="宋体" w:hAnsi="宋体" w:eastAsia="宋体" w:cs="Times New Roman"/>
          <w:szCs w:val="22"/>
        </w:rPr>
        <w:t>.</w:t>
      </w:r>
      <w:r>
        <w:rPr>
          <w:rFonts w:hint="eastAsia" w:ascii="宋体" w:hAnsi="宋体" w:eastAsia="宋体" w:cs="Times New Roman"/>
          <w:szCs w:val="22"/>
        </w:rPr>
        <w:t>教育伦理与教育公正——社会主义和谐社会视野下的教育热点探析，安徽大学出版社，2</w:t>
      </w:r>
      <w:r>
        <w:rPr>
          <w:rFonts w:ascii="宋体" w:hAnsi="宋体" w:eastAsia="宋体" w:cs="Times New Roman"/>
          <w:szCs w:val="22"/>
        </w:rPr>
        <w:t>015.</w:t>
      </w:r>
    </w:p>
    <w:p w14:paraId="68421F2F">
      <w:pPr>
        <w:spacing w:line="276" w:lineRule="auto"/>
        <w:ind w:firstLine="525" w:firstLineChars="250"/>
        <w:rPr>
          <w:rFonts w:ascii="宋体" w:hAnsi="宋体" w:eastAsia="宋体" w:cs="Times New Roman"/>
          <w:szCs w:val="22"/>
        </w:rPr>
      </w:pPr>
    </w:p>
    <w:p w14:paraId="557DD39C">
      <w:pPr>
        <w:spacing w:line="276" w:lineRule="auto"/>
        <w:ind w:firstLine="525" w:firstLineChars="250"/>
        <w:rPr>
          <w:rFonts w:ascii="宋体" w:hAnsi="宋体" w:eastAsia="宋体" w:cs="Times New Roman"/>
          <w:szCs w:val="22"/>
        </w:rPr>
      </w:pPr>
    </w:p>
    <w:p w14:paraId="7F6C06A6">
      <w:pPr>
        <w:spacing w:line="276" w:lineRule="auto"/>
        <w:rPr>
          <w:rFonts w:ascii="宋体" w:hAnsi="宋体" w:eastAsia="宋体" w:cs="Times New Roman"/>
          <w:szCs w:val="22"/>
        </w:rPr>
      </w:pPr>
    </w:p>
    <w:p w14:paraId="667D2562">
      <w:pPr>
        <w:autoSpaceDE w:val="0"/>
        <w:autoSpaceDN w:val="0"/>
        <w:adjustRightInd w:val="0"/>
        <w:spacing w:line="276" w:lineRule="auto"/>
        <w:ind w:firstLine="4620" w:firstLineChars="2200"/>
        <w:jc w:val="left"/>
        <w:rPr>
          <w:rFonts w:ascii="宋体" w:hAnsi="宋体" w:eastAsia="宋体" w:cs="Times New Roman"/>
          <w:color w:val="000000"/>
          <w:kern w:val="0"/>
          <w:szCs w:val="21"/>
        </w:rPr>
      </w:pPr>
      <w:r>
        <w:rPr>
          <w:rFonts w:ascii="宋体" w:hAnsi="宋体" w:eastAsia="宋体" w:cs="Times New Roman"/>
          <w:color w:val="000000"/>
          <w:kern w:val="0"/>
          <w:szCs w:val="21"/>
        </w:rPr>
        <w:t>执笔人：</w:t>
      </w:r>
      <w:r>
        <w:rPr>
          <w:rFonts w:hint="eastAsia" w:ascii="宋体" w:hAnsi="宋体" w:eastAsia="宋体" w:cs="Times New Roman"/>
          <w:color w:val="000000"/>
          <w:kern w:val="0"/>
          <w:szCs w:val="21"/>
        </w:rPr>
        <w:t>王雅丽</w:t>
      </w:r>
    </w:p>
    <w:p w14:paraId="7C2829CC">
      <w:pPr>
        <w:autoSpaceDE w:val="0"/>
        <w:autoSpaceDN w:val="0"/>
        <w:adjustRightInd w:val="0"/>
        <w:spacing w:line="276" w:lineRule="auto"/>
        <w:ind w:firstLine="4620" w:firstLineChars="2200"/>
        <w:jc w:val="left"/>
        <w:rPr>
          <w:rFonts w:ascii="宋体" w:hAnsi="宋体" w:eastAsia="宋体" w:cs="Times New Roman"/>
          <w:color w:val="000000"/>
          <w:kern w:val="0"/>
          <w:szCs w:val="21"/>
        </w:rPr>
      </w:pPr>
      <w:r>
        <w:rPr>
          <w:rFonts w:ascii="宋体" w:hAnsi="宋体" w:eastAsia="宋体" w:cs="Times New Roman"/>
          <w:color w:val="000000"/>
          <w:kern w:val="0"/>
          <w:szCs w:val="21"/>
        </w:rPr>
        <w:t>审定人：</w:t>
      </w:r>
      <w:r>
        <w:rPr>
          <w:rFonts w:hint="eastAsia" w:ascii="宋体" w:hAnsi="宋体" w:eastAsia="宋体" w:cs="Times New Roman"/>
          <w:color w:val="000000"/>
          <w:kern w:val="0"/>
          <w:szCs w:val="21"/>
        </w:rPr>
        <w:t>王健</w:t>
      </w:r>
    </w:p>
    <w:p w14:paraId="2C03A610">
      <w:pPr>
        <w:autoSpaceDE w:val="0"/>
        <w:autoSpaceDN w:val="0"/>
        <w:adjustRightInd w:val="0"/>
        <w:spacing w:line="276" w:lineRule="auto"/>
        <w:ind w:firstLine="4620" w:firstLineChars="220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审批</w:t>
      </w:r>
      <w:r>
        <w:rPr>
          <w:rFonts w:ascii="宋体" w:hAnsi="宋体" w:eastAsia="宋体" w:cs="Times New Roman"/>
          <w:color w:val="000000"/>
          <w:kern w:val="0"/>
          <w:szCs w:val="21"/>
        </w:rPr>
        <w:t>人：</w:t>
      </w:r>
      <w:r>
        <w:rPr>
          <w:rFonts w:hint="eastAsia" w:ascii="宋体" w:hAnsi="宋体" w:eastAsia="宋体" w:cs="Times New Roman"/>
          <w:color w:val="000000"/>
          <w:kern w:val="0"/>
          <w:szCs w:val="21"/>
        </w:rPr>
        <w:t>张志欣</w:t>
      </w:r>
    </w:p>
    <w:p w14:paraId="5F3853C5">
      <w:pPr>
        <w:autoSpaceDE w:val="0"/>
        <w:autoSpaceDN w:val="0"/>
        <w:adjustRightInd w:val="0"/>
        <w:spacing w:line="276" w:lineRule="auto"/>
        <w:ind w:firstLine="4620" w:firstLineChars="2200"/>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批准时间：20</w:t>
      </w:r>
      <w:r>
        <w:rPr>
          <w:rFonts w:ascii="宋体" w:hAnsi="宋体" w:eastAsia="宋体" w:cs="Times New Roman"/>
          <w:color w:val="000000"/>
          <w:kern w:val="0"/>
          <w:szCs w:val="21"/>
        </w:rPr>
        <w:t>24</w:t>
      </w:r>
      <w:r>
        <w:rPr>
          <w:rFonts w:hint="eastAsia" w:ascii="宋体" w:hAnsi="宋体" w:eastAsia="宋体" w:cs="Times New Roman"/>
          <w:color w:val="000000"/>
          <w:kern w:val="0"/>
          <w:szCs w:val="21"/>
        </w:rPr>
        <w:t>年</w:t>
      </w:r>
      <w:r>
        <w:rPr>
          <w:rFonts w:ascii="宋体" w:hAnsi="宋体" w:eastAsia="宋体" w:cs="Times New Roman"/>
          <w:color w:val="000000"/>
          <w:kern w:val="0"/>
          <w:szCs w:val="21"/>
        </w:rPr>
        <w:t>9</w:t>
      </w:r>
      <w:r>
        <w:rPr>
          <w:rFonts w:hint="eastAsia" w:ascii="宋体" w:hAnsi="宋体" w:eastAsia="宋体" w:cs="Times New Roman"/>
          <w:color w:val="000000"/>
          <w:kern w:val="0"/>
          <w:szCs w:val="21"/>
        </w:rPr>
        <w:t>月1日</w:t>
      </w:r>
    </w:p>
    <w:p w14:paraId="53EE85CD">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4D1D2F3A">
      <w:pPr>
        <w:pStyle w:val="2"/>
        <w:bidi w:val="0"/>
        <w:rPr>
          <w:lang w:val="en-US" w:eastAsia="zh-CN"/>
        </w:rPr>
      </w:pPr>
      <w:bookmarkStart w:id="719" w:name="_Toc8475"/>
      <w:bookmarkStart w:id="720" w:name="_Toc24535"/>
      <w:bookmarkStart w:id="721" w:name="_Toc25663"/>
      <w:bookmarkStart w:id="722" w:name="_Toc2572"/>
      <w:r>
        <w:rPr>
          <w:rFonts w:hint="eastAsia"/>
          <w:lang w:val="en-US" w:eastAsia="zh-CN"/>
        </w:rPr>
        <w:t>《课程与教学论》课程教学大纲</w:t>
      </w:r>
      <w:bookmarkEnd w:id="719"/>
      <w:bookmarkEnd w:id="720"/>
      <w:bookmarkEnd w:id="721"/>
      <w:bookmarkEnd w:id="722"/>
    </w:p>
    <w:p w14:paraId="548B6D3C">
      <w:pPr>
        <w:pStyle w:val="2"/>
        <w:bidi w:val="0"/>
        <w:rPr>
          <w:lang w:val="en-US" w:eastAsia="zh-CN"/>
        </w:rPr>
      </w:pPr>
      <w:bookmarkStart w:id="723" w:name="_Toc5404"/>
      <w:bookmarkStart w:id="724" w:name="_Toc13069"/>
      <w:bookmarkStart w:id="725" w:name="_Toc11453"/>
      <w:bookmarkStart w:id="726" w:name="_Toc19158"/>
      <w:bookmarkStart w:id="727" w:name="_Toc26341"/>
      <w:bookmarkStart w:id="728" w:name="_Toc14699"/>
      <w:bookmarkStart w:id="729" w:name="_Toc23450"/>
      <w:r>
        <w:rPr>
          <w:lang w:val="en-US" w:eastAsia="zh-CN"/>
        </w:rPr>
        <w:t>（Curriculum and Teaching Methodology）</w:t>
      </w:r>
      <w:bookmarkEnd w:id="723"/>
      <w:bookmarkEnd w:id="724"/>
      <w:bookmarkEnd w:id="725"/>
      <w:bookmarkEnd w:id="726"/>
      <w:bookmarkEnd w:id="727"/>
      <w:bookmarkEnd w:id="728"/>
      <w:bookmarkEnd w:id="729"/>
    </w:p>
    <w:p w14:paraId="5781510B">
      <w:pPr>
        <w:spacing w:line="360" w:lineRule="auto"/>
        <w:jc w:val="center"/>
        <w:rPr>
          <w:rFonts w:ascii="Times New Roman" w:hAnsi="Times New Roman" w:eastAsia="宋体" w:cs="Times New Roman"/>
          <w:bCs/>
          <w:sz w:val="30"/>
          <w:szCs w:val="30"/>
        </w:rPr>
      </w:pPr>
    </w:p>
    <w:p w14:paraId="411E28D8">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Cs/>
          <w:sz w:val="24"/>
          <w:szCs w:val="24"/>
        </w:rPr>
        <w:t>课程与教学论</w:t>
      </w:r>
    </w:p>
    <w:p w14:paraId="0FFC768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sz w:val="24"/>
          <w:szCs w:val="24"/>
        </w:rPr>
        <w:t>2401010</w:t>
      </w:r>
    </w:p>
    <w:p w14:paraId="67A108F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sz w:val="24"/>
          <w:szCs w:val="24"/>
        </w:rPr>
        <w:t>2</w:t>
      </w:r>
    </w:p>
    <w:p w14:paraId="7C0FEDC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（其中：讲授学时20</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实践</w:t>
      </w:r>
      <w:r>
        <w:rPr>
          <w:rFonts w:ascii="Times New Roman" w:hAnsi="Times New Roman" w:eastAsia="宋体" w:cs="Times New Roman"/>
          <w:sz w:val="24"/>
          <w:szCs w:val="24"/>
        </w:rPr>
        <w:t>学时12）</w:t>
      </w:r>
    </w:p>
    <w:p w14:paraId="1C1A027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Cs/>
          <w:sz w:val="24"/>
          <w:szCs w:val="24"/>
        </w:rPr>
        <w:t>教育原理、教育心理学、中外教育史</w:t>
      </w:r>
    </w:p>
    <w:p w14:paraId="133FFAE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sz w:val="24"/>
          <w:szCs w:val="24"/>
        </w:rPr>
        <w:t>小学教育</w:t>
      </w:r>
    </w:p>
    <w:p w14:paraId="60F9987B">
      <w:pPr>
        <w:spacing w:line="360" w:lineRule="auto"/>
        <w:ind w:firstLine="480" w:firstLineChars="200"/>
        <w:rPr>
          <w:rFonts w:ascii="Times New Roman" w:hAnsi="Times New Roman" w:eastAsia="宋体" w:cs="Times New Roman"/>
          <w:sz w:val="24"/>
          <w:szCs w:val="24"/>
        </w:rPr>
      </w:pPr>
    </w:p>
    <w:p w14:paraId="0672DC9C">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一、课程简介</w:t>
      </w:r>
    </w:p>
    <w:p w14:paraId="29A2C4E3">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是“小学语文、小学数学等学科教学论”课程的先修课程，具有理论与实践并重的特性。通过本课程的学习，学生能够全面地了解国内外课程与教学改革的发展和现状，系统地掌握课程与教学的基本概念、基本原理和基本方法，扎实地掌握课程与教学的专业技能，科学地观察、描述和解释小学各种课程与教学现象，自主地发现、分析并解决基础教育一线课程与教学的基本问题，为从事小学教学奠定坚实基础。</w:t>
      </w:r>
    </w:p>
    <w:p w14:paraId="1F7C3BF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二、课程目标</w:t>
      </w:r>
    </w:p>
    <w:p w14:paraId="56B86C80">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（一）课程具体目标</w:t>
      </w:r>
    </w:p>
    <w:p w14:paraId="56A377B5">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目标1</w:t>
      </w:r>
      <w:r>
        <w:rPr>
          <w:rFonts w:ascii="宋体" w:hAnsi="宋体" w:eastAsia="宋体" w:cs="Times New Roman"/>
          <w:b/>
          <w:bCs/>
          <w:szCs w:val="21"/>
        </w:rPr>
        <w:t xml:space="preserve">. </w:t>
      </w:r>
      <w:r>
        <w:rPr>
          <w:rFonts w:hint="eastAsia" w:ascii="宋体" w:hAnsi="宋体" w:eastAsia="宋体" w:cs="Times New Roman"/>
          <w:szCs w:val="21"/>
        </w:rPr>
        <w:t>掌握课程与教学的基本理论和基础知识。</w:t>
      </w:r>
    </w:p>
    <w:p w14:paraId="7BAAF823">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目标2</w:t>
      </w:r>
      <w:r>
        <w:rPr>
          <w:rFonts w:ascii="宋体" w:hAnsi="宋体" w:eastAsia="宋体" w:cs="Times New Roman"/>
          <w:szCs w:val="21"/>
        </w:rPr>
        <w:t xml:space="preserve">. </w:t>
      </w:r>
      <w:r>
        <w:rPr>
          <w:rFonts w:hint="eastAsia" w:ascii="宋体" w:hAnsi="宋体" w:eastAsia="宋体" w:cs="Times New Roman"/>
          <w:szCs w:val="21"/>
        </w:rPr>
        <w:t>运用所学理论和知识分析评价我国课程与教学的现实问题。</w:t>
      </w:r>
    </w:p>
    <w:p w14:paraId="1A31100B">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w:t>
      </w:r>
      <w:r>
        <w:rPr>
          <w:rFonts w:ascii="宋体" w:hAnsi="宋体" w:eastAsia="宋体" w:cs="Times New Roman"/>
          <w:b/>
          <w:bCs/>
          <w:szCs w:val="21"/>
        </w:rPr>
        <w:t>3.</w:t>
      </w:r>
      <w:r>
        <w:rPr>
          <w:rFonts w:ascii="宋体" w:hAnsi="宋体" w:eastAsia="宋体" w:cs="Times New Roman"/>
          <w:szCs w:val="21"/>
        </w:rPr>
        <w:t xml:space="preserve"> </w:t>
      </w:r>
      <w:r>
        <w:rPr>
          <w:rFonts w:hint="eastAsia" w:ascii="宋体" w:hAnsi="宋体" w:eastAsia="宋体" w:cs="Times New Roman"/>
          <w:szCs w:val="21"/>
        </w:rPr>
        <w:t>形成课程与教学设计、实施和评价、课程开发等的基本技能。</w:t>
      </w:r>
    </w:p>
    <w:p w14:paraId="71EE9F4D">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w:t>
      </w:r>
      <w:r>
        <w:rPr>
          <w:rFonts w:ascii="宋体" w:hAnsi="宋体" w:eastAsia="宋体" w:cs="Times New Roman"/>
          <w:b/>
          <w:bCs/>
          <w:szCs w:val="21"/>
        </w:rPr>
        <w:t>4.</w:t>
      </w:r>
      <w:r>
        <w:rPr>
          <w:rFonts w:ascii="宋体" w:hAnsi="宋体" w:eastAsia="宋体" w:cs="Times New Roman"/>
          <w:szCs w:val="21"/>
        </w:rPr>
        <w:t xml:space="preserve"> </w:t>
      </w:r>
      <w:r>
        <w:rPr>
          <w:rFonts w:hint="eastAsia" w:ascii="宋体" w:hAnsi="宋体" w:eastAsia="宋体" w:cs="Times New Roman"/>
          <w:szCs w:val="21"/>
        </w:rPr>
        <w:t>提高课程与教学素养，坚定参与课程与教学改革的信念。</w:t>
      </w:r>
    </w:p>
    <w:p w14:paraId="6D6C5CDA">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（二）课程目标及其对毕业要求指标点的支撑</w:t>
      </w:r>
    </w:p>
    <w:tbl>
      <w:tblPr>
        <w:tblStyle w:val="10"/>
        <w:tblW w:w="81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5519"/>
        <w:gridCol w:w="1276"/>
      </w:tblGrid>
      <w:tr w14:paraId="675C9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68FD7521">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毕业要求</w:t>
            </w:r>
          </w:p>
        </w:tc>
        <w:tc>
          <w:tcPr>
            <w:tcW w:w="5519" w:type="dxa"/>
            <w:vAlign w:val="center"/>
          </w:tcPr>
          <w:p w14:paraId="48BC02D0">
            <w:pPr>
              <w:spacing w:line="276" w:lineRule="auto"/>
              <w:ind w:firstLine="422" w:firstLineChars="200"/>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毕业要求指标点</w:t>
            </w:r>
          </w:p>
        </w:tc>
        <w:tc>
          <w:tcPr>
            <w:tcW w:w="1276" w:type="dxa"/>
            <w:vAlign w:val="center"/>
          </w:tcPr>
          <w:p w14:paraId="5549EDCD">
            <w:pPr>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p>
        </w:tc>
      </w:tr>
      <w:tr w14:paraId="43684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07F9EFE8">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tc>
        <w:tc>
          <w:tcPr>
            <w:tcW w:w="5519" w:type="dxa"/>
            <w:vAlign w:val="center"/>
          </w:tcPr>
          <w:p w14:paraId="0F54D437">
            <w:pPr>
              <w:spacing w:line="276" w:lineRule="auto"/>
              <w:jc w:val="left"/>
              <w:rPr>
                <w:rFonts w:ascii="等线" w:hAnsi="等线" w:eastAsia="等线" w:cs="Times New Roman"/>
                <w:szCs w:val="21"/>
              </w:rPr>
            </w:pPr>
            <w:r>
              <w:rPr>
                <w:rFonts w:ascii="等线" w:hAnsi="等线" w:eastAsia="等线" w:cs="Times New Roman"/>
                <w:kern w:val="0"/>
                <w:szCs w:val="21"/>
              </w:rPr>
              <w:t>指标点</w:t>
            </w:r>
            <w:r>
              <w:rPr>
                <w:rFonts w:ascii="等线" w:hAnsi="等线" w:eastAsia="等线" w:cs="Times New Roman"/>
                <w:szCs w:val="21"/>
              </w:rPr>
              <w:t>4-1：</w:t>
            </w:r>
            <w:r>
              <w:rPr>
                <w:rFonts w:hint="eastAsia" w:ascii="等线" w:hAnsi="等线" w:eastAsia="等线" w:cs="Times New Roman"/>
                <w:szCs w:val="21"/>
              </w:rPr>
              <w:t>【领会课程标准】掌握教与学的知识，熟悉所教学科课程标准和教材、教学内容，具有一定的教材解读能力，具有依据课标进行教学的意识和习惯。</w:t>
            </w:r>
          </w:p>
          <w:p w14:paraId="7EFAB35E">
            <w:pPr>
              <w:spacing w:line="276" w:lineRule="auto"/>
              <w:jc w:val="left"/>
              <w:rPr>
                <w:rFonts w:ascii="Times New Roman" w:hAnsi="Times New Roman" w:eastAsia="宋体" w:cs="Times New Roman"/>
                <w:color w:val="000000"/>
                <w:sz w:val="20"/>
                <w:szCs w:val="20"/>
              </w:rPr>
            </w:pPr>
            <w:r>
              <w:rPr>
                <w:rFonts w:hint="eastAsia" w:ascii="宋体" w:hAnsi="宋体" w:eastAsia="宋体" w:cs="宋体"/>
                <w:color w:val="000000"/>
                <w:sz w:val="20"/>
                <w:szCs w:val="20"/>
              </w:rPr>
              <w:t>指标点4-2：</w:t>
            </w:r>
            <w:r>
              <w:rPr>
                <w:rFonts w:hint="eastAsia" w:ascii="Times New Roman" w:hAnsi="Times New Roman" w:eastAsia="宋体" w:cs="Times New Roman"/>
                <w:color w:val="000000"/>
                <w:sz w:val="20"/>
                <w:szCs w:val="20"/>
              </w:rPr>
              <w:t>【教学设计恰当】</w:t>
            </w:r>
            <w:r>
              <w:rPr>
                <w:rFonts w:hint="eastAsia" w:ascii="宋体" w:hAnsi="宋体" w:eastAsia="宋体" w:cs="宋体"/>
                <w:color w:val="000000"/>
                <w:sz w:val="20"/>
                <w:szCs w:val="20"/>
              </w:rPr>
              <w:t>能针对小学生已有的知识水平、学习经验和兴趣特点，依据课标确定恰当的学习目标和学习重点，设计学习活动。</w:t>
            </w:r>
            <w:r>
              <w:rPr>
                <w:rFonts w:hint="eastAsia" w:ascii="Times New Roman" w:hAnsi="Times New Roman" w:eastAsia="宋体" w:cs="Times New Roman"/>
                <w:color w:val="000000"/>
                <w:sz w:val="20"/>
                <w:szCs w:val="20"/>
              </w:rPr>
              <w:t>能依据单元内容进行整体设计，科学合理地依据教学目标及内容设计作业。</w:t>
            </w:r>
          </w:p>
          <w:p w14:paraId="0AED83AE">
            <w:pPr>
              <w:spacing w:line="276" w:lineRule="auto"/>
              <w:jc w:val="left"/>
              <w:rPr>
                <w:rFonts w:hint="eastAsia" w:ascii="Times New Roman" w:hAnsi="Times New Roman" w:eastAsia="宋体" w:cs="Times New Roman"/>
                <w:color w:val="000000"/>
                <w:sz w:val="20"/>
                <w:szCs w:val="20"/>
              </w:rPr>
            </w:pPr>
            <w:r>
              <w:rPr>
                <w:rFonts w:hint="eastAsia" w:ascii="宋体" w:hAnsi="宋体" w:eastAsia="宋体" w:cs="宋体"/>
                <w:color w:val="000000"/>
                <w:sz w:val="20"/>
                <w:szCs w:val="20"/>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276" w:type="dxa"/>
            <w:vAlign w:val="center"/>
          </w:tcPr>
          <w:p w14:paraId="3C3B664B">
            <w:pPr>
              <w:spacing w:line="276" w:lineRule="auto"/>
              <w:jc w:val="left"/>
              <w:rPr>
                <w:rFonts w:ascii="等线" w:hAnsi="等线" w:eastAsia="等线" w:cs="Times New Roman"/>
                <w:kern w:val="0"/>
                <w:szCs w:val="21"/>
              </w:rPr>
            </w:pPr>
            <w:r>
              <w:rPr>
                <w:rFonts w:hint="eastAsia" w:ascii="宋体" w:hAnsi="宋体" w:eastAsia="宋体" w:cs="宋体"/>
                <w:bCs/>
                <w:color w:val="000000"/>
                <w:szCs w:val="21"/>
              </w:rPr>
              <w:t>课程目标1</w:t>
            </w:r>
          </w:p>
        </w:tc>
      </w:tr>
      <w:tr w14:paraId="3FC02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393" w:type="dxa"/>
            <w:vAlign w:val="center"/>
          </w:tcPr>
          <w:p w14:paraId="391DB7AD">
            <w:pPr>
              <w:spacing w:line="276" w:lineRule="auto"/>
              <w:rPr>
                <w:rFonts w:hint="eastAsia" w:ascii="宋体" w:hAnsi="宋体" w:eastAsia="宋体" w:cs="Times New Roman"/>
                <w:kern w:val="0"/>
                <w:szCs w:val="21"/>
              </w:rPr>
            </w:pPr>
            <w:r>
              <w:rPr>
                <w:rFonts w:hint="eastAsia" w:ascii="宋体" w:hAnsi="宋体" w:eastAsia="宋体" w:cs="Times New Roman"/>
                <w:kern w:val="0"/>
                <w:szCs w:val="21"/>
              </w:rPr>
              <w:t>毕业要求3</w:t>
            </w:r>
            <w:r>
              <w:rPr>
                <w:rFonts w:ascii="宋体" w:hAnsi="宋体" w:eastAsia="宋体" w:cs="Times New Roman"/>
                <w:kern w:val="0"/>
                <w:szCs w:val="21"/>
              </w:rPr>
              <w:t>.</w:t>
            </w:r>
            <w:r>
              <w:rPr>
                <w:rFonts w:hint="eastAsia" w:ascii="宋体" w:hAnsi="宋体" w:eastAsia="宋体" w:cs="Times New Roman"/>
                <w:kern w:val="0"/>
                <w:szCs w:val="21"/>
              </w:rPr>
              <w:t>学科素养</w:t>
            </w:r>
          </w:p>
        </w:tc>
        <w:tc>
          <w:tcPr>
            <w:tcW w:w="5519" w:type="dxa"/>
            <w:vAlign w:val="center"/>
          </w:tcPr>
          <w:p w14:paraId="421F9C18">
            <w:pPr>
              <w:spacing w:line="276" w:lineRule="auto"/>
              <w:jc w:val="left"/>
              <w:rPr>
                <w:rFonts w:hint="eastAsia" w:ascii="宋体" w:hAnsi="宋体" w:eastAsia="宋体" w:cs="Times New Roman"/>
                <w:kern w:val="0"/>
                <w:szCs w:val="21"/>
              </w:rPr>
            </w:pPr>
            <w:r>
              <w:rPr>
                <w:rFonts w:ascii="等线" w:hAnsi="等线" w:eastAsia="等线" w:cs="Times New Roman"/>
                <w:kern w:val="0"/>
                <w:szCs w:val="21"/>
              </w:rPr>
              <w:t>指标点</w:t>
            </w:r>
            <w:r>
              <w:rPr>
                <w:rFonts w:ascii="等线" w:hAnsi="等线" w:eastAsia="等线" w:cs="Times New Roman"/>
                <w:szCs w:val="21"/>
              </w:rPr>
              <w:t>3-</w:t>
            </w:r>
            <w:r>
              <w:rPr>
                <w:rFonts w:hint="eastAsia" w:ascii="等线" w:hAnsi="等线" w:eastAsia="等线" w:cs="Times New Roman"/>
                <w:szCs w:val="21"/>
              </w:rPr>
              <w:t>3</w:t>
            </w:r>
            <w:r>
              <w:rPr>
                <w:rFonts w:ascii="等线" w:hAnsi="等线" w:eastAsia="等线" w:cs="Times New Roman"/>
                <w:szCs w:val="21"/>
              </w:rPr>
              <w:t>：</w:t>
            </w:r>
            <w:r>
              <w:rPr>
                <w:rFonts w:hint="eastAsia" w:ascii="等线" w:hAnsi="等线" w:eastAsia="等线" w:cs="Times New Roman"/>
                <w:szCs w:val="21"/>
              </w:rPr>
              <w:t>【注重知识整合】</w:t>
            </w:r>
            <w:r>
              <w:rPr>
                <w:rFonts w:hint="eastAsia" w:ascii="等线" w:hAnsi="等线" w:eastAsia="等线" w:cs="Times New Roman"/>
                <w:szCs w:val="23"/>
              </w:rPr>
              <w:t>了解所教学科与其他学科及与社会实践、小学生生活实践之间的联系，了解学科整合的在小学教育中的价值，具有跨学科解决问题的意识和能力，能指导综合性学科教学活动。</w:t>
            </w:r>
          </w:p>
        </w:tc>
        <w:tc>
          <w:tcPr>
            <w:tcW w:w="1276" w:type="dxa"/>
            <w:vAlign w:val="center"/>
          </w:tcPr>
          <w:p w14:paraId="53A89161">
            <w:pPr>
              <w:spacing w:line="276" w:lineRule="auto"/>
              <w:jc w:val="left"/>
              <w:rPr>
                <w:rFonts w:ascii="等线" w:hAnsi="等线" w:eastAsia="等线" w:cs="Times New Roman"/>
                <w:kern w:val="0"/>
                <w:szCs w:val="21"/>
              </w:rPr>
            </w:pPr>
            <w:r>
              <w:rPr>
                <w:rFonts w:hint="eastAsia" w:ascii="宋体" w:hAnsi="宋体" w:eastAsia="宋体" w:cs="宋体"/>
                <w:bCs/>
                <w:color w:val="000000"/>
                <w:szCs w:val="21"/>
              </w:rPr>
              <w:t>课程目标2</w:t>
            </w:r>
          </w:p>
        </w:tc>
      </w:tr>
      <w:tr w14:paraId="3CB04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93" w:type="dxa"/>
            <w:vAlign w:val="center"/>
          </w:tcPr>
          <w:p w14:paraId="133EB500">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毕业要求2</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教育情怀</w:t>
            </w:r>
          </w:p>
          <w:p w14:paraId="49D05B84">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p w14:paraId="678E9C12">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毕业要求8</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沟通合作</w:t>
            </w:r>
          </w:p>
        </w:tc>
        <w:tc>
          <w:tcPr>
            <w:tcW w:w="5519" w:type="dxa"/>
            <w:vAlign w:val="center"/>
          </w:tcPr>
          <w:p w14:paraId="22A50C7A">
            <w:pPr>
              <w:spacing w:line="276" w:lineRule="auto"/>
              <w:jc w:val="left"/>
              <w:rPr>
                <w:rFonts w:ascii="等线" w:hAnsi="等线" w:eastAsia="等线" w:cs="Times New Roman"/>
                <w:szCs w:val="23"/>
              </w:rPr>
            </w:pPr>
            <w:r>
              <w:rPr>
                <w:rFonts w:ascii="等线" w:hAnsi="等线" w:eastAsia="等线" w:cs="Times New Roman"/>
                <w:kern w:val="0"/>
                <w:szCs w:val="21"/>
              </w:rPr>
              <w:t>指标点</w:t>
            </w:r>
            <w:r>
              <w:rPr>
                <w:rFonts w:ascii="等线" w:hAnsi="等线" w:eastAsia="等线" w:cs="Times New Roman"/>
                <w:szCs w:val="21"/>
              </w:rPr>
              <w:t>2-2</w:t>
            </w:r>
            <w:r>
              <w:rPr>
                <w:rFonts w:hint="eastAsia" w:ascii="等线" w:hAnsi="等线" w:eastAsia="等线" w:cs="Times New Roman"/>
                <w:szCs w:val="21"/>
              </w:rPr>
              <w:t>：【教育情意深厚】</w:t>
            </w:r>
            <w:r>
              <w:rPr>
                <w:rFonts w:hint="eastAsia" w:ascii="等线" w:hAnsi="等线" w:eastAsia="等线" w:cs="Times New Roman"/>
                <w:szCs w:val="23"/>
              </w:rPr>
              <w:t>关爱学生，用心从教。</w:t>
            </w:r>
            <w:r>
              <w:rPr>
                <w:rFonts w:ascii="等线" w:hAnsi="等线" w:eastAsia="等线" w:cs="Times New Roman"/>
                <w:szCs w:val="23"/>
              </w:rPr>
              <w:t>具有正确的儿童观，理解、尊重、关爱、保护学生，以儿童发展为教育的中心。</w:t>
            </w:r>
            <w:r>
              <w:rPr>
                <w:rFonts w:hint="eastAsia" w:ascii="等线" w:hAnsi="等线" w:eastAsia="等线" w:cs="Times New Roman"/>
                <w:szCs w:val="23"/>
              </w:rPr>
              <w:t>爱岗敬业，在教育实践中能认真履行教育教学职责与班主任工作职责，富有爱心、责任心、工作细心、耐心。</w:t>
            </w:r>
          </w:p>
          <w:p w14:paraId="52BA34C7">
            <w:pPr>
              <w:spacing w:line="276" w:lineRule="auto"/>
              <w:jc w:val="left"/>
              <w:rPr>
                <w:rFonts w:ascii="等线" w:hAnsi="等线" w:eastAsia="等线" w:cs="Times New Roman"/>
                <w:szCs w:val="21"/>
              </w:rPr>
            </w:pPr>
            <w:r>
              <w:rPr>
                <w:rFonts w:ascii="等线" w:hAnsi="等线" w:eastAsia="等线" w:cs="Times New Roman"/>
                <w:kern w:val="0"/>
                <w:szCs w:val="21"/>
              </w:rPr>
              <w:t>指标点</w:t>
            </w:r>
            <w:r>
              <w:rPr>
                <w:rFonts w:ascii="等线" w:hAnsi="等线" w:eastAsia="等线" w:cs="Times New Roman"/>
                <w:szCs w:val="21"/>
              </w:rPr>
              <w:t>4-1：</w:t>
            </w:r>
            <w:r>
              <w:rPr>
                <w:rFonts w:hint="eastAsia" w:ascii="等线" w:hAnsi="等线" w:eastAsia="等线" w:cs="Times New Roman"/>
                <w:szCs w:val="21"/>
              </w:rPr>
              <w:t>【领会课程标准】掌握教与学的知识，熟悉所教学科课程标准和教材、教学内容，具有一定的教材解读能力，具有依据课标进行教学的意识和习惯。</w:t>
            </w:r>
          </w:p>
          <w:p w14:paraId="7FFDA7A5">
            <w:pPr>
              <w:spacing w:line="276" w:lineRule="auto"/>
              <w:jc w:val="left"/>
              <w:rPr>
                <w:rFonts w:ascii="Times New Roman" w:hAnsi="Times New Roman" w:eastAsia="宋体" w:cs="Times New Roman"/>
                <w:color w:val="000000"/>
                <w:sz w:val="20"/>
                <w:szCs w:val="20"/>
              </w:rPr>
            </w:pPr>
            <w:r>
              <w:rPr>
                <w:rFonts w:hint="eastAsia" w:ascii="宋体" w:hAnsi="宋体" w:eastAsia="宋体" w:cs="宋体"/>
                <w:color w:val="000000"/>
                <w:sz w:val="20"/>
                <w:szCs w:val="20"/>
              </w:rPr>
              <w:t>指标点4-2：</w:t>
            </w:r>
            <w:r>
              <w:rPr>
                <w:rFonts w:hint="eastAsia" w:ascii="Times New Roman" w:hAnsi="Times New Roman" w:eastAsia="宋体" w:cs="Times New Roman"/>
                <w:color w:val="000000"/>
                <w:sz w:val="20"/>
                <w:szCs w:val="20"/>
              </w:rPr>
              <w:t>【教学设计恰当】</w:t>
            </w:r>
            <w:r>
              <w:rPr>
                <w:rFonts w:hint="eastAsia" w:ascii="宋体" w:hAnsi="宋体" w:eastAsia="宋体" w:cs="宋体"/>
                <w:color w:val="000000"/>
                <w:sz w:val="20"/>
                <w:szCs w:val="20"/>
              </w:rPr>
              <w:t>能针对小学生已有的知识水平、学习经验和兴趣特点，依据课标确定恰当的学习目标和学习重点，设计学习活动。</w:t>
            </w:r>
            <w:r>
              <w:rPr>
                <w:rFonts w:hint="eastAsia" w:ascii="Times New Roman" w:hAnsi="Times New Roman" w:eastAsia="宋体" w:cs="Times New Roman"/>
                <w:color w:val="000000"/>
                <w:sz w:val="20"/>
                <w:szCs w:val="20"/>
              </w:rPr>
              <w:t>能依据单元内容进行整体设计，科学合理地依据教学目标及内容设计作业。</w:t>
            </w:r>
          </w:p>
          <w:p w14:paraId="32270198">
            <w:pPr>
              <w:spacing w:line="276" w:lineRule="auto"/>
              <w:jc w:val="left"/>
              <w:rPr>
                <w:rFonts w:ascii="宋体" w:hAnsi="宋体" w:eastAsia="宋体" w:cs="宋体"/>
                <w:color w:val="000000"/>
                <w:sz w:val="20"/>
                <w:szCs w:val="20"/>
              </w:rPr>
            </w:pPr>
            <w:r>
              <w:rPr>
                <w:rFonts w:hint="eastAsia" w:ascii="宋体" w:hAnsi="宋体" w:eastAsia="宋体" w:cs="宋体"/>
                <w:color w:val="000000"/>
                <w:sz w:val="20"/>
                <w:szCs w:val="20"/>
              </w:rPr>
              <w:t>指标点4-3：【教学实施与评价科学】掌握小学教师基本功技能，包括书写技能、沟通与表达技能、信息技术运用技能等。获得全面的小学教学体验，掌握学科教学的基本方法与策略，能独立进行教学实施和评价。</w:t>
            </w:r>
          </w:p>
          <w:p w14:paraId="122A25BB">
            <w:pPr>
              <w:spacing w:line="276" w:lineRule="auto"/>
              <w:jc w:val="left"/>
              <w:rPr>
                <w:rFonts w:hint="eastAsia" w:ascii="宋体" w:hAnsi="宋体" w:eastAsia="宋体" w:cs="宋体"/>
                <w:color w:val="000000"/>
                <w:szCs w:val="21"/>
              </w:rPr>
            </w:pPr>
            <w:r>
              <w:rPr>
                <w:rFonts w:ascii="等线" w:hAnsi="等线" w:eastAsia="等线" w:cs="Times New Roman"/>
                <w:kern w:val="0"/>
                <w:szCs w:val="21"/>
              </w:rPr>
              <w:t>指标点</w:t>
            </w:r>
            <w:r>
              <w:rPr>
                <w:rFonts w:ascii="等线" w:hAnsi="等线" w:eastAsia="等线" w:cs="Times New Roman"/>
                <w:szCs w:val="21"/>
              </w:rPr>
              <w:t>8-1：</w:t>
            </w:r>
            <w:r>
              <w:rPr>
                <w:rFonts w:hint="eastAsia" w:ascii="等线" w:hAnsi="等线" w:eastAsia="等线" w:cs="Times New Roman"/>
                <w:szCs w:val="21"/>
              </w:rPr>
              <w:t>【善于团队合作】</w:t>
            </w:r>
            <w:r>
              <w:rPr>
                <w:rFonts w:hint="eastAsia" w:ascii="等线" w:hAnsi="等线" w:eastAsia="等线" w:cs="Times New Roman"/>
                <w:szCs w:val="23"/>
              </w:rPr>
              <w:t>理解学习共同体的本质和价值，掌握团队协作的基本策略，在课堂学习与教育实践中获得合作学习体验，形成团队协作精神。</w:t>
            </w:r>
          </w:p>
        </w:tc>
        <w:tc>
          <w:tcPr>
            <w:tcW w:w="1276" w:type="dxa"/>
            <w:vAlign w:val="center"/>
          </w:tcPr>
          <w:p w14:paraId="7F72970C">
            <w:pPr>
              <w:spacing w:line="276" w:lineRule="auto"/>
              <w:jc w:val="left"/>
              <w:rPr>
                <w:rFonts w:ascii="等线" w:hAnsi="等线" w:eastAsia="等线" w:cs="Times New Roman"/>
                <w:kern w:val="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r>
      <w:tr w14:paraId="39E54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3" w:type="dxa"/>
            <w:vAlign w:val="center"/>
          </w:tcPr>
          <w:p w14:paraId="4FC34F6A">
            <w:pPr>
              <w:spacing w:line="276" w:lineRule="auto"/>
              <w:rPr>
                <w:rFonts w:hint="eastAsia" w:ascii="宋体" w:hAnsi="宋体" w:eastAsia="宋体" w:cs="Times New Roman"/>
                <w:kern w:val="0"/>
                <w:szCs w:val="21"/>
              </w:rPr>
            </w:pPr>
            <w:r>
              <w:rPr>
                <w:rFonts w:hint="eastAsia" w:ascii="宋体" w:hAnsi="宋体" w:eastAsia="宋体" w:cs="Times New Roman"/>
                <w:kern w:val="0"/>
                <w:szCs w:val="21"/>
              </w:rPr>
              <w:t>毕业要求3</w:t>
            </w:r>
            <w:r>
              <w:rPr>
                <w:rFonts w:ascii="宋体" w:hAnsi="宋体" w:eastAsia="宋体" w:cs="Times New Roman"/>
                <w:kern w:val="0"/>
                <w:szCs w:val="21"/>
              </w:rPr>
              <w:t>.</w:t>
            </w:r>
            <w:r>
              <w:rPr>
                <w:rFonts w:hint="eastAsia" w:ascii="宋体" w:hAnsi="宋体" w:eastAsia="宋体" w:cs="Times New Roman"/>
                <w:kern w:val="0"/>
                <w:szCs w:val="21"/>
              </w:rPr>
              <w:t>学科素养</w:t>
            </w:r>
          </w:p>
          <w:p w14:paraId="16FA7A3D">
            <w:pPr>
              <w:spacing w:line="276" w:lineRule="auto"/>
              <w:rPr>
                <w:rFonts w:hint="eastAsia" w:ascii="宋体" w:hAnsi="宋体" w:eastAsia="宋体" w:cs="Times New Roman"/>
                <w:spacing w:val="2"/>
                <w:kern w:val="0"/>
                <w:szCs w:val="21"/>
              </w:rPr>
            </w:pPr>
            <w:r>
              <w:rPr>
                <w:rFonts w:ascii="宋体" w:hAnsi="宋体" w:eastAsia="宋体" w:cs="Times New Roman"/>
                <w:kern w:val="0"/>
                <w:szCs w:val="21"/>
              </w:rPr>
              <w:t>毕业要求</w:t>
            </w:r>
            <w:r>
              <w:rPr>
                <w:rFonts w:ascii="宋体" w:hAnsi="宋体" w:eastAsia="宋体" w:cs="Times New Roman"/>
                <w:spacing w:val="2"/>
                <w:kern w:val="0"/>
                <w:szCs w:val="21"/>
              </w:rPr>
              <w:t>6.</w:t>
            </w:r>
            <w:r>
              <w:rPr>
                <w:rFonts w:hint="eastAsia" w:ascii="宋体" w:hAnsi="宋体" w:eastAsia="宋体" w:cs="Times New Roman"/>
                <w:spacing w:val="2"/>
                <w:kern w:val="0"/>
                <w:szCs w:val="21"/>
              </w:rPr>
              <w:t>综合育人</w:t>
            </w:r>
          </w:p>
          <w:p w14:paraId="0565CABB">
            <w:pPr>
              <w:spacing w:line="276" w:lineRule="auto"/>
              <w:rPr>
                <w:rFonts w:hint="eastAsia" w:ascii="宋体" w:hAnsi="宋体" w:eastAsia="宋体" w:cs="Times New Roman"/>
                <w:spacing w:val="2"/>
                <w:kern w:val="0"/>
                <w:szCs w:val="21"/>
              </w:rPr>
            </w:pPr>
            <w:r>
              <w:rPr>
                <w:rFonts w:hint="eastAsia" w:ascii="宋体" w:hAnsi="宋体" w:eastAsia="宋体" w:cs="Times New Roman"/>
                <w:spacing w:val="2"/>
                <w:kern w:val="0"/>
                <w:szCs w:val="21"/>
              </w:rPr>
              <w:t>毕业要求7</w:t>
            </w:r>
            <w:r>
              <w:rPr>
                <w:rFonts w:ascii="宋体" w:hAnsi="宋体" w:eastAsia="宋体" w:cs="Times New Roman"/>
                <w:spacing w:val="2"/>
                <w:kern w:val="0"/>
                <w:szCs w:val="21"/>
              </w:rPr>
              <w:t>.</w:t>
            </w:r>
            <w:r>
              <w:rPr>
                <w:rFonts w:hint="eastAsia" w:ascii="宋体" w:hAnsi="宋体" w:eastAsia="宋体" w:cs="Times New Roman"/>
                <w:spacing w:val="2"/>
                <w:kern w:val="0"/>
                <w:szCs w:val="21"/>
              </w:rPr>
              <w:t>学会反思</w:t>
            </w:r>
          </w:p>
        </w:tc>
        <w:tc>
          <w:tcPr>
            <w:tcW w:w="5519" w:type="dxa"/>
            <w:vAlign w:val="center"/>
          </w:tcPr>
          <w:p w14:paraId="30A3C1FF">
            <w:pPr>
              <w:shd w:val="clear" w:color="auto" w:fill="FFFFFF"/>
              <w:spacing w:line="276" w:lineRule="auto"/>
              <w:jc w:val="left"/>
              <w:rPr>
                <w:rFonts w:ascii="等线" w:hAnsi="等线" w:eastAsia="等线" w:cs="Times New Roman"/>
                <w:szCs w:val="23"/>
              </w:rPr>
            </w:pPr>
            <w:r>
              <w:rPr>
                <w:rFonts w:ascii="等线" w:hAnsi="等线" w:eastAsia="等线" w:cs="Times New Roman"/>
                <w:kern w:val="0"/>
                <w:szCs w:val="21"/>
              </w:rPr>
              <w:t>指标点</w:t>
            </w:r>
            <w:r>
              <w:rPr>
                <w:rFonts w:ascii="等线" w:hAnsi="等线" w:eastAsia="等线" w:cs="Times New Roman"/>
                <w:szCs w:val="21"/>
              </w:rPr>
              <w:t>3-</w:t>
            </w:r>
            <w:r>
              <w:rPr>
                <w:rFonts w:hint="eastAsia" w:ascii="等线" w:hAnsi="等线" w:eastAsia="等线" w:cs="Times New Roman"/>
                <w:szCs w:val="21"/>
              </w:rPr>
              <w:t>3</w:t>
            </w:r>
            <w:r>
              <w:rPr>
                <w:rFonts w:ascii="等线" w:hAnsi="等线" w:eastAsia="等线" w:cs="Times New Roman"/>
                <w:szCs w:val="21"/>
              </w:rPr>
              <w:t>：</w:t>
            </w:r>
            <w:r>
              <w:rPr>
                <w:rFonts w:hint="eastAsia" w:ascii="等线" w:hAnsi="等线" w:eastAsia="等线" w:cs="Times New Roman"/>
                <w:szCs w:val="21"/>
              </w:rPr>
              <w:t>【注重知识整合】</w:t>
            </w:r>
            <w:r>
              <w:rPr>
                <w:rFonts w:hint="eastAsia" w:ascii="等线" w:hAnsi="等线" w:eastAsia="等线" w:cs="Times New Roman"/>
                <w:szCs w:val="23"/>
              </w:rPr>
              <w:t>了解所教学科与其他学科及与社会实践、小学生生活实践之间的联系，了解学科整合的在小学教育中的价值，具有跨学科解决问题的意识和能力，能指导综合性学科教学活动。</w:t>
            </w:r>
          </w:p>
          <w:p w14:paraId="0A089950">
            <w:pPr>
              <w:shd w:val="clear" w:color="auto" w:fill="FFFFFF"/>
              <w:spacing w:line="276" w:lineRule="auto"/>
              <w:jc w:val="left"/>
              <w:rPr>
                <w:rFonts w:ascii="等线" w:hAnsi="等线" w:eastAsia="等线" w:cs="Times New Roman"/>
                <w:szCs w:val="21"/>
              </w:rPr>
            </w:pPr>
            <w:r>
              <w:rPr>
                <w:rFonts w:ascii="等线" w:hAnsi="等线" w:eastAsia="等线" w:cs="Times New Roman"/>
                <w:kern w:val="0"/>
                <w:szCs w:val="21"/>
              </w:rPr>
              <w:t>指标点</w:t>
            </w:r>
            <w:r>
              <w:rPr>
                <w:rFonts w:ascii="等线" w:hAnsi="等线" w:eastAsia="等线" w:cs="Times New Roman"/>
                <w:szCs w:val="21"/>
              </w:rPr>
              <w:t>6-2：</w:t>
            </w:r>
            <w:r>
              <w:rPr>
                <w:rFonts w:hint="eastAsia" w:ascii="等线" w:hAnsi="等线" w:eastAsia="等线" w:cs="Times New Roman"/>
                <w:szCs w:val="21"/>
              </w:rPr>
              <w:t>【懂得学科育人】具有教书育人的意识，理解学科核心素养和拟任教学科课程独特的育人功能，具备结合学科教学进行育人的意识与能力，注重学科教学中思想政治教育的渗透。</w:t>
            </w:r>
          </w:p>
          <w:p w14:paraId="41A4F7B7">
            <w:pPr>
              <w:shd w:val="clear" w:color="auto" w:fill="FFFFFF"/>
              <w:spacing w:line="276" w:lineRule="auto"/>
              <w:jc w:val="left"/>
              <w:rPr>
                <w:rFonts w:hint="eastAsia" w:ascii="宋体" w:hAnsi="宋体" w:eastAsia="宋体" w:cs="Times New Roman"/>
                <w:spacing w:val="2"/>
                <w:kern w:val="0"/>
                <w:szCs w:val="21"/>
              </w:rPr>
            </w:pPr>
            <w:r>
              <w:rPr>
                <w:rFonts w:ascii="等线" w:hAnsi="等线" w:eastAsia="等线" w:cs="Times New Roman"/>
                <w:kern w:val="0"/>
                <w:szCs w:val="21"/>
              </w:rPr>
              <w:t>指标点</w:t>
            </w:r>
            <w:r>
              <w:rPr>
                <w:rFonts w:ascii="等线" w:hAnsi="等线" w:eastAsia="等线" w:cs="Times New Roman"/>
                <w:szCs w:val="21"/>
              </w:rPr>
              <w:t>7-1：</w:t>
            </w:r>
            <w:r>
              <w:rPr>
                <w:rFonts w:hint="eastAsia" w:ascii="等线" w:hAnsi="等线" w:eastAsia="等线" w:cs="Times New Roman"/>
                <w:szCs w:val="21"/>
              </w:rPr>
              <w:t>【教育视野开阔】</w:t>
            </w:r>
            <w:r>
              <w:rPr>
                <w:rFonts w:ascii="等线" w:hAnsi="等线" w:eastAsia="等线" w:cs="Times New Roman"/>
                <w:szCs w:val="21"/>
              </w:rPr>
              <w:t>积极参加基础教育领域的国内外交流，了解国内外基础教育改革发展的动态，具有宽广的教育视野</w:t>
            </w:r>
            <w:r>
              <w:rPr>
                <w:rFonts w:hint="eastAsia" w:ascii="等线" w:hAnsi="等线" w:eastAsia="等线" w:cs="Times New Roman"/>
                <w:szCs w:val="21"/>
              </w:rPr>
              <w:t>，能够主动适应新时代和教育发展需求。</w:t>
            </w:r>
          </w:p>
        </w:tc>
        <w:tc>
          <w:tcPr>
            <w:tcW w:w="1276" w:type="dxa"/>
            <w:vAlign w:val="center"/>
          </w:tcPr>
          <w:p w14:paraId="51B444E3">
            <w:pPr>
              <w:shd w:val="clear" w:color="auto" w:fill="FFFFFF"/>
              <w:spacing w:line="276" w:lineRule="auto"/>
              <w:jc w:val="left"/>
              <w:rPr>
                <w:rFonts w:ascii="等线" w:hAnsi="等线" w:eastAsia="等线" w:cs="Times New Roman"/>
                <w:kern w:val="0"/>
                <w:szCs w:val="21"/>
              </w:rPr>
            </w:pPr>
            <w:r>
              <w:rPr>
                <w:rFonts w:hint="eastAsia" w:ascii="宋体" w:hAnsi="宋体" w:eastAsia="宋体" w:cs="宋体"/>
                <w:color w:val="000000"/>
                <w:szCs w:val="21"/>
              </w:rPr>
              <w:t>课程目标</w:t>
            </w:r>
            <w:r>
              <w:rPr>
                <w:rFonts w:ascii="宋体" w:hAnsi="宋体" w:eastAsia="宋体" w:cs="宋体"/>
                <w:color w:val="000000"/>
                <w:szCs w:val="21"/>
              </w:rPr>
              <w:t>4</w:t>
            </w:r>
          </w:p>
        </w:tc>
      </w:tr>
    </w:tbl>
    <w:p w14:paraId="50BE7013">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（三）课程思政目标</w:t>
      </w:r>
    </w:p>
    <w:p w14:paraId="43A040E0">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在课程教学中引导树立学高人师、身正为范的职业理想，培育爱国守法、规范从教的职业操守，培养传道情怀、授业底蕴、解惑能力，富有工匠精神，坚持贯彻落实党的教育方针，以立德树人为己任，自觉以德立身、以德立学、以德施教，争做有理想信念、有道德情操、有扎实学识、有仁爱之心的“四有”好老师，传承教育家精神，争做新时代的大国良师。</w:t>
      </w:r>
    </w:p>
    <w:p w14:paraId="365A120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三、课程内容及预期学习成效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365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70914C3">
            <w:pPr>
              <w:jc w:val="center"/>
              <w:rPr>
                <w:rFonts w:hint="eastAsia" w:ascii="宋体" w:hAnsi="宋体" w:eastAsia="宋体" w:cs="Times New Roman"/>
                <w:b/>
                <w:szCs w:val="21"/>
              </w:rPr>
            </w:pPr>
            <w:r>
              <w:rPr>
                <w:rFonts w:hint="eastAsia" w:ascii="宋体" w:hAnsi="宋体" w:eastAsia="宋体" w:cs="Times New Roman"/>
                <w:b/>
                <w:szCs w:val="21"/>
              </w:rPr>
              <w:t>知识</w:t>
            </w:r>
          </w:p>
          <w:p w14:paraId="53C96BF3">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047847BB">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3CB1A5CA">
            <w:pPr>
              <w:jc w:val="center"/>
              <w:rPr>
                <w:rFonts w:hint="eastAsia" w:ascii="宋体" w:hAnsi="宋体" w:eastAsia="宋体" w:cs="Times New Roman"/>
                <w:b/>
                <w:szCs w:val="21"/>
              </w:rPr>
            </w:pPr>
            <w:r>
              <w:rPr>
                <w:rFonts w:hint="eastAsia" w:ascii="宋体" w:hAnsi="宋体" w:eastAsia="宋体" w:cs="Times New Roman"/>
                <w:b/>
                <w:szCs w:val="21"/>
              </w:rPr>
              <w:t>对应</w:t>
            </w:r>
          </w:p>
          <w:p w14:paraId="7A8FBC36">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7E7A5A38">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5A2084B6">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6F3695EA">
            <w:pPr>
              <w:jc w:val="center"/>
              <w:rPr>
                <w:rFonts w:hint="eastAsia" w:ascii="宋体" w:hAnsi="宋体" w:eastAsia="宋体" w:cs="Times New Roman"/>
                <w:b/>
                <w:szCs w:val="21"/>
                <w:highlight w:val="yellow"/>
              </w:rPr>
            </w:pPr>
            <w:r>
              <w:rPr>
                <w:rFonts w:hint="eastAsia" w:ascii="宋体" w:hAnsi="宋体" w:eastAsia="宋体" w:cs="Times New Roman"/>
                <w:b/>
                <w:szCs w:val="21"/>
              </w:rPr>
              <w:t>学时</w:t>
            </w:r>
          </w:p>
        </w:tc>
      </w:tr>
      <w:tr w14:paraId="4DB5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644E95">
            <w:pPr>
              <w:spacing w:line="264" w:lineRule="auto"/>
              <w:jc w:val="center"/>
              <w:rPr>
                <w:rFonts w:hint="eastAsia" w:ascii="宋体" w:hAnsi="宋体" w:eastAsia="宋体" w:cs="Times New Roman"/>
                <w:szCs w:val="21"/>
              </w:rPr>
            </w:pPr>
            <w:r>
              <w:rPr>
                <w:rFonts w:hint="eastAsia" w:ascii="Times New Roman" w:hAnsi="Times New Roman" w:eastAsia="宋体" w:cs="Times New Roman"/>
                <w:szCs w:val="21"/>
              </w:rPr>
              <w:t>（一）“课程教学论”概论</w:t>
            </w:r>
          </w:p>
        </w:tc>
        <w:tc>
          <w:tcPr>
            <w:tcW w:w="1701" w:type="dxa"/>
            <w:vAlign w:val="center"/>
          </w:tcPr>
          <w:p w14:paraId="3A7E0E25">
            <w:pPr>
              <w:spacing w:line="269" w:lineRule="auto"/>
              <w:jc w:val="left"/>
              <w:rPr>
                <w:rFonts w:hint="eastAsia" w:ascii="宋体" w:hAnsi="宋体" w:eastAsia="宋体" w:cs="Times New Roman"/>
                <w:szCs w:val="21"/>
              </w:rPr>
            </w:pPr>
            <w:r>
              <w:rPr>
                <w:rFonts w:hint="eastAsia" w:ascii="宋体" w:hAnsi="宋体" w:eastAsia="宋体" w:cs="Times New Roman"/>
                <w:szCs w:val="21"/>
              </w:rPr>
              <w:t>1. 教学内容</w:t>
            </w:r>
          </w:p>
          <w:p w14:paraId="55B03CE7">
            <w:pPr>
              <w:spacing w:line="269" w:lineRule="auto"/>
              <w:jc w:val="left"/>
              <w:rPr>
                <w:rFonts w:hint="eastAsia" w:ascii="宋体" w:hAnsi="宋体" w:eastAsia="宋体" w:cs="Times New Roman"/>
                <w:szCs w:val="21"/>
              </w:rPr>
            </w:pPr>
            <w:r>
              <w:rPr>
                <w:rFonts w:hint="eastAsia" w:ascii="宋体" w:hAnsi="宋体" w:eastAsia="宋体" w:cs="Times New Roman"/>
                <w:szCs w:val="21"/>
              </w:rPr>
              <w:t>（1）什么是课程与教学论</w:t>
            </w:r>
          </w:p>
          <w:p w14:paraId="7F7692A6">
            <w:pPr>
              <w:spacing w:line="269" w:lineRule="auto"/>
              <w:jc w:val="left"/>
              <w:rPr>
                <w:rFonts w:hint="eastAsia" w:ascii="宋体" w:hAnsi="宋体" w:eastAsia="宋体" w:cs="Times New Roman"/>
                <w:szCs w:val="21"/>
              </w:rPr>
            </w:pPr>
            <w:r>
              <w:rPr>
                <w:rFonts w:hint="eastAsia" w:ascii="宋体" w:hAnsi="宋体" w:eastAsia="宋体" w:cs="Times New Roman"/>
                <w:szCs w:val="21"/>
              </w:rPr>
              <w:t>（2）学习课程与教学论的意义和方法</w:t>
            </w:r>
          </w:p>
        </w:tc>
        <w:tc>
          <w:tcPr>
            <w:tcW w:w="1134" w:type="dxa"/>
            <w:vAlign w:val="center"/>
          </w:tcPr>
          <w:p w14:paraId="5A4AF111">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课程目标1、4</w:t>
            </w:r>
          </w:p>
        </w:tc>
        <w:tc>
          <w:tcPr>
            <w:tcW w:w="3260" w:type="dxa"/>
            <w:vAlign w:val="center"/>
          </w:tcPr>
          <w:p w14:paraId="3B062BC1">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（1）了解课程与教学论的研究对象、任务和历史演变</w:t>
            </w:r>
          </w:p>
          <w:p w14:paraId="44A2B72B">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（2）理解课程与教学的关系</w:t>
            </w:r>
          </w:p>
          <w:p w14:paraId="09ADCEAD">
            <w:pPr>
              <w:spacing w:line="269" w:lineRule="auto"/>
              <w:jc w:val="left"/>
              <w:rPr>
                <w:rFonts w:hint="eastAsia" w:ascii="宋体" w:hAnsi="宋体" w:eastAsia="宋体" w:cs="Times New Roman"/>
                <w:szCs w:val="21"/>
              </w:rPr>
            </w:pPr>
            <w:r>
              <w:rPr>
                <w:rFonts w:hint="eastAsia" w:ascii="宋体" w:hAnsi="宋体" w:eastAsia="宋体" w:cs="Times New Roman"/>
                <w:szCs w:val="21"/>
              </w:rPr>
              <w:t>（3）明确学习课程与教学论的意义</w:t>
            </w:r>
          </w:p>
          <w:p w14:paraId="54C3BB4F">
            <w:pPr>
              <w:spacing w:line="269" w:lineRule="auto"/>
              <w:jc w:val="left"/>
              <w:rPr>
                <w:rFonts w:hint="eastAsia" w:ascii="宋体" w:hAnsi="宋体" w:eastAsia="宋体" w:cs="Times New Roman"/>
                <w:szCs w:val="21"/>
              </w:rPr>
            </w:pPr>
            <w:r>
              <w:rPr>
                <w:rFonts w:hint="eastAsia" w:ascii="宋体" w:hAnsi="宋体" w:eastAsia="宋体" w:cs="Times New Roman"/>
                <w:szCs w:val="21"/>
              </w:rPr>
              <w:t>（4）反思和改进学习方法</w:t>
            </w:r>
          </w:p>
        </w:tc>
        <w:tc>
          <w:tcPr>
            <w:tcW w:w="1560" w:type="dxa"/>
            <w:vAlign w:val="center"/>
          </w:tcPr>
          <w:p w14:paraId="4EC054DF">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62CFC602">
            <w:pPr>
              <w:spacing w:line="269" w:lineRule="auto"/>
              <w:jc w:val="left"/>
              <w:rPr>
                <w:rFonts w:hint="eastAsia" w:ascii="宋体" w:hAnsi="宋体" w:eastAsia="宋体" w:cs="Times New Roman"/>
                <w:szCs w:val="21"/>
              </w:rPr>
            </w:pPr>
            <w:r>
              <w:rPr>
                <w:rFonts w:hint="eastAsia" w:ascii="宋体" w:hAnsi="宋体" w:eastAsia="宋体" w:cs="Times New Roman"/>
                <w:szCs w:val="21"/>
              </w:rPr>
              <w:t>3.课堂测验</w:t>
            </w:r>
          </w:p>
        </w:tc>
        <w:tc>
          <w:tcPr>
            <w:tcW w:w="438" w:type="dxa"/>
            <w:vAlign w:val="center"/>
          </w:tcPr>
          <w:p w14:paraId="0E43D5F2">
            <w:pPr>
              <w:spacing w:line="269" w:lineRule="auto"/>
              <w:jc w:val="center"/>
              <w:rPr>
                <w:rFonts w:hint="eastAsia" w:ascii="宋体" w:hAnsi="宋体" w:eastAsia="宋体" w:cs="Times New Roman"/>
                <w:szCs w:val="21"/>
                <w:highlight w:val="yellow"/>
              </w:rPr>
            </w:pPr>
            <w:r>
              <w:rPr>
                <w:rFonts w:hint="eastAsia" w:ascii="宋体" w:hAnsi="宋体" w:eastAsia="宋体" w:cs="Times New Roman"/>
                <w:szCs w:val="21"/>
              </w:rPr>
              <w:t>1</w:t>
            </w:r>
          </w:p>
        </w:tc>
      </w:tr>
      <w:tr w14:paraId="3995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BC9D05">
            <w:pPr>
              <w:spacing w:line="264" w:lineRule="auto"/>
              <w:jc w:val="center"/>
              <w:rPr>
                <w:rFonts w:hint="eastAsia" w:ascii="宋体" w:hAnsi="宋体" w:eastAsia="宋体" w:cs="Times New Roman"/>
                <w:szCs w:val="21"/>
              </w:rPr>
            </w:pPr>
          </w:p>
        </w:tc>
        <w:tc>
          <w:tcPr>
            <w:tcW w:w="8093" w:type="dxa"/>
            <w:gridSpan w:val="5"/>
            <w:vAlign w:val="center"/>
          </w:tcPr>
          <w:p w14:paraId="76C2F425">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通过学习课程与教学的基本概念、理论、原理，理解课程和教学是学校教育系统的核心要素，增进将其转化为社会主义核心价值观具体化、生动化的有效教学载体的教学意识。</w:t>
            </w:r>
          </w:p>
        </w:tc>
      </w:tr>
    </w:tbl>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335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8C33258">
            <w:pPr>
              <w:spacing w:line="26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（二）课程的基本理论</w:t>
            </w:r>
          </w:p>
        </w:tc>
        <w:tc>
          <w:tcPr>
            <w:tcW w:w="1701" w:type="dxa"/>
            <w:vAlign w:val="center"/>
          </w:tcPr>
          <w:p w14:paraId="1D2E5BF9">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（1）课程的基本概念</w:t>
            </w:r>
          </w:p>
          <w:p w14:paraId="6B6BBD39">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（2）课程的历史发展</w:t>
            </w:r>
          </w:p>
          <w:p w14:paraId="0A089F4A">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（3）影响课程发展的基本因素</w:t>
            </w:r>
          </w:p>
        </w:tc>
        <w:tc>
          <w:tcPr>
            <w:tcW w:w="1134" w:type="dxa"/>
            <w:vAlign w:val="center"/>
          </w:tcPr>
          <w:p w14:paraId="0164CD2C">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课程目标1、2、4</w:t>
            </w:r>
          </w:p>
        </w:tc>
        <w:tc>
          <w:tcPr>
            <w:tcW w:w="3260" w:type="dxa"/>
            <w:vAlign w:val="center"/>
          </w:tcPr>
          <w:p w14:paraId="7B5E96DA">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（1）掌握课程概念，学会用自己的语言来解释课程</w:t>
            </w:r>
          </w:p>
          <w:p w14:paraId="671A3D01">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（2）了解课程发展的历史概况</w:t>
            </w:r>
          </w:p>
          <w:p w14:paraId="6DDF5DA7">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（3）熟悉影响课程发展的基本因素</w:t>
            </w:r>
          </w:p>
          <w:p w14:paraId="2B5D1572">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（4）了解课程理论所涉及的基本问题和基础知识</w:t>
            </w:r>
          </w:p>
        </w:tc>
        <w:tc>
          <w:tcPr>
            <w:tcW w:w="1560" w:type="dxa"/>
            <w:vAlign w:val="center"/>
          </w:tcPr>
          <w:p w14:paraId="48A930F1">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1.多媒体教学2.课堂讨论</w:t>
            </w:r>
          </w:p>
          <w:p w14:paraId="2DC1B680">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3.课堂测验</w:t>
            </w:r>
          </w:p>
        </w:tc>
        <w:tc>
          <w:tcPr>
            <w:tcW w:w="438" w:type="dxa"/>
            <w:vAlign w:val="center"/>
          </w:tcPr>
          <w:p w14:paraId="217405E9">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p>
        </w:tc>
      </w:tr>
      <w:tr w14:paraId="4DE9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08C77B">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01C70F2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通过了解课程的概念和历史发展，产生强烈的文化认同感和民族自豪感，又能够尊重不同民族和文化的差异。能够有意识的发掘和创造性的利用课程中蕴含的文化基因和价值范式。</w:t>
            </w:r>
          </w:p>
        </w:tc>
      </w:tr>
    </w:tbl>
    <w:tbl>
      <w:tblPr>
        <w:tblStyle w:val="19"/>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803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759C18A">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（三）课程目标与课程内容</w:t>
            </w:r>
          </w:p>
        </w:tc>
        <w:tc>
          <w:tcPr>
            <w:tcW w:w="1701" w:type="dxa"/>
            <w:vAlign w:val="center"/>
          </w:tcPr>
          <w:p w14:paraId="06BEDB4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（1）课程目标</w:t>
            </w:r>
          </w:p>
          <w:p w14:paraId="4409B41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（2）课程内容</w:t>
            </w:r>
          </w:p>
        </w:tc>
        <w:tc>
          <w:tcPr>
            <w:tcW w:w="1134" w:type="dxa"/>
            <w:vAlign w:val="center"/>
          </w:tcPr>
          <w:p w14:paraId="0ABDE673">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课程目标1、4</w:t>
            </w:r>
          </w:p>
        </w:tc>
        <w:tc>
          <w:tcPr>
            <w:tcW w:w="3260" w:type="dxa"/>
            <w:vAlign w:val="center"/>
          </w:tcPr>
          <w:p w14:paraId="309A69B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（1）明确课程目标的内涵取向及其确定的依据</w:t>
            </w:r>
          </w:p>
          <w:p w14:paraId="65DD8E4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（2）掌握课程内容的取向及其选择与组织原则</w:t>
            </w:r>
          </w:p>
          <w:p w14:paraId="5FB5018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（3）了解当代小学教育课程的目标与课程内容</w:t>
            </w:r>
          </w:p>
        </w:tc>
        <w:tc>
          <w:tcPr>
            <w:tcW w:w="1560" w:type="dxa"/>
            <w:vAlign w:val="center"/>
          </w:tcPr>
          <w:p w14:paraId="690B507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057DD6C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5217E1FC">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2776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8AF209">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473C62F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课程目标与课程内容的学习，明确新课程的基本价值取向是“为了中华民族的复兴，为了每一个学生的发展”，以中国特色社会主义思想为指导，坚持知识传授与价值引领相结合，在顶层设计上要把思想政治培养作为课程教学的目标放在首位，并与专业发展教育相结合。</w:t>
            </w:r>
          </w:p>
        </w:tc>
      </w:tr>
    </w:tbl>
    <w:tbl>
      <w:tblPr>
        <w:tblStyle w:val="20"/>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7A2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B674CE">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（四）课程实施与课程评价</w:t>
            </w:r>
          </w:p>
        </w:tc>
        <w:tc>
          <w:tcPr>
            <w:tcW w:w="1701" w:type="dxa"/>
            <w:vAlign w:val="center"/>
          </w:tcPr>
          <w:p w14:paraId="3AE5182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（1）课程变革的基本过程</w:t>
            </w:r>
          </w:p>
          <w:p w14:paraId="2588903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（2）课程实施的三种取向</w:t>
            </w:r>
          </w:p>
          <w:p w14:paraId="745663D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（3）课程实施的基本过程</w:t>
            </w:r>
          </w:p>
          <w:p w14:paraId="34A0357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（4）课程评价的三种取向</w:t>
            </w:r>
          </w:p>
        </w:tc>
        <w:tc>
          <w:tcPr>
            <w:tcW w:w="1134" w:type="dxa"/>
            <w:vAlign w:val="center"/>
          </w:tcPr>
          <w:p w14:paraId="187A51B4">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课程目标3、4</w:t>
            </w:r>
          </w:p>
        </w:tc>
        <w:tc>
          <w:tcPr>
            <w:tcW w:w="3260" w:type="dxa"/>
            <w:vAlign w:val="center"/>
          </w:tcPr>
          <w:p w14:paraId="5DE287B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（1）明确课程实施的内涵</w:t>
            </w:r>
          </w:p>
          <w:p w14:paraId="176DFE1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（2）了解课程实施的取向和途径及影响因素</w:t>
            </w:r>
          </w:p>
          <w:p w14:paraId="5B5B626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（3）熟悉课程实施的基本过程</w:t>
            </w:r>
          </w:p>
          <w:p w14:paraId="2F186C4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（4）掌握课程评价的三种取向</w:t>
            </w:r>
          </w:p>
        </w:tc>
        <w:tc>
          <w:tcPr>
            <w:tcW w:w="1560" w:type="dxa"/>
            <w:vAlign w:val="center"/>
          </w:tcPr>
          <w:p w14:paraId="12984F9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18BC72B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3E20C00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5C42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F9512C">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50DBD9A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通过课程实施和课程评价的学习，懂得必须尊重每一个学生个性发展的完整性、独立性、具体性和特殊性，树立正确的儿童观，把关爱自然、追求人与自然的可持续发展作为价值追求。</w:t>
            </w:r>
          </w:p>
        </w:tc>
      </w:tr>
    </w:tbl>
    <w:tbl>
      <w:tblPr>
        <w:tblStyle w:val="2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35D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DECEEC7">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（五）课程开发与校本课程</w:t>
            </w:r>
          </w:p>
        </w:tc>
        <w:tc>
          <w:tcPr>
            <w:tcW w:w="1701" w:type="dxa"/>
            <w:vAlign w:val="center"/>
          </w:tcPr>
          <w:p w14:paraId="05FF1E6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（1）课程开发的一般原理</w:t>
            </w:r>
          </w:p>
          <w:p w14:paraId="20A005E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（2）校本课程开发</w:t>
            </w:r>
          </w:p>
        </w:tc>
        <w:tc>
          <w:tcPr>
            <w:tcW w:w="1134" w:type="dxa"/>
            <w:vAlign w:val="center"/>
          </w:tcPr>
          <w:p w14:paraId="5DA6E90D">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w:t>
            </w:r>
          </w:p>
        </w:tc>
        <w:tc>
          <w:tcPr>
            <w:tcW w:w="3260" w:type="dxa"/>
            <w:vAlign w:val="center"/>
          </w:tcPr>
          <w:p w14:paraId="2B77D3A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（1）了解课程开发的概念、具体机制及模式</w:t>
            </w:r>
          </w:p>
          <w:p w14:paraId="341A386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（2）认识校本课程开发的基本特征、意义</w:t>
            </w:r>
          </w:p>
          <w:p w14:paraId="5E7D95E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（3）初步掌握课程开发的基本技术</w:t>
            </w:r>
          </w:p>
        </w:tc>
        <w:tc>
          <w:tcPr>
            <w:tcW w:w="1560" w:type="dxa"/>
            <w:vAlign w:val="center"/>
          </w:tcPr>
          <w:p w14:paraId="5ECB5D9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70AE41C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3987F14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w:t>
            </w:r>
          </w:p>
        </w:tc>
      </w:tr>
      <w:tr w14:paraId="549A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988C5E">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2B8AD54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通过校本课程开发的学习，</w:t>
            </w:r>
            <w:bookmarkStart w:id="730" w:name="_Hlk182297902"/>
            <w:r>
              <w:rPr>
                <w:rFonts w:hint="eastAsia" w:ascii="宋体" w:hAnsi="宋体" w:eastAsia="宋体" w:cs="Times New Roman"/>
                <w:color w:val="000000"/>
                <w:kern w:val="0"/>
                <w:sz w:val="20"/>
                <w:szCs w:val="21"/>
              </w:rPr>
              <w:t>能够积极主动将</w:t>
            </w:r>
            <w:bookmarkEnd w:id="730"/>
            <w:r>
              <w:rPr>
                <w:rFonts w:hint="eastAsia" w:ascii="宋体" w:hAnsi="宋体" w:eastAsia="宋体" w:cs="Times New Roman"/>
                <w:color w:val="000000"/>
                <w:kern w:val="0"/>
                <w:sz w:val="20"/>
                <w:szCs w:val="21"/>
              </w:rPr>
              <w:t>中华优秀传统文化融入课程教学，加强革命文化和社会主义先进文化教育，厚植爱国主义情怀，传承中华优秀传统文化，弘扬以爱国主义为核心的民族精神和以改革创新为核心的时代精神。</w:t>
            </w:r>
          </w:p>
        </w:tc>
      </w:tr>
    </w:tbl>
    <w:tbl>
      <w:tblPr>
        <w:tblStyle w:val="2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F57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0F22DD">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（六）教学的基本理论</w:t>
            </w:r>
          </w:p>
        </w:tc>
        <w:tc>
          <w:tcPr>
            <w:tcW w:w="1701" w:type="dxa"/>
            <w:vAlign w:val="center"/>
          </w:tcPr>
          <w:p w14:paraId="5F8899F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（1）教学概念与教学本质</w:t>
            </w:r>
          </w:p>
          <w:p w14:paraId="4E5B928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（2）当代主要教学理论</w:t>
            </w:r>
          </w:p>
          <w:p w14:paraId="16FE4AC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（3）现代教学及其特征、原则</w:t>
            </w:r>
          </w:p>
        </w:tc>
        <w:tc>
          <w:tcPr>
            <w:tcW w:w="1134" w:type="dxa"/>
            <w:vAlign w:val="center"/>
          </w:tcPr>
          <w:p w14:paraId="52D9FC4E">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课程目标1、2、4</w:t>
            </w:r>
          </w:p>
        </w:tc>
        <w:tc>
          <w:tcPr>
            <w:tcW w:w="3260" w:type="dxa"/>
            <w:vAlign w:val="center"/>
          </w:tcPr>
          <w:p w14:paraId="43D3C74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（1）掌握教学、现代教学和优化教学等概念</w:t>
            </w:r>
          </w:p>
          <w:p w14:paraId="163AA77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（2）了解教学发展历程及现代教学的特征</w:t>
            </w:r>
          </w:p>
          <w:p w14:paraId="48FD9D0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（3）探讨教学的本质</w:t>
            </w:r>
          </w:p>
          <w:p w14:paraId="0D0AF8D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（4）掌握优化教学的策略</w:t>
            </w:r>
          </w:p>
        </w:tc>
        <w:tc>
          <w:tcPr>
            <w:tcW w:w="1560" w:type="dxa"/>
            <w:vAlign w:val="center"/>
          </w:tcPr>
          <w:p w14:paraId="27ACFAC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110120F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4D1BDF38">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3E1D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6ED623C">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59946D7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学习教学的基本理论、发展历程和教学的本质等内容，明确教学是学校的中心工作，是实现教育目的的基本途径，增进目标感与使命感，坚定培养全面发展的人的教育目标，坚持以教学为主，坚定职业理想，为培养全面发展的社会主义建设者和接班人投身教育事业。</w:t>
            </w:r>
          </w:p>
        </w:tc>
      </w:tr>
      <w:tr w14:paraId="04F0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6F8DA6">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（七）教学目标</w:t>
            </w:r>
          </w:p>
        </w:tc>
        <w:tc>
          <w:tcPr>
            <w:tcW w:w="1701" w:type="dxa"/>
            <w:vAlign w:val="center"/>
          </w:tcPr>
          <w:p w14:paraId="0728A4D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（1）教学目标概述</w:t>
            </w:r>
          </w:p>
          <w:p w14:paraId="2630D20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（2）教学目标分类</w:t>
            </w:r>
          </w:p>
          <w:p w14:paraId="61A7080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（3）教学目标设计</w:t>
            </w:r>
          </w:p>
        </w:tc>
        <w:tc>
          <w:tcPr>
            <w:tcW w:w="1134" w:type="dxa"/>
            <w:vAlign w:val="center"/>
          </w:tcPr>
          <w:p w14:paraId="1BF71A56">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课程目标1、2、4</w:t>
            </w:r>
          </w:p>
        </w:tc>
        <w:tc>
          <w:tcPr>
            <w:tcW w:w="3260" w:type="dxa"/>
            <w:vAlign w:val="center"/>
          </w:tcPr>
          <w:p w14:paraId="353CD3C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（1）了解教学目标的概念及其功能</w:t>
            </w:r>
          </w:p>
          <w:p w14:paraId="7BE665E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（2）掌握教学目标的分类、教学目标设计的基本原则、教学目标的设计的步骤与方法。</w:t>
            </w:r>
          </w:p>
          <w:p w14:paraId="214BED8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（3）学会设计小学课程的教学目标</w:t>
            </w:r>
          </w:p>
        </w:tc>
        <w:tc>
          <w:tcPr>
            <w:tcW w:w="1560" w:type="dxa"/>
            <w:vAlign w:val="center"/>
          </w:tcPr>
          <w:p w14:paraId="2163441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7267C8A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424DF38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71EE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19FB54E">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55651E14">
            <w:pPr>
              <w:spacing w:line="269"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学习，坚持正确的政治方向，能够由小到大、由局部到整体，形成强烈的目标感、使命感，明确自身的社会职责与国家使命，为国育人、为党育人。深刻理解习近平关于教育的论述：教育要“培养什么人、怎样培养人、为谁培养人”的问题。</w:t>
            </w:r>
          </w:p>
        </w:tc>
      </w:tr>
    </w:tbl>
    <w:tbl>
      <w:tblPr>
        <w:tblStyle w:val="2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8FC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1878F8">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（八）教学模式与方法</w:t>
            </w:r>
          </w:p>
        </w:tc>
        <w:tc>
          <w:tcPr>
            <w:tcW w:w="1701" w:type="dxa"/>
            <w:vAlign w:val="center"/>
          </w:tcPr>
          <w:p w14:paraId="3D3EEDE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（1）教学模式概述与类型</w:t>
            </w:r>
          </w:p>
          <w:p w14:paraId="3D66C66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（2）教学方法的概念及其分类</w:t>
            </w:r>
          </w:p>
          <w:p w14:paraId="08ABF15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（3）小学常用教学法及其选择与运用</w:t>
            </w:r>
          </w:p>
        </w:tc>
        <w:tc>
          <w:tcPr>
            <w:tcW w:w="1134" w:type="dxa"/>
            <w:vAlign w:val="center"/>
          </w:tcPr>
          <w:p w14:paraId="7F4467A4">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7E1A64C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（1）认识教学模式和教学方法的概念</w:t>
            </w:r>
          </w:p>
          <w:p w14:paraId="296F8CE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（2）了解教学模式发展的历史、现状和趋势，国内外教学方法改革的现状及发展趋势</w:t>
            </w:r>
          </w:p>
          <w:p w14:paraId="35B18D8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（3）掌握当前几种比较重要的教学模式和小学常用的教学方法</w:t>
            </w:r>
          </w:p>
        </w:tc>
        <w:tc>
          <w:tcPr>
            <w:tcW w:w="1560" w:type="dxa"/>
            <w:vAlign w:val="center"/>
          </w:tcPr>
          <w:p w14:paraId="34C27D0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3C2A564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456113A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443F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CC48B6">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08E316D0">
            <w:pPr>
              <w:spacing w:line="269" w:lineRule="auto"/>
              <w:jc w:val="left"/>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课程思政目标：</w:t>
            </w:r>
          </w:p>
          <w:p w14:paraId="19AF6F7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通过教学模式和教学方法的学习，明确在未来的教学中必须遵循马克思主义的立场、观点和方法，能够传承、灵活创新、大胆尝试新的教学方法。通过国内外主要教学的模式和方法的学习，拓展国际视野，树立民族自信心和自豪感。能够贴近实际、贴近生活、贴近学生，春风化雨。</w:t>
            </w:r>
          </w:p>
        </w:tc>
      </w:tr>
    </w:tbl>
    <w:tbl>
      <w:tblPr>
        <w:tblStyle w:val="2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D3A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BCE06B">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（九）教学手段</w:t>
            </w:r>
          </w:p>
        </w:tc>
        <w:tc>
          <w:tcPr>
            <w:tcW w:w="1701" w:type="dxa"/>
            <w:vAlign w:val="center"/>
          </w:tcPr>
          <w:p w14:paraId="162E05A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（1）教学手段概述</w:t>
            </w:r>
          </w:p>
          <w:p w14:paraId="61657D3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（2）教学手段分类</w:t>
            </w:r>
          </w:p>
          <w:p w14:paraId="2DD35D0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（3）教学手段的选择与应用</w:t>
            </w:r>
          </w:p>
          <w:p w14:paraId="1ACC640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（4）教学手段现代化对教学的影响</w:t>
            </w:r>
          </w:p>
        </w:tc>
        <w:tc>
          <w:tcPr>
            <w:tcW w:w="1134" w:type="dxa"/>
            <w:vAlign w:val="center"/>
          </w:tcPr>
          <w:p w14:paraId="007665FD">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课程目标1、3、4</w:t>
            </w:r>
          </w:p>
        </w:tc>
        <w:tc>
          <w:tcPr>
            <w:tcW w:w="3260" w:type="dxa"/>
            <w:vAlign w:val="center"/>
          </w:tcPr>
          <w:p w14:paraId="220F0FF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（1）理解教学手段的概念，明了教学手段的不同分类</w:t>
            </w:r>
          </w:p>
          <w:p w14:paraId="16576F1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（2）了解各种教学手段的特点及功能</w:t>
            </w:r>
          </w:p>
          <w:p w14:paraId="4D0170C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（3）掌握选用教学手段的基本原则</w:t>
            </w:r>
          </w:p>
          <w:p w14:paraId="3986ABC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（4）理解教学手段现代化的内涵及其意义</w:t>
            </w:r>
          </w:p>
        </w:tc>
        <w:tc>
          <w:tcPr>
            <w:tcW w:w="1560" w:type="dxa"/>
            <w:vAlign w:val="center"/>
          </w:tcPr>
          <w:p w14:paraId="117631D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0FE1968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61BD7CE7">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p>
        </w:tc>
      </w:tr>
      <w:tr w14:paraId="5C86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EC121A2">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1614712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通过教学手段现代化的学习，了解信息化、数字化时代背景下教师所应具备的数字素养、数字化教学手段，</w:t>
            </w:r>
            <w:bookmarkStart w:id="731" w:name="_Hlk182298844"/>
            <w:r>
              <w:rPr>
                <w:rFonts w:hint="eastAsia" w:ascii="宋体" w:hAnsi="宋体" w:eastAsia="宋体" w:cs="Times New Roman"/>
                <w:color w:val="000000"/>
                <w:kern w:val="0"/>
                <w:sz w:val="20"/>
                <w:szCs w:val="21"/>
              </w:rPr>
              <w:t>了解基本的教具，</w:t>
            </w:r>
            <w:bookmarkEnd w:id="731"/>
            <w:r>
              <w:rPr>
                <w:rFonts w:hint="eastAsia" w:ascii="宋体" w:hAnsi="宋体" w:eastAsia="宋体" w:cs="Times New Roman"/>
                <w:color w:val="000000"/>
                <w:kern w:val="0"/>
                <w:sz w:val="20"/>
                <w:szCs w:val="21"/>
              </w:rPr>
              <w:t>灵活运用现代化教学手段，提高教学技能，树立科学精神。</w:t>
            </w:r>
          </w:p>
        </w:tc>
      </w:tr>
    </w:tbl>
    <w:tbl>
      <w:tblPr>
        <w:tblStyle w:val="2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DC9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6823F1D">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（十）教学组织形式</w:t>
            </w:r>
          </w:p>
        </w:tc>
        <w:tc>
          <w:tcPr>
            <w:tcW w:w="1701" w:type="dxa"/>
            <w:vAlign w:val="center"/>
          </w:tcPr>
          <w:p w14:paraId="6213CB4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（1）教学组织形式概述</w:t>
            </w:r>
          </w:p>
          <w:p w14:paraId="0BD5611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（2）常见的教学组织形式</w:t>
            </w:r>
          </w:p>
          <w:p w14:paraId="01F4246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（3）教学组织形式的制约因素</w:t>
            </w:r>
          </w:p>
          <w:p w14:paraId="3EB8C83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（4）教学工作的基本环节</w:t>
            </w:r>
          </w:p>
        </w:tc>
        <w:tc>
          <w:tcPr>
            <w:tcW w:w="1134" w:type="dxa"/>
            <w:vAlign w:val="center"/>
          </w:tcPr>
          <w:p w14:paraId="7836DA6B">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课程目标1、3、4</w:t>
            </w:r>
          </w:p>
        </w:tc>
        <w:tc>
          <w:tcPr>
            <w:tcW w:w="3260" w:type="dxa"/>
            <w:vAlign w:val="center"/>
          </w:tcPr>
          <w:p w14:paraId="41433BC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（1）明确教学组织形式的内涵、意义和历史演变</w:t>
            </w:r>
          </w:p>
          <w:p w14:paraId="120FAD0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（2）熟悉常见的教学组织形式</w:t>
            </w:r>
          </w:p>
          <w:p w14:paraId="495FC99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（3）全面认识班级授课制</w:t>
            </w:r>
          </w:p>
          <w:p w14:paraId="59050EB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（4）掌握教学工作的基本程序</w:t>
            </w:r>
          </w:p>
        </w:tc>
        <w:tc>
          <w:tcPr>
            <w:tcW w:w="1560" w:type="dxa"/>
            <w:vAlign w:val="center"/>
          </w:tcPr>
          <w:p w14:paraId="5D6CAE3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24F1A3D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02439C5B">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w:t>
            </w:r>
          </w:p>
        </w:tc>
      </w:tr>
      <w:tr w14:paraId="21C1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6BA692">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1E2638B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明确中小学教育改革发展的以学生发展为本的理念，以立德树人为己任，贯彻党的教育方针、自觉践行社会主义核心价值观。把握教育的本质在于培养人，深刻理解习近平曾多次论述的教育要“培养什么人、怎样培养人、为谁培养人”的问题。</w:t>
            </w:r>
          </w:p>
        </w:tc>
      </w:tr>
    </w:tbl>
    <w:tbl>
      <w:tblPr>
        <w:tblStyle w:val="2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041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1C1AA05">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（十一）教学评价</w:t>
            </w:r>
          </w:p>
        </w:tc>
        <w:tc>
          <w:tcPr>
            <w:tcW w:w="1701" w:type="dxa"/>
            <w:vAlign w:val="center"/>
          </w:tcPr>
          <w:p w14:paraId="25C26C6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（1）教学评价概述</w:t>
            </w:r>
          </w:p>
          <w:p w14:paraId="0A71A42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（2）教师课堂教学效果评价</w:t>
            </w:r>
          </w:p>
          <w:p w14:paraId="4E004D0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（3）学生课堂学习效果评价</w:t>
            </w:r>
          </w:p>
          <w:p w14:paraId="7A4FA12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（4）当代教学评价的新特点</w:t>
            </w:r>
          </w:p>
        </w:tc>
        <w:tc>
          <w:tcPr>
            <w:tcW w:w="1134" w:type="dxa"/>
            <w:vAlign w:val="center"/>
          </w:tcPr>
          <w:p w14:paraId="3721636A">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481122F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（1）了解教学评价的内容</w:t>
            </w:r>
          </w:p>
          <w:p w14:paraId="5D5B0C4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（2）掌握有关教学评价的策略与方法</w:t>
            </w:r>
          </w:p>
          <w:p w14:paraId="2B4834F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（3）反思我国教学评价存在的问题</w:t>
            </w:r>
          </w:p>
        </w:tc>
        <w:tc>
          <w:tcPr>
            <w:tcW w:w="1560" w:type="dxa"/>
            <w:vAlign w:val="center"/>
          </w:tcPr>
          <w:p w14:paraId="5CA3469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7D40EE5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39977129">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p>
        </w:tc>
      </w:tr>
      <w:tr w14:paraId="3295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4C266FF">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66E14F4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通过教学评价的学习，懂得必须尊重每一个学生个性发展的完整性、独立性、具体性和特殊性，树立正确的儿童观，把关爱自然、追求人与自然的可持续发展作为价值追求。</w:t>
            </w:r>
          </w:p>
        </w:tc>
      </w:tr>
    </w:tbl>
    <w:tbl>
      <w:tblPr>
        <w:tblStyle w:val="27"/>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243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1063BD">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（十二）教学设计与教学实践</w:t>
            </w:r>
          </w:p>
        </w:tc>
        <w:tc>
          <w:tcPr>
            <w:tcW w:w="1701" w:type="dxa"/>
            <w:vAlign w:val="center"/>
          </w:tcPr>
          <w:p w14:paraId="0E216D6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（1）教学设计概述</w:t>
            </w:r>
          </w:p>
          <w:p w14:paraId="47FBC2D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（2）教学设计的模式</w:t>
            </w:r>
          </w:p>
          <w:p w14:paraId="068C7D4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（3）教学设计的基本内容和方法</w:t>
            </w:r>
          </w:p>
        </w:tc>
        <w:tc>
          <w:tcPr>
            <w:tcW w:w="1134" w:type="dxa"/>
            <w:vAlign w:val="center"/>
          </w:tcPr>
          <w:p w14:paraId="07E09886">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课程目标1、3、4</w:t>
            </w:r>
          </w:p>
        </w:tc>
        <w:tc>
          <w:tcPr>
            <w:tcW w:w="3260" w:type="dxa"/>
            <w:vAlign w:val="center"/>
          </w:tcPr>
          <w:p w14:paraId="216C1DE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（1）明确教学设计的内涵、特征及依据</w:t>
            </w:r>
          </w:p>
          <w:p w14:paraId="0CA2D89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（2）熟悉教学设计的程序和模式</w:t>
            </w:r>
          </w:p>
          <w:p w14:paraId="6D119A0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（3）掌握教学设计的基本内容和方法</w:t>
            </w:r>
          </w:p>
        </w:tc>
        <w:tc>
          <w:tcPr>
            <w:tcW w:w="1560" w:type="dxa"/>
            <w:vAlign w:val="center"/>
          </w:tcPr>
          <w:p w14:paraId="5FDC2A0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1.多媒体教学2.课堂讨论</w:t>
            </w:r>
          </w:p>
          <w:p w14:paraId="15BFEF5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3.课堂测验</w:t>
            </w:r>
          </w:p>
        </w:tc>
        <w:tc>
          <w:tcPr>
            <w:tcW w:w="438" w:type="dxa"/>
            <w:vAlign w:val="center"/>
          </w:tcPr>
          <w:p w14:paraId="39EF7E0D">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p>
        </w:tc>
      </w:tr>
      <w:tr w14:paraId="10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C22583">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1E41921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通过教学设计的学习，掌握知识和提高思想觉悟相统一、掌握知识和提高能力相统一的规律，能够坚持市场需求导向，紧扣新版课程标准，提高思想政治觉悟，进而提高课堂教学质量和“育人”效果。</w:t>
            </w:r>
          </w:p>
        </w:tc>
      </w:tr>
    </w:tbl>
    <w:p w14:paraId="78EF0589">
      <w:pPr>
        <w:spacing w:line="360" w:lineRule="auto"/>
        <w:ind w:firstLine="482" w:firstLineChars="200"/>
        <w:rPr>
          <w:rFonts w:ascii="Times New Roman" w:hAnsi="Times New Roman" w:eastAsia="宋体" w:cs="Times New Roman"/>
          <w:b/>
          <w:bCs/>
          <w:sz w:val="24"/>
          <w:szCs w:val="24"/>
        </w:rPr>
      </w:pPr>
    </w:p>
    <w:p w14:paraId="283C5388">
      <w:pPr>
        <w:spacing w:line="360" w:lineRule="auto"/>
        <w:jc w:val="left"/>
        <w:rPr>
          <w:rFonts w:ascii="Times New Roman" w:hAnsi="Times New Roman" w:eastAsia="宋体" w:cs="Times New Roman"/>
          <w:sz w:val="24"/>
          <w:szCs w:val="24"/>
        </w:rPr>
      </w:pPr>
      <w:r>
        <w:rPr>
          <w:rFonts w:hint="eastAsia" w:ascii="宋体" w:hAnsi="宋体" w:eastAsia="宋体" w:cs="Times New Roman"/>
          <w:b/>
          <w:sz w:val="24"/>
          <w:szCs w:val="24"/>
        </w:rPr>
        <w:t>四、目标评价与成绩评定</w:t>
      </w:r>
    </w:p>
    <w:p w14:paraId="06CFA94E">
      <w:pPr>
        <w:spacing w:line="360" w:lineRule="auto"/>
        <w:jc w:val="left"/>
        <w:rPr>
          <w:rFonts w:hint="eastAsia" w:ascii="等线" w:hAnsi="等线" w:eastAsia="等线" w:cs="Times New Roman"/>
          <w:b/>
          <w:szCs w:val="21"/>
        </w:rPr>
      </w:pPr>
      <w:r>
        <w:rPr>
          <w:rFonts w:hint="eastAsia" w:ascii="等线" w:hAnsi="等线" w:eastAsia="等线" w:cs="Times New Roman"/>
          <w:b/>
          <w:szCs w:val="21"/>
        </w:rPr>
        <w:t>（一）课程目标评价方式</w:t>
      </w:r>
    </w:p>
    <w:p w14:paraId="4CF9C2F1">
      <w:pPr>
        <w:spacing w:line="360" w:lineRule="auto"/>
        <w:ind w:firstLine="420" w:firstLineChars="200"/>
        <w:jc w:val="left"/>
        <w:rPr>
          <w:rFonts w:hint="eastAsia" w:ascii="等线" w:hAnsi="等线" w:eastAsia="等线" w:cs="Times New Roman"/>
          <w:szCs w:val="21"/>
        </w:rPr>
      </w:pPr>
      <w:r>
        <w:rPr>
          <w:rFonts w:hint="eastAsia" w:ascii="等线" w:hAnsi="等线" w:eastAsia="等线" w:cs="Times New Roman"/>
          <w:szCs w:val="21"/>
        </w:rPr>
        <w:t>根据总体设计，用于评价各课程目标的评价方式如表3</w:t>
      </w:r>
      <w:r>
        <w:rPr>
          <w:rFonts w:ascii="等线" w:hAnsi="等线" w:eastAsia="等线" w:cs="Times New Roman"/>
          <w:szCs w:val="21"/>
        </w:rPr>
        <w:t>所示。</w:t>
      </w:r>
    </w:p>
    <w:p w14:paraId="7799355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418"/>
        <w:gridCol w:w="1417"/>
        <w:gridCol w:w="1417"/>
        <w:gridCol w:w="1419"/>
        <w:gridCol w:w="1275"/>
      </w:tblGrid>
      <w:tr w14:paraId="06B5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408E05A2">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c>
          <w:tcPr>
            <w:tcW w:w="1417" w:type="dxa"/>
          </w:tcPr>
          <w:p w14:paraId="65649F8F">
            <w:pPr>
              <w:spacing w:line="360" w:lineRule="auto"/>
              <w:jc w:val="center"/>
              <w:rPr>
                <w:rFonts w:hint="eastAsia" w:ascii="宋体" w:hAnsi="宋体" w:eastAsia="宋体" w:cs="Times New Roman"/>
                <w:b/>
                <w:bCs/>
                <w:szCs w:val="21"/>
              </w:rPr>
            </w:pPr>
          </w:p>
        </w:tc>
        <w:tc>
          <w:tcPr>
            <w:tcW w:w="4253" w:type="dxa"/>
            <w:gridSpan w:val="3"/>
            <w:vAlign w:val="center"/>
          </w:tcPr>
          <w:p w14:paraId="6BBC0DA8">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评价与成绩评定方法</w:t>
            </w:r>
          </w:p>
        </w:tc>
        <w:tc>
          <w:tcPr>
            <w:tcW w:w="1275" w:type="dxa"/>
            <w:vMerge w:val="restart"/>
            <w:vAlign w:val="center"/>
          </w:tcPr>
          <w:p w14:paraId="15030890">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分值</w:t>
            </w:r>
          </w:p>
        </w:tc>
      </w:tr>
      <w:tr w14:paraId="1BB7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14:paraId="56F735C0">
            <w:pPr>
              <w:spacing w:line="360" w:lineRule="auto"/>
              <w:jc w:val="center"/>
              <w:rPr>
                <w:rFonts w:hint="eastAsia" w:ascii="宋体" w:hAnsi="宋体" w:eastAsia="宋体" w:cs="Times New Roman"/>
                <w:szCs w:val="21"/>
              </w:rPr>
            </w:pPr>
          </w:p>
        </w:tc>
        <w:tc>
          <w:tcPr>
            <w:tcW w:w="1418" w:type="dxa"/>
            <w:vAlign w:val="center"/>
          </w:tcPr>
          <w:p w14:paraId="05C66A58">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417" w:type="dxa"/>
          </w:tcPr>
          <w:p w14:paraId="21DFF436">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417" w:type="dxa"/>
            <w:vAlign w:val="center"/>
          </w:tcPr>
          <w:p w14:paraId="71DA535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课程实践</w:t>
            </w:r>
          </w:p>
        </w:tc>
        <w:tc>
          <w:tcPr>
            <w:tcW w:w="1418" w:type="dxa"/>
            <w:vAlign w:val="center"/>
          </w:tcPr>
          <w:p w14:paraId="3090E4A7">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275" w:type="dxa"/>
            <w:vMerge w:val="continue"/>
            <w:vAlign w:val="center"/>
          </w:tcPr>
          <w:p w14:paraId="4B4E869E">
            <w:pPr>
              <w:spacing w:line="360" w:lineRule="auto"/>
              <w:jc w:val="center"/>
              <w:rPr>
                <w:rFonts w:hint="eastAsia" w:ascii="宋体" w:hAnsi="宋体" w:eastAsia="宋体" w:cs="Times New Roman"/>
                <w:szCs w:val="21"/>
              </w:rPr>
            </w:pPr>
          </w:p>
        </w:tc>
      </w:tr>
      <w:tr w14:paraId="7AC6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A98C9F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18" w:type="dxa"/>
            <w:vAlign w:val="center"/>
          </w:tcPr>
          <w:p w14:paraId="4988C63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tcPr>
          <w:p w14:paraId="403F118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vAlign w:val="center"/>
          </w:tcPr>
          <w:p w14:paraId="1C874697">
            <w:pPr>
              <w:spacing w:line="360" w:lineRule="auto"/>
              <w:jc w:val="center"/>
              <w:rPr>
                <w:rFonts w:hint="eastAsia" w:ascii="宋体" w:hAnsi="宋体" w:eastAsia="宋体" w:cs="Times New Roman"/>
                <w:szCs w:val="21"/>
              </w:rPr>
            </w:pPr>
          </w:p>
        </w:tc>
        <w:tc>
          <w:tcPr>
            <w:tcW w:w="1418" w:type="dxa"/>
            <w:vAlign w:val="center"/>
          </w:tcPr>
          <w:p w14:paraId="7BCE0E7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75" w:type="dxa"/>
            <w:vAlign w:val="center"/>
          </w:tcPr>
          <w:p w14:paraId="1FE20F9D">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A48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4EDDBBA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18" w:type="dxa"/>
            <w:vAlign w:val="center"/>
          </w:tcPr>
          <w:p w14:paraId="197BF9B7">
            <w:pPr>
              <w:spacing w:line="360" w:lineRule="auto"/>
              <w:jc w:val="center"/>
              <w:rPr>
                <w:rFonts w:hint="eastAsia" w:ascii="宋体" w:hAnsi="宋体" w:eastAsia="宋体" w:cs="Times New Roman"/>
                <w:szCs w:val="21"/>
              </w:rPr>
            </w:pPr>
          </w:p>
        </w:tc>
        <w:tc>
          <w:tcPr>
            <w:tcW w:w="1417" w:type="dxa"/>
          </w:tcPr>
          <w:p w14:paraId="771615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vAlign w:val="center"/>
          </w:tcPr>
          <w:p w14:paraId="4B635CF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8" w:type="dxa"/>
            <w:vAlign w:val="center"/>
          </w:tcPr>
          <w:p w14:paraId="73EDE9E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75" w:type="dxa"/>
            <w:vAlign w:val="center"/>
          </w:tcPr>
          <w:p w14:paraId="263C177B">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7EF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DEF8D3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18" w:type="dxa"/>
            <w:vAlign w:val="center"/>
          </w:tcPr>
          <w:p w14:paraId="560C4817">
            <w:pPr>
              <w:spacing w:line="360" w:lineRule="auto"/>
              <w:jc w:val="center"/>
              <w:rPr>
                <w:rFonts w:hint="eastAsia" w:ascii="宋体" w:hAnsi="宋体" w:eastAsia="宋体" w:cs="Times New Roman"/>
                <w:szCs w:val="21"/>
              </w:rPr>
            </w:pPr>
          </w:p>
        </w:tc>
        <w:tc>
          <w:tcPr>
            <w:tcW w:w="1417" w:type="dxa"/>
          </w:tcPr>
          <w:p w14:paraId="524818A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vAlign w:val="center"/>
          </w:tcPr>
          <w:p w14:paraId="71486C3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8" w:type="dxa"/>
            <w:vAlign w:val="center"/>
          </w:tcPr>
          <w:p w14:paraId="4438605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75" w:type="dxa"/>
            <w:vAlign w:val="center"/>
          </w:tcPr>
          <w:p w14:paraId="65D434E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1C5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432B06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418" w:type="dxa"/>
            <w:vAlign w:val="center"/>
          </w:tcPr>
          <w:p w14:paraId="4A1FC7B9">
            <w:pPr>
              <w:spacing w:line="360" w:lineRule="auto"/>
              <w:jc w:val="center"/>
              <w:rPr>
                <w:rFonts w:hint="eastAsia" w:ascii="宋体" w:hAnsi="宋体" w:eastAsia="宋体" w:cs="Times New Roman"/>
                <w:szCs w:val="21"/>
              </w:rPr>
            </w:pPr>
          </w:p>
        </w:tc>
        <w:tc>
          <w:tcPr>
            <w:tcW w:w="1417" w:type="dxa"/>
          </w:tcPr>
          <w:p w14:paraId="520D86B7">
            <w:pPr>
              <w:spacing w:line="360" w:lineRule="auto"/>
              <w:jc w:val="center"/>
              <w:rPr>
                <w:rFonts w:hint="eastAsia" w:ascii="宋体" w:hAnsi="宋体" w:eastAsia="宋体" w:cs="Times New Roman"/>
                <w:szCs w:val="21"/>
              </w:rPr>
            </w:pPr>
          </w:p>
        </w:tc>
        <w:tc>
          <w:tcPr>
            <w:tcW w:w="1417" w:type="dxa"/>
            <w:vAlign w:val="center"/>
          </w:tcPr>
          <w:p w14:paraId="0B12F7B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8" w:type="dxa"/>
            <w:vAlign w:val="center"/>
          </w:tcPr>
          <w:p w14:paraId="54967A43">
            <w:pPr>
              <w:spacing w:line="360" w:lineRule="auto"/>
              <w:jc w:val="center"/>
              <w:rPr>
                <w:rFonts w:hint="eastAsia" w:ascii="宋体" w:hAnsi="宋体" w:eastAsia="宋体" w:cs="Times New Roman"/>
                <w:szCs w:val="21"/>
              </w:rPr>
            </w:pPr>
          </w:p>
        </w:tc>
        <w:tc>
          <w:tcPr>
            <w:tcW w:w="1275" w:type="dxa"/>
            <w:vAlign w:val="center"/>
          </w:tcPr>
          <w:p w14:paraId="1C2D4AFE">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r>
      <w:tr w14:paraId="2880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351BE2C3">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18" w:type="dxa"/>
            <w:vAlign w:val="center"/>
          </w:tcPr>
          <w:p w14:paraId="6CF75978">
            <w:pPr>
              <w:spacing w:line="360" w:lineRule="auto"/>
              <w:jc w:val="center"/>
              <w:rPr>
                <w:rFonts w:hint="eastAsia" w:ascii="宋体" w:hAnsi="宋体" w:eastAsia="宋体" w:cs="Times New Roman"/>
                <w:szCs w:val="21"/>
              </w:rPr>
            </w:pPr>
          </w:p>
        </w:tc>
        <w:tc>
          <w:tcPr>
            <w:tcW w:w="1417" w:type="dxa"/>
          </w:tcPr>
          <w:p w14:paraId="4631D5BA">
            <w:pPr>
              <w:spacing w:line="360" w:lineRule="auto"/>
              <w:jc w:val="center"/>
              <w:rPr>
                <w:rFonts w:hint="eastAsia" w:ascii="宋体" w:hAnsi="宋体" w:eastAsia="宋体" w:cs="Times New Roman"/>
                <w:szCs w:val="21"/>
              </w:rPr>
            </w:pPr>
          </w:p>
        </w:tc>
        <w:tc>
          <w:tcPr>
            <w:tcW w:w="1417" w:type="dxa"/>
            <w:vAlign w:val="center"/>
          </w:tcPr>
          <w:p w14:paraId="0A6C825B">
            <w:pPr>
              <w:spacing w:line="360" w:lineRule="auto"/>
              <w:jc w:val="center"/>
              <w:rPr>
                <w:rFonts w:hint="eastAsia" w:ascii="宋体" w:hAnsi="宋体" w:eastAsia="宋体" w:cs="Times New Roman"/>
                <w:szCs w:val="21"/>
              </w:rPr>
            </w:pPr>
          </w:p>
        </w:tc>
        <w:tc>
          <w:tcPr>
            <w:tcW w:w="1418" w:type="dxa"/>
            <w:vAlign w:val="center"/>
          </w:tcPr>
          <w:p w14:paraId="4FEC26F5">
            <w:pPr>
              <w:spacing w:line="360" w:lineRule="auto"/>
              <w:jc w:val="center"/>
              <w:rPr>
                <w:rFonts w:hint="eastAsia" w:ascii="宋体" w:hAnsi="宋体" w:eastAsia="宋体" w:cs="Times New Roman"/>
                <w:szCs w:val="21"/>
              </w:rPr>
            </w:pPr>
          </w:p>
        </w:tc>
        <w:tc>
          <w:tcPr>
            <w:tcW w:w="1275" w:type="dxa"/>
            <w:vAlign w:val="center"/>
          </w:tcPr>
          <w:p w14:paraId="30467109">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C15BE89">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1F1856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D5459F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评价方式和成绩评定细则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4D5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2D3C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0B5550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25EBFB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312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0E92B8">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39C33B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有两种形式可供选择，一种是专业图书推介，要求列举出课程与教学论相关书籍的基本信息，数量不少于15本。另一种是分享专业知识点。基于书本，鼓励有所拓展延伸或细化深化。为日后考证考编考研等做好储备。</w:t>
            </w:r>
          </w:p>
        </w:tc>
        <w:tc>
          <w:tcPr>
            <w:tcW w:w="0" w:type="auto"/>
            <w:vAlign w:val="center"/>
          </w:tcPr>
          <w:p w14:paraId="55CEE86A">
            <w:pPr>
              <w:jc w:val="center"/>
              <w:rPr>
                <w:rFonts w:ascii="Times New Roman" w:hAnsi="Times New Roman" w:eastAsia="宋体" w:cs="Times New Roman"/>
                <w:szCs w:val="21"/>
              </w:rPr>
            </w:pPr>
            <w:r>
              <w:rPr>
                <w:rFonts w:hint="eastAsia" w:ascii="Times New Roman" w:hAnsi="Times New Roman" w:eastAsia="宋体" w:cs="Times New Roman"/>
                <w:szCs w:val="21"/>
              </w:rPr>
              <w:t>16%</w:t>
            </w:r>
          </w:p>
        </w:tc>
      </w:tr>
      <w:tr w14:paraId="3E05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46FD63">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11D8070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包括两部分：一是考勤。事假、病假每次扣除本项总分的十分之一的分数。旷课累计达3次以上（不含3次）取消课程成绩。</w:t>
            </w:r>
          </w:p>
          <w:p w14:paraId="3D621E6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二是课堂参与。主要指课上教师随机提问、组织课堂讨论等，观察学生参与程度，表现良好，按照对应的课程目标及权重给予评定。</w:t>
            </w:r>
          </w:p>
        </w:tc>
        <w:tc>
          <w:tcPr>
            <w:tcW w:w="0" w:type="auto"/>
            <w:vAlign w:val="center"/>
          </w:tcPr>
          <w:p w14:paraId="507A7C59">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762F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CEB50B2">
            <w:pPr>
              <w:rPr>
                <w:rFonts w:ascii="Times New Roman" w:hAnsi="Times New Roman" w:eastAsia="宋体" w:cs="Times New Roman"/>
                <w:szCs w:val="21"/>
              </w:rPr>
            </w:pPr>
            <w:r>
              <w:rPr>
                <w:rFonts w:hint="eastAsia" w:ascii="Times New Roman" w:hAnsi="Times New Roman" w:eastAsia="宋体" w:cs="Times New Roman"/>
                <w:szCs w:val="21"/>
              </w:rPr>
              <w:t>课程实践</w:t>
            </w:r>
          </w:p>
        </w:tc>
        <w:tc>
          <w:tcPr>
            <w:tcW w:w="7141" w:type="dxa"/>
            <w:vAlign w:val="center"/>
          </w:tcPr>
          <w:p w14:paraId="62AE639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课程实践是围绕学习主题所作的实践练习， 一是根据所提供的材料来评析学段/学科的教学目标；二是根据提供的课例材料来评析某教师所使用的教学方法。</w:t>
            </w:r>
          </w:p>
        </w:tc>
        <w:tc>
          <w:tcPr>
            <w:tcW w:w="0" w:type="auto"/>
            <w:vAlign w:val="center"/>
          </w:tcPr>
          <w:p w14:paraId="242A28A3">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62CF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F7B323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794E3DA">
            <w:pPr>
              <w:spacing w:line="264" w:lineRule="auto"/>
              <w:jc w:val="left"/>
              <w:rPr>
                <w:rFonts w:ascii="Times New Roman" w:hAnsi="Times New Roman" w:eastAsia="宋体" w:cs="Times New Roman"/>
                <w:szCs w:val="21"/>
              </w:rPr>
            </w:pPr>
            <w:r>
              <w:rPr>
                <w:rFonts w:hint="eastAsia" w:ascii="宋体" w:hAnsi="宋体" w:eastAsia="宋体" w:cs="Times New Roman"/>
                <w:szCs w:val="24"/>
              </w:rPr>
              <w:t>考试采用开卷形式，试卷题型参考教师资格证考试的常见题型，并以主观题为主，侧重训练学生理论结合实际、分析问题解决问题的能力。</w:t>
            </w:r>
          </w:p>
        </w:tc>
        <w:tc>
          <w:tcPr>
            <w:tcW w:w="0" w:type="auto"/>
            <w:vAlign w:val="center"/>
          </w:tcPr>
          <w:p w14:paraId="1AD52878">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4D87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449C3A">
            <w:pP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7141" w:type="dxa"/>
            <w:vAlign w:val="center"/>
          </w:tcPr>
          <w:p w14:paraId="1BB3BECA">
            <w:pPr>
              <w:spacing w:line="264" w:lineRule="auto"/>
              <w:jc w:val="left"/>
              <w:rPr>
                <w:rFonts w:hint="eastAsia" w:ascii="宋体" w:hAnsi="宋体" w:eastAsia="宋体" w:cs="Times New Roman"/>
                <w:szCs w:val="24"/>
              </w:rPr>
            </w:pPr>
          </w:p>
        </w:tc>
        <w:tc>
          <w:tcPr>
            <w:tcW w:w="0" w:type="auto"/>
            <w:vAlign w:val="center"/>
          </w:tcPr>
          <w:p w14:paraId="7F8B4733">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6BDCD91">
      <w:pPr>
        <w:spacing w:line="360" w:lineRule="auto"/>
        <w:jc w:val="left"/>
        <w:rPr>
          <w:rFonts w:hint="eastAsia" w:ascii="宋体" w:hAnsi="宋体" w:eastAsia="宋体" w:cs="Times New Roman"/>
          <w:b/>
          <w:color w:val="000000"/>
          <w:szCs w:val="21"/>
        </w:rPr>
      </w:pPr>
      <w:r>
        <w:rPr>
          <w:rFonts w:hint="eastAsia" w:ascii="宋体" w:hAnsi="宋体" w:eastAsia="宋体" w:cs="Times New Roman"/>
          <w:b/>
          <w:szCs w:val="21"/>
        </w:rPr>
        <w:t>（三）课程目标达成度</w:t>
      </w:r>
      <w:r>
        <w:rPr>
          <w:rFonts w:hint="eastAsia" w:ascii="宋体" w:hAnsi="宋体" w:eastAsia="宋体" w:cs="Times New Roman"/>
          <w:b/>
          <w:color w:val="000000"/>
          <w:szCs w:val="21"/>
        </w:rPr>
        <w:t>计算方法</w:t>
      </w:r>
    </w:p>
    <w:p w14:paraId="7B2D00D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530BF09">
      <w:pPr>
        <w:spacing w:before="156" w:beforeLines="50" w:line="360" w:lineRule="auto"/>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44" o:spt="75" type="#_x0000_t75" style="height:25.05pt;width:404.65pt;" o:ole="t" filled="f" o:preferrelative="t" stroked="f" coordsize="21600,21600">
            <v:path/>
            <v:fill on="f" focussize="0,0"/>
            <v:stroke on="f" joinstyle="miter"/>
            <v:imagedata r:id="rId5" o:title=""/>
            <o:lock v:ext="edit" aspectratio="t"/>
            <w10:wrap type="none"/>
            <w10:anchorlock/>
          </v:shape>
          <o:OLEObject Type="Embed" ProgID="Equation.3" ShapeID="_x0000_i1044" DrawAspect="Content" ObjectID="_1468075744" r:id="rId27">
            <o:LockedField>false</o:LockedField>
          </o:OLEObject>
        </w:object>
      </w:r>
    </w:p>
    <w:p w14:paraId="57F52312">
      <w:pPr>
        <w:spacing w:before="156" w:beforeLines="50" w:line="360" w:lineRule="auto"/>
        <w:jc w:val="left"/>
        <w:rPr>
          <w:rFonts w:hint="eastAsia" w:ascii="宋体" w:hAnsi="宋体" w:eastAsia="宋体" w:cs="Times New Roman"/>
          <w:color w:val="000000"/>
          <w:szCs w:val="21"/>
        </w:rPr>
      </w:pPr>
    </w:p>
    <w:p w14:paraId="03A32B25">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76185FDB">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76120218">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7E24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208AE80">
            <w:pPr>
              <w:spacing w:line="240" w:lineRule="exact"/>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活动主题</w:t>
            </w:r>
          </w:p>
        </w:tc>
        <w:tc>
          <w:tcPr>
            <w:tcW w:w="3407" w:type="dxa"/>
            <w:vAlign w:val="center"/>
          </w:tcPr>
          <w:p w14:paraId="7014B09D">
            <w:pPr>
              <w:spacing w:line="240" w:lineRule="exact"/>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活动内容</w:t>
            </w:r>
          </w:p>
        </w:tc>
        <w:tc>
          <w:tcPr>
            <w:tcW w:w="740" w:type="dxa"/>
            <w:vAlign w:val="center"/>
          </w:tcPr>
          <w:p w14:paraId="0D9BEEA1">
            <w:pPr>
              <w:spacing w:line="240" w:lineRule="exact"/>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活动方式</w:t>
            </w:r>
          </w:p>
        </w:tc>
        <w:tc>
          <w:tcPr>
            <w:tcW w:w="3160" w:type="dxa"/>
            <w:vAlign w:val="center"/>
          </w:tcPr>
          <w:p w14:paraId="5C2D1DA6">
            <w:pPr>
              <w:spacing w:line="240" w:lineRule="exact"/>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思政目标</w:t>
            </w:r>
          </w:p>
        </w:tc>
      </w:tr>
      <w:tr w14:paraId="4BE4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3EA6F20">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教育家精神</w:t>
            </w:r>
          </w:p>
        </w:tc>
        <w:tc>
          <w:tcPr>
            <w:tcW w:w="3407" w:type="dxa"/>
            <w:vAlign w:val="center"/>
          </w:tcPr>
          <w:p w14:paraId="316E48DE">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通过阅读相关书籍或分享中国教育家的故事，进行课堂主题讨论，引导学生领会教育家精神</w:t>
            </w:r>
          </w:p>
        </w:tc>
        <w:tc>
          <w:tcPr>
            <w:tcW w:w="740" w:type="dxa"/>
            <w:vAlign w:val="center"/>
          </w:tcPr>
          <w:p w14:paraId="554C467F">
            <w:pPr>
              <w:spacing w:line="276" w:lineRule="auto"/>
              <w:jc w:val="center"/>
              <w:rPr>
                <w:rFonts w:hint="eastAsia" w:ascii="宋体" w:hAnsi="宋体" w:eastAsia="宋体" w:cs="宋体"/>
                <w:kern w:val="0"/>
                <w:sz w:val="20"/>
                <w:szCs w:val="21"/>
              </w:rPr>
            </w:pPr>
            <w:r>
              <w:rPr>
                <w:rFonts w:hint="eastAsia" w:ascii="宋体" w:hAnsi="宋体" w:eastAsia="宋体" w:cs="宋体"/>
                <w:kern w:val="0"/>
                <w:sz w:val="20"/>
                <w:szCs w:val="21"/>
              </w:rPr>
              <w:t>平时作业</w:t>
            </w:r>
          </w:p>
        </w:tc>
        <w:tc>
          <w:tcPr>
            <w:tcW w:w="3160" w:type="dxa"/>
            <w:vAlign w:val="center"/>
          </w:tcPr>
          <w:p w14:paraId="207DA41B">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通过对教育家精神的领会，使学立志成为有理想信念、有道德情操、有扎实学识、有仁爱之心的“四有”好老师。</w:t>
            </w:r>
          </w:p>
        </w:tc>
      </w:tr>
      <w:tr w14:paraId="0B23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CC03FD8">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观察身边榜样教师</w:t>
            </w:r>
          </w:p>
        </w:tc>
        <w:tc>
          <w:tcPr>
            <w:tcW w:w="3407" w:type="dxa"/>
            <w:vAlign w:val="center"/>
          </w:tcPr>
          <w:p w14:paraId="6F4D6B76">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提示学生留意记录并观察当地或本学科的优秀教师，利用实习见习机会或者节假日等近距离接触，听课，评课，学习榜样教师的典型教学方法，传承和弘扬精益求精的工匠精神。</w:t>
            </w:r>
          </w:p>
        </w:tc>
        <w:tc>
          <w:tcPr>
            <w:tcW w:w="740" w:type="dxa"/>
            <w:vAlign w:val="center"/>
          </w:tcPr>
          <w:p w14:paraId="3C4CAF9A">
            <w:pPr>
              <w:spacing w:line="276" w:lineRule="auto"/>
              <w:jc w:val="center"/>
              <w:rPr>
                <w:rFonts w:hint="eastAsia" w:ascii="宋体" w:hAnsi="宋体" w:eastAsia="宋体" w:cs="宋体"/>
                <w:kern w:val="0"/>
                <w:sz w:val="20"/>
                <w:szCs w:val="21"/>
              </w:rPr>
            </w:pPr>
            <w:r>
              <w:rPr>
                <w:rFonts w:hint="eastAsia" w:ascii="宋体" w:hAnsi="宋体" w:eastAsia="宋体" w:cs="宋体"/>
                <w:kern w:val="0"/>
                <w:sz w:val="20"/>
                <w:szCs w:val="21"/>
              </w:rPr>
              <w:t>课程实践作业</w:t>
            </w:r>
          </w:p>
        </w:tc>
        <w:tc>
          <w:tcPr>
            <w:tcW w:w="3160" w:type="dxa"/>
            <w:vAlign w:val="center"/>
          </w:tcPr>
          <w:p w14:paraId="139CCFEB">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提高对教师专业性的认识， 立志成长为高素质专业化教师队伍中的一员。</w:t>
            </w:r>
          </w:p>
        </w:tc>
      </w:tr>
      <w:tr w14:paraId="4AD6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B710498">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最美教师或师德模范进课堂</w:t>
            </w:r>
          </w:p>
        </w:tc>
        <w:tc>
          <w:tcPr>
            <w:tcW w:w="3407" w:type="dxa"/>
            <w:vAlign w:val="center"/>
          </w:tcPr>
          <w:p w14:paraId="172B6594">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邀请当地获得最美教师、师德模范等荣誉称号的教师做报告，提供给学生亲身经历、近距离接触一线优秀教师的学习机会。</w:t>
            </w:r>
          </w:p>
        </w:tc>
        <w:tc>
          <w:tcPr>
            <w:tcW w:w="740" w:type="dxa"/>
            <w:vAlign w:val="center"/>
          </w:tcPr>
          <w:p w14:paraId="123A8C4D">
            <w:pPr>
              <w:spacing w:line="276" w:lineRule="auto"/>
              <w:jc w:val="center"/>
              <w:rPr>
                <w:rFonts w:hint="eastAsia" w:ascii="宋体" w:hAnsi="宋体" w:eastAsia="宋体" w:cs="宋体"/>
                <w:kern w:val="0"/>
                <w:sz w:val="20"/>
                <w:szCs w:val="21"/>
              </w:rPr>
            </w:pPr>
            <w:r>
              <w:rPr>
                <w:rFonts w:hint="eastAsia" w:ascii="宋体" w:hAnsi="宋体" w:eastAsia="宋体" w:cs="宋体"/>
                <w:kern w:val="0"/>
                <w:sz w:val="20"/>
                <w:szCs w:val="21"/>
              </w:rPr>
              <w:t>专题报告</w:t>
            </w:r>
          </w:p>
        </w:tc>
        <w:tc>
          <w:tcPr>
            <w:tcW w:w="3160" w:type="dxa"/>
            <w:vAlign w:val="center"/>
          </w:tcPr>
          <w:p w14:paraId="2CAF59B0">
            <w:pPr>
              <w:spacing w:line="276" w:lineRule="auto"/>
              <w:jc w:val="left"/>
              <w:rPr>
                <w:rFonts w:hint="eastAsia" w:ascii="宋体" w:hAnsi="宋体" w:eastAsia="宋体" w:cs="宋体"/>
                <w:kern w:val="0"/>
                <w:sz w:val="20"/>
                <w:szCs w:val="21"/>
              </w:rPr>
            </w:pPr>
            <w:r>
              <w:rPr>
                <w:rFonts w:hint="eastAsia" w:ascii="宋体" w:hAnsi="宋体" w:eastAsia="宋体" w:cs="宋体"/>
                <w:kern w:val="0"/>
                <w:sz w:val="20"/>
                <w:szCs w:val="21"/>
              </w:rPr>
              <w:t>借助榜样的正能量来激发学生爱岗敬业、立志成为卓越教师的专业志向，增强教师的职业归属感与社会责任感。</w:t>
            </w:r>
          </w:p>
        </w:tc>
      </w:tr>
    </w:tbl>
    <w:p w14:paraId="2AB8434B">
      <w:pPr>
        <w:spacing w:line="360" w:lineRule="auto"/>
        <w:ind w:firstLine="420" w:firstLineChars="200"/>
        <w:rPr>
          <w:rFonts w:hint="eastAsia" w:ascii="等线" w:hAnsi="等线" w:eastAsia="等线" w:cs="Times New Roman"/>
          <w:b/>
          <w:bCs/>
          <w:szCs w:val="21"/>
        </w:rPr>
      </w:pPr>
      <w:r>
        <w:rPr>
          <w:rFonts w:hint="eastAsia" w:ascii="等线" w:hAnsi="等线" w:eastAsia="等线" w:cs="Times New Roman"/>
          <w:b/>
          <w:bCs/>
          <w:szCs w:val="21"/>
        </w:rPr>
        <w:t>（三）课程目标达成度计算方法</w:t>
      </w:r>
    </w:p>
    <w:p w14:paraId="2C9A2A54">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所有课程目标均需大于等于</w:t>
      </w:r>
      <w:r>
        <w:rPr>
          <w:rFonts w:ascii="等线" w:hAnsi="等线" w:eastAsia="等线" w:cs="Times New Roman"/>
          <w:szCs w:val="21"/>
        </w:rPr>
        <w:t>0.6，否则总评成绩不及格，需要补考或重修。每门课程目标总体达成度计算方法如下：</w:t>
      </w:r>
    </w:p>
    <w:p w14:paraId="001BE97E">
      <w:pPr>
        <w:spacing w:line="360" w:lineRule="auto"/>
        <w:rPr>
          <w:rFonts w:ascii="Times New Roman" w:hAnsi="Times New Roman" w:eastAsia="宋体" w:cs="Times New Roman"/>
          <w:sz w:val="24"/>
          <w:szCs w:val="24"/>
        </w:rPr>
      </w:pPr>
      <w:r>
        <w:rPr>
          <w:rFonts w:ascii="Times New Roman" w:hAnsi="Times New Roman" w:eastAsia="等线" w:cs="Times New Roman"/>
          <w:position w:val="-26"/>
          <w:sz w:val="24"/>
          <w:szCs w:val="22"/>
        </w:rPr>
        <w:object>
          <v:shape id="_x0000_i1045" o:spt="75" type="#_x0000_t75" style="height:26.9pt;width:381.4pt;" o:ole="t" filled="f" o:preferrelative="t" stroked="f" coordsize="21600,21600">
            <v:path/>
            <v:fill on="f" focussize="0,0"/>
            <v:stroke on="f" joinstyle="miter"/>
            <v:imagedata r:id="rId5" o:title=""/>
            <o:lock v:ext="edit" aspectratio="t"/>
            <w10:wrap type="none"/>
            <w10:anchorlock/>
          </v:shape>
          <o:OLEObject Type="Embed" ProgID="Equation.KSEE3" ShapeID="_x0000_i1045" DrawAspect="Content" ObjectID="_1468075745" r:id="rId28">
            <o:LockedField>false</o:LockedField>
          </o:OLEObject>
        </w:object>
      </w:r>
    </w:p>
    <w:p w14:paraId="3C3A7209">
      <w:pPr>
        <w:spacing w:line="360" w:lineRule="auto"/>
        <w:ind w:firstLine="562" w:firstLineChars="200"/>
        <w:rPr>
          <w:rFonts w:hint="eastAsia" w:ascii="宋体" w:hAnsi="宋体" w:eastAsia="宋体" w:cs="Times New Roman"/>
          <w:b/>
          <w:sz w:val="28"/>
          <w:szCs w:val="28"/>
        </w:rPr>
      </w:pPr>
    </w:p>
    <w:p w14:paraId="3CB9D075">
      <w:pPr>
        <w:spacing w:line="360" w:lineRule="auto"/>
        <w:ind w:firstLine="482" w:firstLineChars="200"/>
        <w:rPr>
          <w:rFonts w:hint="eastAsia" w:ascii="宋体" w:hAnsi="宋体" w:eastAsia="宋体" w:cs="Times New Roman"/>
          <w:b/>
          <w:sz w:val="24"/>
          <w:szCs w:val="24"/>
        </w:rPr>
      </w:pPr>
      <w:r>
        <w:rPr>
          <w:rFonts w:hint="eastAsia" w:ascii="宋体" w:hAnsi="宋体" w:eastAsia="宋体" w:cs="Times New Roman"/>
          <w:b/>
          <w:sz w:val="24"/>
          <w:szCs w:val="24"/>
        </w:rPr>
        <w:t>六</w:t>
      </w:r>
      <w:r>
        <w:rPr>
          <w:rFonts w:ascii="宋体" w:hAnsi="宋体" w:eastAsia="宋体" w:cs="Times New Roman"/>
          <w:b/>
          <w:sz w:val="24"/>
          <w:szCs w:val="24"/>
        </w:rPr>
        <w:t>、</w:t>
      </w:r>
      <w:r>
        <w:rPr>
          <w:rFonts w:hint="eastAsia" w:ascii="宋体" w:hAnsi="宋体" w:eastAsia="宋体" w:cs="Times New Roman"/>
          <w:b/>
          <w:sz w:val="24"/>
          <w:szCs w:val="24"/>
        </w:rPr>
        <w:t>有关说明</w:t>
      </w:r>
    </w:p>
    <w:p w14:paraId="1777AEF7">
      <w:pPr>
        <w:spacing w:line="360" w:lineRule="auto"/>
        <w:ind w:firstLine="420" w:firstLineChars="200"/>
        <w:rPr>
          <w:rFonts w:hint="eastAsia" w:ascii="等线" w:hAnsi="等线" w:eastAsia="等线" w:cs="Times New Roman"/>
          <w:b/>
          <w:bCs/>
          <w:szCs w:val="21"/>
        </w:rPr>
      </w:pPr>
      <w:r>
        <w:rPr>
          <w:rFonts w:hint="eastAsia" w:ascii="等线" w:hAnsi="等线" w:eastAsia="等线" w:cs="Times New Roman"/>
          <w:b/>
          <w:bCs/>
          <w:szCs w:val="21"/>
        </w:rPr>
        <w:t>（一）持续改进</w:t>
      </w:r>
    </w:p>
    <w:p w14:paraId="678F8F47">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本课程根据学生作业、课堂讨论、模拟教学、说课、平时考核情况和学生、教学督导等</w:t>
      </w:r>
      <w:r>
        <w:rPr>
          <w:rFonts w:hint="eastAsia" w:ascii="等线" w:hAnsi="等线" w:eastAsia="等线" w:cs="Times New Roman"/>
          <w:szCs w:val="21"/>
        </w:rPr>
        <w:t>的</w:t>
      </w:r>
      <w:r>
        <w:rPr>
          <w:rFonts w:ascii="等线" w:hAnsi="等线" w:eastAsia="等线" w:cs="Times New Roman"/>
          <w:szCs w:val="21"/>
        </w:rPr>
        <w:t>反馈，及时对教学中</w:t>
      </w:r>
      <w:r>
        <w:rPr>
          <w:rFonts w:hint="eastAsia" w:ascii="等线" w:hAnsi="等线" w:eastAsia="等线" w:cs="Times New Roman"/>
          <w:szCs w:val="21"/>
        </w:rPr>
        <w:t>的</w:t>
      </w:r>
      <w:r>
        <w:rPr>
          <w:rFonts w:ascii="等线" w:hAnsi="等线" w:eastAsia="等线" w:cs="Times New Roman"/>
          <w:szCs w:val="21"/>
        </w:rPr>
        <w:t>不足之处进行改进，并在下一轮课程教学中</w:t>
      </w:r>
      <w:r>
        <w:rPr>
          <w:rFonts w:hint="eastAsia" w:ascii="等线" w:hAnsi="等线" w:eastAsia="等线" w:cs="Times New Roman"/>
          <w:szCs w:val="21"/>
        </w:rPr>
        <w:t>整改完善</w:t>
      </w:r>
      <w:r>
        <w:rPr>
          <w:rFonts w:ascii="等线" w:hAnsi="等线" w:eastAsia="等线" w:cs="Times New Roman"/>
          <w:szCs w:val="21"/>
        </w:rPr>
        <w:t>，确保相应毕业要求指标点达成。</w:t>
      </w:r>
    </w:p>
    <w:p w14:paraId="79B70735">
      <w:pPr>
        <w:spacing w:line="360" w:lineRule="auto"/>
        <w:ind w:firstLine="420" w:firstLineChars="200"/>
        <w:rPr>
          <w:rFonts w:hint="eastAsia" w:ascii="等线" w:hAnsi="等线" w:eastAsia="等线" w:cs="Times New Roman"/>
          <w:b/>
          <w:szCs w:val="21"/>
        </w:rPr>
      </w:pPr>
      <w:bookmarkStart w:id="732" w:name="_Toc27846252"/>
      <w:bookmarkStart w:id="733" w:name="_Toc27847270"/>
      <w:r>
        <w:rPr>
          <w:rFonts w:hint="eastAsia" w:ascii="等线" w:hAnsi="等线" w:eastAsia="等线" w:cs="Times New Roman"/>
          <w:b/>
          <w:szCs w:val="21"/>
        </w:rPr>
        <w:t>（二）建议教材</w:t>
      </w:r>
    </w:p>
    <w:p w14:paraId="2565D7B8">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王本陆，课程与教学论（第4版），北京：高等教育出版社，2023.</w:t>
      </w:r>
    </w:p>
    <w:p w14:paraId="0DBEF735">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陈佑清，有效教学，北京：高等教育出版社，2016.</w:t>
      </w:r>
    </w:p>
    <w:p w14:paraId="4B8EE86D">
      <w:pPr>
        <w:spacing w:line="360" w:lineRule="auto"/>
        <w:ind w:firstLine="420" w:firstLineChars="200"/>
        <w:rPr>
          <w:rFonts w:hint="eastAsia" w:ascii="等线" w:hAnsi="等线" w:eastAsia="等线" w:cs="Times New Roman"/>
          <w:b/>
          <w:bCs/>
          <w:szCs w:val="21"/>
        </w:rPr>
      </w:pPr>
      <w:r>
        <w:rPr>
          <w:rFonts w:hint="eastAsia" w:ascii="等线" w:hAnsi="等线" w:eastAsia="等线" w:cs="Times New Roman"/>
          <w:b/>
          <w:szCs w:val="21"/>
        </w:rPr>
        <w:t>（三）</w:t>
      </w:r>
      <w:r>
        <w:rPr>
          <w:rFonts w:ascii="等线" w:hAnsi="等线" w:eastAsia="等线" w:cs="Times New Roman"/>
          <w:b/>
          <w:szCs w:val="21"/>
        </w:rPr>
        <w:t>参考书目</w:t>
      </w:r>
      <w:bookmarkEnd w:id="732"/>
      <w:bookmarkEnd w:id="733"/>
    </w:p>
    <w:p w14:paraId="6A7D852A">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[捷]夸美纽斯.傅任敢译.大教学论.北京：教育科学出版社，1999.</w:t>
      </w:r>
    </w:p>
    <w:p w14:paraId="610E0631">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陈晓端</w:t>
      </w:r>
      <w:r>
        <w:rPr>
          <w:rFonts w:ascii="等线" w:hAnsi="等线" w:eastAsia="等线" w:cs="Times New Roman"/>
          <w:szCs w:val="21"/>
        </w:rPr>
        <w:t>, 张立昌. 课程与教学通论. 西安: 陕西师范大学出版总社, 2017.</w:t>
      </w:r>
    </w:p>
    <w:p w14:paraId="6728909F">
      <w:pPr>
        <w:spacing w:line="360" w:lineRule="auto"/>
        <w:ind w:firstLine="420" w:firstLineChars="200"/>
        <w:jc w:val="left"/>
        <w:rPr>
          <w:rFonts w:hint="eastAsia" w:ascii="等线" w:hAnsi="等线" w:eastAsia="等线" w:cs="Times New Roman"/>
          <w:szCs w:val="21"/>
        </w:rPr>
      </w:pPr>
      <w:r>
        <w:rPr>
          <w:rFonts w:hint="eastAsia" w:ascii="等线" w:hAnsi="等线" w:eastAsia="等线" w:cs="Times New Roman"/>
          <w:szCs w:val="21"/>
        </w:rPr>
        <w:t>王本陆.课程与教学论.</w:t>
      </w:r>
      <w:r>
        <w:rPr>
          <w:rFonts w:ascii="等线" w:hAnsi="等线" w:eastAsia="等线" w:cs="Times New Roman"/>
          <w:szCs w:val="21"/>
        </w:rPr>
        <w:t xml:space="preserve"> </w:t>
      </w:r>
      <w:r>
        <w:rPr>
          <w:rFonts w:hint="eastAsia" w:ascii="等线" w:hAnsi="等线" w:eastAsia="等线" w:cs="Times New Roman"/>
          <w:szCs w:val="21"/>
        </w:rPr>
        <w:t>北京：高等教育出版社，201</w:t>
      </w:r>
      <w:r>
        <w:rPr>
          <w:rFonts w:ascii="等线" w:hAnsi="等线" w:eastAsia="等线" w:cs="Times New Roman"/>
          <w:szCs w:val="21"/>
        </w:rPr>
        <w:t>7.</w:t>
      </w:r>
    </w:p>
    <w:p w14:paraId="16868A71">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徐继存、徐文彬</w:t>
      </w:r>
      <w:r>
        <w:rPr>
          <w:rFonts w:ascii="等线" w:hAnsi="等线" w:eastAsia="等线" w:cs="Times New Roman"/>
          <w:szCs w:val="21"/>
        </w:rPr>
        <w:t>.课程与教学论.</w:t>
      </w:r>
      <w:r>
        <w:rPr>
          <w:rFonts w:hint="eastAsia" w:ascii="等线" w:hAnsi="等线" w:eastAsia="等线" w:cs="Times New Roman"/>
          <w:szCs w:val="21"/>
        </w:rPr>
        <w:t>北京：</w:t>
      </w:r>
      <w:r>
        <w:rPr>
          <w:rFonts w:ascii="等线" w:hAnsi="等线" w:eastAsia="等线" w:cs="Times New Roman"/>
          <w:szCs w:val="21"/>
        </w:rPr>
        <w:t>高等教育出版社，2009.</w:t>
      </w:r>
    </w:p>
    <w:p w14:paraId="690B88CD">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张 华.课程与教学论.</w:t>
      </w:r>
      <w:r>
        <w:rPr>
          <w:rFonts w:hint="eastAsia" w:ascii="等线" w:hAnsi="等线" w:eastAsia="等线" w:cs="Times New Roman"/>
          <w:szCs w:val="21"/>
        </w:rPr>
        <w:t>上海：</w:t>
      </w:r>
      <w:r>
        <w:rPr>
          <w:rFonts w:ascii="等线" w:hAnsi="等线" w:eastAsia="等线" w:cs="Times New Roman"/>
          <w:szCs w:val="21"/>
        </w:rPr>
        <w:t>上海教育出版社，2001.</w:t>
      </w:r>
    </w:p>
    <w:p w14:paraId="40FA00E5">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钟启泉.课程论.</w:t>
      </w:r>
      <w:r>
        <w:rPr>
          <w:rFonts w:hint="eastAsia" w:ascii="等线" w:hAnsi="等线" w:eastAsia="等线" w:cs="Times New Roman"/>
          <w:szCs w:val="21"/>
        </w:rPr>
        <w:t>北京：</w:t>
      </w:r>
      <w:r>
        <w:rPr>
          <w:rFonts w:ascii="等线" w:hAnsi="等线" w:eastAsia="等线" w:cs="Times New Roman"/>
          <w:szCs w:val="21"/>
        </w:rPr>
        <w:t>教育科学出版社，2007.</w:t>
      </w:r>
    </w:p>
    <w:p w14:paraId="62962512">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裴娣娜.教学论.</w:t>
      </w:r>
      <w:r>
        <w:rPr>
          <w:rFonts w:hint="eastAsia" w:ascii="等线" w:hAnsi="等线" w:eastAsia="等线" w:cs="Times New Roman"/>
          <w:szCs w:val="21"/>
        </w:rPr>
        <w:t>北京：</w:t>
      </w:r>
      <w:r>
        <w:rPr>
          <w:rFonts w:ascii="等线" w:hAnsi="等线" w:eastAsia="等线" w:cs="Times New Roman"/>
          <w:szCs w:val="21"/>
        </w:rPr>
        <w:t>教育科学出版社，2007.</w:t>
      </w:r>
    </w:p>
    <w:p w14:paraId="2D13731F">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施良方.教学理论.</w:t>
      </w:r>
      <w:r>
        <w:rPr>
          <w:rFonts w:hint="eastAsia" w:ascii="等线" w:hAnsi="等线" w:eastAsia="等线" w:cs="Times New Roman"/>
          <w:szCs w:val="21"/>
        </w:rPr>
        <w:t>上海：</w:t>
      </w:r>
      <w:r>
        <w:rPr>
          <w:rFonts w:ascii="等线" w:hAnsi="等线" w:eastAsia="等线" w:cs="Times New Roman"/>
          <w:szCs w:val="21"/>
        </w:rPr>
        <w:t>华东师范大学出版社，1999.</w:t>
      </w:r>
    </w:p>
    <w:p w14:paraId="5951457E">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施良方.课程理论</w:t>
      </w:r>
      <w:r>
        <w:rPr>
          <w:rFonts w:hint="eastAsia" w:ascii="等线" w:hAnsi="等线" w:eastAsia="等线" w:cs="Times New Roman"/>
          <w:szCs w:val="21"/>
        </w:rPr>
        <w:t>：课程的基础、原理与问题</w:t>
      </w:r>
      <w:r>
        <w:rPr>
          <w:rFonts w:ascii="等线" w:hAnsi="等线" w:eastAsia="等线" w:cs="Times New Roman"/>
          <w:szCs w:val="21"/>
        </w:rPr>
        <w:t>.</w:t>
      </w:r>
      <w:r>
        <w:rPr>
          <w:rFonts w:hint="eastAsia" w:ascii="等线" w:hAnsi="等线" w:eastAsia="等线" w:cs="Times New Roman"/>
          <w:szCs w:val="21"/>
        </w:rPr>
        <w:t>北京：</w:t>
      </w:r>
      <w:r>
        <w:rPr>
          <w:rFonts w:ascii="等线" w:hAnsi="等线" w:eastAsia="等线" w:cs="Times New Roman"/>
          <w:szCs w:val="21"/>
        </w:rPr>
        <w:t>教育科学出版社，1996.</w:t>
      </w:r>
    </w:p>
    <w:p w14:paraId="7DF82B67">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杨启亮.困惑与抉择—20 世纪的新教学论.</w:t>
      </w:r>
      <w:r>
        <w:rPr>
          <w:rFonts w:hint="eastAsia" w:ascii="等线" w:hAnsi="等线" w:eastAsia="等线" w:cs="Times New Roman"/>
          <w:szCs w:val="21"/>
        </w:rPr>
        <w:t>济南：</w:t>
      </w:r>
      <w:r>
        <w:rPr>
          <w:rFonts w:ascii="等线" w:hAnsi="等线" w:eastAsia="等线" w:cs="Times New Roman"/>
          <w:szCs w:val="21"/>
        </w:rPr>
        <w:t>山东教育出版社，1995.</w:t>
      </w:r>
    </w:p>
    <w:p w14:paraId="13A6C909">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李定仁、徐继存.课程论研究二十年.</w:t>
      </w:r>
      <w:r>
        <w:rPr>
          <w:rFonts w:hint="eastAsia" w:ascii="等线" w:hAnsi="等线" w:eastAsia="等线" w:cs="Times New Roman"/>
          <w:szCs w:val="21"/>
        </w:rPr>
        <w:t>北京：</w:t>
      </w:r>
      <w:r>
        <w:rPr>
          <w:rFonts w:ascii="等线" w:hAnsi="等线" w:eastAsia="等线" w:cs="Times New Roman"/>
          <w:szCs w:val="21"/>
        </w:rPr>
        <w:t>人民教育出版社，2004.</w:t>
      </w:r>
    </w:p>
    <w:p w14:paraId="49CDAF3D">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陈晓端主编</w:t>
      </w:r>
      <w:r>
        <w:rPr>
          <w:rFonts w:ascii="等线" w:hAnsi="等线" w:eastAsia="等线" w:cs="Times New Roman"/>
          <w:szCs w:val="21"/>
        </w:rPr>
        <w:t>. 国外教学论基本文献讲读.北京：北京大学出版社, 2013.</w:t>
      </w:r>
    </w:p>
    <w:p w14:paraId="1A8D5AED">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陈晓端、郝文武主编</w:t>
      </w:r>
      <w:r>
        <w:rPr>
          <w:rFonts w:ascii="等线" w:hAnsi="等线" w:eastAsia="等线" w:cs="Times New Roman"/>
          <w:szCs w:val="21"/>
        </w:rPr>
        <w:t>.西方教育哲学流派课程与教学思想.北京：中国轻工业出版社，2008.</w:t>
      </w:r>
    </w:p>
    <w:p w14:paraId="302DB5E8">
      <w:pPr>
        <w:spacing w:line="360" w:lineRule="auto"/>
        <w:ind w:firstLine="420" w:firstLineChars="200"/>
        <w:rPr>
          <w:rFonts w:hint="eastAsia" w:ascii="等线" w:hAnsi="等线" w:eastAsia="等线" w:cs="Times New Roman"/>
          <w:szCs w:val="21"/>
        </w:rPr>
      </w:pPr>
      <w:r>
        <w:rPr>
          <w:rFonts w:hint="eastAsia" w:ascii="等线" w:hAnsi="等线" w:eastAsia="等线" w:cs="Times New Roman"/>
          <w:szCs w:val="21"/>
        </w:rPr>
        <w:t>何克抗等著</w:t>
      </w:r>
      <w:r>
        <w:rPr>
          <w:rFonts w:ascii="等线" w:hAnsi="等线" w:eastAsia="等线" w:cs="Times New Roman"/>
          <w:szCs w:val="21"/>
        </w:rPr>
        <w:t>. 教学系统设计(第2版).北京:高等教育出版社, 2016.</w:t>
      </w:r>
    </w:p>
    <w:p w14:paraId="426B7BB1">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Diane Heacox著.杨希洁译.差异教学——帮助每个学生获得成功.北京：中国轻工业出版社, 2004.</w:t>
      </w:r>
    </w:p>
    <w:p w14:paraId="5DC9928B">
      <w:pPr>
        <w:spacing w:line="360" w:lineRule="auto"/>
        <w:ind w:firstLine="420" w:firstLineChars="200"/>
        <w:rPr>
          <w:rFonts w:hint="eastAsia" w:ascii="等线" w:hAnsi="等线" w:eastAsia="等线" w:cs="Times New Roman"/>
          <w:szCs w:val="21"/>
        </w:rPr>
      </w:pPr>
      <w:r>
        <w:rPr>
          <w:rFonts w:ascii="等线" w:hAnsi="等线" w:eastAsia="等线" w:cs="Times New Roman"/>
          <w:szCs w:val="21"/>
        </w:rPr>
        <w:t>熊川武.反思性教学.上海:华东师范大学出版社, 1999.</w:t>
      </w:r>
    </w:p>
    <w:p w14:paraId="7C3D523C">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p>
    <w:p w14:paraId="23043889">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张文娟</w:t>
      </w:r>
    </w:p>
    <w:p w14:paraId="2F2B3C1A">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rPr>
        <w:t>王健</w:t>
      </w:r>
    </w:p>
    <w:p w14:paraId="69A0507D">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4AE60817">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批准时间：2024年9月1日</w:t>
      </w:r>
    </w:p>
    <w:p w14:paraId="546EF5C2">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30C0E5B4">
      <w:pPr>
        <w:pStyle w:val="2"/>
        <w:bidi w:val="0"/>
        <w:rPr>
          <w:rFonts w:hint="eastAsia"/>
        </w:rPr>
      </w:pPr>
      <w:bookmarkStart w:id="734" w:name="_Toc14336"/>
      <w:bookmarkStart w:id="735" w:name="_Toc26530"/>
      <w:bookmarkStart w:id="736" w:name="_Toc57017177"/>
      <w:r>
        <w:rPr>
          <w:rFonts w:hint="eastAsia"/>
          <w:lang w:eastAsia="zh-CN"/>
        </w:rPr>
        <w:t>《</w:t>
      </w:r>
      <w:r>
        <w:rPr>
          <w:rFonts w:hint="eastAsia"/>
        </w:rPr>
        <w:t>教育心理学</w:t>
      </w:r>
      <w:r>
        <w:rPr>
          <w:rFonts w:hint="eastAsia"/>
          <w:lang w:eastAsia="zh-CN"/>
        </w:rPr>
        <w:t>》</w:t>
      </w:r>
      <w:r>
        <w:rPr>
          <w:rFonts w:hint="eastAsia"/>
        </w:rPr>
        <w:t>课程教学大纲</w:t>
      </w:r>
      <w:bookmarkEnd w:id="734"/>
      <w:bookmarkEnd w:id="735"/>
      <w:bookmarkEnd w:id="736"/>
    </w:p>
    <w:p w14:paraId="544A3025">
      <w:pPr>
        <w:pStyle w:val="2"/>
        <w:bidi w:val="0"/>
        <w:rPr>
          <w:rFonts w:hint="eastAsia"/>
        </w:rPr>
      </w:pPr>
      <w:bookmarkStart w:id="737" w:name="_Toc31043"/>
      <w:bookmarkStart w:id="738" w:name="_Toc29016"/>
      <w:bookmarkStart w:id="739" w:name="_Toc30072"/>
      <w:bookmarkStart w:id="740" w:name="_Toc15119"/>
      <w:bookmarkStart w:id="741" w:name="_Toc19295"/>
      <w:r>
        <w:rPr>
          <w:rFonts w:hint="eastAsia"/>
        </w:rPr>
        <w:t>（Educational Psychology）</w:t>
      </w:r>
      <w:bookmarkEnd w:id="737"/>
      <w:bookmarkEnd w:id="738"/>
      <w:bookmarkEnd w:id="739"/>
      <w:bookmarkEnd w:id="740"/>
      <w:bookmarkEnd w:id="741"/>
    </w:p>
    <w:p w14:paraId="3277C9B5">
      <w:pPr>
        <w:spacing w:line="360" w:lineRule="auto"/>
        <w:jc w:val="center"/>
        <w:rPr>
          <w:rFonts w:ascii="Times New Roman" w:hAnsi="Times New Roman" w:eastAsia="宋体" w:cs="Times New Roman"/>
          <w:b/>
          <w:bCs/>
          <w:sz w:val="30"/>
          <w:szCs w:val="24"/>
        </w:rPr>
      </w:pPr>
    </w:p>
    <w:p w14:paraId="69090ABE">
      <w:pPr>
        <w:spacing w:line="360" w:lineRule="auto"/>
        <w:ind w:firstLine="482" w:firstLineChars="200"/>
        <w:jc w:val="left"/>
        <w:rPr>
          <w:rFonts w:hint="eastAsia" w:ascii="Times New Roman" w:hAnsi="Times New Roman" w:eastAsia="宋体" w:cs="Times New Roman"/>
          <w:b/>
          <w:sz w:val="24"/>
          <w:szCs w:val="24"/>
          <w:lang w:eastAsia="zh-CN"/>
        </w:rPr>
      </w:pPr>
      <w:bookmarkStart w:id="742" w:name="_Toc27847272"/>
      <w:bookmarkStart w:id="743" w:name="_Toc27846254"/>
      <w:r>
        <w:rPr>
          <w:rFonts w:hint="eastAsia" w:ascii="Times New Roman" w:hAnsi="Times New Roman" w:eastAsia="宋体" w:cs="Times New Roman"/>
          <w:b/>
          <w:sz w:val="24"/>
          <w:szCs w:val="24"/>
        </w:rPr>
        <w:t>课程名称：教育</w:t>
      </w:r>
      <w:r>
        <w:rPr>
          <w:rFonts w:hint="eastAsia" w:ascii="Times New Roman" w:hAnsi="Times New Roman" w:eastAsia="宋体" w:cs="Times New Roman"/>
          <w:b/>
          <w:sz w:val="24"/>
          <w:szCs w:val="24"/>
          <w:lang w:val="en-US" w:eastAsia="zh-CN"/>
        </w:rPr>
        <w:t>心理学</w:t>
      </w:r>
    </w:p>
    <w:p w14:paraId="6788A7CA">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课程代码：24010</w:t>
      </w:r>
      <w:r>
        <w:rPr>
          <w:rFonts w:hint="eastAsia" w:ascii="Times New Roman" w:hAnsi="Times New Roman" w:eastAsia="宋体" w:cs="Times New Roman"/>
          <w:b/>
          <w:sz w:val="24"/>
          <w:szCs w:val="24"/>
          <w:lang w:val="en-US" w:eastAsia="zh-CN"/>
        </w:rPr>
        <w:t>11</w:t>
      </w:r>
    </w:p>
    <w:p w14:paraId="556C4C0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762BBF6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0E07C4F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先修课程：小学心理学、专业导论</w:t>
      </w:r>
    </w:p>
    <w:p w14:paraId="2FDB6F1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74144BC1">
      <w:pPr>
        <w:spacing w:line="360" w:lineRule="auto"/>
        <w:ind w:firstLine="551" w:firstLineChars="196"/>
        <w:rPr>
          <w:rFonts w:ascii="宋体" w:hAnsi="宋体" w:eastAsia="宋体" w:cs="Times New Roman"/>
          <w:b/>
          <w:sz w:val="28"/>
          <w:szCs w:val="28"/>
        </w:rPr>
      </w:pPr>
    </w:p>
    <w:p w14:paraId="1DF3C091">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4748A3AA">
      <w:pPr>
        <w:spacing w:line="360" w:lineRule="auto"/>
        <w:ind w:firstLine="411" w:firstLineChars="196"/>
        <w:rPr>
          <w:rFonts w:ascii="宋体" w:hAnsi="宋体" w:eastAsia="宋体" w:cs="Times New Roman"/>
          <w:b/>
          <w:sz w:val="28"/>
          <w:szCs w:val="28"/>
        </w:rPr>
      </w:pPr>
      <w:r>
        <w:rPr>
          <w:rFonts w:hint="eastAsia" w:ascii="Times New Roman" w:hAnsi="Times New Roman" w:eastAsia="宋体" w:cs="Times New Roman"/>
          <w:szCs w:val="21"/>
        </w:rPr>
        <w:t xml:space="preserve">本课程是小学教育专业的专业基础必修课。通过本课程的学习，学生能掌握有关学与教的心理学理论与基本原理，获得适应将来教学环境的基础知识和基本能力，为后续《课程与教学论》、《小学数学课程标准与教材分析》/《小学语文课程标准与教材分析》、《小学数学教学设计与实施》/《小学语文教学设计与实施》、《小学班队管理》、《小学生心理辅导》等课程及教育实习环节奠定基础。 </w:t>
      </w:r>
    </w:p>
    <w:bookmarkEnd w:id="742"/>
    <w:bookmarkEnd w:id="743"/>
    <w:p w14:paraId="78AE7A20">
      <w:pPr>
        <w:spacing w:line="360" w:lineRule="auto"/>
        <w:rPr>
          <w:rFonts w:hint="eastAsia" w:ascii="宋体" w:hAnsi="宋体" w:eastAsia="宋体" w:cs="Times New Roman"/>
          <w:b/>
          <w:sz w:val="24"/>
          <w:szCs w:val="24"/>
        </w:rPr>
      </w:pPr>
      <w:bookmarkStart w:id="744" w:name="_Toc27846255"/>
      <w:bookmarkStart w:id="745" w:name="_Toc27847273"/>
    </w:p>
    <w:p w14:paraId="738D4F94">
      <w:pPr>
        <w:spacing w:line="360" w:lineRule="auto"/>
        <w:rPr>
          <w:rFonts w:ascii="宋体" w:hAnsi="宋体" w:eastAsia="宋体" w:cs="Times New Roman"/>
          <w:b/>
          <w:sz w:val="24"/>
          <w:szCs w:val="24"/>
        </w:rPr>
      </w:pPr>
      <w:r>
        <w:rPr>
          <w:rFonts w:hint="eastAsia" w:ascii="宋体" w:hAnsi="宋体" w:eastAsia="宋体" w:cs="Times New Roman"/>
          <w:b/>
          <w:sz w:val="24"/>
          <w:szCs w:val="24"/>
        </w:rPr>
        <w:t>二</w:t>
      </w:r>
      <w:r>
        <w:rPr>
          <w:rFonts w:ascii="宋体" w:hAnsi="宋体" w:eastAsia="宋体" w:cs="Times New Roman"/>
          <w:b/>
          <w:sz w:val="24"/>
          <w:szCs w:val="24"/>
        </w:rPr>
        <w:t>、课程目标</w:t>
      </w:r>
      <w:bookmarkEnd w:id="744"/>
      <w:bookmarkEnd w:id="745"/>
    </w:p>
    <w:p w14:paraId="1123DA53">
      <w:pPr>
        <w:spacing w:line="360" w:lineRule="auto"/>
        <w:ind w:firstLine="442" w:firstLineChars="200"/>
        <w:rPr>
          <w:rFonts w:ascii="宋体" w:hAnsi="宋体" w:eastAsia="宋体" w:cs="Times New Roman"/>
          <w:b/>
          <w:sz w:val="22"/>
          <w:szCs w:val="22"/>
        </w:rPr>
      </w:pPr>
      <w:bookmarkStart w:id="746" w:name="_Toc27847274"/>
      <w:bookmarkStart w:id="747" w:name="_Toc27846256"/>
      <w:r>
        <w:rPr>
          <w:rFonts w:hint="eastAsia" w:ascii="宋体" w:hAnsi="宋体" w:eastAsia="宋体" w:cs="Times New Roman"/>
          <w:b/>
          <w:sz w:val="22"/>
          <w:szCs w:val="22"/>
        </w:rPr>
        <w:t>（一）课程具体目标</w:t>
      </w:r>
      <w:bookmarkEnd w:id="746"/>
      <w:bookmarkEnd w:id="747"/>
    </w:p>
    <w:p w14:paraId="37C4C108">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lang w:val="en-US" w:eastAsia="zh-CN"/>
        </w:rPr>
        <w:t xml:space="preserve"> </w:t>
      </w:r>
      <w:r>
        <w:rPr>
          <w:rFonts w:hint="eastAsia" w:ascii="宋体" w:hAnsi="宋体" w:eastAsia="宋体" w:cs="Times New Roman"/>
          <w:kern w:val="0"/>
          <w:sz w:val="21"/>
          <w:szCs w:val="20"/>
        </w:rPr>
        <w:t>掌握学与教的基本心理学理论与基本原理</w:t>
      </w:r>
      <w:r>
        <w:rPr>
          <w:rFonts w:hint="eastAsia" w:ascii="宋体" w:hAnsi="宋体" w:eastAsia="宋体" w:cs="Times New Roman"/>
          <w:kern w:val="0"/>
          <w:sz w:val="21"/>
          <w:szCs w:val="20"/>
          <w:lang w:eastAsia="zh-CN"/>
        </w:rPr>
        <w:t>，</w:t>
      </w:r>
      <w:r>
        <w:rPr>
          <w:rFonts w:hint="eastAsia" w:ascii="宋体" w:hAnsi="宋体" w:eastAsia="宋体" w:cs="Times New Roman"/>
          <w:kern w:val="0"/>
          <w:sz w:val="21"/>
          <w:szCs w:val="20"/>
          <w:lang w:val="en-US" w:eastAsia="zh-CN"/>
        </w:rPr>
        <w:t>具有积极开展教育教学的意识，</w:t>
      </w:r>
      <w:r>
        <w:rPr>
          <w:rFonts w:hint="eastAsia" w:ascii="Times New Roman" w:hAnsi="Times New Roman" w:eastAsia="宋体" w:cs="Times New Roman"/>
          <w:szCs w:val="21"/>
        </w:rPr>
        <w:t>为今后从事教育实践工作打下良好基础。</w:t>
      </w:r>
    </w:p>
    <w:p w14:paraId="4BA7BB70">
      <w:pPr>
        <w:spacing w:line="360" w:lineRule="auto"/>
        <w:ind w:firstLine="422" w:firstLineChars="200"/>
        <w:rPr>
          <w:rFonts w:hint="eastAsia" w:ascii="宋体" w:hAnsi="宋体" w:eastAsia="宋体" w:cs="Times New Roman"/>
          <w:kern w:val="0"/>
          <w:sz w:val="21"/>
          <w:szCs w:val="20"/>
          <w:lang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宋体" w:hAnsi="宋体" w:eastAsia="宋体" w:cs="Times New Roman"/>
          <w:kern w:val="0"/>
          <w:sz w:val="21"/>
          <w:szCs w:val="20"/>
        </w:rPr>
        <w:t>了解小学生身心发展的一般规律与个体差异</w:t>
      </w:r>
      <w:r>
        <w:rPr>
          <w:rFonts w:hint="eastAsia" w:ascii="宋体" w:hAnsi="宋体" w:eastAsia="宋体" w:cs="Times New Roman"/>
          <w:kern w:val="0"/>
          <w:sz w:val="21"/>
          <w:szCs w:val="20"/>
          <w:lang w:eastAsia="zh-CN"/>
        </w:rPr>
        <w:t>，</w:t>
      </w:r>
      <w:r>
        <w:rPr>
          <w:rFonts w:hint="eastAsia" w:ascii="宋体" w:hAnsi="宋体" w:eastAsia="宋体" w:cs="Times New Roman"/>
          <w:kern w:val="0"/>
          <w:sz w:val="21"/>
          <w:szCs w:val="20"/>
          <w:lang w:val="en-US" w:eastAsia="zh-CN"/>
        </w:rPr>
        <w:t>了解不同年龄阶段小学生的身心发展特点，为今后从事小学教育实践奠定教学准备的基础</w:t>
      </w:r>
      <w:r>
        <w:rPr>
          <w:rFonts w:hint="eastAsia" w:ascii="宋体" w:hAnsi="宋体" w:eastAsia="宋体" w:cs="Times New Roman"/>
          <w:kern w:val="0"/>
          <w:sz w:val="21"/>
          <w:szCs w:val="20"/>
          <w:lang w:eastAsia="zh-CN"/>
        </w:rPr>
        <w:t>。</w:t>
      </w:r>
    </w:p>
    <w:p w14:paraId="5B9949FA">
      <w:pPr>
        <w:spacing w:line="360" w:lineRule="auto"/>
        <w:ind w:firstLine="482" w:firstLineChars="200"/>
        <w:rPr>
          <w:rFonts w:ascii="宋体" w:hAnsi="宋体" w:eastAsia="宋体" w:cs="Times New Roman"/>
          <w:b/>
          <w:sz w:val="24"/>
          <w:szCs w:val="24"/>
        </w:rPr>
      </w:pPr>
      <w:bookmarkStart w:id="748" w:name="_Toc27847275"/>
      <w:bookmarkStart w:id="749" w:name="_Toc27846257"/>
      <w:r>
        <w:rPr>
          <w:rFonts w:hint="eastAsia" w:ascii="宋体" w:hAnsi="宋体" w:eastAsia="宋体" w:cs="Times New Roman"/>
          <w:b/>
          <w:sz w:val="24"/>
          <w:szCs w:val="24"/>
        </w:rPr>
        <w:t>（二）课程目标与专业毕业要求的关系</w:t>
      </w:r>
      <w:bookmarkEnd w:id="748"/>
      <w:bookmarkEnd w:id="749"/>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FE6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AE9FD7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4E47B9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18053C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FF7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5D416D95">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pacing w:val="-6"/>
                <w:sz w:val="21"/>
                <w:szCs w:val="21"/>
              </w:rPr>
              <w:t>毕业要求</w:t>
            </w:r>
            <w:r>
              <w:rPr>
                <w:rFonts w:hint="eastAsia" w:ascii="宋体" w:hAnsi="宋体" w:eastAsia="宋体" w:cs="Times New Roman"/>
                <w:color w:val="000000"/>
                <w:spacing w:val="-6"/>
                <w:sz w:val="21"/>
                <w:szCs w:val="21"/>
                <w:lang w:val="en-US" w:eastAsia="zh-CN"/>
              </w:rPr>
              <w:t>4 教学能力</w:t>
            </w:r>
          </w:p>
        </w:tc>
        <w:tc>
          <w:tcPr>
            <w:tcW w:w="5688" w:type="dxa"/>
            <w:vAlign w:val="center"/>
          </w:tcPr>
          <w:p w14:paraId="2A74F795">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3DCD9C09">
            <w:pPr>
              <w:spacing w:line="360"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p>
        </w:tc>
      </w:tr>
      <w:tr w14:paraId="18B2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0D8998">
            <w:pPr>
              <w:spacing w:line="360"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rPr>
              <w:t>毕业要求</w:t>
            </w:r>
            <w:r>
              <w:rPr>
                <w:rFonts w:hint="eastAsia" w:ascii="宋体" w:hAnsi="宋体" w:eastAsia="宋体" w:cs="Times New Roman"/>
                <w:color w:val="000000"/>
                <w:szCs w:val="21"/>
                <w:lang w:val="en-US" w:eastAsia="zh-CN"/>
              </w:rPr>
              <w:t>6综合育人</w:t>
            </w:r>
          </w:p>
        </w:tc>
        <w:tc>
          <w:tcPr>
            <w:tcW w:w="5688" w:type="dxa"/>
            <w:vAlign w:val="center"/>
          </w:tcPr>
          <w:p w14:paraId="48BBC74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w:t>
            </w: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：【遵循身心规律】了解不同年龄以及有特殊需要的小学生的身心发展特点和规律、不同年龄小学生学习的特点，掌握小学生良好行为习惯养成的知识。</w:t>
            </w:r>
          </w:p>
        </w:tc>
        <w:tc>
          <w:tcPr>
            <w:tcW w:w="1191" w:type="dxa"/>
            <w:vAlign w:val="center"/>
          </w:tcPr>
          <w:p w14:paraId="67BFA9C4">
            <w:pPr>
              <w:spacing w:line="360"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w:t>
            </w:r>
          </w:p>
        </w:tc>
      </w:tr>
    </w:tbl>
    <w:p w14:paraId="7548C35F">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A272F0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教育教学知识与</w:t>
      </w:r>
      <w:r>
        <w:rPr>
          <w:rFonts w:hint="eastAsia" w:ascii="宋体" w:hAnsi="宋体" w:eastAsia="宋体" w:cs="Times New Roman"/>
          <w:color w:val="000000"/>
          <w:szCs w:val="21"/>
        </w:rPr>
        <w:t>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16142CB">
      <w:pPr>
        <w:spacing w:line="360" w:lineRule="auto"/>
        <w:jc w:val="left"/>
        <w:rPr>
          <w:rFonts w:hint="eastAsia" w:ascii="宋体" w:hAnsi="宋体" w:eastAsia="宋体" w:cs="Times New Roman"/>
          <w:b/>
          <w:color w:val="000000"/>
          <w:sz w:val="24"/>
          <w:szCs w:val="24"/>
        </w:rPr>
      </w:pPr>
    </w:p>
    <w:p w14:paraId="150672B0">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699"/>
        <w:gridCol w:w="2"/>
        <w:gridCol w:w="1134"/>
        <w:gridCol w:w="3260"/>
        <w:gridCol w:w="1560"/>
        <w:gridCol w:w="8"/>
        <w:gridCol w:w="430"/>
      </w:tblGrid>
      <w:tr w14:paraId="247D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7DF3143">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88423BE">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gridSpan w:val="2"/>
            <w:vAlign w:val="center"/>
          </w:tcPr>
          <w:p w14:paraId="0525D51E">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15FE52CA">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1019DE42">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A26C92D">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65A64119">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gridSpan w:val="2"/>
            <w:vAlign w:val="center"/>
          </w:tcPr>
          <w:p w14:paraId="6D592CD8">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57A8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9F89C49">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1.教育心理学</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教学的基础</w:t>
            </w:r>
          </w:p>
        </w:tc>
        <w:tc>
          <w:tcPr>
            <w:tcW w:w="1701" w:type="dxa"/>
            <w:gridSpan w:val="2"/>
            <w:vAlign w:val="center"/>
          </w:tcPr>
          <w:p w14:paraId="68F12DC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（1）教育心理学的研究对象</w:t>
            </w:r>
          </w:p>
          <w:p w14:paraId="180D41C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（2）教育心理学的产生概况</w:t>
            </w:r>
          </w:p>
          <w:p w14:paraId="5E23860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（3）教育心理学的研究方法</w:t>
            </w:r>
          </w:p>
        </w:tc>
        <w:tc>
          <w:tcPr>
            <w:tcW w:w="1134" w:type="dxa"/>
            <w:vAlign w:val="center"/>
          </w:tcPr>
          <w:p w14:paraId="1A46B6F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4A40F48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理</w:t>
            </w:r>
            <w:r>
              <w:rPr>
                <w:rFonts w:ascii="宋体" w:hAnsi="宋体" w:eastAsia="宋体" w:cs="Times New Roman"/>
                <w:color w:val="000000"/>
                <w:szCs w:val="21"/>
              </w:rPr>
              <w:t>解教育</w:t>
            </w:r>
            <w:r>
              <w:rPr>
                <w:rFonts w:hint="eastAsia" w:ascii="宋体" w:hAnsi="宋体" w:eastAsia="宋体" w:cs="Times New Roman"/>
                <w:color w:val="000000"/>
                <w:szCs w:val="21"/>
                <w:lang w:val="en-US" w:eastAsia="zh-CN"/>
              </w:rPr>
              <w:t>心理</w:t>
            </w:r>
            <w:r>
              <w:rPr>
                <w:rFonts w:ascii="宋体" w:hAnsi="宋体" w:eastAsia="宋体" w:cs="Times New Roman"/>
                <w:color w:val="000000"/>
                <w:szCs w:val="21"/>
              </w:rPr>
              <w:t>学的学科性质、研究对象</w:t>
            </w:r>
            <w:r>
              <w:rPr>
                <w:rFonts w:hint="eastAsia" w:ascii="宋体" w:hAnsi="宋体" w:eastAsia="宋体" w:cs="Times New Roman"/>
                <w:color w:val="000000"/>
                <w:szCs w:val="21"/>
              </w:rPr>
              <w:t>；</w:t>
            </w:r>
          </w:p>
          <w:p w14:paraId="0B2DA51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（2）了解教育心理学发展历史</w:t>
            </w:r>
            <w:r>
              <w:rPr>
                <w:rFonts w:hint="eastAsia" w:ascii="宋体" w:hAnsi="宋体" w:eastAsia="宋体" w:cs="Times New Roman"/>
                <w:color w:val="000000"/>
                <w:szCs w:val="21"/>
              </w:rPr>
              <w:t>；</w:t>
            </w:r>
          </w:p>
          <w:p w14:paraId="24EE1F1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（3）掌握教育心理学的基本研究方法，初步形成自觉适应教育变革的意识</w:t>
            </w:r>
            <w:r>
              <w:rPr>
                <w:rFonts w:hint="eastAsia" w:ascii="宋体" w:hAnsi="宋体" w:eastAsia="宋体" w:cs="Times New Roman"/>
                <w:color w:val="000000"/>
                <w:szCs w:val="21"/>
              </w:rPr>
              <w:t>。</w:t>
            </w:r>
          </w:p>
        </w:tc>
        <w:tc>
          <w:tcPr>
            <w:tcW w:w="1560" w:type="dxa"/>
            <w:vAlign w:val="center"/>
          </w:tcPr>
          <w:p w14:paraId="2AD0F4B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2838F33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61D150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gridSpan w:val="2"/>
            <w:vAlign w:val="center"/>
          </w:tcPr>
          <w:p w14:paraId="12D7FBD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5CB8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E37BCF">
            <w:pPr>
              <w:spacing w:line="264" w:lineRule="auto"/>
              <w:jc w:val="center"/>
              <w:rPr>
                <w:rFonts w:ascii="宋体" w:hAnsi="宋体" w:eastAsia="宋体" w:cs="Times New Roman"/>
                <w:color w:val="000000"/>
                <w:szCs w:val="21"/>
              </w:rPr>
            </w:pPr>
          </w:p>
        </w:tc>
        <w:tc>
          <w:tcPr>
            <w:tcW w:w="8093" w:type="dxa"/>
            <w:gridSpan w:val="7"/>
            <w:vAlign w:val="center"/>
          </w:tcPr>
          <w:p w14:paraId="16CC2DE4">
            <w:pPr>
              <w:spacing w:line="336" w:lineRule="auto"/>
              <w:ind w:firstLine="422" w:firstLineChars="200"/>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通过让学生了解教育心理学的产生背景和发展脉络，了解教育心理规律，形成正确的符合我国国情的教育心理观，深刻理解立德树人的教育理念。</w:t>
            </w:r>
          </w:p>
        </w:tc>
      </w:tr>
      <w:tr w14:paraId="0CE4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1205" w:type="dxa"/>
            <w:vMerge w:val="restart"/>
            <w:vAlign w:val="center"/>
          </w:tcPr>
          <w:p w14:paraId="5ECFF844">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学生</w:t>
            </w:r>
          </w:p>
          <w:p w14:paraId="086299B3">
            <w:pPr>
              <w:spacing w:line="264" w:lineRule="auto"/>
              <w:ind w:firstLine="210" w:firstLineChars="1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心理</w:t>
            </w:r>
          </w:p>
        </w:tc>
        <w:tc>
          <w:tcPr>
            <w:tcW w:w="1701" w:type="dxa"/>
            <w:gridSpan w:val="2"/>
            <w:vAlign w:val="center"/>
          </w:tcPr>
          <w:p w14:paraId="0A42D91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（1）学生的认知发展</w:t>
            </w:r>
          </w:p>
          <w:p w14:paraId="53D98D4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（2）学生的情感和个性发展</w:t>
            </w:r>
          </w:p>
          <w:p w14:paraId="30F0442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（3）学生的个体差异</w:t>
            </w:r>
          </w:p>
        </w:tc>
        <w:tc>
          <w:tcPr>
            <w:tcW w:w="1134" w:type="dxa"/>
            <w:vAlign w:val="center"/>
          </w:tcPr>
          <w:p w14:paraId="0E5E605B">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w:t>
            </w:r>
          </w:p>
        </w:tc>
        <w:tc>
          <w:tcPr>
            <w:tcW w:w="3260" w:type="dxa"/>
            <w:vAlign w:val="center"/>
          </w:tcPr>
          <w:p w14:paraId="2E1DEF6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（1）掌握学生发展的一般规律</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把握学生发展的</w:t>
            </w:r>
            <w:r>
              <w:rPr>
                <w:rFonts w:hint="eastAsia" w:ascii="宋体" w:hAnsi="宋体" w:eastAsia="宋体" w:cs="Times New Roman"/>
                <w:color w:val="000000"/>
                <w:szCs w:val="21"/>
              </w:rPr>
              <w:t>个体差异性；</w:t>
            </w:r>
          </w:p>
          <w:p w14:paraId="20B9B76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（2）把握</w:t>
            </w:r>
            <w:r>
              <w:rPr>
                <w:rFonts w:hint="eastAsia" w:ascii="宋体" w:hAnsi="宋体" w:eastAsia="宋体" w:cs="Times New Roman"/>
                <w:color w:val="000000"/>
                <w:szCs w:val="21"/>
                <w:lang w:val="en-US" w:eastAsia="zh-CN"/>
              </w:rPr>
              <w:t>不同年龄阶段小</w:t>
            </w:r>
            <w:r>
              <w:rPr>
                <w:rFonts w:hint="eastAsia" w:ascii="宋体" w:hAnsi="宋体" w:eastAsia="宋体" w:cs="Times New Roman"/>
                <w:color w:val="000000"/>
                <w:szCs w:val="21"/>
              </w:rPr>
              <w:t>学生</w:t>
            </w:r>
            <w:r>
              <w:rPr>
                <w:rFonts w:hint="eastAsia" w:ascii="宋体" w:hAnsi="宋体" w:eastAsia="宋体" w:cs="Times New Roman"/>
                <w:color w:val="000000"/>
                <w:szCs w:val="21"/>
                <w:lang w:val="en-US" w:eastAsia="zh-CN"/>
              </w:rPr>
              <w:t>的学习特点</w:t>
            </w:r>
            <w:r>
              <w:rPr>
                <w:rFonts w:hint="eastAsia" w:ascii="宋体" w:hAnsi="宋体" w:eastAsia="宋体" w:cs="Times New Roman"/>
                <w:color w:val="000000"/>
                <w:szCs w:val="21"/>
              </w:rPr>
              <w:t>。</w:t>
            </w:r>
          </w:p>
        </w:tc>
        <w:tc>
          <w:tcPr>
            <w:tcW w:w="1560" w:type="dxa"/>
            <w:vAlign w:val="center"/>
          </w:tcPr>
          <w:p w14:paraId="205324E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4CA4696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239734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gridSpan w:val="2"/>
            <w:vAlign w:val="center"/>
          </w:tcPr>
          <w:p w14:paraId="70768068">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345F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B409CF">
            <w:pPr>
              <w:spacing w:line="264" w:lineRule="auto"/>
              <w:jc w:val="center"/>
              <w:rPr>
                <w:rFonts w:ascii="宋体" w:hAnsi="宋体" w:eastAsia="宋体" w:cs="Times New Roman"/>
                <w:color w:val="000000"/>
                <w:szCs w:val="21"/>
              </w:rPr>
            </w:pPr>
          </w:p>
        </w:tc>
        <w:tc>
          <w:tcPr>
            <w:tcW w:w="8093" w:type="dxa"/>
            <w:gridSpan w:val="7"/>
            <w:vAlign w:val="center"/>
          </w:tcPr>
          <w:p w14:paraId="345580E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通过学习认识人的心理的发展和个体差异性，培养学生对自我的全面认识和对他人的尊重，进而为四个自信以及心态平和的价值观打下良好的自我基础。</w:t>
            </w:r>
          </w:p>
        </w:tc>
      </w:tr>
      <w:tr w14:paraId="2642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7ACF69">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学习</w:t>
            </w:r>
          </w:p>
          <w:p w14:paraId="6573EE24">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心理导论</w:t>
            </w:r>
          </w:p>
        </w:tc>
        <w:tc>
          <w:tcPr>
            <w:tcW w:w="1701" w:type="dxa"/>
            <w:gridSpan w:val="2"/>
            <w:vAlign w:val="center"/>
          </w:tcPr>
          <w:p w14:paraId="76FB54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（1）学习及分类</w:t>
            </w:r>
          </w:p>
          <w:p w14:paraId="3C041C6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（2）学习与脑</w:t>
            </w:r>
          </w:p>
          <w:p w14:paraId="75FDF7E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（3）学习理论发展</w:t>
            </w:r>
          </w:p>
        </w:tc>
        <w:tc>
          <w:tcPr>
            <w:tcW w:w="1134" w:type="dxa"/>
            <w:vAlign w:val="center"/>
          </w:tcPr>
          <w:p w14:paraId="65E0404E">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p>
        </w:tc>
        <w:tc>
          <w:tcPr>
            <w:tcW w:w="3260" w:type="dxa"/>
            <w:vAlign w:val="center"/>
          </w:tcPr>
          <w:p w14:paraId="40237B4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（1）理解学习的实质；</w:t>
            </w:r>
          </w:p>
          <w:p w14:paraId="04EE687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（2）掌握学习的分类；</w:t>
            </w:r>
          </w:p>
          <w:p w14:paraId="0CFB724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（3）了解有关学习理论的发展过程。</w:t>
            </w:r>
          </w:p>
        </w:tc>
        <w:tc>
          <w:tcPr>
            <w:tcW w:w="1560" w:type="dxa"/>
            <w:vAlign w:val="center"/>
          </w:tcPr>
          <w:p w14:paraId="1DB93C1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475248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B3AA57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5CF428DD">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697E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AB8020">
            <w:pPr>
              <w:spacing w:line="264" w:lineRule="auto"/>
              <w:jc w:val="center"/>
              <w:rPr>
                <w:rFonts w:ascii="宋体" w:hAnsi="宋体" w:eastAsia="宋体" w:cs="Times New Roman"/>
                <w:color w:val="000000"/>
                <w:szCs w:val="21"/>
              </w:rPr>
            </w:pPr>
          </w:p>
        </w:tc>
        <w:tc>
          <w:tcPr>
            <w:tcW w:w="8093" w:type="dxa"/>
            <w:gridSpan w:val="7"/>
            <w:vAlign w:val="center"/>
          </w:tcPr>
          <w:p w14:paraId="500EE356">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0251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A80B313">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行为</w:t>
            </w:r>
          </w:p>
          <w:p w14:paraId="72EDB17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主义</w:t>
            </w:r>
          </w:p>
          <w:p w14:paraId="0C5ADDE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学习理论</w:t>
            </w:r>
          </w:p>
        </w:tc>
        <w:tc>
          <w:tcPr>
            <w:tcW w:w="1701" w:type="dxa"/>
            <w:gridSpan w:val="2"/>
            <w:vAlign w:val="center"/>
          </w:tcPr>
          <w:p w14:paraId="3A127C7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（1）经典条件作用理论</w:t>
            </w:r>
          </w:p>
          <w:p w14:paraId="1861C07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（2）联结主义理论</w:t>
            </w:r>
          </w:p>
          <w:p w14:paraId="4104120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（3）操作条件作用理论</w:t>
            </w:r>
          </w:p>
          <w:p w14:paraId="1665B61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（4）社会学习理论</w:t>
            </w:r>
          </w:p>
        </w:tc>
        <w:tc>
          <w:tcPr>
            <w:tcW w:w="1134" w:type="dxa"/>
            <w:vAlign w:val="center"/>
          </w:tcPr>
          <w:p w14:paraId="57E93CF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46ED67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（1）掌握行为主义有关学习的本质和习得条件的基本观点；</w:t>
            </w:r>
          </w:p>
          <w:p w14:paraId="0A202D1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（2）比较各种行为主义学习理论的异同；</w:t>
            </w:r>
          </w:p>
          <w:p w14:paraId="41830DA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结合人工智能与脑神经研究</w:t>
            </w:r>
            <w:r>
              <w:rPr>
                <w:rFonts w:hint="eastAsia" w:ascii="宋体" w:hAnsi="宋体" w:eastAsia="宋体" w:cs="Times New Roman"/>
                <w:color w:val="000000"/>
                <w:szCs w:val="21"/>
              </w:rPr>
              <w:t>了解行为主义理论发展的新进展。</w:t>
            </w:r>
          </w:p>
          <w:p w14:paraId="69A660FC">
            <w:pPr>
              <w:spacing w:line="276" w:lineRule="auto"/>
              <w:jc w:val="left"/>
              <w:rPr>
                <w:rFonts w:ascii="宋体" w:hAnsi="宋体" w:eastAsia="宋体" w:cs="Times New Roman"/>
                <w:color w:val="000000"/>
                <w:szCs w:val="21"/>
              </w:rPr>
            </w:pPr>
          </w:p>
        </w:tc>
        <w:tc>
          <w:tcPr>
            <w:tcW w:w="1560" w:type="dxa"/>
            <w:vAlign w:val="center"/>
          </w:tcPr>
          <w:p w14:paraId="04848FD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A52D6E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F26A73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599F42EB">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21E7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ACC62D6">
            <w:pPr>
              <w:spacing w:line="276" w:lineRule="auto"/>
              <w:jc w:val="center"/>
              <w:rPr>
                <w:rFonts w:ascii="宋体" w:hAnsi="宋体" w:eastAsia="宋体" w:cs="Times New Roman"/>
                <w:color w:val="000000"/>
                <w:szCs w:val="21"/>
              </w:rPr>
            </w:pPr>
          </w:p>
        </w:tc>
        <w:tc>
          <w:tcPr>
            <w:tcW w:w="8093" w:type="dxa"/>
            <w:gridSpan w:val="7"/>
            <w:vAlign w:val="center"/>
          </w:tcPr>
          <w:p w14:paraId="0B45B96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通过了解行为主义学习理论观，让学生充分认识“做中学”的核心理念，</w:t>
            </w:r>
            <w:r>
              <w:rPr>
                <w:rFonts w:hint="eastAsia" w:ascii="宋体" w:hAnsi="宋体" w:eastAsia="宋体" w:cs="Times New Roman"/>
                <w:color w:val="000000"/>
                <w:szCs w:val="21"/>
                <w:lang w:val="en-US" w:eastAsia="zh-CN"/>
              </w:rPr>
              <w:t>结合我国在人工智能研究的探索，</w:t>
            </w:r>
            <w:r>
              <w:rPr>
                <w:rFonts w:hint="eastAsia" w:ascii="宋体" w:hAnsi="宋体" w:eastAsia="宋体" w:cs="Times New Roman"/>
                <w:color w:val="000000"/>
                <w:szCs w:val="21"/>
              </w:rPr>
              <w:t>积极引导学生在日常生活中积极通过实际行动厚植爱国主义情怀，弘扬以爱国主义为核心的民族精神和以改革创新为核心的时代精神。</w:t>
            </w:r>
          </w:p>
        </w:tc>
      </w:tr>
      <w:tr w14:paraId="4FF1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69C7D88">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 xml:space="preserve">认知 </w:t>
            </w:r>
          </w:p>
          <w:p w14:paraId="51A6A75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学习理论</w:t>
            </w:r>
          </w:p>
        </w:tc>
        <w:tc>
          <w:tcPr>
            <w:tcW w:w="1701" w:type="dxa"/>
            <w:gridSpan w:val="2"/>
            <w:vAlign w:val="center"/>
          </w:tcPr>
          <w:p w14:paraId="438AA0E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（1）早期的认知学习理论</w:t>
            </w:r>
          </w:p>
          <w:p w14:paraId="58A5E31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（2）认知结构学习理论</w:t>
            </w:r>
          </w:p>
          <w:p w14:paraId="2C7DBA8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（3）认知同化学习理论</w:t>
            </w:r>
          </w:p>
          <w:p w14:paraId="09AF13B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（4）学习的信息加工论</w:t>
            </w:r>
          </w:p>
        </w:tc>
        <w:tc>
          <w:tcPr>
            <w:tcW w:w="1134" w:type="dxa"/>
            <w:vAlign w:val="center"/>
          </w:tcPr>
          <w:p w14:paraId="758D8AF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CC25C8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（1）掌握各认知主义学习理论有关学习的本质和习得条件的基本观点；</w:t>
            </w:r>
          </w:p>
          <w:p w14:paraId="02F8ECA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（2）比较各种行为主义学习理论的异同。</w:t>
            </w:r>
          </w:p>
          <w:p w14:paraId="774DEDFD">
            <w:pPr>
              <w:spacing w:line="276" w:lineRule="auto"/>
              <w:jc w:val="left"/>
              <w:rPr>
                <w:rFonts w:ascii="宋体" w:hAnsi="宋体" w:eastAsia="宋体" w:cs="Times New Roman"/>
                <w:color w:val="000000"/>
                <w:szCs w:val="21"/>
              </w:rPr>
            </w:pPr>
          </w:p>
        </w:tc>
        <w:tc>
          <w:tcPr>
            <w:tcW w:w="1560" w:type="dxa"/>
            <w:vAlign w:val="center"/>
          </w:tcPr>
          <w:p w14:paraId="2172F62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0E4DA7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60AF9F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5CCEA996">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1324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B22001">
            <w:pPr>
              <w:spacing w:line="276" w:lineRule="auto"/>
              <w:jc w:val="center"/>
              <w:rPr>
                <w:rFonts w:ascii="宋体" w:hAnsi="宋体" w:eastAsia="宋体" w:cs="Times New Roman"/>
                <w:color w:val="000000"/>
                <w:szCs w:val="21"/>
              </w:rPr>
            </w:pPr>
          </w:p>
        </w:tc>
        <w:tc>
          <w:tcPr>
            <w:tcW w:w="8093" w:type="dxa"/>
            <w:gridSpan w:val="7"/>
            <w:vAlign w:val="center"/>
          </w:tcPr>
          <w:p w14:paraId="255E0AFB">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认知主义的学习观，让学生充分认识并内化新时代中国特色社会主义的核心理念，使学生对待学习和知识获取方面同频共振，使课堂教学在认知层面成为引导学生成为学习知识、锤炼心志和养成品行的过程。</w:t>
            </w:r>
          </w:p>
        </w:tc>
      </w:tr>
      <w:tr w14:paraId="72C3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089EF3">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en-US" w:eastAsia="zh-CN"/>
              </w:rPr>
              <w:t>建构</w:t>
            </w:r>
          </w:p>
          <w:p w14:paraId="30DC952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主义与人本主义学习理论</w:t>
            </w:r>
          </w:p>
        </w:tc>
        <w:tc>
          <w:tcPr>
            <w:tcW w:w="1701" w:type="dxa"/>
            <w:gridSpan w:val="2"/>
            <w:vAlign w:val="center"/>
          </w:tcPr>
          <w:p w14:paraId="13CE9A19">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（1）建构主义</w:t>
            </w:r>
            <w:r>
              <w:rPr>
                <w:rFonts w:hint="eastAsia" w:ascii="宋体" w:hAnsi="宋体" w:eastAsia="宋体" w:cs="Times New Roman"/>
                <w:color w:val="000000"/>
                <w:szCs w:val="21"/>
                <w:lang w:val="en-US" w:eastAsia="zh-CN"/>
              </w:rPr>
              <w:t>学习理论</w:t>
            </w:r>
          </w:p>
          <w:p w14:paraId="780E702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（2）人本主义学习理论</w:t>
            </w:r>
          </w:p>
        </w:tc>
        <w:tc>
          <w:tcPr>
            <w:tcW w:w="1134" w:type="dxa"/>
            <w:vAlign w:val="center"/>
          </w:tcPr>
          <w:p w14:paraId="4222162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C7605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（1）掌握建构主义学习理论的基本观点；</w:t>
            </w:r>
          </w:p>
          <w:p w14:paraId="056A433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（2）掌握人本主义学习理论的基本观点；</w:t>
            </w:r>
          </w:p>
        </w:tc>
        <w:tc>
          <w:tcPr>
            <w:tcW w:w="1560" w:type="dxa"/>
            <w:vAlign w:val="center"/>
          </w:tcPr>
          <w:p w14:paraId="7FC35E60">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80B2BA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59832A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1CD2FFD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6016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342F79E">
            <w:pPr>
              <w:spacing w:line="276" w:lineRule="auto"/>
              <w:jc w:val="center"/>
              <w:rPr>
                <w:rFonts w:ascii="宋体" w:hAnsi="宋体" w:eastAsia="宋体" w:cs="Times New Roman"/>
                <w:color w:val="000000"/>
                <w:szCs w:val="21"/>
              </w:rPr>
            </w:pPr>
          </w:p>
        </w:tc>
        <w:tc>
          <w:tcPr>
            <w:tcW w:w="8093" w:type="dxa"/>
            <w:gridSpan w:val="7"/>
            <w:vAlign w:val="center"/>
          </w:tcPr>
          <w:p w14:paraId="669142FF">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通过认识建构主义</w:t>
            </w:r>
            <w:r>
              <w:rPr>
                <w:rFonts w:hint="eastAsia" w:ascii="宋体" w:hAnsi="宋体" w:eastAsia="宋体" w:cs="Times New Roman"/>
                <w:color w:val="000000"/>
                <w:szCs w:val="21"/>
                <w:lang w:val="en-US" w:eastAsia="zh-CN"/>
              </w:rPr>
              <w:t>与人本主义</w:t>
            </w:r>
            <w:r>
              <w:rPr>
                <w:rFonts w:hint="eastAsia" w:ascii="宋体" w:hAnsi="宋体" w:eastAsia="宋体" w:cs="Times New Roman"/>
                <w:color w:val="000000"/>
                <w:szCs w:val="21"/>
              </w:rPr>
              <w:t>学习理念，让学生充分认识到人的主观能动性的作用，知识既然可以是建构获得，人的成长与成才更需要个人的积极努力和不懈追求</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进而培养学生“功成不必在我”的初心精神。</w:t>
            </w:r>
          </w:p>
        </w:tc>
      </w:tr>
      <w:tr w14:paraId="608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C83DC92">
            <w:pPr>
              <w:spacing w:line="276" w:lineRule="auto"/>
              <w:jc w:val="center"/>
              <w:rPr>
                <w:rFonts w:hint="eastAsia" w:ascii="宋体" w:hAnsi="宋体" w:eastAsia="宋体" w:cs="Times New Roman"/>
                <w:szCs w:val="21"/>
                <w:lang w:val="en-US" w:eastAsia="zh-CN"/>
              </w:rPr>
            </w:pPr>
            <w:r>
              <w:rPr>
                <w:rFonts w:hint="eastAsia" w:ascii="宋体" w:hAnsi="宋体" w:eastAsia="宋体" w:cs="Times New Roman"/>
                <w:szCs w:val="21"/>
              </w:rPr>
              <w:t>7.</w:t>
            </w:r>
            <w:r>
              <w:rPr>
                <w:rFonts w:hint="eastAsia" w:ascii="宋体" w:hAnsi="宋体" w:eastAsia="宋体" w:cs="Times New Roman"/>
                <w:szCs w:val="21"/>
                <w:lang w:val="en-US" w:eastAsia="zh-CN"/>
              </w:rPr>
              <w:t>学习</w:t>
            </w:r>
          </w:p>
          <w:p w14:paraId="521E1EC6">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动机</w:t>
            </w:r>
          </w:p>
        </w:tc>
        <w:tc>
          <w:tcPr>
            <w:tcW w:w="1701" w:type="dxa"/>
            <w:gridSpan w:val="2"/>
            <w:vAlign w:val="center"/>
          </w:tcPr>
          <w:p w14:paraId="4338C1AA">
            <w:pPr>
              <w:spacing w:line="276" w:lineRule="auto"/>
              <w:jc w:val="left"/>
              <w:rPr>
                <w:rFonts w:hint="eastAsia" w:ascii="宋体" w:hAnsi="宋体" w:eastAsia="宋体" w:cs="Times New Roman"/>
                <w:szCs w:val="21"/>
              </w:rPr>
            </w:pPr>
            <w:r>
              <w:rPr>
                <w:rFonts w:hint="eastAsia" w:ascii="宋体" w:hAnsi="宋体" w:eastAsia="宋体" w:cs="Times New Roman"/>
                <w:szCs w:val="21"/>
              </w:rPr>
              <w:t xml:space="preserve">（1）学习动机的概述 </w:t>
            </w:r>
          </w:p>
          <w:p w14:paraId="27AB0651">
            <w:pPr>
              <w:spacing w:line="276" w:lineRule="auto"/>
              <w:jc w:val="left"/>
              <w:rPr>
                <w:rFonts w:hint="eastAsia" w:ascii="宋体" w:hAnsi="宋体" w:eastAsia="宋体" w:cs="Times New Roman"/>
                <w:szCs w:val="21"/>
              </w:rPr>
            </w:pPr>
            <w:r>
              <w:rPr>
                <w:rFonts w:hint="eastAsia" w:ascii="宋体" w:hAnsi="宋体" w:eastAsia="宋体" w:cs="Times New Roman"/>
                <w:szCs w:val="21"/>
              </w:rPr>
              <w:t>（2）学习动机的理论</w:t>
            </w:r>
          </w:p>
          <w:p w14:paraId="274C2080">
            <w:pPr>
              <w:spacing w:line="276" w:lineRule="auto"/>
              <w:jc w:val="left"/>
              <w:rPr>
                <w:rFonts w:ascii="宋体" w:hAnsi="宋体" w:eastAsia="宋体" w:cs="Times New Roman"/>
                <w:szCs w:val="21"/>
              </w:rPr>
            </w:pPr>
            <w:r>
              <w:rPr>
                <w:rFonts w:hint="eastAsia" w:ascii="宋体" w:hAnsi="宋体" w:eastAsia="宋体" w:cs="Times New Roman"/>
                <w:szCs w:val="21"/>
              </w:rPr>
              <w:t>（3）学习动机的培养与激发</w:t>
            </w:r>
          </w:p>
        </w:tc>
        <w:tc>
          <w:tcPr>
            <w:tcW w:w="1134" w:type="dxa"/>
            <w:vAlign w:val="center"/>
          </w:tcPr>
          <w:p w14:paraId="77C5896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2226BD1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（1）理解学习动机的概念及其分类，掌握</w:t>
            </w:r>
            <w:r>
              <w:rPr>
                <w:rFonts w:hint="eastAsia" w:ascii="宋体" w:hAnsi="宋体" w:eastAsia="宋体" w:cs="Times New Roman"/>
                <w:color w:val="000000"/>
                <w:szCs w:val="21"/>
                <w:lang w:val="en-US" w:eastAsia="zh-CN"/>
              </w:rPr>
              <w:t>小</w:t>
            </w:r>
            <w:r>
              <w:rPr>
                <w:rFonts w:hint="eastAsia" w:ascii="宋体" w:hAnsi="宋体" w:eastAsia="宋体" w:cs="Times New Roman"/>
                <w:color w:val="000000"/>
                <w:szCs w:val="21"/>
              </w:rPr>
              <w:t>学生学习动机的特点；</w:t>
            </w:r>
          </w:p>
          <w:p w14:paraId="097BEE3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（2）了解有关学习动机的基本理论；</w:t>
            </w:r>
          </w:p>
          <w:p w14:paraId="3D63A69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（3）掌握学生学习动机的培养与激发的具体措施。</w:t>
            </w:r>
          </w:p>
        </w:tc>
        <w:tc>
          <w:tcPr>
            <w:tcW w:w="1560" w:type="dxa"/>
            <w:vAlign w:val="center"/>
          </w:tcPr>
          <w:p w14:paraId="2470721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876030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D9EF03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3EC40716">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05E2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47C657E">
            <w:pPr>
              <w:spacing w:line="276" w:lineRule="auto"/>
              <w:jc w:val="center"/>
              <w:rPr>
                <w:rFonts w:ascii="宋体" w:hAnsi="宋体" w:eastAsia="宋体" w:cs="Times New Roman"/>
                <w:color w:val="000000"/>
                <w:szCs w:val="21"/>
              </w:rPr>
            </w:pPr>
          </w:p>
        </w:tc>
        <w:tc>
          <w:tcPr>
            <w:tcW w:w="8093" w:type="dxa"/>
            <w:gridSpan w:val="7"/>
            <w:vAlign w:val="center"/>
          </w:tcPr>
          <w:p w14:paraId="64DA8ABD">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通过学生对学习动机的理解，认识到个人意愿和心态在学习与工作中的重要作用</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进而引导学生更好的深化对“不忘初心、牢记使命”所具有的警醒和激励作用。</w:t>
            </w:r>
          </w:p>
        </w:tc>
      </w:tr>
      <w:tr w14:paraId="5DA4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BCF9A5">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8.</w:t>
            </w:r>
            <w:r>
              <w:rPr>
                <w:rFonts w:hint="eastAsia" w:ascii="宋体" w:hAnsi="宋体" w:eastAsia="宋体" w:cs="Times New Roman"/>
                <w:color w:val="000000"/>
                <w:szCs w:val="21"/>
                <w:lang w:val="en-US" w:eastAsia="zh-CN"/>
              </w:rPr>
              <w:t>知识的分类与</w:t>
            </w:r>
          </w:p>
          <w:p w14:paraId="45B599E1">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迁移</w:t>
            </w:r>
          </w:p>
        </w:tc>
        <w:tc>
          <w:tcPr>
            <w:tcW w:w="1701" w:type="dxa"/>
            <w:gridSpan w:val="2"/>
            <w:vAlign w:val="center"/>
          </w:tcPr>
          <w:p w14:paraId="15877931">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知识的分类</w:t>
            </w:r>
          </w:p>
          <w:p w14:paraId="6F69AEE0">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学习的迁移</w:t>
            </w:r>
          </w:p>
          <w:p w14:paraId="540B5E3A">
            <w:pPr>
              <w:spacing w:line="264" w:lineRule="auto"/>
              <w:jc w:val="left"/>
              <w:rPr>
                <w:rFonts w:ascii="宋体" w:hAnsi="宋体" w:eastAsia="宋体" w:cs="Times New Roman"/>
                <w:color w:val="000000"/>
                <w:szCs w:val="21"/>
              </w:rPr>
            </w:pPr>
          </w:p>
        </w:tc>
        <w:tc>
          <w:tcPr>
            <w:tcW w:w="1134" w:type="dxa"/>
            <w:vAlign w:val="center"/>
          </w:tcPr>
          <w:p w14:paraId="7D7AC1D7">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3A2E2ED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（1）理解知识分类及表征；</w:t>
            </w:r>
          </w:p>
          <w:p w14:paraId="72408CFD">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（2）把握</w:t>
            </w:r>
            <w:r>
              <w:rPr>
                <w:rFonts w:hint="eastAsia" w:ascii="宋体" w:hAnsi="宋体" w:eastAsia="宋体" w:cs="Times New Roman"/>
                <w:color w:val="000000"/>
                <w:szCs w:val="21"/>
                <w:lang w:val="en-US" w:eastAsia="zh-CN"/>
              </w:rPr>
              <w:t>迁移的主要理论观点；</w:t>
            </w:r>
          </w:p>
          <w:p w14:paraId="34CB66ED">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（3）能提出为迁移而教的教学建议</w:t>
            </w:r>
            <w:r>
              <w:rPr>
                <w:rFonts w:hint="eastAsia" w:ascii="宋体" w:hAnsi="宋体" w:eastAsia="宋体" w:cs="Times New Roman"/>
                <w:color w:val="000000"/>
                <w:szCs w:val="21"/>
              </w:rPr>
              <w:t>。</w:t>
            </w:r>
          </w:p>
        </w:tc>
        <w:tc>
          <w:tcPr>
            <w:tcW w:w="1560" w:type="dxa"/>
            <w:vAlign w:val="center"/>
          </w:tcPr>
          <w:p w14:paraId="060644E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727AA2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CBCFF72">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017A0609">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01F9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F434D8">
            <w:pPr>
              <w:spacing w:line="264" w:lineRule="auto"/>
              <w:jc w:val="center"/>
              <w:rPr>
                <w:rFonts w:ascii="宋体" w:hAnsi="宋体" w:eastAsia="宋体" w:cs="Times New Roman"/>
                <w:color w:val="000000"/>
                <w:szCs w:val="21"/>
              </w:rPr>
            </w:pPr>
          </w:p>
        </w:tc>
        <w:tc>
          <w:tcPr>
            <w:tcW w:w="8093" w:type="dxa"/>
            <w:gridSpan w:val="7"/>
            <w:vAlign w:val="center"/>
          </w:tcPr>
          <w:p w14:paraId="2E740C61">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通过对知识的本身概念和分类以及表征过程的学习和理解，让学生充分认识到</w:t>
            </w:r>
            <w:r>
              <w:rPr>
                <w:rFonts w:hint="eastAsia" w:ascii="宋体" w:hAnsi="宋体" w:eastAsia="宋体" w:cs="Times New Roman"/>
                <w:color w:val="000000"/>
                <w:szCs w:val="21"/>
                <w:lang w:val="en-US" w:eastAsia="zh-CN"/>
              </w:rPr>
              <w:t>汉语在人工智能时代的优越性</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增强</w:t>
            </w:r>
            <w:r>
              <w:rPr>
                <w:rFonts w:hint="eastAsia" w:ascii="宋体" w:hAnsi="宋体" w:eastAsia="宋体" w:cs="Times New Roman"/>
                <w:color w:val="000000"/>
                <w:szCs w:val="21"/>
              </w:rPr>
              <w:t>学生</w:t>
            </w:r>
            <w:r>
              <w:rPr>
                <w:rFonts w:hint="eastAsia" w:ascii="宋体" w:hAnsi="宋体" w:eastAsia="宋体" w:cs="Times New Roman"/>
                <w:color w:val="000000"/>
                <w:szCs w:val="21"/>
                <w:lang w:val="en-US" w:eastAsia="zh-CN"/>
              </w:rPr>
              <w:t>的民族自豪感</w:t>
            </w:r>
            <w:r>
              <w:rPr>
                <w:rFonts w:hint="eastAsia" w:ascii="宋体" w:hAnsi="宋体" w:eastAsia="宋体" w:cs="Times New Roman"/>
                <w:color w:val="000000"/>
                <w:szCs w:val="21"/>
              </w:rPr>
              <w:t>。</w:t>
            </w:r>
          </w:p>
        </w:tc>
      </w:tr>
      <w:tr w14:paraId="491B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575C64D">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9.</w:t>
            </w:r>
            <w:r>
              <w:rPr>
                <w:rFonts w:hint="eastAsia" w:ascii="宋体" w:hAnsi="宋体" w:eastAsia="宋体" w:cs="Times New Roman"/>
                <w:color w:val="000000"/>
                <w:szCs w:val="21"/>
                <w:lang w:val="en-US" w:eastAsia="zh-CN"/>
              </w:rPr>
              <w:t>问题</w:t>
            </w:r>
          </w:p>
          <w:p w14:paraId="02A4DDBE">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解决与</w:t>
            </w:r>
          </w:p>
          <w:p w14:paraId="346F0B84">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创造性</w:t>
            </w:r>
          </w:p>
        </w:tc>
        <w:tc>
          <w:tcPr>
            <w:tcW w:w="1701" w:type="dxa"/>
            <w:gridSpan w:val="2"/>
            <w:vAlign w:val="center"/>
          </w:tcPr>
          <w:p w14:paraId="45B8FAD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(1)问题与问题解决</w:t>
            </w:r>
          </w:p>
          <w:p w14:paraId="2E4B442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(2)问题解决的过程</w:t>
            </w:r>
          </w:p>
          <w:p w14:paraId="36D619D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(3)问题解决的训练</w:t>
            </w:r>
          </w:p>
          <w:p w14:paraId="5007694A">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(4)创造性思维</w:t>
            </w:r>
          </w:p>
        </w:tc>
        <w:tc>
          <w:tcPr>
            <w:tcW w:w="1134" w:type="dxa"/>
            <w:vAlign w:val="center"/>
          </w:tcPr>
          <w:p w14:paraId="114D9C4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904E4A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（1）理解问题解决的内涵和基本过程；</w:t>
            </w:r>
          </w:p>
          <w:p w14:paraId="2C83E0D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（2）掌握问题解决能力培养的基本方法；</w:t>
            </w:r>
          </w:p>
          <w:p w14:paraId="31F88AC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（3）理解创造性思维的内涵；</w:t>
            </w:r>
          </w:p>
          <w:p w14:paraId="7559D5FC">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（4）掌握创新心理教育的基本方法。</w:t>
            </w:r>
          </w:p>
        </w:tc>
        <w:tc>
          <w:tcPr>
            <w:tcW w:w="1560" w:type="dxa"/>
            <w:vAlign w:val="center"/>
          </w:tcPr>
          <w:p w14:paraId="772230E2">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162A116">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1031FD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41BD187A">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7B1A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8249904">
            <w:pPr>
              <w:spacing w:line="264" w:lineRule="auto"/>
              <w:jc w:val="center"/>
              <w:rPr>
                <w:rFonts w:ascii="宋体" w:hAnsi="宋体" w:eastAsia="宋体" w:cs="Times New Roman"/>
                <w:color w:val="000000"/>
                <w:szCs w:val="21"/>
              </w:rPr>
            </w:pPr>
          </w:p>
        </w:tc>
        <w:tc>
          <w:tcPr>
            <w:tcW w:w="8093" w:type="dxa"/>
            <w:gridSpan w:val="7"/>
            <w:vAlign w:val="center"/>
          </w:tcPr>
          <w:p w14:paraId="28D82E05">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通过对问题解决的原理的分析，培养学生在日常生活中如何有效思考，学会用更具创造性的方法去解决实际问题，继而为创新型社会贡献自己的一份力量。</w:t>
            </w:r>
          </w:p>
        </w:tc>
      </w:tr>
      <w:tr w14:paraId="6F62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0E5D268">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10.</w:t>
            </w:r>
            <w:r>
              <w:rPr>
                <w:rFonts w:hint="eastAsia" w:ascii="宋体" w:hAnsi="宋体" w:eastAsia="宋体" w:cs="Times New Roman"/>
                <w:color w:val="000000"/>
                <w:szCs w:val="21"/>
                <w:lang w:val="en-US" w:eastAsia="zh-CN"/>
              </w:rPr>
              <w:t>学习</w:t>
            </w:r>
          </w:p>
          <w:p w14:paraId="296B1EBE">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策略</w:t>
            </w:r>
          </w:p>
        </w:tc>
        <w:tc>
          <w:tcPr>
            <w:tcW w:w="1701" w:type="dxa"/>
            <w:gridSpan w:val="2"/>
            <w:vAlign w:val="center"/>
          </w:tcPr>
          <w:p w14:paraId="35AD5A9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（1）学习策略概述</w:t>
            </w:r>
          </w:p>
          <w:p w14:paraId="7800C01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（2）认知策略</w:t>
            </w:r>
          </w:p>
          <w:p w14:paraId="4D34D97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（3）元认知策略与资源管理策略</w:t>
            </w:r>
          </w:p>
          <w:p w14:paraId="04255811">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（4）学习策略的促进</w:t>
            </w:r>
          </w:p>
        </w:tc>
        <w:tc>
          <w:tcPr>
            <w:tcW w:w="1134" w:type="dxa"/>
            <w:vAlign w:val="center"/>
          </w:tcPr>
          <w:p w14:paraId="6F32FA6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p w14:paraId="7173852D">
            <w:pPr>
              <w:spacing w:line="264" w:lineRule="auto"/>
              <w:jc w:val="center"/>
              <w:rPr>
                <w:rFonts w:ascii="宋体" w:hAnsi="宋体" w:eastAsia="宋体" w:cs="Times New Roman"/>
                <w:color w:val="000000"/>
                <w:szCs w:val="21"/>
              </w:rPr>
            </w:pPr>
          </w:p>
        </w:tc>
        <w:tc>
          <w:tcPr>
            <w:tcW w:w="3260" w:type="dxa"/>
            <w:vAlign w:val="center"/>
          </w:tcPr>
          <w:p w14:paraId="3B0F150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（1）理解学习策略的概念与类别；</w:t>
            </w:r>
          </w:p>
          <w:p w14:paraId="5F1934B2">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（2）掌握学习策略培养方法与措施。</w:t>
            </w:r>
          </w:p>
        </w:tc>
        <w:tc>
          <w:tcPr>
            <w:tcW w:w="1560" w:type="dxa"/>
            <w:vAlign w:val="center"/>
          </w:tcPr>
          <w:p w14:paraId="54708F1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683ABDD">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5345BB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gridSpan w:val="2"/>
            <w:vAlign w:val="center"/>
          </w:tcPr>
          <w:p w14:paraId="774DB49F">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1656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314F39">
            <w:pPr>
              <w:spacing w:line="264" w:lineRule="auto"/>
              <w:jc w:val="center"/>
              <w:rPr>
                <w:rFonts w:ascii="宋体" w:hAnsi="宋体" w:eastAsia="宋体" w:cs="Times New Roman"/>
                <w:color w:val="000000"/>
                <w:szCs w:val="21"/>
              </w:rPr>
            </w:pPr>
          </w:p>
        </w:tc>
        <w:tc>
          <w:tcPr>
            <w:tcW w:w="8093" w:type="dxa"/>
            <w:gridSpan w:val="7"/>
            <w:vAlign w:val="center"/>
          </w:tcPr>
          <w:p w14:paraId="31C1A234">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学习策略的理解和领会，培养学生积极主动优化自己的学习策略，提高学习效率，进而更好地把马克思主义经典理论和习近平新时代中国特色社会主义思想等马克思主义中国化的最新理论成果融入到学习和生活当中。</w:t>
            </w:r>
          </w:p>
        </w:tc>
      </w:tr>
      <w:tr w14:paraId="6DB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CC82C22">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教学</w:t>
            </w:r>
          </w:p>
          <w:p w14:paraId="5ADC8CD4">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设计</w:t>
            </w:r>
          </w:p>
        </w:tc>
        <w:tc>
          <w:tcPr>
            <w:tcW w:w="1699" w:type="dxa"/>
            <w:vAlign w:val="center"/>
          </w:tcPr>
          <w:p w14:paraId="57CD1E9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（1）设置教学目标</w:t>
            </w:r>
          </w:p>
          <w:p w14:paraId="4E399BA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（2）选择教学模式</w:t>
            </w:r>
          </w:p>
          <w:p w14:paraId="0C533475">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（3）设置教学环境</w:t>
            </w:r>
          </w:p>
        </w:tc>
        <w:tc>
          <w:tcPr>
            <w:tcW w:w="1136" w:type="dxa"/>
            <w:gridSpan w:val="2"/>
            <w:vAlign w:val="center"/>
          </w:tcPr>
          <w:p w14:paraId="1DDFC8B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p w14:paraId="3604A3B0">
            <w:pPr>
              <w:spacing w:line="264" w:lineRule="auto"/>
              <w:jc w:val="center"/>
              <w:rPr>
                <w:rFonts w:ascii="宋体" w:hAnsi="宋体" w:eastAsia="宋体" w:cs="Times New Roman"/>
                <w:color w:val="000000"/>
                <w:szCs w:val="21"/>
              </w:rPr>
            </w:pPr>
          </w:p>
        </w:tc>
        <w:tc>
          <w:tcPr>
            <w:tcW w:w="3260" w:type="dxa"/>
            <w:vAlign w:val="center"/>
          </w:tcPr>
          <w:p w14:paraId="0DC42266">
            <w:pPr>
              <w:spacing w:line="264" w:lineRule="auto"/>
              <w:jc w:val="left"/>
              <w:rPr>
                <w:rFonts w:hint="eastAsia"/>
                <w:szCs w:val="22"/>
              </w:rPr>
            </w:pPr>
            <w:r>
              <w:rPr>
                <w:rFonts w:hint="eastAsia"/>
                <w:szCs w:val="22"/>
              </w:rPr>
              <w:t>（1）掌握教学目标的表述方式与目标分类体系，并为一完整课程设计教学目标；</w:t>
            </w:r>
          </w:p>
          <w:p w14:paraId="11AE3F33">
            <w:pPr>
              <w:spacing w:line="264" w:lineRule="auto"/>
              <w:jc w:val="left"/>
              <w:rPr>
                <w:rFonts w:hint="eastAsia"/>
                <w:szCs w:val="22"/>
              </w:rPr>
            </w:pPr>
            <w:r>
              <w:rPr>
                <w:rFonts w:hint="eastAsia"/>
                <w:szCs w:val="22"/>
              </w:rPr>
              <w:t>（2）根据各类教学目标选择和运用相应的教学模式；</w:t>
            </w:r>
          </w:p>
          <w:p w14:paraId="70DB3B32">
            <w:pPr>
              <w:spacing w:line="264" w:lineRule="auto"/>
              <w:jc w:val="left"/>
              <w:rPr>
                <w:rFonts w:ascii="宋体" w:hAnsi="宋体" w:eastAsia="宋体" w:cs="Times New Roman"/>
                <w:color w:val="000000"/>
                <w:szCs w:val="21"/>
              </w:rPr>
            </w:pPr>
            <w:r>
              <w:rPr>
                <w:rFonts w:hint="eastAsia"/>
                <w:szCs w:val="22"/>
              </w:rPr>
              <w:t>（3）根据教学目标与教学模式布置教学环境。</w:t>
            </w:r>
          </w:p>
        </w:tc>
        <w:tc>
          <w:tcPr>
            <w:tcW w:w="1568" w:type="dxa"/>
            <w:gridSpan w:val="2"/>
            <w:vAlign w:val="center"/>
          </w:tcPr>
          <w:p w14:paraId="01748720">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2F34EB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731EC04">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0" w:type="dxa"/>
            <w:vAlign w:val="center"/>
          </w:tcPr>
          <w:p w14:paraId="27BC32D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6D49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61CBB7">
            <w:pPr>
              <w:spacing w:line="264" w:lineRule="auto"/>
              <w:jc w:val="center"/>
              <w:rPr>
                <w:rFonts w:ascii="宋体" w:hAnsi="宋体" w:eastAsia="宋体" w:cs="Times New Roman"/>
                <w:color w:val="000000"/>
                <w:szCs w:val="21"/>
              </w:rPr>
            </w:pPr>
          </w:p>
        </w:tc>
        <w:tc>
          <w:tcPr>
            <w:tcW w:w="8093" w:type="dxa"/>
            <w:gridSpan w:val="7"/>
            <w:vAlign w:val="center"/>
          </w:tcPr>
          <w:p w14:paraId="776537FD">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通过学习如何设计教学，从而让学生在生活中学会如何规划自己的时间，如何让生活中的每一天过得充实、高效、有意义</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进而为将来的职业规划打下良好的基础。</w:t>
            </w:r>
          </w:p>
          <w:p w14:paraId="2BB96CD1">
            <w:pPr>
              <w:spacing w:line="264" w:lineRule="auto"/>
              <w:jc w:val="left"/>
              <w:rPr>
                <w:rFonts w:hint="eastAsia" w:ascii="宋体" w:hAnsi="宋体" w:eastAsia="宋体" w:cs="Times New Roman"/>
                <w:color w:val="000000"/>
                <w:szCs w:val="21"/>
              </w:rPr>
            </w:pPr>
          </w:p>
        </w:tc>
      </w:tr>
      <w:tr w14:paraId="0E4B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A1F653">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课堂</w:t>
            </w:r>
          </w:p>
          <w:p w14:paraId="1D8151DF">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管理</w:t>
            </w:r>
          </w:p>
        </w:tc>
        <w:tc>
          <w:tcPr>
            <w:tcW w:w="1699" w:type="dxa"/>
            <w:vAlign w:val="center"/>
          </w:tcPr>
          <w:p w14:paraId="2B63CF6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（1）课堂管理概述</w:t>
            </w:r>
          </w:p>
          <w:p w14:paraId="717BCA8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（2）课堂管理过程</w:t>
            </w:r>
          </w:p>
          <w:p w14:paraId="46BB24D0">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（3）处理严重的问题行为</w:t>
            </w:r>
          </w:p>
        </w:tc>
        <w:tc>
          <w:tcPr>
            <w:tcW w:w="1136" w:type="dxa"/>
            <w:gridSpan w:val="2"/>
            <w:vAlign w:val="center"/>
          </w:tcPr>
          <w:p w14:paraId="2105F42A">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p w14:paraId="2CA80133">
            <w:pPr>
              <w:spacing w:line="264" w:lineRule="auto"/>
              <w:jc w:val="center"/>
              <w:rPr>
                <w:rFonts w:ascii="宋体" w:hAnsi="宋体" w:eastAsia="宋体" w:cs="Times New Roman"/>
                <w:color w:val="000000"/>
                <w:szCs w:val="21"/>
              </w:rPr>
            </w:pPr>
          </w:p>
        </w:tc>
        <w:tc>
          <w:tcPr>
            <w:tcW w:w="3260" w:type="dxa"/>
            <w:vAlign w:val="center"/>
          </w:tcPr>
          <w:p w14:paraId="0E453CA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（1）了解课堂管理的目标和阶段性；</w:t>
            </w:r>
          </w:p>
          <w:p w14:paraId="02FDD9D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（2）把握课堂管理的基本环节；</w:t>
            </w:r>
          </w:p>
          <w:p w14:paraId="0F646CAA">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（3）掌握课堂问题分析和处理的基本方法。</w:t>
            </w:r>
          </w:p>
        </w:tc>
        <w:tc>
          <w:tcPr>
            <w:tcW w:w="1568" w:type="dxa"/>
            <w:gridSpan w:val="2"/>
            <w:vAlign w:val="center"/>
          </w:tcPr>
          <w:p w14:paraId="3AA4A307">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623D057">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8A0EB06">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0" w:type="dxa"/>
            <w:vAlign w:val="center"/>
          </w:tcPr>
          <w:p w14:paraId="5BD79A47">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301D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687D31">
            <w:pPr>
              <w:spacing w:line="264" w:lineRule="auto"/>
              <w:jc w:val="center"/>
              <w:rPr>
                <w:rFonts w:ascii="宋体" w:hAnsi="宋体" w:eastAsia="宋体" w:cs="Times New Roman"/>
                <w:color w:val="000000"/>
                <w:szCs w:val="21"/>
              </w:rPr>
            </w:pPr>
          </w:p>
        </w:tc>
        <w:tc>
          <w:tcPr>
            <w:tcW w:w="8093" w:type="dxa"/>
            <w:gridSpan w:val="7"/>
            <w:vAlign w:val="center"/>
          </w:tcPr>
          <w:p w14:paraId="342219F3">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课堂管理一章的学习，让学生以小见大，形成对国家治理和政府管理的一些理念和规章的深刻认识，培育出“识大体、顾大局”的主人翁意识，引导学生树牢“四个意识”，坚定“四个自信”，坚决做到“两个维护”，为和谐社会的更快更好的发展贡献出自己的力量。</w:t>
            </w:r>
          </w:p>
        </w:tc>
      </w:tr>
      <w:tr w14:paraId="6F8C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84040DB">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学习</w:t>
            </w:r>
          </w:p>
          <w:p w14:paraId="0B484CC8">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评估</w:t>
            </w:r>
          </w:p>
        </w:tc>
        <w:tc>
          <w:tcPr>
            <w:tcW w:w="1699" w:type="dxa"/>
            <w:vAlign w:val="center"/>
          </w:tcPr>
          <w:p w14:paraId="564902D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（1）学习评定概述</w:t>
            </w:r>
          </w:p>
          <w:p w14:paraId="05AAF5B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（2）标准化测验</w:t>
            </w:r>
          </w:p>
          <w:p w14:paraId="3744175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（3）教师自编测验</w:t>
            </w:r>
          </w:p>
          <w:p w14:paraId="009DEB4B">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（4）真实性评定与评定结果报告</w:t>
            </w:r>
          </w:p>
        </w:tc>
        <w:tc>
          <w:tcPr>
            <w:tcW w:w="1136" w:type="dxa"/>
            <w:gridSpan w:val="2"/>
            <w:vAlign w:val="center"/>
          </w:tcPr>
          <w:p w14:paraId="0CD3326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p w14:paraId="4ABED33A">
            <w:pPr>
              <w:spacing w:line="264" w:lineRule="auto"/>
              <w:jc w:val="center"/>
              <w:rPr>
                <w:rFonts w:ascii="宋体" w:hAnsi="宋体" w:eastAsia="宋体" w:cs="Times New Roman"/>
                <w:color w:val="000000"/>
                <w:szCs w:val="21"/>
              </w:rPr>
            </w:pPr>
          </w:p>
        </w:tc>
        <w:tc>
          <w:tcPr>
            <w:tcW w:w="3260" w:type="dxa"/>
            <w:vAlign w:val="center"/>
          </w:tcPr>
          <w:p w14:paraId="614CB8C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（1）掌握学习评定的基本理论；</w:t>
            </w:r>
          </w:p>
          <w:p w14:paraId="272B33C3">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（2）掌握学习评定的基本方法。</w:t>
            </w:r>
          </w:p>
        </w:tc>
        <w:tc>
          <w:tcPr>
            <w:tcW w:w="1568" w:type="dxa"/>
            <w:gridSpan w:val="2"/>
            <w:vAlign w:val="center"/>
          </w:tcPr>
          <w:p w14:paraId="1E925AC3">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2D4F12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89DF84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0" w:type="dxa"/>
            <w:vAlign w:val="center"/>
          </w:tcPr>
          <w:p w14:paraId="1FBBCFB7">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3BBF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A7F476">
            <w:pPr>
              <w:spacing w:line="264" w:lineRule="auto"/>
              <w:jc w:val="center"/>
              <w:rPr>
                <w:rFonts w:ascii="宋体" w:hAnsi="宋体" w:eastAsia="宋体" w:cs="Times New Roman"/>
                <w:color w:val="000000"/>
                <w:szCs w:val="21"/>
              </w:rPr>
            </w:pPr>
          </w:p>
        </w:tc>
        <w:tc>
          <w:tcPr>
            <w:tcW w:w="8093" w:type="dxa"/>
            <w:gridSpan w:val="7"/>
            <w:vAlign w:val="center"/>
          </w:tcPr>
          <w:p w14:paraId="7BBB97AB">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并掌握有关如何进行学习评定这一主题，让学生充分认识到国家如何评定育人成果的问题，进而深刻理解中央提出的“培养什么人、怎样培养人、为谁培养人”等问题，从而在潜移默化中引导学生树立正确的世界观、人生观、价值观。</w:t>
            </w:r>
          </w:p>
        </w:tc>
      </w:tr>
    </w:tbl>
    <w:p w14:paraId="1B91993F">
      <w:pPr>
        <w:spacing w:line="360" w:lineRule="auto"/>
        <w:jc w:val="left"/>
        <w:rPr>
          <w:rFonts w:ascii="Times New Roman" w:hAnsi="Times New Roman" w:eastAsia="宋体" w:cs="Times New Roman"/>
          <w:sz w:val="24"/>
          <w:szCs w:val="24"/>
        </w:rPr>
      </w:pPr>
    </w:p>
    <w:p w14:paraId="69C385D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2BC9B8C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78C231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1BE1E0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615"/>
        <w:gridCol w:w="1615"/>
        <w:gridCol w:w="1615"/>
        <w:gridCol w:w="1739"/>
      </w:tblGrid>
      <w:tr w14:paraId="2F31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Merge w:val="restart"/>
            <w:vAlign w:val="center"/>
          </w:tcPr>
          <w:p w14:paraId="14A3AEB2">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4845" w:type="dxa"/>
            <w:gridSpan w:val="3"/>
            <w:vAlign w:val="center"/>
          </w:tcPr>
          <w:p w14:paraId="2F859EB6">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39" w:type="dxa"/>
            <w:vMerge w:val="restart"/>
            <w:vAlign w:val="center"/>
          </w:tcPr>
          <w:p w14:paraId="089515E2">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47DE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Merge w:val="continue"/>
            <w:vAlign w:val="center"/>
          </w:tcPr>
          <w:p w14:paraId="67FD264B">
            <w:pPr>
              <w:spacing w:line="360" w:lineRule="auto"/>
              <w:jc w:val="center"/>
              <w:rPr>
                <w:rFonts w:ascii="宋体" w:hAnsi="宋体" w:eastAsia="宋体" w:cs="Times New Roman"/>
                <w:szCs w:val="21"/>
              </w:rPr>
            </w:pPr>
          </w:p>
        </w:tc>
        <w:tc>
          <w:tcPr>
            <w:tcW w:w="1615" w:type="dxa"/>
            <w:vAlign w:val="center"/>
          </w:tcPr>
          <w:p w14:paraId="2A9A1572">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615" w:type="dxa"/>
            <w:vAlign w:val="center"/>
          </w:tcPr>
          <w:p w14:paraId="56011AC5">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615" w:type="dxa"/>
            <w:vAlign w:val="center"/>
          </w:tcPr>
          <w:p w14:paraId="0A48C9A8">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39" w:type="dxa"/>
            <w:vMerge w:val="continue"/>
            <w:vAlign w:val="center"/>
          </w:tcPr>
          <w:p w14:paraId="6467B099">
            <w:pPr>
              <w:spacing w:line="360" w:lineRule="auto"/>
              <w:jc w:val="center"/>
              <w:rPr>
                <w:rFonts w:ascii="宋体" w:hAnsi="宋体" w:eastAsia="宋体" w:cs="Times New Roman"/>
                <w:szCs w:val="21"/>
              </w:rPr>
            </w:pPr>
          </w:p>
        </w:tc>
      </w:tr>
      <w:tr w14:paraId="7563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14:paraId="61384E57">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615" w:type="dxa"/>
            <w:vAlign w:val="center"/>
          </w:tcPr>
          <w:p w14:paraId="6F5D829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7EB7D49F">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1615" w:type="dxa"/>
            <w:vAlign w:val="center"/>
          </w:tcPr>
          <w:p w14:paraId="2193069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39" w:type="dxa"/>
            <w:vAlign w:val="center"/>
          </w:tcPr>
          <w:p w14:paraId="29B1F6AB">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8</w:t>
            </w:r>
            <w:r>
              <w:rPr>
                <w:rFonts w:hint="eastAsia" w:ascii="宋体" w:hAnsi="宋体" w:eastAsia="宋体" w:cs="Times New Roman"/>
                <w:szCs w:val="21"/>
              </w:rPr>
              <w:t>0</w:t>
            </w:r>
          </w:p>
        </w:tc>
      </w:tr>
      <w:tr w14:paraId="5356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14:paraId="6FA9E414">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615" w:type="dxa"/>
            <w:vAlign w:val="center"/>
          </w:tcPr>
          <w:p w14:paraId="68F3E64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018DAC9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778DCCB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39" w:type="dxa"/>
            <w:vAlign w:val="center"/>
          </w:tcPr>
          <w:p w14:paraId="47BC6F00">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w:t>
            </w:r>
          </w:p>
        </w:tc>
      </w:tr>
      <w:tr w14:paraId="4852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2" w:type="dxa"/>
            <w:vAlign w:val="center"/>
          </w:tcPr>
          <w:p w14:paraId="3658B58C">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615" w:type="dxa"/>
            <w:vAlign w:val="center"/>
          </w:tcPr>
          <w:p w14:paraId="7285CD50">
            <w:pPr>
              <w:spacing w:line="360" w:lineRule="auto"/>
              <w:jc w:val="center"/>
              <w:rPr>
                <w:rFonts w:ascii="宋体" w:hAnsi="宋体" w:eastAsia="宋体" w:cs="Times New Roman"/>
                <w:szCs w:val="21"/>
              </w:rPr>
            </w:pPr>
          </w:p>
        </w:tc>
        <w:tc>
          <w:tcPr>
            <w:tcW w:w="1615" w:type="dxa"/>
            <w:vAlign w:val="center"/>
          </w:tcPr>
          <w:p w14:paraId="1B7D5B82">
            <w:pPr>
              <w:spacing w:line="360" w:lineRule="auto"/>
              <w:jc w:val="center"/>
              <w:rPr>
                <w:rFonts w:ascii="宋体" w:hAnsi="宋体" w:eastAsia="宋体" w:cs="Times New Roman"/>
                <w:szCs w:val="21"/>
              </w:rPr>
            </w:pPr>
          </w:p>
        </w:tc>
        <w:tc>
          <w:tcPr>
            <w:tcW w:w="1615" w:type="dxa"/>
            <w:vAlign w:val="center"/>
          </w:tcPr>
          <w:p w14:paraId="3A37BF78">
            <w:pPr>
              <w:spacing w:line="360" w:lineRule="auto"/>
              <w:jc w:val="center"/>
              <w:rPr>
                <w:rFonts w:ascii="宋体" w:hAnsi="宋体" w:eastAsia="宋体" w:cs="Times New Roman"/>
                <w:szCs w:val="21"/>
              </w:rPr>
            </w:pPr>
          </w:p>
        </w:tc>
        <w:tc>
          <w:tcPr>
            <w:tcW w:w="1739" w:type="dxa"/>
            <w:vAlign w:val="center"/>
          </w:tcPr>
          <w:p w14:paraId="1D469133">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F37D95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7747301">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279FBA8">
      <w:pPr>
        <w:spacing w:line="360" w:lineRule="auto"/>
        <w:ind w:firstLine="420" w:firstLineChars="200"/>
        <w:jc w:val="left"/>
        <w:rPr>
          <w:rFonts w:hint="eastAsia" w:ascii="Times New Roman" w:hAnsi="Times New Roman" w:eastAsia="宋体" w:cs="Times New Roman"/>
          <w:szCs w:val="21"/>
        </w:rPr>
      </w:pPr>
    </w:p>
    <w:p w14:paraId="274181B4">
      <w:pPr>
        <w:spacing w:line="360" w:lineRule="auto"/>
        <w:ind w:firstLine="420" w:firstLineChars="200"/>
        <w:jc w:val="left"/>
        <w:rPr>
          <w:rFonts w:hint="eastAsia" w:ascii="Times New Roman" w:hAnsi="Times New Roman" w:eastAsia="宋体" w:cs="Times New Roman"/>
          <w:szCs w:val="21"/>
        </w:rPr>
      </w:pPr>
    </w:p>
    <w:p w14:paraId="48D3F85D">
      <w:pPr>
        <w:spacing w:line="360" w:lineRule="auto"/>
        <w:ind w:firstLine="420" w:firstLineChars="200"/>
        <w:jc w:val="left"/>
        <w:rPr>
          <w:rFonts w:hint="eastAsia" w:ascii="Times New Roman" w:hAnsi="Times New Roman" w:eastAsia="宋体" w:cs="Times New Roman"/>
          <w:szCs w:val="21"/>
        </w:rPr>
      </w:pPr>
    </w:p>
    <w:p w14:paraId="4669020B">
      <w:pPr>
        <w:jc w:val="center"/>
        <w:rPr>
          <w:rFonts w:hint="eastAsia" w:ascii="Times New Roman" w:hAnsi="Times New Roman" w:eastAsia="宋体" w:cs="Times New Roman"/>
          <w:b/>
          <w:bCs/>
          <w:szCs w:val="21"/>
        </w:rPr>
      </w:pPr>
    </w:p>
    <w:p w14:paraId="08029E8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193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A74E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AA343E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57D39C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13B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989EAA">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2361219">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平时作业共3次</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三</w:t>
            </w:r>
            <w:r>
              <w:rPr>
                <w:rFonts w:hint="eastAsia" w:ascii="Times New Roman" w:hAnsi="Times New Roman" w:eastAsia="宋体" w:cs="Times New Roman"/>
                <w:szCs w:val="21"/>
              </w:rPr>
              <w:t>次小论文，</w:t>
            </w:r>
            <w:r>
              <w:rPr>
                <w:rFonts w:hint="eastAsia" w:ascii="Times New Roman" w:hAnsi="Times New Roman" w:eastAsia="宋体" w:cs="Times New Roman"/>
                <w:szCs w:val="21"/>
                <w:lang w:val="en-US" w:eastAsia="zh-CN"/>
              </w:rPr>
              <w:t>评价依据为</w:t>
            </w:r>
            <w:r>
              <w:rPr>
                <w:rFonts w:hint="eastAsia" w:ascii="Times New Roman" w:hAnsi="Times New Roman" w:eastAsia="宋体" w:cs="Times New Roman"/>
                <w:szCs w:val="21"/>
              </w:rPr>
              <w:t>论文的规范性、逻辑性、创新性及整洁性</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一次教学设计，评价依据如下：（1）‌教学目标：明确性：目标清晰、具体，便于操作；恰当性：符合大纲、学科特点和学生实际；全面性：体现知识、能力、思想等多个方面。（2）‌教学内容‌：逻辑性：内容系统、有条理，逻辑性强；针对性：突出重点、难点，抓住关键。（3）‌教学方法‌：多样性：灵活运用多种教学方法，提高教学效果；创新性：鼓励创新思维和实践能力的培养。（4）‌教学程序‌：合理性：教学环节设计合理，过渡自然；</w:t>
            </w:r>
          </w:p>
          <w:p w14:paraId="5F54ACD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主体性：体现学生的主体地位，鼓励学生主动参与。（5）‌教学手段‌：现代性：恰当运用现代教学手段，提高教学效率。（6）‌教学评价‌：有效性：能够有效评价学生的学习成果，提供反馈。（7）‌教学效果‌：达成度：教学目标达成，教学效果显著‌</w:t>
            </w:r>
            <w:r>
              <w:rPr>
                <w:rFonts w:hint="eastAsia" w:ascii="Times New Roman" w:hAnsi="Times New Roman" w:eastAsia="宋体" w:cs="Times New Roman"/>
                <w:szCs w:val="21"/>
              </w:rPr>
              <w:t>。</w:t>
            </w:r>
          </w:p>
        </w:tc>
        <w:tc>
          <w:tcPr>
            <w:tcW w:w="0" w:type="auto"/>
            <w:vAlign w:val="center"/>
          </w:tcPr>
          <w:p w14:paraId="56DCCED6">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526F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35415D">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45F2074">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EC92D2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25E214A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14:paraId="51FF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C09DC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F005278">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试卷题型包括选择题、填空题、简答题、判断题、材料分析题、论述题和教学设计等，以卷面成绩的</w:t>
            </w:r>
            <w:r>
              <w:rPr>
                <w:rFonts w:hint="eastAsia" w:ascii="Times New Roman" w:hAnsi="Times New Roman" w:eastAsia="宋体" w:cs="Times New Roman"/>
                <w:color w:val="000000"/>
                <w:szCs w:val="21"/>
                <w:lang w:val="en-US" w:eastAsia="zh-CN"/>
              </w:rPr>
              <w:t>6</w:t>
            </w:r>
            <w:r>
              <w:rPr>
                <w:rFonts w:hint="eastAsia" w:ascii="Times New Roman" w:hAnsi="Times New Roman" w:eastAsia="宋体" w:cs="Times New Roman"/>
                <w:color w:val="000000"/>
                <w:szCs w:val="21"/>
              </w:rPr>
              <w:t>0%计入课程总成绩。其中考核教育心理学基本理论型题目占40%，考核学生运用基本理论知识进行案例分析能力型题目占30%；考核学生教学设计与评价能力型题目占30%。</w:t>
            </w:r>
          </w:p>
        </w:tc>
        <w:tc>
          <w:tcPr>
            <w:tcW w:w="0" w:type="auto"/>
            <w:vAlign w:val="center"/>
          </w:tcPr>
          <w:p w14:paraId="5D5DA6B6">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6</w:t>
            </w:r>
            <w:r>
              <w:rPr>
                <w:rFonts w:hint="eastAsia" w:ascii="Times New Roman" w:hAnsi="Times New Roman" w:eastAsia="宋体" w:cs="Times New Roman"/>
                <w:szCs w:val="21"/>
              </w:rPr>
              <w:t>0%</w:t>
            </w:r>
          </w:p>
        </w:tc>
      </w:tr>
      <w:tr w14:paraId="049F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C2EF06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E28BC2D">
            <w:pPr>
              <w:jc w:val="left"/>
              <w:rPr>
                <w:rFonts w:ascii="Times New Roman" w:hAnsi="Times New Roman" w:eastAsia="宋体" w:cs="Times New Roman"/>
                <w:szCs w:val="21"/>
              </w:rPr>
            </w:pPr>
          </w:p>
        </w:tc>
        <w:tc>
          <w:tcPr>
            <w:tcW w:w="0" w:type="auto"/>
            <w:vAlign w:val="center"/>
          </w:tcPr>
          <w:p w14:paraId="4B61B85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EA82C7C">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EE197C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20FEE8E">
      <w:pPr>
        <w:spacing w:line="360" w:lineRule="auto"/>
        <w:jc w:val="left"/>
        <w:rPr>
          <w:rFonts w:ascii="宋体" w:hAnsi="宋体" w:eastAsia="宋体" w:cs="Times New Roman"/>
          <w:color w:val="000000"/>
          <w:szCs w:val="21"/>
        </w:rPr>
      </w:pPr>
      <w:r>
        <w:rPr>
          <w:rFonts w:ascii="宋体" w:hAnsi="宋体" w:eastAsia="宋体" w:cs="Times New Roman"/>
          <w:color w:val="000000"/>
          <w:szCs w:val="21"/>
        </w:rPr>
        <w:object>
          <v:shape id="_x0000_i1046"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46" DrawAspect="Content" ObjectID="_1468075746" r:id="rId29">
            <o:LockedField>false</o:LockedField>
          </o:OLEObject>
        </w:object>
      </w:r>
    </w:p>
    <w:p w14:paraId="40F23214">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p>
    <w:p w14:paraId="56F3333D">
      <w:pPr>
        <w:keepNext w:val="0"/>
        <w:keepLines w:val="0"/>
        <w:pageBreakBefore w:val="0"/>
        <w:widowControl w:val="0"/>
        <w:kinsoku/>
        <w:overflowPunct/>
        <w:topLinePunct w:val="0"/>
        <w:autoSpaceDE/>
        <w:autoSpaceDN/>
        <w:bidi w:val="0"/>
        <w:adjustRightInd/>
        <w:snapToGrid/>
        <w:spacing w:line="336" w:lineRule="auto"/>
        <w:jc w:val="left"/>
        <w:textAlignment w:val="auto"/>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8D576C7">
      <w:pPr>
        <w:keepNext w:val="0"/>
        <w:keepLines w:val="0"/>
        <w:pageBreakBefore w:val="0"/>
        <w:widowControl w:val="0"/>
        <w:kinsoku/>
        <w:overflowPunct/>
        <w:topLinePunct w:val="0"/>
        <w:autoSpaceDE/>
        <w:autoSpaceDN/>
        <w:bidi w:val="0"/>
        <w:adjustRightInd/>
        <w:snapToGrid/>
        <w:spacing w:line="336" w:lineRule="auto"/>
        <w:ind w:firstLine="420" w:firstLineChars="200"/>
        <w:jc w:val="left"/>
        <w:textAlignment w:val="auto"/>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26517D13">
      <w:pPr>
        <w:keepNext w:val="0"/>
        <w:keepLines w:val="0"/>
        <w:pageBreakBefore w:val="0"/>
        <w:widowControl w:val="0"/>
        <w:kinsoku/>
        <w:overflowPunct/>
        <w:topLinePunct w:val="0"/>
        <w:autoSpaceDE/>
        <w:autoSpaceDN/>
        <w:bidi w:val="0"/>
        <w:adjustRightInd/>
        <w:snapToGrid/>
        <w:spacing w:line="336" w:lineRule="auto"/>
        <w:jc w:val="left"/>
        <w:textAlignment w:val="auto"/>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8E75571">
      <w:pPr>
        <w:keepNext w:val="0"/>
        <w:keepLines w:val="0"/>
        <w:pageBreakBefore w:val="0"/>
        <w:widowControl w:val="0"/>
        <w:kinsoku/>
        <w:overflowPunct/>
        <w:topLinePunct w:val="0"/>
        <w:autoSpaceDE/>
        <w:autoSpaceDN/>
        <w:bidi w:val="0"/>
        <w:adjustRightInd/>
        <w:snapToGrid/>
        <w:spacing w:line="336" w:lineRule="auto"/>
        <w:ind w:firstLine="420" w:firstLineChars="200"/>
        <w:jc w:val="left"/>
        <w:textAlignment w:val="auto"/>
        <w:rPr>
          <w:rFonts w:hint="default"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陈琦，刘儒德主编.教育心理学（第3版）.北京：</w:t>
      </w:r>
      <w:r>
        <w:rPr>
          <w:rFonts w:hint="eastAsia" w:ascii="Times New Roman" w:hAnsi="Times New Roman" w:eastAsia="宋体" w:cs="Times New Roman"/>
          <w:bCs/>
          <w:color w:val="000000"/>
          <w:szCs w:val="21"/>
          <w:lang w:val="en-US" w:eastAsia="zh-CN"/>
        </w:rPr>
        <w:t>高等教育</w:t>
      </w:r>
      <w:r>
        <w:rPr>
          <w:rFonts w:hint="eastAsia" w:ascii="Times New Roman" w:hAnsi="Times New Roman" w:eastAsia="宋体" w:cs="Times New Roman"/>
          <w:bCs/>
          <w:color w:val="000000"/>
          <w:szCs w:val="21"/>
        </w:rPr>
        <w:t>出版社，20</w:t>
      </w:r>
      <w:r>
        <w:rPr>
          <w:rFonts w:hint="eastAsia" w:ascii="Times New Roman" w:hAnsi="Times New Roman" w:eastAsia="宋体" w:cs="Times New Roman"/>
          <w:bCs/>
          <w:color w:val="000000"/>
          <w:szCs w:val="21"/>
          <w:lang w:val="en-US" w:eastAsia="zh-CN"/>
        </w:rPr>
        <w:t>20.</w:t>
      </w:r>
    </w:p>
    <w:p w14:paraId="7BB98DD7">
      <w:pPr>
        <w:keepNext w:val="0"/>
        <w:keepLines w:val="0"/>
        <w:pageBreakBefore w:val="0"/>
        <w:widowControl w:val="0"/>
        <w:kinsoku/>
        <w:overflowPunct/>
        <w:topLinePunct w:val="0"/>
        <w:autoSpaceDE/>
        <w:autoSpaceDN/>
        <w:bidi w:val="0"/>
        <w:adjustRightInd/>
        <w:snapToGrid/>
        <w:spacing w:line="336" w:lineRule="auto"/>
        <w:jc w:val="left"/>
        <w:textAlignment w:val="auto"/>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5842C109">
      <w:pPr>
        <w:keepNext w:val="0"/>
        <w:keepLines w:val="0"/>
        <w:pageBreakBefore w:val="0"/>
        <w:widowControl w:val="0"/>
        <w:kinsoku/>
        <w:overflowPunct/>
        <w:topLinePunct w:val="0"/>
        <w:autoSpaceDE/>
        <w:autoSpaceDN/>
        <w:bidi w:val="0"/>
        <w:adjustRightInd/>
        <w:snapToGrid/>
        <w:spacing w:line="336" w:lineRule="auto"/>
        <w:ind w:firstLine="420" w:firstLineChars="200"/>
        <w:textAlignment w:val="auto"/>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lang w:val="en-US" w:eastAsia="zh-CN"/>
        </w:rPr>
        <w:t>1.</w:t>
      </w:r>
      <w:r>
        <w:rPr>
          <w:rFonts w:hint="eastAsia" w:ascii="Times New Roman" w:hAnsi="Times New Roman" w:eastAsia="宋体" w:cs="Times New Roman"/>
          <w:bCs/>
          <w:color w:val="000000"/>
          <w:szCs w:val="21"/>
        </w:rPr>
        <w:t>卢家楣主编.学习心理与教学:理论和实践(第3版). 上海：上海教育出版社，2016</w:t>
      </w:r>
      <w:r>
        <w:rPr>
          <w:rFonts w:hint="eastAsia" w:ascii="Times New Roman" w:hAnsi="Times New Roman" w:eastAsia="宋体" w:cs="Times New Roman"/>
          <w:bCs/>
          <w:color w:val="000000"/>
          <w:szCs w:val="21"/>
          <w:lang w:val="en-US" w:eastAsia="zh-CN"/>
        </w:rPr>
        <w:t>.</w:t>
      </w:r>
    </w:p>
    <w:p w14:paraId="732D46E7">
      <w:pPr>
        <w:keepNext w:val="0"/>
        <w:keepLines w:val="0"/>
        <w:pageBreakBefore w:val="0"/>
        <w:widowControl w:val="0"/>
        <w:kinsoku/>
        <w:overflowPunct/>
        <w:topLinePunct w:val="0"/>
        <w:autoSpaceDE/>
        <w:autoSpaceDN/>
        <w:bidi w:val="0"/>
        <w:adjustRightInd/>
        <w:snapToGrid/>
        <w:spacing w:line="336" w:lineRule="auto"/>
        <w:ind w:firstLine="420" w:firstLineChars="200"/>
        <w:textAlignment w:val="auto"/>
        <w:rPr>
          <w:rFonts w:hint="default"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[美]伍尔福克（Woolfolk,A.）著，陈红兵</w:t>
      </w:r>
      <w:r>
        <w:rPr>
          <w:rFonts w:hint="eastAsia" w:ascii="Times New Roman" w:hAnsi="Times New Roman" w:eastAsia="宋体" w:cs="Times New Roman"/>
          <w:bCs/>
          <w:color w:val="000000"/>
          <w:szCs w:val="21"/>
          <w:lang w:eastAsia="zh-CN"/>
        </w:rPr>
        <w:t>，</w:t>
      </w:r>
      <w:r>
        <w:rPr>
          <w:rFonts w:hint="eastAsia" w:ascii="Times New Roman" w:hAnsi="Times New Roman" w:eastAsia="宋体" w:cs="Times New Roman"/>
          <w:bCs/>
          <w:color w:val="000000"/>
          <w:szCs w:val="21"/>
        </w:rPr>
        <w:t>张春莉</w:t>
      </w:r>
      <w:r>
        <w:rPr>
          <w:rFonts w:hint="eastAsia" w:ascii="Times New Roman" w:hAnsi="Times New Roman" w:eastAsia="宋体" w:cs="Times New Roman"/>
          <w:bCs/>
          <w:color w:val="000000"/>
          <w:szCs w:val="21"/>
          <w:lang w:val="en-US" w:eastAsia="zh-CN"/>
        </w:rPr>
        <w:t>等</w:t>
      </w:r>
      <w:r>
        <w:rPr>
          <w:rFonts w:hint="eastAsia" w:ascii="Times New Roman" w:hAnsi="Times New Roman" w:eastAsia="宋体" w:cs="Times New Roman"/>
          <w:bCs/>
          <w:color w:val="000000"/>
          <w:szCs w:val="21"/>
        </w:rPr>
        <w:t>译.教育心理学（第1</w:t>
      </w:r>
      <w:r>
        <w:rPr>
          <w:rFonts w:hint="eastAsia" w:ascii="Times New Roman" w:hAnsi="Times New Roman" w:eastAsia="宋体" w:cs="Times New Roman"/>
          <w:bCs/>
          <w:color w:val="000000"/>
          <w:szCs w:val="21"/>
          <w:lang w:val="en-US" w:eastAsia="zh-CN"/>
        </w:rPr>
        <w:t>4</w:t>
      </w:r>
      <w:r>
        <w:rPr>
          <w:rFonts w:hint="eastAsia" w:ascii="Times New Roman" w:hAnsi="Times New Roman" w:eastAsia="宋体" w:cs="Times New Roman"/>
          <w:bCs/>
          <w:color w:val="000000"/>
          <w:szCs w:val="21"/>
        </w:rPr>
        <w:t>版）.</w:t>
      </w:r>
      <w:r>
        <w:rPr>
          <w:rFonts w:hint="eastAsia" w:ascii="Times New Roman" w:hAnsi="Times New Roman" w:eastAsia="宋体" w:cs="Times New Roman"/>
          <w:bCs/>
          <w:color w:val="000000"/>
          <w:szCs w:val="21"/>
          <w:lang w:val="en-US" w:eastAsia="zh-CN"/>
        </w:rPr>
        <w:t>上海</w:t>
      </w:r>
      <w:r>
        <w:rPr>
          <w:rFonts w:hint="eastAsia" w:ascii="Times New Roman" w:hAnsi="Times New Roman" w:eastAsia="宋体" w:cs="Times New Roman"/>
          <w:bCs/>
          <w:color w:val="000000"/>
          <w:szCs w:val="21"/>
        </w:rPr>
        <w:t>：</w:t>
      </w:r>
      <w:r>
        <w:rPr>
          <w:rFonts w:hint="eastAsia" w:ascii="Times New Roman" w:hAnsi="Times New Roman" w:eastAsia="宋体" w:cs="Times New Roman"/>
          <w:bCs/>
          <w:color w:val="000000"/>
          <w:szCs w:val="21"/>
          <w:lang w:val="en-US" w:eastAsia="zh-CN"/>
        </w:rPr>
        <w:t>华东师范</w:t>
      </w:r>
      <w:r>
        <w:rPr>
          <w:rFonts w:hint="eastAsia" w:ascii="Times New Roman" w:hAnsi="Times New Roman" w:eastAsia="宋体" w:cs="Times New Roman"/>
          <w:bCs/>
          <w:color w:val="000000"/>
          <w:szCs w:val="21"/>
        </w:rPr>
        <w:t>大学出版社，20</w:t>
      </w:r>
      <w:r>
        <w:rPr>
          <w:rFonts w:hint="eastAsia" w:ascii="Times New Roman" w:hAnsi="Times New Roman" w:eastAsia="宋体" w:cs="Times New Roman"/>
          <w:bCs/>
          <w:color w:val="000000"/>
          <w:szCs w:val="21"/>
          <w:lang w:val="en-US" w:eastAsia="zh-CN"/>
        </w:rPr>
        <w:t>22.</w:t>
      </w:r>
    </w:p>
    <w:p w14:paraId="257BFC23">
      <w:pPr>
        <w:keepNext w:val="0"/>
        <w:keepLines w:val="0"/>
        <w:pageBreakBefore w:val="0"/>
        <w:widowControl w:val="0"/>
        <w:kinsoku/>
        <w:overflowPunct/>
        <w:topLinePunct w:val="0"/>
        <w:autoSpaceDE/>
        <w:autoSpaceDN/>
        <w:bidi w:val="0"/>
        <w:adjustRightInd/>
        <w:snapToGrid/>
        <w:spacing w:line="336" w:lineRule="auto"/>
        <w:ind w:firstLine="420" w:firstLineChars="200"/>
        <w:textAlignment w:val="auto"/>
        <w:rPr>
          <w:rFonts w:hint="default" w:eastAsia="宋体"/>
          <w:szCs w:val="22"/>
          <w:lang w:val="en-US" w:eastAsia="zh-CN"/>
        </w:rPr>
      </w:pPr>
      <w:r>
        <w:rPr>
          <w:rFonts w:hint="eastAsia" w:ascii="Times New Roman" w:hAnsi="Times New Roman" w:eastAsia="宋体" w:cs="Times New Roman"/>
          <w:bCs/>
          <w:color w:val="000000"/>
          <w:szCs w:val="21"/>
          <w:lang w:val="en-US" w:eastAsia="zh-CN"/>
        </w:rPr>
        <w:t>3.</w:t>
      </w:r>
      <w:r>
        <w:rPr>
          <w:rFonts w:hint="eastAsia" w:ascii="Times New Roman" w:hAnsi="Times New Roman" w:eastAsia="宋体" w:cs="Times New Roman"/>
          <w:bCs/>
          <w:color w:val="000000"/>
          <w:szCs w:val="21"/>
        </w:rPr>
        <w:t>[美]斯莱文（Slavin,R.）著，</w:t>
      </w:r>
      <w:r>
        <w:rPr>
          <w:rFonts w:hint="eastAsia" w:ascii="Times New Roman" w:hAnsi="Times New Roman" w:eastAsia="宋体" w:cs="Times New Roman"/>
          <w:bCs/>
          <w:color w:val="000000"/>
          <w:szCs w:val="21"/>
          <w:lang w:val="en-US" w:eastAsia="zh-CN"/>
        </w:rPr>
        <w:t>刘红瑞</w:t>
      </w:r>
      <w:r>
        <w:rPr>
          <w:rFonts w:hint="eastAsia" w:ascii="Times New Roman" w:hAnsi="Times New Roman" w:eastAsia="宋体" w:cs="Times New Roman"/>
          <w:bCs/>
          <w:color w:val="000000"/>
          <w:szCs w:val="21"/>
        </w:rPr>
        <w:t>，姚梅林</w:t>
      </w:r>
      <w:r>
        <w:rPr>
          <w:rFonts w:hint="eastAsia" w:ascii="Times New Roman" w:hAnsi="Times New Roman" w:eastAsia="宋体" w:cs="Times New Roman"/>
          <w:bCs/>
          <w:color w:val="000000"/>
          <w:szCs w:val="21"/>
          <w:lang w:val="en-US" w:eastAsia="zh-CN"/>
        </w:rPr>
        <w:t>等</w:t>
      </w:r>
      <w:r>
        <w:rPr>
          <w:rFonts w:hint="eastAsia" w:ascii="Times New Roman" w:hAnsi="Times New Roman" w:eastAsia="宋体" w:cs="Times New Roman"/>
          <w:bCs/>
          <w:color w:val="000000"/>
          <w:szCs w:val="21"/>
        </w:rPr>
        <w:t>译.教育心理学：理论与实践（第1</w:t>
      </w: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版）.北京：人民邮电出版社，20</w:t>
      </w:r>
      <w:r>
        <w:rPr>
          <w:rFonts w:hint="eastAsia" w:ascii="Times New Roman" w:hAnsi="Times New Roman" w:eastAsia="宋体" w:cs="Times New Roman"/>
          <w:bCs/>
          <w:color w:val="000000"/>
          <w:szCs w:val="21"/>
          <w:lang w:val="en-US" w:eastAsia="zh-CN"/>
        </w:rPr>
        <w:t>24.</w:t>
      </w:r>
    </w:p>
    <w:p w14:paraId="1DCD2E04">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巫文胜</w:t>
      </w:r>
    </w:p>
    <w:p w14:paraId="645B4F1B">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lang w:val="en-US" w:eastAsia="zh-CN"/>
        </w:rPr>
        <w:t>王健</w:t>
      </w:r>
      <w:r>
        <w:rPr>
          <w:rFonts w:ascii="宋体" w:hAnsi="宋体" w:eastAsia="宋体" w:cs="Times New Roman"/>
          <w:kern w:val="0"/>
          <w:sz w:val="24"/>
          <w:szCs w:val="21"/>
        </w:rPr>
        <w:t xml:space="preserve"> </w:t>
      </w:r>
    </w:p>
    <w:p w14:paraId="4DEFB081">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3BD854E8">
      <w:pPr>
        <w:autoSpaceDE w:val="0"/>
        <w:autoSpaceDN w:val="0"/>
        <w:adjustRightInd w:val="0"/>
        <w:spacing w:line="360" w:lineRule="auto"/>
        <w:ind w:firstLine="5280" w:firstLineChars="2200"/>
        <w:jc w:val="left"/>
        <w:rPr>
          <w:szCs w:val="22"/>
        </w:rPr>
      </w:pPr>
      <w:r>
        <w:rPr>
          <w:rFonts w:hint="eastAsia" w:ascii="宋体" w:hAnsi="宋体" w:eastAsia="宋体" w:cs="Times New Roman"/>
          <w:kern w:val="0"/>
          <w:sz w:val="24"/>
          <w:szCs w:val="21"/>
        </w:rPr>
        <w:t>批准时间：20</w:t>
      </w:r>
      <w:r>
        <w:rPr>
          <w:rFonts w:ascii="宋体" w:hAnsi="宋体" w:eastAsia="宋体" w:cs="Times New Roman"/>
          <w:kern w:val="0"/>
          <w:sz w:val="24"/>
          <w:szCs w:val="21"/>
        </w:rPr>
        <w:t>2</w:t>
      </w:r>
      <w:r>
        <w:rPr>
          <w:rFonts w:hint="eastAsia" w:ascii="宋体" w:hAnsi="宋体" w:eastAsia="宋体" w:cs="Times New Roman"/>
          <w:kern w:val="0"/>
          <w:sz w:val="24"/>
          <w:szCs w:val="21"/>
          <w:lang w:val="en-US" w:eastAsia="zh-CN"/>
        </w:rPr>
        <w:t>4</w:t>
      </w:r>
      <w:r>
        <w:rPr>
          <w:rFonts w:hint="eastAsia" w:ascii="宋体" w:hAnsi="宋体" w:eastAsia="宋体" w:cs="Times New Roman"/>
          <w:kern w:val="0"/>
          <w:sz w:val="24"/>
          <w:szCs w:val="21"/>
        </w:rPr>
        <w:t>年</w:t>
      </w:r>
      <w:r>
        <w:rPr>
          <w:rFonts w:hint="eastAsia" w:ascii="宋体" w:hAnsi="宋体" w:eastAsia="宋体" w:cs="Times New Roman"/>
          <w:kern w:val="0"/>
          <w:sz w:val="24"/>
          <w:szCs w:val="21"/>
          <w:lang w:val="en-US" w:eastAsia="zh-CN"/>
        </w:rPr>
        <w:t>9</w:t>
      </w:r>
      <w:r>
        <w:rPr>
          <w:rFonts w:hint="eastAsia" w:ascii="宋体" w:hAnsi="宋体" w:eastAsia="宋体" w:cs="Times New Roman"/>
          <w:kern w:val="0"/>
          <w:sz w:val="24"/>
          <w:szCs w:val="21"/>
        </w:rPr>
        <w:t>月</w:t>
      </w:r>
      <w:r>
        <w:rPr>
          <w:rFonts w:hint="eastAsia" w:ascii="宋体" w:hAnsi="宋体" w:eastAsia="宋体" w:cs="Times New Roman"/>
          <w:kern w:val="0"/>
          <w:sz w:val="24"/>
          <w:szCs w:val="21"/>
          <w:lang w:val="en-US" w:eastAsia="zh-CN"/>
        </w:rPr>
        <w:t>1</w:t>
      </w:r>
      <w:r>
        <w:rPr>
          <w:rFonts w:hint="eastAsia" w:ascii="宋体" w:hAnsi="宋体" w:eastAsia="宋体" w:cs="Times New Roman"/>
          <w:kern w:val="0"/>
          <w:sz w:val="24"/>
          <w:szCs w:val="21"/>
        </w:rPr>
        <w:t>日</w:t>
      </w:r>
    </w:p>
    <w:p w14:paraId="626EA2E0">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59D39BF6">
      <w:pPr>
        <w:pStyle w:val="2"/>
        <w:bidi w:val="0"/>
        <w:rPr>
          <w:lang w:val="en-US" w:eastAsia="zh-CN"/>
        </w:rPr>
      </w:pPr>
      <w:bookmarkStart w:id="750" w:name="_Toc18612"/>
      <w:bookmarkStart w:id="751" w:name="_Toc15515"/>
      <w:bookmarkStart w:id="752" w:name="_Toc6289"/>
      <w:bookmarkStart w:id="753" w:name="_Toc1245"/>
      <w:r>
        <w:rPr>
          <w:rFonts w:hint="eastAsia"/>
          <w:lang w:val="en-US" w:eastAsia="zh-CN"/>
        </w:rPr>
        <w:t>《现代教育技术》课程教学大纲</w:t>
      </w:r>
      <w:bookmarkEnd w:id="750"/>
      <w:bookmarkEnd w:id="751"/>
      <w:bookmarkEnd w:id="752"/>
      <w:bookmarkEnd w:id="753"/>
    </w:p>
    <w:p w14:paraId="658B5EAE">
      <w:pPr>
        <w:pStyle w:val="2"/>
        <w:bidi w:val="0"/>
        <w:rPr>
          <w:lang w:val="en-US" w:eastAsia="zh-CN"/>
        </w:rPr>
      </w:pPr>
      <w:bookmarkStart w:id="754" w:name="_Toc29976"/>
      <w:bookmarkStart w:id="755" w:name="_Toc26242"/>
      <w:bookmarkStart w:id="756" w:name="_Toc17236"/>
      <w:bookmarkStart w:id="757" w:name="_Toc19139"/>
      <w:bookmarkStart w:id="758" w:name="_Toc17977"/>
      <w:bookmarkStart w:id="759" w:name="_Toc14796"/>
      <w:bookmarkStart w:id="760" w:name="_Toc22294"/>
      <w:r>
        <w:rPr>
          <w:rFonts w:hint="eastAsia"/>
          <w:lang w:val="en-US" w:eastAsia="zh-CN"/>
        </w:rPr>
        <w:t>（</w:t>
      </w:r>
      <w:r>
        <w:rPr>
          <w:lang w:val="en-US" w:eastAsia="zh-CN"/>
        </w:rPr>
        <w:t>Modern Educational Technology</w:t>
      </w:r>
      <w:r>
        <w:rPr>
          <w:rFonts w:hint="eastAsia"/>
          <w:lang w:val="en-US" w:eastAsia="zh-CN"/>
        </w:rPr>
        <w:t>）</w:t>
      </w:r>
      <w:bookmarkEnd w:id="754"/>
      <w:bookmarkEnd w:id="755"/>
      <w:bookmarkEnd w:id="756"/>
      <w:bookmarkEnd w:id="757"/>
      <w:bookmarkEnd w:id="758"/>
      <w:bookmarkEnd w:id="759"/>
      <w:bookmarkEnd w:id="760"/>
    </w:p>
    <w:p w14:paraId="70048209">
      <w:pPr>
        <w:widowControl w:val="0"/>
        <w:adjustRightInd/>
        <w:snapToGrid/>
        <w:spacing w:after="0" w:line="360" w:lineRule="auto"/>
        <w:jc w:val="both"/>
        <w:outlineLvl w:val="0"/>
        <w:rPr>
          <w:rFonts w:ascii="等线" w:hAnsi="等线" w:eastAsia="等线" w:cs="Times New Roman"/>
          <w:b/>
          <w:kern w:val="2"/>
          <w:sz w:val="28"/>
          <w:szCs w:val="28"/>
        </w:rPr>
      </w:pPr>
      <w:bookmarkStart w:id="761" w:name="_Toc24491"/>
      <w:bookmarkStart w:id="762" w:name="_Toc18387"/>
      <w:bookmarkStart w:id="763" w:name="_Toc28630"/>
      <w:bookmarkStart w:id="764" w:name="_Toc22850"/>
      <w:bookmarkStart w:id="765" w:name="_Toc13610"/>
      <w:bookmarkStart w:id="766" w:name="_Toc16208"/>
      <w:bookmarkStart w:id="767" w:name="_Toc30729"/>
      <w:r>
        <w:rPr>
          <w:rFonts w:ascii="等线" w:hAnsi="等线" w:eastAsia="等线" w:cs="Times New Roman"/>
          <w:b/>
          <w:kern w:val="2"/>
          <w:sz w:val="28"/>
          <w:szCs w:val="28"/>
        </w:rPr>
        <w:t>一、课程概况</w:t>
      </w:r>
      <w:bookmarkEnd w:id="761"/>
      <w:bookmarkEnd w:id="762"/>
      <w:bookmarkEnd w:id="763"/>
      <w:bookmarkEnd w:id="764"/>
      <w:bookmarkEnd w:id="765"/>
      <w:bookmarkEnd w:id="766"/>
      <w:bookmarkEnd w:id="767"/>
    </w:p>
    <w:p w14:paraId="0F1612C8">
      <w:pPr>
        <w:widowControl w:val="0"/>
        <w:adjustRightInd/>
        <w:snapToGrid/>
        <w:spacing w:after="0" w:line="360" w:lineRule="auto"/>
        <w:ind w:left="0" w:leftChars="0" w:firstLine="0" w:firstLineChars="0"/>
        <w:jc w:val="both"/>
        <w:rPr>
          <w:rFonts w:ascii="等线" w:hAnsi="等线" w:eastAsia="等线" w:cs="Times New Roman"/>
          <w:sz w:val="24"/>
          <w:szCs w:val="22"/>
        </w:rPr>
      </w:pPr>
      <w:r>
        <w:rPr>
          <w:rFonts w:ascii="等线" w:hAnsi="等线" w:eastAsia="等线" w:cs="Times New Roman"/>
          <w:b/>
          <w:bCs/>
          <w:sz w:val="24"/>
          <w:szCs w:val="24"/>
        </w:rPr>
        <w:t>课程代码</w:t>
      </w:r>
      <w:r>
        <w:rPr>
          <w:rFonts w:ascii="等线" w:hAnsi="等线" w:eastAsia="等线" w:cs="Times New Roman"/>
          <w:b/>
          <w:sz w:val="24"/>
          <w:szCs w:val="24"/>
        </w:rPr>
        <w:t>：</w:t>
      </w:r>
      <w:r>
        <w:rPr>
          <w:rFonts w:ascii="等线" w:hAnsi="等线" w:eastAsia="等线" w:cs="Times New Roman"/>
          <w:sz w:val="24"/>
          <w:szCs w:val="22"/>
        </w:rPr>
        <w:t>2401054</w:t>
      </w:r>
    </w:p>
    <w:p w14:paraId="2C81F1DF">
      <w:pPr>
        <w:widowControl w:val="0"/>
        <w:adjustRightInd/>
        <w:snapToGrid/>
        <w:spacing w:after="0" w:line="360" w:lineRule="auto"/>
        <w:ind w:left="0" w:leftChars="0" w:firstLine="0" w:firstLineChars="0"/>
        <w:jc w:val="both"/>
        <w:rPr>
          <w:rFonts w:ascii="等线" w:hAnsi="等线" w:eastAsia="等线" w:cs="Times New Roman"/>
          <w:sz w:val="24"/>
          <w:szCs w:val="24"/>
        </w:rPr>
      </w:pPr>
      <w:r>
        <w:rPr>
          <w:rFonts w:ascii="等线" w:hAnsi="等线" w:eastAsia="等线" w:cs="Times New Roman"/>
          <w:b/>
          <w:bCs/>
          <w:sz w:val="24"/>
          <w:szCs w:val="24"/>
        </w:rPr>
        <w:t>学    分：</w:t>
      </w:r>
      <w:r>
        <w:rPr>
          <w:rFonts w:hint="eastAsia" w:ascii="等线" w:hAnsi="等线" w:eastAsia="等线" w:cs="Times New Roman"/>
          <w:sz w:val="24"/>
          <w:szCs w:val="22"/>
        </w:rPr>
        <w:t>2</w:t>
      </w:r>
    </w:p>
    <w:p w14:paraId="1E94093F">
      <w:pPr>
        <w:widowControl w:val="0"/>
        <w:adjustRightInd/>
        <w:snapToGrid/>
        <w:spacing w:after="0" w:line="360" w:lineRule="auto"/>
        <w:ind w:left="0" w:leftChars="0" w:firstLine="0" w:firstLineChars="0"/>
        <w:jc w:val="both"/>
        <w:rPr>
          <w:rFonts w:ascii="等线" w:hAnsi="等线" w:eastAsia="等线" w:cs="Times New Roman"/>
          <w:sz w:val="24"/>
          <w:szCs w:val="24"/>
        </w:rPr>
      </w:pPr>
      <w:r>
        <w:rPr>
          <w:rFonts w:ascii="等线" w:hAnsi="等线" w:eastAsia="等线" w:cs="Times New Roman"/>
          <w:b/>
          <w:bCs/>
          <w:sz w:val="24"/>
          <w:szCs w:val="24"/>
        </w:rPr>
        <w:t>学    时：</w:t>
      </w:r>
      <w:r>
        <w:rPr>
          <w:rFonts w:hint="eastAsia" w:ascii="等线" w:hAnsi="等线" w:eastAsia="等线" w:cs="Times New Roman"/>
          <w:sz w:val="24"/>
          <w:szCs w:val="24"/>
        </w:rPr>
        <w:t>32</w:t>
      </w:r>
      <w:r>
        <w:rPr>
          <w:rFonts w:ascii="等线" w:hAnsi="等线" w:eastAsia="等线" w:cs="Times New Roman"/>
          <w:sz w:val="24"/>
          <w:szCs w:val="24"/>
        </w:rPr>
        <w:t xml:space="preserve"> （其中：讲授学时</w:t>
      </w:r>
      <w:r>
        <w:rPr>
          <w:rFonts w:hint="eastAsia" w:ascii="等线" w:hAnsi="等线" w:eastAsia="等线" w:cs="Times New Roman"/>
          <w:sz w:val="24"/>
          <w:szCs w:val="24"/>
        </w:rPr>
        <w:t>16，</w:t>
      </w:r>
      <w:r>
        <w:rPr>
          <w:rFonts w:ascii="等线" w:hAnsi="等线" w:eastAsia="等线" w:cs="Times New Roman"/>
          <w:sz w:val="24"/>
          <w:szCs w:val="24"/>
        </w:rPr>
        <w:t xml:space="preserve"> 课内实践学时</w:t>
      </w:r>
      <w:r>
        <w:rPr>
          <w:rFonts w:hint="eastAsia" w:ascii="等线" w:hAnsi="等线" w:eastAsia="等线" w:cs="Times New Roman"/>
          <w:sz w:val="24"/>
          <w:szCs w:val="24"/>
        </w:rPr>
        <w:t>16</w:t>
      </w:r>
      <w:r>
        <w:rPr>
          <w:rFonts w:ascii="等线" w:hAnsi="等线" w:eastAsia="等线" w:cs="Times New Roman"/>
          <w:sz w:val="24"/>
          <w:szCs w:val="24"/>
        </w:rPr>
        <w:t>）</w:t>
      </w:r>
    </w:p>
    <w:p w14:paraId="6455E52B">
      <w:pPr>
        <w:widowControl w:val="0"/>
        <w:adjustRightInd/>
        <w:snapToGrid/>
        <w:spacing w:after="0" w:line="360" w:lineRule="auto"/>
        <w:ind w:left="0" w:leftChars="0" w:firstLine="0" w:firstLineChars="0"/>
        <w:rPr>
          <w:rFonts w:ascii="等线" w:hAnsi="等线" w:eastAsia="等线" w:cs="Times New Roman"/>
          <w:sz w:val="24"/>
          <w:szCs w:val="24"/>
        </w:rPr>
      </w:pPr>
      <w:r>
        <w:rPr>
          <w:rFonts w:ascii="等线" w:hAnsi="等线" w:eastAsia="等线" w:cs="Times New Roman"/>
          <w:b/>
          <w:bCs/>
          <w:sz w:val="24"/>
          <w:szCs w:val="24"/>
        </w:rPr>
        <w:t>先修课程：</w:t>
      </w:r>
      <w:r>
        <w:rPr>
          <w:rFonts w:hint="eastAsia" w:ascii="等线" w:hAnsi="等线" w:eastAsia="等线" w:cs="Times New Roman"/>
          <w:sz w:val="24"/>
          <w:szCs w:val="24"/>
        </w:rPr>
        <w:t>教育原理、小学心理学、教育心理学、教育科学研究方法、教师职业道德小学班队管理、课程与教</w:t>
      </w:r>
      <w:r>
        <w:rPr>
          <w:rFonts w:ascii="等线" w:hAnsi="等线" w:eastAsia="等线" w:cs="Times New Roman"/>
          <w:sz w:val="24"/>
          <w:szCs w:val="24"/>
        </w:rPr>
        <w:t>学论</w:t>
      </w:r>
    </w:p>
    <w:p w14:paraId="65BD9181">
      <w:pPr>
        <w:widowControl w:val="0"/>
        <w:adjustRightInd/>
        <w:snapToGrid/>
        <w:spacing w:after="0" w:line="360" w:lineRule="auto"/>
        <w:ind w:left="0" w:leftChars="0" w:firstLine="0" w:firstLineChars="0"/>
        <w:jc w:val="both"/>
        <w:rPr>
          <w:rFonts w:ascii="等线" w:hAnsi="等线" w:eastAsia="等线" w:cs="Times New Roman"/>
          <w:sz w:val="24"/>
          <w:szCs w:val="24"/>
        </w:rPr>
      </w:pPr>
      <w:r>
        <w:rPr>
          <w:rFonts w:ascii="等线" w:hAnsi="等线" w:eastAsia="等线" w:cs="Times New Roman"/>
          <w:b/>
          <w:bCs/>
          <w:sz w:val="24"/>
          <w:szCs w:val="24"/>
        </w:rPr>
        <w:t>适用专业：</w:t>
      </w:r>
      <w:r>
        <w:rPr>
          <w:rFonts w:hint="eastAsia" w:ascii="等线" w:hAnsi="等线" w:eastAsia="等线" w:cs="Times New Roman"/>
          <w:sz w:val="24"/>
          <w:szCs w:val="24"/>
        </w:rPr>
        <w:t>小学教育（</w:t>
      </w:r>
      <w:r>
        <w:rPr>
          <w:rFonts w:hint="eastAsia" w:ascii="等线" w:hAnsi="等线" w:eastAsia="等线" w:cs="Times New Roman"/>
          <w:sz w:val="24"/>
          <w:szCs w:val="24"/>
          <w:lang w:eastAsia="zh-CN"/>
        </w:rPr>
        <w:t>文</w:t>
      </w:r>
      <w:r>
        <w:rPr>
          <w:rFonts w:hint="eastAsia" w:ascii="等线" w:hAnsi="等线" w:eastAsia="等线" w:cs="Times New Roman"/>
          <w:sz w:val="24"/>
          <w:szCs w:val="24"/>
        </w:rPr>
        <w:t>）</w:t>
      </w:r>
      <w:r>
        <w:rPr>
          <w:rFonts w:ascii="等线" w:hAnsi="等线" w:eastAsia="等线" w:cs="Times New Roman"/>
          <w:sz w:val="24"/>
          <w:szCs w:val="24"/>
        </w:rPr>
        <w:t xml:space="preserve">                         </w:t>
      </w:r>
    </w:p>
    <w:p w14:paraId="0D8CD905">
      <w:pPr>
        <w:widowControl w:val="0"/>
        <w:adjustRightInd/>
        <w:snapToGrid/>
        <w:spacing w:after="0" w:line="360" w:lineRule="auto"/>
        <w:ind w:left="0" w:leftChars="0" w:firstLine="0" w:firstLineChars="0"/>
        <w:jc w:val="both"/>
        <w:rPr>
          <w:rFonts w:hint="default" w:ascii="微软雅黑" w:hAnsi="微软雅黑" w:eastAsia="微软雅黑" w:cs="Times New Roman"/>
          <w:color w:val="555555"/>
          <w:sz w:val="21"/>
          <w:szCs w:val="21"/>
          <w:shd w:val="clear" w:color="auto" w:fill="FFFFFF"/>
          <w:lang w:val="en-US" w:eastAsia="zh-CN"/>
        </w:rPr>
      </w:pPr>
      <w:r>
        <w:rPr>
          <w:rFonts w:hint="eastAsia" w:ascii="等线" w:hAnsi="等线" w:eastAsia="等线" w:cs="Times New Roman"/>
          <w:b/>
          <w:bCs/>
          <w:sz w:val="24"/>
          <w:szCs w:val="24"/>
        </w:rPr>
        <w:t>建议</w:t>
      </w:r>
      <w:r>
        <w:rPr>
          <w:rFonts w:ascii="等线" w:hAnsi="等线" w:eastAsia="等线" w:cs="Times New Roman"/>
          <w:b/>
          <w:bCs/>
          <w:sz w:val="24"/>
          <w:szCs w:val="24"/>
        </w:rPr>
        <w:t>教材：</w:t>
      </w:r>
      <w:r>
        <w:rPr>
          <w:rFonts w:hint="eastAsia" w:ascii="等线" w:hAnsi="等线" w:eastAsia="等线" w:cs="Times New Roman"/>
          <w:sz w:val="24"/>
          <w:szCs w:val="22"/>
        </w:rPr>
        <w:t>《现代教育技术》</w:t>
      </w:r>
      <w:r>
        <w:rPr>
          <w:rFonts w:hint="eastAsia" w:ascii="等线" w:hAnsi="等线" w:eastAsia="等线" w:cs="Times New Roman"/>
          <w:kern w:val="2"/>
          <w:sz w:val="24"/>
          <w:szCs w:val="22"/>
        </w:rPr>
        <w:t>，</w:t>
      </w:r>
      <w:r>
        <w:rPr>
          <w:rFonts w:hint="eastAsia" w:ascii="等线" w:hAnsi="等线" w:eastAsia="等线" w:cs="Times New Roman"/>
          <w:sz w:val="24"/>
          <w:szCs w:val="22"/>
        </w:rPr>
        <w:t>章苏静</w:t>
      </w:r>
      <w:r>
        <w:rPr>
          <w:rFonts w:hint="eastAsia" w:ascii="等线" w:hAnsi="等线" w:eastAsia="等线" w:cs="Times New Roman"/>
          <w:kern w:val="2"/>
          <w:sz w:val="24"/>
          <w:szCs w:val="22"/>
        </w:rPr>
        <w:t>，</w:t>
      </w:r>
      <w:r>
        <w:rPr>
          <w:rFonts w:hint="eastAsia" w:ascii="等线" w:hAnsi="等线" w:eastAsia="等线" w:cs="Times New Roman"/>
          <w:sz w:val="24"/>
          <w:szCs w:val="22"/>
          <w:lang w:eastAsia="zh-CN"/>
        </w:rPr>
        <w:t>上海交通</w:t>
      </w:r>
      <w:r>
        <w:rPr>
          <w:rFonts w:hint="eastAsia" w:ascii="等线" w:hAnsi="等线" w:eastAsia="等线" w:cs="Times New Roman"/>
          <w:sz w:val="24"/>
          <w:szCs w:val="22"/>
        </w:rPr>
        <w:t>大学出版社，20</w:t>
      </w:r>
      <w:r>
        <w:rPr>
          <w:rFonts w:hint="eastAsia" w:ascii="等线" w:hAnsi="等线" w:eastAsia="等线" w:cs="Times New Roman"/>
          <w:sz w:val="24"/>
          <w:szCs w:val="22"/>
          <w:lang w:val="en-US" w:eastAsia="zh-CN"/>
        </w:rPr>
        <w:t>22</w:t>
      </w:r>
    </w:p>
    <w:p w14:paraId="63051813">
      <w:pPr>
        <w:widowControl w:val="0"/>
        <w:adjustRightInd/>
        <w:snapToGrid/>
        <w:spacing w:after="0" w:line="360" w:lineRule="auto"/>
        <w:ind w:left="0" w:leftChars="0" w:firstLine="0" w:firstLineChars="0"/>
        <w:jc w:val="both"/>
        <w:rPr>
          <w:rFonts w:ascii="等线" w:hAnsi="等线" w:eastAsia="等线" w:cs="Times New Roman"/>
          <w:kern w:val="2"/>
          <w:sz w:val="24"/>
          <w:szCs w:val="24"/>
        </w:rPr>
      </w:pPr>
      <w:r>
        <w:rPr>
          <w:rFonts w:ascii="等线" w:hAnsi="等线" w:eastAsia="等线" w:cs="Times New Roman"/>
          <w:b/>
          <w:bCs/>
          <w:sz w:val="24"/>
          <w:szCs w:val="24"/>
        </w:rPr>
        <w:t>课程归口：</w:t>
      </w:r>
      <w:r>
        <w:rPr>
          <w:rFonts w:hint="eastAsia" w:ascii="等线" w:hAnsi="等线" w:eastAsia="等线" w:cs="Times New Roman"/>
          <w:kern w:val="2"/>
          <w:sz w:val="24"/>
          <w:szCs w:val="24"/>
        </w:rPr>
        <w:t>师范</w:t>
      </w:r>
      <w:r>
        <w:rPr>
          <w:rFonts w:ascii="等线" w:hAnsi="等线" w:eastAsia="等线" w:cs="Times New Roman"/>
          <w:kern w:val="2"/>
          <w:sz w:val="24"/>
          <w:szCs w:val="24"/>
        </w:rPr>
        <w:t>学院</w:t>
      </w:r>
    </w:p>
    <w:p w14:paraId="447A72A5">
      <w:pPr>
        <w:autoSpaceDE w:val="0"/>
        <w:autoSpaceDN w:val="0"/>
        <w:spacing w:line="360" w:lineRule="auto"/>
        <w:ind w:left="0" w:leftChars="0" w:firstLine="0" w:firstLineChars="0"/>
        <w:rPr>
          <w:rFonts w:ascii="等线" w:hAnsi="等线" w:eastAsia="等线" w:cs="Times New Roman"/>
          <w:sz w:val="24"/>
          <w:szCs w:val="24"/>
        </w:rPr>
      </w:pPr>
      <w:r>
        <w:rPr>
          <w:rFonts w:hint="eastAsia" w:ascii="等线" w:hAnsi="等线" w:eastAsia="等线" w:cs="Times New Roman"/>
          <w:b/>
          <w:bCs/>
          <w:sz w:val="24"/>
          <w:szCs w:val="24"/>
        </w:rPr>
        <w:t>课程的性质与任务：</w:t>
      </w:r>
      <w:r>
        <w:rPr>
          <w:rFonts w:hint="eastAsia" w:ascii="等线" w:hAnsi="等线" w:eastAsia="等线" w:cs="Times New Roman"/>
          <w:sz w:val="24"/>
          <w:szCs w:val="24"/>
        </w:rPr>
        <w:t>本课程</w:t>
      </w:r>
      <w:r>
        <w:rPr>
          <w:rFonts w:ascii="等线" w:hAnsi="等线" w:eastAsia="等线" w:cs="Times New Roman"/>
          <w:sz w:val="24"/>
          <w:szCs w:val="24"/>
        </w:rPr>
        <w:t>是</w:t>
      </w:r>
      <w:r>
        <w:rPr>
          <w:rFonts w:hint="eastAsia" w:ascii="等线" w:hAnsi="等线" w:eastAsia="等线" w:cs="Times New Roman"/>
          <w:sz w:val="24"/>
          <w:szCs w:val="24"/>
        </w:rPr>
        <w:t>小学教育（</w:t>
      </w:r>
      <w:r>
        <w:rPr>
          <w:rFonts w:hint="eastAsia" w:ascii="等线" w:hAnsi="等线" w:eastAsia="等线" w:cs="Times New Roman"/>
          <w:sz w:val="24"/>
          <w:szCs w:val="24"/>
          <w:lang w:eastAsia="zh-CN"/>
        </w:rPr>
        <w:t>文</w:t>
      </w:r>
      <w:r>
        <w:rPr>
          <w:rFonts w:hint="eastAsia" w:ascii="等线" w:hAnsi="等线" w:eastAsia="等线" w:cs="Times New Roman"/>
          <w:sz w:val="24"/>
          <w:szCs w:val="24"/>
        </w:rPr>
        <w:t>）</w:t>
      </w:r>
      <w:r>
        <w:rPr>
          <w:rFonts w:ascii="等线" w:hAnsi="等线" w:eastAsia="等线" w:cs="Times New Roman"/>
          <w:sz w:val="24"/>
          <w:szCs w:val="24"/>
        </w:rPr>
        <w:t>专业的一门</w:t>
      </w:r>
      <w:r>
        <w:rPr>
          <w:rFonts w:hint="eastAsia" w:ascii="等线" w:hAnsi="等线" w:eastAsia="等线" w:cs="Times New Roman"/>
          <w:sz w:val="24"/>
          <w:szCs w:val="24"/>
        </w:rPr>
        <w:t>专业基础必修</w:t>
      </w:r>
      <w:r>
        <w:rPr>
          <w:rFonts w:ascii="等线" w:hAnsi="等线" w:eastAsia="等线" w:cs="Times New Roman"/>
          <w:sz w:val="24"/>
          <w:szCs w:val="24"/>
        </w:rPr>
        <w:t>课程</w:t>
      </w:r>
      <w:r>
        <w:rPr>
          <w:rFonts w:hint="eastAsia" w:ascii="等线" w:hAnsi="等线" w:eastAsia="等线" w:cs="Times New Roman"/>
          <w:sz w:val="24"/>
          <w:szCs w:val="24"/>
        </w:rPr>
        <w:t>。通过本课程学习，使学生理解教育技术基本理论；掌握教学设计的方法并具备进行教学过程的设计、实施和评价的能力；熟悉各种常用教学媒体的操作、数字化教学资源的开发和利用，从而能够运用教育技术优化专业课程的教与学，推动教育教学改革并促进专业发展和个人发展，为后续小学数学课程标准与教材分析、小学数学教学设计与实施</w:t>
      </w:r>
      <w:r>
        <w:rPr>
          <w:rFonts w:ascii="等线" w:hAnsi="等线" w:eastAsia="等线" w:cs="Times New Roman"/>
          <w:sz w:val="24"/>
          <w:szCs w:val="24"/>
        </w:rPr>
        <w:t>等课程及教育实习环节奠定基础。</w:t>
      </w:r>
    </w:p>
    <w:p w14:paraId="4D172D4F">
      <w:pPr>
        <w:widowControl w:val="0"/>
        <w:adjustRightInd/>
        <w:snapToGrid/>
        <w:spacing w:after="0" w:line="360" w:lineRule="auto"/>
        <w:jc w:val="both"/>
        <w:outlineLvl w:val="0"/>
        <w:rPr>
          <w:rFonts w:ascii="等线" w:hAnsi="等线" w:eastAsia="等线" w:cs="Times New Roman"/>
          <w:b/>
          <w:kern w:val="2"/>
          <w:sz w:val="28"/>
          <w:szCs w:val="28"/>
        </w:rPr>
      </w:pPr>
      <w:bookmarkStart w:id="768" w:name="_Toc13889"/>
      <w:bookmarkStart w:id="769" w:name="_Toc781"/>
      <w:bookmarkStart w:id="770" w:name="_Toc28908"/>
      <w:bookmarkStart w:id="771" w:name="_Toc2654"/>
      <w:bookmarkStart w:id="772" w:name="_Toc16693"/>
      <w:bookmarkStart w:id="773" w:name="_Toc10597"/>
      <w:bookmarkStart w:id="774" w:name="_Toc29866"/>
      <w:r>
        <w:rPr>
          <w:rFonts w:hint="eastAsia" w:ascii="等线" w:hAnsi="等线" w:eastAsia="等线" w:cs="Times New Roman"/>
          <w:b/>
          <w:kern w:val="2"/>
          <w:sz w:val="28"/>
          <w:szCs w:val="28"/>
        </w:rPr>
        <w:t>二</w:t>
      </w:r>
      <w:r>
        <w:rPr>
          <w:rFonts w:ascii="等线" w:hAnsi="等线" w:eastAsia="等线" w:cs="Times New Roman"/>
          <w:b/>
          <w:kern w:val="2"/>
          <w:sz w:val="28"/>
          <w:szCs w:val="28"/>
        </w:rPr>
        <w:t>、课程目标</w:t>
      </w:r>
      <w:bookmarkEnd w:id="768"/>
      <w:bookmarkEnd w:id="769"/>
      <w:bookmarkEnd w:id="770"/>
      <w:bookmarkEnd w:id="771"/>
      <w:bookmarkEnd w:id="772"/>
      <w:bookmarkEnd w:id="773"/>
      <w:bookmarkEnd w:id="774"/>
    </w:p>
    <w:p w14:paraId="7949C81D">
      <w:pPr>
        <w:widowControl w:val="0"/>
        <w:adjustRightInd/>
        <w:snapToGrid/>
        <w:spacing w:after="0" w:line="360" w:lineRule="auto"/>
        <w:ind w:left="0" w:leftChars="0" w:firstLine="0" w:firstLineChars="0"/>
        <w:jc w:val="both"/>
        <w:outlineLvl w:val="1"/>
        <w:rPr>
          <w:rFonts w:ascii="等线" w:hAnsi="等线" w:eastAsia="等线" w:cs="Times New Roman"/>
          <w:b/>
          <w:kern w:val="2"/>
          <w:sz w:val="28"/>
          <w:szCs w:val="28"/>
        </w:rPr>
      </w:pPr>
      <w:bookmarkStart w:id="775" w:name="_Toc16363"/>
      <w:r>
        <w:rPr>
          <w:rFonts w:hint="eastAsia" w:ascii="等线" w:hAnsi="等线" w:eastAsia="等线" w:cs="Times New Roman"/>
          <w:b/>
          <w:kern w:val="2"/>
          <w:sz w:val="28"/>
          <w:szCs w:val="28"/>
        </w:rPr>
        <w:t>（一）课程具体目标</w:t>
      </w:r>
      <w:bookmarkEnd w:id="775"/>
    </w:p>
    <w:p w14:paraId="5F956AB7">
      <w:pPr>
        <w:spacing w:line="360" w:lineRule="auto"/>
        <w:rPr>
          <w:rFonts w:hint="eastAsia" w:ascii="等线" w:hAnsi="等线" w:eastAsia="等线" w:cs="Times New Roman"/>
          <w:sz w:val="24"/>
          <w:szCs w:val="24"/>
        </w:rPr>
      </w:pPr>
      <w:r>
        <w:rPr>
          <w:rFonts w:hint="eastAsia" w:ascii="等线" w:hAnsi="等线" w:eastAsia="等线" w:cs="Times New Roman"/>
          <w:sz w:val="24"/>
          <w:szCs w:val="24"/>
        </w:rPr>
        <w:t>目标1. 阐释教育技术的概念、作用与理论基础；形成教育技术相关理论的认知框架；了解信息时代教师应具备的素质能力要求。</w:t>
      </w:r>
    </w:p>
    <w:p w14:paraId="60598539">
      <w:pPr>
        <w:spacing w:line="360" w:lineRule="auto"/>
        <w:rPr>
          <w:rFonts w:hint="eastAsia" w:ascii="等线" w:hAnsi="等线" w:eastAsia="等线" w:cs="Times New Roman"/>
          <w:sz w:val="24"/>
          <w:szCs w:val="24"/>
        </w:rPr>
      </w:pPr>
      <w:r>
        <w:rPr>
          <w:rFonts w:hint="eastAsia" w:ascii="等线" w:hAnsi="等线" w:eastAsia="等线" w:cs="Times New Roman"/>
          <w:sz w:val="24"/>
          <w:szCs w:val="24"/>
        </w:rPr>
        <w:t>目标2. 将教育理论与信息技术相结合，对信息化教学资源进行设计与开发；运用信息化教学模式与方法进行课程的设计并组织教学。</w:t>
      </w:r>
    </w:p>
    <w:p w14:paraId="40988CB9">
      <w:pPr>
        <w:spacing w:line="360" w:lineRule="auto"/>
        <w:rPr>
          <w:rFonts w:ascii="等线" w:hAnsi="等线" w:eastAsia="等线" w:cs="Times New Roman"/>
          <w:sz w:val="24"/>
          <w:szCs w:val="24"/>
        </w:rPr>
      </w:pPr>
      <w:r>
        <w:rPr>
          <w:rFonts w:hint="eastAsia" w:ascii="等线" w:hAnsi="等线" w:eastAsia="等线" w:cs="Times New Roman"/>
          <w:sz w:val="24"/>
          <w:szCs w:val="24"/>
        </w:rPr>
        <w:t>目标3. 掌握多种教学媒体的基本原理和使用方法。并掌握数字化资源的采集、加工与利用方法，能够进行数字化教学资源的设计与制作。</w:t>
      </w:r>
    </w:p>
    <w:p w14:paraId="226A2347">
      <w:pPr>
        <w:spacing w:line="360" w:lineRule="auto"/>
        <w:rPr>
          <w:rFonts w:ascii="等线" w:hAnsi="等线" w:eastAsia="等线" w:cs="Times New Roman"/>
          <w:sz w:val="24"/>
          <w:szCs w:val="24"/>
        </w:rPr>
      </w:pPr>
    </w:p>
    <w:p w14:paraId="44EAD090">
      <w:pPr>
        <w:spacing w:line="360" w:lineRule="auto"/>
        <w:ind w:left="0" w:leftChars="0" w:firstLine="0" w:firstLineChars="0"/>
        <w:outlineLvl w:val="1"/>
        <w:rPr>
          <w:rFonts w:ascii="等线" w:hAnsi="等线" w:eastAsia="等线" w:cs="Times New Roman"/>
          <w:b/>
          <w:kern w:val="2"/>
          <w:sz w:val="28"/>
          <w:szCs w:val="28"/>
        </w:rPr>
      </w:pPr>
      <w:bookmarkStart w:id="776" w:name="_Toc12950"/>
      <w:r>
        <w:rPr>
          <w:rFonts w:hint="eastAsia" w:ascii="等线" w:hAnsi="等线" w:eastAsia="等线" w:cs="Times New Roman"/>
          <w:b/>
          <w:kern w:val="2"/>
          <w:sz w:val="28"/>
          <w:szCs w:val="28"/>
        </w:rPr>
        <w:t>（二）课程目标与专业毕业要求的关系</w:t>
      </w:r>
      <w:bookmarkEnd w:id="776"/>
    </w:p>
    <w:tbl>
      <w:tblPr>
        <w:tblStyle w:val="1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4977"/>
        <w:gridCol w:w="1748"/>
      </w:tblGrid>
      <w:tr w14:paraId="1111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Align w:val="center"/>
          </w:tcPr>
          <w:p w14:paraId="1FBC9687">
            <w:pPr>
              <w:widowControl w:val="0"/>
              <w:spacing w:line="276" w:lineRule="auto"/>
              <w:ind w:firstLine="0" w:firstLineChars="0"/>
              <w:jc w:val="center"/>
              <w:rPr>
                <w:rFonts w:ascii="等线" w:hAnsi="等线" w:eastAsia="等线" w:cs="Times New Roman"/>
                <w:bCs/>
                <w:kern w:val="2"/>
                <w:sz w:val="21"/>
                <w:szCs w:val="21"/>
                <w:lang w:val="en-US" w:eastAsia="zh-CN" w:bidi="ar-SA"/>
              </w:rPr>
            </w:pPr>
            <w:r>
              <w:rPr>
                <w:rFonts w:hint="eastAsia" w:ascii="等线" w:hAnsi="等线" w:eastAsia="等线" w:cs="Times New Roman"/>
                <w:bCs/>
                <w:kern w:val="2"/>
                <w:sz w:val="21"/>
                <w:szCs w:val="21"/>
                <w:lang w:val="en-US" w:eastAsia="zh-CN" w:bidi="ar-SA"/>
              </w:rPr>
              <w:t>支撑的毕业要求</w:t>
            </w:r>
          </w:p>
        </w:tc>
        <w:tc>
          <w:tcPr>
            <w:tcW w:w="4977" w:type="dxa"/>
            <w:vAlign w:val="center"/>
          </w:tcPr>
          <w:p w14:paraId="34D7BADB">
            <w:pPr>
              <w:widowControl w:val="0"/>
              <w:spacing w:line="276" w:lineRule="auto"/>
              <w:ind w:firstLine="420" w:firstLineChars="200"/>
              <w:jc w:val="center"/>
              <w:rPr>
                <w:rFonts w:ascii="等线" w:hAnsi="等线" w:eastAsia="等线" w:cs="Times New Roman"/>
                <w:bCs/>
                <w:kern w:val="2"/>
                <w:sz w:val="21"/>
                <w:szCs w:val="21"/>
                <w:lang w:val="en-US" w:eastAsia="zh-CN" w:bidi="ar-SA"/>
              </w:rPr>
            </w:pPr>
            <w:r>
              <w:rPr>
                <w:rFonts w:hint="eastAsia" w:ascii="等线" w:hAnsi="等线" w:eastAsia="等线" w:cs="Times New Roman"/>
                <w:bCs/>
                <w:kern w:val="2"/>
                <w:sz w:val="21"/>
                <w:szCs w:val="21"/>
                <w:lang w:val="en-US" w:eastAsia="zh-CN" w:bidi="ar-SA"/>
              </w:rPr>
              <w:t>支撑的毕业要求指标点</w:t>
            </w:r>
          </w:p>
        </w:tc>
        <w:tc>
          <w:tcPr>
            <w:tcW w:w="1748" w:type="dxa"/>
            <w:vAlign w:val="center"/>
          </w:tcPr>
          <w:p w14:paraId="541E2BAE">
            <w:pPr>
              <w:widowControl w:val="0"/>
              <w:spacing w:line="276" w:lineRule="auto"/>
              <w:ind w:firstLine="0" w:firstLineChars="0"/>
              <w:jc w:val="center"/>
              <w:rPr>
                <w:rFonts w:ascii="Calibri" w:hAnsi="Calibri" w:eastAsia="宋体" w:cs="Times New Roman"/>
                <w:kern w:val="2"/>
                <w:sz w:val="21"/>
                <w:szCs w:val="22"/>
                <w:lang w:val="en-US" w:eastAsia="zh-CN" w:bidi="ar-SA"/>
              </w:rPr>
            </w:pPr>
            <w:r>
              <w:rPr>
                <w:rFonts w:hint="eastAsia" w:ascii="等线" w:hAnsi="等线" w:eastAsia="等线" w:cs="Times New Roman"/>
                <w:bCs/>
                <w:kern w:val="2"/>
                <w:sz w:val="21"/>
                <w:szCs w:val="21"/>
                <w:lang w:val="en-US" w:eastAsia="zh-CN" w:bidi="ar-SA"/>
              </w:rPr>
              <w:t>课程目标</w:t>
            </w:r>
          </w:p>
        </w:tc>
      </w:tr>
      <w:tr w14:paraId="3AC8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Merge w:val="restart"/>
            <w:vAlign w:val="center"/>
          </w:tcPr>
          <w:p w14:paraId="589A9803">
            <w:pPr>
              <w:widowControl w:val="0"/>
              <w:spacing w:line="276" w:lineRule="auto"/>
              <w:ind w:firstLine="0" w:firstLineChars="0"/>
              <w:jc w:val="both"/>
              <w:rPr>
                <w:rFonts w:hint="eastAsia" w:ascii="等线" w:hAnsi="等线" w:eastAsia="等线" w:cs="Times New Roman"/>
                <w:kern w:val="0"/>
                <w:sz w:val="21"/>
                <w:szCs w:val="21"/>
                <w:lang w:val="en-US" w:eastAsia="zh-CN" w:bidi="ar-SA"/>
              </w:rPr>
            </w:pPr>
            <w:r>
              <w:rPr>
                <w:rFonts w:hint="eastAsia" w:ascii="等线" w:hAnsi="等线" w:eastAsia="等线" w:cs="Times New Roman"/>
                <w:kern w:val="0"/>
                <w:sz w:val="21"/>
                <w:szCs w:val="21"/>
                <w:lang w:val="en-US" w:eastAsia="zh-CN" w:bidi="ar-SA"/>
              </w:rPr>
              <w:t>毕业要求4</w:t>
            </w:r>
            <w:r>
              <w:rPr>
                <w:rFonts w:ascii="等线" w:hAnsi="等线" w:eastAsia="等线" w:cs="Times New Roman"/>
                <w:kern w:val="0"/>
                <w:sz w:val="21"/>
                <w:szCs w:val="21"/>
                <w:lang w:val="en-US" w:eastAsia="zh-CN" w:bidi="ar-SA"/>
              </w:rPr>
              <w:t>.</w:t>
            </w:r>
            <w:r>
              <w:rPr>
                <w:rFonts w:hint="eastAsia" w:ascii="等线" w:hAnsi="等线" w:eastAsia="等线" w:cs="Times New Roman"/>
                <w:kern w:val="0"/>
                <w:sz w:val="21"/>
                <w:szCs w:val="21"/>
                <w:lang w:val="en-US" w:eastAsia="zh-CN" w:bidi="ar-SA"/>
              </w:rPr>
              <w:t>教学能力</w:t>
            </w:r>
          </w:p>
        </w:tc>
        <w:tc>
          <w:tcPr>
            <w:tcW w:w="4977" w:type="dxa"/>
            <w:vMerge w:val="restart"/>
            <w:vAlign w:val="center"/>
          </w:tcPr>
          <w:p w14:paraId="392A4475">
            <w:pPr>
              <w:widowControl w:val="0"/>
              <w:spacing w:line="276" w:lineRule="auto"/>
              <w:ind w:firstLine="0" w:firstLineChars="0"/>
              <w:jc w:val="left"/>
              <w:rPr>
                <w:rFonts w:ascii="等线" w:hAnsi="等线" w:eastAsia="等线" w:cs="Times New Roman"/>
                <w:kern w:val="0"/>
                <w:sz w:val="18"/>
                <w:szCs w:val="18"/>
                <w:lang w:val="en-US" w:eastAsia="zh-CN" w:bidi="ar-SA"/>
              </w:rPr>
            </w:pPr>
            <w:r>
              <w:rPr>
                <w:rFonts w:hint="eastAsia" w:ascii="宋体" w:hAnsi="宋体" w:eastAsia="宋体" w:cs="宋体"/>
                <w:kern w:val="2"/>
                <w:sz w:val="21"/>
                <w:szCs w:val="21"/>
                <w:lang w:val="en-US" w:eastAsia="zh-CN" w:bidi="ar-SA"/>
              </w:rPr>
              <w:t>指标点4-3（H）：【教学实施与评价科学】掌握小学教师基本功技能，包括书写技能、沟通与表达技能、信息技术运用技能等。获得全面的小学教学体验，掌握学科教学的基本方法与策略，能独立进行教学实施和评价。</w:t>
            </w:r>
          </w:p>
        </w:tc>
        <w:tc>
          <w:tcPr>
            <w:tcW w:w="1748" w:type="dxa"/>
            <w:vAlign w:val="center"/>
          </w:tcPr>
          <w:p w14:paraId="717EF644">
            <w:pPr>
              <w:widowControl w:val="0"/>
              <w:spacing w:line="276" w:lineRule="auto"/>
              <w:ind w:firstLine="0" w:firstLineChars="0"/>
              <w:jc w:val="center"/>
              <w:rPr>
                <w:rFonts w:ascii="Calibri" w:hAnsi="Calibri" w:eastAsia="宋体" w:cs="Times New Roman"/>
                <w:kern w:val="2"/>
                <w:sz w:val="21"/>
                <w:szCs w:val="22"/>
                <w:lang w:val="en-US" w:eastAsia="zh-CN" w:bidi="ar-SA"/>
              </w:rPr>
            </w:pPr>
            <w:r>
              <w:rPr>
                <w:rFonts w:hint="eastAsia" w:ascii="等线" w:hAnsi="等线" w:eastAsia="等线" w:cs="宋体"/>
                <w:bCs/>
                <w:kern w:val="2"/>
                <w:sz w:val="21"/>
                <w:szCs w:val="21"/>
                <w:lang w:val="en-US" w:eastAsia="zh-CN" w:bidi="ar-SA"/>
              </w:rPr>
              <w:t>课程目标1</w:t>
            </w:r>
          </w:p>
        </w:tc>
      </w:tr>
      <w:tr w14:paraId="4762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Merge w:val="continue"/>
            <w:vAlign w:val="center"/>
          </w:tcPr>
          <w:p w14:paraId="484B2AB3">
            <w:pPr>
              <w:widowControl w:val="0"/>
              <w:spacing w:line="276" w:lineRule="auto"/>
              <w:ind w:firstLine="0" w:firstLineChars="0"/>
              <w:jc w:val="both"/>
              <w:rPr>
                <w:rFonts w:hint="eastAsia" w:ascii="等线" w:hAnsi="等线" w:eastAsia="等线" w:cs="Times New Roman"/>
                <w:kern w:val="0"/>
                <w:sz w:val="21"/>
                <w:szCs w:val="21"/>
                <w:lang w:val="en-US" w:eastAsia="zh-CN" w:bidi="ar-SA"/>
              </w:rPr>
            </w:pPr>
          </w:p>
        </w:tc>
        <w:tc>
          <w:tcPr>
            <w:tcW w:w="4977" w:type="dxa"/>
            <w:vMerge w:val="continue"/>
            <w:vAlign w:val="center"/>
          </w:tcPr>
          <w:p w14:paraId="45F9B202">
            <w:pPr>
              <w:widowControl w:val="0"/>
              <w:spacing w:line="276" w:lineRule="auto"/>
              <w:ind w:firstLine="0" w:firstLineChars="0"/>
              <w:jc w:val="left"/>
              <w:rPr>
                <w:rFonts w:hint="eastAsia" w:ascii="宋体" w:hAnsi="宋体" w:eastAsia="宋体" w:cs="宋体"/>
                <w:kern w:val="2"/>
                <w:sz w:val="21"/>
                <w:szCs w:val="21"/>
                <w:lang w:val="en-US" w:eastAsia="zh-CN" w:bidi="ar-SA"/>
              </w:rPr>
            </w:pPr>
          </w:p>
        </w:tc>
        <w:tc>
          <w:tcPr>
            <w:tcW w:w="1748" w:type="dxa"/>
            <w:vAlign w:val="center"/>
          </w:tcPr>
          <w:p w14:paraId="7C153147">
            <w:pPr>
              <w:widowControl w:val="0"/>
              <w:spacing w:line="276" w:lineRule="auto"/>
              <w:ind w:firstLine="0" w:firstLineChars="0"/>
              <w:jc w:val="center"/>
              <w:rPr>
                <w:rFonts w:ascii="Calibri" w:hAnsi="Calibri" w:eastAsia="宋体" w:cs="Times New Roman"/>
                <w:kern w:val="2"/>
                <w:sz w:val="21"/>
                <w:szCs w:val="22"/>
                <w:lang w:val="en-US" w:eastAsia="zh-CN" w:bidi="ar-SA"/>
              </w:rPr>
            </w:pPr>
            <w:r>
              <w:rPr>
                <w:rFonts w:hint="eastAsia" w:ascii="等线" w:hAnsi="等线" w:eastAsia="等线" w:cs="宋体"/>
                <w:bCs/>
                <w:kern w:val="2"/>
                <w:sz w:val="21"/>
                <w:szCs w:val="21"/>
                <w:lang w:val="en-US" w:eastAsia="zh-CN" w:bidi="ar-SA"/>
              </w:rPr>
              <w:t>课程目标2</w:t>
            </w:r>
          </w:p>
        </w:tc>
      </w:tr>
      <w:tr w14:paraId="57C8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23" w:type="dxa"/>
            <w:vMerge w:val="continue"/>
            <w:vAlign w:val="center"/>
          </w:tcPr>
          <w:p w14:paraId="5B5189A8">
            <w:pPr>
              <w:widowControl w:val="0"/>
              <w:spacing w:line="276" w:lineRule="auto"/>
              <w:ind w:firstLine="0" w:firstLineChars="0"/>
              <w:jc w:val="both"/>
              <w:rPr>
                <w:rFonts w:hint="eastAsia" w:ascii="等线" w:hAnsi="等线" w:eastAsia="等线" w:cs="Times New Roman"/>
                <w:kern w:val="0"/>
                <w:sz w:val="21"/>
                <w:szCs w:val="21"/>
                <w:lang w:val="en-US" w:eastAsia="zh-CN" w:bidi="ar-SA"/>
              </w:rPr>
            </w:pPr>
          </w:p>
        </w:tc>
        <w:tc>
          <w:tcPr>
            <w:tcW w:w="4977" w:type="dxa"/>
            <w:vMerge w:val="continue"/>
            <w:vAlign w:val="center"/>
          </w:tcPr>
          <w:p w14:paraId="2A876492">
            <w:pPr>
              <w:widowControl w:val="0"/>
              <w:spacing w:line="276" w:lineRule="auto"/>
              <w:ind w:firstLine="0" w:firstLineChars="0"/>
              <w:jc w:val="left"/>
              <w:rPr>
                <w:rFonts w:hint="eastAsia" w:ascii="宋体" w:hAnsi="宋体" w:eastAsia="宋体" w:cs="宋体"/>
                <w:kern w:val="2"/>
                <w:sz w:val="21"/>
                <w:szCs w:val="21"/>
                <w:lang w:val="en-US" w:eastAsia="zh-CN" w:bidi="ar-SA"/>
              </w:rPr>
            </w:pPr>
          </w:p>
        </w:tc>
        <w:tc>
          <w:tcPr>
            <w:tcW w:w="1748" w:type="dxa"/>
            <w:vAlign w:val="center"/>
          </w:tcPr>
          <w:p w14:paraId="4A795F4D">
            <w:pPr>
              <w:widowControl w:val="0"/>
              <w:spacing w:line="276" w:lineRule="auto"/>
              <w:ind w:firstLine="0" w:firstLineChars="0"/>
              <w:jc w:val="center"/>
              <w:rPr>
                <w:rFonts w:ascii="Calibri" w:hAnsi="Calibri" w:eastAsia="宋体" w:cs="Times New Roman"/>
                <w:kern w:val="2"/>
                <w:sz w:val="21"/>
                <w:szCs w:val="22"/>
                <w:lang w:val="en-US" w:eastAsia="zh-CN" w:bidi="ar-SA"/>
              </w:rPr>
            </w:pPr>
            <w:r>
              <w:rPr>
                <w:rFonts w:hint="eastAsia" w:ascii="等线" w:hAnsi="等线" w:eastAsia="等线" w:cs="宋体"/>
                <w:bCs/>
                <w:kern w:val="2"/>
                <w:sz w:val="21"/>
                <w:szCs w:val="21"/>
                <w:lang w:val="en-US" w:eastAsia="zh-CN" w:bidi="ar-SA"/>
              </w:rPr>
              <w:t>课程目标3</w:t>
            </w:r>
          </w:p>
        </w:tc>
      </w:tr>
    </w:tbl>
    <w:p w14:paraId="5064CB6C">
      <w:pPr>
        <w:spacing w:line="360" w:lineRule="auto"/>
        <w:rPr>
          <w:rFonts w:ascii="等线" w:hAnsi="等线" w:eastAsia="等线" w:cs="Times New Roman"/>
          <w:sz w:val="24"/>
          <w:szCs w:val="24"/>
        </w:rPr>
      </w:pPr>
    </w:p>
    <w:p w14:paraId="70EC916A">
      <w:pPr>
        <w:spacing w:line="360" w:lineRule="auto"/>
        <w:ind w:left="0" w:leftChars="0" w:firstLine="0" w:firstLineChars="0"/>
        <w:outlineLvl w:val="1"/>
        <w:rPr>
          <w:rFonts w:ascii="等线" w:hAnsi="等线" w:eastAsia="等线" w:cs="Times New Roman"/>
          <w:b/>
          <w:kern w:val="2"/>
          <w:sz w:val="28"/>
          <w:szCs w:val="28"/>
        </w:rPr>
      </w:pPr>
      <w:bookmarkStart w:id="777" w:name="_Toc30800"/>
      <w:r>
        <w:rPr>
          <w:rFonts w:hint="eastAsia" w:ascii="等线" w:hAnsi="等线" w:eastAsia="等线" w:cs="Times New Roman"/>
          <w:b/>
          <w:kern w:val="2"/>
          <w:sz w:val="28"/>
          <w:szCs w:val="28"/>
        </w:rPr>
        <w:t>（</w:t>
      </w:r>
      <w:r>
        <w:rPr>
          <w:rFonts w:hint="eastAsia" w:ascii="等线" w:hAnsi="等线" w:eastAsia="等线" w:cs="Times New Roman"/>
          <w:b/>
          <w:kern w:val="2"/>
          <w:sz w:val="28"/>
          <w:szCs w:val="28"/>
          <w:lang w:eastAsia="zh-CN"/>
        </w:rPr>
        <w:t>三</w:t>
      </w:r>
      <w:r>
        <w:rPr>
          <w:rFonts w:hint="eastAsia" w:ascii="等线" w:hAnsi="等线" w:eastAsia="等线" w:cs="Times New Roman"/>
          <w:b/>
          <w:kern w:val="2"/>
          <w:sz w:val="28"/>
          <w:szCs w:val="28"/>
        </w:rPr>
        <w:t>）课程</w:t>
      </w:r>
      <w:r>
        <w:rPr>
          <w:rFonts w:hint="eastAsia" w:ascii="等线" w:hAnsi="等线" w:eastAsia="等线" w:cs="Times New Roman"/>
          <w:b/>
          <w:kern w:val="2"/>
          <w:sz w:val="28"/>
          <w:szCs w:val="28"/>
          <w:lang w:eastAsia="zh-CN"/>
        </w:rPr>
        <w:t>思政</w:t>
      </w:r>
      <w:r>
        <w:rPr>
          <w:rFonts w:hint="eastAsia" w:ascii="等线" w:hAnsi="等线" w:eastAsia="等线" w:cs="Times New Roman"/>
          <w:b/>
          <w:kern w:val="2"/>
          <w:sz w:val="28"/>
          <w:szCs w:val="28"/>
        </w:rPr>
        <w:t>目标</w:t>
      </w:r>
      <w:bookmarkEnd w:id="777"/>
    </w:p>
    <w:p w14:paraId="69939CFF">
      <w:pPr>
        <w:spacing w:line="360" w:lineRule="auto"/>
        <w:ind w:firstLine="424" w:firstLineChars="177"/>
        <w:rPr>
          <w:rFonts w:ascii="等线" w:hAnsi="等线" w:eastAsia="等线" w:cs="Times New Roman"/>
          <w:sz w:val="24"/>
          <w:szCs w:val="24"/>
        </w:rPr>
      </w:pPr>
      <w:r>
        <w:rPr>
          <w:rFonts w:hint="eastAsia" w:ascii="等线" w:hAnsi="等线" w:eastAsia="等线" w:cs="Times New Roman"/>
          <w:sz w:val="24"/>
          <w:szCs w:val="24"/>
          <w:lang w:eastAsia="zh-CN"/>
        </w:rPr>
        <w:t>在学习掌握现代教育技术的</w:t>
      </w:r>
      <w:r>
        <w:rPr>
          <w:rFonts w:hint="eastAsia" w:ascii="等线" w:hAnsi="等线" w:eastAsia="等线" w:cs="Times New Roman"/>
          <w:sz w:val="24"/>
          <w:szCs w:val="24"/>
        </w:rPr>
        <w:t>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21BE3FB">
      <w:pPr>
        <w:spacing w:line="360" w:lineRule="auto"/>
        <w:rPr>
          <w:rFonts w:ascii="等线" w:hAnsi="等线" w:eastAsia="等线" w:cs="Times New Roman"/>
          <w:sz w:val="24"/>
          <w:szCs w:val="24"/>
        </w:rPr>
      </w:pPr>
    </w:p>
    <w:p w14:paraId="6ACB075A">
      <w:pPr>
        <w:spacing w:line="360" w:lineRule="auto"/>
        <w:outlineLvl w:val="0"/>
        <w:rPr>
          <w:rFonts w:hint="eastAsia" w:ascii="等线" w:hAnsi="等线" w:eastAsia="等线" w:cs="Times New Roman"/>
          <w:b/>
          <w:kern w:val="2"/>
          <w:sz w:val="28"/>
          <w:szCs w:val="28"/>
          <w:lang w:eastAsia="zh-CN"/>
        </w:rPr>
      </w:pPr>
      <w:bookmarkStart w:id="778" w:name="_Toc7688"/>
      <w:bookmarkStart w:id="779" w:name="_Toc32492"/>
      <w:bookmarkStart w:id="780" w:name="_Toc18567"/>
      <w:bookmarkStart w:id="781" w:name="_Toc22499"/>
      <w:bookmarkStart w:id="782" w:name="_Toc19490"/>
      <w:bookmarkStart w:id="783" w:name="_Toc4270"/>
      <w:bookmarkStart w:id="784" w:name="_Toc27570"/>
      <w:r>
        <w:rPr>
          <w:rFonts w:hint="eastAsia" w:ascii="等线" w:hAnsi="等线" w:eastAsia="等线" w:cs="Times New Roman"/>
          <w:b/>
          <w:kern w:val="2"/>
          <w:sz w:val="28"/>
          <w:szCs w:val="28"/>
        </w:rPr>
        <w:t>三</w:t>
      </w:r>
      <w:r>
        <w:rPr>
          <w:rFonts w:ascii="等线" w:hAnsi="等线" w:eastAsia="等线" w:cs="Times New Roman"/>
          <w:b/>
          <w:kern w:val="2"/>
          <w:sz w:val="28"/>
          <w:szCs w:val="28"/>
        </w:rPr>
        <w:t>、</w:t>
      </w:r>
      <w:r>
        <w:rPr>
          <w:rFonts w:hint="eastAsia" w:ascii="等线" w:hAnsi="等线" w:eastAsia="等线" w:cs="Times New Roman"/>
          <w:b/>
          <w:kern w:val="2"/>
          <w:sz w:val="28"/>
          <w:szCs w:val="28"/>
          <w:lang w:eastAsia="zh-CN"/>
        </w:rPr>
        <w:t>教学</w:t>
      </w:r>
      <w:r>
        <w:rPr>
          <w:rFonts w:ascii="等线" w:hAnsi="等线" w:eastAsia="等线" w:cs="Times New Roman"/>
          <w:b/>
          <w:kern w:val="2"/>
          <w:sz w:val="28"/>
          <w:szCs w:val="28"/>
        </w:rPr>
        <w:t>内容</w:t>
      </w:r>
      <w:r>
        <w:rPr>
          <w:rFonts w:hint="eastAsia" w:ascii="等线" w:hAnsi="等线" w:eastAsia="等线" w:cs="Times New Roman"/>
          <w:b/>
          <w:kern w:val="2"/>
          <w:sz w:val="28"/>
          <w:szCs w:val="28"/>
          <w:lang w:eastAsia="zh-CN"/>
        </w:rPr>
        <w:t>与预期学习成效</w:t>
      </w:r>
      <w:bookmarkEnd w:id="778"/>
      <w:bookmarkEnd w:id="779"/>
      <w:bookmarkEnd w:id="780"/>
      <w:bookmarkEnd w:id="781"/>
      <w:bookmarkEnd w:id="782"/>
      <w:bookmarkEnd w:id="783"/>
      <w:bookmarkEnd w:id="784"/>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080"/>
        <w:gridCol w:w="1276"/>
        <w:gridCol w:w="2122"/>
        <w:gridCol w:w="1539"/>
        <w:gridCol w:w="601"/>
      </w:tblGrid>
      <w:tr w14:paraId="1A03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Align w:val="center"/>
          </w:tcPr>
          <w:p w14:paraId="64D2C5C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kern w:val="2"/>
                <w:sz w:val="21"/>
                <w:szCs w:val="21"/>
                <w:vertAlign w:val="baseline"/>
                <w:lang w:eastAsia="zh-CN"/>
              </w:rPr>
            </w:pPr>
            <w:r>
              <w:rPr>
                <w:rFonts w:hint="eastAsia" w:ascii="等线" w:hAnsi="等线" w:eastAsia="等线" w:cs="Times New Roman"/>
                <w:b/>
                <w:kern w:val="2"/>
                <w:sz w:val="21"/>
                <w:szCs w:val="21"/>
                <w:vertAlign w:val="baseline"/>
                <w:lang w:eastAsia="zh-CN"/>
              </w:rPr>
              <w:t>知识单元</w:t>
            </w:r>
          </w:p>
        </w:tc>
        <w:tc>
          <w:tcPr>
            <w:tcW w:w="2080" w:type="dxa"/>
            <w:vAlign w:val="center"/>
          </w:tcPr>
          <w:p w14:paraId="106C84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kern w:val="2"/>
                <w:sz w:val="21"/>
                <w:szCs w:val="21"/>
                <w:vertAlign w:val="baseline"/>
                <w:lang w:eastAsia="zh-CN"/>
              </w:rPr>
            </w:pPr>
            <w:r>
              <w:rPr>
                <w:rFonts w:hint="eastAsia" w:ascii="等线" w:hAnsi="等线" w:eastAsia="等线" w:cs="Times New Roman"/>
                <w:b/>
                <w:kern w:val="2"/>
                <w:sz w:val="21"/>
                <w:szCs w:val="21"/>
                <w:vertAlign w:val="baseline"/>
                <w:lang w:eastAsia="zh-CN"/>
              </w:rPr>
              <w:t>知识点</w:t>
            </w:r>
          </w:p>
        </w:tc>
        <w:tc>
          <w:tcPr>
            <w:tcW w:w="1276" w:type="dxa"/>
            <w:vAlign w:val="center"/>
          </w:tcPr>
          <w:p w14:paraId="25867D3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kern w:val="2"/>
                <w:sz w:val="21"/>
                <w:szCs w:val="21"/>
                <w:vertAlign w:val="baseline"/>
                <w:lang w:eastAsia="zh-CN"/>
              </w:rPr>
            </w:pPr>
            <w:r>
              <w:rPr>
                <w:rFonts w:hint="eastAsia" w:ascii="等线" w:hAnsi="等线" w:eastAsia="等线" w:cs="Times New Roman"/>
                <w:b/>
                <w:kern w:val="2"/>
                <w:sz w:val="21"/>
                <w:szCs w:val="21"/>
                <w:vertAlign w:val="baseline"/>
                <w:lang w:eastAsia="zh-CN"/>
              </w:rPr>
              <w:t>对应课程目标</w:t>
            </w:r>
          </w:p>
        </w:tc>
        <w:tc>
          <w:tcPr>
            <w:tcW w:w="2122" w:type="dxa"/>
            <w:vAlign w:val="center"/>
          </w:tcPr>
          <w:p w14:paraId="306ED0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kern w:val="2"/>
                <w:sz w:val="21"/>
                <w:szCs w:val="21"/>
                <w:vertAlign w:val="baseline"/>
              </w:rPr>
            </w:pPr>
            <w:r>
              <w:rPr>
                <w:rFonts w:hint="eastAsia" w:ascii="等线" w:hAnsi="等线" w:eastAsia="等线" w:cs="Times New Roman"/>
                <w:b/>
                <w:kern w:val="2"/>
                <w:sz w:val="21"/>
                <w:szCs w:val="21"/>
                <w:vertAlign w:val="baseline"/>
              </w:rPr>
              <w:t>预期学习成效</w:t>
            </w:r>
          </w:p>
        </w:tc>
        <w:tc>
          <w:tcPr>
            <w:tcW w:w="1539" w:type="dxa"/>
            <w:vAlign w:val="center"/>
          </w:tcPr>
          <w:p w14:paraId="420B18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kern w:val="2"/>
                <w:sz w:val="21"/>
                <w:szCs w:val="21"/>
                <w:vertAlign w:val="baseline"/>
              </w:rPr>
            </w:pPr>
            <w:r>
              <w:rPr>
                <w:rFonts w:hint="eastAsia" w:ascii="等线" w:hAnsi="等线" w:eastAsia="等线" w:cs="Times New Roman"/>
                <w:b/>
                <w:kern w:val="2"/>
                <w:sz w:val="21"/>
                <w:szCs w:val="21"/>
                <w:vertAlign w:val="baseline"/>
              </w:rPr>
              <w:t>实现环节</w:t>
            </w:r>
          </w:p>
        </w:tc>
        <w:tc>
          <w:tcPr>
            <w:tcW w:w="601" w:type="dxa"/>
            <w:vAlign w:val="center"/>
          </w:tcPr>
          <w:p w14:paraId="44DB67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kern w:val="2"/>
                <w:sz w:val="21"/>
                <w:szCs w:val="21"/>
                <w:vertAlign w:val="baseline"/>
                <w:lang w:eastAsia="zh-CN"/>
              </w:rPr>
            </w:pPr>
            <w:r>
              <w:rPr>
                <w:rFonts w:hint="eastAsia" w:ascii="等线" w:hAnsi="等线" w:eastAsia="等线" w:cs="Times New Roman"/>
                <w:b/>
                <w:kern w:val="2"/>
                <w:sz w:val="21"/>
                <w:szCs w:val="21"/>
                <w:vertAlign w:val="baseline"/>
                <w:lang w:eastAsia="zh-CN"/>
              </w:rPr>
              <w:t>学时</w:t>
            </w:r>
          </w:p>
        </w:tc>
      </w:tr>
      <w:tr w14:paraId="511E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restart"/>
            <w:vAlign w:val="center"/>
          </w:tcPr>
          <w:p w14:paraId="612CD120">
            <w:pPr>
              <w:widowControl w:val="0"/>
              <w:spacing w:line="240" w:lineRule="auto"/>
              <w:jc w:val="center"/>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lang w:val="en-US" w:eastAsia="zh-CN"/>
              </w:rPr>
              <w:t>1.</w:t>
            </w:r>
            <w:r>
              <w:rPr>
                <w:rFonts w:hint="eastAsia" w:ascii="等线" w:hAnsi="等线" w:eastAsia="等线" w:cs="Times New Roman"/>
                <w:b w:val="0"/>
                <w:bCs/>
                <w:kern w:val="2"/>
                <w:sz w:val="21"/>
                <w:szCs w:val="21"/>
              </w:rPr>
              <w:t>教育技术概述</w:t>
            </w:r>
          </w:p>
        </w:tc>
        <w:tc>
          <w:tcPr>
            <w:tcW w:w="2080" w:type="dxa"/>
            <w:vAlign w:val="center"/>
          </w:tcPr>
          <w:p w14:paraId="0604FA2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（1）技术与教育的关系</w:t>
            </w:r>
          </w:p>
          <w:p w14:paraId="2B0D04A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（2）教育技术的产生、发展及其趋势</w:t>
            </w:r>
          </w:p>
          <w:p w14:paraId="745E573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（3）教育技术、现代教育技术与信息技术</w:t>
            </w:r>
          </w:p>
          <w:p w14:paraId="316FA989">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（4）教育技术与教育创新、现代教育技术与教师专业发展</w:t>
            </w:r>
          </w:p>
        </w:tc>
        <w:tc>
          <w:tcPr>
            <w:tcW w:w="1276" w:type="dxa"/>
            <w:vAlign w:val="center"/>
          </w:tcPr>
          <w:p w14:paraId="1B767F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val="0"/>
                <w:bCs/>
                <w:kern w:val="2"/>
                <w:sz w:val="21"/>
                <w:szCs w:val="21"/>
                <w:vertAlign w:val="baseline"/>
              </w:rPr>
            </w:pPr>
            <w:r>
              <w:rPr>
                <w:rFonts w:hint="eastAsia" w:ascii="等线" w:hAnsi="等线" w:eastAsia="等线" w:cs="宋体"/>
                <w:bCs/>
                <w:sz w:val="21"/>
                <w:szCs w:val="21"/>
              </w:rPr>
              <w:t>课程目标1</w:t>
            </w:r>
          </w:p>
        </w:tc>
        <w:tc>
          <w:tcPr>
            <w:tcW w:w="2122" w:type="dxa"/>
            <w:vAlign w:val="center"/>
          </w:tcPr>
          <w:p w14:paraId="04FB0857">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（1）了解历史上不同的技术对教育产生的影响</w:t>
            </w:r>
          </w:p>
          <w:p w14:paraId="680C4EB7">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（2）了解教育技术的产生、发展及其趋势</w:t>
            </w:r>
          </w:p>
          <w:p w14:paraId="36368AAA">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（3）知道教育技术名词的演变过程</w:t>
            </w:r>
          </w:p>
          <w:p w14:paraId="5BA16B68">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（4）清楚信息时代对新型教师在教育技术能力方面的要求</w:t>
            </w:r>
          </w:p>
        </w:tc>
        <w:tc>
          <w:tcPr>
            <w:tcW w:w="1539" w:type="dxa"/>
            <w:vAlign w:val="center"/>
          </w:tcPr>
          <w:p w14:paraId="0820D89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1.线上学习</w:t>
            </w:r>
          </w:p>
          <w:p w14:paraId="3EB3FB7A">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2.多媒体教学</w:t>
            </w:r>
          </w:p>
          <w:p w14:paraId="35FB908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3.课堂讨论</w:t>
            </w:r>
          </w:p>
        </w:tc>
        <w:tc>
          <w:tcPr>
            <w:tcW w:w="601" w:type="dxa"/>
            <w:vAlign w:val="center"/>
          </w:tcPr>
          <w:p w14:paraId="5FCD6AA9">
            <w:pPr>
              <w:widowControl w:val="0"/>
              <w:spacing w:line="240" w:lineRule="auto"/>
              <w:jc w:val="center"/>
              <w:rPr>
                <w:rFonts w:hint="eastAsia" w:ascii="等线" w:hAnsi="等线" w:eastAsia="等线" w:cs="Times New Roman"/>
                <w:b w:val="0"/>
                <w:bCs/>
                <w:kern w:val="2"/>
                <w:sz w:val="21"/>
                <w:szCs w:val="21"/>
                <w:vertAlign w:val="baseline"/>
                <w:lang w:val="en-US" w:eastAsia="zh-CN"/>
              </w:rPr>
            </w:pPr>
            <w:r>
              <w:rPr>
                <w:rFonts w:hint="eastAsia" w:ascii="等线" w:hAnsi="等线" w:eastAsia="等线" w:cs="Times New Roman"/>
                <w:b w:val="0"/>
                <w:bCs/>
                <w:kern w:val="2"/>
                <w:sz w:val="21"/>
                <w:szCs w:val="21"/>
                <w:vertAlign w:val="baseline"/>
                <w:lang w:val="en-US" w:eastAsia="zh-CN"/>
              </w:rPr>
              <w:t>2</w:t>
            </w:r>
          </w:p>
        </w:tc>
      </w:tr>
      <w:tr w14:paraId="5E85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904" w:type="dxa"/>
            <w:vMerge w:val="continue"/>
            <w:vAlign w:val="center"/>
          </w:tcPr>
          <w:p w14:paraId="467328AC">
            <w:pPr>
              <w:widowControl w:val="0"/>
              <w:spacing w:line="240" w:lineRule="auto"/>
              <w:jc w:val="center"/>
              <w:rPr>
                <w:rFonts w:hint="eastAsia" w:ascii="等线" w:hAnsi="等线" w:eastAsia="等线" w:cs="Times New Roman"/>
                <w:b w:val="0"/>
                <w:bCs/>
                <w:kern w:val="2"/>
                <w:sz w:val="28"/>
                <w:szCs w:val="28"/>
                <w:vertAlign w:val="baseline"/>
              </w:rPr>
            </w:pPr>
          </w:p>
        </w:tc>
        <w:tc>
          <w:tcPr>
            <w:tcW w:w="7618" w:type="dxa"/>
            <w:gridSpan w:val="5"/>
            <w:vAlign w:val="center"/>
          </w:tcPr>
          <w:p w14:paraId="040DAF9D">
            <w:pPr>
              <w:widowControl w:val="0"/>
              <w:spacing w:line="240" w:lineRule="auto"/>
              <w:ind w:left="0" w:leftChars="0" w:firstLine="0" w:firstLineChars="0"/>
              <w:jc w:val="left"/>
              <w:rPr>
                <w:rFonts w:hint="eastAsia" w:ascii="等线" w:hAnsi="等线" w:eastAsia="等线" w:cs="Times New Roman"/>
                <w:b w:val="0"/>
                <w:bCs/>
                <w:kern w:val="2"/>
                <w:sz w:val="21"/>
                <w:szCs w:val="21"/>
                <w:vertAlign w:val="baseline"/>
              </w:rPr>
            </w:pPr>
            <w:r>
              <w:rPr>
                <w:rFonts w:hint="eastAsia" w:ascii="等线" w:hAnsi="等线" w:eastAsia="等线" w:cs="宋体"/>
                <w:b/>
                <w:bCs w:val="0"/>
                <w:sz w:val="21"/>
                <w:szCs w:val="21"/>
              </w:rPr>
              <w:t>课程思政目标：</w:t>
            </w:r>
            <w:r>
              <w:rPr>
                <w:rFonts w:hint="eastAsia" w:ascii="等线" w:hAnsi="等线" w:eastAsia="等线" w:cs="Times New Roman"/>
                <w:b w:val="0"/>
                <w:bCs/>
                <w:kern w:val="2"/>
                <w:sz w:val="21"/>
                <w:szCs w:val="21"/>
                <w:vertAlign w:val="baseline"/>
              </w:rPr>
              <w:t>在讲述信息技术发展的过程中，回顾我国教育技术和理论的发展历程，激发同学们的民族自豪感，树牢“四个意识”，坚定“四个自信”，坚决做到“两个维护”，形成教育情怀，坚定教育信仰，肩负起民族复兴的时代重任。</w:t>
            </w:r>
          </w:p>
        </w:tc>
      </w:tr>
      <w:tr w14:paraId="4C58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restart"/>
            <w:vAlign w:val="center"/>
          </w:tcPr>
          <w:p w14:paraId="4041E2AC">
            <w:pPr>
              <w:widowControl w:val="0"/>
              <w:spacing w:line="240" w:lineRule="auto"/>
              <w:jc w:val="center"/>
              <w:rPr>
                <w:rFonts w:hint="eastAsia" w:ascii="等线" w:hAnsi="等线" w:eastAsia="等线" w:cs="Times New Roman"/>
                <w:b w:val="0"/>
                <w:bCs/>
                <w:kern w:val="2"/>
                <w:sz w:val="28"/>
                <w:szCs w:val="28"/>
                <w:vertAlign w:val="baseline"/>
              </w:rPr>
            </w:pPr>
            <w:r>
              <w:rPr>
                <w:rFonts w:hint="eastAsia" w:ascii="等线" w:hAnsi="等线" w:eastAsia="等线" w:cs="Times New Roman"/>
                <w:b w:val="0"/>
                <w:bCs/>
                <w:kern w:val="2"/>
                <w:sz w:val="21"/>
                <w:szCs w:val="21"/>
                <w:lang w:val="en-US" w:eastAsia="zh-CN"/>
              </w:rPr>
              <w:t>2.</w:t>
            </w:r>
            <w:r>
              <w:rPr>
                <w:rFonts w:hint="eastAsia" w:ascii="等线" w:hAnsi="等线" w:eastAsia="等线" w:cs="Times New Roman"/>
                <w:b w:val="0"/>
                <w:bCs/>
                <w:kern w:val="2"/>
                <w:sz w:val="21"/>
                <w:szCs w:val="21"/>
              </w:rPr>
              <w:t>教育技术的理论基础</w:t>
            </w:r>
          </w:p>
        </w:tc>
        <w:tc>
          <w:tcPr>
            <w:tcW w:w="2080" w:type="dxa"/>
            <w:vAlign w:val="center"/>
          </w:tcPr>
          <w:p w14:paraId="0F34DB5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（1）视听教学理论</w:t>
            </w:r>
          </w:p>
          <w:p w14:paraId="3C93C77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（2）传播理论与教育传播</w:t>
            </w:r>
          </w:p>
          <w:p w14:paraId="25652039">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8"/>
                <w:szCs w:val="28"/>
                <w:vertAlign w:val="baseline"/>
              </w:rPr>
            </w:pPr>
            <w:r>
              <w:rPr>
                <w:rFonts w:hint="eastAsia" w:ascii="等线" w:hAnsi="等线" w:eastAsia="等线" w:cs="Times New Roman"/>
                <w:b w:val="0"/>
                <w:bCs/>
                <w:kern w:val="2"/>
                <w:sz w:val="21"/>
                <w:szCs w:val="21"/>
                <w:vertAlign w:val="baseline"/>
              </w:rPr>
              <w:t>（3）学习理论</w:t>
            </w:r>
          </w:p>
        </w:tc>
        <w:tc>
          <w:tcPr>
            <w:tcW w:w="1276" w:type="dxa"/>
            <w:vAlign w:val="center"/>
          </w:tcPr>
          <w:p w14:paraId="09B3F15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课程目标1</w:t>
            </w:r>
          </w:p>
          <w:p w14:paraId="79B7E8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lang w:eastAsia="zh-CN"/>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2</w:t>
            </w:r>
          </w:p>
        </w:tc>
        <w:tc>
          <w:tcPr>
            <w:tcW w:w="2122" w:type="dxa"/>
            <w:vAlign w:val="center"/>
          </w:tcPr>
          <w:p w14:paraId="537A6CC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（1）理解“经验之塔”理论对视听教育的影响</w:t>
            </w:r>
          </w:p>
          <w:p w14:paraId="0AFD75BD">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（2）了解主要的教育传播模式，知道教学传播过程的基本要素、基本过程和基本规律</w:t>
            </w:r>
          </w:p>
          <w:p w14:paraId="527943F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（3）知道不同学习理论的主要观点，了解各学习理论指导下的教学模式</w:t>
            </w:r>
          </w:p>
          <w:p w14:paraId="16B4951B">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（4）了解传播理论、学习理论和教学理论与教育技术的关系，能叙述三者作为教育技术学理论基础的意义</w:t>
            </w:r>
          </w:p>
          <w:p w14:paraId="6B13AAEC">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p>
        </w:tc>
        <w:tc>
          <w:tcPr>
            <w:tcW w:w="1539" w:type="dxa"/>
            <w:vAlign w:val="center"/>
          </w:tcPr>
          <w:p w14:paraId="0E074DE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1.线上学习</w:t>
            </w:r>
          </w:p>
          <w:p w14:paraId="17117AF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2.多媒体教学</w:t>
            </w:r>
          </w:p>
          <w:p w14:paraId="20DBA2DC">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rPr>
              <w:t>3.课堂讨论</w:t>
            </w:r>
          </w:p>
        </w:tc>
        <w:tc>
          <w:tcPr>
            <w:tcW w:w="601" w:type="dxa"/>
            <w:vAlign w:val="center"/>
          </w:tcPr>
          <w:p w14:paraId="7B3D8F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lang w:val="en-US" w:eastAsia="zh-CN"/>
              </w:rPr>
            </w:pPr>
            <w:r>
              <w:rPr>
                <w:rFonts w:hint="eastAsia" w:ascii="等线" w:hAnsi="等线" w:eastAsia="等线" w:cs="宋体"/>
                <w:bCs/>
                <w:sz w:val="21"/>
                <w:szCs w:val="21"/>
                <w:lang w:val="en-US" w:eastAsia="zh-CN"/>
              </w:rPr>
              <w:t>2</w:t>
            </w:r>
          </w:p>
        </w:tc>
      </w:tr>
      <w:tr w14:paraId="0458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continue"/>
            <w:vAlign w:val="center"/>
          </w:tcPr>
          <w:p w14:paraId="693E5C07">
            <w:pPr>
              <w:widowControl w:val="0"/>
              <w:spacing w:line="240" w:lineRule="auto"/>
              <w:jc w:val="center"/>
              <w:rPr>
                <w:rFonts w:hint="eastAsia" w:ascii="等线" w:hAnsi="等线" w:eastAsia="等线" w:cs="Times New Roman"/>
                <w:b w:val="0"/>
                <w:bCs/>
                <w:kern w:val="2"/>
                <w:sz w:val="28"/>
                <w:szCs w:val="28"/>
                <w:vertAlign w:val="baseline"/>
              </w:rPr>
            </w:pPr>
          </w:p>
        </w:tc>
        <w:tc>
          <w:tcPr>
            <w:tcW w:w="7618" w:type="dxa"/>
            <w:gridSpan w:val="5"/>
            <w:vAlign w:val="center"/>
          </w:tcPr>
          <w:p w14:paraId="540A70CD">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r>
              <w:rPr>
                <w:rFonts w:hint="eastAsia" w:ascii="等线" w:hAnsi="等线" w:eastAsia="等线" w:cs="宋体"/>
                <w:b/>
                <w:bCs w:val="0"/>
                <w:sz w:val="21"/>
                <w:szCs w:val="21"/>
              </w:rPr>
              <w:t>课程思政目标：</w:t>
            </w:r>
            <w:r>
              <w:rPr>
                <w:rFonts w:hint="eastAsia" w:ascii="等线" w:hAnsi="等线" w:eastAsia="等线" w:cs="宋体"/>
                <w:bCs/>
                <w:sz w:val="21"/>
                <w:szCs w:val="21"/>
              </w:rPr>
              <w:t>在讲述各教育理论的过程中，引导学生对教育理论进行深入思考和研究，激发同学们投身我国教育事业的热情，将社会主义核心价值观内化为精神追求，具有优良的爱国主义情怀和以爱为魂的高尚师德。</w:t>
            </w:r>
          </w:p>
        </w:tc>
      </w:tr>
      <w:tr w14:paraId="45E9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restart"/>
            <w:vAlign w:val="center"/>
          </w:tcPr>
          <w:p w14:paraId="729E18C7">
            <w:pPr>
              <w:widowControl w:val="0"/>
              <w:spacing w:line="240" w:lineRule="auto"/>
              <w:jc w:val="center"/>
              <w:rPr>
                <w:rFonts w:hint="eastAsia" w:ascii="等线" w:hAnsi="等线" w:eastAsia="等线" w:cs="Times New Roman"/>
                <w:b w:val="0"/>
                <w:bCs/>
                <w:kern w:val="2"/>
                <w:sz w:val="21"/>
                <w:szCs w:val="21"/>
                <w:lang w:val="en-US" w:eastAsia="zh-CN"/>
              </w:rPr>
            </w:pPr>
            <w:r>
              <w:rPr>
                <w:rFonts w:hint="eastAsia" w:ascii="等线" w:hAnsi="等线" w:eastAsia="等线" w:cs="Times New Roman"/>
                <w:b w:val="0"/>
                <w:bCs/>
                <w:kern w:val="2"/>
                <w:sz w:val="21"/>
                <w:szCs w:val="21"/>
                <w:lang w:val="en-US" w:eastAsia="zh-CN"/>
              </w:rPr>
              <w:t>3.教学媒体及其应用</w:t>
            </w:r>
          </w:p>
        </w:tc>
        <w:tc>
          <w:tcPr>
            <w:tcW w:w="2080" w:type="dxa"/>
            <w:vAlign w:val="center"/>
          </w:tcPr>
          <w:p w14:paraId="37F7B61A">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（1）媒体本质及其类型</w:t>
            </w:r>
          </w:p>
          <w:p w14:paraId="3B44EFD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（2）教学媒体的分类及特性</w:t>
            </w:r>
          </w:p>
          <w:p w14:paraId="5A8D85C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（3）传统教学媒体的应用</w:t>
            </w:r>
          </w:p>
          <w:p w14:paraId="6107F72C">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（4）现代教学媒体的应用</w:t>
            </w:r>
          </w:p>
        </w:tc>
        <w:tc>
          <w:tcPr>
            <w:tcW w:w="1276" w:type="dxa"/>
            <w:vAlign w:val="center"/>
          </w:tcPr>
          <w:p w14:paraId="266B10C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课程目标1</w:t>
            </w:r>
          </w:p>
          <w:p w14:paraId="77A697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2</w:t>
            </w:r>
          </w:p>
        </w:tc>
        <w:tc>
          <w:tcPr>
            <w:tcW w:w="2122" w:type="dxa"/>
            <w:vAlign w:val="center"/>
          </w:tcPr>
          <w:p w14:paraId="57F88E4B">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（1）了解教学媒体的定义、特点和作用</w:t>
            </w:r>
          </w:p>
          <w:p w14:paraId="555348D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（2）了解教学媒体的分类方法</w:t>
            </w:r>
          </w:p>
          <w:p w14:paraId="4ED1B29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（3）掌握各常规媒体的优势、不足及使用方法</w:t>
            </w:r>
          </w:p>
          <w:p w14:paraId="5699D18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（4）了解教学媒体选择的原则与方法</w:t>
            </w:r>
          </w:p>
        </w:tc>
        <w:tc>
          <w:tcPr>
            <w:tcW w:w="1539" w:type="dxa"/>
            <w:vAlign w:val="center"/>
          </w:tcPr>
          <w:p w14:paraId="78448415">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1.线上学习</w:t>
            </w:r>
          </w:p>
          <w:p w14:paraId="1AD0444C">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2.多媒体教学</w:t>
            </w:r>
          </w:p>
          <w:p w14:paraId="2BD8F60B">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3.课堂讨论</w:t>
            </w:r>
          </w:p>
          <w:p w14:paraId="0821B291">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等线" w:hAnsi="等线" w:eastAsia="等线" w:cs="Times New Roman"/>
                <w:b w:val="0"/>
                <w:bCs/>
                <w:kern w:val="2"/>
                <w:sz w:val="21"/>
                <w:szCs w:val="21"/>
                <w:vertAlign w:val="baseline"/>
                <w:lang w:val="en-US" w:eastAsia="zh-CN"/>
              </w:rPr>
            </w:pPr>
            <w:r>
              <w:rPr>
                <w:rFonts w:hint="eastAsia" w:ascii="等线" w:hAnsi="等线" w:eastAsia="等线" w:cs="Times New Roman"/>
                <w:b w:val="0"/>
                <w:bCs/>
                <w:kern w:val="2"/>
                <w:sz w:val="21"/>
                <w:szCs w:val="21"/>
                <w:vertAlign w:val="baseline"/>
                <w:lang w:val="en-US" w:eastAsia="zh-CN"/>
              </w:rPr>
              <w:t>4.机房实操</w:t>
            </w:r>
          </w:p>
        </w:tc>
        <w:tc>
          <w:tcPr>
            <w:tcW w:w="601" w:type="dxa"/>
            <w:vAlign w:val="center"/>
          </w:tcPr>
          <w:p w14:paraId="27EA9C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Times New Roman"/>
                <w:b w:val="0"/>
                <w:bCs/>
                <w:kern w:val="2"/>
                <w:sz w:val="21"/>
                <w:szCs w:val="21"/>
                <w:vertAlign w:val="baseline"/>
                <w:lang w:val="en-US" w:eastAsia="zh-CN"/>
              </w:rPr>
            </w:pPr>
            <w:r>
              <w:rPr>
                <w:rFonts w:hint="eastAsia" w:ascii="等线" w:hAnsi="等线" w:eastAsia="等线" w:cs="Times New Roman"/>
                <w:b w:val="0"/>
                <w:bCs/>
                <w:kern w:val="2"/>
                <w:sz w:val="21"/>
                <w:szCs w:val="21"/>
                <w:vertAlign w:val="baseline"/>
                <w:lang w:val="en-US" w:eastAsia="zh-CN"/>
              </w:rPr>
              <w:t>4</w:t>
            </w:r>
          </w:p>
        </w:tc>
      </w:tr>
      <w:tr w14:paraId="36FD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continue"/>
            <w:vAlign w:val="center"/>
          </w:tcPr>
          <w:p w14:paraId="03A27640">
            <w:pPr>
              <w:widowControl w:val="0"/>
              <w:spacing w:line="240" w:lineRule="auto"/>
              <w:jc w:val="center"/>
              <w:rPr>
                <w:rFonts w:hint="eastAsia" w:ascii="等线" w:hAnsi="等线" w:eastAsia="等线" w:cs="Times New Roman"/>
                <w:b w:val="0"/>
                <w:bCs/>
                <w:kern w:val="2"/>
                <w:sz w:val="28"/>
                <w:szCs w:val="28"/>
                <w:vertAlign w:val="baseline"/>
              </w:rPr>
            </w:pPr>
          </w:p>
        </w:tc>
        <w:tc>
          <w:tcPr>
            <w:tcW w:w="7618" w:type="dxa"/>
            <w:gridSpan w:val="5"/>
            <w:vAlign w:val="center"/>
          </w:tcPr>
          <w:p w14:paraId="13246FBC">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r>
              <w:rPr>
                <w:rFonts w:hint="eastAsia" w:ascii="等线" w:hAnsi="等线" w:eastAsia="等线" w:cs="宋体"/>
                <w:b/>
                <w:bCs w:val="0"/>
                <w:sz w:val="21"/>
                <w:szCs w:val="21"/>
              </w:rPr>
              <w:t>课程思政目标：</w:t>
            </w:r>
            <w:r>
              <w:rPr>
                <w:rFonts w:hint="eastAsia" w:ascii="等线" w:hAnsi="等线" w:eastAsia="等线" w:cs="宋体"/>
                <w:bCs/>
                <w:sz w:val="21"/>
                <w:szCs w:val="21"/>
              </w:rPr>
              <w:t>现在很多学校都配备了多种教学媒体，使得教师能够充分地选择多种媒体组织教学；引导学生在今后的工作中不仅要用好教学媒体，还要主动爱惜和维护好学校的这些公共设施。</w:t>
            </w:r>
          </w:p>
        </w:tc>
      </w:tr>
      <w:tr w14:paraId="3A33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restart"/>
            <w:vAlign w:val="center"/>
          </w:tcPr>
          <w:p w14:paraId="67C520A1">
            <w:pPr>
              <w:widowControl w:val="0"/>
              <w:spacing w:line="240" w:lineRule="auto"/>
              <w:jc w:val="center"/>
              <w:rPr>
                <w:rFonts w:hint="eastAsia" w:ascii="等线" w:hAnsi="等线" w:eastAsia="等线" w:cs="Times New Roman"/>
                <w:b w:val="0"/>
                <w:bCs/>
                <w:kern w:val="2"/>
                <w:sz w:val="28"/>
                <w:szCs w:val="28"/>
                <w:vertAlign w:val="baseline"/>
              </w:rPr>
            </w:pPr>
            <w:r>
              <w:rPr>
                <w:rFonts w:hint="eastAsia" w:ascii="等线" w:hAnsi="等线" w:eastAsia="等线" w:cs="Times New Roman"/>
                <w:b w:val="0"/>
                <w:bCs/>
                <w:kern w:val="2"/>
                <w:sz w:val="21"/>
                <w:szCs w:val="21"/>
                <w:lang w:val="en-US" w:eastAsia="zh-CN"/>
              </w:rPr>
              <w:t>4.教学资源的获取与加工</w:t>
            </w:r>
          </w:p>
        </w:tc>
        <w:tc>
          <w:tcPr>
            <w:tcW w:w="2080" w:type="dxa"/>
            <w:vAlign w:val="center"/>
          </w:tcPr>
          <w:p w14:paraId="21775759">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（1）教学资源的概念</w:t>
            </w:r>
          </w:p>
          <w:p w14:paraId="4BE48C15">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（2）教学资源的类型与特点</w:t>
            </w:r>
          </w:p>
          <w:p w14:paraId="376972E7">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（3）教学资源的获取</w:t>
            </w:r>
          </w:p>
          <w:p w14:paraId="336A770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（4）数字化教学素材的加工</w:t>
            </w:r>
          </w:p>
        </w:tc>
        <w:tc>
          <w:tcPr>
            <w:tcW w:w="1276" w:type="dxa"/>
            <w:vAlign w:val="center"/>
          </w:tcPr>
          <w:p w14:paraId="2E9AE3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课程目标1</w:t>
            </w:r>
          </w:p>
          <w:p w14:paraId="104678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2</w:t>
            </w:r>
          </w:p>
        </w:tc>
        <w:tc>
          <w:tcPr>
            <w:tcW w:w="2122" w:type="dxa"/>
            <w:vAlign w:val="center"/>
          </w:tcPr>
          <w:p w14:paraId="10958CD9">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（1）了解教学资源的分类和特性</w:t>
            </w:r>
          </w:p>
          <w:p w14:paraId="031EEDBB">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（2）了解教学资源获取的途径</w:t>
            </w:r>
          </w:p>
          <w:p w14:paraId="496DAFC1">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（3）掌握数字化教学素材获取的方法与技巧</w:t>
            </w:r>
          </w:p>
          <w:p w14:paraId="6A6BEAB9">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（4）能用一些基本的工具软件加工教学资源</w:t>
            </w:r>
          </w:p>
        </w:tc>
        <w:tc>
          <w:tcPr>
            <w:tcW w:w="1539" w:type="dxa"/>
            <w:vAlign w:val="center"/>
          </w:tcPr>
          <w:p w14:paraId="569D60DA">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1.线上学习</w:t>
            </w:r>
          </w:p>
          <w:p w14:paraId="6B28B278">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2.多媒体教学</w:t>
            </w:r>
          </w:p>
          <w:p w14:paraId="278ABD80">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3.课堂讨论</w:t>
            </w:r>
          </w:p>
          <w:p w14:paraId="1BF1ECED">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lang w:val="en-US" w:eastAsia="zh-CN"/>
              </w:rPr>
              <w:t>4.机房实操</w:t>
            </w:r>
          </w:p>
        </w:tc>
        <w:tc>
          <w:tcPr>
            <w:tcW w:w="601" w:type="dxa"/>
            <w:vAlign w:val="center"/>
          </w:tcPr>
          <w:p w14:paraId="67CB87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lang w:val="en-US" w:eastAsia="zh-CN"/>
              </w:rPr>
              <w:t>6</w:t>
            </w:r>
          </w:p>
        </w:tc>
      </w:tr>
      <w:tr w14:paraId="6AC6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continue"/>
            <w:vAlign w:val="center"/>
          </w:tcPr>
          <w:p w14:paraId="39C18792">
            <w:pPr>
              <w:widowControl w:val="0"/>
              <w:spacing w:line="240" w:lineRule="auto"/>
              <w:jc w:val="center"/>
              <w:rPr>
                <w:rFonts w:hint="eastAsia" w:ascii="等线" w:hAnsi="等线" w:eastAsia="等线" w:cs="Times New Roman"/>
                <w:b w:val="0"/>
                <w:bCs/>
                <w:kern w:val="2"/>
                <w:sz w:val="28"/>
                <w:szCs w:val="28"/>
                <w:vertAlign w:val="baseline"/>
              </w:rPr>
            </w:pPr>
          </w:p>
        </w:tc>
        <w:tc>
          <w:tcPr>
            <w:tcW w:w="7618" w:type="dxa"/>
            <w:gridSpan w:val="5"/>
            <w:vAlign w:val="center"/>
          </w:tcPr>
          <w:p w14:paraId="211D44E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r>
              <w:rPr>
                <w:rFonts w:hint="eastAsia" w:ascii="等线" w:hAnsi="等线" w:eastAsia="等线" w:cs="宋体"/>
                <w:b/>
                <w:bCs w:val="0"/>
                <w:sz w:val="21"/>
                <w:szCs w:val="21"/>
              </w:rPr>
              <w:t>课程思政目标：</w:t>
            </w:r>
            <w:r>
              <w:rPr>
                <w:rFonts w:hint="eastAsia" w:ascii="等线" w:hAnsi="等线" w:eastAsia="等线" w:cs="宋体"/>
                <w:bCs/>
                <w:sz w:val="21"/>
                <w:szCs w:val="21"/>
              </w:rPr>
              <w:t>在讲述各种软件的使用过程中，因为多数是国外公司开发的软件，所以，在引导同学们对国产软件认同的同时，激发同学们的危机意识，在今后的工作中努力支持国产软件，树立起为中华民族复兴培养全面发展的社会主义建设者和接班人的职业理想。</w:t>
            </w:r>
          </w:p>
          <w:p w14:paraId="241B218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p>
          <w:p w14:paraId="2184B95F">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p>
        </w:tc>
      </w:tr>
      <w:tr w14:paraId="654B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restart"/>
            <w:vAlign w:val="center"/>
          </w:tcPr>
          <w:p w14:paraId="2DEF3257">
            <w:pPr>
              <w:widowControl w:val="0"/>
              <w:spacing w:line="240" w:lineRule="auto"/>
              <w:jc w:val="center"/>
              <w:rPr>
                <w:rFonts w:hint="eastAsia" w:ascii="等线" w:hAnsi="等线" w:eastAsia="等线" w:cs="Times New Roman"/>
                <w:b w:val="0"/>
                <w:bCs/>
                <w:kern w:val="2"/>
                <w:sz w:val="28"/>
                <w:szCs w:val="28"/>
                <w:vertAlign w:val="baseline"/>
              </w:rPr>
            </w:pPr>
            <w:r>
              <w:rPr>
                <w:rFonts w:hint="eastAsia" w:ascii="等线" w:hAnsi="等线" w:eastAsia="等线" w:cs="Times New Roman"/>
                <w:b w:val="0"/>
                <w:bCs/>
                <w:kern w:val="2"/>
                <w:sz w:val="21"/>
                <w:szCs w:val="21"/>
                <w:lang w:val="en-US" w:eastAsia="zh-CN"/>
              </w:rPr>
              <w:t>5.数字化教学资源的设计与运用</w:t>
            </w:r>
          </w:p>
        </w:tc>
        <w:tc>
          <w:tcPr>
            <w:tcW w:w="2080" w:type="dxa"/>
            <w:vAlign w:val="center"/>
          </w:tcPr>
          <w:p w14:paraId="6A4FC0FC">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（1）数字化教学资源的内涵</w:t>
            </w:r>
          </w:p>
          <w:p w14:paraId="6C2C1C15">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（2）数字化教学资源的类型及特点</w:t>
            </w:r>
          </w:p>
          <w:p w14:paraId="755F8EA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（3）多媒体教学课件的制作</w:t>
            </w:r>
          </w:p>
          <w:p w14:paraId="6E20B128">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（4）演示型PPT课件的制作与运用技巧</w:t>
            </w:r>
          </w:p>
        </w:tc>
        <w:tc>
          <w:tcPr>
            <w:tcW w:w="1276" w:type="dxa"/>
            <w:vAlign w:val="center"/>
          </w:tcPr>
          <w:p w14:paraId="35DCDC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课程目标1</w:t>
            </w:r>
          </w:p>
          <w:p w14:paraId="1827AD2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lang w:val="en-US" w:eastAsia="zh-CN"/>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2</w:t>
            </w:r>
          </w:p>
          <w:p w14:paraId="78CD8B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lang w:val="en-US" w:eastAsia="zh-CN"/>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3</w:t>
            </w:r>
          </w:p>
        </w:tc>
        <w:tc>
          <w:tcPr>
            <w:tcW w:w="2122" w:type="dxa"/>
            <w:vAlign w:val="center"/>
          </w:tcPr>
          <w:p w14:paraId="63A5B24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（1）了解数字化教学资源的内涵及类型</w:t>
            </w:r>
          </w:p>
          <w:p w14:paraId="39E2689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（2）常用数字化教学资源制作工具简介</w:t>
            </w:r>
          </w:p>
          <w:p w14:paraId="229FD55E">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（3）熟练掌握利用PowerPoint制作多媒体课件的原则、过程和方法</w:t>
            </w:r>
          </w:p>
          <w:p w14:paraId="3F596AC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（4）掌握基于PPT课件的教学方法</w:t>
            </w:r>
          </w:p>
        </w:tc>
        <w:tc>
          <w:tcPr>
            <w:tcW w:w="1539" w:type="dxa"/>
            <w:vAlign w:val="center"/>
          </w:tcPr>
          <w:p w14:paraId="2E2C247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1.线上学习</w:t>
            </w:r>
          </w:p>
          <w:p w14:paraId="1F6E2E4E">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2.多媒体教学</w:t>
            </w:r>
          </w:p>
          <w:p w14:paraId="30FCE95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3.课堂讨论</w:t>
            </w:r>
          </w:p>
          <w:p w14:paraId="7AABCD7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lang w:val="en-US" w:eastAsia="zh-CN"/>
              </w:rPr>
              <w:t>4.机房实操</w:t>
            </w:r>
          </w:p>
        </w:tc>
        <w:tc>
          <w:tcPr>
            <w:tcW w:w="601" w:type="dxa"/>
            <w:vAlign w:val="center"/>
          </w:tcPr>
          <w:p w14:paraId="5D5892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lang w:val="en-US" w:eastAsia="zh-CN"/>
              </w:rPr>
              <w:t>6</w:t>
            </w:r>
          </w:p>
        </w:tc>
      </w:tr>
      <w:tr w14:paraId="2C3C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continue"/>
            <w:vAlign w:val="center"/>
          </w:tcPr>
          <w:p w14:paraId="70CE4219">
            <w:pPr>
              <w:widowControl w:val="0"/>
              <w:spacing w:line="240" w:lineRule="auto"/>
              <w:jc w:val="center"/>
              <w:rPr>
                <w:rFonts w:hint="eastAsia" w:ascii="等线" w:hAnsi="等线" w:eastAsia="等线" w:cs="Times New Roman"/>
                <w:b w:val="0"/>
                <w:bCs/>
                <w:kern w:val="2"/>
                <w:sz w:val="28"/>
                <w:szCs w:val="28"/>
                <w:vertAlign w:val="baseline"/>
              </w:rPr>
            </w:pPr>
          </w:p>
        </w:tc>
        <w:tc>
          <w:tcPr>
            <w:tcW w:w="7618" w:type="dxa"/>
            <w:gridSpan w:val="5"/>
            <w:vAlign w:val="center"/>
          </w:tcPr>
          <w:p w14:paraId="1966E99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r>
              <w:rPr>
                <w:rFonts w:hint="eastAsia" w:ascii="等线" w:hAnsi="等线" w:eastAsia="等线" w:cs="宋体"/>
                <w:b/>
                <w:bCs w:val="0"/>
                <w:sz w:val="21"/>
                <w:szCs w:val="21"/>
              </w:rPr>
              <w:t>课程思政目标：</w:t>
            </w:r>
            <w:r>
              <w:rPr>
                <w:rFonts w:hint="eastAsia" w:ascii="等线" w:hAnsi="等线" w:eastAsia="等线" w:cs="Times New Roman"/>
                <w:b w:val="0"/>
                <w:bCs/>
                <w:kern w:val="2"/>
                <w:sz w:val="21"/>
                <w:szCs w:val="21"/>
                <w:vertAlign w:val="baseline"/>
              </w:rPr>
              <w:t>引导学生注重知识产权保护，既要学会保护自己设计制作的数字作品，又要学会尊重他人的相关作品，推动数字资源市场的良性化发展。</w:t>
            </w:r>
          </w:p>
        </w:tc>
      </w:tr>
      <w:tr w14:paraId="6D0D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restart"/>
            <w:vAlign w:val="center"/>
          </w:tcPr>
          <w:p w14:paraId="7FA5E1CA">
            <w:pPr>
              <w:widowControl w:val="0"/>
              <w:spacing w:line="240" w:lineRule="auto"/>
              <w:jc w:val="center"/>
              <w:rPr>
                <w:rFonts w:hint="eastAsia" w:ascii="等线" w:hAnsi="等线" w:eastAsia="等线" w:cs="Times New Roman"/>
                <w:b w:val="0"/>
                <w:bCs/>
                <w:kern w:val="2"/>
                <w:sz w:val="28"/>
                <w:szCs w:val="28"/>
                <w:vertAlign w:val="baseline"/>
              </w:rPr>
            </w:pPr>
            <w:r>
              <w:rPr>
                <w:rFonts w:hint="eastAsia" w:ascii="等线" w:hAnsi="等线" w:eastAsia="等线" w:cs="Times New Roman"/>
                <w:b w:val="0"/>
                <w:bCs/>
                <w:kern w:val="2"/>
                <w:sz w:val="21"/>
                <w:szCs w:val="21"/>
                <w:lang w:val="en-US" w:eastAsia="zh-CN"/>
              </w:rPr>
              <w:t>6.教学设计的理论与实践</w:t>
            </w:r>
          </w:p>
        </w:tc>
        <w:tc>
          <w:tcPr>
            <w:tcW w:w="2080" w:type="dxa"/>
            <w:vAlign w:val="center"/>
          </w:tcPr>
          <w:p w14:paraId="720AE72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（1）教学设计的理论基础</w:t>
            </w:r>
          </w:p>
          <w:p w14:paraId="03B04825">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（2）教学设计的一般方法</w:t>
            </w:r>
          </w:p>
          <w:p w14:paraId="169CCFC5">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（3）信息化教学模式的类型、特点及应用案例</w:t>
            </w:r>
          </w:p>
          <w:p w14:paraId="6D85B9A0">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（4）信息化教学工具及应用方法</w:t>
            </w:r>
          </w:p>
        </w:tc>
        <w:tc>
          <w:tcPr>
            <w:tcW w:w="1276" w:type="dxa"/>
            <w:vAlign w:val="center"/>
          </w:tcPr>
          <w:p w14:paraId="23EC06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课程目标1</w:t>
            </w:r>
          </w:p>
          <w:p w14:paraId="763CD9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2</w:t>
            </w:r>
          </w:p>
        </w:tc>
        <w:tc>
          <w:tcPr>
            <w:tcW w:w="2122" w:type="dxa"/>
            <w:vAlign w:val="center"/>
          </w:tcPr>
          <w:p w14:paraId="538B1FE8">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（1）了解教学设计的概念和模式</w:t>
            </w:r>
          </w:p>
          <w:p w14:paraId="5A76E0C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（2）掌握教学设计的基本过程和方法</w:t>
            </w:r>
          </w:p>
          <w:p w14:paraId="4B78738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（3）了解信息化教学模式的类型及特点</w:t>
            </w:r>
          </w:p>
          <w:p w14:paraId="5BC7D08E">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（4）能够结合学科内容编写教学设计方案并付诸教学实践</w:t>
            </w:r>
          </w:p>
        </w:tc>
        <w:tc>
          <w:tcPr>
            <w:tcW w:w="1539" w:type="dxa"/>
            <w:vAlign w:val="center"/>
          </w:tcPr>
          <w:p w14:paraId="6128D8A7">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1.线上学习</w:t>
            </w:r>
          </w:p>
          <w:p w14:paraId="2C0F6FCC">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2.多媒体教学</w:t>
            </w:r>
          </w:p>
          <w:p w14:paraId="7CA4E659">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rPr>
              <w:t>3.课堂讨论</w:t>
            </w:r>
          </w:p>
        </w:tc>
        <w:tc>
          <w:tcPr>
            <w:tcW w:w="601" w:type="dxa"/>
            <w:vAlign w:val="center"/>
          </w:tcPr>
          <w:p w14:paraId="4A3402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lang w:val="en-US" w:eastAsia="zh-CN"/>
              </w:rPr>
              <w:t>4</w:t>
            </w:r>
          </w:p>
        </w:tc>
      </w:tr>
      <w:tr w14:paraId="2789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continue"/>
            <w:vAlign w:val="center"/>
          </w:tcPr>
          <w:p w14:paraId="41A22705">
            <w:pPr>
              <w:widowControl w:val="0"/>
              <w:spacing w:line="240" w:lineRule="auto"/>
              <w:jc w:val="center"/>
              <w:rPr>
                <w:rFonts w:hint="eastAsia" w:ascii="等线" w:hAnsi="等线" w:eastAsia="等线" w:cs="Times New Roman"/>
                <w:b w:val="0"/>
                <w:bCs/>
                <w:kern w:val="2"/>
                <w:sz w:val="28"/>
                <w:szCs w:val="28"/>
                <w:vertAlign w:val="baseline"/>
              </w:rPr>
            </w:pPr>
          </w:p>
        </w:tc>
        <w:tc>
          <w:tcPr>
            <w:tcW w:w="7618" w:type="dxa"/>
            <w:gridSpan w:val="5"/>
            <w:vAlign w:val="center"/>
          </w:tcPr>
          <w:p w14:paraId="248C302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r>
              <w:rPr>
                <w:rFonts w:hint="eastAsia" w:ascii="等线" w:hAnsi="等线" w:eastAsia="等线" w:cs="宋体"/>
                <w:b/>
                <w:bCs w:val="0"/>
                <w:sz w:val="21"/>
                <w:szCs w:val="21"/>
              </w:rPr>
              <w:t>课程思政目标：</w:t>
            </w:r>
            <w:r>
              <w:rPr>
                <w:rFonts w:hint="eastAsia" w:ascii="等线" w:hAnsi="等线" w:eastAsia="等线" w:cs="Times New Roman"/>
                <w:b w:val="0"/>
                <w:bCs/>
                <w:kern w:val="2"/>
                <w:sz w:val="21"/>
                <w:szCs w:val="21"/>
                <w:vertAlign w:val="baseline"/>
              </w:rPr>
              <w:t>能创造性地运用所学知识设计与实施小学科学教育，成为有理想信念、有道德情操、有扎实学识、有仁爱之心的小学好老师。</w:t>
            </w:r>
          </w:p>
        </w:tc>
      </w:tr>
      <w:tr w14:paraId="7E54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restart"/>
            <w:vAlign w:val="center"/>
          </w:tcPr>
          <w:p w14:paraId="03B601E1">
            <w:pPr>
              <w:widowControl w:val="0"/>
              <w:spacing w:line="240" w:lineRule="auto"/>
              <w:jc w:val="center"/>
              <w:rPr>
                <w:rFonts w:hint="eastAsia" w:ascii="等线" w:hAnsi="等线" w:eastAsia="等线" w:cs="Times New Roman"/>
                <w:b w:val="0"/>
                <w:bCs/>
                <w:kern w:val="2"/>
                <w:sz w:val="28"/>
                <w:szCs w:val="28"/>
                <w:vertAlign w:val="baseline"/>
              </w:rPr>
            </w:pPr>
            <w:r>
              <w:rPr>
                <w:rFonts w:hint="eastAsia" w:ascii="等线" w:hAnsi="等线" w:eastAsia="等线" w:cs="Times New Roman"/>
                <w:b w:val="0"/>
                <w:bCs/>
                <w:kern w:val="2"/>
                <w:sz w:val="21"/>
                <w:szCs w:val="21"/>
                <w:lang w:val="en-US" w:eastAsia="zh-CN"/>
              </w:rPr>
              <w:t>7.微课制作</w:t>
            </w:r>
          </w:p>
        </w:tc>
        <w:tc>
          <w:tcPr>
            <w:tcW w:w="2080" w:type="dxa"/>
            <w:vAlign w:val="center"/>
          </w:tcPr>
          <w:p w14:paraId="1D064D77">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（1）教学设计的理论基础</w:t>
            </w:r>
          </w:p>
          <w:p w14:paraId="0372E0A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（2）教学设计的一般方法</w:t>
            </w:r>
          </w:p>
          <w:p w14:paraId="5F749C8B">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（3）Camtasia软件安装与使用</w:t>
            </w:r>
          </w:p>
          <w:p w14:paraId="6F7AB180">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（4）微课制作基本方法与原则</w:t>
            </w:r>
          </w:p>
        </w:tc>
        <w:tc>
          <w:tcPr>
            <w:tcW w:w="1276" w:type="dxa"/>
            <w:vAlign w:val="center"/>
          </w:tcPr>
          <w:p w14:paraId="423C89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课程目标1</w:t>
            </w:r>
          </w:p>
          <w:p w14:paraId="1DA6D4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lang w:val="en-US" w:eastAsia="zh-CN"/>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2</w:t>
            </w:r>
          </w:p>
          <w:p w14:paraId="333A9D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课程目标</w:t>
            </w:r>
            <w:r>
              <w:rPr>
                <w:rFonts w:hint="eastAsia" w:ascii="等线" w:hAnsi="等线" w:eastAsia="等线" w:cs="宋体"/>
                <w:bCs/>
                <w:sz w:val="21"/>
                <w:szCs w:val="21"/>
                <w:lang w:val="en-US" w:eastAsia="zh-CN"/>
              </w:rPr>
              <w:t>3</w:t>
            </w:r>
          </w:p>
        </w:tc>
        <w:tc>
          <w:tcPr>
            <w:tcW w:w="2122" w:type="dxa"/>
            <w:vAlign w:val="center"/>
          </w:tcPr>
          <w:p w14:paraId="30964002">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（1）了解信息化教学设计的概念和模式</w:t>
            </w:r>
          </w:p>
          <w:p w14:paraId="1AFAAC63">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（2）掌握微课制作的基本过程和方法</w:t>
            </w:r>
          </w:p>
          <w:p w14:paraId="1CA88BCC">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（3）了解Camtasia软件的功能及特点</w:t>
            </w:r>
          </w:p>
          <w:p w14:paraId="18BE9B46">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（4）能够结合学科内容制作一个微课作品</w:t>
            </w:r>
          </w:p>
        </w:tc>
        <w:tc>
          <w:tcPr>
            <w:tcW w:w="1539" w:type="dxa"/>
            <w:vAlign w:val="center"/>
          </w:tcPr>
          <w:p w14:paraId="3A3A9CBF">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1.线上学习</w:t>
            </w:r>
          </w:p>
          <w:p w14:paraId="664F835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2.多媒体教学</w:t>
            </w:r>
          </w:p>
          <w:p w14:paraId="552B7D14">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Times New Roman"/>
                <w:b w:val="0"/>
                <w:bCs/>
                <w:kern w:val="2"/>
                <w:sz w:val="21"/>
                <w:szCs w:val="21"/>
                <w:vertAlign w:val="baseline"/>
              </w:rPr>
            </w:pPr>
            <w:r>
              <w:rPr>
                <w:rFonts w:hint="eastAsia" w:ascii="等线" w:hAnsi="等线" w:eastAsia="等线" w:cs="Times New Roman"/>
                <w:b w:val="0"/>
                <w:bCs/>
                <w:kern w:val="2"/>
                <w:sz w:val="21"/>
                <w:szCs w:val="21"/>
                <w:vertAlign w:val="baseline"/>
              </w:rPr>
              <w:t>3.课堂讨论</w:t>
            </w:r>
          </w:p>
          <w:p w14:paraId="1EB04C18">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lang w:val="en-US" w:eastAsia="zh-CN"/>
              </w:rPr>
              <w:t>4.机房实操</w:t>
            </w:r>
          </w:p>
        </w:tc>
        <w:tc>
          <w:tcPr>
            <w:tcW w:w="601" w:type="dxa"/>
            <w:vAlign w:val="center"/>
          </w:tcPr>
          <w:p w14:paraId="42CF513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Times New Roman"/>
                <w:b w:val="0"/>
                <w:bCs/>
                <w:kern w:val="2"/>
                <w:sz w:val="21"/>
                <w:szCs w:val="21"/>
                <w:vertAlign w:val="baseline"/>
                <w:lang w:val="en-US" w:eastAsia="zh-CN"/>
              </w:rPr>
              <w:t>8</w:t>
            </w:r>
          </w:p>
        </w:tc>
      </w:tr>
      <w:tr w14:paraId="546A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4" w:type="dxa"/>
            <w:vMerge w:val="continue"/>
            <w:vAlign w:val="center"/>
          </w:tcPr>
          <w:p w14:paraId="36258B7B">
            <w:pPr>
              <w:widowControl w:val="0"/>
              <w:spacing w:line="240" w:lineRule="auto"/>
              <w:jc w:val="center"/>
              <w:rPr>
                <w:rFonts w:hint="eastAsia" w:ascii="等线" w:hAnsi="等线" w:eastAsia="等线" w:cs="Times New Roman"/>
                <w:b w:val="0"/>
                <w:bCs/>
                <w:kern w:val="2"/>
                <w:sz w:val="28"/>
                <w:szCs w:val="28"/>
                <w:vertAlign w:val="baseline"/>
              </w:rPr>
            </w:pPr>
          </w:p>
        </w:tc>
        <w:tc>
          <w:tcPr>
            <w:tcW w:w="7618" w:type="dxa"/>
            <w:gridSpan w:val="5"/>
            <w:vAlign w:val="center"/>
          </w:tcPr>
          <w:p w14:paraId="5B27083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等线" w:hAnsi="等线" w:eastAsia="等线" w:cs="宋体"/>
                <w:bCs/>
                <w:sz w:val="21"/>
                <w:szCs w:val="21"/>
              </w:rPr>
            </w:pPr>
            <w:r>
              <w:rPr>
                <w:rFonts w:hint="eastAsia" w:ascii="等线" w:hAnsi="等线" w:eastAsia="等线" w:cs="宋体"/>
                <w:b/>
                <w:bCs w:val="0"/>
                <w:sz w:val="21"/>
                <w:szCs w:val="21"/>
              </w:rPr>
              <w:t>课程思政目标：</w:t>
            </w:r>
            <w:r>
              <w:rPr>
                <w:rFonts w:hint="eastAsia" w:ascii="等线" w:hAnsi="等线" w:eastAsia="等线" w:cs="Times New Roman"/>
                <w:b w:val="0"/>
                <w:bCs/>
                <w:kern w:val="2"/>
                <w:sz w:val="21"/>
                <w:szCs w:val="21"/>
                <w:vertAlign w:val="baseline"/>
              </w:rPr>
              <w:t>通过微课制作，让学生了解微课制作的基本原则和方法，引导学生树牢唯物主义世界观、科学发展观、社会主义核心价值观，能够认真体会微课在教学过程中的作用，使微课能够更好地融入到整个教学环节中。</w:t>
            </w:r>
          </w:p>
        </w:tc>
      </w:tr>
    </w:tbl>
    <w:p w14:paraId="43E116B1">
      <w:pPr>
        <w:spacing w:line="360" w:lineRule="auto"/>
        <w:ind w:firstLine="1"/>
        <w:rPr>
          <w:rFonts w:hint="eastAsia" w:ascii="等线" w:hAnsi="等线" w:eastAsia="等线" w:cs="Times New Roman"/>
          <w:b/>
          <w:kern w:val="2"/>
          <w:sz w:val="28"/>
          <w:szCs w:val="28"/>
        </w:rPr>
      </w:pPr>
    </w:p>
    <w:p w14:paraId="6F9ADCE3">
      <w:pPr>
        <w:spacing w:line="360" w:lineRule="auto"/>
        <w:rPr>
          <w:rFonts w:ascii="等线" w:hAnsi="等线" w:eastAsia="等线" w:cs="Times New Roman"/>
          <w:b/>
          <w:sz w:val="24"/>
          <w:szCs w:val="24"/>
        </w:rPr>
      </w:pPr>
      <w:r>
        <w:rPr>
          <w:rFonts w:hint="eastAsia" w:ascii="等线" w:hAnsi="等线" w:eastAsia="等线" w:cs="Times New Roman"/>
          <w:b/>
          <w:sz w:val="24"/>
          <w:szCs w:val="24"/>
        </w:rPr>
        <w:t>教学内容与</w:t>
      </w:r>
      <w:r>
        <w:rPr>
          <w:rFonts w:ascii="等线" w:hAnsi="等线" w:eastAsia="等线" w:cs="Times New Roman"/>
          <w:b/>
          <w:sz w:val="24"/>
          <w:szCs w:val="24"/>
        </w:rPr>
        <w:t>课程目标的</w:t>
      </w:r>
      <w:r>
        <w:rPr>
          <w:rFonts w:hint="eastAsia" w:ascii="等线" w:hAnsi="等线" w:eastAsia="等线" w:cs="Times New Roman"/>
          <w:b/>
          <w:sz w:val="24"/>
          <w:szCs w:val="24"/>
        </w:rPr>
        <w:t>对应关系及</w:t>
      </w:r>
      <w:r>
        <w:rPr>
          <w:rFonts w:ascii="等线" w:hAnsi="等线" w:eastAsia="等线" w:cs="Times New Roman"/>
          <w:b/>
          <w:sz w:val="24"/>
          <w:szCs w:val="24"/>
        </w:rPr>
        <w:t>学时分配</w:t>
      </w:r>
      <w:r>
        <w:rPr>
          <w:rFonts w:hint="eastAsia" w:ascii="等线" w:hAnsi="等线" w:eastAsia="等线" w:cs="Times New Roman"/>
          <w:b/>
          <w:sz w:val="24"/>
          <w:szCs w:val="24"/>
        </w:rPr>
        <w:t>如表所示：</w:t>
      </w:r>
    </w:p>
    <w:tbl>
      <w:tblPr>
        <w:tblStyle w:val="10"/>
        <w:tblW w:w="852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2968"/>
        <w:gridCol w:w="1887"/>
        <w:gridCol w:w="1750"/>
        <w:gridCol w:w="760"/>
        <w:gridCol w:w="761"/>
      </w:tblGrid>
      <w:tr w14:paraId="25D2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dxa"/>
            <w:shd w:val="clear" w:color="auto" w:fill="FFFFFF"/>
            <w:vAlign w:val="center"/>
          </w:tcPr>
          <w:p w14:paraId="2CE9319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等线" w:hAnsi="等线" w:eastAsia="等线" w:cs="Times New Roman"/>
                <w:b/>
                <w:bCs/>
                <w:sz w:val="21"/>
                <w:szCs w:val="21"/>
              </w:rPr>
            </w:pPr>
            <w:r>
              <w:rPr>
                <w:rFonts w:hint="eastAsia" w:ascii="等线" w:hAnsi="等线" w:eastAsia="等线" w:cs="Times New Roman"/>
                <w:b/>
                <w:bCs/>
                <w:sz w:val="21"/>
                <w:szCs w:val="21"/>
              </w:rPr>
              <w:t>序号</w:t>
            </w:r>
          </w:p>
        </w:tc>
        <w:tc>
          <w:tcPr>
            <w:tcW w:w="2968" w:type="dxa"/>
            <w:shd w:val="clear" w:color="auto" w:fill="FFFFFF"/>
            <w:vAlign w:val="center"/>
          </w:tcPr>
          <w:p w14:paraId="37CFA83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等线" w:hAnsi="等线" w:eastAsia="等线" w:cs="Times New Roman"/>
                <w:b/>
                <w:bCs/>
                <w:sz w:val="21"/>
                <w:szCs w:val="21"/>
              </w:rPr>
            </w:pPr>
            <w:r>
              <w:rPr>
                <w:rFonts w:ascii="等线" w:hAnsi="等线" w:eastAsia="等线" w:cs="Times New Roman"/>
                <w:b/>
                <w:bCs/>
                <w:sz w:val="21"/>
                <w:szCs w:val="21"/>
              </w:rPr>
              <w:t>教学内容</w:t>
            </w:r>
          </w:p>
        </w:tc>
        <w:tc>
          <w:tcPr>
            <w:tcW w:w="1887" w:type="dxa"/>
            <w:shd w:val="clear" w:color="auto" w:fill="FFFFFF"/>
            <w:vAlign w:val="center"/>
          </w:tcPr>
          <w:p w14:paraId="5A3F072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等线" w:hAnsi="等线" w:eastAsia="等线" w:cs="Times New Roman"/>
                <w:b/>
                <w:bCs/>
                <w:sz w:val="21"/>
                <w:szCs w:val="21"/>
              </w:rPr>
            </w:pPr>
            <w:r>
              <w:rPr>
                <w:rFonts w:ascii="等线" w:hAnsi="等线" w:eastAsia="等线" w:cs="Times New Roman"/>
                <w:b/>
                <w:bCs/>
                <w:sz w:val="21"/>
                <w:szCs w:val="21"/>
              </w:rPr>
              <w:t>支撑</w:t>
            </w:r>
            <w:r>
              <w:rPr>
                <w:rFonts w:hint="eastAsia" w:ascii="等线" w:hAnsi="等线" w:eastAsia="等线" w:cs="Times New Roman"/>
                <w:b/>
                <w:bCs/>
                <w:sz w:val="21"/>
                <w:szCs w:val="21"/>
              </w:rPr>
              <w:t>的</w:t>
            </w:r>
            <w:r>
              <w:rPr>
                <w:rFonts w:ascii="等线" w:hAnsi="等线" w:eastAsia="等线" w:cs="Times New Roman"/>
                <w:b/>
                <w:bCs/>
                <w:sz w:val="21"/>
                <w:szCs w:val="21"/>
              </w:rPr>
              <w:t>课程目标</w:t>
            </w:r>
          </w:p>
        </w:tc>
        <w:tc>
          <w:tcPr>
            <w:tcW w:w="1750" w:type="dxa"/>
            <w:shd w:val="clear" w:color="auto" w:fill="FFFFFF"/>
            <w:vAlign w:val="center"/>
          </w:tcPr>
          <w:p w14:paraId="7256CA1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等线" w:hAnsi="等线" w:eastAsia="等线" w:cs="Times New Roman"/>
                <w:b/>
                <w:bCs/>
                <w:sz w:val="21"/>
                <w:szCs w:val="21"/>
              </w:rPr>
            </w:pPr>
            <w:r>
              <w:rPr>
                <w:rFonts w:ascii="等线" w:hAnsi="等线" w:eastAsia="等线" w:cs="Times New Roman"/>
                <w:b/>
                <w:bCs/>
                <w:sz w:val="21"/>
                <w:szCs w:val="21"/>
              </w:rPr>
              <w:t>支撑</w:t>
            </w:r>
            <w:r>
              <w:rPr>
                <w:rFonts w:hint="eastAsia" w:ascii="等线" w:hAnsi="等线" w:eastAsia="等线" w:cs="Times New Roman"/>
                <w:b/>
                <w:bCs/>
                <w:sz w:val="21"/>
                <w:szCs w:val="21"/>
              </w:rPr>
              <w:t>的</w:t>
            </w:r>
            <w:r>
              <w:rPr>
                <w:rFonts w:ascii="等线" w:hAnsi="等线" w:eastAsia="等线" w:cs="Times New Roman"/>
                <w:b/>
                <w:bCs/>
                <w:sz w:val="21"/>
                <w:szCs w:val="21"/>
              </w:rPr>
              <w:t>毕业要求指标点</w:t>
            </w:r>
          </w:p>
        </w:tc>
        <w:tc>
          <w:tcPr>
            <w:tcW w:w="760" w:type="dxa"/>
            <w:shd w:val="clear" w:color="auto" w:fill="FFFFFF"/>
            <w:vAlign w:val="center"/>
          </w:tcPr>
          <w:p w14:paraId="1535BF9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等线" w:hAnsi="等线" w:eastAsia="等线" w:cs="Times New Roman"/>
                <w:b/>
                <w:bCs/>
                <w:sz w:val="21"/>
                <w:szCs w:val="21"/>
              </w:rPr>
            </w:pPr>
            <w:r>
              <w:rPr>
                <w:rFonts w:ascii="等线" w:hAnsi="等线" w:eastAsia="等线" w:cs="Times New Roman"/>
                <w:b/>
                <w:bCs/>
                <w:sz w:val="21"/>
                <w:szCs w:val="21"/>
              </w:rPr>
              <w:t>讲</w:t>
            </w:r>
            <w:r>
              <w:rPr>
                <w:rFonts w:hint="eastAsia" w:ascii="等线" w:hAnsi="等线" w:eastAsia="等线" w:cs="Times New Roman"/>
                <w:b/>
                <w:bCs/>
                <w:sz w:val="21"/>
                <w:szCs w:val="21"/>
              </w:rPr>
              <w:t>授</w:t>
            </w:r>
            <w:r>
              <w:rPr>
                <w:rFonts w:ascii="等线" w:hAnsi="等线" w:eastAsia="等线" w:cs="Times New Roman"/>
                <w:b/>
                <w:bCs/>
                <w:sz w:val="21"/>
                <w:szCs w:val="21"/>
              </w:rPr>
              <w:t>学时</w:t>
            </w:r>
          </w:p>
        </w:tc>
        <w:tc>
          <w:tcPr>
            <w:tcW w:w="761" w:type="dxa"/>
            <w:shd w:val="clear" w:color="auto" w:fill="FFFFFF"/>
            <w:vAlign w:val="center"/>
          </w:tcPr>
          <w:p w14:paraId="39A7274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等线" w:hAnsi="等线" w:eastAsia="等线" w:cs="Times New Roman"/>
                <w:b/>
                <w:bCs/>
                <w:sz w:val="21"/>
                <w:szCs w:val="21"/>
              </w:rPr>
            </w:pPr>
            <w:r>
              <w:rPr>
                <w:rFonts w:ascii="等线" w:hAnsi="等线" w:eastAsia="等线" w:cs="Times New Roman"/>
                <w:b/>
                <w:bCs/>
                <w:sz w:val="21"/>
                <w:szCs w:val="21"/>
              </w:rPr>
              <w:t>实验</w:t>
            </w:r>
          </w:p>
          <w:p w14:paraId="0A7CBEF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ascii="等线" w:hAnsi="等线" w:eastAsia="等线" w:cs="Times New Roman"/>
                <w:b/>
                <w:bCs/>
                <w:sz w:val="21"/>
                <w:szCs w:val="21"/>
              </w:rPr>
            </w:pPr>
            <w:r>
              <w:rPr>
                <w:rFonts w:ascii="等线" w:hAnsi="等线" w:eastAsia="等线" w:cs="Times New Roman"/>
                <w:b/>
                <w:bCs/>
                <w:sz w:val="21"/>
                <w:szCs w:val="21"/>
              </w:rPr>
              <w:t>学时</w:t>
            </w:r>
          </w:p>
        </w:tc>
      </w:tr>
      <w:tr w14:paraId="0FE7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3" w:type="dxa"/>
            <w:shd w:val="clear" w:color="auto" w:fill="FFFFFF"/>
            <w:vAlign w:val="center"/>
          </w:tcPr>
          <w:p w14:paraId="396E1064">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1</w:t>
            </w:r>
          </w:p>
        </w:tc>
        <w:tc>
          <w:tcPr>
            <w:tcW w:w="2968" w:type="dxa"/>
            <w:shd w:val="clear" w:color="auto" w:fill="FFFFFF"/>
            <w:vAlign w:val="center"/>
          </w:tcPr>
          <w:p w14:paraId="33A0FE3C">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教育技术概述</w:t>
            </w:r>
          </w:p>
        </w:tc>
        <w:tc>
          <w:tcPr>
            <w:tcW w:w="1887" w:type="dxa"/>
            <w:shd w:val="clear" w:color="auto" w:fill="FFFFFF"/>
            <w:vAlign w:val="center"/>
          </w:tcPr>
          <w:p w14:paraId="5B1D1F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等线" w:hAnsi="等线" w:eastAsia="等线" w:cs="Times New Roman"/>
                <w:sz w:val="21"/>
                <w:szCs w:val="21"/>
              </w:rPr>
            </w:pPr>
            <w:r>
              <w:rPr>
                <w:rFonts w:hint="eastAsia" w:ascii="等线" w:hAnsi="等线" w:eastAsia="等线" w:cs="宋体"/>
                <w:bCs/>
                <w:sz w:val="21"/>
                <w:szCs w:val="21"/>
              </w:rPr>
              <w:t>课程目标1</w:t>
            </w:r>
          </w:p>
        </w:tc>
        <w:tc>
          <w:tcPr>
            <w:tcW w:w="1750" w:type="dxa"/>
            <w:shd w:val="clear" w:color="auto" w:fill="FFFFFF"/>
            <w:vAlign w:val="center"/>
          </w:tcPr>
          <w:p w14:paraId="051F25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等线" w:hAnsi="等线" w:eastAsia="等线" w:cs="宋体"/>
                <w:bCs/>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60" w:type="dxa"/>
            <w:shd w:val="clear" w:color="auto" w:fill="FFFFFF"/>
            <w:vAlign w:val="center"/>
          </w:tcPr>
          <w:p w14:paraId="53357647">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c>
          <w:tcPr>
            <w:tcW w:w="761" w:type="dxa"/>
            <w:shd w:val="clear" w:color="auto" w:fill="FFFFFF"/>
            <w:vAlign w:val="center"/>
          </w:tcPr>
          <w:p w14:paraId="7FAC186A">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p>
        </w:tc>
      </w:tr>
      <w:tr w14:paraId="1758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03" w:type="dxa"/>
            <w:vAlign w:val="center"/>
          </w:tcPr>
          <w:p w14:paraId="3B385B99">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c>
          <w:tcPr>
            <w:tcW w:w="2968" w:type="dxa"/>
            <w:vAlign w:val="center"/>
          </w:tcPr>
          <w:p w14:paraId="21123B49">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教育技术的理论基础</w:t>
            </w:r>
          </w:p>
        </w:tc>
        <w:tc>
          <w:tcPr>
            <w:tcW w:w="1887" w:type="dxa"/>
            <w:vAlign w:val="center"/>
          </w:tcPr>
          <w:p w14:paraId="3EAEF95B">
            <w:pPr>
              <w:keepNext w:val="0"/>
              <w:keepLines w:val="0"/>
              <w:pageBreakBefore w:val="0"/>
              <w:kinsoku/>
              <w:wordWrap/>
              <w:overflowPunct/>
              <w:topLinePunct w:val="0"/>
              <w:autoSpaceDE/>
              <w:autoSpaceDN/>
              <w:bidi w:val="0"/>
              <w:adjustRightInd w:val="0"/>
              <w:snapToGrid w:val="0"/>
              <w:jc w:val="center"/>
              <w:textAlignment w:val="auto"/>
              <w:rPr>
                <w:rFonts w:hint="default" w:ascii="等线" w:hAnsi="等线" w:eastAsia="等线" w:cs="Times New Roman"/>
                <w:sz w:val="21"/>
                <w:szCs w:val="21"/>
                <w:lang w:val="en-US" w:eastAsia="zh-CN"/>
              </w:rPr>
            </w:pPr>
            <w:r>
              <w:rPr>
                <w:rFonts w:hint="eastAsia" w:ascii="等线" w:hAnsi="等线" w:eastAsia="等线" w:cs="宋体"/>
                <w:bCs/>
                <w:sz w:val="21"/>
                <w:szCs w:val="21"/>
              </w:rPr>
              <w:t>课程目标1</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2</w:t>
            </w:r>
          </w:p>
        </w:tc>
        <w:tc>
          <w:tcPr>
            <w:tcW w:w="1750" w:type="dxa"/>
            <w:vAlign w:val="center"/>
          </w:tcPr>
          <w:p w14:paraId="5FC2E3B2">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60" w:type="dxa"/>
            <w:vAlign w:val="center"/>
          </w:tcPr>
          <w:p w14:paraId="460521D0">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c>
          <w:tcPr>
            <w:tcW w:w="761" w:type="dxa"/>
            <w:vAlign w:val="center"/>
          </w:tcPr>
          <w:p w14:paraId="0752A1BE">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p>
        </w:tc>
      </w:tr>
      <w:tr w14:paraId="4F77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03" w:type="dxa"/>
            <w:vAlign w:val="center"/>
          </w:tcPr>
          <w:p w14:paraId="23D6E614">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3</w:t>
            </w:r>
          </w:p>
        </w:tc>
        <w:tc>
          <w:tcPr>
            <w:tcW w:w="2968" w:type="dxa"/>
            <w:vAlign w:val="center"/>
          </w:tcPr>
          <w:p w14:paraId="79F09BA9">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教学媒体及其应用</w:t>
            </w:r>
          </w:p>
        </w:tc>
        <w:tc>
          <w:tcPr>
            <w:tcW w:w="1887" w:type="dxa"/>
            <w:vAlign w:val="center"/>
          </w:tcPr>
          <w:p w14:paraId="471D02E8">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课程目标1</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2</w:t>
            </w:r>
          </w:p>
        </w:tc>
        <w:tc>
          <w:tcPr>
            <w:tcW w:w="1750" w:type="dxa"/>
            <w:vAlign w:val="center"/>
          </w:tcPr>
          <w:p w14:paraId="24DA72EB">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60" w:type="dxa"/>
            <w:vAlign w:val="center"/>
          </w:tcPr>
          <w:p w14:paraId="0CA250BD">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c>
          <w:tcPr>
            <w:tcW w:w="761" w:type="dxa"/>
            <w:vAlign w:val="center"/>
          </w:tcPr>
          <w:p w14:paraId="41138A95">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r>
      <w:tr w14:paraId="2D4A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03" w:type="dxa"/>
            <w:vAlign w:val="center"/>
          </w:tcPr>
          <w:p w14:paraId="7010D8C1">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4</w:t>
            </w:r>
          </w:p>
        </w:tc>
        <w:tc>
          <w:tcPr>
            <w:tcW w:w="2968" w:type="dxa"/>
            <w:vAlign w:val="center"/>
          </w:tcPr>
          <w:p w14:paraId="045C3DE6">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教学资源的获取与加工</w:t>
            </w:r>
          </w:p>
        </w:tc>
        <w:tc>
          <w:tcPr>
            <w:tcW w:w="1887" w:type="dxa"/>
            <w:vAlign w:val="center"/>
          </w:tcPr>
          <w:p w14:paraId="1E43E1A8">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课程目标1</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2</w:t>
            </w:r>
          </w:p>
        </w:tc>
        <w:tc>
          <w:tcPr>
            <w:tcW w:w="1750" w:type="dxa"/>
            <w:vAlign w:val="center"/>
          </w:tcPr>
          <w:p w14:paraId="1B97F4B6">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60" w:type="dxa"/>
            <w:vAlign w:val="center"/>
          </w:tcPr>
          <w:p w14:paraId="30B1DF8D">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c>
          <w:tcPr>
            <w:tcW w:w="761" w:type="dxa"/>
            <w:vAlign w:val="center"/>
          </w:tcPr>
          <w:p w14:paraId="5D17EC45">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ascii="等线" w:hAnsi="等线" w:eastAsia="等线" w:cs="Times New Roman"/>
                <w:sz w:val="21"/>
                <w:szCs w:val="21"/>
              </w:rPr>
              <w:t>4</w:t>
            </w:r>
          </w:p>
        </w:tc>
      </w:tr>
      <w:tr w14:paraId="34EF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3" w:type="dxa"/>
            <w:vAlign w:val="center"/>
          </w:tcPr>
          <w:p w14:paraId="4DBF0054">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5</w:t>
            </w:r>
          </w:p>
        </w:tc>
        <w:tc>
          <w:tcPr>
            <w:tcW w:w="2968" w:type="dxa"/>
            <w:vAlign w:val="center"/>
          </w:tcPr>
          <w:p w14:paraId="059D9B9C">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数字化教学资源的设计与运用</w:t>
            </w:r>
          </w:p>
        </w:tc>
        <w:tc>
          <w:tcPr>
            <w:tcW w:w="1887" w:type="dxa"/>
            <w:vAlign w:val="center"/>
          </w:tcPr>
          <w:p w14:paraId="6DC5874F">
            <w:pPr>
              <w:keepNext w:val="0"/>
              <w:keepLines w:val="0"/>
              <w:pageBreakBefore w:val="0"/>
              <w:kinsoku/>
              <w:wordWrap/>
              <w:overflowPunct/>
              <w:topLinePunct w:val="0"/>
              <w:autoSpaceDE/>
              <w:autoSpaceDN/>
              <w:bidi w:val="0"/>
              <w:adjustRightInd w:val="0"/>
              <w:snapToGrid w:val="0"/>
              <w:jc w:val="center"/>
              <w:textAlignment w:val="auto"/>
              <w:rPr>
                <w:rFonts w:hint="default" w:ascii="等线" w:hAnsi="等线" w:eastAsia="等线" w:cs="Times New Roman"/>
                <w:sz w:val="21"/>
                <w:szCs w:val="21"/>
                <w:lang w:val="en-US"/>
              </w:rPr>
            </w:pPr>
            <w:r>
              <w:rPr>
                <w:rFonts w:hint="eastAsia" w:ascii="等线" w:hAnsi="等线" w:eastAsia="等线" w:cs="宋体"/>
                <w:bCs/>
                <w:sz w:val="21"/>
                <w:szCs w:val="21"/>
              </w:rPr>
              <w:t>课程目标1</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2、3</w:t>
            </w:r>
          </w:p>
        </w:tc>
        <w:tc>
          <w:tcPr>
            <w:tcW w:w="1750" w:type="dxa"/>
            <w:vAlign w:val="center"/>
          </w:tcPr>
          <w:p w14:paraId="19F28B9B">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60" w:type="dxa"/>
            <w:vAlign w:val="center"/>
          </w:tcPr>
          <w:p w14:paraId="6572A2CF">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c>
          <w:tcPr>
            <w:tcW w:w="761" w:type="dxa"/>
            <w:vAlign w:val="center"/>
          </w:tcPr>
          <w:p w14:paraId="0B0E3D3F">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ascii="等线" w:hAnsi="等线" w:eastAsia="等线" w:cs="Times New Roman"/>
                <w:sz w:val="21"/>
                <w:szCs w:val="21"/>
              </w:rPr>
              <w:t>4</w:t>
            </w:r>
          </w:p>
        </w:tc>
      </w:tr>
      <w:tr w14:paraId="38F4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03" w:type="dxa"/>
            <w:vAlign w:val="center"/>
          </w:tcPr>
          <w:p w14:paraId="750E5F31">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6</w:t>
            </w:r>
          </w:p>
        </w:tc>
        <w:tc>
          <w:tcPr>
            <w:tcW w:w="2968" w:type="dxa"/>
            <w:vAlign w:val="center"/>
          </w:tcPr>
          <w:p w14:paraId="1F626494">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教学设计的理论与实践</w:t>
            </w:r>
          </w:p>
        </w:tc>
        <w:tc>
          <w:tcPr>
            <w:tcW w:w="1887" w:type="dxa"/>
            <w:vAlign w:val="center"/>
          </w:tcPr>
          <w:p w14:paraId="53EF061A">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课程目标1</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2</w:t>
            </w:r>
          </w:p>
        </w:tc>
        <w:tc>
          <w:tcPr>
            <w:tcW w:w="1750" w:type="dxa"/>
            <w:vAlign w:val="center"/>
          </w:tcPr>
          <w:p w14:paraId="52456D5D">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60" w:type="dxa"/>
            <w:vAlign w:val="center"/>
          </w:tcPr>
          <w:p w14:paraId="0E489E72">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c>
          <w:tcPr>
            <w:tcW w:w="761" w:type="dxa"/>
            <w:vAlign w:val="center"/>
          </w:tcPr>
          <w:p w14:paraId="02EE7113">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2</w:t>
            </w:r>
          </w:p>
        </w:tc>
      </w:tr>
      <w:tr w14:paraId="6B64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3" w:type="dxa"/>
            <w:vAlign w:val="center"/>
          </w:tcPr>
          <w:p w14:paraId="2E90D278">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7</w:t>
            </w:r>
          </w:p>
        </w:tc>
        <w:tc>
          <w:tcPr>
            <w:tcW w:w="2968" w:type="dxa"/>
            <w:vAlign w:val="center"/>
          </w:tcPr>
          <w:p w14:paraId="5B2A420B">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微课制作</w:t>
            </w:r>
          </w:p>
        </w:tc>
        <w:tc>
          <w:tcPr>
            <w:tcW w:w="1887" w:type="dxa"/>
            <w:vAlign w:val="center"/>
          </w:tcPr>
          <w:p w14:paraId="436629D1">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课程目标1</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2、3</w:t>
            </w:r>
          </w:p>
        </w:tc>
        <w:tc>
          <w:tcPr>
            <w:tcW w:w="1750" w:type="dxa"/>
            <w:vAlign w:val="center"/>
          </w:tcPr>
          <w:p w14:paraId="1A7B1EE5">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60" w:type="dxa"/>
            <w:vAlign w:val="center"/>
          </w:tcPr>
          <w:p w14:paraId="7296DB49">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4</w:t>
            </w:r>
          </w:p>
        </w:tc>
        <w:tc>
          <w:tcPr>
            <w:tcW w:w="761" w:type="dxa"/>
            <w:vAlign w:val="center"/>
          </w:tcPr>
          <w:p w14:paraId="70B802B9">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4</w:t>
            </w:r>
          </w:p>
        </w:tc>
      </w:tr>
      <w:tr w14:paraId="635B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08" w:type="dxa"/>
            <w:gridSpan w:val="4"/>
            <w:vAlign w:val="center"/>
          </w:tcPr>
          <w:p w14:paraId="7A9CDB85">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ascii="等线" w:hAnsi="等线" w:eastAsia="等线" w:cs="Times New Roman"/>
                <w:sz w:val="21"/>
                <w:szCs w:val="21"/>
              </w:rPr>
              <w:t>合计</w:t>
            </w:r>
          </w:p>
        </w:tc>
        <w:tc>
          <w:tcPr>
            <w:tcW w:w="760" w:type="dxa"/>
            <w:vAlign w:val="center"/>
          </w:tcPr>
          <w:p w14:paraId="200889C7">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16</w:t>
            </w:r>
          </w:p>
        </w:tc>
        <w:tc>
          <w:tcPr>
            <w:tcW w:w="761" w:type="dxa"/>
            <w:vAlign w:val="center"/>
          </w:tcPr>
          <w:p w14:paraId="1D06AAF9">
            <w:pPr>
              <w:keepNext w:val="0"/>
              <w:keepLines w:val="0"/>
              <w:pageBreakBefore w:val="0"/>
              <w:kinsoku/>
              <w:wordWrap/>
              <w:overflowPunct/>
              <w:topLinePunct w:val="0"/>
              <w:autoSpaceDE/>
              <w:autoSpaceDN/>
              <w:bidi w:val="0"/>
              <w:adjustRightInd w:val="0"/>
              <w:snapToGrid w:val="0"/>
              <w:jc w:val="center"/>
              <w:textAlignment w:val="auto"/>
              <w:rPr>
                <w:rFonts w:ascii="等线" w:hAnsi="等线" w:eastAsia="等线" w:cs="Times New Roman"/>
                <w:sz w:val="21"/>
                <w:szCs w:val="21"/>
              </w:rPr>
            </w:pPr>
            <w:r>
              <w:rPr>
                <w:rFonts w:hint="eastAsia" w:ascii="等线" w:hAnsi="等线" w:eastAsia="等线" w:cs="Times New Roman"/>
                <w:sz w:val="21"/>
                <w:szCs w:val="21"/>
              </w:rPr>
              <w:t>16</w:t>
            </w:r>
          </w:p>
        </w:tc>
      </w:tr>
    </w:tbl>
    <w:p w14:paraId="4E6CE4DA">
      <w:pPr>
        <w:widowControl w:val="0"/>
        <w:adjustRightInd/>
        <w:snapToGrid/>
        <w:spacing w:after="0" w:line="360" w:lineRule="auto"/>
        <w:outlineLvl w:val="9"/>
        <w:rPr>
          <w:rFonts w:ascii="等线" w:hAnsi="等线" w:eastAsia="等线" w:cs="Times New Roman"/>
          <w:b/>
          <w:kern w:val="2"/>
          <w:sz w:val="28"/>
          <w:szCs w:val="28"/>
        </w:rPr>
      </w:pPr>
    </w:p>
    <w:p w14:paraId="0DD7DBBF">
      <w:pPr>
        <w:widowControl w:val="0"/>
        <w:adjustRightInd/>
        <w:snapToGrid/>
        <w:spacing w:after="0" w:line="360" w:lineRule="auto"/>
        <w:outlineLvl w:val="0"/>
        <w:rPr>
          <w:rFonts w:ascii="等线" w:hAnsi="等线" w:eastAsia="等线" w:cs="Times New Roman"/>
          <w:b/>
          <w:kern w:val="2"/>
          <w:sz w:val="28"/>
          <w:szCs w:val="28"/>
        </w:rPr>
      </w:pPr>
      <w:bookmarkStart w:id="785" w:name="_Toc30781"/>
      <w:bookmarkStart w:id="786" w:name="_Toc29261"/>
      <w:bookmarkStart w:id="787" w:name="_Toc18708"/>
      <w:bookmarkStart w:id="788" w:name="_Toc4568"/>
      <w:bookmarkStart w:id="789" w:name="_Toc21537"/>
      <w:bookmarkStart w:id="790" w:name="_Toc24595"/>
      <w:bookmarkStart w:id="791" w:name="_Toc24994"/>
      <w:r>
        <w:rPr>
          <w:rFonts w:hint="eastAsia" w:ascii="等线" w:hAnsi="等线" w:eastAsia="等线" w:cs="Times New Roman"/>
          <w:b/>
          <w:kern w:val="2"/>
          <w:sz w:val="28"/>
          <w:szCs w:val="28"/>
        </w:rPr>
        <w:t>四</w:t>
      </w:r>
      <w:r>
        <w:rPr>
          <w:rFonts w:ascii="等线" w:hAnsi="等线" w:eastAsia="等线" w:cs="Times New Roman"/>
          <w:b/>
          <w:kern w:val="2"/>
          <w:sz w:val="28"/>
          <w:szCs w:val="28"/>
        </w:rPr>
        <w:t>、</w:t>
      </w:r>
      <w:r>
        <w:rPr>
          <w:rFonts w:hint="eastAsia" w:ascii="等线" w:hAnsi="等线" w:eastAsia="等线" w:cs="Times New Roman"/>
          <w:b/>
          <w:kern w:val="2"/>
          <w:sz w:val="28"/>
          <w:szCs w:val="28"/>
        </w:rPr>
        <w:t>课内实践</w:t>
      </w:r>
      <w:bookmarkEnd w:id="785"/>
      <w:bookmarkEnd w:id="786"/>
      <w:bookmarkEnd w:id="787"/>
      <w:bookmarkEnd w:id="788"/>
      <w:bookmarkEnd w:id="789"/>
      <w:bookmarkEnd w:id="790"/>
      <w:bookmarkEnd w:id="791"/>
    </w:p>
    <w:tbl>
      <w:tblPr>
        <w:tblStyle w:val="10"/>
        <w:tblW w:w="852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292"/>
        <w:gridCol w:w="3444"/>
        <w:gridCol w:w="431"/>
        <w:gridCol w:w="1850"/>
        <w:gridCol w:w="724"/>
        <w:gridCol w:w="385"/>
      </w:tblGrid>
      <w:tr w14:paraId="28B0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03" w:type="dxa"/>
            <w:shd w:val="clear" w:color="auto" w:fill="FFFFFF"/>
            <w:vAlign w:val="center"/>
          </w:tcPr>
          <w:p w14:paraId="59AC4DCB">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序号</w:t>
            </w:r>
          </w:p>
        </w:tc>
        <w:tc>
          <w:tcPr>
            <w:tcW w:w="1292" w:type="dxa"/>
            <w:shd w:val="clear" w:color="auto" w:fill="FFFFFF"/>
            <w:vAlign w:val="center"/>
          </w:tcPr>
          <w:p w14:paraId="6EB4D231">
            <w:pPr>
              <w:widowControl w:val="0"/>
              <w:adjustRightInd/>
              <w:snapToGrid/>
              <w:spacing w:after="0"/>
              <w:jc w:val="center"/>
              <w:rPr>
                <w:rFonts w:ascii="等线" w:hAnsi="等线" w:eastAsia="等线" w:cs="Times New Roman"/>
                <w:b/>
                <w:bCs/>
                <w:sz w:val="21"/>
                <w:szCs w:val="21"/>
              </w:rPr>
            </w:pPr>
            <w:r>
              <w:rPr>
                <w:rFonts w:hint="eastAsia" w:ascii="等线" w:hAnsi="等线" w:eastAsia="等线" w:cs="Times New Roman"/>
                <w:b/>
                <w:bCs/>
                <w:sz w:val="21"/>
                <w:szCs w:val="21"/>
              </w:rPr>
              <w:t>实践</w:t>
            </w:r>
          </w:p>
          <w:p w14:paraId="13B0FCF2">
            <w:pPr>
              <w:widowControl w:val="0"/>
              <w:adjustRightInd/>
              <w:snapToGrid/>
              <w:spacing w:after="0"/>
              <w:ind w:left="0" w:leftChars="0" w:firstLine="0" w:firstLineChars="0"/>
              <w:jc w:val="center"/>
              <w:rPr>
                <w:rFonts w:ascii="等线" w:hAnsi="等线" w:eastAsia="等线" w:cs="Times New Roman"/>
                <w:b/>
                <w:bCs/>
                <w:sz w:val="21"/>
                <w:szCs w:val="21"/>
              </w:rPr>
            </w:pPr>
            <w:r>
              <w:rPr>
                <w:rFonts w:ascii="等线" w:hAnsi="等线" w:eastAsia="等线" w:cs="Times New Roman"/>
                <w:b/>
                <w:bCs/>
                <w:sz w:val="21"/>
                <w:szCs w:val="21"/>
              </w:rPr>
              <w:t>项目名称</w:t>
            </w:r>
          </w:p>
        </w:tc>
        <w:tc>
          <w:tcPr>
            <w:tcW w:w="3444" w:type="dxa"/>
            <w:shd w:val="clear" w:color="auto" w:fill="FFFFFF"/>
            <w:vAlign w:val="center"/>
          </w:tcPr>
          <w:p w14:paraId="041FD93E">
            <w:pPr>
              <w:widowControl w:val="0"/>
              <w:adjustRightInd/>
              <w:snapToGrid/>
              <w:spacing w:after="0"/>
              <w:jc w:val="center"/>
              <w:rPr>
                <w:rFonts w:ascii="等线" w:hAnsi="等线" w:eastAsia="等线" w:cs="Times New Roman"/>
                <w:b/>
                <w:bCs/>
                <w:sz w:val="21"/>
                <w:szCs w:val="21"/>
              </w:rPr>
            </w:pPr>
            <w:r>
              <w:rPr>
                <w:rFonts w:hint="eastAsia" w:ascii="等线" w:hAnsi="等线" w:eastAsia="等线" w:cs="Times New Roman"/>
                <w:b/>
                <w:bCs/>
                <w:sz w:val="21"/>
                <w:szCs w:val="21"/>
              </w:rPr>
              <w:t>实践</w:t>
            </w:r>
            <w:r>
              <w:rPr>
                <w:rFonts w:ascii="等线" w:hAnsi="等线" w:eastAsia="等线" w:cs="Times New Roman"/>
                <w:b/>
                <w:bCs/>
                <w:sz w:val="21"/>
                <w:szCs w:val="21"/>
              </w:rPr>
              <w:t>内容</w:t>
            </w:r>
            <w:r>
              <w:rPr>
                <w:rFonts w:hint="eastAsia" w:ascii="等线" w:hAnsi="等线" w:eastAsia="等线" w:cs="Times New Roman"/>
                <w:b/>
                <w:bCs/>
                <w:sz w:val="21"/>
                <w:szCs w:val="21"/>
              </w:rPr>
              <w:t>及要求</w:t>
            </w:r>
          </w:p>
        </w:tc>
        <w:tc>
          <w:tcPr>
            <w:tcW w:w="431" w:type="dxa"/>
            <w:shd w:val="clear" w:color="auto" w:fill="FFFFFF"/>
            <w:vAlign w:val="center"/>
          </w:tcPr>
          <w:p w14:paraId="42CBCAD8">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学时</w:t>
            </w:r>
          </w:p>
        </w:tc>
        <w:tc>
          <w:tcPr>
            <w:tcW w:w="1850" w:type="dxa"/>
            <w:shd w:val="clear" w:color="auto" w:fill="FFFFFF"/>
            <w:vAlign w:val="center"/>
          </w:tcPr>
          <w:p w14:paraId="36BCBBFB">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对毕业要求的支撑</w:t>
            </w:r>
          </w:p>
        </w:tc>
        <w:tc>
          <w:tcPr>
            <w:tcW w:w="724" w:type="dxa"/>
            <w:shd w:val="clear" w:color="auto" w:fill="FFFFFF"/>
            <w:tcMar>
              <w:left w:w="28" w:type="dxa"/>
              <w:right w:w="28" w:type="dxa"/>
            </w:tcMar>
            <w:vAlign w:val="center"/>
          </w:tcPr>
          <w:p w14:paraId="687AB44F">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类型</w:t>
            </w:r>
          </w:p>
        </w:tc>
        <w:tc>
          <w:tcPr>
            <w:tcW w:w="385" w:type="dxa"/>
            <w:shd w:val="clear" w:color="auto" w:fill="FFFFFF"/>
            <w:tcMar>
              <w:left w:w="28" w:type="dxa"/>
              <w:right w:w="28" w:type="dxa"/>
            </w:tcMar>
            <w:vAlign w:val="center"/>
          </w:tcPr>
          <w:p w14:paraId="1BE5F5EB">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备注</w:t>
            </w:r>
          </w:p>
        </w:tc>
      </w:tr>
      <w:tr w14:paraId="1B8E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403" w:type="dxa"/>
            <w:vAlign w:val="center"/>
          </w:tcPr>
          <w:p w14:paraId="0B04FB41">
            <w:pPr>
              <w:widowControl w:val="0"/>
              <w:adjustRightInd/>
              <w:snapToGrid/>
              <w:spacing w:after="0"/>
              <w:jc w:val="center"/>
              <w:rPr>
                <w:rFonts w:ascii="等线" w:hAnsi="等线" w:eastAsia="等线" w:cs="Times New Roman"/>
                <w:bCs/>
                <w:kern w:val="2"/>
                <w:sz w:val="21"/>
                <w:szCs w:val="21"/>
              </w:rPr>
            </w:pPr>
            <w:r>
              <w:rPr>
                <w:rFonts w:ascii="等线" w:hAnsi="等线" w:eastAsia="等线" w:cs="Times New Roman"/>
                <w:bCs/>
                <w:kern w:val="2"/>
                <w:sz w:val="21"/>
                <w:szCs w:val="21"/>
              </w:rPr>
              <w:t>1</w:t>
            </w:r>
          </w:p>
        </w:tc>
        <w:tc>
          <w:tcPr>
            <w:tcW w:w="1292" w:type="dxa"/>
            <w:vAlign w:val="center"/>
          </w:tcPr>
          <w:p w14:paraId="094CBBFD">
            <w:pPr>
              <w:widowControl w:val="0"/>
              <w:adjustRightInd/>
              <w:snapToGrid/>
              <w:spacing w:after="0" w:line="240" w:lineRule="atLeast"/>
              <w:jc w:val="both"/>
              <w:rPr>
                <w:rFonts w:ascii="等线" w:hAnsi="等线" w:eastAsia="等线" w:cs="宋体"/>
                <w:sz w:val="21"/>
                <w:szCs w:val="21"/>
              </w:rPr>
            </w:pPr>
            <w:r>
              <w:rPr>
                <w:rFonts w:hint="eastAsia" w:ascii="等线" w:hAnsi="等线" w:eastAsia="等线" w:cs="宋体"/>
                <w:sz w:val="21"/>
                <w:szCs w:val="21"/>
              </w:rPr>
              <w:t>智慧教室的应用学习</w:t>
            </w:r>
          </w:p>
        </w:tc>
        <w:tc>
          <w:tcPr>
            <w:tcW w:w="3444" w:type="dxa"/>
            <w:vAlign w:val="center"/>
          </w:tcPr>
          <w:p w14:paraId="11BD3693">
            <w:pPr>
              <w:widowControl w:val="0"/>
              <w:adjustRightInd/>
              <w:snapToGrid/>
              <w:spacing w:after="0" w:line="240" w:lineRule="atLeast"/>
              <w:ind w:firstLine="420" w:firstLineChars="200"/>
              <w:jc w:val="both"/>
              <w:rPr>
                <w:rFonts w:ascii="等线" w:hAnsi="等线" w:eastAsia="等线" w:cs="Times New Roman"/>
                <w:kern w:val="2"/>
                <w:sz w:val="21"/>
                <w:szCs w:val="21"/>
              </w:rPr>
            </w:pPr>
            <w:r>
              <w:rPr>
                <w:rFonts w:hint="eastAsia" w:ascii="等线" w:hAnsi="等线" w:eastAsia="等线" w:cs="Times New Roman"/>
                <w:bCs/>
                <w:kern w:val="2"/>
                <w:sz w:val="21"/>
                <w:szCs w:val="21"/>
              </w:rPr>
              <w:t>实践</w:t>
            </w:r>
            <w:r>
              <w:rPr>
                <w:rFonts w:ascii="等线" w:hAnsi="等线" w:eastAsia="等线" w:cs="Times New Roman"/>
                <w:bCs/>
                <w:kern w:val="2"/>
                <w:sz w:val="21"/>
                <w:szCs w:val="21"/>
              </w:rPr>
              <w:t>内容</w:t>
            </w:r>
            <w:r>
              <w:rPr>
                <w:rFonts w:hint="eastAsia" w:ascii="等线" w:hAnsi="等线" w:eastAsia="等线" w:cs="Times New Roman"/>
                <w:bCs/>
                <w:kern w:val="2"/>
                <w:sz w:val="21"/>
                <w:szCs w:val="21"/>
              </w:rPr>
              <w:t>：</w:t>
            </w:r>
            <w:r>
              <w:rPr>
                <w:rFonts w:hint="eastAsia" w:ascii="等线" w:hAnsi="等线" w:eastAsia="等线" w:cs="Times New Roman"/>
                <w:kern w:val="2"/>
                <w:sz w:val="21"/>
                <w:szCs w:val="21"/>
              </w:rPr>
              <w:t>根据中小学常用的智慧教室配置，学习数字白板的使用。</w:t>
            </w:r>
          </w:p>
          <w:p w14:paraId="2B6439FC">
            <w:pPr>
              <w:widowControl w:val="0"/>
              <w:adjustRightInd/>
              <w:snapToGrid/>
              <w:spacing w:after="0" w:line="240" w:lineRule="atLeast"/>
              <w:ind w:firstLine="315" w:firstLineChars="150"/>
              <w:jc w:val="both"/>
              <w:rPr>
                <w:rFonts w:ascii="等线" w:hAnsi="等线" w:eastAsia="等线" w:cs="宋体"/>
                <w:sz w:val="21"/>
                <w:szCs w:val="21"/>
              </w:rPr>
            </w:pPr>
            <w:r>
              <w:rPr>
                <w:rFonts w:hint="eastAsia" w:ascii="等线" w:hAnsi="等线" w:eastAsia="等线" w:cs="Times New Roman"/>
                <w:bCs/>
                <w:kern w:val="2"/>
                <w:sz w:val="21"/>
                <w:szCs w:val="21"/>
              </w:rPr>
              <w:t>实践要求：利用数字白板制作一个课件</w:t>
            </w:r>
            <w:r>
              <w:rPr>
                <w:rFonts w:hint="eastAsia" w:ascii="等线" w:hAnsi="等线" w:eastAsia="等线" w:cs="Times New Roman"/>
                <w:kern w:val="2"/>
                <w:sz w:val="21"/>
                <w:szCs w:val="21"/>
              </w:rPr>
              <w:t>。</w:t>
            </w:r>
          </w:p>
        </w:tc>
        <w:tc>
          <w:tcPr>
            <w:tcW w:w="431" w:type="dxa"/>
            <w:vAlign w:val="center"/>
          </w:tcPr>
          <w:p w14:paraId="5F87E892">
            <w:pPr>
              <w:widowControl w:val="0"/>
              <w:adjustRightInd/>
              <w:snapToGrid/>
              <w:spacing w:after="0"/>
              <w:jc w:val="center"/>
              <w:rPr>
                <w:rFonts w:ascii="等线" w:hAnsi="等线" w:eastAsia="等线" w:cs="Times New Roman"/>
                <w:bCs/>
                <w:kern w:val="2"/>
                <w:sz w:val="21"/>
                <w:szCs w:val="21"/>
              </w:rPr>
            </w:pPr>
            <w:r>
              <w:rPr>
                <w:rFonts w:ascii="等线" w:hAnsi="等线" w:eastAsia="等线" w:cs="Times New Roman"/>
                <w:bCs/>
                <w:kern w:val="2"/>
                <w:sz w:val="21"/>
                <w:szCs w:val="21"/>
              </w:rPr>
              <w:t>2</w:t>
            </w:r>
          </w:p>
        </w:tc>
        <w:tc>
          <w:tcPr>
            <w:tcW w:w="1850" w:type="dxa"/>
            <w:vAlign w:val="center"/>
          </w:tcPr>
          <w:p w14:paraId="2EC0C655">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24" w:type="dxa"/>
            <w:tcMar>
              <w:left w:w="28" w:type="dxa"/>
              <w:right w:w="28" w:type="dxa"/>
            </w:tcMar>
            <w:vAlign w:val="center"/>
          </w:tcPr>
          <w:p w14:paraId="71E74C6B">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设计性</w:t>
            </w:r>
          </w:p>
        </w:tc>
        <w:tc>
          <w:tcPr>
            <w:tcW w:w="385" w:type="dxa"/>
            <w:tcMar>
              <w:left w:w="28" w:type="dxa"/>
              <w:right w:w="28" w:type="dxa"/>
            </w:tcMar>
            <w:vAlign w:val="center"/>
          </w:tcPr>
          <w:p w14:paraId="05F0E1EC">
            <w:pPr>
              <w:widowControl w:val="0"/>
              <w:adjustRightInd/>
              <w:snapToGrid/>
              <w:spacing w:after="0"/>
              <w:jc w:val="center"/>
              <w:rPr>
                <w:rFonts w:ascii="等线" w:hAnsi="等线" w:eastAsia="等线" w:cs="Times New Roman"/>
                <w:bCs/>
                <w:kern w:val="2"/>
                <w:sz w:val="21"/>
                <w:szCs w:val="21"/>
              </w:rPr>
            </w:pPr>
          </w:p>
        </w:tc>
      </w:tr>
      <w:tr w14:paraId="5E2B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403" w:type="dxa"/>
            <w:vAlign w:val="center"/>
          </w:tcPr>
          <w:p w14:paraId="6A480201">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2</w:t>
            </w:r>
          </w:p>
        </w:tc>
        <w:tc>
          <w:tcPr>
            <w:tcW w:w="1292" w:type="dxa"/>
            <w:vAlign w:val="center"/>
          </w:tcPr>
          <w:p w14:paraId="5F28315B">
            <w:pPr>
              <w:widowControl w:val="0"/>
              <w:adjustRightInd/>
              <w:snapToGrid/>
              <w:spacing w:after="0" w:line="240" w:lineRule="atLeast"/>
              <w:jc w:val="both"/>
              <w:rPr>
                <w:rFonts w:ascii="等线" w:hAnsi="等线" w:eastAsia="等线" w:cs="宋体"/>
                <w:sz w:val="21"/>
                <w:szCs w:val="21"/>
              </w:rPr>
            </w:pPr>
            <w:r>
              <w:rPr>
                <w:rFonts w:hint="eastAsia" w:ascii="等线" w:hAnsi="等线" w:eastAsia="等线" w:cs="宋体"/>
                <w:sz w:val="21"/>
                <w:szCs w:val="21"/>
                <w:lang w:eastAsia="zh-CN"/>
              </w:rPr>
              <w:t>图像</w:t>
            </w:r>
            <w:r>
              <w:rPr>
                <w:rFonts w:hint="eastAsia" w:ascii="等线" w:hAnsi="等线" w:eastAsia="等线" w:cs="宋体"/>
                <w:sz w:val="21"/>
                <w:szCs w:val="21"/>
              </w:rPr>
              <w:t>设计与制作</w:t>
            </w:r>
          </w:p>
        </w:tc>
        <w:tc>
          <w:tcPr>
            <w:tcW w:w="3444" w:type="dxa"/>
            <w:vAlign w:val="center"/>
          </w:tcPr>
          <w:p w14:paraId="595E1FBF">
            <w:pPr>
              <w:widowControl w:val="0"/>
              <w:adjustRightInd/>
              <w:snapToGrid/>
              <w:spacing w:after="0" w:line="240" w:lineRule="atLeast"/>
              <w:ind w:firstLine="420" w:firstLineChars="200"/>
              <w:jc w:val="both"/>
              <w:rPr>
                <w:rFonts w:ascii="等线" w:hAnsi="等线" w:eastAsia="等线" w:cs="Times New Roman"/>
                <w:kern w:val="2"/>
                <w:sz w:val="21"/>
                <w:szCs w:val="21"/>
              </w:rPr>
            </w:pPr>
            <w:r>
              <w:rPr>
                <w:rFonts w:hint="eastAsia" w:ascii="等线" w:hAnsi="等线" w:eastAsia="等线" w:cs="Times New Roman"/>
                <w:bCs/>
                <w:kern w:val="2"/>
                <w:sz w:val="21"/>
                <w:szCs w:val="21"/>
              </w:rPr>
              <w:t>实践</w:t>
            </w:r>
            <w:r>
              <w:rPr>
                <w:rFonts w:ascii="等线" w:hAnsi="等线" w:eastAsia="等线" w:cs="Times New Roman"/>
                <w:bCs/>
                <w:kern w:val="2"/>
                <w:sz w:val="21"/>
                <w:szCs w:val="21"/>
              </w:rPr>
              <w:t>内容</w:t>
            </w:r>
            <w:r>
              <w:rPr>
                <w:rFonts w:hint="eastAsia" w:ascii="等线" w:hAnsi="等线" w:eastAsia="等线" w:cs="Times New Roman"/>
                <w:bCs/>
                <w:kern w:val="2"/>
                <w:sz w:val="21"/>
                <w:szCs w:val="21"/>
              </w:rPr>
              <w:t>：</w:t>
            </w:r>
            <w:r>
              <w:rPr>
                <w:rFonts w:hint="eastAsia" w:ascii="等线" w:hAnsi="等线" w:eastAsia="等线" w:cs="Times New Roman"/>
                <w:kern w:val="2"/>
                <w:sz w:val="21"/>
                <w:szCs w:val="21"/>
              </w:rPr>
              <w:t>利用Photoshop软件合成并处理教育资源相关图像</w:t>
            </w:r>
          </w:p>
          <w:p w14:paraId="4060D892">
            <w:pPr>
              <w:widowControl w:val="0"/>
              <w:adjustRightInd/>
              <w:snapToGrid/>
              <w:spacing w:after="0" w:line="240" w:lineRule="atLeast"/>
              <w:ind w:firstLine="420" w:firstLineChars="200"/>
              <w:jc w:val="both"/>
              <w:rPr>
                <w:rFonts w:ascii="等线" w:hAnsi="等线" w:eastAsia="等线" w:cs="宋体"/>
                <w:sz w:val="21"/>
                <w:szCs w:val="21"/>
              </w:rPr>
            </w:pPr>
            <w:r>
              <w:rPr>
                <w:rFonts w:hint="eastAsia" w:ascii="等线" w:hAnsi="等线" w:eastAsia="等线" w:cs="Times New Roman"/>
                <w:bCs/>
                <w:kern w:val="2"/>
                <w:sz w:val="21"/>
                <w:szCs w:val="21"/>
              </w:rPr>
              <w:t>实践要求：</w:t>
            </w:r>
            <w:r>
              <w:rPr>
                <w:rFonts w:hint="eastAsia" w:ascii="等线" w:hAnsi="等线" w:eastAsia="等线" w:cs="Times New Roman"/>
                <w:kern w:val="2"/>
                <w:sz w:val="21"/>
                <w:szCs w:val="21"/>
              </w:rPr>
              <w:t>提交一个</w:t>
            </w:r>
            <w:r>
              <w:rPr>
                <w:rFonts w:hint="eastAsia" w:ascii="等线" w:hAnsi="等线" w:eastAsia="等线" w:cs="Times New Roman"/>
                <w:kern w:val="2"/>
                <w:sz w:val="21"/>
                <w:szCs w:val="21"/>
                <w:lang w:val="en-US" w:eastAsia="zh-CN"/>
              </w:rPr>
              <w:t>PSD或</w:t>
            </w:r>
            <w:r>
              <w:rPr>
                <w:rFonts w:hint="eastAsia" w:ascii="等线" w:hAnsi="等线" w:eastAsia="等线" w:cs="Times New Roman"/>
                <w:kern w:val="2"/>
                <w:sz w:val="21"/>
                <w:szCs w:val="21"/>
              </w:rPr>
              <w:t>JPG格式作品</w:t>
            </w:r>
            <w:r>
              <w:rPr>
                <w:rFonts w:ascii="等线" w:hAnsi="等线" w:eastAsia="等线" w:cs="宋体"/>
                <w:sz w:val="21"/>
                <w:szCs w:val="21"/>
              </w:rPr>
              <w:t>。</w:t>
            </w:r>
          </w:p>
        </w:tc>
        <w:tc>
          <w:tcPr>
            <w:tcW w:w="431" w:type="dxa"/>
            <w:vAlign w:val="center"/>
          </w:tcPr>
          <w:p w14:paraId="78CC4BB9">
            <w:pPr>
              <w:widowControl w:val="0"/>
              <w:adjustRightInd/>
              <w:snapToGrid/>
              <w:spacing w:after="0"/>
              <w:jc w:val="center"/>
              <w:rPr>
                <w:rFonts w:ascii="等线" w:hAnsi="等线" w:eastAsia="等线" w:cs="Times New Roman"/>
                <w:bCs/>
                <w:kern w:val="2"/>
                <w:sz w:val="21"/>
                <w:szCs w:val="21"/>
              </w:rPr>
            </w:pPr>
            <w:r>
              <w:rPr>
                <w:rFonts w:ascii="等线" w:hAnsi="等线" w:eastAsia="等线" w:cs="Times New Roman"/>
                <w:bCs/>
                <w:kern w:val="2"/>
                <w:sz w:val="21"/>
                <w:szCs w:val="21"/>
              </w:rPr>
              <w:t>4</w:t>
            </w:r>
          </w:p>
        </w:tc>
        <w:tc>
          <w:tcPr>
            <w:tcW w:w="1850" w:type="dxa"/>
            <w:vAlign w:val="center"/>
          </w:tcPr>
          <w:p w14:paraId="13D23760">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24" w:type="dxa"/>
            <w:tcMar>
              <w:left w:w="28" w:type="dxa"/>
              <w:right w:w="28" w:type="dxa"/>
            </w:tcMar>
            <w:vAlign w:val="center"/>
          </w:tcPr>
          <w:p w14:paraId="09B45EA6">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设计性</w:t>
            </w:r>
          </w:p>
        </w:tc>
        <w:tc>
          <w:tcPr>
            <w:tcW w:w="385" w:type="dxa"/>
            <w:tcMar>
              <w:left w:w="28" w:type="dxa"/>
              <w:right w:w="28" w:type="dxa"/>
            </w:tcMar>
            <w:vAlign w:val="center"/>
          </w:tcPr>
          <w:p w14:paraId="625BB069">
            <w:pPr>
              <w:widowControl w:val="0"/>
              <w:adjustRightInd/>
              <w:snapToGrid/>
              <w:spacing w:after="0"/>
              <w:jc w:val="center"/>
              <w:rPr>
                <w:rFonts w:ascii="等线" w:hAnsi="等线" w:eastAsia="等线" w:cs="Times New Roman"/>
                <w:bCs/>
                <w:kern w:val="2"/>
                <w:sz w:val="21"/>
                <w:szCs w:val="21"/>
              </w:rPr>
            </w:pPr>
          </w:p>
        </w:tc>
      </w:tr>
      <w:tr w14:paraId="642A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03" w:type="dxa"/>
            <w:vAlign w:val="center"/>
          </w:tcPr>
          <w:p w14:paraId="5D1255C0">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3</w:t>
            </w:r>
          </w:p>
        </w:tc>
        <w:tc>
          <w:tcPr>
            <w:tcW w:w="1292" w:type="dxa"/>
            <w:vAlign w:val="center"/>
          </w:tcPr>
          <w:p w14:paraId="41A3743B">
            <w:pPr>
              <w:widowControl w:val="0"/>
              <w:adjustRightInd/>
              <w:snapToGrid/>
              <w:spacing w:after="0" w:line="240" w:lineRule="atLeast"/>
              <w:jc w:val="both"/>
              <w:rPr>
                <w:rFonts w:ascii="等线" w:hAnsi="等线" w:eastAsia="等线" w:cs="宋体"/>
                <w:sz w:val="21"/>
                <w:szCs w:val="21"/>
              </w:rPr>
            </w:pPr>
            <w:r>
              <w:rPr>
                <w:rFonts w:hint="eastAsia" w:ascii="等线" w:hAnsi="等线" w:eastAsia="等线" w:cs="宋体"/>
                <w:sz w:val="21"/>
                <w:szCs w:val="21"/>
                <w:lang w:eastAsia="zh-CN"/>
              </w:rPr>
              <w:t>音频设计与</w:t>
            </w:r>
            <w:r>
              <w:rPr>
                <w:rFonts w:hint="eastAsia" w:ascii="等线" w:hAnsi="等线" w:eastAsia="等线" w:cs="宋体"/>
                <w:sz w:val="21"/>
                <w:szCs w:val="21"/>
              </w:rPr>
              <w:t>制作</w:t>
            </w:r>
          </w:p>
        </w:tc>
        <w:tc>
          <w:tcPr>
            <w:tcW w:w="3444" w:type="dxa"/>
            <w:vAlign w:val="center"/>
          </w:tcPr>
          <w:p w14:paraId="7F05EC93">
            <w:pPr>
              <w:widowControl w:val="0"/>
              <w:adjustRightInd/>
              <w:snapToGrid/>
              <w:spacing w:after="0" w:line="240" w:lineRule="atLeast"/>
              <w:ind w:firstLine="420" w:firstLineChars="200"/>
              <w:jc w:val="both"/>
              <w:rPr>
                <w:rFonts w:ascii="等线" w:hAnsi="等线" w:eastAsia="等线" w:cs="Times New Roman"/>
                <w:kern w:val="2"/>
                <w:sz w:val="21"/>
                <w:szCs w:val="21"/>
              </w:rPr>
            </w:pPr>
            <w:r>
              <w:rPr>
                <w:rFonts w:hint="eastAsia" w:ascii="等线" w:hAnsi="等线" w:eastAsia="等线" w:cs="Times New Roman"/>
                <w:bCs/>
                <w:kern w:val="2"/>
                <w:sz w:val="21"/>
                <w:szCs w:val="21"/>
              </w:rPr>
              <w:t>实践</w:t>
            </w:r>
            <w:r>
              <w:rPr>
                <w:rFonts w:ascii="等线" w:hAnsi="等线" w:eastAsia="等线" w:cs="Times New Roman"/>
                <w:bCs/>
                <w:kern w:val="2"/>
                <w:sz w:val="21"/>
                <w:szCs w:val="21"/>
              </w:rPr>
              <w:t>内容</w:t>
            </w:r>
            <w:r>
              <w:rPr>
                <w:rFonts w:hint="eastAsia" w:ascii="等线" w:hAnsi="等线" w:eastAsia="等线" w:cs="Times New Roman"/>
                <w:bCs/>
                <w:kern w:val="2"/>
                <w:sz w:val="21"/>
                <w:szCs w:val="21"/>
              </w:rPr>
              <w:t>：</w:t>
            </w:r>
            <w:r>
              <w:rPr>
                <w:rFonts w:hint="eastAsia" w:ascii="等线" w:hAnsi="等线" w:eastAsia="等线" w:cs="Times New Roman"/>
                <w:kern w:val="2"/>
                <w:sz w:val="21"/>
                <w:szCs w:val="21"/>
              </w:rPr>
              <w:t>利用</w:t>
            </w:r>
            <w:r>
              <w:rPr>
                <w:rFonts w:hint="eastAsia" w:ascii="等线" w:hAnsi="等线" w:eastAsia="等线" w:cs="Times New Roman"/>
                <w:kern w:val="2"/>
                <w:sz w:val="21"/>
                <w:szCs w:val="21"/>
                <w:lang w:eastAsia="zh-CN"/>
              </w:rPr>
              <w:t>相关</w:t>
            </w:r>
            <w:r>
              <w:rPr>
                <w:rFonts w:hint="eastAsia" w:ascii="等线" w:hAnsi="等线" w:eastAsia="等线" w:cs="Times New Roman"/>
                <w:kern w:val="2"/>
                <w:sz w:val="21"/>
                <w:szCs w:val="21"/>
              </w:rPr>
              <w:t>软件合成并处理</w:t>
            </w:r>
            <w:r>
              <w:rPr>
                <w:rFonts w:hint="eastAsia" w:ascii="等线" w:hAnsi="等线" w:eastAsia="等线" w:cs="Times New Roman"/>
                <w:kern w:val="2"/>
                <w:sz w:val="21"/>
                <w:szCs w:val="21"/>
                <w:lang w:eastAsia="zh-CN"/>
              </w:rPr>
              <w:t>音频资料</w:t>
            </w:r>
            <w:r>
              <w:rPr>
                <w:rFonts w:hint="eastAsia" w:ascii="等线" w:hAnsi="等线" w:eastAsia="等线" w:cs="Times New Roman"/>
                <w:kern w:val="2"/>
                <w:sz w:val="21"/>
                <w:szCs w:val="21"/>
              </w:rPr>
              <w:t>。</w:t>
            </w:r>
          </w:p>
          <w:p w14:paraId="135C11F3">
            <w:pPr>
              <w:widowControl w:val="0"/>
              <w:adjustRightInd/>
              <w:snapToGrid/>
              <w:spacing w:after="0" w:line="240" w:lineRule="atLeast"/>
              <w:ind w:firstLine="420" w:firstLineChars="200"/>
              <w:jc w:val="both"/>
              <w:rPr>
                <w:rFonts w:ascii="等线" w:hAnsi="等线" w:eastAsia="等线" w:cs="宋体"/>
                <w:sz w:val="21"/>
                <w:szCs w:val="21"/>
              </w:rPr>
            </w:pPr>
            <w:r>
              <w:rPr>
                <w:rFonts w:hint="eastAsia" w:ascii="等线" w:hAnsi="等线" w:eastAsia="等线" w:cs="Times New Roman"/>
                <w:bCs/>
                <w:kern w:val="2"/>
                <w:sz w:val="21"/>
                <w:szCs w:val="21"/>
              </w:rPr>
              <w:t>实践要求：</w:t>
            </w:r>
            <w:r>
              <w:rPr>
                <w:rFonts w:hint="eastAsia" w:ascii="等线" w:hAnsi="等线" w:eastAsia="等线" w:cs="Times New Roman"/>
                <w:kern w:val="2"/>
                <w:sz w:val="21"/>
                <w:szCs w:val="21"/>
              </w:rPr>
              <w:t>提交一个</w:t>
            </w:r>
            <w:r>
              <w:rPr>
                <w:rFonts w:hint="eastAsia" w:ascii="等线" w:hAnsi="等线" w:eastAsia="等线" w:cs="Times New Roman"/>
                <w:kern w:val="2"/>
                <w:sz w:val="21"/>
                <w:szCs w:val="21"/>
                <w:lang w:val="en-US" w:eastAsia="zh-CN"/>
              </w:rPr>
              <w:t>MP3格式的作品</w:t>
            </w:r>
            <w:r>
              <w:rPr>
                <w:rFonts w:ascii="等线" w:hAnsi="等线" w:eastAsia="等线" w:cs="宋体"/>
                <w:sz w:val="21"/>
                <w:szCs w:val="21"/>
              </w:rPr>
              <w:t>。</w:t>
            </w:r>
          </w:p>
        </w:tc>
        <w:tc>
          <w:tcPr>
            <w:tcW w:w="431" w:type="dxa"/>
            <w:vAlign w:val="center"/>
          </w:tcPr>
          <w:p w14:paraId="3C5BABD9">
            <w:pPr>
              <w:widowControl w:val="0"/>
              <w:adjustRightInd/>
              <w:snapToGrid/>
              <w:spacing w:after="0"/>
              <w:jc w:val="center"/>
              <w:rPr>
                <w:rFonts w:ascii="等线" w:hAnsi="等线" w:eastAsia="等线" w:cs="Times New Roman"/>
                <w:bCs/>
                <w:kern w:val="2"/>
                <w:sz w:val="21"/>
                <w:szCs w:val="21"/>
              </w:rPr>
            </w:pPr>
            <w:r>
              <w:rPr>
                <w:rFonts w:ascii="等线" w:hAnsi="等线" w:eastAsia="等线" w:cs="Times New Roman"/>
                <w:bCs/>
                <w:kern w:val="2"/>
                <w:sz w:val="21"/>
                <w:szCs w:val="21"/>
              </w:rPr>
              <w:t>2</w:t>
            </w:r>
          </w:p>
        </w:tc>
        <w:tc>
          <w:tcPr>
            <w:tcW w:w="1850" w:type="dxa"/>
            <w:vAlign w:val="center"/>
          </w:tcPr>
          <w:p w14:paraId="7E618C0E">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24" w:type="dxa"/>
            <w:tcMar>
              <w:left w:w="28" w:type="dxa"/>
              <w:right w:w="28" w:type="dxa"/>
            </w:tcMar>
            <w:vAlign w:val="center"/>
          </w:tcPr>
          <w:p w14:paraId="1E46E406">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设计性</w:t>
            </w:r>
          </w:p>
        </w:tc>
        <w:tc>
          <w:tcPr>
            <w:tcW w:w="385" w:type="dxa"/>
            <w:tcMar>
              <w:left w:w="28" w:type="dxa"/>
              <w:right w:w="28" w:type="dxa"/>
            </w:tcMar>
            <w:vAlign w:val="center"/>
          </w:tcPr>
          <w:p w14:paraId="6D218601">
            <w:pPr>
              <w:widowControl w:val="0"/>
              <w:adjustRightInd/>
              <w:snapToGrid/>
              <w:spacing w:after="0"/>
              <w:jc w:val="center"/>
              <w:rPr>
                <w:rFonts w:ascii="等线" w:hAnsi="等线" w:eastAsia="等线" w:cs="Times New Roman"/>
                <w:bCs/>
                <w:kern w:val="2"/>
                <w:sz w:val="21"/>
                <w:szCs w:val="21"/>
              </w:rPr>
            </w:pPr>
          </w:p>
        </w:tc>
      </w:tr>
      <w:tr w14:paraId="64D5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403" w:type="dxa"/>
            <w:vAlign w:val="center"/>
          </w:tcPr>
          <w:p w14:paraId="74759469">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4</w:t>
            </w:r>
          </w:p>
        </w:tc>
        <w:tc>
          <w:tcPr>
            <w:tcW w:w="1292" w:type="dxa"/>
            <w:vAlign w:val="center"/>
          </w:tcPr>
          <w:p w14:paraId="757D1067">
            <w:pPr>
              <w:widowControl w:val="0"/>
              <w:adjustRightInd/>
              <w:snapToGrid/>
              <w:spacing w:after="0" w:line="240" w:lineRule="atLeast"/>
              <w:jc w:val="both"/>
              <w:rPr>
                <w:rFonts w:hint="eastAsia" w:ascii="等线" w:hAnsi="等线" w:eastAsia="等线" w:cs="宋体"/>
                <w:sz w:val="21"/>
                <w:szCs w:val="21"/>
                <w:lang w:eastAsia="zh-CN"/>
              </w:rPr>
            </w:pPr>
            <w:r>
              <w:rPr>
                <w:rFonts w:hint="eastAsia" w:ascii="等线" w:hAnsi="等线" w:eastAsia="等线" w:cs="Times New Roman"/>
                <w:kern w:val="2"/>
                <w:sz w:val="21"/>
                <w:szCs w:val="21"/>
                <w:lang w:eastAsia="zh-CN"/>
              </w:rPr>
              <w:t>图形设计与制作</w:t>
            </w:r>
          </w:p>
        </w:tc>
        <w:tc>
          <w:tcPr>
            <w:tcW w:w="3444" w:type="dxa"/>
            <w:vAlign w:val="center"/>
          </w:tcPr>
          <w:p w14:paraId="7FE5931A">
            <w:pPr>
              <w:widowControl w:val="0"/>
              <w:adjustRightInd/>
              <w:snapToGrid/>
              <w:spacing w:after="0" w:line="240" w:lineRule="atLeast"/>
              <w:ind w:firstLine="420" w:firstLineChars="200"/>
              <w:jc w:val="both"/>
              <w:rPr>
                <w:rFonts w:ascii="等线" w:hAnsi="等线" w:eastAsia="等线" w:cs="Times New Roman"/>
                <w:kern w:val="2"/>
                <w:sz w:val="21"/>
                <w:szCs w:val="21"/>
              </w:rPr>
            </w:pPr>
            <w:r>
              <w:rPr>
                <w:rFonts w:hint="eastAsia" w:ascii="等线" w:hAnsi="等线" w:eastAsia="等线" w:cs="Times New Roman"/>
                <w:bCs/>
                <w:kern w:val="2"/>
                <w:sz w:val="21"/>
                <w:szCs w:val="21"/>
              </w:rPr>
              <w:t>实践</w:t>
            </w:r>
            <w:r>
              <w:rPr>
                <w:rFonts w:ascii="等线" w:hAnsi="等线" w:eastAsia="等线" w:cs="Times New Roman"/>
                <w:bCs/>
                <w:kern w:val="2"/>
                <w:sz w:val="21"/>
                <w:szCs w:val="21"/>
              </w:rPr>
              <w:t>内容</w:t>
            </w:r>
            <w:r>
              <w:rPr>
                <w:rFonts w:hint="eastAsia" w:ascii="等线" w:hAnsi="等线" w:eastAsia="等线" w:cs="Times New Roman"/>
                <w:bCs/>
                <w:kern w:val="2"/>
                <w:sz w:val="21"/>
                <w:szCs w:val="21"/>
              </w:rPr>
              <w:t>：</w:t>
            </w:r>
            <w:r>
              <w:rPr>
                <w:rFonts w:hint="eastAsia" w:ascii="等线" w:hAnsi="等线" w:eastAsia="等线" w:cs="Times New Roman"/>
                <w:kern w:val="2"/>
                <w:sz w:val="21"/>
                <w:szCs w:val="21"/>
              </w:rPr>
              <w:t>利用CorelDRAW软件</w:t>
            </w:r>
            <w:r>
              <w:rPr>
                <w:rFonts w:hint="eastAsia" w:ascii="等线" w:hAnsi="等线" w:eastAsia="等线" w:cs="Times New Roman"/>
                <w:kern w:val="2"/>
                <w:sz w:val="21"/>
                <w:szCs w:val="21"/>
                <w:lang w:eastAsia="zh-CN"/>
              </w:rPr>
              <w:t>设计相关图形</w:t>
            </w:r>
            <w:r>
              <w:rPr>
                <w:rFonts w:hint="eastAsia" w:ascii="等线" w:hAnsi="等线" w:eastAsia="等线" w:cs="Times New Roman"/>
                <w:kern w:val="2"/>
                <w:sz w:val="21"/>
                <w:szCs w:val="21"/>
              </w:rPr>
              <w:t>。</w:t>
            </w:r>
          </w:p>
          <w:p w14:paraId="4C59C994">
            <w:pPr>
              <w:widowControl w:val="0"/>
              <w:adjustRightInd/>
              <w:snapToGrid/>
              <w:spacing w:after="0" w:line="240" w:lineRule="atLeast"/>
              <w:ind w:firstLine="420" w:firstLineChars="200"/>
              <w:jc w:val="both"/>
              <w:rPr>
                <w:rFonts w:ascii="等线" w:hAnsi="等线" w:eastAsia="等线" w:cs="宋体"/>
                <w:sz w:val="21"/>
                <w:szCs w:val="21"/>
              </w:rPr>
            </w:pPr>
            <w:r>
              <w:rPr>
                <w:rFonts w:hint="eastAsia" w:ascii="等线" w:hAnsi="等线" w:eastAsia="等线" w:cs="Times New Roman"/>
                <w:bCs/>
                <w:kern w:val="2"/>
                <w:sz w:val="21"/>
                <w:szCs w:val="21"/>
              </w:rPr>
              <w:t>实践要求：</w:t>
            </w:r>
            <w:r>
              <w:rPr>
                <w:rFonts w:hint="eastAsia" w:ascii="等线" w:hAnsi="等线" w:eastAsia="等线" w:cs="Times New Roman"/>
                <w:kern w:val="2"/>
                <w:sz w:val="21"/>
                <w:szCs w:val="21"/>
              </w:rPr>
              <w:t>提交</w:t>
            </w:r>
            <w:r>
              <w:rPr>
                <w:rFonts w:hint="eastAsia" w:ascii="等线" w:hAnsi="等线" w:eastAsia="等线" w:cs="Times New Roman"/>
                <w:kern w:val="2"/>
                <w:sz w:val="21"/>
                <w:szCs w:val="21"/>
                <w:lang w:eastAsia="zh-CN"/>
              </w:rPr>
              <w:t>一个</w:t>
            </w:r>
            <w:r>
              <w:rPr>
                <w:rFonts w:hint="eastAsia" w:ascii="等线" w:hAnsi="等线" w:eastAsia="等线" w:cs="Times New Roman"/>
                <w:kern w:val="2"/>
                <w:sz w:val="21"/>
                <w:szCs w:val="21"/>
                <w:lang w:val="en-US" w:eastAsia="zh-CN"/>
              </w:rPr>
              <w:t>CDR格式的作品</w:t>
            </w:r>
            <w:r>
              <w:rPr>
                <w:rFonts w:hint="eastAsia" w:ascii="等线" w:hAnsi="等线" w:eastAsia="等线" w:cs="Times New Roman"/>
                <w:kern w:val="2"/>
                <w:sz w:val="21"/>
                <w:szCs w:val="21"/>
              </w:rPr>
              <w:t>。</w:t>
            </w:r>
          </w:p>
        </w:tc>
        <w:tc>
          <w:tcPr>
            <w:tcW w:w="431" w:type="dxa"/>
            <w:vAlign w:val="center"/>
          </w:tcPr>
          <w:p w14:paraId="535B2455">
            <w:pPr>
              <w:widowControl w:val="0"/>
              <w:adjustRightInd/>
              <w:snapToGrid/>
              <w:spacing w:after="0"/>
              <w:jc w:val="center"/>
              <w:rPr>
                <w:rFonts w:hint="eastAsia" w:ascii="等线" w:hAnsi="等线" w:eastAsia="等线" w:cs="Times New Roman"/>
                <w:bCs/>
                <w:kern w:val="2"/>
                <w:sz w:val="21"/>
                <w:szCs w:val="21"/>
                <w:lang w:eastAsia="zh-CN"/>
              </w:rPr>
            </w:pPr>
            <w:r>
              <w:rPr>
                <w:rFonts w:hint="eastAsia" w:ascii="等线" w:hAnsi="等线" w:eastAsia="等线" w:cs="Times New Roman"/>
                <w:bCs/>
                <w:kern w:val="2"/>
                <w:sz w:val="21"/>
                <w:szCs w:val="21"/>
                <w:lang w:val="en-US" w:eastAsia="zh-CN"/>
              </w:rPr>
              <w:t>4</w:t>
            </w:r>
          </w:p>
        </w:tc>
        <w:tc>
          <w:tcPr>
            <w:tcW w:w="1850" w:type="dxa"/>
            <w:vAlign w:val="center"/>
          </w:tcPr>
          <w:p w14:paraId="027881B2">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24" w:type="dxa"/>
            <w:tcMar>
              <w:left w:w="28" w:type="dxa"/>
              <w:right w:w="28" w:type="dxa"/>
            </w:tcMar>
            <w:vAlign w:val="center"/>
          </w:tcPr>
          <w:p w14:paraId="41BF7C09">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设计性</w:t>
            </w:r>
          </w:p>
        </w:tc>
        <w:tc>
          <w:tcPr>
            <w:tcW w:w="385" w:type="dxa"/>
            <w:tcMar>
              <w:left w:w="28" w:type="dxa"/>
              <w:right w:w="28" w:type="dxa"/>
            </w:tcMar>
            <w:vAlign w:val="center"/>
          </w:tcPr>
          <w:p w14:paraId="1FECFF26">
            <w:pPr>
              <w:widowControl w:val="0"/>
              <w:adjustRightInd/>
              <w:snapToGrid/>
              <w:spacing w:after="0"/>
              <w:jc w:val="center"/>
              <w:rPr>
                <w:rFonts w:ascii="等线" w:hAnsi="等线" w:eastAsia="等线" w:cs="Times New Roman"/>
                <w:bCs/>
                <w:kern w:val="2"/>
                <w:sz w:val="21"/>
                <w:szCs w:val="21"/>
              </w:rPr>
            </w:pPr>
          </w:p>
        </w:tc>
      </w:tr>
      <w:tr w14:paraId="2E83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403" w:type="dxa"/>
            <w:vAlign w:val="center"/>
          </w:tcPr>
          <w:p w14:paraId="4D337789">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5</w:t>
            </w:r>
          </w:p>
        </w:tc>
        <w:tc>
          <w:tcPr>
            <w:tcW w:w="1292" w:type="dxa"/>
            <w:vAlign w:val="center"/>
          </w:tcPr>
          <w:p w14:paraId="045FEC79">
            <w:pPr>
              <w:widowControl w:val="0"/>
              <w:adjustRightInd/>
              <w:snapToGrid/>
              <w:spacing w:after="0" w:line="240" w:lineRule="atLeast"/>
              <w:jc w:val="both"/>
              <w:rPr>
                <w:rFonts w:ascii="等线" w:hAnsi="等线" w:eastAsia="等线" w:cs="宋体"/>
                <w:sz w:val="21"/>
                <w:szCs w:val="21"/>
              </w:rPr>
            </w:pPr>
            <w:r>
              <w:rPr>
                <w:rFonts w:hint="eastAsia" w:ascii="等线" w:hAnsi="等线" w:eastAsia="等线" w:cs="宋体"/>
                <w:sz w:val="21"/>
                <w:szCs w:val="21"/>
                <w:lang w:eastAsia="zh-CN"/>
              </w:rPr>
              <w:t>视频</w:t>
            </w:r>
            <w:r>
              <w:rPr>
                <w:rFonts w:hint="eastAsia" w:ascii="等线" w:hAnsi="等线" w:eastAsia="等线" w:cs="宋体"/>
                <w:sz w:val="21"/>
                <w:szCs w:val="21"/>
              </w:rPr>
              <w:t>设计与制作</w:t>
            </w:r>
          </w:p>
        </w:tc>
        <w:tc>
          <w:tcPr>
            <w:tcW w:w="3444" w:type="dxa"/>
            <w:vAlign w:val="center"/>
          </w:tcPr>
          <w:p w14:paraId="06141766">
            <w:pPr>
              <w:widowControl w:val="0"/>
              <w:adjustRightInd/>
              <w:snapToGrid/>
              <w:spacing w:after="0" w:line="240" w:lineRule="atLeast"/>
              <w:ind w:firstLine="420" w:firstLineChars="200"/>
              <w:jc w:val="both"/>
              <w:rPr>
                <w:rFonts w:ascii="等线" w:hAnsi="等线" w:eastAsia="等线" w:cs="Times New Roman"/>
                <w:kern w:val="2"/>
                <w:sz w:val="21"/>
                <w:szCs w:val="21"/>
              </w:rPr>
            </w:pPr>
            <w:r>
              <w:rPr>
                <w:rFonts w:hint="eastAsia" w:ascii="等线" w:hAnsi="等线" w:eastAsia="等线" w:cs="Times New Roman"/>
                <w:bCs/>
                <w:kern w:val="2"/>
                <w:sz w:val="21"/>
                <w:szCs w:val="21"/>
              </w:rPr>
              <w:t>实践</w:t>
            </w:r>
            <w:r>
              <w:rPr>
                <w:rFonts w:ascii="等线" w:hAnsi="等线" w:eastAsia="等线" w:cs="Times New Roman"/>
                <w:bCs/>
                <w:kern w:val="2"/>
                <w:sz w:val="21"/>
                <w:szCs w:val="21"/>
              </w:rPr>
              <w:t>内容</w:t>
            </w:r>
            <w:r>
              <w:rPr>
                <w:rFonts w:hint="eastAsia" w:ascii="等线" w:hAnsi="等线" w:eastAsia="等线" w:cs="Times New Roman"/>
                <w:bCs/>
                <w:kern w:val="2"/>
                <w:sz w:val="21"/>
                <w:szCs w:val="21"/>
              </w:rPr>
              <w:t>：</w:t>
            </w:r>
            <w:r>
              <w:rPr>
                <w:rFonts w:hint="eastAsia" w:ascii="等线" w:hAnsi="等线" w:eastAsia="等线" w:cs="Times New Roman"/>
                <w:kern w:val="2"/>
                <w:sz w:val="21"/>
                <w:szCs w:val="21"/>
                <w:lang w:eastAsia="zh-CN"/>
              </w:rPr>
              <w:t>结合前面所学图形、图像、音频相关知识设计制作一段视频</w:t>
            </w:r>
            <w:r>
              <w:rPr>
                <w:rFonts w:hint="eastAsia" w:ascii="等线" w:hAnsi="等线" w:eastAsia="等线" w:cs="Times New Roman"/>
                <w:kern w:val="2"/>
                <w:sz w:val="21"/>
                <w:szCs w:val="21"/>
              </w:rPr>
              <w:t>。</w:t>
            </w:r>
          </w:p>
          <w:p w14:paraId="25B51146">
            <w:pPr>
              <w:widowControl w:val="0"/>
              <w:adjustRightInd/>
              <w:snapToGrid/>
              <w:spacing w:after="0" w:line="240" w:lineRule="atLeast"/>
              <w:ind w:firstLine="315" w:firstLineChars="150"/>
              <w:jc w:val="both"/>
              <w:rPr>
                <w:rFonts w:ascii="等线" w:hAnsi="等线" w:eastAsia="等线" w:cs="宋体"/>
                <w:sz w:val="21"/>
                <w:szCs w:val="21"/>
              </w:rPr>
            </w:pPr>
            <w:r>
              <w:rPr>
                <w:rFonts w:hint="eastAsia" w:ascii="等线" w:hAnsi="等线" w:eastAsia="等线" w:cs="Times New Roman"/>
                <w:bCs/>
                <w:kern w:val="2"/>
                <w:sz w:val="21"/>
                <w:szCs w:val="21"/>
              </w:rPr>
              <w:t>实践要求：</w:t>
            </w:r>
            <w:r>
              <w:rPr>
                <w:rFonts w:ascii="等线" w:hAnsi="等线" w:eastAsia="等线" w:cs="Times New Roman"/>
                <w:bCs/>
                <w:kern w:val="2"/>
                <w:sz w:val="21"/>
                <w:szCs w:val="21"/>
              </w:rPr>
              <w:t>自选</w:t>
            </w:r>
            <w:r>
              <w:rPr>
                <w:rFonts w:hint="eastAsia" w:ascii="等线" w:hAnsi="等线" w:eastAsia="等线" w:cs="Times New Roman"/>
                <w:bCs/>
                <w:kern w:val="2"/>
                <w:sz w:val="21"/>
                <w:szCs w:val="21"/>
              </w:rPr>
              <w:t>内容，</w:t>
            </w:r>
            <w:r>
              <w:rPr>
                <w:rFonts w:hint="eastAsia" w:ascii="等线" w:hAnsi="等线" w:eastAsia="等线" w:cs="Times New Roman"/>
                <w:kern w:val="2"/>
                <w:sz w:val="21"/>
                <w:szCs w:val="21"/>
              </w:rPr>
              <w:t>提交一个</w:t>
            </w:r>
            <w:r>
              <w:rPr>
                <w:rFonts w:hint="eastAsia" w:ascii="等线" w:hAnsi="等线" w:eastAsia="等线" w:cs="Times New Roman"/>
                <w:kern w:val="2"/>
                <w:sz w:val="21"/>
                <w:szCs w:val="21"/>
                <w:lang w:val="en-US" w:eastAsia="zh-CN"/>
              </w:rPr>
              <w:t>MP4格式的</w:t>
            </w:r>
            <w:r>
              <w:rPr>
                <w:rFonts w:hint="eastAsia" w:ascii="等线" w:hAnsi="等线" w:eastAsia="等线" w:cs="Times New Roman"/>
                <w:kern w:val="2"/>
                <w:sz w:val="21"/>
                <w:szCs w:val="21"/>
              </w:rPr>
              <w:t>作品。</w:t>
            </w:r>
          </w:p>
        </w:tc>
        <w:tc>
          <w:tcPr>
            <w:tcW w:w="431" w:type="dxa"/>
            <w:vAlign w:val="center"/>
          </w:tcPr>
          <w:p w14:paraId="4B583924">
            <w:pPr>
              <w:widowControl w:val="0"/>
              <w:adjustRightInd/>
              <w:snapToGrid/>
              <w:spacing w:after="0"/>
              <w:jc w:val="center"/>
              <w:rPr>
                <w:rFonts w:hint="eastAsia" w:ascii="等线" w:hAnsi="等线" w:eastAsia="等线" w:cs="Times New Roman"/>
                <w:bCs/>
                <w:kern w:val="2"/>
                <w:sz w:val="21"/>
                <w:szCs w:val="21"/>
                <w:lang w:eastAsia="zh-CN"/>
              </w:rPr>
            </w:pPr>
            <w:r>
              <w:rPr>
                <w:rFonts w:hint="eastAsia" w:ascii="等线" w:hAnsi="等线" w:eastAsia="等线" w:cs="Times New Roman"/>
                <w:bCs/>
                <w:kern w:val="2"/>
                <w:sz w:val="21"/>
                <w:szCs w:val="21"/>
                <w:lang w:val="en-US" w:eastAsia="zh-CN"/>
              </w:rPr>
              <w:t>4</w:t>
            </w:r>
          </w:p>
        </w:tc>
        <w:tc>
          <w:tcPr>
            <w:tcW w:w="1850" w:type="dxa"/>
            <w:vAlign w:val="center"/>
          </w:tcPr>
          <w:p w14:paraId="1997D3B4">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c>
          <w:tcPr>
            <w:tcW w:w="724" w:type="dxa"/>
            <w:tcMar>
              <w:left w:w="28" w:type="dxa"/>
              <w:right w:w="28" w:type="dxa"/>
            </w:tcMar>
            <w:vAlign w:val="center"/>
          </w:tcPr>
          <w:p w14:paraId="5F128139">
            <w:pPr>
              <w:widowControl w:val="0"/>
              <w:adjustRightInd/>
              <w:snapToGrid/>
              <w:spacing w:after="0"/>
              <w:jc w:val="center"/>
              <w:rPr>
                <w:rFonts w:ascii="等线" w:hAnsi="等线" w:eastAsia="等线" w:cs="Times New Roman"/>
                <w:bCs/>
                <w:kern w:val="2"/>
                <w:sz w:val="21"/>
                <w:szCs w:val="21"/>
              </w:rPr>
            </w:pPr>
            <w:r>
              <w:rPr>
                <w:rFonts w:hint="eastAsia" w:ascii="等线" w:hAnsi="等线" w:eastAsia="等线" w:cs="Times New Roman"/>
                <w:bCs/>
                <w:kern w:val="2"/>
                <w:sz w:val="21"/>
                <w:szCs w:val="21"/>
              </w:rPr>
              <w:t>设计性</w:t>
            </w:r>
          </w:p>
        </w:tc>
        <w:tc>
          <w:tcPr>
            <w:tcW w:w="385" w:type="dxa"/>
            <w:tcMar>
              <w:left w:w="28" w:type="dxa"/>
              <w:right w:w="28" w:type="dxa"/>
            </w:tcMar>
            <w:vAlign w:val="center"/>
          </w:tcPr>
          <w:p w14:paraId="273190C1">
            <w:pPr>
              <w:widowControl w:val="0"/>
              <w:adjustRightInd/>
              <w:snapToGrid/>
              <w:spacing w:after="0"/>
              <w:jc w:val="center"/>
              <w:rPr>
                <w:rFonts w:ascii="等线" w:hAnsi="等线" w:eastAsia="等线" w:cs="Times New Roman"/>
                <w:bCs/>
                <w:kern w:val="2"/>
                <w:sz w:val="21"/>
                <w:szCs w:val="21"/>
              </w:rPr>
            </w:pPr>
          </w:p>
        </w:tc>
      </w:tr>
    </w:tbl>
    <w:p w14:paraId="6D50C600">
      <w:pPr>
        <w:spacing w:line="360" w:lineRule="auto"/>
        <w:rPr>
          <w:rFonts w:ascii="等线" w:hAnsi="等线" w:eastAsia="等线" w:cs="Times New Roman"/>
          <w:sz w:val="24"/>
          <w:szCs w:val="24"/>
        </w:rPr>
      </w:pPr>
    </w:p>
    <w:p w14:paraId="49E99E4F">
      <w:pPr>
        <w:spacing w:line="360" w:lineRule="auto"/>
        <w:outlineLvl w:val="0"/>
        <w:rPr>
          <w:rFonts w:ascii="等线" w:hAnsi="等线" w:eastAsia="等线" w:cs="Times New Roman"/>
          <w:b/>
          <w:sz w:val="28"/>
          <w:szCs w:val="28"/>
        </w:rPr>
      </w:pPr>
      <w:bookmarkStart w:id="792" w:name="_Toc27094"/>
      <w:bookmarkStart w:id="793" w:name="_Toc9296"/>
      <w:bookmarkStart w:id="794" w:name="_Toc3616"/>
      <w:bookmarkStart w:id="795" w:name="_Toc19624"/>
      <w:bookmarkStart w:id="796" w:name="_Toc877"/>
      <w:bookmarkStart w:id="797" w:name="_Toc31471"/>
      <w:bookmarkStart w:id="798" w:name="_Toc7994"/>
      <w:r>
        <w:rPr>
          <w:rFonts w:hint="eastAsia" w:ascii="等线" w:hAnsi="等线" w:eastAsia="等线" w:cs="Times New Roman"/>
          <w:b/>
          <w:sz w:val="28"/>
          <w:szCs w:val="28"/>
          <w:lang w:eastAsia="zh-CN"/>
        </w:rPr>
        <w:t>五</w:t>
      </w:r>
      <w:r>
        <w:rPr>
          <w:rFonts w:hint="eastAsia" w:ascii="等线" w:hAnsi="等线" w:eastAsia="等线" w:cs="Times New Roman"/>
          <w:b/>
          <w:sz w:val="28"/>
          <w:szCs w:val="28"/>
        </w:rPr>
        <w:t>、课程</w:t>
      </w:r>
      <w:r>
        <w:rPr>
          <w:rFonts w:ascii="等线" w:hAnsi="等线" w:eastAsia="等线" w:cs="Times New Roman"/>
          <w:b/>
          <w:sz w:val="28"/>
          <w:szCs w:val="28"/>
        </w:rPr>
        <w:t>考核</w:t>
      </w:r>
      <w:bookmarkEnd w:id="792"/>
      <w:bookmarkEnd w:id="793"/>
      <w:bookmarkEnd w:id="794"/>
      <w:bookmarkEnd w:id="795"/>
      <w:bookmarkEnd w:id="796"/>
      <w:bookmarkEnd w:id="797"/>
      <w:bookmarkEnd w:id="798"/>
    </w:p>
    <w:p w14:paraId="3E01276E">
      <w:pPr>
        <w:spacing w:line="360" w:lineRule="auto"/>
        <w:ind w:left="0" w:leftChars="0" w:firstLine="0" w:firstLineChars="0"/>
        <w:outlineLvl w:val="1"/>
        <w:rPr>
          <w:rFonts w:ascii="等线" w:hAnsi="等线" w:eastAsia="等线" w:cs="Times New Roman"/>
          <w:sz w:val="24"/>
          <w:szCs w:val="22"/>
        </w:rPr>
      </w:pPr>
      <w:bookmarkStart w:id="799" w:name="_Toc21323"/>
      <w:r>
        <w:rPr>
          <w:rFonts w:hint="eastAsia" w:ascii="等线" w:hAnsi="等线" w:eastAsia="等线" w:cs="Times New Roman"/>
          <w:sz w:val="24"/>
          <w:szCs w:val="22"/>
        </w:rPr>
        <w:t>（一）</w:t>
      </w:r>
      <w:r>
        <w:rPr>
          <w:rFonts w:ascii="等线" w:hAnsi="等线" w:eastAsia="等线" w:cs="Times New Roman"/>
          <w:sz w:val="24"/>
          <w:szCs w:val="22"/>
        </w:rPr>
        <w:t>课程考核包括平时及</w:t>
      </w:r>
      <w:r>
        <w:rPr>
          <w:rFonts w:hint="eastAsia" w:ascii="等线" w:hAnsi="等线" w:eastAsia="等线" w:cs="Times New Roman"/>
          <w:sz w:val="24"/>
          <w:szCs w:val="22"/>
        </w:rPr>
        <w:t>期末</w:t>
      </w:r>
      <w:r>
        <w:rPr>
          <w:rFonts w:ascii="等线" w:hAnsi="等线" w:eastAsia="等线" w:cs="Times New Roman"/>
          <w:sz w:val="24"/>
          <w:szCs w:val="22"/>
        </w:rPr>
        <w:t>作业考核和</w:t>
      </w:r>
      <w:r>
        <w:rPr>
          <w:rFonts w:hint="eastAsia" w:ascii="等线" w:hAnsi="等线" w:eastAsia="等线" w:cs="Times New Roman"/>
          <w:sz w:val="24"/>
          <w:szCs w:val="22"/>
        </w:rPr>
        <w:t>实践</w:t>
      </w:r>
      <w:r>
        <w:rPr>
          <w:rFonts w:ascii="等线" w:hAnsi="等线" w:eastAsia="等线" w:cs="Times New Roman"/>
          <w:sz w:val="24"/>
          <w:szCs w:val="22"/>
        </w:rPr>
        <w:t>考核</w:t>
      </w:r>
      <w:r>
        <w:rPr>
          <w:rFonts w:hint="eastAsia" w:ascii="等线" w:hAnsi="等线" w:eastAsia="等线" w:cs="Times New Roman"/>
          <w:sz w:val="24"/>
          <w:szCs w:val="22"/>
        </w:rPr>
        <w:t>等</w:t>
      </w:r>
      <w:r>
        <w:rPr>
          <w:rFonts w:ascii="等线" w:hAnsi="等线" w:eastAsia="等线" w:cs="Times New Roman"/>
          <w:sz w:val="24"/>
          <w:szCs w:val="22"/>
        </w:rPr>
        <w:t>。</w:t>
      </w:r>
      <w:bookmarkEnd w:id="799"/>
    </w:p>
    <w:p w14:paraId="33CF94B8">
      <w:pPr>
        <w:spacing w:line="360" w:lineRule="auto"/>
        <w:ind w:left="0" w:leftChars="0" w:firstLine="0" w:firstLineChars="0"/>
        <w:outlineLvl w:val="1"/>
        <w:rPr>
          <w:rFonts w:ascii="等线" w:hAnsi="等线" w:eastAsia="等线" w:cs="Times New Roman"/>
          <w:sz w:val="24"/>
          <w:szCs w:val="22"/>
        </w:rPr>
      </w:pPr>
      <w:bookmarkStart w:id="800" w:name="_Toc14459"/>
      <w:r>
        <w:rPr>
          <w:rFonts w:hint="eastAsia" w:ascii="等线" w:hAnsi="等线" w:eastAsia="等线" w:cs="Times New Roman"/>
          <w:sz w:val="24"/>
          <w:szCs w:val="22"/>
        </w:rPr>
        <w:t>（二）</w:t>
      </w:r>
      <w:r>
        <w:rPr>
          <w:rFonts w:ascii="等线" w:hAnsi="等线" w:eastAsia="等线" w:cs="Times New Roman"/>
          <w:sz w:val="24"/>
          <w:szCs w:val="22"/>
        </w:rPr>
        <w:t>课程</w:t>
      </w:r>
      <w:r>
        <w:rPr>
          <w:rFonts w:hint="eastAsia" w:ascii="等线" w:hAnsi="等线" w:eastAsia="等线" w:cs="Times New Roman"/>
          <w:sz w:val="24"/>
          <w:szCs w:val="22"/>
        </w:rPr>
        <w:t>总评</w:t>
      </w:r>
      <w:r>
        <w:rPr>
          <w:rFonts w:ascii="等线" w:hAnsi="等线" w:eastAsia="等线" w:cs="Times New Roman"/>
          <w:sz w:val="24"/>
          <w:szCs w:val="22"/>
        </w:rPr>
        <w:t>成绩=平时成绩×</w:t>
      </w:r>
      <w:r>
        <w:rPr>
          <w:rFonts w:hint="eastAsia" w:ascii="等线" w:hAnsi="等线" w:eastAsia="等线" w:cs="Times New Roman"/>
          <w:sz w:val="24"/>
          <w:szCs w:val="22"/>
          <w:lang w:val="en-US" w:eastAsia="zh-CN"/>
        </w:rPr>
        <w:t>5</w:t>
      </w:r>
      <w:r>
        <w:rPr>
          <w:rFonts w:hint="eastAsia" w:ascii="等线" w:hAnsi="等线" w:eastAsia="等线" w:cs="Times New Roman"/>
          <w:sz w:val="24"/>
          <w:szCs w:val="22"/>
        </w:rPr>
        <w:t>0</w:t>
      </w:r>
      <w:r>
        <w:rPr>
          <w:rFonts w:ascii="等线" w:hAnsi="等线" w:eastAsia="等线" w:cs="Times New Roman"/>
          <w:sz w:val="24"/>
          <w:szCs w:val="22"/>
        </w:rPr>
        <w:t>%+期末</w:t>
      </w:r>
      <w:r>
        <w:rPr>
          <w:rFonts w:hint="eastAsia" w:ascii="等线" w:hAnsi="等线" w:eastAsia="等线" w:cs="Times New Roman"/>
          <w:sz w:val="24"/>
          <w:szCs w:val="22"/>
          <w:lang w:eastAsia="zh-CN"/>
        </w:rPr>
        <w:t>考核</w:t>
      </w:r>
      <w:r>
        <w:rPr>
          <w:rFonts w:ascii="等线" w:hAnsi="等线" w:eastAsia="等线" w:cs="Times New Roman"/>
          <w:sz w:val="24"/>
          <w:szCs w:val="22"/>
        </w:rPr>
        <w:t>×</w:t>
      </w:r>
      <w:r>
        <w:rPr>
          <w:rFonts w:hint="eastAsia" w:ascii="等线" w:hAnsi="等线" w:eastAsia="等线" w:cs="Times New Roman"/>
          <w:sz w:val="24"/>
          <w:szCs w:val="22"/>
          <w:lang w:val="en-US" w:eastAsia="zh-CN"/>
        </w:rPr>
        <w:t>5</w:t>
      </w:r>
      <w:r>
        <w:rPr>
          <w:rFonts w:hint="eastAsia" w:ascii="等线" w:hAnsi="等线" w:eastAsia="等线" w:cs="Times New Roman"/>
          <w:sz w:val="24"/>
          <w:szCs w:val="22"/>
        </w:rPr>
        <w:t>0</w:t>
      </w:r>
      <w:r>
        <w:rPr>
          <w:rFonts w:ascii="等线" w:hAnsi="等线" w:eastAsia="等线" w:cs="Times New Roman"/>
          <w:sz w:val="24"/>
          <w:szCs w:val="22"/>
        </w:rPr>
        <w:t>%。</w:t>
      </w:r>
      <w:bookmarkEnd w:id="800"/>
    </w:p>
    <w:p w14:paraId="1D5C045C">
      <w:pPr>
        <w:spacing w:line="360" w:lineRule="auto"/>
        <w:ind w:firstLine="480" w:firstLineChars="200"/>
        <w:rPr>
          <w:rFonts w:ascii="等线" w:hAnsi="等线" w:eastAsia="等线" w:cs="Times New Roman"/>
          <w:sz w:val="24"/>
          <w:szCs w:val="22"/>
        </w:rPr>
      </w:pPr>
      <w:r>
        <w:rPr>
          <w:rFonts w:ascii="等线" w:hAnsi="等线" w:eastAsia="等线" w:cs="Times New Roman"/>
          <w:sz w:val="24"/>
          <w:szCs w:val="22"/>
        </w:rPr>
        <w:t>平时成绩=</w:t>
      </w:r>
      <w:r>
        <w:rPr>
          <w:rFonts w:hint="eastAsia" w:ascii="等线" w:hAnsi="等线" w:eastAsia="等线" w:cs="Times New Roman"/>
          <w:sz w:val="24"/>
          <w:szCs w:val="22"/>
        </w:rPr>
        <w:t>作业</w:t>
      </w:r>
      <w:r>
        <w:rPr>
          <w:rFonts w:hint="eastAsia" w:ascii="等线" w:hAnsi="等线" w:eastAsia="等线" w:cs="Times New Roman"/>
          <w:sz w:val="24"/>
          <w:szCs w:val="22"/>
          <w:lang w:eastAsia="zh-CN"/>
        </w:rPr>
        <w:t>成绩</w:t>
      </w:r>
      <w:r>
        <w:rPr>
          <w:rFonts w:ascii="等线" w:hAnsi="等线" w:eastAsia="等线" w:cs="Times New Roman"/>
          <w:sz w:val="24"/>
          <w:szCs w:val="22"/>
        </w:rPr>
        <w:t>×</w:t>
      </w:r>
      <w:r>
        <w:rPr>
          <w:rFonts w:hint="eastAsia" w:ascii="等线" w:hAnsi="等线" w:eastAsia="等线" w:cs="Times New Roman"/>
          <w:sz w:val="24"/>
          <w:szCs w:val="22"/>
          <w:lang w:val="en-US" w:eastAsia="zh-CN"/>
        </w:rPr>
        <w:t>2</w:t>
      </w:r>
      <w:r>
        <w:rPr>
          <w:rFonts w:hint="eastAsia" w:ascii="等线" w:hAnsi="等线" w:eastAsia="等线" w:cs="Times New Roman"/>
          <w:sz w:val="24"/>
          <w:szCs w:val="22"/>
        </w:rPr>
        <w:t>0</w:t>
      </w:r>
      <w:r>
        <w:rPr>
          <w:rFonts w:ascii="等线" w:hAnsi="等线" w:eastAsia="等线" w:cs="Times New Roman"/>
          <w:sz w:val="24"/>
          <w:szCs w:val="22"/>
        </w:rPr>
        <w:t>%</w:t>
      </w:r>
      <w:r>
        <w:rPr>
          <w:rFonts w:hint="eastAsia" w:ascii="等线" w:hAnsi="等线" w:eastAsia="等线" w:cs="Times New Roman"/>
          <w:sz w:val="24"/>
          <w:szCs w:val="22"/>
          <w:lang w:val="en-US" w:eastAsia="zh-CN"/>
        </w:rPr>
        <w:t>+</w:t>
      </w:r>
      <w:r>
        <w:rPr>
          <w:rFonts w:hint="eastAsia" w:ascii="等线" w:hAnsi="等线" w:eastAsia="等线" w:cs="Times New Roman"/>
          <w:sz w:val="24"/>
          <w:szCs w:val="22"/>
        </w:rPr>
        <w:t>实践</w:t>
      </w:r>
      <w:r>
        <w:rPr>
          <w:rFonts w:ascii="等线" w:hAnsi="等线" w:eastAsia="等线" w:cs="Times New Roman"/>
          <w:sz w:val="24"/>
          <w:szCs w:val="22"/>
        </w:rPr>
        <w:t>成绩×</w:t>
      </w:r>
      <w:r>
        <w:rPr>
          <w:rFonts w:hint="eastAsia" w:ascii="等线" w:hAnsi="等线" w:eastAsia="等线" w:cs="Times New Roman"/>
          <w:sz w:val="24"/>
          <w:szCs w:val="22"/>
          <w:lang w:val="en-US" w:eastAsia="zh-CN"/>
        </w:rPr>
        <w:t>8</w:t>
      </w:r>
      <w:r>
        <w:rPr>
          <w:rFonts w:hint="eastAsia" w:ascii="等线" w:hAnsi="等线" w:eastAsia="等线" w:cs="Times New Roman"/>
          <w:sz w:val="24"/>
          <w:szCs w:val="22"/>
        </w:rPr>
        <w:t>0</w:t>
      </w:r>
      <w:r>
        <w:rPr>
          <w:rFonts w:ascii="等线" w:hAnsi="等线" w:eastAsia="等线" w:cs="Times New Roman"/>
          <w:sz w:val="24"/>
          <w:szCs w:val="22"/>
        </w:rPr>
        <w:t>%</w:t>
      </w:r>
    </w:p>
    <w:p w14:paraId="4C7ECA48">
      <w:pPr>
        <w:spacing w:line="360" w:lineRule="auto"/>
        <w:ind w:firstLine="480" w:firstLineChars="200"/>
        <w:rPr>
          <w:rFonts w:ascii="等线" w:hAnsi="等线" w:eastAsia="等线" w:cs="Times New Roman"/>
          <w:sz w:val="24"/>
          <w:szCs w:val="22"/>
        </w:rPr>
      </w:pPr>
    </w:p>
    <w:p w14:paraId="31EC7E5A">
      <w:pPr>
        <w:spacing w:line="360" w:lineRule="auto"/>
        <w:ind w:left="0" w:leftChars="0" w:firstLine="0" w:firstLineChars="0"/>
        <w:rPr>
          <w:rFonts w:ascii="等线" w:hAnsi="等线" w:eastAsia="等线" w:cs="Times New Roman"/>
          <w:sz w:val="24"/>
          <w:szCs w:val="22"/>
        </w:rPr>
      </w:pPr>
      <w:r>
        <w:rPr>
          <w:rFonts w:ascii="等线" w:hAnsi="等线" w:eastAsia="等线" w:cs="Times New Roman"/>
          <w:sz w:val="24"/>
          <w:szCs w:val="22"/>
        </w:rPr>
        <w:t>具体内容和比例</w:t>
      </w:r>
      <w:r>
        <w:rPr>
          <w:rFonts w:hint="eastAsia" w:ascii="等线" w:hAnsi="等线" w:eastAsia="等线" w:cs="Times New Roman"/>
          <w:sz w:val="24"/>
          <w:szCs w:val="22"/>
        </w:rPr>
        <w:t>如表所示：</w:t>
      </w:r>
    </w:p>
    <w:tbl>
      <w:tblPr>
        <w:tblStyle w:val="10"/>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667"/>
        <w:gridCol w:w="697"/>
        <w:gridCol w:w="3471"/>
        <w:gridCol w:w="1803"/>
      </w:tblGrid>
      <w:tr w14:paraId="6660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shd w:val="clear" w:color="auto" w:fill="FFFFFF"/>
            <w:tcMar>
              <w:left w:w="57" w:type="dxa"/>
              <w:right w:w="57" w:type="dxa"/>
            </w:tcMar>
            <w:vAlign w:val="center"/>
          </w:tcPr>
          <w:p w14:paraId="4EDF1657">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成绩组成</w:t>
            </w:r>
          </w:p>
        </w:tc>
        <w:tc>
          <w:tcPr>
            <w:tcW w:w="1667" w:type="dxa"/>
            <w:shd w:val="clear" w:color="auto" w:fill="FFFFFF"/>
            <w:vAlign w:val="center"/>
          </w:tcPr>
          <w:p w14:paraId="154ACF44">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考核/</w:t>
            </w:r>
          </w:p>
          <w:p w14:paraId="73828DF9">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评价环节</w:t>
            </w:r>
          </w:p>
        </w:tc>
        <w:tc>
          <w:tcPr>
            <w:tcW w:w="697" w:type="dxa"/>
            <w:shd w:val="clear" w:color="auto" w:fill="FFFFFF"/>
            <w:vAlign w:val="center"/>
          </w:tcPr>
          <w:p w14:paraId="6175B77D">
            <w:pPr>
              <w:widowControl w:val="0"/>
              <w:adjustRightInd/>
              <w:snapToGrid/>
              <w:spacing w:after="0"/>
              <w:jc w:val="center"/>
              <w:rPr>
                <w:rFonts w:ascii="等线" w:hAnsi="等线" w:eastAsia="等线" w:cs="Times New Roman"/>
                <w:b/>
                <w:bCs/>
                <w:sz w:val="21"/>
                <w:szCs w:val="21"/>
              </w:rPr>
            </w:pPr>
            <w:r>
              <w:rPr>
                <w:rFonts w:hint="eastAsia" w:ascii="等线" w:hAnsi="等线" w:eastAsia="等线" w:cs="Times New Roman"/>
                <w:b/>
                <w:bCs/>
                <w:sz w:val="21"/>
                <w:szCs w:val="21"/>
              </w:rPr>
              <w:t>权重</w:t>
            </w:r>
          </w:p>
        </w:tc>
        <w:tc>
          <w:tcPr>
            <w:tcW w:w="3471" w:type="dxa"/>
            <w:shd w:val="clear" w:color="auto" w:fill="FFFFFF"/>
            <w:vAlign w:val="center"/>
          </w:tcPr>
          <w:p w14:paraId="71F03499">
            <w:pPr>
              <w:widowControl w:val="0"/>
              <w:adjustRightInd/>
              <w:snapToGrid/>
              <w:spacing w:after="0"/>
              <w:jc w:val="center"/>
              <w:rPr>
                <w:rFonts w:ascii="等线" w:hAnsi="等线" w:eastAsia="等线" w:cs="Times New Roman"/>
                <w:b/>
                <w:bCs/>
                <w:sz w:val="21"/>
                <w:szCs w:val="21"/>
              </w:rPr>
            </w:pPr>
            <w:r>
              <w:rPr>
                <w:rFonts w:ascii="等线" w:hAnsi="等线" w:eastAsia="等线" w:cs="Times New Roman"/>
                <w:b/>
                <w:bCs/>
                <w:sz w:val="21"/>
                <w:szCs w:val="21"/>
              </w:rPr>
              <w:t>考核/评价细则</w:t>
            </w:r>
          </w:p>
        </w:tc>
        <w:tc>
          <w:tcPr>
            <w:tcW w:w="1803" w:type="dxa"/>
            <w:shd w:val="clear" w:color="auto" w:fill="FFFFFF"/>
            <w:vAlign w:val="center"/>
          </w:tcPr>
          <w:p w14:paraId="45EEF5A0">
            <w:pPr>
              <w:widowControl w:val="0"/>
              <w:adjustRightInd/>
              <w:snapToGrid/>
              <w:spacing w:after="0"/>
              <w:ind w:left="-107" w:leftChars="-51"/>
              <w:jc w:val="center"/>
              <w:rPr>
                <w:rFonts w:ascii="等线" w:hAnsi="等线" w:eastAsia="等线" w:cs="Times New Roman"/>
                <w:b/>
                <w:bCs/>
                <w:sz w:val="21"/>
                <w:szCs w:val="21"/>
              </w:rPr>
            </w:pPr>
            <w:r>
              <w:rPr>
                <w:rFonts w:ascii="等线" w:hAnsi="等线" w:eastAsia="等线" w:cs="Times New Roman"/>
                <w:b/>
                <w:bCs/>
                <w:sz w:val="21"/>
                <w:szCs w:val="21"/>
              </w:rPr>
              <w:t>对应的毕业要求指标点</w:t>
            </w:r>
          </w:p>
        </w:tc>
      </w:tr>
      <w:tr w14:paraId="2912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52" w:type="dxa"/>
            <w:tcMar>
              <w:left w:w="57" w:type="dxa"/>
              <w:right w:w="57" w:type="dxa"/>
            </w:tcMar>
            <w:vAlign w:val="center"/>
          </w:tcPr>
          <w:p w14:paraId="0E0EBAB5">
            <w:pPr>
              <w:jc w:val="center"/>
              <w:rPr>
                <w:rFonts w:ascii="等线" w:hAnsi="等线" w:eastAsia="等线" w:cs="Times New Roman"/>
                <w:sz w:val="21"/>
                <w:szCs w:val="21"/>
              </w:rPr>
            </w:pPr>
            <w:r>
              <w:rPr>
                <w:rFonts w:ascii="等线" w:hAnsi="等线" w:eastAsia="等线" w:cs="Times New Roman"/>
                <w:sz w:val="21"/>
                <w:szCs w:val="21"/>
              </w:rPr>
              <w:t>平时成绩</w:t>
            </w:r>
          </w:p>
        </w:tc>
        <w:tc>
          <w:tcPr>
            <w:tcW w:w="1667" w:type="dxa"/>
            <w:vAlign w:val="center"/>
          </w:tcPr>
          <w:p w14:paraId="64784503">
            <w:pPr>
              <w:jc w:val="center"/>
              <w:rPr>
                <w:rFonts w:ascii="等线" w:hAnsi="等线" w:eastAsia="等线" w:cs="Times New Roman"/>
                <w:sz w:val="21"/>
                <w:szCs w:val="21"/>
              </w:rPr>
            </w:pPr>
            <w:r>
              <w:rPr>
                <w:rFonts w:ascii="等线" w:hAnsi="等线" w:eastAsia="宋体" w:cs="Times New Roman"/>
                <w:sz w:val="21"/>
                <w:szCs w:val="21"/>
              </w:rPr>
              <w:t>电子（书面）作业+课堂表现</w:t>
            </w:r>
          </w:p>
        </w:tc>
        <w:tc>
          <w:tcPr>
            <w:tcW w:w="697" w:type="dxa"/>
            <w:vAlign w:val="center"/>
          </w:tcPr>
          <w:p w14:paraId="2C29FF4B">
            <w:pPr>
              <w:jc w:val="center"/>
              <w:rPr>
                <w:rFonts w:ascii="等线" w:hAnsi="等线" w:eastAsia="等线" w:cs="Times New Roman"/>
                <w:sz w:val="21"/>
                <w:szCs w:val="21"/>
              </w:rPr>
            </w:pPr>
            <w:r>
              <w:rPr>
                <w:rFonts w:ascii="等线" w:hAnsi="等线" w:eastAsia="等线" w:cs="Times New Roman"/>
                <w:sz w:val="21"/>
                <w:szCs w:val="21"/>
              </w:rPr>
              <w:t>10%</w:t>
            </w:r>
          </w:p>
        </w:tc>
        <w:tc>
          <w:tcPr>
            <w:tcW w:w="3471" w:type="dxa"/>
            <w:vAlign w:val="center"/>
          </w:tcPr>
          <w:p w14:paraId="63F9DA89">
            <w:pPr>
              <w:rPr>
                <w:rFonts w:ascii="等线" w:hAnsi="等线" w:eastAsia="等线" w:cs="Times New Roman"/>
                <w:sz w:val="21"/>
                <w:szCs w:val="21"/>
              </w:rPr>
            </w:pPr>
            <w:r>
              <w:rPr>
                <w:rFonts w:ascii="等线" w:hAnsi="等线" w:eastAsia="宋体" w:cs="Times New Roman"/>
                <w:sz w:val="21"/>
                <w:szCs w:val="21"/>
              </w:rPr>
              <w:t>教师根据学生完成作业的质量评定相应的成绩。学生出勤及课堂表现与平时成绩挂钩</w:t>
            </w:r>
          </w:p>
        </w:tc>
        <w:tc>
          <w:tcPr>
            <w:tcW w:w="1803" w:type="dxa"/>
            <w:vAlign w:val="center"/>
          </w:tcPr>
          <w:p w14:paraId="7CA8F226">
            <w:pPr>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r>
      <w:tr w14:paraId="3079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052" w:type="dxa"/>
            <w:tcMar>
              <w:left w:w="57" w:type="dxa"/>
              <w:right w:w="57" w:type="dxa"/>
            </w:tcMar>
            <w:vAlign w:val="center"/>
          </w:tcPr>
          <w:p w14:paraId="74BA119E">
            <w:pPr>
              <w:jc w:val="center"/>
              <w:rPr>
                <w:rFonts w:ascii="等线" w:hAnsi="等线" w:eastAsia="等线" w:cs="Times New Roman"/>
                <w:sz w:val="21"/>
                <w:szCs w:val="21"/>
              </w:rPr>
            </w:pPr>
            <w:r>
              <w:rPr>
                <w:rFonts w:hint="eastAsia" w:ascii="等线" w:hAnsi="等线" w:eastAsia="等线" w:cs="Times New Roman"/>
                <w:sz w:val="21"/>
                <w:szCs w:val="21"/>
              </w:rPr>
              <w:t>实践</w:t>
            </w:r>
            <w:r>
              <w:rPr>
                <w:rFonts w:ascii="等线" w:hAnsi="等线" w:eastAsia="等线" w:cs="Times New Roman"/>
                <w:sz w:val="21"/>
                <w:szCs w:val="21"/>
              </w:rPr>
              <w:t>成绩</w:t>
            </w:r>
          </w:p>
        </w:tc>
        <w:tc>
          <w:tcPr>
            <w:tcW w:w="1667" w:type="dxa"/>
            <w:vAlign w:val="center"/>
          </w:tcPr>
          <w:p w14:paraId="005C6C52">
            <w:pPr>
              <w:widowControl w:val="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课内实践</w:t>
            </w:r>
          </w:p>
        </w:tc>
        <w:tc>
          <w:tcPr>
            <w:tcW w:w="697" w:type="dxa"/>
            <w:vAlign w:val="center"/>
          </w:tcPr>
          <w:p w14:paraId="59157270">
            <w:pPr>
              <w:widowControl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ascii="Times New Roman" w:hAnsi="Times New Roman" w:eastAsia="宋体" w:cs="Times New Roman"/>
                <w:kern w:val="2"/>
                <w:sz w:val="21"/>
                <w:szCs w:val="21"/>
                <w:lang w:val="en-US" w:eastAsia="zh-CN" w:bidi="ar-SA"/>
              </w:rPr>
              <w:t xml:space="preserve">0% </w:t>
            </w:r>
          </w:p>
        </w:tc>
        <w:tc>
          <w:tcPr>
            <w:tcW w:w="3471" w:type="dxa"/>
            <w:vAlign w:val="center"/>
          </w:tcPr>
          <w:p w14:paraId="3643E83E">
            <w:pPr>
              <w:widowControl w:val="0"/>
              <w:jc w:val="left"/>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按照要求完成素材的采集，各种多媒体应用软件的操作，必须有自己的思想，不得让他人代操作、不能使用网上下载的作品。</w:t>
            </w:r>
            <w:r>
              <w:rPr>
                <w:rFonts w:ascii="Times New Roman" w:hAnsi="Times New Roman" w:eastAsia="宋体" w:cs="Times New Roman"/>
                <w:kern w:val="2"/>
                <w:sz w:val="21"/>
                <w:szCs w:val="21"/>
                <w:lang w:val="en-US" w:eastAsia="zh-CN" w:bidi="ar-SA"/>
              </w:rPr>
              <w:t>教师根据学生完成要求的质量评定相应的成绩。</w:t>
            </w:r>
          </w:p>
        </w:tc>
        <w:tc>
          <w:tcPr>
            <w:tcW w:w="1803" w:type="dxa"/>
            <w:vAlign w:val="center"/>
          </w:tcPr>
          <w:p w14:paraId="04AA5BDA">
            <w:pPr>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r>
      <w:tr w14:paraId="6982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052" w:type="dxa"/>
            <w:tcMar>
              <w:left w:w="57" w:type="dxa"/>
              <w:right w:w="57" w:type="dxa"/>
            </w:tcMar>
            <w:vAlign w:val="center"/>
          </w:tcPr>
          <w:p w14:paraId="00854302">
            <w:pPr>
              <w:jc w:val="center"/>
              <w:rPr>
                <w:rFonts w:ascii="等线" w:hAnsi="等线" w:eastAsia="等线" w:cs="Times New Roman"/>
                <w:sz w:val="21"/>
                <w:szCs w:val="21"/>
              </w:rPr>
            </w:pPr>
            <w:r>
              <w:rPr>
                <w:rFonts w:ascii="等线" w:hAnsi="等线" w:eastAsia="等线" w:cs="Times New Roman"/>
                <w:sz w:val="21"/>
                <w:szCs w:val="21"/>
              </w:rPr>
              <w:t>期末考核</w:t>
            </w:r>
          </w:p>
        </w:tc>
        <w:tc>
          <w:tcPr>
            <w:tcW w:w="1667" w:type="dxa"/>
            <w:vAlign w:val="center"/>
          </w:tcPr>
          <w:p w14:paraId="3EF24809">
            <w:pPr>
              <w:jc w:val="center"/>
              <w:rPr>
                <w:rFonts w:ascii="等线" w:hAnsi="等线" w:eastAsia="等线" w:cs="Times New Roman"/>
                <w:sz w:val="21"/>
                <w:szCs w:val="21"/>
              </w:rPr>
            </w:pPr>
            <w:r>
              <w:rPr>
                <w:rFonts w:ascii="等线" w:hAnsi="等线" w:eastAsia="等线" w:cs="Times New Roman"/>
                <w:sz w:val="21"/>
                <w:szCs w:val="21"/>
              </w:rPr>
              <w:t>期末考核</w:t>
            </w:r>
          </w:p>
        </w:tc>
        <w:tc>
          <w:tcPr>
            <w:tcW w:w="697" w:type="dxa"/>
            <w:vAlign w:val="center"/>
          </w:tcPr>
          <w:p w14:paraId="34A3CBFA">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5</w:t>
            </w:r>
            <w:r>
              <w:rPr>
                <w:rFonts w:ascii="等线" w:hAnsi="等线" w:eastAsia="等线" w:cs="Times New Roman"/>
                <w:sz w:val="21"/>
                <w:szCs w:val="21"/>
              </w:rPr>
              <w:t>0%</w:t>
            </w:r>
          </w:p>
        </w:tc>
        <w:tc>
          <w:tcPr>
            <w:tcW w:w="3471" w:type="dxa"/>
            <w:vAlign w:val="center"/>
          </w:tcPr>
          <w:p w14:paraId="077D36D6">
            <w:pPr>
              <w:rPr>
                <w:rFonts w:ascii="等线" w:hAnsi="等线" w:eastAsia="等线" w:cs="Times New Roman"/>
                <w:sz w:val="21"/>
                <w:szCs w:val="21"/>
              </w:rPr>
            </w:pPr>
            <w:r>
              <w:rPr>
                <w:rFonts w:hint="eastAsia" w:ascii="等线" w:hAnsi="等线" w:eastAsia="等线" w:cs="Times New Roman"/>
                <w:sz w:val="21"/>
                <w:szCs w:val="21"/>
              </w:rPr>
              <w:t>考核主要考察学生针对特定教学任务，充分、合理运用信息技术、数字资源和信息化教学环境进行教学设计和实际教学，并将教学的过程制作成为学习资源的能力。</w:t>
            </w:r>
          </w:p>
        </w:tc>
        <w:tc>
          <w:tcPr>
            <w:tcW w:w="1803" w:type="dxa"/>
            <w:vAlign w:val="center"/>
          </w:tcPr>
          <w:p w14:paraId="35564929">
            <w:pPr>
              <w:rPr>
                <w:rFonts w:ascii="等线" w:hAnsi="等线" w:eastAsia="等线" w:cs="Times New Roman"/>
                <w:sz w:val="21"/>
                <w:szCs w:val="21"/>
              </w:rPr>
            </w:pPr>
            <w:r>
              <w:rPr>
                <w:rFonts w:hint="eastAsia" w:ascii="等线" w:hAnsi="等线" w:eastAsia="等线" w:cs="宋体"/>
                <w:bCs/>
                <w:sz w:val="21"/>
                <w:szCs w:val="21"/>
              </w:rPr>
              <w:t>指标点4-3</w:t>
            </w:r>
            <w:r>
              <w:rPr>
                <w:rFonts w:hint="eastAsia" w:ascii="等线" w:hAnsi="等线" w:eastAsia="等线" w:cs="宋体"/>
                <w:bCs/>
                <w:sz w:val="21"/>
                <w:szCs w:val="21"/>
                <w:lang w:eastAsia="zh-CN"/>
              </w:rPr>
              <w:t>（</w:t>
            </w:r>
            <w:r>
              <w:rPr>
                <w:rFonts w:hint="eastAsia" w:ascii="等线" w:hAnsi="等线" w:eastAsia="等线" w:cs="宋体"/>
                <w:bCs/>
                <w:sz w:val="21"/>
                <w:szCs w:val="21"/>
                <w:lang w:val="en-US" w:eastAsia="zh-CN"/>
              </w:rPr>
              <w:t>H</w:t>
            </w:r>
            <w:r>
              <w:rPr>
                <w:rFonts w:hint="eastAsia" w:ascii="等线" w:hAnsi="等线" w:eastAsia="等线" w:cs="宋体"/>
                <w:bCs/>
                <w:sz w:val="21"/>
                <w:szCs w:val="21"/>
                <w:lang w:eastAsia="zh-CN"/>
              </w:rPr>
              <w:t>）</w:t>
            </w:r>
          </w:p>
        </w:tc>
      </w:tr>
    </w:tbl>
    <w:p w14:paraId="3F34CBF5">
      <w:pPr>
        <w:spacing w:line="360" w:lineRule="auto"/>
        <w:outlineLvl w:val="9"/>
        <w:rPr>
          <w:rFonts w:ascii="等线" w:hAnsi="等线" w:eastAsia="等线" w:cs="Times New Roman"/>
          <w:sz w:val="24"/>
          <w:szCs w:val="22"/>
        </w:rPr>
      </w:pPr>
    </w:p>
    <w:p w14:paraId="1F63429D">
      <w:pPr>
        <w:spacing w:line="360" w:lineRule="auto"/>
        <w:outlineLvl w:val="1"/>
        <w:rPr>
          <w:rFonts w:ascii="等线" w:hAnsi="等线" w:eastAsia="等线" w:cs="Times New Roman"/>
          <w:b/>
          <w:sz w:val="24"/>
          <w:szCs w:val="22"/>
        </w:rPr>
      </w:pPr>
      <w:bookmarkStart w:id="801" w:name="_Toc22004"/>
      <w:r>
        <w:rPr>
          <w:rFonts w:ascii="等线" w:hAnsi="等线" w:eastAsia="等线" w:cs="Times New Roman"/>
          <w:sz w:val="24"/>
          <w:szCs w:val="22"/>
        </w:rPr>
        <w:t>（三）</w:t>
      </w:r>
      <w:r>
        <w:rPr>
          <w:rFonts w:hint="eastAsia" w:ascii="等线" w:hAnsi="等线" w:eastAsia="等线" w:cs="Times New Roman"/>
          <w:sz w:val="24"/>
          <w:szCs w:val="22"/>
        </w:rPr>
        <w:t>课程目标及考核方式权重分配表</w:t>
      </w:r>
      <w:bookmarkEnd w:id="801"/>
    </w:p>
    <w:tbl>
      <w:tblPr>
        <w:tblStyle w:val="10"/>
        <w:tblW w:w="7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418"/>
        <w:gridCol w:w="2268"/>
        <w:gridCol w:w="2158"/>
      </w:tblGrid>
      <w:tr w14:paraId="0474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403" w:type="dxa"/>
            <w:gridSpan w:val="2"/>
            <w:tcBorders>
              <w:tl2br w:val="nil"/>
              <w:tr2bl w:val="nil"/>
            </w:tcBorders>
            <w:shd w:val="clear" w:color="auto" w:fill="auto"/>
            <w:vAlign w:val="center"/>
          </w:tcPr>
          <w:p w14:paraId="1BC8DE9C">
            <w:pPr>
              <w:widowControl w:val="0"/>
              <w:adjustRightInd/>
              <w:snapToGrid/>
              <w:spacing w:after="0"/>
              <w:jc w:val="center"/>
              <w:rPr>
                <w:rFonts w:ascii="等线" w:hAnsi="等线" w:eastAsia="等线" w:cs="Times New Roman"/>
                <w:b/>
                <w:bCs/>
                <w:sz w:val="21"/>
                <w:szCs w:val="21"/>
              </w:rPr>
            </w:pPr>
            <w:r>
              <w:rPr>
                <w:rFonts w:hint="eastAsia" w:ascii="等线" w:hAnsi="等线" w:eastAsia="等线" w:cs="Times New Roman"/>
                <w:b/>
                <w:bCs/>
                <w:sz w:val="21"/>
                <w:szCs w:val="21"/>
              </w:rPr>
              <w:t>课程目标及权重</w:t>
            </w:r>
          </w:p>
        </w:tc>
        <w:tc>
          <w:tcPr>
            <w:tcW w:w="4426" w:type="dxa"/>
            <w:gridSpan w:val="2"/>
            <w:tcBorders>
              <w:tl2br w:val="nil"/>
              <w:tr2bl w:val="nil"/>
            </w:tcBorders>
            <w:shd w:val="clear" w:color="auto" w:fill="auto"/>
            <w:vAlign w:val="center"/>
          </w:tcPr>
          <w:p w14:paraId="0D729F90">
            <w:pPr>
              <w:widowControl w:val="0"/>
              <w:adjustRightInd/>
              <w:snapToGrid/>
              <w:spacing w:after="0"/>
              <w:ind w:right="-391" w:rightChars="-186"/>
              <w:jc w:val="center"/>
              <w:rPr>
                <w:rFonts w:ascii="等线" w:hAnsi="等线" w:eastAsia="等线" w:cs="Times New Roman"/>
                <w:b/>
                <w:bCs/>
                <w:sz w:val="21"/>
                <w:szCs w:val="21"/>
              </w:rPr>
            </w:pPr>
            <w:r>
              <w:rPr>
                <w:rFonts w:hint="eastAsia" w:ascii="等线" w:hAnsi="等线" w:eastAsia="等线" w:cs="Times New Roman"/>
                <w:b/>
                <w:bCs/>
                <w:sz w:val="21"/>
                <w:szCs w:val="21"/>
              </w:rPr>
              <w:t>考核方式及权重</w:t>
            </w:r>
          </w:p>
        </w:tc>
      </w:tr>
      <w:tr w14:paraId="6DFA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85" w:type="dxa"/>
            <w:tcBorders>
              <w:tl2br w:val="nil"/>
              <w:tr2bl w:val="nil"/>
            </w:tcBorders>
            <w:shd w:val="clear" w:color="auto" w:fill="auto"/>
            <w:vAlign w:val="center"/>
          </w:tcPr>
          <w:p w14:paraId="45F919A9">
            <w:pPr>
              <w:jc w:val="center"/>
              <w:rPr>
                <w:rFonts w:ascii="等线" w:hAnsi="等线" w:eastAsia="等线" w:cs="Times New Roman"/>
                <w:sz w:val="21"/>
                <w:szCs w:val="21"/>
              </w:rPr>
            </w:pPr>
            <w:r>
              <w:rPr>
                <w:rFonts w:hint="eastAsia" w:ascii="等线" w:hAnsi="等线" w:eastAsia="等线" w:cs="Times New Roman"/>
                <w:sz w:val="21"/>
                <w:szCs w:val="21"/>
              </w:rPr>
              <w:t>项目</w:t>
            </w:r>
          </w:p>
        </w:tc>
        <w:tc>
          <w:tcPr>
            <w:tcW w:w="1418" w:type="dxa"/>
            <w:tcBorders>
              <w:tl2br w:val="nil"/>
              <w:tr2bl w:val="nil"/>
            </w:tcBorders>
            <w:shd w:val="clear" w:color="auto" w:fill="auto"/>
            <w:vAlign w:val="center"/>
          </w:tcPr>
          <w:p w14:paraId="153003A7">
            <w:pPr>
              <w:jc w:val="center"/>
              <w:rPr>
                <w:rFonts w:ascii="等线" w:hAnsi="等线" w:eastAsia="等线" w:cs="Times New Roman"/>
                <w:sz w:val="21"/>
                <w:szCs w:val="21"/>
              </w:rPr>
            </w:pPr>
            <w:r>
              <w:rPr>
                <w:rFonts w:hint="eastAsia" w:ascii="等线" w:hAnsi="等线" w:eastAsia="等线" w:cs="Times New Roman"/>
                <w:sz w:val="21"/>
                <w:szCs w:val="21"/>
              </w:rPr>
              <w:t>权重（</w:t>
            </w:r>
            <w:r>
              <w:rPr>
                <w:rFonts w:ascii="等线" w:hAnsi="等线" w:eastAsia="等线" w:cs="Times New Roman"/>
                <w:sz w:val="21"/>
                <w:szCs w:val="21"/>
              </w:rPr>
              <w:t>a</w:t>
            </w:r>
            <w:r>
              <w:rPr>
                <w:rFonts w:hint="eastAsia" w:ascii="等线" w:hAnsi="等线" w:eastAsia="等线" w:cs="Times New Roman"/>
                <w:sz w:val="21"/>
                <w:szCs w:val="21"/>
              </w:rPr>
              <w:t>）</w:t>
            </w:r>
          </w:p>
        </w:tc>
        <w:tc>
          <w:tcPr>
            <w:tcW w:w="2268" w:type="dxa"/>
            <w:tcBorders>
              <w:tl2br w:val="nil"/>
              <w:tr2bl w:val="nil"/>
            </w:tcBorders>
            <w:shd w:val="clear" w:color="auto" w:fill="auto"/>
            <w:vAlign w:val="center"/>
          </w:tcPr>
          <w:p w14:paraId="4A22C851">
            <w:pPr>
              <w:jc w:val="center"/>
              <w:rPr>
                <w:rFonts w:ascii="等线" w:hAnsi="等线" w:eastAsia="等线" w:cs="Times New Roman"/>
                <w:sz w:val="21"/>
                <w:szCs w:val="21"/>
              </w:rPr>
            </w:pPr>
            <w:r>
              <w:rPr>
                <w:rFonts w:hint="eastAsia" w:ascii="等线" w:hAnsi="等线" w:eastAsia="等线" w:cs="Times New Roman"/>
                <w:sz w:val="21"/>
                <w:szCs w:val="21"/>
              </w:rPr>
              <w:t>评价依据</w:t>
            </w:r>
          </w:p>
        </w:tc>
        <w:tc>
          <w:tcPr>
            <w:tcW w:w="2158" w:type="dxa"/>
            <w:tcBorders>
              <w:tl2br w:val="nil"/>
              <w:tr2bl w:val="nil"/>
            </w:tcBorders>
            <w:shd w:val="clear" w:color="auto" w:fill="auto"/>
            <w:vAlign w:val="center"/>
          </w:tcPr>
          <w:p w14:paraId="0C2D52EE">
            <w:pPr>
              <w:jc w:val="center"/>
              <w:rPr>
                <w:rFonts w:ascii="等线" w:hAnsi="等线" w:eastAsia="等线" w:cs="Times New Roman"/>
                <w:sz w:val="21"/>
                <w:szCs w:val="21"/>
              </w:rPr>
            </w:pPr>
            <w:r>
              <w:rPr>
                <w:rFonts w:hint="eastAsia" w:ascii="等线" w:hAnsi="等线" w:eastAsia="等线" w:cs="Times New Roman"/>
                <w:sz w:val="21"/>
                <w:szCs w:val="21"/>
              </w:rPr>
              <w:t>权重（</w:t>
            </w:r>
            <w:r>
              <w:rPr>
                <w:rFonts w:ascii="等线" w:hAnsi="等线" w:eastAsia="等线" w:cs="Times New Roman"/>
                <w:sz w:val="21"/>
                <w:szCs w:val="21"/>
              </w:rPr>
              <w:t>b</w:t>
            </w:r>
            <w:r>
              <w:rPr>
                <w:rFonts w:hint="eastAsia" w:ascii="等线" w:hAnsi="等线" w:eastAsia="等线" w:cs="Times New Roman"/>
                <w:sz w:val="21"/>
                <w:szCs w:val="21"/>
              </w:rPr>
              <w:t>）</w:t>
            </w:r>
          </w:p>
        </w:tc>
      </w:tr>
      <w:tr w14:paraId="1D74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4768649C">
            <w:pPr>
              <w:jc w:val="center"/>
              <w:rPr>
                <w:rFonts w:ascii="等线" w:hAnsi="等线" w:eastAsia="等线" w:cs="Times New Roman"/>
                <w:sz w:val="21"/>
                <w:szCs w:val="21"/>
              </w:rPr>
            </w:pPr>
            <w:r>
              <w:rPr>
                <w:rFonts w:hint="eastAsia" w:ascii="等线" w:hAnsi="等线" w:eastAsia="等线" w:cs="Times New Roman"/>
                <w:sz w:val="21"/>
                <w:szCs w:val="21"/>
              </w:rPr>
              <w:t>课程目标</w:t>
            </w:r>
            <w:r>
              <w:rPr>
                <w:rFonts w:ascii="等线" w:hAnsi="等线" w:eastAsia="等线" w:cs="Times New Roman"/>
                <w:sz w:val="21"/>
                <w:szCs w:val="21"/>
              </w:rPr>
              <w:t>1</w:t>
            </w:r>
          </w:p>
        </w:tc>
        <w:tc>
          <w:tcPr>
            <w:tcW w:w="1418" w:type="dxa"/>
            <w:vMerge w:val="restart"/>
            <w:tcBorders>
              <w:tl2br w:val="nil"/>
              <w:tr2bl w:val="nil"/>
            </w:tcBorders>
            <w:shd w:val="clear" w:color="auto" w:fill="auto"/>
            <w:vAlign w:val="center"/>
          </w:tcPr>
          <w:p w14:paraId="636C01FF">
            <w:pPr>
              <w:jc w:val="center"/>
              <w:rPr>
                <w:rFonts w:ascii="等线" w:hAnsi="等线" w:eastAsia="等线" w:cs="Times New Roman"/>
                <w:sz w:val="21"/>
                <w:szCs w:val="21"/>
              </w:rPr>
            </w:pPr>
            <w:r>
              <w:rPr>
                <w:rFonts w:ascii="等线" w:hAnsi="等线" w:eastAsia="等线" w:cs="Times New Roman"/>
                <w:sz w:val="21"/>
                <w:szCs w:val="21"/>
              </w:rPr>
              <w:t>2</w:t>
            </w:r>
            <w:r>
              <w:rPr>
                <w:rFonts w:hint="eastAsia" w:ascii="等线" w:hAnsi="等线" w:eastAsia="等线" w:cs="Times New Roman"/>
                <w:sz w:val="21"/>
                <w:szCs w:val="21"/>
              </w:rPr>
              <w:t>0%</w:t>
            </w:r>
          </w:p>
        </w:tc>
        <w:tc>
          <w:tcPr>
            <w:tcW w:w="2268" w:type="dxa"/>
            <w:tcBorders>
              <w:tl2br w:val="nil"/>
              <w:tr2bl w:val="nil"/>
            </w:tcBorders>
            <w:shd w:val="clear" w:color="auto" w:fill="auto"/>
            <w:vAlign w:val="center"/>
          </w:tcPr>
          <w:p w14:paraId="3813FDF3">
            <w:pPr>
              <w:jc w:val="center"/>
              <w:rPr>
                <w:rFonts w:ascii="等线" w:hAnsi="等线" w:eastAsia="等线" w:cs="Times New Roman"/>
                <w:sz w:val="21"/>
                <w:szCs w:val="21"/>
              </w:rPr>
            </w:pPr>
            <w:r>
              <w:rPr>
                <w:rFonts w:hint="eastAsia" w:ascii="等线" w:hAnsi="等线" w:eastAsia="等线" w:cs="Times New Roman"/>
                <w:sz w:val="21"/>
                <w:szCs w:val="21"/>
              </w:rPr>
              <w:t>作业+课堂表现</w:t>
            </w:r>
          </w:p>
        </w:tc>
        <w:tc>
          <w:tcPr>
            <w:tcW w:w="2158" w:type="dxa"/>
            <w:tcBorders>
              <w:tl2br w:val="nil"/>
              <w:tr2bl w:val="nil"/>
            </w:tcBorders>
            <w:shd w:val="clear" w:color="auto" w:fill="auto"/>
            <w:vAlign w:val="center"/>
          </w:tcPr>
          <w:p w14:paraId="74D4E505">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1</w:t>
            </w:r>
            <w:r>
              <w:rPr>
                <w:rFonts w:ascii="等线" w:hAnsi="等线" w:eastAsia="等线" w:cs="Times New Roman"/>
                <w:sz w:val="21"/>
                <w:szCs w:val="21"/>
              </w:rPr>
              <w:t>0</w:t>
            </w:r>
            <w:r>
              <w:rPr>
                <w:rFonts w:hint="eastAsia" w:ascii="等线" w:hAnsi="等线" w:eastAsia="等线" w:cs="Times New Roman"/>
                <w:sz w:val="21"/>
                <w:szCs w:val="21"/>
              </w:rPr>
              <w:t>%</w:t>
            </w:r>
            <w:r>
              <w:rPr>
                <w:rFonts w:ascii="等线" w:hAnsi="等线" w:eastAsia="等线" w:cs="Times New Roman"/>
                <w:sz w:val="21"/>
                <w:szCs w:val="21"/>
              </w:rPr>
              <w:t xml:space="preserve"> </w:t>
            </w:r>
          </w:p>
        </w:tc>
      </w:tr>
      <w:tr w14:paraId="0CE7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85" w:type="dxa"/>
            <w:vMerge w:val="continue"/>
            <w:tcBorders>
              <w:tl2br w:val="nil"/>
              <w:tr2bl w:val="nil"/>
            </w:tcBorders>
            <w:shd w:val="clear" w:color="auto" w:fill="auto"/>
            <w:vAlign w:val="center"/>
          </w:tcPr>
          <w:p w14:paraId="01E6C160">
            <w:pPr>
              <w:jc w:val="center"/>
              <w:rPr>
                <w:rFonts w:ascii="等线" w:hAnsi="等线" w:eastAsia="等线" w:cs="Times New Roman"/>
                <w:sz w:val="21"/>
                <w:szCs w:val="21"/>
              </w:rPr>
            </w:pPr>
          </w:p>
        </w:tc>
        <w:tc>
          <w:tcPr>
            <w:tcW w:w="1418" w:type="dxa"/>
            <w:vMerge w:val="continue"/>
            <w:tcBorders>
              <w:tl2br w:val="nil"/>
              <w:tr2bl w:val="nil"/>
            </w:tcBorders>
            <w:shd w:val="clear" w:color="auto" w:fill="auto"/>
            <w:vAlign w:val="center"/>
          </w:tcPr>
          <w:p w14:paraId="17B3059B">
            <w:pPr>
              <w:jc w:val="center"/>
              <w:rPr>
                <w:rFonts w:ascii="等线" w:hAnsi="等线" w:eastAsia="等线" w:cs="Times New Roman"/>
                <w:sz w:val="21"/>
                <w:szCs w:val="21"/>
              </w:rPr>
            </w:pPr>
          </w:p>
        </w:tc>
        <w:tc>
          <w:tcPr>
            <w:tcW w:w="2268" w:type="dxa"/>
            <w:tcBorders>
              <w:bottom w:val="single" w:color="000000" w:sz="4" w:space="0"/>
              <w:tl2br w:val="nil"/>
              <w:tr2bl w:val="nil"/>
            </w:tcBorders>
            <w:shd w:val="clear" w:color="auto" w:fill="auto"/>
            <w:vAlign w:val="center"/>
          </w:tcPr>
          <w:p w14:paraId="36E7B82B">
            <w:pPr>
              <w:jc w:val="center"/>
              <w:rPr>
                <w:rFonts w:ascii="等线" w:hAnsi="等线" w:eastAsia="等线" w:cs="Times New Roman"/>
                <w:sz w:val="21"/>
                <w:szCs w:val="21"/>
              </w:rPr>
            </w:pPr>
            <w:r>
              <w:rPr>
                <w:rFonts w:hint="eastAsia" w:ascii="等线" w:hAnsi="等线" w:eastAsia="等线" w:cs="Times New Roman"/>
                <w:sz w:val="21"/>
                <w:szCs w:val="21"/>
              </w:rPr>
              <w:t>课内实践</w:t>
            </w:r>
          </w:p>
        </w:tc>
        <w:tc>
          <w:tcPr>
            <w:tcW w:w="2158" w:type="dxa"/>
            <w:tcBorders>
              <w:bottom w:val="single" w:color="000000" w:sz="4" w:space="0"/>
              <w:tl2br w:val="nil"/>
              <w:tr2bl w:val="nil"/>
            </w:tcBorders>
            <w:shd w:val="clear" w:color="auto" w:fill="auto"/>
            <w:vAlign w:val="center"/>
          </w:tcPr>
          <w:p w14:paraId="32D0AC4C">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4</w:t>
            </w:r>
            <w:r>
              <w:rPr>
                <w:rFonts w:ascii="等线" w:hAnsi="等线" w:eastAsia="等线" w:cs="Times New Roman"/>
                <w:sz w:val="21"/>
                <w:szCs w:val="21"/>
              </w:rPr>
              <w:t>0</w:t>
            </w:r>
            <w:r>
              <w:rPr>
                <w:rFonts w:hint="eastAsia" w:ascii="等线" w:hAnsi="等线" w:eastAsia="等线" w:cs="Times New Roman"/>
                <w:sz w:val="21"/>
                <w:szCs w:val="21"/>
              </w:rPr>
              <w:t>%</w:t>
            </w:r>
          </w:p>
        </w:tc>
      </w:tr>
      <w:tr w14:paraId="0BA6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85" w:type="dxa"/>
            <w:vMerge w:val="continue"/>
            <w:tcBorders>
              <w:tl2br w:val="nil"/>
              <w:tr2bl w:val="nil"/>
            </w:tcBorders>
            <w:shd w:val="clear" w:color="auto" w:fill="auto"/>
            <w:vAlign w:val="center"/>
          </w:tcPr>
          <w:p w14:paraId="76B99782">
            <w:pPr>
              <w:jc w:val="center"/>
              <w:rPr>
                <w:rFonts w:ascii="等线" w:hAnsi="等线" w:eastAsia="等线" w:cs="Times New Roman"/>
                <w:sz w:val="21"/>
                <w:szCs w:val="21"/>
              </w:rPr>
            </w:pPr>
          </w:p>
        </w:tc>
        <w:tc>
          <w:tcPr>
            <w:tcW w:w="1418" w:type="dxa"/>
            <w:vMerge w:val="continue"/>
            <w:tcBorders>
              <w:tl2br w:val="nil"/>
              <w:tr2bl w:val="nil"/>
            </w:tcBorders>
            <w:shd w:val="clear" w:color="auto" w:fill="auto"/>
            <w:vAlign w:val="center"/>
          </w:tcPr>
          <w:p w14:paraId="260832B3">
            <w:pPr>
              <w:jc w:val="center"/>
              <w:rPr>
                <w:rFonts w:ascii="等线" w:hAnsi="等线" w:eastAsia="等线" w:cs="Times New Roman"/>
                <w:sz w:val="21"/>
                <w:szCs w:val="21"/>
              </w:rPr>
            </w:pPr>
          </w:p>
        </w:tc>
        <w:tc>
          <w:tcPr>
            <w:tcW w:w="2268" w:type="dxa"/>
            <w:tcBorders>
              <w:top w:val="single" w:color="000000" w:sz="4" w:space="0"/>
              <w:tl2br w:val="nil"/>
              <w:tr2bl w:val="nil"/>
            </w:tcBorders>
            <w:shd w:val="clear" w:color="auto" w:fill="auto"/>
            <w:vAlign w:val="center"/>
          </w:tcPr>
          <w:p w14:paraId="7D48A04E">
            <w:pPr>
              <w:jc w:val="center"/>
              <w:rPr>
                <w:rFonts w:hint="eastAsia" w:ascii="等线" w:hAnsi="等线" w:eastAsia="等线" w:cs="Times New Roman"/>
                <w:sz w:val="21"/>
                <w:szCs w:val="21"/>
              </w:rPr>
            </w:pPr>
            <w:r>
              <w:rPr>
                <w:rFonts w:ascii="等线" w:hAnsi="等线" w:eastAsia="等线" w:cs="Times New Roman"/>
                <w:sz w:val="21"/>
                <w:szCs w:val="21"/>
              </w:rPr>
              <w:t>期末考核</w:t>
            </w:r>
          </w:p>
        </w:tc>
        <w:tc>
          <w:tcPr>
            <w:tcW w:w="2158" w:type="dxa"/>
            <w:tcBorders>
              <w:top w:val="single" w:color="000000" w:sz="4" w:space="0"/>
              <w:tl2br w:val="nil"/>
              <w:tr2bl w:val="nil"/>
            </w:tcBorders>
            <w:shd w:val="clear" w:color="auto" w:fill="auto"/>
            <w:vAlign w:val="center"/>
          </w:tcPr>
          <w:p w14:paraId="225B0F8E">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5</w:t>
            </w:r>
            <w:r>
              <w:rPr>
                <w:rFonts w:ascii="等线" w:hAnsi="等线" w:eastAsia="等线" w:cs="Times New Roman"/>
                <w:sz w:val="21"/>
                <w:szCs w:val="21"/>
              </w:rPr>
              <w:t>0</w:t>
            </w:r>
            <w:r>
              <w:rPr>
                <w:rFonts w:hint="eastAsia" w:ascii="等线" w:hAnsi="等线" w:eastAsia="等线" w:cs="Times New Roman"/>
                <w:sz w:val="21"/>
                <w:szCs w:val="21"/>
              </w:rPr>
              <w:t>%</w:t>
            </w:r>
          </w:p>
        </w:tc>
      </w:tr>
      <w:tr w14:paraId="5399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6B0AD04C">
            <w:pPr>
              <w:jc w:val="center"/>
              <w:rPr>
                <w:rFonts w:ascii="等线" w:hAnsi="等线" w:eastAsia="等线" w:cs="Times New Roman"/>
                <w:sz w:val="21"/>
                <w:szCs w:val="21"/>
              </w:rPr>
            </w:pPr>
            <w:r>
              <w:rPr>
                <w:rFonts w:hint="eastAsia" w:ascii="等线" w:hAnsi="等线" w:eastAsia="等线" w:cs="Times New Roman"/>
                <w:sz w:val="21"/>
                <w:szCs w:val="21"/>
              </w:rPr>
              <w:t>课程目标</w:t>
            </w:r>
            <w:r>
              <w:rPr>
                <w:rFonts w:ascii="等线" w:hAnsi="等线" w:eastAsia="等线" w:cs="Times New Roman"/>
                <w:sz w:val="21"/>
                <w:szCs w:val="21"/>
              </w:rPr>
              <w:t>2</w:t>
            </w:r>
          </w:p>
        </w:tc>
        <w:tc>
          <w:tcPr>
            <w:tcW w:w="1418" w:type="dxa"/>
            <w:vMerge w:val="restart"/>
            <w:tcBorders>
              <w:tl2br w:val="nil"/>
              <w:tr2bl w:val="nil"/>
            </w:tcBorders>
            <w:shd w:val="clear" w:color="auto" w:fill="auto"/>
            <w:vAlign w:val="center"/>
          </w:tcPr>
          <w:p w14:paraId="65616DBF">
            <w:pPr>
              <w:jc w:val="center"/>
              <w:rPr>
                <w:rFonts w:ascii="等线" w:hAnsi="等线" w:eastAsia="等线" w:cs="Times New Roman"/>
                <w:sz w:val="21"/>
                <w:szCs w:val="21"/>
              </w:rPr>
            </w:pPr>
            <w:r>
              <w:rPr>
                <w:rFonts w:ascii="等线" w:hAnsi="等线" w:eastAsia="等线" w:cs="Times New Roman"/>
                <w:sz w:val="21"/>
                <w:szCs w:val="21"/>
              </w:rPr>
              <w:t>50</w:t>
            </w:r>
            <w:r>
              <w:rPr>
                <w:rFonts w:hint="eastAsia" w:ascii="等线" w:hAnsi="等线" w:eastAsia="等线" w:cs="Times New Roman"/>
                <w:sz w:val="21"/>
                <w:szCs w:val="21"/>
              </w:rPr>
              <w:t>%</w:t>
            </w:r>
          </w:p>
        </w:tc>
        <w:tc>
          <w:tcPr>
            <w:tcW w:w="2268" w:type="dxa"/>
            <w:tcBorders>
              <w:tl2br w:val="nil"/>
              <w:tr2bl w:val="nil"/>
            </w:tcBorders>
            <w:shd w:val="clear" w:color="auto" w:fill="auto"/>
            <w:vAlign w:val="center"/>
          </w:tcPr>
          <w:p w14:paraId="6D4112C0">
            <w:pPr>
              <w:jc w:val="center"/>
              <w:rPr>
                <w:rFonts w:ascii="等线" w:hAnsi="等线" w:eastAsia="等线" w:cs="Times New Roman"/>
                <w:sz w:val="21"/>
                <w:szCs w:val="21"/>
              </w:rPr>
            </w:pPr>
            <w:r>
              <w:rPr>
                <w:rFonts w:hint="eastAsia" w:ascii="等线" w:hAnsi="等线" w:eastAsia="等线" w:cs="Times New Roman"/>
                <w:sz w:val="21"/>
                <w:szCs w:val="21"/>
              </w:rPr>
              <w:t>作业+课堂表现</w:t>
            </w:r>
          </w:p>
        </w:tc>
        <w:tc>
          <w:tcPr>
            <w:tcW w:w="2158" w:type="dxa"/>
            <w:tcBorders>
              <w:tl2br w:val="nil"/>
              <w:tr2bl w:val="nil"/>
            </w:tcBorders>
            <w:shd w:val="clear" w:color="auto" w:fill="auto"/>
            <w:vAlign w:val="center"/>
          </w:tcPr>
          <w:p w14:paraId="300E4988">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1</w:t>
            </w:r>
            <w:r>
              <w:rPr>
                <w:rFonts w:ascii="等线" w:hAnsi="等线" w:eastAsia="等线" w:cs="Times New Roman"/>
                <w:sz w:val="21"/>
                <w:szCs w:val="21"/>
              </w:rPr>
              <w:t>0</w:t>
            </w:r>
            <w:r>
              <w:rPr>
                <w:rFonts w:hint="eastAsia" w:ascii="等线" w:hAnsi="等线" w:eastAsia="等线" w:cs="Times New Roman"/>
                <w:sz w:val="21"/>
                <w:szCs w:val="21"/>
              </w:rPr>
              <w:t>%</w:t>
            </w:r>
            <w:r>
              <w:rPr>
                <w:rFonts w:ascii="等线" w:hAnsi="等线" w:eastAsia="等线" w:cs="Times New Roman"/>
                <w:sz w:val="21"/>
                <w:szCs w:val="21"/>
              </w:rPr>
              <w:t xml:space="preserve"> </w:t>
            </w:r>
          </w:p>
        </w:tc>
      </w:tr>
      <w:tr w14:paraId="1517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85" w:type="dxa"/>
            <w:vMerge w:val="continue"/>
            <w:tcBorders>
              <w:tl2br w:val="nil"/>
              <w:tr2bl w:val="nil"/>
            </w:tcBorders>
            <w:shd w:val="clear" w:color="auto" w:fill="auto"/>
            <w:vAlign w:val="center"/>
          </w:tcPr>
          <w:p w14:paraId="670EE900">
            <w:pPr>
              <w:rPr>
                <w:rFonts w:ascii="等线" w:hAnsi="等线" w:eastAsia="等线" w:cs="Times New Roman"/>
                <w:sz w:val="21"/>
                <w:szCs w:val="21"/>
              </w:rPr>
            </w:pPr>
          </w:p>
        </w:tc>
        <w:tc>
          <w:tcPr>
            <w:tcW w:w="1418" w:type="dxa"/>
            <w:vMerge w:val="continue"/>
            <w:tcBorders>
              <w:tl2br w:val="nil"/>
              <w:tr2bl w:val="nil"/>
            </w:tcBorders>
            <w:shd w:val="clear" w:color="auto" w:fill="auto"/>
            <w:vAlign w:val="center"/>
          </w:tcPr>
          <w:p w14:paraId="3127EF2B">
            <w:pPr>
              <w:rPr>
                <w:rFonts w:ascii="等线" w:hAnsi="等线" w:eastAsia="等线" w:cs="Times New Roman"/>
                <w:sz w:val="21"/>
                <w:szCs w:val="21"/>
              </w:rPr>
            </w:pPr>
          </w:p>
        </w:tc>
        <w:tc>
          <w:tcPr>
            <w:tcW w:w="2268" w:type="dxa"/>
            <w:tcBorders>
              <w:bottom w:val="single" w:color="000000" w:sz="4" w:space="0"/>
              <w:tl2br w:val="nil"/>
              <w:tr2bl w:val="nil"/>
            </w:tcBorders>
            <w:shd w:val="clear" w:color="auto" w:fill="auto"/>
            <w:vAlign w:val="center"/>
          </w:tcPr>
          <w:p w14:paraId="319CC427">
            <w:pPr>
              <w:jc w:val="center"/>
              <w:rPr>
                <w:rFonts w:ascii="等线" w:hAnsi="等线" w:eastAsia="等线" w:cs="Times New Roman"/>
                <w:sz w:val="21"/>
                <w:szCs w:val="21"/>
              </w:rPr>
            </w:pPr>
            <w:r>
              <w:rPr>
                <w:rFonts w:hint="eastAsia" w:ascii="等线" w:hAnsi="等线" w:eastAsia="等线" w:cs="Times New Roman"/>
                <w:sz w:val="21"/>
                <w:szCs w:val="21"/>
              </w:rPr>
              <w:t>课内实践</w:t>
            </w:r>
          </w:p>
        </w:tc>
        <w:tc>
          <w:tcPr>
            <w:tcW w:w="2158" w:type="dxa"/>
            <w:tcBorders>
              <w:bottom w:val="single" w:color="000000" w:sz="4" w:space="0"/>
              <w:tl2br w:val="nil"/>
              <w:tr2bl w:val="nil"/>
            </w:tcBorders>
            <w:shd w:val="clear" w:color="auto" w:fill="auto"/>
            <w:vAlign w:val="center"/>
          </w:tcPr>
          <w:p w14:paraId="6181DDCE">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4</w:t>
            </w:r>
            <w:r>
              <w:rPr>
                <w:rFonts w:ascii="等线" w:hAnsi="等线" w:eastAsia="等线" w:cs="Times New Roman"/>
                <w:sz w:val="21"/>
                <w:szCs w:val="21"/>
              </w:rPr>
              <w:t>0</w:t>
            </w:r>
            <w:r>
              <w:rPr>
                <w:rFonts w:hint="eastAsia" w:ascii="等线" w:hAnsi="等线" w:eastAsia="等线" w:cs="Times New Roman"/>
                <w:sz w:val="21"/>
                <w:szCs w:val="21"/>
              </w:rPr>
              <w:t>%</w:t>
            </w:r>
          </w:p>
        </w:tc>
      </w:tr>
      <w:tr w14:paraId="2120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985" w:type="dxa"/>
            <w:vMerge w:val="continue"/>
            <w:tcBorders>
              <w:tl2br w:val="nil"/>
              <w:tr2bl w:val="nil"/>
            </w:tcBorders>
            <w:shd w:val="clear" w:color="auto" w:fill="auto"/>
            <w:vAlign w:val="center"/>
          </w:tcPr>
          <w:p w14:paraId="7F75F1CC">
            <w:pPr>
              <w:rPr>
                <w:rFonts w:ascii="等线" w:hAnsi="等线" w:eastAsia="等线" w:cs="Times New Roman"/>
                <w:sz w:val="21"/>
                <w:szCs w:val="21"/>
              </w:rPr>
            </w:pPr>
          </w:p>
        </w:tc>
        <w:tc>
          <w:tcPr>
            <w:tcW w:w="1418" w:type="dxa"/>
            <w:vMerge w:val="continue"/>
            <w:tcBorders>
              <w:tl2br w:val="nil"/>
              <w:tr2bl w:val="nil"/>
            </w:tcBorders>
            <w:shd w:val="clear" w:color="auto" w:fill="auto"/>
            <w:vAlign w:val="center"/>
          </w:tcPr>
          <w:p w14:paraId="182DADDA">
            <w:pPr>
              <w:rPr>
                <w:rFonts w:ascii="等线" w:hAnsi="等线" w:eastAsia="等线" w:cs="Times New Roman"/>
                <w:sz w:val="21"/>
                <w:szCs w:val="21"/>
              </w:rPr>
            </w:pPr>
          </w:p>
        </w:tc>
        <w:tc>
          <w:tcPr>
            <w:tcW w:w="2268" w:type="dxa"/>
            <w:tcBorders>
              <w:top w:val="single" w:color="000000" w:sz="4" w:space="0"/>
              <w:tl2br w:val="nil"/>
              <w:tr2bl w:val="nil"/>
            </w:tcBorders>
            <w:shd w:val="clear" w:color="auto" w:fill="auto"/>
            <w:vAlign w:val="center"/>
          </w:tcPr>
          <w:p w14:paraId="4A696252">
            <w:pPr>
              <w:jc w:val="center"/>
              <w:rPr>
                <w:rFonts w:hint="eastAsia" w:ascii="等线" w:hAnsi="等线" w:eastAsia="等线" w:cs="Times New Roman"/>
                <w:sz w:val="21"/>
                <w:szCs w:val="21"/>
              </w:rPr>
            </w:pPr>
            <w:r>
              <w:rPr>
                <w:rFonts w:ascii="等线" w:hAnsi="等线" w:eastAsia="等线" w:cs="Times New Roman"/>
                <w:sz w:val="21"/>
                <w:szCs w:val="21"/>
              </w:rPr>
              <w:t>期末考核</w:t>
            </w:r>
          </w:p>
        </w:tc>
        <w:tc>
          <w:tcPr>
            <w:tcW w:w="2158" w:type="dxa"/>
            <w:tcBorders>
              <w:top w:val="single" w:color="000000" w:sz="4" w:space="0"/>
              <w:tl2br w:val="nil"/>
              <w:tr2bl w:val="nil"/>
            </w:tcBorders>
            <w:shd w:val="clear" w:color="auto" w:fill="auto"/>
            <w:vAlign w:val="center"/>
          </w:tcPr>
          <w:p w14:paraId="13184BAF">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5</w:t>
            </w:r>
            <w:r>
              <w:rPr>
                <w:rFonts w:ascii="等线" w:hAnsi="等线" w:eastAsia="等线" w:cs="Times New Roman"/>
                <w:sz w:val="21"/>
                <w:szCs w:val="21"/>
              </w:rPr>
              <w:t>0</w:t>
            </w:r>
            <w:r>
              <w:rPr>
                <w:rFonts w:hint="eastAsia" w:ascii="等线" w:hAnsi="等线" w:eastAsia="等线" w:cs="Times New Roman"/>
                <w:sz w:val="21"/>
                <w:szCs w:val="21"/>
              </w:rPr>
              <w:t>%</w:t>
            </w:r>
          </w:p>
        </w:tc>
      </w:tr>
      <w:tr w14:paraId="4B2D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shd w:val="clear" w:color="auto" w:fill="auto"/>
            <w:vAlign w:val="center"/>
          </w:tcPr>
          <w:p w14:paraId="5A2EBE07">
            <w:pPr>
              <w:jc w:val="center"/>
              <w:rPr>
                <w:rFonts w:ascii="等线" w:hAnsi="等线" w:eastAsia="等线" w:cs="Times New Roman"/>
                <w:sz w:val="21"/>
                <w:szCs w:val="21"/>
              </w:rPr>
            </w:pPr>
            <w:r>
              <w:rPr>
                <w:rFonts w:hint="eastAsia" w:ascii="等线" w:hAnsi="等线" w:eastAsia="等线" w:cs="Times New Roman"/>
                <w:sz w:val="21"/>
                <w:szCs w:val="21"/>
              </w:rPr>
              <w:t>课程目标</w:t>
            </w:r>
            <w:r>
              <w:rPr>
                <w:rFonts w:ascii="等线" w:hAnsi="等线" w:eastAsia="等线" w:cs="Times New Roman"/>
                <w:sz w:val="21"/>
                <w:szCs w:val="21"/>
              </w:rPr>
              <w:t>3</w:t>
            </w:r>
          </w:p>
        </w:tc>
        <w:tc>
          <w:tcPr>
            <w:tcW w:w="1418" w:type="dxa"/>
            <w:vMerge w:val="restart"/>
            <w:tcBorders>
              <w:tl2br w:val="nil"/>
              <w:tr2bl w:val="nil"/>
            </w:tcBorders>
            <w:shd w:val="clear" w:color="auto" w:fill="auto"/>
            <w:vAlign w:val="center"/>
          </w:tcPr>
          <w:p w14:paraId="06776F7C">
            <w:pPr>
              <w:jc w:val="center"/>
              <w:rPr>
                <w:rFonts w:ascii="等线" w:hAnsi="等线" w:eastAsia="等线" w:cs="Times New Roman"/>
                <w:sz w:val="21"/>
                <w:szCs w:val="21"/>
              </w:rPr>
            </w:pPr>
            <w:r>
              <w:rPr>
                <w:rFonts w:ascii="等线" w:hAnsi="等线" w:eastAsia="等线" w:cs="Times New Roman"/>
                <w:sz w:val="21"/>
                <w:szCs w:val="21"/>
              </w:rPr>
              <w:t>30</w:t>
            </w:r>
            <w:r>
              <w:rPr>
                <w:rFonts w:hint="eastAsia" w:ascii="等线" w:hAnsi="等线" w:eastAsia="等线" w:cs="Times New Roman"/>
                <w:sz w:val="21"/>
                <w:szCs w:val="21"/>
              </w:rPr>
              <w:t>%</w:t>
            </w:r>
          </w:p>
        </w:tc>
        <w:tc>
          <w:tcPr>
            <w:tcW w:w="2268" w:type="dxa"/>
            <w:tcBorders>
              <w:tl2br w:val="nil"/>
              <w:tr2bl w:val="nil"/>
            </w:tcBorders>
            <w:shd w:val="clear" w:color="auto" w:fill="auto"/>
            <w:vAlign w:val="center"/>
          </w:tcPr>
          <w:p w14:paraId="7976E09A">
            <w:pPr>
              <w:jc w:val="center"/>
              <w:rPr>
                <w:rFonts w:ascii="等线" w:hAnsi="等线" w:eastAsia="等线" w:cs="Times New Roman"/>
                <w:sz w:val="21"/>
                <w:szCs w:val="21"/>
              </w:rPr>
            </w:pPr>
            <w:r>
              <w:rPr>
                <w:rFonts w:hint="eastAsia" w:ascii="等线" w:hAnsi="等线" w:eastAsia="等线" w:cs="Times New Roman"/>
                <w:sz w:val="21"/>
                <w:szCs w:val="21"/>
              </w:rPr>
              <w:t>作业+课堂表现</w:t>
            </w:r>
          </w:p>
        </w:tc>
        <w:tc>
          <w:tcPr>
            <w:tcW w:w="2158" w:type="dxa"/>
            <w:tcBorders>
              <w:tl2br w:val="nil"/>
              <w:tr2bl w:val="nil"/>
            </w:tcBorders>
            <w:shd w:val="clear" w:color="auto" w:fill="auto"/>
            <w:vAlign w:val="center"/>
          </w:tcPr>
          <w:p w14:paraId="4E1039E1">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1</w:t>
            </w:r>
            <w:r>
              <w:rPr>
                <w:rFonts w:ascii="等线" w:hAnsi="等线" w:eastAsia="等线" w:cs="Times New Roman"/>
                <w:sz w:val="21"/>
                <w:szCs w:val="21"/>
              </w:rPr>
              <w:t>0</w:t>
            </w:r>
            <w:r>
              <w:rPr>
                <w:rFonts w:hint="eastAsia" w:ascii="等线" w:hAnsi="等线" w:eastAsia="等线" w:cs="Times New Roman"/>
                <w:sz w:val="21"/>
                <w:szCs w:val="21"/>
              </w:rPr>
              <w:t>%</w:t>
            </w:r>
            <w:r>
              <w:rPr>
                <w:rFonts w:ascii="等线" w:hAnsi="等线" w:eastAsia="等线" w:cs="Times New Roman"/>
                <w:sz w:val="21"/>
                <w:szCs w:val="21"/>
              </w:rPr>
              <w:t xml:space="preserve"> </w:t>
            </w:r>
          </w:p>
        </w:tc>
      </w:tr>
      <w:tr w14:paraId="03E5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985" w:type="dxa"/>
            <w:vMerge w:val="continue"/>
            <w:tcBorders>
              <w:tl2br w:val="nil"/>
              <w:tr2bl w:val="nil"/>
            </w:tcBorders>
            <w:shd w:val="clear" w:color="auto" w:fill="auto"/>
            <w:vAlign w:val="center"/>
          </w:tcPr>
          <w:p w14:paraId="5536D135">
            <w:pPr>
              <w:rPr>
                <w:rFonts w:ascii="等线" w:hAnsi="等线" w:eastAsia="等线" w:cs="Times New Roman"/>
                <w:sz w:val="21"/>
                <w:szCs w:val="21"/>
              </w:rPr>
            </w:pPr>
          </w:p>
        </w:tc>
        <w:tc>
          <w:tcPr>
            <w:tcW w:w="1418" w:type="dxa"/>
            <w:vMerge w:val="continue"/>
            <w:tcBorders>
              <w:tl2br w:val="nil"/>
              <w:tr2bl w:val="nil"/>
            </w:tcBorders>
            <w:shd w:val="clear" w:color="auto" w:fill="auto"/>
            <w:vAlign w:val="center"/>
          </w:tcPr>
          <w:p w14:paraId="0780196B">
            <w:pPr>
              <w:rPr>
                <w:rFonts w:ascii="等线" w:hAnsi="等线" w:eastAsia="等线" w:cs="Times New Roman"/>
                <w:sz w:val="21"/>
                <w:szCs w:val="21"/>
              </w:rPr>
            </w:pPr>
          </w:p>
        </w:tc>
        <w:tc>
          <w:tcPr>
            <w:tcW w:w="2268" w:type="dxa"/>
            <w:tcBorders>
              <w:bottom w:val="single" w:color="000000" w:sz="4" w:space="0"/>
              <w:tl2br w:val="nil"/>
              <w:tr2bl w:val="nil"/>
            </w:tcBorders>
            <w:shd w:val="clear" w:color="auto" w:fill="auto"/>
            <w:vAlign w:val="center"/>
          </w:tcPr>
          <w:p w14:paraId="1ABFDC8B">
            <w:pPr>
              <w:jc w:val="center"/>
              <w:rPr>
                <w:rFonts w:ascii="等线" w:hAnsi="等线" w:eastAsia="等线" w:cs="Times New Roman"/>
                <w:sz w:val="21"/>
                <w:szCs w:val="21"/>
              </w:rPr>
            </w:pPr>
            <w:r>
              <w:rPr>
                <w:rFonts w:hint="eastAsia" w:ascii="等线" w:hAnsi="等线" w:eastAsia="等线" w:cs="Times New Roman"/>
                <w:sz w:val="21"/>
                <w:szCs w:val="21"/>
              </w:rPr>
              <w:t>课内实践</w:t>
            </w:r>
          </w:p>
        </w:tc>
        <w:tc>
          <w:tcPr>
            <w:tcW w:w="2158" w:type="dxa"/>
            <w:tcBorders>
              <w:bottom w:val="single" w:color="000000" w:sz="4" w:space="0"/>
              <w:tl2br w:val="nil"/>
              <w:tr2bl w:val="nil"/>
            </w:tcBorders>
            <w:shd w:val="clear" w:color="auto" w:fill="auto"/>
            <w:vAlign w:val="center"/>
          </w:tcPr>
          <w:p w14:paraId="01082BF4">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4</w:t>
            </w:r>
            <w:r>
              <w:rPr>
                <w:rFonts w:ascii="等线" w:hAnsi="等线" w:eastAsia="等线" w:cs="Times New Roman"/>
                <w:sz w:val="21"/>
                <w:szCs w:val="21"/>
              </w:rPr>
              <w:t>0</w:t>
            </w:r>
            <w:r>
              <w:rPr>
                <w:rFonts w:hint="eastAsia" w:ascii="等线" w:hAnsi="等线" w:eastAsia="等线" w:cs="Times New Roman"/>
                <w:sz w:val="21"/>
                <w:szCs w:val="21"/>
              </w:rPr>
              <w:t>%</w:t>
            </w:r>
          </w:p>
        </w:tc>
      </w:tr>
      <w:tr w14:paraId="78DB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985" w:type="dxa"/>
            <w:vMerge w:val="continue"/>
            <w:tcBorders>
              <w:tl2br w:val="nil"/>
              <w:tr2bl w:val="nil"/>
            </w:tcBorders>
            <w:shd w:val="clear" w:color="auto" w:fill="auto"/>
            <w:vAlign w:val="center"/>
          </w:tcPr>
          <w:p w14:paraId="10DCAF7C">
            <w:pPr>
              <w:rPr>
                <w:rFonts w:ascii="等线" w:hAnsi="等线" w:eastAsia="等线" w:cs="Times New Roman"/>
                <w:sz w:val="21"/>
                <w:szCs w:val="21"/>
              </w:rPr>
            </w:pPr>
          </w:p>
        </w:tc>
        <w:tc>
          <w:tcPr>
            <w:tcW w:w="1418" w:type="dxa"/>
            <w:vMerge w:val="continue"/>
            <w:tcBorders>
              <w:tl2br w:val="nil"/>
              <w:tr2bl w:val="nil"/>
            </w:tcBorders>
            <w:shd w:val="clear" w:color="auto" w:fill="auto"/>
            <w:vAlign w:val="center"/>
          </w:tcPr>
          <w:p w14:paraId="005204CD">
            <w:pPr>
              <w:rPr>
                <w:rFonts w:ascii="等线" w:hAnsi="等线" w:eastAsia="等线" w:cs="Times New Roman"/>
                <w:sz w:val="21"/>
                <w:szCs w:val="21"/>
              </w:rPr>
            </w:pPr>
          </w:p>
        </w:tc>
        <w:tc>
          <w:tcPr>
            <w:tcW w:w="2268" w:type="dxa"/>
            <w:tcBorders>
              <w:top w:val="single" w:color="000000" w:sz="4" w:space="0"/>
              <w:tl2br w:val="nil"/>
              <w:tr2bl w:val="nil"/>
            </w:tcBorders>
            <w:shd w:val="clear" w:color="auto" w:fill="auto"/>
            <w:vAlign w:val="center"/>
          </w:tcPr>
          <w:p w14:paraId="612DD496">
            <w:pPr>
              <w:jc w:val="center"/>
              <w:rPr>
                <w:rFonts w:hint="eastAsia" w:ascii="等线" w:hAnsi="等线" w:eastAsia="等线" w:cs="Times New Roman"/>
                <w:sz w:val="21"/>
                <w:szCs w:val="21"/>
              </w:rPr>
            </w:pPr>
            <w:r>
              <w:rPr>
                <w:rFonts w:ascii="等线" w:hAnsi="等线" w:eastAsia="等线" w:cs="Times New Roman"/>
                <w:sz w:val="21"/>
                <w:szCs w:val="21"/>
              </w:rPr>
              <w:t>期末考核</w:t>
            </w:r>
          </w:p>
        </w:tc>
        <w:tc>
          <w:tcPr>
            <w:tcW w:w="2158" w:type="dxa"/>
            <w:tcBorders>
              <w:top w:val="single" w:color="000000" w:sz="4" w:space="0"/>
              <w:tl2br w:val="nil"/>
              <w:tr2bl w:val="nil"/>
            </w:tcBorders>
            <w:shd w:val="clear" w:color="auto" w:fill="auto"/>
            <w:vAlign w:val="center"/>
          </w:tcPr>
          <w:p w14:paraId="427C1F12">
            <w:pPr>
              <w:jc w:val="center"/>
              <w:rPr>
                <w:rFonts w:ascii="等线" w:hAnsi="等线" w:eastAsia="等线" w:cs="Times New Roman"/>
                <w:sz w:val="21"/>
                <w:szCs w:val="21"/>
              </w:rPr>
            </w:pPr>
            <w:r>
              <w:rPr>
                <w:rFonts w:hint="eastAsia" w:ascii="等线" w:hAnsi="等线" w:eastAsia="等线" w:cs="Times New Roman"/>
                <w:sz w:val="21"/>
                <w:szCs w:val="21"/>
                <w:lang w:val="en-US" w:eastAsia="zh-CN"/>
              </w:rPr>
              <w:t>5</w:t>
            </w:r>
            <w:r>
              <w:rPr>
                <w:rFonts w:ascii="等线" w:hAnsi="等线" w:eastAsia="等线" w:cs="Times New Roman"/>
                <w:sz w:val="21"/>
                <w:szCs w:val="21"/>
              </w:rPr>
              <w:t>0</w:t>
            </w:r>
            <w:r>
              <w:rPr>
                <w:rFonts w:hint="eastAsia" w:ascii="等线" w:hAnsi="等线" w:eastAsia="等线" w:cs="Times New Roman"/>
                <w:sz w:val="21"/>
                <w:szCs w:val="21"/>
              </w:rPr>
              <w:t>%</w:t>
            </w:r>
          </w:p>
        </w:tc>
      </w:tr>
      <w:tr w14:paraId="1EC5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5" w:type="dxa"/>
            <w:tcBorders>
              <w:tl2br w:val="nil"/>
              <w:tr2bl w:val="nil"/>
            </w:tcBorders>
            <w:shd w:val="clear" w:color="auto" w:fill="auto"/>
            <w:vAlign w:val="center"/>
          </w:tcPr>
          <w:p w14:paraId="1F885326">
            <w:pPr>
              <w:jc w:val="center"/>
              <w:rPr>
                <w:rFonts w:ascii="等线" w:hAnsi="等线" w:eastAsia="等线" w:cs="Times New Roman"/>
                <w:sz w:val="21"/>
                <w:szCs w:val="21"/>
              </w:rPr>
            </w:pPr>
            <w:r>
              <w:rPr>
                <w:rFonts w:hint="eastAsia" w:ascii="等线" w:hAnsi="等线" w:eastAsia="等线" w:cs="Times New Roman"/>
                <w:sz w:val="21"/>
                <w:szCs w:val="21"/>
              </w:rPr>
              <w:t>课程目标权重合计</w:t>
            </w:r>
          </w:p>
        </w:tc>
        <w:tc>
          <w:tcPr>
            <w:tcW w:w="1418" w:type="dxa"/>
            <w:tcBorders>
              <w:tl2br w:val="nil"/>
              <w:tr2bl w:val="nil"/>
            </w:tcBorders>
            <w:shd w:val="clear" w:color="auto" w:fill="auto"/>
            <w:vAlign w:val="center"/>
          </w:tcPr>
          <w:p w14:paraId="429CAE46">
            <w:pPr>
              <w:jc w:val="center"/>
              <w:rPr>
                <w:rFonts w:ascii="等线" w:hAnsi="等线" w:eastAsia="等线" w:cs="Times New Roman"/>
                <w:sz w:val="21"/>
                <w:szCs w:val="21"/>
              </w:rPr>
            </w:pPr>
            <w:r>
              <w:rPr>
                <w:rFonts w:hint="eastAsia" w:ascii="等线" w:hAnsi="等线" w:eastAsia="等线" w:cs="Times New Roman"/>
                <w:sz w:val="21"/>
                <w:szCs w:val="21"/>
              </w:rPr>
              <w:t>100%</w:t>
            </w:r>
          </w:p>
        </w:tc>
        <w:tc>
          <w:tcPr>
            <w:tcW w:w="4426" w:type="dxa"/>
            <w:gridSpan w:val="2"/>
            <w:tcBorders>
              <w:tl2br w:val="nil"/>
              <w:tr2bl w:val="nil"/>
            </w:tcBorders>
            <w:shd w:val="clear" w:color="auto" w:fill="auto"/>
            <w:vAlign w:val="center"/>
          </w:tcPr>
          <w:p w14:paraId="08CA5A51">
            <w:pPr>
              <w:jc w:val="center"/>
              <w:rPr>
                <w:rFonts w:ascii="等线" w:hAnsi="等线" w:eastAsia="等线" w:cs="Times New Roman"/>
                <w:sz w:val="21"/>
                <w:szCs w:val="21"/>
              </w:rPr>
            </w:pPr>
          </w:p>
        </w:tc>
      </w:tr>
    </w:tbl>
    <w:p w14:paraId="34AB2ADF">
      <w:pPr>
        <w:spacing w:line="360" w:lineRule="auto"/>
        <w:ind w:firstLine="480"/>
        <w:rPr>
          <w:rFonts w:ascii="等线" w:hAnsi="等线" w:eastAsia="等线" w:cs="Times New Roman"/>
          <w:sz w:val="24"/>
          <w:szCs w:val="22"/>
        </w:rPr>
      </w:pPr>
    </w:p>
    <w:p w14:paraId="78FA3C64">
      <w:pPr>
        <w:spacing w:line="360" w:lineRule="auto"/>
        <w:ind w:firstLine="480"/>
        <w:rPr>
          <w:rFonts w:ascii="等线" w:hAnsi="等线" w:eastAsia="等线" w:cs="Times New Roman"/>
          <w:sz w:val="24"/>
          <w:szCs w:val="22"/>
        </w:rPr>
      </w:pPr>
    </w:p>
    <w:p w14:paraId="0BCD52B5">
      <w:pPr>
        <w:spacing w:line="360" w:lineRule="auto"/>
        <w:ind w:left="0" w:leftChars="0" w:firstLine="0" w:firstLineChars="0"/>
        <w:outlineLvl w:val="1"/>
        <w:rPr>
          <w:rFonts w:ascii="等线" w:hAnsi="等线" w:eastAsia="等线" w:cs="Times New Roman"/>
          <w:sz w:val="24"/>
          <w:szCs w:val="22"/>
        </w:rPr>
      </w:pPr>
      <w:bookmarkStart w:id="802" w:name="_Toc25310"/>
      <w:r>
        <w:rPr>
          <w:rFonts w:hint="eastAsia" w:ascii="等线" w:hAnsi="等线" w:eastAsia="等线" w:cs="Times New Roman"/>
          <w:sz w:val="24"/>
          <w:szCs w:val="22"/>
        </w:rPr>
        <w:t>（四）</w:t>
      </w:r>
      <w:r>
        <w:rPr>
          <w:rFonts w:ascii="等线" w:hAnsi="等线" w:eastAsia="等线" w:cs="Times New Roman"/>
          <w:sz w:val="24"/>
          <w:szCs w:val="22"/>
        </w:rPr>
        <w:t>课程目标达成度计算方法</w:t>
      </w:r>
      <w:bookmarkEnd w:id="802"/>
    </w:p>
    <w:p w14:paraId="14E6D1F4">
      <w:pPr>
        <w:spacing w:line="360" w:lineRule="auto"/>
        <w:ind w:firstLine="480"/>
        <w:rPr>
          <w:rFonts w:ascii="等线" w:hAnsi="等线" w:eastAsia="等线" w:cs="Times New Roman"/>
          <w:sz w:val="24"/>
          <w:szCs w:val="22"/>
        </w:rPr>
      </w:pPr>
      <w:r>
        <w:rPr>
          <w:rFonts w:ascii="等线" w:hAnsi="等线" w:eastAsia="等线" w:cs="Times New Roman"/>
          <w:sz w:val="24"/>
          <w:szCs w:val="22"/>
        </w:rPr>
        <w:t>所有课程目标均</w:t>
      </w:r>
      <w:r>
        <w:rPr>
          <w:rFonts w:hint="eastAsia" w:ascii="等线" w:hAnsi="等线" w:eastAsia="等线" w:cs="Times New Roman"/>
          <w:sz w:val="24"/>
          <w:szCs w:val="22"/>
        </w:rPr>
        <w:t>需</w:t>
      </w:r>
      <w:r>
        <w:rPr>
          <w:rFonts w:ascii="等线" w:hAnsi="等线" w:eastAsia="等线" w:cs="Times New Roman"/>
          <w:sz w:val="24"/>
          <w:szCs w:val="22"/>
        </w:rPr>
        <w:t>大于等于0.6，否则总评成绩不及格，需要重</w:t>
      </w:r>
      <w:r>
        <w:rPr>
          <w:rFonts w:hint="eastAsia" w:ascii="等线" w:hAnsi="等线" w:eastAsia="等线" w:cs="Times New Roman"/>
          <w:sz w:val="24"/>
          <w:szCs w:val="22"/>
        </w:rPr>
        <w:t>修。</w:t>
      </w:r>
      <w:r>
        <w:rPr>
          <w:rFonts w:ascii="等线" w:hAnsi="等线" w:eastAsia="等线" w:cs="Times New Roman"/>
          <w:sz w:val="24"/>
          <w:szCs w:val="22"/>
        </w:rPr>
        <w:t>每</w:t>
      </w:r>
      <w:r>
        <w:rPr>
          <w:rFonts w:hint="eastAsia" w:ascii="等线" w:hAnsi="等线" w:eastAsia="等线" w:cs="Times New Roman"/>
          <w:sz w:val="24"/>
          <w:szCs w:val="22"/>
        </w:rPr>
        <w:t>门</w:t>
      </w:r>
      <w:r>
        <w:rPr>
          <w:rFonts w:ascii="等线" w:hAnsi="等线" w:eastAsia="等线" w:cs="Times New Roman"/>
          <w:sz w:val="24"/>
          <w:szCs w:val="22"/>
        </w:rPr>
        <w:t>课程目标</w:t>
      </w:r>
      <w:r>
        <w:rPr>
          <w:rFonts w:hint="eastAsia" w:ascii="等线" w:hAnsi="等线" w:eastAsia="等线" w:cs="Times New Roman"/>
          <w:sz w:val="24"/>
          <w:szCs w:val="22"/>
        </w:rPr>
        <w:t>总体</w:t>
      </w:r>
      <w:r>
        <w:rPr>
          <w:rFonts w:ascii="等线" w:hAnsi="等线" w:eastAsia="等线" w:cs="Times New Roman"/>
          <w:sz w:val="24"/>
          <w:szCs w:val="22"/>
        </w:rPr>
        <w:t>达成度计算方法如下：</w:t>
      </w:r>
    </w:p>
    <w:p w14:paraId="5626E794">
      <w:pPr>
        <w:spacing w:line="360" w:lineRule="auto"/>
        <w:rPr>
          <w:rFonts w:ascii="等线" w:hAnsi="等线" w:eastAsia="等线" w:cs="Times New Roman"/>
          <w:sz w:val="24"/>
          <w:szCs w:val="22"/>
        </w:rPr>
      </w:pPr>
      <w:r>
        <w:rPr>
          <w:rFonts w:ascii="等线" w:hAnsi="等线" w:eastAsia="等线" w:cs="Times New Roman"/>
          <w:sz w:val="24"/>
          <w:szCs w:val="22"/>
        </w:rPr>
        <w:drawing>
          <wp:inline distT="0" distB="0" distL="0" distR="0">
            <wp:extent cx="5762625" cy="361950"/>
            <wp:effectExtent l="0" t="0" r="190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srcRect/>
                    <a:stretch>
                      <a:fillRect/>
                    </a:stretch>
                  </pic:blipFill>
                  <pic:spPr>
                    <a:xfrm>
                      <a:off x="0" y="0"/>
                      <a:ext cx="5762625" cy="361950"/>
                    </a:xfrm>
                    <a:prstGeom prst="rect">
                      <a:avLst/>
                    </a:prstGeom>
                    <a:noFill/>
                    <a:ln w="9525">
                      <a:noFill/>
                      <a:miter lim="800000"/>
                      <a:headEnd/>
                      <a:tailEnd/>
                    </a:ln>
                  </pic:spPr>
                </pic:pic>
              </a:graphicData>
            </a:graphic>
          </wp:inline>
        </w:drawing>
      </w:r>
    </w:p>
    <w:p w14:paraId="53412ECC">
      <w:pPr>
        <w:spacing w:line="360" w:lineRule="auto"/>
        <w:outlineLvl w:val="0"/>
        <w:rPr>
          <w:rFonts w:hint="eastAsia" w:ascii="等线" w:hAnsi="等线" w:eastAsia="等线" w:cs="Times New Roman"/>
          <w:b/>
          <w:sz w:val="28"/>
          <w:szCs w:val="28"/>
          <w:lang w:eastAsia="zh-CN"/>
        </w:rPr>
      </w:pPr>
      <w:bookmarkStart w:id="803" w:name="_Toc26837"/>
      <w:bookmarkStart w:id="804" w:name="_Toc26243"/>
      <w:bookmarkStart w:id="805" w:name="_Toc26316"/>
      <w:bookmarkStart w:id="806" w:name="_Toc32353"/>
      <w:bookmarkStart w:id="807" w:name="_Toc26818"/>
      <w:bookmarkStart w:id="808" w:name="_Toc5415"/>
      <w:bookmarkStart w:id="809" w:name="_Toc17743"/>
      <w:r>
        <w:rPr>
          <w:rFonts w:hint="eastAsia" w:ascii="等线" w:hAnsi="等线" w:eastAsia="等线" w:cs="Times New Roman"/>
          <w:b/>
          <w:sz w:val="28"/>
          <w:szCs w:val="28"/>
          <w:lang w:eastAsia="zh-CN"/>
        </w:rPr>
        <w:t>六、有关说明</w:t>
      </w:r>
      <w:bookmarkEnd w:id="803"/>
      <w:bookmarkEnd w:id="804"/>
      <w:bookmarkEnd w:id="805"/>
      <w:bookmarkEnd w:id="806"/>
      <w:bookmarkEnd w:id="807"/>
      <w:bookmarkEnd w:id="808"/>
      <w:bookmarkEnd w:id="809"/>
    </w:p>
    <w:p w14:paraId="4947DA79">
      <w:pPr>
        <w:spacing w:line="360" w:lineRule="auto"/>
        <w:ind w:left="0" w:leftChars="0" w:firstLine="0" w:firstLineChars="0"/>
        <w:outlineLvl w:val="1"/>
        <w:rPr>
          <w:rFonts w:ascii="等线" w:hAnsi="等线" w:eastAsia="等线" w:cs="Times New Roman"/>
          <w:b/>
          <w:sz w:val="24"/>
          <w:szCs w:val="22"/>
        </w:rPr>
      </w:pPr>
      <w:bookmarkStart w:id="810" w:name="_Toc2801"/>
      <w:r>
        <w:rPr>
          <w:rFonts w:hint="eastAsia" w:ascii="等线" w:hAnsi="等线" w:eastAsia="等线" w:cs="Times New Roman"/>
          <w:b/>
          <w:sz w:val="24"/>
          <w:szCs w:val="22"/>
        </w:rPr>
        <w:t>（一）持续改进</w:t>
      </w:r>
      <w:bookmarkEnd w:id="810"/>
    </w:p>
    <w:p w14:paraId="1C298B89">
      <w:pPr>
        <w:spacing w:line="360" w:lineRule="auto"/>
        <w:ind w:firstLine="480" w:firstLineChars="200"/>
        <w:rPr>
          <w:rFonts w:ascii="等线" w:hAnsi="等线" w:eastAsia="等线" w:cs="Times New Roman"/>
          <w:sz w:val="24"/>
          <w:szCs w:val="22"/>
        </w:rPr>
      </w:pPr>
      <w:r>
        <w:rPr>
          <w:rFonts w:ascii="等线" w:hAnsi="等线" w:eastAsia="等线" w:cs="Times New Roman"/>
          <w:sz w:val="24"/>
          <w:szCs w:val="22"/>
        </w:rPr>
        <w:t>本课程根据学生作业、课堂讨论、模拟教学、</w:t>
      </w:r>
      <w:r>
        <w:rPr>
          <w:rFonts w:hint="eastAsia" w:ascii="等线" w:hAnsi="等线" w:eastAsia="等线" w:cs="Times New Roman"/>
          <w:sz w:val="24"/>
          <w:szCs w:val="22"/>
        </w:rPr>
        <w:t>微课教学设计与制作</w:t>
      </w:r>
      <w:r>
        <w:rPr>
          <w:rFonts w:ascii="等线" w:hAnsi="等线" w:eastAsia="等线" w:cs="Times New Roman"/>
          <w:sz w:val="24"/>
          <w:szCs w:val="22"/>
        </w:rPr>
        <w:t>、平时考核情况和学生、教学督导等</w:t>
      </w:r>
      <w:r>
        <w:rPr>
          <w:rFonts w:hint="eastAsia" w:ascii="等线" w:hAnsi="等线" w:eastAsia="等线" w:cs="Times New Roman"/>
          <w:sz w:val="24"/>
          <w:szCs w:val="22"/>
        </w:rPr>
        <w:t>的</w:t>
      </w:r>
      <w:r>
        <w:rPr>
          <w:rFonts w:ascii="等线" w:hAnsi="等线" w:eastAsia="等线" w:cs="Times New Roman"/>
          <w:sz w:val="24"/>
          <w:szCs w:val="22"/>
        </w:rPr>
        <w:t>反馈，及时对教学中</w:t>
      </w:r>
      <w:r>
        <w:rPr>
          <w:rFonts w:hint="eastAsia" w:ascii="等线" w:hAnsi="等线" w:eastAsia="等线" w:cs="Times New Roman"/>
          <w:sz w:val="24"/>
          <w:szCs w:val="22"/>
        </w:rPr>
        <w:t>的</w:t>
      </w:r>
      <w:r>
        <w:rPr>
          <w:rFonts w:ascii="等线" w:hAnsi="等线" w:eastAsia="等线" w:cs="Times New Roman"/>
          <w:sz w:val="24"/>
          <w:szCs w:val="22"/>
        </w:rPr>
        <w:t>不足之处进行改进，并在下一轮课程教学中</w:t>
      </w:r>
      <w:r>
        <w:rPr>
          <w:rFonts w:hint="eastAsia" w:ascii="等线" w:hAnsi="等线" w:eastAsia="等线" w:cs="Times New Roman"/>
          <w:sz w:val="24"/>
          <w:szCs w:val="22"/>
        </w:rPr>
        <w:t>整改完善</w:t>
      </w:r>
      <w:r>
        <w:rPr>
          <w:rFonts w:ascii="等线" w:hAnsi="等线" w:eastAsia="等线" w:cs="Times New Roman"/>
          <w:sz w:val="24"/>
          <w:szCs w:val="22"/>
        </w:rPr>
        <w:t>，确保相应毕业要求指标点达成。</w:t>
      </w:r>
    </w:p>
    <w:p w14:paraId="42189928">
      <w:pPr>
        <w:spacing w:line="360" w:lineRule="auto"/>
        <w:ind w:left="0" w:leftChars="0" w:firstLine="0" w:firstLineChars="0"/>
        <w:outlineLvl w:val="1"/>
        <w:rPr>
          <w:rFonts w:ascii="等线" w:hAnsi="等线" w:eastAsia="等线" w:cs="Times New Roman"/>
          <w:b/>
          <w:sz w:val="24"/>
          <w:szCs w:val="22"/>
        </w:rPr>
      </w:pPr>
      <w:bookmarkStart w:id="811" w:name="_Toc16102"/>
      <w:r>
        <w:rPr>
          <w:rFonts w:hint="eastAsia" w:ascii="等线" w:hAnsi="等线" w:eastAsia="等线" w:cs="Times New Roman"/>
          <w:b/>
          <w:sz w:val="24"/>
          <w:szCs w:val="22"/>
        </w:rPr>
        <w:t>（二）</w:t>
      </w:r>
      <w:r>
        <w:rPr>
          <w:rFonts w:ascii="等线" w:hAnsi="等线" w:eastAsia="等线" w:cs="Times New Roman"/>
          <w:b/>
          <w:sz w:val="24"/>
          <w:szCs w:val="22"/>
        </w:rPr>
        <w:t>参考书目及学习资料</w:t>
      </w:r>
      <w:bookmarkEnd w:id="811"/>
    </w:p>
    <w:p w14:paraId="70B3DB73">
      <w:pPr>
        <w:spacing w:line="360" w:lineRule="auto"/>
        <w:ind w:left="0" w:leftChars="0" w:firstLine="0" w:firstLineChars="0"/>
        <w:outlineLvl w:val="2"/>
        <w:rPr>
          <w:rFonts w:ascii="等线" w:hAnsi="等线" w:eastAsia="等线" w:cs="Times New Roman"/>
          <w:sz w:val="24"/>
          <w:szCs w:val="22"/>
        </w:rPr>
      </w:pPr>
      <w:bookmarkStart w:id="812" w:name="_Toc28999"/>
      <w:r>
        <w:rPr>
          <w:rFonts w:hint="eastAsia" w:ascii="等线" w:hAnsi="等线" w:eastAsia="等线" w:cs="Times New Roman"/>
          <w:sz w:val="24"/>
          <w:szCs w:val="22"/>
        </w:rPr>
        <w:t>1．教材</w:t>
      </w:r>
      <w:bookmarkEnd w:id="812"/>
    </w:p>
    <w:p w14:paraId="50E4EE66">
      <w:pPr>
        <w:spacing w:line="360" w:lineRule="auto"/>
        <w:ind w:left="0" w:leftChars="0" w:firstLine="0" w:firstLineChars="0"/>
        <w:rPr>
          <w:rFonts w:hint="default" w:ascii="等线" w:hAnsi="等线" w:eastAsia="微软雅黑" w:cs="Times New Roman"/>
          <w:sz w:val="24"/>
          <w:szCs w:val="22"/>
          <w:lang w:val="en-US" w:eastAsia="zh-CN"/>
        </w:rPr>
      </w:pPr>
      <w:r>
        <w:rPr>
          <w:rFonts w:hint="eastAsia" w:ascii="等线" w:hAnsi="等线" w:eastAsia="等线" w:cs="Times New Roman"/>
          <w:sz w:val="24"/>
          <w:szCs w:val="22"/>
        </w:rPr>
        <w:t>章苏静.《现代教育技术》（第</w:t>
      </w:r>
      <w:r>
        <w:rPr>
          <w:rFonts w:hint="eastAsia" w:ascii="等线" w:hAnsi="等线" w:eastAsia="等线" w:cs="Times New Roman"/>
          <w:sz w:val="24"/>
          <w:szCs w:val="22"/>
          <w:lang w:val="en-US" w:eastAsia="zh-CN"/>
        </w:rPr>
        <w:t>1</w:t>
      </w:r>
      <w:r>
        <w:rPr>
          <w:rFonts w:hint="eastAsia" w:ascii="等线" w:hAnsi="等线" w:eastAsia="等线" w:cs="Times New Roman"/>
          <w:sz w:val="24"/>
          <w:szCs w:val="22"/>
        </w:rPr>
        <w:t>版）.</w:t>
      </w:r>
      <w:r>
        <w:rPr>
          <w:rFonts w:hint="eastAsia" w:ascii="等线" w:hAnsi="等线" w:eastAsia="等线" w:cs="Times New Roman"/>
          <w:sz w:val="24"/>
          <w:szCs w:val="22"/>
          <w:lang w:eastAsia="zh-CN"/>
        </w:rPr>
        <w:t>上海交通</w:t>
      </w:r>
      <w:r>
        <w:rPr>
          <w:rFonts w:hint="eastAsia" w:ascii="等线" w:hAnsi="等线" w:eastAsia="等线" w:cs="Times New Roman"/>
          <w:sz w:val="24"/>
          <w:szCs w:val="22"/>
        </w:rPr>
        <w:t>大学出版社.</w:t>
      </w:r>
      <w:r>
        <w:rPr>
          <w:rFonts w:hint="eastAsia" w:ascii="微软雅黑" w:hAnsi="微软雅黑" w:eastAsia="等线" w:cs="Times New Roman"/>
          <w:color w:val="555555"/>
          <w:sz w:val="21"/>
          <w:szCs w:val="21"/>
          <w:shd w:val="clear" w:color="auto" w:fill="FFFFFF"/>
        </w:rPr>
        <w:t xml:space="preserve"> 20</w:t>
      </w:r>
      <w:r>
        <w:rPr>
          <w:rFonts w:hint="eastAsia" w:ascii="微软雅黑" w:hAnsi="微软雅黑" w:eastAsia="等线" w:cs="Times New Roman"/>
          <w:color w:val="555555"/>
          <w:sz w:val="21"/>
          <w:szCs w:val="21"/>
          <w:shd w:val="clear" w:color="auto" w:fill="FFFFFF"/>
          <w:lang w:val="en-US" w:eastAsia="zh-CN"/>
        </w:rPr>
        <w:t>22</w:t>
      </w:r>
    </w:p>
    <w:p w14:paraId="020F958A">
      <w:pPr>
        <w:spacing w:line="360" w:lineRule="auto"/>
        <w:ind w:left="0" w:leftChars="0" w:firstLine="0" w:firstLineChars="0"/>
        <w:outlineLvl w:val="2"/>
        <w:rPr>
          <w:rFonts w:ascii="等线" w:hAnsi="等线" w:eastAsia="等线" w:cs="Times New Roman"/>
          <w:sz w:val="24"/>
          <w:szCs w:val="22"/>
        </w:rPr>
      </w:pPr>
      <w:bookmarkStart w:id="813" w:name="_Toc8467"/>
      <w:r>
        <w:rPr>
          <w:rFonts w:hint="eastAsia" w:ascii="等线" w:hAnsi="等线" w:eastAsia="等线" w:cs="Times New Roman"/>
          <w:sz w:val="24"/>
          <w:szCs w:val="22"/>
        </w:rPr>
        <w:t>2．教学参考书</w:t>
      </w:r>
      <w:bookmarkEnd w:id="813"/>
    </w:p>
    <w:p w14:paraId="5DFA2480">
      <w:pPr>
        <w:spacing w:line="220" w:lineRule="atLeast"/>
        <w:ind w:left="0" w:leftChars="0" w:firstLine="0" w:firstLineChars="0"/>
        <w:rPr>
          <w:rFonts w:hint="eastAsia" w:ascii="等线" w:hAnsi="等线" w:eastAsia="等线" w:cs="Times New Roman"/>
          <w:sz w:val="24"/>
          <w:szCs w:val="22"/>
          <w:lang w:eastAsia="zh-CN"/>
        </w:rPr>
      </w:pPr>
      <w:r>
        <w:rPr>
          <w:rFonts w:hint="eastAsia" w:ascii="宋体" w:hAnsi="宋体" w:eastAsia="宋体" w:cs="Times New Roman"/>
          <w:kern w:val="0"/>
          <w:sz w:val="24"/>
          <w:szCs w:val="22"/>
        </w:rPr>
        <w:t>陈明选.《现代教育技术》（第</w:t>
      </w:r>
      <w:r>
        <w:rPr>
          <w:rFonts w:hint="eastAsia" w:ascii="宋体" w:hAnsi="宋体" w:eastAsia="等线" w:cs="Times New Roman"/>
          <w:kern w:val="0"/>
          <w:sz w:val="24"/>
          <w:szCs w:val="22"/>
          <w:lang w:val="en-US" w:eastAsia="zh-CN"/>
        </w:rPr>
        <w:t>1</w:t>
      </w:r>
      <w:r>
        <w:rPr>
          <w:rFonts w:hint="eastAsia" w:ascii="宋体" w:hAnsi="宋体" w:eastAsia="宋体" w:cs="Times New Roman"/>
          <w:kern w:val="0"/>
          <w:sz w:val="24"/>
          <w:szCs w:val="22"/>
        </w:rPr>
        <w:t>版）.上海交通大学出版社. 202</w:t>
      </w:r>
      <w:r>
        <w:rPr>
          <w:rFonts w:hint="eastAsia" w:ascii="宋体" w:hAnsi="宋体" w:eastAsia="等线" w:cs="Times New Roman"/>
          <w:kern w:val="0"/>
          <w:sz w:val="24"/>
          <w:szCs w:val="22"/>
          <w:lang w:val="en-US" w:eastAsia="zh-CN"/>
        </w:rPr>
        <w:t>2.</w:t>
      </w:r>
    </w:p>
    <w:p w14:paraId="797F61D3">
      <w:pPr>
        <w:spacing w:line="220" w:lineRule="atLeast"/>
        <w:ind w:left="0" w:leftChars="0" w:firstLine="0" w:firstLineChars="0"/>
        <w:rPr>
          <w:rFonts w:hint="eastAsia" w:ascii="等线" w:hAnsi="等线" w:eastAsia="等线" w:cs="Times New Roman"/>
          <w:sz w:val="24"/>
          <w:szCs w:val="22"/>
          <w:lang w:val="en-US" w:eastAsia="zh-CN"/>
        </w:rPr>
      </w:pPr>
      <w:r>
        <w:rPr>
          <w:rFonts w:hint="eastAsia" w:ascii="等线" w:hAnsi="等线" w:eastAsia="等线" w:cs="Times New Roman"/>
          <w:sz w:val="24"/>
          <w:szCs w:val="22"/>
          <w:lang w:eastAsia="zh-CN"/>
        </w:rPr>
        <w:t>杨宁</w:t>
      </w:r>
      <w:r>
        <w:rPr>
          <w:rFonts w:hint="eastAsia" w:ascii="等线" w:hAnsi="等线" w:eastAsia="等线" w:cs="Times New Roman"/>
          <w:sz w:val="24"/>
          <w:szCs w:val="22"/>
        </w:rPr>
        <w:t>.《现代教育技术》（第</w:t>
      </w:r>
      <w:r>
        <w:rPr>
          <w:rFonts w:hint="eastAsia" w:ascii="等线" w:hAnsi="等线" w:eastAsia="等线" w:cs="Times New Roman"/>
          <w:sz w:val="24"/>
          <w:szCs w:val="22"/>
          <w:lang w:val="en-US" w:eastAsia="zh-CN"/>
        </w:rPr>
        <w:t>6</w:t>
      </w:r>
      <w:r>
        <w:rPr>
          <w:rFonts w:hint="eastAsia" w:ascii="等线" w:hAnsi="等线" w:eastAsia="等线" w:cs="Times New Roman"/>
          <w:sz w:val="24"/>
          <w:szCs w:val="22"/>
        </w:rPr>
        <w:t>版）.</w:t>
      </w:r>
      <w:r>
        <w:rPr>
          <w:rFonts w:hint="eastAsia" w:ascii="等线" w:hAnsi="等线" w:eastAsia="等线" w:cs="Times New Roman"/>
          <w:sz w:val="24"/>
          <w:szCs w:val="22"/>
          <w:lang w:eastAsia="zh-CN"/>
        </w:rPr>
        <w:t>上海交通</w:t>
      </w:r>
      <w:r>
        <w:rPr>
          <w:rFonts w:hint="eastAsia" w:ascii="等线" w:hAnsi="等线" w:eastAsia="等线" w:cs="Times New Roman"/>
          <w:sz w:val="24"/>
          <w:szCs w:val="22"/>
        </w:rPr>
        <w:t>大学出版社. 20</w:t>
      </w:r>
      <w:r>
        <w:rPr>
          <w:rFonts w:hint="eastAsia" w:ascii="等线" w:hAnsi="等线" w:eastAsia="等线" w:cs="Times New Roman"/>
          <w:sz w:val="24"/>
          <w:szCs w:val="22"/>
          <w:lang w:val="en-US" w:eastAsia="zh-CN"/>
        </w:rPr>
        <w:t>20</w:t>
      </w:r>
    </w:p>
    <w:p w14:paraId="6216355D">
      <w:pPr>
        <w:spacing w:line="220" w:lineRule="atLeast"/>
        <w:ind w:left="0" w:leftChars="0" w:firstLine="0" w:firstLineChars="0"/>
        <w:rPr>
          <w:rFonts w:ascii="等线" w:hAnsi="等线" w:eastAsia="等线" w:cs="Times New Roman"/>
          <w:sz w:val="24"/>
          <w:szCs w:val="22"/>
        </w:rPr>
      </w:pPr>
      <w:r>
        <w:rPr>
          <w:rFonts w:hint="eastAsia" w:ascii="宋体" w:hAnsi="宋体" w:eastAsia="宋体" w:cs="Times New Roman"/>
          <w:kern w:val="0"/>
          <w:sz w:val="24"/>
          <w:szCs w:val="22"/>
        </w:rPr>
        <w:t>李世荣.《现代教育技术》（第</w:t>
      </w:r>
      <w:r>
        <w:rPr>
          <w:rFonts w:hint="eastAsia" w:ascii="宋体" w:hAnsi="宋体" w:eastAsia="等线" w:cs="Times New Roman"/>
          <w:kern w:val="0"/>
          <w:sz w:val="24"/>
          <w:szCs w:val="22"/>
          <w:lang w:val="en-US" w:eastAsia="zh-CN"/>
        </w:rPr>
        <w:t>2</w:t>
      </w:r>
      <w:r>
        <w:rPr>
          <w:rFonts w:hint="eastAsia" w:ascii="宋体" w:hAnsi="宋体" w:eastAsia="宋体" w:cs="Times New Roman"/>
          <w:kern w:val="0"/>
          <w:sz w:val="24"/>
          <w:szCs w:val="22"/>
        </w:rPr>
        <w:t>版）.清华大学出版社. 2020</w:t>
      </w:r>
      <w:r>
        <w:rPr>
          <w:rFonts w:hint="eastAsia" w:ascii="宋体" w:hAnsi="宋体" w:eastAsia="等线" w:cs="Times New Roman"/>
          <w:kern w:val="0"/>
          <w:sz w:val="24"/>
          <w:szCs w:val="22"/>
          <w:lang w:val="en-US" w:eastAsia="zh-CN"/>
        </w:rPr>
        <w:t>.</w:t>
      </w:r>
    </w:p>
    <w:p w14:paraId="2338EB33">
      <w:pPr>
        <w:spacing w:line="220" w:lineRule="atLeast"/>
        <w:ind w:left="0" w:leftChars="0" w:firstLine="0" w:firstLineChars="0"/>
        <w:rPr>
          <w:rFonts w:ascii="等线" w:hAnsi="等线" w:eastAsia="等线" w:cs="Times New Roman"/>
          <w:sz w:val="24"/>
          <w:szCs w:val="22"/>
        </w:rPr>
      </w:pPr>
      <w:r>
        <w:rPr>
          <w:rFonts w:ascii="等线" w:hAnsi="等线" w:eastAsia="等线" w:cs="Times New Roman"/>
          <w:sz w:val="24"/>
          <w:szCs w:val="22"/>
        </w:rPr>
        <w:t>Adobe公司  Adobe数字艺术中心Photoshop CS标准教材 人民邮电出版社</w:t>
      </w:r>
    </w:p>
    <w:p w14:paraId="3FBC3D95">
      <w:pPr>
        <w:spacing w:line="220" w:lineRule="atLeast"/>
        <w:ind w:left="0" w:leftChars="0" w:firstLine="0" w:firstLineChars="0"/>
        <w:rPr>
          <w:rFonts w:ascii="等线" w:hAnsi="等线" w:eastAsia="等线" w:cs="Times New Roman"/>
          <w:sz w:val="24"/>
          <w:szCs w:val="22"/>
        </w:rPr>
      </w:pPr>
      <w:r>
        <w:rPr>
          <w:rFonts w:ascii="等线" w:hAnsi="等线" w:eastAsia="等线" w:cs="Times New Roman"/>
          <w:sz w:val="24"/>
          <w:szCs w:val="22"/>
        </w:rPr>
        <w:t>李颖、董彦</w:t>
      </w:r>
      <w:r>
        <w:rPr>
          <w:rFonts w:hint="eastAsia" w:ascii="等线" w:hAnsi="等线" w:eastAsia="等线" w:cs="Times New Roman"/>
          <w:sz w:val="24"/>
          <w:szCs w:val="22"/>
        </w:rPr>
        <w:t>.《现代教育技术》.中国科学技术大学出版社.2010</w:t>
      </w:r>
    </w:p>
    <w:p w14:paraId="1BDE289B">
      <w:pPr>
        <w:spacing w:line="220" w:lineRule="atLeast"/>
        <w:rPr>
          <w:rFonts w:ascii="等线" w:hAnsi="等线" w:eastAsia="等线" w:cs="Times New Roman"/>
          <w:sz w:val="24"/>
          <w:szCs w:val="22"/>
        </w:rPr>
      </w:pPr>
    </w:p>
    <w:p w14:paraId="588BC422">
      <w:pPr>
        <w:spacing w:line="220" w:lineRule="atLeast"/>
        <w:ind w:firstLine="4960" w:firstLineChars="2067"/>
        <w:rPr>
          <w:rFonts w:ascii="等线" w:hAnsi="等线" w:eastAsia="等线" w:cs="Times New Roman"/>
          <w:sz w:val="24"/>
          <w:szCs w:val="22"/>
        </w:rPr>
      </w:pPr>
      <w:r>
        <w:rPr>
          <w:rFonts w:hint="eastAsia" w:ascii="等线" w:hAnsi="等线" w:eastAsia="等线" w:cs="Times New Roman"/>
          <w:sz w:val="24"/>
          <w:szCs w:val="22"/>
        </w:rPr>
        <w:t>执笔人：曾新勇</w:t>
      </w:r>
    </w:p>
    <w:p w14:paraId="04870547">
      <w:pPr>
        <w:spacing w:line="220" w:lineRule="atLeast"/>
        <w:ind w:firstLine="4960" w:firstLineChars="2067"/>
        <w:rPr>
          <w:rFonts w:hint="default" w:ascii="等线" w:hAnsi="等线" w:eastAsia="等线" w:cs="Times New Roman"/>
          <w:sz w:val="24"/>
          <w:szCs w:val="22"/>
          <w:lang w:val="en-US" w:eastAsia="zh-CN"/>
        </w:rPr>
      </w:pPr>
      <w:r>
        <w:rPr>
          <w:rFonts w:hint="eastAsia" w:ascii="等线" w:hAnsi="等线" w:eastAsia="等线" w:cs="Times New Roman"/>
          <w:sz w:val="24"/>
          <w:szCs w:val="22"/>
        </w:rPr>
        <w:t>审定人：</w:t>
      </w:r>
      <w:r>
        <w:rPr>
          <w:rFonts w:hint="eastAsia" w:ascii="等线" w:hAnsi="等线" w:eastAsia="等线" w:cs="Times New Roman"/>
          <w:sz w:val="24"/>
          <w:szCs w:val="22"/>
          <w:lang w:val="en-US" w:eastAsia="zh-CN"/>
        </w:rPr>
        <w:t>王  健</w:t>
      </w:r>
    </w:p>
    <w:p w14:paraId="772DDD5D">
      <w:pPr>
        <w:spacing w:line="220" w:lineRule="atLeast"/>
        <w:ind w:firstLine="4960" w:firstLineChars="2067"/>
        <w:rPr>
          <w:rFonts w:hint="default" w:ascii="等线" w:hAnsi="等线" w:eastAsia="等线" w:cs="Times New Roman"/>
          <w:sz w:val="24"/>
          <w:szCs w:val="22"/>
          <w:lang w:val="en-US" w:eastAsia="zh-CN"/>
        </w:rPr>
      </w:pPr>
      <w:r>
        <w:rPr>
          <w:rFonts w:hint="eastAsia" w:ascii="等线" w:hAnsi="等线" w:eastAsia="等线" w:cs="Times New Roman"/>
          <w:sz w:val="24"/>
          <w:szCs w:val="22"/>
        </w:rPr>
        <w:t>审批人：</w:t>
      </w:r>
      <w:r>
        <w:rPr>
          <w:rFonts w:hint="eastAsia" w:ascii="等线" w:hAnsi="等线" w:eastAsia="等线" w:cs="Times New Roman"/>
          <w:sz w:val="24"/>
          <w:szCs w:val="22"/>
          <w:lang w:val="en-US" w:eastAsia="zh-CN"/>
        </w:rPr>
        <w:t>张志欣</w:t>
      </w:r>
    </w:p>
    <w:p w14:paraId="200A6B6C">
      <w:pPr>
        <w:spacing w:line="360" w:lineRule="auto"/>
        <w:ind w:firstLine="5040" w:firstLineChars="2100"/>
        <w:jc w:val="both"/>
        <w:rPr>
          <w:rFonts w:hint="eastAsia" w:ascii="等线" w:hAnsi="等线" w:eastAsia="等线" w:cs="Times New Roman"/>
          <w:sz w:val="24"/>
          <w:szCs w:val="22"/>
        </w:rPr>
      </w:pPr>
      <w:r>
        <w:rPr>
          <w:rFonts w:hint="eastAsia" w:ascii="等线" w:hAnsi="等线" w:eastAsia="等线" w:cs="Times New Roman"/>
          <w:sz w:val="24"/>
          <w:szCs w:val="22"/>
        </w:rPr>
        <w:t>批准时间：202</w:t>
      </w:r>
      <w:r>
        <w:rPr>
          <w:rFonts w:hint="eastAsia" w:ascii="等线" w:hAnsi="等线" w:eastAsia="等线" w:cs="Times New Roman"/>
          <w:sz w:val="24"/>
          <w:szCs w:val="22"/>
          <w:lang w:val="en-US" w:eastAsia="zh-CN"/>
        </w:rPr>
        <w:t>4</w:t>
      </w:r>
      <w:r>
        <w:rPr>
          <w:rFonts w:hint="eastAsia" w:ascii="等线" w:hAnsi="等线" w:eastAsia="等线" w:cs="Times New Roman"/>
          <w:sz w:val="24"/>
          <w:szCs w:val="22"/>
        </w:rPr>
        <w:t>年</w:t>
      </w:r>
      <w:r>
        <w:rPr>
          <w:rFonts w:hint="eastAsia" w:ascii="等线" w:hAnsi="等线" w:eastAsia="等线" w:cs="Times New Roman"/>
          <w:sz w:val="24"/>
          <w:szCs w:val="22"/>
          <w:lang w:val="en-US" w:eastAsia="zh-CN"/>
        </w:rPr>
        <w:t>8</w:t>
      </w:r>
      <w:r>
        <w:rPr>
          <w:rFonts w:hint="eastAsia" w:ascii="等线" w:hAnsi="等线" w:eastAsia="等线" w:cs="Times New Roman"/>
          <w:sz w:val="24"/>
          <w:szCs w:val="22"/>
        </w:rPr>
        <w:t>月</w:t>
      </w:r>
      <w:r>
        <w:rPr>
          <w:rFonts w:hint="eastAsia" w:ascii="等线" w:hAnsi="等线" w:eastAsia="等线" w:cs="Times New Roman"/>
          <w:sz w:val="24"/>
          <w:szCs w:val="22"/>
          <w:lang w:val="en-US" w:eastAsia="zh-CN"/>
        </w:rPr>
        <w:t>30</w:t>
      </w:r>
      <w:r>
        <w:rPr>
          <w:rFonts w:hint="eastAsia" w:ascii="等线" w:hAnsi="等线" w:eastAsia="等线" w:cs="Times New Roman"/>
          <w:sz w:val="24"/>
          <w:szCs w:val="22"/>
        </w:rPr>
        <w:t>日</w:t>
      </w:r>
    </w:p>
    <w:p w14:paraId="20A5C717">
      <w:pPr>
        <w:rPr>
          <w:rFonts w:hint="eastAsia" w:ascii="等线" w:hAnsi="等线" w:eastAsia="等线" w:cs="Times New Roman"/>
          <w:sz w:val="24"/>
          <w:szCs w:val="22"/>
        </w:rPr>
      </w:pPr>
      <w:r>
        <w:rPr>
          <w:rFonts w:hint="eastAsia" w:ascii="等线" w:hAnsi="等线" w:eastAsia="等线" w:cs="Times New Roman"/>
          <w:sz w:val="24"/>
          <w:szCs w:val="22"/>
        </w:rPr>
        <w:br w:type="page"/>
      </w:r>
    </w:p>
    <w:p w14:paraId="69F0C1F7">
      <w:pPr>
        <w:pStyle w:val="2"/>
        <w:bidi w:val="0"/>
        <w:rPr>
          <w:lang w:val="en-US" w:eastAsia="zh-CN"/>
        </w:rPr>
      </w:pPr>
      <w:bookmarkStart w:id="814" w:name="_Toc27443"/>
      <w:bookmarkStart w:id="815" w:name="_Toc57017184"/>
      <w:bookmarkStart w:id="816" w:name="_Toc22958"/>
      <w:bookmarkStart w:id="817" w:name="_Toc26580"/>
      <w:bookmarkStart w:id="818" w:name="_Toc10535"/>
      <w:r>
        <w:rPr>
          <w:rFonts w:hint="eastAsia"/>
          <w:lang w:val="en-US" w:eastAsia="zh-CN"/>
        </w:rPr>
        <w:t>《教育科学研究方法》课程教学大纲</w:t>
      </w:r>
      <w:bookmarkEnd w:id="814"/>
      <w:bookmarkEnd w:id="815"/>
      <w:bookmarkEnd w:id="816"/>
      <w:bookmarkEnd w:id="817"/>
      <w:bookmarkEnd w:id="818"/>
    </w:p>
    <w:p w14:paraId="13339D45">
      <w:pPr>
        <w:pStyle w:val="2"/>
        <w:bidi w:val="0"/>
        <w:rPr>
          <w:lang w:val="en-US" w:eastAsia="zh-CN"/>
        </w:rPr>
      </w:pPr>
      <w:bookmarkStart w:id="819" w:name="_Toc20403"/>
      <w:bookmarkStart w:id="820" w:name="_Toc13449"/>
      <w:bookmarkStart w:id="821" w:name="_Toc29306"/>
      <w:bookmarkStart w:id="822" w:name="_Toc20559"/>
      <w:bookmarkStart w:id="823" w:name="_Toc1501"/>
      <w:bookmarkStart w:id="824" w:name="_Toc10617"/>
      <w:bookmarkStart w:id="825" w:name="_Toc5253"/>
      <w:r>
        <w:rPr>
          <w:rFonts w:hint="eastAsia"/>
          <w:lang w:val="en-US" w:eastAsia="zh-CN"/>
        </w:rPr>
        <w:t>（</w:t>
      </w:r>
      <w:r>
        <w:rPr>
          <w:lang w:val="en-US" w:eastAsia="zh-CN"/>
        </w:rPr>
        <w:t>Educational Research Method</w:t>
      </w:r>
      <w:r>
        <w:rPr>
          <w:rFonts w:hint="eastAsia"/>
          <w:lang w:val="en-US" w:eastAsia="zh-CN"/>
        </w:rPr>
        <w:t>）</w:t>
      </w:r>
      <w:bookmarkEnd w:id="819"/>
      <w:bookmarkEnd w:id="820"/>
      <w:bookmarkEnd w:id="821"/>
      <w:bookmarkEnd w:id="822"/>
      <w:bookmarkEnd w:id="823"/>
      <w:bookmarkEnd w:id="824"/>
      <w:bookmarkEnd w:id="825"/>
    </w:p>
    <w:p w14:paraId="2366F687">
      <w:pPr>
        <w:spacing w:line="360" w:lineRule="auto"/>
        <w:jc w:val="center"/>
        <w:rPr>
          <w:rFonts w:ascii="Times New Roman" w:hAnsi="Times New Roman" w:eastAsia="宋体" w:cs="Times New Roman"/>
          <w:bCs/>
          <w:sz w:val="30"/>
          <w:szCs w:val="30"/>
        </w:rPr>
      </w:pPr>
    </w:p>
    <w:p w14:paraId="762993C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课程名称：教育科学研究方法</w:t>
      </w:r>
    </w:p>
    <w:p w14:paraId="04E252C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2401049</w:t>
      </w:r>
    </w:p>
    <w:p w14:paraId="1FD4D74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3</w:t>
      </w:r>
    </w:p>
    <w:p w14:paraId="2461FAC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48（其中，讲授学时32，实践学时16）</w:t>
      </w:r>
    </w:p>
    <w:p w14:paraId="7ED434D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先修课程：小学心理学、教育原理、教育心理学、课程与教学论，等</w:t>
      </w:r>
    </w:p>
    <w:p w14:paraId="5369E84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w:t>
      </w:r>
      <w:r>
        <w:rPr>
          <w:rFonts w:ascii="Times New Roman" w:hAnsi="Times New Roman" w:eastAsia="宋体" w:cs="Times New Roman"/>
          <w:b/>
          <w:sz w:val="24"/>
          <w:szCs w:val="24"/>
        </w:rPr>
        <w:t xml:space="preserve"> 小学教育（文）       </w:t>
      </w:r>
    </w:p>
    <w:p w14:paraId="05497F79">
      <w:pPr>
        <w:spacing w:line="360" w:lineRule="auto"/>
        <w:jc w:val="left"/>
        <w:rPr>
          <w:rFonts w:ascii="Times New Roman" w:hAnsi="Times New Roman" w:eastAsia="宋体" w:cs="Times New Roman"/>
          <w:b/>
          <w:sz w:val="28"/>
          <w:szCs w:val="28"/>
        </w:rPr>
      </w:pPr>
    </w:p>
    <w:p w14:paraId="778E3BED">
      <w:pPr>
        <w:spacing w:line="360" w:lineRule="auto"/>
        <w:jc w:val="left"/>
        <w:outlineLvl w:val="0"/>
        <w:rPr>
          <w:rFonts w:ascii="Times New Roman" w:hAnsi="Times New Roman" w:eastAsia="宋体" w:cs="Times New Roman"/>
          <w:sz w:val="24"/>
          <w:szCs w:val="24"/>
        </w:rPr>
      </w:pPr>
      <w:bookmarkStart w:id="826" w:name="_Toc25365"/>
      <w:bookmarkStart w:id="827" w:name="_Toc23374"/>
      <w:bookmarkStart w:id="828" w:name="_Toc1001"/>
      <w:bookmarkStart w:id="829" w:name="_Toc12820"/>
      <w:bookmarkStart w:id="830" w:name="_Toc5171"/>
      <w:bookmarkStart w:id="831" w:name="_Toc13980"/>
      <w:bookmarkStart w:id="832" w:name="_Toc14809"/>
      <w:r>
        <w:rPr>
          <w:rFonts w:hint="eastAsia" w:ascii="Times New Roman" w:hAnsi="Times New Roman" w:eastAsia="宋体" w:cs="Times New Roman"/>
          <w:b/>
          <w:sz w:val="28"/>
          <w:szCs w:val="28"/>
        </w:rPr>
        <w:t>一、课程简介</w:t>
      </w:r>
      <w:bookmarkEnd w:id="826"/>
      <w:bookmarkEnd w:id="827"/>
      <w:bookmarkEnd w:id="828"/>
      <w:bookmarkEnd w:id="829"/>
      <w:bookmarkEnd w:id="830"/>
      <w:bookmarkEnd w:id="831"/>
      <w:bookmarkEnd w:id="832"/>
    </w:p>
    <w:p w14:paraId="3FE8A69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通过本课程的学习，师范生能够了解教育科学研究的基本理论和一般过程，掌握小学教育科研基本方法，学会发现、分析和解决小学教育实践中的问题，形成小学教育科研的意识和开展教育科研工作的基本能力，并为后修课程“毕业论文”的写作奠定研究方法基础。</w:t>
      </w:r>
    </w:p>
    <w:p w14:paraId="76001F20">
      <w:pPr>
        <w:spacing w:line="360" w:lineRule="auto"/>
        <w:jc w:val="left"/>
        <w:rPr>
          <w:rFonts w:ascii="Times New Roman" w:hAnsi="Times New Roman" w:eastAsia="宋体" w:cs="Times New Roman"/>
          <w:sz w:val="24"/>
          <w:szCs w:val="24"/>
        </w:rPr>
      </w:pPr>
    </w:p>
    <w:p w14:paraId="5D807F91">
      <w:pPr>
        <w:spacing w:line="360" w:lineRule="auto"/>
        <w:jc w:val="left"/>
        <w:outlineLvl w:val="0"/>
        <w:rPr>
          <w:rFonts w:ascii="Times New Roman" w:hAnsi="Times New Roman" w:eastAsia="宋体" w:cs="Times New Roman"/>
          <w:sz w:val="24"/>
          <w:szCs w:val="24"/>
        </w:rPr>
      </w:pPr>
      <w:bookmarkStart w:id="833" w:name="_Toc32464"/>
      <w:bookmarkStart w:id="834" w:name="_Toc25752"/>
      <w:bookmarkStart w:id="835" w:name="_Toc10333"/>
      <w:bookmarkStart w:id="836" w:name="_Toc26094"/>
      <w:bookmarkStart w:id="837" w:name="_Toc16979"/>
      <w:bookmarkStart w:id="838" w:name="_Toc27271"/>
      <w:bookmarkStart w:id="839" w:name="_Toc23517"/>
      <w:r>
        <w:rPr>
          <w:rFonts w:hint="eastAsia" w:ascii="宋体" w:hAnsi="宋体" w:eastAsia="宋体" w:cs="Times New Roman"/>
          <w:b/>
          <w:sz w:val="28"/>
          <w:szCs w:val="28"/>
        </w:rPr>
        <w:t>二</w:t>
      </w:r>
      <w:r>
        <w:rPr>
          <w:rFonts w:ascii="宋体" w:hAnsi="宋体" w:eastAsia="宋体" w:cs="Times New Roman"/>
          <w:b/>
          <w:sz w:val="28"/>
          <w:szCs w:val="28"/>
        </w:rPr>
        <w:t>、课程目标</w:t>
      </w:r>
      <w:bookmarkEnd w:id="833"/>
      <w:bookmarkEnd w:id="834"/>
      <w:bookmarkEnd w:id="835"/>
      <w:bookmarkEnd w:id="836"/>
      <w:bookmarkEnd w:id="837"/>
      <w:bookmarkEnd w:id="838"/>
      <w:bookmarkEnd w:id="839"/>
    </w:p>
    <w:p w14:paraId="2D131184">
      <w:pPr>
        <w:spacing w:line="360" w:lineRule="auto"/>
        <w:ind w:firstLine="482" w:firstLineChars="200"/>
        <w:outlineLvl w:val="1"/>
        <w:rPr>
          <w:rFonts w:ascii="宋体" w:hAnsi="宋体" w:eastAsia="宋体" w:cs="Times New Roman"/>
          <w:b/>
          <w:sz w:val="24"/>
          <w:szCs w:val="24"/>
        </w:rPr>
      </w:pPr>
      <w:bookmarkStart w:id="840" w:name="_Toc17768"/>
      <w:r>
        <w:rPr>
          <w:rFonts w:hint="eastAsia" w:ascii="宋体" w:hAnsi="宋体" w:eastAsia="宋体" w:cs="Times New Roman"/>
          <w:b/>
          <w:sz w:val="24"/>
          <w:szCs w:val="24"/>
        </w:rPr>
        <w:t>（一）课程具体目标</w:t>
      </w:r>
      <w:bookmarkEnd w:id="840"/>
    </w:p>
    <w:p w14:paraId="6EBAB2EE">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目标1.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理解教育科学研究的价值，懂得通过合作开展教育科学研究的意义，树立正确的教育科研观。</w:t>
      </w:r>
    </w:p>
    <w:p w14:paraId="42B00980">
      <w:pPr>
        <w:autoSpaceDE w:val="0"/>
        <w:autoSpaceDN w:val="0"/>
        <w:adjustRightInd w:val="0"/>
        <w:spacing w:line="360" w:lineRule="auto"/>
        <w:ind w:firstLine="420" w:firstLineChars="200"/>
        <w:jc w:val="left"/>
        <w:rPr>
          <w:rFonts w:ascii="宋体" w:hAnsi="宋体" w:eastAsia="宋体" w:cs="Times New Roman"/>
          <w:b/>
          <w:bCs/>
          <w:kern w:val="0"/>
          <w:szCs w:val="21"/>
        </w:rPr>
      </w:pPr>
      <w:r>
        <w:rPr>
          <w:rFonts w:hint="eastAsia" w:ascii="Times New Roman" w:hAnsi="Times New Roman" w:eastAsia="宋体" w:cs="Times New Roman"/>
          <w:kern w:val="0"/>
          <w:szCs w:val="21"/>
        </w:rPr>
        <w:t>目标2. 了解小学教育研究课题的问题来源、研究现状和趋势，熟悉教育研究的过程，能够从中小学情境中选择合适的课题，独立设计教育研究方案。</w:t>
      </w:r>
      <w:r>
        <w:rPr>
          <w:rFonts w:ascii="Times New Roman" w:hAnsi="Times New Roman" w:eastAsia="宋体" w:cs="Times New Roman"/>
          <w:kern w:val="0"/>
          <w:szCs w:val="21"/>
        </w:rPr>
        <w:t xml:space="preserve"> </w:t>
      </w:r>
    </w:p>
    <w:p w14:paraId="6F1199BD">
      <w:pPr>
        <w:autoSpaceDE w:val="0"/>
        <w:autoSpaceDN w:val="0"/>
        <w:adjustRightInd w:val="0"/>
        <w:spacing w:line="360" w:lineRule="auto"/>
        <w:ind w:firstLine="420" w:firstLineChars="200"/>
        <w:jc w:val="left"/>
        <w:rPr>
          <w:rFonts w:ascii="宋体" w:hAnsi="宋体" w:eastAsia="宋体" w:cs="Times New Roman"/>
          <w:b/>
          <w:bCs/>
          <w:kern w:val="0"/>
          <w:szCs w:val="21"/>
        </w:rPr>
      </w:pPr>
      <w:r>
        <w:rPr>
          <w:rFonts w:hint="eastAsia" w:ascii="Times New Roman" w:hAnsi="Times New Roman" w:eastAsia="宋体" w:cs="Times New Roman"/>
          <w:kern w:val="0"/>
          <w:szCs w:val="21"/>
        </w:rPr>
        <w:t>目标3. 理解各种教育科学研究方法的特征、功能与局限性，能够根据基础教育的实际需要选择、设计和使用研究方法。</w:t>
      </w:r>
      <w:r>
        <w:rPr>
          <w:rFonts w:ascii="Times New Roman" w:hAnsi="Times New Roman" w:eastAsia="宋体" w:cs="Times New Roman"/>
          <w:kern w:val="0"/>
          <w:szCs w:val="21"/>
        </w:rPr>
        <w:t xml:space="preserve"> </w:t>
      </w:r>
    </w:p>
    <w:p w14:paraId="00607050">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kern w:val="0"/>
          <w:szCs w:val="21"/>
        </w:rPr>
        <w:t>目标4. 了解学术论文的基本结构，初步掌握学术论文的写作方法，能够撰写符合学术规范的论</w:t>
      </w:r>
      <w:r>
        <w:rPr>
          <w:rFonts w:hint="eastAsia" w:ascii="Times New Roman" w:hAnsi="Times New Roman" w:eastAsia="宋体" w:cs="Times New Roman"/>
          <w:szCs w:val="21"/>
        </w:rPr>
        <w:t>文。</w:t>
      </w:r>
    </w:p>
    <w:p w14:paraId="6C108BC1">
      <w:pPr>
        <w:autoSpaceDE w:val="0"/>
        <w:autoSpaceDN w:val="0"/>
        <w:adjustRightInd w:val="0"/>
        <w:spacing w:line="360" w:lineRule="auto"/>
        <w:ind w:firstLine="420" w:firstLineChars="200"/>
        <w:jc w:val="left"/>
        <w:rPr>
          <w:rFonts w:ascii="Times New Roman" w:hAnsi="Times New Roman" w:eastAsia="宋体" w:cs="Times New Roman"/>
          <w:szCs w:val="21"/>
        </w:rPr>
      </w:pPr>
    </w:p>
    <w:p w14:paraId="7F9BB855">
      <w:pPr>
        <w:spacing w:line="360" w:lineRule="auto"/>
        <w:ind w:firstLine="482" w:firstLineChars="200"/>
        <w:jc w:val="left"/>
        <w:outlineLvl w:val="1"/>
        <w:rPr>
          <w:rFonts w:ascii="Times New Roman" w:hAnsi="Times New Roman" w:eastAsia="宋体" w:cs="Times New Roman"/>
          <w:b/>
          <w:bCs/>
          <w:sz w:val="24"/>
          <w:szCs w:val="24"/>
        </w:rPr>
      </w:pPr>
      <w:bookmarkStart w:id="841" w:name="_Toc8820"/>
      <w:r>
        <w:rPr>
          <w:rFonts w:hint="eastAsia" w:ascii="Times New Roman" w:hAnsi="Times New Roman" w:eastAsia="宋体" w:cs="Times New Roman"/>
          <w:b/>
          <w:bCs/>
          <w:sz w:val="24"/>
          <w:szCs w:val="24"/>
        </w:rPr>
        <w:t>（二）课程目标及其对毕业要求指标点的支撑</w:t>
      </w:r>
      <w:bookmarkEnd w:id="841"/>
    </w:p>
    <w:p w14:paraId="639E6266">
      <w:pPr>
        <w:spacing w:line="360" w:lineRule="auto"/>
        <w:jc w:val="center"/>
        <w:rPr>
          <w:rFonts w:ascii="Times New Roman" w:hAnsi="Times New Roman" w:eastAsia="宋体" w:cs="Times New Roman"/>
          <w:b/>
          <w:bCs/>
          <w:sz w:val="24"/>
          <w:szCs w:val="24"/>
        </w:rPr>
      </w:pPr>
      <w:bookmarkStart w:id="842" w:name="_Hlk182037875"/>
      <w:r>
        <w:rPr>
          <w:rFonts w:hint="eastAsia" w:ascii="Times New Roman" w:hAnsi="Times New Roman" w:eastAsia="宋体" w:cs="Times New Roman"/>
          <w:b/>
          <w:bCs/>
          <w:sz w:val="24"/>
          <w:szCs w:val="24"/>
        </w:rPr>
        <w:t>表</w:t>
      </w:r>
      <w:r>
        <w:rPr>
          <w:rFonts w:ascii="Times New Roman" w:hAnsi="Times New Roman" w:eastAsia="宋体" w:cs="Times New Roman"/>
          <w:b/>
          <w:bCs/>
          <w:sz w:val="24"/>
          <w:szCs w:val="24"/>
        </w:rPr>
        <w:t xml:space="preserve">1 </w:t>
      </w:r>
      <w:bookmarkEnd w:id="842"/>
      <w:r>
        <w:rPr>
          <w:rFonts w:ascii="Times New Roman" w:hAnsi="Times New Roman" w:eastAsia="宋体" w:cs="Times New Roman"/>
          <w:b/>
          <w:bCs/>
          <w:sz w:val="24"/>
          <w:szCs w:val="24"/>
        </w:rPr>
        <w:t>课程目标及其对毕业要求</w:t>
      </w:r>
      <w:r>
        <w:rPr>
          <w:rFonts w:hint="eastAsia" w:ascii="Times New Roman" w:hAnsi="Times New Roman" w:eastAsia="宋体" w:cs="Times New Roman"/>
          <w:b/>
          <w:bCs/>
          <w:sz w:val="24"/>
          <w:szCs w:val="24"/>
        </w:rPr>
        <w:t>指标</w:t>
      </w:r>
      <w:r>
        <w:rPr>
          <w:rFonts w:ascii="Times New Roman" w:hAnsi="Times New Roman" w:eastAsia="宋体" w:cs="Times New Roman"/>
          <w:b/>
          <w:bCs/>
          <w:sz w:val="24"/>
          <w:szCs w:val="24"/>
        </w:rPr>
        <w:t>点的支撑</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3609"/>
        <w:gridCol w:w="1922"/>
      </w:tblGrid>
      <w:tr w14:paraId="7318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67E203F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3609" w:type="dxa"/>
          </w:tcPr>
          <w:p w14:paraId="6F4F2F4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922" w:type="dxa"/>
          </w:tcPr>
          <w:p w14:paraId="604026B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AFF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restart"/>
            <w:vAlign w:val="center"/>
          </w:tcPr>
          <w:p w14:paraId="4BE322C0">
            <w:pPr>
              <w:spacing w:line="276" w:lineRule="auto"/>
              <w:jc w:val="left"/>
              <w:rPr>
                <w:rFonts w:ascii="宋体" w:hAnsi="宋体" w:eastAsia="宋体" w:cs="宋体"/>
                <w:szCs w:val="21"/>
              </w:rPr>
            </w:pPr>
            <w:r>
              <w:rPr>
                <w:rFonts w:hint="eastAsia" w:ascii="宋体" w:hAnsi="宋体" w:eastAsia="宋体" w:cs="宋体"/>
                <w:szCs w:val="21"/>
              </w:rPr>
              <w:t>毕业要求8.沟通合作</w:t>
            </w:r>
          </w:p>
        </w:tc>
        <w:tc>
          <w:tcPr>
            <w:tcW w:w="3609" w:type="dxa"/>
            <w:vMerge w:val="restart"/>
            <w:vAlign w:val="center"/>
          </w:tcPr>
          <w:p w14:paraId="02C1C0B2">
            <w:pPr>
              <w:spacing w:line="276" w:lineRule="auto"/>
              <w:jc w:val="left"/>
              <w:rPr>
                <w:rFonts w:ascii="宋体" w:hAnsi="宋体" w:eastAsia="宋体" w:cs="Times New Roman"/>
                <w:szCs w:val="21"/>
              </w:rPr>
            </w:pPr>
            <w:r>
              <w:rPr>
                <w:rFonts w:hint="eastAsia" w:ascii="宋体" w:hAnsi="宋体" w:eastAsia="宋体" w:cs="宋体"/>
                <w:szCs w:val="21"/>
              </w:rPr>
              <w:t>指标点</w:t>
            </w:r>
            <w:r>
              <w:rPr>
                <w:rFonts w:ascii="宋体" w:hAnsi="宋体" w:eastAsia="宋体" w:cs="宋体"/>
                <w:szCs w:val="21"/>
              </w:rPr>
              <w:t>8-1：【善于团队合作】理解学习共同体的本质和价值，掌握团队协作的基本策略，在课堂学习与教育实践中获得合作学习体验，形成团队协作精神。</w:t>
            </w:r>
          </w:p>
        </w:tc>
        <w:tc>
          <w:tcPr>
            <w:tcW w:w="1922" w:type="dxa"/>
            <w:vAlign w:val="center"/>
          </w:tcPr>
          <w:p w14:paraId="79840412">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6163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continue"/>
            <w:vAlign w:val="center"/>
          </w:tcPr>
          <w:p w14:paraId="3DB8792D">
            <w:pPr>
              <w:spacing w:line="276" w:lineRule="auto"/>
              <w:jc w:val="left"/>
              <w:rPr>
                <w:rFonts w:ascii="宋体" w:hAnsi="宋体" w:eastAsia="宋体" w:cs="宋体"/>
                <w:szCs w:val="21"/>
              </w:rPr>
            </w:pPr>
          </w:p>
        </w:tc>
        <w:tc>
          <w:tcPr>
            <w:tcW w:w="3609" w:type="dxa"/>
            <w:vMerge w:val="continue"/>
            <w:vAlign w:val="center"/>
          </w:tcPr>
          <w:p w14:paraId="4016373B">
            <w:pPr>
              <w:spacing w:line="276" w:lineRule="auto"/>
              <w:jc w:val="left"/>
              <w:rPr>
                <w:rFonts w:ascii="宋体" w:hAnsi="宋体" w:eastAsia="宋体" w:cs="宋体"/>
                <w:szCs w:val="21"/>
              </w:rPr>
            </w:pPr>
          </w:p>
        </w:tc>
        <w:tc>
          <w:tcPr>
            <w:tcW w:w="1922" w:type="dxa"/>
            <w:vAlign w:val="center"/>
          </w:tcPr>
          <w:p w14:paraId="6221C875">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774C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restart"/>
            <w:vAlign w:val="center"/>
          </w:tcPr>
          <w:p w14:paraId="386FBECC">
            <w:pPr>
              <w:widowControl w:val="0"/>
              <w:spacing w:line="276" w:lineRule="auto"/>
              <w:ind w:firstLine="0" w:firstLineChars="0"/>
              <w:jc w:val="both"/>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毕业要求4.教学能力</w:t>
            </w:r>
          </w:p>
        </w:tc>
        <w:tc>
          <w:tcPr>
            <w:tcW w:w="3609" w:type="dxa"/>
            <w:vMerge w:val="restart"/>
            <w:vAlign w:val="center"/>
          </w:tcPr>
          <w:p w14:paraId="4B6778CF">
            <w:pPr>
              <w:widowControl w:val="0"/>
              <w:spacing w:line="276" w:lineRule="auto"/>
              <w:ind w:firstLine="0" w:firstLineChars="0"/>
              <w:jc w:val="left"/>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指标点</w:t>
            </w:r>
            <w:r>
              <w:rPr>
                <w:rFonts w:ascii="宋体" w:hAnsi="宋体" w:eastAsia="宋体" w:cs="宋体"/>
                <w:kern w:val="2"/>
                <w:sz w:val="21"/>
                <w:szCs w:val="21"/>
                <w:lang w:val="en-US" w:eastAsia="zh-CN" w:bidi="ar-SA"/>
              </w:rPr>
              <w:t>4-4：【具备教学研究能力】掌握教育研究的基本方法，在教育教学实践中，结合小学教育教学实践进行研究，具有一定的教学研究能力。</w:t>
            </w:r>
          </w:p>
        </w:tc>
        <w:tc>
          <w:tcPr>
            <w:tcW w:w="1922" w:type="dxa"/>
            <w:vAlign w:val="center"/>
          </w:tcPr>
          <w:p w14:paraId="3874E8CE">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4CFE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continue"/>
            <w:vAlign w:val="center"/>
          </w:tcPr>
          <w:p w14:paraId="73316B56">
            <w:pPr>
              <w:widowControl w:val="0"/>
              <w:spacing w:line="276" w:lineRule="auto"/>
              <w:ind w:firstLine="0" w:firstLineChars="0"/>
              <w:jc w:val="both"/>
              <w:rPr>
                <w:rFonts w:ascii="宋体" w:hAnsi="宋体" w:eastAsia="宋体" w:cs="宋体"/>
                <w:kern w:val="2"/>
                <w:sz w:val="21"/>
                <w:szCs w:val="21"/>
                <w:lang w:val="en-US" w:eastAsia="zh-CN" w:bidi="ar-SA"/>
              </w:rPr>
            </w:pPr>
          </w:p>
        </w:tc>
        <w:tc>
          <w:tcPr>
            <w:tcW w:w="3609" w:type="dxa"/>
            <w:vMerge w:val="continue"/>
            <w:vAlign w:val="center"/>
          </w:tcPr>
          <w:p w14:paraId="1D16DA24">
            <w:pPr>
              <w:widowControl w:val="0"/>
              <w:spacing w:line="276" w:lineRule="auto"/>
              <w:ind w:firstLine="0" w:firstLineChars="0"/>
              <w:jc w:val="left"/>
              <w:rPr>
                <w:rFonts w:ascii="宋体" w:hAnsi="宋体" w:eastAsia="宋体" w:cs="宋体"/>
                <w:kern w:val="2"/>
                <w:sz w:val="21"/>
                <w:szCs w:val="21"/>
                <w:lang w:val="en-US" w:eastAsia="zh-CN" w:bidi="ar-SA"/>
              </w:rPr>
            </w:pPr>
          </w:p>
        </w:tc>
        <w:tc>
          <w:tcPr>
            <w:tcW w:w="1922" w:type="dxa"/>
            <w:vAlign w:val="center"/>
          </w:tcPr>
          <w:p w14:paraId="24B165F7">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25CB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restart"/>
            <w:vAlign w:val="center"/>
          </w:tcPr>
          <w:p w14:paraId="35A6C5F9">
            <w:pPr>
              <w:widowControl w:val="0"/>
              <w:spacing w:line="276" w:lineRule="auto"/>
              <w:ind w:firstLine="0" w:firstLineChars="0"/>
              <w:jc w:val="both"/>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毕业要求7.学会反思</w:t>
            </w:r>
          </w:p>
        </w:tc>
        <w:tc>
          <w:tcPr>
            <w:tcW w:w="3609" w:type="dxa"/>
            <w:vAlign w:val="center"/>
          </w:tcPr>
          <w:p w14:paraId="2DEBE6FB">
            <w:pPr>
              <w:widowControl w:val="0"/>
              <w:spacing w:line="276" w:lineRule="auto"/>
              <w:ind w:firstLine="0" w:firstLineChars="0"/>
              <w:jc w:val="left"/>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指标点</w:t>
            </w:r>
            <w:r>
              <w:rPr>
                <w:rFonts w:ascii="宋体" w:hAnsi="宋体" w:eastAsia="宋体" w:cs="宋体"/>
                <w:kern w:val="2"/>
                <w:sz w:val="21"/>
                <w:szCs w:val="21"/>
                <w:lang w:val="en-US" w:eastAsia="zh-CN" w:bidi="ar-SA"/>
              </w:rPr>
              <w:t>7-1：【教育视野开阔】积极关注基础教育领域的国内外交流进展，了解国内外基础教育改革发展的动态，具有宽广的教育视野，能够主动适应新时代和教育发展需求。</w:t>
            </w:r>
          </w:p>
        </w:tc>
        <w:tc>
          <w:tcPr>
            <w:tcW w:w="1922" w:type="dxa"/>
            <w:vAlign w:val="center"/>
          </w:tcPr>
          <w:p w14:paraId="1F9FBA7F">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5B9D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65" w:type="dxa"/>
            <w:vMerge w:val="continue"/>
            <w:vAlign w:val="center"/>
          </w:tcPr>
          <w:p w14:paraId="295C034A">
            <w:pPr>
              <w:widowControl w:val="0"/>
              <w:spacing w:line="276" w:lineRule="auto"/>
              <w:ind w:firstLine="0" w:firstLineChars="0"/>
              <w:jc w:val="both"/>
              <w:rPr>
                <w:rFonts w:ascii="宋体" w:hAnsi="宋体" w:eastAsia="宋体" w:cs="宋体"/>
                <w:kern w:val="2"/>
                <w:sz w:val="21"/>
                <w:szCs w:val="21"/>
                <w:lang w:val="en-US" w:eastAsia="zh-CN" w:bidi="ar-SA"/>
              </w:rPr>
            </w:pPr>
          </w:p>
        </w:tc>
        <w:tc>
          <w:tcPr>
            <w:tcW w:w="3609" w:type="dxa"/>
            <w:vMerge w:val="restart"/>
            <w:vAlign w:val="center"/>
          </w:tcPr>
          <w:p w14:paraId="3A0982E1">
            <w:pPr>
              <w:widowControl w:val="0"/>
              <w:spacing w:line="276" w:lineRule="auto"/>
              <w:ind w:firstLine="0" w:firstLineChars="0"/>
              <w:jc w:val="left"/>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指标点</w:t>
            </w:r>
            <w:r>
              <w:rPr>
                <w:rFonts w:ascii="宋体" w:hAnsi="宋体" w:eastAsia="宋体" w:cs="宋体"/>
                <w:kern w:val="2"/>
                <w:sz w:val="21"/>
                <w:szCs w:val="21"/>
                <w:lang w:val="en-US" w:eastAsia="zh-CN" w:bidi="ar-SA"/>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922" w:type="dxa"/>
            <w:vAlign w:val="center"/>
          </w:tcPr>
          <w:p w14:paraId="335B6841">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5DE1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65" w:type="dxa"/>
            <w:vMerge w:val="continue"/>
            <w:vAlign w:val="center"/>
          </w:tcPr>
          <w:p w14:paraId="1ED7CA78">
            <w:pPr>
              <w:widowControl w:val="0"/>
              <w:spacing w:line="276" w:lineRule="auto"/>
              <w:ind w:firstLine="0" w:firstLineChars="0"/>
              <w:jc w:val="both"/>
              <w:rPr>
                <w:rFonts w:ascii="宋体" w:hAnsi="宋体" w:eastAsia="宋体" w:cs="宋体"/>
                <w:kern w:val="2"/>
                <w:sz w:val="21"/>
                <w:szCs w:val="21"/>
                <w:lang w:val="en-US" w:eastAsia="zh-CN" w:bidi="ar-SA"/>
              </w:rPr>
            </w:pPr>
          </w:p>
        </w:tc>
        <w:tc>
          <w:tcPr>
            <w:tcW w:w="3609" w:type="dxa"/>
            <w:vMerge w:val="continue"/>
            <w:vAlign w:val="center"/>
          </w:tcPr>
          <w:p w14:paraId="70EDCE81">
            <w:pPr>
              <w:widowControl w:val="0"/>
              <w:spacing w:line="276" w:lineRule="auto"/>
              <w:ind w:firstLine="0" w:firstLineChars="0"/>
              <w:jc w:val="left"/>
              <w:rPr>
                <w:rFonts w:ascii="宋体" w:hAnsi="宋体" w:eastAsia="宋体" w:cs="宋体"/>
                <w:kern w:val="2"/>
                <w:sz w:val="21"/>
                <w:szCs w:val="21"/>
                <w:lang w:val="en-US" w:eastAsia="zh-CN" w:bidi="ar-SA"/>
              </w:rPr>
            </w:pPr>
          </w:p>
        </w:tc>
        <w:tc>
          <w:tcPr>
            <w:tcW w:w="1922" w:type="dxa"/>
            <w:vAlign w:val="center"/>
          </w:tcPr>
          <w:p w14:paraId="3C25681F">
            <w:pPr>
              <w:spacing w:line="360" w:lineRule="auto"/>
              <w:jc w:val="left"/>
              <w:rPr>
                <w:rFonts w:ascii="宋体" w:hAnsi="宋体" w:eastAsia="宋体" w:cs="宋体"/>
                <w:szCs w:val="21"/>
              </w:rPr>
            </w:pPr>
            <w:r>
              <w:rPr>
                <w:rFonts w:hint="eastAsia" w:ascii="宋体" w:hAnsi="宋体" w:eastAsia="宋体" w:cs="宋体"/>
                <w:szCs w:val="21"/>
              </w:rPr>
              <w:t>课程目标 4</w:t>
            </w:r>
          </w:p>
        </w:tc>
      </w:tr>
    </w:tbl>
    <w:p w14:paraId="6FC45FDA">
      <w:pPr>
        <w:spacing w:line="360" w:lineRule="auto"/>
        <w:ind w:firstLine="482" w:firstLineChars="200"/>
        <w:rPr>
          <w:rFonts w:ascii="宋体" w:hAnsi="宋体" w:eastAsia="宋体" w:cs="Times New Roman"/>
          <w:b/>
          <w:sz w:val="24"/>
          <w:szCs w:val="28"/>
        </w:rPr>
      </w:pPr>
    </w:p>
    <w:p w14:paraId="185EB1AA">
      <w:pPr>
        <w:spacing w:line="360" w:lineRule="auto"/>
        <w:ind w:firstLine="482" w:firstLineChars="200"/>
        <w:outlineLvl w:val="1"/>
        <w:rPr>
          <w:rFonts w:ascii="宋体" w:hAnsi="宋体" w:eastAsia="宋体" w:cs="Times New Roman"/>
          <w:b/>
          <w:sz w:val="24"/>
          <w:szCs w:val="28"/>
        </w:rPr>
      </w:pPr>
      <w:bookmarkStart w:id="843" w:name="_Toc15944"/>
      <w:r>
        <w:rPr>
          <w:rFonts w:hint="eastAsia" w:ascii="宋体" w:hAnsi="宋体" w:eastAsia="宋体" w:cs="Times New Roman"/>
          <w:b/>
          <w:sz w:val="24"/>
          <w:szCs w:val="28"/>
        </w:rPr>
        <w:t>（三）课程思政目标</w:t>
      </w:r>
      <w:bookmarkEnd w:id="843"/>
    </w:p>
    <w:p w14:paraId="4B464135">
      <w:pPr>
        <w:spacing w:line="360" w:lineRule="auto"/>
        <w:ind w:firstLine="411" w:firstLineChars="196"/>
        <w:jc w:val="left"/>
        <w:rPr>
          <w:rFonts w:ascii="宋体" w:hAnsi="宋体" w:eastAsia="宋体" w:cs="Times New Roman"/>
          <w:szCs w:val="21"/>
        </w:rPr>
      </w:pPr>
      <w:r>
        <w:rPr>
          <w:rFonts w:hint="eastAsia" w:ascii="宋体" w:hAnsi="宋体" w:eastAsia="宋体" w:cs="Times New Roman"/>
          <w:szCs w:val="21"/>
        </w:rPr>
        <w:t>学生在扎实掌握教育科学研究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135B10FE">
      <w:pPr>
        <w:spacing w:line="360" w:lineRule="auto"/>
        <w:jc w:val="left"/>
        <w:rPr>
          <w:rFonts w:ascii="宋体" w:hAnsi="宋体" w:eastAsia="宋体" w:cs="Times New Roman"/>
          <w:b/>
          <w:sz w:val="24"/>
          <w:szCs w:val="24"/>
        </w:rPr>
      </w:pPr>
    </w:p>
    <w:p w14:paraId="0D8ED929">
      <w:pPr>
        <w:spacing w:line="360" w:lineRule="auto"/>
        <w:jc w:val="left"/>
        <w:rPr>
          <w:rFonts w:ascii="宋体" w:hAnsi="宋体" w:eastAsia="宋体" w:cs="Times New Roman"/>
          <w:b/>
          <w:sz w:val="24"/>
          <w:szCs w:val="24"/>
        </w:rPr>
      </w:pPr>
    </w:p>
    <w:p w14:paraId="3B94E948">
      <w:pPr>
        <w:spacing w:line="360" w:lineRule="auto"/>
        <w:jc w:val="left"/>
        <w:rPr>
          <w:rFonts w:ascii="宋体" w:hAnsi="宋体" w:eastAsia="宋体" w:cs="Times New Roman"/>
          <w:b/>
          <w:sz w:val="24"/>
          <w:szCs w:val="24"/>
        </w:rPr>
      </w:pPr>
    </w:p>
    <w:p w14:paraId="2E1B0133">
      <w:pPr>
        <w:spacing w:line="360" w:lineRule="auto"/>
        <w:jc w:val="left"/>
        <w:outlineLvl w:val="0"/>
        <w:rPr>
          <w:rFonts w:ascii="宋体" w:hAnsi="宋体" w:eastAsia="宋体" w:cs="Times New Roman"/>
          <w:b/>
          <w:sz w:val="24"/>
          <w:szCs w:val="24"/>
        </w:rPr>
      </w:pPr>
      <w:bookmarkStart w:id="844" w:name="_Toc27913"/>
      <w:bookmarkStart w:id="845" w:name="_Toc13146"/>
      <w:bookmarkStart w:id="846" w:name="_Toc29750"/>
      <w:bookmarkStart w:id="847" w:name="_Toc5116"/>
      <w:bookmarkStart w:id="848" w:name="_Toc1030"/>
      <w:bookmarkStart w:id="849" w:name="_Toc1786"/>
      <w:bookmarkStart w:id="850" w:name="_Toc16788"/>
      <w:r>
        <w:rPr>
          <w:rFonts w:hint="eastAsia" w:ascii="宋体" w:hAnsi="宋体" w:eastAsia="宋体" w:cs="Times New Roman"/>
          <w:b/>
          <w:sz w:val="24"/>
          <w:szCs w:val="24"/>
        </w:rPr>
        <w:t>三、教学内容与预期学习成效</w:t>
      </w:r>
      <w:bookmarkEnd w:id="844"/>
      <w:bookmarkEnd w:id="845"/>
      <w:bookmarkEnd w:id="846"/>
      <w:bookmarkEnd w:id="847"/>
      <w:bookmarkEnd w:id="848"/>
      <w:bookmarkEnd w:id="849"/>
      <w:bookmarkEnd w:id="850"/>
    </w:p>
    <w:p w14:paraId="6FB06FC1">
      <w:pPr>
        <w:spacing w:line="360" w:lineRule="auto"/>
        <w:jc w:val="left"/>
        <w:rPr>
          <w:rFonts w:ascii="宋体" w:hAnsi="宋体" w:eastAsia="宋体" w:cs="Times New Roman"/>
          <w:szCs w:val="21"/>
        </w:rPr>
      </w:pPr>
      <w:r>
        <w:rPr>
          <w:rFonts w:hint="eastAsia" w:ascii="宋体" w:hAnsi="宋体" w:eastAsia="宋体" w:cs="Times New Roman"/>
          <w:b/>
          <w:sz w:val="24"/>
          <w:szCs w:val="24"/>
        </w:rPr>
        <w:t xml:space="preserve"> </w:t>
      </w:r>
      <w:r>
        <w:rPr>
          <w:rFonts w:ascii="宋体" w:hAnsi="宋体" w:eastAsia="宋体" w:cs="Times New Roman"/>
          <w:b/>
          <w:sz w:val="24"/>
          <w:szCs w:val="24"/>
        </w:rPr>
        <w:t xml:space="preserve">  </w:t>
      </w:r>
      <w:r>
        <w:rPr>
          <w:rFonts w:hint="eastAsia" w:ascii="宋体" w:hAnsi="宋体" w:eastAsia="宋体" w:cs="Times New Roman"/>
          <w:szCs w:val="21"/>
        </w:rPr>
        <w:t>本课程主要教学内容及学生预期学习成效见表2。</w:t>
      </w:r>
    </w:p>
    <w:p w14:paraId="322A667C">
      <w:pPr>
        <w:spacing w:line="360" w:lineRule="auto"/>
        <w:ind w:firstLine="1928" w:firstLineChars="800"/>
        <w:jc w:val="left"/>
        <w:rPr>
          <w:rFonts w:ascii="宋体" w:hAnsi="宋体" w:eastAsia="宋体" w:cs="Times New Roman"/>
          <w:b/>
          <w:sz w:val="24"/>
          <w:szCs w:val="24"/>
        </w:rPr>
      </w:pPr>
      <w:r>
        <w:rPr>
          <w:rFonts w:hint="eastAsia" w:ascii="宋体" w:hAnsi="宋体" w:eastAsia="宋体" w:cs="Times New Roman"/>
          <w:b/>
          <w:sz w:val="24"/>
          <w:szCs w:val="24"/>
        </w:rPr>
        <w:t>表</w:t>
      </w:r>
      <w:r>
        <w:rPr>
          <w:rFonts w:ascii="宋体" w:hAnsi="宋体" w:eastAsia="宋体" w:cs="Times New Roman"/>
          <w:b/>
          <w:sz w:val="24"/>
          <w:szCs w:val="24"/>
        </w:rPr>
        <w:t xml:space="preserve">2   </w:t>
      </w:r>
      <w:r>
        <w:rPr>
          <w:rFonts w:hint="eastAsia" w:ascii="宋体" w:hAnsi="宋体" w:eastAsia="宋体" w:cs="Times New Roman"/>
          <w:b/>
          <w:sz w:val="24"/>
          <w:szCs w:val="24"/>
        </w:rPr>
        <w:t>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26"/>
        <w:gridCol w:w="1276"/>
        <w:gridCol w:w="656"/>
      </w:tblGrid>
      <w:tr w14:paraId="698A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EAD7AA4">
            <w:pPr>
              <w:jc w:val="center"/>
              <w:rPr>
                <w:rFonts w:ascii="宋体" w:hAnsi="宋体" w:eastAsia="宋体" w:cs="Times New Roman"/>
                <w:b/>
                <w:szCs w:val="21"/>
              </w:rPr>
            </w:pPr>
            <w:r>
              <w:rPr>
                <w:rFonts w:hint="eastAsia" w:ascii="宋体" w:hAnsi="宋体" w:eastAsia="宋体" w:cs="Times New Roman"/>
                <w:b/>
                <w:szCs w:val="21"/>
              </w:rPr>
              <w:t>知识</w:t>
            </w:r>
          </w:p>
          <w:p w14:paraId="71D25850">
            <w:pPr>
              <w:jc w:val="center"/>
              <w:rPr>
                <w:rFonts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12940E55">
            <w:pPr>
              <w:jc w:val="center"/>
              <w:rPr>
                <w:rFonts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6004721C">
            <w:pPr>
              <w:jc w:val="center"/>
              <w:rPr>
                <w:rFonts w:ascii="宋体" w:hAnsi="宋体" w:eastAsia="宋体" w:cs="Times New Roman"/>
                <w:b/>
                <w:szCs w:val="21"/>
              </w:rPr>
            </w:pPr>
            <w:r>
              <w:rPr>
                <w:rFonts w:hint="eastAsia" w:ascii="宋体" w:hAnsi="宋体" w:eastAsia="宋体" w:cs="Times New Roman"/>
                <w:b/>
                <w:szCs w:val="21"/>
              </w:rPr>
              <w:t>对应</w:t>
            </w:r>
          </w:p>
          <w:p w14:paraId="18C4583C">
            <w:pPr>
              <w:jc w:val="center"/>
              <w:rPr>
                <w:rFonts w:ascii="宋体" w:hAnsi="宋体" w:eastAsia="宋体" w:cs="Times New Roman"/>
                <w:b/>
                <w:szCs w:val="21"/>
              </w:rPr>
            </w:pPr>
            <w:r>
              <w:rPr>
                <w:rFonts w:hint="eastAsia" w:ascii="宋体" w:hAnsi="宋体" w:eastAsia="宋体" w:cs="Times New Roman"/>
                <w:b/>
                <w:szCs w:val="21"/>
              </w:rPr>
              <w:t>课程目标</w:t>
            </w:r>
          </w:p>
        </w:tc>
        <w:tc>
          <w:tcPr>
            <w:tcW w:w="3326" w:type="dxa"/>
            <w:vAlign w:val="center"/>
          </w:tcPr>
          <w:p w14:paraId="46B3FF08">
            <w:pPr>
              <w:jc w:val="center"/>
              <w:rPr>
                <w:rFonts w:ascii="宋体" w:hAnsi="宋体" w:eastAsia="宋体" w:cs="Times New Roman"/>
                <w:b/>
                <w:szCs w:val="21"/>
              </w:rPr>
            </w:pPr>
            <w:r>
              <w:rPr>
                <w:rFonts w:hint="eastAsia" w:ascii="宋体" w:hAnsi="宋体" w:eastAsia="宋体" w:cs="Times New Roman"/>
                <w:b/>
                <w:szCs w:val="21"/>
              </w:rPr>
              <w:t>预期学习成效</w:t>
            </w:r>
          </w:p>
        </w:tc>
        <w:tc>
          <w:tcPr>
            <w:tcW w:w="1276" w:type="dxa"/>
            <w:vAlign w:val="center"/>
          </w:tcPr>
          <w:p w14:paraId="0216A6BC">
            <w:pPr>
              <w:jc w:val="center"/>
              <w:rPr>
                <w:rFonts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014FF44A">
            <w:pPr>
              <w:jc w:val="center"/>
              <w:rPr>
                <w:rFonts w:ascii="宋体" w:hAnsi="宋体" w:eastAsia="宋体" w:cs="Times New Roman"/>
                <w:b/>
                <w:szCs w:val="21"/>
              </w:rPr>
            </w:pPr>
            <w:r>
              <w:rPr>
                <w:rFonts w:hint="eastAsia" w:ascii="宋体" w:hAnsi="宋体" w:eastAsia="宋体" w:cs="Times New Roman"/>
                <w:b/>
                <w:szCs w:val="21"/>
              </w:rPr>
              <w:t>学时</w:t>
            </w:r>
          </w:p>
        </w:tc>
      </w:tr>
      <w:tr w14:paraId="1E94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2E36EDC">
            <w:pPr>
              <w:spacing w:line="264" w:lineRule="auto"/>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教育科学研究概述</w:t>
            </w:r>
          </w:p>
        </w:tc>
        <w:tc>
          <w:tcPr>
            <w:tcW w:w="1701" w:type="dxa"/>
            <w:vAlign w:val="center"/>
          </w:tcPr>
          <w:p w14:paraId="0A16E6E3">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教育科学研究的涵义、特征和意义</w:t>
            </w:r>
          </w:p>
          <w:p w14:paraId="7022192D">
            <w:pPr>
              <w:jc w:val="left"/>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教育科学研究的类型及其发展趋势</w:t>
            </w:r>
          </w:p>
          <w:p w14:paraId="51084CB6">
            <w:pPr>
              <w:jc w:val="left"/>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教育学科研究中学术规范与伦理问题</w:t>
            </w:r>
          </w:p>
          <w:p w14:paraId="346B1B07">
            <w:pPr>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学习教育科学研究的方法</w:t>
            </w:r>
          </w:p>
        </w:tc>
        <w:tc>
          <w:tcPr>
            <w:tcW w:w="1134" w:type="dxa"/>
            <w:vAlign w:val="center"/>
          </w:tcPr>
          <w:p w14:paraId="1D3B2678">
            <w:pPr>
              <w:jc w:val="center"/>
              <w:rPr>
                <w:rFonts w:ascii="宋体" w:hAnsi="宋体" w:eastAsia="宋体" w:cs="Times New Roman"/>
                <w:szCs w:val="21"/>
              </w:rPr>
            </w:pPr>
            <w:r>
              <w:rPr>
                <w:rFonts w:hint="eastAsia" w:ascii="宋体" w:hAnsi="宋体" w:eastAsia="宋体" w:cs="Times New Roman"/>
                <w:szCs w:val="21"/>
              </w:rPr>
              <w:t>课程目标1</w:t>
            </w:r>
          </w:p>
        </w:tc>
        <w:tc>
          <w:tcPr>
            <w:tcW w:w="3326" w:type="dxa"/>
            <w:vAlign w:val="center"/>
          </w:tcPr>
          <w:p w14:paraId="6F9673DB">
            <w:pPr>
              <w:jc w:val="lef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理解教育科学研究的涵义、特征和意义；</w:t>
            </w:r>
          </w:p>
          <w:p w14:paraId="16D64C39">
            <w:pPr>
              <w:jc w:val="left"/>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熟悉教育科学研究方法的类型及其发展趋势；</w:t>
            </w:r>
          </w:p>
          <w:p w14:paraId="169F9F47">
            <w:pPr>
              <w:jc w:val="left"/>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了解教育科学研究中的学术规范与伦理问题，树立正确的学术观和价值观；</w:t>
            </w:r>
          </w:p>
          <w:p w14:paraId="6F9B291C">
            <w:pPr>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掌握正确的学习教育研究的方法，立志投身教育科学研究。</w:t>
            </w:r>
          </w:p>
        </w:tc>
        <w:tc>
          <w:tcPr>
            <w:tcW w:w="1276" w:type="dxa"/>
            <w:vAlign w:val="center"/>
          </w:tcPr>
          <w:p w14:paraId="5CB72463">
            <w:pPr>
              <w:spacing w:line="269" w:lineRule="auto"/>
              <w:jc w:val="left"/>
              <w:rPr>
                <w:rFonts w:ascii="宋体" w:hAnsi="宋体" w:eastAsia="宋体" w:cs="Times New Roman"/>
                <w:szCs w:val="21"/>
              </w:rPr>
            </w:pPr>
            <w:r>
              <w:rPr>
                <w:rFonts w:hint="eastAsia" w:ascii="宋体" w:hAnsi="宋体" w:eastAsia="宋体" w:cs="Times New Roman"/>
                <w:szCs w:val="21"/>
              </w:rPr>
              <w:t>自主学习</w:t>
            </w:r>
          </w:p>
          <w:p w14:paraId="311DC4B9">
            <w:pPr>
              <w:spacing w:line="269" w:lineRule="auto"/>
              <w:jc w:val="left"/>
              <w:rPr>
                <w:rFonts w:ascii="宋体" w:hAnsi="宋体" w:eastAsia="宋体" w:cs="Times New Roman"/>
                <w:szCs w:val="21"/>
              </w:rPr>
            </w:pPr>
            <w:r>
              <w:rPr>
                <w:rFonts w:hint="eastAsia" w:ascii="宋体" w:hAnsi="宋体" w:eastAsia="宋体" w:cs="Times New Roman"/>
                <w:szCs w:val="21"/>
              </w:rPr>
              <w:t>多媒体教学</w:t>
            </w:r>
          </w:p>
          <w:p w14:paraId="00B9BAAA">
            <w:pPr>
              <w:spacing w:line="269" w:lineRule="auto"/>
              <w:jc w:val="left"/>
              <w:rPr>
                <w:rFonts w:ascii="宋体" w:hAnsi="宋体" w:eastAsia="宋体" w:cs="Times New Roman"/>
                <w:szCs w:val="21"/>
              </w:rPr>
            </w:pPr>
            <w:r>
              <w:rPr>
                <w:rFonts w:hint="eastAsia" w:ascii="宋体" w:hAnsi="宋体" w:eastAsia="宋体" w:cs="Times New Roman"/>
                <w:szCs w:val="21"/>
              </w:rPr>
              <w:t>课堂讨论</w:t>
            </w:r>
          </w:p>
          <w:p w14:paraId="748615DF">
            <w:pPr>
              <w:spacing w:line="269" w:lineRule="auto"/>
              <w:jc w:val="left"/>
              <w:rPr>
                <w:rFonts w:ascii="宋体" w:hAnsi="宋体" w:eastAsia="宋体" w:cs="Times New Roman"/>
                <w:szCs w:val="21"/>
              </w:rPr>
            </w:pPr>
            <w:r>
              <w:rPr>
                <w:rFonts w:hint="eastAsia" w:ascii="宋体" w:hAnsi="宋体" w:eastAsia="宋体" w:cs="Times New Roman"/>
                <w:szCs w:val="21"/>
              </w:rPr>
              <w:t>在线测试</w:t>
            </w:r>
          </w:p>
        </w:tc>
        <w:tc>
          <w:tcPr>
            <w:tcW w:w="656" w:type="dxa"/>
            <w:vAlign w:val="center"/>
          </w:tcPr>
          <w:p w14:paraId="015DCFE9">
            <w:pPr>
              <w:spacing w:line="269" w:lineRule="auto"/>
              <w:jc w:val="center"/>
              <w:rPr>
                <w:rFonts w:ascii="宋体" w:hAnsi="宋体" w:eastAsia="宋体" w:cs="Times New Roman"/>
                <w:szCs w:val="21"/>
              </w:rPr>
            </w:pPr>
            <w:r>
              <w:rPr>
                <w:rFonts w:ascii="宋体" w:hAnsi="宋体" w:eastAsia="宋体" w:cs="Times New Roman"/>
                <w:szCs w:val="21"/>
              </w:rPr>
              <w:t>3</w:t>
            </w:r>
          </w:p>
        </w:tc>
      </w:tr>
      <w:tr w14:paraId="4B20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FDCA595">
            <w:pPr>
              <w:spacing w:line="264" w:lineRule="auto"/>
              <w:jc w:val="center"/>
              <w:rPr>
                <w:rFonts w:ascii="宋体" w:hAnsi="宋体" w:eastAsia="宋体" w:cs="Times New Roman"/>
                <w:szCs w:val="21"/>
              </w:rPr>
            </w:pPr>
          </w:p>
        </w:tc>
        <w:tc>
          <w:tcPr>
            <w:tcW w:w="8093" w:type="dxa"/>
            <w:gridSpan w:val="5"/>
            <w:vAlign w:val="center"/>
          </w:tcPr>
          <w:p w14:paraId="53D344C6">
            <w:pPr>
              <w:spacing w:line="269" w:lineRule="auto"/>
              <w:jc w:val="left"/>
              <w:rPr>
                <w:rFonts w:ascii="宋体" w:hAnsi="宋体" w:eastAsia="宋体" w:cs="Times New Roman"/>
                <w:szCs w:val="21"/>
              </w:rPr>
            </w:pPr>
            <w:r>
              <w:rPr>
                <w:rFonts w:hint="eastAsia" w:ascii="宋体" w:hAnsi="宋体" w:eastAsia="宋体" w:cs="Times New Roman"/>
                <w:b/>
                <w:szCs w:val="21"/>
              </w:rPr>
              <w:t>课程思政目标：</w:t>
            </w:r>
            <w:bookmarkStart w:id="851" w:name="_Hlk182024262"/>
            <w:r>
              <w:rPr>
                <w:rFonts w:hint="eastAsia" w:ascii="宋体" w:hAnsi="宋体" w:eastAsia="宋体" w:cs="Times New Roman"/>
                <w:szCs w:val="21"/>
              </w:rPr>
              <w:t>坚持马克思主义的唯物史观，全面正确理解教育研究的本质；以习近平总书记关于教育工作的重要论述为指导，理解基础教育科学研究的价值和意义；坚持“立德树人”，树立正确的世界观、价值观和人生观，形成正确的科研观。</w:t>
            </w:r>
            <w:bookmarkEnd w:id="851"/>
          </w:p>
        </w:tc>
      </w:tr>
      <w:tr w14:paraId="3C7C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1D363E">
            <w:pPr>
              <w:spacing w:line="264" w:lineRule="auto"/>
              <w:jc w:val="center"/>
              <w:rPr>
                <w:rFonts w:ascii="宋体" w:hAnsi="宋体" w:eastAsia="宋体" w:cs="Times New Roman"/>
                <w:szCs w:val="21"/>
              </w:rPr>
            </w:pPr>
            <w:r>
              <w:rPr>
                <w:rFonts w:hint="eastAsia" w:ascii="宋体" w:hAnsi="宋体" w:eastAsia="宋体" w:cs="Times New Roman"/>
                <w:szCs w:val="21"/>
              </w:rPr>
              <w:t>2.</w:t>
            </w:r>
            <w:r>
              <w:rPr>
                <w:rFonts w:hint="eastAsia" w:ascii="等线" w:hAnsi="等线" w:eastAsia="等线" w:cs="Times New Roman"/>
                <w:szCs w:val="22"/>
              </w:rPr>
              <w:t xml:space="preserve"> </w:t>
            </w:r>
            <w:r>
              <w:rPr>
                <w:rFonts w:hint="eastAsia" w:ascii="宋体" w:hAnsi="宋体" w:eastAsia="宋体" w:cs="Times New Roman"/>
                <w:szCs w:val="21"/>
              </w:rPr>
              <w:t>教育研究选题与设计</w:t>
            </w:r>
          </w:p>
        </w:tc>
        <w:tc>
          <w:tcPr>
            <w:tcW w:w="1701" w:type="dxa"/>
            <w:vAlign w:val="center"/>
          </w:tcPr>
          <w:p w14:paraId="195E41C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1）教育研究课题的问题来源</w:t>
            </w:r>
          </w:p>
          <w:p w14:paraId="5DFB524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2）教育研究选题的评价</w:t>
            </w:r>
          </w:p>
          <w:p w14:paraId="6A0C75E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3）教育研究选题策略</w:t>
            </w:r>
          </w:p>
          <w:p w14:paraId="38FB36A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4）教育研究方案设计</w:t>
            </w:r>
          </w:p>
          <w:p w14:paraId="1DC2ADC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5）毕业论文开题报告</w:t>
            </w:r>
          </w:p>
        </w:tc>
        <w:tc>
          <w:tcPr>
            <w:tcW w:w="1134" w:type="dxa"/>
            <w:vAlign w:val="center"/>
          </w:tcPr>
          <w:p w14:paraId="633D1C5D">
            <w:pPr>
              <w:jc w:val="center"/>
              <w:rPr>
                <w:rFonts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p>
        </w:tc>
        <w:tc>
          <w:tcPr>
            <w:tcW w:w="3326" w:type="dxa"/>
            <w:vAlign w:val="center"/>
          </w:tcPr>
          <w:p w14:paraId="504ED4A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1）了解教育研究课题的问题来源；</w:t>
            </w:r>
          </w:p>
          <w:p w14:paraId="69E1E30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2）理解教育研究选题的评价要求；</w:t>
            </w:r>
          </w:p>
          <w:p w14:paraId="4F2461D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3）学会清楚、明确地表述所研究的问题；</w:t>
            </w:r>
          </w:p>
          <w:p w14:paraId="4C1F95F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4）能够设计简单的教育研究方案；</w:t>
            </w:r>
          </w:p>
          <w:p w14:paraId="65521D3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5）学会撰写毕业论文开题报告。</w:t>
            </w:r>
          </w:p>
        </w:tc>
        <w:tc>
          <w:tcPr>
            <w:tcW w:w="1276" w:type="dxa"/>
            <w:vAlign w:val="center"/>
          </w:tcPr>
          <w:p w14:paraId="0D8034C8">
            <w:pPr>
              <w:spacing w:line="269" w:lineRule="auto"/>
              <w:jc w:val="left"/>
              <w:rPr>
                <w:rFonts w:ascii="宋体" w:hAnsi="宋体" w:eastAsia="宋体" w:cs="Times New Roman"/>
                <w:szCs w:val="21"/>
              </w:rPr>
            </w:pPr>
            <w:r>
              <w:rPr>
                <w:rFonts w:hint="eastAsia" w:ascii="宋体" w:hAnsi="宋体" w:eastAsia="宋体" w:cs="Times New Roman"/>
                <w:szCs w:val="21"/>
              </w:rPr>
              <w:t>自主学习</w:t>
            </w:r>
          </w:p>
          <w:p w14:paraId="08EB5033">
            <w:pPr>
              <w:spacing w:line="269" w:lineRule="auto"/>
              <w:jc w:val="left"/>
              <w:rPr>
                <w:rFonts w:ascii="宋体" w:hAnsi="宋体" w:eastAsia="宋体" w:cs="Times New Roman"/>
                <w:szCs w:val="21"/>
              </w:rPr>
            </w:pPr>
            <w:r>
              <w:rPr>
                <w:rFonts w:hint="eastAsia" w:ascii="宋体" w:hAnsi="宋体" w:eastAsia="宋体" w:cs="Times New Roman"/>
                <w:szCs w:val="21"/>
              </w:rPr>
              <w:t>案例教学</w:t>
            </w:r>
          </w:p>
          <w:p w14:paraId="4F30C7DC">
            <w:pPr>
              <w:spacing w:line="269" w:lineRule="auto"/>
              <w:jc w:val="left"/>
              <w:rPr>
                <w:rFonts w:ascii="宋体" w:hAnsi="宋体" w:eastAsia="宋体" w:cs="Times New Roman"/>
                <w:szCs w:val="21"/>
              </w:rPr>
            </w:pPr>
            <w:r>
              <w:rPr>
                <w:rFonts w:hint="eastAsia" w:ascii="宋体" w:hAnsi="宋体" w:eastAsia="宋体" w:cs="Times New Roman"/>
                <w:szCs w:val="21"/>
              </w:rPr>
              <w:t>课堂讨论</w:t>
            </w:r>
          </w:p>
          <w:p w14:paraId="5E47163A">
            <w:pPr>
              <w:spacing w:line="269" w:lineRule="auto"/>
              <w:jc w:val="left"/>
              <w:rPr>
                <w:rFonts w:ascii="宋体" w:hAnsi="宋体" w:eastAsia="宋体" w:cs="Times New Roman"/>
                <w:szCs w:val="21"/>
              </w:rPr>
            </w:pPr>
            <w:r>
              <w:rPr>
                <w:rFonts w:hint="eastAsia" w:ascii="宋体" w:hAnsi="宋体" w:eastAsia="宋体" w:cs="Times New Roman"/>
                <w:szCs w:val="21"/>
              </w:rPr>
              <w:t>在线测试</w:t>
            </w:r>
          </w:p>
          <w:p w14:paraId="7C95C272">
            <w:pPr>
              <w:spacing w:line="269" w:lineRule="auto"/>
              <w:jc w:val="left"/>
              <w:rPr>
                <w:rFonts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7624095B">
            <w:pPr>
              <w:spacing w:line="269" w:lineRule="auto"/>
              <w:jc w:val="center"/>
              <w:rPr>
                <w:rFonts w:ascii="宋体" w:hAnsi="宋体" w:eastAsia="宋体" w:cs="Times New Roman"/>
                <w:szCs w:val="21"/>
              </w:rPr>
            </w:pPr>
            <w:r>
              <w:rPr>
                <w:rFonts w:ascii="宋体" w:hAnsi="宋体" w:eastAsia="宋体" w:cs="Times New Roman"/>
                <w:szCs w:val="21"/>
              </w:rPr>
              <w:t>6</w:t>
            </w:r>
          </w:p>
        </w:tc>
      </w:tr>
      <w:tr w14:paraId="765F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B9FADD">
            <w:pPr>
              <w:spacing w:line="264" w:lineRule="auto"/>
              <w:jc w:val="center"/>
              <w:rPr>
                <w:rFonts w:ascii="宋体" w:hAnsi="宋体" w:eastAsia="宋体" w:cs="Times New Roman"/>
                <w:szCs w:val="21"/>
              </w:rPr>
            </w:pPr>
          </w:p>
        </w:tc>
        <w:tc>
          <w:tcPr>
            <w:tcW w:w="8093" w:type="dxa"/>
            <w:gridSpan w:val="5"/>
            <w:vAlign w:val="center"/>
          </w:tcPr>
          <w:p w14:paraId="57D5B464">
            <w:pPr>
              <w:spacing w:line="269"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培养学生坚持真理、热爱科学、实事求是的品格，形成正确的学术观、科研观；热爱中小学教育，理解基础教育改革的意义，</w:t>
            </w:r>
            <w:bookmarkStart w:id="852" w:name="_Hlk182024397"/>
            <w:r>
              <w:rPr>
                <w:rFonts w:hint="eastAsia" w:ascii="宋体" w:hAnsi="宋体" w:eastAsia="宋体" w:cs="Times New Roman"/>
                <w:szCs w:val="21"/>
              </w:rPr>
              <w:t>具有一定的创新意识，学会发现和分析人民群众关心的基础教育热点与难点问题。</w:t>
            </w:r>
            <w:bookmarkEnd w:id="852"/>
          </w:p>
        </w:tc>
      </w:tr>
      <w:tr w14:paraId="6B6D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10F1ECE">
            <w:pPr>
              <w:spacing w:line="264" w:lineRule="auto"/>
              <w:jc w:val="center"/>
              <w:rPr>
                <w:rFonts w:ascii="宋体" w:hAnsi="宋体" w:eastAsia="宋体" w:cs="Times New Roman"/>
                <w:szCs w:val="21"/>
              </w:rPr>
            </w:pPr>
            <w:r>
              <w:rPr>
                <w:rFonts w:hint="eastAsia" w:ascii="宋体" w:hAnsi="宋体" w:eastAsia="宋体" w:cs="Times New Roman"/>
                <w:szCs w:val="21"/>
              </w:rPr>
              <w:t>3.</w:t>
            </w:r>
            <w:r>
              <w:rPr>
                <w:rFonts w:hint="eastAsia" w:ascii="等线" w:hAnsi="等线" w:eastAsia="等线" w:cs="Times New Roman"/>
                <w:szCs w:val="22"/>
              </w:rPr>
              <w:t xml:space="preserve"> </w:t>
            </w:r>
            <w:r>
              <w:rPr>
                <w:rFonts w:hint="eastAsia" w:ascii="宋体" w:hAnsi="宋体" w:eastAsia="宋体" w:cs="Times New Roman"/>
                <w:szCs w:val="21"/>
              </w:rPr>
              <w:t>文献检索与综述</w:t>
            </w:r>
          </w:p>
        </w:tc>
        <w:tc>
          <w:tcPr>
            <w:tcW w:w="1701" w:type="dxa"/>
            <w:vAlign w:val="center"/>
          </w:tcPr>
          <w:p w14:paraId="548ACDC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1）文献及其作用</w:t>
            </w:r>
          </w:p>
          <w:p w14:paraId="666BEDA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2）教育文献检索</w:t>
            </w:r>
          </w:p>
          <w:p w14:paraId="16B6BF8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3）教育文献的整理</w:t>
            </w:r>
          </w:p>
          <w:p w14:paraId="4DA80BE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4）文献综述</w:t>
            </w:r>
          </w:p>
        </w:tc>
        <w:tc>
          <w:tcPr>
            <w:tcW w:w="1134" w:type="dxa"/>
            <w:vAlign w:val="center"/>
          </w:tcPr>
          <w:p w14:paraId="3C97474E">
            <w:pPr>
              <w:jc w:val="center"/>
              <w:rPr>
                <w:rFonts w:ascii="宋体" w:hAnsi="宋体" w:eastAsia="宋体" w:cs="Times New Roman"/>
                <w:szCs w:val="21"/>
              </w:rPr>
            </w:pPr>
            <w:r>
              <w:rPr>
                <w:rFonts w:hint="eastAsia" w:ascii="宋体" w:hAnsi="宋体" w:eastAsia="宋体" w:cs="Times New Roman"/>
                <w:szCs w:val="21"/>
              </w:rPr>
              <w:t>课程目标2</w:t>
            </w:r>
          </w:p>
        </w:tc>
        <w:tc>
          <w:tcPr>
            <w:tcW w:w="3326" w:type="dxa"/>
            <w:vAlign w:val="center"/>
          </w:tcPr>
          <w:p w14:paraId="240B891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1）掌握文献检索与文献综述的基本知识；</w:t>
            </w:r>
          </w:p>
          <w:p w14:paraId="4C5DAD0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2）了解文献在教育研究中的作用；</w:t>
            </w:r>
          </w:p>
          <w:p w14:paraId="754C64E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3）学会使用常用的文献检索方法；</w:t>
            </w:r>
          </w:p>
          <w:p w14:paraId="1E0B090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4）学会撰写简单的文献综述。</w:t>
            </w:r>
          </w:p>
        </w:tc>
        <w:tc>
          <w:tcPr>
            <w:tcW w:w="1276" w:type="dxa"/>
            <w:vAlign w:val="center"/>
          </w:tcPr>
          <w:p w14:paraId="5B02FB1A">
            <w:pPr>
              <w:jc w:val="left"/>
              <w:rPr>
                <w:rFonts w:ascii="宋体" w:hAnsi="宋体" w:eastAsia="宋体" w:cs="Times New Roman"/>
                <w:szCs w:val="21"/>
              </w:rPr>
            </w:pPr>
            <w:r>
              <w:rPr>
                <w:rFonts w:hint="eastAsia" w:ascii="宋体" w:hAnsi="宋体" w:eastAsia="宋体" w:cs="Times New Roman"/>
                <w:szCs w:val="21"/>
              </w:rPr>
              <w:t>自主学习</w:t>
            </w:r>
          </w:p>
          <w:p w14:paraId="0A0CA20D">
            <w:pPr>
              <w:jc w:val="left"/>
              <w:rPr>
                <w:rFonts w:ascii="宋体" w:hAnsi="宋体" w:eastAsia="宋体" w:cs="Times New Roman"/>
                <w:szCs w:val="21"/>
              </w:rPr>
            </w:pPr>
            <w:r>
              <w:rPr>
                <w:rFonts w:hint="eastAsia" w:ascii="宋体" w:hAnsi="宋体" w:eastAsia="宋体" w:cs="Times New Roman"/>
                <w:szCs w:val="21"/>
              </w:rPr>
              <w:t>案例教学</w:t>
            </w:r>
          </w:p>
          <w:p w14:paraId="3F9B8421">
            <w:pPr>
              <w:jc w:val="left"/>
              <w:rPr>
                <w:rFonts w:ascii="宋体" w:hAnsi="宋体" w:eastAsia="宋体" w:cs="Times New Roman"/>
                <w:szCs w:val="21"/>
              </w:rPr>
            </w:pPr>
            <w:r>
              <w:rPr>
                <w:rFonts w:hint="eastAsia" w:ascii="宋体" w:hAnsi="宋体" w:eastAsia="宋体" w:cs="Times New Roman"/>
                <w:szCs w:val="21"/>
              </w:rPr>
              <w:t>课堂讨论</w:t>
            </w:r>
          </w:p>
          <w:p w14:paraId="645FE8FC">
            <w:pPr>
              <w:jc w:val="left"/>
              <w:rPr>
                <w:rFonts w:ascii="宋体" w:hAnsi="宋体" w:eastAsia="宋体" w:cs="Times New Roman"/>
                <w:szCs w:val="21"/>
              </w:rPr>
            </w:pPr>
            <w:r>
              <w:rPr>
                <w:rFonts w:hint="eastAsia" w:ascii="宋体" w:hAnsi="宋体" w:eastAsia="宋体" w:cs="Times New Roman"/>
                <w:szCs w:val="21"/>
              </w:rPr>
              <w:t>在线测试</w:t>
            </w:r>
          </w:p>
          <w:p w14:paraId="244107EB">
            <w:pPr>
              <w:jc w:val="left"/>
              <w:rPr>
                <w:rFonts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32CDC109">
            <w:pPr>
              <w:jc w:val="center"/>
              <w:rPr>
                <w:rFonts w:ascii="宋体" w:hAnsi="宋体" w:eastAsia="宋体" w:cs="Times New Roman"/>
                <w:szCs w:val="21"/>
              </w:rPr>
            </w:pPr>
            <w:r>
              <w:rPr>
                <w:rFonts w:ascii="宋体" w:hAnsi="宋体" w:eastAsia="宋体" w:cs="Times New Roman"/>
                <w:szCs w:val="21"/>
              </w:rPr>
              <w:t>6</w:t>
            </w:r>
          </w:p>
        </w:tc>
      </w:tr>
      <w:tr w14:paraId="3171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B8C9DB">
            <w:pPr>
              <w:spacing w:line="264" w:lineRule="auto"/>
              <w:jc w:val="center"/>
              <w:rPr>
                <w:rFonts w:ascii="宋体" w:hAnsi="宋体" w:eastAsia="宋体" w:cs="Times New Roman"/>
                <w:szCs w:val="21"/>
              </w:rPr>
            </w:pPr>
          </w:p>
        </w:tc>
        <w:tc>
          <w:tcPr>
            <w:tcW w:w="8093" w:type="dxa"/>
            <w:gridSpan w:val="5"/>
            <w:vAlign w:val="center"/>
          </w:tcPr>
          <w:p w14:paraId="698EE21E">
            <w:pPr>
              <w:jc w:val="left"/>
              <w:rPr>
                <w:rFonts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通过对国内外教育研究现状的全面梳理，增强对我国基础教育改革取得伟大成就的自豪感，培养投身基础教育科学研究的责任感和使命感；形成诚信务实、脚踏实地、实事求是的科研素养。</w:t>
            </w:r>
          </w:p>
        </w:tc>
      </w:tr>
      <w:tr w14:paraId="0586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FD439E">
            <w:pPr>
              <w:spacing w:line="276" w:lineRule="auto"/>
              <w:jc w:val="center"/>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 xml:space="preserve"> </w:t>
            </w:r>
            <w:r>
              <w:rPr>
                <w:rFonts w:hint="eastAsia" w:ascii="宋体" w:hAnsi="宋体" w:eastAsia="宋体" w:cs="Times New Roman"/>
                <w:szCs w:val="21"/>
              </w:rPr>
              <w:t>教育调查研究</w:t>
            </w:r>
          </w:p>
        </w:tc>
        <w:tc>
          <w:tcPr>
            <w:tcW w:w="1701" w:type="dxa"/>
            <w:vAlign w:val="center"/>
          </w:tcPr>
          <w:p w14:paraId="3DF40A9E">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1）调查研究的主要步骤</w:t>
            </w:r>
          </w:p>
          <w:p w14:paraId="1A56F762">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2）问卷法</w:t>
            </w:r>
          </w:p>
          <w:p w14:paraId="0878E7B1">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3）访谈法</w:t>
            </w:r>
          </w:p>
          <w:p w14:paraId="41D41DB4">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4）观察法</w:t>
            </w:r>
          </w:p>
          <w:p w14:paraId="16B0D22E">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5）调查抽样</w:t>
            </w:r>
          </w:p>
        </w:tc>
        <w:tc>
          <w:tcPr>
            <w:tcW w:w="1134" w:type="dxa"/>
            <w:vAlign w:val="center"/>
          </w:tcPr>
          <w:p w14:paraId="26A0BD09">
            <w:pPr>
              <w:spacing w:line="276" w:lineRule="auto"/>
              <w:jc w:val="center"/>
              <w:rPr>
                <w:rFonts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3</w:t>
            </w:r>
          </w:p>
        </w:tc>
        <w:tc>
          <w:tcPr>
            <w:tcW w:w="3326" w:type="dxa"/>
            <w:vAlign w:val="center"/>
          </w:tcPr>
          <w:p w14:paraId="6B08AAFC">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1）明确调查研究的涵义；</w:t>
            </w:r>
          </w:p>
          <w:p w14:paraId="1DFAC3CD">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2）理解问卷法、访谈法、观察法的优缺点；</w:t>
            </w:r>
          </w:p>
          <w:p w14:paraId="02827D0C">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3）学会设计简单的问卷、访谈提纲、观察记录表；</w:t>
            </w:r>
          </w:p>
          <w:p w14:paraId="52F28011">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4）了解抽样的主要方法。</w:t>
            </w:r>
          </w:p>
        </w:tc>
        <w:tc>
          <w:tcPr>
            <w:tcW w:w="1276" w:type="dxa"/>
            <w:vAlign w:val="center"/>
          </w:tcPr>
          <w:p w14:paraId="4EE719C5">
            <w:pPr>
              <w:spacing w:line="276" w:lineRule="auto"/>
              <w:jc w:val="left"/>
              <w:rPr>
                <w:rFonts w:ascii="宋体" w:hAnsi="宋体" w:eastAsia="宋体" w:cs="Times New Roman"/>
                <w:szCs w:val="21"/>
              </w:rPr>
            </w:pPr>
            <w:r>
              <w:rPr>
                <w:rFonts w:hint="eastAsia" w:ascii="宋体" w:hAnsi="宋体" w:eastAsia="宋体" w:cs="Times New Roman"/>
                <w:szCs w:val="21"/>
              </w:rPr>
              <w:t>自主学习</w:t>
            </w:r>
          </w:p>
          <w:p w14:paraId="70518364">
            <w:pPr>
              <w:spacing w:line="276" w:lineRule="auto"/>
              <w:jc w:val="left"/>
              <w:rPr>
                <w:rFonts w:ascii="宋体" w:hAnsi="宋体" w:eastAsia="宋体" w:cs="Times New Roman"/>
                <w:szCs w:val="21"/>
              </w:rPr>
            </w:pPr>
            <w:r>
              <w:rPr>
                <w:rFonts w:hint="eastAsia" w:ascii="宋体" w:hAnsi="宋体" w:eastAsia="宋体" w:cs="Times New Roman"/>
                <w:szCs w:val="21"/>
              </w:rPr>
              <w:t>案例教学</w:t>
            </w:r>
          </w:p>
          <w:p w14:paraId="598B3AB7">
            <w:pPr>
              <w:spacing w:line="276" w:lineRule="auto"/>
              <w:jc w:val="left"/>
              <w:rPr>
                <w:rFonts w:ascii="宋体" w:hAnsi="宋体" w:eastAsia="宋体" w:cs="Times New Roman"/>
                <w:szCs w:val="21"/>
              </w:rPr>
            </w:pPr>
            <w:r>
              <w:rPr>
                <w:rFonts w:hint="eastAsia" w:ascii="宋体" w:hAnsi="宋体" w:eastAsia="宋体" w:cs="Times New Roman"/>
                <w:szCs w:val="21"/>
              </w:rPr>
              <w:t>课堂讨论</w:t>
            </w:r>
          </w:p>
          <w:p w14:paraId="6B395B1C">
            <w:pPr>
              <w:spacing w:line="276" w:lineRule="auto"/>
              <w:jc w:val="left"/>
              <w:rPr>
                <w:rFonts w:ascii="宋体" w:hAnsi="宋体" w:eastAsia="宋体" w:cs="Times New Roman"/>
                <w:szCs w:val="21"/>
              </w:rPr>
            </w:pPr>
            <w:r>
              <w:rPr>
                <w:rFonts w:hint="eastAsia" w:ascii="宋体" w:hAnsi="宋体" w:eastAsia="宋体" w:cs="Times New Roman"/>
                <w:szCs w:val="21"/>
              </w:rPr>
              <w:t>在线测试</w:t>
            </w:r>
          </w:p>
          <w:p w14:paraId="62C6ECCD">
            <w:pPr>
              <w:spacing w:line="276" w:lineRule="auto"/>
              <w:jc w:val="left"/>
              <w:rPr>
                <w:rFonts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19FCF39C">
            <w:pPr>
              <w:spacing w:line="276" w:lineRule="auto"/>
              <w:jc w:val="center"/>
              <w:rPr>
                <w:rFonts w:ascii="宋体" w:hAnsi="宋体" w:eastAsia="宋体" w:cs="Times New Roman"/>
                <w:szCs w:val="21"/>
              </w:rPr>
            </w:pPr>
            <w:r>
              <w:rPr>
                <w:rFonts w:ascii="宋体" w:hAnsi="宋体" w:eastAsia="宋体" w:cs="Times New Roman"/>
                <w:szCs w:val="21"/>
              </w:rPr>
              <w:t>9</w:t>
            </w:r>
          </w:p>
        </w:tc>
      </w:tr>
      <w:tr w14:paraId="0359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8E44F9">
            <w:pPr>
              <w:spacing w:line="276" w:lineRule="auto"/>
              <w:jc w:val="center"/>
              <w:rPr>
                <w:rFonts w:ascii="宋体" w:hAnsi="宋体" w:eastAsia="宋体" w:cs="Times New Roman"/>
                <w:szCs w:val="21"/>
              </w:rPr>
            </w:pPr>
          </w:p>
        </w:tc>
        <w:tc>
          <w:tcPr>
            <w:tcW w:w="8093" w:type="dxa"/>
            <w:gridSpan w:val="5"/>
            <w:vAlign w:val="center"/>
          </w:tcPr>
          <w:p w14:paraId="2C6018FA">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以马克思主义的方法论为指导，培养学生诚信务实、脚踏实地、实事求是的科研素养。</w:t>
            </w:r>
          </w:p>
        </w:tc>
      </w:tr>
      <w:tr w14:paraId="47C4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D4DD44">
            <w:pPr>
              <w:spacing w:line="276" w:lineRule="auto"/>
              <w:jc w:val="center"/>
              <w:rPr>
                <w:rFonts w:ascii="宋体" w:hAnsi="宋体" w:eastAsia="宋体" w:cs="Times New Roman"/>
                <w:szCs w:val="21"/>
              </w:rPr>
            </w:pPr>
            <w:r>
              <w:rPr>
                <w:rFonts w:hint="eastAsia" w:ascii="宋体" w:hAnsi="宋体" w:eastAsia="宋体" w:cs="Times New Roman"/>
                <w:szCs w:val="21"/>
              </w:rPr>
              <w:t>5. 教育个案研究</w:t>
            </w:r>
          </w:p>
        </w:tc>
        <w:tc>
          <w:tcPr>
            <w:tcW w:w="1701" w:type="dxa"/>
            <w:vAlign w:val="center"/>
          </w:tcPr>
          <w:p w14:paraId="7726CBB3">
            <w:pPr>
              <w:jc w:val="lef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1）个案研究</w:t>
            </w:r>
            <w:r>
              <w:rPr>
                <w:rFonts w:hint="eastAsia" w:ascii="宋体" w:hAnsi="宋体" w:eastAsia="宋体" w:cs="Times New Roman"/>
                <w:szCs w:val="21"/>
              </w:rPr>
              <w:t>的含义</w:t>
            </w:r>
          </w:p>
          <w:p w14:paraId="62609DF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2）个案研究的步骤</w:t>
            </w:r>
          </w:p>
          <w:p w14:paraId="6105B69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3）个案研究的方法</w:t>
            </w:r>
          </w:p>
        </w:tc>
        <w:tc>
          <w:tcPr>
            <w:tcW w:w="1134" w:type="dxa"/>
            <w:vAlign w:val="center"/>
          </w:tcPr>
          <w:p w14:paraId="7642E9B3">
            <w:pPr>
              <w:jc w:val="center"/>
              <w:rPr>
                <w:rFonts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6576C265">
            <w:pPr>
              <w:jc w:val="left"/>
              <w:rPr>
                <w:rFonts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1）理解个案研究的涵义和特点；</w:t>
            </w:r>
          </w:p>
          <w:p w14:paraId="25ADDF2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2）掌握个案研究的步骤；了解个案研究的主要方法；</w:t>
            </w:r>
          </w:p>
          <w:p w14:paraId="57CFE5E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3）初步尝试个案研究的方案设计。</w:t>
            </w:r>
          </w:p>
        </w:tc>
        <w:tc>
          <w:tcPr>
            <w:tcW w:w="1276" w:type="dxa"/>
            <w:vAlign w:val="center"/>
          </w:tcPr>
          <w:p w14:paraId="2B38D01F">
            <w:pPr>
              <w:jc w:val="left"/>
              <w:rPr>
                <w:rFonts w:ascii="宋体" w:hAnsi="宋体" w:eastAsia="宋体" w:cs="Times New Roman"/>
                <w:szCs w:val="21"/>
              </w:rPr>
            </w:pPr>
            <w:r>
              <w:rPr>
                <w:rFonts w:hint="eastAsia" w:ascii="宋体" w:hAnsi="宋体" w:eastAsia="宋体" w:cs="Times New Roman"/>
                <w:szCs w:val="21"/>
              </w:rPr>
              <w:t>自主学习</w:t>
            </w:r>
          </w:p>
          <w:p w14:paraId="7F6B5E8A">
            <w:pPr>
              <w:jc w:val="left"/>
              <w:rPr>
                <w:rFonts w:ascii="宋体" w:hAnsi="宋体" w:eastAsia="宋体" w:cs="Times New Roman"/>
                <w:szCs w:val="21"/>
              </w:rPr>
            </w:pPr>
            <w:r>
              <w:rPr>
                <w:rFonts w:hint="eastAsia" w:ascii="宋体" w:hAnsi="宋体" w:eastAsia="宋体" w:cs="Times New Roman"/>
                <w:szCs w:val="21"/>
              </w:rPr>
              <w:t>案例教学</w:t>
            </w:r>
          </w:p>
          <w:p w14:paraId="62F78B4D">
            <w:pPr>
              <w:jc w:val="left"/>
              <w:rPr>
                <w:rFonts w:ascii="宋体" w:hAnsi="宋体" w:eastAsia="宋体" w:cs="Times New Roman"/>
                <w:szCs w:val="21"/>
              </w:rPr>
            </w:pPr>
            <w:r>
              <w:rPr>
                <w:rFonts w:hint="eastAsia" w:ascii="宋体" w:hAnsi="宋体" w:eastAsia="宋体" w:cs="Times New Roman"/>
                <w:szCs w:val="21"/>
              </w:rPr>
              <w:t>课堂讨论</w:t>
            </w:r>
          </w:p>
          <w:p w14:paraId="2145656C">
            <w:pPr>
              <w:jc w:val="left"/>
              <w:rPr>
                <w:rFonts w:ascii="宋体" w:hAnsi="宋体" w:eastAsia="宋体" w:cs="Times New Roman"/>
                <w:szCs w:val="21"/>
              </w:rPr>
            </w:pPr>
            <w:r>
              <w:rPr>
                <w:rFonts w:hint="eastAsia" w:ascii="宋体" w:hAnsi="宋体" w:eastAsia="宋体" w:cs="Times New Roman"/>
                <w:szCs w:val="21"/>
              </w:rPr>
              <w:t>在线测试</w:t>
            </w:r>
          </w:p>
          <w:p w14:paraId="6536F37B">
            <w:pPr>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195019B0">
            <w:pPr>
              <w:spacing w:line="276" w:lineRule="auto"/>
              <w:jc w:val="center"/>
              <w:rPr>
                <w:rFonts w:ascii="宋体" w:hAnsi="宋体" w:eastAsia="宋体" w:cs="Times New Roman"/>
                <w:szCs w:val="21"/>
              </w:rPr>
            </w:pPr>
            <w:r>
              <w:rPr>
                <w:rFonts w:ascii="宋体" w:hAnsi="宋体" w:eastAsia="宋体" w:cs="Times New Roman"/>
                <w:szCs w:val="21"/>
              </w:rPr>
              <w:t>5</w:t>
            </w:r>
          </w:p>
        </w:tc>
      </w:tr>
      <w:tr w14:paraId="427F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1C817A">
            <w:pPr>
              <w:spacing w:line="276" w:lineRule="auto"/>
              <w:jc w:val="center"/>
              <w:rPr>
                <w:rFonts w:ascii="宋体" w:hAnsi="宋体" w:eastAsia="宋体" w:cs="Times New Roman"/>
                <w:szCs w:val="21"/>
              </w:rPr>
            </w:pPr>
          </w:p>
        </w:tc>
        <w:tc>
          <w:tcPr>
            <w:tcW w:w="8093" w:type="dxa"/>
            <w:gridSpan w:val="5"/>
            <w:vAlign w:val="center"/>
          </w:tcPr>
          <w:p w14:paraId="6FE9C230">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遵循教育规律和儿童身心发展，尊重儿童个性，培养和形成正确的儿童观，热爱儿童、关心儿童的品质；培养和形成具体问题具体分析的工作作风。</w:t>
            </w:r>
          </w:p>
        </w:tc>
      </w:tr>
      <w:tr w14:paraId="70AE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3423336">
            <w:pPr>
              <w:spacing w:line="276" w:lineRule="auto"/>
              <w:jc w:val="center"/>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 xml:space="preserve"> </w:t>
            </w:r>
            <w:r>
              <w:rPr>
                <w:rFonts w:hint="eastAsia" w:ascii="宋体" w:hAnsi="宋体" w:eastAsia="宋体" w:cs="Times New Roman"/>
                <w:szCs w:val="21"/>
              </w:rPr>
              <w:t>教育实验研究</w:t>
            </w:r>
          </w:p>
        </w:tc>
        <w:tc>
          <w:tcPr>
            <w:tcW w:w="1701" w:type="dxa"/>
            <w:vAlign w:val="center"/>
          </w:tcPr>
          <w:p w14:paraId="440E5A5B">
            <w:pPr>
              <w:jc w:val="lef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1）教育实验</w:t>
            </w:r>
            <w:r>
              <w:rPr>
                <w:rFonts w:hint="eastAsia" w:ascii="宋体" w:hAnsi="宋体" w:eastAsia="宋体" w:cs="Times New Roman"/>
                <w:szCs w:val="21"/>
              </w:rPr>
              <w:t>的概念、特征</w:t>
            </w:r>
          </w:p>
          <w:p w14:paraId="0AAA1DE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2）教育实验选题与实验假设</w:t>
            </w:r>
          </w:p>
          <w:p w14:paraId="5E13904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3）教育实验的变量选择、测量和控制</w:t>
            </w:r>
          </w:p>
          <w:p w14:paraId="71E076A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4）教育实验的类型和设计</w:t>
            </w:r>
          </w:p>
          <w:p w14:paraId="37D2162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5）教育实验的评价</w:t>
            </w:r>
          </w:p>
        </w:tc>
        <w:tc>
          <w:tcPr>
            <w:tcW w:w="1134" w:type="dxa"/>
            <w:vAlign w:val="center"/>
          </w:tcPr>
          <w:p w14:paraId="78A471B0">
            <w:pPr>
              <w:jc w:val="center"/>
              <w:rPr>
                <w:rFonts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634E5AA3">
            <w:pPr>
              <w:jc w:val="left"/>
              <w:rPr>
                <w:rFonts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1）明确教育实验研究的涵义及其基本概念，理解教育实验的特征、功能和局限性；</w:t>
            </w:r>
          </w:p>
          <w:p w14:paraId="78CCFF59">
            <w:pPr>
              <w:jc w:val="left"/>
              <w:rPr>
                <w:rFonts w:ascii="宋体" w:hAnsi="宋体" w:eastAsia="宋体" w:cs="Times New Roman"/>
                <w:szCs w:val="21"/>
              </w:rPr>
            </w:pPr>
            <w:r>
              <w:rPr>
                <w:rFonts w:ascii="宋体" w:hAnsi="宋体" w:eastAsia="宋体" w:cs="Times New Roman"/>
                <w:szCs w:val="21"/>
              </w:rPr>
              <w:t>（2）了解教育实验的步骤；了解常见的无关变量及其控制办法；</w:t>
            </w:r>
          </w:p>
          <w:p w14:paraId="4D17A00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3）学会识别常用的实验设计类型；</w:t>
            </w:r>
          </w:p>
          <w:p w14:paraId="704DD1F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4）学会从实验设计的角度评价实验效度。</w:t>
            </w:r>
          </w:p>
        </w:tc>
        <w:tc>
          <w:tcPr>
            <w:tcW w:w="1276" w:type="dxa"/>
            <w:vAlign w:val="center"/>
          </w:tcPr>
          <w:p w14:paraId="63705435">
            <w:pPr>
              <w:spacing w:line="276" w:lineRule="auto"/>
              <w:jc w:val="left"/>
              <w:rPr>
                <w:rFonts w:ascii="宋体" w:hAnsi="宋体" w:eastAsia="宋体" w:cs="Times New Roman"/>
                <w:szCs w:val="21"/>
              </w:rPr>
            </w:pPr>
            <w:r>
              <w:rPr>
                <w:rFonts w:hint="eastAsia" w:ascii="宋体" w:hAnsi="宋体" w:eastAsia="宋体" w:cs="Times New Roman"/>
                <w:szCs w:val="21"/>
              </w:rPr>
              <w:t>自主学习</w:t>
            </w:r>
          </w:p>
          <w:p w14:paraId="11807426">
            <w:pPr>
              <w:spacing w:line="276" w:lineRule="auto"/>
              <w:jc w:val="left"/>
              <w:rPr>
                <w:rFonts w:ascii="宋体" w:hAnsi="宋体" w:eastAsia="宋体" w:cs="Times New Roman"/>
                <w:szCs w:val="21"/>
              </w:rPr>
            </w:pPr>
            <w:r>
              <w:rPr>
                <w:rFonts w:hint="eastAsia" w:ascii="宋体" w:hAnsi="宋体" w:eastAsia="宋体" w:cs="Times New Roman"/>
                <w:szCs w:val="21"/>
              </w:rPr>
              <w:t>案例教学</w:t>
            </w:r>
          </w:p>
          <w:p w14:paraId="30D38F42">
            <w:pPr>
              <w:spacing w:line="276" w:lineRule="auto"/>
              <w:jc w:val="left"/>
              <w:rPr>
                <w:rFonts w:ascii="宋体" w:hAnsi="宋体" w:eastAsia="宋体" w:cs="Times New Roman"/>
                <w:szCs w:val="21"/>
              </w:rPr>
            </w:pPr>
            <w:r>
              <w:rPr>
                <w:rFonts w:hint="eastAsia" w:ascii="宋体" w:hAnsi="宋体" w:eastAsia="宋体" w:cs="Times New Roman"/>
                <w:szCs w:val="21"/>
              </w:rPr>
              <w:t>课堂讨论</w:t>
            </w:r>
          </w:p>
          <w:p w14:paraId="0836A0C6">
            <w:pPr>
              <w:spacing w:line="276" w:lineRule="auto"/>
              <w:jc w:val="left"/>
              <w:rPr>
                <w:rFonts w:ascii="宋体" w:hAnsi="宋体" w:eastAsia="宋体" w:cs="Times New Roman"/>
                <w:szCs w:val="21"/>
              </w:rPr>
            </w:pPr>
            <w:r>
              <w:rPr>
                <w:rFonts w:hint="eastAsia" w:ascii="宋体" w:hAnsi="宋体" w:eastAsia="宋体" w:cs="Times New Roman"/>
                <w:szCs w:val="21"/>
              </w:rPr>
              <w:t>在线测试</w:t>
            </w:r>
          </w:p>
          <w:p w14:paraId="265871A8">
            <w:pPr>
              <w:spacing w:line="276" w:lineRule="auto"/>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6B42070C">
            <w:pPr>
              <w:spacing w:line="276" w:lineRule="auto"/>
              <w:jc w:val="center"/>
              <w:rPr>
                <w:rFonts w:ascii="宋体" w:hAnsi="宋体" w:eastAsia="宋体" w:cs="Times New Roman"/>
                <w:szCs w:val="21"/>
              </w:rPr>
            </w:pPr>
            <w:r>
              <w:rPr>
                <w:rFonts w:hint="eastAsia" w:ascii="宋体" w:hAnsi="宋体" w:eastAsia="宋体" w:cs="Times New Roman"/>
                <w:szCs w:val="21"/>
              </w:rPr>
              <w:t>9</w:t>
            </w:r>
          </w:p>
        </w:tc>
      </w:tr>
      <w:tr w14:paraId="5B07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5490DC">
            <w:pPr>
              <w:spacing w:line="276" w:lineRule="auto"/>
              <w:jc w:val="center"/>
              <w:rPr>
                <w:rFonts w:ascii="宋体" w:hAnsi="宋体" w:eastAsia="宋体" w:cs="Times New Roman"/>
                <w:szCs w:val="21"/>
              </w:rPr>
            </w:pPr>
          </w:p>
        </w:tc>
        <w:tc>
          <w:tcPr>
            <w:tcW w:w="8093" w:type="dxa"/>
            <w:gridSpan w:val="5"/>
            <w:vAlign w:val="center"/>
          </w:tcPr>
          <w:p w14:paraId="46C55E16">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尊重事物发展的内在规律，准确把握事物的主要矛盾和次要矛盾；尊重儿童身心发展规律，关注教育研究的伦理特点，形成正确的科研观和业绩观。</w:t>
            </w:r>
          </w:p>
        </w:tc>
      </w:tr>
      <w:tr w14:paraId="7479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3DEA53">
            <w:pPr>
              <w:spacing w:line="276" w:lineRule="auto"/>
              <w:jc w:val="center"/>
              <w:rPr>
                <w:rFonts w:ascii="宋体" w:hAnsi="宋体" w:eastAsia="宋体" w:cs="Times New Roman"/>
                <w:szCs w:val="21"/>
              </w:rPr>
            </w:pPr>
            <w:r>
              <w:rPr>
                <w:rFonts w:hint="eastAsia" w:ascii="宋体" w:hAnsi="宋体" w:eastAsia="宋体" w:cs="Times New Roman"/>
                <w:szCs w:val="21"/>
              </w:rPr>
              <w:t>7. 教育叙事研究</w:t>
            </w:r>
          </w:p>
        </w:tc>
        <w:tc>
          <w:tcPr>
            <w:tcW w:w="1701" w:type="dxa"/>
            <w:vAlign w:val="center"/>
          </w:tcPr>
          <w:p w14:paraId="3D09B30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1）教育叙事研究</w:t>
            </w:r>
            <w:r>
              <w:rPr>
                <w:rFonts w:hint="eastAsia" w:ascii="宋体" w:hAnsi="宋体" w:eastAsia="宋体" w:cs="Times New Roman"/>
                <w:szCs w:val="21"/>
              </w:rPr>
              <w:t>的内涵特征</w:t>
            </w:r>
          </w:p>
          <w:p w14:paraId="5BDFB7A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2）教育叙事研究的操作策略</w:t>
            </w:r>
          </w:p>
          <w:p w14:paraId="748690D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3）教育叙事研究的基本要求</w:t>
            </w:r>
          </w:p>
        </w:tc>
        <w:tc>
          <w:tcPr>
            <w:tcW w:w="1134" w:type="dxa"/>
            <w:vAlign w:val="center"/>
          </w:tcPr>
          <w:p w14:paraId="2925D96A">
            <w:pPr>
              <w:jc w:val="center"/>
              <w:rPr>
                <w:rFonts w:ascii="宋体" w:hAnsi="宋体" w:eastAsia="宋体" w:cs="Times New Roman"/>
                <w:szCs w:val="21"/>
              </w:rPr>
            </w:pPr>
            <w:r>
              <w:rPr>
                <w:rFonts w:hint="eastAsia" w:ascii="宋体" w:hAnsi="宋体" w:eastAsia="宋体" w:cs="Times New Roman"/>
                <w:szCs w:val="21"/>
              </w:rPr>
              <w:t>课程目标3</w:t>
            </w:r>
          </w:p>
        </w:tc>
        <w:tc>
          <w:tcPr>
            <w:tcW w:w="3326" w:type="dxa"/>
            <w:vAlign w:val="center"/>
          </w:tcPr>
          <w:p w14:paraId="083494F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1）了解教育叙事研究的特征；</w:t>
            </w:r>
          </w:p>
          <w:p w14:paraId="67E7D7D0">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2）掌握教育叙事研究的关键步骤及操作策略；</w:t>
            </w:r>
          </w:p>
          <w:p w14:paraId="1511C02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3）掌握教育叙事研究的“深度描写”的基本要求；</w:t>
            </w:r>
          </w:p>
          <w:p w14:paraId="5E0EDFC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4）初步掌握教育叙事研究方案的设计。</w:t>
            </w:r>
          </w:p>
        </w:tc>
        <w:tc>
          <w:tcPr>
            <w:tcW w:w="1276" w:type="dxa"/>
            <w:vAlign w:val="center"/>
          </w:tcPr>
          <w:p w14:paraId="6F833E38">
            <w:pPr>
              <w:spacing w:line="276" w:lineRule="auto"/>
              <w:jc w:val="left"/>
              <w:rPr>
                <w:rFonts w:ascii="宋体" w:hAnsi="宋体" w:eastAsia="宋体" w:cs="Times New Roman"/>
                <w:szCs w:val="21"/>
              </w:rPr>
            </w:pPr>
            <w:r>
              <w:rPr>
                <w:rFonts w:hint="eastAsia" w:ascii="宋体" w:hAnsi="宋体" w:eastAsia="宋体" w:cs="Times New Roman"/>
                <w:szCs w:val="21"/>
              </w:rPr>
              <w:t>自主学习</w:t>
            </w:r>
          </w:p>
          <w:p w14:paraId="1CE94DB7">
            <w:pPr>
              <w:spacing w:line="276" w:lineRule="auto"/>
              <w:jc w:val="left"/>
              <w:rPr>
                <w:rFonts w:ascii="宋体" w:hAnsi="宋体" w:eastAsia="宋体" w:cs="Times New Roman"/>
                <w:szCs w:val="21"/>
              </w:rPr>
            </w:pPr>
            <w:r>
              <w:rPr>
                <w:rFonts w:hint="eastAsia" w:ascii="宋体" w:hAnsi="宋体" w:eastAsia="宋体" w:cs="Times New Roman"/>
                <w:szCs w:val="21"/>
              </w:rPr>
              <w:t>案例教学</w:t>
            </w:r>
          </w:p>
          <w:p w14:paraId="12B98AA0">
            <w:pPr>
              <w:spacing w:line="276" w:lineRule="auto"/>
              <w:jc w:val="left"/>
              <w:rPr>
                <w:rFonts w:ascii="宋体" w:hAnsi="宋体" w:eastAsia="宋体" w:cs="Times New Roman"/>
                <w:szCs w:val="21"/>
              </w:rPr>
            </w:pPr>
            <w:r>
              <w:rPr>
                <w:rFonts w:hint="eastAsia" w:ascii="宋体" w:hAnsi="宋体" w:eastAsia="宋体" w:cs="Times New Roman"/>
                <w:szCs w:val="21"/>
              </w:rPr>
              <w:t>课堂讨论</w:t>
            </w:r>
          </w:p>
          <w:p w14:paraId="7C8B1047">
            <w:pPr>
              <w:spacing w:line="276" w:lineRule="auto"/>
              <w:jc w:val="left"/>
              <w:rPr>
                <w:rFonts w:ascii="宋体" w:hAnsi="宋体" w:eastAsia="宋体" w:cs="Times New Roman"/>
                <w:szCs w:val="21"/>
              </w:rPr>
            </w:pPr>
            <w:r>
              <w:rPr>
                <w:rFonts w:hint="eastAsia" w:ascii="宋体" w:hAnsi="宋体" w:eastAsia="宋体" w:cs="Times New Roman"/>
                <w:szCs w:val="21"/>
              </w:rPr>
              <w:t>在线测试</w:t>
            </w:r>
          </w:p>
          <w:p w14:paraId="41990A36">
            <w:pPr>
              <w:spacing w:line="276" w:lineRule="auto"/>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0C3D229D">
            <w:pPr>
              <w:spacing w:line="276" w:lineRule="auto"/>
              <w:jc w:val="center"/>
              <w:rPr>
                <w:rFonts w:ascii="宋体" w:hAnsi="宋体" w:eastAsia="宋体" w:cs="Times New Roman"/>
                <w:szCs w:val="21"/>
              </w:rPr>
            </w:pPr>
            <w:r>
              <w:rPr>
                <w:rFonts w:ascii="宋体" w:hAnsi="宋体" w:eastAsia="宋体" w:cs="Times New Roman"/>
                <w:szCs w:val="21"/>
              </w:rPr>
              <w:t>4</w:t>
            </w:r>
          </w:p>
        </w:tc>
      </w:tr>
      <w:tr w14:paraId="5784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8C5380A">
            <w:pPr>
              <w:spacing w:line="276" w:lineRule="auto"/>
              <w:jc w:val="center"/>
              <w:rPr>
                <w:rFonts w:ascii="宋体" w:hAnsi="宋体" w:eastAsia="宋体" w:cs="Times New Roman"/>
                <w:szCs w:val="21"/>
              </w:rPr>
            </w:pPr>
          </w:p>
        </w:tc>
        <w:tc>
          <w:tcPr>
            <w:tcW w:w="8093" w:type="dxa"/>
            <w:gridSpan w:val="5"/>
            <w:vAlign w:val="center"/>
          </w:tcPr>
          <w:p w14:paraId="3A2A42F1">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培养和形成深厚的教育情怀，走进儿童心灵，关心、关爱儿童；养成脚踏实地、实事求是的学习风气和研究态度。</w:t>
            </w:r>
          </w:p>
        </w:tc>
      </w:tr>
      <w:tr w14:paraId="61B2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36C2369">
            <w:pPr>
              <w:spacing w:line="264" w:lineRule="auto"/>
              <w:jc w:val="center"/>
              <w:rPr>
                <w:rFonts w:ascii="宋体" w:hAnsi="宋体" w:eastAsia="宋体" w:cs="Times New Roman"/>
                <w:szCs w:val="21"/>
              </w:rPr>
            </w:pPr>
            <w:r>
              <w:rPr>
                <w:rFonts w:hint="eastAsia" w:ascii="宋体" w:hAnsi="宋体" w:eastAsia="宋体" w:cs="Times New Roman"/>
                <w:szCs w:val="21"/>
              </w:rPr>
              <w:t>8. 教育行动研究</w:t>
            </w:r>
          </w:p>
        </w:tc>
        <w:tc>
          <w:tcPr>
            <w:tcW w:w="1701" w:type="dxa"/>
            <w:vAlign w:val="center"/>
          </w:tcPr>
          <w:p w14:paraId="43DC32C5">
            <w:pPr>
              <w:jc w:val="lef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1）教育行动研究</w:t>
            </w:r>
            <w:r>
              <w:rPr>
                <w:rFonts w:hint="eastAsia" w:ascii="宋体" w:hAnsi="宋体" w:eastAsia="宋体" w:cs="Times New Roman"/>
                <w:szCs w:val="21"/>
              </w:rPr>
              <w:t>的特征</w:t>
            </w:r>
          </w:p>
          <w:p w14:paraId="2ED818F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2）教育行动研究的步骤</w:t>
            </w:r>
          </w:p>
          <w:p w14:paraId="5798132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3）教育行动研究的基本要求</w:t>
            </w:r>
          </w:p>
        </w:tc>
        <w:tc>
          <w:tcPr>
            <w:tcW w:w="1134" w:type="dxa"/>
            <w:vAlign w:val="center"/>
          </w:tcPr>
          <w:p w14:paraId="08119297">
            <w:pPr>
              <w:jc w:val="center"/>
              <w:rPr>
                <w:rFonts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169B9BD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1）了解教育行动研究的特征和意义；</w:t>
            </w:r>
          </w:p>
          <w:p w14:paraId="6FF7D46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2）掌握教育行动研究的基本步骤；</w:t>
            </w:r>
          </w:p>
          <w:p w14:paraId="276C4FF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3）学会教育行动研究方案设计。</w:t>
            </w:r>
          </w:p>
        </w:tc>
        <w:tc>
          <w:tcPr>
            <w:tcW w:w="1276" w:type="dxa"/>
            <w:vAlign w:val="center"/>
          </w:tcPr>
          <w:p w14:paraId="59A3109B">
            <w:pPr>
              <w:spacing w:line="264" w:lineRule="auto"/>
              <w:jc w:val="left"/>
              <w:rPr>
                <w:rFonts w:ascii="宋体" w:hAnsi="宋体" w:eastAsia="宋体" w:cs="Times New Roman"/>
                <w:szCs w:val="21"/>
              </w:rPr>
            </w:pPr>
            <w:r>
              <w:rPr>
                <w:rFonts w:hint="eastAsia" w:ascii="宋体" w:hAnsi="宋体" w:eastAsia="宋体" w:cs="Times New Roman"/>
                <w:szCs w:val="21"/>
              </w:rPr>
              <w:t>自主学习</w:t>
            </w:r>
          </w:p>
          <w:p w14:paraId="0B2A9286">
            <w:pPr>
              <w:spacing w:line="264" w:lineRule="auto"/>
              <w:jc w:val="left"/>
              <w:rPr>
                <w:rFonts w:ascii="宋体" w:hAnsi="宋体" w:eastAsia="宋体" w:cs="Times New Roman"/>
                <w:szCs w:val="21"/>
              </w:rPr>
            </w:pPr>
            <w:r>
              <w:rPr>
                <w:rFonts w:hint="eastAsia" w:ascii="宋体" w:hAnsi="宋体" w:eastAsia="宋体" w:cs="Times New Roman"/>
                <w:szCs w:val="21"/>
              </w:rPr>
              <w:t>案例教学</w:t>
            </w:r>
          </w:p>
          <w:p w14:paraId="49998ED2">
            <w:pPr>
              <w:spacing w:line="264" w:lineRule="auto"/>
              <w:jc w:val="left"/>
              <w:rPr>
                <w:rFonts w:ascii="宋体" w:hAnsi="宋体" w:eastAsia="宋体" w:cs="Times New Roman"/>
                <w:szCs w:val="21"/>
              </w:rPr>
            </w:pPr>
            <w:r>
              <w:rPr>
                <w:rFonts w:hint="eastAsia" w:ascii="宋体" w:hAnsi="宋体" w:eastAsia="宋体" w:cs="Times New Roman"/>
                <w:szCs w:val="21"/>
              </w:rPr>
              <w:t>课堂讨论</w:t>
            </w:r>
          </w:p>
          <w:p w14:paraId="0129B964">
            <w:pPr>
              <w:spacing w:line="264" w:lineRule="auto"/>
              <w:jc w:val="left"/>
              <w:rPr>
                <w:rFonts w:ascii="宋体" w:hAnsi="宋体" w:eastAsia="宋体" w:cs="Times New Roman"/>
                <w:szCs w:val="21"/>
              </w:rPr>
            </w:pPr>
            <w:r>
              <w:rPr>
                <w:rFonts w:hint="eastAsia" w:ascii="宋体" w:hAnsi="宋体" w:eastAsia="宋体" w:cs="Times New Roman"/>
                <w:szCs w:val="21"/>
              </w:rPr>
              <w:t>在线测试</w:t>
            </w:r>
          </w:p>
          <w:p w14:paraId="2C4A346F">
            <w:pPr>
              <w:spacing w:line="264" w:lineRule="auto"/>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40937B69">
            <w:pPr>
              <w:spacing w:line="264" w:lineRule="auto"/>
              <w:jc w:val="center"/>
              <w:rPr>
                <w:rFonts w:ascii="宋体" w:hAnsi="宋体" w:eastAsia="宋体" w:cs="Times New Roman"/>
                <w:szCs w:val="21"/>
              </w:rPr>
            </w:pPr>
            <w:r>
              <w:rPr>
                <w:rFonts w:ascii="宋体" w:hAnsi="宋体" w:eastAsia="宋体" w:cs="Times New Roman"/>
                <w:szCs w:val="21"/>
              </w:rPr>
              <w:t>6</w:t>
            </w:r>
          </w:p>
        </w:tc>
      </w:tr>
      <w:tr w14:paraId="7D9E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421FB47">
            <w:pPr>
              <w:spacing w:line="264" w:lineRule="auto"/>
              <w:jc w:val="center"/>
              <w:rPr>
                <w:rFonts w:ascii="宋体" w:hAnsi="宋体" w:eastAsia="宋体" w:cs="Times New Roman"/>
                <w:szCs w:val="21"/>
              </w:rPr>
            </w:pPr>
          </w:p>
        </w:tc>
        <w:tc>
          <w:tcPr>
            <w:tcW w:w="8093" w:type="dxa"/>
            <w:gridSpan w:val="5"/>
            <w:vAlign w:val="center"/>
          </w:tcPr>
          <w:p w14:paraId="21AA7A55">
            <w:pPr>
              <w:spacing w:line="264"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尊重教育发展规律和儿童身心发展规律，形成务实的研究作风；培养和形成协调合作能力和创新实践能力。</w:t>
            </w:r>
          </w:p>
        </w:tc>
      </w:tr>
      <w:tr w14:paraId="4D55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E059ED">
            <w:pPr>
              <w:spacing w:line="264" w:lineRule="auto"/>
              <w:jc w:val="center"/>
              <w:rPr>
                <w:rFonts w:ascii="宋体" w:hAnsi="宋体" w:eastAsia="宋体" w:cs="Times New Roman"/>
                <w:szCs w:val="21"/>
              </w:rPr>
            </w:pPr>
            <w:r>
              <w:rPr>
                <w:rFonts w:hint="eastAsia" w:ascii="宋体" w:hAnsi="宋体" w:eastAsia="宋体" w:cs="Times New Roman"/>
                <w:szCs w:val="21"/>
              </w:rPr>
              <w:t>9. 教育研究成果表述</w:t>
            </w:r>
          </w:p>
        </w:tc>
        <w:tc>
          <w:tcPr>
            <w:tcW w:w="1701" w:type="dxa"/>
            <w:vAlign w:val="center"/>
          </w:tcPr>
          <w:p w14:paraId="590BE34D">
            <w:pPr>
              <w:jc w:val="lef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1）教育研究成果表述的目的</w:t>
            </w:r>
          </w:p>
          <w:p w14:paraId="718FA53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2）教育研究成果的主要类型</w:t>
            </w:r>
          </w:p>
          <w:p w14:paraId="7773E4E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3）教育研究成果的撰写</w:t>
            </w:r>
          </w:p>
          <w:p w14:paraId="041F480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4）教育研究成果表述规范</w:t>
            </w:r>
          </w:p>
        </w:tc>
        <w:tc>
          <w:tcPr>
            <w:tcW w:w="1134" w:type="dxa"/>
            <w:vAlign w:val="center"/>
          </w:tcPr>
          <w:p w14:paraId="340F295F">
            <w:pPr>
              <w:jc w:val="center"/>
              <w:rPr>
                <w:rFonts w:ascii="宋体" w:hAnsi="宋体" w:eastAsia="宋体" w:cs="Times New Roman"/>
                <w:szCs w:val="21"/>
              </w:rPr>
            </w:pPr>
            <w:r>
              <w:rPr>
                <w:rFonts w:hint="eastAsia" w:ascii="宋体" w:hAnsi="宋体" w:eastAsia="宋体" w:cs="Times New Roman"/>
                <w:szCs w:val="21"/>
              </w:rPr>
              <w:t>课程目标4</w:t>
            </w:r>
            <w:r>
              <w:rPr>
                <w:rFonts w:ascii="宋体" w:hAnsi="宋体" w:eastAsia="宋体" w:cs="Times New Roman"/>
                <w:szCs w:val="21"/>
              </w:rPr>
              <w:t xml:space="preserve"> </w:t>
            </w:r>
          </w:p>
        </w:tc>
        <w:tc>
          <w:tcPr>
            <w:tcW w:w="3326" w:type="dxa"/>
            <w:vAlign w:val="center"/>
          </w:tcPr>
          <w:p w14:paraId="16255AB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1）了解教育研究成果表述的目的；</w:t>
            </w:r>
          </w:p>
          <w:p w14:paraId="53B6D0D7">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2）掌握教育经验总结、教育调查报告、实验报告及学术论文（毕业论文）的基本结构；</w:t>
            </w:r>
          </w:p>
          <w:p w14:paraId="3775D9C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3）掌握研究撰写的通行规范；</w:t>
            </w:r>
          </w:p>
          <w:p w14:paraId="77917F5F">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4）初步掌握研究报告及毕业论文的撰写方法。</w:t>
            </w:r>
          </w:p>
        </w:tc>
        <w:tc>
          <w:tcPr>
            <w:tcW w:w="1276" w:type="dxa"/>
            <w:vAlign w:val="center"/>
          </w:tcPr>
          <w:p w14:paraId="523B9E43">
            <w:pPr>
              <w:spacing w:line="264" w:lineRule="auto"/>
              <w:jc w:val="left"/>
              <w:rPr>
                <w:rFonts w:ascii="宋体" w:hAnsi="宋体" w:eastAsia="宋体" w:cs="Times New Roman"/>
                <w:szCs w:val="21"/>
              </w:rPr>
            </w:pPr>
            <w:r>
              <w:rPr>
                <w:rFonts w:hint="eastAsia" w:ascii="宋体" w:hAnsi="宋体" w:eastAsia="宋体" w:cs="Times New Roman"/>
                <w:szCs w:val="21"/>
              </w:rPr>
              <w:t>自主学习</w:t>
            </w:r>
          </w:p>
          <w:p w14:paraId="72136A4F">
            <w:pPr>
              <w:spacing w:line="264" w:lineRule="auto"/>
              <w:jc w:val="left"/>
              <w:rPr>
                <w:rFonts w:ascii="宋体" w:hAnsi="宋体" w:eastAsia="宋体" w:cs="Times New Roman"/>
                <w:szCs w:val="21"/>
              </w:rPr>
            </w:pPr>
            <w:r>
              <w:rPr>
                <w:rFonts w:hint="eastAsia" w:ascii="宋体" w:hAnsi="宋体" w:eastAsia="宋体" w:cs="Times New Roman"/>
                <w:szCs w:val="21"/>
              </w:rPr>
              <w:t>案例教学</w:t>
            </w:r>
          </w:p>
          <w:p w14:paraId="31673CA7">
            <w:pPr>
              <w:spacing w:line="264" w:lineRule="auto"/>
              <w:jc w:val="left"/>
              <w:rPr>
                <w:rFonts w:ascii="宋体" w:hAnsi="宋体" w:eastAsia="宋体" w:cs="Times New Roman"/>
                <w:szCs w:val="21"/>
              </w:rPr>
            </w:pPr>
            <w:r>
              <w:rPr>
                <w:rFonts w:hint="eastAsia" w:ascii="宋体" w:hAnsi="宋体" w:eastAsia="宋体" w:cs="Times New Roman"/>
                <w:szCs w:val="21"/>
              </w:rPr>
              <w:t>课堂讨论</w:t>
            </w:r>
          </w:p>
          <w:p w14:paraId="14D28C49">
            <w:pPr>
              <w:spacing w:line="264" w:lineRule="auto"/>
              <w:jc w:val="left"/>
              <w:rPr>
                <w:rFonts w:ascii="宋体" w:hAnsi="宋体" w:eastAsia="宋体" w:cs="Times New Roman"/>
                <w:szCs w:val="21"/>
              </w:rPr>
            </w:pPr>
            <w:r>
              <w:rPr>
                <w:rFonts w:hint="eastAsia" w:ascii="宋体" w:hAnsi="宋体" w:eastAsia="宋体" w:cs="Times New Roman"/>
                <w:szCs w:val="21"/>
              </w:rPr>
              <w:t>在线测试</w:t>
            </w:r>
          </w:p>
          <w:p w14:paraId="1D13CD3D">
            <w:pPr>
              <w:spacing w:line="264" w:lineRule="auto"/>
              <w:jc w:val="left"/>
              <w:rPr>
                <w:rFonts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692E17B0">
            <w:pPr>
              <w:spacing w:line="264" w:lineRule="auto"/>
              <w:jc w:val="center"/>
              <w:rPr>
                <w:rFonts w:ascii="宋体" w:hAnsi="宋体" w:eastAsia="宋体" w:cs="Times New Roman"/>
                <w:szCs w:val="21"/>
              </w:rPr>
            </w:pPr>
            <w:r>
              <w:rPr>
                <w:rFonts w:hint="eastAsia" w:ascii="宋体" w:hAnsi="宋体" w:eastAsia="宋体" w:cs="Times New Roman"/>
                <w:szCs w:val="21"/>
              </w:rPr>
              <w:t>4</w:t>
            </w:r>
          </w:p>
        </w:tc>
      </w:tr>
      <w:tr w14:paraId="1AF9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56B5E3">
            <w:pPr>
              <w:spacing w:line="264" w:lineRule="auto"/>
              <w:jc w:val="center"/>
              <w:rPr>
                <w:rFonts w:ascii="宋体" w:hAnsi="宋体" w:eastAsia="宋体" w:cs="Times New Roman"/>
                <w:szCs w:val="21"/>
              </w:rPr>
            </w:pPr>
          </w:p>
        </w:tc>
        <w:tc>
          <w:tcPr>
            <w:tcW w:w="8093" w:type="dxa"/>
            <w:gridSpan w:val="5"/>
            <w:vAlign w:val="center"/>
          </w:tcPr>
          <w:p w14:paraId="31E925E7">
            <w:pPr>
              <w:spacing w:line="264"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正确处理整体和部分的关系，准确把握主要矛盾和次要矛盾；践行社会主义核心价值观，坚持“四个自信”；虚心学习，实事求是，培养和形成朴素的文风；学会创新，树立远大理想。</w:t>
            </w:r>
          </w:p>
        </w:tc>
      </w:tr>
    </w:tbl>
    <w:p w14:paraId="29B18025">
      <w:pPr>
        <w:spacing w:line="360" w:lineRule="auto"/>
        <w:jc w:val="left"/>
        <w:rPr>
          <w:rFonts w:ascii="Times New Roman" w:hAnsi="Times New Roman" w:eastAsia="宋体" w:cs="Times New Roman"/>
          <w:sz w:val="24"/>
          <w:szCs w:val="24"/>
        </w:rPr>
      </w:pPr>
    </w:p>
    <w:p w14:paraId="02A44BA6">
      <w:pPr>
        <w:spacing w:line="360" w:lineRule="auto"/>
        <w:jc w:val="left"/>
        <w:outlineLvl w:val="0"/>
        <w:rPr>
          <w:rFonts w:ascii="Times New Roman" w:hAnsi="Times New Roman" w:eastAsia="宋体" w:cs="Times New Roman"/>
          <w:sz w:val="28"/>
          <w:szCs w:val="28"/>
        </w:rPr>
      </w:pPr>
      <w:bookmarkStart w:id="853" w:name="_Toc11504"/>
      <w:bookmarkStart w:id="854" w:name="_Toc9289"/>
      <w:bookmarkStart w:id="855" w:name="_Toc7152"/>
      <w:bookmarkStart w:id="856" w:name="_Toc19956"/>
      <w:bookmarkStart w:id="857" w:name="_Toc17522"/>
      <w:bookmarkStart w:id="858" w:name="_Toc32644"/>
      <w:bookmarkStart w:id="859" w:name="_Toc23767"/>
      <w:r>
        <w:rPr>
          <w:rFonts w:hint="eastAsia" w:ascii="宋体" w:hAnsi="宋体" w:eastAsia="宋体" w:cs="Times New Roman"/>
          <w:b/>
          <w:sz w:val="28"/>
          <w:szCs w:val="28"/>
        </w:rPr>
        <w:t>四、目标评价与成绩评定</w:t>
      </w:r>
      <w:bookmarkEnd w:id="853"/>
      <w:bookmarkEnd w:id="854"/>
      <w:bookmarkEnd w:id="855"/>
      <w:bookmarkEnd w:id="856"/>
      <w:bookmarkEnd w:id="857"/>
      <w:bookmarkEnd w:id="858"/>
      <w:bookmarkEnd w:id="859"/>
    </w:p>
    <w:p w14:paraId="1A1AAE1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578C99A">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ascii="Times New Roman" w:hAnsi="Times New Roman" w:eastAsia="宋体" w:cs="Times New Roman"/>
          <w:b/>
          <w:bCs/>
          <w:sz w:val="24"/>
          <w:szCs w:val="24"/>
        </w:rPr>
        <w:t xml:space="preserve">  课程教学评价设计总表</w:t>
      </w:r>
      <w:r>
        <w:rPr>
          <w:rFonts w:hint="eastAsia" w:ascii="Times New Roman" w:hAnsi="Times New Roman" w:eastAsia="宋体" w:cs="Times New Roman"/>
          <w:b/>
          <w:bCs/>
          <w:sz w:val="24"/>
          <w:szCs w:val="24"/>
        </w:rPr>
        <w:t xml:space="preserve"> </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14"/>
        <w:gridCol w:w="701"/>
        <w:gridCol w:w="709"/>
        <w:gridCol w:w="708"/>
        <w:gridCol w:w="713"/>
        <w:gridCol w:w="711"/>
        <w:gridCol w:w="852"/>
        <w:gridCol w:w="993"/>
        <w:gridCol w:w="992"/>
      </w:tblGrid>
      <w:tr w14:paraId="005A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4" w:type="dxa"/>
            <w:vMerge w:val="restart"/>
            <w:vAlign w:val="center"/>
          </w:tcPr>
          <w:p w14:paraId="544EC6C4">
            <w:pPr>
              <w:jc w:val="left"/>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c>
          <w:tcPr>
            <w:tcW w:w="6101" w:type="dxa"/>
            <w:gridSpan w:val="8"/>
            <w:vAlign w:val="center"/>
          </w:tcPr>
          <w:p w14:paraId="6ED5186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评价与成绩评定方法</w:t>
            </w:r>
          </w:p>
        </w:tc>
        <w:tc>
          <w:tcPr>
            <w:tcW w:w="992" w:type="dxa"/>
            <w:vMerge w:val="restart"/>
            <w:vAlign w:val="center"/>
          </w:tcPr>
          <w:p w14:paraId="03FB328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分值</w:t>
            </w:r>
          </w:p>
        </w:tc>
      </w:tr>
      <w:tr w14:paraId="726A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24" w:type="dxa"/>
            <w:vMerge w:val="continue"/>
            <w:vAlign w:val="center"/>
          </w:tcPr>
          <w:p w14:paraId="65A97AA3">
            <w:pPr>
              <w:jc w:val="left"/>
              <w:rPr>
                <w:rFonts w:ascii="Times New Roman" w:hAnsi="Times New Roman" w:eastAsia="宋体" w:cs="Times New Roman"/>
                <w:b/>
                <w:bCs/>
                <w:szCs w:val="21"/>
              </w:rPr>
            </w:pPr>
          </w:p>
        </w:tc>
        <w:tc>
          <w:tcPr>
            <w:tcW w:w="3545" w:type="dxa"/>
            <w:gridSpan w:val="5"/>
            <w:vAlign w:val="center"/>
          </w:tcPr>
          <w:p w14:paraId="782E074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过程性评价</w:t>
            </w:r>
          </w:p>
        </w:tc>
        <w:tc>
          <w:tcPr>
            <w:tcW w:w="2556" w:type="dxa"/>
            <w:gridSpan w:val="3"/>
            <w:vAlign w:val="center"/>
          </w:tcPr>
          <w:p w14:paraId="7FDDB03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992" w:type="dxa"/>
            <w:vMerge w:val="continue"/>
            <w:vAlign w:val="center"/>
          </w:tcPr>
          <w:p w14:paraId="2A5C03FA">
            <w:pPr>
              <w:jc w:val="center"/>
              <w:rPr>
                <w:rFonts w:ascii="Times New Roman" w:hAnsi="Times New Roman" w:eastAsia="宋体" w:cs="Times New Roman"/>
                <w:b/>
                <w:bCs/>
                <w:szCs w:val="21"/>
              </w:rPr>
            </w:pPr>
          </w:p>
        </w:tc>
      </w:tr>
      <w:tr w14:paraId="0130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2CCCD067">
            <w:pPr>
              <w:spacing w:line="360" w:lineRule="auto"/>
              <w:jc w:val="left"/>
              <w:rPr>
                <w:rFonts w:ascii="Times New Roman" w:hAnsi="Times New Roman" w:eastAsia="宋体" w:cs="Times New Roman"/>
                <w:szCs w:val="21"/>
              </w:rPr>
            </w:pPr>
          </w:p>
        </w:tc>
        <w:tc>
          <w:tcPr>
            <w:tcW w:w="714" w:type="dxa"/>
            <w:vAlign w:val="center"/>
          </w:tcPr>
          <w:p w14:paraId="50CA6682">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课堂</w:t>
            </w:r>
          </w:p>
          <w:p w14:paraId="5A6319A7">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表现</w:t>
            </w:r>
          </w:p>
        </w:tc>
        <w:tc>
          <w:tcPr>
            <w:tcW w:w="701" w:type="dxa"/>
            <w:vAlign w:val="center"/>
          </w:tcPr>
          <w:p w14:paraId="252C9889">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平时</w:t>
            </w:r>
          </w:p>
          <w:p w14:paraId="654626FB">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作业</w:t>
            </w:r>
          </w:p>
        </w:tc>
        <w:tc>
          <w:tcPr>
            <w:tcW w:w="709" w:type="dxa"/>
            <w:vAlign w:val="center"/>
          </w:tcPr>
          <w:p w14:paraId="7324ADB8">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自主</w:t>
            </w:r>
          </w:p>
          <w:p w14:paraId="046F431C">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学习</w:t>
            </w:r>
          </w:p>
        </w:tc>
        <w:tc>
          <w:tcPr>
            <w:tcW w:w="708" w:type="dxa"/>
            <w:vAlign w:val="center"/>
          </w:tcPr>
          <w:p w14:paraId="753D0D39">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合作</w:t>
            </w:r>
          </w:p>
          <w:p w14:paraId="6DCDFC23">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学习</w:t>
            </w:r>
          </w:p>
        </w:tc>
        <w:tc>
          <w:tcPr>
            <w:tcW w:w="713" w:type="dxa"/>
            <w:vAlign w:val="center"/>
          </w:tcPr>
          <w:p w14:paraId="5D5A934E">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汇报展示</w:t>
            </w:r>
          </w:p>
        </w:tc>
        <w:tc>
          <w:tcPr>
            <w:tcW w:w="711" w:type="dxa"/>
            <w:vAlign w:val="center"/>
          </w:tcPr>
          <w:p w14:paraId="12B33351">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文献</w:t>
            </w:r>
          </w:p>
          <w:p w14:paraId="3FCB2B93">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综述</w:t>
            </w:r>
          </w:p>
        </w:tc>
        <w:tc>
          <w:tcPr>
            <w:tcW w:w="852" w:type="dxa"/>
          </w:tcPr>
          <w:p w14:paraId="7637E215">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研究方法设计</w:t>
            </w:r>
          </w:p>
        </w:tc>
        <w:tc>
          <w:tcPr>
            <w:tcW w:w="993" w:type="dxa"/>
          </w:tcPr>
          <w:p w14:paraId="7A4BD957">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研究方</w:t>
            </w:r>
          </w:p>
          <w:p w14:paraId="2A89AC19">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案设计</w:t>
            </w:r>
          </w:p>
        </w:tc>
        <w:tc>
          <w:tcPr>
            <w:tcW w:w="992" w:type="dxa"/>
            <w:vMerge w:val="continue"/>
            <w:vAlign w:val="center"/>
          </w:tcPr>
          <w:p w14:paraId="5E4A481A">
            <w:pPr>
              <w:spacing w:line="360" w:lineRule="auto"/>
              <w:jc w:val="left"/>
              <w:rPr>
                <w:rFonts w:ascii="Times New Roman" w:hAnsi="Times New Roman" w:eastAsia="宋体" w:cs="Times New Roman"/>
                <w:szCs w:val="21"/>
              </w:rPr>
            </w:pPr>
          </w:p>
        </w:tc>
      </w:tr>
      <w:tr w14:paraId="56F7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4" w:type="dxa"/>
            <w:vAlign w:val="center"/>
          </w:tcPr>
          <w:p w14:paraId="63A61F0B">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课程目标1</w:t>
            </w:r>
          </w:p>
        </w:tc>
        <w:tc>
          <w:tcPr>
            <w:tcW w:w="714" w:type="dxa"/>
            <w:vAlign w:val="center"/>
          </w:tcPr>
          <w:p w14:paraId="624FC6CC">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6C3A9C80">
            <w:pPr>
              <w:spacing w:line="320" w:lineRule="exact"/>
              <w:ind w:firstLine="210" w:firstLineChars="100"/>
              <w:contextualSpacing/>
              <w:jc w:val="center"/>
              <w:rPr>
                <w:rFonts w:ascii="Times New Roman" w:hAnsi="Times New Roman" w:eastAsia="宋体" w:cs="Times New Roman"/>
                <w:szCs w:val="21"/>
              </w:rPr>
            </w:pPr>
          </w:p>
        </w:tc>
        <w:tc>
          <w:tcPr>
            <w:tcW w:w="709" w:type="dxa"/>
            <w:vAlign w:val="center"/>
          </w:tcPr>
          <w:p w14:paraId="583324D3">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53A06520">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06BAF926">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1" w:type="dxa"/>
            <w:vAlign w:val="center"/>
          </w:tcPr>
          <w:p w14:paraId="1EE31FCA">
            <w:pPr>
              <w:spacing w:line="320" w:lineRule="exact"/>
              <w:contextualSpacing/>
              <w:jc w:val="center"/>
              <w:rPr>
                <w:rFonts w:ascii="Times New Roman" w:hAnsi="Times New Roman" w:eastAsia="宋体" w:cs="Times New Roman"/>
                <w:szCs w:val="21"/>
              </w:rPr>
            </w:pPr>
          </w:p>
        </w:tc>
        <w:tc>
          <w:tcPr>
            <w:tcW w:w="852" w:type="dxa"/>
          </w:tcPr>
          <w:p w14:paraId="7A4E632D">
            <w:pPr>
              <w:jc w:val="center"/>
              <w:rPr>
                <w:rFonts w:ascii="等线" w:hAnsi="等线" w:eastAsia="等线" w:cs="Times New Roman"/>
                <w:szCs w:val="22"/>
              </w:rPr>
            </w:pPr>
            <w:r>
              <w:rPr>
                <w:rFonts w:hint="eastAsia" w:ascii="宋体" w:hAnsi="宋体" w:eastAsia="宋体" w:cs="Times New Roman"/>
                <w:szCs w:val="21"/>
              </w:rPr>
              <w:t>√</w:t>
            </w:r>
          </w:p>
        </w:tc>
        <w:tc>
          <w:tcPr>
            <w:tcW w:w="993" w:type="dxa"/>
          </w:tcPr>
          <w:p w14:paraId="1F189088">
            <w:pPr>
              <w:spacing w:line="320" w:lineRule="exact"/>
              <w:ind w:firstLine="210" w:firstLineChars="100"/>
              <w:contextualSpacing/>
              <w:jc w:val="center"/>
              <w:rPr>
                <w:rFonts w:ascii="Times New Roman" w:hAnsi="Times New Roman" w:eastAsia="宋体" w:cs="Times New Roman"/>
                <w:szCs w:val="21"/>
              </w:rPr>
            </w:pPr>
          </w:p>
        </w:tc>
        <w:tc>
          <w:tcPr>
            <w:tcW w:w="992" w:type="dxa"/>
            <w:vAlign w:val="center"/>
          </w:tcPr>
          <w:p w14:paraId="20F0543D">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54D8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19E07BA6">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课程目标2</w:t>
            </w:r>
          </w:p>
        </w:tc>
        <w:tc>
          <w:tcPr>
            <w:tcW w:w="714" w:type="dxa"/>
            <w:vAlign w:val="center"/>
          </w:tcPr>
          <w:p w14:paraId="4E93E54F">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00340FB7">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5D9D8055">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3CF704B2">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5DC052B5">
            <w:pPr>
              <w:spacing w:line="320" w:lineRule="exact"/>
              <w:contextualSpacing/>
              <w:jc w:val="center"/>
              <w:rPr>
                <w:rFonts w:ascii="Times New Roman" w:hAnsi="Times New Roman" w:eastAsia="宋体" w:cs="Times New Roman"/>
                <w:szCs w:val="21"/>
              </w:rPr>
            </w:pPr>
          </w:p>
        </w:tc>
        <w:tc>
          <w:tcPr>
            <w:tcW w:w="711" w:type="dxa"/>
            <w:vAlign w:val="center"/>
          </w:tcPr>
          <w:p w14:paraId="76E231F6">
            <w:pPr>
              <w:jc w:val="center"/>
              <w:rPr>
                <w:rFonts w:ascii="等线" w:hAnsi="等线" w:eastAsia="等线" w:cs="Times New Roman"/>
                <w:szCs w:val="22"/>
              </w:rPr>
            </w:pPr>
            <w:r>
              <w:rPr>
                <w:rFonts w:hint="eastAsia" w:ascii="宋体" w:hAnsi="宋体" w:eastAsia="宋体" w:cs="Times New Roman"/>
                <w:szCs w:val="21"/>
              </w:rPr>
              <w:t>√</w:t>
            </w:r>
          </w:p>
        </w:tc>
        <w:tc>
          <w:tcPr>
            <w:tcW w:w="852" w:type="dxa"/>
          </w:tcPr>
          <w:p w14:paraId="2841FC86">
            <w:pPr>
              <w:spacing w:line="320" w:lineRule="exact"/>
              <w:contextualSpacing/>
              <w:jc w:val="center"/>
              <w:rPr>
                <w:rFonts w:ascii="Times New Roman" w:hAnsi="Times New Roman" w:eastAsia="宋体" w:cs="Times New Roman"/>
                <w:szCs w:val="21"/>
              </w:rPr>
            </w:pPr>
          </w:p>
        </w:tc>
        <w:tc>
          <w:tcPr>
            <w:tcW w:w="993" w:type="dxa"/>
          </w:tcPr>
          <w:p w14:paraId="06964BF5">
            <w:pPr>
              <w:jc w:val="center"/>
              <w:rPr>
                <w:rFonts w:ascii="等线" w:hAnsi="等线" w:eastAsia="等线" w:cs="Times New Roman"/>
                <w:szCs w:val="22"/>
              </w:rPr>
            </w:pPr>
            <w:r>
              <w:rPr>
                <w:rFonts w:hint="eastAsia" w:ascii="宋体" w:hAnsi="宋体" w:eastAsia="宋体" w:cs="Times New Roman"/>
                <w:szCs w:val="21"/>
              </w:rPr>
              <w:t>√</w:t>
            </w:r>
          </w:p>
        </w:tc>
        <w:tc>
          <w:tcPr>
            <w:tcW w:w="992" w:type="dxa"/>
            <w:vAlign w:val="center"/>
          </w:tcPr>
          <w:p w14:paraId="0FBA4133">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25</w:t>
            </w:r>
          </w:p>
        </w:tc>
      </w:tr>
      <w:tr w14:paraId="4173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4283800C">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课程目标3</w:t>
            </w:r>
          </w:p>
        </w:tc>
        <w:tc>
          <w:tcPr>
            <w:tcW w:w="714" w:type="dxa"/>
            <w:vAlign w:val="center"/>
          </w:tcPr>
          <w:p w14:paraId="2CFCE490">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63518DA2">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523FA5A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7649EF6C">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7ADC7396">
            <w:pPr>
              <w:jc w:val="center"/>
              <w:rPr>
                <w:rFonts w:ascii="等线" w:hAnsi="等线" w:eastAsia="等线" w:cs="Times New Roman"/>
                <w:szCs w:val="22"/>
              </w:rPr>
            </w:pPr>
            <w:r>
              <w:rPr>
                <w:rFonts w:hint="eastAsia" w:ascii="宋体" w:hAnsi="宋体" w:eastAsia="宋体" w:cs="Times New Roman"/>
                <w:szCs w:val="21"/>
              </w:rPr>
              <w:t>√</w:t>
            </w:r>
          </w:p>
        </w:tc>
        <w:tc>
          <w:tcPr>
            <w:tcW w:w="711" w:type="dxa"/>
            <w:vAlign w:val="center"/>
          </w:tcPr>
          <w:p w14:paraId="0DDAF702">
            <w:pPr>
              <w:spacing w:line="320" w:lineRule="exact"/>
              <w:contextualSpacing/>
              <w:jc w:val="center"/>
              <w:rPr>
                <w:rFonts w:ascii="Times New Roman" w:hAnsi="Times New Roman" w:eastAsia="宋体" w:cs="Times New Roman"/>
                <w:szCs w:val="21"/>
              </w:rPr>
            </w:pPr>
          </w:p>
        </w:tc>
        <w:tc>
          <w:tcPr>
            <w:tcW w:w="852" w:type="dxa"/>
          </w:tcPr>
          <w:p w14:paraId="550F58D1">
            <w:pPr>
              <w:jc w:val="center"/>
              <w:rPr>
                <w:rFonts w:ascii="等线" w:hAnsi="等线" w:eastAsia="等线" w:cs="Times New Roman"/>
                <w:szCs w:val="22"/>
              </w:rPr>
            </w:pPr>
            <w:r>
              <w:rPr>
                <w:rFonts w:hint="eastAsia" w:ascii="宋体" w:hAnsi="宋体" w:eastAsia="宋体" w:cs="Times New Roman"/>
                <w:szCs w:val="21"/>
              </w:rPr>
              <w:t>√</w:t>
            </w:r>
          </w:p>
        </w:tc>
        <w:tc>
          <w:tcPr>
            <w:tcW w:w="993" w:type="dxa"/>
          </w:tcPr>
          <w:p w14:paraId="058EB3DB">
            <w:pPr>
              <w:spacing w:line="320" w:lineRule="exact"/>
              <w:contextualSpacing/>
              <w:jc w:val="center"/>
              <w:rPr>
                <w:rFonts w:ascii="Times New Roman" w:hAnsi="Times New Roman" w:eastAsia="宋体" w:cs="Times New Roman"/>
                <w:szCs w:val="21"/>
              </w:rPr>
            </w:pPr>
          </w:p>
        </w:tc>
        <w:tc>
          <w:tcPr>
            <w:tcW w:w="992" w:type="dxa"/>
            <w:vAlign w:val="center"/>
          </w:tcPr>
          <w:p w14:paraId="5F7BA358">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40</w:t>
            </w:r>
          </w:p>
        </w:tc>
      </w:tr>
      <w:tr w14:paraId="3F9F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7B5ACBCC">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课程目标4</w:t>
            </w:r>
          </w:p>
        </w:tc>
        <w:tc>
          <w:tcPr>
            <w:tcW w:w="714" w:type="dxa"/>
            <w:vAlign w:val="center"/>
          </w:tcPr>
          <w:p w14:paraId="5A9894BD">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2875577E">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5AB402B5">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550F564D">
            <w:pPr>
              <w:spacing w:line="320" w:lineRule="exact"/>
              <w:contextualSpacing/>
              <w:jc w:val="center"/>
              <w:rPr>
                <w:rFonts w:ascii="Times New Roman" w:hAnsi="Times New Roman" w:eastAsia="宋体" w:cs="Times New Roman"/>
                <w:szCs w:val="21"/>
              </w:rPr>
            </w:pPr>
          </w:p>
        </w:tc>
        <w:tc>
          <w:tcPr>
            <w:tcW w:w="713" w:type="dxa"/>
            <w:vAlign w:val="center"/>
          </w:tcPr>
          <w:p w14:paraId="441BFCE7">
            <w:pPr>
              <w:spacing w:line="320" w:lineRule="exact"/>
              <w:contextualSpacing/>
              <w:jc w:val="center"/>
              <w:rPr>
                <w:rFonts w:ascii="Times New Roman" w:hAnsi="Times New Roman" w:eastAsia="宋体" w:cs="Times New Roman"/>
                <w:szCs w:val="21"/>
              </w:rPr>
            </w:pPr>
          </w:p>
        </w:tc>
        <w:tc>
          <w:tcPr>
            <w:tcW w:w="711" w:type="dxa"/>
            <w:vAlign w:val="center"/>
          </w:tcPr>
          <w:p w14:paraId="6E3D3C50">
            <w:pPr>
              <w:jc w:val="center"/>
              <w:rPr>
                <w:rFonts w:ascii="等线" w:hAnsi="等线" w:eastAsia="等线" w:cs="Times New Roman"/>
                <w:szCs w:val="22"/>
              </w:rPr>
            </w:pPr>
            <w:r>
              <w:rPr>
                <w:rFonts w:hint="eastAsia" w:ascii="宋体" w:hAnsi="宋体" w:eastAsia="宋体" w:cs="Times New Roman"/>
                <w:szCs w:val="21"/>
              </w:rPr>
              <w:t>√</w:t>
            </w:r>
          </w:p>
        </w:tc>
        <w:tc>
          <w:tcPr>
            <w:tcW w:w="852" w:type="dxa"/>
          </w:tcPr>
          <w:p w14:paraId="1DEC9ABF">
            <w:pPr>
              <w:spacing w:line="320" w:lineRule="exact"/>
              <w:contextualSpacing/>
              <w:jc w:val="center"/>
              <w:rPr>
                <w:rFonts w:ascii="Times New Roman" w:hAnsi="Times New Roman" w:eastAsia="宋体" w:cs="Times New Roman"/>
                <w:szCs w:val="21"/>
              </w:rPr>
            </w:pPr>
          </w:p>
        </w:tc>
        <w:tc>
          <w:tcPr>
            <w:tcW w:w="993" w:type="dxa"/>
          </w:tcPr>
          <w:p w14:paraId="11D118D2">
            <w:pPr>
              <w:jc w:val="center"/>
              <w:rPr>
                <w:rFonts w:ascii="等线" w:hAnsi="等线" w:eastAsia="等线" w:cs="Times New Roman"/>
                <w:szCs w:val="22"/>
              </w:rPr>
            </w:pPr>
            <w:r>
              <w:rPr>
                <w:rFonts w:hint="eastAsia" w:ascii="宋体" w:hAnsi="宋体" w:eastAsia="宋体" w:cs="Times New Roman"/>
                <w:szCs w:val="21"/>
              </w:rPr>
              <w:t>√</w:t>
            </w:r>
          </w:p>
        </w:tc>
        <w:tc>
          <w:tcPr>
            <w:tcW w:w="992" w:type="dxa"/>
            <w:vAlign w:val="center"/>
          </w:tcPr>
          <w:p w14:paraId="00FCBE4A">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5</w:t>
            </w:r>
          </w:p>
        </w:tc>
      </w:tr>
      <w:tr w14:paraId="24E8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722B8B2C">
            <w:pPr>
              <w:spacing w:line="320" w:lineRule="exact"/>
              <w:contextualSpacing/>
              <w:jc w:val="left"/>
              <w:rPr>
                <w:rFonts w:ascii="Times New Roman" w:hAnsi="Times New Roman" w:eastAsia="宋体" w:cs="Times New Roman"/>
                <w:szCs w:val="21"/>
              </w:rPr>
            </w:pPr>
            <w:r>
              <w:rPr>
                <w:rFonts w:hint="eastAsia" w:ascii="Times New Roman" w:hAnsi="Times New Roman" w:eastAsia="宋体" w:cs="Times New Roman"/>
                <w:b/>
                <w:bCs/>
                <w:szCs w:val="21"/>
              </w:rPr>
              <w:t>合计</w:t>
            </w:r>
          </w:p>
        </w:tc>
        <w:tc>
          <w:tcPr>
            <w:tcW w:w="714" w:type="dxa"/>
            <w:vAlign w:val="center"/>
          </w:tcPr>
          <w:p w14:paraId="7D0863E8">
            <w:pPr>
              <w:spacing w:line="320" w:lineRule="exact"/>
              <w:contextualSpacing/>
              <w:jc w:val="center"/>
              <w:rPr>
                <w:rFonts w:ascii="Times New Roman" w:hAnsi="Times New Roman" w:eastAsia="宋体" w:cs="Times New Roman"/>
                <w:szCs w:val="21"/>
              </w:rPr>
            </w:pPr>
          </w:p>
        </w:tc>
        <w:tc>
          <w:tcPr>
            <w:tcW w:w="701" w:type="dxa"/>
            <w:vAlign w:val="center"/>
          </w:tcPr>
          <w:p w14:paraId="4B46DF15">
            <w:pPr>
              <w:spacing w:line="320" w:lineRule="exact"/>
              <w:contextualSpacing/>
              <w:jc w:val="center"/>
              <w:rPr>
                <w:rFonts w:ascii="Times New Roman" w:hAnsi="Times New Roman" w:eastAsia="宋体" w:cs="Times New Roman"/>
                <w:szCs w:val="21"/>
              </w:rPr>
            </w:pPr>
          </w:p>
        </w:tc>
        <w:tc>
          <w:tcPr>
            <w:tcW w:w="709" w:type="dxa"/>
            <w:vAlign w:val="center"/>
          </w:tcPr>
          <w:p w14:paraId="177A542C">
            <w:pPr>
              <w:spacing w:line="320" w:lineRule="exact"/>
              <w:contextualSpacing/>
              <w:jc w:val="center"/>
              <w:rPr>
                <w:rFonts w:ascii="Times New Roman" w:hAnsi="Times New Roman" w:eastAsia="宋体" w:cs="Times New Roman"/>
                <w:szCs w:val="21"/>
              </w:rPr>
            </w:pPr>
          </w:p>
        </w:tc>
        <w:tc>
          <w:tcPr>
            <w:tcW w:w="708" w:type="dxa"/>
            <w:vAlign w:val="center"/>
          </w:tcPr>
          <w:p w14:paraId="052A248E">
            <w:pPr>
              <w:spacing w:line="320" w:lineRule="exact"/>
              <w:contextualSpacing/>
              <w:jc w:val="center"/>
              <w:rPr>
                <w:rFonts w:ascii="Times New Roman" w:hAnsi="Times New Roman" w:eastAsia="宋体" w:cs="Times New Roman"/>
                <w:szCs w:val="21"/>
              </w:rPr>
            </w:pPr>
          </w:p>
        </w:tc>
        <w:tc>
          <w:tcPr>
            <w:tcW w:w="713" w:type="dxa"/>
            <w:vAlign w:val="center"/>
          </w:tcPr>
          <w:p w14:paraId="221BC040">
            <w:pPr>
              <w:spacing w:line="320" w:lineRule="exact"/>
              <w:contextualSpacing/>
              <w:jc w:val="center"/>
              <w:rPr>
                <w:rFonts w:ascii="Times New Roman" w:hAnsi="Times New Roman" w:eastAsia="宋体" w:cs="Times New Roman"/>
                <w:szCs w:val="21"/>
              </w:rPr>
            </w:pPr>
          </w:p>
        </w:tc>
        <w:tc>
          <w:tcPr>
            <w:tcW w:w="711" w:type="dxa"/>
            <w:vAlign w:val="center"/>
          </w:tcPr>
          <w:p w14:paraId="76C3354C">
            <w:pPr>
              <w:spacing w:line="320" w:lineRule="exact"/>
              <w:contextualSpacing/>
              <w:jc w:val="center"/>
              <w:rPr>
                <w:rFonts w:ascii="Times New Roman" w:hAnsi="Times New Roman" w:eastAsia="宋体" w:cs="Times New Roman"/>
                <w:szCs w:val="21"/>
              </w:rPr>
            </w:pPr>
          </w:p>
        </w:tc>
        <w:tc>
          <w:tcPr>
            <w:tcW w:w="852" w:type="dxa"/>
            <w:vAlign w:val="center"/>
          </w:tcPr>
          <w:p w14:paraId="463DE860">
            <w:pPr>
              <w:spacing w:line="320" w:lineRule="exact"/>
              <w:contextualSpacing/>
              <w:jc w:val="center"/>
              <w:rPr>
                <w:rFonts w:ascii="Times New Roman" w:hAnsi="Times New Roman" w:eastAsia="宋体" w:cs="Times New Roman"/>
                <w:szCs w:val="21"/>
              </w:rPr>
            </w:pPr>
          </w:p>
        </w:tc>
        <w:tc>
          <w:tcPr>
            <w:tcW w:w="993" w:type="dxa"/>
          </w:tcPr>
          <w:p w14:paraId="2AB46ECA">
            <w:pPr>
              <w:spacing w:line="320" w:lineRule="exact"/>
              <w:contextualSpacing/>
              <w:jc w:val="center"/>
              <w:rPr>
                <w:rFonts w:ascii="Times New Roman" w:hAnsi="Times New Roman" w:eastAsia="宋体" w:cs="Times New Roman"/>
                <w:szCs w:val="21"/>
              </w:rPr>
            </w:pPr>
          </w:p>
        </w:tc>
        <w:tc>
          <w:tcPr>
            <w:tcW w:w="992" w:type="dxa"/>
            <w:vAlign w:val="center"/>
          </w:tcPr>
          <w:p w14:paraId="388430CC">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8869D18">
      <w:pPr>
        <w:spacing w:line="360" w:lineRule="auto"/>
        <w:ind w:firstLine="480" w:firstLineChars="200"/>
        <w:jc w:val="left"/>
        <w:rPr>
          <w:rFonts w:ascii="Times New Roman" w:hAnsi="Times New Roman" w:eastAsia="宋体" w:cs="Times New Roman"/>
          <w:sz w:val="24"/>
          <w:szCs w:val="24"/>
        </w:rPr>
      </w:pPr>
    </w:p>
    <w:p w14:paraId="0E1DDFD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8880A32">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表4 各部分的评价方式和成绩评定细则</w:t>
      </w:r>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2906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12" w:type="dxa"/>
            <w:vAlign w:val="center"/>
          </w:tcPr>
          <w:p w14:paraId="0D8F903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26" w:type="dxa"/>
            <w:vAlign w:val="center"/>
          </w:tcPr>
          <w:p w14:paraId="2F368BC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成绩评定细则</w:t>
            </w:r>
          </w:p>
        </w:tc>
        <w:tc>
          <w:tcPr>
            <w:tcW w:w="1021" w:type="dxa"/>
            <w:vAlign w:val="center"/>
          </w:tcPr>
          <w:p w14:paraId="76F1D1B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441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423430C1">
            <w:pPr>
              <w:rPr>
                <w:rFonts w:ascii="Times New Roman" w:hAnsi="Times New Roman" w:eastAsia="宋体" w:cs="Times New Roman"/>
                <w:b/>
                <w:bCs/>
                <w:szCs w:val="21"/>
              </w:rPr>
            </w:pPr>
            <w:r>
              <w:rPr>
                <w:rFonts w:hint="eastAsia" w:ascii="Times New Roman" w:hAnsi="Times New Roman" w:eastAsia="宋体" w:cs="Times New Roman"/>
                <w:b/>
                <w:bCs/>
                <w:szCs w:val="21"/>
              </w:rPr>
              <w:t>课堂表现</w:t>
            </w:r>
          </w:p>
        </w:tc>
        <w:tc>
          <w:tcPr>
            <w:tcW w:w="6026" w:type="dxa"/>
          </w:tcPr>
          <w:p w14:paraId="707C3272">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按出勤和课堂参与情况进行评分。全勤记</w:t>
            </w:r>
            <w:r>
              <w:rPr>
                <w:rFonts w:ascii="Times New Roman" w:hAnsi="Times New Roman" w:eastAsia="宋体" w:cs="Times New Roman"/>
                <w:szCs w:val="21"/>
              </w:rPr>
              <w:t>5分</w:t>
            </w:r>
            <w:r>
              <w:rPr>
                <w:rFonts w:hint="eastAsia" w:ascii="Times New Roman" w:hAnsi="Times New Roman" w:eastAsia="宋体" w:cs="Times New Roman"/>
                <w:szCs w:val="21"/>
              </w:rPr>
              <w:t>，</w:t>
            </w:r>
            <w:r>
              <w:rPr>
                <w:rFonts w:ascii="Times New Roman" w:hAnsi="Times New Roman" w:eastAsia="宋体" w:cs="Times New Roman"/>
                <w:szCs w:val="21"/>
              </w:rPr>
              <w:t>事假1节</w:t>
            </w:r>
            <w:r>
              <w:rPr>
                <w:rFonts w:hint="eastAsia" w:ascii="Times New Roman" w:hAnsi="Times New Roman" w:eastAsia="宋体" w:cs="Times New Roman"/>
                <w:szCs w:val="21"/>
              </w:rPr>
              <w:t>或</w:t>
            </w:r>
            <w:r>
              <w:rPr>
                <w:rFonts w:ascii="Times New Roman" w:hAnsi="Times New Roman" w:eastAsia="宋体" w:cs="Times New Roman"/>
                <w:szCs w:val="21"/>
              </w:rPr>
              <w:t>迟到、早退1次各扣1分</w:t>
            </w:r>
            <w:r>
              <w:rPr>
                <w:rFonts w:hint="eastAsia" w:ascii="Times New Roman" w:hAnsi="Times New Roman" w:eastAsia="宋体" w:cs="Times New Roman"/>
                <w:szCs w:val="21"/>
              </w:rPr>
              <w:t>，</w:t>
            </w:r>
            <w:r>
              <w:rPr>
                <w:rFonts w:ascii="Times New Roman" w:hAnsi="Times New Roman" w:eastAsia="宋体" w:cs="Times New Roman"/>
                <w:szCs w:val="21"/>
              </w:rPr>
              <w:t>无故旷课1次扣2分，无故旷课2次扣5分，</w:t>
            </w:r>
            <w:r>
              <w:rPr>
                <w:rFonts w:hint="eastAsia" w:ascii="Times New Roman" w:hAnsi="Times New Roman" w:eastAsia="宋体" w:cs="Times New Roman"/>
                <w:szCs w:val="21"/>
              </w:rPr>
              <w:t>无故</w:t>
            </w:r>
            <w:r>
              <w:rPr>
                <w:rFonts w:ascii="Times New Roman" w:hAnsi="Times New Roman" w:eastAsia="宋体" w:cs="Times New Roman"/>
                <w:szCs w:val="21"/>
              </w:rPr>
              <w:t>旷课3次及以上直接定为不及格。</w:t>
            </w:r>
            <w:r>
              <w:rPr>
                <w:rFonts w:hint="eastAsia" w:ascii="Times New Roman" w:hAnsi="Times New Roman" w:eastAsia="宋体" w:cs="Times New Roman"/>
                <w:szCs w:val="21"/>
              </w:rPr>
              <w:t>课堂参与满分5分。学生在</w:t>
            </w:r>
            <w:r>
              <w:rPr>
                <w:rFonts w:ascii="Times New Roman" w:hAnsi="Times New Roman" w:eastAsia="宋体" w:cs="Times New Roman"/>
                <w:szCs w:val="21"/>
              </w:rPr>
              <w:t>课堂上不做与学习无关的事</w:t>
            </w:r>
            <w:r>
              <w:rPr>
                <w:rFonts w:hint="eastAsia" w:ascii="Times New Roman" w:hAnsi="Times New Roman" w:eastAsia="宋体" w:cs="Times New Roman"/>
                <w:szCs w:val="21"/>
              </w:rPr>
              <w:t>，认真听课，</w:t>
            </w:r>
            <w:r>
              <w:rPr>
                <w:rFonts w:ascii="Times New Roman" w:hAnsi="Times New Roman" w:eastAsia="宋体" w:cs="Times New Roman"/>
                <w:szCs w:val="21"/>
              </w:rPr>
              <w:t>勤于思考，主动回答提问</w:t>
            </w:r>
            <w:r>
              <w:rPr>
                <w:rFonts w:hint="eastAsia" w:ascii="Times New Roman" w:hAnsi="Times New Roman" w:eastAsia="宋体" w:cs="Times New Roman"/>
                <w:szCs w:val="21"/>
              </w:rPr>
              <w:t>，</w:t>
            </w:r>
            <w:r>
              <w:rPr>
                <w:rFonts w:ascii="Times New Roman" w:hAnsi="Times New Roman" w:eastAsia="宋体" w:cs="Times New Roman"/>
                <w:szCs w:val="21"/>
              </w:rPr>
              <w:t>积极参加小组</w:t>
            </w:r>
            <w:r>
              <w:rPr>
                <w:rFonts w:hint="eastAsia" w:ascii="Times New Roman" w:hAnsi="Times New Roman" w:eastAsia="宋体" w:cs="Times New Roman"/>
                <w:szCs w:val="21"/>
              </w:rPr>
              <w:t>讨论。根据学生课堂表现酌情给分。</w:t>
            </w:r>
            <w:r>
              <w:rPr>
                <w:rFonts w:ascii="Times New Roman" w:hAnsi="Times New Roman" w:eastAsia="宋体" w:cs="Times New Roman"/>
                <w:szCs w:val="21"/>
              </w:rPr>
              <w:t xml:space="preserve"> </w:t>
            </w:r>
          </w:p>
        </w:tc>
        <w:tc>
          <w:tcPr>
            <w:tcW w:w="1021" w:type="dxa"/>
            <w:vAlign w:val="center"/>
          </w:tcPr>
          <w:p w14:paraId="1B945E80">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27EB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7C2830A5">
            <w:pPr>
              <w:rPr>
                <w:rFonts w:ascii="Times New Roman" w:hAnsi="Times New Roman" w:eastAsia="宋体" w:cs="Times New Roman"/>
                <w:b/>
                <w:bCs/>
                <w:szCs w:val="21"/>
              </w:rPr>
            </w:pPr>
            <w:r>
              <w:rPr>
                <w:rFonts w:hint="eastAsia" w:ascii="Times New Roman" w:hAnsi="Times New Roman" w:eastAsia="宋体" w:cs="Times New Roman"/>
                <w:b/>
                <w:bCs/>
                <w:szCs w:val="21"/>
              </w:rPr>
              <w:t>平时作业</w:t>
            </w:r>
          </w:p>
        </w:tc>
        <w:tc>
          <w:tcPr>
            <w:tcW w:w="6026" w:type="dxa"/>
          </w:tcPr>
          <w:p w14:paraId="41E810A6">
            <w:pPr>
              <w:spacing w:line="310" w:lineRule="exact"/>
              <w:jc w:val="left"/>
              <w:rPr>
                <w:rFonts w:ascii="等线" w:hAnsi="等线" w:eastAsia="宋体" w:cs="Times New Roman"/>
                <w:szCs w:val="21"/>
              </w:rPr>
            </w:pPr>
            <w:r>
              <w:rPr>
                <w:rFonts w:hint="eastAsia" w:ascii="等线" w:hAnsi="等线" w:eastAsia="宋体" w:cs="Times New Roman"/>
                <w:szCs w:val="21"/>
              </w:rPr>
              <w:t xml:space="preserve">在本课程学习中，学生提交的文献综述、研究方法设计、研究方案设计（开题报告）的初稿、二稿为平时作业。 </w:t>
            </w:r>
          </w:p>
          <w:p w14:paraId="35CFE043">
            <w:pPr>
              <w:spacing w:line="310" w:lineRule="exact"/>
              <w:jc w:val="left"/>
              <w:rPr>
                <w:rFonts w:ascii="Times New Roman" w:hAnsi="Times New Roman" w:eastAsia="宋体" w:cs="Times New Roman"/>
                <w:szCs w:val="21"/>
              </w:rPr>
            </w:pPr>
            <w:r>
              <w:rPr>
                <w:rFonts w:hint="eastAsia" w:ascii="等线" w:hAnsi="等线" w:eastAsia="宋体" w:cs="Times New Roman"/>
                <w:szCs w:val="21"/>
              </w:rPr>
              <w:t>学生需认真完成平时作业，按时提交，无故迟交作业1次扣</w:t>
            </w:r>
            <w:r>
              <w:rPr>
                <w:rFonts w:ascii="等线" w:hAnsi="等线" w:eastAsia="宋体" w:cs="Times New Roman"/>
                <w:szCs w:val="21"/>
              </w:rPr>
              <w:t>1</w:t>
            </w:r>
            <w:r>
              <w:rPr>
                <w:rFonts w:hint="eastAsia" w:ascii="等线" w:hAnsi="等线" w:eastAsia="宋体" w:cs="Times New Roman"/>
                <w:szCs w:val="21"/>
              </w:rPr>
              <w:t>分。作业评定标准与各项目评分标准相同。</w:t>
            </w:r>
          </w:p>
        </w:tc>
        <w:tc>
          <w:tcPr>
            <w:tcW w:w="1021" w:type="dxa"/>
            <w:vAlign w:val="center"/>
          </w:tcPr>
          <w:p w14:paraId="0AF8772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9A2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5E0F193">
            <w:pPr>
              <w:rPr>
                <w:rFonts w:ascii="Times New Roman" w:hAnsi="Times New Roman" w:eastAsia="宋体" w:cs="Times New Roman"/>
                <w:b/>
                <w:bCs/>
                <w:szCs w:val="21"/>
              </w:rPr>
            </w:pPr>
            <w:r>
              <w:rPr>
                <w:rFonts w:hint="eastAsia" w:ascii="Times New Roman" w:hAnsi="Times New Roman" w:eastAsia="宋体" w:cs="Times New Roman"/>
                <w:b/>
                <w:bCs/>
                <w:szCs w:val="21"/>
              </w:rPr>
              <w:t>自主学习</w:t>
            </w:r>
          </w:p>
        </w:tc>
        <w:tc>
          <w:tcPr>
            <w:tcW w:w="6026" w:type="dxa"/>
          </w:tcPr>
          <w:p w14:paraId="2A89118F">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每个单元开课前，学生提前一周完成教材预习，登录课程网站完成预习测试；系统自动评定和记录每次成绩。</w:t>
            </w:r>
          </w:p>
        </w:tc>
        <w:tc>
          <w:tcPr>
            <w:tcW w:w="1021" w:type="dxa"/>
            <w:vAlign w:val="center"/>
          </w:tcPr>
          <w:p w14:paraId="11F42AE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189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21BC0E0C">
            <w:pPr>
              <w:rPr>
                <w:rFonts w:ascii="Times New Roman" w:hAnsi="Times New Roman" w:eastAsia="宋体" w:cs="Times New Roman"/>
                <w:b/>
                <w:bCs/>
                <w:szCs w:val="21"/>
              </w:rPr>
            </w:pPr>
            <w:r>
              <w:rPr>
                <w:rFonts w:hint="eastAsia" w:ascii="Times New Roman" w:hAnsi="Times New Roman" w:eastAsia="宋体" w:cs="Times New Roman"/>
                <w:b/>
                <w:bCs/>
                <w:szCs w:val="21"/>
              </w:rPr>
              <w:t>合作学习</w:t>
            </w:r>
          </w:p>
        </w:tc>
        <w:tc>
          <w:tcPr>
            <w:tcW w:w="6026" w:type="dxa"/>
          </w:tcPr>
          <w:p w14:paraId="0334F3A0">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合作学习主要体现在课堂小组讨论和课后小组合作完成项目设计之中。课堂小组合作主要以学生互评为主，评价依据为每个学生在小组合作中的参与度与投入度。小组合作完成的项目包括教育实验研究、个案研究、行动研究、叙事研究研究方案（4选2），评价标准为：</w:t>
            </w:r>
            <w:r>
              <w:rPr>
                <w:rFonts w:ascii="Times New Roman" w:hAnsi="Times New Roman" w:eastAsia="宋体" w:cs="Times New Roman"/>
                <w:szCs w:val="21"/>
              </w:rPr>
              <w:t>研究目的明确，问题界定清晰，研究计划详细具体，研究策略与方法科学合理，小组成员协调配合好</w:t>
            </w:r>
            <w:r>
              <w:rPr>
                <w:rFonts w:hint="eastAsia" w:ascii="Times New Roman" w:hAnsi="Times New Roman" w:eastAsia="宋体" w:cs="Times New Roman"/>
                <w:szCs w:val="21"/>
              </w:rPr>
              <w:t>，</w:t>
            </w:r>
            <w:r>
              <w:rPr>
                <w:rFonts w:ascii="Times New Roman" w:hAnsi="Times New Roman" w:eastAsia="宋体" w:cs="Times New Roman"/>
                <w:szCs w:val="21"/>
              </w:rPr>
              <w:t>语言通顺，打印规范。小组合作</w:t>
            </w:r>
            <w:r>
              <w:rPr>
                <w:rFonts w:hint="eastAsia" w:ascii="Times New Roman" w:hAnsi="Times New Roman" w:eastAsia="宋体" w:cs="Times New Roman"/>
                <w:szCs w:val="21"/>
              </w:rPr>
              <w:t>项目的</w:t>
            </w:r>
            <w:r>
              <w:rPr>
                <w:rFonts w:ascii="Times New Roman" w:hAnsi="Times New Roman" w:eastAsia="宋体" w:cs="Times New Roman"/>
                <w:szCs w:val="21"/>
              </w:rPr>
              <w:t>评价</w:t>
            </w:r>
            <w:r>
              <w:rPr>
                <w:rFonts w:hint="eastAsia" w:ascii="Times New Roman" w:hAnsi="Times New Roman" w:eastAsia="宋体" w:cs="Times New Roman"/>
                <w:szCs w:val="21"/>
              </w:rPr>
              <w:t>由</w:t>
            </w:r>
            <w:r>
              <w:rPr>
                <w:rFonts w:ascii="Times New Roman" w:hAnsi="Times New Roman" w:eastAsia="宋体" w:cs="Times New Roman"/>
                <w:szCs w:val="21"/>
              </w:rPr>
              <w:t>教师评价</w:t>
            </w:r>
            <w:r>
              <w:rPr>
                <w:rFonts w:hint="eastAsia" w:ascii="Times New Roman" w:hAnsi="Times New Roman" w:eastAsia="宋体" w:cs="Times New Roman"/>
                <w:szCs w:val="21"/>
              </w:rPr>
              <w:t>和</w:t>
            </w:r>
            <w:r>
              <w:rPr>
                <w:rFonts w:ascii="Times New Roman" w:hAnsi="Times New Roman" w:eastAsia="宋体" w:cs="Times New Roman"/>
                <w:szCs w:val="21"/>
              </w:rPr>
              <w:t>小组成员互评</w:t>
            </w:r>
            <w:r>
              <w:rPr>
                <w:rFonts w:hint="eastAsia" w:ascii="Times New Roman" w:hAnsi="Times New Roman" w:eastAsia="宋体" w:cs="Times New Roman"/>
                <w:szCs w:val="21"/>
              </w:rPr>
              <w:t>构成，各占5</w:t>
            </w:r>
            <w:r>
              <w:rPr>
                <w:rFonts w:ascii="Times New Roman" w:hAnsi="Times New Roman" w:eastAsia="宋体" w:cs="Times New Roman"/>
                <w:szCs w:val="21"/>
              </w:rPr>
              <w:t>0%。</w:t>
            </w:r>
          </w:p>
        </w:tc>
        <w:tc>
          <w:tcPr>
            <w:tcW w:w="1021" w:type="dxa"/>
            <w:vAlign w:val="center"/>
          </w:tcPr>
          <w:p w14:paraId="663105C3">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6B87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D995EA1">
            <w:pPr>
              <w:rPr>
                <w:rFonts w:ascii="仿宋" w:hAnsi="仿宋" w:eastAsia="仿宋" w:cs="Times New Roman"/>
                <w:b/>
                <w:bCs/>
                <w:sz w:val="18"/>
                <w:szCs w:val="18"/>
              </w:rPr>
            </w:pPr>
            <w:r>
              <w:rPr>
                <w:rFonts w:hint="eastAsia" w:ascii="Times New Roman" w:hAnsi="Times New Roman" w:eastAsia="宋体" w:cs="Times New Roman"/>
                <w:b/>
                <w:bCs/>
                <w:szCs w:val="21"/>
              </w:rPr>
              <w:t>文献综述</w:t>
            </w:r>
          </w:p>
        </w:tc>
        <w:tc>
          <w:tcPr>
            <w:tcW w:w="6026" w:type="dxa"/>
          </w:tcPr>
          <w:p w14:paraId="0AE61ABC">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学生完成文献综述的定稿后，教师进行成绩评定。文献综述的优秀等次（9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分）评分标准为：选题恰当，</w:t>
            </w:r>
            <w:r>
              <w:rPr>
                <w:rFonts w:ascii="Times New Roman" w:hAnsi="Times New Roman" w:eastAsia="宋体" w:cs="Times New Roman"/>
                <w:szCs w:val="21"/>
              </w:rPr>
              <w:t>标题规范、简明</w:t>
            </w:r>
            <w:r>
              <w:rPr>
                <w:rFonts w:hint="eastAsia" w:ascii="Times New Roman" w:hAnsi="Times New Roman" w:eastAsia="宋体" w:cs="Times New Roman"/>
                <w:szCs w:val="21"/>
              </w:rPr>
              <w:t>，</w:t>
            </w:r>
            <w:r>
              <w:rPr>
                <w:rFonts w:ascii="Times New Roman" w:hAnsi="Times New Roman" w:eastAsia="宋体" w:cs="Times New Roman"/>
                <w:szCs w:val="21"/>
              </w:rPr>
              <w:t>对本课题国内外研究现状把握准确、全面</w:t>
            </w:r>
            <w:r>
              <w:rPr>
                <w:rFonts w:hint="eastAsia" w:ascii="Times New Roman" w:hAnsi="Times New Roman" w:eastAsia="宋体" w:cs="Times New Roman"/>
                <w:szCs w:val="21"/>
              </w:rPr>
              <w:t>，</w:t>
            </w:r>
            <w:r>
              <w:rPr>
                <w:rFonts w:ascii="Times New Roman" w:hAnsi="Times New Roman" w:eastAsia="宋体" w:cs="Times New Roman"/>
                <w:szCs w:val="21"/>
              </w:rPr>
              <w:t>信息具体</w:t>
            </w:r>
            <w:r>
              <w:rPr>
                <w:rFonts w:hint="eastAsia" w:ascii="Times New Roman" w:hAnsi="Times New Roman" w:eastAsia="宋体" w:cs="Times New Roman"/>
                <w:szCs w:val="21"/>
              </w:rPr>
              <w:t>、</w:t>
            </w:r>
            <w:r>
              <w:rPr>
                <w:rFonts w:ascii="Times New Roman" w:hAnsi="Times New Roman" w:eastAsia="宋体" w:cs="Times New Roman"/>
                <w:szCs w:val="21"/>
              </w:rPr>
              <w:t>符合事实</w:t>
            </w:r>
            <w:r>
              <w:rPr>
                <w:rFonts w:hint="eastAsia" w:ascii="Times New Roman" w:hAnsi="Times New Roman" w:eastAsia="宋体" w:cs="Times New Roman"/>
                <w:szCs w:val="21"/>
              </w:rPr>
              <w:t>，</w:t>
            </w:r>
            <w:r>
              <w:rPr>
                <w:rFonts w:ascii="Times New Roman" w:hAnsi="Times New Roman" w:eastAsia="宋体" w:cs="Times New Roman"/>
                <w:szCs w:val="21"/>
              </w:rPr>
              <w:t>评述结合</w:t>
            </w:r>
            <w:r>
              <w:rPr>
                <w:rFonts w:hint="eastAsia" w:ascii="Times New Roman" w:hAnsi="Times New Roman" w:eastAsia="宋体" w:cs="Times New Roman"/>
                <w:szCs w:val="21"/>
              </w:rPr>
              <w:t>、</w:t>
            </w:r>
            <w:r>
              <w:rPr>
                <w:rFonts w:ascii="Times New Roman" w:hAnsi="Times New Roman" w:eastAsia="宋体" w:cs="Times New Roman"/>
                <w:szCs w:val="21"/>
              </w:rPr>
              <w:t>以评带述</w:t>
            </w:r>
            <w:r>
              <w:rPr>
                <w:rFonts w:hint="eastAsia" w:ascii="Times New Roman" w:hAnsi="Times New Roman" w:eastAsia="宋体" w:cs="Times New Roman"/>
                <w:szCs w:val="21"/>
              </w:rPr>
              <w:t>，</w:t>
            </w:r>
            <w:r>
              <w:rPr>
                <w:rFonts w:ascii="Times New Roman" w:hAnsi="Times New Roman" w:eastAsia="宋体" w:cs="Times New Roman"/>
                <w:szCs w:val="21"/>
              </w:rPr>
              <w:t>高度概括</w:t>
            </w:r>
            <w:r>
              <w:rPr>
                <w:rFonts w:hint="eastAsia" w:ascii="Times New Roman" w:hAnsi="Times New Roman" w:eastAsia="宋体" w:cs="Times New Roman"/>
                <w:szCs w:val="21"/>
              </w:rPr>
              <w:t>、</w:t>
            </w:r>
            <w:r>
              <w:rPr>
                <w:rFonts w:ascii="Times New Roman" w:hAnsi="Times New Roman" w:eastAsia="宋体" w:cs="Times New Roman"/>
                <w:szCs w:val="21"/>
              </w:rPr>
              <w:t>简洁明晰</w:t>
            </w:r>
            <w:r>
              <w:rPr>
                <w:rFonts w:hint="eastAsia" w:ascii="Times New Roman" w:hAnsi="Times New Roman" w:eastAsia="宋体" w:cs="Times New Roman"/>
                <w:szCs w:val="21"/>
              </w:rPr>
              <w:t>，</w:t>
            </w:r>
            <w:r>
              <w:rPr>
                <w:rFonts w:ascii="Times New Roman" w:hAnsi="Times New Roman" w:eastAsia="宋体" w:cs="Times New Roman"/>
                <w:szCs w:val="21"/>
              </w:rPr>
              <w:t>语句通顺</w:t>
            </w:r>
            <w:r>
              <w:rPr>
                <w:rFonts w:hint="eastAsia" w:ascii="Times New Roman" w:hAnsi="Times New Roman" w:eastAsia="宋体" w:cs="Times New Roman"/>
                <w:szCs w:val="21"/>
              </w:rPr>
              <w:t>、</w:t>
            </w:r>
            <w:r>
              <w:rPr>
                <w:rFonts w:ascii="Times New Roman" w:hAnsi="Times New Roman" w:eastAsia="宋体" w:cs="Times New Roman"/>
                <w:szCs w:val="21"/>
              </w:rPr>
              <w:t>层次清楚</w:t>
            </w:r>
            <w:r>
              <w:rPr>
                <w:rFonts w:hint="eastAsia" w:ascii="Times New Roman" w:hAnsi="Times New Roman" w:eastAsia="宋体" w:cs="Times New Roman"/>
                <w:szCs w:val="21"/>
              </w:rPr>
              <w:t>，</w:t>
            </w:r>
            <w:r>
              <w:rPr>
                <w:rFonts w:ascii="Times New Roman" w:hAnsi="Times New Roman" w:eastAsia="宋体" w:cs="Times New Roman"/>
                <w:szCs w:val="21"/>
              </w:rPr>
              <w:t>达到规定字数</w:t>
            </w:r>
            <w:r>
              <w:rPr>
                <w:rFonts w:hint="eastAsia" w:ascii="Times New Roman" w:hAnsi="Times New Roman" w:eastAsia="宋体" w:cs="Times New Roman"/>
                <w:szCs w:val="21"/>
              </w:rPr>
              <w:t>，</w:t>
            </w:r>
            <w:r>
              <w:rPr>
                <w:rFonts w:ascii="Times New Roman" w:hAnsi="Times New Roman" w:eastAsia="宋体" w:cs="Times New Roman"/>
                <w:szCs w:val="21"/>
              </w:rPr>
              <w:t>参考文献</w:t>
            </w:r>
            <w:r>
              <w:rPr>
                <w:rFonts w:hint="eastAsia" w:ascii="Times New Roman" w:hAnsi="Times New Roman" w:eastAsia="宋体" w:cs="Times New Roman"/>
                <w:szCs w:val="21"/>
              </w:rPr>
              <w:t>规范</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其他各等次评分标准参见《教育科学研究方法课程“文献综述”考核评分标准》，其中，有抄袭现象的直接按零分处理。</w:t>
            </w:r>
          </w:p>
        </w:tc>
        <w:tc>
          <w:tcPr>
            <w:tcW w:w="1021" w:type="dxa"/>
            <w:vAlign w:val="center"/>
          </w:tcPr>
          <w:p w14:paraId="7770172A">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695C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F6A71C9">
            <w:pPr>
              <w:rPr>
                <w:rFonts w:ascii="Times New Roman" w:hAnsi="Times New Roman" w:eastAsia="宋体" w:cs="Times New Roman"/>
                <w:b/>
                <w:bCs/>
                <w:szCs w:val="21"/>
              </w:rPr>
            </w:pPr>
            <w:r>
              <w:rPr>
                <w:rFonts w:hint="eastAsia" w:ascii="Times New Roman" w:hAnsi="Times New Roman" w:eastAsia="宋体" w:cs="Times New Roman"/>
                <w:b/>
                <w:bCs/>
                <w:szCs w:val="21"/>
              </w:rPr>
              <w:t>研究方法</w:t>
            </w:r>
          </w:p>
          <w:p w14:paraId="52BC6349">
            <w:pP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2D15DFD3">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学生完成研究方法设计的定稿后，教师进行成绩评定。</w:t>
            </w:r>
            <w:r>
              <w:rPr>
                <w:rFonts w:hint="eastAsia" w:ascii="Calibri" w:hAnsi="Calibri" w:eastAsia="宋体" w:cs="Arial"/>
                <w:szCs w:val="21"/>
              </w:rPr>
              <w:t>个人研究项目主要为调查问卷、访谈提纲、观察量表的设计，其中，调查问卷的优秀</w:t>
            </w:r>
            <w:r>
              <w:rPr>
                <w:rFonts w:hint="eastAsia" w:ascii="Times New Roman" w:hAnsi="Times New Roman" w:eastAsia="宋体" w:cs="Times New Roman"/>
                <w:szCs w:val="21"/>
              </w:rPr>
              <w:t>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w:t>
            </w:r>
            <w:r>
              <w:rPr>
                <w:rFonts w:hint="eastAsia" w:ascii="Calibri" w:hAnsi="Calibri" w:eastAsia="宋体" w:cs="Arial"/>
                <w:szCs w:val="21"/>
              </w:rPr>
              <w:t>调查目的明确，指导语简明、规范，尊重被调查者隐私，变量设计全面、合理，问题表述明确，选项设计合理，问卷逻辑明晰，语言文字表述清晰，问卷容量合理，排版和打印符合要求。</w:t>
            </w:r>
            <w:r>
              <w:rPr>
                <w:rFonts w:hint="eastAsia" w:ascii="Times New Roman" w:hAnsi="Times New Roman" w:eastAsia="宋体" w:cs="Times New Roman"/>
                <w:szCs w:val="21"/>
              </w:rPr>
              <w:t>其他各等次评分标准参见《教育科学研究方法课程“研究方法设计”考核评分标准》，其中，有抄袭现象的直接按零分处理。</w:t>
            </w:r>
          </w:p>
        </w:tc>
        <w:tc>
          <w:tcPr>
            <w:tcW w:w="1021" w:type="dxa"/>
            <w:vAlign w:val="center"/>
          </w:tcPr>
          <w:p w14:paraId="0BCE0CFB">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4738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2B7DDFB5">
            <w:pPr>
              <w:rPr>
                <w:rFonts w:ascii="Times New Roman" w:hAnsi="Times New Roman" w:eastAsia="宋体" w:cs="Times New Roman"/>
                <w:b/>
                <w:bCs/>
                <w:szCs w:val="21"/>
              </w:rPr>
            </w:pPr>
            <w:r>
              <w:rPr>
                <w:rFonts w:hint="eastAsia" w:ascii="Times New Roman" w:hAnsi="Times New Roman" w:eastAsia="宋体" w:cs="Times New Roman"/>
                <w:b/>
                <w:bCs/>
                <w:szCs w:val="21"/>
              </w:rPr>
              <w:t>研究方案</w:t>
            </w:r>
          </w:p>
          <w:p w14:paraId="20390A26">
            <w:pP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50D0194D">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学生完成研究方案设计的定稿后，教师进行成绩评定。研究方案设计的优秀等次（9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分）评分标准为：课题名称简明、规范，</w:t>
            </w:r>
            <w:r>
              <w:rPr>
                <w:rFonts w:ascii="Times New Roman" w:hAnsi="Times New Roman" w:eastAsia="宋体" w:cs="Times New Roman"/>
                <w:szCs w:val="21"/>
              </w:rPr>
              <w:t>课题有重要研究意义</w:t>
            </w:r>
            <w:r>
              <w:rPr>
                <w:rFonts w:hint="eastAsia" w:ascii="Times New Roman" w:hAnsi="Times New Roman" w:eastAsia="宋体" w:cs="Times New Roman"/>
                <w:szCs w:val="21"/>
              </w:rPr>
              <w:t>，</w:t>
            </w:r>
            <w:r>
              <w:rPr>
                <w:rFonts w:ascii="Times New Roman" w:hAnsi="Times New Roman" w:eastAsia="宋体" w:cs="Times New Roman"/>
                <w:szCs w:val="21"/>
              </w:rPr>
              <w:t>理论与实践价值表达规范</w:t>
            </w:r>
            <w:r>
              <w:rPr>
                <w:rFonts w:hint="eastAsia" w:ascii="Times New Roman" w:hAnsi="Times New Roman" w:eastAsia="宋体" w:cs="Times New Roman"/>
                <w:szCs w:val="21"/>
              </w:rPr>
              <w:t>，</w:t>
            </w:r>
            <w:r>
              <w:rPr>
                <w:rFonts w:ascii="Times New Roman" w:hAnsi="Times New Roman" w:eastAsia="宋体" w:cs="Times New Roman"/>
                <w:szCs w:val="21"/>
              </w:rPr>
              <w:t>课题研究动态把握全面</w:t>
            </w:r>
            <w:r>
              <w:rPr>
                <w:rFonts w:hint="eastAsia" w:ascii="Times New Roman" w:hAnsi="Times New Roman" w:eastAsia="宋体" w:cs="Times New Roman"/>
                <w:szCs w:val="21"/>
              </w:rPr>
              <w:t>，</w:t>
            </w:r>
            <w:r>
              <w:rPr>
                <w:rFonts w:ascii="Times New Roman" w:hAnsi="Times New Roman" w:eastAsia="宋体" w:cs="Times New Roman"/>
                <w:szCs w:val="21"/>
              </w:rPr>
              <w:t>研究思路清晰</w:t>
            </w:r>
            <w:r>
              <w:rPr>
                <w:rFonts w:hint="eastAsia" w:ascii="Times New Roman" w:hAnsi="Times New Roman" w:eastAsia="宋体" w:cs="Times New Roman"/>
                <w:szCs w:val="21"/>
              </w:rPr>
              <w:t>，</w:t>
            </w:r>
            <w:r>
              <w:rPr>
                <w:rFonts w:ascii="Times New Roman" w:hAnsi="Times New Roman" w:eastAsia="宋体" w:cs="Times New Roman"/>
                <w:szCs w:val="21"/>
              </w:rPr>
              <w:t>研究方法选用恰当</w:t>
            </w:r>
            <w:r>
              <w:rPr>
                <w:rFonts w:hint="eastAsia" w:ascii="Times New Roman" w:hAnsi="Times New Roman" w:eastAsia="宋体" w:cs="Times New Roman"/>
                <w:szCs w:val="21"/>
              </w:rPr>
              <w:t>，</w:t>
            </w:r>
            <w:r>
              <w:rPr>
                <w:rFonts w:ascii="Times New Roman" w:hAnsi="Times New Roman" w:eastAsia="宋体" w:cs="Times New Roman"/>
                <w:szCs w:val="21"/>
              </w:rPr>
              <w:t>论文研究提纲清晰</w:t>
            </w:r>
            <w:r>
              <w:rPr>
                <w:rFonts w:hint="eastAsia" w:ascii="Times New Roman" w:hAnsi="Times New Roman" w:eastAsia="宋体" w:cs="Times New Roman"/>
                <w:szCs w:val="21"/>
              </w:rPr>
              <w:t>，</w:t>
            </w:r>
            <w:r>
              <w:rPr>
                <w:rFonts w:ascii="Times New Roman" w:hAnsi="Times New Roman" w:eastAsia="宋体" w:cs="Times New Roman"/>
                <w:szCs w:val="21"/>
              </w:rPr>
              <w:t>预期目标具体、合理</w:t>
            </w:r>
            <w:r>
              <w:rPr>
                <w:rFonts w:hint="eastAsia" w:ascii="Times New Roman" w:hAnsi="Times New Roman" w:eastAsia="宋体" w:cs="Times New Roman"/>
                <w:szCs w:val="21"/>
              </w:rPr>
              <w:t>，</w:t>
            </w:r>
            <w:r>
              <w:rPr>
                <w:rFonts w:ascii="Times New Roman" w:hAnsi="Times New Roman" w:eastAsia="宋体" w:cs="Times New Roman"/>
                <w:szCs w:val="21"/>
              </w:rPr>
              <w:t>按要求列出参考文献</w:t>
            </w:r>
            <w:r>
              <w:rPr>
                <w:rFonts w:hint="eastAsia" w:ascii="Times New Roman" w:hAnsi="Times New Roman" w:eastAsia="宋体" w:cs="Times New Roman"/>
                <w:szCs w:val="21"/>
              </w:rPr>
              <w:t>，</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其他各等次评分标准参见《教育科学研究方法课程“研究方案设计”考核评分标准》，其中，有抄袭现象的直接按零分处理。</w:t>
            </w:r>
          </w:p>
        </w:tc>
        <w:tc>
          <w:tcPr>
            <w:tcW w:w="1021" w:type="dxa"/>
            <w:vAlign w:val="center"/>
          </w:tcPr>
          <w:p w14:paraId="61AB9DDB">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56FD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036F959B">
            <w:pPr>
              <w:rPr>
                <w:rFonts w:ascii="Times New Roman" w:hAnsi="Times New Roman" w:eastAsia="宋体" w:cs="Times New Roman"/>
                <w:b/>
                <w:bCs/>
                <w:szCs w:val="21"/>
              </w:rPr>
            </w:pPr>
            <w:r>
              <w:rPr>
                <w:rFonts w:hint="eastAsia" w:ascii="Times New Roman" w:hAnsi="Times New Roman" w:eastAsia="宋体" w:cs="Times New Roman"/>
                <w:b/>
                <w:bCs/>
                <w:szCs w:val="21"/>
              </w:rPr>
              <w:t>汇报展示</w:t>
            </w:r>
          </w:p>
        </w:tc>
        <w:tc>
          <w:tcPr>
            <w:tcW w:w="6026" w:type="dxa"/>
          </w:tcPr>
          <w:p w14:paraId="46676730">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小组合作项目在学期末进行集中ppt汇报，每组每个项目的汇报时间不超过6分钟。每个小组成员均要进行汇报，每人每个项目的汇报时间1分钟左右。汇报展示的评价由教师评价和学生评价构成，主要考察学生对研究方法的掌握程度和语言表达的流利程度。</w:t>
            </w:r>
          </w:p>
        </w:tc>
        <w:tc>
          <w:tcPr>
            <w:tcW w:w="1021" w:type="dxa"/>
            <w:vAlign w:val="center"/>
          </w:tcPr>
          <w:p w14:paraId="31B8F6C6">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r>
      <w:tr w14:paraId="3E66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5CC13169">
            <w:pP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6026" w:type="dxa"/>
          </w:tcPr>
          <w:p w14:paraId="2EC76E8C">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特别说明：本课程为考核方法改革课程，学生完成个人考核项目（文献综述、研究方案设计、研究方法设计）并取得合格成绩，即为期末考试成绩合格，不再另行组织期末考试。评分细则见各项目评分标准。</w:t>
            </w:r>
          </w:p>
          <w:p w14:paraId="219006CC">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说明：本部分满分</w:t>
            </w:r>
            <w:r>
              <w:rPr>
                <w:rFonts w:ascii="Times New Roman" w:hAnsi="Times New Roman" w:eastAsia="宋体" w:cs="Times New Roman"/>
                <w:szCs w:val="21"/>
              </w:rPr>
              <w:t>50</w:t>
            </w:r>
            <w:r>
              <w:rPr>
                <w:rFonts w:hint="eastAsia" w:ascii="Times New Roman" w:hAnsi="Times New Roman" w:eastAsia="宋体" w:cs="Times New Roman"/>
                <w:szCs w:val="21"/>
              </w:rPr>
              <w:t>分（即文献综述1</w:t>
            </w:r>
            <w:r>
              <w:rPr>
                <w:rFonts w:ascii="Times New Roman" w:hAnsi="Times New Roman" w:eastAsia="宋体" w:cs="Times New Roman"/>
                <w:szCs w:val="21"/>
              </w:rPr>
              <w:t>5</w:t>
            </w:r>
            <w:r>
              <w:rPr>
                <w:rFonts w:hint="eastAsia" w:ascii="Times New Roman" w:hAnsi="Times New Roman" w:eastAsia="宋体" w:cs="Times New Roman"/>
                <w:szCs w:val="21"/>
              </w:rPr>
              <w:t>分+研究方法设计1</w:t>
            </w:r>
            <w:r>
              <w:rPr>
                <w:rFonts w:ascii="Times New Roman" w:hAnsi="Times New Roman" w:eastAsia="宋体" w:cs="Times New Roman"/>
                <w:szCs w:val="21"/>
              </w:rPr>
              <w:t>5</w:t>
            </w:r>
            <w:r>
              <w:rPr>
                <w:rFonts w:hint="eastAsia" w:ascii="Times New Roman" w:hAnsi="Times New Roman" w:eastAsia="宋体" w:cs="Times New Roman"/>
                <w:szCs w:val="21"/>
              </w:rPr>
              <w:t>分+研究方案设计2</w:t>
            </w:r>
            <w:r>
              <w:rPr>
                <w:rFonts w:ascii="Times New Roman" w:hAnsi="Times New Roman" w:eastAsia="宋体" w:cs="Times New Roman"/>
                <w:szCs w:val="21"/>
              </w:rPr>
              <w:t>0</w:t>
            </w:r>
            <w:r>
              <w:rPr>
                <w:rFonts w:hint="eastAsia" w:ascii="Times New Roman" w:hAnsi="Times New Roman" w:eastAsia="宋体" w:cs="Times New Roman"/>
                <w:szCs w:val="21"/>
              </w:rPr>
              <w:t>），不重复计分。</w:t>
            </w:r>
          </w:p>
        </w:tc>
        <w:tc>
          <w:tcPr>
            <w:tcW w:w="1021" w:type="dxa"/>
            <w:vAlign w:val="center"/>
          </w:tcPr>
          <w:p w14:paraId="1C7ACA90">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0%）</w:t>
            </w:r>
          </w:p>
        </w:tc>
      </w:tr>
      <w:tr w14:paraId="2075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12" w:type="dxa"/>
          </w:tcPr>
          <w:p w14:paraId="2625761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26" w:type="dxa"/>
          </w:tcPr>
          <w:p w14:paraId="308A77A0">
            <w:pPr>
              <w:jc w:val="left"/>
              <w:rPr>
                <w:rFonts w:ascii="Times New Roman" w:hAnsi="Times New Roman" w:eastAsia="宋体" w:cs="Times New Roman"/>
                <w:szCs w:val="21"/>
              </w:rPr>
            </w:pPr>
          </w:p>
        </w:tc>
        <w:tc>
          <w:tcPr>
            <w:tcW w:w="1021" w:type="dxa"/>
            <w:vAlign w:val="center"/>
          </w:tcPr>
          <w:p w14:paraId="613B6D3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0A062A0">
      <w:pPr>
        <w:spacing w:line="360" w:lineRule="auto"/>
        <w:jc w:val="left"/>
        <w:rPr>
          <w:rFonts w:ascii="宋体" w:hAnsi="宋体" w:eastAsia="宋体" w:cs="Times New Roman"/>
          <w:b/>
          <w:sz w:val="24"/>
          <w:szCs w:val="24"/>
        </w:rPr>
      </w:pPr>
      <w:r>
        <w:rPr>
          <w:rFonts w:hint="eastAsia" w:ascii="宋体" w:hAnsi="宋体" w:eastAsia="宋体" w:cs="Times New Roman"/>
          <w:b/>
          <w:sz w:val="24"/>
          <w:szCs w:val="24"/>
        </w:rPr>
        <w:t>（三）课程目标达成度计算方法</w:t>
      </w:r>
    </w:p>
    <w:p w14:paraId="3DB25582">
      <w:pPr>
        <w:spacing w:line="360" w:lineRule="auto"/>
        <w:ind w:firstLine="411" w:firstLineChars="196"/>
        <w:jc w:val="left"/>
        <w:rPr>
          <w:rFonts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3B958833">
      <w:pPr>
        <w:spacing w:before="156" w:beforeLines="50" w:line="360" w:lineRule="auto"/>
        <w:ind w:firstLine="420" w:firstLineChars="200"/>
        <w:jc w:val="left"/>
        <w:rPr>
          <w:rFonts w:ascii="宋体" w:hAnsi="宋体" w:eastAsia="宋体" w:cs="Times New Roman"/>
          <w:szCs w:val="21"/>
        </w:rPr>
      </w:pPr>
      <w:r>
        <w:rPr>
          <w:rFonts w:ascii="宋体" w:hAnsi="宋体" w:eastAsia="宋体" w:cs="Times New Roman"/>
          <w:szCs w:val="21"/>
        </w:rPr>
        <w:object>
          <v:shape id="_x0000_i1047" o:spt="75" type="#_x0000_t75" style="height:25pt;width:404.65pt;" o:ole="t" filled="f" o:preferrelative="t" stroked="f" coordsize="21600,21600">
            <v:path/>
            <v:fill on="f" focussize="0,0"/>
            <v:stroke on="f" joinstyle="miter"/>
            <v:imagedata r:id="rId5" o:title=""/>
            <o:lock v:ext="edit" aspectratio="t"/>
            <w10:wrap type="none"/>
            <w10:anchorlock/>
          </v:shape>
          <o:OLEObject Type="Embed" ProgID="Equation.3" ShapeID="_x0000_i1047" DrawAspect="Content" ObjectID="_1468075747" r:id="rId30">
            <o:LockedField>false</o:LockedField>
          </o:OLEObject>
        </w:object>
      </w:r>
    </w:p>
    <w:p w14:paraId="786A4D79">
      <w:pPr>
        <w:spacing w:line="360" w:lineRule="auto"/>
        <w:outlineLvl w:val="0"/>
        <w:rPr>
          <w:rFonts w:ascii="宋体" w:hAnsi="宋体" w:eastAsia="宋体" w:cs="Times New Roman"/>
          <w:b/>
          <w:sz w:val="28"/>
          <w:szCs w:val="28"/>
        </w:rPr>
      </w:pPr>
      <w:bookmarkStart w:id="860" w:name="_Toc15846"/>
      <w:bookmarkStart w:id="861" w:name="_Toc12861"/>
      <w:bookmarkStart w:id="862" w:name="_Toc30202"/>
      <w:bookmarkStart w:id="863" w:name="_Toc13188"/>
      <w:bookmarkStart w:id="864" w:name="_Toc9103"/>
      <w:bookmarkStart w:id="865" w:name="_Toc16397"/>
      <w:bookmarkStart w:id="866" w:name="_Toc19942"/>
      <w:r>
        <w:rPr>
          <w:rFonts w:hint="eastAsia" w:ascii="宋体" w:hAnsi="宋体" w:eastAsia="宋体" w:cs="Times New Roman"/>
          <w:b/>
          <w:sz w:val="28"/>
          <w:szCs w:val="28"/>
        </w:rPr>
        <w:t>五、课程实践（课内实践）</w:t>
      </w:r>
      <w:bookmarkEnd w:id="860"/>
      <w:bookmarkEnd w:id="861"/>
      <w:bookmarkEnd w:id="862"/>
      <w:bookmarkEnd w:id="863"/>
      <w:bookmarkEnd w:id="864"/>
      <w:bookmarkEnd w:id="865"/>
      <w:bookmarkEnd w:id="866"/>
    </w:p>
    <w:tbl>
      <w:tblPr>
        <w:tblStyle w:val="10"/>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00D0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3DF8A942">
            <w:pPr>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610" w:type="dxa"/>
            <w:shd w:val="clear" w:color="auto" w:fill="FFFFFF"/>
            <w:vAlign w:val="center"/>
          </w:tcPr>
          <w:p w14:paraId="1515912E">
            <w:pPr>
              <w:jc w:val="center"/>
              <w:rPr>
                <w:rFonts w:ascii="Times New Roman" w:hAnsi="Times New Roman" w:eastAsia="宋体" w:cs="Times New Roman"/>
                <w:szCs w:val="21"/>
              </w:rPr>
            </w:pPr>
            <w:r>
              <w:rPr>
                <w:rFonts w:hint="eastAsia" w:ascii="Times New Roman" w:hAnsi="Times New Roman" w:eastAsia="宋体" w:cs="Times New Roman"/>
                <w:szCs w:val="21"/>
              </w:rPr>
              <w:t>实验（实践）</w:t>
            </w:r>
          </w:p>
          <w:p w14:paraId="4A5AEF8E">
            <w:pPr>
              <w:jc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260" w:type="dxa"/>
            <w:shd w:val="clear" w:color="auto" w:fill="FFFFFF"/>
            <w:vAlign w:val="center"/>
          </w:tcPr>
          <w:p w14:paraId="190E2F87">
            <w:pPr>
              <w:jc w:val="center"/>
              <w:rPr>
                <w:rFonts w:ascii="Times New Roman" w:hAnsi="Times New Roman" w:eastAsia="宋体" w:cs="Times New Roman"/>
                <w:szCs w:val="21"/>
              </w:rPr>
            </w:pPr>
            <w:r>
              <w:rPr>
                <w:rFonts w:hint="eastAsia" w:ascii="Times New Roman" w:hAnsi="Times New Roman" w:eastAsia="宋体" w:cs="Times New Roman"/>
                <w:szCs w:val="21"/>
              </w:rPr>
              <w:t>实验（实践）项目</w:t>
            </w:r>
          </w:p>
          <w:p w14:paraId="0E59F749">
            <w:pPr>
              <w:jc w:val="center"/>
              <w:rPr>
                <w:rFonts w:ascii="Times New Roman" w:hAnsi="Times New Roman" w:eastAsia="宋体" w:cs="Times New Roman"/>
                <w:szCs w:val="21"/>
              </w:rPr>
            </w:pPr>
            <w:r>
              <w:rPr>
                <w:rFonts w:hint="eastAsia" w:ascii="Times New Roman" w:hAnsi="Times New Roman" w:eastAsia="宋体" w:cs="Times New Roman"/>
                <w:szCs w:val="21"/>
              </w:rPr>
              <w:t>内容及要求</w:t>
            </w:r>
          </w:p>
        </w:tc>
        <w:tc>
          <w:tcPr>
            <w:tcW w:w="1276" w:type="dxa"/>
            <w:shd w:val="clear" w:color="auto" w:fill="FFFFFF"/>
            <w:vAlign w:val="center"/>
          </w:tcPr>
          <w:p w14:paraId="216B00C4">
            <w:pPr>
              <w:jc w:val="center"/>
              <w:rPr>
                <w:rFonts w:ascii="Times New Roman" w:hAnsi="Times New Roman" w:eastAsia="宋体" w:cs="Times New Roman"/>
                <w:szCs w:val="21"/>
              </w:rPr>
            </w:pPr>
            <w:r>
              <w:rPr>
                <w:rFonts w:hint="eastAsia" w:ascii="Times New Roman" w:hAnsi="Times New Roman" w:eastAsia="宋体" w:cs="Times New Roman"/>
                <w:szCs w:val="21"/>
              </w:rPr>
              <w:t>对</w:t>
            </w:r>
            <w:r>
              <w:rPr>
                <w:rFonts w:ascii="Times New Roman" w:hAnsi="Times New Roman" w:eastAsia="宋体" w:cs="Times New Roman"/>
                <w:szCs w:val="21"/>
              </w:rPr>
              <w:t>毕业要求</w:t>
            </w:r>
          </w:p>
          <w:p w14:paraId="6AC92069">
            <w:pPr>
              <w:jc w:val="center"/>
              <w:rPr>
                <w:rFonts w:ascii="Times New Roman" w:hAnsi="Times New Roman" w:eastAsia="宋体" w:cs="Times New Roman"/>
                <w:szCs w:val="21"/>
              </w:rPr>
            </w:pPr>
            <w:r>
              <w:rPr>
                <w:rFonts w:hint="eastAsia" w:ascii="Times New Roman" w:hAnsi="Times New Roman" w:eastAsia="宋体" w:cs="Times New Roman"/>
                <w:szCs w:val="21"/>
              </w:rPr>
              <w:t>的</w:t>
            </w:r>
            <w:r>
              <w:rPr>
                <w:rFonts w:ascii="Times New Roman" w:hAnsi="Times New Roman" w:eastAsia="宋体" w:cs="Times New Roman"/>
                <w:szCs w:val="21"/>
              </w:rPr>
              <w:t>支撑</w:t>
            </w:r>
          </w:p>
        </w:tc>
        <w:tc>
          <w:tcPr>
            <w:tcW w:w="708" w:type="dxa"/>
            <w:shd w:val="clear" w:color="auto" w:fill="FFFFFF"/>
            <w:vAlign w:val="center"/>
          </w:tcPr>
          <w:p w14:paraId="042F2430">
            <w:pPr>
              <w:rPr>
                <w:rFonts w:ascii="Times New Roman" w:hAnsi="Times New Roman" w:eastAsia="宋体" w:cs="Times New Roman"/>
                <w:szCs w:val="21"/>
              </w:rPr>
            </w:pPr>
            <w:r>
              <w:rPr>
                <w:rFonts w:ascii="Times New Roman" w:hAnsi="Times New Roman" w:eastAsia="宋体" w:cs="Times New Roman"/>
                <w:szCs w:val="21"/>
              </w:rPr>
              <w:t>学时</w:t>
            </w:r>
          </w:p>
        </w:tc>
        <w:tc>
          <w:tcPr>
            <w:tcW w:w="851" w:type="dxa"/>
            <w:shd w:val="clear" w:color="auto" w:fill="FFFFFF"/>
            <w:vAlign w:val="center"/>
          </w:tcPr>
          <w:p w14:paraId="192AE771">
            <w:pPr>
              <w:jc w:val="center"/>
              <w:rPr>
                <w:rFonts w:ascii="Times New Roman" w:hAnsi="Times New Roman" w:eastAsia="宋体" w:cs="Times New Roman"/>
                <w:szCs w:val="21"/>
              </w:rPr>
            </w:pPr>
            <w:r>
              <w:rPr>
                <w:rFonts w:hint="eastAsia" w:ascii="Times New Roman" w:hAnsi="Times New Roman" w:eastAsia="宋体" w:cs="Times New Roman"/>
                <w:szCs w:val="21"/>
              </w:rPr>
              <w:t>类型</w:t>
            </w:r>
          </w:p>
        </w:tc>
        <w:tc>
          <w:tcPr>
            <w:tcW w:w="908" w:type="dxa"/>
            <w:shd w:val="clear" w:color="auto" w:fill="FFFFFF"/>
            <w:vAlign w:val="center"/>
          </w:tcPr>
          <w:p w14:paraId="56A9AB64">
            <w:pPr>
              <w:jc w:val="center"/>
              <w:rPr>
                <w:rFonts w:ascii="Times New Roman" w:hAnsi="Times New Roman" w:eastAsia="宋体" w:cs="Times New Roman"/>
                <w:szCs w:val="21"/>
              </w:rPr>
            </w:pPr>
            <w:r>
              <w:rPr>
                <w:rFonts w:hint="eastAsia" w:ascii="Times New Roman" w:hAnsi="Times New Roman" w:eastAsia="宋体" w:cs="Times New Roman"/>
                <w:szCs w:val="21"/>
              </w:rPr>
              <w:t>备注</w:t>
            </w:r>
          </w:p>
        </w:tc>
      </w:tr>
      <w:tr w14:paraId="0A3C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65DF6AAD">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610" w:type="dxa"/>
            <w:vAlign w:val="center"/>
          </w:tcPr>
          <w:p w14:paraId="31AC313C">
            <w:pPr>
              <w:jc w:val="left"/>
              <w:rPr>
                <w:rFonts w:ascii="Times New Roman" w:hAnsi="Times New Roman" w:eastAsia="宋体" w:cs="Times New Roman"/>
                <w:szCs w:val="21"/>
              </w:rPr>
            </w:pPr>
            <w:r>
              <w:rPr>
                <w:rFonts w:hint="eastAsia" w:ascii="Times New Roman" w:hAnsi="Times New Roman" w:eastAsia="宋体" w:cs="Times New Roman"/>
                <w:szCs w:val="21"/>
              </w:rPr>
              <w:t>教育个案研究</w:t>
            </w:r>
          </w:p>
          <w:p w14:paraId="25549438">
            <w:pPr>
              <w:jc w:val="left"/>
              <w:rPr>
                <w:rFonts w:ascii="Times New Roman" w:hAnsi="Times New Roman" w:eastAsia="宋体" w:cs="Times New Roman"/>
                <w:szCs w:val="21"/>
              </w:rPr>
            </w:pPr>
            <w:r>
              <w:rPr>
                <w:rFonts w:hint="eastAsia" w:ascii="Times New Roman" w:hAnsi="Times New Roman" w:eastAsia="宋体" w:cs="Times New Roman"/>
                <w:szCs w:val="21"/>
              </w:rPr>
              <w:t>方案设计</w:t>
            </w:r>
          </w:p>
        </w:tc>
        <w:tc>
          <w:tcPr>
            <w:tcW w:w="3260" w:type="dxa"/>
            <w:vAlign w:val="center"/>
          </w:tcPr>
          <w:p w14:paraId="09DCFDF2">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内容：以小组为单位，进行个案研究方案设计。</w:t>
            </w:r>
          </w:p>
          <w:p w14:paraId="6A0DE3C8">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12741DDD">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041943CC">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66647753">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7B954236">
            <w:pPr>
              <w:jc w:val="center"/>
              <w:rPr>
                <w:rFonts w:ascii="Times New Roman" w:hAnsi="Times New Roman" w:eastAsia="宋体" w:cs="Times New Roman"/>
                <w:szCs w:val="21"/>
              </w:rPr>
            </w:pPr>
          </w:p>
        </w:tc>
      </w:tr>
      <w:tr w14:paraId="5413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19CCB289">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610" w:type="dxa"/>
            <w:vAlign w:val="center"/>
          </w:tcPr>
          <w:p w14:paraId="3A7989AD">
            <w:pPr>
              <w:jc w:val="left"/>
              <w:rPr>
                <w:rFonts w:ascii="Times New Roman" w:hAnsi="Times New Roman" w:eastAsia="宋体" w:cs="Times New Roman"/>
                <w:szCs w:val="21"/>
              </w:rPr>
            </w:pPr>
            <w:r>
              <w:rPr>
                <w:rFonts w:hint="eastAsia" w:ascii="Times New Roman" w:hAnsi="Times New Roman" w:eastAsia="宋体" w:cs="Times New Roman"/>
                <w:szCs w:val="21"/>
              </w:rPr>
              <w:t>教育实验研究方案设计</w:t>
            </w:r>
          </w:p>
        </w:tc>
        <w:tc>
          <w:tcPr>
            <w:tcW w:w="3260" w:type="dxa"/>
            <w:vAlign w:val="center"/>
          </w:tcPr>
          <w:p w14:paraId="31BB34F4">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内容：以小组为单位，进行教育实验方案设计。</w:t>
            </w:r>
          </w:p>
          <w:p w14:paraId="6F32DB92">
            <w:pPr>
              <w:jc w:val="left"/>
              <w:rPr>
                <w:rFonts w:ascii="Times New Roman" w:hAnsi="Times New Roman" w:eastAsia="宋体" w:cs="Times New Roman"/>
                <w:szCs w:val="21"/>
              </w:rPr>
            </w:pPr>
            <w:r>
              <w:rPr>
                <w:rFonts w:hint="eastAsia" w:ascii="Times New Roman" w:hAnsi="Times New Roman" w:eastAsia="宋体" w:cs="Times New Roman"/>
                <w:szCs w:val="21"/>
              </w:rPr>
              <w:t>要求：选题适当，实验目的明确，实验假设和统计假设表述正确，自变量取值水平及实验处理合理，因变量分解及测量方法科学，提高实验效度的措施有效。</w:t>
            </w:r>
          </w:p>
        </w:tc>
        <w:tc>
          <w:tcPr>
            <w:tcW w:w="1276" w:type="dxa"/>
            <w:vAlign w:val="center"/>
          </w:tcPr>
          <w:p w14:paraId="6BC322BF">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692B3DDA">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3C4A01D6">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285680F0">
            <w:pPr>
              <w:jc w:val="center"/>
              <w:rPr>
                <w:rFonts w:ascii="Times New Roman" w:hAnsi="Times New Roman" w:eastAsia="宋体" w:cs="Times New Roman"/>
                <w:szCs w:val="21"/>
              </w:rPr>
            </w:pPr>
            <w:r>
              <w:rPr>
                <w:rFonts w:hint="eastAsia" w:ascii="Times New Roman" w:hAnsi="Times New Roman" w:eastAsia="宋体" w:cs="Times New Roman"/>
                <w:szCs w:val="21"/>
              </w:rPr>
              <w:t>四选二</w:t>
            </w:r>
          </w:p>
        </w:tc>
      </w:tr>
      <w:tr w14:paraId="7F89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275C85F6">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610" w:type="dxa"/>
            <w:vAlign w:val="center"/>
          </w:tcPr>
          <w:p w14:paraId="3DF4564C">
            <w:pPr>
              <w:jc w:val="left"/>
              <w:rPr>
                <w:rFonts w:ascii="Times New Roman" w:hAnsi="Times New Roman" w:eastAsia="宋体" w:cs="Times New Roman"/>
                <w:szCs w:val="21"/>
              </w:rPr>
            </w:pPr>
            <w:r>
              <w:rPr>
                <w:rFonts w:hint="eastAsia" w:ascii="Times New Roman" w:hAnsi="Times New Roman" w:eastAsia="宋体" w:cs="Times New Roman"/>
                <w:szCs w:val="21"/>
              </w:rPr>
              <w:t>教育叙事研究方案设计</w:t>
            </w:r>
          </w:p>
        </w:tc>
        <w:tc>
          <w:tcPr>
            <w:tcW w:w="3260" w:type="dxa"/>
            <w:vAlign w:val="center"/>
          </w:tcPr>
          <w:p w14:paraId="161BDC28">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内容：以小组为单位，进行教育叙事研究方案设计。</w:t>
            </w:r>
          </w:p>
          <w:p w14:paraId="067CF590">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099E68B7">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1483725A">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5FCB3FF8">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7520306F">
            <w:pPr>
              <w:jc w:val="center"/>
              <w:rPr>
                <w:rFonts w:ascii="Times New Roman" w:hAnsi="Times New Roman" w:eastAsia="宋体" w:cs="Times New Roman"/>
                <w:szCs w:val="21"/>
              </w:rPr>
            </w:pPr>
            <w:r>
              <w:rPr>
                <w:rFonts w:hint="eastAsia" w:ascii="Times New Roman" w:hAnsi="Times New Roman" w:eastAsia="宋体" w:cs="Times New Roman"/>
                <w:szCs w:val="21"/>
              </w:rPr>
              <w:t>四选二</w:t>
            </w:r>
          </w:p>
        </w:tc>
      </w:tr>
      <w:tr w14:paraId="370C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30BF8570">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610" w:type="dxa"/>
            <w:vAlign w:val="center"/>
          </w:tcPr>
          <w:p w14:paraId="15073F49">
            <w:pPr>
              <w:jc w:val="left"/>
              <w:rPr>
                <w:rFonts w:ascii="Times New Roman" w:hAnsi="Times New Roman" w:eastAsia="宋体" w:cs="Times New Roman"/>
                <w:szCs w:val="21"/>
              </w:rPr>
            </w:pPr>
            <w:r>
              <w:rPr>
                <w:rFonts w:hint="eastAsia" w:ascii="Times New Roman" w:hAnsi="Times New Roman" w:eastAsia="宋体" w:cs="Times New Roman"/>
                <w:szCs w:val="21"/>
              </w:rPr>
              <w:t>教育行动研究方案设计</w:t>
            </w:r>
          </w:p>
        </w:tc>
        <w:tc>
          <w:tcPr>
            <w:tcW w:w="3260" w:type="dxa"/>
            <w:vAlign w:val="center"/>
          </w:tcPr>
          <w:p w14:paraId="1B4F71B8">
            <w:pPr>
              <w:jc w:val="left"/>
              <w:rPr>
                <w:rFonts w:ascii="Times New Roman" w:hAnsi="Times New Roman" w:eastAsia="宋体" w:cs="Times New Roman"/>
                <w:szCs w:val="21"/>
              </w:rPr>
            </w:pPr>
            <w:r>
              <w:rPr>
                <w:rFonts w:hint="eastAsia" w:ascii="Times New Roman" w:hAnsi="Times New Roman" w:eastAsia="宋体" w:cs="Times New Roman"/>
                <w:szCs w:val="21"/>
              </w:rPr>
              <w:t>内容：结合教育实践，以小组为单位，讨论分析在小学教育教学实践中感到困惑的“现象”。选择一个合适的课题，进行教育行动研究方案设计。</w:t>
            </w:r>
          </w:p>
          <w:p w14:paraId="67698E67">
            <w:pPr>
              <w:jc w:val="left"/>
              <w:rPr>
                <w:rFonts w:ascii="Times New Roman" w:hAnsi="Times New Roman" w:eastAsia="宋体" w:cs="Times New Roman"/>
                <w:szCs w:val="21"/>
              </w:rPr>
            </w:pPr>
            <w:r>
              <w:rPr>
                <w:rFonts w:hint="eastAsia" w:ascii="Times New Roman" w:hAnsi="Times New Roman" w:eastAsia="宋体" w:cs="Times New Roman"/>
                <w:szCs w:val="21"/>
              </w:rPr>
              <w:t>要求：研究目的明确，问题界定清晰，研究计划详细具体，研究策略与方法科学合理。</w:t>
            </w:r>
          </w:p>
        </w:tc>
        <w:tc>
          <w:tcPr>
            <w:tcW w:w="1276" w:type="dxa"/>
            <w:vAlign w:val="center"/>
          </w:tcPr>
          <w:p w14:paraId="0F4EC53E">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41920F40">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12B10071">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663D66C4">
            <w:pPr>
              <w:jc w:val="center"/>
              <w:rPr>
                <w:rFonts w:ascii="Times New Roman" w:hAnsi="Times New Roman" w:eastAsia="宋体" w:cs="Times New Roman"/>
                <w:szCs w:val="21"/>
              </w:rPr>
            </w:pPr>
            <w:r>
              <w:rPr>
                <w:rFonts w:hint="eastAsia" w:ascii="Times New Roman" w:hAnsi="Times New Roman" w:eastAsia="宋体" w:cs="Times New Roman"/>
                <w:szCs w:val="21"/>
              </w:rPr>
              <w:t>四选二</w:t>
            </w:r>
          </w:p>
        </w:tc>
      </w:tr>
    </w:tbl>
    <w:p w14:paraId="7369C05B">
      <w:pPr>
        <w:spacing w:line="360" w:lineRule="auto"/>
        <w:jc w:val="left"/>
        <w:outlineLvl w:val="0"/>
        <w:rPr>
          <w:rFonts w:ascii="Times New Roman" w:hAnsi="Times New Roman" w:eastAsia="宋体" w:cs="Times New Roman"/>
          <w:b/>
          <w:bCs/>
          <w:sz w:val="32"/>
          <w:szCs w:val="32"/>
        </w:rPr>
      </w:pPr>
      <w:bookmarkStart w:id="867" w:name="_Toc10242"/>
      <w:bookmarkStart w:id="868" w:name="_Toc840"/>
      <w:bookmarkStart w:id="869" w:name="_Toc1536"/>
      <w:bookmarkStart w:id="870" w:name="_Toc17055"/>
      <w:bookmarkStart w:id="871" w:name="_Toc25264"/>
      <w:bookmarkStart w:id="872" w:name="_Toc6558"/>
      <w:bookmarkStart w:id="873" w:name="_Toc12644"/>
      <w:r>
        <w:rPr>
          <w:rFonts w:hint="eastAsia" w:ascii="宋体" w:hAnsi="宋体" w:eastAsia="宋体" w:cs="Times New Roman"/>
          <w:b/>
          <w:sz w:val="28"/>
          <w:szCs w:val="28"/>
        </w:rPr>
        <w:t>六、有关说明</w:t>
      </w:r>
      <w:bookmarkEnd w:id="867"/>
      <w:bookmarkEnd w:id="868"/>
      <w:bookmarkEnd w:id="869"/>
      <w:bookmarkEnd w:id="870"/>
      <w:bookmarkEnd w:id="871"/>
      <w:bookmarkEnd w:id="872"/>
      <w:bookmarkEnd w:id="873"/>
    </w:p>
    <w:p w14:paraId="569B1B87">
      <w:pPr>
        <w:spacing w:line="360" w:lineRule="auto"/>
        <w:jc w:val="left"/>
        <w:outlineLvl w:val="1"/>
        <w:rPr>
          <w:rFonts w:ascii="Times New Roman" w:hAnsi="Times New Roman" w:eastAsia="宋体" w:cs="Times New Roman"/>
          <w:b/>
          <w:bCs/>
          <w:sz w:val="24"/>
          <w:szCs w:val="24"/>
        </w:rPr>
      </w:pPr>
      <w:bookmarkStart w:id="874" w:name="_Toc27270"/>
      <w:r>
        <w:rPr>
          <w:rFonts w:hint="eastAsia" w:ascii="Times New Roman" w:hAnsi="Times New Roman" w:eastAsia="宋体" w:cs="Times New Roman"/>
          <w:b/>
          <w:bCs/>
          <w:sz w:val="24"/>
          <w:szCs w:val="24"/>
        </w:rPr>
        <w:t>（一）持续改进</w:t>
      </w:r>
      <w:bookmarkEnd w:id="874"/>
    </w:p>
    <w:p w14:paraId="4F93C73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主讲教师利用指导学生教育见习、实习的机会，认真听取优秀毕业生对本课程教学改革的建议；根据基础教育改革与研究的需要，及时优化、调整教学内容。</w:t>
      </w:r>
    </w:p>
    <w:p w14:paraId="1BFEFB3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45CEFF2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根据学生个人及小组合作项目作业完成情况，及时发现课程评价中存在的问题，不断优化课程评价方式。</w:t>
      </w:r>
    </w:p>
    <w:p w14:paraId="2CEFEE02">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 xml:space="preserve">4. </w:t>
      </w:r>
      <w:r>
        <w:rPr>
          <w:rFonts w:hint="eastAsia" w:ascii="Times New Roman" w:hAnsi="Times New Roman" w:eastAsia="宋体" w:cs="Times New Roman"/>
          <w:szCs w:val="21"/>
        </w:rPr>
        <w:t>虚心听取领导、督导、教师听课评价意见和建议，努力提高教学质量。</w:t>
      </w:r>
    </w:p>
    <w:p w14:paraId="145047CB">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 每一轮开课结束后，课程组召开研讨会，探讨课程教学中的盲点、难点和痛点问题，找准课程改革的切入点和教学质量的增长点，确保课程目标对毕业要求形成有力支撑。</w:t>
      </w:r>
    </w:p>
    <w:p w14:paraId="74A97FB3">
      <w:pPr>
        <w:spacing w:line="360" w:lineRule="auto"/>
        <w:jc w:val="left"/>
        <w:outlineLvl w:val="1"/>
        <w:rPr>
          <w:rFonts w:ascii="Times New Roman" w:hAnsi="Times New Roman" w:eastAsia="宋体" w:cs="Times New Roman"/>
          <w:b/>
          <w:bCs/>
          <w:sz w:val="24"/>
          <w:szCs w:val="24"/>
        </w:rPr>
      </w:pPr>
      <w:bookmarkStart w:id="875" w:name="_Toc28496"/>
      <w:r>
        <w:rPr>
          <w:rFonts w:hint="eastAsia" w:ascii="Times New Roman" w:hAnsi="Times New Roman" w:eastAsia="宋体" w:cs="Times New Roman"/>
          <w:b/>
          <w:bCs/>
          <w:sz w:val="24"/>
          <w:szCs w:val="24"/>
        </w:rPr>
        <w:t>（二）建议教材</w:t>
      </w:r>
      <w:bookmarkEnd w:id="875"/>
    </w:p>
    <w:p w14:paraId="18261B0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温忠麟主编《教育研究方法基础》，高等教育出版社，2</w:t>
      </w:r>
      <w:r>
        <w:rPr>
          <w:rFonts w:ascii="Times New Roman" w:hAnsi="Times New Roman" w:eastAsia="宋体" w:cs="Times New Roman"/>
          <w:szCs w:val="21"/>
        </w:rPr>
        <w:t>017</w:t>
      </w:r>
      <w:r>
        <w:rPr>
          <w:rFonts w:hint="eastAsia" w:ascii="Times New Roman" w:hAnsi="Times New Roman" w:eastAsia="宋体" w:cs="Times New Roman"/>
          <w:szCs w:val="21"/>
        </w:rPr>
        <w:t>年，第三版</w:t>
      </w:r>
    </w:p>
    <w:p w14:paraId="7C35486E">
      <w:pPr>
        <w:spacing w:line="360" w:lineRule="auto"/>
        <w:jc w:val="left"/>
        <w:outlineLvl w:val="1"/>
        <w:rPr>
          <w:rFonts w:ascii="Times New Roman" w:hAnsi="Times New Roman" w:eastAsia="宋体" w:cs="Times New Roman"/>
          <w:b/>
          <w:bCs/>
          <w:sz w:val="24"/>
          <w:szCs w:val="24"/>
        </w:rPr>
      </w:pPr>
      <w:bookmarkStart w:id="876" w:name="_Toc2081"/>
      <w:r>
        <w:rPr>
          <w:rFonts w:hint="eastAsia" w:ascii="Times New Roman" w:hAnsi="Times New Roman" w:eastAsia="宋体" w:cs="Times New Roman"/>
          <w:b/>
          <w:bCs/>
          <w:sz w:val="24"/>
          <w:szCs w:val="24"/>
        </w:rPr>
        <w:t>（三）参考书目</w:t>
      </w:r>
      <w:bookmarkEnd w:id="876"/>
    </w:p>
    <w:p w14:paraId="2B011F95">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1．孙德芳等：小学教育科研方法，西南师范大学出版社，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747073A7">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2．张志杰等：教育科研方法，北京师范大学出版社，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年，第一版；</w:t>
      </w:r>
    </w:p>
    <w:p w14:paraId="320BEE86">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3. 胡中锋：教育科学方法，中国人民大学出版社，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20B6C517">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4. 王红艳：小学教育研究方法，北京大学出版社，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24770B4F">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 荷兰芝等：教育研究方法，同济大学出版社，</w:t>
      </w:r>
      <w:r>
        <w:rPr>
          <w:rFonts w:hint="eastAsia" w:ascii="Times New Roman" w:hAnsi="Times New Roman" w:eastAsia="宋体" w:cs="Times New Roman"/>
          <w:szCs w:val="21"/>
        </w:rPr>
        <w:t xml:space="preserve"> 2</w:t>
      </w:r>
      <w:r>
        <w:rPr>
          <w:rFonts w:ascii="Times New Roman" w:hAnsi="Times New Roman" w:eastAsia="宋体" w:cs="Times New Roman"/>
          <w:szCs w:val="21"/>
        </w:rPr>
        <w:t>020</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35591CD6">
      <w:pPr>
        <w:rPr>
          <w:rFonts w:ascii="等线" w:hAnsi="等线" w:eastAsia="等线" w:cs="Times New Roman"/>
          <w:szCs w:val="22"/>
        </w:rPr>
      </w:pPr>
    </w:p>
    <w:p w14:paraId="5364E497">
      <w:pPr>
        <w:rPr>
          <w:rFonts w:ascii="等线" w:hAnsi="等线" w:eastAsia="等线" w:cs="Times New Roman"/>
          <w:szCs w:val="22"/>
        </w:rPr>
      </w:pPr>
    </w:p>
    <w:p w14:paraId="0C401A2B">
      <w:pPr>
        <w:rPr>
          <w:rFonts w:ascii="等线" w:hAnsi="等线" w:eastAsia="等线" w:cs="Times New Roman"/>
          <w:szCs w:val="22"/>
        </w:rPr>
      </w:pPr>
    </w:p>
    <w:p w14:paraId="1D499250">
      <w:pPr>
        <w:rPr>
          <w:rFonts w:ascii="等线" w:hAnsi="等线" w:eastAsia="等线" w:cs="Times New Roman"/>
          <w:szCs w:val="22"/>
        </w:rPr>
      </w:pPr>
    </w:p>
    <w:p w14:paraId="12DFC26D">
      <w:pPr>
        <w:rPr>
          <w:rFonts w:ascii="等线" w:hAnsi="等线" w:eastAsia="等线" w:cs="Times New Roman"/>
          <w:szCs w:val="22"/>
        </w:rPr>
      </w:pPr>
    </w:p>
    <w:p w14:paraId="658ABD20">
      <w:pPr>
        <w:rPr>
          <w:rFonts w:ascii="等线" w:hAnsi="等线" w:eastAsia="等线" w:cs="Times New Roman"/>
          <w:szCs w:val="22"/>
        </w:rPr>
      </w:pPr>
    </w:p>
    <w:p w14:paraId="60B1C855">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潘金林</w:t>
      </w:r>
    </w:p>
    <w:p w14:paraId="7F903348">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王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健</w:t>
      </w:r>
    </w:p>
    <w:p w14:paraId="4198BFBD">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3D387BBC">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08FD0BFF">
      <w:pPr>
        <w:rPr>
          <w:rFonts w:hint="eastAsia" w:ascii="Times New Roman" w:hAnsi="Times New Roman" w:eastAsia="宋体" w:cs="Times New Roman"/>
          <w:b/>
          <w:sz w:val="44"/>
          <w:szCs w:val="44"/>
          <w:lang w:eastAsia="zh-CN"/>
        </w:rPr>
      </w:pPr>
      <w:r>
        <w:rPr>
          <w:rFonts w:hint="eastAsia" w:ascii="Times New Roman" w:hAnsi="Times New Roman" w:eastAsia="宋体" w:cs="Times New Roman"/>
          <w:b/>
          <w:sz w:val="44"/>
          <w:szCs w:val="44"/>
          <w:lang w:eastAsia="zh-CN"/>
        </w:rPr>
        <w:br w:type="page"/>
      </w:r>
    </w:p>
    <w:p w14:paraId="6F4F9481">
      <w:pPr>
        <w:pStyle w:val="2"/>
        <w:bidi w:val="0"/>
      </w:pPr>
      <w:bookmarkStart w:id="877" w:name="_Toc28756"/>
      <w:r>
        <w:rPr>
          <w:rFonts w:hint="eastAsia"/>
          <w:lang w:eastAsia="zh-CN"/>
        </w:rPr>
        <w:t>《</w:t>
      </w:r>
      <w:r>
        <w:rPr>
          <w:rFonts w:hint="eastAsia"/>
        </w:rPr>
        <w:t>教育科学研究方法</w:t>
      </w:r>
      <w:r>
        <w:rPr>
          <w:rFonts w:hint="eastAsia"/>
          <w:lang w:eastAsia="zh-CN"/>
        </w:rPr>
        <w:t>》</w:t>
      </w:r>
      <w:r>
        <w:rPr>
          <w:rFonts w:hint="eastAsia"/>
        </w:rPr>
        <w:t>课程教学大纲</w:t>
      </w:r>
      <w:bookmarkEnd w:id="877"/>
    </w:p>
    <w:p w14:paraId="057A6AE4">
      <w:pPr>
        <w:pStyle w:val="2"/>
        <w:bidi w:val="0"/>
      </w:pPr>
      <w:bookmarkStart w:id="878" w:name="_Toc31831"/>
      <w:r>
        <w:rPr>
          <w:rFonts w:hint="eastAsia"/>
        </w:rPr>
        <w:t>（</w:t>
      </w:r>
      <w:r>
        <w:t>Educational Research Method</w:t>
      </w:r>
      <w:r>
        <w:rPr>
          <w:rFonts w:hint="eastAsia"/>
        </w:rPr>
        <w:t>）</w:t>
      </w:r>
      <w:bookmarkEnd w:id="878"/>
    </w:p>
    <w:p w14:paraId="023F4B6F">
      <w:pPr>
        <w:spacing w:line="360" w:lineRule="auto"/>
        <w:jc w:val="center"/>
        <w:rPr>
          <w:rFonts w:ascii="Times New Roman" w:hAnsi="Times New Roman" w:eastAsia="宋体" w:cs="Times New Roman"/>
          <w:bCs/>
          <w:sz w:val="30"/>
          <w:szCs w:val="30"/>
        </w:rPr>
      </w:pPr>
    </w:p>
    <w:p w14:paraId="1E2B521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课程名称：教育科学研究方法</w:t>
      </w:r>
    </w:p>
    <w:p w14:paraId="14D7599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2401049</w:t>
      </w:r>
    </w:p>
    <w:p w14:paraId="004E391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012BFBB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32（其中，讲授学时24，实践学时8）</w:t>
      </w:r>
    </w:p>
    <w:p w14:paraId="4E3CB691">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先修课程：小学心理学、教育原理、教育心理学、课程与教学论，等</w:t>
      </w:r>
    </w:p>
    <w:p w14:paraId="54CF53F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w:t>
      </w:r>
      <w:r>
        <w:rPr>
          <w:rFonts w:ascii="Times New Roman" w:hAnsi="Times New Roman" w:eastAsia="宋体" w:cs="Times New Roman"/>
          <w:b/>
          <w:sz w:val="24"/>
          <w:szCs w:val="24"/>
        </w:rPr>
        <w:t xml:space="preserve"> 小学教育      </w:t>
      </w:r>
    </w:p>
    <w:p w14:paraId="43AE1CB2">
      <w:pPr>
        <w:spacing w:line="360" w:lineRule="auto"/>
        <w:jc w:val="left"/>
        <w:rPr>
          <w:rFonts w:ascii="Times New Roman" w:hAnsi="Times New Roman" w:eastAsia="宋体" w:cs="Times New Roman"/>
          <w:b/>
          <w:sz w:val="28"/>
          <w:szCs w:val="28"/>
        </w:rPr>
      </w:pPr>
    </w:p>
    <w:p w14:paraId="7FCFD387">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8"/>
          <w:szCs w:val="28"/>
        </w:rPr>
        <w:t>一、课程简介</w:t>
      </w:r>
    </w:p>
    <w:p w14:paraId="5F0BE5A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通过本课程的学习，师范生能够了解教育科学研究的基本理论和一般过程，掌握小学教育科研基本方法，学会发现、分析和解决小学教育实践中的问题，形成小学教育科研的意识和开展教育科研工作的基本能力，并为后修课程“毕业论文”的写作奠定研究方法基础。</w:t>
      </w:r>
    </w:p>
    <w:p w14:paraId="79E9A342">
      <w:pPr>
        <w:spacing w:line="360" w:lineRule="auto"/>
        <w:jc w:val="left"/>
        <w:rPr>
          <w:rFonts w:ascii="Times New Roman" w:hAnsi="Times New Roman" w:eastAsia="宋体" w:cs="Times New Roman"/>
          <w:sz w:val="24"/>
          <w:szCs w:val="24"/>
        </w:rPr>
      </w:pPr>
    </w:p>
    <w:p w14:paraId="5150599E">
      <w:pPr>
        <w:spacing w:line="360" w:lineRule="auto"/>
        <w:jc w:val="left"/>
        <w:rPr>
          <w:rFonts w:ascii="Times New Roman" w:hAnsi="Times New Roman" w:eastAsia="宋体" w:cs="Times New Roman"/>
          <w:sz w:val="24"/>
          <w:szCs w:val="24"/>
        </w:rPr>
      </w:pPr>
      <w:r>
        <w:rPr>
          <w:rFonts w:hint="eastAsia" w:ascii="宋体" w:hAnsi="宋体" w:eastAsia="宋体" w:cs="Times New Roman"/>
          <w:b/>
          <w:sz w:val="28"/>
          <w:szCs w:val="28"/>
        </w:rPr>
        <w:t>二</w:t>
      </w:r>
      <w:r>
        <w:rPr>
          <w:rFonts w:ascii="宋体" w:hAnsi="宋体" w:eastAsia="宋体" w:cs="Times New Roman"/>
          <w:b/>
          <w:sz w:val="28"/>
          <w:szCs w:val="28"/>
        </w:rPr>
        <w:t>、课程目标</w:t>
      </w:r>
    </w:p>
    <w:p w14:paraId="6AF4FA46">
      <w:pPr>
        <w:spacing w:line="360" w:lineRule="auto"/>
        <w:ind w:firstLine="482" w:firstLineChars="200"/>
        <w:rPr>
          <w:rFonts w:hint="eastAsia" w:ascii="宋体" w:hAnsi="宋体" w:eastAsia="宋体" w:cs="Times New Roman"/>
          <w:b/>
          <w:sz w:val="24"/>
          <w:szCs w:val="24"/>
        </w:rPr>
      </w:pPr>
      <w:r>
        <w:rPr>
          <w:rFonts w:hint="eastAsia" w:ascii="宋体" w:hAnsi="宋体" w:eastAsia="宋体" w:cs="Times New Roman"/>
          <w:b/>
          <w:sz w:val="24"/>
          <w:szCs w:val="24"/>
        </w:rPr>
        <w:t>（一）课程具体目标</w:t>
      </w:r>
    </w:p>
    <w:p w14:paraId="3575399F">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目标1.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理解教育科学研究的价值，懂得通过合作开展教育科学研究的意义，树立正确的教育科研观。</w:t>
      </w:r>
    </w:p>
    <w:p w14:paraId="2AC9FD88">
      <w:pPr>
        <w:autoSpaceDE w:val="0"/>
        <w:autoSpaceDN w:val="0"/>
        <w:adjustRightInd w:val="0"/>
        <w:spacing w:line="360" w:lineRule="auto"/>
        <w:ind w:firstLine="420" w:firstLineChars="200"/>
        <w:jc w:val="left"/>
        <w:rPr>
          <w:rFonts w:hint="eastAsia" w:ascii="宋体" w:hAnsi="宋体" w:eastAsia="宋体" w:cs="Times New Roman"/>
          <w:b/>
          <w:bCs/>
          <w:kern w:val="0"/>
          <w:szCs w:val="21"/>
        </w:rPr>
      </w:pPr>
      <w:r>
        <w:rPr>
          <w:rFonts w:hint="eastAsia" w:ascii="Times New Roman" w:hAnsi="Times New Roman" w:eastAsia="宋体" w:cs="Times New Roman"/>
          <w:kern w:val="0"/>
          <w:szCs w:val="21"/>
        </w:rPr>
        <w:t>目标2. 了解小学教育研究课题的问题来源、研究现状和趋势，熟悉教育研究的过程，能够从中小学情境中选择合适的课题，独立设计教育研究方案。</w:t>
      </w:r>
      <w:r>
        <w:rPr>
          <w:rFonts w:ascii="Times New Roman" w:hAnsi="Times New Roman" w:eastAsia="宋体" w:cs="Times New Roman"/>
          <w:kern w:val="0"/>
          <w:szCs w:val="21"/>
        </w:rPr>
        <w:t xml:space="preserve"> </w:t>
      </w:r>
    </w:p>
    <w:p w14:paraId="2BAC1998">
      <w:pPr>
        <w:autoSpaceDE w:val="0"/>
        <w:autoSpaceDN w:val="0"/>
        <w:adjustRightInd w:val="0"/>
        <w:spacing w:line="360" w:lineRule="auto"/>
        <w:ind w:firstLine="420" w:firstLineChars="200"/>
        <w:jc w:val="left"/>
        <w:rPr>
          <w:rFonts w:hint="eastAsia" w:ascii="宋体" w:hAnsi="宋体" w:eastAsia="宋体" w:cs="Times New Roman"/>
          <w:b/>
          <w:bCs/>
          <w:kern w:val="0"/>
          <w:szCs w:val="21"/>
        </w:rPr>
      </w:pPr>
      <w:r>
        <w:rPr>
          <w:rFonts w:hint="eastAsia" w:ascii="Times New Roman" w:hAnsi="Times New Roman" w:eastAsia="宋体" w:cs="Times New Roman"/>
          <w:kern w:val="0"/>
          <w:szCs w:val="21"/>
        </w:rPr>
        <w:t>目标3. 理解各种教育科学研究方法的特征、功能与局限性，能够根据基础教育的实际需要选择、设计和使用研究方法。</w:t>
      </w:r>
      <w:r>
        <w:rPr>
          <w:rFonts w:ascii="Times New Roman" w:hAnsi="Times New Roman" w:eastAsia="宋体" w:cs="Times New Roman"/>
          <w:kern w:val="0"/>
          <w:szCs w:val="21"/>
        </w:rPr>
        <w:t xml:space="preserve"> </w:t>
      </w:r>
    </w:p>
    <w:p w14:paraId="426D580F">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kern w:val="0"/>
          <w:szCs w:val="21"/>
        </w:rPr>
        <w:t>目标4. 了解学术论文的基本结构，初步掌握学术论文的写作方法，能够撰写符合学术规范的论</w:t>
      </w:r>
      <w:r>
        <w:rPr>
          <w:rFonts w:hint="eastAsia" w:ascii="Times New Roman" w:hAnsi="Times New Roman" w:eastAsia="宋体" w:cs="Times New Roman"/>
          <w:szCs w:val="21"/>
        </w:rPr>
        <w:t>文。</w:t>
      </w:r>
    </w:p>
    <w:p w14:paraId="082A6C24">
      <w:pPr>
        <w:autoSpaceDE w:val="0"/>
        <w:autoSpaceDN w:val="0"/>
        <w:adjustRightInd w:val="0"/>
        <w:spacing w:line="360" w:lineRule="auto"/>
        <w:ind w:firstLine="420" w:firstLineChars="200"/>
        <w:jc w:val="left"/>
        <w:rPr>
          <w:rFonts w:ascii="Times New Roman" w:hAnsi="Times New Roman" w:eastAsia="宋体" w:cs="Times New Roman"/>
          <w:szCs w:val="21"/>
        </w:rPr>
      </w:pPr>
    </w:p>
    <w:p w14:paraId="7201572F">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（二）课程目标及其对毕业要求指标点的支撑</w:t>
      </w:r>
    </w:p>
    <w:p w14:paraId="57D6AB14">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w:t>
      </w:r>
      <w:r>
        <w:rPr>
          <w:rFonts w:ascii="Times New Roman" w:hAnsi="Times New Roman" w:eastAsia="宋体" w:cs="Times New Roman"/>
          <w:b/>
          <w:bCs/>
          <w:sz w:val="24"/>
          <w:szCs w:val="24"/>
        </w:rPr>
        <w:t>1 课程目标及其对毕业要求</w:t>
      </w:r>
      <w:r>
        <w:rPr>
          <w:rFonts w:hint="eastAsia" w:ascii="Times New Roman" w:hAnsi="Times New Roman" w:eastAsia="宋体" w:cs="Times New Roman"/>
          <w:b/>
          <w:bCs/>
          <w:sz w:val="24"/>
          <w:szCs w:val="24"/>
        </w:rPr>
        <w:t>指标</w:t>
      </w:r>
      <w:r>
        <w:rPr>
          <w:rFonts w:ascii="Times New Roman" w:hAnsi="Times New Roman" w:eastAsia="宋体" w:cs="Times New Roman"/>
          <w:b/>
          <w:bCs/>
          <w:sz w:val="24"/>
          <w:szCs w:val="24"/>
        </w:rPr>
        <w:t>点的支撑</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3609"/>
        <w:gridCol w:w="1922"/>
      </w:tblGrid>
      <w:tr w14:paraId="362B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3CCADE1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3609" w:type="dxa"/>
          </w:tcPr>
          <w:p w14:paraId="500AADA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922" w:type="dxa"/>
          </w:tcPr>
          <w:p w14:paraId="2B0464A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0EF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restart"/>
            <w:vAlign w:val="center"/>
          </w:tcPr>
          <w:p w14:paraId="4BF532B4">
            <w:pPr>
              <w:spacing w:line="276" w:lineRule="auto"/>
              <w:jc w:val="left"/>
              <w:rPr>
                <w:rFonts w:hint="eastAsia" w:ascii="宋体" w:hAnsi="宋体" w:eastAsia="宋体" w:cs="宋体"/>
                <w:szCs w:val="21"/>
              </w:rPr>
            </w:pPr>
            <w:r>
              <w:rPr>
                <w:rFonts w:hint="eastAsia" w:ascii="宋体" w:hAnsi="宋体" w:eastAsia="宋体" w:cs="宋体"/>
                <w:szCs w:val="21"/>
              </w:rPr>
              <w:t>毕业要求8.沟通合作</w:t>
            </w:r>
          </w:p>
        </w:tc>
        <w:tc>
          <w:tcPr>
            <w:tcW w:w="3609" w:type="dxa"/>
            <w:vMerge w:val="restart"/>
            <w:vAlign w:val="center"/>
          </w:tcPr>
          <w:p w14:paraId="2D8A361C">
            <w:pPr>
              <w:spacing w:line="276" w:lineRule="auto"/>
              <w:jc w:val="left"/>
              <w:rPr>
                <w:rFonts w:hint="eastAsia" w:ascii="宋体" w:hAnsi="宋体" w:eastAsia="宋体" w:cs="Times New Roman"/>
                <w:szCs w:val="21"/>
              </w:rPr>
            </w:pPr>
            <w:r>
              <w:rPr>
                <w:rFonts w:hint="eastAsia" w:ascii="宋体" w:hAnsi="宋体" w:eastAsia="宋体" w:cs="宋体"/>
                <w:szCs w:val="21"/>
              </w:rPr>
              <w:t>指标点</w:t>
            </w:r>
            <w:r>
              <w:rPr>
                <w:rFonts w:ascii="宋体" w:hAnsi="宋体" w:eastAsia="宋体" w:cs="宋体"/>
                <w:szCs w:val="21"/>
              </w:rPr>
              <w:t>8-1：【善于团队合作】理解学习共同体的本质和价值，掌握团队协作的基本策略，在课堂学习与教育实践中获得合作学习体验，形成团队协作精神。</w:t>
            </w:r>
          </w:p>
        </w:tc>
        <w:tc>
          <w:tcPr>
            <w:tcW w:w="1922" w:type="dxa"/>
            <w:vAlign w:val="center"/>
          </w:tcPr>
          <w:p w14:paraId="4DCAB292">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512B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continue"/>
            <w:vAlign w:val="center"/>
          </w:tcPr>
          <w:p w14:paraId="1C25B7FB">
            <w:pPr>
              <w:spacing w:line="276" w:lineRule="auto"/>
              <w:jc w:val="left"/>
              <w:rPr>
                <w:rFonts w:hint="eastAsia" w:ascii="宋体" w:hAnsi="宋体" w:eastAsia="宋体" w:cs="宋体"/>
                <w:szCs w:val="21"/>
              </w:rPr>
            </w:pPr>
          </w:p>
        </w:tc>
        <w:tc>
          <w:tcPr>
            <w:tcW w:w="3609" w:type="dxa"/>
            <w:vMerge w:val="continue"/>
            <w:vAlign w:val="center"/>
          </w:tcPr>
          <w:p w14:paraId="6CF820F6">
            <w:pPr>
              <w:spacing w:line="276" w:lineRule="auto"/>
              <w:jc w:val="left"/>
              <w:rPr>
                <w:rFonts w:hint="eastAsia" w:ascii="宋体" w:hAnsi="宋体" w:eastAsia="宋体" w:cs="宋体"/>
                <w:szCs w:val="21"/>
              </w:rPr>
            </w:pPr>
          </w:p>
        </w:tc>
        <w:tc>
          <w:tcPr>
            <w:tcW w:w="1922" w:type="dxa"/>
            <w:vAlign w:val="center"/>
          </w:tcPr>
          <w:p w14:paraId="3079A1A5">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317A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restart"/>
            <w:vAlign w:val="center"/>
          </w:tcPr>
          <w:p w14:paraId="4FDBCF86">
            <w:pPr>
              <w:pStyle w:val="32"/>
              <w:spacing w:line="276" w:lineRule="auto"/>
              <w:ind w:firstLine="0" w:firstLineChars="0"/>
              <w:rPr>
                <w:rFonts w:hint="eastAsia" w:ascii="宋体" w:hAnsi="宋体" w:cs="宋体"/>
                <w:szCs w:val="21"/>
              </w:rPr>
            </w:pPr>
            <w:r>
              <w:rPr>
                <w:rFonts w:hint="eastAsia" w:ascii="宋体" w:hAnsi="宋体" w:cs="宋体"/>
                <w:szCs w:val="21"/>
              </w:rPr>
              <w:t>毕业要求4.教学能力</w:t>
            </w:r>
          </w:p>
        </w:tc>
        <w:tc>
          <w:tcPr>
            <w:tcW w:w="3609" w:type="dxa"/>
            <w:vMerge w:val="restart"/>
            <w:vAlign w:val="center"/>
          </w:tcPr>
          <w:p w14:paraId="01E8F3B8">
            <w:pPr>
              <w:pStyle w:val="32"/>
              <w:spacing w:line="276" w:lineRule="auto"/>
              <w:ind w:firstLine="0" w:firstLineChars="0"/>
              <w:jc w:val="left"/>
              <w:rPr>
                <w:rFonts w:hint="eastAsia" w:ascii="宋体" w:hAnsi="宋体" w:cs="宋体"/>
                <w:szCs w:val="21"/>
              </w:rPr>
            </w:pPr>
            <w:r>
              <w:rPr>
                <w:rFonts w:hint="eastAsia" w:ascii="宋体" w:hAnsi="宋体" w:cs="宋体"/>
                <w:szCs w:val="21"/>
              </w:rPr>
              <w:t>指标点</w:t>
            </w:r>
            <w:r>
              <w:rPr>
                <w:rFonts w:ascii="宋体" w:hAnsi="宋体" w:cs="宋体"/>
                <w:szCs w:val="21"/>
              </w:rPr>
              <w:t>4-4：【具备教学研究能力】掌握教育研究的基本方法，在教育教学实践中，结合小学教育教学实践进行研究，具有一定的教学研究能力。</w:t>
            </w:r>
          </w:p>
        </w:tc>
        <w:tc>
          <w:tcPr>
            <w:tcW w:w="1922" w:type="dxa"/>
            <w:vAlign w:val="center"/>
          </w:tcPr>
          <w:p w14:paraId="5A6FDBDF">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6B89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765" w:type="dxa"/>
            <w:vMerge w:val="continue"/>
            <w:vAlign w:val="center"/>
          </w:tcPr>
          <w:p w14:paraId="47B3E316">
            <w:pPr>
              <w:pStyle w:val="32"/>
              <w:spacing w:line="276" w:lineRule="auto"/>
              <w:ind w:firstLine="0" w:firstLineChars="0"/>
              <w:rPr>
                <w:rFonts w:hint="eastAsia" w:ascii="宋体" w:hAnsi="宋体" w:cs="宋体"/>
                <w:szCs w:val="21"/>
              </w:rPr>
            </w:pPr>
          </w:p>
        </w:tc>
        <w:tc>
          <w:tcPr>
            <w:tcW w:w="3609" w:type="dxa"/>
            <w:vMerge w:val="continue"/>
            <w:vAlign w:val="center"/>
          </w:tcPr>
          <w:p w14:paraId="4D119507">
            <w:pPr>
              <w:pStyle w:val="32"/>
              <w:spacing w:line="276" w:lineRule="auto"/>
              <w:ind w:firstLine="0" w:firstLineChars="0"/>
              <w:jc w:val="left"/>
              <w:rPr>
                <w:rFonts w:hint="eastAsia" w:ascii="宋体" w:hAnsi="宋体" w:cs="宋体"/>
                <w:szCs w:val="21"/>
              </w:rPr>
            </w:pPr>
          </w:p>
        </w:tc>
        <w:tc>
          <w:tcPr>
            <w:tcW w:w="1922" w:type="dxa"/>
            <w:vAlign w:val="center"/>
          </w:tcPr>
          <w:p w14:paraId="0A2D4660">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17C7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vMerge w:val="restart"/>
            <w:vAlign w:val="center"/>
          </w:tcPr>
          <w:p w14:paraId="3FF1ADFE">
            <w:pPr>
              <w:pStyle w:val="32"/>
              <w:spacing w:line="276" w:lineRule="auto"/>
              <w:ind w:firstLine="0" w:firstLineChars="0"/>
              <w:rPr>
                <w:rFonts w:hint="eastAsia" w:ascii="宋体" w:hAnsi="宋体" w:cs="宋体"/>
                <w:szCs w:val="21"/>
              </w:rPr>
            </w:pPr>
            <w:r>
              <w:rPr>
                <w:rFonts w:hint="eastAsia" w:ascii="宋体" w:hAnsi="宋体" w:cs="宋体"/>
                <w:szCs w:val="21"/>
              </w:rPr>
              <w:t>毕业要求7.学会反思</w:t>
            </w:r>
          </w:p>
        </w:tc>
        <w:tc>
          <w:tcPr>
            <w:tcW w:w="3609" w:type="dxa"/>
            <w:vAlign w:val="center"/>
          </w:tcPr>
          <w:p w14:paraId="7B11DC4E">
            <w:pPr>
              <w:pStyle w:val="32"/>
              <w:spacing w:line="276" w:lineRule="auto"/>
              <w:ind w:firstLine="0" w:firstLineChars="0"/>
              <w:jc w:val="left"/>
              <w:rPr>
                <w:rFonts w:hint="eastAsia" w:ascii="宋体" w:hAnsi="宋体" w:cs="宋体"/>
                <w:szCs w:val="21"/>
              </w:rPr>
            </w:pPr>
            <w:r>
              <w:rPr>
                <w:rFonts w:hint="eastAsia" w:ascii="宋体" w:hAnsi="宋体" w:cs="宋体"/>
                <w:szCs w:val="21"/>
              </w:rPr>
              <w:t>指标点</w:t>
            </w:r>
            <w:r>
              <w:rPr>
                <w:rFonts w:ascii="宋体" w:hAnsi="宋体" w:cs="宋体"/>
                <w:szCs w:val="21"/>
              </w:rPr>
              <w:t>7-1：【教育视野开阔】积极关注基础教育领域的国内外交流进展，了解国内外基础教育改革发展的动态，具有宽广的教育视野，能够主动适应新时代和教育发展需求。</w:t>
            </w:r>
          </w:p>
        </w:tc>
        <w:tc>
          <w:tcPr>
            <w:tcW w:w="1922" w:type="dxa"/>
            <w:vAlign w:val="center"/>
          </w:tcPr>
          <w:p w14:paraId="06B7C0E0">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32BF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65" w:type="dxa"/>
            <w:vMerge w:val="continue"/>
            <w:vAlign w:val="center"/>
          </w:tcPr>
          <w:p w14:paraId="55AA3BFB">
            <w:pPr>
              <w:pStyle w:val="32"/>
              <w:spacing w:line="276" w:lineRule="auto"/>
              <w:ind w:firstLine="0" w:firstLineChars="0"/>
              <w:rPr>
                <w:rFonts w:hint="eastAsia" w:ascii="宋体" w:hAnsi="宋体" w:cs="宋体"/>
                <w:szCs w:val="21"/>
              </w:rPr>
            </w:pPr>
          </w:p>
        </w:tc>
        <w:tc>
          <w:tcPr>
            <w:tcW w:w="3609" w:type="dxa"/>
            <w:vMerge w:val="restart"/>
            <w:vAlign w:val="center"/>
          </w:tcPr>
          <w:p w14:paraId="68F728AF">
            <w:pPr>
              <w:pStyle w:val="32"/>
              <w:spacing w:line="276" w:lineRule="auto"/>
              <w:ind w:firstLine="0" w:firstLineChars="0"/>
              <w:jc w:val="left"/>
              <w:rPr>
                <w:rFonts w:hint="eastAsia" w:ascii="宋体" w:hAnsi="宋体" w:cs="宋体"/>
                <w:szCs w:val="21"/>
              </w:rPr>
            </w:pPr>
            <w:r>
              <w:rPr>
                <w:rFonts w:hint="eastAsia" w:ascii="宋体" w:hAnsi="宋体" w:cs="宋体"/>
                <w:szCs w:val="21"/>
              </w:rPr>
              <w:t>指标点</w:t>
            </w:r>
            <w:r>
              <w:rPr>
                <w:rFonts w:ascii="宋体" w:hAnsi="宋体" w:cs="宋体"/>
                <w:szCs w:val="21"/>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922" w:type="dxa"/>
            <w:vAlign w:val="center"/>
          </w:tcPr>
          <w:p w14:paraId="6F248FA0">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34E2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765" w:type="dxa"/>
            <w:vMerge w:val="continue"/>
            <w:vAlign w:val="center"/>
          </w:tcPr>
          <w:p w14:paraId="0AC52118">
            <w:pPr>
              <w:pStyle w:val="32"/>
              <w:spacing w:line="276" w:lineRule="auto"/>
              <w:ind w:firstLine="0" w:firstLineChars="0"/>
              <w:rPr>
                <w:rFonts w:hint="eastAsia" w:ascii="宋体" w:hAnsi="宋体" w:cs="宋体"/>
                <w:szCs w:val="21"/>
              </w:rPr>
            </w:pPr>
          </w:p>
        </w:tc>
        <w:tc>
          <w:tcPr>
            <w:tcW w:w="3609" w:type="dxa"/>
            <w:vMerge w:val="continue"/>
            <w:vAlign w:val="center"/>
          </w:tcPr>
          <w:p w14:paraId="0DEEA358">
            <w:pPr>
              <w:pStyle w:val="32"/>
              <w:spacing w:line="276" w:lineRule="auto"/>
              <w:ind w:firstLine="0" w:firstLineChars="0"/>
              <w:jc w:val="left"/>
              <w:rPr>
                <w:rFonts w:hint="eastAsia" w:ascii="宋体" w:hAnsi="宋体" w:cs="宋体"/>
                <w:szCs w:val="21"/>
              </w:rPr>
            </w:pPr>
          </w:p>
        </w:tc>
        <w:tc>
          <w:tcPr>
            <w:tcW w:w="1922" w:type="dxa"/>
            <w:vAlign w:val="center"/>
          </w:tcPr>
          <w:p w14:paraId="3F195ED7">
            <w:pPr>
              <w:spacing w:line="360" w:lineRule="auto"/>
              <w:jc w:val="left"/>
              <w:rPr>
                <w:rFonts w:hint="eastAsia" w:ascii="宋体" w:hAnsi="宋体" w:eastAsia="宋体" w:cs="宋体"/>
                <w:szCs w:val="21"/>
              </w:rPr>
            </w:pPr>
            <w:r>
              <w:rPr>
                <w:rFonts w:hint="eastAsia" w:ascii="宋体" w:hAnsi="宋体" w:eastAsia="宋体" w:cs="宋体"/>
                <w:szCs w:val="21"/>
              </w:rPr>
              <w:t>课程目标 4</w:t>
            </w:r>
          </w:p>
        </w:tc>
      </w:tr>
    </w:tbl>
    <w:p w14:paraId="38D2526C">
      <w:pPr>
        <w:spacing w:line="360" w:lineRule="auto"/>
        <w:ind w:firstLine="482" w:firstLineChars="200"/>
        <w:rPr>
          <w:rFonts w:hint="eastAsia" w:ascii="宋体" w:hAnsi="宋体" w:eastAsia="宋体" w:cs="Times New Roman"/>
          <w:b/>
          <w:sz w:val="24"/>
          <w:szCs w:val="28"/>
        </w:rPr>
      </w:pPr>
    </w:p>
    <w:p w14:paraId="6A698D3B">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（三）课程思政目标</w:t>
      </w:r>
    </w:p>
    <w:p w14:paraId="1B505B17">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学生在扎实掌握教育科学研究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2EB26D31">
      <w:pPr>
        <w:spacing w:line="360" w:lineRule="auto"/>
        <w:jc w:val="left"/>
        <w:rPr>
          <w:rFonts w:hint="eastAsia" w:ascii="宋体" w:hAnsi="宋体" w:eastAsia="宋体" w:cs="Times New Roman"/>
          <w:b/>
          <w:sz w:val="24"/>
          <w:szCs w:val="24"/>
        </w:rPr>
      </w:pPr>
    </w:p>
    <w:p w14:paraId="74C89E18">
      <w:pPr>
        <w:spacing w:line="360" w:lineRule="auto"/>
        <w:jc w:val="left"/>
        <w:rPr>
          <w:rFonts w:hint="eastAsia" w:ascii="宋体" w:hAnsi="宋体" w:eastAsia="宋体" w:cs="Times New Roman"/>
          <w:b/>
          <w:sz w:val="24"/>
          <w:szCs w:val="24"/>
        </w:rPr>
      </w:pPr>
      <w:r>
        <w:rPr>
          <w:rFonts w:hint="eastAsia" w:ascii="宋体" w:hAnsi="宋体" w:eastAsia="宋体" w:cs="Times New Roman"/>
          <w:b/>
          <w:sz w:val="24"/>
          <w:szCs w:val="24"/>
        </w:rPr>
        <w:t>三、教学内容与预期学习成效</w:t>
      </w:r>
    </w:p>
    <w:p w14:paraId="55D28BD8">
      <w:pPr>
        <w:spacing w:line="360" w:lineRule="auto"/>
        <w:jc w:val="left"/>
        <w:rPr>
          <w:rFonts w:hint="eastAsia" w:ascii="宋体" w:hAnsi="宋体" w:eastAsia="宋体" w:cs="Times New Roman"/>
          <w:szCs w:val="21"/>
        </w:rPr>
      </w:pPr>
      <w:r>
        <w:rPr>
          <w:rFonts w:hint="eastAsia" w:ascii="宋体" w:hAnsi="宋体" w:eastAsia="宋体" w:cs="Times New Roman"/>
          <w:b/>
          <w:sz w:val="24"/>
          <w:szCs w:val="24"/>
        </w:rPr>
        <w:t xml:space="preserve"> </w:t>
      </w:r>
      <w:r>
        <w:rPr>
          <w:rFonts w:ascii="宋体" w:hAnsi="宋体" w:eastAsia="宋体" w:cs="Times New Roman"/>
          <w:b/>
          <w:sz w:val="24"/>
          <w:szCs w:val="24"/>
        </w:rPr>
        <w:t xml:space="preserve">  </w:t>
      </w:r>
      <w:r>
        <w:rPr>
          <w:rFonts w:hint="eastAsia" w:ascii="宋体" w:hAnsi="宋体" w:eastAsia="宋体" w:cs="Times New Roman"/>
          <w:szCs w:val="21"/>
        </w:rPr>
        <w:t>本课程主要教学内容及学生预期学习成效见表2。</w:t>
      </w:r>
    </w:p>
    <w:p w14:paraId="6562ABC5">
      <w:pPr>
        <w:spacing w:line="360" w:lineRule="auto"/>
        <w:ind w:firstLine="1928" w:firstLineChars="800"/>
        <w:jc w:val="left"/>
        <w:rPr>
          <w:rFonts w:hint="eastAsia" w:ascii="宋体" w:hAnsi="宋体" w:eastAsia="宋体" w:cs="Times New Roman"/>
          <w:b/>
          <w:sz w:val="24"/>
          <w:szCs w:val="24"/>
        </w:rPr>
      </w:pPr>
      <w:r>
        <w:rPr>
          <w:rFonts w:hint="eastAsia" w:ascii="宋体" w:hAnsi="宋体" w:eastAsia="宋体" w:cs="Times New Roman"/>
          <w:b/>
          <w:sz w:val="24"/>
          <w:szCs w:val="24"/>
        </w:rPr>
        <w:t>表</w:t>
      </w:r>
      <w:r>
        <w:rPr>
          <w:rFonts w:ascii="宋体" w:hAnsi="宋体" w:eastAsia="宋体" w:cs="Times New Roman"/>
          <w:b/>
          <w:sz w:val="24"/>
          <w:szCs w:val="24"/>
        </w:rPr>
        <w:t xml:space="preserve">2   </w:t>
      </w:r>
      <w:r>
        <w:rPr>
          <w:rFonts w:hint="eastAsia" w:ascii="宋体" w:hAnsi="宋体" w:eastAsia="宋体" w:cs="Times New Roman"/>
          <w:b/>
          <w:sz w:val="24"/>
          <w:szCs w:val="24"/>
        </w:rPr>
        <w:t>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26"/>
        <w:gridCol w:w="1276"/>
        <w:gridCol w:w="656"/>
      </w:tblGrid>
      <w:tr w14:paraId="43EF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ABAAC37">
            <w:pPr>
              <w:jc w:val="center"/>
              <w:rPr>
                <w:rFonts w:hint="eastAsia" w:ascii="宋体" w:hAnsi="宋体" w:eastAsia="宋体" w:cs="Times New Roman"/>
                <w:b/>
                <w:szCs w:val="21"/>
              </w:rPr>
            </w:pPr>
            <w:r>
              <w:rPr>
                <w:rFonts w:hint="eastAsia" w:ascii="宋体" w:hAnsi="宋体" w:eastAsia="宋体" w:cs="Times New Roman"/>
                <w:b/>
                <w:szCs w:val="21"/>
              </w:rPr>
              <w:t>知识</w:t>
            </w:r>
          </w:p>
          <w:p w14:paraId="1E65A203">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5D5910F2">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2CABAAF9">
            <w:pPr>
              <w:jc w:val="center"/>
              <w:rPr>
                <w:rFonts w:hint="eastAsia" w:ascii="宋体" w:hAnsi="宋体" w:eastAsia="宋体" w:cs="Times New Roman"/>
                <w:b/>
                <w:szCs w:val="21"/>
              </w:rPr>
            </w:pPr>
            <w:r>
              <w:rPr>
                <w:rFonts w:hint="eastAsia" w:ascii="宋体" w:hAnsi="宋体" w:eastAsia="宋体" w:cs="Times New Roman"/>
                <w:b/>
                <w:szCs w:val="21"/>
              </w:rPr>
              <w:t>对应</w:t>
            </w:r>
          </w:p>
          <w:p w14:paraId="5E516BC4">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326" w:type="dxa"/>
            <w:vAlign w:val="center"/>
          </w:tcPr>
          <w:p w14:paraId="783501C6">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76" w:type="dxa"/>
            <w:vAlign w:val="center"/>
          </w:tcPr>
          <w:p w14:paraId="1526BF3C">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5D0A3AD0">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281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BBA922">
            <w:pPr>
              <w:spacing w:line="264"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教育科学研究概述</w:t>
            </w:r>
          </w:p>
        </w:tc>
        <w:tc>
          <w:tcPr>
            <w:tcW w:w="1701" w:type="dxa"/>
            <w:vAlign w:val="center"/>
          </w:tcPr>
          <w:p w14:paraId="106F06D8">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教育科学研究的涵义、特征和意义</w:t>
            </w:r>
          </w:p>
          <w:p w14:paraId="44150E0F">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教育科学研究的类型及其发展趋势</w:t>
            </w:r>
          </w:p>
          <w:p w14:paraId="3D697786">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教育学科研究中学术规范与伦理问题</w:t>
            </w:r>
          </w:p>
          <w:p w14:paraId="2A5790E5">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学习教育科学研究的方法</w:t>
            </w:r>
          </w:p>
        </w:tc>
        <w:tc>
          <w:tcPr>
            <w:tcW w:w="1134" w:type="dxa"/>
            <w:vAlign w:val="center"/>
          </w:tcPr>
          <w:p w14:paraId="711B57C0">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326" w:type="dxa"/>
            <w:vAlign w:val="center"/>
          </w:tcPr>
          <w:p w14:paraId="66081C7F">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理解教育科学研究的涵义、特征和意义；</w:t>
            </w:r>
          </w:p>
          <w:p w14:paraId="755A7BC4">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熟悉教育科学研究方法的类型及其发展趋势；</w:t>
            </w:r>
          </w:p>
          <w:p w14:paraId="0E4B07B0">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了解教育科学研究中的学术规范与伦理问题，树立正确的学术观和价值观；</w:t>
            </w:r>
          </w:p>
          <w:p w14:paraId="66748B29">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掌握正确的学习教育研究的方法，立志投身教育科学研究。</w:t>
            </w:r>
          </w:p>
        </w:tc>
        <w:tc>
          <w:tcPr>
            <w:tcW w:w="1276" w:type="dxa"/>
            <w:vAlign w:val="center"/>
          </w:tcPr>
          <w:p w14:paraId="5683585E">
            <w:pPr>
              <w:spacing w:line="269"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3B21EA2D">
            <w:pPr>
              <w:spacing w:line="269" w:lineRule="auto"/>
              <w:jc w:val="left"/>
              <w:rPr>
                <w:rFonts w:hint="eastAsia" w:ascii="宋体" w:hAnsi="宋体" w:eastAsia="宋体" w:cs="Times New Roman"/>
                <w:szCs w:val="21"/>
              </w:rPr>
            </w:pPr>
            <w:r>
              <w:rPr>
                <w:rFonts w:hint="eastAsia" w:ascii="宋体" w:hAnsi="宋体" w:eastAsia="宋体" w:cs="Times New Roman"/>
                <w:szCs w:val="21"/>
              </w:rPr>
              <w:t>多媒体教学</w:t>
            </w:r>
          </w:p>
          <w:p w14:paraId="303A9E02">
            <w:pPr>
              <w:spacing w:line="269"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1FD22BFC">
            <w:pPr>
              <w:spacing w:line="269" w:lineRule="auto"/>
              <w:jc w:val="left"/>
              <w:rPr>
                <w:rFonts w:hint="eastAsia" w:ascii="宋体" w:hAnsi="宋体" w:eastAsia="宋体" w:cs="Times New Roman"/>
                <w:szCs w:val="21"/>
              </w:rPr>
            </w:pPr>
            <w:r>
              <w:rPr>
                <w:rFonts w:hint="eastAsia" w:ascii="宋体" w:hAnsi="宋体" w:eastAsia="宋体" w:cs="Times New Roman"/>
                <w:szCs w:val="21"/>
              </w:rPr>
              <w:t>在线测试</w:t>
            </w:r>
          </w:p>
        </w:tc>
        <w:tc>
          <w:tcPr>
            <w:tcW w:w="656" w:type="dxa"/>
            <w:vAlign w:val="center"/>
          </w:tcPr>
          <w:p w14:paraId="1ECAB175">
            <w:pPr>
              <w:spacing w:line="269" w:lineRule="auto"/>
              <w:jc w:val="center"/>
              <w:rPr>
                <w:rFonts w:hint="eastAsia" w:ascii="宋体" w:hAnsi="宋体" w:eastAsia="宋体" w:cs="Times New Roman"/>
                <w:szCs w:val="21"/>
              </w:rPr>
            </w:pPr>
            <w:r>
              <w:rPr>
                <w:rFonts w:ascii="宋体" w:hAnsi="宋体" w:eastAsia="宋体" w:cs="Times New Roman"/>
                <w:szCs w:val="21"/>
              </w:rPr>
              <w:t>2</w:t>
            </w:r>
          </w:p>
        </w:tc>
      </w:tr>
      <w:tr w14:paraId="2E6C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76279B">
            <w:pPr>
              <w:spacing w:line="264" w:lineRule="auto"/>
              <w:jc w:val="center"/>
              <w:rPr>
                <w:rFonts w:hint="eastAsia" w:ascii="宋体" w:hAnsi="宋体" w:eastAsia="宋体" w:cs="Times New Roman"/>
                <w:szCs w:val="21"/>
              </w:rPr>
            </w:pPr>
          </w:p>
        </w:tc>
        <w:tc>
          <w:tcPr>
            <w:tcW w:w="8093" w:type="dxa"/>
            <w:gridSpan w:val="5"/>
            <w:vAlign w:val="center"/>
          </w:tcPr>
          <w:p w14:paraId="63398281">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坚持马克思主义的唯物史观，全面正确理解教育研究的本质；以习近平总书记关于教育工作的重要论述为指导，理解基础教育科学研究的价值和意义；坚持“立德树人”，树立正确的世界观、价值观和人生观，形成正确的科研观。</w:t>
            </w:r>
          </w:p>
        </w:tc>
      </w:tr>
      <w:tr w14:paraId="1DB0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257EAF">
            <w:pPr>
              <w:spacing w:line="264" w:lineRule="auto"/>
              <w:jc w:val="center"/>
              <w:rPr>
                <w:rFonts w:hint="eastAsia" w:ascii="宋体" w:hAnsi="宋体" w:eastAsia="宋体" w:cs="Times New Roman"/>
                <w:szCs w:val="21"/>
              </w:rPr>
            </w:pPr>
            <w:r>
              <w:rPr>
                <w:rFonts w:hint="eastAsia" w:ascii="宋体" w:hAnsi="宋体" w:eastAsia="宋体" w:cs="Times New Roman"/>
                <w:szCs w:val="21"/>
              </w:rPr>
              <w:t>2.</w:t>
            </w:r>
            <w:r>
              <w:rPr>
                <w:rFonts w:hint="eastAsia"/>
              </w:rPr>
              <w:t xml:space="preserve"> </w:t>
            </w:r>
            <w:r>
              <w:rPr>
                <w:rFonts w:hint="eastAsia" w:ascii="宋体" w:hAnsi="宋体" w:eastAsia="宋体" w:cs="Times New Roman"/>
                <w:szCs w:val="21"/>
              </w:rPr>
              <w:t>教育研究选题与设计</w:t>
            </w:r>
          </w:p>
        </w:tc>
        <w:tc>
          <w:tcPr>
            <w:tcW w:w="1701" w:type="dxa"/>
            <w:vAlign w:val="center"/>
          </w:tcPr>
          <w:p w14:paraId="06D1C23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1）教育研究课题的问题来源</w:t>
            </w:r>
          </w:p>
          <w:p w14:paraId="1CC436F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2）教育研究选题的评价</w:t>
            </w:r>
          </w:p>
          <w:p w14:paraId="2958A9D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3）教育研究选题策略</w:t>
            </w:r>
          </w:p>
          <w:p w14:paraId="674D5A1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4）教育研究方案设计</w:t>
            </w:r>
          </w:p>
          <w:p w14:paraId="53BE75F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5）毕业论文开题报告</w:t>
            </w:r>
          </w:p>
        </w:tc>
        <w:tc>
          <w:tcPr>
            <w:tcW w:w="1134" w:type="dxa"/>
            <w:vAlign w:val="center"/>
          </w:tcPr>
          <w:p w14:paraId="35E9B5FC">
            <w:pPr>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p>
        </w:tc>
        <w:tc>
          <w:tcPr>
            <w:tcW w:w="3326" w:type="dxa"/>
            <w:vAlign w:val="center"/>
          </w:tcPr>
          <w:p w14:paraId="4B5C7E9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1）了解教育研究课题的问题来源；</w:t>
            </w:r>
          </w:p>
          <w:p w14:paraId="00FCEFA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2）理解教育研究选题的评价要求；</w:t>
            </w:r>
          </w:p>
          <w:p w14:paraId="4C6B2AD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3）学会清楚、明确地表述所研究的问题；</w:t>
            </w:r>
          </w:p>
          <w:p w14:paraId="2AB4355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4）能够设计简单的教育研究方案；</w:t>
            </w:r>
          </w:p>
          <w:p w14:paraId="303F9E6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5）学会撰写毕业论文开题报告。</w:t>
            </w:r>
          </w:p>
        </w:tc>
        <w:tc>
          <w:tcPr>
            <w:tcW w:w="1276" w:type="dxa"/>
            <w:vAlign w:val="center"/>
          </w:tcPr>
          <w:p w14:paraId="3DA119F9">
            <w:pPr>
              <w:spacing w:line="269"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234A3E47">
            <w:pPr>
              <w:spacing w:line="269"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5DFF2F33">
            <w:pPr>
              <w:spacing w:line="269"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0D199547">
            <w:pPr>
              <w:spacing w:line="269"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2040BA92">
            <w:pPr>
              <w:spacing w:line="269"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3F994050">
            <w:pPr>
              <w:spacing w:line="269" w:lineRule="auto"/>
              <w:jc w:val="center"/>
              <w:rPr>
                <w:rFonts w:hint="eastAsia" w:ascii="宋体" w:hAnsi="宋体" w:eastAsia="宋体" w:cs="Times New Roman"/>
                <w:szCs w:val="21"/>
              </w:rPr>
            </w:pPr>
            <w:r>
              <w:rPr>
                <w:rFonts w:ascii="宋体" w:hAnsi="宋体" w:eastAsia="宋体" w:cs="Times New Roman"/>
                <w:szCs w:val="21"/>
              </w:rPr>
              <w:t>6</w:t>
            </w:r>
          </w:p>
        </w:tc>
      </w:tr>
      <w:tr w14:paraId="6A8C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3B2C15">
            <w:pPr>
              <w:spacing w:line="264" w:lineRule="auto"/>
              <w:jc w:val="center"/>
              <w:rPr>
                <w:rFonts w:hint="eastAsia" w:ascii="宋体" w:hAnsi="宋体" w:eastAsia="宋体" w:cs="Times New Roman"/>
                <w:szCs w:val="21"/>
              </w:rPr>
            </w:pPr>
          </w:p>
        </w:tc>
        <w:tc>
          <w:tcPr>
            <w:tcW w:w="8093" w:type="dxa"/>
            <w:gridSpan w:val="5"/>
            <w:vAlign w:val="center"/>
          </w:tcPr>
          <w:p w14:paraId="3646D305">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培养学生坚持真理、热爱科学、实事求是的品格，形成正确的学术观、科研观；热爱中小学教育，理解基础教育改革的意义，具有一定的创新意识，学会发现和分析人民群众关心的基础教育热点与难点问题。</w:t>
            </w:r>
          </w:p>
        </w:tc>
      </w:tr>
      <w:tr w14:paraId="335F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54315D">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r>
              <w:rPr>
                <w:rFonts w:hint="eastAsia"/>
              </w:rPr>
              <w:t xml:space="preserve"> </w:t>
            </w:r>
            <w:r>
              <w:rPr>
                <w:rFonts w:hint="eastAsia" w:ascii="宋体" w:hAnsi="宋体" w:eastAsia="宋体" w:cs="Times New Roman"/>
                <w:szCs w:val="21"/>
              </w:rPr>
              <w:t>文献检索与综述</w:t>
            </w:r>
          </w:p>
        </w:tc>
        <w:tc>
          <w:tcPr>
            <w:tcW w:w="1701" w:type="dxa"/>
            <w:vAlign w:val="center"/>
          </w:tcPr>
          <w:p w14:paraId="414A712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1）文献及其作用</w:t>
            </w:r>
          </w:p>
          <w:p w14:paraId="03F9758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2）教育文献检索</w:t>
            </w:r>
          </w:p>
          <w:p w14:paraId="324DC23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3）教育文献的整理</w:t>
            </w:r>
          </w:p>
          <w:p w14:paraId="0C64835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4）文献综述</w:t>
            </w:r>
          </w:p>
        </w:tc>
        <w:tc>
          <w:tcPr>
            <w:tcW w:w="1134" w:type="dxa"/>
            <w:vAlign w:val="center"/>
          </w:tcPr>
          <w:p w14:paraId="40B298AE">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326" w:type="dxa"/>
            <w:vAlign w:val="center"/>
          </w:tcPr>
          <w:p w14:paraId="2A9B33F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1）掌握文献检索与文献综述的基本知识；</w:t>
            </w:r>
          </w:p>
          <w:p w14:paraId="280486B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2）了解文献在教育研究中的作用；</w:t>
            </w:r>
          </w:p>
          <w:p w14:paraId="1B72D36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3）学会使用常用的文献检索方法；</w:t>
            </w:r>
          </w:p>
          <w:p w14:paraId="02B600E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4）学会撰写简单的文献综述。</w:t>
            </w:r>
          </w:p>
        </w:tc>
        <w:tc>
          <w:tcPr>
            <w:tcW w:w="1276" w:type="dxa"/>
            <w:vAlign w:val="center"/>
          </w:tcPr>
          <w:p w14:paraId="6C796538">
            <w:pPr>
              <w:jc w:val="left"/>
              <w:rPr>
                <w:rFonts w:hint="eastAsia" w:ascii="宋体" w:hAnsi="宋体" w:eastAsia="宋体" w:cs="Times New Roman"/>
                <w:szCs w:val="21"/>
              </w:rPr>
            </w:pPr>
            <w:r>
              <w:rPr>
                <w:rFonts w:hint="eastAsia" w:ascii="宋体" w:hAnsi="宋体" w:eastAsia="宋体" w:cs="Times New Roman"/>
                <w:szCs w:val="21"/>
              </w:rPr>
              <w:t>自主学习</w:t>
            </w:r>
          </w:p>
          <w:p w14:paraId="5A0AEAC8">
            <w:pPr>
              <w:jc w:val="left"/>
              <w:rPr>
                <w:rFonts w:hint="eastAsia" w:ascii="宋体" w:hAnsi="宋体" w:eastAsia="宋体" w:cs="Times New Roman"/>
                <w:szCs w:val="21"/>
              </w:rPr>
            </w:pPr>
            <w:r>
              <w:rPr>
                <w:rFonts w:hint="eastAsia" w:ascii="宋体" w:hAnsi="宋体" w:eastAsia="宋体" w:cs="Times New Roman"/>
                <w:szCs w:val="21"/>
              </w:rPr>
              <w:t>案例教学</w:t>
            </w:r>
          </w:p>
          <w:p w14:paraId="2CE786B7">
            <w:pPr>
              <w:jc w:val="left"/>
              <w:rPr>
                <w:rFonts w:hint="eastAsia" w:ascii="宋体" w:hAnsi="宋体" w:eastAsia="宋体" w:cs="Times New Roman"/>
                <w:szCs w:val="21"/>
              </w:rPr>
            </w:pPr>
            <w:r>
              <w:rPr>
                <w:rFonts w:hint="eastAsia" w:ascii="宋体" w:hAnsi="宋体" w:eastAsia="宋体" w:cs="Times New Roman"/>
                <w:szCs w:val="21"/>
              </w:rPr>
              <w:t>课堂讨论</w:t>
            </w:r>
          </w:p>
          <w:p w14:paraId="3D7CF776">
            <w:pPr>
              <w:jc w:val="left"/>
              <w:rPr>
                <w:rFonts w:hint="eastAsia" w:ascii="宋体" w:hAnsi="宋体" w:eastAsia="宋体" w:cs="Times New Roman"/>
                <w:szCs w:val="21"/>
              </w:rPr>
            </w:pPr>
            <w:r>
              <w:rPr>
                <w:rFonts w:hint="eastAsia" w:ascii="宋体" w:hAnsi="宋体" w:eastAsia="宋体" w:cs="Times New Roman"/>
                <w:szCs w:val="21"/>
              </w:rPr>
              <w:t>在线测试</w:t>
            </w:r>
          </w:p>
          <w:p w14:paraId="5AF39786">
            <w:pPr>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04989002">
            <w:pPr>
              <w:jc w:val="center"/>
              <w:rPr>
                <w:rFonts w:hint="eastAsia" w:ascii="宋体" w:hAnsi="宋体" w:eastAsia="宋体" w:cs="Times New Roman"/>
                <w:szCs w:val="21"/>
              </w:rPr>
            </w:pPr>
            <w:r>
              <w:rPr>
                <w:rFonts w:ascii="宋体" w:hAnsi="宋体" w:eastAsia="宋体" w:cs="Times New Roman"/>
                <w:szCs w:val="21"/>
              </w:rPr>
              <w:t>6</w:t>
            </w:r>
          </w:p>
        </w:tc>
      </w:tr>
      <w:tr w14:paraId="0E7E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818E75">
            <w:pPr>
              <w:spacing w:line="264" w:lineRule="auto"/>
              <w:jc w:val="center"/>
              <w:rPr>
                <w:rFonts w:hint="eastAsia" w:ascii="宋体" w:hAnsi="宋体" w:eastAsia="宋体" w:cs="Times New Roman"/>
                <w:szCs w:val="21"/>
              </w:rPr>
            </w:pPr>
          </w:p>
        </w:tc>
        <w:tc>
          <w:tcPr>
            <w:tcW w:w="8093" w:type="dxa"/>
            <w:gridSpan w:val="5"/>
            <w:vAlign w:val="center"/>
          </w:tcPr>
          <w:p w14:paraId="693FB99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通过对国内外教育研究现状的全面梳理，增强对我国基础教育改革取得伟大成就的自豪感，培养投身基础教育科学研究的责任感和使命感；形成诚信务实、脚踏实地、实事求是的科研素养。</w:t>
            </w:r>
          </w:p>
        </w:tc>
      </w:tr>
      <w:tr w14:paraId="3CE9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717CC9">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 xml:space="preserve"> </w:t>
            </w:r>
            <w:r>
              <w:rPr>
                <w:rFonts w:hint="eastAsia" w:ascii="宋体" w:hAnsi="宋体" w:eastAsia="宋体" w:cs="Times New Roman"/>
                <w:szCs w:val="21"/>
              </w:rPr>
              <w:t>教育调查研究</w:t>
            </w:r>
          </w:p>
        </w:tc>
        <w:tc>
          <w:tcPr>
            <w:tcW w:w="1701" w:type="dxa"/>
            <w:vAlign w:val="center"/>
          </w:tcPr>
          <w:p w14:paraId="46C06FD7">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1）调查研究的主要步骤</w:t>
            </w:r>
          </w:p>
          <w:p w14:paraId="0BD76070">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2）问卷法</w:t>
            </w:r>
          </w:p>
          <w:p w14:paraId="15C53F11">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3）访谈法</w:t>
            </w:r>
          </w:p>
          <w:p w14:paraId="7013DF45">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4）观察法</w:t>
            </w:r>
          </w:p>
          <w:p w14:paraId="5550F1E6">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5）调查抽样</w:t>
            </w:r>
          </w:p>
        </w:tc>
        <w:tc>
          <w:tcPr>
            <w:tcW w:w="1134" w:type="dxa"/>
            <w:vAlign w:val="center"/>
          </w:tcPr>
          <w:p w14:paraId="5BDA69A8">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3</w:t>
            </w:r>
          </w:p>
        </w:tc>
        <w:tc>
          <w:tcPr>
            <w:tcW w:w="3326" w:type="dxa"/>
            <w:vAlign w:val="center"/>
          </w:tcPr>
          <w:p w14:paraId="3DE01CF3">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1）明确调查研究的涵义；</w:t>
            </w:r>
          </w:p>
          <w:p w14:paraId="3E4A2FE0">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2）理解问卷法、访谈法、观察法的优缺点；</w:t>
            </w:r>
          </w:p>
          <w:p w14:paraId="5D2B1229">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3）学会设计简单的问卷、访谈提纲、观察记录表；</w:t>
            </w:r>
          </w:p>
          <w:p w14:paraId="1751E564">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4）了解抽样的主要方法。</w:t>
            </w:r>
          </w:p>
        </w:tc>
        <w:tc>
          <w:tcPr>
            <w:tcW w:w="1276" w:type="dxa"/>
            <w:vAlign w:val="center"/>
          </w:tcPr>
          <w:p w14:paraId="1F586B72">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E521397">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2AFF62A0">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28CF88FA">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1402575C">
            <w:pPr>
              <w:spacing w:line="276"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2ACB4F4D">
            <w:pPr>
              <w:spacing w:line="276" w:lineRule="auto"/>
              <w:jc w:val="center"/>
              <w:rPr>
                <w:rFonts w:hint="eastAsia" w:ascii="宋体" w:hAnsi="宋体" w:eastAsia="宋体" w:cs="Times New Roman"/>
                <w:szCs w:val="21"/>
              </w:rPr>
            </w:pPr>
            <w:r>
              <w:rPr>
                <w:rFonts w:ascii="宋体" w:hAnsi="宋体" w:eastAsia="宋体" w:cs="Times New Roman"/>
                <w:szCs w:val="21"/>
              </w:rPr>
              <w:t>6</w:t>
            </w:r>
          </w:p>
        </w:tc>
      </w:tr>
      <w:tr w14:paraId="6166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3C40119">
            <w:pPr>
              <w:spacing w:line="276" w:lineRule="auto"/>
              <w:jc w:val="center"/>
              <w:rPr>
                <w:rFonts w:hint="eastAsia" w:ascii="宋体" w:hAnsi="宋体" w:eastAsia="宋体" w:cs="Times New Roman"/>
                <w:szCs w:val="21"/>
              </w:rPr>
            </w:pPr>
          </w:p>
        </w:tc>
        <w:tc>
          <w:tcPr>
            <w:tcW w:w="8093" w:type="dxa"/>
            <w:gridSpan w:val="5"/>
            <w:vAlign w:val="center"/>
          </w:tcPr>
          <w:p w14:paraId="143582A3">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以马克思主义的方法论为指导，培养学生诚信务实、脚踏实地、实事求是的科研素养。</w:t>
            </w:r>
          </w:p>
        </w:tc>
      </w:tr>
      <w:tr w14:paraId="6D91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3E8638">
            <w:pPr>
              <w:spacing w:line="276" w:lineRule="auto"/>
              <w:jc w:val="center"/>
              <w:rPr>
                <w:rFonts w:hint="eastAsia" w:ascii="宋体" w:hAnsi="宋体" w:eastAsia="宋体" w:cs="Times New Roman"/>
                <w:szCs w:val="21"/>
              </w:rPr>
            </w:pPr>
            <w:r>
              <w:rPr>
                <w:rFonts w:hint="eastAsia" w:ascii="宋体" w:hAnsi="宋体" w:eastAsia="宋体" w:cs="Times New Roman"/>
                <w:szCs w:val="21"/>
              </w:rPr>
              <w:t>5. 教育个案研究</w:t>
            </w:r>
          </w:p>
        </w:tc>
        <w:tc>
          <w:tcPr>
            <w:tcW w:w="1701" w:type="dxa"/>
            <w:vAlign w:val="center"/>
          </w:tcPr>
          <w:p w14:paraId="63E25CBD">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1）个案研究</w:t>
            </w:r>
            <w:r>
              <w:rPr>
                <w:rFonts w:hint="eastAsia" w:ascii="宋体" w:hAnsi="宋体" w:eastAsia="宋体" w:cs="Times New Roman"/>
                <w:szCs w:val="21"/>
              </w:rPr>
              <w:t>的含义</w:t>
            </w:r>
          </w:p>
          <w:p w14:paraId="54E354B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2）个案研究的步骤</w:t>
            </w:r>
          </w:p>
          <w:p w14:paraId="446DB98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3）个案研究的方法</w:t>
            </w:r>
          </w:p>
        </w:tc>
        <w:tc>
          <w:tcPr>
            <w:tcW w:w="1134" w:type="dxa"/>
            <w:vAlign w:val="center"/>
          </w:tcPr>
          <w:p w14:paraId="242689EA">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6BD8F629">
            <w:pPr>
              <w:jc w:val="lef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1）理解个案研究的涵义和特点；</w:t>
            </w:r>
          </w:p>
          <w:p w14:paraId="27494E5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2）掌握个案研究的步骤；了解个案研究的主要方法；</w:t>
            </w:r>
          </w:p>
          <w:p w14:paraId="1A5B485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3）初步尝试个案研究的方案设计。</w:t>
            </w:r>
          </w:p>
        </w:tc>
        <w:tc>
          <w:tcPr>
            <w:tcW w:w="1276" w:type="dxa"/>
            <w:vAlign w:val="center"/>
          </w:tcPr>
          <w:p w14:paraId="4FC6A8DF">
            <w:pPr>
              <w:jc w:val="left"/>
              <w:rPr>
                <w:rFonts w:hint="eastAsia" w:ascii="宋体" w:hAnsi="宋体" w:eastAsia="宋体" w:cs="Times New Roman"/>
                <w:szCs w:val="21"/>
              </w:rPr>
            </w:pPr>
            <w:r>
              <w:rPr>
                <w:rFonts w:hint="eastAsia" w:ascii="宋体" w:hAnsi="宋体" w:eastAsia="宋体" w:cs="Times New Roman"/>
                <w:szCs w:val="21"/>
              </w:rPr>
              <w:t>自主学习</w:t>
            </w:r>
          </w:p>
          <w:p w14:paraId="115D404F">
            <w:pPr>
              <w:jc w:val="left"/>
              <w:rPr>
                <w:rFonts w:hint="eastAsia" w:ascii="宋体" w:hAnsi="宋体" w:eastAsia="宋体" w:cs="Times New Roman"/>
                <w:szCs w:val="21"/>
              </w:rPr>
            </w:pPr>
            <w:r>
              <w:rPr>
                <w:rFonts w:hint="eastAsia" w:ascii="宋体" w:hAnsi="宋体" w:eastAsia="宋体" w:cs="Times New Roman"/>
                <w:szCs w:val="21"/>
              </w:rPr>
              <w:t>案例教学</w:t>
            </w:r>
          </w:p>
          <w:p w14:paraId="05E64C32">
            <w:pPr>
              <w:jc w:val="left"/>
              <w:rPr>
                <w:rFonts w:hint="eastAsia" w:ascii="宋体" w:hAnsi="宋体" w:eastAsia="宋体" w:cs="Times New Roman"/>
                <w:szCs w:val="21"/>
              </w:rPr>
            </w:pPr>
            <w:r>
              <w:rPr>
                <w:rFonts w:hint="eastAsia" w:ascii="宋体" w:hAnsi="宋体" w:eastAsia="宋体" w:cs="Times New Roman"/>
                <w:szCs w:val="21"/>
              </w:rPr>
              <w:t>课堂讨论</w:t>
            </w:r>
          </w:p>
          <w:p w14:paraId="0F726B20">
            <w:pPr>
              <w:jc w:val="left"/>
              <w:rPr>
                <w:rFonts w:hint="eastAsia" w:ascii="宋体" w:hAnsi="宋体" w:eastAsia="宋体" w:cs="Times New Roman"/>
                <w:szCs w:val="21"/>
              </w:rPr>
            </w:pPr>
            <w:r>
              <w:rPr>
                <w:rFonts w:hint="eastAsia" w:ascii="宋体" w:hAnsi="宋体" w:eastAsia="宋体" w:cs="Times New Roman"/>
                <w:szCs w:val="21"/>
              </w:rPr>
              <w:t>在线测试</w:t>
            </w:r>
          </w:p>
          <w:p w14:paraId="583D932F">
            <w:pPr>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287C47EC">
            <w:pPr>
              <w:spacing w:line="276" w:lineRule="auto"/>
              <w:jc w:val="center"/>
              <w:rPr>
                <w:rFonts w:hint="eastAsia" w:ascii="宋体" w:hAnsi="宋体" w:eastAsia="宋体" w:cs="Times New Roman"/>
                <w:szCs w:val="21"/>
              </w:rPr>
            </w:pPr>
            <w:r>
              <w:rPr>
                <w:rFonts w:ascii="宋体" w:hAnsi="宋体" w:eastAsia="宋体" w:cs="Times New Roman"/>
                <w:szCs w:val="21"/>
              </w:rPr>
              <w:t>2</w:t>
            </w:r>
          </w:p>
        </w:tc>
      </w:tr>
      <w:tr w14:paraId="22D6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04CD01">
            <w:pPr>
              <w:spacing w:line="276" w:lineRule="auto"/>
              <w:jc w:val="center"/>
              <w:rPr>
                <w:rFonts w:hint="eastAsia" w:ascii="宋体" w:hAnsi="宋体" w:eastAsia="宋体" w:cs="Times New Roman"/>
                <w:szCs w:val="21"/>
              </w:rPr>
            </w:pPr>
          </w:p>
        </w:tc>
        <w:tc>
          <w:tcPr>
            <w:tcW w:w="8093" w:type="dxa"/>
            <w:gridSpan w:val="5"/>
            <w:vAlign w:val="center"/>
          </w:tcPr>
          <w:p w14:paraId="15784C58">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遵循教育规律和儿童身心发展，尊重儿童个性，培养和形成正确的儿童观，热爱儿童、关心儿童的品质；培养和形成具体问题具体分析的工作作风。</w:t>
            </w:r>
          </w:p>
        </w:tc>
      </w:tr>
      <w:tr w14:paraId="0065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59099C5">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 xml:space="preserve"> </w:t>
            </w:r>
            <w:r>
              <w:rPr>
                <w:rFonts w:hint="eastAsia" w:ascii="宋体" w:hAnsi="宋体" w:eastAsia="宋体" w:cs="Times New Roman"/>
                <w:szCs w:val="21"/>
              </w:rPr>
              <w:t>教育实验研究</w:t>
            </w:r>
          </w:p>
        </w:tc>
        <w:tc>
          <w:tcPr>
            <w:tcW w:w="1701" w:type="dxa"/>
            <w:vAlign w:val="center"/>
          </w:tcPr>
          <w:p w14:paraId="3A405DB7">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1）教育实验</w:t>
            </w:r>
            <w:r>
              <w:rPr>
                <w:rFonts w:hint="eastAsia" w:ascii="宋体" w:hAnsi="宋体" w:eastAsia="宋体" w:cs="Times New Roman"/>
                <w:szCs w:val="21"/>
              </w:rPr>
              <w:t>的概念、特征</w:t>
            </w:r>
          </w:p>
          <w:p w14:paraId="2E41803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2）教育实验选题与实验假设</w:t>
            </w:r>
          </w:p>
          <w:p w14:paraId="1C8B94F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3）教育实验的变量选择、测量和控制</w:t>
            </w:r>
          </w:p>
          <w:p w14:paraId="39E7193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4）教育实验的类型和设计</w:t>
            </w:r>
          </w:p>
          <w:p w14:paraId="737D2C7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5）教育实验的评价</w:t>
            </w:r>
          </w:p>
        </w:tc>
        <w:tc>
          <w:tcPr>
            <w:tcW w:w="1134" w:type="dxa"/>
            <w:vAlign w:val="center"/>
          </w:tcPr>
          <w:p w14:paraId="7A159442">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00DD0C1C">
            <w:pPr>
              <w:jc w:val="lef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1）明确教育实验研究的涵义及其基本概念，理解教育实验的特征、功能和局限性；</w:t>
            </w:r>
          </w:p>
          <w:p w14:paraId="02D9895B">
            <w:pPr>
              <w:jc w:val="left"/>
              <w:rPr>
                <w:rFonts w:hint="eastAsia" w:ascii="宋体" w:hAnsi="宋体" w:eastAsia="宋体" w:cs="Times New Roman"/>
                <w:szCs w:val="21"/>
              </w:rPr>
            </w:pPr>
            <w:r>
              <w:rPr>
                <w:rFonts w:ascii="宋体" w:hAnsi="宋体" w:eastAsia="宋体" w:cs="Times New Roman"/>
                <w:szCs w:val="21"/>
              </w:rPr>
              <w:t>（2）了解教育实验的步骤；了解常见的无关变量及其控制办法；</w:t>
            </w:r>
          </w:p>
          <w:p w14:paraId="1E46456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3）学会识别常用的实验设计类型；</w:t>
            </w:r>
          </w:p>
          <w:p w14:paraId="02E4CAA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4）学会从实验设计的角度评价实验效度。</w:t>
            </w:r>
          </w:p>
        </w:tc>
        <w:tc>
          <w:tcPr>
            <w:tcW w:w="1276" w:type="dxa"/>
            <w:vAlign w:val="center"/>
          </w:tcPr>
          <w:p w14:paraId="34393955">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71BDA4F1">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268DAF20">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174E7DD6">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6E513252">
            <w:pPr>
              <w:spacing w:line="276"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21492270">
            <w:pPr>
              <w:spacing w:line="276" w:lineRule="auto"/>
              <w:jc w:val="center"/>
              <w:rPr>
                <w:rFonts w:hint="eastAsia" w:ascii="宋体" w:hAnsi="宋体" w:eastAsia="宋体" w:cs="Times New Roman"/>
                <w:szCs w:val="21"/>
              </w:rPr>
            </w:pPr>
            <w:r>
              <w:rPr>
                <w:rFonts w:ascii="宋体" w:hAnsi="宋体" w:eastAsia="宋体" w:cs="Times New Roman"/>
                <w:szCs w:val="21"/>
              </w:rPr>
              <w:t>3</w:t>
            </w:r>
          </w:p>
        </w:tc>
      </w:tr>
      <w:tr w14:paraId="265A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D071E2">
            <w:pPr>
              <w:spacing w:line="276" w:lineRule="auto"/>
              <w:jc w:val="center"/>
              <w:rPr>
                <w:rFonts w:hint="eastAsia" w:ascii="宋体" w:hAnsi="宋体" w:eastAsia="宋体" w:cs="Times New Roman"/>
                <w:szCs w:val="21"/>
              </w:rPr>
            </w:pPr>
          </w:p>
        </w:tc>
        <w:tc>
          <w:tcPr>
            <w:tcW w:w="8093" w:type="dxa"/>
            <w:gridSpan w:val="5"/>
            <w:vAlign w:val="center"/>
          </w:tcPr>
          <w:p w14:paraId="38F672F0">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尊重事物发展的内在规律，准确把握事物的主要矛盾和次要矛盾；尊重儿童身心发展规律，关注教育研究的伦理特点，形成正确的科研观和业绩观。</w:t>
            </w:r>
          </w:p>
        </w:tc>
      </w:tr>
      <w:tr w14:paraId="6B99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A224597">
            <w:pPr>
              <w:spacing w:line="276" w:lineRule="auto"/>
              <w:jc w:val="center"/>
              <w:rPr>
                <w:rFonts w:hint="eastAsia" w:ascii="宋体" w:hAnsi="宋体" w:eastAsia="宋体" w:cs="Times New Roman"/>
                <w:szCs w:val="21"/>
              </w:rPr>
            </w:pPr>
            <w:r>
              <w:rPr>
                <w:rFonts w:hint="eastAsia" w:ascii="宋体" w:hAnsi="宋体" w:eastAsia="宋体" w:cs="Times New Roman"/>
                <w:szCs w:val="21"/>
              </w:rPr>
              <w:t>7. 教育叙事研究</w:t>
            </w:r>
          </w:p>
        </w:tc>
        <w:tc>
          <w:tcPr>
            <w:tcW w:w="1701" w:type="dxa"/>
            <w:vAlign w:val="center"/>
          </w:tcPr>
          <w:p w14:paraId="4235ABC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1）教育叙事研究</w:t>
            </w:r>
            <w:r>
              <w:rPr>
                <w:rFonts w:hint="eastAsia" w:ascii="宋体" w:hAnsi="宋体" w:eastAsia="宋体" w:cs="Times New Roman"/>
                <w:szCs w:val="21"/>
              </w:rPr>
              <w:t>的内涵特征</w:t>
            </w:r>
          </w:p>
          <w:p w14:paraId="1A87847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2）教育叙事研究的操作策略</w:t>
            </w:r>
          </w:p>
          <w:p w14:paraId="4BB7185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3）教育叙事研究的基本要求</w:t>
            </w:r>
          </w:p>
        </w:tc>
        <w:tc>
          <w:tcPr>
            <w:tcW w:w="1134" w:type="dxa"/>
            <w:vAlign w:val="center"/>
          </w:tcPr>
          <w:p w14:paraId="16E0A452">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326" w:type="dxa"/>
            <w:vAlign w:val="center"/>
          </w:tcPr>
          <w:p w14:paraId="0590510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1）了解教育叙事研究的特征；</w:t>
            </w:r>
          </w:p>
          <w:p w14:paraId="0195FE2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2）掌握教育叙事研究的关键步骤及操作策略；</w:t>
            </w:r>
          </w:p>
          <w:p w14:paraId="4CB355D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3）掌握教育叙事研究的“深度描写”的基本要求；</w:t>
            </w:r>
          </w:p>
          <w:p w14:paraId="290F382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4）初步掌握教育叙事研究方案的设计。</w:t>
            </w:r>
          </w:p>
        </w:tc>
        <w:tc>
          <w:tcPr>
            <w:tcW w:w="1276" w:type="dxa"/>
            <w:vAlign w:val="center"/>
          </w:tcPr>
          <w:p w14:paraId="086578C2">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B14FF03">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42A9ADA6">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40F599C7">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14E9FE1F">
            <w:pPr>
              <w:spacing w:line="276"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6B23B63C">
            <w:pPr>
              <w:spacing w:line="276" w:lineRule="auto"/>
              <w:jc w:val="center"/>
              <w:rPr>
                <w:rFonts w:hint="eastAsia" w:ascii="宋体" w:hAnsi="宋体" w:eastAsia="宋体" w:cs="Times New Roman"/>
                <w:szCs w:val="21"/>
              </w:rPr>
            </w:pPr>
            <w:r>
              <w:rPr>
                <w:rFonts w:ascii="宋体" w:hAnsi="宋体" w:eastAsia="宋体" w:cs="Times New Roman"/>
                <w:szCs w:val="21"/>
              </w:rPr>
              <w:t>2</w:t>
            </w:r>
          </w:p>
        </w:tc>
      </w:tr>
      <w:tr w14:paraId="2ECA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07A2770">
            <w:pPr>
              <w:spacing w:line="276" w:lineRule="auto"/>
              <w:jc w:val="center"/>
              <w:rPr>
                <w:rFonts w:hint="eastAsia" w:ascii="宋体" w:hAnsi="宋体" w:eastAsia="宋体" w:cs="Times New Roman"/>
                <w:szCs w:val="21"/>
              </w:rPr>
            </w:pPr>
          </w:p>
        </w:tc>
        <w:tc>
          <w:tcPr>
            <w:tcW w:w="8093" w:type="dxa"/>
            <w:gridSpan w:val="5"/>
            <w:vAlign w:val="center"/>
          </w:tcPr>
          <w:p w14:paraId="4F83949E">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培养和形成深厚的教育情怀，走进儿童心灵，关心、关爱儿童；养成脚踏实地、实事求是的学习风气和研究态度。</w:t>
            </w:r>
          </w:p>
        </w:tc>
      </w:tr>
      <w:tr w14:paraId="570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454384">
            <w:pPr>
              <w:spacing w:line="264" w:lineRule="auto"/>
              <w:jc w:val="center"/>
              <w:rPr>
                <w:rFonts w:hint="eastAsia" w:ascii="宋体" w:hAnsi="宋体" w:eastAsia="宋体" w:cs="Times New Roman"/>
                <w:szCs w:val="21"/>
              </w:rPr>
            </w:pPr>
            <w:r>
              <w:rPr>
                <w:rFonts w:hint="eastAsia" w:ascii="宋体" w:hAnsi="宋体" w:eastAsia="宋体" w:cs="Times New Roman"/>
                <w:szCs w:val="21"/>
              </w:rPr>
              <w:t>8. 教育行动研究</w:t>
            </w:r>
          </w:p>
        </w:tc>
        <w:tc>
          <w:tcPr>
            <w:tcW w:w="1701" w:type="dxa"/>
            <w:vAlign w:val="center"/>
          </w:tcPr>
          <w:p w14:paraId="76283A2F">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1）教育行动研究</w:t>
            </w:r>
            <w:r>
              <w:rPr>
                <w:rFonts w:hint="eastAsia" w:ascii="宋体" w:hAnsi="宋体" w:eastAsia="宋体" w:cs="Times New Roman"/>
                <w:szCs w:val="21"/>
              </w:rPr>
              <w:t>的特征</w:t>
            </w:r>
          </w:p>
          <w:p w14:paraId="7864893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2）教育行动研究的步骤</w:t>
            </w:r>
          </w:p>
          <w:p w14:paraId="55608B7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3）教育行动研究的基本要求</w:t>
            </w:r>
          </w:p>
        </w:tc>
        <w:tc>
          <w:tcPr>
            <w:tcW w:w="1134" w:type="dxa"/>
            <w:vAlign w:val="center"/>
          </w:tcPr>
          <w:p w14:paraId="6115650E">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3326" w:type="dxa"/>
            <w:vAlign w:val="center"/>
          </w:tcPr>
          <w:p w14:paraId="7F1BF3B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1）了解教育行动研究的特征和意义；</w:t>
            </w:r>
          </w:p>
          <w:p w14:paraId="45E221C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2）掌握教育行动研究的基本步骤；</w:t>
            </w:r>
          </w:p>
          <w:p w14:paraId="3B1EE72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3）学会教育行动研究方案设计。</w:t>
            </w:r>
          </w:p>
        </w:tc>
        <w:tc>
          <w:tcPr>
            <w:tcW w:w="1276" w:type="dxa"/>
            <w:vAlign w:val="center"/>
          </w:tcPr>
          <w:p w14:paraId="0AA3AE67">
            <w:pPr>
              <w:spacing w:line="264"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62946523">
            <w:pPr>
              <w:spacing w:line="264"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693C330E">
            <w:pPr>
              <w:spacing w:line="264"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2A53D81F">
            <w:pPr>
              <w:spacing w:line="264"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24C2A32B">
            <w:pPr>
              <w:spacing w:line="264"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39174D91">
            <w:pPr>
              <w:spacing w:line="264" w:lineRule="auto"/>
              <w:jc w:val="center"/>
              <w:rPr>
                <w:rFonts w:hint="eastAsia" w:ascii="宋体" w:hAnsi="宋体" w:eastAsia="宋体" w:cs="Times New Roman"/>
                <w:szCs w:val="21"/>
              </w:rPr>
            </w:pPr>
            <w:r>
              <w:rPr>
                <w:rFonts w:ascii="宋体" w:hAnsi="宋体" w:eastAsia="宋体" w:cs="Times New Roman"/>
                <w:szCs w:val="21"/>
              </w:rPr>
              <w:t>2</w:t>
            </w:r>
          </w:p>
        </w:tc>
      </w:tr>
      <w:tr w14:paraId="7EA1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1962543">
            <w:pPr>
              <w:spacing w:line="264" w:lineRule="auto"/>
              <w:jc w:val="center"/>
              <w:rPr>
                <w:rFonts w:hint="eastAsia" w:ascii="宋体" w:hAnsi="宋体" w:eastAsia="宋体" w:cs="Times New Roman"/>
                <w:szCs w:val="21"/>
              </w:rPr>
            </w:pPr>
          </w:p>
        </w:tc>
        <w:tc>
          <w:tcPr>
            <w:tcW w:w="8093" w:type="dxa"/>
            <w:gridSpan w:val="5"/>
            <w:vAlign w:val="center"/>
          </w:tcPr>
          <w:p w14:paraId="37645B68">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尊重教育发展规律和儿童身心发展规律，形成务实的研究作风；培养和形成协调合作能力和创新实践能力。</w:t>
            </w:r>
          </w:p>
        </w:tc>
      </w:tr>
      <w:tr w14:paraId="4D39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A075A36">
            <w:pPr>
              <w:spacing w:line="264" w:lineRule="auto"/>
              <w:jc w:val="center"/>
              <w:rPr>
                <w:rFonts w:hint="eastAsia" w:ascii="宋体" w:hAnsi="宋体" w:eastAsia="宋体" w:cs="Times New Roman"/>
                <w:szCs w:val="21"/>
              </w:rPr>
            </w:pPr>
            <w:r>
              <w:rPr>
                <w:rFonts w:hint="eastAsia" w:ascii="宋体" w:hAnsi="宋体" w:eastAsia="宋体" w:cs="Times New Roman"/>
                <w:szCs w:val="21"/>
              </w:rPr>
              <w:t>9. 教育研究成果表述</w:t>
            </w:r>
          </w:p>
        </w:tc>
        <w:tc>
          <w:tcPr>
            <w:tcW w:w="1701" w:type="dxa"/>
            <w:vAlign w:val="center"/>
          </w:tcPr>
          <w:p w14:paraId="6025BE30">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1）教育研究成果表述的目的</w:t>
            </w:r>
          </w:p>
          <w:p w14:paraId="5EF449A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2）教育研究成果的主要类型</w:t>
            </w:r>
          </w:p>
          <w:p w14:paraId="6D35849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3）教育研究成果的撰写</w:t>
            </w:r>
          </w:p>
          <w:p w14:paraId="296BC54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4）教育研究成果表述规范</w:t>
            </w:r>
          </w:p>
        </w:tc>
        <w:tc>
          <w:tcPr>
            <w:tcW w:w="1134" w:type="dxa"/>
            <w:vAlign w:val="center"/>
          </w:tcPr>
          <w:p w14:paraId="3121F187">
            <w:pPr>
              <w:jc w:val="center"/>
              <w:rPr>
                <w:rFonts w:hint="eastAsia" w:ascii="宋体" w:hAnsi="宋体" w:eastAsia="宋体" w:cs="Times New Roman"/>
                <w:szCs w:val="21"/>
              </w:rPr>
            </w:pPr>
            <w:r>
              <w:rPr>
                <w:rFonts w:hint="eastAsia" w:ascii="宋体" w:hAnsi="宋体" w:eastAsia="宋体" w:cs="Times New Roman"/>
                <w:szCs w:val="21"/>
              </w:rPr>
              <w:t>课程目标4</w:t>
            </w:r>
            <w:r>
              <w:rPr>
                <w:rFonts w:ascii="宋体" w:hAnsi="宋体" w:eastAsia="宋体" w:cs="Times New Roman"/>
                <w:szCs w:val="21"/>
              </w:rPr>
              <w:t xml:space="preserve"> </w:t>
            </w:r>
          </w:p>
        </w:tc>
        <w:tc>
          <w:tcPr>
            <w:tcW w:w="3326" w:type="dxa"/>
            <w:vAlign w:val="center"/>
          </w:tcPr>
          <w:p w14:paraId="4773A6F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1）了解教育研究成果表述的目的；</w:t>
            </w:r>
          </w:p>
          <w:p w14:paraId="107AE73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2）掌握教育经验总结、教育调查报告、实验报告及学术论文（毕业论文）的基本结构；</w:t>
            </w:r>
          </w:p>
          <w:p w14:paraId="34D9525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3）掌握研究撰写的通行规范；</w:t>
            </w:r>
          </w:p>
          <w:p w14:paraId="00A9777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4）初步掌握研究报告及毕业论文的撰写方法。</w:t>
            </w:r>
          </w:p>
        </w:tc>
        <w:tc>
          <w:tcPr>
            <w:tcW w:w="1276" w:type="dxa"/>
            <w:vAlign w:val="center"/>
          </w:tcPr>
          <w:p w14:paraId="5DC3F75C">
            <w:pPr>
              <w:spacing w:line="264"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103B7AFB">
            <w:pPr>
              <w:spacing w:line="264"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46F6403D">
            <w:pPr>
              <w:spacing w:line="264"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4C0E1759">
            <w:pPr>
              <w:spacing w:line="264"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556CE7E1">
            <w:pPr>
              <w:spacing w:line="264"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3E4389FF">
            <w:pPr>
              <w:spacing w:line="264" w:lineRule="auto"/>
              <w:jc w:val="center"/>
              <w:rPr>
                <w:rFonts w:hint="eastAsia" w:ascii="宋体" w:hAnsi="宋体" w:eastAsia="宋体" w:cs="Times New Roman"/>
                <w:szCs w:val="21"/>
              </w:rPr>
            </w:pPr>
            <w:r>
              <w:rPr>
                <w:rFonts w:ascii="宋体" w:hAnsi="宋体" w:eastAsia="宋体" w:cs="Times New Roman"/>
                <w:szCs w:val="21"/>
              </w:rPr>
              <w:t>3</w:t>
            </w:r>
          </w:p>
        </w:tc>
      </w:tr>
      <w:tr w14:paraId="0E80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870F65">
            <w:pPr>
              <w:spacing w:line="264" w:lineRule="auto"/>
              <w:jc w:val="center"/>
              <w:rPr>
                <w:rFonts w:hint="eastAsia" w:ascii="宋体" w:hAnsi="宋体" w:eastAsia="宋体" w:cs="Times New Roman"/>
                <w:szCs w:val="21"/>
              </w:rPr>
            </w:pPr>
          </w:p>
        </w:tc>
        <w:tc>
          <w:tcPr>
            <w:tcW w:w="8093" w:type="dxa"/>
            <w:gridSpan w:val="5"/>
            <w:vAlign w:val="center"/>
          </w:tcPr>
          <w:p w14:paraId="367971A0">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正确处理整体和部分的关系，准确把握主要矛盾和次要矛盾；践行社会主义核心价值观，坚持“四个自信”；虚心学习，实事求是，培养和形成朴素的文风；学会创新，树立远大理想。</w:t>
            </w:r>
          </w:p>
        </w:tc>
      </w:tr>
    </w:tbl>
    <w:p w14:paraId="7732EF1F">
      <w:pPr>
        <w:spacing w:line="360" w:lineRule="auto"/>
        <w:jc w:val="left"/>
        <w:rPr>
          <w:rFonts w:ascii="Times New Roman" w:hAnsi="Times New Roman" w:eastAsia="宋体" w:cs="Times New Roman"/>
          <w:sz w:val="24"/>
          <w:szCs w:val="24"/>
        </w:rPr>
      </w:pPr>
    </w:p>
    <w:p w14:paraId="069D45B3">
      <w:pPr>
        <w:spacing w:line="360" w:lineRule="auto"/>
        <w:jc w:val="left"/>
        <w:rPr>
          <w:rFonts w:ascii="Times New Roman" w:hAnsi="Times New Roman" w:eastAsia="宋体" w:cs="Times New Roman"/>
          <w:sz w:val="28"/>
          <w:szCs w:val="28"/>
        </w:rPr>
      </w:pPr>
      <w:r>
        <w:rPr>
          <w:rFonts w:hint="eastAsia" w:ascii="宋体" w:hAnsi="宋体" w:eastAsia="宋体" w:cs="Times New Roman"/>
          <w:b/>
          <w:sz w:val="28"/>
          <w:szCs w:val="28"/>
        </w:rPr>
        <w:t>四、目标评价与成绩评定</w:t>
      </w:r>
    </w:p>
    <w:p w14:paraId="4DDDA9D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A9E08EA">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ascii="Times New Roman" w:hAnsi="Times New Roman" w:eastAsia="宋体" w:cs="Times New Roman"/>
          <w:b/>
          <w:bCs/>
          <w:sz w:val="24"/>
          <w:szCs w:val="24"/>
        </w:rPr>
        <w:t xml:space="preserve">  课程教学评价设计总表</w:t>
      </w:r>
      <w:r>
        <w:rPr>
          <w:rFonts w:hint="eastAsia" w:ascii="Times New Roman" w:hAnsi="Times New Roman" w:eastAsia="宋体" w:cs="Times New Roman"/>
          <w:b/>
          <w:bCs/>
          <w:sz w:val="24"/>
          <w:szCs w:val="24"/>
        </w:rPr>
        <w:t xml:space="preserve"> </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14"/>
        <w:gridCol w:w="701"/>
        <w:gridCol w:w="709"/>
        <w:gridCol w:w="708"/>
        <w:gridCol w:w="713"/>
        <w:gridCol w:w="711"/>
        <w:gridCol w:w="852"/>
        <w:gridCol w:w="993"/>
        <w:gridCol w:w="992"/>
      </w:tblGrid>
      <w:tr w14:paraId="0364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4" w:type="dxa"/>
            <w:vMerge w:val="restart"/>
            <w:vAlign w:val="center"/>
          </w:tcPr>
          <w:p w14:paraId="36462F7D">
            <w:pPr>
              <w:jc w:val="left"/>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c>
          <w:tcPr>
            <w:tcW w:w="6101" w:type="dxa"/>
            <w:gridSpan w:val="8"/>
            <w:vAlign w:val="center"/>
          </w:tcPr>
          <w:p w14:paraId="6A0049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评价与成绩评定方法</w:t>
            </w:r>
          </w:p>
        </w:tc>
        <w:tc>
          <w:tcPr>
            <w:tcW w:w="992" w:type="dxa"/>
            <w:vMerge w:val="restart"/>
            <w:vAlign w:val="center"/>
          </w:tcPr>
          <w:p w14:paraId="2B21535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分值</w:t>
            </w:r>
          </w:p>
        </w:tc>
      </w:tr>
      <w:tr w14:paraId="04D1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24" w:type="dxa"/>
            <w:vMerge w:val="continue"/>
            <w:vAlign w:val="center"/>
          </w:tcPr>
          <w:p w14:paraId="4920F136">
            <w:pPr>
              <w:jc w:val="left"/>
              <w:rPr>
                <w:rFonts w:ascii="Times New Roman" w:hAnsi="Times New Roman" w:eastAsia="宋体" w:cs="Times New Roman"/>
                <w:b/>
                <w:bCs/>
                <w:szCs w:val="21"/>
              </w:rPr>
            </w:pPr>
          </w:p>
        </w:tc>
        <w:tc>
          <w:tcPr>
            <w:tcW w:w="3545" w:type="dxa"/>
            <w:gridSpan w:val="5"/>
            <w:vAlign w:val="center"/>
          </w:tcPr>
          <w:p w14:paraId="5C40864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过程性评价</w:t>
            </w:r>
          </w:p>
        </w:tc>
        <w:tc>
          <w:tcPr>
            <w:tcW w:w="2556" w:type="dxa"/>
            <w:gridSpan w:val="3"/>
            <w:vAlign w:val="center"/>
          </w:tcPr>
          <w:p w14:paraId="2BF431B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992" w:type="dxa"/>
            <w:vMerge w:val="continue"/>
            <w:vAlign w:val="center"/>
          </w:tcPr>
          <w:p w14:paraId="7BB6CD8D">
            <w:pPr>
              <w:jc w:val="center"/>
              <w:rPr>
                <w:rFonts w:ascii="Times New Roman" w:hAnsi="Times New Roman" w:eastAsia="宋体" w:cs="Times New Roman"/>
                <w:b/>
                <w:bCs/>
                <w:szCs w:val="21"/>
              </w:rPr>
            </w:pPr>
          </w:p>
        </w:tc>
      </w:tr>
      <w:tr w14:paraId="1A60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7A725369">
            <w:pPr>
              <w:spacing w:line="360" w:lineRule="auto"/>
              <w:jc w:val="left"/>
              <w:rPr>
                <w:rFonts w:ascii="Times New Roman" w:hAnsi="Times New Roman" w:eastAsia="宋体" w:cs="Times New Roman"/>
                <w:szCs w:val="21"/>
              </w:rPr>
            </w:pPr>
          </w:p>
        </w:tc>
        <w:tc>
          <w:tcPr>
            <w:tcW w:w="714" w:type="dxa"/>
            <w:vAlign w:val="center"/>
          </w:tcPr>
          <w:p w14:paraId="0EEE1C35">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课堂</w:t>
            </w:r>
          </w:p>
          <w:p w14:paraId="6596AFFD">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表现</w:t>
            </w:r>
          </w:p>
        </w:tc>
        <w:tc>
          <w:tcPr>
            <w:tcW w:w="701" w:type="dxa"/>
            <w:vAlign w:val="center"/>
          </w:tcPr>
          <w:p w14:paraId="5911A707">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平时</w:t>
            </w:r>
          </w:p>
          <w:p w14:paraId="7658F8A3">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作业</w:t>
            </w:r>
          </w:p>
        </w:tc>
        <w:tc>
          <w:tcPr>
            <w:tcW w:w="709" w:type="dxa"/>
            <w:vAlign w:val="center"/>
          </w:tcPr>
          <w:p w14:paraId="5AC7F199">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自主</w:t>
            </w:r>
          </w:p>
          <w:p w14:paraId="39868648">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学习</w:t>
            </w:r>
          </w:p>
        </w:tc>
        <w:tc>
          <w:tcPr>
            <w:tcW w:w="708" w:type="dxa"/>
            <w:vAlign w:val="center"/>
          </w:tcPr>
          <w:p w14:paraId="6E5576C9">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合作</w:t>
            </w:r>
          </w:p>
          <w:p w14:paraId="16C5C612">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学习</w:t>
            </w:r>
          </w:p>
        </w:tc>
        <w:tc>
          <w:tcPr>
            <w:tcW w:w="713" w:type="dxa"/>
            <w:vAlign w:val="center"/>
          </w:tcPr>
          <w:p w14:paraId="34153953">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汇报展示</w:t>
            </w:r>
          </w:p>
        </w:tc>
        <w:tc>
          <w:tcPr>
            <w:tcW w:w="711" w:type="dxa"/>
            <w:vAlign w:val="center"/>
          </w:tcPr>
          <w:p w14:paraId="422FFC8F">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文献</w:t>
            </w:r>
          </w:p>
          <w:p w14:paraId="72FA5C7A">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综述</w:t>
            </w:r>
          </w:p>
        </w:tc>
        <w:tc>
          <w:tcPr>
            <w:tcW w:w="852" w:type="dxa"/>
          </w:tcPr>
          <w:p w14:paraId="7F2C62AD">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研究方法设计</w:t>
            </w:r>
          </w:p>
        </w:tc>
        <w:tc>
          <w:tcPr>
            <w:tcW w:w="993" w:type="dxa"/>
          </w:tcPr>
          <w:p w14:paraId="2324E5F6">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研究方</w:t>
            </w:r>
          </w:p>
          <w:p w14:paraId="330B7977">
            <w:pPr>
              <w:adjustRightInd w:val="0"/>
              <w:spacing w:line="240" w:lineRule="exact"/>
              <w:jc w:val="center"/>
              <w:rPr>
                <w:rFonts w:hint="eastAsia" w:ascii="仿宋" w:hAnsi="仿宋" w:eastAsia="仿宋" w:cs="Times New Roman"/>
                <w:szCs w:val="21"/>
              </w:rPr>
            </w:pPr>
            <w:r>
              <w:rPr>
                <w:rFonts w:hint="eastAsia" w:ascii="仿宋" w:hAnsi="仿宋" w:eastAsia="仿宋" w:cs="Times New Roman"/>
                <w:szCs w:val="21"/>
              </w:rPr>
              <w:t>案设计</w:t>
            </w:r>
          </w:p>
        </w:tc>
        <w:tc>
          <w:tcPr>
            <w:tcW w:w="992" w:type="dxa"/>
            <w:vMerge w:val="continue"/>
            <w:vAlign w:val="center"/>
          </w:tcPr>
          <w:p w14:paraId="0C86900C">
            <w:pPr>
              <w:spacing w:line="360" w:lineRule="auto"/>
              <w:jc w:val="left"/>
              <w:rPr>
                <w:rFonts w:ascii="Times New Roman" w:hAnsi="Times New Roman" w:eastAsia="宋体" w:cs="Times New Roman"/>
                <w:szCs w:val="21"/>
              </w:rPr>
            </w:pPr>
          </w:p>
        </w:tc>
      </w:tr>
      <w:tr w14:paraId="5553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4" w:type="dxa"/>
            <w:vAlign w:val="center"/>
          </w:tcPr>
          <w:p w14:paraId="68AA8533">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课程目标1</w:t>
            </w:r>
          </w:p>
        </w:tc>
        <w:tc>
          <w:tcPr>
            <w:tcW w:w="714" w:type="dxa"/>
            <w:vAlign w:val="center"/>
          </w:tcPr>
          <w:p w14:paraId="04BA558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1595D4CC">
            <w:pPr>
              <w:spacing w:line="320" w:lineRule="exact"/>
              <w:ind w:firstLine="210" w:firstLineChars="100"/>
              <w:contextualSpacing/>
              <w:jc w:val="center"/>
              <w:rPr>
                <w:rFonts w:ascii="Times New Roman" w:hAnsi="Times New Roman" w:eastAsia="宋体" w:cs="Times New Roman"/>
                <w:szCs w:val="21"/>
              </w:rPr>
            </w:pPr>
          </w:p>
        </w:tc>
        <w:tc>
          <w:tcPr>
            <w:tcW w:w="709" w:type="dxa"/>
            <w:vAlign w:val="center"/>
          </w:tcPr>
          <w:p w14:paraId="4A9A37F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0E93B185">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16CCED5C">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1" w:type="dxa"/>
            <w:vAlign w:val="center"/>
          </w:tcPr>
          <w:p w14:paraId="15CE0429">
            <w:pPr>
              <w:spacing w:line="320" w:lineRule="exact"/>
              <w:contextualSpacing/>
              <w:jc w:val="center"/>
              <w:rPr>
                <w:rFonts w:ascii="Times New Roman" w:hAnsi="Times New Roman" w:eastAsia="宋体" w:cs="Times New Roman"/>
                <w:szCs w:val="21"/>
              </w:rPr>
            </w:pPr>
          </w:p>
        </w:tc>
        <w:tc>
          <w:tcPr>
            <w:tcW w:w="852" w:type="dxa"/>
          </w:tcPr>
          <w:p w14:paraId="7787936C">
            <w:pPr>
              <w:jc w:val="center"/>
              <w:rPr>
                <w:rFonts w:hint="eastAsia"/>
              </w:rPr>
            </w:pPr>
            <w:r>
              <w:rPr>
                <w:rFonts w:hint="eastAsia" w:ascii="宋体" w:hAnsi="宋体" w:eastAsia="宋体" w:cs="Times New Roman"/>
                <w:szCs w:val="21"/>
              </w:rPr>
              <w:t>√</w:t>
            </w:r>
          </w:p>
        </w:tc>
        <w:tc>
          <w:tcPr>
            <w:tcW w:w="993" w:type="dxa"/>
          </w:tcPr>
          <w:p w14:paraId="16CE74E4">
            <w:pPr>
              <w:spacing w:line="320" w:lineRule="exact"/>
              <w:ind w:firstLine="210" w:firstLineChars="100"/>
              <w:contextualSpacing/>
              <w:jc w:val="center"/>
              <w:rPr>
                <w:rFonts w:ascii="Times New Roman" w:hAnsi="Times New Roman" w:eastAsia="宋体" w:cs="Times New Roman"/>
                <w:szCs w:val="21"/>
              </w:rPr>
            </w:pPr>
          </w:p>
        </w:tc>
        <w:tc>
          <w:tcPr>
            <w:tcW w:w="992" w:type="dxa"/>
            <w:vAlign w:val="center"/>
          </w:tcPr>
          <w:p w14:paraId="4D61B844">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562E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14EC2EA0">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课程目标2</w:t>
            </w:r>
          </w:p>
        </w:tc>
        <w:tc>
          <w:tcPr>
            <w:tcW w:w="714" w:type="dxa"/>
            <w:vAlign w:val="center"/>
          </w:tcPr>
          <w:p w14:paraId="6CFD77B8">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51BC5A3B">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35ACA925">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0AFC8260">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0CC2BA5C">
            <w:pPr>
              <w:spacing w:line="320" w:lineRule="exact"/>
              <w:contextualSpacing/>
              <w:jc w:val="center"/>
              <w:rPr>
                <w:rFonts w:ascii="Times New Roman" w:hAnsi="Times New Roman" w:eastAsia="宋体" w:cs="Times New Roman"/>
                <w:szCs w:val="21"/>
              </w:rPr>
            </w:pPr>
          </w:p>
        </w:tc>
        <w:tc>
          <w:tcPr>
            <w:tcW w:w="711" w:type="dxa"/>
            <w:vAlign w:val="center"/>
          </w:tcPr>
          <w:p w14:paraId="26ECC1B5">
            <w:pPr>
              <w:jc w:val="center"/>
              <w:rPr>
                <w:rFonts w:hint="eastAsia"/>
              </w:rPr>
            </w:pPr>
            <w:r>
              <w:rPr>
                <w:rFonts w:hint="eastAsia" w:ascii="宋体" w:hAnsi="宋体" w:eastAsia="宋体" w:cs="Times New Roman"/>
                <w:szCs w:val="21"/>
              </w:rPr>
              <w:t>√</w:t>
            </w:r>
          </w:p>
        </w:tc>
        <w:tc>
          <w:tcPr>
            <w:tcW w:w="852" w:type="dxa"/>
          </w:tcPr>
          <w:p w14:paraId="4FDA261B">
            <w:pPr>
              <w:spacing w:line="320" w:lineRule="exact"/>
              <w:contextualSpacing/>
              <w:jc w:val="center"/>
              <w:rPr>
                <w:rFonts w:ascii="Times New Roman" w:hAnsi="Times New Roman" w:eastAsia="宋体" w:cs="Times New Roman"/>
                <w:szCs w:val="21"/>
              </w:rPr>
            </w:pPr>
          </w:p>
        </w:tc>
        <w:tc>
          <w:tcPr>
            <w:tcW w:w="993" w:type="dxa"/>
          </w:tcPr>
          <w:p w14:paraId="65C4999F">
            <w:pPr>
              <w:jc w:val="center"/>
              <w:rPr>
                <w:rFonts w:hint="eastAsia"/>
              </w:rPr>
            </w:pPr>
            <w:r>
              <w:rPr>
                <w:rFonts w:hint="eastAsia" w:ascii="宋体" w:hAnsi="宋体" w:eastAsia="宋体" w:cs="Times New Roman"/>
                <w:szCs w:val="21"/>
              </w:rPr>
              <w:t>√</w:t>
            </w:r>
          </w:p>
        </w:tc>
        <w:tc>
          <w:tcPr>
            <w:tcW w:w="992" w:type="dxa"/>
            <w:vAlign w:val="center"/>
          </w:tcPr>
          <w:p w14:paraId="0EEDC55D">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25</w:t>
            </w:r>
          </w:p>
        </w:tc>
      </w:tr>
      <w:tr w14:paraId="48E5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14E07B26">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课程目标3</w:t>
            </w:r>
          </w:p>
        </w:tc>
        <w:tc>
          <w:tcPr>
            <w:tcW w:w="714" w:type="dxa"/>
            <w:vAlign w:val="center"/>
          </w:tcPr>
          <w:p w14:paraId="21EDFE62">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43A245D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01DFA83A">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6DEBCF04">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13" w:type="dxa"/>
            <w:vAlign w:val="center"/>
          </w:tcPr>
          <w:p w14:paraId="627E1263">
            <w:pPr>
              <w:jc w:val="center"/>
              <w:rPr>
                <w:rFonts w:hint="eastAsia"/>
              </w:rPr>
            </w:pPr>
            <w:r>
              <w:rPr>
                <w:rFonts w:hint="eastAsia" w:ascii="宋体" w:hAnsi="宋体" w:eastAsia="宋体" w:cs="Times New Roman"/>
                <w:szCs w:val="21"/>
              </w:rPr>
              <w:t>√</w:t>
            </w:r>
          </w:p>
        </w:tc>
        <w:tc>
          <w:tcPr>
            <w:tcW w:w="711" w:type="dxa"/>
            <w:vAlign w:val="center"/>
          </w:tcPr>
          <w:p w14:paraId="6B191FF6">
            <w:pPr>
              <w:spacing w:line="320" w:lineRule="exact"/>
              <w:contextualSpacing/>
              <w:jc w:val="center"/>
              <w:rPr>
                <w:rFonts w:ascii="Times New Roman" w:hAnsi="Times New Roman" w:eastAsia="宋体" w:cs="Times New Roman"/>
                <w:szCs w:val="21"/>
              </w:rPr>
            </w:pPr>
          </w:p>
        </w:tc>
        <w:tc>
          <w:tcPr>
            <w:tcW w:w="852" w:type="dxa"/>
          </w:tcPr>
          <w:p w14:paraId="32A6F275">
            <w:pPr>
              <w:jc w:val="center"/>
              <w:rPr>
                <w:rFonts w:hint="eastAsia"/>
              </w:rPr>
            </w:pPr>
            <w:r>
              <w:rPr>
                <w:rFonts w:hint="eastAsia" w:ascii="宋体" w:hAnsi="宋体" w:eastAsia="宋体" w:cs="Times New Roman"/>
                <w:szCs w:val="21"/>
              </w:rPr>
              <w:t>√</w:t>
            </w:r>
          </w:p>
        </w:tc>
        <w:tc>
          <w:tcPr>
            <w:tcW w:w="993" w:type="dxa"/>
          </w:tcPr>
          <w:p w14:paraId="5AB3FE7B">
            <w:pPr>
              <w:spacing w:line="320" w:lineRule="exact"/>
              <w:contextualSpacing/>
              <w:jc w:val="center"/>
              <w:rPr>
                <w:rFonts w:ascii="Times New Roman" w:hAnsi="Times New Roman" w:eastAsia="宋体" w:cs="Times New Roman"/>
                <w:szCs w:val="21"/>
              </w:rPr>
            </w:pPr>
          </w:p>
        </w:tc>
        <w:tc>
          <w:tcPr>
            <w:tcW w:w="992" w:type="dxa"/>
            <w:vAlign w:val="center"/>
          </w:tcPr>
          <w:p w14:paraId="79DAA086">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40</w:t>
            </w:r>
          </w:p>
        </w:tc>
      </w:tr>
      <w:tr w14:paraId="2183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53E4ED2D">
            <w:pPr>
              <w:spacing w:line="320" w:lineRule="exact"/>
              <w:contextualSpacing/>
              <w:jc w:val="left"/>
              <w:rPr>
                <w:rFonts w:hint="eastAsia" w:ascii="仿宋" w:hAnsi="仿宋" w:eastAsia="仿宋" w:cs="Times New Roman"/>
                <w:sz w:val="18"/>
                <w:szCs w:val="18"/>
              </w:rPr>
            </w:pPr>
            <w:r>
              <w:rPr>
                <w:rFonts w:hint="eastAsia" w:ascii="仿宋" w:hAnsi="仿宋" w:eastAsia="仿宋" w:cs="Times New Roman"/>
                <w:sz w:val="18"/>
                <w:szCs w:val="18"/>
              </w:rPr>
              <w:t>课程目标4</w:t>
            </w:r>
          </w:p>
        </w:tc>
        <w:tc>
          <w:tcPr>
            <w:tcW w:w="714" w:type="dxa"/>
            <w:vAlign w:val="center"/>
          </w:tcPr>
          <w:p w14:paraId="1A137EBB">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1" w:type="dxa"/>
            <w:vAlign w:val="center"/>
          </w:tcPr>
          <w:p w14:paraId="031055D6">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9" w:type="dxa"/>
            <w:vAlign w:val="center"/>
          </w:tcPr>
          <w:p w14:paraId="23B88E9F">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708" w:type="dxa"/>
            <w:vAlign w:val="center"/>
          </w:tcPr>
          <w:p w14:paraId="42A0FFC1">
            <w:pPr>
              <w:spacing w:line="320" w:lineRule="exact"/>
              <w:contextualSpacing/>
              <w:jc w:val="center"/>
              <w:rPr>
                <w:rFonts w:ascii="Times New Roman" w:hAnsi="Times New Roman" w:eastAsia="宋体" w:cs="Times New Roman"/>
                <w:szCs w:val="21"/>
              </w:rPr>
            </w:pPr>
          </w:p>
        </w:tc>
        <w:tc>
          <w:tcPr>
            <w:tcW w:w="713" w:type="dxa"/>
            <w:vAlign w:val="center"/>
          </w:tcPr>
          <w:p w14:paraId="1E88C5B8">
            <w:pPr>
              <w:spacing w:line="320" w:lineRule="exact"/>
              <w:contextualSpacing/>
              <w:jc w:val="center"/>
              <w:rPr>
                <w:rFonts w:ascii="Times New Roman" w:hAnsi="Times New Roman" w:eastAsia="宋体" w:cs="Times New Roman"/>
                <w:szCs w:val="21"/>
              </w:rPr>
            </w:pPr>
          </w:p>
        </w:tc>
        <w:tc>
          <w:tcPr>
            <w:tcW w:w="711" w:type="dxa"/>
            <w:vAlign w:val="center"/>
          </w:tcPr>
          <w:p w14:paraId="2AB46F09">
            <w:pPr>
              <w:jc w:val="center"/>
              <w:rPr>
                <w:rFonts w:hint="eastAsia"/>
              </w:rPr>
            </w:pPr>
            <w:r>
              <w:rPr>
                <w:rFonts w:hint="eastAsia" w:ascii="宋体" w:hAnsi="宋体" w:eastAsia="宋体" w:cs="Times New Roman"/>
                <w:szCs w:val="21"/>
              </w:rPr>
              <w:t>√</w:t>
            </w:r>
          </w:p>
        </w:tc>
        <w:tc>
          <w:tcPr>
            <w:tcW w:w="852" w:type="dxa"/>
          </w:tcPr>
          <w:p w14:paraId="5E7A0761">
            <w:pPr>
              <w:spacing w:line="320" w:lineRule="exact"/>
              <w:contextualSpacing/>
              <w:jc w:val="center"/>
              <w:rPr>
                <w:rFonts w:ascii="Times New Roman" w:hAnsi="Times New Roman" w:eastAsia="宋体" w:cs="Times New Roman"/>
                <w:szCs w:val="21"/>
              </w:rPr>
            </w:pPr>
          </w:p>
        </w:tc>
        <w:tc>
          <w:tcPr>
            <w:tcW w:w="993" w:type="dxa"/>
          </w:tcPr>
          <w:p w14:paraId="3BA6592E">
            <w:pPr>
              <w:jc w:val="center"/>
              <w:rPr>
                <w:rFonts w:hint="eastAsia"/>
              </w:rPr>
            </w:pPr>
            <w:r>
              <w:rPr>
                <w:rFonts w:hint="eastAsia" w:ascii="宋体" w:hAnsi="宋体" w:eastAsia="宋体" w:cs="Times New Roman"/>
                <w:szCs w:val="21"/>
              </w:rPr>
              <w:t>√</w:t>
            </w:r>
          </w:p>
        </w:tc>
        <w:tc>
          <w:tcPr>
            <w:tcW w:w="992" w:type="dxa"/>
            <w:vAlign w:val="center"/>
          </w:tcPr>
          <w:p w14:paraId="0D317FC6">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5</w:t>
            </w:r>
          </w:p>
        </w:tc>
      </w:tr>
      <w:tr w14:paraId="209A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7545D435">
            <w:pPr>
              <w:spacing w:line="320" w:lineRule="exact"/>
              <w:contextualSpacing/>
              <w:jc w:val="left"/>
              <w:rPr>
                <w:rFonts w:ascii="Times New Roman" w:hAnsi="Times New Roman" w:eastAsia="宋体" w:cs="Times New Roman"/>
                <w:szCs w:val="21"/>
              </w:rPr>
            </w:pPr>
            <w:r>
              <w:rPr>
                <w:rFonts w:hint="eastAsia" w:ascii="Times New Roman" w:hAnsi="Times New Roman" w:eastAsia="宋体" w:cs="Times New Roman"/>
                <w:b/>
                <w:bCs/>
                <w:szCs w:val="21"/>
              </w:rPr>
              <w:t>合计</w:t>
            </w:r>
          </w:p>
        </w:tc>
        <w:tc>
          <w:tcPr>
            <w:tcW w:w="714" w:type="dxa"/>
            <w:vAlign w:val="center"/>
          </w:tcPr>
          <w:p w14:paraId="31516ED4">
            <w:pPr>
              <w:spacing w:line="320" w:lineRule="exact"/>
              <w:contextualSpacing/>
              <w:jc w:val="center"/>
              <w:rPr>
                <w:rFonts w:ascii="Times New Roman" w:hAnsi="Times New Roman" w:eastAsia="宋体" w:cs="Times New Roman"/>
                <w:szCs w:val="21"/>
              </w:rPr>
            </w:pPr>
          </w:p>
        </w:tc>
        <w:tc>
          <w:tcPr>
            <w:tcW w:w="701" w:type="dxa"/>
            <w:vAlign w:val="center"/>
          </w:tcPr>
          <w:p w14:paraId="5B795E93">
            <w:pPr>
              <w:spacing w:line="320" w:lineRule="exact"/>
              <w:contextualSpacing/>
              <w:jc w:val="center"/>
              <w:rPr>
                <w:rFonts w:ascii="Times New Roman" w:hAnsi="Times New Roman" w:eastAsia="宋体" w:cs="Times New Roman"/>
                <w:szCs w:val="21"/>
              </w:rPr>
            </w:pPr>
          </w:p>
        </w:tc>
        <w:tc>
          <w:tcPr>
            <w:tcW w:w="709" w:type="dxa"/>
            <w:vAlign w:val="center"/>
          </w:tcPr>
          <w:p w14:paraId="5F2E0828">
            <w:pPr>
              <w:spacing w:line="320" w:lineRule="exact"/>
              <w:contextualSpacing/>
              <w:jc w:val="center"/>
              <w:rPr>
                <w:rFonts w:ascii="Times New Roman" w:hAnsi="Times New Roman" w:eastAsia="宋体" w:cs="Times New Roman"/>
                <w:szCs w:val="21"/>
              </w:rPr>
            </w:pPr>
          </w:p>
        </w:tc>
        <w:tc>
          <w:tcPr>
            <w:tcW w:w="708" w:type="dxa"/>
            <w:vAlign w:val="center"/>
          </w:tcPr>
          <w:p w14:paraId="3A317805">
            <w:pPr>
              <w:spacing w:line="320" w:lineRule="exact"/>
              <w:contextualSpacing/>
              <w:jc w:val="center"/>
              <w:rPr>
                <w:rFonts w:ascii="Times New Roman" w:hAnsi="Times New Roman" w:eastAsia="宋体" w:cs="Times New Roman"/>
                <w:szCs w:val="21"/>
              </w:rPr>
            </w:pPr>
          </w:p>
        </w:tc>
        <w:tc>
          <w:tcPr>
            <w:tcW w:w="713" w:type="dxa"/>
            <w:vAlign w:val="center"/>
          </w:tcPr>
          <w:p w14:paraId="4E56ADF7">
            <w:pPr>
              <w:spacing w:line="320" w:lineRule="exact"/>
              <w:contextualSpacing/>
              <w:jc w:val="center"/>
              <w:rPr>
                <w:rFonts w:ascii="Times New Roman" w:hAnsi="Times New Roman" w:eastAsia="宋体" w:cs="Times New Roman"/>
                <w:szCs w:val="21"/>
              </w:rPr>
            </w:pPr>
          </w:p>
        </w:tc>
        <w:tc>
          <w:tcPr>
            <w:tcW w:w="711" w:type="dxa"/>
            <w:vAlign w:val="center"/>
          </w:tcPr>
          <w:p w14:paraId="629D667B">
            <w:pPr>
              <w:spacing w:line="320" w:lineRule="exact"/>
              <w:contextualSpacing/>
              <w:jc w:val="center"/>
              <w:rPr>
                <w:rFonts w:ascii="Times New Roman" w:hAnsi="Times New Roman" w:eastAsia="宋体" w:cs="Times New Roman"/>
                <w:szCs w:val="21"/>
              </w:rPr>
            </w:pPr>
          </w:p>
        </w:tc>
        <w:tc>
          <w:tcPr>
            <w:tcW w:w="852" w:type="dxa"/>
            <w:vAlign w:val="center"/>
          </w:tcPr>
          <w:p w14:paraId="32C4EBE8">
            <w:pPr>
              <w:spacing w:line="320" w:lineRule="exact"/>
              <w:contextualSpacing/>
              <w:jc w:val="center"/>
              <w:rPr>
                <w:rFonts w:ascii="Times New Roman" w:hAnsi="Times New Roman" w:eastAsia="宋体" w:cs="Times New Roman"/>
                <w:szCs w:val="21"/>
              </w:rPr>
            </w:pPr>
          </w:p>
        </w:tc>
        <w:tc>
          <w:tcPr>
            <w:tcW w:w="993" w:type="dxa"/>
          </w:tcPr>
          <w:p w14:paraId="45FF93C8">
            <w:pPr>
              <w:spacing w:line="320" w:lineRule="exact"/>
              <w:contextualSpacing/>
              <w:jc w:val="center"/>
              <w:rPr>
                <w:rFonts w:ascii="Times New Roman" w:hAnsi="Times New Roman" w:eastAsia="宋体" w:cs="Times New Roman"/>
                <w:szCs w:val="21"/>
              </w:rPr>
            </w:pPr>
          </w:p>
        </w:tc>
        <w:tc>
          <w:tcPr>
            <w:tcW w:w="992" w:type="dxa"/>
            <w:vAlign w:val="center"/>
          </w:tcPr>
          <w:p w14:paraId="3DF644DF">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EDB4146">
      <w:pPr>
        <w:spacing w:line="360" w:lineRule="auto"/>
        <w:ind w:firstLine="480" w:firstLineChars="200"/>
        <w:jc w:val="left"/>
        <w:rPr>
          <w:rFonts w:ascii="Times New Roman" w:hAnsi="Times New Roman" w:eastAsia="宋体" w:cs="Times New Roman"/>
          <w:sz w:val="24"/>
          <w:szCs w:val="24"/>
        </w:rPr>
      </w:pPr>
    </w:p>
    <w:p w14:paraId="29491B3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1DB774A">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表4 各部分的评价方式和成绩评定细则</w:t>
      </w:r>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31FD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12" w:type="dxa"/>
            <w:vAlign w:val="center"/>
          </w:tcPr>
          <w:p w14:paraId="427581B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26" w:type="dxa"/>
            <w:vAlign w:val="center"/>
          </w:tcPr>
          <w:p w14:paraId="39A1B28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成绩评定细则</w:t>
            </w:r>
          </w:p>
        </w:tc>
        <w:tc>
          <w:tcPr>
            <w:tcW w:w="1021" w:type="dxa"/>
            <w:vAlign w:val="center"/>
          </w:tcPr>
          <w:p w14:paraId="5DF3CB0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F84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713D4A1B">
            <w:pPr>
              <w:rPr>
                <w:rFonts w:ascii="Times New Roman" w:hAnsi="Times New Roman" w:eastAsia="宋体" w:cs="Times New Roman"/>
                <w:b/>
                <w:bCs/>
                <w:szCs w:val="21"/>
              </w:rPr>
            </w:pPr>
            <w:r>
              <w:rPr>
                <w:rFonts w:hint="eastAsia" w:ascii="Times New Roman" w:hAnsi="Times New Roman" w:eastAsia="宋体" w:cs="Times New Roman"/>
                <w:b/>
                <w:bCs/>
                <w:szCs w:val="21"/>
              </w:rPr>
              <w:t>课堂表现</w:t>
            </w:r>
          </w:p>
        </w:tc>
        <w:tc>
          <w:tcPr>
            <w:tcW w:w="6026" w:type="dxa"/>
          </w:tcPr>
          <w:p w14:paraId="0F1394E2">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按出勤和课堂参与情况进行评分。全勤记</w:t>
            </w:r>
            <w:r>
              <w:rPr>
                <w:rFonts w:ascii="Times New Roman" w:hAnsi="Times New Roman" w:eastAsia="宋体" w:cs="Times New Roman"/>
                <w:szCs w:val="21"/>
              </w:rPr>
              <w:t>5分</w:t>
            </w:r>
            <w:r>
              <w:rPr>
                <w:rFonts w:hint="eastAsia" w:ascii="Times New Roman" w:hAnsi="Times New Roman" w:eastAsia="宋体" w:cs="Times New Roman"/>
                <w:szCs w:val="21"/>
              </w:rPr>
              <w:t>，</w:t>
            </w:r>
            <w:r>
              <w:rPr>
                <w:rFonts w:ascii="Times New Roman" w:hAnsi="Times New Roman" w:eastAsia="宋体" w:cs="Times New Roman"/>
                <w:szCs w:val="21"/>
              </w:rPr>
              <w:t>事假1节</w:t>
            </w:r>
            <w:r>
              <w:rPr>
                <w:rFonts w:hint="eastAsia" w:ascii="Times New Roman" w:hAnsi="Times New Roman" w:eastAsia="宋体" w:cs="Times New Roman"/>
                <w:szCs w:val="21"/>
              </w:rPr>
              <w:t>或</w:t>
            </w:r>
            <w:r>
              <w:rPr>
                <w:rFonts w:ascii="Times New Roman" w:hAnsi="Times New Roman" w:eastAsia="宋体" w:cs="Times New Roman"/>
                <w:szCs w:val="21"/>
              </w:rPr>
              <w:t>迟到、早退1次各扣1分</w:t>
            </w:r>
            <w:r>
              <w:rPr>
                <w:rFonts w:hint="eastAsia" w:ascii="Times New Roman" w:hAnsi="Times New Roman" w:eastAsia="宋体" w:cs="Times New Roman"/>
                <w:szCs w:val="21"/>
              </w:rPr>
              <w:t>，</w:t>
            </w:r>
            <w:r>
              <w:rPr>
                <w:rFonts w:ascii="Times New Roman" w:hAnsi="Times New Roman" w:eastAsia="宋体" w:cs="Times New Roman"/>
                <w:szCs w:val="21"/>
              </w:rPr>
              <w:t>无故旷课1次扣2分，无故旷课2次扣5分，</w:t>
            </w:r>
            <w:r>
              <w:rPr>
                <w:rFonts w:hint="eastAsia" w:ascii="Times New Roman" w:hAnsi="Times New Roman" w:eastAsia="宋体" w:cs="Times New Roman"/>
                <w:szCs w:val="21"/>
              </w:rPr>
              <w:t>无故</w:t>
            </w:r>
            <w:r>
              <w:rPr>
                <w:rFonts w:ascii="Times New Roman" w:hAnsi="Times New Roman" w:eastAsia="宋体" w:cs="Times New Roman"/>
                <w:szCs w:val="21"/>
              </w:rPr>
              <w:t>旷课3次及以上直接定为不及格。</w:t>
            </w:r>
            <w:r>
              <w:rPr>
                <w:rFonts w:hint="eastAsia" w:ascii="Times New Roman" w:hAnsi="Times New Roman" w:eastAsia="宋体" w:cs="Times New Roman"/>
                <w:szCs w:val="21"/>
              </w:rPr>
              <w:t>课堂参与满分5分。学生在</w:t>
            </w:r>
            <w:r>
              <w:rPr>
                <w:rFonts w:ascii="Times New Roman" w:hAnsi="Times New Roman" w:eastAsia="宋体" w:cs="Times New Roman"/>
                <w:szCs w:val="21"/>
              </w:rPr>
              <w:t>课堂上不做与学习无关的事</w:t>
            </w:r>
            <w:r>
              <w:rPr>
                <w:rFonts w:hint="eastAsia" w:ascii="Times New Roman" w:hAnsi="Times New Roman" w:eastAsia="宋体" w:cs="Times New Roman"/>
                <w:szCs w:val="21"/>
              </w:rPr>
              <w:t>，认真听课，</w:t>
            </w:r>
            <w:r>
              <w:rPr>
                <w:rFonts w:ascii="Times New Roman" w:hAnsi="Times New Roman" w:eastAsia="宋体" w:cs="Times New Roman"/>
                <w:szCs w:val="21"/>
              </w:rPr>
              <w:t>勤于思考，主动回答提问</w:t>
            </w:r>
            <w:r>
              <w:rPr>
                <w:rFonts w:hint="eastAsia" w:ascii="Times New Roman" w:hAnsi="Times New Roman" w:eastAsia="宋体" w:cs="Times New Roman"/>
                <w:szCs w:val="21"/>
              </w:rPr>
              <w:t>，</w:t>
            </w:r>
            <w:r>
              <w:rPr>
                <w:rFonts w:ascii="Times New Roman" w:hAnsi="Times New Roman" w:eastAsia="宋体" w:cs="Times New Roman"/>
                <w:szCs w:val="21"/>
              </w:rPr>
              <w:t>积极参加小组</w:t>
            </w:r>
            <w:r>
              <w:rPr>
                <w:rFonts w:hint="eastAsia" w:ascii="Times New Roman" w:hAnsi="Times New Roman" w:eastAsia="宋体" w:cs="Times New Roman"/>
                <w:szCs w:val="21"/>
              </w:rPr>
              <w:t>讨论。根据学生课堂表现酌情给分。</w:t>
            </w:r>
            <w:r>
              <w:rPr>
                <w:rFonts w:ascii="Times New Roman" w:hAnsi="Times New Roman" w:eastAsia="宋体" w:cs="Times New Roman"/>
                <w:szCs w:val="21"/>
              </w:rPr>
              <w:t xml:space="preserve"> </w:t>
            </w:r>
          </w:p>
        </w:tc>
        <w:tc>
          <w:tcPr>
            <w:tcW w:w="1021" w:type="dxa"/>
            <w:vAlign w:val="center"/>
          </w:tcPr>
          <w:p w14:paraId="782E1B4A">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64D7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153EFF00">
            <w:pPr>
              <w:rPr>
                <w:rFonts w:ascii="Times New Roman" w:hAnsi="Times New Roman" w:eastAsia="宋体" w:cs="Times New Roman"/>
                <w:b/>
                <w:bCs/>
                <w:szCs w:val="21"/>
              </w:rPr>
            </w:pPr>
            <w:r>
              <w:rPr>
                <w:rFonts w:hint="eastAsia" w:ascii="Times New Roman" w:hAnsi="Times New Roman" w:eastAsia="宋体" w:cs="Times New Roman"/>
                <w:b/>
                <w:bCs/>
                <w:szCs w:val="21"/>
              </w:rPr>
              <w:t>平时作业</w:t>
            </w:r>
          </w:p>
        </w:tc>
        <w:tc>
          <w:tcPr>
            <w:tcW w:w="6026" w:type="dxa"/>
          </w:tcPr>
          <w:p w14:paraId="62E395D1">
            <w:pPr>
              <w:spacing w:line="310" w:lineRule="exact"/>
              <w:jc w:val="left"/>
              <w:rPr>
                <w:rFonts w:hint="eastAsia" w:eastAsia="宋体"/>
                <w:szCs w:val="21"/>
              </w:rPr>
            </w:pPr>
            <w:r>
              <w:rPr>
                <w:rFonts w:hint="eastAsia" w:eastAsia="宋体"/>
                <w:szCs w:val="21"/>
              </w:rPr>
              <w:t xml:space="preserve">在本课程学习中，学生提交的文献综述、研究方法设计、研究方案设计（开题报告）的初稿、二稿为平时作业。 </w:t>
            </w:r>
          </w:p>
          <w:p w14:paraId="04A2771A">
            <w:pPr>
              <w:spacing w:line="310" w:lineRule="exact"/>
              <w:jc w:val="left"/>
              <w:rPr>
                <w:rFonts w:ascii="Times New Roman" w:hAnsi="Times New Roman" w:eastAsia="宋体" w:cs="Times New Roman"/>
                <w:szCs w:val="21"/>
              </w:rPr>
            </w:pPr>
            <w:r>
              <w:rPr>
                <w:rFonts w:hint="eastAsia" w:eastAsia="宋体"/>
                <w:szCs w:val="21"/>
              </w:rPr>
              <w:t>学生需认真完成平时作业，按时提交，无故迟交作业1次扣</w:t>
            </w:r>
            <w:r>
              <w:rPr>
                <w:rFonts w:eastAsia="宋体"/>
                <w:szCs w:val="21"/>
              </w:rPr>
              <w:t>1</w:t>
            </w:r>
            <w:r>
              <w:rPr>
                <w:rFonts w:hint="eastAsia" w:eastAsia="宋体"/>
                <w:szCs w:val="21"/>
              </w:rPr>
              <w:t>分。作业评定标准与各项目评分标准相同。</w:t>
            </w:r>
          </w:p>
        </w:tc>
        <w:tc>
          <w:tcPr>
            <w:tcW w:w="1021" w:type="dxa"/>
            <w:vAlign w:val="center"/>
          </w:tcPr>
          <w:p w14:paraId="781D4DE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F30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16827B47">
            <w:pPr>
              <w:rPr>
                <w:rFonts w:ascii="Times New Roman" w:hAnsi="Times New Roman" w:eastAsia="宋体" w:cs="Times New Roman"/>
                <w:b/>
                <w:bCs/>
                <w:szCs w:val="21"/>
              </w:rPr>
            </w:pPr>
            <w:r>
              <w:rPr>
                <w:rFonts w:hint="eastAsia" w:ascii="Times New Roman" w:hAnsi="Times New Roman" w:eastAsia="宋体" w:cs="Times New Roman"/>
                <w:b/>
                <w:bCs/>
                <w:szCs w:val="21"/>
              </w:rPr>
              <w:t>自主学习</w:t>
            </w:r>
          </w:p>
        </w:tc>
        <w:tc>
          <w:tcPr>
            <w:tcW w:w="6026" w:type="dxa"/>
          </w:tcPr>
          <w:p w14:paraId="02113D05">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每个单元开课前，学生提前一周完成教材预习，登录课程网站完成预习测试；系统自动评定和记录每次成绩。</w:t>
            </w:r>
          </w:p>
        </w:tc>
        <w:tc>
          <w:tcPr>
            <w:tcW w:w="1021" w:type="dxa"/>
            <w:vAlign w:val="center"/>
          </w:tcPr>
          <w:p w14:paraId="53DBBFA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A14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3537686">
            <w:pPr>
              <w:rPr>
                <w:rFonts w:ascii="Times New Roman" w:hAnsi="Times New Roman" w:eastAsia="宋体" w:cs="Times New Roman"/>
                <w:b/>
                <w:bCs/>
                <w:szCs w:val="21"/>
              </w:rPr>
            </w:pPr>
            <w:r>
              <w:rPr>
                <w:rFonts w:hint="eastAsia" w:ascii="Times New Roman" w:hAnsi="Times New Roman" w:eastAsia="宋体" w:cs="Times New Roman"/>
                <w:b/>
                <w:bCs/>
                <w:szCs w:val="21"/>
              </w:rPr>
              <w:t>合作学习</w:t>
            </w:r>
          </w:p>
        </w:tc>
        <w:tc>
          <w:tcPr>
            <w:tcW w:w="6026" w:type="dxa"/>
          </w:tcPr>
          <w:p w14:paraId="5685A38F">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合作学习主要体现在课堂小组讨论和课后小组合作完成项目设计之中。课堂小组合作主要以学生互评为主，评价依据为每个学生在小组合作中的参与度与投入度。小组合作完成的项目包括教育实验研究、个案研究、行动研究、叙事研究研究方案（4选2），评价标准为：</w:t>
            </w:r>
            <w:r>
              <w:rPr>
                <w:rFonts w:ascii="Times New Roman" w:hAnsi="Times New Roman" w:eastAsia="宋体" w:cs="Times New Roman"/>
                <w:szCs w:val="21"/>
              </w:rPr>
              <w:t>研究目的明确，问题界定清晰，研究计划详细具体，研究策略与方法科学合理，小组成员协调配合好</w:t>
            </w:r>
            <w:r>
              <w:rPr>
                <w:rFonts w:hint="eastAsia" w:ascii="Times New Roman" w:hAnsi="Times New Roman" w:eastAsia="宋体" w:cs="Times New Roman"/>
                <w:szCs w:val="21"/>
              </w:rPr>
              <w:t>，</w:t>
            </w:r>
            <w:r>
              <w:rPr>
                <w:rFonts w:ascii="Times New Roman" w:hAnsi="Times New Roman" w:eastAsia="宋体" w:cs="Times New Roman"/>
                <w:szCs w:val="21"/>
              </w:rPr>
              <w:t>语言通顺，打印规范。小组合作</w:t>
            </w:r>
            <w:r>
              <w:rPr>
                <w:rFonts w:hint="eastAsia" w:ascii="Times New Roman" w:hAnsi="Times New Roman" w:eastAsia="宋体" w:cs="Times New Roman"/>
                <w:szCs w:val="21"/>
              </w:rPr>
              <w:t>项目的</w:t>
            </w:r>
            <w:r>
              <w:rPr>
                <w:rFonts w:ascii="Times New Roman" w:hAnsi="Times New Roman" w:eastAsia="宋体" w:cs="Times New Roman"/>
                <w:szCs w:val="21"/>
              </w:rPr>
              <w:t>评价</w:t>
            </w:r>
            <w:r>
              <w:rPr>
                <w:rFonts w:hint="eastAsia" w:ascii="Times New Roman" w:hAnsi="Times New Roman" w:eastAsia="宋体" w:cs="Times New Roman"/>
                <w:szCs w:val="21"/>
              </w:rPr>
              <w:t>由</w:t>
            </w:r>
            <w:r>
              <w:rPr>
                <w:rFonts w:ascii="Times New Roman" w:hAnsi="Times New Roman" w:eastAsia="宋体" w:cs="Times New Roman"/>
                <w:szCs w:val="21"/>
              </w:rPr>
              <w:t>教师评价</w:t>
            </w:r>
            <w:r>
              <w:rPr>
                <w:rFonts w:hint="eastAsia" w:ascii="Times New Roman" w:hAnsi="Times New Roman" w:eastAsia="宋体" w:cs="Times New Roman"/>
                <w:szCs w:val="21"/>
              </w:rPr>
              <w:t>和</w:t>
            </w:r>
            <w:r>
              <w:rPr>
                <w:rFonts w:ascii="Times New Roman" w:hAnsi="Times New Roman" w:eastAsia="宋体" w:cs="Times New Roman"/>
                <w:szCs w:val="21"/>
              </w:rPr>
              <w:t>小组成员互评</w:t>
            </w:r>
            <w:r>
              <w:rPr>
                <w:rFonts w:hint="eastAsia" w:ascii="Times New Roman" w:hAnsi="Times New Roman" w:eastAsia="宋体" w:cs="Times New Roman"/>
                <w:szCs w:val="21"/>
              </w:rPr>
              <w:t>构成，各占5</w:t>
            </w:r>
            <w:r>
              <w:rPr>
                <w:rFonts w:ascii="Times New Roman" w:hAnsi="Times New Roman" w:eastAsia="宋体" w:cs="Times New Roman"/>
                <w:szCs w:val="21"/>
              </w:rPr>
              <w:t>0%。</w:t>
            </w:r>
          </w:p>
        </w:tc>
        <w:tc>
          <w:tcPr>
            <w:tcW w:w="1021" w:type="dxa"/>
            <w:vAlign w:val="center"/>
          </w:tcPr>
          <w:p w14:paraId="0E61B283">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6FE7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A4439BA">
            <w:pPr>
              <w:rPr>
                <w:rFonts w:hint="eastAsia" w:ascii="仿宋" w:hAnsi="仿宋" w:eastAsia="仿宋" w:cs="Times New Roman"/>
                <w:b/>
                <w:bCs/>
                <w:sz w:val="18"/>
                <w:szCs w:val="18"/>
              </w:rPr>
            </w:pPr>
            <w:r>
              <w:rPr>
                <w:rFonts w:hint="eastAsia" w:ascii="Times New Roman" w:hAnsi="Times New Roman" w:eastAsia="宋体" w:cs="Times New Roman"/>
                <w:b/>
                <w:bCs/>
                <w:szCs w:val="21"/>
              </w:rPr>
              <w:t>文献综述</w:t>
            </w:r>
          </w:p>
        </w:tc>
        <w:tc>
          <w:tcPr>
            <w:tcW w:w="6026" w:type="dxa"/>
          </w:tcPr>
          <w:p w14:paraId="6C24A305">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学生完成文献综述的定稿后，教师进行成绩评定。文献综述的优秀等次（9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分）评分标准为：选题恰当，</w:t>
            </w:r>
            <w:r>
              <w:rPr>
                <w:rFonts w:ascii="Times New Roman" w:hAnsi="Times New Roman" w:eastAsia="宋体" w:cs="Times New Roman"/>
                <w:szCs w:val="21"/>
              </w:rPr>
              <w:t>标题规范、简明</w:t>
            </w:r>
            <w:r>
              <w:rPr>
                <w:rFonts w:hint="eastAsia" w:ascii="Times New Roman" w:hAnsi="Times New Roman" w:eastAsia="宋体" w:cs="Times New Roman"/>
                <w:szCs w:val="21"/>
              </w:rPr>
              <w:t>，</w:t>
            </w:r>
            <w:r>
              <w:rPr>
                <w:rFonts w:ascii="Times New Roman" w:hAnsi="Times New Roman" w:eastAsia="宋体" w:cs="Times New Roman"/>
                <w:szCs w:val="21"/>
              </w:rPr>
              <w:t>对本课题国内外研究现状把握准确、全面</w:t>
            </w:r>
            <w:r>
              <w:rPr>
                <w:rFonts w:hint="eastAsia" w:ascii="Times New Roman" w:hAnsi="Times New Roman" w:eastAsia="宋体" w:cs="Times New Roman"/>
                <w:szCs w:val="21"/>
              </w:rPr>
              <w:t>，</w:t>
            </w:r>
            <w:r>
              <w:rPr>
                <w:rFonts w:ascii="Times New Roman" w:hAnsi="Times New Roman" w:eastAsia="宋体" w:cs="Times New Roman"/>
                <w:szCs w:val="21"/>
              </w:rPr>
              <w:t>信息具体</w:t>
            </w:r>
            <w:r>
              <w:rPr>
                <w:rFonts w:hint="eastAsia" w:ascii="Times New Roman" w:hAnsi="Times New Roman" w:eastAsia="宋体" w:cs="Times New Roman"/>
                <w:szCs w:val="21"/>
              </w:rPr>
              <w:t>、</w:t>
            </w:r>
            <w:r>
              <w:rPr>
                <w:rFonts w:ascii="Times New Roman" w:hAnsi="Times New Roman" w:eastAsia="宋体" w:cs="Times New Roman"/>
                <w:szCs w:val="21"/>
              </w:rPr>
              <w:t>符合事实</w:t>
            </w:r>
            <w:r>
              <w:rPr>
                <w:rFonts w:hint="eastAsia" w:ascii="Times New Roman" w:hAnsi="Times New Roman" w:eastAsia="宋体" w:cs="Times New Roman"/>
                <w:szCs w:val="21"/>
              </w:rPr>
              <w:t>，</w:t>
            </w:r>
            <w:r>
              <w:rPr>
                <w:rFonts w:ascii="Times New Roman" w:hAnsi="Times New Roman" w:eastAsia="宋体" w:cs="Times New Roman"/>
                <w:szCs w:val="21"/>
              </w:rPr>
              <w:t>评述结合</w:t>
            </w:r>
            <w:r>
              <w:rPr>
                <w:rFonts w:hint="eastAsia" w:ascii="Times New Roman" w:hAnsi="Times New Roman" w:eastAsia="宋体" w:cs="Times New Roman"/>
                <w:szCs w:val="21"/>
              </w:rPr>
              <w:t>、</w:t>
            </w:r>
            <w:r>
              <w:rPr>
                <w:rFonts w:ascii="Times New Roman" w:hAnsi="Times New Roman" w:eastAsia="宋体" w:cs="Times New Roman"/>
                <w:szCs w:val="21"/>
              </w:rPr>
              <w:t>以评带述</w:t>
            </w:r>
            <w:r>
              <w:rPr>
                <w:rFonts w:hint="eastAsia" w:ascii="Times New Roman" w:hAnsi="Times New Roman" w:eastAsia="宋体" w:cs="Times New Roman"/>
                <w:szCs w:val="21"/>
              </w:rPr>
              <w:t>，</w:t>
            </w:r>
            <w:r>
              <w:rPr>
                <w:rFonts w:ascii="Times New Roman" w:hAnsi="Times New Roman" w:eastAsia="宋体" w:cs="Times New Roman"/>
                <w:szCs w:val="21"/>
              </w:rPr>
              <w:t>高度概括</w:t>
            </w:r>
            <w:r>
              <w:rPr>
                <w:rFonts w:hint="eastAsia" w:ascii="Times New Roman" w:hAnsi="Times New Roman" w:eastAsia="宋体" w:cs="Times New Roman"/>
                <w:szCs w:val="21"/>
              </w:rPr>
              <w:t>、</w:t>
            </w:r>
            <w:r>
              <w:rPr>
                <w:rFonts w:ascii="Times New Roman" w:hAnsi="Times New Roman" w:eastAsia="宋体" w:cs="Times New Roman"/>
                <w:szCs w:val="21"/>
              </w:rPr>
              <w:t>简洁明晰</w:t>
            </w:r>
            <w:r>
              <w:rPr>
                <w:rFonts w:hint="eastAsia" w:ascii="Times New Roman" w:hAnsi="Times New Roman" w:eastAsia="宋体" w:cs="Times New Roman"/>
                <w:szCs w:val="21"/>
              </w:rPr>
              <w:t>，</w:t>
            </w:r>
            <w:r>
              <w:rPr>
                <w:rFonts w:ascii="Times New Roman" w:hAnsi="Times New Roman" w:eastAsia="宋体" w:cs="Times New Roman"/>
                <w:szCs w:val="21"/>
              </w:rPr>
              <w:t>语句通顺</w:t>
            </w:r>
            <w:r>
              <w:rPr>
                <w:rFonts w:hint="eastAsia" w:ascii="Times New Roman" w:hAnsi="Times New Roman" w:eastAsia="宋体" w:cs="Times New Roman"/>
                <w:szCs w:val="21"/>
              </w:rPr>
              <w:t>、</w:t>
            </w:r>
            <w:r>
              <w:rPr>
                <w:rFonts w:ascii="Times New Roman" w:hAnsi="Times New Roman" w:eastAsia="宋体" w:cs="Times New Roman"/>
                <w:szCs w:val="21"/>
              </w:rPr>
              <w:t>层次清楚</w:t>
            </w:r>
            <w:r>
              <w:rPr>
                <w:rFonts w:hint="eastAsia" w:ascii="Times New Roman" w:hAnsi="Times New Roman" w:eastAsia="宋体" w:cs="Times New Roman"/>
                <w:szCs w:val="21"/>
              </w:rPr>
              <w:t>，</w:t>
            </w:r>
            <w:r>
              <w:rPr>
                <w:rFonts w:ascii="Times New Roman" w:hAnsi="Times New Roman" w:eastAsia="宋体" w:cs="Times New Roman"/>
                <w:szCs w:val="21"/>
              </w:rPr>
              <w:t>达到规定字数</w:t>
            </w:r>
            <w:r>
              <w:rPr>
                <w:rFonts w:hint="eastAsia" w:ascii="Times New Roman" w:hAnsi="Times New Roman" w:eastAsia="宋体" w:cs="Times New Roman"/>
                <w:szCs w:val="21"/>
              </w:rPr>
              <w:t>，</w:t>
            </w:r>
            <w:r>
              <w:rPr>
                <w:rFonts w:ascii="Times New Roman" w:hAnsi="Times New Roman" w:eastAsia="宋体" w:cs="Times New Roman"/>
                <w:szCs w:val="21"/>
              </w:rPr>
              <w:t>参考文献</w:t>
            </w:r>
            <w:r>
              <w:rPr>
                <w:rFonts w:hint="eastAsia" w:ascii="Times New Roman" w:hAnsi="Times New Roman" w:eastAsia="宋体" w:cs="Times New Roman"/>
                <w:szCs w:val="21"/>
              </w:rPr>
              <w:t>规范</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其他各等次评分标准参见《教育科学研究方法课程“文献综述”考核评分标准》，其中，有抄袭现象的直接按零分处理。</w:t>
            </w:r>
          </w:p>
        </w:tc>
        <w:tc>
          <w:tcPr>
            <w:tcW w:w="1021" w:type="dxa"/>
            <w:vAlign w:val="center"/>
          </w:tcPr>
          <w:p w14:paraId="01E62BF1">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2B64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7B726996">
            <w:pPr>
              <w:rPr>
                <w:rFonts w:ascii="Times New Roman" w:hAnsi="Times New Roman" w:eastAsia="宋体" w:cs="Times New Roman"/>
                <w:b/>
                <w:bCs/>
                <w:szCs w:val="21"/>
              </w:rPr>
            </w:pPr>
            <w:r>
              <w:rPr>
                <w:rFonts w:hint="eastAsia" w:ascii="Times New Roman" w:hAnsi="Times New Roman" w:eastAsia="宋体" w:cs="Times New Roman"/>
                <w:b/>
                <w:bCs/>
                <w:szCs w:val="21"/>
              </w:rPr>
              <w:t>研究方法</w:t>
            </w:r>
          </w:p>
          <w:p w14:paraId="2DD78B54">
            <w:pP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216706BE">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学生完成研究方法设计的定稿后，教师进行成绩评定。</w:t>
            </w:r>
            <w:r>
              <w:rPr>
                <w:rFonts w:hint="eastAsia" w:ascii="Calibri" w:hAnsi="Calibri" w:eastAsia="宋体" w:cs="Arial"/>
                <w:szCs w:val="21"/>
              </w:rPr>
              <w:t>个人研究项目主要为调查问卷、访谈提纲、观察量表的设计，其中，调查问卷的优秀</w:t>
            </w:r>
            <w:r>
              <w:rPr>
                <w:rFonts w:hint="eastAsia" w:ascii="Times New Roman" w:hAnsi="Times New Roman" w:eastAsia="宋体" w:cs="Times New Roman"/>
                <w:szCs w:val="21"/>
              </w:rPr>
              <w:t>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w:t>
            </w:r>
            <w:r>
              <w:rPr>
                <w:rFonts w:hint="eastAsia" w:ascii="Calibri" w:hAnsi="Calibri" w:eastAsia="宋体" w:cs="Arial"/>
                <w:szCs w:val="21"/>
              </w:rPr>
              <w:t>调查目的明确，指导语简明、规范，尊重被调查者隐私，变量设计全面、合理，问题表述明确，选项设计合理，问卷逻辑明晰，语言文字表述清晰，问卷容量合理，排版和打印符合要求。</w:t>
            </w:r>
            <w:r>
              <w:rPr>
                <w:rFonts w:hint="eastAsia" w:ascii="Times New Roman" w:hAnsi="Times New Roman" w:eastAsia="宋体" w:cs="Times New Roman"/>
                <w:szCs w:val="21"/>
              </w:rPr>
              <w:t>其他各等次评分标准参见《教育科学研究方法课程“研究方法设计”考核评分标准》，其中，有抄袭现象的直接按零分处理。</w:t>
            </w:r>
          </w:p>
        </w:tc>
        <w:tc>
          <w:tcPr>
            <w:tcW w:w="1021" w:type="dxa"/>
            <w:vAlign w:val="center"/>
          </w:tcPr>
          <w:p w14:paraId="359270D2">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7416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01C1EC36">
            <w:pPr>
              <w:rPr>
                <w:rFonts w:ascii="Times New Roman" w:hAnsi="Times New Roman" w:eastAsia="宋体" w:cs="Times New Roman"/>
                <w:b/>
                <w:bCs/>
                <w:szCs w:val="21"/>
              </w:rPr>
            </w:pPr>
            <w:r>
              <w:rPr>
                <w:rFonts w:hint="eastAsia" w:ascii="Times New Roman" w:hAnsi="Times New Roman" w:eastAsia="宋体" w:cs="Times New Roman"/>
                <w:b/>
                <w:bCs/>
                <w:szCs w:val="21"/>
              </w:rPr>
              <w:t>研究方案</w:t>
            </w:r>
          </w:p>
          <w:p w14:paraId="764226B9">
            <w:pP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0D1FF74E">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学生完成研究方案设计的定稿后，教师进行成绩评定。研究方案设计的优秀等次（9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分）评分标准为：课题名称简明、规范，</w:t>
            </w:r>
            <w:r>
              <w:rPr>
                <w:rFonts w:ascii="Times New Roman" w:hAnsi="Times New Roman" w:eastAsia="宋体" w:cs="Times New Roman"/>
                <w:szCs w:val="21"/>
              </w:rPr>
              <w:t>课题有重要研究意义</w:t>
            </w:r>
            <w:r>
              <w:rPr>
                <w:rFonts w:hint="eastAsia" w:ascii="Times New Roman" w:hAnsi="Times New Roman" w:eastAsia="宋体" w:cs="Times New Roman"/>
                <w:szCs w:val="21"/>
              </w:rPr>
              <w:t>，</w:t>
            </w:r>
            <w:r>
              <w:rPr>
                <w:rFonts w:ascii="Times New Roman" w:hAnsi="Times New Roman" w:eastAsia="宋体" w:cs="Times New Roman"/>
                <w:szCs w:val="21"/>
              </w:rPr>
              <w:t>理论与实践价值表达规范</w:t>
            </w:r>
            <w:r>
              <w:rPr>
                <w:rFonts w:hint="eastAsia" w:ascii="Times New Roman" w:hAnsi="Times New Roman" w:eastAsia="宋体" w:cs="Times New Roman"/>
                <w:szCs w:val="21"/>
              </w:rPr>
              <w:t>，</w:t>
            </w:r>
            <w:r>
              <w:rPr>
                <w:rFonts w:ascii="Times New Roman" w:hAnsi="Times New Roman" w:eastAsia="宋体" w:cs="Times New Roman"/>
                <w:szCs w:val="21"/>
              </w:rPr>
              <w:t>课题研究动态把握全面</w:t>
            </w:r>
            <w:r>
              <w:rPr>
                <w:rFonts w:hint="eastAsia" w:ascii="Times New Roman" w:hAnsi="Times New Roman" w:eastAsia="宋体" w:cs="Times New Roman"/>
                <w:szCs w:val="21"/>
              </w:rPr>
              <w:t>，</w:t>
            </w:r>
            <w:r>
              <w:rPr>
                <w:rFonts w:ascii="Times New Roman" w:hAnsi="Times New Roman" w:eastAsia="宋体" w:cs="Times New Roman"/>
                <w:szCs w:val="21"/>
              </w:rPr>
              <w:t>研究思路清晰</w:t>
            </w:r>
            <w:r>
              <w:rPr>
                <w:rFonts w:hint="eastAsia" w:ascii="Times New Roman" w:hAnsi="Times New Roman" w:eastAsia="宋体" w:cs="Times New Roman"/>
                <w:szCs w:val="21"/>
              </w:rPr>
              <w:t>，</w:t>
            </w:r>
            <w:r>
              <w:rPr>
                <w:rFonts w:ascii="Times New Roman" w:hAnsi="Times New Roman" w:eastAsia="宋体" w:cs="Times New Roman"/>
                <w:szCs w:val="21"/>
              </w:rPr>
              <w:t>研究方法选用恰当</w:t>
            </w:r>
            <w:r>
              <w:rPr>
                <w:rFonts w:hint="eastAsia" w:ascii="Times New Roman" w:hAnsi="Times New Roman" w:eastAsia="宋体" w:cs="Times New Roman"/>
                <w:szCs w:val="21"/>
              </w:rPr>
              <w:t>，</w:t>
            </w:r>
            <w:r>
              <w:rPr>
                <w:rFonts w:ascii="Times New Roman" w:hAnsi="Times New Roman" w:eastAsia="宋体" w:cs="Times New Roman"/>
                <w:szCs w:val="21"/>
              </w:rPr>
              <w:t>论文研究提纲清晰</w:t>
            </w:r>
            <w:r>
              <w:rPr>
                <w:rFonts w:hint="eastAsia" w:ascii="Times New Roman" w:hAnsi="Times New Roman" w:eastAsia="宋体" w:cs="Times New Roman"/>
                <w:szCs w:val="21"/>
              </w:rPr>
              <w:t>，</w:t>
            </w:r>
            <w:r>
              <w:rPr>
                <w:rFonts w:ascii="Times New Roman" w:hAnsi="Times New Roman" w:eastAsia="宋体" w:cs="Times New Roman"/>
                <w:szCs w:val="21"/>
              </w:rPr>
              <w:t>预期目标具体、合理</w:t>
            </w:r>
            <w:r>
              <w:rPr>
                <w:rFonts w:hint="eastAsia" w:ascii="Times New Roman" w:hAnsi="Times New Roman" w:eastAsia="宋体" w:cs="Times New Roman"/>
                <w:szCs w:val="21"/>
              </w:rPr>
              <w:t>，</w:t>
            </w:r>
            <w:r>
              <w:rPr>
                <w:rFonts w:ascii="Times New Roman" w:hAnsi="Times New Roman" w:eastAsia="宋体" w:cs="Times New Roman"/>
                <w:szCs w:val="21"/>
              </w:rPr>
              <w:t>按要求列出参考文献</w:t>
            </w:r>
            <w:r>
              <w:rPr>
                <w:rFonts w:hint="eastAsia" w:ascii="Times New Roman" w:hAnsi="Times New Roman" w:eastAsia="宋体" w:cs="Times New Roman"/>
                <w:szCs w:val="21"/>
              </w:rPr>
              <w:t>，</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其他各等次评分标准参见《教育科学研究方法课程“研究方案设计”考核评分标准》，其中，有抄袭现象的直接按零分处理。</w:t>
            </w:r>
          </w:p>
        </w:tc>
        <w:tc>
          <w:tcPr>
            <w:tcW w:w="1021" w:type="dxa"/>
            <w:vAlign w:val="center"/>
          </w:tcPr>
          <w:p w14:paraId="599D658D">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4566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6B6A158D">
            <w:pPr>
              <w:rPr>
                <w:rFonts w:ascii="Times New Roman" w:hAnsi="Times New Roman" w:eastAsia="宋体" w:cs="Times New Roman"/>
                <w:b/>
                <w:bCs/>
                <w:szCs w:val="21"/>
              </w:rPr>
            </w:pPr>
            <w:r>
              <w:rPr>
                <w:rFonts w:hint="eastAsia" w:ascii="Times New Roman" w:hAnsi="Times New Roman" w:eastAsia="宋体" w:cs="Times New Roman"/>
                <w:b/>
                <w:bCs/>
                <w:szCs w:val="21"/>
              </w:rPr>
              <w:t>汇报展示</w:t>
            </w:r>
          </w:p>
        </w:tc>
        <w:tc>
          <w:tcPr>
            <w:tcW w:w="6026" w:type="dxa"/>
          </w:tcPr>
          <w:p w14:paraId="088388B5">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小组合作项目在学期末进行集中ppt汇报，每组每个项目的汇报时间不超过6分钟。每个小组成员均要进行汇报，每人每个项目的汇报时间1分钟左右。汇报展示的评价由教师评价和学生评价构成，主要考察学生对研究方法的掌握程度和语言表达的流利程度。</w:t>
            </w:r>
          </w:p>
        </w:tc>
        <w:tc>
          <w:tcPr>
            <w:tcW w:w="1021" w:type="dxa"/>
            <w:vAlign w:val="center"/>
          </w:tcPr>
          <w:p w14:paraId="5F94D40C">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r>
      <w:tr w14:paraId="5232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0B4FDD2E">
            <w:pP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6026" w:type="dxa"/>
          </w:tcPr>
          <w:p w14:paraId="78ECFA06">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特别说明：本课程为考核方法改革课程，学生完成个人考核项目（文献综述、研究方案设计、研究方法设计）并取得合格成绩，即为期末考试成绩合格，不再另行组织期末考试。评分细则见各项目评分标准。</w:t>
            </w:r>
          </w:p>
          <w:p w14:paraId="0A00A9F0">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说明：本部分满分</w:t>
            </w:r>
            <w:r>
              <w:rPr>
                <w:rFonts w:ascii="Times New Roman" w:hAnsi="Times New Roman" w:eastAsia="宋体" w:cs="Times New Roman"/>
                <w:szCs w:val="21"/>
              </w:rPr>
              <w:t>50</w:t>
            </w:r>
            <w:r>
              <w:rPr>
                <w:rFonts w:hint="eastAsia" w:ascii="Times New Roman" w:hAnsi="Times New Roman" w:eastAsia="宋体" w:cs="Times New Roman"/>
                <w:szCs w:val="21"/>
              </w:rPr>
              <w:t>分（即文献综述1</w:t>
            </w:r>
            <w:r>
              <w:rPr>
                <w:rFonts w:ascii="Times New Roman" w:hAnsi="Times New Roman" w:eastAsia="宋体" w:cs="Times New Roman"/>
                <w:szCs w:val="21"/>
              </w:rPr>
              <w:t>5</w:t>
            </w:r>
            <w:r>
              <w:rPr>
                <w:rFonts w:hint="eastAsia" w:ascii="Times New Roman" w:hAnsi="Times New Roman" w:eastAsia="宋体" w:cs="Times New Roman"/>
                <w:szCs w:val="21"/>
              </w:rPr>
              <w:t>分+研究方法设计1</w:t>
            </w:r>
            <w:r>
              <w:rPr>
                <w:rFonts w:ascii="Times New Roman" w:hAnsi="Times New Roman" w:eastAsia="宋体" w:cs="Times New Roman"/>
                <w:szCs w:val="21"/>
              </w:rPr>
              <w:t>5</w:t>
            </w:r>
            <w:r>
              <w:rPr>
                <w:rFonts w:hint="eastAsia" w:ascii="Times New Roman" w:hAnsi="Times New Roman" w:eastAsia="宋体" w:cs="Times New Roman"/>
                <w:szCs w:val="21"/>
              </w:rPr>
              <w:t>分+研究方案设计2</w:t>
            </w:r>
            <w:r>
              <w:rPr>
                <w:rFonts w:ascii="Times New Roman" w:hAnsi="Times New Roman" w:eastAsia="宋体" w:cs="Times New Roman"/>
                <w:szCs w:val="21"/>
              </w:rPr>
              <w:t>0</w:t>
            </w:r>
            <w:r>
              <w:rPr>
                <w:rFonts w:hint="eastAsia" w:ascii="Times New Roman" w:hAnsi="Times New Roman" w:eastAsia="宋体" w:cs="Times New Roman"/>
                <w:szCs w:val="21"/>
              </w:rPr>
              <w:t>），不重复计分。</w:t>
            </w:r>
          </w:p>
        </w:tc>
        <w:tc>
          <w:tcPr>
            <w:tcW w:w="1021" w:type="dxa"/>
            <w:vAlign w:val="center"/>
          </w:tcPr>
          <w:p w14:paraId="36B9B90F">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0%）</w:t>
            </w:r>
          </w:p>
        </w:tc>
      </w:tr>
      <w:tr w14:paraId="697B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12" w:type="dxa"/>
          </w:tcPr>
          <w:p w14:paraId="1B9746A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26" w:type="dxa"/>
          </w:tcPr>
          <w:p w14:paraId="1E189EF0">
            <w:pPr>
              <w:jc w:val="left"/>
              <w:rPr>
                <w:rFonts w:ascii="Times New Roman" w:hAnsi="Times New Roman" w:eastAsia="宋体" w:cs="Times New Roman"/>
                <w:szCs w:val="21"/>
              </w:rPr>
            </w:pPr>
          </w:p>
        </w:tc>
        <w:tc>
          <w:tcPr>
            <w:tcW w:w="1021" w:type="dxa"/>
            <w:vAlign w:val="center"/>
          </w:tcPr>
          <w:p w14:paraId="198B49D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56248C5">
      <w:pPr>
        <w:spacing w:line="360" w:lineRule="auto"/>
        <w:jc w:val="left"/>
        <w:rPr>
          <w:rFonts w:hint="eastAsia" w:ascii="宋体" w:hAnsi="宋体" w:eastAsia="宋体" w:cs="Times New Roman"/>
          <w:b/>
          <w:sz w:val="24"/>
          <w:szCs w:val="24"/>
        </w:rPr>
      </w:pPr>
    </w:p>
    <w:p w14:paraId="08BB2381">
      <w:pPr>
        <w:spacing w:line="360" w:lineRule="auto"/>
        <w:jc w:val="left"/>
        <w:rPr>
          <w:rFonts w:hint="eastAsia" w:ascii="宋体" w:hAnsi="宋体" w:eastAsia="宋体" w:cs="Times New Roman"/>
          <w:b/>
          <w:sz w:val="24"/>
          <w:szCs w:val="24"/>
        </w:rPr>
      </w:pPr>
      <w:r>
        <w:rPr>
          <w:rFonts w:hint="eastAsia" w:ascii="宋体" w:hAnsi="宋体" w:eastAsia="宋体" w:cs="Times New Roman"/>
          <w:b/>
          <w:sz w:val="24"/>
          <w:szCs w:val="24"/>
        </w:rPr>
        <w:t>（三）课程目标达成度计算方法</w:t>
      </w:r>
    </w:p>
    <w:p w14:paraId="72804659">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006E74C4">
      <w:pPr>
        <w:spacing w:before="156" w:beforeLines="50"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object>
          <v:shape id="_x0000_i1048" o:spt="75" type="#_x0000_t75" style="height:25.05pt;width:404.65pt;" o:ole="t" filled="f" o:preferrelative="t" stroked="f" coordsize="21600,21600">
            <v:path/>
            <v:fill on="f" focussize="0,0"/>
            <v:stroke on="f" joinstyle="miter"/>
            <v:imagedata r:id="rId5" o:title=""/>
            <o:lock v:ext="edit" aspectratio="t"/>
            <w10:wrap type="none"/>
            <w10:anchorlock/>
          </v:shape>
          <o:OLEObject Type="Embed" ProgID="Equation.3" ShapeID="_x0000_i1048" DrawAspect="Content" ObjectID="_1468075748" r:id="rId31">
            <o:LockedField>false</o:LockedField>
          </o:OLEObject>
        </w:object>
      </w:r>
    </w:p>
    <w:p w14:paraId="5792AE9D">
      <w:pPr>
        <w:spacing w:line="360" w:lineRule="auto"/>
        <w:outlineLvl w:val="0"/>
        <w:rPr>
          <w:rFonts w:hint="eastAsia" w:ascii="宋体" w:hAnsi="宋体" w:eastAsia="宋体" w:cs="Times New Roman"/>
          <w:b/>
          <w:sz w:val="28"/>
          <w:szCs w:val="28"/>
        </w:rPr>
      </w:pPr>
      <w:bookmarkStart w:id="879" w:name="_Toc14536"/>
      <w:r>
        <w:rPr>
          <w:rFonts w:hint="eastAsia" w:ascii="宋体" w:hAnsi="宋体" w:eastAsia="宋体" w:cs="Times New Roman"/>
          <w:b/>
          <w:sz w:val="28"/>
          <w:szCs w:val="28"/>
        </w:rPr>
        <w:t>五、课程实践（课内实践）</w:t>
      </w:r>
      <w:bookmarkEnd w:id="879"/>
    </w:p>
    <w:tbl>
      <w:tblPr>
        <w:tblStyle w:val="10"/>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2B6C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77CC13E0">
            <w:pPr>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610" w:type="dxa"/>
            <w:shd w:val="clear" w:color="auto" w:fill="FFFFFF"/>
            <w:vAlign w:val="center"/>
          </w:tcPr>
          <w:p w14:paraId="22BA9A1D">
            <w:pPr>
              <w:jc w:val="center"/>
              <w:rPr>
                <w:rFonts w:ascii="Times New Roman" w:hAnsi="Times New Roman" w:eastAsia="宋体" w:cs="Times New Roman"/>
                <w:szCs w:val="21"/>
              </w:rPr>
            </w:pPr>
            <w:r>
              <w:rPr>
                <w:rFonts w:hint="eastAsia" w:ascii="Times New Roman" w:hAnsi="Times New Roman" w:eastAsia="宋体" w:cs="Times New Roman"/>
                <w:szCs w:val="21"/>
              </w:rPr>
              <w:t>实验（实践）</w:t>
            </w:r>
          </w:p>
          <w:p w14:paraId="2119D0BA">
            <w:pPr>
              <w:jc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260" w:type="dxa"/>
            <w:shd w:val="clear" w:color="auto" w:fill="FFFFFF"/>
            <w:vAlign w:val="center"/>
          </w:tcPr>
          <w:p w14:paraId="3F7142AF">
            <w:pPr>
              <w:jc w:val="center"/>
              <w:rPr>
                <w:rFonts w:ascii="Times New Roman" w:hAnsi="Times New Roman" w:eastAsia="宋体" w:cs="Times New Roman"/>
                <w:szCs w:val="21"/>
              </w:rPr>
            </w:pPr>
            <w:r>
              <w:rPr>
                <w:rFonts w:hint="eastAsia" w:ascii="Times New Roman" w:hAnsi="Times New Roman" w:eastAsia="宋体" w:cs="Times New Roman"/>
                <w:szCs w:val="21"/>
              </w:rPr>
              <w:t>实验（实践）项目</w:t>
            </w:r>
          </w:p>
          <w:p w14:paraId="4253D9FB">
            <w:pPr>
              <w:jc w:val="center"/>
              <w:rPr>
                <w:rFonts w:ascii="Times New Roman" w:hAnsi="Times New Roman" w:eastAsia="宋体" w:cs="Times New Roman"/>
                <w:szCs w:val="21"/>
              </w:rPr>
            </w:pPr>
            <w:r>
              <w:rPr>
                <w:rFonts w:hint="eastAsia" w:ascii="Times New Roman" w:hAnsi="Times New Roman" w:eastAsia="宋体" w:cs="Times New Roman"/>
                <w:szCs w:val="21"/>
              </w:rPr>
              <w:t>内容及要求</w:t>
            </w:r>
          </w:p>
        </w:tc>
        <w:tc>
          <w:tcPr>
            <w:tcW w:w="1276" w:type="dxa"/>
            <w:shd w:val="clear" w:color="auto" w:fill="FFFFFF"/>
            <w:vAlign w:val="center"/>
          </w:tcPr>
          <w:p w14:paraId="64892FCA">
            <w:pPr>
              <w:jc w:val="center"/>
              <w:rPr>
                <w:rFonts w:ascii="Times New Roman" w:hAnsi="Times New Roman" w:eastAsia="宋体" w:cs="Times New Roman"/>
                <w:szCs w:val="21"/>
              </w:rPr>
            </w:pPr>
            <w:r>
              <w:rPr>
                <w:rFonts w:hint="eastAsia" w:ascii="Times New Roman" w:hAnsi="Times New Roman" w:eastAsia="宋体" w:cs="Times New Roman"/>
                <w:szCs w:val="21"/>
              </w:rPr>
              <w:t>对</w:t>
            </w:r>
            <w:r>
              <w:rPr>
                <w:rFonts w:ascii="Times New Roman" w:hAnsi="Times New Roman" w:eastAsia="宋体" w:cs="Times New Roman"/>
                <w:szCs w:val="21"/>
              </w:rPr>
              <w:t>毕业要求</w:t>
            </w:r>
          </w:p>
          <w:p w14:paraId="63BD06CE">
            <w:pPr>
              <w:jc w:val="center"/>
              <w:rPr>
                <w:rFonts w:ascii="Times New Roman" w:hAnsi="Times New Roman" w:eastAsia="宋体" w:cs="Times New Roman"/>
                <w:szCs w:val="21"/>
              </w:rPr>
            </w:pPr>
            <w:r>
              <w:rPr>
                <w:rFonts w:hint="eastAsia" w:ascii="Times New Roman" w:hAnsi="Times New Roman" w:eastAsia="宋体" w:cs="Times New Roman"/>
                <w:szCs w:val="21"/>
              </w:rPr>
              <w:t>的</w:t>
            </w:r>
            <w:r>
              <w:rPr>
                <w:rFonts w:ascii="Times New Roman" w:hAnsi="Times New Roman" w:eastAsia="宋体" w:cs="Times New Roman"/>
                <w:szCs w:val="21"/>
              </w:rPr>
              <w:t>支撑</w:t>
            </w:r>
          </w:p>
        </w:tc>
        <w:tc>
          <w:tcPr>
            <w:tcW w:w="708" w:type="dxa"/>
            <w:shd w:val="clear" w:color="auto" w:fill="FFFFFF"/>
            <w:vAlign w:val="center"/>
          </w:tcPr>
          <w:p w14:paraId="624DF0F0">
            <w:pPr>
              <w:rPr>
                <w:rFonts w:ascii="Times New Roman" w:hAnsi="Times New Roman" w:eastAsia="宋体" w:cs="Times New Roman"/>
                <w:szCs w:val="21"/>
              </w:rPr>
            </w:pPr>
            <w:r>
              <w:rPr>
                <w:rFonts w:ascii="Times New Roman" w:hAnsi="Times New Roman" w:eastAsia="宋体" w:cs="Times New Roman"/>
                <w:szCs w:val="21"/>
              </w:rPr>
              <w:t>学时</w:t>
            </w:r>
          </w:p>
        </w:tc>
        <w:tc>
          <w:tcPr>
            <w:tcW w:w="851" w:type="dxa"/>
            <w:shd w:val="clear" w:color="auto" w:fill="FFFFFF"/>
            <w:vAlign w:val="center"/>
          </w:tcPr>
          <w:p w14:paraId="4B9F1C5F">
            <w:pPr>
              <w:jc w:val="center"/>
              <w:rPr>
                <w:rFonts w:ascii="Times New Roman" w:hAnsi="Times New Roman" w:eastAsia="宋体" w:cs="Times New Roman"/>
                <w:szCs w:val="21"/>
              </w:rPr>
            </w:pPr>
            <w:r>
              <w:rPr>
                <w:rFonts w:hint="eastAsia" w:ascii="Times New Roman" w:hAnsi="Times New Roman" w:eastAsia="宋体" w:cs="Times New Roman"/>
                <w:szCs w:val="21"/>
              </w:rPr>
              <w:t>类型</w:t>
            </w:r>
          </w:p>
        </w:tc>
        <w:tc>
          <w:tcPr>
            <w:tcW w:w="908" w:type="dxa"/>
            <w:shd w:val="clear" w:color="auto" w:fill="FFFFFF"/>
            <w:vAlign w:val="center"/>
          </w:tcPr>
          <w:p w14:paraId="59DC61F0">
            <w:pPr>
              <w:jc w:val="center"/>
              <w:rPr>
                <w:rFonts w:ascii="Times New Roman" w:hAnsi="Times New Roman" w:eastAsia="宋体" w:cs="Times New Roman"/>
                <w:szCs w:val="21"/>
              </w:rPr>
            </w:pPr>
            <w:r>
              <w:rPr>
                <w:rFonts w:hint="eastAsia" w:ascii="Times New Roman" w:hAnsi="Times New Roman" w:eastAsia="宋体" w:cs="Times New Roman"/>
                <w:szCs w:val="21"/>
              </w:rPr>
              <w:t>备注</w:t>
            </w:r>
          </w:p>
        </w:tc>
      </w:tr>
      <w:tr w14:paraId="6EC0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0FF41805">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610" w:type="dxa"/>
            <w:vAlign w:val="center"/>
          </w:tcPr>
          <w:p w14:paraId="38754650">
            <w:pPr>
              <w:jc w:val="left"/>
              <w:rPr>
                <w:rFonts w:ascii="Times New Roman" w:hAnsi="Times New Roman" w:eastAsia="宋体" w:cs="Times New Roman"/>
                <w:szCs w:val="21"/>
              </w:rPr>
            </w:pPr>
            <w:r>
              <w:rPr>
                <w:rFonts w:hint="eastAsia" w:ascii="Times New Roman" w:hAnsi="Times New Roman" w:eastAsia="宋体" w:cs="Times New Roman"/>
                <w:szCs w:val="21"/>
              </w:rPr>
              <w:t>教育实验研究方案设计</w:t>
            </w:r>
          </w:p>
        </w:tc>
        <w:tc>
          <w:tcPr>
            <w:tcW w:w="3260" w:type="dxa"/>
            <w:vAlign w:val="center"/>
          </w:tcPr>
          <w:p w14:paraId="7AB5323E">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内容：以小组为单位，进行教育实验方案设计。</w:t>
            </w:r>
          </w:p>
          <w:p w14:paraId="4F30B9ED">
            <w:pPr>
              <w:jc w:val="left"/>
              <w:rPr>
                <w:rFonts w:ascii="Times New Roman" w:hAnsi="Times New Roman" w:eastAsia="宋体" w:cs="Times New Roman"/>
                <w:szCs w:val="21"/>
              </w:rPr>
            </w:pPr>
            <w:r>
              <w:rPr>
                <w:rFonts w:hint="eastAsia" w:ascii="Times New Roman" w:hAnsi="Times New Roman" w:eastAsia="宋体" w:cs="Times New Roman"/>
                <w:szCs w:val="21"/>
              </w:rPr>
              <w:t>要求：选题适当，实验目的明确，实验假设和统计假设表述正确，自变量取值水平及实验处理合理，因变量分解及测量方法科学，提高实验效度的措施有效。</w:t>
            </w:r>
          </w:p>
        </w:tc>
        <w:tc>
          <w:tcPr>
            <w:tcW w:w="1276" w:type="dxa"/>
            <w:vAlign w:val="center"/>
          </w:tcPr>
          <w:p w14:paraId="5F2FEE74">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16896F56">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6024AD20">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1140DA4D">
            <w:pPr>
              <w:jc w:val="center"/>
              <w:rPr>
                <w:rFonts w:ascii="Times New Roman" w:hAnsi="Times New Roman" w:eastAsia="宋体" w:cs="Times New Roman"/>
                <w:szCs w:val="21"/>
              </w:rPr>
            </w:pPr>
            <w:r>
              <w:rPr>
                <w:rFonts w:hint="eastAsia" w:ascii="Times New Roman" w:hAnsi="Times New Roman" w:eastAsia="宋体" w:cs="Times New Roman"/>
                <w:szCs w:val="21"/>
              </w:rPr>
              <w:t>必做</w:t>
            </w:r>
          </w:p>
        </w:tc>
      </w:tr>
      <w:tr w14:paraId="78AA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56B06F2C">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610" w:type="dxa"/>
            <w:vAlign w:val="center"/>
          </w:tcPr>
          <w:p w14:paraId="01A698FE">
            <w:pPr>
              <w:jc w:val="left"/>
              <w:rPr>
                <w:rFonts w:ascii="Times New Roman" w:hAnsi="Times New Roman" w:eastAsia="宋体" w:cs="Times New Roman"/>
                <w:szCs w:val="21"/>
              </w:rPr>
            </w:pPr>
            <w:r>
              <w:rPr>
                <w:rFonts w:hint="eastAsia" w:ascii="Times New Roman" w:hAnsi="Times New Roman" w:eastAsia="宋体" w:cs="Times New Roman"/>
                <w:szCs w:val="21"/>
              </w:rPr>
              <w:t>教育个案研究</w:t>
            </w:r>
          </w:p>
          <w:p w14:paraId="732D927E">
            <w:pPr>
              <w:jc w:val="left"/>
              <w:rPr>
                <w:rFonts w:ascii="Times New Roman" w:hAnsi="Times New Roman" w:eastAsia="宋体" w:cs="Times New Roman"/>
                <w:szCs w:val="21"/>
              </w:rPr>
            </w:pPr>
            <w:r>
              <w:rPr>
                <w:rFonts w:hint="eastAsia" w:ascii="Times New Roman" w:hAnsi="Times New Roman" w:eastAsia="宋体" w:cs="Times New Roman"/>
                <w:szCs w:val="21"/>
              </w:rPr>
              <w:t>方案设计</w:t>
            </w:r>
          </w:p>
        </w:tc>
        <w:tc>
          <w:tcPr>
            <w:tcW w:w="3260" w:type="dxa"/>
            <w:vAlign w:val="center"/>
          </w:tcPr>
          <w:p w14:paraId="5E2ABD82">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内容：以小组为单位，进行个案研究方案设计。</w:t>
            </w:r>
          </w:p>
          <w:p w14:paraId="7D9454CA">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5364E24C">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43E044E9">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52155C09">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3CEFFE8F">
            <w:pPr>
              <w:jc w:val="center"/>
              <w:rPr>
                <w:rFonts w:ascii="Times New Roman" w:hAnsi="Times New Roman" w:eastAsia="宋体" w:cs="Times New Roman"/>
                <w:szCs w:val="21"/>
              </w:rPr>
            </w:pPr>
            <w:r>
              <w:rPr>
                <w:rFonts w:hint="eastAsia" w:ascii="Times New Roman" w:hAnsi="Times New Roman" w:eastAsia="宋体" w:cs="Times New Roman"/>
                <w:szCs w:val="21"/>
              </w:rPr>
              <w:t>选做</w:t>
            </w:r>
          </w:p>
        </w:tc>
      </w:tr>
      <w:tr w14:paraId="0547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7224EDFA">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610" w:type="dxa"/>
            <w:vAlign w:val="center"/>
          </w:tcPr>
          <w:p w14:paraId="6C4F0BF3">
            <w:pPr>
              <w:jc w:val="left"/>
              <w:rPr>
                <w:rFonts w:ascii="Times New Roman" w:hAnsi="Times New Roman" w:eastAsia="宋体" w:cs="Times New Roman"/>
                <w:szCs w:val="21"/>
              </w:rPr>
            </w:pPr>
            <w:r>
              <w:rPr>
                <w:rFonts w:hint="eastAsia" w:ascii="Times New Roman" w:hAnsi="Times New Roman" w:eastAsia="宋体" w:cs="Times New Roman"/>
                <w:szCs w:val="21"/>
              </w:rPr>
              <w:t>教育叙事研究方案设计</w:t>
            </w:r>
          </w:p>
        </w:tc>
        <w:tc>
          <w:tcPr>
            <w:tcW w:w="3260" w:type="dxa"/>
            <w:vAlign w:val="center"/>
          </w:tcPr>
          <w:p w14:paraId="66C0D358">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内容：以小组为单位，进行教育叙事研究方案设计。</w:t>
            </w:r>
          </w:p>
          <w:p w14:paraId="5002124D">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5FA96A6E">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44405586">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49402850">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050EE699">
            <w:pPr>
              <w:jc w:val="center"/>
              <w:rPr>
                <w:rFonts w:ascii="Times New Roman" w:hAnsi="Times New Roman" w:eastAsia="宋体" w:cs="Times New Roman"/>
                <w:szCs w:val="21"/>
              </w:rPr>
            </w:pPr>
            <w:r>
              <w:rPr>
                <w:rFonts w:hint="eastAsia" w:ascii="Times New Roman" w:hAnsi="Times New Roman" w:eastAsia="宋体" w:cs="Times New Roman"/>
                <w:szCs w:val="21"/>
              </w:rPr>
              <w:t>选做</w:t>
            </w:r>
          </w:p>
        </w:tc>
      </w:tr>
      <w:tr w14:paraId="001A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02A742B1">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610" w:type="dxa"/>
            <w:vAlign w:val="center"/>
          </w:tcPr>
          <w:p w14:paraId="181FFF35">
            <w:pPr>
              <w:jc w:val="left"/>
              <w:rPr>
                <w:rFonts w:ascii="Times New Roman" w:hAnsi="Times New Roman" w:eastAsia="宋体" w:cs="Times New Roman"/>
                <w:szCs w:val="21"/>
              </w:rPr>
            </w:pPr>
            <w:r>
              <w:rPr>
                <w:rFonts w:hint="eastAsia" w:ascii="Times New Roman" w:hAnsi="Times New Roman" w:eastAsia="宋体" w:cs="Times New Roman"/>
                <w:szCs w:val="21"/>
              </w:rPr>
              <w:t>教育行动研究方案设计</w:t>
            </w:r>
          </w:p>
        </w:tc>
        <w:tc>
          <w:tcPr>
            <w:tcW w:w="3260" w:type="dxa"/>
            <w:vAlign w:val="center"/>
          </w:tcPr>
          <w:p w14:paraId="5237B75A">
            <w:pPr>
              <w:jc w:val="left"/>
              <w:rPr>
                <w:rFonts w:ascii="Times New Roman" w:hAnsi="Times New Roman" w:eastAsia="宋体" w:cs="Times New Roman"/>
                <w:szCs w:val="21"/>
              </w:rPr>
            </w:pPr>
            <w:r>
              <w:rPr>
                <w:rFonts w:hint="eastAsia" w:ascii="Times New Roman" w:hAnsi="Times New Roman" w:eastAsia="宋体" w:cs="Times New Roman"/>
                <w:szCs w:val="21"/>
              </w:rPr>
              <w:t>内容：结合教育实践，以小组为单位，讨论分析在小学教育教学实践中感到困惑的“现象”。选择一个合适的课题，进行教育行动研究方案设计。</w:t>
            </w:r>
          </w:p>
          <w:p w14:paraId="22E1C367">
            <w:pPr>
              <w:jc w:val="left"/>
              <w:rPr>
                <w:rFonts w:ascii="Times New Roman" w:hAnsi="Times New Roman" w:eastAsia="宋体" w:cs="Times New Roman"/>
                <w:szCs w:val="21"/>
              </w:rPr>
            </w:pPr>
            <w:r>
              <w:rPr>
                <w:rFonts w:hint="eastAsia" w:ascii="Times New Roman" w:hAnsi="Times New Roman" w:eastAsia="宋体" w:cs="Times New Roman"/>
                <w:szCs w:val="21"/>
              </w:rPr>
              <w:t>要求：研究目的明确，问题界定清晰，研究计划详细具体，研究策略与方法科学合理。</w:t>
            </w:r>
          </w:p>
        </w:tc>
        <w:tc>
          <w:tcPr>
            <w:tcW w:w="1276" w:type="dxa"/>
            <w:vAlign w:val="center"/>
          </w:tcPr>
          <w:p w14:paraId="2E3D5605">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66B4457C">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851" w:type="dxa"/>
            <w:vAlign w:val="center"/>
          </w:tcPr>
          <w:p w14:paraId="66F3FB59">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779275E4">
            <w:pPr>
              <w:jc w:val="center"/>
              <w:rPr>
                <w:rFonts w:ascii="Times New Roman" w:hAnsi="Times New Roman" w:eastAsia="宋体" w:cs="Times New Roman"/>
                <w:szCs w:val="21"/>
              </w:rPr>
            </w:pPr>
            <w:r>
              <w:rPr>
                <w:rFonts w:hint="eastAsia" w:ascii="Times New Roman" w:hAnsi="Times New Roman" w:eastAsia="宋体" w:cs="Times New Roman"/>
                <w:szCs w:val="21"/>
              </w:rPr>
              <w:t>选做</w:t>
            </w:r>
          </w:p>
        </w:tc>
      </w:tr>
    </w:tbl>
    <w:p w14:paraId="17B5216B">
      <w:pPr>
        <w:spacing w:line="360" w:lineRule="auto"/>
        <w:ind w:firstLine="562" w:firstLineChars="200"/>
        <w:outlineLvl w:val="0"/>
        <w:rPr>
          <w:rFonts w:hint="eastAsia" w:ascii="宋体" w:hAnsi="宋体" w:eastAsia="宋体" w:cs="Times New Roman"/>
          <w:b/>
          <w:sz w:val="28"/>
          <w:szCs w:val="28"/>
        </w:rPr>
      </w:pPr>
    </w:p>
    <w:p w14:paraId="5BB00B26">
      <w:pPr>
        <w:spacing w:line="360" w:lineRule="auto"/>
        <w:jc w:val="left"/>
        <w:rPr>
          <w:rFonts w:ascii="Times New Roman" w:hAnsi="Times New Roman" w:eastAsia="宋体" w:cs="Times New Roman"/>
          <w:b/>
          <w:bCs/>
          <w:sz w:val="32"/>
          <w:szCs w:val="32"/>
        </w:rPr>
      </w:pPr>
      <w:r>
        <w:rPr>
          <w:rFonts w:hint="eastAsia" w:ascii="宋体" w:hAnsi="宋体" w:eastAsia="宋体" w:cs="Times New Roman"/>
          <w:b/>
          <w:sz w:val="28"/>
          <w:szCs w:val="28"/>
        </w:rPr>
        <w:t>六、有关说明</w:t>
      </w:r>
    </w:p>
    <w:p w14:paraId="15FBF293">
      <w:pPr>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（一）持续改进</w:t>
      </w:r>
    </w:p>
    <w:p w14:paraId="1677A7E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主讲教师利用指导学生教育见习、实习的机会，认真听取优秀毕业生对本课程教学改革的建议；根据基础教育改革与研究的需要，及时优化、调整教学内容。</w:t>
      </w:r>
    </w:p>
    <w:p w14:paraId="5B94535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6F90E43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根据学生个人及小组合作项目作业完成情况，及时发现课程评价中存在的问题，不断优化课程评价方式。</w:t>
      </w:r>
    </w:p>
    <w:p w14:paraId="6810285E">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 xml:space="preserve">4. </w:t>
      </w:r>
      <w:r>
        <w:rPr>
          <w:rFonts w:hint="eastAsia" w:ascii="Times New Roman" w:hAnsi="Times New Roman" w:eastAsia="宋体" w:cs="Times New Roman"/>
          <w:szCs w:val="21"/>
        </w:rPr>
        <w:t>虚心听取领导、督导、教师听课评价意见和建议，努力提高教学质量。</w:t>
      </w:r>
    </w:p>
    <w:p w14:paraId="7821F566">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 每一轮开课结束后，课程组召开研讨会，探讨课程教学中的盲点、难点和痛点问题，找准课程改革的切入点和教学质量的增长点，确保课程目标对毕业要求形成有力支撑。</w:t>
      </w:r>
    </w:p>
    <w:p w14:paraId="7EEE0850">
      <w:pPr>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（二）建议教材</w:t>
      </w:r>
    </w:p>
    <w:p w14:paraId="79CDC19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温忠麟主编《教育研究方法基础》，高等教育出版社，2</w:t>
      </w:r>
      <w:r>
        <w:rPr>
          <w:rFonts w:ascii="Times New Roman" w:hAnsi="Times New Roman" w:eastAsia="宋体" w:cs="Times New Roman"/>
          <w:szCs w:val="21"/>
        </w:rPr>
        <w:t>017</w:t>
      </w:r>
      <w:r>
        <w:rPr>
          <w:rFonts w:hint="eastAsia" w:ascii="Times New Roman" w:hAnsi="Times New Roman" w:eastAsia="宋体" w:cs="Times New Roman"/>
          <w:szCs w:val="21"/>
        </w:rPr>
        <w:t>年，第三版</w:t>
      </w:r>
    </w:p>
    <w:p w14:paraId="528DE855">
      <w:pPr>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（三）参考书目</w:t>
      </w:r>
    </w:p>
    <w:p w14:paraId="7409A0FE">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1．孙德芳等：小学教育科研方法，西南师范大学出版社，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54B5654F">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2．张志杰等：教育科研方法，北京师范大学出版社，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年，第一版；</w:t>
      </w:r>
    </w:p>
    <w:p w14:paraId="17A74876">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3. 胡中锋：教育科学方法，中国人民大学出版社，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26A4EE5C">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4. 王红艳：小学教育研究方法，北京大学出版社，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7DFB76F1">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 荷兰芝等：教育研究方法，同济大学出版社，</w:t>
      </w:r>
      <w:r>
        <w:rPr>
          <w:rFonts w:hint="eastAsia" w:ascii="Times New Roman" w:hAnsi="Times New Roman" w:eastAsia="宋体" w:cs="Times New Roman"/>
          <w:szCs w:val="21"/>
        </w:rPr>
        <w:t xml:space="preserve"> 2</w:t>
      </w:r>
      <w:r>
        <w:rPr>
          <w:rFonts w:ascii="Times New Roman" w:hAnsi="Times New Roman" w:eastAsia="宋体" w:cs="Times New Roman"/>
          <w:szCs w:val="21"/>
        </w:rPr>
        <w:t>020</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72AD754D">
      <w:pPr>
        <w:rPr>
          <w:rFonts w:hint="eastAsia"/>
        </w:rPr>
      </w:pPr>
    </w:p>
    <w:p w14:paraId="558B11A5">
      <w:pPr>
        <w:rPr>
          <w:rFonts w:hint="eastAsia"/>
        </w:rPr>
      </w:pPr>
    </w:p>
    <w:p w14:paraId="12E23461">
      <w:pPr>
        <w:rPr>
          <w:rFonts w:hint="eastAsia"/>
        </w:rPr>
      </w:pPr>
    </w:p>
    <w:p w14:paraId="67DC2E19">
      <w:pPr>
        <w:rPr>
          <w:rFonts w:hint="eastAsia"/>
        </w:rPr>
      </w:pPr>
    </w:p>
    <w:p w14:paraId="3CFBD653">
      <w:pPr>
        <w:rPr>
          <w:rFonts w:hint="eastAsia"/>
        </w:rPr>
      </w:pPr>
    </w:p>
    <w:p w14:paraId="669A1F4A">
      <w:pPr>
        <w:rPr>
          <w:rFonts w:hint="eastAsia"/>
        </w:rPr>
      </w:pPr>
    </w:p>
    <w:p w14:paraId="1D819AB9">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潘金林</w:t>
      </w:r>
    </w:p>
    <w:p w14:paraId="68342434">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王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健</w:t>
      </w:r>
    </w:p>
    <w:p w14:paraId="6830B658">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1228EFE2">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39208FD">
      <w:pPr>
        <w:spacing w:line="360" w:lineRule="auto"/>
        <w:jc w:val="right"/>
        <w:rPr>
          <w:rFonts w:ascii="Times New Roman" w:hAnsi="Times New Roman" w:eastAsia="宋体" w:cs="Times New Roman"/>
          <w:sz w:val="24"/>
          <w:szCs w:val="24"/>
        </w:rPr>
      </w:pPr>
    </w:p>
    <w:p w14:paraId="2C192005">
      <w:pPr>
        <w:rPr>
          <w:rFonts w:hint="eastAsia" w:ascii="等线" w:hAnsi="等线" w:eastAsia="等线" w:cs="Times New Roman"/>
          <w:sz w:val="24"/>
          <w:szCs w:val="22"/>
        </w:rPr>
      </w:pPr>
      <w:r>
        <w:rPr>
          <w:rFonts w:hint="eastAsia" w:ascii="等线" w:hAnsi="等线" w:eastAsia="等线" w:cs="Times New Roman"/>
          <w:sz w:val="24"/>
          <w:szCs w:val="22"/>
        </w:rPr>
        <w:br w:type="page"/>
      </w:r>
    </w:p>
    <w:p w14:paraId="1393A9A6">
      <w:pPr>
        <w:pStyle w:val="2"/>
        <w:bidi w:val="0"/>
        <w:rPr>
          <w:lang w:val="en-US" w:eastAsia="zh-CN"/>
        </w:rPr>
      </w:pPr>
      <w:bookmarkStart w:id="880" w:name="_Toc23047"/>
      <w:bookmarkStart w:id="881" w:name="_Toc28982"/>
      <w:bookmarkStart w:id="882" w:name="_Toc19684"/>
      <w:bookmarkStart w:id="883" w:name="_Toc25486"/>
      <w:r>
        <w:rPr>
          <w:rFonts w:hint="eastAsia"/>
          <w:lang w:val="en-US" w:eastAsia="zh-CN"/>
        </w:rPr>
        <w:t>《小学班队管理》课程教学大纲</w:t>
      </w:r>
      <w:bookmarkEnd w:id="880"/>
      <w:bookmarkEnd w:id="881"/>
      <w:bookmarkEnd w:id="882"/>
      <w:bookmarkEnd w:id="883"/>
    </w:p>
    <w:p w14:paraId="488F3FD0">
      <w:pPr>
        <w:pStyle w:val="2"/>
        <w:bidi w:val="0"/>
        <w:rPr>
          <w:lang w:val="en-US" w:eastAsia="zh-CN"/>
        </w:rPr>
      </w:pPr>
      <w:bookmarkStart w:id="884" w:name="_Toc19799"/>
      <w:bookmarkStart w:id="885" w:name="_Toc29188"/>
      <w:bookmarkStart w:id="886" w:name="_Toc12597"/>
      <w:bookmarkStart w:id="887" w:name="_Toc2598"/>
      <w:bookmarkStart w:id="888" w:name="_Toc4376"/>
      <w:bookmarkStart w:id="889" w:name="_Toc14689"/>
      <w:bookmarkStart w:id="890" w:name="_Toc23245"/>
      <w:r>
        <w:rPr>
          <w:rFonts w:hint="eastAsia"/>
          <w:lang w:val="en-US" w:eastAsia="zh-CN"/>
        </w:rPr>
        <w:t>（Class  Management）</w:t>
      </w:r>
      <w:bookmarkEnd w:id="884"/>
      <w:bookmarkEnd w:id="885"/>
      <w:bookmarkEnd w:id="886"/>
      <w:bookmarkEnd w:id="887"/>
      <w:bookmarkEnd w:id="888"/>
      <w:bookmarkEnd w:id="889"/>
      <w:bookmarkEnd w:id="890"/>
    </w:p>
    <w:p w14:paraId="4A12333C">
      <w:pPr>
        <w:spacing w:line="360" w:lineRule="auto"/>
        <w:ind w:firstLine="482" w:firstLineChars="200"/>
        <w:jc w:val="left"/>
        <w:rPr>
          <w:rFonts w:hint="eastAsia" w:ascii="Times New Roman" w:hAnsi="Times New Roman" w:eastAsia="宋体" w:cs="Times New Roman"/>
          <w:b/>
          <w:sz w:val="24"/>
          <w:szCs w:val="24"/>
        </w:rPr>
      </w:pPr>
    </w:p>
    <w:p w14:paraId="0FA3C4C9">
      <w:pPr>
        <w:spacing w:line="360" w:lineRule="auto"/>
        <w:ind w:firstLine="482" w:firstLineChars="200"/>
        <w:jc w:val="left"/>
        <w:rPr>
          <w:rFonts w:hint="eastAsia" w:ascii="Times New Roman" w:hAnsi="Times New Roman" w:eastAsia="宋体" w:cs="Times New Roman"/>
          <w:b/>
          <w:sz w:val="24"/>
          <w:szCs w:val="24"/>
        </w:rPr>
      </w:pPr>
    </w:p>
    <w:p w14:paraId="5D4C7D4F">
      <w:pPr>
        <w:spacing w:line="360" w:lineRule="auto"/>
        <w:ind w:firstLine="482" w:firstLineChars="200"/>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小学班队管理</w:t>
      </w:r>
    </w:p>
    <w:p w14:paraId="7EA0E3CA">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课程代码：24010</w:t>
      </w:r>
      <w:r>
        <w:rPr>
          <w:rFonts w:hint="eastAsia" w:ascii="Times New Roman" w:hAnsi="Times New Roman" w:eastAsia="宋体" w:cs="Times New Roman"/>
          <w:b/>
          <w:sz w:val="24"/>
          <w:szCs w:val="24"/>
          <w:lang w:val="en-US" w:eastAsia="zh-CN"/>
        </w:rPr>
        <w:t>13</w:t>
      </w:r>
    </w:p>
    <w:p w14:paraId="5993CAB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71C2BF26">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r>
        <w:rPr>
          <w:rFonts w:hint="eastAsia" w:ascii="Times New Roman" w:hAnsi="Times New Roman" w:eastAsia="宋体" w:cs="Times New Roman"/>
          <w:b/>
          <w:sz w:val="24"/>
          <w:szCs w:val="24"/>
          <w:lang w:val="en-US" w:eastAsia="zh-CN"/>
        </w:rPr>
        <w:t>（其中，讲授学时24，实践学时8）</w:t>
      </w:r>
    </w:p>
    <w:p w14:paraId="2D23FA8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先修课程：小学心理学、教育原理、教育心理学、小学教育政策与法规</w:t>
      </w:r>
    </w:p>
    <w:p w14:paraId="567FDC8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399D1500">
      <w:pPr>
        <w:spacing w:line="360" w:lineRule="auto"/>
        <w:jc w:val="left"/>
        <w:rPr>
          <w:rFonts w:ascii="Times New Roman" w:hAnsi="Times New Roman" w:eastAsia="宋体" w:cs="Times New Roman"/>
          <w:b/>
          <w:sz w:val="24"/>
          <w:szCs w:val="24"/>
        </w:rPr>
      </w:pPr>
    </w:p>
    <w:p w14:paraId="12F4DDDD">
      <w:pPr>
        <w:spacing w:line="360" w:lineRule="auto"/>
        <w:jc w:val="left"/>
        <w:outlineLvl w:val="0"/>
        <w:rPr>
          <w:rFonts w:ascii="Times New Roman" w:hAnsi="Times New Roman" w:eastAsia="宋体" w:cs="Times New Roman"/>
          <w:sz w:val="24"/>
          <w:szCs w:val="24"/>
        </w:rPr>
      </w:pPr>
      <w:bookmarkStart w:id="891" w:name="_Toc24227"/>
      <w:bookmarkStart w:id="892" w:name="_Toc4794"/>
      <w:bookmarkStart w:id="893" w:name="_Toc10675"/>
      <w:bookmarkStart w:id="894" w:name="_Toc19671"/>
      <w:bookmarkStart w:id="895" w:name="_Toc28790"/>
      <w:bookmarkStart w:id="896" w:name="_Toc7698"/>
      <w:bookmarkStart w:id="897" w:name="_Toc6185"/>
      <w:r>
        <w:rPr>
          <w:rFonts w:hint="eastAsia" w:ascii="Times New Roman" w:hAnsi="Times New Roman" w:eastAsia="宋体" w:cs="Times New Roman"/>
          <w:b/>
          <w:sz w:val="24"/>
          <w:szCs w:val="24"/>
        </w:rPr>
        <w:t>一、课程简介</w:t>
      </w:r>
      <w:bookmarkEnd w:id="891"/>
      <w:bookmarkEnd w:id="892"/>
      <w:bookmarkEnd w:id="893"/>
      <w:bookmarkEnd w:id="894"/>
      <w:bookmarkEnd w:id="895"/>
      <w:bookmarkEnd w:id="896"/>
      <w:bookmarkEnd w:id="897"/>
    </w:p>
    <w:p w14:paraId="02C65E7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对于学生形成班队组织与管理能力，落实立德树人根本任务具有重要作用。通过本课程的学习，学生进一步理解小学班队管理的目的和意义，掌握小学班队管理的系统理论和基本方法，形成新型的班队管理理念，具备制定班队管理计划、开展班队管理工作的能力，为其今后从事班主任工作和少先队工作奠定基础。</w:t>
      </w:r>
    </w:p>
    <w:p w14:paraId="5100FB6C">
      <w:pPr>
        <w:spacing w:line="360" w:lineRule="auto"/>
        <w:jc w:val="left"/>
        <w:rPr>
          <w:rFonts w:hint="eastAsia" w:ascii="宋体" w:hAnsi="宋体" w:eastAsia="宋体" w:cs="Times New Roman"/>
          <w:b/>
          <w:color w:val="000000"/>
          <w:szCs w:val="21"/>
        </w:rPr>
      </w:pPr>
    </w:p>
    <w:p w14:paraId="647D2E89">
      <w:pPr>
        <w:spacing w:line="360" w:lineRule="auto"/>
        <w:jc w:val="left"/>
        <w:outlineLvl w:val="0"/>
        <w:rPr>
          <w:rFonts w:ascii="Times New Roman" w:hAnsi="Times New Roman" w:eastAsia="宋体" w:cs="Times New Roman"/>
          <w:sz w:val="24"/>
          <w:szCs w:val="24"/>
        </w:rPr>
      </w:pPr>
      <w:bookmarkStart w:id="898" w:name="_Toc26179"/>
      <w:bookmarkStart w:id="899" w:name="_Toc11692"/>
      <w:bookmarkStart w:id="900" w:name="_Toc14259"/>
      <w:bookmarkStart w:id="901" w:name="_Toc5513"/>
      <w:bookmarkStart w:id="902" w:name="_Toc17027"/>
      <w:bookmarkStart w:id="903" w:name="_Toc10635"/>
      <w:bookmarkStart w:id="904" w:name="_Toc14465"/>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898"/>
      <w:bookmarkEnd w:id="899"/>
      <w:bookmarkEnd w:id="900"/>
      <w:bookmarkEnd w:id="901"/>
      <w:bookmarkEnd w:id="902"/>
      <w:bookmarkEnd w:id="903"/>
      <w:bookmarkEnd w:id="904"/>
    </w:p>
    <w:p w14:paraId="241D92F3">
      <w:pPr>
        <w:spacing w:line="360" w:lineRule="auto"/>
        <w:ind w:firstLine="422" w:firstLineChars="200"/>
        <w:outlineLvl w:val="1"/>
        <w:rPr>
          <w:rFonts w:hint="eastAsia" w:ascii="宋体" w:hAnsi="宋体" w:eastAsia="宋体" w:cs="Times New Roman"/>
          <w:b/>
          <w:color w:val="000000"/>
          <w:szCs w:val="21"/>
        </w:rPr>
      </w:pPr>
      <w:bookmarkStart w:id="905" w:name="_Toc17058"/>
      <w:r>
        <w:rPr>
          <w:rFonts w:hint="eastAsia" w:ascii="宋体" w:hAnsi="宋体" w:eastAsia="宋体" w:cs="Times New Roman"/>
          <w:b/>
          <w:color w:val="000000"/>
          <w:szCs w:val="21"/>
        </w:rPr>
        <w:t>（一）课程具体目标</w:t>
      </w:r>
      <w:bookmarkEnd w:id="905"/>
    </w:p>
    <w:p w14:paraId="41D74C25">
      <w:pPr>
        <w:spacing w:before="156" w:beforeLines="50" w:after="156" w:after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目标1：</w:t>
      </w:r>
      <w:r>
        <w:rPr>
          <w:rFonts w:hint="eastAsia" w:ascii="Times New Roman" w:hAnsi="Times New Roman" w:eastAsia="宋体" w:cs="Times New Roman"/>
          <w:b w:val="0"/>
          <w:bCs/>
          <w:szCs w:val="21"/>
        </w:rPr>
        <w:t>理解小学班级和小学班队管理的特性，领会班队管理对学生发展的重要作用；熟悉班主任的职责和应具备的基本素养，明晰班主任的专业发展路径与方法，确立成长为优秀班主任的基本愿景。</w:t>
      </w:r>
    </w:p>
    <w:p w14:paraId="3353B8C3">
      <w:pPr>
        <w:spacing w:before="156" w:beforeLines="50" w:after="156" w:afterLines="50" w:line="360" w:lineRule="auto"/>
        <w:jc w:val="left"/>
        <w:rPr>
          <w:rFonts w:hint="eastAsia" w:ascii="Times New Roman" w:hAnsi="Times New Roman" w:eastAsia="宋体" w:cs="Times New Roman"/>
          <w:b w:val="0"/>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 w:val="0"/>
          <w:bCs/>
          <w:szCs w:val="21"/>
        </w:rPr>
        <w:t>了解小学班队管理的主要内容，系统掌握班队常规、班队组织、班队活动、班队环境、学生问题行为、家校合作等方面管理的基本理论与方法，能够在工作实践中，科学制定班级工作计划和班队常规，具有合理组织和开展班队活动、创建班队文化的能力。</w:t>
      </w:r>
    </w:p>
    <w:p w14:paraId="55EB82BB">
      <w:pPr>
        <w:spacing w:before="156" w:beforeLines="50" w:after="156" w:afterLines="50" w:line="360" w:lineRule="auto"/>
        <w:jc w:val="left"/>
        <w:rPr>
          <w:rFonts w:hint="eastAsia" w:ascii="Times New Roman" w:hAnsi="Times New Roman" w:eastAsia="宋体" w:cs="Times New Roman"/>
          <w:b w:val="0"/>
          <w:bCs/>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val="0"/>
          <w:bCs/>
          <w:szCs w:val="21"/>
        </w:rPr>
        <w:t>能够运用班队管理的理论与方法，分析班主任与不同类型学生的关系处理，及时觉察学生问题行并进行有效干预；能够与任课教师、学生、家长进行良好的沟通与合作。</w:t>
      </w:r>
    </w:p>
    <w:p w14:paraId="573750FC">
      <w:pPr>
        <w:spacing w:before="156" w:beforeLines="50" w:after="156" w:afterLines="50" w:line="360" w:lineRule="auto"/>
        <w:ind w:firstLine="422" w:firstLineChars="200"/>
        <w:jc w:val="left"/>
        <w:outlineLvl w:val="1"/>
        <w:rPr>
          <w:rFonts w:ascii="Times New Roman" w:hAnsi="Times New Roman" w:eastAsia="宋体" w:cs="Times New Roman"/>
          <w:b/>
          <w:bCs/>
          <w:szCs w:val="21"/>
        </w:rPr>
      </w:pPr>
      <w:bookmarkStart w:id="906" w:name="_Toc20344"/>
      <w:r>
        <w:rPr>
          <w:rFonts w:hint="eastAsia" w:ascii="Times New Roman" w:hAnsi="Times New Roman" w:eastAsia="宋体" w:cs="Times New Roman"/>
          <w:b/>
          <w:bCs/>
          <w:szCs w:val="21"/>
        </w:rPr>
        <w:t>（二）课程目标及其对毕业要求指标点的支撑</w:t>
      </w:r>
      <w:bookmarkEnd w:id="906"/>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604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D6C3B2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F1407F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A1B832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85E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1938D2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19C5CA02">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0F182A50">
            <w:pPr>
              <w:spacing w:line="276"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1</w:t>
            </w:r>
          </w:p>
        </w:tc>
      </w:tr>
      <w:tr w14:paraId="4D05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E6F97B4">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毕业要求5班级管理</w:t>
            </w:r>
          </w:p>
        </w:tc>
        <w:tc>
          <w:tcPr>
            <w:tcW w:w="5688" w:type="dxa"/>
            <w:vAlign w:val="center"/>
          </w:tcPr>
          <w:p w14:paraId="4B8D165E">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5-1：【擅长班队管理】具有小学德育工作体验，树立德育为先的理念，熟悉小学德育的基本原理与方法。获得小学班队组织与建设的体验。掌握小学班队组织与建设的工作规律和基本方法，具有班队建设和管理的基本能力。</w:t>
            </w:r>
          </w:p>
        </w:tc>
        <w:tc>
          <w:tcPr>
            <w:tcW w:w="1191" w:type="dxa"/>
            <w:vAlign w:val="center"/>
          </w:tcPr>
          <w:p w14:paraId="0D143BFD">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课程目标2</w:t>
            </w:r>
          </w:p>
        </w:tc>
      </w:tr>
      <w:tr w14:paraId="550B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19E5671">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毕业要求6综合育人</w:t>
            </w:r>
          </w:p>
        </w:tc>
        <w:tc>
          <w:tcPr>
            <w:tcW w:w="5688" w:type="dxa"/>
            <w:vAlign w:val="center"/>
          </w:tcPr>
          <w:p w14:paraId="202D45C0">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5D5422DC">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课程目标2</w:t>
            </w:r>
          </w:p>
        </w:tc>
      </w:tr>
      <w:tr w14:paraId="0050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9E9BA82">
            <w:pPr>
              <w:spacing w:line="276"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8沟通合作</w:t>
            </w:r>
          </w:p>
        </w:tc>
        <w:tc>
          <w:tcPr>
            <w:tcW w:w="5688" w:type="dxa"/>
            <w:vAlign w:val="center"/>
          </w:tcPr>
          <w:p w14:paraId="7B2FB337">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指标点8-2：【学会沟通交流】掌握人际沟通合作技能与方法，在教育教学实践中，能与学生和家长以及同行、同事、专家进行有效沟通与合作，实现共同发展。</w:t>
            </w:r>
          </w:p>
        </w:tc>
        <w:tc>
          <w:tcPr>
            <w:tcW w:w="1191" w:type="dxa"/>
            <w:vAlign w:val="center"/>
          </w:tcPr>
          <w:p w14:paraId="64FC6EB9">
            <w:pPr>
              <w:spacing w:line="276"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课程目标2</w:t>
            </w: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3</w:t>
            </w:r>
          </w:p>
        </w:tc>
      </w:tr>
    </w:tbl>
    <w:p w14:paraId="0C0F78AE">
      <w:pPr>
        <w:spacing w:before="156" w:beforeLines="50" w:line="360" w:lineRule="auto"/>
        <w:jc w:val="left"/>
        <w:outlineLvl w:val="1"/>
        <w:rPr>
          <w:rFonts w:hint="eastAsia" w:ascii="宋体" w:hAnsi="宋体" w:eastAsia="宋体" w:cs="Times New Roman"/>
          <w:b/>
          <w:color w:val="000000"/>
          <w:szCs w:val="21"/>
        </w:rPr>
      </w:pPr>
      <w:bookmarkStart w:id="907" w:name="_Toc3719"/>
      <w:r>
        <w:rPr>
          <w:rFonts w:hint="eastAsia" w:ascii="宋体" w:hAnsi="宋体" w:eastAsia="宋体" w:cs="Times New Roman"/>
          <w:b/>
          <w:color w:val="000000"/>
          <w:szCs w:val="21"/>
        </w:rPr>
        <w:t>（三）课程思政目标</w:t>
      </w:r>
      <w:bookmarkEnd w:id="907"/>
    </w:p>
    <w:p w14:paraId="1C2CFB1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理解小学班级</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少先队以及</w:t>
      </w:r>
      <w:r>
        <w:rPr>
          <w:rFonts w:hint="eastAsia" w:ascii="宋体" w:hAnsi="宋体" w:eastAsia="宋体" w:cs="Times New Roman"/>
          <w:color w:val="000000"/>
          <w:szCs w:val="21"/>
        </w:rPr>
        <w:t>小学班队管理的特性，领会班队管理对学生发展的重要作用</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自觉落实立德树人根本任务，促进学生健康成长</w:t>
      </w:r>
      <w:r>
        <w:rPr>
          <w:rFonts w:hint="eastAsia" w:ascii="宋体" w:hAnsi="宋体" w:eastAsia="宋体" w:cs="Times New Roman"/>
          <w:color w:val="000000"/>
          <w:szCs w:val="21"/>
        </w:rPr>
        <w:t>；熟悉班主任的职责和应具备的基本素养，明晰班主任的专业发展路径与方法，确立成长为优秀班主任的基本愿景</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做学生成长的“四个引路人”</w:t>
      </w:r>
      <w:r>
        <w:rPr>
          <w:rFonts w:hint="eastAsia" w:ascii="宋体" w:hAnsi="宋体" w:eastAsia="宋体" w:cs="Times New Roman"/>
          <w:color w:val="000000"/>
          <w:szCs w:val="21"/>
        </w:rPr>
        <w:t>。</w:t>
      </w:r>
    </w:p>
    <w:p w14:paraId="1672DE34">
      <w:pPr>
        <w:spacing w:line="360" w:lineRule="auto"/>
        <w:jc w:val="left"/>
        <w:outlineLvl w:val="0"/>
        <w:rPr>
          <w:rFonts w:hint="eastAsia" w:ascii="宋体" w:hAnsi="宋体" w:eastAsia="宋体" w:cs="Times New Roman"/>
          <w:b/>
          <w:color w:val="000000"/>
          <w:sz w:val="24"/>
          <w:szCs w:val="24"/>
        </w:rPr>
      </w:pPr>
      <w:bookmarkStart w:id="908" w:name="_Toc9691"/>
      <w:bookmarkStart w:id="909" w:name="_Toc27841"/>
      <w:bookmarkStart w:id="910" w:name="_Toc31446"/>
      <w:bookmarkStart w:id="911" w:name="_Toc3404"/>
      <w:bookmarkStart w:id="912" w:name="_Toc27182"/>
      <w:bookmarkStart w:id="913" w:name="_Toc24498"/>
      <w:bookmarkStart w:id="914" w:name="_Toc22245"/>
      <w:r>
        <w:rPr>
          <w:rFonts w:hint="eastAsia" w:ascii="宋体" w:hAnsi="宋体" w:eastAsia="宋体" w:cs="Times New Roman"/>
          <w:b/>
          <w:color w:val="000000"/>
          <w:sz w:val="24"/>
          <w:szCs w:val="24"/>
        </w:rPr>
        <w:t>三、教学内容与预期学习成效</w:t>
      </w:r>
      <w:bookmarkEnd w:id="908"/>
      <w:bookmarkEnd w:id="909"/>
      <w:bookmarkEnd w:id="910"/>
      <w:bookmarkEnd w:id="911"/>
      <w:bookmarkEnd w:id="912"/>
      <w:bookmarkEnd w:id="913"/>
      <w:bookmarkEnd w:id="914"/>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616"/>
        <w:gridCol w:w="1175"/>
        <w:gridCol w:w="3692"/>
        <w:gridCol w:w="1573"/>
        <w:gridCol w:w="438"/>
      </w:tblGrid>
      <w:tr w14:paraId="464C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6FE7B45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E2264F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616" w:type="dxa"/>
            <w:vAlign w:val="center"/>
          </w:tcPr>
          <w:p w14:paraId="7D24D8F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75" w:type="dxa"/>
            <w:vAlign w:val="center"/>
          </w:tcPr>
          <w:p w14:paraId="2DAC581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114E1C7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692" w:type="dxa"/>
            <w:vAlign w:val="center"/>
          </w:tcPr>
          <w:p w14:paraId="43F9ECA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73" w:type="dxa"/>
            <w:vAlign w:val="center"/>
          </w:tcPr>
          <w:p w14:paraId="531BC41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FC0031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793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64BC714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1.小学班队与班队管理</w:t>
            </w:r>
          </w:p>
        </w:tc>
        <w:tc>
          <w:tcPr>
            <w:tcW w:w="1616" w:type="dxa"/>
            <w:vAlign w:val="center"/>
          </w:tcPr>
          <w:p w14:paraId="776C2B3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（1）小学班队概述</w:t>
            </w:r>
          </w:p>
          <w:p w14:paraId="6FF498B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（2）小学班队管理</w:t>
            </w:r>
          </w:p>
          <w:p w14:paraId="13DE781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（3）小学班队管理目标与计划</w:t>
            </w:r>
          </w:p>
        </w:tc>
        <w:tc>
          <w:tcPr>
            <w:tcW w:w="1175" w:type="dxa"/>
            <w:vAlign w:val="center"/>
          </w:tcPr>
          <w:p w14:paraId="3578DAD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p>
        </w:tc>
        <w:tc>
          <w:tcPr>
            <w:tcW w:w="3692" w:type="dxa"/>
            <w:vAlign w:val="center"/>
          </w:tcPr>
          <w:p w14:paraId="77FFE40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明确班级、班级管理的概念，树立班队管理主体多元化的意识；</w:t>
            </w:r>
          </w:p>
          <w:p w14:paraId="6C4B3BB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理解小学班级和小学班队管理的特征；</w:t>
            </w:r>
          </w:p>
          <w:p w14:paraId="5FCA6FB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知道班级组织的发展现状与趋势；</w:t>
            </w:r>
          </w:p>
          <w:p w14:paraId="7CDCFFD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理解与班级管理相关的理论，树立以理论指导班级管理实践的意识。</w:t>
            </w:r>
          </w:p>
        </w:tc>
        <w:tc>
          <w:tcPr>
            <w:tcW w:w="1573" w:type="dxa"/>
            <w:vAlign w:val="center"/>
          </w:tcPr>
          <w:p w14:paraId="5F057AB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48ED1C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课内实践</w:t>
            </w:r>
          </w:p>
          <w:p w14:paraId="780CCC6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单元</w:t>
            </w:r>
            <w:r>
              <w:rPr>
                <w:rFonts w:hint="eastAsia" w:ascii="宋体" w:hAnsi="宋体" w:eastAsia="宋体" w:cs="Times New Roman"/>
                <w:color w:val="000000"/>
                <w:szCs w:val="21"/>
              </w:rPr>
              <w:t>测验</w:t>
            </w:r>
          </w:p>
          <w:p w14:paraId="215DE442">
            <w:pPr>
              <w:spacing w:line="269" w:lineRule="auto"/>
              <w:jc w:val="left"/>
              <w:rPr>
                <w:rFonts w:hint="eastAsia" w:ascii="宋体" w:hAnsi="宋体" w:eastAsia="宋体" w:cs="Times New Roman"/>
                <w:color w:val="000000"/>
                <w:szCs w:val="21"/>
              </w:rPr>
            </w:pPr>
          </w:p>
        </w:tc>
        <w:tc>
          <w:tcPr>
            <w:tcW w:w="438" w:type="dxa"/>
            <w:vAlign w:val="center"/>
          </w:tcPr>
          <w:p w14:paraId="534B4F36">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5975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B60B459">
            <w:pPr>
              <w:spacing w:line="264" w:lineRule="auto"/>
              <w:jc w:val="center"/>
              <w:rPr>
                <w:rFonts w:hint="eastAsia" w:ascii="宋体" w:hAnsi="宋体" w:eastAsia="宋体" w:cs="Times New Roman"/>
                <w:color w:val="000000"/>
                <w:szCs w:val="21"/>
              </w:rPr>
            </w:pPr>
          </w:p>
        </w:tc>
        <w:tc>
          <w:tcPr>
            <w:tcW w:w="8494" w:type="dxa"/>
            <w:gridSpan w:val="5"/>
            <w:vAlign w:val="center"/>
          </w:tcPr>
          <w:p w14:paraId="6DCE9D9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理解“立德树人”的重要价值和意义，树立德育为先的理念；准确把握教育发展规律和学生身心发展规律。</w:t>
            </w:r>
          </w:p>
        </w:tc>
      </w:tr>
      <w:tr w14:paraId="284B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7A915AA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2.小学班队管理者</w:t>
            </w:r>
          </w:p>
        </w:tc>
        <w:tc>
          <w:tcPr>
            <w:tcW w:w="1616" w:type="dxa"/>
            <w:vAlign w:val="center"/>
          </w:tcPr>
          <w:p w14:paraId="7DC544F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（1）班队管理者的角色</w:t>
            </w:r>
          </w:p>
          <w:p w14:paraId="48FE91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（2）班队管理者的领导力及素养</w:t>
            </w:r>
          </w:p>
          <w:p w14:paraId="4A8A3A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（2）班队管理者的专业发展</w:t>
            </w:r>
          </w:p>
        </w:tc>
        <w:tc>
          <w:tcPr>
            <w:tcW w:w="1175" w:type="dxa"/>
            <w:vAlign w:val="center"/>
          </w:tcPr>
          <w:p w14:paraId="657B5A23">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w:t>
            </w:r>
          </w:p>
        </w:tc>
        <w:tc>
          <w:tcPr>
            <w:tcW w:w="3692" w:type="dxa"/>
            <w:vAlign w:val="center"/>
          </w:tcPr>
          <w:p w14:paraId="21B5E66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1.熟悉班主任的职责，明确班主任与其他班级管理主体的关系；理解班主任的职责边界；</w:t>
            </w:r>
          </w:p>
          <w:p w14:paraId="6301FD4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理解班主任与其管理对象——小学班级及小学生的关系，树立多重角色意识；</w:t>
            </w:r>
          </w:p>
          <w:p w14:paraId="4050849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了解班主任应享有的权利，坚定从事班主任工作的信心；</w:t>
            </w:r>
          </w:p>
          <w:p w14:paraId="35A0C42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明确班主任应具备的基本素养，促进自我专业成长。</w:t>
            </w:r>
          </w:p>
        </w:tc>
        <w:tc>
          <w:tcPr>
            <w:tcW w:w="1573" w:type="dxa"/>
            <w:vAlign w:val="center"/>
          </w:tcPr>
          <w:p w14:paraId="0926040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6FC1EE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课堂讨论</w:t>
            </w:r>
          </w:p>
          <w:p w14:paraId="599B885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3.平时作业</w:t>
            </w:r>
          </w:p>
          <w:p w14:paraId="6D5B388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单元</w:t>
            </w:r>
            <w:r>
              <w:rPr>
                <w:rFonts w:hint="eastAsia" w:ascii="宋体" w:hAnsi="宋体" w:eastAsia="宋体" w:cs="Times New Roman"/>
                <w:color w:val="000000"/>
                <w:szCs w:val="21"/>
              </w:rPr>
              <w:t>测验</w:t>
            </w:r>
          </w:p>
        </w:tc>
        <w:tc>
          <w:tcPr>
            <w:tcW w:w="438" w:type="dxa"/>
            <w:vAlign w:val="center"/>
          </w:tcPr>
          <w:p w14:paraId="725B617B">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0077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FB2FA48">
            <w:pPr>
              <w:spacing w:line="264" w:lineRule="auto"/>
              <w:jc w:val="center"/>
              <w:rPr>
                <w:rFonts w:hint="eastAsia" w:ascii="宋体" w:hAnsi="宋体" w:eastAsia="宋体" w:cs="Times New Roman"/>
                <w:color w:val="000000"/>
                <w:szCs w:val="21"/>
              </w:rPr>
            </w:pPr>
          </w:p>
        </w:tc>
        <w:tc>
          <w:tcPr>
            <w:tcW w:w="8494" w:type="dxa"/>
            <w:gridSpan w:val="5"/>
            <w:vAlign w:val="center"/>
          </w:tcPr>
          <w:p w14:paraId="76FED364">
            <w:pPr>
              <w:spacing w:line="360"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和形成良好的教师职业道德规范，具有依法执教的意识，培育师范生成为有理想信念、有道德情操、有扎实学识、有仁爱之心的好教师。培养学生的职业认同感，认同教师职业的专业性与意义性，形成良好的职业理想与较强的敬业精神。</w:t>
            </w:r>
          </w:p>
        </w:tc>
      </w:tr>
      <w:tr w14:paraId="4626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7376A45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3.小学班队常规管理</w:t>
            </w:r>
          </w:p>
        </w:tc>
        <w:tc>
          <w:tcPr>
            <w:tcW w:w="1616" w:type="dxa"/>
            <w:vAlign w:val="center"/>
          </w:tcPr>
          <w:p w14:paraId="2275C31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（1）小学班队规范的制定</w:t>
            </w:r>
          </w:p>
          <w:p w14:paraId="6DC408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（2）小学班队常规教育</w:t>
            </w:r>
          </w:p>
          <w:p w14:paraId="128320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（3）教育惩戒</w:t>
            </w:r>
          </w:p>
        </w:tc>
        <w:tc>
          <w:tcPr>
            <w:tcW w:w="1175" w:type="dxa"/>
            <w:vAlign w:val="center"/>
          </w:tcPr>
          <w:p w14:paraId="6BE3A69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w:t>
            </w:r>
          </w:p>
        </w:tc>
        <w:tc>
          <w:tcPr>
            <w:tcW w:w="3692" w:type="dxa"/>
            <w:vAlign w:val="center"/>
          </w:tcPr>
          <w:p w14:paraId="2DDFF3F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1.认识小学班队规范的类型与内容；</w:t>
            </w:r>
          </w:p>
          <w:p w14:paraId="2DE9038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明确小学班队规范制定的要求；</w:t>
            </w:r>
          </w:p>
          <w:p w14:paraId="118BD31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掌握小学班队常规教育的意义以及有效执行班规的策略；</w:t>
            </w:r>
          </w:p>
          <w:p w14:paraId="45C532D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理解教育惩戒的作用，知道教育惩戒的运用范围，在教育实践中能够合理运用教育惩戒</w:t>
            </w:r>
          </w:p>
        </w:tc>
        <w:tc>
          <w:tcPr>
            <w:tcW w:w="1573" w:type="dxa"/>
            <w:vAlign w:val="center"/>
          </w:tcPr>
          <w:p w14:paraId="4F2BA24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1.多媒体教学</w:t>
            </w:r>
          </w:p>
          <w:p w14:paraId="3BCC452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ascii="宋体" w:hAnsi="宋体" w:eastAsia="宋体" w:cs="Times New Roman"/>
                <w:color w:val="000000"/>
                <w:szCs w:val="21"/>
              </w:rPr>
              <w:t>.</w:t>
            </w:r>
            <w:r>
              <w:rPr>
                <w:rFonts w:hint="eastAsia" w:ascii="宋体" w:hAnsi="宋体" w:eastAsia="宋体" w:cs="Times New Roman"/>
                <w:color w:val="000000"/>
                <w:szCs w:val="21"/>
                <w:lang w:val="en-US" w:eastAsia="zh-CN"/>
              </w:rPr>
              <w:t>课内实践</w:t>
            </w:r>
          </w:p>
          <w:p w14:paraId="654DCE0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3.单元</w:t>
            </w:r>
            <w:r>
              <w:rPr>
                <w:rFonts w:ascii="宋体" w:hAnsi="宋体" w:eastAsia="宋体" w:cs="Times New Roman"/>
                <w:color w:val="000000"/>
                <w:szCs w:val="21"/>
              </w:rPr>
              <w:t>测验</w:t>
            </w:r>
          </w:p>
        </w:tc>
        <w:tc>
          <w:tcPr>
            <w:tcW w:w="438" w:type="dxa"/>
            <w:vAlign w:val="center"/>
          </w:tcPr>
          <w:p w14:paraId="0E61B7B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264D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2D2568AB">
            <w:pPr>
              <w:spacing w:line="264" w:lineRule="auto"/>
              <w:jc w:val="center"/>
              <w:rPr>
                <w:rFonts w:hint="eastAsia" w:ascii="宋体" w:hAnsi="宋体" w:eastAsia="宋体" w:cs="Times New Roman"/>
                <w:color w:val="000000"/>
                <w:szCs w:val="21"/>
              </w:rPr>
            </w:pPr>
          </w:p>
        </w:tc>
        <w:tc>
          <w:tcPr>
            <w:tcW w:w="8494" w:type="dxa"/>
            <w:gridSpan w:val="5"/>
            <w:vAlign w:val="center"/>
          </w:tcPr>
          <w:p w14:paraId="3347404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了解教育惩戒的作用与运用范围，遵循教育规律，正确运用教育惩戒。</w:t>
            </w:r>
          </w:p>
        </w:tc>
      </w:tr>
      <w:tr w14:paraId="114F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6A0419F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4.小学班队组织管理</w:t>
            </w:r>
          </w:p>
        </w:tc>
        <w:tc>
          <w:tcPr>
            <w:tcW w:w="1616" w:type="dxa"/>
            <w:vAlign w:val="center"/>
          </w:tcPr>
          <w:p w14:paraId="4FA5CE5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（1）小学班集体的形成</w:t>
            </w:r>
          </w:p>
          <w:p w14:paraId="79E32B7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（2）小学班队组织结构</w:t>
            </w:r>
          </w:p>
          <w:p w14:paraId="209FA20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（3）非正式群体的类型与教育</w:t>
            </w:r>
          </w:p>
        </w:tc>
        <w:tc>
          <w:tcPr>
            <w:tcW w:w="1175" w:type="dxa"/>
            <w:vAlign w:val="center"/>
          </w:tcPr>
          <w:p w14:paraId="64A48BA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3E615DA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1.掌握班级和少先队的组织结构；</w:t>
            </w:r>
          </w:p>
          <w:p w14:paraId="27056E0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 xml:space="preserve">了解班队干部的产生方式与培养；            </w:t>
            </w:r>
          </w:p>
          <w:p w14:paraId="7240D5E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掌握对非正式群体的教育策略。</w:t>
            </w:r>
          </w:p>
        </w:tc>
        <w:tc>
          <w:tcPr>
            <w:tcW w:w="1573" w:type="dxa"/>
            <w:vAlign w:val="center"/>
          </w:tcPr>
          <w:p w14:paraId="555FB09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1.多媒体教学</w:t>
            </w:r>
          </w:p>
          <w:p w14:paraId="56084F6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ascii="宋体" w:hAnsi="宋体" w:eastAsia="宋体" w:cs="Times New Roman"/>
                <w:color w:val="000000"/>
                <w:szCs w:val="21"/>
              </w:rPr>
              <w:t>.</w:t>
            </w:r>
            <w:r>
              <w:rPr>
                <w:rFonts w:hint="eastAsia" w:ascii="宋体" w:hAnsi="宋体" w:eastAsia="宋体" w:cs="Times New Roman"/>
                <w:color w:val="000000"/>
                <w:szCs w:val="21"/>
                <w:lang w:val="en-US" w:eastAsia="zh-CN"/>
              </w:rPr>
              <w:t>课堂讨论</w:t>
            </w:r>
          </w:p>
          <w:p w14:paraId="43106FC2">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3.平时作业</w:t>
            </w:r>
          </w:p>
          <w:p w14:paraId="13C043B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4.单元</w:t>
            </w:r>
            <w:r>
              <w:rPr>
                <w:rFonts w:ascii="宋体" w:hAnsi="宋体" w:eastAsia="宋体" w:cs="Times New Roman"/>
                <w:color w:val="000000"/>
                <w:szCs w:val="21"/>
              </w:rPr>
              <w:t>测验</w:t>
            </w:r>
          </w:p>
        </w:tc>
        <w:tc>
          <w:tcPr>
            <w:tcW w:w="438" w:type="dxa"/>
            <w:vAlign w:val="center"/>
          </w:tcPr>
          <w:p w14:paraId="0EA9DED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773A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708E59DA">
            <w:pPr>
              <w:spacing w:line="276" w:lineRule="auto"/>
              <w:jc w:val="center"/>
              <w:rPr>
                <w:rFonts w:hint="eastAsia" w:ascii="宋体" w:hAnsi="宋体" w:eastAsia="宋体" w:cs="Times New Roman"/>
                <w:color w:val="000000"/>
                <w:szCs w:val="21"/>
              </w:rPr>
            </w:pPr>
          </w:p>
        </w:tc>
        <w:tc>
          <w:tcPr>
            <w:tcW w:w="8494" w:type="dxa"/>
            <w:gridSpan w:val="5"/>
            <w:vAlign w:val="center"/>
          </w:tcPr>
          <w:p w14:paraId="35DBA9E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理解班队组织的价值和意义，坚定学好组织建设的意识并为之而努力。</w:t>
            </w:r>
          </w:p>
        </w:tc>
      </w:tr>
      <w:tr w14:paraId="7773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485C29C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5.小学班队</w:t>
            </w:r>
            <w:r>
              <w:rPr>
                <w:rFonts w:hint="eastAsia" w:ascii="宋体" w:hAnsi="宋体" w:eastAsia="宋体" w:cs="Times New Roman"/>
                <w:color w:val="000000"/>
                <w:szCs w:val="21"/>
                <w:lang w:val="en-US" w:eastAsia="zh-CN"/>
              </w:rPr>
              <w:t>活动</w:t>
            </w:r>
            <w:r>
              <w:rPr>
                <w:rFonts w:hint="eastAsia" w:ascii="宋体" w:hAnsi="宋体" w:eastAsia="宋体" w:cs="Times New Roman"/>
                <w:color w:val="000000"/>
                <w:szCs w:val="21"/>
              </w:rPr>
              <w:t>管理</w:t>
            </w:r>
          </w:p>
        </w:tc>
        <w:tc>
          <w:tcPr>
            <w:tcW w:w="1616" w:type="dxa"/>
            <w:vAlign w:val="center"/>
          </w:tcPr>
          <w:p w14:paraId="2F50328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（1）小学班队活动概述</w:t>
            </w:r>
          </w:p>
          <w:p w14:paraId="434AD69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（2）小学班队活动的类型</w:t>
            </w:r>
          </w:p>
          <w:p w14:paraId="46B1860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（3）小学班队活动的设计与组织</w:t>
            </w:r>
          </w:p>
        </w:tc>
        <w:tc>
          <w:tcPr>
            <w:tcW w:w="1175" w:type="dxa"/>
            <w:vAlign w:val="center"/>
          </w:tcPr>
          <w:p w14:paraId="0EED6959">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p>
        </w:tc>
        <w:tc>
          <w:tcPr>
            <w:tcW w:w="3692" w:type="dxa"/>
            <w:vAlign w:val="center"/>
          </w:tcPr>
          <w:p w14:paraId="251513C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1.理解班队活动的意义，提升对班队活动价值的认识；</w:t>
            </w:r>
          </w:p>
          <w:p w14:paraId="08BCB76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初步掌握班队活动的方法和策略；</w:t>
            </w:r>
          </w:p>
          <w:p w14:paraId="7DB73FEC">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能根据班级活动的特点及规律进行班队活动的设计</w:t>
            </w:r>
            <w:r>
              <w:rPr>
                <w:rFonts w:hint="eastAsia" w:ascii="宋体" w:hAnsi="宋体" w:eastAsia="宋体" w:cs="Times New Roman"/>
                <w:color w:val="000000"/>
                <w:szCs w:val="21"/>
                <w:lang w:eastAsia="zh-CN"/>
              </w:rPr>
              <w:t>。</w:t>
            </w:r>
          </w:p>
        </w:tc>
        <w:tc>
          <w:tcPr>
            <w:tcW w:w="1573" w:type="dxa"/>
            <w:vAlign w:val="center"/>
          </w:tcPr>
          <w:p w14:paraId="632035B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6FDD48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2.课内实践</w:t>
            </w:r>
          </w:p>
          <w:p w14:paraId="14D334B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单元</w:t>
            </w:r>
            <w:r>
              <w:rPr>
                <w:rFonts w:hint="eastAsia" w:ascii="宋体" w:hAnsi="宋体" w:eastAsia="宋体" w:cs="Times New Roman"/>
                <w:color w:val="000000"/>
                <w:szCs w:val="21"/>
              </w:rPr>
              <w:t>测验</w:t>
            </w:r>
          </w:p>
        </w:tc>
        <w:tc>
          <w:tcPr>
            <w:tcW w:w="438" w:type="dxa"/>
            <w:vAlign w:val="center"/>
          </w:tcPr>
          <w:p w14:paraId="7F717708">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7F27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5D1DEF3A">
            <w:pPr>
              <w:spacing w:line="276" w:lineRule="auto"/>
              <w:jc w:val="center"/>
              <w:rPr>
                <w:rFonts w:hint="eastAsia" w:ascii="宋体" w:hAnsi="宋体" w:eastAsia="宋体" w:cs="Times New Roman"/>
                <w:color w:val="000000"/>
                <w:szCs w:val="21"/>
              </w:rPr>
            </w:pPr>
          </w:p>
        </w:tc>
        <w:tc>
          <w:tcPr>
            <w:tcW w:w="8494" w:type="dxa"/>
            <w:gridSpan w:val="5"/>
            <w:vAlign w:val="center"/>
          </w:tcPr>
          <w:p w14:paraId="11ED554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理解“三全育人”的作用和价值，增强</w:t>
            </w:r>
            <w:r>
              <w:rPr>
                <w:rFonts w:hint="eastAsia" w:ascii="宋体" w:hAnsi="宋体" w:eastAsia="宋体" w:cs="Times New Roman"/>
                <w:color w:val="000000"/>
                <w:szCs w:val="21"/>
                <w:lang w:val="en-US" w:eastAsia="zh-CN"/>
              </w:rPr>
              <w:t>活动育人的意识</w:t>
            </w:r>
            <w:r>
              <w:rPr>
                <w:rFonts w:hint="eastAsia" w:ascii="宋体" w:hAnsi="宋体" w:eastAsia="宋体" w:cs="Times New Roman"/>
                <w:color w:val="000000"/>
                <w:szCs w:val="21"/>
              </w:rPr>
              <w:t>。</w:t>
            </w:r>
          </w:p>
        </w:tc>
      </w:tr>
      <w:tr w14:paraId="4B61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5574D67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6.小学班队环境管理</w:t>
            </w:r>
          </w:p>
        </w:tc>
        <w:tc>
          <w:tcPr>
            <w:tcW w:w="1616" w:type="dxa"/>
            <w:vAlign w:val="center"/>
          </w:tcPr>
          <w:p w14:paraId="28294E7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（1）教室环境布置</w:t>
            </w:r>
          </w:p>
          <w:p w14:paraId="2E405BC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（2）班队人际沟通</w:t>
            </w:r>
          </w:p>
          <w:p w14:paraId="7DC984C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（3）班风建设</w:t>
            </w:r>
          </w:p>
        </w:tc>
        <w:tc>
          <w:tcPr>
            <w:tcW w:w="1175" w:type="dxa"/>
            <w:vAlign w:val="center"/>
          </w:tcPr>
          <w:p w14:paraId="0571959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692" w:type="dxa"/>
            <w:vAlign w:val="center"/>
          </w:tcPr>
          <w:p w14:paraId="21DDCE7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1.了解班队环境管理的内容；</w:t>
            </w:r>
          </w:p>
          <w:p w14:paraId="4985D21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了解教室环境布置的要求；</w:t>
            </w:r>
          </w:p>
          <w:p w14:paraId="11B4D55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掌握班队人际沟通方式及师生沟通中应注意的事项；</w:t>
            </w:r>
          </w:p>
          <w:p w14:paraId="7EC4C6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掌握班风建设的要求。</w:t>
            </w:r>
          </w:p>
        </w:tc>
        <w:tc>
          <w:tcPr>
            <w:tcW w:w="1573" w:type="dxa"/>
            <w:vAlign w:val="center"/>
          </w:tcPr>
          <w:p w14:paraId="46D8220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6B9E97E">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课堂讨论</w:t>
            </w:r>
          </w:p>
          <w:p w14:paraId="483345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课内实践</w:t>
            </w:r>
          </w:p>
          <w:p w14:paraId="22B3E18A">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4.单元测验</w:t>
            </w:r>
          </w:p>
          <w:p w14:paraId="6EE0E23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5.学期考查</w:t>
            </w:r>
          </w:p>
        </w:tc>
        <w:tc>
          <w:tcPr>
            <w:tcW w:w="438" w:type="dxa"/>
            <w:vAlign w:val="center"/>
          </w:tcPr>
          <w:p w14:paraId="0DB24BF6">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7329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682B572D">
            <w:pPr>
              <w:spacing w:line="276" w:lineRule="auto"/>
              <w:jc w:val="center"/>
              <w:rPr>
                <w:rFonts w:hint="eastAsia" w:ascii="宋体" w:hAnsi="宋体" w:eastAsia="宋体" w:cs="Times New Roman"/>
                <w:color w:val="000000"/>
                <w:szCs w:val="21"/>
              </w:rPr>
            </w:pPr>
          </w:p>
        </w:tc>
        <w:tc>
          <w:tcPr>
            <w:tcW w:w="8494" w:type="dxa"/>
            <w:gridSpan w:val="5"/>
            <w:vAlign w:val="center"/>
          </w:tcPr>
          <w:p w14:paraId="7EC1BD0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理解“立德树人”的意义，自觉探索儿童成长成才的规律</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增强文化育人的意识</w:t>
            </w:r>
            <w:r>
              <w:rPr>
                <w:rFonts w:hint="eastAsia" w:ascii="宋体" w:hAnsi="宋体" w:eastAsia="宋体" w:cs="Times New Roman"/>
                <w:color w:val="000000"/>
                <w:szCs w:val="21"/>
              </w:rPr>
              <w:t>。</w:t>
            </w:r>
          </w:p>
        </w:tc>
      </w:tr>
      <w:tr w14:paraId="18A1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496ACACD">
            <w:pPr>
              <w:spacing w:line="276" w:lineRule="auto"/>
              <w:jc w:val="center"/>
              <w:rPr>
                <w:rFonts w:hint="eastAsia" w:ascii="宋体" w:hAnsi="宋体" w:eastAsia="宋体" w:cs="Times New Roman"/>
                <w:szCs w:val="21"/>
              </w:rPr>
            </w:pPr>
            <w:r>
              <w:rPr>
                <w:rFonts w:hint="eastAsia" w:ascii="宋体" w:hAnsi="宋体" w:eastAsia="宋体" w:cs="Times New Roman"/>
                <w:szCs w:val="21"/>
              </w:rPr>
              <w:t>7.学生问题行为管理</w:t>
            </w:r>
          </w:p>
        </w:tc>
        <w:tc>
          <w:tcPr>
            <w:tcW w:w="1616" w:type="dxa"/>
            <w:vAlign w:val="center"/>
          </w:tcPr>
          <w:p w14:paraId="0F55606A">
            <w:pPr>
              <w:spacing w:line="276" w:lineRule="auto"/>
              <w:jc w:val="left"/>
              <w:rPr>
                <w:rFonts w:hint="eastAsia" w:ascii="宋体" w:hAnsi="宋体" w:eastAsia="宋体" w:cs="Times New Roman"/>
                <w:szCs w:val="21"/>
              </w:rPr>
            </w:pPr>
            <w:r>
              <w:rPr>
                <w:rFonts w:hint="eastAsia" w:ascii="宋体" w:hAnsi="宋体" w:eastAsia="宋体" w:cs="Times New Roman"/>
                <w:szCs w:val="21"/>
              </w:rPr>
              <w:t>（1）学生问题行为界定</w:t>
            </w:r>
          </w:p>
          <w:p w14:paraId="6A0449B5">
            <w:pPr>
              <w:spacing w:line="276" w:lineRule="auto"/>
              <w:jc w:val="left"/>
              <w:rPr>
                <w:rFonts w:hint="eastAsia" w:ascii="宋体" w:hAnsi="宋体" w:eastAsia="宋体" w:cs="Times New Roman"/>
                <w:szCs w:val="21"/>
              </w:rPr>
            </w:pPr>
            <w:r>
              <w:rPr>
                <w:rFonts w:hint="eastAsia" w:ascii="宋体" w:hAnsi="宋体" w:eastAsia="宋体" w:cs="Times New Roman"/>
                <w:szCs w:val="21"/>
              </w:rPr>
              <w:t>（2）学生常见问题行为及教育</w:t>
            </w:r>
          </w:p>
          <w:p w14:paraId="51135461">
            <w:pPr>
              <w:spacing w:line="276" w:lineRule="auto"/>
              <w:jc w:val="left"/>
              <w:rPr>
                <w:rFonts w:hint="eastAsia" w:ascii="宋体" w:hAnsi="宋体" w:eastAsia="宋体" w:cs="Times New Roman"/>
                <w:szCs w:val="21"/>
              </w:rPr>
            </w:pPr>
            <w:r>
              <w:rPr>
                <w:rFonts w:hint="eastAsia" w:ascii="宋体" w:hAnsi="宋体" w:eastAsia="宋体" w:cs="Times New Roman"/>
                <w:szCs w:val="21"/>
              </w:rPr>
              <w:t>（3）学生问题行为干预</w:t>
            </w:r>
          </w:p>
        </w:tc>
        <w:tc>
          <w:tcPr>
            <w:tcW w:w="1175" w:type="dxa"/>
            <w:vAlign w:val="center"/>
          </w:tcPr>
          <w:p w14:paraId="7743279F">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3</w:t>
            </w:r>
          </w:p>
        </w:tc>
        <w:tc>
          <w:tcPr>
            <w:tcW w:w="3692" w:type="dxa"/>
            <w:vAlign w:val="center"/>
          </w:tcPr>
          <w:p w14:paraId="2053266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了解常见的各类学生问题行为及其表现；</w:t>
            </w:r>
          </w:p>
          <w:p w14:paraId="0A8413D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学会判断和分析各类学生问题行为产生的原因；</w:t>
            </w:r>
          </w:p>
          <w:p w14:paraId="6E836A8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掌握学生问题行为干预的步骤和各种方法；</w:t>
            </w:r>
          </w:p>
          <w:p w14:paraId="0D69054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尝试提出解决各类学生问题行为的合理方案。</w:t>
            </w:r>
          </w:p>
        </w:tc>
        <w:tc>
          <w:tcPr>
            <w:tcW w:w="1573" w:type="dxa"/>
            <w:vAlign w:val="center"/>
          </w:tcPr>
          <w:p w14:paraId="5EA88A7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083BC33">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课堂讨论</w:t>
            </w:r>
          </w:p>
          <w:p w14:paraId="33DFF9F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课内实践</w:t>
            </w:r>
          </w:p>
          <w:p w14:paraId="1F66B5A5">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4.单元测验</w:t>
            </w:r>
          </w:p>
          <w:p w14:paraId="01ACDDF2">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5.学期考查</w:t>
            </w:r>
          </w:p>
        </w:tc>
        <w:tc>
          <w:tcPr>
            <w:tcW w:w="438" w:type="dxa"/>
            <w:vAlign w:val="center"/>
          </w:tcPr>
          <w:p w14:paraId="4D2D1FCA">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6F20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2D06948">
            <w:pPr>
              <w:spacing w:line="276" w:lineRule="auto"/>
              <w:jc w:val="center"/>
              <w:rPr>
                <w:rFonts w:hint="eastAsia" w:ascii="宋体" w:hAnsi="宋体" w:eastAsia="宋体" w:cs="Times New Roman"/>
                <w:color w:val="000000"/>
                <w:szCs w:val="21"/>
              </w:rPr>
            </w:pPr>
          </w:p>
        </w:tc>
        <w:tc>
          <w:tcPr>
            <w:tcW w:w="8494" w:type="dxa"/>
            <w:gridSpan w:val="5"/>
            <w:vAlign w:val="center"/>
          </w:tcPr>
          <w:p w14:paraId="0E793CD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遵循教育规律和儿童身心发展，尊重儿童个性，培养和形成正确的学生观、教师观，提升关爱学生，公平公正对待学生的意识。</w:t>
            </w:r>
          </w:p>
        </w:tc>
      </w:tr>
      <w:tr w14:paraId="604D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1571715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8.小学家校合作</w:t>
            </w:r>
          </w:p>
        </w:tc>
        <w:tc>
          <w:tcPr>
            <w:tcW w:w="1616" w:type="dxa"/>
            <w:vAlign w:val="center"/>
          </w:tcPr>
          <w:p w14:paraId="56C09AB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（1）家校合作的意义</w:t>
            </w:r>
          </w:p>
          <w:p w14:paraId="62EAA3B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（2）班主任与家长沟通</w:t>
            </w:r>
          </w:p>
          <w:p w14:paraId="7B48B03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（3）家校合作的方式</w:t>
            </w:r>
          </w:p>
        </w:tc>
        <w:tc>
          <w:tcPr>
            <w:tcW w:w="1175" w:type="dxa"/>
            <w:vAlign w:val="center"/>
          </w:tcPr>
          <w:p w14:paraId="6C83E83B">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3</w:t>
            </w:r>
          </w:p>
        </w:tc>
        <w:tc>
          <w:tcPr>
            <w:tcW w:w="3692" w:type="dxa"/>
            <w:vAlign w:val="center"/>
          </w:tcPr>
          <w:p w14:paraId="4E3E821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明确家校合作的意义；</w:t>
            </w:r>
          </w:p>
          <w:p w14:paraId="68275E6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了解班主任与家长沟通的目的、方式及注意事项；</w:t>
            </w:r>
          </w:p>
          <w:p w14:paraId="648BCAC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学会判断班主任与家长产生冲突的原因并尝试提出解决方案</w:t>
            </w:r>
          </w:p>
        </w:tc>
        <w:tc>
          <w:tcPr>
            <w:tcW w:w="1573" w:type="dxa"/>
            <w:vAlign w:val="center"/>
          </w:tcPr>
          <w:p w14:paraId="1D01067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3214AC7">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2.课堂讨论</w:t>
            </w:r>
          </w:p>
          <w:p w14:paraId="0EFB3281">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3.学期考查</w:t>
            </w:r>
          </w:p>
        </w:tc>
        <w:tc>
          <w:tcPr>
            <w:tcW w:w="438" w:type="dxa"/>
            <w:vAlign w:val="center"/>
          </w:tcPr>
          <w:p w14:paraId="6E66D793">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4370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8949FAD">
            <w:pPr>
              <w:spacing w:line="264" w:lineRule="auto"/>
              <w:jc w:val="center"/>
              <w:rPr>
                <w:rFonts w:hint="eastAsia" w:ascii="宋体" w:hAnsi="宋体" w:eastAsia="宋体" w:cs="Times New Roman"/>
                <w:color w:val="000000"/>
                <w:szCs w:val="21"/>
              </w:rPr>
            </w:pPr>
          </w:p>
        </w:tc>
        <w:tc>
          <w:tcPr>
            <w:tcW w:w="8494" w:type="dxa"/>
            <w:gridSpan w:val="5"/>
            <w:vAlign w:val="center"/>
          </w:tcPr>
          <w:p w14:paraId="3B4EEEFB">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深刻理解家校合作的意义，增强家校共育的大局意识、合作精神、敬业精神。</w:t>
            </w:r>
          </w:p>
        </w:tc>
      </w:tr>
    </w:tbl>
    <w:p w14:paraId="1A36E9D8">
      <w:pPr>
        <w:spacing w:line="360" w:lineRule="auto"/>
        <w:jc w:val="left"/>
        <w:outlineLvl w:val="0"/>
        <w:rPr>
          <w:rFonts w:ascii="Times New Roman" w:hAnsi="Times New Roman" w:eastAsia="宋体" w:cs="Times New Roman"/>
          <w:sz w:val="24"/>
          <w:szCs w:val="24"/>
        </w:rPr>
      </w:pPr>
      <w:bookmarkStart w:id="915" w:name="_Toc27361"/>
      <w:bookmarkStart w:id="916" w:name="_Toc3032"/>
      <w:bookmarkStart w:id="917" w:name="_Toc16089"/>
      <w:bookmarkStart w:id="918" w:name="_Toc9332"/>
      <w:bookmarkStart w:id="919" w:name="_Toc3348"/>
      <w:bookmarkStart w:id="920" w:name="_Toc10447"/>
      <w:bookmarkStart w:id="921" w:name="_Toc10823"/>
      <w:r>
        <w:rPr>
          <w:rFonts w:hint="eastAsia" w:ascii="宋体" w:hAnsi="宋体" w:eastAsia="宋体" w:cs="Times New Roman"/>
          <w:b/>
          <w:color w:val="000000"/>
          <w:sz w:val="24"/>
          <w:szCs w:val="24"/>
        </w:rPr>
        <w:t>四、目标评价与成绩评定</w:t>
      </w:r>
      <w:bookmarkEnd w:id="915"/>
      <w:bookmarkEnd w:id="916"/>
      <w:bookmarkEnd w:id="917"/>
      <w:bookmarkEnd w:id="918"/>
      <w:bookmarkEnd w:id="919"/>
      <w:bookmarkEnd w:id="920"/>
      <w:bookmarkEnd w:id="921"/>
    </w:p>
    <w:p w14:paraId="7CB436B5">
      <w:pPr>
        <w:spacing w:line="360" w:lineRule="auto"/>
        <w:jc w:val="left"/>
        <w:outlineLvl w:val="1"/>
        <w:rPr>
          <w:rFonts w:ascii="Times New Roman" w:hAnsi="Times New Roman" w:eastAsia="宋体" w:cs="Times New Roman"/>
          <w:b/>
          <w:szCs w:val="21"/>
        </w:rPr>
      </w:pPr>
      <w:bookmarkStart w:id="922" w:name="_Toc10122"/>
      <w:r>
        <w:rPr>
          <w:rFonts w:hint="eastAsia" w:ascii="Times New Roman" w:hAnsi="Times New Roman" w:eastAsia="宋体" w:cs="Times New Roman"/>
          <w:b/>
          <w:szCs w:val="21"/>
        </w:rPr>
        <w:t>（一）课程目标评价方式</w:t>
      </w:r>
      <w:bookmarkEnd w:id="922"/>
    </w:p>
    <w:p w14:paraId="66D4DED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tbl>
      <w:tblPr>
        <w:tblStyle w:val="11"/>
        <w:tblpPr w:leftFromText="180" w:rightFromText="180" w:vertAnchor="text" w:horzAnchor="page" w:tblpX="1697" w:tblpY="626"/>
        <w:tblOverlap w:val="never"/>
        <w:tblW w:w="9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293"/>
        <w:gridCol w:w="1175"/>
        <w:gridCol w:w="1267"/>
        <w:gridCol w:w="1525"/>
        <w:gridCol w:w="1433"/>
        <w:gridCol w:w="1797"/>
      </w:tblGrid>
      <w:tr w14:paraId="47EF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134969F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693" w:type="dxa"/>
            <w:gridSpan w:val="5"/>
            <w:vAlign w:val="center"/>
          </w:tcPr>
          <w:p w14:paraId="1D113124">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797" w:type="dxa"/>
            <w:vMerge w:val="restart"/>
            <w:vAlign w:val="center"/>
          </w:tcPr>
          <w:p w14:paraId="41F7F018">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6B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6ED428B7">
            <w:pPr>
              <w:spacing w:line="360" w:lineRule="auto"/>
              <w:jc w:val="center"/>
              <w:rPr>
                <w:rFonts w:hint="eastAsia" w:ascii="宋体" w:hAnsi="宋体" w:eastAsia="宋体" w:cs="Times New Roman"/>
                <w:szCs w:val="21"/>
              </w:rPr>
            </w:pPr>
          </w:p>
        </w:tc>
        <w:tc>
          <w:tcPr>
            <w:tcW w:w="1293" w:type="dxa"/>
            <w:vAlign w:val="center"/>
          </w:tcPr>
          <w:p w14:paraId="3D0ECEDB">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175" w:type="dxa"/>
            <w:vAlign w:val="center"/>
          </w:tcPr>
          <w:p w14:paraId="5D2DFFF3">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平时作业</w:t>
            </w:r>
          </w:p>
        </w:tc>
        <w:tc>
          <w:tcPr>
            <w:tcW w:w="1267" w:type="dxa"/>
            <w:vAlign w:val="center"/>
          </w:tcPr>
          <w:p w14:paraId="475FFA84">
            <w:pPr>
              <w:spacing w:line="360" w:lineRule="auto"/>
              <w:jc w:val="center"/>
              <w:rPr>
                <w:rFonts w:hint="eastAsia" w:ascii="宋体" w:hAnsi="宋体" w:eastAsia="宋体" w:cs="Times New Roman"/>
                <w:szCs w:val="21"/>
                <w:lang w:eastAsia="zh-CN"/>
              </w:rPr>
            </w:pPr>
            <w:r>
              <w:rPr>
                <w:rFonts w:hint="eastAsia" w:ascii="宋体" w:hAnsi="宋体" w:eastAsia="宋体" w:cs="Times New Roman"/>
                <w:szCs w:val="21"/>
                <w:lang w:val="en-US" w:eastAsia="zh-CN"/>
              </w:rPr>
              <w:t>课内实践</w:t>
            </w:r>
          </w:p>
        </w:tc>
        <w:tc>
          <w:tcPr>
            <w:tcW w:w="1525" w:type="dxa"/>
            <w:vAlign w:val="center"/>
          </w:tcPr>
          <w:p w14:paraId="61B72440">
            <w:pPr>
              <w:spacing w:line="360" w:lineRule="auto"/>
              <w:jc w:val="center"/>
              <w:rPr>
                <w:rFonts w:hint="eastAsia" w:ascii="宋体" w:hAnsi="宋体" w:eastAsia="宋体" w:cs="Times New Roman"/>
                <w:szCs w:val="21"/>
                <w:lang w:eastAsia="zh-CN"/>
              </w:rPr>
            </w:pPr>
            <w:r>
              <w:rPr>
                <w:rFonts w:hint="eastAsia" w:ascii="宋体" w:hAnsi="宋体" w:eastAsia="宋体" w:cs="Times New Roman"/>
                <w:szCs w:val="21"/>
                <w:lang w:val="en-US" w:eastAsia="zh-CN"/>
              </w:rPr>
              <w:t>平时测验</w:t>
            </w:r>
          </w:p>
        </w:tc>
        <w:tc>
          <w:tcPr>
            <w:tcW w:w="1433" w:type="dxa"/>
            <w:vAlign w:val="center"/>
          </w:tcPr>
          <w:p w14:paraId="1EFFCDE2">
            <w:pPr>
              <w:spacing w:line="360" w:lineRule="auto"/>
              <w:jc w:val="center"/>
              <w:rPr>
                <w:rFonts w:hint="default" w:ascii="宋体" w:hAnsi="宋体" w:eastAsia="宋体" w:cs="Times New Roman"/>
                <w:szCs w:val="21"/>
                <w:lang w:val="en-US"/>
              </w:rPr>
            </w:pPr>
            <w:r>
              <w:rPr>
                <w:rFonts w:hint="eastAsia" w:ascii="宋体" w:hAnsi="宋体" w:eastAsia="宋体" w:cs="Times New Roman"/>
                <w:szCs w:val="21"/>
                <w:lang w:val="en-US" w:eastAsia="zh-CN"/>
              </w:rPr>
              <w:t>学期考试</w:t>
            </w:r>
          </w:p>
        </w:tc>
        <w:tc>
          <w:tcPr>
            <w:tcW w:w="1797" w:type="dxa"/>
            <w:vMerge w:val="continue"/>
            <w:vAlign w:val="center"/>
          </w:tcPr>
          <w:p w14:paraId="0B265D81">
            <w:pPr>
              <w:spacing w:line="360" w:lineRule="auto"/>
              <w:jc w:val="center"/>
              <w:rPr>
                <w:rFonts w:hint="eastAsia" w:ascii="宋体" w:hAnsi="宋体" w:eastAsia="宋体" w:cs="Times New Roman"/>
                <w:szCs w:val="21"/>
              </w:rPr>
            </w:pPr>
          </w:p>
        </w:tc>
      </w:tr>
      <w:tr w14:paraId="61BB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2991BB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93" w:type="dxa"/>
            <w:vAlign w:val="center"/>
          </w:tcPr>
          <w:p w14:paraId="51DDDA1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5" w:type="dxa"/>
            <w:vAlign w:val="center"/>
          </w:tcPr>
          <w:p w14:paraId="4767CEB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67" w:type="dxa"/>
            <w:vAlign w:val="center"/>
          </w:tcPr>
          <w:p w14:paraId="32C22CF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5" w:type="dxa"/>
            <w:vAlign w:val="center"/>
          </w:tcPr>
          <w:p w14:paraId="0F055FD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2DEEB7E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97" w:type="dxa"/>
            <w:vAlign w:val="center"/>
          </w:tcPr>
          <w:p w14:paraId="229F500F">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w:t>
            </w:r>
          </w:p>
        </w:tc>
      </w:tr>
      <w:tr w14:paraId="3434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E20C9C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93" w:type="dxa"/>
            <w:vAlign w:val="center"/>
          </w:tcPr>
          <w:p w14:paraId="7D4A170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5" w:type="dxa"/>
            <w:vAlign w:val="center"/>
          </w:tcPr>
          <w:p w14:paraId="51B25BF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67" w:type="dxa"/>
            <w:vAlign w:val="center"/>
          </w:tcPr>
          <w:p w14:paraId="079551A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5" w:type="dxa"/>
            <w:vAlign w:val="center"/>
          </w:tcPr>
          <w:p w14:paraId="4075B9D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15995B10">
            <w:pPr>
              <w:spacing w:line="360" w:lineRule="auto"/>
              <w:jc w:val="center"/>
              <w:rPr>
                <w:rFonts w:hint="eastAsia" w:ascii="宋体" w:hAnsi="宋体" w:eastAsia="宋体" w:cs="Times New Roman"/>
                <w:szCs w:val="21"/>
              </w:rPr>
            </w:pPr>
          </w:p>
        </w:tc>
        <w:tc>
          <w:tcPr>
            <w:tcW w:w="1797" w:type="dxa"/>
            <w:vAlign w:val="center"/>
          </w:tcPr>
          <w:p w14:paraId="34D33E83">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6</w:t>
            </w:r>
            <w:r>
              <w:rPr>
                <w:rFonts w:hint="eastAsia" w:ascii="宋体" w:hAnsi="宋体" w:eastAsia="宋体" w:cs="Times New Roman"/>
                <w:szCs w:val="21"/>
              </w:rPr>
              <w:t>0</w:t>
            </w:r>
          </w:p>
        </w:tc>
      </w:tr>
      <w:tr w14:paraId="4F81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587E80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93" w:type="dxa"/>
            <w:vAlign w:val="center"/>
          </w:tcPr>
          <w:p w14:paraId="49101B0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5" w:type="dxa"/>
            <w:vAlign w:val="center"/>
          </w:tcPr>
          <w:p w14:paraId="397B030F">
            <w:pPr>
              <w:spacing w:line="360" w:lineRule="auto"/>
              <w:jc w:val="center"/>
              <w:rPr>
                <w:rFonts w:ascii="宋体" w:hAnsi="宋体" w:eastAsia="宋体" w:cs="Times New Roman"/>
                <w:szCs w:val="21"/>
              </w:rPr>
            </w:pPr>
          </w:p>
        </w:tc>
        <w:tc>
          <w:tcPr>
            <w:tcW w:w="1267" w:type="dxa"/>
            <w:vAlign w:val="center"/>
          </w:tcPr>
          <w:p w14:paraId="6D7D8EA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5" w:type="dxa"/>
            <w:vAlign w:val="center"/>
          </w:tcPr>
          <w:p w14:paraId="4CF304F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00F5043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97" w:type="dxa"/>
            <w:vAlign w:val="center"/>
          </w:tcPr>
          <w:p w14:paraId="4C589B89">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w:t>
            </w:r>
          </w:p>
        </w:tc>
      </w:tr>
      <w:tr w14:paraId="2A2F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47A6E2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93" w:type="dxa"/>
            <w:vAlign w:val="center"/>
          </w:tcPr>
          <w:p w14:paraId="4E978E1F">
            <w:pPr>
              <w:spacing w:line="360" w:lineRule="auto"/>
              <w:jc w:val="center"/>
              <w:rPr>
                <w:rFonts w:hint="eastAsia" w:ascii="宋体" w:hAnsi="宋体" w:eastAsia="宋体" w:cs="Times New Roman"/>
                <w:szCs w:val="21"/>
              </w:rPr>
            </w:pPr>
          </w:p>
        </w:tc>
        <w:tc>
          <w:tcPr>
            <w:tcW w:w="1175" w:type="dxa"/>
            <w:vAlign w:val="center"/>
          </w:tcPr>
          <w:p w14:paraId="49EB5B6B">
            <w:pPr>
              <w:spacing w:line="360" w:lineRule="auto"/>
              <w:jc w:val="center"/>
              <w:rPr>
                <w:rFonts w:hint="eastAsia" w:ascii="宋体" w:hAnsi="宋体" w:eastAsia="宋体" w:cs="Times New Roman"/>
                <w:szCs w:val="21"/>
              </w:rPr>
            </w:pPr>
          </w:p>
        </w:tc>
        <w:tc>
          <w:tcPr>
            <w:tcW w:w="1267" w:type="dxa"/>
            <w:vAlign w:val="center"/>
          </w:tcPr>
          <w:p w14:paraId="57601A26">
            <w:pPr>
              <w:spacing w:line="360" w:lineRule="auto"/>
              <w:jc w:val="center"/>
              <w:rPr>
                <w:rFonts w:hint="eastAsia" w:ascii="宋体" w:hAnsi="宋体" w:eastAsia="宋体" w:cs="Times New Roman"/>
                <w:szCs w:val="21"/>
              </w:rPr>
            </w:pPr>
          </w:p>
        </w:tc>
        <w:tc>
          <w:tcPr>
            <w:tcW w:w="1525" w:type="dxa"/>
            <w:vAlign w:val="center"/>
          </w:tcPr>
          <w:p w14:paraId="45C6BA55">
            <w:pPr>
              <w:spacing w:line="360" w:lineRule="auto"/>
              <w:jc w:val="center"/>
              <w:rPr>
                <w:rFonts w:hint="eastAsia" w:ascii="宋体" w:hAnsi="宋体" w:eastAsia="宋体" w:cs="Times New Roman"/>
                <w:szCs w:val="21"/>
              </w:rPr>
            </w:pPr>
          </w:p>
        </w:tc>
        <w:tc>
          <w:tcPr>
            <w:tcW w:w="1433" w:type="dxa"/>
            <w:vAlign w:val="center"/>
          </w:tcPr>
          <w:p w14:paraId="02501607">
            <w:pPr>
              <w:spacing w:line="360" w:lineRule="auto"/>
              <w:jc w:val="center"/>
              <w:rPr>
                <w:rFonts w:hint="eastAsia" w:ascii="宋体" w:hAnsi="宋体" w:eastAsia="宋体" w:cs="Times New Roman"/>
                <w:szCs w:val="21"/>
              </w:rPr>
            </w:pPr>
          </w:p>
        </w:tc>
        <w:tc>
          <w:tcPr>
            <w:tcW w:w="1797" w:type="dxa"/>
            <w:vAlign w:val="center"/>
          </w:tcPr>
          <w:p w14:paraId="6584F193">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F2FF11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38C08644">
      <w:pPr>
        <w:spacing w:before="156" w:beforeLines="50" w:line="360" w:lineRule="auto"/>
        <w:jc w:val="left"/>
        <w:outlineLvl w:val="1"/>
        <w:rPr>
          <w:rFonts w:ascii="Times New Roman" w:hAnsi="Times New Roman" w:eastAsia="宋体" w:cs="Times New Roman"/>
          <w:b/>
          <w:szCs w:val="21"/>
        </w:rPr>
      </w:pPr>
      <w:bookmarkStart w:id="923" w:name="_Toc11226"/>
      <w:r>
        <w:rPr>
          <w:rFonts w:hint="eastAsia" w:ascii="Times New Roman" w:hAnsi="Times New Roman" w:eastAsia="宋体" w:cs="Times New Roman"/>
          <w:b/>
          <w:szCs w:val="21"/>
        </w:rPr>
        <w:t>（二）成绩评定细则</w:t>
      </w:r>
      <w:bookmarkEnd w:id="923"/>
    </w:p>
    <w:p w14:paraId="0F2B88E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206307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D63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9521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192E21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EC8D0D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4E4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BC9E8D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893A9F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次，为小论文</w:t>
            </w:r>
            <w:r>
              <w:rPr>
                <w:rFonts w:hint="eastAsia" w:ascii="Times New Roman" w:hAnsi="Times New Roman" w:eastAsia="宋体" w:cs="Times New Roman"/>
                <w:szCs w:val="21"/>
                <w:lang w:val="en-US" w:eastAsia="zh-CN"/>
              </w:rPr>
              <w:t>或讨论题</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论述的</w:t>
            </w:r>
            <w:r>
              <w:rPr>
                <w:rFonts w:hint="eastAsia" w:ascii="Times New Roman" w:hAnsi="Times New Roman" w:eastAsia="宋体" w:cs="Times New Roman"/>
                <w:szCs w:val="21"/>
              </w:rPr>
              <w:t>逻辑性、</w:t>
            </w:r>
            <w:r>
              <w:rPr>
                <w:rFonts w:hint="eastAsia" w:ascii="Times New Roman" w:hAnsi="Times New Roman" w:eastAsia="宋体" w:cs="Times New Roman"/>
                <w:szCs w:val="21"/>
                <w:lang w:val="en-US" w:eastAsia="zh-CN"/>
              </w:rPr>
              <w:t>充分</w:t>
            </w:r>
            <w:r>
              <w:rPr>
                <w:rFonts w:hint="eastAsia" w:ascii="Times New Roman" w:hAnsi="Times New Roman" w:eastAsia="宋体" w:cs="Times New Roman"/>
                <w:szCs w:val="21"/>
              </w:rPr>
              <w:t>性及</w:t>
            </w:r>
            <w:r>
              <w:rPr>
                <w:rFonts w:hint="eastAsia" w:ascii="Times New Roman" w:hAnsi="Times New Roman" w:eastAsia="宋体" w:cs="Times New Roman"/>
                <w:szCs w:val="21"/>
                <w:lang w:val="en-US" w:eastAsia="zh-CN"/>
              </w:rPr>
              <w:t>深刻</w:t>
            </w:r>
            <w:r>
              <w:rPr>
                <w:rFonts w:hint="eastAsia" w:ascii="Times New Roman" w:hAnsi="Times New Roman" w:eastAsia="宋体" w:cs="Times New Roman"/>
                <w:szCs w:val="21"/>
              </w:rPr>
              <w:t>性为评分的主要依据。</w:t>
            </w:r>
          </w:p>
        </w:tc>
        <w:tc>
          <w:tcPr>
            <w:tcW w:w="0" w:type="auto"/>
            <w:vAlign w:val="center"/>
          </w:tcPr>
          <w:p w14:paraId="289A5BE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14:paraId="7A9A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16076E">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F00241F">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C371FC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B99C87D">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14:paraId="57EF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F9273A3">
            <w:pPr>
              <w:rPr>
                <w:rFonts w:ascii="Times New Roman" w:hAnsi="Times New Roman" w:eastAsia="宋体" w:cs="Times New Roman"/>
                <w:szCs w:val="21"/>
              </w:rPr>
            </w:pPr>
            <w:r>
              <w:rPr>
                <w:rFonts w:hint="eastAsia" w:ascii="Times New Roman" w:hAnsi="Times New Roman" w:eastAsia="宋体" w:cs="Times New Roman"/>
                <w:szCs w:val="21"/>
                <w:lang w:val="en-US" w:eastAsia="zh-CN"/>
              </w:rPr>
              <w:t>平时</w:t>
            </w:r>
            <w:r>
              <w:rPr>
                <w:rFonts w:hint="eastAsia" w:ascii="Times New Roman" w:hAnsi="Times New Roman" w:eastAsia="宋体" w:cs="Times New Roman"/>
                <w:szCs w:val="21"/>
              </w:rPr>
              <w:t>测验</w:t>
            </w:r>
          </w:p>
        </w:tc>
        <w:tc>
          <w:tcPr>
            <w:tcW w:w="7141" w:type="dxa"/>
            <w:vAlign w:val="center"/>
          </w:tcPr>
          <w:p w14:paraId="0B9B48FD">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val="en-US" w:eastAsia="zh-CN" w:bidi="ar"/>
              </w:rPr>
              <w:t>以客观题形式进行</w:t>
            </w:r>
            <w:r>
              <w:rPr>
                <w:rFonts w:hint="eastAsia" w:ascii="宋体" w:hAnsi="宋体" w:eastAsia="宋体" w:cs="宋体"/>
                <w:color w:val="000000"/>
                <w:kern w:val="0"/>
                <w:szCs w:val="21"/>
                <w:lang w:bidi="ar"/>
              </w:rPr>
              <w:t>线上进行测验，主要考查基础知识和基本理论的掌握，以题目的正确率为得分依据。</w:t>
            </w:r>
          </w:p>
        </w:tc>
        <w:tc>
          <w:tcPr>
            <w:tcW w:w="0" w:type="auto"/>
            <w:vAlign w:val="center"/>
          </w:tcPr>
          <w:p w14:paraId="377B539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710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95BD45">
            <w:pP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课内实践</w:t>
            </w:r>
          </w:p>
        </w:tc>
        <w:tc>
          <w:tcPr>
            <w:tcW w:w="7141" w:type="dxa"/>
            <w:vAlign w:val="center"/>
          </w:tcPr>
          <w:p w14:paraId="22D8CDFA">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建立“小学班队管理课内实践项目库”，要求每个学生在项目库中选择</w:t>
            </w:r>
            <w:r>
              <w:rPr>
                <w:rFonts w:hint="eastAsia" w:ascii="宋体" w:hAnsi="宋体" w:eastAsia="宋体" w:cs="宋体"/>
                <w:color w:val="000000"/>
                <w:kern w:val="0"/>
                <w:szCs w:val="21"/>
                <w:lang w:val="en-US" w:eastAsia="zh-CN" w:bidi="ar"/>
              </w:rPr>
              <w:t>2个项目</w:t>
            </w:r>
            <w:r>
              <w:rPr>
                <w:rFonts w:hint="eastAsia" w:ascii="宋体" w:hAnsi="宋体" w:eastAsia="宋体" w:cs="宋体"/>
                <w:color w:val="000000"/>
                <w:kern w:val="0"/>
                <w:szCs w:val="21"/>
                <w:lang w:bidi="ar"/>
              </w:rPr>
              <w:t>完成</w:t>
            </w:r>
            <w:r>
              <w:rPr>
                <w:rFonts w:hint="eastAsia" w:ascii="宋体" w:hAnsi="宋体" w:eastAsia="宋体" w:cs="宋体"/>
                <w:color w:val="000000"/>
                <w:kern w:val="0"/>
                <w:szCs w:val="21"/>
                <w:lang w:val="en-US" w:eastAsia="zh-CN" w:bidi="ar"/>
              </w:rPr>
              <w:t>并提交</w:t>
            </w:r>
            <w:r>
              <w:rPr>
                <w:rFonts w:hint="eastAsia" w:ascii="宋体" w:hAnsi="宋体" w:eastAsia="宋体" w:cs="宋体"/>
                <w:color w:val="000000"/>
                <w:kern w:val="0"/>
                <w:szCs w:val="21"/>
                <w:lang w:bidi="ar"/>
              </w:rPr>
              <w:t>，每个项目需在1000字以上。</w:t>
            </w:r>
          </w:p>
        </w:tc>
        <w:tc>
          <w:tcPr>
            <w:tcW w:w="0" w:type="auto"/>
            <w:vAlign w:val="center"/>
          </w:tcPr>
          <w:p w14:paraId="47BE6DB9">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0%</w:t>
            </w:r>
          </w:p>
        </w:tc>
      </w:tr>
      <w:tr w14:paraId="5296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D216B4">
            <w:pP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期末考试</w:t>
            </w:r>
          </w:p>
        </w:tc>
        <w:tc>
          <w:tcPr>
            <w:tcW w:w="7141" w:type="dxa"/>
            <w:vAlign w:val="center"/>
          </w:tcPr>
          <w:p w14:paraId="28D59E57">
            <w:pPr>
              <w:spacing w:line="264" w:lineRule="auto"/>
              <w:jc w:val="left"/>
              <w:rPr>
                <w:rFonts w:hint="default" w:ascii="Times New Roman" w:hAnsi="Times New Roman" w:eastAsia="宋体" w:cs="Times New Roman"/>
                <w:szCs w:val="21"/>
                <w:lang w:val="en-US"/>
              </w:rPr>
            </w:pPr>
            <w:r>
              <w:rPr>
                <w:rFonts w:hint="eastAsia" w:ascii="Times New Roman" w:hAnsi="Times New Roman" w:eastAsia="宋体" w:cs="Times New Roman"/>
                <w:color w:val="000000"/>
                <w:szCs w:val="21"/>
                <w:lang w:val="en-US" w:eastAsia="zh-CN"/>
              </w:rPr>
              <w:t>对所学内容的认识、理解和应用情况</w:t>
            </w:r>
          </w:p>
        </w:tc>
        <w:tc>
          <w:tcPr>
            <w:tcW w:w="0" w:type="auto"/>
            <w:vAlign w:val="center"/>
          </w:tcPr>
          <w:p w14:paraId="482FABE6">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6</w:t>
            </w:r>
            <w:r>
              <w:rPr>
                <w:rFonts w:hint="eastAsia" w:ascii="Times New Roman" w:hAnsi="Times New Roman" w:eastAsia="宋体" w:cs="Times New Roman"/>
                <w:szCs w:val="21"/>
              </w:rPr>
              <w:t>0%</w:t>
            </w:r>
          </w:p>
        </w:tc>
      </w:tr>
      <w:tr w14:paraId="64A6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9908AE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554E152">
            <w:pPr>
              <w:jc w:val="left"/>
              <w:rPr>
                <w:rFonts w:ascii="Times New Roman" w:hAnsi="Times New Roman" w:eastAsia="宋体" w:cs="Times New Roman"/>
                <w:szCs w:val="21"/>
              </w:rPr>
            </w:pPr>
          </w:p>
        </w:tc>
        <w:tc>
          <w:tcPr>
            <w:tcW w:w="0" w:type="auto"/>
            <w:vAlign w:val="center"/>
          </w:tcPr>
          <w:p w14:paraId="6543C04D">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6781C34">
      <w:pPr>
        <w:spacing w:line="360" w:lineRule="auto"/>
        <w:jc w:val="left"/>
        <w:outlineLvl w:val="1"/>
        <w:rPr>
          <w:rFonts w:hint="eastAsia" w:ascii="宋体" w:hAnsi="宋体" w:eastAsia="宋体" w:cs="Times New Roman"/>
          <w:b/>
          <w:color w:val="000000"/>
          <w:szCs w:val="21"/>
        </w:rPr>
      </w:pPr>
      <w:bookmarkStart w:id="924" w:name="_Toc5284"/>
      <w:r>
        <w:rPr>
          <w:rFonts w:hint="eastAsia" w:ascii="宋体" w:hAnsi="宋体" w:eastAsia="宋体" w:cs="Times New Roman"/>
          <w:b/>
          <w:color w:val="000000"/>
          <w:szCs w:val="21"/>
        </w:rPr>
        <w:t>（三）课程目标达成度计算方法</w:t>
      </w:r>
      <w:bookmarkEnd w:id="924"/>
    </w:p>
    <w:p w14:paraId="283E978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76E4C97">
      <w:pPr>
        <w:spacing w:before="156" w:beforeLines="50" w:line="360" w:lineRule="auto"/>
        <w:ind w:firstLine="420" w:firstLineChars="200"/>
        <w:jc w:val="left"/>
        <w:rPr>
          <w:rFonts w:ascii="Times New Roman" w:hAnsi="Times New Roman" w:eastAsia="宋体" w:cs="Times New Roman"/>
          <w:b/>
          <w:sz w:val="24"/>
          <w:szCs w:val="24"/>
        </w:rPr>
      </w:pPr>
      <w:r>
        <w:rPr>
          <w:rFonts w:ascii="宋体" w:hAnsi="宋体" w:eastAsia="宋体" w:cs="Times New Roman"/>
          <w:color w:val="000000"/>
          <w:szCs w:val="21"/>
        </w:rPr>
        <w:object>
          <v:shape id="_x0000_i1049"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49" DrawAspect="Content" ObjectID="_1468075749" r:id="rId32">
            <o:LockedField>false</o:LockedField>
          </o:OLEObject>
        </w:object>
      </w: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2DDD5F67">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w:t>
      </w:r>
      <w:r>
        <w:rPr>
          <w:rFonts w:hint="eastAsia" w:ascii="宋体" w:hAnsi="宋体" w:eastAsia="宋体" w:cs="Times New Roman"/>
          <w:szCs w:val="21"/>
          <w:lang w:val="en-US" w:eastAsia="zh-CN"/>
        </w:rPr>
        <w:t>24学时理论</w:t>
      </w:r>
      <w:r>
        <w:rPr>
          <w:rFonts w:hint="eastAsia" w:ascii="宋体" w:hAnsi="宋体" w:eastAsia="宋体" w:cs="Times New Roman"/>
          <w:szCs w:val="21"/>
        </w:rPr>
        <w:t>教学的基础上，</w:t>
      </w:r>
      <w:r>
        <w:rPr>
          <w:rFonts w:hint="eastAsia" w:ascii="宋体" w:hAnsi="宋体" w:eastAsia="宋体" w:cs="Times New Roman"/>
          <w:szCs w:val="21"/>
          <w:lang w:val="en-US" w:eastAsia="zh-CN"/>
        </w:rPr>
        <w:t>完成8学时的课内实践</w:t>
      </w:r>
      <w:r>
        <w:rPr>
          <w:rFonts w:hint="eastAsia" w:ascii="宋体" w:hAnsi="宋体" w:eastAsia="宋体" w:cs="Times New Roman"/>
          <w:szCs w:val="21"/>
        </w:rPr>
        <w:t>。</w:t>
      </w:r>
    </w:p>
    <w:p w14:paraId="7F2339E4">
      <w:pPr>
        <w:spacing w:line="276" w:lineRule="auto"/>
        <w:ind w:firstLine="422" w:firstLineChars="200"/>
        <w:jc w:val="center"/>
        <w:outlineLvl w:val="1"/>
        <w:rPr>
          <w:rFonts w:hint="default" w:ascii="宋体" w:hAnsi="宋体" w:eastAsia="宋体" w:cs="宋体"/>
          <w:b/>
          <w:bCs/>
          <w:szCs w:val="21"/>
          <w:lang w:val="en-US" w:eastAsia="zh-CN"/>
        </w:rPr>
      </w:pPr>
      <w:bookmarkStart w:id="925" w:name="_Toc12566"/>
      <w:r>
        <w:rPr>
          <w:rFonts w:hint="eastAsia" w:ascii="宋体" w:hAnsi="宋体" w:eastAsia="宋体" w:cs="宋体"/>
          <w:b/>
          <w:bCs/>
          <w:szCs w:val="21"/>
          <w:lang w:val="en-US" w:eastAsia="zh-CN"/>
        </w:rPr>
        <w:t>课内实践活动安排</w:t>
      </w:r>
      <w:bookmarkEnd w:id="925"/>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643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669B024">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F83928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6B1BE6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F24D6FF">
            <w:pPr>
              <w:spacing w:line="240" w:lineRule="exact"/>
              <w:jc w:val="center"/>
              <w:rPr>
                <w:rFonts w:hint="eastAsia" w:ascii="宋体" w:hAnsi="宋体" w:eastAsia="宋体" w:cs="宋体"/>
                <w:b/>
                <w:bCs/>
                <w:szCs w:val="21"/>
              </w:rPr>
            </w:pPr>
            <w:r>
              <w:rPr>
                <w:rFonts w:hint="eastAsia" w:ascii="宋体" w:hAnsi="宋体" w:eastAsia="宋体" w:cs="宋体"/>
                <w:b/>
                <w:bCs/>
                <w:szCs w:val="21"/>
                <w:lang w:val="en-US" w:eastAsia="zh-CN"/>
              </w:rPr>
              <w:t>教学</w:t>
            </w:r>
            <w:r>
              <w:rPr>
                <w:rFonts w:hint="eastAsia" w:ascii="宋体" w:hAnsi="宋体" w:eastAsia="宋体" w:cs="宋体"/>
                <w:b/>
                <w:bCs/>
                <w:szCs w:val="21"/>
              </w:rPr>
              <w:t>目标</w:t>
            </w:r>
          </w:p>
        </w:tc>
      </w:tr>
      <w:tr w14:paraId="0D1F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B22F44B">
            <w:pPr>
              <w:spacing w:line="276" w:lineRule="auto"/>
              <w:jc w:val="left"/>
              <w:rPr>
                <w:rFonts w:hint="eastAsia" w:ascii="宋体" w:hAnsi="宋体" w:eastAsia="宋体" w:cs="宋体"/>
                <w:szCs w:val="21"/>
                <w:lang w:eastAsia="zh-CN"/>
              </w:rPr>
            </w:pPr>
            <w:r>
              <w:rPr>
                <w:rFonts w:hint="eastAsia" w:ascii="宋体" w:hAnsi="宋体" w:eastAsia="宋体" w:cs="宋体"/>
                <w:szCs w:val="21"/>
                <w:lang w:val="en-US" w:eastAsia="zh-CN"/>
              </w:rPr>
              <w:t>班队常规管理</w:t>
            </w:r>
          </w:p>
        </w:tc>
        <w:tc>
          <w:tcPr>
            <w:tcW w:w="3407" w:type="dxa"/>
            <w:vAlign w:val="center"/>
          </w:tcPr>
          <w:p w14:paraId="3767EA29">
            <w:pPr>
              <w:spacing w:line="276" w:lineRule="auto"/>
              <w:jc w:val="left"/>
              <w:rPr>
                <w:rFonts w:hint="eastAsia" w:ascii="宋体" w:hAnsi="宋体" w:eastAsia="宋体" w:cs="宋体"/>
                <w:szCs w:val="21"/>
              </w:rPr>
            </w:pPr>
            <w:r>
              <w:rPr>
                <w:rFonts w:hint="eastAsia" w:ascii="宋体" w:hAnsi="宋体" w:eastAsia="宋体" w:cs="宋体"/>
                <w:szCs w:val="21"/>
              </w:rPr>
              <w:t>了解小学班队常规，学习《中小学教育惩戒规则》，选择一个年级，制定一份班队常规或结合教育实践案例，谈谈如何正确进行教育惩戒</w:t>
            </w:r>
          </w:p>
        </w:tc>
        <w:tc>
          <w:tcPr>
            <w:tcW w:w="740" w:type="dxa"/>
            <w:vAlign w:val="center"/>
          </w:tcPr>
          <w:p w14:paraId="2657B69D">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课堂研讨与分享</w:t>
            </w:r>
          </w:p>
        </w:tc>
        <w:tc>
          <w:tcPr>
            <w:tcW w:w="3160" w:type="dxa"/>
            <w:vAlign w:val="center"/>
          </w:tcPr>
          <w:p w14:paraId="72C1690F">
            <w:pPr>
              <w:spacing w:line="276" w:lineRule="auto"/>
              <w:jc w:val="left"/>
              <w:rPr>
                <w:rFonts w:hint="eastAsia" w:ascii="宋体" w:hAnsi="宋体" w:eastAsia="宋体" w:cs="宋体"/>
                <w:szCs w:val="21"/>
                <w:lang w:eastAsia="zh-CN"/>
              </w:rPr>
            </w:pPr>
            <w:r>
              <w:rPr>
                <w:rFonts w:hint="eastAsia" w:ascii="宋体" w:hAnsi="宋体" w:eastAsia="宋体" w:cs="宋体"/>
                <w:szCs w:val="21"/>
              </w:rPr>
              <w:t>1.学会制订班队常规，能够运用班队常规进行班级管理，掌握中小学教育惩戒规则，正确进行教育惩戒</w:t>
            </w:r>
            <w:r>
              <w:rPr>
                <w:rFonts w:hint="eastAsia" w:ascii="宋体" w:hAnsi="宋体" w:eastAsia="宋体" w:cs="宋体"/>
                <w:szCs w:val="21"/>
                <w:lang w:eastAsia="zh-CN"/>
              </w:rPr>
              <w:t>；</w:t>
            </w:r>
          </w:p>
          <w:p w14:paraId="4C9AAAA3">
            <w:pPr>
              <w:spacing w:line="276" w:lineRule="auto"/>
              <w:jc w:val="left"/>
              <w:rPr>
                <w:rFonts w:hint="eastAsia" w:ascii="宋体" w:hAnsi="宋体" w:eastAsia="宋体" w:cs="宋体"/>
                <w:szCs w:val="21"/>
                <w:lang w:eastAsia="zh-CN"/>
              </w:rPr>
            </w:pPr>
            <w:r>
              <w:rPr>
                <w:rFonts w:hint="eastAsia" w:ascii="宋体" w:hAnsi="宋体" w:eastAsia="宋体" w:cs="宋体"/>
                <w:szCs w:val="21"/>
              </w:rPr>
              <w:t>2.树立正确的教育观、教师观、学生观，遵守教育法律法规，进行班级管理</w:t>
            </w:r>
            <w:r>
              <w:rPr>
                <w:rFonts w:hint="eastAsia" w:ascii="宋体" w:hAnsi="宋体" w:eastAsia="宋体" w:cs="宋体"/>
                <w:szCs w:val="21"/>
                <w:lang w:eastAsia="zh-CN"/>
              </w:rPr>
              <w:t>。</w:t>
            </w:r>
          </w:p>
        </w:tc>
      </w:tr>
      <w:tr w14:paraId="6541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A074C4A">
            <w:pPr>
              <w:spacing w:line="276" w:lineRule="auto"/>
              <w:jc w:val="left"/>
              <w:rPr>
                <w:rFonts w:hint="eastAsia" w:ascii="宋体" w:hAnsi="宋体" w:eastAsia="宋体" w:cs="宋体"/>
                <w:szCs w:val="21"/>
                <w:lang w:eastAsia="zh-CN"/>
              </w:rPr>
            </w:pPr>
            <w:r>
              <w:rPr>
                <w:rFonts w:hint="eastAsia" w:ascii="宋体" w:hAnsi="宋体" w:eastAsia="宋体" w:cs="宋体"/>
                <w:szCs w:val="21"/>
                <w:lang w:val="en-US" w:eastAsia="zh-CN"/>
              </w:rPr>
              <w:t>班队活动管理</w:t>
            </w:r>
          </w:p>
        </w:tc>
        <w:tc>
          <w:tcPr>
            <w:tcW w:w="3407" w:type="dxa"/>
            <w:vAlign w:val="center"/>
          </w:tcPr>
          <w:p w14:paraId="5DB6B41A">
            <w:pPr>
              <w:spacing w:line="276" w:lineRule="auto"/>
              <w:jc w:val="left"/>
              <w:rPr>
                <w:rFonts w:hint="default" w:ascii="宋体" w:hAnsi="宋体" w:eastAsia="宋体" w:cs="宋体"/>
                <w:szCs w:val="21"/>
                <w:lang w:val="en-US" w:eastAsia="zh-CN"/>
              </w:rPr>
            </w:pPr>
            <w:r>
              <w:rPr>
                <w:rFonts w:hint="eastAsia" w:ascii="宋体" w:hAnsi="宋体" w:eastAsia="宋体" w:cs="宋体"/>
                <w:szCs w:val="21"/>
              </w:rPr>
              <w:t>观看以小学竞选班长为主题的纪录片《请投我一票》，分析这次班队活动中反映出的一些问题</w:t>
            </w:r>
            <w:r>
              <w:rPr>
                <w:rFonts w:hint="eastAsia" w:ascii="宋体" w:hAnsi="宋体" w:eastAsia="宋体" w:cs="宋体"/>
                <w:szCs w:val="21"/>
                <w:lang w:eastAsia="zh-CN"/>
              </w:rPr>
              <w:t>，</w:t>
            </w:r>
            <w:r>
              <w:rPr>
                <w:rFonts w:hint="eastAsia" w:ascii="宋体" w:hAnsi="宋体" w:eastAsia="宋体" w:cs="宋体"/>
                <w:szCs w:val="21"/>
                <w:lang w:val="en-US" w:eastAsia="zh-CN"/>
              </w:rPr>
              <w:t>并自选主题，设计“主题班会”活动方案</w:t>
            </w:r>
          </w:p>
        </w:tc>
        <w:tc>
          <w:tcPr>
            <w:tcW w:w="740" w:type="dxa"/>
            <w:vAlign w:val="center"/>
          </w:tcPr>
          <w:p w14:paraId="2CD06A9F">
            <w:pPr>
              <w:spacing w:line="276" w:lineRule="auto"/>
              <w:jc w:val="center"/>
              <w:rPr>
                <w:rFonts w:hint="eastAsia" w:ascii="宋体" w:hAnsi="宋体" w:eastAsia="宋体" w:cs="宋体"/>
                <w:szCs w:val="21"/>
              </w:rPr>
            </w:pPr>
            <w:r>
              <w:rPr>
                <w:rFonts w:hint="eastAsia" w:ascii="宋体" w:hAnsi="宋体" w:eastAsia="宋体" w:cs="宋体"/>
                <w:szCs w:val="21"/>
              </w:rPr>
              <w:t>课堂研讨与分享</w:t>
            </w:r>
          </w:p>
        </w:tc>
        <w:tc>
          <w:tcPr>
            <w:tcW w:w="3160" w:type="dxa"/>
            <w:vAlign w:val="center"/>
          </w:tcPr>
          <w:p w14:paraId="1D554E3C">
            <w:pPr>
              <w:spacing w:line="276" w:lineRule="auto"/>
              <w:jc w:val="left"/>
              <w:rPr>
                <w:rFonts w:hint="eastAsia" w:ascii="宋体" w:hAnsi="宋体" w:eastAsia="宋体" w:cs="宋体"/>
                <w:szCs w:val="21"/>
                <w:lang w:eastAsia="zh-CN"/>
              </w:rPr>
            </w:pPr>
            <w:r>
              <w:rPr>
                <w:rFonts w:hint="eastAsia" w:ascii="宋体" w:hAnsi="宋体" w:eastAsia="宋体" w:cs="宋体"/>
                <w:szCs w:val="21"/>
              </w:rPr>
              <w:t>1.学会组织班队活动</w:t>
            </w:r>
            <w:r>
              <w:rPr>
                <w:rFonts w:hint="eastAsia" w:ascii="宋体" w:hAnsi="宋体" w:eastAsia="宋体" w:cs="宋体"/>
                <w:szCs w:val="21"/>
                <w:lang w:eastAsia="zh-CN"/>
              </w:rPr>
              <w:t>；</w:t>
            </w:r>
          </w:p>
          <w:p w14:paraId="52919D50">
            <w:pPr>
              <w:spacing w:line="276" w:lineRule="auto"/>
              <w:jc w:val="left"/>
              <w:rPr>
                <w:rFonts w:hint="eastAsia" w:ascii="宋体" w:hAnsi="宋体" w:eastAsia="宋体" w:cs="宋体"/>
                <w:szCs w:val="21"/>
                <w:lang w:eastAsia="zh-CN"/>
              </w:rPr>
            </w:pPr>
            <w:r>
              <w:rPr>
                <w:rFonts w:hint="eastAsia" w:ascii="宋体" w:hAnsi="宋体" w:eastAsia="宋体" w:cs="宋体"/>
                <w:szCs w:val="21"/>
              </w:rPr>
              <w:t>2.进一步理解活动育人的意义</w:t>
            </w:r>
            <w:r>
              <w:rPr>
                <w:rFonts w:hint="eastAsia" w:ascii="宋体" w:hAnsi="宋体" w:eastAsia="宋体" w:cs="宋体"/>
                <w:szCs w:val="21"/>
                <w:lang w:eastAsia="zh-CN"/>
              </w:rPr>
              <w:t>；</w:t>
            </w:r>
          </w:p>
          <w:p w14:paraId="253E8661">
            <w:pPr>
              <w:spacing w:line="276" w:lineRule="auto"/>
              <w:jc w:val="left"/>
              <w:rPr>
                <w:rFonts w:hint="eastAsia" w:ascii="宋体" w:hAnsi="宋体" w:eastAsia="宋体" w:cs="宋体"/>
                <w:szCs w:val="21"/>
                <w:lang w:eastAsia="zh-CN"/>
              </w:rPr>
            </w:pPr>
            <w:r>
              <w:rPr>
                <w:rFonts w:hint="eastAsia" w:ascii="宋体" w:hAnsi="宋体" w:eastAsia="宋体" w:cs="宋体"/>
                <w:szCs w:val="21"/>
              </w:rPr>
              <w:t>3.深刻领会班主任素养对学生成长的重要性，提升努力成为“四有”好教师的意愿</w:t>
            </w:r>
            <w:r>
              <w:rPr>
                <w:rFonts w:hint="eastAsia" w:ascii="宋体" w:hAnsi="宋体" w:eastAsia="宋体" w:cs="宋体"/>
                <w:szCs w:val="21"/>
                <w:lang w:eastAsia="zh-CN"/>
              </w:rPr>
              <w:t>。</w:t>
            </w:r>
          </w:p>
        </w:tc>
      </w:tr>
      <w:tr w14:paraId="3B1F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212" w:type="dxa"/>
            <w:vAlign w:val="center"/>
          </w:tcPr>
          <w:p w14:paraId="2B797359">
            <w:pPr>
              <w:spacing w:line="276" w:lineRule="auto"/>
              <w:jc w:val="left"/>
              <w:rPr>
                <w:rFonts w:hint="eastAsia" w:ascii="宋体" w:hAnsi="宋体" w:eastAsia="宋体" w:cs="宋体"/>
                <w:szCs w:val="21"/>
                <w:lang w:eastAsia="zh-CN"/>
              </w:rPr>
            </w:pPr>
            <w:r>
              <w:rPr>
                <w:rFonts w:hint="eastAsia" w:ascii="宋体" w:hAnsi="宋体" w:eastAsia="宋体" w:cs="宋体"/>
                <w:szCs w:val="21"/>
                <w:lang w:val="en-US" w:eastAsia="zh-CN"/>
              </w:rPr>
              <w:t>班队环境管理</w:t>
            </w:r>
          </w:p>
        </w:tc>
        <w:tc>
          <w:tcPr>
            <w:tcW w:w="3407" w:type="dxa"/>
            <w:vAlign w:val="center"/>
          </w:tcPr>
          <w:p w14:paraId="3D262EDB">
            <w:pPr>
              <w:spacing w:line="276" w:lineRule="auto"/>
              <w:jc w:val="left"/>
              <w:rPr>
                <w:rFonts w:hint="eastAsia" w:ascii="宋体" w:hAnsi="宋体" w:eastAsia="宋体" w:cs="宋体"/>
                <w:szCs w:val="21"/>
              </w:rPr>
            </w:pPr>
            <w:r>
              <w:rPr>
                <w:rFonts w:hint="eastAsia" w:ascii="宋体" w:hAnsi="宋体" w:eastAsia="宋体" w:cs="宋体"/>
                <w:szCs w:val="21"/>
              </w:rPr>
              <w:t>结合见习实习经历，谈谈班主任进行</w:t>
            </w:r>
            <w:r>
              <w:rPr>
                <w:rFonts w:hint="eastAsia" w:ascii="宋体" w:hAnsi="宋体" w:eastAsia="宋体" w:cs="宋体"/>
                <w:szCs w:val="21"/>
                <w:lang w:val="en-US" w:eastAsia="zh-CN"/>
              </w:rPr>
              <w:t>班级环境创设应注意的问题</w:t>
            </w:r>
            <w:r>
              <w:rPr>
                <w:rFonts w:hint="eastAsia" w:ascii="宋体" w:hAnsi="宋体" w:eastAsia="宋体" w:cs="宋体"/>
                <w:szCs w:val="21"/>
              </w:rPr>
              <w:t>。</w:t>
            </w:r>
          </w:p>
        </w:tc>
        <w:tc>
          <w:tcPr>
            <w:tcW w:w="740" w:type="dxa"/>
            <w:vAlign w:val="center"/>
          </w:tcPr>
          <w:p w14:paraId="77E1F32D">
            <w:pPr>
              <w:spacing w:line="276" w:lineRule="auto"/>
              <w:jc w:val="center"/>
              <w:rPr>
                <w:rFonts w:hint="eastAsia" w:ascii="宋体" w:hAnsi="宋体" w:eastAsia="宋体" w:cs="宋体"/>
                <w:szCs w:val="21"/>
              </w:rPr>
            </w:pPr>
            <w:r>
              <w:rPr>
                <w:rFonts w:hint="eastAsia" w:ascii="宋体" w:hAnsi="宋体" w:eastAsia="宋体" w:cs="宋体"/>
                <w:szCs w:val="21"/>
              </w:rPr>
              <w:t>课堂研讨与分享</w:t>
            </w:r>
          </w:p>
        </w:tc>
        <w:tc>
          <w:tcPr>
            <w:tcW w:w="3160" w:type="dxa"/>
            <w:vAlign w:val="center"/>
          </w:tcPr>
          <w:p w14:paraId="3EB539DC">
            <w:pPr>
              <w:spacing w:line="276" w:lineRule="auto"/>
              <w:jc w:val="left"/>
              <w:rPr>
                <w:rFonts w:hint="default" w:ascii="宋体" w:hAnsi="宋体" w:eastAsia="宋体" w:cs="宋体"/>
                <w:szCs w:val="21"/>
                <w:lang w:val="en-US" w:eastAsia="zh-CN"/>
              </w:rPr>
            </w:pPr>
            <w:r>
              <w:rPr>
                <w:rFonts w:hint="eastAsia" w:ascii="宋体" w:hAnsi="宋体" w:eastAsia="宋体" w:cs="宋体"/>
                <w:szCs w:val="21"/>
              </w:rPr>
              <w:t>1.掌握</w:t>
            </w:r>
            <w:r>
              <w:rPr>
                <w:rFonts w:hint="eastAsia" w:ascii="宋体" w:hAnsi="宋体" w:eastAsia="宋体" w:cs="宋体"/>
                <w:szCs w:val="21"/>
                <w:lang w:val="en-US" w:eastAsia="zh-CN"/>
              </w:rPr>
              <w:t>班级环境创设的要求与方法；</w:t>
            </w:r>
          </w:p>
          <w:p w14:paraId="20D97241">
            <w:pPr>
              <w:spacing w:line="276" w:lineRule="auto"/>
              <w:jc w:val="left"/>
              <w:rPr>
                <w:rFonts w:hint="eastAsia" w:ascii="宋体" w:hAnsi="宋体" w:eastAsia="宋体" w:cs="宋体"/>
                <w:szCs w:val="21"/>
              </w:rPr>
            </w:pPr>
            <w:r>
              <w:rPr>
                <w:rFonts w:hint="eastAsia" w:ascii="宋体" w:hAnsi="宋体" w:eastAsia="宋体" w:cs="宋体"/>
                <w:szCs w:val="21"/>
              </w:rPr>
              <w:t>2.提高对教师职业特性的认识，增强</w:t>
            </w:r>
            <w:r>
              <w:rPr>
                <w:rFonts w:hint="eastAsia" w:ascii="宋体" w:hAnsi="宋体" w:eastAsia="宋体" w:cs="宋体"/>
                <w:szCs w:val="21"/>
                <w:lang w:val="en-US" w:eastAsia="zh-CN"/>
              </w:rPr>
              <w:t>文化育人的意识。</w:t>
            </w:r>
          </w:p>
        </w:tc>
      </w:tr>
      <w:tr w14:paraId="14E2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76C9806C">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学生问题行为管理与家校沟通</w:t>
            </w:r>
          </w:p>
        </w:tc>
        <w:tc>
          <w:tcPr>
            <w:tcW w:w="3407" w:type="dxa"/>
            <w:vAlign w:val="center"/>
          </w:tcPr>
          <w:p w14:paraId="0CD825AB">
            <w:pPr>
              <w:spacing w:line="276" w:lineRule="auto"/>
              <w:jc w:val="left"/>
              <w:rPr>
                <w:rFonts w:hint="default" w:ascii="宋体" w:hAnsi="宋体" w:eastAsia="宋体" w:cs="宋体"/>
                <w:szCs w:val="21"/>
                <w:lang w:val="en-US" w:eastAsia="zh-CN"/>
              </w:rPr>
            </w:pPr>
            <w:r>
              <w:rPr>
                <w:rFonts w:hint="eastAsia" w:ascii="宋体" w:hAnsi="宋体" w:eastAsia="宋体" w:cs="宋体"/>
                <w:szCs w:val="21"/>
              </w:rPr>
              <w:t>分析当前小学校园霸凌问题的表现、成因及应对策略</w:t>
            </w:r>
            <w:r>
              <w:rPr>
                <w:rFonts w:hint="eastAsia" w:ascii="宋体" w:hAnsi="宋体" w:eastAsia="宋体" w:cs="宋体"/>
                <w:szCs w:val="21"/>
                <w:lang w:eastAsia="zh-CN"/>
              </w:rPr>
              <w:t>；</w:t>
            </w:r>
            <w:r>
              <w:rPr>
                <w:rFonts w:hint="eastAsia" w:ascii="宋体" w:hAnsi="宋体" w:eastAsia="宋体" w:cs="宋体"/>
                <w:szCs w:val="21"/>
                <w:lang w:val="en-US" w:eastAsia="zh-CN"/>
              </w:rPr>
              <w:t>并谈谈家校沟通存在的问题及应对</w:t>
            </w:r>
          </w:p>
        </w:tc>
        <w:tc>
          <w:tcPr>
            <w:tcW w:w="740" w:type="dxa"/>
            <w:vAlign w:val="center"/>
          </w:tcPr>
          <w:p w14:paraId="72CFCBB7">
            <w:pPr>
              <w:spacing w:line="276" w:lineRule="auto"/>
              <w:jc w:val="center"/>
              <w:rPr>
                <w:rFonts w:hint="eastAsia" w:ascii="宋体" w:hAnsi="宋体" w:eastAsia="宋体" w:cs="宋体"/>
                <w:szCs w:val="21"/>
              </w:rPr>
            </w:pPr>
            <w:r>
              <w:rPr>
                <w:rFonts w:hint="eastAsia" w:ascii="宋体" w:hAnsi="宋体" w:eastAsia="宋体" w:cs="宋体"/>
                <w:szCs w:val="21"/>
              </w:rPr>
              <w:t>课堂研讨与分享</w:t>
            </w:r>
          </w:p>
        </w:tc>
        <w:tc>
          <w:tcPr>
            <w:tcW w:w="3160" w:type="dxa"/>
            <w:vAlign w:val="center"/>
          </w:tcPr>
          <w:p w14:paraId="05F44B10">
            <w:pPr>
              <w:spacing w:line="276" w:lineRule="auto"/>
              <w:jc w:val="left"/>
              <w:rPr>
                <w:rFonts w:hint="default" w:ascii="宋体" w:hAnsi="宋体" w:eastAsia="宋体" w:cs="宋体"/>
                <w:szCs w:val="21"/>
                <w:lang w:val="en-US" w:eastAsia="zh-CN"/>
              </w:rPr>
            </w:pPr>
            <w:r>
              <w:rPr>
                <w:rFonts w:hint="eastAsia" w:ascii="宋体" w:hAnsi="宋体" w:eastAsia="宋体" w:cs="宋体"/>
                <w:szCs w:val="21"/>
              </w:rPr>
              <w:t>1.了解常见的学生问题行为，掌握处理学生问题行为的策略</w:t>
            </w:r>
            <w:r>
              <w:rPr>
                <w:rFonts w:hint="eastAsia" w:ascii="宋体" w:hAnsi="宋体" w:eastAsia="宋体" w:cs="宋体"/>
                <w:szCs w:val="21"/>
                <w:lang w:eastAsia="zh-CN"/>
              </w:rPr>
              <w:t>；</w:t>
            </w:r>
            <w:r>
              <w:rPr>
                <w:rFonts w:hint="eastAsia" w:ascii="宋体" w:hAnsi="宋体" w:eastAsia="宋体" w:cs="宋体"/>
                <w:szCs w:val="21"/>
                <w:lang w:val="en-US" w:eastAsia="zh-CN"/>
              </w:rPr>
              <w:t>提升家校沟通技巧；</w:t>
            </w:r>
          </w:p>
          <w:p w14:paraId="1EC59CD5">
            <w:pPr>
              <w:spacing w:line="276" w:lineRule="auto"/>
              <w:jc w:val="left"/>
              <w:rPr>
                <w:rFonts w:hint="eastAsia" w:ascii="宋体" w:hAnsi="宋体" w:eastAsia="宋体" w:cs="宋体"/>
                <w:szCs w:val="21"/>
                <w:lang w:eastAsia="zh-CN"/>
              </w:rPr>
            </w:pPr>
            <w:r>
              <w:rPr>
                <w:rFonts w:hint="eastAsia" w:ascii="宋体" w:hAnsi="宋体" w:eastAsia="宋体" w:cs="宋体"/>
                <w:szCs w:val="21"/>
              </w:rPr>
              <w:t>2.增强从教的意愿，以及成为小学教师的荣耀感、责任感和使命感</w:t>
            </w:r>
            <w:r>
              <w:rPr>
                <w:rFonts w:hint="eastAsia" w:ascii="宋体" w:hAnsi="宋体" w:eastAsia="宋体" w:cs="宋体"/>
                <w:szCs w:val="21"/>
                <w:lang w:eastAsia="zh-CN"/>
              </w:rPr>
              <w:t>。</w:t>
            </w:r>
          </w:p>
        </w:tc>
      </w:tr>
    </w:tbl>
    <w:p w14:paraId="3175AF8F">
      <w:pPr>
        <w:spacing w:line="360" w:lineRule="auto"/>
        <w:ind w:firstLine="551" w:firstLineChars="196"/>
        <w:jc w:val="left"/>
        <w:rPr>
          <w:rFonts w:hint="eastAsia" w:ascii="宋体" w:hAnsi="宋体" w:eastAsia="宋体" w:cs="Times New Roman"/>
          <w:b/>
          <w:color w:val="000000"/>
          <w:sz w:val="28"/>
          <w:szCs w:val="28"/>
        </w:rPr>
      </w:pPr>
    </w:p>
    <w:p w14:paraId="05C1C81E">
      <w:pPr>
        <w:spacing w:line="360" w:lineRule="auto"/>
        <w:jc w:val="left"/>
        <w:outlineLvl w:val="0"/>
        <w:rPr>
          <w:rFonts w:ascii="Times New Roman" w:hAnsi="Times New Roman" w:eastAsia="宋体" w:cs="Times New Roman"/>
          <w:b/>
          <w:bCs/>
          <w:sz w:val="24"/>
          <w:szCs w:val="24"/>
        </w:rPr>
      </w:pPr>
      <w:bookmarkStart w:id="926" w:name="_Toc7607"/>
      <w:bookmarkStart w:id="927" w:name="_Toc7368"/>
      <w:bookmarkStart w:id="928" w:name="_Toc7998"/>
      <w:bookmarkStart w:id="929" w:name="_Toc27833"/>
      <w:bookmarkStart w:id="930" w:name="_Toc5106"/>
      <w:bookmarkStart w:id="931" w:name="_Toc24058"/>
      <w:bookmarkStart w:id="932" w:name="_Toc6757"/>
      <w:r>
        <w:rPr>
          <w:rFonts w:hint="eastAsia" w:ascii="宋体" w:hAnsi="宋体" w:eastAsia="宋体" w:cs="Times New Roman"/>
          <w:b/>
          <w:color w:val="000000"/>
          <w:sz w:val="24"/>
          <w:szCs w:val="24"/>
        </w:rPr>
        <w:t>六、有关说明</w:t>
      </w:r>
      <w:bookmarkEnd w:id="926"/>
      <w:bookmarkEnd w:id="927"/>
      <w:bookmarkEnd w:id="928"/>
      <w:bookmarkEnd w:id="929"/>
      <w:bookmarkEnd w:id="930"/>
      <w:bookmarkEnd w:id="931"/>
      <w:bookmarkEnd w:id="932"/>
    </w:p>
    <w:p w14:paraId="17B3026D">
      <w:pPr>
        <w:spacing w:line="360" w:lineRule="auto"/>
        <w:jc w:val="left"/>
        <w:outlineLvl w:val="1"/>
        <w:rPr>
          <w:rFonts w:ascii="Times New Roman" w:hAnsi="Times New Roman" w:eastAsia="宋体" w:cs="Times New Roman"/>
          <w:b/>
          <w:szCs w:val="21"/>
        </w:rPr>
      </w:pPr>
      <w:bookmarkStart w:id="933" w:name="_Toc29311"/>
      <w:r>
        <w:rPr>
          <w:rFonts w:hint="eastAsia" w:ascii="Times New Roman" w:hAnsi="Times New Roman" w:eastAsia="宋体" w:cs="Times New Roman"/>
          <w:b/>
          <w:szCs w:val="21"/>
        </w:rPr>
        <w:t>（一）持续改进</w:t>
      </w:r>
      <w:bookmarkEnd w:id="933"/>
    </w:p>
    <w:p w14:paraId="1B075B6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w:t>
      </w:r>
      <w:r>
        <w:rPr>
          <w:rFonts w:hint="eastAsia" w:ascii="Times New Roman" w:hAnsi="Times New Roman" w:eastAsia="宋体" w:cs="Times New Roman"/>
          <w:szCs w:val="21"/>
          <w:lang w:val="en-US" w:eastAsia="zh-CN"/>
        </w:rPr>
        <w:t>课内实践、</w:t>
      </w:r>
      <w:r>
        <w:rPr>
          <w:rFonts w:hint="eastAsia" w:ascii="Times New Roman" w:hAnsi="Times New Roman" w:eastAsia="宋体" w:cs="Times New Roman"/>
          <w:szCs w:val="21"/>
        </w:rPr>
        <w:t>作业质量，以及领导、督导、教师同行等的听课情况，及时发现和改进教学中的不足之处，确保相应毕业要求指标点达成。</w:t>
      </w:r>
    </w:p>
    <w:p w14:paraId="17A2ED3E">
      <w:pPr>
        <w:spacing w:line="360" w:lineRule="auto"/>
        <w:jc w:val="left"/>
        <w:outlineLvl w:val="1"/>
        <w:rPr>
          <w:rFonts w:ascii="Times New Roman" w:hAnsi="Times New Roman" w:eastAsia="宋体" w:cs="Times New Roman"/>
          <w:b/>
          <w:szCs w:val="21"/>
        </w:rPr>
      </w:pPr>
      <w:bookmarkStart w:id="934" w:name="_Toc9978"/>
      <w:r>
        <w:rPr>
          <w:rFonts w:hint="eastAsia" w:ascii="Times New Roman" w:hAnsi="Times New Roman" w:eastAsia="宋体" w:cs="Times New Roman"/>
          <w:b/>
          <w:szCs w:val="21"/>
        </w:rPr>
        <w:t>（二）建议教材</w:t>
      </w:r>
      <w:bookmarkEnd w:id="934"/>
    </w:p>
    <w:p w14:paraId="588838DC">
      <w:pPr>
        <w:spacing w:line="360" w:lineRule="auto"/>
        <w:ind w:firstLine="420" w:firstLineChars="200"/>
        <w:jc w:val="left"/>
        <w:rPr>
          <w:rFonts w:hint="eastAsia" w:ascii="Times New Roman" w:hAnsi="Times New Roman" w:eastAsia="宋体" w:cs="Times New Roman"/>
          <w:bCs/>
          <w:color w:val="000000"/>
          <w:szCs w:val="21"/>
          <w:lang w:eastAsia="zh-CN"/>
        </w:rPr>
      </w:pPr>
      <w:r>
        <w:rPr>
          <w:rFonts w:hint="eastAsia" w:ascii="Times New Roman" w:hAnsi="Times New Roman" w:eastAsia="宋体" w:cs="Times New Roman"/>
          <w:bCs/>
          <w:color w:val="000000"/>
          <w:szCs w:val="21"/>
        </w:rPr>
        <w:t>沈佳琪</w:t>
      </w:r>
      <w:r>
        <w:rPr>
          <w:rFonts w:hint="eastAsia" w:ascii="Times New Roman" w:hAnsi="Times New Roman" w:eastAsia="宋体" w:cs="Times New Roman"/>
          <w:bCs/>
          <w:color w:val="000000"/>
          <w:szCs w:val="21"/>
          <w:lang w:val="en-US" w:eastAsia="zh-CN"/>
        </w:rPr>
        <w:t>.</w:t>
      </w:r>
      <w:r>
        <w:rPr>
          <w:rFonts w:hint="eastAsia" w:ascii="Times New Roman" w:hAnsi="Times New Roman" w:eastAsia="宋体" w:cs="Times New Roman"/>
          <w:bCs/>
          <w:color w:val="000000"/>
          <w:szCs w:val="21"/>
        </w:rPr>
        <w:t>小学班管队理，高等教育出版社，2021</w:t>
      </w:r>
      <w:r>
        <w:rPr>
          <w:rFonts w:hint="eastAsia" w:ascii="Times New Roman" w:hAnsi="Times New Roman" w:eastAsia="宋体" w:cs="Times New Roman"/>
          <w:bCs/>
          <w:color w:val="000000"/>
          <w:szCs w:val="21"/>
          <w:lang w:eastAsia="zh-CN"/>
        </w:rPr>
        <w:t>。</w:t>
      </w:r>
    </w:p>
    <w:p w14:paraId="77DDA12C">
      <w:pPr>
        <w:spacing w:line="360" w:lineRule="auto"/>
        <w:jc w:val="left"/>
        <w:outlineLvl w:val="1"/>
        <w:rPr>
          <w:rFonts w:ascii="Times New Roman" w:hAnsi="Times New Roman" w:eastAsia="宋体" w:cs="Times New Roman"/>
          <w:b/>
          <w:szCs w:val="21"/>
        </w:rPr>
      </w:pPr>
      <w:bookmarkStart w:id="935" w:name="_Toc10366"/>
      <w:r>
        <w:rPr>
          <w:rFonts w:hint="eastAsia" w:ascii="Times New Roman" w:hAnsi="Times New Roman" w:eastAsia="宋体" w:cs="Times New Roman"/>
          <w:b/>
          <w:szCs w:val="21"/>
        </w:rPr>
        <w:t>（三）参考书目</w:t>
      </w:r>
      <w:bookmarkEnd w:id="935"/>
    </w:p>
    <w:p w14:paraId="6C7132E2">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1. 李镇西.我这样做班主任——李镇西30年班级管理精华. 漓江出版社，2018.</w:t>
      </w:r>
    </w:p>
    <w:p w14:paraId="2F80C907">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2. 曹长德. 当代班级管理引论. 中国科学技术大学出版社, 2019. </w:t>
      </w:r>
    </w:p>
    <w:p w14:paraId="334E9D8F">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 xml:space="preserve">3. 王怀玉. 从班级到成长共同体：不一样的带班策略.华东师范大学出版社, 2019. </w:t>
      </w:r>
    </w:p>
    <w:p w14:paraId="41041B7D">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4. 李明敏等. 班级管理原理与方法. 中国社会科学出版社, 2017.</w:t>
      </w:r>
    </w:p>
    <w:p w14:paraId="60E57A65">
      <w:pPr>
        <w:ind w:firstLine="420" w:firstLineChars="200"/>
        <w:rPr>
          <w:rFonts w:hint="eastAsia" w:ascii="等线" w:hAnsi="等线" w:eastAsia="等线" w:cs="Times New Roman"/>
          <w:szCs w:val="22"/>
        </w:rPr>
      </w:pPr>
      <w:r>
        <w:rPr>
          <w:rFonts w:hint="eastAsia" w:ascii="Times New Roman" w:hAnsi="Times New Roman" w:eastAsia="宋体" w:cs="Times New Roman"/>
          <w:bCs/>
          <w:color w:val="000000"/>
          <w:szCs w:val="21"/>
        </w:rPr>
        <w:t>5. 李继秀, 陈小勤. 班级管理案例精选. 安徽大学出版社, 2018.</w:t>
      </w:r>
    </w:p>
    <w:p w14:paraId="52B30EC2">
      <w:pPr>
        <w:rPr>
          <w:rFonts w:hint="eastAsia" w:ascii="等线" w:hAnsi="等线" w:eastAsia="等线" w:cs="Times New Roman"/>
          <w:szCs w:val="22"/>
        </w:rPr>
      </w:pPr>
    </w:p>
    <w:p w14:paraId="5C7A99CD">
      <w:pPr>
        <w:rPr>
          <w:rFonts w:hint="eastAsia" w:ascii="等线" w:hAnsi="等线" w:eastAsia="等线" w:cs="Times New Roman"/>
          <w:szCs w:val="22"/>
        </w:rPr>
      </w:pPr>
    </w:p>
    <w:p w14:paraId="03307050">
      <w:pPr>
        <w:wordWrap w:val="0"/>
        <w:spacing w:line="360" w:lineRule="auto"/>
        <w:ind w:right="1440"/>
        <w:jc w:val="righ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执 笔 人： </w:t>
      </w:r>
      <w:r>
        <w:rPr>
          <w:rFonts w:hint="eastAsia" w:ascii="Times New Roman" w:hAnsi="Times New Roman" w:eastAsia="宋体" w:cs="Times New Roman"/>
          <w:sz w:val="24"/>
          <w:szCs w:val="24"/>
          <w:lang w:val="en-US" w:eastAsia="zh-CN"/>
        </w:rPr>
        <w:t>姚玉香</w:t>
      </w:r>
    </w:p>
    <w:p w14:paraId="6EC50E86">
      <w:pPr>
        <w:wordWrap w:val="0"/>
        <w:spacing w:line="360" w:lineRule="auto"/>
        <w:ind w:right="144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定 人： 王</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健</w:t>
      </w:r>
    </w:p>
    <w:p w14:paraId="6243736A">
      <w:pPr>
        <w:spacing w:line="360" w:lineRule="auto"/>
        <w:ind w:right="14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0E139C46">
      <w:pPr>
        <w:spacing w:line="360" w:lineRule="auto"/>
        <w:ind w:right="2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074CF3DA">
      <w:pPr>
        <w:rPr>
          <w:rFonts w:hint="eastAsia" w:ascii="Times New Roman" w:hAnsi="Times New Roman" w:eastAsia="宋体" w:cs="Times New Roman"/>
          <w:b/>
          <w:bCs/>
          <w:sz w:val="30"/>
          <w:szCs w:val="24"/>
          <w:lang w:eastAsia="zh-CN"/>
        </w:rPr>
      </w:pPr>
      <w:r>
        <w:rPr>
          <w:rFonts w:hint="eastAsia" w:ascii="Times New Roman" w:hAnsi="Times New Roman" w:eastAsia="宋体" w:cs="Times New Roman"/>
          <w:b/>
          <w:bCs/>
          <w:sz w:val="30"/>
          <w:szCs w:val="24"/>
          <w:lang w:eastAsia="zh-CN"/>
        </w:rPr>
        <w:br w:type="page"/>
      </w:r>
    </w:p>
    <w:p w14:paraId="47E2AAFF">
      <w:pPr>
        <w:pStyle w:val="2"/>
        <w:bidi w:val="0"/>
        <w:rPr>
          <w:rFonts w:hint="default"/>
          <w:lang w:val="en-US" w:eastAsia="zh-CN"/>
        </w:rPr>
      </w:pPr>
      <w:bookmarkStart w:id="936" w:name="_Toc4786"/>
      <w:r>
        <w:rPr>
          <w:rFonts w:hint="eastAsia"/>
          <w:lang w:eastAsia="zh-CN"/>
        </w:rPr>
        <w:t>《</w:t>
      </w:r>
      <w:r>
        <w:rPr>
          <w:rFonts w:hint="eastAsia"/>
        </w:rPr>
        <w:t>教师口语与礼仪</w:t>
      </w:r>
      <w:r>
        <w:rPr>
          <w:rFonts w:hint="eastAsia"/>
          <w:lang w:eastAsia="zh-CN"/>
        </w:rPr>
        <w:t>》</w:t>
      </w:r>
      <w:r>
        <w:rPr>
          <w:rFonts w:hint="eastAsia"/>
          <w:lang w:val="en-US" w:eastAsia="zh-CN"/>
        </w:rPr>
        <w:t>课程教学大纲</w:t>
      </w:r>
      <w:bookmarkEnd w:id="936"/>
    </w:p>
    <w:p w14:paraId="7F1AF160">
      <w:pPr>
        <w:pStyle w:val="2"/>
        <w:bidi w:val="0"/>
        <w:rPr>
          <w:rFonts w:hint="eastAsia"/>
          <w:lang w:eastAsia="zh-CN"/>
        </w:rPr>
      </w:pPr>
      <w:bookmarkStart w:id="937" w:name="_Toc25148"/>
      <w:r>
        <w:rPr>
          <w:rFonts w:hint="eastAsia"/>
          <w:lang w:eastAsia="zh-CN"/>
        </w:rPr>
        <w:t>（</w:t>
      </w:r>
      <w:r>
        <w:rPr>
          <w:rFonts w:hint="eastAsia"/>
        </w:rPr>
        <w:t>Teachers' Spoken Language and Etiquette</w:t>
      </w:r>
      <w:r>
        <w:rPr>
          <w:rFonts w:hint="eastAsia"/>
          <w:lang w:eastAsia="zh-CN"/>
        </w:rPr>
        <w:t>）</w:t>
      </w:r>
      <w:bookmarkEnd w:id="937"/>
    </w:p>
    <w:p w14:paraId="08AAD846">
      <w:pPr>
        <w:spacing w:line="360" w:lineRule="auto"/>
        <w:jc w:val="center"/>
        <w:rPr>
          <w:rFonts w:ascii="Times New Roman" w:hAnsi="Times New Roman" w:eastAsia="宋体" w:cs="Times New Roman"/>
          <w:bCs/>
          <w:sz w:val="30"/>
          <w:szCs w:val="30"/>
        </w:rPr>
      </w:pPr>
    </w:p>
    <w:p w14:paraId="79FD03B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val="0"/>
          <w:bCs/>
          <w:sz w:val="24"/>
          <w:szCs w:val="24"/>
        </w:rPr>
        <w:t>教师口语与礼仪</w:t>
      </w:r>
    </w:p>
    <w:p w14:paraId="336453A6">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val="0"/>
          <w:bCs/>
          <w:sz w:val="24"/>
          <w:szCs w:val="24"/>
        </w:rPr>
        <w:t>2401060</w:t>
      </w:r>
    </w:p>
    <w:p w14:paraId="137452BC">
      <w:pPr>
        <w:spacing w:line="360" w:lineRule="auto"/>
        <w:ind w:firstLine="482"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val="0"/>
          <w:bCs/>
          <w:sz w:val="24"/>
          <w:szCs w:val="24"/>
          <w:lang w:val="en-US" w:eastAsia="zh-CN"/>
        </w:rPr>
        <w:t>1</w:t>
      </w:r>
    </w:p>
    <w:p w14:paraId="0F467413">
      <w:pPr>
        <w:spacing w:line="360" w:lineRule="auto"/>
        <w:ind w:firstLine="482"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kern w:val="0"/>
          <w:sz w:val="24"/>
          <w:szCs w:val="24"/>
          <w:lang w:val="en-US" w:eastAsia="zh-CN"/>
        </w:rPr>
        <w:t>16</w:t>
      </w:r>
    </w:p>
    <w:p w14:paraId="77F197AB">
      <w:pPr>
        <w:spacing w:line="360" w:lineRule="auto"/>
        <w:ind w:firstLine="482" w:firstLineChars="200"/>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val="0"/>
          <w:bCs/>
          <w:sz w:val="24"/>
          <w:szCs w:val="24"/>
          <w:lang w:val="en-US" w:eastAsia="zh-CN"/>
        </w:rPr>
        <w:t>教师职业道德、普通话训练</w:t>
      </w:r>
    </w:p>
    <w:p w14:paraId="356D279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w:t>
      </w:r>
      <w:r>
        <w:rPr>
          <w:rFonts w:ascii="Times New Roman" w:hAnsi="Times New Roman" w:eastAsia="宋体" w:cs="Times New Roman"/>
          <w:kern w:val="0"/>
          <w:sz w:val="24"/>
          <w:szCs w:val="24"/>
        </w:rPr>
        <w:t>小学教育专业</w:t>
      </w:r>
    </w:p>
    <w:p w14:paraId="5C4A440F">
      <w:pPr>
        <w:spacing w:line="360" w:lineRule="auto"/>
        <w:jc w:val="left"/>
        <w:rPr>
          <w:rFonts w:ascii="Times New Roman" w:hAnsi="Times New Roman" w:eastAsia="宋体" w:cs="Times New Roman"/>
          <w:b/>
          <w:sz w:val="24"/>
          <w:szCs w:val="24"/>
        </w:rPr>
      </w:pPr>
    </w:p>
    <w:p w14:paraId="7B12586A">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6405B584">
      <w:pPr>
        <w:autoSpaceDE w:val="0"/>
        <w:autoSpaceDN w:val="0"/>
        <w:adjustRightInd w:val="0"/>
        <w:spacing w:line="360" w:lineRule="auto"/>
        <w:ind w:firstLine="480" w:firstLineChars="200"/>
        <w:jc w:val="left"/>
        <w:rPr>
          <w:rFonts w:ascii="Times New Roman" w:hAnsi="Times New Roman" w:eastAsia="宋体" w:cs="Times New Roman"/>
          <w:szCs w:val="21"/>
        </w:rPr>
      </w:pPr>
      <w:r>
        <w:rPr>
          <w:rFonts w:ascii="宋体" w:hAnsi="宋体" w:eastAsia="宋体" w:cs="宋体"/>
          <w:sz w:val="24"/>
          <w:szCs w:val="24"/>
        </w:rPr>
        <w:t>本课程旨在培养师范生及在职教师的口语表达能力和职业礼仪素养，助力提升教学效果与职业形象。课程内容涵盖教师口语艺术（如普通话训练、课堂语言设计、演讲技巧）和职业礼仪规范（如仪态举止、着装礼仪、师生沟通礼仪等），结合教育心理学与真实教学场景，强化语言感染力与互动能力。通过理论讲解、案例分析、情境模拟及实践训练，学生将掌握清晰、得体、富有魅力的表达方式，塑造专业、亲切的教师形象，为未来教育教学工作奠定坚实基础。</w:t>
      </w:r>
    </w:p>
    <w:p w14:paraId="7C426C7E">
      <w:pPr>
        <w:spacing w:line="360" w:lineRule="auto"/>
        <w:jc w:val="left"/>
        <w:rPr>
          <w:rFonts w:ascii="宋体" w:hAnsi="宋体" w:eastAsia="宋体" w:cs="Times New Roman"/>
          <w:b/>
          <w:color w:val="000000"/>
          <w:szCs w:val="21"/>
        </w:rPr>
      </w:pPr>
    </w:p>
    <w:p w14:paraId="1DB9D4F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1AB1FEFA">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A2192C9">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目标1.掌握普通话中的语流音变现象，掌握各种文体的朗读技巧，提高学生的普通话水平</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礼仪标准</w:t>
      </w:r>
      <w:r>
        <w:rPr>
          <w:rFonts w:hint="eastAsia" w:ascii="宋体" w:hAnsi="宋体" w:eastAsia="宋体" w:cs="Times New Roman"/>
          <w:color w:val="000000"/>
          <w:kern w:val="0"/>
          <w:sz w:val="24"/>
        </w:rPr>
        <w:t>和实际应用能力。</w:t>
      </w:r>
    </w:p>
    <w:p w14:paraId="2F9FD3AE">
      <w:pPr>
        <w:spacing w:line="312" w:lineRule="auto"/>
        <w:ind w:firstLine="480" w:firstLineChars="200"/>
        <w:rPr>
          <w:rFonts w:hint="default" w:ascii="宋体" w:hAnsi="宋体" w:eastAsia="宋体" w:cs="Times New Roman"/>
          <w:color w:val="000000"/>
          <w:kern w:val="0"/>
          <w:sz w:val="24"/>
          <w:lang w:val="en-US" w:eastAsia="zh-CN"/>
        </w:rPr>
      </w:pPr>
      <w:r>
        <w:rPr>
          <w:rFonts w:hint="eastAsia" w:ascii="宋体" w:hAnsi="宋体" w:eastAsia="宋体" w:cs="Times New Roman"/>
          <w:color w:val="000000"/>
          <w:kern w:val="0"/>
          <w:sz w:val="24"/>
        </w:rPr>
        <w:t>目标2.掌握教师教学口语</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w:t>
      </w:r>
      <w:r>
        <w:rPr>
          <w:rFonts w:hint="eastAsia" w:ascii="宋体" w:hAnsi="宋体" w:eastAsia="宋体" w:cs="Times New Roman"/>
          <w:color w:val="000000"/>
          <w:kern w:val="0"/>
          <w:sz w:val="24"/>
        </w:rPr>
        <w:t>的特点，在课堂练习中正确使用各类教学语言</w:t>
      </w:r>
      <w:r>
        <w:rPr>
          <w:rFonts w:hint="eastAsia" w:ascii="宋体" w:hAnsi="宋体" w:eastAsia="宋体" w:cs="Times New Roman"/>
          <w:color w:val="000000"/>
          <w:kern w:val="0"/>
          <w:sz w:val="24"/>
          <w:lang w:val="en-US" w:eastAsia="zh-CN"/>
        </w:rPr>
        <w:t>和礼仪标准。</w:t>
      </w:r>
    </w:p>
    <w:p w14:paraId="47D43A2F">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目标3.熟知教师教育口语</w:t>
      </w:r>
      <w:r>
        <w:rPr>
          <w:rFonts w:hint="eastAsia" w:ascii="宋体" w:hAnsi="宋体" w:eastAsia="宋体" w:cs="Times New Roman"/>
          <w:color w:val="000000"/>
          <w:kern w:val="0"/>
          <w:sz w:val="24"/>
          <w:lang w:val="en-US" w:eastAsia="zh-CN"/>
        </w:rPr>
        <w:t>和礼仪</w:t>
      </w:r>
      <w:r>
        <w:rPr>
          <w:rFonts w:hint="eastAsia" w:ascii="宋体" w:hAnsi="宋体" w:eastAsia="宋体" w:cs="Times New Roman"/>
          <w:color w:val="000000"/>
          <w:kern w:val="0"/>
          <w:sz w:val="24"/>
        </w:rPr>
        <w:t>的基本特点，能针对不同环境、不同对象使用教育语言</w:t>
      </w:r>
      <w:r>
        <w:rPr>
          <w:rFonts w:hint="eastAsia" w:ascii="宋体" w:hAnsi="宋体" w:eastAsia="宋体" w:cs="Times New Roman"/>
          <w:color w:val="000000"/>
          <w:kern w:val="0"/>
          <w:sz w:val="24"/>
          <w:lang w:val="en-US" w:eastAsia="zh-CN"/>
        </w:rPr>
        <w:t>和行为标准</w:t>
      </w:r>
      <w:r>
        <w:rPr>
          <w:rFonts w:hint="eastAsia" w:ascii="宋体" w:hAnsi="宋体" w:eastAsia="宋体" w:cs="Times New Roman"/>
          <w:color w:val="000000"/>
          <w:kern w:val="0"/>
          <w:sz w:val="24"/>
        </w:rPr>
        <w:t>。</w:t>
      </w:r>
    </w:p>
    <w:p w14:paraId="63E15620">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目标4.熟悉教师职业口语</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w:t>
      </w:r>
      <w:r>
        <w:rPr>
          <w:rFonts w:hint="eastAsia" w:ascii="宋体" w:hAnsi="宋体" w:eastAsia="宋体" w:cs="Times New Roman"/>
          <w:color w:val="000000"/>
          <w:kern w:val="0"/>
          <w:sz w:val="24"/>
        </w:rPr>
        <w:t>的特点和类型，提高应变能力。</w:t>
      </w:r>
    </w:p>
    <w:p w14:paraId="336B43A8">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8"/>
        <w:gridCol w:w="3398"/>
        <w:gridCol w:w="1191"/>
      </w:tblGrid>
      <w:tr w14:paraId="52CD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0C38812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3398" w:type="dxa"/>
            <w:vAlign w:val="center"/>
          </w:tcPr>
          <w:p w14:paraId="2553ADB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1EA38E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ECD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7C6FB638">
            <w:pPr>
              <w:autoSpaceDE w:val="0"/>
              <w:autoSpaceDN w:val="0"/>
              <w:rPr>
                <w:rFonts w:ascii="Times New Roman" w:hAnsi="Times New Roman" w:eastAsia="宋体" w:cs="Times New Roman"/>
                <w:szCs w:val="21"/>
              </w:rPr>
            </w:pPr>
            <w:r>
              <w:rPr>
                <w:rFonts w:hint="eastAsia" w:ascii="宋体" w:hAnsi="宋体" w:cs="宋体"/>
                <w:b/>
                <w:bCs/>
                <w:kern w:val="0"/>
                <w:szCs w:val="21"/>
              </w:rPr>
              <w:t>毕业要求2：</w:t>
            </w:r>
            <w:r>
              <w:rPr>
                <w:rFonts w:hint="eastAsia" w:ascii="宋体" w:hAnsi="宋体" w:cs="宋体"/>
                <w:b/>
                <w:bCs/>
                <w:szCs w:val="21"/>
              </w:rPr>
              <w:t>教育情怀</w:t>
            </w:r>
          </w:p>
        </w:tc>
        <w:tc>
          <w:tcPr>
            <w:tcW w:w="3398" w:type="dxa"/>
            <w:vAlign w:val="center"/>
          </w:tcPr>
          <w:p w14:paraId="14F8DA2A">
            <w:pPr>
              <w:spacing w:line="276" w:lineRule="auto"/>
              <w:jc w:val="left"/>
              <w:rPr>
                <w:rFonts w:hint="eastAsia" w:ascii="宋体" w:hAnsi="宋体" w:cs="宋体"/>
                <w:szCs w:val="21"/>
              </w:rPr>
            </w:pPr>
            <w:r>
              <w:rPr>
                <w:rFonts w:hint="eastAsia" w:ascii="宋体" w:hAnsi="宋体" w:cs="宋体"/>
                <w:szCs w:val="21"/>
              </w:rPr>
              <w:t>指标点2-3：【自身修养良好】具有较好的人文艺术底蕴与科学精神，言行举止符合教师职业标准，情感积极，人格健全，身心健康。</w:t>
            </w:r>
          </w:p>
        </w:tc>
        <w:tc>
          <w:tcPr>
            <w:tcW w:w="1191" w:type="dxa"/>
            <w:vAlign w:val="center"/>
          </w:tcPr>
          <w:p w14:paraId="50705F89">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2、3</w:t>
            </w:r>
          </w:p>
        </w:tc>
      </w:tr>
      <w:tr w14:paraId="0C38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256D920C">
            <w:pPr>
              <w:autoSpaceDE w:val="0"/>
              <w:autoSpaceDN w:val="0"/>
              <w:rPr>
                <w:rFonts w:hint="eastAsia" w:ascii="宋体" w:hAnsi="宋体" w:cs="宋体"/>
                <w:b/>
                <w:bCs/>
                <w:kern w:val="0"/>
                <w:szCs w:val="21"/>
              </w:rPr>
            </w:pPr>
            <w:r>
              <w:rPr>
                <w:rFonts w:hint="eastAsia" w:ascii="宋体" w:hAnsi="宋体" w:cs="宋体"/>
                <w:b/>
                <w:bCs/>
                <w:szCs w:val="21"/>
              </w:rPr>
              <w:t>毕业要求4：教学能力</w:t>
            </w:r>
          </w:p>
        </w:tc>
        <w:tc>
          <w:tcPr>
            <w:tcW w:w="3398" w:type="dxa"/>
            <w:vAlign w:val="center"/>
          </w:tcPr>
          <w:p w14:paraId="7469262A">
            <w:pPr>
              <w:spacing w:line="276" w:lineRule="auto"/>
              <w:jc w:val="left"/>
              <w:rPr>
                <w:rFonts w:hint="eastAsia" w:ascii="宋体" w:hAnsi="宋体" w:cs="宋体"/>
                <w:szCs w:val="21"/>
              </w:rPr>
            </w:pPr>
            <w:r>
              <w:rPr>
                <w:rFonts w:hint="eastAsia" w:ascii="宋体" w:hAnsi="宋体" w:cs="宋体"/>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074ADA37">
            <w:pPr>
              <w:spacing w:line="276"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2、3、4</w:t>
            </w:r>
          </w:p>
        </w:tc>
      </w:tr>
      <w:tr w14:paraId="64B4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249DB1EA">
            <w:pPr>
              <w:autoSpaceDE w:val="0"/>
              <w:autoSpaceDN w:val="0"/>
              <w:rPr>
                <w:rFonts w:hint="eastAsia" w:ascii="宋体" w:hAnsi="宋体" w:cs="宋体"/>
                <w:b/>
                <w:bCs/>
                <w:szCs w:val="21"/>
              </w:rPr>
            </w:pPr>
            <w:r>
              <w:rPr>
                <w:rFonts w:hint="eastAsia" w:ascii="宋体" w:hAnsi="宋体" w:cs="宋体"/>
                <w:b/>
                <w:bCs/>
                <w:kern w:val="0"/>
                <w:szCs w:val="21"/>
              </w:rPr>
              <w:t>毕业要求8：</w:t>
            </w:r>
            <w:r>
              <w:rPr>
                <w:rFonts w:hint="eastAsia" w:ascii="宋体" w:hAnsi="宋体" w:cs="宋体"/>
                <w:b/>
                <w:bCs/>
                <w:szCs w:val="21"/>
              </w:rPr>
              <w:t>沟通合作</w:t>
            </w:r>
          </w:p>
        </w:tc>
        <w:tc>
          <w:tcPr>
            <w:tcW w:w="3398" w:type="dxa"/>
            <w:vAlign w:val="center"/>
          </w:tcPr>
          <w:p w14:paraId="433619B9">
            <w:pPr>
              <w:spacing w:line="276" w:lineRule="auto"/>
              <w:jc w:val="left"/>
              <w:rPr>
                <w:rFonts w:hint="eastAsia" w:ascii="宋体" w:hAnsi="宋体" w:cs="宋体"/>
                <w:szCs w:val="21"/>
              </w:rPr>
            </w:pPr>
            <w:r>
              <w:rPr>
                <w:rFonts w:hint="eastAsia" w:ascii="宋体" w:hAnsi="宋体" w:cs="宋体"/>
                <w:szCs w:val="21"/>
              </w:rPr>
              <w:t>指标点8-2：【学会沟通交流】掌握人际沟通合作技能与方法，在教育教学实践中，能与学生和家长以及同行、同事、专家进行有效沟通与合作，实现共同发展。</w:t>
            </w:r>
          </w:p>
        </w:tc>
        <w:tc>
          <w:tcPr>
            <w:tcW w:w="1191" w:type="dxa"/>
            <w:vAlign w:val="center"/>
          </w:tcPr>
          <w:p w14:paraId="705C9542">
            <w:pPr>
              <w:spacing w:line="276"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2、4</w:t>
            </w:r>
          </w:p>
        </w:tc>
      </w:tr>
    </w:tbl>
    <w:p w14:paraId="3F27466A">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6112CAD">
      <w:pPr>
        <w:spacing w:line="360" w:lineRule="auto"/>
        <w:ind w:firstLine="480" w:firstLineChars="200"/>
        <w:jc w:val="left"/>
        <w:rPr>
          <w:rFonts w:ascii="宋体" w:hAnsi="宋体" w:eastAsia="宋体" w:cs="Times New Roman"/>
          <w:b/>
          <w:color w:val="000000"/>
          <w:sz w:val="28"/>
          <w:szCs w:val="28"/>
        </w:rPr>
      </w:pPr>
      <w:r>
        <w:rPr>
          <w:rFonts w:ascii="宋体" w:hAnsi="宋体" w:eastAsia="宋体" w:cs="宋体"/>
          <w:sz w:val="24"/>
          <w:szCs w:val="24"/>
        </w:rPr>
        <w:t>课程坚持以立德树人为根本，将思想政治教育贯穿教学全过程，着力培养具有坚定政治立场、高尚师德修养和强烈社会责任感的未来教师。通过规范语言表达和职业礼仪训练，引导学生深刻理解国家通用语言文字的政治意义和文化价值，增强文化自信与民族认同；注重在语言艺术和礼仪规范中渗透"学高为师、身正为范"的师德传统，培养爱岗敬业、关爱学生的职业精神；在沟通技巧训练中强化诚信、尊重、平等的核心价值观，帮助学生树立正确的教育理念；结合真实教学情境的模拟实践，激发学生教育报国的使命担当，培养服务基层、奉献教育的家国情怀。课程致力于实现专业知识传授、教学能力培养与思想政治教育同向同行，为新时代基础教育培养德才兼备的合格师资。</w:t>
      </w:r>
    </w:p>
    <w:p w14:paraId="48E61AF0">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691"/>
        <w:gridCol w:w="1111"/>
        <w:gridCol w:w="3190"/>
        <w:gridCol w:w="1517"/>
        <w:gridCol w:w="438"/>
      </w:tblGrid>
      <w:tr w14:paraId="2195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5D85917C">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84780F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691" w:type="dxa"/>
            <w:vAlign w:val="center"/>
          </w:tcPr>
          <w:p w14:paraId="5E1C3F6D">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11" w:type="dxa"/>
            <w:vAlign w:val="center"/>
          </w:tcPr>
          <w:p w14:paraId="3E97A3C4">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3A5137E9">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90" w:type="dxa"/>
            <w:vAlign w:val="center"/>
          </w:tcPr>
          <w:p w14:paraId="18F03963">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17" w:type="dxa"/>
            <w:vAlign w:val="center"/>
          </w:tcPr>
          <w:p w14:paraId="2303C009">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0F86A30">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AED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FC2F538">
            <w:pPr>
              <w:spacing w:line="264" w:lineRule="auto"/>
              <w:jc w:val="center"/>
              <w:rPr>
                <w:rFonts w:ascii="宋体" w:hAnsi="宋体" w:eastAsia="宋体" w:cs="Times New Roman"/>
                <w:color w:val="000000"/>
                <w:sz w:val="21"/>
                <w:szCs w:val="21"/>
              </w:rPr>
            </w:pPr>
            <w:r>
              <w:rPr>
                <w:rFonts w:hint="eastAsia" w:ascii="Times New Roman" w:hAnsi="Times New Roman" w:eastAsia="宋体" w:cs="Times New Roman"/>
                <w:b w:val="0"/>
                <w:bCs/>
                <w:sz w:val="21"/>
                <w:szCs w:val="21"/>
                <w:lang w:val="en-US" w:eastAsia="zh-CN"/>
              </w:rPr>
              <w:t>1</w:t>
            </w:r>
            <w:r>
              <w:rPr>
                <w:rFonts w:ascii="宋体" w:hAnsi="宋体" w:eastAsia="宋体" w:cs="宋体"/>
                <w:sz w:val="21"/>
                <w:szCs w:val="21"/>
              </w:rPr>
              <w:t>教师口语基础与职业定位</w:t>
            </w:r>
          </w:p>
        </w:tc>
        <w:tc>
          <w:tcPr>
            <w:tcW w:w="1691" w:type="dxa"/>
            <w:vAlign w:val="center"/>
          </w:tcPr>
          <w:p w14:paraId="40BE4EB6">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1）</w:t>
            </w:r>
            <w:r>
              <w:rPr>
                <w:rFonts w:ascii="宋体" w:hAnsi="宋体" w:eastAsia="宋体" w:cs="Times New Roman"/>
                <w:color w:val="000000"/>
                <w:sz w:val="21"/>
                <w:szCs w:val="21"/>
              </w:rPr>
              <w:t>教师口语的基本特征（教育性、规范性、艺术性）</w:t>
            </w:r>
            <w:r>
              <w:rPr>
                <w:rFonts w:ascii="宋体" w:hAnsi="宋体" w:eastAsia="宋体" w:cs="Times New Roman"/>
                <w:color w:val="000000"/>
                <w:sz w:val="21"/>
                <w:szCs w:val="21"/>
              </w:rPr>
              <w:br w:type="textWrapping"/>
            </w: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2）</w:t>
            </w:r>
            <w:r>
              <w:rPr>
                <w:rFonts w:ascii="宋体" w:hAnsi="宋体" w:eastAsia="宋体" w:cs="Times New Roman"/>
                <w:color w:val="000000"/>
                <w:sz w:val="21"/>
                <w:szCs w:val="21"/>
              </w:rPr>
              <w:t>普通话正音训练（声韵调难点突破）</w:t>
            </w:r>
            <w:r>
              <w:rPr>
                <w:rFonts w:ascii="宋体" w:hAnsi="宋体" w:eastAsia="宋体" w:cs="Times New Roman"/>
                <w:color w:val="000000"/>
                <w:sz w:val="21"/>
                <w:szCs w:val="21"/>
              </w:rPr>
              <w:br w:type="textWrapping"/>
            </w: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3）</w:t>
            </w:r>
            <w:r>
              <w:rPr>
                <w:rFonts w:ascii="宋体" w:hAnsi="宋体" w:eastAsia="宋体" w:cs="Times New Roman"/>
                <w:color w:val="000000"/>
                <w:sz w:val="21"/>
                <w:szCs w:val="21"/>
              </w:rPr>
              <w:t>师职业语言的社会责任与思政要求</w:t>
            </w:r>
          </w:p>
        </w:tc>
        <w:tc>
          <w:tcPr>
            <w:tcW w:w="1111" w:type="dxa"/>
            <w:vAlign w:val="center"/>
          </w:tcPr>
          <w:p w14:paraId="1EA3CB62">
            <w:pPr>
              <w:spacing w:line="269" w:lineRule="auto"/>
              <w:jc w:val="center"/>
              <w:rPr>
                <w:rFonts w:ascii="宋体" w:hAnsi="宋体" w:eastAsia="宋体" w:cs="Times New Roman"/>
                <w:color w:val="000000"/>
                <w:sz w:val="21"/>
                <w:szCs w:val="21"/>
              </w:rPr>
            </w:pPr>
            <w:r>
              <w:rPr>
                <w:rFonts w:ascii="Times New Roman" w:hAnsi="Times New Roman" w:eastAsia="宋体" w:cs="Times New Roman"/>
                <w:sz w:val="21"/>
                <w:szCs w:val="21"/>
              </w:rPr>
              <w:t>课程目标1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2、</w:t>
            </w:r>
            <w:r>
              <w:rPr>
                <w:rFonts w:ascii="Times New Roman" w:hAnsi="Times New Roman" w:eastAsia="宋体" w:cs="Times New Roman"/>
                <w:sz w:val="21"/>
                <w:szCs w:val="21"/>
              </w:rPr>
              <w:t>3</w:t>
            </w:r>
          </w:p>
        </w:tc>
        <w:tc>
          <w:tcPr>
            <w:tcW w:w="3190" w:type="dxa"/>
            <w:vAlign w:val="center"/>
          </w:tcPr>
          <w:p w14:paraId="326FD27B">
            <w:pPr>
              <w:spacing w:line="269" w:lineRule="auto"/>
              <w:jc w:val="left"/>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能准确辨析并纠正常见语音错误</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理解教师语言对学生价值观的塑造作用</w:t>
            </w:r>
          </w:p>
        </w:tc>
        <w:tc>
          <w:tcPr>
            <w:tcW w:w="1517" w:type="dxa"/>
            <w:vAlign w:val="center"/>
          </w:tcPr>
          <w:p w14:paraId="1E11803A">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1.线上学习</w:t>
            </w:r>
          </w:p>
          <w:p w14:paraId="728BA115">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2.多媒体教学3.课堂讨论</w:t>
            </w:r>
          </w:p>
          <w:p w14:paraId="1D70D248">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4.单元测验</w:t>
            </w:r>
          </w:p>
        </w:tc>
        <w:tc>
          <w:tcPr>
            <w:tcW w:w="438" w:type="dxa"/>
            <w:vAlign w:val="center"/>
          </w:tcPr>
          <w:p w14:paraId="7447FE25">
            <w:pPr>
              <w:spacing w:line="269"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2</w:t>
            </w:r>
          </w:p>
        </w:tc>
      </w:tr>
      <w:tr w14:paraId="4FD9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A05828C">
            <w:pPr>
              <w:spacing w:line="264" w:lineRule="auto"/>
              <w:jc w:val="center"/>
              <w:rPr>
                <w:rFonts w:ascii="宋体" w:hAnsi="宋体" w:eastAsia="宋体" w:cs="Times New Roman"/>
                <w:color w:val="000000"/>
                <w:sz w:val="21"/>
                <w:szCs w:val="21"/>
              </w:rPr>
            </w:pPr>
          </w:p>
        </w:tc>
        <w:tc>
          <w:tcPr>
            <w:tcW w:w="7947" w:type="dxa"/>
            <w:gridSpan w:val="5"/>
            <w:vAlign w:val="center"/>
          </w:tcPr>
          <w:p w14:paraId="5DAA57E3">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7F34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EDC3183">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2.</w:t>
            </w:r>
            <w:r>
              <w:rPr>
                <w:rFonts w:ascii="宋体" w:hAnsi="宋体" w:eastAsia="宋体" w:cs="宋体"/>
                <w:sz w:val="21"/>
                <w:szCs w:val="21"/>
              </w:rPr>
              <w:t>课堂语言设计与教学感染力</w:t>
            </w:r>
          </w:p>
          <w:p w14:paraId="10684D0C">
            <w:pPr>
              <w:spacing w:line="264" w:lineRule="auto"/>
              <w:jc w:val="center"/>
              <w:rPr>
                <w:rFonts w:ascii="宋体" w:hAnsi="宋体" w:eastAsia="宋体" w:cs="Times New Roman"/>
                <w:color w:val="000000"/>
                <w:sz w:val="21"/>
                <w:szCs w:val="21"/>
              </w:rPr>
            </w:pPr>
          </w:p>
        </w:tc>
        <w:tc>
          <w:tcPr>
            <w:tcW w:w="1691" w:type="dxa"/>
            <w:vAlign w:val="center"/>
          </w:tcPr>
          <w:p w14:paraId="1AF8F82B">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教学语言的逻辑结构（导入、讲解、提问、反馈）</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语气、节奏、重音的感染力训练</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课程思政元素的自然融入技巧</w:t>
            </w:r>
          </w:p>
          <w:p w14:paraId="08DE73E8">
            <w:pPr>
              <w:spacing w:line="269" w:lineRule="auto"/>
              <w:jc w:val="left"/>
              <w:rPr>
                <w:rFonts w:ascii="宋体" w:hAnsi="宋体" w:eastAsia="宋体" w:cs="Times New Roman"/>
                <w:color w:val="000000"/>
                <w:sz w:val="21"/>
                <w:szCs w:val="21"/>
              </w:rPr>
            </w:pPr>
          </w:p>
        </w:tc>
        <w:tc>
          <w:tcPr>
            <w:tcW w:w="1111" w:type="dxa"/>
            <w:vAlign w:val="center"/>
          </w:tcPr>
          <w:p w14:paraId="7A8AAE16">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636DF8AF">
            <w:pPr>
              <w:spacing w:line="360" w:lineRule="auto"/>
              <w:rPr>
                <w:rFonts w:ascii="Times New Roman" w:hAnsi="Times New Roman" w:eastAsia="宋体" w:cs="Times New Roman"/>
                <w:color w:val="000000"/>
                <w:sz w:val="21"/>
                <w:szCs w:val="21"/>
              </w:rPr>
            </w:pPr>
            <w:r>
              <w:rPr>
                <w:rFonts w:ascii="Times New Roman" w:hAnsi="Times New Roman" w:eastAsia="宋体" w:cs="Times New Roman"/>
                <w:sz w:val="21"/>
                <w:szCs w:val="21"/>
              </w:rPr>
              <w:t>（1）</w:t>
            </w:r>
            <w:r>
              <w:rPr>
                <w:rFonts w:ascii="宋体" w:hAnsi="宋体" w:eastAsia="宋体" w:cs="宋体"/>
                <w:sz w:val="21"/>
                <w:szCs w:val="21"/>
              </w:rPr>
              <w:t>能设计符合学段特点的教学语言片段</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掌握通过语言传递正向价值观的方法</w:t>
            </w:r>
          </w:p>
          <w:p w14:paraId="0F46F95F">
            <w:pPr>
              <w:spacing w:line="269" w:lineRule="auto"/>
              <w:jc w:val="left"/>
              <w:rPr>
                <w:rFonts w:ascii="宋体" w:hAnsi="宋体" w:eastAsia="宋体" w:cs="Times New Roman"/>
                <w:color w:val="000000"/>
                <w:sz w:val="21"/>
                <w:szCs w:val="21"/>
              </w:rPr>
            </w:pPr>
          </w:p>
        </w:tc>
        <w:tc>
          <w:tcPr>
            <w:tcW w:w="1517" w:type="dxa"/>
            <w:vAlign w:val="center"/>
          </w:tcPr>
          <w:p w14:paraId="5FF53568">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1.线上学习</w:t>
            </w:r>
          </w:p>
          <w:p w14:paraId="3969D854">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2.多媒体教学3.课堂讨论</w:t>
            </w:r>
          </w:p>
          <w:p w14:paraId="0FBFEF64">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4.单元测验</w:t>
            </w:r>
          </w:p>
        </w:tc>
        <w:tc>
          <w:tcPr>
            <w:tcW w:w="438" w:type="dxa"/>
            <w:vAlign w:val="center"/>
          </w:tcPr>
          <w:p w14:paraId="37F4D65B">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221C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F32E464">
            <w:pPr>
              <w:spacing w:line="264" w:lineRule="auto"/>
              <w:jc w:val="center"/>
              <w:rPr>
                <w:rFonts w:ascii="宋体" w:hAnsi="宋体" w:eastAsia="宋体" w:cs="Times New Roman"/>
                <w:color w:val="000000"/>
                <w:sz w:val="21"/>
                <w:szCs w:val="21"/>
              </w:rPr>
            </w:pPr>
          </w:p>
        </w:tc>
        <w:tc>
          <w:tcPr>
            <w:tcW w:w="7947" w:type="dxa"/>
            <w:gridSpan w:val="5"/>
            <w:vAlign w:val="center"/>
          </w:tcPr>
          <w:p w14:paraId="5C1435E2">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6A0F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A8FADD4">
            <w:pPr>
              <w:spacing w:line="360" w:lineRule="auto"/>
              <w:rPr>
                <w:rFonts w:ascii="Times New Roman" w:hAnsi="Times New Roman" w:eastAsia="宋体" w:cs="Times New Roman"/>
                <w:b/>
                <w:sz w:val="21"/>
                <w:szCs w:val="21"/>
              </w:rPr>
            </w:pPr>
            <w:r>
              <w:rPr>
                <w:rFonts w:hint="eastAsia" w:ascii="Times New Roman" w:hAnsi="Times New Roman" w:eastAsia="宋体" w:cs="Times New Roman"/>
                <w:b w:val="0"/>
                <w:bCs/>
                <w:color w:val="000000"/>
                <w:sz w:val="21"/>
                <w:szCs w:val="21"/>
                <w:lang w:val="en-US" w:eastAsia="zh-CN"/>
              </w:rPr>
              <w:t>3.</w:t>
            </w:r>
            <w:r>
              <w:rPr>
                <w:rFonts w:ascii="宋体" w:hAnsi="宋体" w:eastAsia="宋体" w:cs="宋体"/>
                <w:sz w:val="21"/>
                <w:szCs w:val="21"/>
              </w:rPr>
              <w:t>师生沟通艺术与教育伦理</w:t>
            </w:r>
          </w:p>
          <w:p w14:paraId="15FB2A45">
            <w:pPr>
              <w:spacing w:line="264" w:lineRule="auto"/>
              <w:jc w:val="center"/>
              <w:rPr>
                <w:rFonts w:ascii="宋体" w:hAnsi="宋体" w:eastAsia="宋体" w:cs="Times New Roman"/>
                <w:color w:val="000000"/>
                <w:sz w:val="21"/>
                <w:szCs w:val="21"/>
              </w:rPr>
            </w:pPr>
          </w:p>
        </w:tc>
        <w:tc>
          <w:tcPr>
            <w:tcW w:w="1691" w:type="dxa"/>
            <w:vAlign w:val="center"/>
          </w:tcPr>
          <w:p w14:paraId="36B51A53">
            <w:pPr>
              <w:spacing w:line="360" w:lineRule="auto"/>
              <w:rPr>
                <w:rFonts w:ascii="宋体" w:hAnsi="宋体"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教育场景下的非暴力沟通（观察-感受-需求-请求）</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批评与表扬的语言策略</w:t>
            </w:r>
            <w:r>
              <w:rPr>
                <w:rFonts w:hint="eastAsia" w:ascii="宋体" w:hAnsi="宋体" w:eastAsia="宋体" w:cs="宋体"/>
                <w:sz w:val="21"/>
                <w:szCs w:val="21"/>
                <w:lang w:eastAsia="zh-CN"/>
              </w:rPr>
              <w:t>。</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特殊学生群体的沟通禁忌（如留守儿童、特殊儿童）</w:t>
            </w:r>
          </w:p>
        </w:tc>
        <w:tc>
          <w:tcPr>
            <w:tcW w:w="1111" w:type="dxa"/>
            <w:vAlign w:val="center"/>
          </w:tcPr>
          <w:p w14:paraId="4AB90B27">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w:t>
            </w:r>
            <w:r>
              <w:rPr>
                <w:rFonts w:hint="eastAsia" w:ascii="宋体" w:hAnsi="宋体" w:eastAsia="宋体" w:cs="Times New Roman"/>
                <w:color w:val="000000"/>
                <w:sz w:val="21"/>
                <w:szCs w:val="21"/>
                <w:lang w:val="en-US" w:eastAsia="zh-CN"/>
              </w:rPr>
              <w:t>1</w:t>
            </w:r>
            <w:r>
              <w:rPr>
                <w:rFonts w:hint="eastAsia" w:ascii="宋体" w:hAnsi="宋体" w:eastAsia="宋体" w:cs="Times New Roman"/>
                <w:color w:val="000000"/>
                <w:sz w:val="21"/>
                <w:szCs w:val="21"/>
              </w:rPr>
              <w:t>、</w:t>
            </w:r>
            <w:r>
              <w:rPr>
                <w:rFonts w:hint="eastAsia" w:ascii="宋体" w:hAnsi="宋体" w:eastAsia="宋体" w:cs="Times New Roman"/>
                <w:color w:val="000000"/>
                <w:sz w:val="21"/>
                <w:szCs w:val="21"/>
                <w:lang w:val="en-US" w:eastAsia="zh-CN"/>
              </w:rPr>
              <w:t>2、3、4</w:t>
            </w:r>
          </w:p>
        </w:tc>
        <w:tc>
          <w:tcPr>
            <w:tcW w:w="3190" w:type="dxa"/>
            <w:vAlign w:val="center"/>
          </w:tcPr>
          <w:p w14:paraId="2246E11B">
            <w:p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能运用尊重、平等的语言解决师生矛盾案例</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形成保护学生心理健康的沟通意识</w:t>
            </w:r>
          </w:p>
        </w:tc>
        <w:tc>
          <w:tcPr>
            <w:tcW w:w="1517" w:type="dxa"/>
            <w:vAlign w:val="center"/>
          </w:tcPr>
          <w:p w14:paraId="5C63A2F0">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4BFCDBD6">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6627FCBF">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2D61F97C">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6CA0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F7F8CA3">
            <w:pPr>
              <w:spacing w:line="264" w:lineRule="auto"/>
              <w:jc w:val="center"/>
              <w:rPr>
                <w:rFonts w:ascii="宋体" w:hAnsi="宋体" w:eastAsia="宋体" w:cs="Times New Roman"/>
                <w:color w:val="000000"/>
                <w:sz w:val="21"/>
                <w:szCs w:val="21"/>
              </w:rPr>
            </w:pPr>
          </w:p>
        </w:tc>
        <w:tc>
          <w:tcPr>
            <w:tcW w:w="7947" w:type="dxa"/>
            <w:gridSpan w:val="5"/>
            <w:vAlign w:val="center"/>
          </w:tcPr>
          <w:p w14:paraId="7396F449">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53BA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BB2A736">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4.</w:t>
            </w:r>
            <w:r>
              <w:rPr>
                <w:rFonts w:ascii="宋体" w:hAnsi="宋体" w:eastAsia="宋体" w:cs="宋体"/>
                <w:sz w:val="21"/>
                <w:szCs w:val="21"/>
              </w:rPr>
              <w:t>教师仪态礼仪与职业形象</w:t>
            </w:r>
          </w:p>
          <w:p w14:paraId="7C81C7C6">
            <w:pPr>
              <w:spacing w:line="276" w:lineRule="auto"/>
              <w:jc w:val="center"/>
              <w:rPr>
                <w:rFonts w:ascii="宋体" w:hAnsi="宋体" w:eastAsia="宋体" w:cs="Times New Roman"/>
                <w:color w:val="000000"/>
                <w:sz w:val="21"/>
                <w:szCs w:val="21"/>
              </w:rPr>
            </w:pPr>
          </w:p>
        </w:tc>
        <w:tc>
          <w:tcPr>
            <w:tcW w:w="1691" w:type="dxa"/>
            <w:vAlign w:val="center"/>
          </w:tcPr>
          <w:p w14:paraId="4426BD14">
            <w:p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教师着装TPO原则（时间、场合、身份）</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站姿、手势、眼神的得体运用</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线上线下教学场景的仪态差异</w:t>
            </w:r>
          </w:p>
        </w:tc>
        <w:tc>
          <w:tcPr>
            <w:tcW w:w="1111" w:type="dxa"/>
            <w:vAlign w:val="center"/>
          </w:tcPr>
          <w:p w14:paraId="572D84F0">
            <w:pPr>
              <w:spacing w:line="276"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w:t>
            </w:r>
            <w:r>
              <w:rPr>
                <w:rFonts w:hint="eastAsia" w:ascii="宋体" w:hAnsi="宋体" w:eastAsia="宋体" w:cs="Times New Roman"/>
                <w:color w:val="000000"/>
                <w:sz w:val="21"/>
                <w:szCs w:val="21"/>
              </w:rPr>
              <w:t>3</w:t>
            </w:r>
          </w:p>
        </w:tc>
        <w:tc>
          <w:tcPr>
            <w:tcW w:w="3190" w:type="dxa"/>
            <w:vAlign w:val="center"/>
          </w:tcPr>
          <w:p w14:paraId="70D309AF">
            <w:pPr>
              <w:numPr>
                <w:ilvl w:val="0"/>
                <w:numId w:val="0"/>
              </w:num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能根据教学场景选择恰当的着装与仪态</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通过微格教学视频完成仪态自评与改进</w:t>
            </w:r>
          </w:p>
        </w:tc>
        <w:tc>
          <w:tcPr>
            <w:tcW w:w="1517" w:type="dxa"/>
            <w:vAlign w:val="center"/>
          </w:tcPr>
          <w:p w14:paraId="5B56EB98">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431008DD">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0A565937">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2B05D826">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75D4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4547AAF4">
            <w:pPr>
              <w:spacing w:line="276" w:lineRule="auto"/>
              <w:jc w:val="center"/>
              <w:rPr>
                <w:rFonts w:ascii="宋体" w:hAnsi="宋体" w:eastAsia="宋体" w:cs="Times New Roman"/>
                <w:color w:val="000000"/>
                <w:sz w:val="21"/>
                <w:szCs w:val="21"/>
              </w:rPr>
            </w:pPr>
          </w:p>
        </w:tc>
        <w:tc>
          <w:tcPr>
            <w:tcW w:w="7947" w:type="dxa"/>
            <w:gridSpan w:val="5"/>
            <w:vAlign w:val="center"/>
          </w:tcPr>
          <w:p w14:paraId="35B7B866">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5F35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30514F2E">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5.</w:t>
            </w:r>
            <w:r>
              <w:rPr>
                <w:rFonts w:ascii="宋体" w:hAnsi="宋体" w:eastAsia="宋体" w:cs="宋体"/>
                <w:sz w:val="21"/>
                <w:szCs w:val="21"/>
              </w:rPr>
              <w:t>校园礼仪与师德践行</w:t>
            </w:r>
          </w:p>
          <w:p w14:paraId="442F5EBE">
            <w:pPr>
              <w:spacing w:line="276" w:lineRule="auto"/>
              <w:jc w:val="center"/>
              <w:rPr>
                <w:rFonts w:ascii="宋体" w:hAnsi="宋体" w:eastAsia="宋体" w:cs="Times New Roman"/>
                <w:color w:val="000000"/>
                <w:sz w:val="21"/>
                <w:szCs w:val="21"/>
              </w:rPr>
            </w:pPr>
          </w:p>
        </w:tc>
        <w:tc>
          <w:tcPr>
            <w:tcW w:w="1691" w:type="dxa"/>
            <w:vAlign w:val="center"/>
          </w:tcPr>
          <w:p w14:paraId="1C76BD2D">
            <w:pPr>
              <w:spacing w:line="276" w:lineRule="auto"/>
              <w:jc w:val="left"/>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师生/同事/家长交往礼仪（称呼、握手、座位等）</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教研活动、家长会等场景的礼仪规范</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礼仪背后的师德内涵（尊重、包容、专业性）</w:t>
            </w:r>
          </w:p>
        </w:tc>
        <w:tc>
          <w:tcPr>
            <w:tcW w:w="1111" w:type="dxa"/>
            <w:vAlign w:val="center"/>
          </w:tcPr>
          <w:p w14:paraId="67E5B30A">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7559AC0F">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能规范完成校园常见礼仪流程演示</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理解礼仪行为对教育关系的促进作用 </w:t>
            </w:r>
          </w:p>
          <w:p w14:paraId="713DBF84">
            <w:pPr>
              <w:spacing w:line="276" w:lineRule="auto"/>
              <w:jc w:val="left"/>
              <w:rPr>
                <w:rFonts w:ascii="宋体" w:hAnsi="宋体" w:eastAsia="宋体" w:cs="Times New Roman"/>
                <w:color w:val="000000"/>
                <w:sz w:val="21"/>
                <w:szCs w:val="21"/>
              </w:rPr>
            </w:pPr>
          </w:p>
        </w:tc>
        <w:tc>
          <w:tcPr>
            <w:tcW w:w="1517" w:type="dxa"/>
            <w:vAlign w:val="center"/>
          </w:tcPr>
          <w:p w14:paraId="5DB32894">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7D9F7470">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3D848BFF">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64ECD910">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30B6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30ADA725">
            <w:pPr>
              <w:spacing w:line="276" w:lineRule="auto"/>
              <w:jc w:val="center"/>
              <w:rPr>
                <w:rFonts w:ascii="宋体" w:hAnsi="宋体" w:eastAsia="宋体" w:cs="Times New Roman"/>
                <w:color w:val="000000"/>
                <w:sz w:val="21"/>
                <w:szCs w:val="21"/>
              </w:rPr>
            </w:pPr>
          </w:p>
        </w:tc>
        <w:tc>
          <w:tcPr>
            <w:tcW w:w="7947" w:type="dxa"/>
            <w:gridSpan w:val="5"/>
            <w:vAlign w:val="center"/>
          </w:tcPr>
          <w:p w14:paraId="565B7D95">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4E13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8E9C562">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6.</w:t>
            </w:r>
            <w:r>
              <w:rPr>
                <w:rFonts w:ascii="宋体" w:hAnsi="宋体" w:eastAsia="宋体" w:cs="宋体"/>
                <w:sz w:val="21"/>
                <w:szCs w:val="21"/>
              </w:rPr>
              <w:t>演讲表达与思政宣讲能力</w:t>
            </w:r>
          </w:p>
          <w:p w14:paraId="3B1FA90F">
            <w:pPr>
              <w:spacing w:line="276" w:lineRule="auto"/>
              <w:jc w:val="center"/>
              <w:rPr>
                <w:rFonts w:ascii="宋体" w:hAnsi="宋体" w:eastAsia="宋体" w:cs="Times New Roman"/>
                <w:color w:val="000000"/>
                <w:sz w:val="21"/>
                <w:szCs w:val="21"/>
              </w:rPr>
            </w:pPr>
          </w:p>
        </w:tc>
        <w:tc>
          <w:tcPr>
            <w:tcW w:w="1691" w:type="dxa"/>
            <w:vAlign w:val="center"/>
          </w:tcPr>
          <w:p w14:paraId="76350488">
            <w:pPr>
              <w:spacing w:line="360" w:lineRule="auto"/>
              <w:rPr>
                <w:rFonts w:ascii="Times New Roman" w:hAnsi="Times New Roman" w:eastAsia="宋体" w:cs="Times New Roman"/>
                <w:color w:val="000000"/>
                <w:sz w:val="21"/>
                <w:szCs w:val="21"/>
              </w:rPr>
            </w:pPr>
            <w:r>
              <w:rPr>
                <w:rFonts w:hint="eastAsia" w:ascii="宋体" w:hAnsi="宋体" w:eastAsia="宋体" w:cs="宋体"/>
                <w:sz w:val="21"/>
                <w:szCs w:val="21"/>
                <w:lang w:val="en-US" w:eastAsia="zh-CN"/>
              </w:rPr>
              <w:t>(1)</w:t>
            </w:r>
            <w:r>
              <w:rPr>
                <w:rFonts w:ascii="宋体" w:hAnsi="宋体" w:eastAsia="宋体" w:cs="宋体"/>
                <w:sz w:val="21"/>
                <w:szCs w:val="21"/>
              </w:rPr>
              <w:t>教育主题演讲结构设计（故事化、数据化、共鸣点）</w:t>
            </w:r>
            <w:r>
              <w:rPr>
                <w:rFonts w:ascii="宋体" w:hAnsi="宋体" w:eastAsia="宋体" w:cs="宋体"/>
                <w:sz w:val="21"/>
                <w:szCs w:val="21"/>
              </w:rPr>
              <w:br w:type="textWrapping"/>
            </w:r>
            <w:r>
              <w:rPr>
                <w:rFonts w:hint="eastAsia" w:ascii="宋体" w:hAnsi="宋体" w:eastAsia="宋体" w:cs="宋体"/>
                <w:sz w:val="21"/>
                <w:szCs w:val="21"/>
                <w:lang w:val="en-US" w:eastAsia="zh-CN"/>
              </w:rPr>
              <w:t>(2)</w:t>
            </w:r>
            <w:r>
              <w:rPr>
                <w:rFonts w:ascii="宋体" w:hAnsi="宋体" w:eastAsia="宋体" w:cs="宋体"/>
                <w:sz w:val="21"/>
                <w:szCs w:val="21"/>
              </w:rPr>
              <w:t>国旗下的讲话、主题班会等场景演练</w:t>
            </w:r>
            <w:r>
              <w:rPr>
                <w:rFonts w:ascii="宋体" w:hAnsi="宋体" w:eastAsia="宋体" w:cs="宋体"/>
                <w:sz w:val="21"/>
                <w:szCs w:val="21"/>
              </w:rPr>
              <w:br w:type="textWrapping"/>
            </w:r>
            <w:r>
              <w:rPr>
                <w:rFonts w:hint="eastAsia" w:ascii="宋体" w:hAnsi="宋体" w:eastAsia="宋体" w:cs="宋体"/>
                <w:sz w:val="21"/>
                <w:szCs w:val="21"/>
                <w:lang w:val="en-US" w:eastAsia="zh-CN"/>
              </w:rPr>
              <w:t>(3)</w:t>
            </w:r>
            <w:r>
              <w:rPr>
                <w:rFonts w:ascii="宋体" w:hAnsi="宋体" w:eastAsia="宋体" w:cs="宋体"/>
                <w:sz w:val="21"/>
                <w:szCs w:val="21"/>
              </w:rPr>
              <w:t>将政策语言转化为学生易懂的表达</w:t>
            </w:r>
          </w:p>
          <w:p w14:paraId="4FA72635">
            <w:pPr>
              <w:spacing w:line="276" w:lineRule="auto"/>
              <w:jc w:val="left"/>
              <w:rPr>
                <w:rFonts w:ascii="宋体" w:hAnsi="宋体" w:eastAsia="宋体" w:cs="Times New Roman"/>
                <w:color w:val="000000"/>
                <w:sz w:val="21"/>
                <w:szCs w:val="21"/>
              </w:rPr>
            </w:pPr>
          </w:p>
        </w:tc>
        <w:tc>
          <w:tcPr>
            <w:tcW w:w="1111" w:type="dxa"/>
            <w:vAlign w:val="center"/>
          </w:tcPr>
          <w:p w14:paraId="387220DF">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32CB5858">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能完成5分钟具有思政教育意义的即兴演讲</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掌握面向青少年的政治话语转化技巧  </w:t>
            </w:r>
          </w:p>
          <w:p w14:paraId="09720609">
            <w:pPr>
              <w:spacing w:line="276" w:lineRule="auto"/>
              <w:jc w:val="left"/>
              <w:rPr>
                <w:rFonts w:ascii="宋体" w:hAnsi="宋体" w:eastAsia="宋体" w:cs="Times New Roman"/>
                <w:color w:val="000000"/>
                <w:sz w:val="21"/>
                <w:szCs w:val="21"/>
              </w:rPr>
            </w:pPr>
          </w:p>
        </w:tc>
        <w:tc>
          <w:tcPr>
            <w:tcW w:w="1517" w:type="dxa"/>
            <w:vAlign w:val="center"/>
          </w:tcPr>
          <w:p w14:paraId="0A0169CD">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0D366587">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0D4355A2">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7FDB91E4">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366E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509BFD06">
            <w:pPr>
              <w:spacing w:line="276" w:lineRule="auto"/>
              <w:jc w:val="center"/>
              <w:rPr>
                <w:rFonts w:ascii="宋体" w:hAnsi="宋体" w:eastAsia="宋体" w:cs="Times New Roman"/>
                <w:color w:val="000000"/>
                <w:sz w:val="21"/>
                <w:szCs w:val="21"/>
              </w:rPr>
            </w:pPr>
          </w:p>
        </w:tc>
        <w:tc>
          <w:tcPr>
            <w:tcW w:w="7947" w:type="dxa"/>
            <w:gridSpan w:val="5"/>
            <w:vAlign w:val="center"/>
          </w:tcPr>
          <w:p w14:paraId="14AF2760">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482C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B108B6F">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7.</w:t>
            </w:r>
            <w:r>
              <w:rPr>
                <w:rFonts w:ascii="宋体" w:hAnsi="宋体" w:eastAsia="宋体" w:cs="宋体"/>
                <w:sz w:val="21"/>
                <w:szCs w:val="21"/>
              </w:rPr>
              <w:t>求职面试语言与职业发展</w:t>
            </w:r>
          </w:p>
          <w:p w14:paraId="4A4519EA">
            <w:pPr>
              <w:spacing w:line="276" w:lineRule="auto"/>
              <w:jc w:val="center"/>
              <w:rPr>
                <w:rFonts w:ascii="宋体" w:hAnsi="宋体" w:eastAsia="宋体" w:cs="Times New Roman"/>
                <w:sz w:val="21"/>
                <w:szCs w:val="21"/>
              </w:rPr>
            </w:pPr>
          </w:p>
        </w:tc>
        <w:tc>
          <w:tcPr>
            <w:tcW w:w="1691" w:type="dxa"/>
            <w:vAlign w:val="center"/>
          </w:tcPr>
          <w:p w14:paraId="4DC81994">
            <w:pPr>
              <w:spacing w:line="360" w:lineRule="auto"/>
              <w:rPr>
                <w:rFonts w:ascii="宋体" w:hAnsi="宋体" w:eastAsia="宋体" w:cs="Times New Roman"/>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教师招聘面试常见题型解析</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结构化回答技巧（STAR法则运用）</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职业发展规划的语言表达 </w:t>
            </w:r>
          </w:p>
        </w:tc>
        <w:tc>
          <w:tcPr>
            <w:tcW w:w="1111" w:type="dxa"/>
            <w:vAlign w:val="center"/>
          </w:tcPr>
          <w:p w14:paraId="784D51D2">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425E13F4">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能流畅应对模拟教师招聘面试</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清晰表达个人教育理念与职业追求 </w:t>
            </w:r>
          </w:p>
          <w:p w14:paraId="50BEE4B8">
            <w:pPr>
              <w:spacing w:line="276" w:lineRule="auto"/>
              <w:jc w:val="left"/>
              <w:rPr>
                <w:rFonts w:ascii="宋体" w:hAnsi="宋体" w:eastAsia="宋体" w:cs="Times New Roman"/>
                <w:color w:val="000000"/>
                <w:sz w:val="21"/>
                <w:szCs w:val="21"/>
              </w:rPr>
            </w:pPr>
          </w:p>
        </w:tc>
        <w:tc>
          <w:tcPr>
            <w:tcW w:w="1517" w:type="dxa"/>
            <w:vAlign w:val="center"/>
          </w:tcPr>
          <w:p w14:paraId="58C30319">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0858F665">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01DF493F">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3E59496F">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6B54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1D05F22">
            <w:pPr>
              <w:spacing w:line="276" w:lineRule="auto"/>
              <w:jc w:val="center"/>
              <w:rPr>
                <w:rFonts w:ascii="宋体" w:hAnsi="宋体" w:eastAsia="宋体" w:cs="Times New Roman"/>
                <w:color w:val="000000"/>
                <w:sz w:val="21"/>
                <w:szCs w:val="21"/>
              </w:rPr>
            </w:pPr>
          </w:p>
        </w:tc>
        <w:tc>
          <w:tcPr>
            <w:tcW w:w="7947" w:type="dxa"/>
            <w:gridSpan w:val="5"/>
            <w:vAlign w:val="center"/>
          </w:tcPr>
          <w:p w14:paraId="3B82D1EC">
            <w:pPr>
              <w:spacing w:line="360" w:lineRule="auto"/>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1F2D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AFFE21C">
            <w:pPr>
              <w:spacing w:line="360" w:lineRule="auto"/>
              <w:rPr>
                <w:rFonts w:ascii="Times New Roman" w:hAnsi="Times New Roman" w:eastAsia="宋体" w:cs="Times New Roman"/>
                <w:b/>
                <w:sz w:val="21"/>
                <w:szCs w:val="21"/>
              </w:rPr>
            </w:pPr>
            <w:r>
              <w:rPr>
                <w:rFonts w:hint="eastAsia" w:ascii="Times New Roman" w:hAnsi="Times New Roman" w:eastAsia="宋体" w:cs="Times New Roman"/>
                <w:b w:val="0"/>
                <w:bCs/>
                <w:sz w:val="21"/>
                <w:szCs w:val="21"/>
                <w:lang w:val="en-US" w:eastAsia="zh-CN"/>
              </w:rPr>
              <w:t>8.</w:t>
            </w:r>
            <w:r>
              <w:rPr>
                <w:rFonts w:ascii="宋体" w:hAnsi="宋体" w:eastAsia="宋体" w:cs="宋体"/>
                <w:sz w:val="21"/>
                <w:szCs w:val="21"/>
              </w:rPr>
              <w:t>综合实训与课程思政总结</w:t>
            </w:r>
          </w:p>
          <w:p w14:paraId="156CDFCF">
            <w:pPr>
              <w:spacing w:line="264" w:lineRule="auto"/>
              <w:jc w:val="center"/>
              <w:rPr>
                <w:rFonts w:ascii="宋体" w:hAnsi="宋体" w:eastAsia="宋体" w:cs="Times New Roman"/>
                <w:color w:val="000000"/>
                <w:sz w:val="21"/>
                <w:szCs w:val="21"/>
              </w:rPr>
            </w:pPr>
          </w:p>
        </w:tc>
        <w:tc>
          <w:tcPr>
            <w:tcW w:w="1691" w:type="dxa"/>
            <w:vAlign w:val="center"/>
          </w:tcPr>
          <w:p w14:paraId="3212B7AD">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Times New Roman" w:hAnsi="Times New Roman" w:eastAsia="宋体" w:cs="Times New Roman"/>
                <w:sz w:val="21"/>
                <w:szCs w:val="21"/>
              </w:rPr>
              <w:t>能够简单使用Lingo</w:t>
            </w:r>
          </w:p>
          <w:p w14:paraId="67831E07">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sz w:val="21"/>
                <w:szCs w:val="21"/>
              </w:rPr>
              <w:t>能够简单使用</w:t>
            </w:r>
            <w:r>
              <w:rPr>
                <w:rFonts w:ascii="Times New Roman" w:hAnsi="Times New Roman" w:eastAsia="宋体" w:cs="Times New Roman"/>
                <w:color w:val="000000"/>
                <w:sz w:val="21"/>
                <w:szCs w:val="21"/>
              </w:rPr>
              <w:t>Mathematica</w:t>
            </w:r>
          </w:p>
          <w:p w14:paraId="520CA0AD">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ascii="Times New Roman" w:hAnsi="Times New Roman" w:eastAsia="宋体" w:cs="Times New Roman"/>
                <w:sz w:val="21"/>
                <w:szCs w:val="21"/>
              </w:rPr>
              <w:t>能够简单使用Matlab</w:t>
            </w:r>
          </w:p>
          <w:p w14:paraId="71121894">
            <w:pPr>
              <w:spacing w:line="264" w:lineRule="auto"/>
              <w:jc w:val="left"/>
              <w:rPr>
                <w:rFonts w:ascii="宋体" w:hAnsi="宋体" w:eastAsia="宋体" w:cs="Times New Roman"/>
                <w:color w:val="000000"/>
                <w:sz w:val="21"/>
                <w:szCs w:val="21"/>
              </w:rPr>
            </w:pPr>
          </w:p>
        </w:tc>
        <w:tc>
          <w:tcPr>
            <w:tcW w:w="1111" w:type="dxa"/>
            <w:vAlign w:val="center"/>
          </w:tcPr>
          <w:p w14:paraId="76469703">
            <w:pPr>
              <w:spacing w:line="264"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1BD49C5F">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微课展示（融合语言表达、礼仪、思政元素）</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教育热点事件中的语言与礼仪案例分析</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教师职业认同感提升研讨</w:t>
            </w:r>
          </w:p>
          <w:p w14:paraId="5B142453">
            <w:pPr>
              <w:spacing w:line="264" w:lineRule="auto"/>
              <w:jc w:val="left"/>
              <w:rPr>
                <w:rFonts w:ascii="宋体" w:hAnsi="宋体" w:eastAsia="宋体" w:cs="Times New Roman"/>
                <w:color w:val="000000"/>
                <w:sz w:val="21"/>
                <w:szCs w:val="21"/>
              </w:rPr>
            </w:pPr>
          </w:p>
        </w:tc>
        <w:tc>
          <w:tcPr>
            <w:tcW w:w="1517" w:type="dxa"/>
            <w:vAlign w:val="center"/>
          </w:tcPr>
          <w:p w14:paraId="7EF87DD0">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0436D491">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499573E1">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60BC1CB6">
            <w:pPr>
              <w:spacing w:line="264"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5B66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3CD5BB18">
            <w:pPr>
              <w:spacing w:line="264" w:lineRule="auto"/>
              <w:jc w:val="center"/>
              <w:rPr>
                <w:rFonts w:ascii="宋体" w:hAnsi="宋体" w:eastAsia="宋体" w:cs="Times New Roman"/>
                <w:color w:val="000000"/>
                <w:sz w:val="21"/>
                <w:szCs w:val="21"/>
              </w:rPr>
            </w:pPr>
          </w:p>
        </w:tc>
        <w:tc>
          <w:tcPr>
            <w:tcW w:w="7947" w:type="dxa"/>
            <w:gridSpan w:val="5"/>
            <w:vAlign w:val="center"/>
          </w:tcPr>
          <w:p w14:paraId="2FC3042F">
            <w:pPr>
              <w:spacing w:line="360" w:lineRule="auto"/>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bl>
    <w:p w14:paraId="5991EACB">
      <w:pPr>
        <w:spacing w:line="360" w:lineRule="auto"/>
        <w:jc w:val="left"/>
        <w:rPr>
          <w:rFonts w:ascii="Times New Roman" w:hAnsi="Times New Roman" w:eastAsia="宋体" w:cs="Times New Roman"/>
          <w:sz w:val="24"/>
          <w:szCs w:val="24"/>
        </w:rPr>
      </w:pPr>
    </w:p>
    <w:p w14:paraId="2D028FC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BC4535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865C16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41591A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7B3217CC">
      <w:pPr>
        <w:spacing w:line="360" w:lineRule="auto"/>
        <w:jc w:val="center"/>
        <w:rPr>
          <w:rFonts w:ascii="Times New Roman" w:hAnsi="Times New Roman" w:eastAsia="宋体" w:cs="Times New Roman"/>
          <w:b/>
          <w:bCs/>
          <w:szCs w:val="21"/>
        </w:rPr>
      </w:pPr>
    </w:p>
    <w:tbl>
      <w:tblPr>
        <w:tblStyle w:val="11"/>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81"/>
        <w:gridCol w:w="862"/>
        <w:gridCol w:w="5826"/>
      </w:tblGrid>
      <w:tr w14:paraId="04F1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6E630A56">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1843" w:type="dxa"/>
            <w:gridSpan w:val="2"/>
            <w:vAlign w:val="center"/>
          </w:tcPr>
          <w:p w14:paraId="03581D0A">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5826" w:type="dxa"/>
            <w:vMerge w:val="restart"/>
            <w:vAlign w:val="center"/>
          </w:tcPr>
          <w:p w14:paraId="509A3601">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DE9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4CCFFACF">
            <w:pPr>
              <w:spacing w:line="360" w:lineRule="auto"/>
              <w:jc w:val="center"/>
              <w:rPr>
                <w:rFonts w:ascii="宋体" w:hAnsi="宋体" w:eastAsia="宋体" w:cs="Times New Roman"/>
                <w:szCs w:val="21"/>
              </w:rPr>
            </w:pPr>
          </w:p>
        </w:tc>
        <w:tc>
          <w:tcPr>
            <w:tcW w:w="981" w:type="dxa"/>
            <w:vAlign w:val="center"/>
          </w:tcPr>
          <w:p w14:paraId="40D7DDB9">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862" w:type="dxa"/>
            <w:vAlign w:val="center"/>
          </w:tcPr>
          <w:p w14:paraId="7FEEBBFD">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5826" w:type="dxa"/>
            <w:vMerge w:val="continue"/>
            <w:vAlign w:val="center"/>
          </w:tcPr>
          <w:p w14:paraId="08614998">
            <w:pPr>
              <w:spacing w:line="360" w:lineRule="auto"/>
              <w:jc w:val="center"/>
              <w:rPr>
                <w:rFonts w:ascii="宋体" w:hAnsi="宋体" w:eastAsia="宋体" w:cs="Times New Roman"/>
                <w:szCs w:val="21"/>
              </w:rPr>
            </w:pPr>
          </w:p>
        </w:tc>
      </w:tr>
      <w:tr w14:paraId="2451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C337F8D">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981" w:type="dxa"/>
            <w:vAlign w:val="center"/>
          </w:tcPr>
          <w:p w14:paraId="00577B0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62" w:type="dxa"/>
            <w:vAlign w:val="center"/>
          </w:tcPr>
          <w:p w14:paraId="06F063F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5826" w:type="dxa"/>
            <w:vAlign w:val="center"/>
          </w:tcPr>
          <w:p w14:paraId="151DF05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124D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E600648">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981" w:type="dxa"/>
            <w:vAlign w:val="center"/>
          </w:tcPr>
          <w:p w14:paraId="229D10E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62" w:type="dxa"/>
            <w:vAlign w:val="center"/>
          </w:tcPr>
          <w:p w14:paraId="1817016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c>
          <w:tcPr>
            <w:tcW w:w="5826" w:type="dxa"/>
            <w:vAlign w:val="center"/>
          </w:tcPr>
          <w:p w14:paraId="7D0F0E41">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r>
      <w:tr w14:paraId="449E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74FECA7">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981" w:type="dxa"/>
            <w:vAlign w:val="center"/>
          </w:tcPr>
          <w:p w14:paraId="64728153">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p>
        </w:tc>
        <w:tc>
          <w:tcPr>
            <w:tcW w:w="862" w:type="dxa"/>
            <w:vAlign w:val="center"/>
          </w:tcPr>
          <w:p w14:paraId="1349E10C">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c>
          <w:tcPr>
            <w:tcW w:w="5826" w:type="dxa"/>
            <w:vAlign w:val="center"/>
          </w:tcPr>
          <w:p w14:paraId="33A3CE6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r>
      <w:tr w14:paraId="6829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AE1F881">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4</w:t>
            </w:r>
          </w:p>
        </w:tc>
        <w:tc>
          <w:tcPr>
            <w:tcW w:w="981" w:type="dxa"/>
            <w:vAlign w:val="center"/>
          </w:tcPr>
          <w:p w14:paraId="720BBD5F">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p>
        </w:tc>
        <w:tc>
          <w:tcPr>
            <w:tcW w:w="862" w:type="dxa"/>
            <w:vAlign w:val="center"/>
          </w:tcPr>
          <w:p w14:paraId="37ED80B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c>
          <w:tcPr>
            <w:tcW w:w="5826" w:type="dxa"/>
            <w:vAlign w:val="center"/>
          </w:tcPr>
          <w:p w14:paraId="0C081233">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067A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86B98A2">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981" w:type="dxa"/>
            <w:vAlign w:val="center"/>
          </w:tcPr>
          <w:p w14:paraId="71CE588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c>
          <w:tcPr>
            <w:tcW w:w="862" w:type="dxa"/>
            <w:vAlign w:val="center"/>
          </w:tcPr>
          <w:p w14:paraId="3DB8791D">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70</w:t>
            </w:r>
          </w:p>
        </w:tc>
        <w:tc>
          <w:tcPr>
            <w:tcW w:w="5826" w:type="dxa"/>
            <w:vAlign w:val="center"/>
          </w:tcPr>
          <w:p w14:paraId="3F40BFA0">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B2AD1B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676B7A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D0208F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446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C3543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5C2C6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06" w:type="dxa"/>
            <w:vAlign w:val="center"/>
          </w:tcPr>
          <w:p w14:paraId="11E9930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4CE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74102E">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9ED1A10">
            <w:pPr>
              <w:spacing w:line="276" w:lineRule="auto"/>
              <w:rPr>
                <w:rFonts w:ascii="宋体" w:hAnsi="宋体" w:eastAsia="宋体" w:cs="宋体"/>
                <w:szCs w:val="21"/>
              </w:rPr>
            </w:pPr>
            <w:r>
              <w:rPr>
                <w:rFonts w:hint="eastAsia" w:ascii="宋体" w:hAnsi="宋体" w:eastAsia="宋体" w:cs="宋体"/>
                <w:szCs w:val="21"/>
              </w:rPr>
              <w:t>其中课堂考勤占20%，平时作业占80%。</w:t>
            </w:r>
          </w:p>
          <w:p w14:paraId="35022F50">
            <w:pPr>
              <w:spacing w:line="276" w:lineRule="auto"/>
              <w:jc w:val="left"/>
              <w:rPr>
                <w:rFonts w:ascii="宋体" w:hAnsi="宋体" w:eastAsia="宋体" w:cs="宋体"/>
                <w:szCs w:val="21"/>
              </w:rPr>
            </w:pPr>
            <w:r>
              <w:rPr>
                <w:rFonts w:hint="eastAsia" w:ascii="宋体" w:hAnsi="宋体" w:eastAsia="宋体" w:cs="宋体"/>
                <w:szCs w:val="21"/>
              </w:rPr>
              <w:t>课堂考勤：病假和事假一次扣5分，无故缺席一次扣10分，无故缺席累积达5次以上（不含5次）取消课程成绩。</w:t>
            </w:r>
          </w:p>
          <w:p w14:paraId="067D697E">
            <w:pPr>
              <w:spacing w:line="264" w:lineRule="auto"/>
              <w:jc w:val="left"/>
              <w:rPr>
                <w:rFonts w:ascii="Times New Roman" w:hAnsi="Times New Roman" w:eastAsia="宋体" w:cs="Times New Roman"/>
                <w:szCs w:val="21"/>
              </w:rPr>
            </w:pPr>
            <w:r>
              <w:rPr>
                <w:rFonts w:hint="eastAsia" w:ascii="宋体" w:hAnsi="宋体" w:eastAsia="宋体" w:cs="宋体"/>
                <w:szCs w:val="21"/>
              </w:rPr>
              <w:t>平时作业：课后完成3次作业，主要考核学生对每节课知识点的复习、理解和掌握程度，计算全部作业的平均成绩。</w:t>
            </w:r>
          </w:p>
        </w:tc>
        <w:tc>
          <w:tcPr>
            <w:tcW w:w="706" w:type="dxa"/>
            <w:vAlign w:val="center"/>
          </w:tcPr>
          <w:p w14:paraId="02DA915E">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7D58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14AFD7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21EDAAC">
            <w:pPr>
              <w:spacing w:line="264" w:lineRule="auto"/>
              <w:jc w:val="left"/>
              <w:rPr>
                <w:rFonts w:ascii="Times New Roman" w:hAnsi="Times New Roman" w:eastAsia="宋体" w:cs="Times New Roman"/>
                <w:szCs w:val="21"/>
              </w:rPr>
            </w:pPr>
            <w:r>
              <w:rPr>
                <w:rFonts w:hint="eastAsia" w:ascii="宋体" w:hAnsi="宋体" w:eastAsia="宋体" w:cs="宋体"/>
                <w:szCs w:val="21"/>
              </w:rPr>
              <w:t>主要考核学生对本课程知识的掌握，并考核其实际运用教师口语的能力。</w:t>
            </w:r>
          </w:p>
        </w:tc>
        <w:tc>
          <w:tcPr>
            <w:tcW w:w="706" w:type="dxa"/>
            <w:vAlign w:val="center"/>
          </w:tcPr>
          <w:p w14:paraId="01EBA2FD">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061B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79C4C16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3A1D567D">
            <w:pPr>
              <w:jc w:val="left"/>
              <w:rPr>
                <w:rFonts w:ascii="Times New Roman" w:hAnsi="Times New Roman" w:eastAsia="宋体" w:cs="Times New Roman"/>
                <w:szCs w:val="21"/>
              </w:rPr>
            </w:pPr>
          </w:p>
        </w:tc>
        <w:tc>
          <w:tcPr>
            <w:tcW w:w="706" w:type="dxa"/>
            <w:vAlign w:val="center"/>
          </w:tcPr>
          <w:p w14:paraId="62168F9A">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88025BF">
      <w:pPr>
        <w:numPr>
          <w:ilvl w:val="0"/>
          <w:numId w:val="38"/>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课程目标达成度计算方法</w:t>
      </w:r>
    </w:p>
    <w:p w14:paraId="1AC442E4">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654A52D5">
      <w:pPr>
        <w:spacing w:line="360" w:lineRule="auto"/>
        <w:rPr>
          <w:rFonts w:ascii="Book Antiqua" w:hAnsi="Book Antiqua" w:eastAsia="宋体" w:cs="Times New Roman"/>
          <w:b/>
          <w:sz w:val="24"/>
          <w:szCs w:val="24"/>
        </w:rPr>
      </w:pPr>
      <w:r>
        <w:rPr>
          <w:rFonts w:ascii="宋体" w:hAnsi="宋体" w:eastAsia="宋体" w:cs="Times New Roman"/>
          <w:sz w:val="24"/>
        </w:rPr>
        <w:drawing>
          <wp:inline distT="0" distB="0" distL="0" distR="0">
            <wp:extent cx="5104765" cy="280035"/>
            <wp:effectExtent l="0" t="0" r="635" b="5715"/>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15">
                      <a:extLst>
                        <a:ext uri="{28A0092B-C50C-407E-A947-70E740481C1C}">
                          <a14:useLocalDpi xmlns:a14="http://schemas.microsoft.com/office/drawing/2010/main" val="0"/>
                        </a:ext>
                      </a:extLst>
                    </a:blip>
                    <a:srcRect/>
                    <a:stretch>
                      <a:fillRect/>
                    </a:stretch>
                  </pic:blipFill>
                  <pic:spPr>
                    <a:xfrm>
                      <a:off x="0" y="0"/>
                      <a:ext cx="5260978" cy="289238"/>
                    </a:xfrm>
                    <a:prstGeom prst="rect">
                      <a:avLst/>
                    </a:prstGeom>
                    <a:noFill/>
                    <a:ln>
                      <a:noFill/>
                    </a:ln>
                  </pic:spPr>
                </pic:pic>
              </a:graphicData>
            </a:graphic>
          </wp:inline>
        </w:drawing>
      </w:r>
    </w:p>
    <w:p w14:paraId="4179FE02">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10222D74">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55F468F0">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393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491D460">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1A53929">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074686A">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77C6864">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1438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212" w:type="dxa"/>
            <w:vAlign w:val="center"/>
          </w:tcPr>
          <w:p w14:paraId="69B94968">
            <w:pPr>
              <w:adjustRightInd w:val="0"/>
              <w:ind w:firstLine="198" w:firstLineChars="0"/>
              <w:rPr>
                <w:rFonts w:ascii="宋体" w:hAnsi="宋体" w:eastAsia="宋体" w:cs="宋体"/>
                <w:szCs w:val="21"/>
              </w:rPr>
            </w:pPr>
            <w:r>
              <w:rPr>
                <w:rFonts w:hint="eastAsia" w:ascii="宋体" w:hAnsi="宋体" w:eastAsia="宋体" w:cs="宋体"/>
                <w:bCs/>
                <w:szCs w:val="21"/>
              </w:rPr>
              <w:t>普通话语音</w:t>
            </w:r>
            <w:r>
              <w:rPr>
                <w:rFonts w:hint="eastAsia" w:ascii="宋体" w:hAnsi="宋体" w:eastAsia="宋体" w:cs="宋体"/>
                <w:color w:val="000000"/>
                <w:kern w:val="0"/>
                <w:szCs w:val="21"/>
              </w:rPr>
              <w:t>训练</w:t>
            </w:r>
          </w:p>
        </w:tc>
        <w:tc>
          <w:tcPr>
            <w:tcW w:w="3407" w:type="dxa"/>
            <w:vAlign w:val="center"/>
          </w:tcPr>
          <w:p w14:paraId="10F5DE16">
            <w:pPr>
              <w:spacing w:line="276" w:lineRule="auto"/>
              <w:ind w:firstLine="210" w:firstLineChars="100"/>
              <w:rPr>
                <w:rFonts w:ascii="宋体" w:hAnsi="宋体" w:eastAsia="宋体" w:cs="宋体"/>
                <w:szCs w:val="21"/>
              </w:rPr>
            </w:pPr>
            <w:r>
              <w:rPr>
                <w:rFonts w:hint="eastAsia" w:ascii="宋体" w:hAnsi="宋体" w:eastAsia="宋体" w:cs="Times New Roman"/>
                <w:bCs/>
                <w:color w:val="000000"/>
                <w:szCs w:val="21"/>
              </w:rPr>
              <w:t>声母、韵母、声调、吐字归音、语流音变等普通话语音基础知识训练。逐步认识和纠正发音、发声中存在的问题，掌握和运用科学的发音、发声方法。</w:t>
            </w:r>
          </w:p>
        </w:tc>
        <w:tc>
          <w:tcPr>
            <w:tcW w:w="740" w:type="dxa"/>
            <w:vAlign w:val="center"/>
          </w:tcPr>
          <w:p w14:paraId="1832FED3">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课程实践作业</w:t>
            </w:r>
          </w:p>
        </w:tc>
        <w:tc>
          <w:tcPr>
            <w:tcW w:w="3160" w:type="dxa"/>
            <w:vAlign w:val="center"/>
          </w:tcPr>
          <w:p w14:paraId="69F32000">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6311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BF667F3">
            <w:pPr>
              <w:adjustRightInd w:val="0"/>
              <w:ind w:firstLine="198" w:firstLineChars="0"/>
              <w:rPr>
                <w:rFonts w:ascii="宋体" w:hAnsi="宋体" w:eastAsia="宋体" w:cs="宋体"/>
                <w:szCs w:val="21"/>
              </w:rPr>
            </w:pPr>
            <w:r>
              <w:rPr>
                <w:rFonts w:hint="eastAsia" w:ascii="宋体" w:hAnsi="宋体" w:eastAsia="宋体" w:cs="宋体"/>
                <w:szCs w:val="21"/>
              </w:rPr>
              <w:t>教师基本</w:t>
            </w:r>
            <w:r>
              <w:rPr>
                <w:rFonts w:hint="eastAsia" w:ascii="宋体" w:hAnsi="宋体" w:eastAsia="宋体" w:cs="宋体"/>
                <w:szCs w:val="21"/>
                <w:lang w:val="en-US" w:eastAsia="zh-CN"/>
              </w:rPr>
              <w:t>礼仪</w:t>
            </w:r>
            <w:r>
              <w:rPr>
                <w:rFonts w:hint="eastAsia" w:ascii="宋体" w:hAnsi="宋体" w:eastAsia="宋体" w:cs="宋体"/>
                <w:szCs w:val="21"/>
              </w:rPr>
              <w:t>技能的要求</w:t>
            </w:r>
            <w:r>
              <w:rPr>
                <w:rFonts w:hint="eastAsia" w:ascii="宋体" w:hAnsi="宋体" w:eastAsia="宋体" w:cs="宋体"/>
                <w:color w:val="000000"/>
                <w:kern w:val="0"/>
                <w:szCs w:val="21"/>
              </w:rPr>
              <w:t>训练</w:t>
            </w:r>
          </w:p>
        </w:tc>
        <w:tc>
          <w:tcPr>
            <w:tcW w:w="3407" w:type="dxa"/>
            <w:vAlign w:val="center"/>
          </w:tcPr>
          <w:p w14:paraId="05B85172">
            <w:pPr>
              <w:widowControl/>
              <w:spacing w:line="276" w:lineRule="auto"/>
              <w:ind w:firstLine="420" w:firstLineChars="200"/>
              <w:jc w:val="left"/>
              <w:rPr>
                <w:rFonts w:ascii="宋体" w:hAnsi="宋体" w:eastAsia="宋体" w:cs="宋体"/>
                <w:szCs w:val="21"/>
              </w:rPr>
            </w:pPr>
            <w:r>
              <w:rPr>
                <w:rFonts w:hint="eastAsia" w:ascii="宋体" w:hAnsi="宋体" w:eastAsia="宋体" w:cs="Times New Roman"/>
                <w:bCs/>
                <w:color w:val="000000"/>
                <w:szCs w:val="21"/>
              </w:rPr>
              <w:t>掌握复述、描述、评述、讲故事、态势语等一些基本技能的要求。通过训练，掌握各种技能、技巧。</w:t>
            </w:r>
            <w:r>
              <w:rPr>
                <w:rFonts w:hint="eastAsia" w:ascii="宋体" w:hAnsi="宋体" w:eastAsia="宋体" w:cs="宋体"/>
                <w:szCs w:val="21"/>
              </w:rPr>
              <w:t>能够熟练自如的运用各种技能。</w:t>
            </w:r>
          </w:p>
        </w:tc>
        <w:tc>
          <w:tcPr>
            <w:tcW w:w="740" w:type="dxa"/>
            <w:vAlign w:val="center"/>
          </w:tcPr>
          <w:p w14:paraId="21FE1F6E">
            <w:pPr>
              <w:spacing w:line="276" w:lineRule="auto"/>
              <w:jc w:val="center"/>
              <w:rPr>
                <w:rFonts w:ascii="宋体" w:hAnsi="宋体" w:eastAsia="宋体" w:cs="宋体"/>
                <w:szCs w:val="21"/>
              </w:rPr>
            </w:pPr>
            <w:r>
              <w:rPr>
                <w:rFonts w:hint="eastAsia" w:ascii="宋体" w:hAnsi="宋体" w:eastAsia="宋体" w:cs="宋体"/>
                <w:szCs w:val="21"/>
                <w:lang w:val="en-US" w:eastAsia="zh-CN"/>
              </w:rPr>
              <w:t>课程实践作业</w:t>
            </w:r>
          </w:p>
        </w:tc>
        <w:tc>
          <w:tcPr>
            <w:tcW w:w="3160" w:type="dxa"/>
            <w:vAlign w:val="center"/>
          </w:tcPr>
          <w:p w14:paraId="6EE591D1">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219B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C8AF793">
            <w:pPr>
              <w:adjustRightInd w:val="0"/>
              <w:ind w:firstLine="198" w:firstLineChars="0"/>
              <w:rPr>
                <w:rFonts w:ascii="宋体" w:hAnsi="宋体" w:eastAsia="宋体" w:cs="宋体"/>
                <w:szCs w:val="21"/>
              </w:rPr>
            </w:pPr>
            <w:r>
              <w:rPr>
                <w:rFonts w:hint="eastAsia" w:ascii="宋体" w:hAnsi="宋体" w:eastAsia="宋体" w:cs="宋体"/>
                <w:bCs/>
                <w:szCs w:val="21"/>
              </w:rPr>
              <w:t>教师教学口语训练</w:t>
            </w:r>
          </w:p>
        </w:tc>
        <w:tc>
          <w:tcPr>
            <w:tcW w:w="3407" w:type="dxa"/>
            <w:vAlign w:val="center"/>
          </w:tcPr>
          <w:p w14:paraId="62D4BAAC">
            <w:pPr>
              <w:spacing w:line="276" w:lineRule="auto"/>
              <w:ind w:firstLine="420" w:firstLineChars="200"/>
              <w:rPr>
                <w:rFonts w:ascii="宋体" w:hAnsi="宋体" w:eastAsia="宋体" w:cs="宋体"/>
                <w:szCs w:val="21"/>
              </w:rPr>
            </w:pPr>
            <w:r>
              <w:rPr>
                <w:rFonts w:hint="eastAsia" w:ascii="宋体" w:hAnsi="宋体" w:eastAsia="宋体" w:cs="宋体"/>
                <w:szCs w:val="21"/>
              </w:rPr>
              <w:t>导入语、提问语、过渡语、讲解语、评价语、应变语、小结语等各教学环节的用语技巧。能掌握幼儿教师教学语言的特点，在课堂模拟教学中正确使用各类教学语言。</w:t>
            </w:r>
          </w:p>
        </w:tc>
        <w:tc>
          <w:tcPr>
            <w:tcW w:w="740" w:type="dxa"/>
            <w:vAlign w:val="center"/>
          </w:tcPr>
          <w:p w14:paraId="24C762AF">
            <w:pPr>
              <w:spacing w:line="276" w:lineRule="auto"/>
              <w:jc w:val="center"/>
              <w:rPr>
                <w:rFonts w:ascii="宋体" w:hAnsi="宋体" w:eastAsia="宋体" w:cs="宋体"/>
                <w:szCs w:val="21"/>
              </w:rPr>
            </w:pPr>
            <w:r>
              <w:rPr>
                <w:rFonts w:hint="eastAsia" w:ascii="宋体" w:hAnsi="宋体" w:eastAsia="宋体" w:cs="宋体"/>
                <w:szCs w:val="21"/>
              </w:rPr>
              <w:t>课程实践作业</w:t>
            </w:r>
          </w:p>
        </w:tc>
        <w:tc>
          <w:tcPr>
            <w:tcW w:w="3160" w:type="dxa"/>
            <w:vAlign w:val="center"/>
          </w:tcPr>
          <w:p w14:paraId="36B01185">
            <w:pPr>
              <w:spacing w:line="276" w:lineRule="auto"/>
              <w:jc w:val="left"/>
              <w:rPr>
                <w:rFonts w:ascii="宋体" w:hAnsi="宋体" w:eastAsia="宋体" w:cs="宋体"/>
                <w:b/>
                <w:bCs/>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2BFE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03FD3350">
            <w:pPr>
              <w:adjustRightInd w:val="0"/>
              <w:ind w:firstLine="198" w:firstLineChars="0"/>
              <w:rPr>
                <w:rFonts w:ascii="宋体" w:hAnsi="宋体" w:eastAsia="宋体" w:cs="宋体"/>
                <w:szCs w:val="21"/>
              </w:rPr>
            </w:pPr>
            <w:r>
              <w:rPr>
                <w:rFonts w:hint="eastAsia" w:ascii="宋体" w:hAnsi="宋体" w:eastAsia="宋体" w:cs="宋体"/>
                <w:bCs/>
                <w:szCs w:val="21"/>
              </w:rPr>
              <w:t>教师教</w:t>
            </w:r>
            <w:r>
              <w:rPr>
                <w:rFonts w:hint="eastAsia" w:ascii="宋体" w:hAnsi="宋体" w:eastAsia="宋体" w:cs="宋体"/>
                <w:bCs/>
                <w:szCs w:val="21"/>
                <w:lang w:val="en-US" w:eastAsia="zh-CN"/>
              </w:rPr>
              <w:t>育</w:t>
            </w:r>
            <w:r>
              <w:rPr>
                <w:rFonts w:hint="eastAsia" w:ascii="宋体" w:hAnsi="宋体" w:eastAsia="宋体" w:cs="宋体"/>
                <w:bCs/>
                <w:szCs w:val="21"/>
              </w:rPr>
              <w:t>口语训练</w:t>
            </w:r>
          </w:p>
        </w:tc>
        <w:tc>
          <w:tcPr>
            <w:tcW w:w="3407" w:type="dxa"/>
            <w:vAlign w:val="center"/>
          </w:tcPr>
          <w:p w14:paraId="73084913">
            <w:pPr>
              <w:spacing w:line="276" w:lineRule="auto"/>
              <w:ind w:firstLine="420" w:firstLineChars="200"/>
              <w:rPr>
                <w:rFonts w:ascii="宋体" w:hAnsi="宋体" w:eastAsia="宋体" w:cs="宋体"/>
                <w:szCs w:val="21"/>
              </w:rPr>
            </w:pPr>
            <w:r>
              <w:rPr>
                <w:rFonts w:hint="eastAsia" w:ascii="宋体" w:hAnsi="宋体" w:eastAsia="宋体" w:cs="Times New Roman"/>
                <w:bCs/>
                <w:color w:val="000000"/>
                <w:szCs w:val="21"/>
              </w:rPr>
              <w:t>掌握幼儿教育口语的特点、原则和要求。能根据不同教育情境准确、恰当地运用教育口语。</w:t>
            </w:r>
          </w:p>
        </w:tc>
        <w:tc>
          <w:tcPr>
            <w:tcW w:w="740" w:type="dxa"/>
            <w:vAlign w:val="center"/>
          </w:tcPr>
          <w:p w14:paraId="388093E8">
            <w:pPr>
              <w:spacing w:line="276" w:lineRule="auto"/>
              <w:jc w:val="center"/>
              <w:rPr>
                <w:rFonts w:ascii="宋体" w:hAnsi="宋体" w:eastAsia="宋体" w:cs="宋体"/>
                <w:szCs w:val="21"/>
              </w:rPr>
            </w:pPr>
            <w:r>
              <w:rPr>
                <w:rFonts w:hint="eastAsia" w:ascii="宋体" w:hAnsi="宋体" w:eastAsia="宋体" w:cs="宋体"/>
                <w:szCs w:val="21"/>
                <w:lang w:val="en-US" w:eastAsia="zh-CN"/>
              </w:rPr>
              <w:t>课程实践作业</w:t>
            </w:r>
          </w:p>
        </w:tc>
        <w:tc>
          <w:tcPr>
            <w:tcW w:w="3160" w:type="dxa"/>
            <w:vAlign w:val="center"/>
          </w:tcPr>
          <w:p w14:paraId="4499F8E1">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bl>
    <w:p w14:paraId="52470A52">
      <w:pPr>
        <w:spacing w:line="360" w:lineRule="auto"/>
        <w:ind w:firstLine="551" w:firstLineChars="196"/>
        <w:jc w:val="left"/>
        <w:rPr>
          <w:rFonts w:ascii="宋体" w:hAnsi="宋体" w:eastAsia="宋体" w:cs="Times New Roman"/>
          <w:b/>
          <w:color w:val="000000"/>
          <w:sz w:val="28"/>
          <w:szCs w:val="28"/>
        </w:rPr>
      </w:pPr>
    </w:p>
    <w:p w14:paraId="066C0AFF">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55A6AAD1">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（一）持续改进</w:t>
      </w:r>
    </w:p>
    <w:p w14:paraId="005B8D95">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本课程根据学生作业、课堂讨论情况和学生、教学督导等方面</w:t>
      </w:r>
      <w:r>
        <w:rPr>
          <w:rFonts w:hint="eastAsia" w:ascii="宋体" w:hAnsi="宋体" w:eastAsia="宋体" w:cs="Times New Roman"/>
          <w:color w:val="000000"/>
          <w:sz w:val="24"/>
        </w:rPr>
        <w:t>的</w:t>
      </w:r>
      <w:r>
        <w:rPr>
          <w:rFonts w:ascii="宋体" w:hAnsi="宋体" w:eastAsia="宋体" w:cs="Times New Roman"/>
          <w:color w:val="000000"/>
          <w:sz w:val="24"/>
        </w:rPr>
        <w:t>反馈意见及时对教学中</w:t>
      </w:r>
      <w:r>
        <w:rPr>
          <w:rFonts w:hint="eastAsia" w:ascii="宋体" w:hAnsi="宋体" w:eastAsia="宋体" w:cs="Times New Roman"/>
          <w:color w:val="000000"/>
          <w:sz w:val="24"/>
        </w:rPr>
        <w:t>的</w:t>
      </w:r>
      <w:r>
        <w:rPr>
          <w:rFonts w:ascii="宋体" w:hAnsi="宋体" w:eastAsia="宋体" w:cs="Times New Roman"/>
          <w:color w:val="000000"/>
          <w:sz w:val="24"/>
        </w:rPr>
        <w:t>不足之处进行改进，并在下一轮课程教学中</w:t>
      </w:r>
      <w:r>
        <w:rPr>
          <w:rFonts w:hint="eastAsia" w:ascii="宋体" w:hAnsi="宋体" w:eastAsia="宋体" w:cs="Times New Roman"/>
          <w:color w:val="000000"/>
          <w:sz w:val="24"/>
        </w:rPr>
        <w:t>整改完善</w:t>
      </w:r>
      <w:r>
        <w:rPr>
          <w:rFonts w:ascii="宋体" w:hAnsi="宋体" w:eastAsia="宋体" w:cs="Times New Roman"/>
          <w:color w:val="000000"/>
          <w:sz w:val="24"/>
        </w:rPr>
        <w:t>，确保相应毕业要求指标点达成。</w:t>
      </w:r>
    </w:p>
    <w:p w14:paraId="2956010E">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（二）参考书目及学习资料</w:t>
      </w:r>
    </w:p>
    <w:p w14:paraId="129F7E82">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1.教材</w:t>
      </w:r>
    </w:p>
    <w:p w14:paraId="13C4A611">
      <w:pPr>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高林广.教师口语实训教程.北京：高等教育出版社，2016.</w:t>
      </w:r>
    </w:p>
    <w:p w14:paraId="06AE47AB">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2.教学参考书</w:t>
      </w:r>
    </w:p>
    <w:p w14:paraId="56FAAFA8">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陈国安、王海燕.新编教师口语——表达与训练.上海：华东师范大学出版社，</w:t>
      </w:r>
      <w:r>
        <w:rPr>
          <w:rFonts w:ascii="宋体" w:hAnsi="宋体" w:eastAsia="宋体" w:cs="Times New Roman"/>
          <w:color w:val="000000"/>
          <w:sz w:val="24"/>
        </w:rPr>
        <w:t>2007</w:t>
      </w:r>
      <w:r>
        <w:rPr>
          <w:rFonts w:hint="eastAsia" w:ascii="宋体" w:hAnsi="宋体" w:eastAsia="宋体" w:cs="Times New Roman"/>
          <w:color w:val="000000"/>
          <w:sz w:val="24"/>
        </w:rPr>
        <w:t>.</w:t>
      </w:r>
    </w:p>
    <w:p w14:paraId="3821ED2B">
      <w:pPr>
        <w:spacing w:line="360" w:lineRule="auto"/>
        <w:ind w:firstLine="480" w:firstLineChars="200"/>
        <w:rPr>
          <w:rFonts w:ascii="Book Antiqua" w:hAnsi="Book Antiqua" w:eastAsia="宋体" w:cs="Times New Roman"/>
          <w:sz w:val="24"/>
          <w:szCs w:val="24"/>
        </w:rPr>
      </w:pPr>
      <w:r>
        <w:rPr>
          <w:rFonts w:hint="eastAsia" w:ascii="Book Antiqua" w:hAnsi="Book Antiqua" w:eastAsia="宋体" w:cs="Times New Roman"/>
          <w:sz w:val="24"/>
          <w:szCs w:val="24"/>
        </w:rPr>
        <w:t>江苏省普通话水平测试研究组.普通话水平测试指导用书(最新版）.北京：中国和平音像电子出版社，2013.</w:t>
      </w:r>
    </w:p>
    <w:p w14:paraId="01BBEABB">
      <w:pPr>
        <w:autoSpaceDE w:val="0"/>
        <w:autoSpaceDN w:val="0"/>
        <w:adjustRightInd w:val="0"/>
        <w:spacing w:line="360" w:lineRule="auto"/>
        <w:ind w:firstLine="480" w:firstLineChars="200"/>
        <w:jc w:val="left"/>
        <w:rPr>
          <w:rFonts w:ascii="宋体" w:hAnsi="宋体" w:eastAsia="宋体" w:cs="Times New Roman"/>
          <w:kern w:val="0"/>
          <w:sz w:val="24"/>
          <w:szCs w:val="21"/>
        </w:rPr>
      </w:pPr>
    </w:p>
    <w:p w14:paraId="6464A8E3">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lang w:val="en-US" w:eastAsia="zh-CN"/>
        </w:rPr>
        <w:t>李森</w:t>
      </w:r>
      <w:r>
        <w:rPr>
          <w:rFonts w:hint="eastAsia" w:ascii="宋体" w:hAnsi="宋体" w:eastAsia="宋体" w:cs="Times New Roman"/>
          <w:kern w:val="0"/>
          <w:sz w:val="24"/>
          <w:szCs w:val="21"/>
        </w:rPr>
        <w:t xml:space="preserve">  </w:t>
      </w:r>
    </w:p>
    <w:p w14:paraId="627261C5">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审定人：</w:t>
      </w:r>
      <w:r>
        <w:rPr>
          <w:rFonts w:hint="eastAsia" w:ascii="宋体" w:hAnsi="宋体" w:eastAsia="宋体" w:cs="Times New Roman"/>
          <w:kern w:val="0"/>
          <w:sz w:val="24"/>
          <w:szCs w:val="21"/>
          <w:lang w:val="en-US" w:eastAsia="zh-CN"/>
        </w:rPr>
        <w:t>钱峰</w:t>
      </w:r>
      <w:r>
        <w:rPr>
          <w:rFonts w:hint="eastAsia" w:ascii="宋体" w:hAnsi="宋体" w:eastAsia="宋体" w:cs="Times New Roman"/>
          <w:kern w:val="0"/>
          <w:sz w:val="24"/>
          <w:szCs w:val="21"/>
        </w:rPr>
        <w:t xml:space="preserve">  </w:t>
      </w:r>
    </w:p>
    <w:p w14:paraId="341E97E8">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审批人：</w:t>
      </w:r>
      <w:r>
        <w:rPr>
          <w:rFonts w:hint="eastAsia" w:ascii="宋体" w:hAnsi="宋体" w:eastAsia="宋体" w:cs="Times New Roman"/>
          <w:kern w:val="0"/>
          <w:sz w:val="24"/>
          <w:szCs w:val="21"/>
          <w:lang w:val="en-US" w:eastAsia="zh-CN"/>
        </w:rPr>
        <w:t>王献东</w:t>
      </w:r>
      <w:r>
        <w:rPr>
          <w:rFonts w:hint="eastAsia" w:ascii="宋体" w:hAnsi="宋体" w:eastAsia="宋体" w:cs="Times New Roman"/>
          <w:kern w:val="0"/>
          <w:sz w:val="24"/>
          <w:szCs w:val="21"/>
        </w:rPr>
        <w:t xml:space="preserve">  </w:t>
      </w:r>
    </w:p>
    <w:p w14:paraId="1C78FC67">
      <w:pPr>
        <w:autoSpaceDE w:val="0"/>
        <w:autoSpaceDN w:val="0"/>
        <w:adjustRightInd w:val="0"/>
        <w:spacing w:line="360" w:lineRule="auto"/>
        <w:jc w:val="right"/>
        <w:rPr>
          <w:rFonts w:ascii="Calibri" w:hAnsi="Calibri" w:eastAsia="宋体" w:cs="Times New Roman"/>
          <w:kern w:val="0"/>
          <w:sz w:val="24"/>
          <w:szCs w:val="21"/>
        </w:rPr>
      </w:pPr>
      <w:r>
        <w:rPr>
          <w:rFonts w:hint="eastAsia" w:ascii="Calibri" w:hAnsi="Calibri" w:eastAsia="宋体" w:cs="Times New Roman"/>
          <w:kern w:val="0"/>
          <w:sz w:val="24"/>
          <w:szCs w:val="21"/>
        </w:rPr>
        <w:t>批准时间：202</w:t>
      </w:r>
      <w:r>
        <w:rPr>
          <w:rFonts w:hint="eastAsia" w:ascii="Calibri" w:hAnsi="Calibri" w:eastAsia="宋体" w:cs="Times New Roman"/>
          <w:kern w:val="0"/>
          <w:sz w:val="24"/>
          <w:szCs w:val="21"/>
          <w:lang w:val="en-US" w:eastAsia="zh-CN"/>
        </w:rPr>
        <w:t>4</w:t>
      </w:r>
      <w:r>
        <w:rPr>
          <w:rFonts w:hint="eastAsia" w:ascii="Calibri" w:hAnsi="Calibri" w:eastAsia="宋体" w:cs="Times New Roman"/>
          <w:kern w:val="0"/>
          <w:sz w:val="24"/>
          <w:szCs w:val="21"/>
        </w:rPr>
        <w:t>年8月30日</w:t>
      </w:r>
      <w:r>
        <w:rPr>
          <w:rFonts w:ascii="Calibri" w:hAnsi="Calibri" w:eastAsia="宋体" w:cs="Times New Roman"/>
          <w:kern w:val="0"/>
          <w:sz w:val="24"/>
          <w:szCs w:val="21"/>
        </w:rPr>
        <w:t xml:space="preserve"> </w:t>
      </w:r>
    </w:p>
    <w:p w14:paraId="58FC63A9"/>
    <w:p w14:paraId="31B8B82D">
      <w:pPr>
        <w:spacing w:line="360" w:lineRule="auto"/>
        <w:ind w:right="240"/>
        <w:jc w:val="right"/>
        <w:rPr>
          <w:rFonts w:ascii="Times New Roman" w:hAnsi="Times New Roman" w:eastAsia="宋体" w:cs="Times New Roman"/>
          <w:sz w:val="24"/>
          <w:szCs w:val="24"/>
        </w:rPr>
      </w:pPr>
    </w:p>
    <w:p w14:paraId="4DDD87BC">
      <w:pPr>
        <w:rPr>
          <w:rFonts w:hint="eastAsia" w:ascii="等线" w:hAnsi="等线" w:eastAsia="等线" w:cs="Times New Roman"/>
          <w:sz w:val="24"/>
          <w:szCs w:val="22"/>
        </w:rPr>
      </w:pPr>
      <w:r>
        <w:rPr>
          <w:rFonts w:hint="eastAsia" w:ascii="等线" w:hAnsi="等线" w:eastAsia="等线" w:cs="Times New Roman"/>
          <w:sz w:val="24"/>
          <w:szCs w:val="22"/>
        </w:rPr>
        <w:br w:type="page"/>
      </w:r>
    </w:p>
    <w:p w14:paraId="6CB27695">
      <w:pPr>
        <w:pStyle w:val="2"/>
        <w:bidi w:val="0"/>
        <w:rPr>
          <w:lang w:val="en-US" w:eastAsia="zh-CN"/>
        </w:rPr>
      </w:pPr>
      <w:bookmarkStart w:id="938" w:name="_Toc13052"/>
      <w:bookmarkStart w:id="939" w:name="_Toc16423"/>
      <w:bookmarkStart w:id="940" w:name="_Toc1593"/>
      <w:bookmarkStart w:id="941" w:name="_Toc2567"/>
      <w:r>
        <w:rPr>
          <w:rFonts w:hint="eastAsia"/>
          <w:lang w:val="en-US" w:eastAsia="zh-CN"/>
        </w:rPr>
        <w:t>《教育统计与测量》课程教学大纲</w:t>
      </w:r>
      <w:bookmarkEnd w:id="938"/>
      <w:bookmarkEnd w:id="939"/>
      <w:bookmarkEnd w:id="940"/>
      <w:bookmarkEnd w:id="941"/>
    </w:p>
    <w:p w14:paraId="6D02F4F2">
      <w:pPr>
        <w:pStyle w:val="2"/>
        <w:bidi w:val="0"/>
        <w:rPr>
          <w:lang w:val="en-US" w:eastAsia="zh-CN"/>
        </w:rPr>
      </w:pPr>
      <w:bookmarkStart w:id="942" w:name="_Toc14513"/>
      <w:bookmarkStart w:id="943" w:name="_Toc10847"/>
      <w:bookmarkStart w:id="944" w:name="_Toc16111"/>
      <w:bookmarkStart w:id="945" w:name="_Toc5859"/>
      <w:bookmarkStart w:id="946" w:name="_Toc27355"/>
      <w:bookmarkStart w:id="947" w:name="_Toc19616"/>
      <w:bookmarkStart w:id="948" w:name="_Toc2149"/>
      <w:r>
        <w:rPr>
          <w:lang w:val="en-US" w:eastAsia="zh-CN"/>
        </w:rPr>
        <w:t>（</w:t>
      </w:r>
      <w:r>
        <w:rPr>
          <w:rFonts w:hint="eastAsia"/>
          <w:lang w:val="en-US" w:eastAsia="zh-CN"/>
        </w:rPr>
        <w:t>Educational Statistics and Measurement</w:t>
      </w:r>
      <w:r>
        <w:rPr>
          <w:lang w:val="en-US" w:eastAsia="zh-CN"/>
        </w:rPr>
        <w:t>）</w:t>
      </w:r>
      <w:bookmarkEnd w:id="942"/>
      <w:bookmarkEnd w:id="943"/>
      <w:bookmarkEnd w:id="944"/>
      <w:bookmarkEnd w:id="945"/>
      <w:bookmarkEnd w:id="946"/>
      <w:bookmarkEnd w:id="947"/>
      <w:bookmarkEnd w:id="948"/>
    </w:p>
    <w:p w14:paraId="3AE09443">
      <w:pPr>
        <w:spacing w:line="360" w:lineRule="auto"/>
        <w:jc w:val="center"/>
        <w:rPr>
          <w:rFonts w:ascii="Times New Roman" w:hAnsi="Times New Roman" w:eastAsia="宋体" w:cs="Times New Roman"/>
          <w:bCs/>
          <w:sz w:val="30"/>
          <w:szCs w:val="30"/>
        </w:rPr>
      </w:pPr>
    </w:p>
    <w:p w14:paraId="316CE06F">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教育统计与测量</w:t>
      </w:r>
    </w:p>
    <w:p w14:paraId="53A528BA">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课程代码：24010</w:t>
      </w:r>
      <w:r>
        <w:rPr>
          <w:rFonts w:hint="eastAsia" w:ascii="Times New Roman" w:hAnsi="Times New Roman" w:eastAsia="宋体" w:cs="Times New Roman"/>
          <w:b/>
          <w:sz w:val="24"/>
          <w:szCs w:val="24"/>
          <w:lang w:val="en-US" w:eastAsia="zh-CN"/>
        </w:rPr>
        <w:t>15</w:t>
      </w:r>
    </w:p>
    <w:p w14:paraId="0B7CC819">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2</w:t>
      </w:r>
    </w:p>
    <w:p w14:paraId="4D228504">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32</w:t>
      </w:r>
    </w:p>
    <w:p w14:paraId="6CA3B83B">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无</w:t>
      </w:r>
    </w:p>
    <w:p w14:paraId="311B63C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5FF2C4F1">
      <w:pPr>
        <w:spacing w:line="360" w:lineRule="auto"/>
        <w:jc w:val="left"/>
        <w:rPr>
          <w:rFonts w:hint="eastAsia" w:ascii="Times New Roman" w:hAnsi="Times New Roman" w:eastAsia="宋体" w:cs="Times New Roman"/>
          <w:b/>
          <w:sz w:val="24"/>
          <w:szCs w:val="24"/>
        </w:rPr>
      </w:pPr>
    </w:p>
    <w:p w14:paraId="49494A9B">
      <w:pPr>
        <w:spacing w:line="360" w:lineRule="auto"/>
        <w:jc w:val="left"/>
        <w:outlineLvl w:val="0"/>
        <w:rPr>
          <w:rFonts w:ascii="Times New Roman" w:hAnsi="Times New Roman" w:eastAsia="宋体" w:cs="Times New Roman"/>
          <w:sz w:val="24"/>
          <w:szCs w:val="24"/>
        </w:rPr>
      </w:pPr>
      <w:bookmarkStart w:id="949" w:name="_Toc32143"/>
      <w:bookmarkStart w:id="950" w:name="_Toc10146"/>
      <w:bookmarkStart w:id="951" w:name="_Toc27431"/>
      <w:bookmarkStart w:id="952" w:name="_Toc31002"/>
      <w:bookmarkStart w:id="953" w:name="_Toc19138"/>
      <w:bookmarkStart w:id="954" w:name="_Toc29811"/>
      <w:bookmarkStart w:id="955" w:name="_Toc21742"/>
      <w:r>
        <w:rPr>
          <w:rFonts w:hint="eastAsia" w:ascii="Times New Roman" w:hAnsi="Times New Roman" w:eastAsia="宋体" w:cs="Times New Roman"/>
          <w:b/>
          <w:sz w:val="24"/>
          <w:szCs w:val="24"/>
        </w:rPr>
        <w:t>一、课程简介</w:t>
      </w:r>
      <w:bookmarkEnd w:id="949"/>
      <w:bookmarkEnd w:id="950"/>
      <w:bookmarkEnd w:id="951"/>
      <w:bookmarkEnd w:id="952"/>
      <w:bookmarkEnd w:id="953"/>
      <w:bookmarkEnd w:id="954"/>
      <w:bookmarkEnd w:id="955"/>
    </w:p>
    <w:p w14:paraId="5B0C175D">
      <w:pPr>
        <w:spacing w:line="360" w:lineRule="auto"/>
        <w:ind w:firstLine="411" w:firstLineChars="196"/>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本课程是小学教育专业的专业基础</w:t>
      </w:r>
      <w:r>
        <w:rPr>
          <w:rFonts w:hint="eastAsia" w:ascii="Times New Roman" w:hAnsi="Times New Roman" w:eastAsia="宋体" w:cs="Times New Roman"/>
          <w:szCs w:val="21"/>
          <w:lang w:val="en-US" w:eastAsia="zh-CN"/>
        </w:rPr>
        <w:t>选</w:t>
      </w:r>
      <w:r>
        <w:rPr>
          <w:rFonts w:hint="eastAsia" w:ascii="Times New Roman" w:hAnsi="Times New Roman" w:eastAsia="宋体" w:cs="Times New Roman"/>
          <w:szCs w:val="21"/>
        </w:rPr>
        <w:t>修课。通过本课程的学习，加强学生对教育统计理论的认识；培养学生解决各种教育统计问题的能力；提高学生教育科研的基本能力；培养学生创新精神和实践能力，为后续《教育科学研究方法》等课程和毕业论文等实践环节以及未来分析与解决教育实际问题奠定基础。</w:t>
      </w:r>
    </w:p>
    <w:p w14:paraId="35BC8710">
      <w:pPr>
        <w:spacing w:line="360" w:lineRule="auto"/>
        <w:ind w:firstLine="411" w:firstLineChars="196"/>
        <w:rPr>
          <w:rFonts w:hint="eastAsia" w:ascii="Times New Roman" w:hAnsi="Times New Roman" w:eastAsia="宋体" w:cs="Times New Roman"/>
          <w:szCs w:val="21"/>
        </w:rPr>
      </w:pPr>
    </w:p>
    <w:p w14:paraId="025D3B62">
      <w:pPr>
        <w:spacing w:line="360" w:lineRule="auto"/>
        <w:outlineLvl w:val="0"/>
        <w:rPr>
          <w:rFonts w:ascii="宋体" w:hAnsi="宋体" w:eastAsia="宋体" w:cs="Times New Roman"/>
          <w:b/>
          <w:sz w:val="24"/>
          <w:szCs w:val="24"/>
        </w:rPr>
      </w:pPr>
      <w:bookmarkStart w:id="956" w:name="_Toc18106"/>
      <w:bookmarkStart w:id="957" w:name="_Toc286"/>
      <w:bookmarkStart w:id="958" w:name="_Toc2924"/>
      <w:bookmarkStart w:id="959" w:name="_Toc12189"/>
      <w:bookmarkStart w:id="960" w:name="_Toc28347"/>
      <w:bookmarkStart w:id="961" w:name="_Toc25395"/>
      <w:bookmarkStart w:id="962" w:name="_Toc2291"/>
      <w:r>
        <w:rPr>
          <w:rFonts w:hint="eastAsia" w:ascii="宋体" w:hAnsi="宋体" w:eastAsia="宋体" w:cs="Times New Roman"/>
          <w:b/>
          <w:sz w:val="24"/>
          <w:szCs w:val="24"/>
        </w:rPr>
        <w:t>二</w:t>
      </w:r>
      <w:r>
        <w:rPr>
          <w:rFonts w:ascii="宋体" w:hAnsi="宋体" w:eastAsia="宋体" w:cs="Times New Roman"/>
          <w:b/>
          <w:sz w:val="24"/>
          <w:szCs w:val="24"/>
        </w:rPr>
        <w:t>、课程目标</w:t>
      </w:r>
      <w:bookmarkEnd w:id="956"/>
      <w:bookmarkEnd w:id="957"/>
      <w:bookmarkEnd w:id="958"/>
      <w:bookmarkEnd w:id="959"/>
      <w:bookmarkEnd w:id="960"/>
      <w:bookmarkEnd w:id="961"/>
      <w:bookmarkEnd w:id="962"/>
    </w:p>
    <w:p w14:paraId="200F08FB">
      <w:pPr>
        <w:spacing w:line="360" w:lineRule="auto"/>
        <w:ind w:firstLine="442" w:firstLineChars="200"/>
        <w:outlineLvl w:val="1"/>
        <w:rPr>
          <w:rFonts w:ascii="宋体" w:hAnsi="宋体" w:eastAsia="宋体" w:cs="Times New Roman"/>
          <w:b/>
          <w:sz w:val="22"/>
          <w:szCs w:val="22"/>
        </w:rPr>
      </w:pPr>
      <w:bookmarkStart w:id="963" w:name="_Toc15482"/>
      <w:r>
        <w:rPr>
          <w:rFonts w:hint="eastAsia" w:ascii="宋体" w:hAnsi="宋体" w:eastAsia="宋体" w:cs="Times New Roman"/>
          <w:b/>
          <w:sz w:val="22"/>
          <w:szCs w:val="22"/>
        </w:rPr>
        <w:t>（一）课程具体目标</w:t>
      </w:r>
      <w:bookmarkEnd w:id="963"/>
    </w:p>
    <w:p w14:paraId="6B3D7E93">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b w:val="0"/>
          <w:bCs/>
          <w:szCs w:val="21"/>
          <w:lang w:val="en-US" w:eastAsia="zh-CN"/>
        </w:rPr>
        <w:t>形成自然科学的思维品质</w:t>
      </w:r>
      <w:r>
        <w:rPr>
          <w:rFonts w:hint="eastAsia" w:ascii="宋体" w:hAnsi="宋体" w:eastAsia="宋体" w:cs="Times New Roman"/>
          <w:b w:val="0"/>
          <w:bCs/>
          <w:kern w:val="0"/>
          <w:sz w:val="21"/>
          <w:szCs w:val="20"/>
        </w:rPr>
        <w:t>；</w:t>
      </w:r>
    </w:p>
    <w:p w14:paraId="30CDE62F">
      <w:pPr>
        <w:spacing w:line="360" w:lineRule="auto"/>
        <w:ind w:firstLine="422" w:firstLineChars="200"/>
        <w:rPr>
          <w:rFonts w:hint="eastAsia" w:ascii="宋体" w:hAnsi="宋体" w:eastAsia="宋体" w:cs="Times New Roman"/>
          <w:kern w:val="0"/>
          <w:sz w:val="21"/>
          <w:szCs w:val="20"/>
          <w:lang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宋体" w:hAnsi="宋体" w:eastAsia="宋体" w:cs="Times New Roman"/>
          <w:kern w:val="0"/>
          <w:sz w:val="21"/>
          <w:szCs w:val="20"/>
        </w:rPr>
        <w:t>能运用</w:t>
      </w:r>
      <w:r>
        <w:rPr>
          <w:rFonts w:hint="eastAsia" w:ascii="宋体" w:hAnsi="宋体" w:eastAsia="宋体" w:cs="Times New Roman"/>
          <w:kern w:val="0"/>
          <w:sz w:val="21"/>
          <w:szCs w:val="20"/>
          <w:lang w:val="en-US" w:eastAsia="zh-CN"/>
        </w:rPr>
        <w:t>教育统计</w:t>
      </w:r>
      <w:r>
        <w:rPr>
          <w:rFonts w:hint="eastAsia" w:ascii="宋体" w:hAnsi="宋体" w:eastAsia="宋体" w:cs="Times New Roman"/>
          <w:kern w:val="0"/>
          <w:sz w:val="21"/>
          <w:szCs w:val="20"/>
        </w:rPr>
        <w:t>分析和解决小学教育实践中的问题，形成一定的教学研究能力</w:t>
      </w:r>
      <w:r>
        <w:rPr>
          <w:rFonts w:hint="eastAsia" w:ascii="宋体" w:hAnsi="宋体" w:eastAsia="宋体" w:cs="Times New Roman"/>
          <w:kern w:val="0"/>
          <w:sz w:val="21"/>
          <w:szCs w:val="20"/>
          <w:lang w:eastAsia="zh-CN"/>
        </w:rPr>
        <w:t>；</w:t>
      </w:r>
    </w:p>
    <w:p w14:paraId="2EFADE6F">
      <w:pPr>
        <w:spacing w:line="360" w:lineRule="auto"/>
        <w:ind w:firstLine="422" w:firstLineChars="200"/>
        <w:rPr>
          <w:rFonts w:hint="default" w:ascii="宋体" w:hAnsi="宋体" w:eastAsia="宋体" w:cs="Times New Roman"/>
          <w:kern w:val="0"/>
          <w:sz w:val="21"/>
          <w:szCs w:val="20"/>
          <w:lang w:val="en-US"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宋体" w:hAnsi="宋体" w:eastAsia="宋体" w:cs="Times New Roman"/>
          <w:kern w:val="0"/>
          <w:sz w:val="21"/>
          <w:szCs w:val="20"/>
        </w:rPr>
        <w:t>能</w:t>
      </w:r>
      <w:r>
        <w:rPr>
          <w:rFonts w:hint="eastAsia" w:ascii="宋体" w:hAnsi="宋体" w:eastAsia="宋体" w:cs="Times New Roman"/>
          <w:kern w:val="0"/>
          <w:sz w:val="21"/>
          <w:szCs w:val="20"/>
          <w:lang w:val="en-US" w:eastAsia="zh-CN"/>
        </w:rPr>
        <w:t>通过教育统计与测量的方法，形成一定的教育反思能力与意识。</w:t>
      </w:r>
    </w:p>
    <w:p w14:paraId="6FB077EC">
      <w:pPr>
        <w:spacing w:line="360" w:lineRule="auto"/>
        <w:ind w:firstLine="482" w:firstLineChars="200"/>
        <w:outlineLvl w:val="1"/>
        <w:rPr>
          <w:rFonts w:ascii="宋体" w:hAnsi="宋体" w:eastAsia="宋体" w:cs="Times New Roman"/>
          <w:b/>
          <w:sz w:val="24"/>
          <w:szCs w:val="24"/>
        </w:rPr>
      </w:pPr>
      <w:bookmarkStart w:id="964" w:name="_Toc23182"/>
      <w:r>
        <w:rPr>
          <w:rFonts w:hint="eastAsia" w:ascii="宋体" w:hAnsi="宋体" w:eastAsia="宋体" w:cs="Times New Roman"/>
          <w:b/>
          <w:sz w:val="24"/>
          <w:szCs w:val="24"/>
        </w:rPr>
        <w:t>（二）课程目标与专业毕业要求的关系</w:t>
      </w:r>
      <w:bookmarkEnd w:id="964"/>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FB6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192C6E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0223CA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192C84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DEA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7CDC144E">
            <w:pPr>
              <w:spacing w:line="360" w:lineRule="auto"/>
              <w:jc w:val="left"/>
              <w:rPr>
                <w:rFonts w:hint="default" w:ascii="宋体" w:hAnsi="宋体" w:eastAsia="宋体" w:cs="Times New Roman"/>
                <w:color w:val="000000"/>
                <w:spacing w:val="-6"/>
                <w:sz w:val="21"/>
                <w:szCs w:val="21"/>
                <w:lang w:val="en-US" w:eastAsia="zh-CN"/>
              </w:rPr>
            </w:pPr>
            <w:r>
              <w:rPr>
                <w:rFonts w:hint="eastAsia" w:ascii="宋体" w:hAnsi="宋体" w:eastAsia="宋体" w:cs="Times New Roman"/>
                <w:color w:val="000000"/>
                <w:spacing w:val="-6"/>
                <w:sz w:val="21"/>
                <w:szCs w:val="21"/>
                <w:lang w:val="en-US" w:eastAsia="zh-CN"/>
              </w:rPr>
              <w:t>毕业要求3 学科素养</w:t>
            </w:r>
          </w:p>
        </w:tc>
        <w:tc>
          <w:tcPr>
            <w:tcW w:w="5688" w:type="dxa"/>
            <w:vAlign w:val="center"/>
          </w:tcPr>
          <w:p w14:paraId="3A413F58">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指标点3-1：【通识知识广博】具有小学教育本科专业相应的自然科学和人文社会科学知识素养。</w:t>
            </w:r>
          </w:p>
        </w:tc>
        <w:tc>
          <w:tcPr>
            <w:tcW w:w="1191" w:type="dxa"/>
            <w:shd w:val="clear" w:color="auto" w:fill="auto"/>
            <w:vAlign w:val="center"/>
          </w:tcPr>
          <w:p w14:paraId="731AF117">
            <w:pPr>
              <w:spacing w:line="360" w:lineRule="auto"/>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p>
        </w:tc>
      </w:tr>
      <w:tr w14:paraId="55D5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0A64418D">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pacing w:val="-6"/>
                <w:sz w:val="21"/>
                <w:szCs w:val="21"/>
              </w:rPr>
              <w:t>毕业要求</w:t>
            </w:r>
            <w:r>
              <w:rPr>
                <w:rFonts w:hint="eastAsia" w:ascii="宋体" w:hAnsi="宋体" w:eastAsia="宋体" w:cs="Times New Roman"/>
                <w:color w:val="000000"/>
                <w:spacing w:val="-6"/>
                <w:sz w:val="21"/>
                <w:szCs w:val="21"/>
                <w:lang w:val="en-US" w:eastAsia="zh-CN"/>
              </w:rPr>
              <w:t>4 教学能力</w:t>
            </w:r>
          </w:p>
        </w:tc>
        <w:tc>
          <w:tcPr>
            <w:tcW w:w="5688" w:type="dxa"/>
            <w:vAlign w:val="center"/>
          </w:tcPr>
          <w:p w14:paraId="291E6B6D">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指标点4-4：【具备教学研究能力】掌握教育研究的基本方法，</w:t>
            </w:r>
          </w:p>
          <w:p w14:paraId="240411F2">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在教育教学实践中，结合小学教育教学实践进行研究，具有一定的教学研究能力。</w:t>
            </w:r>
          </w:p>
        </w:tc>
        <w:tc>
          <w:tcPr>
            <w:tcW w:w="1191" w:type="dxa"/>
            <w:shd w:val="clear" w:color="auto" w:fill="auto"/>
            <w:vAlign w:val="center"/>
          </w:tcPr>
          <w:p w14:paraId="6F08DA0E">
            <w:pPr>
              <w:spacing w:line="360" w:lineRule="auto"/>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w:t>
            </w:r>
          </w:p>
        </w:tc>
      </w:tr>
      <w:tr w14:paraId="058F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C615EA2">
            <w:pPr>
              <w:spacing w:line="360"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pacing w:val="-6"/>
                <w:sz w:val="21"/>
                <w:szCs w:val="21"/>
              </w:rPr>
              <w:t>毕业要求</w:t>
            </w:r>
            <w:r>
              <w:rPr>
                <w:rFonts w:hint="eastAsia" w:ascii="宋体" w:hAnsi="宋体" w:eastAsia="宋体" w:cs="Times New Roman"/>
                <w:color w:val="000000"/>
                <w:spacing w:val="-6"/>
                <w:sz w:val="21"/>
                <w:szCs w:val="21"/>
                <w:lang w:val="en-US" w:eastAsia="zh-CN"/>
              </w:rPr>
              <w:t>7 学会反思</w:t>
            </w:r>
          </w:p>
        </w:tc>
        <w:tc>
          <w:tcPr>
            <w:tcW w:w="5688" w:type="dxa"/>
            <w:vAlign w:val="center"/>
          </w:tcPr>
          <w:p w14:paraId="1A86EDBE">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思考和见解。</w:t>
            </w:r>
          </w:p>
        </w:tc>
        <w:tc>
          <w:tcPr>
            <w:tcW w:w="1191" w:type="dxa"/>
            <w:vAlign w:val="center"/>
          </w:tcPr>
          <w:p w14:paraId="4621294A">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3</w:t>
            </w:r>
          </w:p>
        </w:tc>
      </w:tr>
    </w:tbl>
    <w:p w14:paraId="54CA56D9">
      <w:pPr>
        <w:spacing w:before="156" w:beforeLines="50" w:line="360" w:lineRule="auto"/>
        <w:jc w:val="left"/>
        <w:outlineLvl w:val="1"/>
        <w:rPr>
          <w:rFonts w:ascii="宋体" w:hAnsi="宋体" w:eastAsia="宋体" w:cs="Times New Roman"/>
          <w:b/>
          <w:color w:val="000000"/>
          <w:szCs w:val="21"/>
        </w:rPr>
      </w:pPr>
      <w:bookmarkStart w:id="965" w:name="_Toc8200"/>
      <w:r>
        <w:rPr>
          <w:rFonts w:hint="eastAsia" w:ascii="宋体" w:hAnsi="宋体" w:eastAsia="宋体" w:cs="Times New Roman"/>
          <w:b/>
          <w:color w:val="000000"/>
          <w:szCs w:val="21"/>
        </w:rPr>
        <w:t>（三）课程思政目标</w:t>
      </w:r>
      <w:bookmarkEnd w:id="965"/>
    </w:p>
    <w:p w14:paraId="5DDAC42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社会统计软件</w:t>
      </w:r>
      <w:r>
        <w:rPr>
          <w:rFonts w:hint="eastAsia" w:ascii="宋体" w:hAnsi="宋体" w:eastAsia="宋体" w:cs="Times New Roman"/>
          <w:color w:val="000000"/>
          <w:szCs w:val="21"/>
        </w:rPr>
        <w:t>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0ABBF31">
      <w:pPr>
        <w:spacing w:line="360" w:lineRule="auto"/>
        <w:ind w:firstLine="411" w:firstLineChars="196"/>
        <w:jc w:val="left"/>
        <w:rPr>
          <w:rFonts w:hint="eastAsia" w:ascii="宋体" w:hAnsi="宋体" w:eastAsia="宋体" w:cs="Times New Roman"/>
          <w:color w:val="000000"/>
          <w:szCs w:val="21"/>
        </w:rPr>
      </w:pPr>
    </w:p>
    <w:p w14:paraId="6D110B81">
      <w:pPr>
        <w:spacing w:line="360" w:lineRule="auto"/>
        <w:jc w:val="left"/>
        <w:outlineLvl w:val="0"/>
        <w:rPr>
          <w:rFonts w:ascii="宋体" w:hAnsi="宋体" w:eastAsia="宋体" w:cs="Times New Roman"/>
          <w:b/>
          <w:color w:val="000000"/>
          <w:sz w:val="24"/>
          <w:szCs w:val="24"/>
        </w:rPr>
      </w:pPr>
      <w:bookmarkStart w:id="966" w:name="_Toc5885"/>
      <w:bookmarkStart w:id="967" w:name="_Toc29892"/>
      <w:bookmarkStart w:id="968" w:name="_Toc25105"/>
      <w:bookmarkStart w:id="969" w:name="_Toc9441"/>
      <w:bookmarkStart w:id="970" w:name="_Toc22569"/>
      <w:bookmarkStart w:id="971" w:name="_Toc29808"/>
      <w:bookmarkStart w:id="972" w:name="_Toc8632"/>
      <w:r>
        <w:rPr>
          <w:rFonts w:hint="eastAsia" w:ascii="宋体" w:hAnsi="宋体" w:eastAsia="宋体" w:cs="Times New Roman"/>
          <w:b/>
          <w:color w:val="000000"/>
          <w:sz w:val="24"/>
          <w:szCs w:val="24"/>
        </w:rPr>
        <w:t>三、教学内容与预期学习成效</w:t>
      </w:r>
      <w:bookmarkEnd w:id="966"/>
      <w:bookmarkEnd w:id="967"/>
      <w:bookmarkEnd w:id="968"/>
      <w:bookmarkEnd w:id="969"/>
      <w:bookmarkEnd w:id="970"/>
      <w:bookmarkEnd w:id="971"/>
      <w:bookmarkEnd w:id="972"/>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F43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6497D7F">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B3C82FF">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7C30EF9">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672F5EC0">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1C07B5E">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47F4FCF">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9E84CF5">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61C2C0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56B2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66E2DC7">
            <w:pPr>
              <w:numPr>
                <w:ilvl w:val="0"/>
                <w:numId w:val="39"/>
              </w:num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绪论</w:t>
            </w:r>
          </w:p>
        </w:tc>
        <w:tc>
          <w:tcPr>
            <w:tcW w:w="1701" w:type="dxa"/>
            <w:vAlign w:val="center"/>
          </w:tcPr>
          <w:p w14:paraId="2361D33E">
            <w:pPr>
              <w:numPr>
                <w:ilvl w:val="0"/>
                <w:numId w:val="40"/>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教育统计与测量的意义、特点与内容</w:t>
            </w:r>
          </w:p>
          <w:p w14:paraId="4A7FA7B2">
            <w:pPr>
              <w:numPr>
                <w:ilvl w:val="0"/>
                <w:numId w:val="40"/>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教育统计与测量的基本概念‌‌</w:t>
            </w:r>
          </w:p>
        </w:tc>
        <w:tc>
          <w:tcPr>
            <w:tcW w:w="1134" w:type="dxa"/>
            <w:vAlign w:val="center"/>
          </w:tcPr>
          <w:p w14:paraId="5257772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2、3</w:t>
            </w:r>
          </w:p>
        </w:tc>
        <w:tc>
          <w:tcPr>
            <w:tcW w:w="3260" w:type="dxa"/>
            <w:vAlign w:val="center"/>
          </w:tcPr>
          <w:p w14:paraId="66A4AE6F">
            <w:pPr>
              <w:numPr>
                <w:ilvl w:val="0"/>
                <w:numId w:val="41"/>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认识教育统计与测量的意义，形成自觉学习的信箱；</w:t>
            </w:r>
          </w:p>
          <w:p w14:paraId="62A84F5D">
            <w:pPr>
              <w:numPr>
                <w:ilvl w:val="0"/>
                <w:numId w:val="41"/>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把握教育统计与测量的基本内容</w:t>
            </w:r>
            <w:r>
              <w:rPr>
                <w:rFonts w:hint="eastAsia" w:ascii="宋体" w:hAnsi="宋体" w:eastAsia="宋体" w:cs="Times New Roman"/>
                <w:color w:val="000000"/>
                <w:szCs w:val="21"/>
              </w:rPr>
              <w:t>；</w:t>
            </w:r>
          </w:p>
          <w:p w14:paraId="4ADCEC57">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掌握教育统计与测量的基本概念</w:t>
            </w:r>
          </w:p>
          <w:p w14:paraId="445F9C71">
            <w:pPr>
              <w:spacing w:line="269" w:lineRule="auto"/>
              <w:jc w:val="left"/>
              <w:rPr>
                <w:rFonts w:ascii="宋体" w:hAnsi="宋体" w:eastAsia="宋体" w:cs="Times New Roman"/>
                <w:color w:val="000000"/>
                <w:szCs w:val="21"/>
              </w:rPr>
            </w:pPr>
          </w:p>
        </w:tc>
        <w:tc>
          <w:tcPr>
            <w:tcW w:w="1560" w:type="dxa"/>
            <w:vAlign w:val="center"/>
          </w:tcPr>
          <w:p w14:paraId="11E7344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24A9EB2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2.多媒体教学3.课堂</w:t>
            </w:r>
            <w:r>
              <w:rPr>
                <w:rFonts w:hint="eastAsia" w:ascii="宋体" w:hAnsi="宋体" w:eastAsia="宋体" w:cs="Times New Roman"/>
                <w:color w:val="000000"/>
                <w:szCs w:val="21"/>
                <w:lang w:val="en-US" w:eastAsia="zh-CN"/>
              </w:rPr>
              <w:t>练习</w:t>
            </w:r>
          </w:p>
          <w:p w14:paraId="264DAA5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70D5AF65">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0C23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724550">
            <w:pPr>
              <w:spacing w:line="264" w:lineRule="auto"/>
              <w:jc w:val="center"/>
              <w:rPr>
                <w:rFonts w:ascii="宋体" w:hAnsi="宋体" w:eastAsia="宋体" w:cs="Times New Roman"/>
                <w:color w:val="000000"/>
                <w:szCs w:val="21"/>
              </w:rPr>
            </w:pPr>
          </w:p>
        </w:tc>
        <w:tc>
          <w:tcPr>
            <w:tcW w:w="8093" w:type="dxa"/>
            <w:gridSpan w:val="5"/>
            <w:vAlign w:val="center"/>
          </w:tcPr>
          <w:p w14:paraId="5B5DCF1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尊重科学技术，形成初步的</w:t>
            </w:r>
            <w:r>
              <w:rPr>
                <w:rFonts w:hint="eastAsia" w:ascii="宋体" w:hAnsi="宋体" w:eastAsia="宋体" w:cs="Times New Roman"/>
                <w:color w:val="000000"/>
                <w:szCs w:val="21"/>
                <w:lang w:val="en-US" w:eastAsia="zh-CN"/>
              </w:rPr>
              <w:t>科学</w:t>
            </w:r>
            <w:r>
              <w:rPr>
                <w:rFonts w:hint="eastAsia" w:ascii="宋体" w:hAnsi="宋体" w:eastAsia="宋体" w:cs="Times New Roman"/>
                <w:color w:val="000000"/>
                <w:szCs w:val="21"/>
              </w:rPr>
              <w:t>技术应用思想。</w:t>
            </w:r>
          </w:p>
        </w:tc>
      </w:tr>
      <w:tr w14:paraId="4E51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36A62E0">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描述性分析</w:t>
            </w:r>
          </w:p>
        </w:tc>
        <w:tc>
          <w:tcPr>
            <w:tcW w:w="1701" w:type="dxa"/>
            <w:vAlign w:val="center"/>
          </w:tcPr>
          <w:p w14:paraId="2656B0E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频数统计</w:t>
            </w: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描述统计</w:t>
            </w:r>
          </w:p>
          <w:p w14:paraId="091E97F6">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（3）统计图表</w:t>
            </w:r>
          </w:p>
        </w:tc>
        <w:tc>
          <w:tcPr>
            <w:tcW w:w="1134" w:type="dxa"/>
            <w:vAlign w:val="center"/>
          </w:tcPr>
          <w:p w14:paraId="74E695EA">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2、3</w:t>
            </w:r>
          </w:p>
        </w:tc>
        <w:tc>
          <w:tcPr>
            <w:tcW w:w="3260" w:type="dxa"/>
            <w:vAlign w:val="center"/>
          </w:tcPr>
          <w:p w14:paraId="4F7DC65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把握各类数据的频数分析的统计条件</w:t>
            </w:r>
            <w:r>
              <w:rPr>
                <w:rFonts w:hint="eastAsia" w:ascii="宋体" w:hAnsi="宋体" w:eastAsia="宋体" w:cs="Times New Roman"/>
                <w:color w:val="000000"/>
                <w:szCs w:val="21"/>
              </w:rPr>
              <w:t>；</w:t>
            </w:r>
          </w:p>
          <w:p w14:paraId="58A7804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认识集中量数与差异量数的类别及使用条件</w:t>
            </w:r>
            <w:r>
              <w:rPr>
                <w:rFonts w:hint="eastAsia" w:ascii="宋体" w:hAnsi="宋体" w:eastAsia="宋体" w:cs="Times New Roman"/>
                <w:color w:val="000000"/>
                <w:szCs w:val="21"/>
              </w:rPr>
              <w:t>；</w:t>
            </w:r>
          </w:p>
          <w:p w14:paraId="4B35CE1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把握各类统计图表的使用条件与基本特征</w:t>
            </w:r>
          </w:p>
        </w:tc>
        <w:tc>
          <w:tcPr>
            <w:tcW w:w="1560" w:type="dxa"/>
            <w:vAlign w:val="center"/>
          </w:tcPr>
          <w:p w14:paraId="0EB30CF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5000A43">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31DCFF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2A2BB80">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7819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04CE7FF">
            <w:pPr>
              <w:spacing w:line="264" w:lineRule="auto"/>
              <w:jc w:val="center"/>
              <w:rPr>
                <w:rFonts w:ascii="宋体" w:hAnsi="宋体" w:eastAsia="宋体" w:cs="Times New Roman"/>
                <w:color w:val="000000"/>
                <w:szCs w:val="21"/>
              </w:rPr>
            </w:pPr>
          </w:p>
        </w:tc>
        <w:tc>
          <w:tcPr>
            <w:tcW w:w="8093" w:type="dxa"/>
            <w:gridSpan w:val="5"/>
            <w:vAlign w:val="center"/>
          </w:tcPr>
          <w:p w14:paraId="2CEACC57">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认识到人类社会中的不同类型的数据有不同的分布特点</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掌握大千世界中一些看似杂乱的数据背后的规律。</w:t>
            </w:r>
          </w:p>
        </w:tc>
      </w:tr>
      <w:tr w14:paraId="1430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205" w:type="dxa"/>
            <w:vAlign w:val="center"/>
          </w:tcPr>
          <w:p w14:paraId="29397ED8">
            <w:pPr>
              <w:spacing w:line="264"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3.概率与概率分布</w:t>
            </w:r>
          </w:p>
        </w:tc>
        <w:tc>
          <w:tcPr>
            <w:tcW w:w="1701" w:type="dxa"/>
            <w:vAlign w:val="center"/>
          </w:tcPr>
          <w:p w14:paraId="42FF0A0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概率</w:t>
            </w:r>
          </w:p>
          <w:p w14:paraId="3FD12D4A">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（2）概率分布</w:t>
            </w:r>
          </w:p>
        </w:tc>
        <w:tc>
          <w:tcPr>
            <w:tcW w:w="1134" w:type="dxa"/>
            <w:vAlign w:val="center"/>
          </w:tcPr>
          <w:p w14:paraId="7AAD9E6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2、3</w:t>
            </w:r>
          </w:p>
        </w:tc>
        <w:tc>
          <w:tcPr>
            <w:tcW w:w="3260" w:type="dxa"/>
            <w:vAlign w:val="center"/>
          </w:tcPr>
          <w:p w14:paraId="6ABBBD13">
            <w:pPr>
              <w:numPr>
                <w:ilvl w:val="0"/>
                <w:numId w:val="42"/>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理解与把握概率的概念</w:t>
            </w:r>
          </w:p>
          <w:p w14:paraId="42F853D1">
            <w:pPr>
              <w:numPr>
                <w:ilvl w:val="0"/>
                <w:numId w:val="42"/>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把握各类概率分布的特征</w:t>
            </w:r>
          </w:p>
        </w:tc>
        <w:tc>
          <w:tcPr>
            <w:tcW w:w="1560" w:type="dxa"/>
            <w:vAlign w:val="center"/>
          </w:tcPr>
          <w:p w14:paraId="626BA72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249C1A5">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08CF576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35354C4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2A43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FDF8878">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参数</w:t>
            </w:r>
          </w:p>
          <w:p w14:paraId="29C66B6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检验</w:t>
            </w:r>
          </w:p>
        </w:tc>
        <w:tc>
          <w:tcPr>
            <w:tcW w:w="1701" w:type="dxa"/>
            <w:vAlign w:val="center"/>
          </w:tcPr>
          <w:p w14:paraId="423DEF2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单样本t检验</w:t>
            </w:r>
          </w:p>
          <w:p w14:paraId="1B9E710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独立样本t检验</w:t>
            </w:r>
          </w:p>
          <w:p w14:paraId="4C60526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相关样本t检验</w:t>
            </w:r>
          </w:p>
        </w:tc>
        <w:tc>
          <w:tcPr>
            <w:tcW w:w="1134" w:type="dxa"/>
            <w:vAlign w:val="center"/>
          </w:tcPr>
          <w:p w14:paraId="1C21823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2、3</w:t>
            </w:r>
          </w:p>
        </w:tc>
        <w:tc>
          <w:tcPr>
            <w:tcW w:w="3260" w:type="dxa"/>
            <w:vAlign w:val="center"/>
          </w:tcPr>
          <w:p w14:paraId="05384D6B">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把握单样本t检验的适用条件；</w:t>
            </w:r>
          </w:p>
          <w:p w14:paraId="408E66B3">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把握独立样本t检验的适用条件；</w:t>
            </w:r>
          </w:p>
          <w:p w14:paraId="2393412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把握相关样本t检验的适用条件</w:t>
            </w:r>
            <w:r>
              <w:rPr>
                <w:rFonts w:ascii="宋体" w:hAnsi="宋体" w:eastAsia="宋体" w:cs="Times New Roman"/>
                <w:color w:val="000000"/>
                <w:szCs w:val="21"/>
              </w:rPr>
              <w:t>。</w:t>
            </w:r>
          </w:p>
        </w:tc>
        <w:tc>
          <w:tcPr>
            <w:tcW w:w="1560" w:type="dxa"/>
            <w:vAlign w:val="center"/>
          </w:tcPr>
          <w:p w14:paraId="7A189E0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397094E">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04D3A0F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E34959D">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4119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B9883C">
            <w:pPr>
              <w:spacing w:line="264" w:lineRule="auto"/>
              <w:jc w:val="center"/>
              <w:rPr>
                <w:rFonts w:ascii="宋体" w:hAnsi="宋体" w:eastAsia="宋体" w:cs="Times New Roman"/>
                <w:color w:val="000000"/>
                <w:szCs w:val="21"/>
              </w:rPr>
            </w:pPr>
          </w:p>
        </w:tc>
        <w:tc>
          <w:tcPr>
            <w:tcW w:w="8093" w:type="dxa"/>
            <w:gridSpan w:val="5"/>
            <w:vAlign w:val="center"/>
          </w:tcPr>
          <w:p w14:paraId="6FCB2A8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学会用科学的检验方法去认识教育现象与社会现象。</w:t>
            </w:r>
          </w:p>
        </w:tc>
      </w:tr>
      <w:tr w14:paraId="512E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3EBEAA9">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方差分析</w:t>
            </w:r>
          </w:p>
        </w:tc>
        <w:tc>
          <w:tcPr>
            <w:tcW w:w="1701" w:type="dxa"/>
            <w:vAlign w:val="center"/>
          </w:tcPr>
          <w:p w14:paraId="1D4B0C8B">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实验设计方式</w:t>
            </w:r>
          </w:p>
          <w:p w14:paraId="1CFFCA3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（2）单因素完全随机设计的方差分析</w:t>
            </w:r>
          </w:p>
          <w:p w14:paraId="653505BA">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（3）单因素重复测量设计的方差分析</w:t>
            </w:r>
          </w:p>
          <w:p w14:paraId="6BFFF26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（4）两因素完全随机设计的方差分析</w:t>
            </w:r>
          </w:p>
          <w:p w14:paraId="78C47740">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（5）两因素混合设计的方差分析</w:t>
            </w:r>
          </w:p>
        </w:tc>
        <w:tc>
          <w:tcPr>
            <w:tcW w:w="1134" w:type="dxa"/>
            <w:vAlign w:val="center"/>
          </w:tcPr>
          <w:p w14:paraId="12FF8FF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3260" w:type="dxa"/>
            <w:vAlign w:val="center"/>
          </w:tcPr>
          <w:p w14:paraId="39AAE33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理解并掌握</w:t>
            </w:r>
            <w:r>
              <w:rPr>
                <w:rFonts w:hint="eastAsia" w:ascii="宋体" w:hAnsi="宋体" w:eastAsia="宋体" w:cs="Times New Roman"/>
                <w:color w:val="000000"/>
                <w:szCs w:val="21"/>
                <w:lang w:val="en-US" w:eastAsia="zh-CN"/>
              </w:rPr>
              <w:t>各种实验设计方式</w:t>
            </w:r>
            <w:r>
              <w:rPr>
                <w:rFonts w:hint="eastAsia" w:ascii="宋体" w:hAnsi="宋体" w:eastAsia="宋体" w:cs="Times New Roman"/>
                <w:color w:val="000000"/>
                <w:szCs w:val="21"/>
              </w:rPr>
              <w:t>；</w:t>
            </w:r>
          </w:p>
          <w:p w14:paraId="694AED7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w:t>
            </w:r>
            <w:r>
              <w:rPr>
                <w:rFonts w:ascii="宋体" w:hAnsi="宋体" w:eastAsia="宋体" w:cs="Times New Roman"/>
                <w:color w:val="000000"/>
                <w:szCs w:val="21"/>
              </w:rPr>
              <w:t>解</w:t>
            </w:r>
            <w:r>
              <w:rPr>
                <w:rFonts w:hint="eastAsia" w:ascii="宋体" w:hAnsi="宋体" w:eastAsia="宋体" w:cs="Times New Roman"/>
                <w:color w:val="000000"/>
                <w:szCs w:val="21"/>
                <w:lang w:val="en-US" w:eastAsia="zh-CN"/>
              </w:rPr>
              <w:t>各类实验设计的适用条件</w:t>
            </w:r>
            <w:r>
              <w:rPr>
                <w:rFonts w:hint="eastAsia" w:ascii="宋体" w:hAnsi="宋体" w:eastAsia="宋体" w:cs="Times New Roman"/>
                <w:color w:val="000000"/>
                <w:szCs w:val="21"/>
              </w:rPr>
              <w:t>。</w:t>
            </w:r>
          </w:p>
        </w:tc>
        <w:tc>
          <w:tcPr>
            <w:tcW w:w="1560" w:type="dxa"/>
            <w:vAlign w:val="center"/>
          </w:tcPr>
          <w:p w14:paraId="29B2768D">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AF50BC3">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149BE2B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3EE1992">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03D7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4542BEE">
            <w:pPr>
              <w:spacing w:line="276" w:lineRule="auto"/>
              <w:jc w:val="center"/>
              <w:rPr>
                <w:rFonts w:ascii="宋体" w:hAnsi="宋体" w:eastAsia="宋体" w:cs="Times New Roman"/>
                <w:color w:val="000000"/>
                <w:szCs w:val="21"/>
              </w:rPr>
            </w:pPr>
          </w:p>
        </w:tc>
        <w:tc>
          <w:tcPr>
            <w:tcW w:w="8093" w:type="dxa"/>
            <w:gridSpan w:val="5"/>
            <w:vAlign w:val="center"/>
          </w:tcPr>
          <w:p w14:paraId="258F8D6C">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认识到任何一种教育结果的发生之前，有众多不同的因素的影响</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能用统计学的语言描述教育现象</w:t>
            </w:r>
            <w:r>
              <w:rPr>
                <w:rFonts w:hint="eastAsia" w:ascii="宋体" w:hAnsi="宋体" w:eastAsia="宋体" w:cs="Times New Roman"/>
                <w:color w:val="000000"/>
                <w:szCs w:val="21"/>
                <w:lang w:eastAsia="zh-CN"/>
              </w:rPr>
              <w:t>。</w:t>
            </w:r>
          </w:p>
        </w:tc>
      </w:tr>
      <w:tr w14:paraId="24EB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83300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.相关分析</w:t>
            </w:r>
          </w:p>
        </w:tc>
        <w:tc>
          <w:tcPr>
            <w:tcW w:w="1701" w:type="dxa"/>
            <w:vAlign w:val="center"/>
          </w:tcPr>
          <w:p w14:paraId="713B2BB3">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积差相关</w:t>
            </w: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等级相关</w:t>
            </w:r>
          </w:p>
          <w:p w14:paraId="2EBCDCA3">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品质相关</w:t>
            </w:r>
          </w:p>
          <w:p w14:paraId="33028E74">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质与量相关</w:t>
            </w:r>
          </w:p>
          <w:p w14:paraId="01B177A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（5）偏相关</w:t>
            </w:r>
          </w:p>
        </w:tc>
        <w:tc>
          <w:tcPr>
            <w:tcW w:w="1134" w:type="dxa"/>
            <w:vAlign w:val="center"/>
          </w:tcPr>
          <w:p w14:paraId="46B9612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3260" w:type="dxa"/>
            <w:vAlign w:val="center"/>
          </w:tcPr>
          <w:p w14:paraId="12DF45B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ascii="宋体" w:hAnsi="宋体" w:eastAsia="宋体" w:cs="Times New Roman"/>
                <w:color w:val="000000"/>
                <w:szCs w:val="21"/>
              </w:rPr>
              <w:t>掌握</w:t>
            </w:r>
            <w:r>
              <w:rPr>
                <w:rFonts w:hint="eastAsia" w:ascii="宋体" w:hAnsi="宋体" w:eastAsia="宋体" w:cs="Times New Roman"/>
                <w:color w:val="000000"/>
                <w:szCs w:val="21"/>
                <w:lang w:val="en-US" w:eastAsia="zh-CN"/>
              </w:rPr>
              <w:t>相关的</w:t>
            </w:r>
            <w:r>
              <w:rPr>
                <w:rFonts w:ascii="宋体" w:hAnsi="宋体" w:eastAsia="宋体" w:cs="Times New Roman"/>
                <w:color w:val="000000"/>
                <w:szCs w:val="21"/>
              </w:rPr>
              <w:t>基本概念</w:t>
            </w:r>
            <w:r>
              <w:rPr>
                <w:rFonts w:hint="eastAsia" w:ascii="宋体" w:hAnsi="宋体" w:eastAsia="宋体" w:cs="Times New Roman"/>
                <w:color w:val="000000"/>
                <w:szCs w:val="21"/>
                <w:lang w:val="en-US" w:eastAsia="zh-CN"/>
              </w:rPr>
              <w:t>和类型</w:t>
            </w:r>
            <w:r>
              <w:rPr>
                <w:rFonts w:hint="eastAsia" w:ascii="宋体" w:hAnsi="宋体" w:eastAsia="宋体" w:cs="Times New Roman"/>
                <w:color w:val="000000"/>
                <w:szCs w:val="21"/>
              </w:rPr>
              <w:t>；</w:t>
            </w:r>
          </w:p>
          <w:p w14:paraId="48A275F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w:t>
            </w:r>
            <w:r>
              <w:rPr>
                <w:rFonts w:ascii="宋体" w:hAnsi="宋体" w:eastAsia="宋体" w:cs="Times New Roman"/>
                <w:color w:val="000000"/>
                <w:szCs w:val="21"/>
              </w:rPr>
              <w:t>解</w:t>
            </w:r>
            <w:r>
              <w:rPr>
                <w:rFonts w:hint="eastAsia" w:ascii="宋体" w:hAnsi="宋体" w:eastAsia="宋体" w:cs="Times New Roman"/>
                <w:color w:val="000000"/>
                <w:szCs w:val="21"/>
                <w:lang w:val="en-US" w:eastAsia="zh-CN"/>
              </w:rPr>
              <w:t>各类相关的适用条件</w:t>
            </w:r>
            <w:r>
              <w:rPr>
                <w:rFonts w:hint="eastAsia" w:ascii="宋体" w:hAnsi="宋体" w:eastAsia="宋体" w:cs="Times New Roman"/>
                <w:color w:val="000000"/>
                <w:szCs w:val="21"/>
              </w:rPr>
              <w:t>。</w:t>
            </w:r>
          </w:p>
        </w:tc>
        <w:tc>
          <w:tcPr>
            <w:tcW w:w="1560" w:type="dxa"/>
            <w:vAlign w:val="center"/>
          </w:tcPr>
          <w:p w14:paraId="21D0C4F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1A7354A">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5B5AE8D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261AAEB">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5D11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4839202">
            <w:pPr>
              <w:spacing w:line="276" w:lineRule="auto"/>
              <w:jc w:val="center"/>
              <w:rPr>
                <w:rFonts w:ascii="宋体" w:hAnsi="宋体" w:eastAsia="宋体" w:cs="Times New Roman"/>
                <w:color w:val="000000"/>
                <w:szCs w:val="21"/>
              </w:rPr>
            </w:pPr>
          </w:p>
        </w:tc>
        <w:tc>
          <w:tcPr>
            <w:tcW w:w="8093" w:type="dxa"/>
            <w:gridSpan w:val="5"/>
            <w:vAlign w:val="center"/>
          </w:tcPr>
          <w:p w14:paraId="2E0732C3">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了解并学习历史上的统计学家对认识世界的那种孜孜以求的精神</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掌握主要的相关分析手段背后所反映的社会现象之间的关系。</w:t>
            </w:r>
          </w:p>
        </w:tc>
      </w:tr>
      <w:tr w14:paraId="2343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FD3989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回归分析</w:t>
            </w:r>
          </w:p>
        </w:tc>
        <w:tc>
          <w:tcPr>
            <w:tcW w:w="1701" w:type="dxa"/>
            <w:vAlign w:val="center"/>
          </w:tcPr>
          <w:p w14:paraId="1B2AB8AF">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回归分析基本原理</w:t>
            </w:r>
          </w:p>
          <w:p w14:paraId="2D065D6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（2）各类回归分析</w:t>
            </w:r>
          </w:p>
        </w:tc>
        <w:tc>
          <w:tcPr>
            <w:tcW w:w="1134" w:type="dxa"/>
            <w:vAlign w:val="center"/>
          </w:tcPr>
          <w:p w14:paraId="76E3A38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3260" w:type="dxa"/>
            <w:vAlign w:val="center"/>
          </w:tcPr>
          <w:p w14:paraId="1D5B2D10">
            <w:pPr>
              <w:numPr>
                <w:ilvl w:val="0"/>
                <w:numId w:val="43"/>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把握回归分析的基本原理</w:t>
            </w:r>
          </w:p>
          <w:p w14:paraId="566A4A0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（2）掌握各类回归分析的基本方法</w:t>
            </w:r>
          </w:p>
        </w:tc>
        <w:tc>
          <w:tcPr>
            <w:tcW w:w="1560" w:type="dxa"/>
            <w:vAlign w:val="center"/>
          </w:tcPr>
          <w:p w14:paraId="706DCC5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8701750">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2AA7A097">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B590161">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9C0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74C17C">
            <w:pPr>
              <w:spacing w:line="276" w:lineRule="auto"/>
              <w:jc w:val="center"/>
              <w:rPr>
                <w:rFonts w:ascii="宋体" w:hAnsi="宋体" w:eastAsia="宋体" w:cs="Times New Roman"/>
                <w:color w:val="000000"/>
                <w:szCs w:val="21"/>
              </w:rPr>
            </w:pPr>
          </w:p>
        </w:tc>
        <w:tc>
          <w:tcPr>
            <w:tcW w:w="8093" w:type="dxa"/>
            <w:gridSpan w:val="5"/>
            <w:vAlign w:val="center"/>
          </w:tcPr>
          <w:p w14:paraId="62932CCC">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认识到教育和社会中的现象之间联系的复杂性</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树立认识事物的联系观、发展观，形成建模思想。</w:t>
            </w:r>
          </w:p>
        </w:tc>
      </w:tr>
      <w:tr w14:paraId="6A6A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0DD7F7">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8</w:t>
            </w:r>
            <w:r>
              <w:rPr>
                <w:rFonts w:hint="eastAsia" w:ascii="宋体" w:hAnsi="宋体" w:eastAsia="宋体" w:cs="Times New Roman"/>
                <w:szCs w:val="21"/>
              </w:rPr>
              <w:t>.</w:t>
            </w:r>
            <w:r>
              <w:rPr>
                <w:rFonts w:hint="eastAsia" w:ascii="宋体" w:hAnsi="宋体" w:eastAsia="宋体" w:cs="Times New Roman"/>
                <w:szCs w:val="21"/>
                <w:lang w:val="en-US" w:eastAsia="zh-CN"/>
              </w:rPr>
              <w:t>非参数检验</w:t>
            </w:r>
          </w:p>
        </w:tc>
        <w:tc>
          <w:tcPr>
            <w:tcW w:w="1701" w:type="dxa"/>
            <w:vAlign w:val="center"/>
          </w:tcPr>
          <w:p w14:paraId="3A9BECD3">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rPr>
              <w:t>（1）</w:t>
            </w:r>
            <w:r>
              <w:rPr>
                <w:rFonts w:hint="eastAsia" w:ascii="宋体" w:hAnsi="宋体" w:eastAsia="宋体" w:cs="Times New Roman"/>
                <w:szCs w:val="21"/>
                <w:lang w:val="en-US" w:eastAsia="zh-CN"/>
              </w:rPr>
              <w:t>计数数据的卡方分析</w:t>
            </w:r>
          </w:p>
          <w:p w14:paraId="78B3113F">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rPr>
              <w:t>（2）</w:t>
            </w:r>
            <w:r>
              <w:rPr>
                <w:rFonts w:hint="eastAsia" w:ascii="宋体" w:hAnsi="宋体" w:eastAsia="宋体" w:cs="Times New Roman"/>
                <w:szCs w:val="21"/>
                <w:lang w:val="en-US" w:eastAsia="zh-CN"/>
              </w:rPr>
              <w:t>连续数据的独立样本非参数检验</w:t>
            </w:r>
          </w:p>
          <w:p w14:paraId="045A3CE9">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rPr>
              <w:t>（3）</w:t>
            </w:r>
            <w:r>
              <w:rPr>
                <w:rFonts w:hint="eastAsia" w:ascii="宋体" w:hAnsi="宋体" w:eastAsia="宋体" w:cs="Times New Roman"/>
                <w:szCs w:val="21"/>
                <w:lang w:val="en-US" w:eastAsia="zh-CN"/>
              </w:rPr>
              <w:t>连续数据的相关样本非参数检验</w:t>
            </w:r>
          </w:p>
        </w:tc>
        <w:tc>
          <w:tcPr>
            <w:tcW w:w="1134" w:type="dxa"/>
            <w:vAlign w:val="center"/>
          </w:tcPr>
          <w:p w14:paraId="071BA3A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3260" w:type="dxa"/>
            <w:vAlign w:val="center"/>
          </w:tcPr>
          <w:p w14:paraId="6B20998D">
            <w:pPr>
              <w:numPr>
                <w:ilvl w:val="0"/>
                <w:numId w:val="44"/>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掌握卡方分析的适用条件</w:t>
            </w:r>
          </w:p>
          <w:p w14:paraId="7739D417">
            <w:pPr>
              <w:numPr>
                <w:ilvl w:val="0"/>
                <w:numId w:val="0"/>
              </w:num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lang w:val="en-US" w:eastAsia="zh-CN"/>
              </w:rPr>
              <w:t>掌握独立样本非参数检验的适用条件</w:t>
            </w:r>
            <w:r>
              <w:rPr>
                <w:rFonts w:hint="eastAsia" w:ascii="宋体" w:hAnsi="宋体" w:eastAsia="宋体" w:cs="Times New Roman"/>
                <w:color w:val="000000"/>
                <w:szCs w:val="21"/>
              </w:rPr>
              <w:t>；</w:t>
            </w:r>
          </w:p>
          <w:p w14:paraId="1260622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lang w:val="en-US" w:eastAsia="zh-CN"/>
              </w:rPr>
              <w:t>掌握相关样本非参数检验的适用条件</w:t>
            </w:r>
            <w:r>
              <w:rPr>
                <w:rFonts w:hint="eastAsia" w:ascii="宋体" w:hAnsi="宋体" w:eastAsia="宋体" w:cs="Times New Roman"/>
                <w:color w:val="000000"/>
                <w:szCs w:val="21"/>
              </w:rPr>
              <w:t>。</w:t>
            </w:r>
          </w:p>
        </w:tc>
        <w:tc>
          <w:tcPr>
            <w:tcW w:w="1560" w:type="dxa"/>
            <w:vAlign w:val="center"/>
          </w:tcPr>
          <w:p w14:paraId="302BA45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23F9CDD">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6F555AB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5737B17">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656E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FA2485E">
            <w:pPr>
              <w:spacing w:line="276" w:lineRule="auto"/>
              <w:jc w:val="center"/>
              <w:rPr>
                <w:rFonts w:ascii="宋体" w:hAnsi="宋体" w:eastAsia="宋体" w:cs="Times New Roman"/>
                <w:color w:val="000000"/>
                <w:szCs w:val="21"/>
              </w:rPr>
            </w:pPr>
          </w:p>
        </w:tc>
        <w:tc>
          <w:tcPr>
            <w:tcW w:w="8093" w:type="dxa"/>
            <w:gridSpan w:val="5"/>
            <w:vAlign w:val="center"/>
          </w:tcPr>
          <w:p w14:paraId="5BD07D7C">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了解人类社会同一群体所简化为数据背后的内在关联；学会用科学的检验方法去认识教育现象与社会现象。</w:t>
            </w:r>
          </w:p>
        </w:tc>
      </w:tr>
      <w:tr w14:paraId="07BD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AE176D9">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测验信效度分析</w:t>
            </w:r>
          </w:p>
        </w:tc>
        <w:tc>
          <w:tcPr>
            <w:tcW w:w="1701" w:type="dxa"/>
            <w:vAlign w:val="center"/>
          </w:tcPr>
          <w:p w14:paraId="64FC2EA4">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测验的信度分析</w:t>
            </w:r>
          </w:p>
          <w:p w14:paraId="392064D7">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测验的效度分析</w:t>
            </w:r>
          </w:p>
        </w:tc>
        <w:tc>
          <w:tcPr>
            <w:tcW w:w="1134" w:type="dxa"/>
            <w:vAlign w:val="center"/>
          </w:tcPr>
          <w:p w14:paraId="4AFE500C">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3260" w:type="dxa"/>
            <w:vAlign w:val="center"/>
          </w:tcPr>
          <w:p w14:paraId="5087D64E">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把握测量的信度与效度等测量学指标概念与类别</w:t>
            </w:r>
            <w:r>
              <w:rPr>
                <w:rFonts w:hint="eastAsia" w:ascii="宋体" w:hAnsi="宋体" w:eastAsia="宋体" w:cs="Times New Roman"/>
                <w:color w:val="000000"/>
                <w:szCs w:val="21"/>
              </w:rPr>
              <w:t>；</w:t>
            </w:r>
          </w:p>
          <w:p w14:paraId="36006922">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lang w:val="en-US" w:eastAsia="zh-CN"/>
              </w:rPr>
              <w:t>掌握测量的各类信度和效度检验的适用条件</w:t>
            </w:r>
            <w:r>
              <w:rPr>
                <w:rFonts w:hint="eastAsia" w:ascii="宋体" w:hAnsi="宋体" w:eastAsia="宋体" w:cs="Times New Roman"/>
                <w:color w:val="000000"/>
                <w:szCs w:val="21"/>
              </w:rPr>
              <w:t>。</w:t>
            </w:r>
          </w:p>
        </w:tc>
        <w:tc>
          <w:tcPr>
            <w:tcW w:w="1560" w:type="dxa"/>
            <w:vAlign w:val="center"/>
          </w:tcPr>
          <w:p w14:paraId="19C8A74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D209718">
            <w:pPr>
              <w:spacing w:line="264"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75B0BFFA">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225A483">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3E78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1FC7D6">
            <w:pPr>
              <w:spacing w:line="264" w:lineRule="auto"/>
              <w:jc w:val="center"/>
              <w:rPr>
                <w:rFonts w:ascii="宋体" w:hAnsi="宋体" w:eastAsia="宋体" w:cs="Times New Roman"/>
                <w:color w:val="000000"/>
                <w:szCs w:val="21"/>
              </w:rPr>
            </w:pPr>
          </w:p>
        </w:tc>
        <w:tc>
          <w:tcPr>
            <w:tcW w:w="8093" w:type="dxa"/>
            <w:gridSpan w:val="5"/>
            <w:vAlign w:val="center"/>
          </w:tcPr>
          <w:p w14:paraId="270F3403">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w:t>
            </w:r>
            <w:r>
              <w:rPr>
                <w:rFonts w:hint="eastAsia" w:ascii="宋体" w:hAnsi="宋体" w:eastAsia="宋体" w:cs="Times New Roman"/>
                <w:color w:val="000000"/>
                <w:szCs w:val="21"/>
                <w:lang w:val="en-US" w:eastAsia="zh-CN"/>
              </w:rPr>
              <w:t>认识事物的规律需要依靠可靠的工具，了解判别可靠性的客观化标准</w:t>
            </w:r>
            <w:r>
              <w:rPr>
                <w:rFonts w:hint="eastAsia" w:ascii="宋体" w:hAnsi="宋体" w:eastAsia="宋体" w:cs="Times New Roman"/>
                <w:color w:val="000000"/>
                <w:szCs w:val="21"/>
              </w:rPr>
              <w:t>。</w:t>
            </w:r>
          </w:p>
        </w:tc>
      </w:tr>
    </w:tbl>
    <w:p w14:paraId="7A200C48">
      <w:pPr>
        <w:spacing w:line="360" w:lineRule="auto"/>
        <w:jc w:val="left"/>
        <w:rPr>
          <w:rFonts w:ascii="Times New Roman" w:hAnsi="Times New Roman" w:eastAsia="宋体" w:cs="Times New Roman"/>
          <w:sz w:val="24"/>
          <w:szCs w:val="24"/>
        </w:rPr>
      </w:pPr>
    </w:p>
    <w:p w14:paraId="1F82A946">
      <w:pPr>
        <w:spacing w:line="360" w:lineRule="auto"/>
        <w:jc w:val="left"/>
        <w:outlineLvl w:val="0"/>
        <w:rPr>
          <w:rFonts w:ascii="Times New Roman" w:hAnsi="Times New Roman" w:eastAsia="宋体" w:cs="Times New Roman"/>
          <w:sz w:val="24"/>
          <w:szCs w:val="24"/>
        </w:rPr>
      </w:pPr>
      <w:bookmarkStart w:id="973" w:name="_Toc7949"/>
      <w:bookmarkStart w:id="974" w:name="_Toc7852"/>
      <w:bookmarkStart w:id="975" w:name="_Toc24631"/>
      <w:bookmarkStart w:id="976" w:name="_Toc17201"/>
      <w:bookmarkStart w:id="977" w:name="_Toc8601"/>
      <w:bookmarkStart w:id="978" w:name="_Toc12553"/>
      <w:bookmarkStart w:id="979" w:name="_Toc19151"/>
      <w:r>
        <w:rPr>
          <w:rFonts w:hint="eastAsia" w:ascii="宋体" w:hAnsi="宋体" w:eastAsia="宋体" w:cs="Times New Roman"/>
          <w:b/>
          <w:color w:val="000000"/>
          <w:sz w:val="24"/>
          <w:szCs w:val="24"/>
        </w:rPr>
        <w:t>四、目标评价与成绩评定</w:t>
      </w:r>
      <w:bookmarkEnd w:id="973"/>
      <w:bookmarkEnd w:id="974"/>
      <w:bookmarkEnd w:id="975"/>
      <w:bookmarkEnd w:id="976"/>
      <w:bookmarkEnd w:id="977"/>
      <w:bookmarkEnd w:id="978"/>
      <w:bookmarkEnd w:id="979"/>
    </w:p>
    <w:p w14:paraId="759FD386">
      <w:pPr>
        <w:spacing w:line="360" w:lineRule="auto"/>
        <w:jc w:val="left"/>
        <w:outlineLvl w:val="1"/>
        <w:rPr>
          <w:rFonts w:ascii="Times New Roman" w:hAnsi="Times New Roman" w:eastAsia="宋体" w:cs="Times New Roman"/>
          <w:b/>
          <w:szCs w:val="21"/>
        </w:rPr>
      </w:pPr>
      <w:bookmarkStart w:id="980" w:name="_Toc8634"/>
      <w:r>
        <w:rPr>
          <w:rFonts w:hint="eastAsia" w:ascii="Times New Roman" w:hAnsi="Times New Roman" w:eastAsia="宋体" w:cs="Times New Roman"/>
          <w:b/>
          <w:szCs w:val="21"/>
        </w:rPr>
        <w:t>（一）课程目标评价方式</w:t>
      </w:r>
      <w:bookmarkEnd w:id="980"/>
    </w:p>
    <w:p w14:paraId="6A6A037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45B895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0"/>
      </w:tblGrid>
      <w:tr w14:paraId="29AD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09599897">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477" w:type="pct"/>
            <w:gridSpan w:val="4"/>
            <w:vAlign w:val="center"/>
          </w:tcPr>
          <w:p w14:paraId="7CE75D8E">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522" w:type="pct"/>
            <w:vMerge w:val="restart"/>
            <w:vAlign w:val="center"/>
          </w:tcPr>
          <w:p w14:paraId="0F195E30">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737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2D467324">
            <w:pPr>
              <w:spacing w:line="360" w:lineRule="auto"/>
              <w:jc w:val="center"/>
              <w:rPr>
                <w:rFonts w:ascii="宋体" w:hAnsi="宋体" w:eastAsia="宋体" w:cs="Times New Roman"/>
                <w:szCs w:val="21"/>
              </w:rPr>
            </w:pPr>
          </w:p>
        </w:tc>
        <w:tc>
          <w:tcPr>
            <w:tcW w:w="869" w:type="pct"/>
            <w:vAlign w:val="center"/>
          </w:tcPr>
          <w:p w14:paraId="2E4187CE">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869" w:type="pct"/>
            <w:vAlign w:val="center"/>
          </w:tcPr>
          <w:p w14:paraId="6D6683B0">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869" w:type="pct"/>
            <w:vAlign w:val="center"/>
          </w:tcPr>
          <w:p w14:paraId="199093FE">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870" w:type="pct"/>
          </w:tcPr>
          <w:p w14:paraId="31B0F1B9">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522" w:type="pct"/>
            <w:vMerge w:val="continue"/>
            <w:vAlign w:val="center"/>
          </w:tcPr>
          <w:p w14:paraId="036F1DB5">
            <w:pPr>
              <w:spacing w:line="360" w:lineRule="auto"/>
              <w:jc w:val="center"/>
              <w:rPr>
                <w:rFonts w:ascii="宋体" w:hAnsi="宋体" w:eastAsia="宋体" w:cs="Times New Roman"/>
                <w:szCs w:val="21"/>
              </w:rPr>
            </w:pPr>
          </w:p>
        </w:tc>
      </w:tr>
      <w:tr w14:paraId="3CB8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531AD71E">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869" w:type="pct"/>
            <w:vAlign w:val="center"/>
          </w:tcPr>
          <w:p w14:paraId="1321CC4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577318B6">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869" w:type="pct"/>
            <w:vAlign w:val="center"/>
          </w:tcPr>
          <w:p w14:paraId="638CC31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70" w:type="pct"/>
          </w:tcPr>
          <w:p w14:paraId="4B981A2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522" w:type="pct"/>
            <w:vAlign w:val="center"/>
          </w:tcPr>
          <w:p w14:paraId="6EC80B93">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w:t>
            </w:r>
          </w:p>
        </w:tc>
      </w:tr>
      <w:tr w14:paraId="7451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32A9070D">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869" w:type="pct"/>
            <w:vAlign w:val="center"/>
          </w:tcPr>
          <w:p w14:paraId="4C4BEB9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66B42B5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70DE1E9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70" w:type="pct"/>
          </w:tcPr>
          <w:p w14:paraId="7992069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522" w:type="pct"/>
            <w:vAlign w:val="center"/>
          </w:tcPr>
          <w:p w14:paraId="04E956EC">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4</w:t>
            </w:r>
            <w:r>
              <w:rPr>
                <w:rFonts w:hint="eastAsia" w:ascii="宋体" w:hAnsi="宋体" w:eastAsia="宋体" w:cs="Times New Roman"/>
                <w:szCs w:val="21"/>
              </w:rPr>
              <w:t>0</w:t>
            </w:r>
          </w:p>
        </w:tc>
      </w:tr>
      <w:tr w14:paraId="719F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shd w:val="clear" w:color="auto" w:fill="auto"/>
            <w:vAlign w:val="center"/>
          </w:tcPr>
          <w:p w14:paraId="0422776E">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课程目标2</w:t>
            </w:r>
          </w:p>
        </w:tc>
        <w:tc>
          <w:tcPr>
            <w:tcW w:w="869" w:type="pct"/>
            <w:shd w:val="clear" w:color="auto" w:fill="auto"/>
            <w:vAlign w:val="center"/>
          </w:tcPr>
          <w:p w14:paraId="2A3EE56E">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869" w:type="pct"/>
            <w:shd w:val="clear" w:color="auto" w:fill="auto"/>
            <w:vAlign w:val="center"/>
          </w:tcPr>
          <w:p w14:paraId="70534E9D">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869" w:type="pct"/>
            <w:shd w:val="clear" w:color="auto" w:fill="auto"/>
            <w:vAlign w:val="center"/>
          </w:tcPr>
          <w:p w14:paraId="3402CFED">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870" w:type="pct"/>
            <w:shd w:val="clear" w:color="auto" w:fill="auto"/>
            <w:vAlign w:val="top"/>
          </w:tcPr>
          <w:p w14:paraId="18EDB55C">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522" w:type="pct"/>
            <w:shd w:val="clear" w:color="auto" w:fill="auto"/>
            <w:vAlign w:val="center"/>
          </w:tcPr>
          <w:p w14:paraId="1621C336">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4</w:t>
            </w:r>
            <w:r>
              <w:rPr>
                <w:rFonts w:hint="eastAsia" w:ascii="宋体" w:hAnsi="宋体" w:eastAsia="宋体" w:cs="Times New Roman"/>
                <w:szCs w:val="21"/>
              </w:rPr>
              <w:t>0</w:t>
            </w:r>
          </w:p>
        </w:tc>
      </w:tr>
      <w:tr w14:paraId="4C35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0576327F">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869" w:type="pct"/>
            <w:vAlign w:val="center"/>
          </w:tcPr>
          <w:p w14:paraId="5C54CC95">
            <w:pPr>
              <w:spacing w:line="360" w:lineRule="auto"/>
              <w:jc w:val="center"/>
              <w:rPr>
                <w:rFonts w:ascii="宋体" w:hAnsi="宋体" w:eastAsia="宋体" w:cs="Times New Roman"/>
                <w:szCs w:val="21"/>
              </w:rPr>
            </w:pPr>
          </w:p>
        </w:tc>
        <w:tc>
          <w:tcPr>
            <w:tcW w:w="869" w:type="pct"/>
            <w:vAlign w:val="center"/>
          </w:tcPr>
          <w:p w14:paraId="48871585">
            <w:pPr>
              <w:spacing w:line="360" w:lineRule="auto"/>
              <w:jc w:val="center"/>
              <w:rPr>
                <w:rFonts w:ascii="宋体" w:hAnsi="宋体" w:eastAsia="宋体" w:cs="Times New Roman"/>
                <w:szCs w:val="21"/>
              </w:rPr>
            </w:pPr>
          </w:p>
        </w:tc>
        <w:tc>
          <w:tcPr>
            <w:tcW w:w="869" w:type="pct"/>
            <w:vAlign w:val="center"/>
          </w:tcPr>
          <w:p w14:paraId="67CB1DA5">
            <w:pPr>
              <w:spacing w:line="360" w:lineRule="auto"/>
              <w:jc w:val="center"/>
              <w:rPr>
                <w:rFonts w:ascii="宋体" w:hAnsi="宋体" w:eastAsia="宋体" w:cs="Times New Roman"/>
                <w:szCs w:val="21"/>
              </w:rPr>
            </w:pPr>
          </w:p>
        </w:tc>
        <w:tc>
          <w:tcPr>
            <w:tcW w:w="870" w:type="pct"/>
          </w:tcPr>
          <w:p w14:paraId="2B574633">
            <w:pPr>
              <w:spacing w:line="360" w:lineRule="auto"/>
              <w:jc w:val="center"/>
              <w:rPr>
                <w:rFonts w:ascii="宋体" w:hAnsi="宋体" w:eastAsia="宋体" w:cs="Times New Roman"/>
                <w:szCs w:val="21"/>
              </w:rPr>
            </w:pPr>
          </w:p>
        </w:tc>
        <w:tc>
          <w:tcPr>
            <w:tcW w:w="522" w:type="pct"/>
            <w:vAlign w:val="center"/>
          </w:tcPr>
          <w:p w14:paraId="3D6F7E94">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2A9605B9">
      <w:pPr>
        <w:spacing w:before="156" w:beforeLines="50" w:line="360" w:lineRule="auto"/>
        <w:jc w:val="left"/>
        <w:rPr>
          <w:rFonts w:hint="eastAsia" w:ascii="Times New Roman" w:hAnsi="Times New Roman" w:eastAsia="宋体" w:cs="Times New Roman"/>
          <w:b/>
          <w:szCs w:val="21"/>
        </w:rPr>
      </w:pPr>
    </w:p>
    <w:p w14:paraId="41BDC660">
      <w:pPr>
        <w:spacing w:before="156" w:beforeLines="50" w:line="360" w:lineRule="auto"/>
        <w:jc w:val="left"/>
        <w:outlineLvl w:val="1"/>
        <w:rPr>
          <w:rFonts w:ascii="Times New Roman" w:hAnsi="Times New Roman" w:eastAsia="宋体" w:cs="Times New Roman"/>
          <w:b/>
          <w:szCs w:val="21"/>
        </w:rPr>
      </w:pPr>
      <w:bookmarkStart w:id="981" w:name="_Toc25622"/>
      <w:r>
        <w:rPr>
          <w:rFonts w:hint="eastAsia" w:ascii="Times New Roman" w:hAnsi="Times New Roman" w:eastAsia="宋体" w:cs="Times New Roman"/>
          <w:b/>
          <w:szCs w:val="21"/>
        </w:rPr>
        <w:t>（二）成绩评定细则</w:t>
      </w:r>
      <w:bookmarkEnd w:id="981"/>
    </w:p>
    <w:p w14:paraId="7C2D4D1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785C33F">
      <w:pPr>
        <w:jc w:val="center"/>
        <w:rPr>
          <w:rFonts w:hint="eastAsia" w:ascii="Times New Roman" w:hAnsi="Times New Roman" w:eastAsia="宋体" w:cs="Times New Roman"/>
          <w:b/>
          <w:bCs/>
          <w:szCs w:val="21"/>
        </w:rPr>
      </w:pPr>
    </w:p>
    <w:p w14:paraId="087D653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C1E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DE0CB3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8A08D8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EB1CEC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77D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A1F1BCA">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3E2EAA1">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次，</w:t>
            </w:r>
            <w:r>
              <w:rPr>
                <w:rFonts w:hint="eastAsia" w:ascii="Times New Roman" w:hAnsi="Times New Roman" w:eastAsia="宋体" w:cs="Times New Roman"/>
                <w:szCs w:val="21"/>
                <w:lang w:val="en-US" w:eastAsia="zh-CN"/>
              </w:rPr>
              <w:t>包括参数检验、方差分析与回归分析等内容。</w:t>
            </w:r>
          </w:p>
        </w:tc>
        <w:tc>
          <w:tcPr>
            <w:tcW w:w="0" w:type="auto"/>
            <w:vAlign w:val="center"/>
          </w:tcPr>
          <w:p w14:paraId="40E6327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2B46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01FA5FF">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7C6B6E2">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7CFEB8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2A1D6B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E17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3F6865">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055845F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C35C6B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538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609B6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31508D1">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lang w:val="en-US" w:eastAsia="zh-CN"/>
              </w:rPr>
              <w:t>操作题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lang w:val="en-US" w:eastAsia="zh-CN"/>
              </w:rPr>
              <w:t>统计</w:t>
            </w:r>
            <w:r>
              <w:rPr>
                <w:rFonts w:hint="eastAsia" w:ascii="Times New Roman" w:hAnsi="Times New Roman" w:eastAsia="宋体" w:cs="Times New Roman"/>
                <w:color w:val="000000"/>
                <w:szCs w:val="21"/>
              </w:rPr>
              <w:t>基本理论和知识型题目占</w:t>
            </w:r>
            <w:r>
              <w:rPr>
                <w:rFonts w:hint="eastAsia" w:ascii="Times New Roman" w:hAnsi="Times New Roman" w:eastAsia="宋体" w:cs="Times New Roman"/>
                <w:color w:val="000000"/>
                <w:szCs w:val="21"/>
                <w:lang w:val="en-US" w:eastAsia="zh-CN"/>
              </w:rPr>
              <w:t>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w:t>
            </w:r>
            <w:r>
              <w:rPr>
                <w:rFonts w:hint="eastAsia" w:ascii="Times New Roman" w:hAnsi="Times New Roman" w:eastAsia="宋体" w:cs="Times New Roman"/>
                <w:color w:val="000000"/>
                <w:szCs w:val="21"/>
                <w:lang w:val="en-US" w:eastAsia="zh-CN"/>
              </w:rPr>
              <w:t>的统计计算题</w:t>
            </w:r>
            <w:r>
              <w:rPr>
                <w:rFonts w:hint="eastAsia" w:ascii="Times New Roman" w:hAnsi="Times New Roman" w:eastAsia="宋体" w:cs="Times New Roman"/>
                <w:color w:val="000000"/>
                <w:szCs w:val="21"/>
              </w:rPr>
              <w:t>占</w:t>
            </w:r>
            <w:r>
              <w:rPr>
                <w:rFonts w:hint="eastAsia" w:ascii="Times New Roman" w:hAnsi="Times New Roman" w:eastAsia="宋体" w:cs="Times New Roman"/>
                <w:color w:val="000000"/>
                <w:szCs w:val="21"/>
                <w:lang w:val="en-US" w:eastAsia="zh-CN"/>
              </w:rPr>
              <w:t>5</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7A029684">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2E5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6A1B4F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76379D5">
            <w:pPr>
              <w:jc w:val="left"/>
              <w:rPr>
                <w:rFonts w:ascii="Times New Roman" w:hAnsi="Times New Roman" w:eastAsia="宋体" w:cs="Times New Roman"/>
                <w:szCs w:val="21"/>
              </w:rPr>
            </w:pPr>
          </w:p>
        </w:tc>
        <w:tc>
          <w:tcPr>
            <w:tcW w:w="0" w:type="auto"/>
            <w:vAlign w:val="center"/>
          </w:tcPr>
          <w:p w14:paraId="3E35069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3A63F60">
      <w:pPr>
        <w:spacing w:line="360" w:lineRule="auto"/>
        <w:jc w:val="left"/>
        <w:outlineLvl w:val="1"/>
        <w:rPr>
          <w:rFonts w:ascii="宋体" w:hAnsi="宋体" w:eastAsia="宋体" w:cs="Times New Roman"/>
          <w:b/>
          <w:color w:val="000000"/>
          <w:szCs w:val="21"/>
        </w:rPr>
      </w:pPr>
      <w:bookmarkStart w:id="982" w:name="_Toc3208"/>
      <w:r>
        <w:rPr>
          <w:rFonts w:hint="eastAsia" w:ascii="宋体" w:hAnsi="宋体" w:eastAsia="宋体" w:cs="Times New Roman"/>
          <w:b/>
          <w:color w:val="000000"/>
          <w:szCs w:val="21"/>
        </w:rPr>
        <w:t>（三）课程目标达成度计算方法</w:t>
      </w:r>
      <w:bookmarkEnd w:id="982"/>
    </w:p>
    <w:p w14:paraId="379D70E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62D40AC">
      <w:pPr>
        <w:spacing w:before="156" w:beforeLines="50" w:line="360" w:lineRule="auto"/>
        <w:ind w:firstLine="420" w:firstLineChars="200"/>
        <w:jc w:val="left"/>
        <w:rPr>
          <w:rFonts w:ascii="Times New Roman" w:hAnsi="Times New Roman" w:eastAsia="宋体" w:cs="Times New Roman"/>
          <w:b/>
          <w:bCs/>
          <w:sz w:val="24"/>
          <w:szCs w:val="24"/>
        </w:rPr>
      </w:pPr>
      <w:r>
        <w:rPr>
          <w:rFonts w:ascii="宋体" w:hAnsi="宋体" w:eastAsia="宋体" w:cs="Times New Roman"/>
          <w:color w:val="000000"/>
          <w:szCs w:val="21"/>
        </w:rPr>
        <w:object>
          <v:shape id="_x0000_i1050"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50" DrawAspect="Content" ObjectID="_1468075750" r:id="rId33">
            <o:LockedField>false</o:LockedField>
          </o:OLEObject>
        </w:object>
      </w: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p>
    <w:p w14:paraId="4890DCD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EBE15D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4547C0D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3F64ED6">
      <w:pPr>
        <w:spacing w:line="336" w:lineRule="auto"/>
        <w:ind w:firstLine="420" w:firstLineChars="200"/>
        <w:rPr>
          <w:rFonts w:hint="default" w:ascii="Times New Roman" w:hAnsi="Times New Roman" w:eastAsia="宋体" w:cs="Times New Roman"/>
          <w:szCs w:val="21"/>
          <w:lang w:val="en-US"/>
        </w:rPr>
      </w:pPr>
      <w:r>
        <w:rPr>
          <w:rFonts w:hint="eastAsia" w:ascii="Times New Roman" w:hAnsi="Times New Roman" w:eastAsia="宋体" w:cs="Times New Roman"/>
          <w:bCs/>
          <w:color w:val="000000"/>
          <w:szCs w:val="21"/>
        </w:rPr>
        <w:t>戴海琦，张峰主编.心理与教育测量（第4版）.广州：暨南大学出版社，2018</w:t>
      </w:r>
      <w:r>
        <w:rPr>
          <w:rFonts w:ascii="Times New Roman" w:hAnsi="Times New Roman" w:eastAsia="宋体" w:cs="Times New Roman"/>
          <w:bCs/>
          <w:color w:val="000000"/>
          <w:szCs w:val="21"/>
        </w:rPr>
        <w:t>.</w:t>
      </w:r>
    </w:p>
    <w:p w14:paraId="37594ED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12C709C4">
      <w:pPr>
        <w:spacing w:line="336" w:lineRule="auto"/>
        <w:ind w:firstLine="420" w:firstLineChars="200"/>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1.张厚粲、徐建平主编.现代心理与教育统计学（第</w:t>
      </w:r>
      <w:r>
        <w:rPr>
          <w:rFonts w:hint="eastAsia" w:ascii="Times New Roman" w:hAnsi="Times New Roman" w:eastAsia="宋体" w:cs="Times New Roman"/>
          <w:bCs/>
          <w:color w:val="000000"/>
          <w:szCs w:val="21"/>
          <w:lang w:val="en-US" w:eastAsia="zh-CN"/>
        </w:rPr>
        <w:t>5</w:t>
      </w:r>
      <w:r>
        <w:rPr>
          <w:rFonts w:hint="eastAsia" w:ascii="Times New Roman" w:hAnsi="Times New Roman" w:eastAsia="宋体" w:cs="Times New Roman"/>
          <w:bCs/>
          <w:color w:val="000000"/>
          <w:szCs w:val="21"/>
        </w:rPr>
        <w:t>版）.北京：北京师范大学出版社，20</w:t>
      </w:r>
      <w:r>
        <w:rPr>
          <w:rFonts w:hint="eastAsia" w:ascii="Times New Roman" w:hAnsi="Times New Roman" w:eastAsia="宋体" w:cs="Times New Roman"/>
          <w:bCs/>
          <w:color w:val="000000"/>
          <w:szCs w:val="21"/>
          <w:lang w:val="en-US" w:eastAsia="zh-CN"/>
        </w:rPr>
        <w:t>20.</w:t>
      </w:r>
    </w:p>
    <w:p w14:paraId="46FB46DB">
      <w:pPr>
        <w:spacing w:line="336" w:lineRule="auto"/>
        <w:ind w:firstLine="420" w:firstLineChars="200"/>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lang w:val="en-US" w:eastAsia="zh-CN"/>
        </w:rPr>
        <w:t>2.王孝玲，赵必华主编.新编教育统计学.</w:t>
      </w:r>
      <w:r>
        <w:rPr>
          <w:rFonts w:hint="eastAsia" w:ascii="Times New Roman" w:hAnsi="Times New Roman" w:eastAsia="宋体" w:cs="Times New Roman"/>
          <w:bCs/>
          <w:color w:val="000000"/>
          <w:szCs w:val="21"/>
        </w:rPr>
        <w:t>北京：北京师范大学出版社，20</w:t>
      </w:r>
      <w:r>
        <w:rPr>
          <w:rFonts w:hint="eastAsia" w:ascii="Times New Roman" w:hAnsi="Times New Roman" w:eastAsia="宋体" w:cs="Times New Roman"/>
          <w:bCs/>
          <w:color w:val="000000"/>
          <w:szCs w:val="21"/>
          <w:lang w:val="en-US" w:eastAsia="zh-CN"/>
        </w:rPr>
        <w:t>23.</w:t>
      </w:r>
    </w:p>
    <w:p w14:paraId="69C2F0CE">
      <w:pPr>
        <w:spacing w:line="360" w:lineRule="auto"/>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执笔人：巫文胜</w:t>
      </w:r>
    </w:p>
    <w:p w14:paraId="7898A45D">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审定人：王</w:t>
      </w:r>
      <w:r>
        <w:rPr>
          <w:rFonts w:hint="eastAsia" w:ascii="Times New Roman" w:hAnsi="Times New Roman" w:eastAsia="宋体" w:cs="Times New Roman"/>
          <w:sz w:val="24"/>
          <w:szCs w:val="24"/>
          <w:lang w:val="en-US" w:eastAsia="zh-CN"/>
        </w:rPr>
        <w:t>健</w:t>
      </w:r>
    </w:p>
    <w:p w14:paraId="169FEAFD">
      <w:pPr>
        <w:spacing w:line="360" w:lineRule="auto"/>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审批人：张志欣</w:t>
      </w:r>
    </w:p>
    <w:p w14:paraId="107B887F">
      <w:pPr>
        <w:spacing w:line="360" w:lineRule="auto"/>
        <w:ind w:firstLine="5280" w:firstLineChars="22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0F382906">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6BE5C48D">
      <w:pPr>
        <w:pStyle w:val="2"/>
        <w:bidi w:val="0"/>
        <w:rPr>
          <w:lang w:val="en-US" w:eastAsia="zh-CN"/>
        </w:rPr>
      </w:pPr>
      <w:bookmarkStart w:id="983" w:name="_Toc57017181"/>
      <w:bookmarkStart w:id="984" w:name="_Toc166164858"/>
      <w:bookmarkStart w:id="985" w:name="_Toc8091"/>
      <w:bookmarkStart w:id="986" w:name="_Toc6292"/>
      <w:bookmarkStart w:id="987" w:name="_Toc30105"/>
      <w:bookmarkStart w:id="988" w:name="_Toc27721"/>
      <w:r>
        <w:rPr>
          <w:rFonts w:hint="eastAsia"/>
          <w:lang w:val="en-US" w:eastAsia="zh-CN"/>
        </w:rPr>
        <w:t>《中外基础教育改革热点》</w:t>
      </w:r>
      <w:r>
        <w:rPr>
          <w:lang w:val="en-US" w:eastAsia="zh-CN"/>
        </w:rPr>
        <w:t>课程教学大纲</w:t>
      </w:r>
      <w:bookmarkEnd w:id="983"/>
      <w:bookmarkEnd w:id="984"/>
      <w:bookmarkEnd w:id="985"/>
      <w:bookmarkEnd w:id="986"/>
      <w:bookmarkEnd w:id="987"/>
      <w:bookmarkEnd w:id="988"/>
    </w:p>
    <w:p w14:paraId="57F8C442">
      <w:pPr>
        <w:pStyle w:val="2"/>
        <w:bidi w:val="0"/>
        <w:rPr>
          <w:lang w:val="en-US" w:eastAsia="zh-CN"/>
        </w:rPr>
      </w:pPr>
      <w:bookmarkStart w:id="989" w:name="_Toc20035"/>
      <w:bookmarkStart w:id="990" w:name="_Toc10359"/>
      <w:bookmarkStart w:id="991" w:name="_Toc27243"/>
      <w:bookmarkStart w:id="992" w:name="_Toc17961"/>
      <w:bookmarkStart w:id="993" w:name="_Toc9324"/>
      <w:bookmarkStart w:id="994" w:name="_Toc24410"/>
      <w:bookmarkStart w:id="995" w:name="_Toc17164"/>
      <w:r>
        <w:rPr>
          <w:lang w:val="en-US" w:eastAsia="zh-CN"/>
        </w:rPr>
        <w:t>（Focus on Basic Research Reform in China and Foreign Countries）</w:t>
      </w:r>
      <w:bookmarkEnd w:id="989"/>
      <w:bookmarkEnd w:id="990"/>
      <w:bookmarkEnd w:id="991"/>
      <w:bookmarkEnd w:id="992"/>
      <w:bookmarkEnd w:id="993"/>
      <w:bookmarkEnd w:id="994"/>
      <w:bookmarkEnd w:id="995"/>
      <w:bookmarkStart w:id="996" w:name="_Toc27847311"/>
    </w:p>
    <w:p w14:paraId="0D6A096C">
      <w:pPr>
        <w:spacing w:line="360" w:lineRule="auto"/>
        <w:ind w:firstLine="562" w:firstLineChars="200"/>
        <w:rPr>
          <w:rFonts w:ascii="宋体" w:hAnsi="宋体" w:eastAsia="宋体" w:cs="Times New Roman"/>
          <w:b/>
          <w:color w:val="000000"/>
          <w:sz w:val="28"/>
          <w:szCs w:val="28"/>
        </w:rPr>
      </w:pPr>
      <w:r>
        <w:rPr>
          <w:rFonts w:ascii="宋体" w:hAnsi="宋体" w:eastAsia="宋体" w:cs="Times New Roman"/>
          <w:b/>
          <w:color w:val="000000"/>
          <w:sz w:val="28"/>
          <w:szCs w:val="28"/>
        </w:rPr>
        <w:t>一、课程概况</w:t>
      </w:r>
      <w:bookmarkEnd w:id="996"/>
    </w:p>
    <w:p w14:paraId="2BD9FB47">
      <w:pPr>
        <w:autoSpaceDE w:val="0"/>
        <w:autoSpaceDN w:val="0"/>
        <w:adjustRightInd w:val="0"/>
        <w:spacing w:line="360" w:lineRule="auto"/>
        <w:ind w:firstLine="482" w:firstLineChars="200"/>
        <w:rPr>
          <w:rFonts w:ascii="Times New Roman" w:hAnsi="Times New Roman" w:eastAsia="宋体" w:cs="Times New Roman"/>
          <w:color w:val="000000"/>
          <w:kern w:val="0"/>
          <w:sz w:val="18"/>
          <w:szCs w:val="18"/>
        </w:rPr>
      </w:pPr>
      <w:r>
        <w:rPr>
          <w:rFonts w:ascii="宋体" w:hAnsi="宋体" w:eastAsia="宋体" w:cs="Times New Roman"/>
          <w:b/>
          <w:bCs/>
          <w:color w:val="000000"/>
          <w:kern w:val="0"/>
          <w:sz w:val="24"/>
          <w:szCs w:val="24"/>
        </w:rPr>
        <w:t>课程代码</w:t>
      </w:r>
      <w:r>
        <w:rPr>
          <w:rFonts w:ascii="宋体" w:hAnsi="宋体" w:eastAsia="宋体" w:cs="Times New Roman"/>
          <w:b/>
          <w:color w:val="000000"/>
          <w:kern w:val="0"/>
          <w:sz w:val="24"/>
          <w:szCs w:val="24"/>
        </w:rPr>
        <w:t>：</w:t>
      </w:r>
      <w:r>
        <w:rPr>
          <w:rFonts w:ascii="宋体" w:hAnsi="宋体" w:eastAsia="宋体" w:cs="Times New Roman"/>
          <w:kern w:val="0"/>
          <w:sz w:val="24"/>
          <w:szCs w:val="24"/>
        </w:rPr>
        <w:t>2401016</w:t>
      </w:r>
    </w:p>
    <w:p w14:paraId="45B19DA0">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color w:val="000000"/>
          <w:kern w:val="0"/>
          <w:sz w:val="24"/>
          <w:szCs w:val="24"/>
        </w:rPr>
        <w:t>学    分：</w:t>
      </w:r>
      <w:r>
        <w:rPr>
          <w:rFonts w:hint="eastAsia" w:ascii="宋体" w:hAnsi="宋体" w:eastAsia="宋体" w:cs="Times New Roman"/>
          <w:kern w:val="0"/>
          <w:sz w:val="24"/>
          <w:szCs w:val="22"/>
        </w:rPr>
        <w:t>2</w:t>
      </w:r>
    </w:p>
    <w:p w14:paraId="64634836">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学    时：</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w:t>
      </w:r>
    </w:p>
    <w:p w14:paraId="43A5FCAD">
      <w:pPr>
        <w:spacing w:line="360" w:lineRule="auto"/>
        <w:ind w:firstLine="482" w:firstLineChars="200"/>
        <w:jc w:val="left"/>
        <w:rPr>
          <w:rFonts w:ascii="宋体" w:hAnsi="宋体" w:eastAsia="宋体" w:cs="Times New Roman"/>
          <w:kern w:val="0"/>
          <w:sz w:val="24"/>
          <w:szCs w:val="24"/>
        </w:rPr>
      </w:pPr>
      <w:r>
        <w:rPr>
          <w:rFonts w:ascii="宋体" w:hAnsi="宋体" w:eastAsia="宋体" w:cs="Times New Roman"/>
          <w:b/>
          <w:bCs/>
          <w:color w:val="000000"/>
          <w:kern w:val="0"/>
          <w:sz w:val="24"/>
          <w:szCs w:val="24"/>
        </w:rPr>
        <w:t>先修课程：</w:t>
      </w:r>
      <w:r>
        <w:rPr>
          <w:rFonts w:hint="eastAsia" w:ascii="宋体" w:hAnsi="宋体" w:eastAsia="宋体" w:cs="Times New Roman"/>
          <w:sz w:val="24"/>
          <w:szCs w:val="22"/>
          <w:lang w:val="zh-CN"/>
        </w:rPr>
        <w:t>教育原理、教育心理学、中外教育史、课程与教学论</w:t>
      </w:r>
    </w:p>
    <w:p w14:paraId="70BD6A28">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适用专业：</w:t>
      </w:r>
      <w:r>
        <w:rPr>
          <w:rFonts w:hint="eastAsia" w:ascii="宋体" w:hAnsi="宋体" w:eastAsia="宋体" w:cs="Times New Roman"/>
          <w:kern w:val="0"/>
          <w:sz w:val="24"/>
          <w:szCs w:val="24"/>
        </w:rPr>
        <w:t>小学</w:t>
      </w:r>
      <w:r>
        <w:rPr>
          <w:rFonts w:ascii="宋体" w:hAnsi="宋体" w:eastAsia="宋体" w:cs="Times New Roman"/>
          <w:kern w:val="0"/>
          <w:sz w:val="24"/>
          <w:szCs w:val="24"/>
        </w:rPr>
        <w:t>教育</w:t>
      </w:r>
      <w:r>
        <w:rPr>
          <w:rFonts w:hint="eastAsia" w:ascii="宋体" w:hAnsi="宋体" w:eastAsia="宋体" w:cs="Times New Roman"/>
          <w:kern w:val="0"/>
          <w:sz w:val="24"/>
          <w:szCs w:val="24"/>
        </w:rPr>
        <w:t>（文）、小学</w:t>
      </w:r>
      <w:r>
        <w:rPr>
          <w:rFonts w:ascii="宋体" w:hAnsi="宋体" w:eastAsia="宋体" w:cs="Times New Roman"/>
          <w:kern w:val="0"/>
          <w:sz w:val="24"/>
          <w:szCs w:val="24"/>
        </w:rPr>
        <w:t>教育</w:t>
      </w:r>
      <w:r>
        <w:rPr>
          <w:rFonts w:hint="eastAsia" w:ascii="宋体" w:hAnsi="宋体" w:eastAsia="宋体" w:cs="Times New Roman"/>
          <w:kern w:val="0"/>
          <w:sz w:val="24"/>
          <w:szCs w:val="24"/>
        </w:rPr>
        <w:t>（理）</w:t>
      </w:r>
      <w:r>
        <w:rPr>
          <w:rFonts w:ascii="宋体" w:hAnsi="宋体" w:eastAsia="宋体" w:cs="Times New Roman"/>
          <w:kern w:val="0"/>
          <w:sz w:val="24"/>
          <w:szCs w:val="24"/>
        </w:rPr>
        <w:t xml:space="preserve">                        </w:t>
      </w:r>
    </w:p>
    <w:p w14:paraId="58FCC0D9">
      <w:pPr>
        <w:spacing w:line="360" w:lineRule="auto"/>
        <w:ind w:firstLine="482" w:firstLineChars="200"/>
        <w:rPr>
          <w:rFonts w:ascii="Times New Roman" w:hAnsi="Times New Roman" w:eastAsia="宋体" w:cs="Times New Roman"/>
          <w:kern w:val="0"/>
          <w:sz w:val="24"/>
          <w:szCs w:val="24"/>
        </w:rPr>
      </w:pPr>
      <w:r>
        <w:rPr>
          <w:rFonts w:hint="eastAsia" w:ascii="宋体" w:hAnsi="宋体" w:eastAsia="宋体" w:cs="Times New Roman"/>
          <w:b/>
          <w:bCs/>
          <w:color w:val="000000"/>
          <w:kern w:val="0"/>
          <w:sz w:val="24"/>
          <w:szCs w:val="24"/>
        </w:rPr>
        <w:t>建议</w:t>
      </w:r>
      <w:r>
        <w:rPr>
          <w:rFonts w:ascii="宋体" w:hAnsi="宋体" w:eastAsia="宋体" w:cs="Times New Roman"/>
          <w:b/>
          <w:bCs/>
          <w:color w:val="000000"/>
          <w:kern w:val="0"/>
          <w:sz w:val="24"/>
          <w:szCs w:val="24"/>
        </w:rPr>
        <w:t>教材</w:t>
      </w:r>
      <w:r>
        <w:rPr>
          <w:rFonts w:hint="eastAsia" w:ascii="宋体" w:hAnsi="宋体" w:eastAsia="宋体" w:cs="Times New Roman"/>
          <w:b/>
          <w:bCs/>
          <w:color w:val="000000"/>
          <w:kern w:val="0"/>
          <w:sz w:val="24"/>
          <w:szCs w:val="24"/>
        </w:rPr>
        <w:t>：1.</w:t>
      </w:r>
      <w:r>
        <w:rPr>
          <w:rFonts w:hint="eastAsia" w:ascii="Times New Roman" w:hAnsi="Times New Roman" w:eastAsia="宋体" w:cs="Times New Roman"/>
          <w:kern w:val="0"/>
          <w:sz w:val="24"/>
          <w:szCs w:val="24"/>
        </w:rPr>
        <w:t>《中国基础教育改革</w:t>
      </w:r>
      <w:r>
        <w:rPr>
          <w:rFonts w:hint="eastAsia" w:ascii="Times New Roman" w:hAnsi="Times New Roman" w:eastAsia="宋体" w:cs="Times New Roman"/>
          <w:kern w:val="0"/>
          <w:sz w:val="24"/>
          <w:szCs w:val="24"/>
          <w:lang w:val="en-US" w:eastAsia="zh-CN"/>
        </w:rPr>
        <w:t>概论</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张荣伟</w:t>
      </w:r>
      <w:r>
        <w:rPr>
          <w:rFonts w:hint="eastAsia" w:ascii="Times New Roman" w:hAnsi="Times New Roman" w:eastAsia="宋体" w:cs="Times New Roman"/>
          <w:kern w:val="0"/>
          <w:sz w:val="24"/>
          <w:szCs w:val="24"/>
        </w:rPr>
        <w:t>， </w:t>
      </w:r>
      <w:r>
        <w:rPr>
          <w:rFonts w:hint="eastAsia" w:ascii="Times New Roman" w:hAnsi="Times New Roman" w:eastAsia="宋体" w:cs="Times New Roman"/>
          <w:kern w:val="0"/>
          <w:sz w:val="24"/>
          <w:szCs w:val="24"/>
          <w:lang w:val="en-US" w:eastAsia="zh-CN"/>
        </w:rPr>
        <w:t>教育科学</w:t>
      </w:r>
      <w:r>
        <w:rPr>
          <w:rFonts w:hint="eastAsia" w:ascii="Times New Roman" w:hAnsi="Times New Roman" w:eastAsia="宋体" w:cs="Times New Roman"/>
          <w:kern w:val="0"/>
          <w:sz w:val="24"/>
          <w:szCs w:val="24"/>
        </w:rPr>
        <w:t>出版社，201</w:t>
      </w:r>
      <w:r>
        <w:rPr>
          <w:rFonts w:hint="eastAsia" w:ascii="Times New Roman" w:hAnsi="Times New Roman" w:eastAsia="宋体" w:cs="Times New Roman"/>
          <w:kern w:val="0"/>
          <w:sz w:val="24"/>
          <w:szCs w:val="24"/>
          <w:lang w:val="en-US" w:eastAsia="zh-CN"/>
        </w:rPr>
        <w:t>8</w:t>
      </w:r>
      <w:r>
        <w:rPr>
          <w:rFonts w:hint="eastAsia" w:ascii="Times New Roman" w:hAnsi="Times New Roman" w:eastAsia="宋体" w:cs="Times New Roman"/>
          <w:kern w:val="0"/>
          <w:sz w:val="24"/>
          <w:szCs w:val="24"/>
        </w:rPr>
        <w:t>.</w:t>
      </w:r>
    </w:p>
    <w:p w14:paraId="4DB5EC51">
      <w:pPr>
        <w:spacing w:line="360" w:lineRule="auto"/>
        <w:ind w:firstLine="482" w:firstLineChars="200"/>
        <w:rPr>
          <w:rFonts w:ascii="宋体" w:hAnsi="宋体" w:eastAsia="宋体" w:cs="Times New Roman"/>
          <w:color w:val="000000"/>
          <w:sz w:val="24"/>
          <w:szCs w:val="22"/>
        </w:rPr>
      </w:pPr>
      <w:r>
        <w:rPr>
          <w:rFonts w:ascii="宋体" w:hAnsi="宋体" w:eastAsia="宋体" w:cs="Times New Roman"/>
          <w:b/>
          <w:bCs/>
          <w:color w:val="000000"/>
          <w:kern w:val="0"/>
          <w:sz w:val="24"/>
          <w:szCs w:val="24"/>
        </w:rPr>
        <w:t>课程归口：</w:t>
      </w:r>
      <w:r>
        <w:rPr>
          <w:rFonts w:hint="eastAsia" w:ascii="宋体" w:hAnsi="宋体" w:eastAsia="宋体" w:cs="Times New Roman"/>
          <w:color w:val="000000"/>
          <w:sz w:val="24"/>
          <w:szCs w:val="22"/>
        </w:rPr>
        <w:t>师范</w:t>
      </w:r>
      <w:r>
        <w:rPr>
          <w:rFonts w:ascii="宋体" w:hAnsi="宋体" w:eastAsia="宋体" w:cs="Times New Roman"/>
          <w:color w:val="000000"/>
          <w:sz w:val="24"/>
          <w:szCs w:val="22"/>
        </w:rPr>
        <w:t>学院</w:t>
      </w:r>
    </w:p>
    <w:p w14:paraId="6C192BF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bCs/>
          <w:color w:val="000000"/>
          <w:kern w:val="0"/>
          <w:sz w:val="24"/>
          <w:szCs w:val="24"/>
        </w:rPr>
        <w:t>课程的性质与任务：</w:t>
      </w:r>
      <w:r>
        <w:rPr>
          <w:rFonts w:hint="eastAsia" w:ascii="Times New Roman" w:hAnsi="Times New Roman" w:eastAsia="宋体" w:cs="Times New Roman"/>
          <w:sz w:val="24"/>
          <w:szCs w:val="24"/>
        </w:rPr>
        <w:t xml:space="preserve"> 本课程是小学教育本科专业一门专业选修课。课程旨在帮助学生理解基础教育改革现实意义和国内外改革所涉及的热点问题，提高小学教师的反思意识和开阔视野。通过本门课程的学习，学生能够了解世界上主要发达国家基础教育改革的时代背景，理解我国21世纪基础教育深化改革的现实意义；了解当前基础教育改革的主要内容，提高未来小学教师的发现问题、分析问题、研究问题的能力。</w:t>
      </w:r>
    </w:p>
    <w:p w14:paraId="0183FA5B">
      <w:pPr>
        <w:spacing w:line="360" w:lineRule="auto"/>
        <w:ind w:firstLine="562" w:firstLineChars="200"/>
        <w:rPr>
          <w:rFonts w:ascii="宋体" w:hAnsi="宋体" w:eastAsia="宋体" w:cs="Times New Roman"/>
          <w:b/>
          <w:color w:val="000000"/>
          <w:sz w:val="28"/>
          <w:szCs w:val="28"/>
        </w:rPr>
      </w:pPr>
      <w:bookmarkStart w:id="997" w:name="_Toc27847312"/>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bookmarkEnd w:id="997"/>
    </w:p>
    <w:p w14:paraId="366D5789">
      <w:pPr>
        <w:spacing w:line="360" w:lineRule="auto"/>
        <w:ind w:firstLine="482" w:firstLineChars="200"/>
        <w:rPr>
          <w:rFonts w:ascii="宋体" w:hAnsi="宋体" w:eastAsia="宋体" w:cs="Times New Roman"/>
          <w:color w:val="000000"/>
          <w:sz w:val="24"/>
          <w:szCs w:val="28"/>
        </w:rPr>
      </w:pPr>
      <w:bookmarkStart w:id="998" w:name="_Toc27847313"/>
      <w:r>
        <w:rPr>
          <w:rFonts w:hint="eastAsia" w:ascii="宋体" w:hAnsi="宋体" w:eastAsia="宋体" w:cs="Times New Roman"/>
          <w:b/>
          <w:color w:val="000000"/>
          <w:sz w:val="24"/>
          <w:szCs w:val="28"/>
        </w:rPr>
        <w:t>（一）课程具体目标</w:t>
      </w:r>
      <w:bookmarkEnd w:id="998"/>
    </w:p>
    <w:p w14:paraId="127391E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w:t>
      </w:r>
      <w:r>
        <w:rPr>
          <w:rFonts w:ascii="Times New Roman" w:hAnsi="Times New Roman" w:eastAsia="宋体" w:cs="Times New Roman"/>
          <w:b/>
          <w:sz w:val="24"/>
          <w:szCs w:val="24"/>
        </w:rPr>
        <w:t>1.</w:t>
      </w:r>
      <w:r>
        <w:rPr>
          <w:rFonts w:hint="eastAsia" w:ascii="Times New Roman" w:hAnsi="Times New Roman" w:eastAsia="宋体" w:cs="Times New Roman"/>
          <w:sz w:val="24"/>
          <w:szCs w:val="24"/>
        </w:rPr>
        <w:t>了解社会转型对教育改革的含义与影响，理解我国21世纪基础教育改革的必要性，掌握基础教育改革</w:t>
      </w:r>
      <w:r>
        <w:rPr>
          <w:rFonts w:hint="eastAsia" w:ascii="Times New Roman" w:hAnsi="Times New Roman" w:eastAsia="宋体" w:cs="Times New Roman"/>
          <w:sz w:val="24"/>
          <w:szCs w:val="24"/>
          <w:lang w:val="en-US" w:eastAsia="zh-CN"/>
        </w:rPr>
        <w:t>研究</w:t>
      </w:r>
      <w:r>
        <w:rPr>
          <w:rFonts w:hint="eastAsia" w:ascii="Times New Roman" w:hAnsi="Times New Roman" w:eastAsia="宋体" w:cs="Times New Roman"/>
          <w:sz w:val="24"/>
          <w:szCs w:val="24"/>
        </w:rPr>
        <w:t>中的热点问题，增强教育使命感和教师责任感。</w:t>
      </w:r>
    </w:p>
    <w:p w14:paraId="5234604C">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目标2</w:t>
      </w:r>
      <w:r>
        <w:rPr>
          <w:rFonts w:ascii="Times New Roman" w:hAnsi="Times New Roman" w:eastAsia="宋体" w:cs="Times New Roman"/>
          <w:b/>
          <w:sz w:val="24"/>
          <w:szCs w:val="24"/>
        </w:rPr>
        <w:t>.</w:t>
      </w:r>
      <w:r>
        <w:rPr>
          <w:rFonts w:hint="eastAsia" w:ascii="Times New Roman" w:hAnsi="Times New Roman" w:eastAsia="宋体" w:cs="Times New Roman"/>
          <w:sz w:val="24"/>
          <w:szCs w:val="24"/>
        </w:rPr>
        <w:t>了</w:t>
      </w:r>
      <w:r>
        <w:rPr>
          <w:rFonts w:ascii="Times New Roman" w:hAnsi="Times New Roman" w:eastAsia="宋体" w:cs="Times New Roman"/>
          <w:sz w:val="24"/>
          <w:szCs w:val="24"/>
        </w:rPr>
        <w:t>解国际视野中的基础教育改革概况</w:t>
      </w:r>
      <w:r>
        <w:rPr>
          <w:rFonts w:hint="eastAsia" w:ascii="Times New Roman" w:hAnsi="Times New Roman" w:eastAsia="宋体" w:cs="Times New Roman"/>
          <w:sz w:val="24"/>
          <w:szCs w:val="24"/>
        </w:rPr>
        <w:t>，基本掌握</w:t>
      </w:r>
      <w:r>
        <w:rPr>
          <w:rFonts w:hint="eastAsia" w:ascii="Times New Roman" w:hAnsi="Times New Roman" w:eastAsia="宋体" w:cs="Times New Roman"/>
          <w:sz w:val="24"/>
          <w:szCs w:val="24"/>
          <w:lang w:val="en-US" w:eastAsia="zh-CN"/>
        </w:rPr>
        <w:t>西方</w:t>
      </w:r>
      <w:r>
        <w:rPr>
          <w:rFonts w:hint="eastAsia" w:ascii="Times New Roman" w:hAnsi="Times New Roman" w:eastAsia="宋体" w:cs="Times New Roman"/>
          <w:sz w:val="24"/>
          <w:szCs w:val="24"/>
        </w:rPr>
        <w:t>主要国家基础教育改革的动向和发展趋势，牢固树立建设中国特色社会主义</w:t>
      </w:r>
      <w:r>
        <w:rPr>
          <w:rFonts w:hint="eastAsia" w:ascii="Times New Roman" w:hAnsi="Times New Roman" w:eastAsia="宋体" w:cs="Times New Roman"/>
          <w:sz w:val="24"/>
          <w:szCs w:val="24"/>
          <w:lang w:val="en-US" w:eastAsia="zh-CN"/>
        </w:rPr>
        <w:t>教育强国</w:t>
      </w:r>
      <w:r>
        <w:rPr>
          <w:rFonts w:hint="eastAsia" w:ascii="Times New Roman" w:hAnsi="Times New Roman" w:eastAsia="宋体" w:cs="Times New Roman"/>
          <w:sz w:val="24"/>
          <w:szCs w:val="24"/>
        </w:rPr>
        <w:t>的自信心。</w:t>
      </w:r>
      <w:r>
        <w:rPr>
          <w:rFonts w:ascii="Times New Roman" w:hAnsi="Times New Roman" w:eastAsia="宋体" w:cs="Times New Roman"/>
          <w:sz w:val="24"/>
          <w:szCs w:val="24"/>
        </w:rPr>
        <w:t xml:space="preserve"> </w:t>
      </w:r>
    </w:p>
    <w:p w14:paraId="2B61AB32">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目标3</w:t>
      </w:r>
      <w:r>
        <w:rPr>
          <w:rFonts w:ascii="Times New Roman" w:hAnsi="Times New Roman" w:eastAsia="宋体" w:cs="Times New Roman"/>
          <w:b/>
          <w:sz w:val="24"/>
          <w:szCs w:val="24"/>
        </w:rPr>
        <w:t xml:space="preserve">. </w:t>
      </w:r>
      <w:r>
        <w:rPr>
          <w:rFonts w:hint="eastAsia" w:ascii="Times New Roman" w:hAnsi="Times New Roman" w:eastAsia="宋体" w:cs="Times New Roman"/>
          <w:sz w:val="24"/>
          <w:szCs w:val="24"/>
        </w:rPr>
        <w:t>了解</w:t>
      </w:r>
      <w:r>
        <w:rPr>
          <w:rFonts w:hint="eastAsia" w:ascii="Times New Roman" w:hAnsi="Times New Roman" w:eastAsia="宋体" w:cs="Times New Roman"/>
          <w:sz w:val="24"/>
          <w:szCs w:val="24"/>
          <w:lang w:val="en-US" w:eastAsia="zh-CN"/>
        </w:rPr>
        <w:t>中国</w:t>
      </w:r>
      <w:r>
        <w:rPr>
          <w:rFonts w:hint="eastAsia" w:ascii="Times New Roman" w:hAnsi="Times New Roman" w:eastAsia="宋体" w:cs="Times New Roman"/>
          <w:sz w:val="24"/>
          <w:szCs w:val="24"/>
        </w:rPr>
        <w:t>基础教育课程与教学改革的潮流、历史演进及政策分析，初步理解我国21世纪基础教育课程与教学改革中的基本问题及解决策略；掌握我国城乡基础教育改革中的主要热点问题及改革思路，增强教育危机意识。</w:t>
      </w:r>
    </w:p>
    <w:p w14:paraId="0E5E76C7">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目标4</w:t>
      </w:r>
      <w:r>
        <w:rPr>
          <w:rFonts w:ascii="Times New Roman" w:hAnsi="Times New Roman" w:eastAsia="宋体" w:cs="Times New Roman"/>
          <w:b/>
          <w:sz w:val="24"/>
          <w:szCs w:val="24"/>
        </w:rPr>
        <w:t>.</w:t>
      </w:r>
      <w:r>
        <w:rPr>
          <w:rFonts w:ascii="Times New Roman" w:hAnsi="Times New Roman" w:eastAsia="宋体" w:cs="Times New Roman"/>
          <w:sz w:val="24"/>
          <w:szCs w:val="24"/>
        </w:rPr>
        <w:t xml:space="preserve"> 能够通过自主</w:t>
      </w:r>
      <w:r>
        <w:rPr>
          <w:rFonts w:hint="eastAsia" w:ascii="Times New Roman" w:hAnsi="Times New Roman" w:eastAsia="宋体" w:cs="Times New Roman"/>
          <w:sz w:val="24"/>
          <w:szCs w:val="24"/>
        </w:rPr>
        <w:t>、</w:t>
      </w:r>
      <w:r>
        <w:rPr>
          <w:rFonts w:ascii="Times New Roman" w:hAnsi="Times New Roman" w:eastAsia="宋体" w:cs="Times New Roman"/>
          <w:sz w:val="24"/>
          <w:szCs w:val="24"/>
        </w:rPr>
        <w:t>合作</w:t>
      </w:r>
      <w:r>
        <w:rPr>
          <w:rFonts w:hint="eastAsia" w:ascii="Times New Roman" w:hAnsi="Times New Roman" w:eastAsia="宋体" w:cs="Times New Roman"/>
          <w:sz w:val="24"/>
          <w:szCs w:val="24"/>
        </w:rPr>
        <w:t>、</w:t>
      </w:r>
      <w:r>
        <w:rPr>
          <w:rFonts w:ascii="Times New Roman" w:hAnsi="Times New Roman" w:eastAsia="宋体" w:cs="Times New Roman"/>
          <w:sz w:val="24"/>
          <w:szCs w:val="24"/>
        </w:rPr>
        <w:t>探究的方式</w:t>
      </w:r>
      <w:r>
        <w:rPr>
          <w:rFonts w:hint="eastAsia" w:ascii="Times New Roman" w:hAnsi="Times New Roman" w:eastAsia="宋体" w:cs="Times New Roman"/>
          <w:sz w:val="24"/>
          <w:szCs w:val="24"/>
        </w:rPr>
        <w:t>分析中外主要国家</w:t>
      </w:r>
      <w:r>
        <w:rPr>
          <w:rFonts w:ascii="Times New Roman" w:hAnsi="Times New Roman" w:eastAsia="宋体" w:cs="Times New Roman"/>
          <w:sz w:val="24"/>
          <w:szCs w:val="24"/>
        </w:rPr>
        <w:t>基础教育改革的</w:t>
      </w:r>
      <w:r>
        <w:rPr>
          <w:rFonts w:hint="eastAsia" w:ascii="Times New Roman" w:hAnsi="Times New Roman" w:eastAsia="宋体" w:cs="Times New Roman"/>
          <w:sz w:val="24"/>
          <w:szCs w:val="24"/>
        </w:rPr>
        <w:t>缺陷，</w:t>
      </w:r>
      <w:r>
        <w:rPr>
          <w:rFonts w:ascii="Times New Roman" w:hAnsi="Times New Roman" w:eastAsia="宋体" w:cs="Times New Roman"/>
          <w:sz w:val="24"/>
          <w:szCs w:val="24"/>
        </w:rPr>
        <w:t>形成独立的分析判断能力</w:t>
      </w:r>
      <w:r>
        <w:rPr>
          <w:rFonts w:hint="eastAsia" w:ascii="Times New Roman" w:hAnsi="Times New Roman" w:eastAsia="宋体" w:cs="Times New Roman"/>
          <w:sz w:val="24"/>
          <w:szCs w:val="24"/>
        </w:rPr>
        <w:t>和问题研究能力。</w:t>
      </w:r>
    </w:p>
    <w:p w14:paraId="504EFA12">
      <w:pPr>
        <w:spacing w:line="360" w:lineRule="auto"/>
        <w:rPr>
          <w:rFonts w:ascii="宋体" w:hAnsi="宋体" w:eastAsia="宋体" w:cs="Times New Roman"/>
          <w:b/>
          <w:sz w:val="24"/>
          <w:szCs w:val="28"/>
        </w:rPr>
      </w:pPr>
      <w:bookmarkStart w:id="999" w:name="_Toc27847314"/>
      <w:r>
        <w:rPr>
          <w:rFonts w:hint="eastAsia" w:ascii="宋体" w:hAnsi="宋体" w:eastAsia="宋体" w:cs="Times New Roman"/>
          <w:b/>
          <w:sz w:val="24"/>
          <w:szCs w:val="28"/>
        </w:rPr>
        <w:t>（二）课程目标与专业毕业要求的关系</w:t>
      </w:r>
      <w:bookmarkEnd w:id="999"/>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268"/>
        <w:gridCol w:w="5323"/>
      </w:tblGrid>
      <w:tr w14:paraId="228B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57" w:type="dxa"/>
            <w:vAlign w:val="center"/>
          </w:tcPr>
          <w:p w14:paraId="398836CD">
            <w:pPr>
              <w:spacing w:line="276"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68" w:type="dxa"/>
            <w:vAlign w:val="center"/>
          </w:tcPr>
          <w:p w14:paraId="44B4D5AB">
            <w:pPr>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5323" w:type="dxa"/>
            <w:vAlign w:val="center"/>
          </w:tcPr>
          <w:p w14:paraId="12679D15">
            <w:pPr>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1499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57" w:type="dxa"/>
            <w:vAlign w:val="center"/>
          </w:tcPr>
          <w:p w14:paraId="632481FC">
            <w:pPr>
              <w:spacing w:line="276" w:lineRule="auto"/>
              <w:jc w:val="center"/>
              <w:rPr>
                <w:rFonts w:ascii="宋体" w:hAnsi="宋体" w:eastAsia="宋体" w:cs="宋体"/>
                <w:bCs/>
                <w:color w:val="000000"/>
                <w:szCs w:val="21"/>
              </w:rPr>
            </w:pPr>
            <w:r>
              <w:rPr>
                <w:rFonts w:hint="eastAsia" w:ascii="宋体" w:hAnsi="宋体" w:eastAsia="宋体" w:cs="宋体"/>
                <w:bCs/>
                <w:color w:val="000000"/>
                <w:szCs w:val="21"/>
              </w:rPr>
              <w:t>课程目标1</w:t>
            </w:r>
          </w:p>
        </w:tc>
        <w:tc>
          <w:tcPr>
            <w:tcW w:w="2268" w:type="dxa"/>
            <w:vAlign w:val="center"/>
          </w:tcPr>
          <w:p w14:paraId="15C6201D">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tc>
        <w:tc>
          <w:tcPr>
            <w:tcW w:w="5323" w:type="dxa"/>
            <w:vAlign w:val="center"/>
          </w:tcPr>
          <w:p w14:paraId="30BEDC05">
            <w:pPr>
              <w:autoSpaceDE w:val="0"/>
              <w:autoSpaceDN w:val="0"/>
              <w:adjustRightInd w:val="0"/>
              <w:spacing w:line="276" w:lineRule="auto"/>
              <w:jc w:val="left"/>
              <w:rPr>
                <w:rFonts w:ascii="Times New Roman" w:hAnsi="Times New Roman" w:eastAsia="宋体" w:cs="Times New Roman"/>
                <w:color w:val="000000"/>
                <w:kern w:val="0"/>
                <w:sz w:val="24"/>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7-1：【教育视野开阔】积极关注基础教育领域的国内外交流进展，了解国内外基础教育改革发展的动态，具有宽广的教育视野，能够主动适应新时代和教育发展需求。</w:t>
            </w:r>
          </w:p>
        </w:tc>
      </w:tr>
      <w:tr w14:paraId="436F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57" w:type="dxa"/>
            <w:vAlign w:val="center"/>
          </w:tcPr>
          <w:p w14:paraId="37F109EB">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课程目标2</w:t>
            </w:r>
          </w:p>
        </w:tc>
        <w:tc>
          <w:tcPr>
            <w:tcW w:w="2268" w:type="dxa"/>
            <w:vAlign w:val="center"/>
          </w:tcPr>
          <w:p w14:paraId="6DFD26D9">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tc>
        <w:tc>
          <w:tcPr>
            <w:tcW w:w="5323" w:type="dxa"/>
            <w:vAlign w:val="center"/>
          </w:tcPr>
          <w:p w14:paraId="3894ADF7">
            <w:pPr>
              <w:autoSpaceDE w:val="0"/>
              <w:autoSpaceDN w:val="0"/>
              <w:adjustRightInd w:val="0"/>
              <w:spacing w:line="276" w:lineRule="auto"/>
              <w:jc w:val="left"/>
              <w:rPr>
                <w:rFonts w:ascii="Times New Roman" w:hAnsi="Times New Roman" w:eastAsia="宋体" w:cs="Times New Roman"/>
                <w:color w:val="000000"/>
                <w:kern w:val="0"/>
                <w:sz w:val="24"/>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7-1：【教育视野开阔】积极关注基础教育领域的国内外交流进展，了解国内外基础教育改革发展的动态，具有宽广的教育视野，能够主动适应新时代和教育发展需求。</w:t>
            </w:r>
          </w:p>
        </w:tc>
      </w:tr>
      <w:tr w14:paraId="616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7" w:type="dxa"/>
            <w:vAlign w:val="center"/>
          </w:tcPr>
          <w:p w14:paraId="4B1E3B41">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课程目标3</w:t>
            </w:r>
          </w:p>
        </w:tc>
        <w:tc>
          <w:tcPr>
            <w:tcW w:w="2268" w:type="dxa"/>
            <w:vAlign w:val="center"/>
          </w:tcPr>
          <w:p w14:paraId="2D73396A">
            <w:pPr>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毕业要求7：学会反思</w:t>
            </w:r>
          </w:p>
        </w:tc>
        <w:tc>
          <w:tcPr>
            <w:tcW w:w="5323" w:type="dxa"/>
          </w:tcPr>
          <w:p w14:paraId="75D4FABA">
            <w:pPr>
              <w:autoSpaceDE w:val="0"/>
              <w:autoSpaceDN w:val="0"/>
              <w:adjustRightInd w:val="0"/>
              <w:spacing w:line="276" w:lineRule="auto"/>
              <w:rPr>
                <w:rFonts w:ascii="Times New Roman" w:hAnsi="宋体" w:eastAsia="宋体" w:cs="Times New Roman"/>
                <w:color w:val="000000"/>
                <w:kern w:val="0"/>
                <w:sz w:val="24"/>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r>
      <w:tr w14:paraId="197B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7" w:type="dxa"/>
            <w:vAlign w:val="center"/>
          </w:tcPr>
          <w:p w14:paraId="2A630B2B">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 4</w:t>
            </w:r>
          </w:p>
        </w:tc>
        <w:tc>
          <w:tcPr>
            <w:tcW w:w="2268" w:type="dxa"/>
            <w:vAlign w:val="center"/>
          </w:tcPr>
          <w:p w14:paraId="47A585BB">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p w14:paraId="288AFA7C">
            <w:pPr>
              <w:spacing w:line="276" w:lineRule="auto"/>
              <w:rPr>
                <w:rFonts w:ascii="宋体" w:hAnsi="宋体" w:eastAsia="宋体" w:cs="Times New Roman"/>
                <w:b/>
                <w:color w:val="000000"/>
                <w:kern w:val="0"/>
                <w:szCs w:val="21"/>
              </w:rPr>
            </w:pPr>
          </w:p>
        </w:tc>
        <w:tc>
          <w:tcPr>
            <w:tcW w:w="5323" w:type="dxa"/>
          </w:tcPr>
          <w:p w14:paraId="2520F508">
            <w:pPr>
              <w:spacing w:line="276" w:lineRule="auto"/>
              <w:rPr>
                <w:rFonts w:ascii="宋体" w:hAnsi="宋体" w:eastAsia="宋体" w:cs="Times New Roman"/>
                <w:szCs w:val="21"/>
              </w:rPr>
            </w:pPr>
            <w:r>
              <w:rPr>
                <w:rFonts w:hint="eastAsia" w:ascii="宋体" w:hAnsi="宋体" w:eastAsia="等线" w:cs="宋体"/>
                <w:color w:val="000000"/>
                <w:kern w:val="0"/>
                <w:sz w:val="20"/>
                <w:szCs w:val="20"/>
              </w:rPr>
              <w:t>指标点</w:t>
            </w:r>
            <w:r>
              <w:rPr>
                <w:rFonts w:hint="eastAsia" w:ascii="宋体" w:hAnsi="宋体" w:eastAsia="等线" w:cs="宋体"/>
                <w:color w:val="000000"/>
                <w:sz w:val="20"/>
                <w:szCs w:val="20"/>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r>
    </w:tbl>
    <w:p w14:paraId="1191EC69">
      <w:pPr>
        <w:spacing w:line="360" w:lineRule="auto"/>
        <w:rPr>
          <w:rFonts w:ascii="宋体" w:hAnsi="宋体" w:eastAsia="宋体" w:cs="Times New Roman"/>
          <w:b/>
          <w:kern w:val="0"/>
          <w:sz w:val="24"/>
          <w:szCs w:val="22"/>
        </w:rPr>
      </w:pPr>
      <w:r>
        <w:rPr>
          <w:rFonts w:hint="eastAsia" w:ascii="宋体" w:hAnsi="宋体" w:eastAsia="宋体" w:cs="Times New Roman"/>
          <w:b/>
          <w:kern w:val="0"/>
          <w:sz w:val="24"/>
          <w:szCs w:val="22"/>
        </w:rPr>
        <w:t xml:space="preserve">    </w:t>
      </w:r>
    </w:p>
    <w:p w14:paraId="7C9161A6">
      <w:pPr>
        <w:spacing w:line="360" w:lineRule="auto"/>
        <w:rPr>
          <w:rFonts w:ascii="宋体" w:hAnsi="宋体" w:eastAsia="宋体" w:cs="Times New Roman"/>
          <w:b/>
          <w:sz w:val="28"/>
          <w:szCs w:val="24"/>
        </w:rPr>
      </w:pPr>
      <w:r>
        <w:rPr>
          <w:rFonts w:hint="eastAsia" w:ascii="宋体" w:hAnsi="宋体" w:eastAsia="宋体" w:cs="Times New Roman"/>
          <w:b/>
          <w:kern w:val="0"/>
          <w:sz w:val="24"/>
          <w:szCs w:val="22"/>
        </w:rPr>
        <w:t xml:space="preserve">   </w:t>
      </w:r>
      <w:r>
        <w:rPr>
          <w:rFonts w:hint="eastAsia" w:ascii="宋体" w:hAnsi="宋体" w:eastAsia="宋体" w:cs="Times New Roman"/>
          <w:b/>
          <w:color w:val="FF0000"/>
          <w:kern w:val="0"/>
          <w:sz w:val="28"/>
          <w:szCs w:val="22"/>
        </w:rPr>
        <w:t xml:space="preserve"> </w:t>
      </w:r>
      <w:bookmarkStart w:id="1000" w:name="_Toc27847315"/>
      <w:r>
        <w:rPr>
          <w:rFonts w:hint="eastAsia" w:ascii="宋体" w:hAnsi="宋体" w:eastAsia="宋体" w:cs="Times New Roman"/>
          <w:b/>
          <w:sz w:val="28"/>
          <w:szCs w:val="24"/>
        </w:rPr>
        <w:t>三</w:t>
      </w:r>
      <w:r>
        <w:rPr>
          <w:rFonts w:ascii="宋体" w:hAnsi="宋体" w:eastAsia="宋体" w:cs="Times New Roman"/>
          <w:b/>
          <w:sz w:val="28"/>
          <w:szCs w:val="24"/>
        </w:rPr>
        <w:t>、课程内容及要求</w:t>
      </w:r>
      <w:bookmarkEnd w:id="1000"/>
    </w:p>
    <w:p w14:paraId="4FF4ACBB">
      <w:pPr>
        <w:spacing w:line="360" w:lineRule="auto"/>
        <w:rPr>
          <w:rFonts w:ascii="宋体" w:hAnsi="宋体" w:eastAsia="宋体" w:cs="Times New Roman"/>
          <w:b/>
          <w:color w:val="000000"/>
          <w:sz w:val="24"/>
          <w:szCs w:val="24"/>
        </w:rPr>
      </w:pPr>
      <w:bookmarkStart w:id="1001" w:name="_Toc27847316"/>
      <w:r>
        <w:rPr>
          <w:rFonts w:hint="eastAsia" w:ascii="宋体" w:hAnsi="宋体" w:eastAsia="宋体" w:cs="Times New Roman"/>
          <w:b/>
          <w:color w:val="000000"/>
          <w:sz w:val="24"/>
          <w:szCs w:val="24"/>
        </w:rPr>
        <w:t>（一）</w:t>
      </w:r>
      <w:r>
        <w:rPr>
          <w:rFonts w:hint="eastAsia" w:ascii="Times New Roman" w:hAnsi="Times New Roman" w:eastAsia="宋体" w:cs="Times New Roman"/>
          <w:b/>
          <w:sz w:val="24"/>
          <w:szCs w:val="24"/>
        </w:rPr>
        <w:t>社会转型与</w:t>
      </w:r>
      <w:r>
        <w:rPr>
          <w:rFonts w:hint="eastAsia" w:ascii="Times New Roman" w:hAnsi="Times New Roman" w:eastAsia="宋体" w:cs="Times New Roman"/>
          <w:b/>
          <w:sz w:val="24"/>
          <w:szCs w:val="24"/>
          <w:lang w:val="en-US" w:eastAsia="zh-CN"/>
        </w:rPr>
        <w:t>各国</w:t>
      </w:r>
      <w:r>
        <w:rPr>
          <w:rFonts w:hint="eastAsia" w:ascii="Times New Roman" w:hAnsi="Times New Roman" w:eastAsia="宋体" w:cs="Times New Roman"/>
          <w:b/>
          <w:sz w:val="24"/>
          <w:szCs w:val="24"/>
        </w:rPr>
        <w:t>基础教育改革</w:t>
      </w:r>
      <w:r>
        <w:rPr>
          <w:rFonts w:hint="eastAsia" w:ascii="宋体" w:hAnsi="宋体" w:eastAsia="宋体" w:cs="Times New Roman"/>
          <w:b/>
          <w:color w:val="000000"/>
          <w:sz w:val="24"/>
          <w:szCs w:val="24"/>
        </w:rPr>
        <w:t>（本模块各知识点的讲授与学习，可以支撑课程目标1）</w:t>
      </w:r>
      <w:bookmarkEnd w:id="1001"/>
    </w:p>
    <w:p w14:paraId="20B9737A">
      <w:pPr>
        <w:autoSpaceDE w:val="0"/>
        <w:autoSpaceDN w:val="0"/>
        <w:adjustRightInd w:val="0"/>
        <w:spacing w:line="360" w:lineRule="auto"/>
        <w:jc w:val="left"/>
        <w:rPr>
          <w:rFonts w:ascii="宋体" w:hAnsi="宋体" w:eastAsia="宋体" w:cs="Times New Roman"/>
          <w:b/>
          <w:sz w:val="24"/>
          <w:szCs w:val="24"/>
        </w:rPr>
      </w:pPr>
      <w:r>
        <w:rPr>
          <w:rFonts w:hint="eastAsia" w:ascii="宋体" w:hAnsi="宋体" w:eastAsia="宋体" w:cs="Times New Roman"/>
          <w:b/>
          <w:sz w:val="24"/>
          <w:szCs w:val="24"/>
        </w:rPr>
        <w:t>1. 教学内容</w:t>
      </w:r>
    </w:p>
    <w:p w14:paraId="045CED4E">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（1）社会转型的含义与特征</w:t>
      </w:r>
    </w:p>
    <w:p w14:paraId="54003B9F">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（2）基础教育改革的必要性及政策分析</w:t>
      </w:r>
    </w:p>
    <w:p w14:paraId="1F91A629">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（3）基础教育改革的问题及策略</w:t>
      </w:r>
    </w:p>
    <w:p w14:paraId="6C0C2346">
      <w:pPr>
        <w:autoSpaceDE w:val="0"/>
        <w:autoSpaceDN w:val="0"/>
        <w:adjustRightInd w:val="0"/>
        <w:spacing w:line="360" w:lineRule="auto"/>
        <w:jc w:val="left"/>
        <w:rPr>
          <w:rFonts w:ascii="Times New Roman" w:hAnsi="Times New Roman" w:eastAsia="宋体" w:cs="Times New Roman"/>
          <w:sz w:val="24"/>
          <w:szCs w:val="24"/>
        </w:rPr>
      </w:pPr>
      <w:r>
        <w:rPr>
          <w:rFonts w:hint="eastAsia" w:ascii="宋体" w:hAnsi="宋体" w:eastAsia="宋体" w:cs="Times New Roman"/>
          <w:b/>
          <w:sz w:val="24"/>
          <w:szCs w:val="24"/>
        </w:rPr>
        <w:t>2．基本要求</w:t>
      </w:r>
    </w:p>
    <w:p w14:paraId="53D9D22E">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（1）了解社会转型的含义与特征</w:t>
      </w:r>
    </w:p>
    <w:p w14:paraId="20C9EB0C">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（2）理解社会转型与基础教育改革的关系</w:t>
      </w:r>
    </w:p>
    <w:p w14:paraId="3CB2AD8D">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（3）掌握基础教育改革的问题及策略</w:t>
      </w:r>
    </w:p>
    <w:p w14:paraId="55C566BF">
      <w:pPr>
        <w:autoSpaceDE w:val="0"/>
        <w:autoSpaceDN w:val="0"/>
        <w:adjustRightInd w:val="0"/>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课程</w:t>
      </w:r>
      <w:r>
        <w:rPr>
          <w:rFonts w:ascii="Times New Roman" w:hAnsi="Times New Roman" w:eastAsia="宋体" w:cs="Times New Roman"/>
          <w:b/>
          <w:sz w:val="24"/>
          <w:szCs w:val="24"/>
        </w:rPr>
        <w:t>思政</w:t>
      </w:r>
      <w:r>
        <w:rPr>
          <w:rFonts w:hint="eastAsia" w:ascii="Times New Roman" w:hAnsi="Times New Roman" w:eastAsia="宋体" w:cs="Times New Roman"/>
          <w:b/>
          <w:sz w:val="24"/>
          <w:szCs w:val="24"/>
        </w:rPr>
        <w:t>育人</w:t>
      </w:r>
      <w:r>
        <w:rPr>
          <w:rFonts w:ascii="Times New Roman" w:hAnsi="Times New Roman" w:eastAsia="宋体" w:cs="Times New Roman"/>
          <w:b/>
          <w:sz w:val="24"/>
          <w:szCs w:val="24"/>
        </w:rPr>
        <w:t>目标</w:t>
      </w:r>
    </w:p>
    <w:p w14:paraId="0166971A">
      <w:pPr>
        <w:autoSpaceDE w:val="0"/>
        <w:autoSpaceDN w:val="0"/>
        <w:adjustRightInd w:val="0"/>
        <w:spacing w:line="360" w:lineRule="auto"/>
        <w:ind w:firstLine="480" w:firstLineChars="200"/>
        <w:jc w:val="left"/>
        <w:rPr>
          <w:rFonts w:ascii="宋体" w:hAnsi="宋体" w:eastAsia="宋体" w:cs="Times New Roman"/>
          <w:b/>
          <w:sz w:val="24"/>
          <w:szCs w:val="22"/>
        </w:rPr>
      </w:pPr>
      <w:r>
        <w:rPr>
          <w:rFonts w:ascii="Times New Roman" w:hAnsi="Times New Roman" w:eastAsia="宋体" w:cs="Times New Roman"/>
          <w:sz w:val="24"/>
          <w:szCs w:val="24"/>
        </w:rPr>
        <w:t>用马克思主义观点剖析</w:t>
      </w:r>
      <w:r>
        <w:rPr>
          <w:rFonts w:hint="eastAsia" w:ascii="Times New Roman" w:hAnsi="Times New Roman" w:eastAsia="宋体" w:cs="Times New Roman"/>
          <w:sz w:val="24"/>
          <w:szCs w:val="24"/>
        </w:rPr>
        <w:t>人类历史发展规律，理解</w:t>
      </w:r>
      <w:r>
        <w:rPr>
          <w:rFonts w:ascii="Times New Roman" w:hAnsi="Times New Roman" w:eastAsia="宋体" w:cs="Times New Roman"/>
          <w:sz w:val="24"/>
          <w:szCs w:val="24"/>
        </w:rPr>
        <w:t>我国新时代社会转型及教育</w:t>
      </w:r>
      <w:r>
        <w:rPr>
          <w:rFonts w:hint="eastAsia" w:ascii="Times New Roman" w:hAnsi="Times New Roman" w:eastAsia="宋体" w:cs="Times New Roman"/>
          <w:sz w:val="24"/>
          <w:szCs w:val="24"/>
        </w:rPr>
        <w:t>改革</w:t>
      </w:r>
      <w:r>
        <w:rPr>
          <w:rFonts w:ascii="Times New Roman" w:hAnsi="Times New Roman" w:eastAsia="宋体" w:cs="Times New Roman"/>
          <w:sz w:val="24"/>
          <w:szCs w:val="24"/>
        </w:rPr>
        <w:t>需求</w:t>
      </w:r>
      <w:r>
        <w:rPr>
          <w:rFonts w:hint="eastAsia" w:ascii="Times New Roman" w:hAnsi="Times New Roman" w:eastAsia="宋体" w:cs="Times New Roman"/>
          <w:sz w:val="24"/>
          <w:szCs w:val="24"/>
        </w:rPr>
        <w:t>；</w:t>
      </w:r>
      <w:r>
        <w:rPr>
          <w:rFonts w:ascii="Times New Roman" w:hAnsi="Times New Roman" w:eastAsia="宋体" w:cs="Times New Roman"/>
          <w:sz w:val="24"/>
          <w:szCs w:val="24"/>
        </w:rPr>
        <w:t>明确基础教育要以人民为中心</w:t>
      </w:r>
      <w:r>
        <w:rPr>
          <w:rFonts w:hint="eastAsia" w:ascii="Times New Roman" w:hAnsi="Times New Roman" w:eastAsia="宋体" w:cs="Times New Roman"/>
          <w:sz w:val="24"/>
          <w:szCs w:val="24"/>
        </w:rPr>
        <w:t>、</w:t>
      </w:r>
      <w:r>
        <w:rPr>
          <w:rFonts w:ascii="Times New Roman" w:hAnsi="Times New Roman" w:eastAsia="宋体" w:cs="Times New Roman"/>
          <w:sz w:val="24"/>
          <w:szCs w:val="24"/>
        </w:rPr>
        <w:t>发展教育要促进人的全面发展</w:t>
      </w:r>
      <w:r>
        <w:rPr>
          <w:rFonts w:hint="eastAsia" w:ascii="Times New Roman" w:hAnsi="Times New Roman" w:eastAsia="宋体" w:cs="Times New Roman"/>
          <w:sz w:val="24"/>
          <w:szCs w:val="24"/>
        </w:rPr>
        <w:t>等基本治国理念。</w:t>
      </w:r>
    </w:p>
    <w:p w14:paraId="33BB5D8C">
      <w:pPr>
        <w:autoSpaceDE w:val="0"/>
        <w:autoSpaceDN w:val="0"/>
        <w:adjustRightInd w:val="0"/>
        <w:spacing w:line="360" w:lineRule="auto"/>
        <w:jc w:val="left"/>
        <w:rPr>
          <w:rFonts w:ascii="宋体" w:hAnsi="宋体" w:eastAsia="宋体" w:cs="Times New Roman"/>
          <w:b/>
          <w:sz w:val="24"/>
          <w:szCs w:val="24"/>
        </w:rPr>
      </w:pPr>
      <w:r>
        <w:rPr>
          <w:rFonts w:ascii="宋体" w:hAnsi="宋体" w:eastAsia="宋体" w:cs="Times New Roman"/>
          <w:b/>
          <w:sz w:val="24"/>
          <w:szCs w:val="24"/>
        </w:rPr>
        <w:t>教学重点</w:t>
      </w:r>
      <w:r>
        <w:rPr>
          <w:rFonts w:hint="eastAsia" w:ascii="宋体" w:hAnsi="宋体" w:eastAsia="宋体" w:cs="Times New Roman"/>
          <w:b/>
          <w:sz w:val="24"/>
          <w:szCs w:val="24"/>
        </w:rPr>
        <w:t>：</w:t>
      </w:r>
      <w:r>
        <w:rPr>
          <w:rFonts w:hint="eastAsia" w:ascii="Times New Roman" w:hAnsi="Times New Roman" w:eastAsia="宋体" w:cs="Times New Roman"/>
          <w:sz w:val="24"/>
          <w:szCs w:val="24"/>
        </w:rPr>
        <w:t>基础教育改革的必要性</w:t>
      </w:r>
    </w:p>
    <w:p w14:paraId="6600A9EF">
      <w:pPr>
        <w:autoSpaceDE w:val="0"/>
        <w:autoSpaceDN w:val="0"/>
        <w:adjustRightInd w:val="0"/>
        <w:spacing w:line="360" w:lineRule="auto"/>
        <w:jc w:val="left"/>
        <w:rPr>
          <w:rFonts w:ascii="宋体" w:hAnsi="宋体" w:eastAsia="宋体" w:cs="Times New Roman"/>
          <w:b/>
          <w:sz w:val="24"/>
          <w:szCs w:val="24"/>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rPr>
        <w:t>基础教育当下的问题</w:t>
      </w:r>
    </w:p>
    <w:p w14:paraId="58B57173">
      <w:pPr>
        <w:spacing w:line="360" w:lineRule="auto"/>
        <w:rPr>
          <w:rFonts w:ascii="宋体" w:hAnsi="宋体" w:eastAsia="宋体" w:cs="Times New Roman"/>
          <w:b/>
          <w:sz w:val="24"/>
          <w:szCs w:val="24"/>
        </w:rPr>
      </w:pPr>
      <w:bookmarkStart w:id="1002" w:name="_Toc27847317"/>
      <w:r>
        <w:rPr>
          <w:rFonts w:hint="eastAsia" w:ascii="宋体" w:hAnsi="宋体" w:eastAsia="宋体" w:cs="Times New Roman"/>
          <w:b/>
          <w:color w:val="000000"/>
          <w:sz w:val="24"/>
          <w:szCs w:val="24"/>
        </w:rPr>
        <w:t>（二）</w:t>
      </w:r>
      <w:r>
        <w:rPr>
          <w:rFonts w:hint="eastAsia" w:ascii="Times New Roman" w:hAnsi="Times New Roman" w:eastAsia="宋体" w:cs="Times New Roman"/>
          <w:b/>
          <w:sz w:val="24"/>
          <w:szCs w:val="24"/>
          <w:lang w:val="en-US" w:eastAsia="zh-CN"/>
        </w:rPr>
        <w:t>美国</w:t>
      </w:r>
      <w:r>
        <w:rPr>
          <w:rFonts w:hint="eastAsia" w:ascii="Times New Roman" w:hAnsi="Times New Roman" w:eastAsia="宋体" w:cs="Times New Roman"/>
          <w:b/>
          <w:sz w:val="24"/>
          <w:szCs w:val="24"/>
        </w:rPr>
        <w:t>基础教育改革</w:t>
      </w:r>
      <w:r>
        <w:rPr>
          <w:rFonts w:hint="eastAsia" w:ascii="Times New Roman" w:hAnsi="Times New Roman" w:eastAsia="宋体" w:cs="Times New Roman"/>
          <w:b/>
          <w:sz w:val="24"/>
          <w:szCs w:val="24"/>
          <w:lang w:val="en-US" w:eastAsia="zh-CN"/>
        </w:rPr>
        <w:t>热点</w:t>
      </w:r>
      <w:r>
        <w:rPr>
          <w:rFonts w:hint="eastAsia" w:ascii="宋体" w:hAnsi="宋体" w:eastAsia="宋体" w:cs="Times New Roman"/>
          <w:b/>
          <w:sz w:val="24"/>
          <w:szCs w:val="24"/>
        </w:rPr>
        <w:t>（本模块各知识点的讲授与学习，可以支撑课程目标2、</w:t>
      </w:r>
      <w:r>
        <w:rPr>
          <w:rFonts w:hint="eastAsia" w:ascii="宋体" w:hAnsi="宋体" w:eastAsia="宋体" w:cs="Times New Roman"/>
          <w:b/>
          <w:color w:val="000000"/>
          <w:sz w:val="24"/>
          <w:szCs w:val="24"/>
        </w:rPr>
        <w:t>课程目标4</w:t>
      </w:r>
      <w:r>
        <w:rPr>
          <w:rFonts w:hint="eastAsia" w:ascii="宋体" w:hAnsi="宋体" w:eastAsia="宋体" w:cs="Times New Roman"/>
          <w:b/>
          <w:sz w:val="24"/>
          <w:szCs w:val="24"/>
        </w:rPr>
        <w:t>）</w:t>
      </w:r>
      <w:bookmarkEnd w:id="1002"/>
    </w:p>
    <w:p w14:paraId="096FB954">
      <w:pPr>
        <w:autoSpaceDE w:val="0"/>
        <w:autoSpaceDN w:val="0"/>
        <w:adjustRightInd w:val="0"/>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1．教学内容</w:t>
      </w:r>
    </w:p>
    <w:p w14:paraId="34CD264E">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）美国基础教育改革的进程</w:t>
      </w:r>
    </w:p>
    <w:p w14:paraId="0FAD617D">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）美国基础教育改革的问题</w:t>
      </w:r>
    </w:p>
    <w:p w14:paraId="07901C10">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）美国基础教育改革的现实意义</w:t>
      </w:r>
    </w:p>
    <w:p w14:paraId="4F96039E">
      <w:pPr>
        <w:autoSpaceDE w:val="0"/>
        <w:autoSpaceDN w:val="0"/>
        <w:adjustRightInd w:val="0"/>
        <w:spacing w:line="360" w:lineRule="auto"/>
        <w:jc w:val="left"/>
        <w:rPr>
          <w:rFonts w:ascii="Times New Roman" w:hAnsi="Times New Roman" w:eastAsia="宋体" w:cs="Times New Roman"/>
          <w:sz w:val="24"/>
          <w:szCs w:val="24"/>
        </w:rPr>
      </w:pPr>
      <w:r>
        <w:rPr>
          <w:rFonts w:hint="eastAsia" w:ascii="宋体" w:hAnsi="宋体" w:eastAsia="宋体" w:cs="Times New Roman"/>
          <w:b/>
          <w:sz w:val="24"/>
          <w:szCs w:val="24"/>
        </w:rPr>
        <w:t>2．基本要求</w:t>
      </w:r>
    </w:p>
    <w:p w14:paraId="5F9FF972">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）了解美国基础教育改革的概况</w:t>
      </w:r>
    </w:p>
    <w:p w14:paraId="7593BA0A">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（2）掌握美国基础教育的精神实质及对中国的启示</w:t>
      </w:r>
    </w:p>
    <w:p w14:paraId="5890168B">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085E932C">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 xml:space="preserve">用马克思辩证唯物主义的观点全面分析美国基础教育改革的历史背景，以客观开放的心态吸收借鉴国外先进教育改革经验；坚持中国特色社会主义文化自信。 </w:t>
      </w:r>
    </w:p>
    <w:p w14:paraId="1594CF0A">
      <w:pPr>
        <w:spacing w:line="360" w:lineRule="auto"/>
        <w:rPr>
          <w:rFonts w:ascii="宋体" w:hAnsi="宋体" w:eastAsia="宋体" w:cs="Times New Roman"/>
          <w:b/>
          <w:color w:val="000000"/>
          <w:sz w:val="24"/>
          <w:szCs w:val="24"/>
        </w:rPr>
      </w:pPr>
      <w:bookmarkStart w:id="1003" w:name="_Toc27847318"/>
      <w:r>
        <w:rPr>
          <w:rFonts w:hint="eastAsia" w:ascii="宋体" w:hAnsi="宋体" w:eastAsia="宋体" w:cs="Times New Roman"/>
          <w:b/>
          <w:color w:val="000000"/>
          <w:sz w:val="24"/>
          <w:szCs w:val="24"/>
        </w:rPr>
        <w:t>教学重点：</w:t>
      </w:r>
      <w:r>
        <w:rPr>
          <w:rFonts w:hint="eastAsia" w:ascii="Times New Roman" w:hAnsi="Times New Roman" w:eastAsia="宋体" w:cs="Times New Roman"/>
          <w:sz w:val="24"/>
          <w:szCs w:val="24"/>
        </w:rPr>
        <w:t>美国基础教育改革的概况</w:t>
      </w:r>
      <w:bookmarkEnd w:id="1003"/>
    </w:p>
    <w:p w14:paraId="14290C5A">
      <w:pPr>
        <w:spacing w:line="360" w:lineRule="auto"/>
        <w:rPr>
          <w:rFonts w:ascii="宋体" w:hAnsi="宋体" w:eastAsia="宋体" w:cs="Times New Roman"/>
          <w:b/>
          <w:color w:val="000000"/>
          <w:sz w:val="24"/>
          <w:szCs w:val="24"/>
        </w:rPr>
      </w:pPr>
      <w:bookmarkStart w:id="1004" w:name="_Toc27847319"/>
      <w:r>
        <w:rPr>
          <w:rFonts w:hint="eastAsia" w:ascii="宋体" w:hAnsi="宋体" w:eastAsia="宋体" w:cs="Times New Roman"/>
          <w:b/>
          <w:color w:val="000000"/>
          <w:sz w:val="24"/>
          <w:szCs w:val="24"/>
        </w:rPr>
        <w:t>教学难点：</w:t>
      </w:r>
      <w:r>
        <w:rPr>
          <w:rFonts w:hint="eastAsia" w:ascii="Times New Roman" w:hAnsi="Times New Roman" w:eastAsia="宋体" w:cs="Times New Roman"/>
          <w:sz w:val="24"/>
          <w:szCs w:val="24"/>
        </w:rPr>
        <w:t>美国基础教育改革对中国的启示</w:t>
      </w:r>
      <w:bookmarkEnd w:id="1004"/>
    </w:p>
    <w:p w14:paraId="60B162D2">
      <w:pPr>
        <w:autoSpaceDE w:val="0"/>
        <w:autoSpaceDN w:val="0"/>
        <w:adjustRightInd w:val="0"/>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（三）</w:t>
      </w:r>
      <w:r>
        <w:rPr>
          <w:rFonts w:hint="eastAsia" w:ascii="Times New Roman" w:hAnsi="Times New Roman" w:eastAsia="宋体" w:cs="Times New Roman"/>
          <w:b/>
          <w:sz w:val="24"/>
          <w:szCs w:val="24"/>
          <w:lang w:val="en-US" w:eastAsia="zh-CN"/>
        </w:rPr>
        <w:t>英国</w:t>
      </w:r>
      <w:r>
        <w:rPr>
          <w:rFonts w:hint="eastAsia" w:ascii="Times New Roman" w:hAnsi="Times New Roman" w:eastAsia="宋体" w:cs="Times New Roman"/>
          <w:b/>
          <w:sz w:val="24"/>
          <w:szCs w:val="24"/>
        </w:rPr>
        <w:t>基础教育改革</w:t>
      </w:r>
      <w:r>
        <w:rPr>
          <w:rFonts w:hint="eastAsia" w:ascii="Times New Roman" w:hAnsi="Times New Roman" w:eastAsia="宋体" w:cs="Times New Roman"/>
          <w:b/>
          <w:sz w:val="24"/>
          <w:szCs w:val="24"/>
          <w:lang w:val="en-US" w:eastAsia="zh-CN"/>
        </w:rPr>
        <w:t>热点</w:t>
      </w:r>
      <w:r>
        <w:rPr>
          <w:rFonts w:hint="eastAsia" w:ascii="宋体" w:hAnsi="宋体" w:eastAsia="宋体" w:cs="Times New Roman"/>
          <w:b/>
          <w:sz w:val="24"/>
          <w:szCs w:val="24"/>
        </w:rPr>
        <w:t>（本模块各知识点的讲授与学习，可以支撑课程目标2、</w:t>
      </w:r>
      <w:r>
        <w:rPr>
          <w:rFonts w:hint="eastAsia" w:ascii="宋体" w:hAnsi="宋体" w:eastAsia="宋体" w:cs="Times New Roman"/>
          <w:b/>
          <w:color w:val="000000"/>
          <w:sz w:val="24"/>
          <w:szCs w:val="24"/>
        </w:rPr>
        <w:t>课程目标4</w:t>
      </w:r>
      <w:r>
        <w:rPr>
          <w:rFonts w:hint="eastAsia" w:ascii="宋体" w:hAnsi="宋体" w:eastAsia="宋体" w:cs="Times New Roman"/>
          <w:b/>
          <w:sz w:val="24"/>
          <w:szCs w:val="24"/>
        </w:rPr>
        <w:t>）</w:t>
      </w:r>
    </w:p>
    <w:p w14:paraId="20279E38">
      <w:pPr>
        <w:autoSpaceDE w:val="0"/>
        <w:autoSpaceDN w:val="0"/>
        <w:adjustRightInd w:val="0"/>
        <w:spacing w:line="360" w:lineRule="auto"/>
        <w:jc w:val="left"/>
        <w:rPr>
          <w:rFonts w:ascii="宋体" w:hAnsi="宋体" w:eastAsia="宋体" w:cs="Times New Roman"/>
          <w:b/>
          <w:sz w:val="24"/>
          <w:szCs w:val="24"/>
        </w:rPr>
      </w:pPr>
      <w:r>
        <w:rPr>
          <w:rFonts w:ascii="宋体" w:hAnsi="宋体" w:eastAsia="宋体" w:cs="Times New Roman"/>
          <w:b/>
          <w:sz w:val="24"/>
          <w:szCs w:val="24"/>
        </w:rPr>
        <w:t>1</w:t>
      </w:r>
      <w:r>
        <w:rPr>
          <w:rFonts w:hint="eastAsia" w:ascii="宋体" w:hAnsi="宋体" w:eastAsia="宋体" w:cs="Times New Roman"/>
          <w:b/>
          <w:sz w:val="24"/>
          <w:szCs w:val="24"/>
        </w:rPr>
        <w:t>．教学内容</w:t>
      </w:r>
    </w:p>
    <w:p w14:paraId="501360A2">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）英国基础教育改革的进程</w:t>
      </w:r>
    </w:p>
    <w:p w14:paraId="08D37602">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（2）英国基础教育改革的问题</w:t>
      </w:r>
    </w:p>
    <w:p w14:paraId="111AA1AA">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（3）英国基础教育改革的现实意义</w:t>
      </w:r>
    </w:p>
    <w:p w14:paraId="3FA7C389">
      <w:pPr>
        <w:autoSpaceDE w:val="0"/>
        <w:autoSpaceDN w:val="0"/>
        <w:adjustRightInd w:val="0"/>
        <w:spacing w:line="360" w:lineRule="auto"/>
        <w:jc w:val="left"/>
        <w:rPr>
          <w:rFonts w:ascii="宋体" w:hAnsi="宋体" w:eastAsia="宋体" w:cs="Times New Roman"/>
          <w:b/>
          <w:sz w:val="24"/>
          <w:szCs w:val="24"/>
        </w:rPr>
      </w:pPr>
      <w:r>
        <w:rPr>
          <w:rFonts w:hint="eastAsia" w:ascii="宋体" w:hAnsi="宋体" w:eastAsia="宋体" w:cs="Times New Roman"/>
          <w:b/>
          <w:sz w:val="24"/>
          <w:szCs w:val="24"/>
        </w:rPr>
        <w:t>2. 基本要求</w:t>
      </w:r>
    </w:p>
    <w:p w14:paraId="4A905B17">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（1）了解英国基础教育改革的概况</w:t>
      </w:r>
    </w:p>
    <w:p w14:paraId="5628E6C5">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（2）掌握英国基础教育的精神实质及对中国的启示</w:t>
      </w:r>
    </w:p>
    <w:p w14:paraId="21547FB1">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43EFB851">
      <w:pPr>
        <w:spacing w:line="360" w:lineRule="auto"/>
        <w:ind w:firstLine="480" w:firstLineChars="200"/>
        <w:rPr>
          <w:rFonts w:ascii="宋体" w:hAnsi="宋体" w:eastAsia="宋体" w:cs="Times New Roman"/>
          <w:color w:val="000000"/>
          <w:sz w:val="24"/>
          <w:szCs w:val="22"/>
        </w:rPr>
      </w:pPr>
      <w:bookmarkStart w:id="1005" w:name="_Toc27847320"/>
      <w:r>
        <w:rPr>
          <w:rFonts w:hint="eastAsia" w:ascii="宋体" w:hAnsi="宋体" w:eastAsia="宋体" w:cs="Times New Roman"/>
          <w:color w:val="000000"/>
          <w:sz w:val="24"/>
          <w:szCs w:val="22"/>
        </w:rPr>
        <w:t>用马克思辩证唯物主义的观点全面分析</w:t>
      </w:r>
      <w:r>
        <w:rPr>
          <w:rFonts w:hint="eastAsia" w:ascii="宋体" w:hAnsi="宋体" w:eastAsia="宋体" w:cs="Times New Roman"/>
          <w:color w:val="000000"/>
          <w:sz w:val="24"/>
          <w:szCs w:val="22"/>
          <w:lang w:val="en-US" w:eastAsia="zh-CN"/>
        </w:rPr>
        <w:t>英</w:t>
      </w:r>
      <w:r>
        <w:rPr>
          <w:rFonts w:hint="eastAsia" w:ascii="宋体" w:hAnsi="宋体" w:eastAsia="宋体" w:cs="Times New Roman"/>
          <w:color w:val="000000"/>
          <w:sz w:val="24"/>
          <w:szCs w:val="22"/>
        </w:rPr>
        <w:t>国基础教育改革的历史背景，以客观开放的心态吸收借鉴国外先进教育改革经验；坚持中国特色社会主义文化自信。</w:t>
      </w:r>
    </w:p>
    <w:p w14:paraId="3DC63ACA">
      <w:p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教学重点：</w:t>
      </w:r>
      <w:r>
        <w:rPr>
          <w:rFonts w:hint="eastAsia" w:ascii="Times New Roman" w:hAnsi="Times New Roman" w:eastAsia="宋体" w:cs="Times New Roman"/>
          <w:sz w:val="24"/>
          <w:szCs w:val="24"/>
        </w:rPr>
        <w:t>英国基础教育改革的概况</w:t>
      </w:r>
      <w:bookmarkEnd w:id="1005"/>
    </w:p>
    <w:p w14:paraId="55E25EAC">
      <w:pPr>
        <w:spacing w:line="360" w:lineRule="auto"/>
        <w:rPr>
          <w:rFonts w:ascii="宋体" w:hAnsi="宋体" w:eastAsia="宋体" w:cs="Times New Roman"/>
          <w:b/>
          <w:color w:val="000000"/>
          <w:sz w:val="24"/>
          <w:szCs w:val="24"/>
        </w:rPr>
      </w:pPr>
      <w:bookmarkStart w:id="1006" w:name="_Toc27847321"/>
      <w:r>
        <w:rPr>
          <w:rFonts w:hint="eastAsia" w:ascii="宋体" w:hAnsi="宋体" w:eastAsia="宋体" w:cs="Times New Roman"/>
          <w:b/>
          <w:color w:val="000000"/>
          <w:sz w:val="24"/>
          <w:szCs w:val="24"/>
        </w:rPr>
        <w:t>教学难点：</w:t>
      </w:r>
      <w:r>
        <w:rPr>
          <w:rFonts w:hint="eastAsia" w:ascii="Times New Roman" w:hAnsi="Times New Roman" w:eastAsia="宋体" w:cs="Times New Roman"/>
          <w:sz w:val="24"/>
          <w:szCs w:val="24"/>
        </w:rPr>
        <w:t>英国基础教育改革对中国的启示</w:t>
      </w:r>
      <w:bookmarkEnd w:id="1006"/>
    </w:p>
    <w:p w14:paraId="35374254">
      <w:pPr>
        <w:autoSpaceDE w:val="0"/>
        <w:autoSpaceDN w:val="0"/>
        <w:adjustRightInd w:val="0"/>
        <w:spacing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（四）</w:t>
      </w:r>
      <w:r>
        <w:rPr>
          <w:rFonts w:hint="eastAsia" w:ascii="Times New Roman" w:hAnsi="Times New Roman" w:eastAsia="宋体" w:cs="Times New Roman"/>
          <w:b/>
          <w:sz w:val="24"/>
          <w:szCs w:val="24"/>
          <w:lang w:val="en-US" w:eastAsia="zh-CN"/>
        </w:rPr>
        <w:t>日本</w:t>
      </w:r>
      <w:r>
        <w:rPr>
          <w:rFonts w:hint="eastAsia" w:ascii="Times New Roman" w:hAnsi="Times New Roman" w:eastAsia="宋体" w:cs="Times New Roman"/>
          <w:b/>
          <w:sz w:val="24"/>
          <w:szCs w:val="24"/>
        </w:rPr>
        <w:t>基础教育改革</w:t>
      </w:r>
      <w:r>
        <w:rPr>
          <w:rFonts w:hint="eastAsia" w:ascii="Times New Roman" w:hAnsi="Times New Roman" w:eastAsia="宋体" w:cs="Times New Roman"/>
          <w:b/>
          <w:sz w:val="24"/>
          <w:szCs w:val="24"/>
          <w:lang w:val="en-US" w:eastAsia="zh-CN"/>
        </w:rPr>
        <w:t>热点</w:t>
      </w:r>
      <w:r>
        <w:rPr>
          <w:rFonts w:hint="eastAsia" w:ascii="宋体" w:hAnsi="宋体" w:eastAsia="宋体" w:cs="Times New Roman"/>
          <w:b/>
          <w:sz w:val="24"/>
          <w:szCs w:val="24"/>
        </w:rPr>
        <w:t>（本模块各知识点的讲授与学习，可以支撑课程目标2、</w:t>
      </w:r>
      <w:r>
        <w:rPr>
          <w:rFonts w:hint="eastAsia" w:ascii="宋体" w:hAnsi="宋体" w:eastAsia="宋体" w:cs="Times New Roman"/>
          <w:b/>
          <w:color w:val="000000"/>
          <w:sz w:val="24"/>
          <w:szCs w:val="24"/>
        </w:rPr>
        <w:t>课程目标4</w:t>
      </w:r>
      <w:r>
        <w:rPr>
          <w:rFonts w:hint="eastAsia" w:ascii="宋体" w:hAnsi="宋体" w:eastAsia="宋体" w:cs="Times New Roman"/>
          <w:b/>
          <w:sz w:val="24"/>
          <w:szCs w:val="24"/>
        </w:rPr>
        <w:t>）</w:t>
      </w:r>
    </w:p>
    <w:p w14:paraId="26ABD5BC">
      <w:pPr>
        <w:autoSpaceDE w:val="0"/>
        <w:autoSpaceDN w:val="0"/>
        <w:adjustRightInd w:val="0"/>
        <w:spacing w:line="360" w:lineRule="auto"/>
        <w:jc w:val="left"/>
        <w:rPr>
          <w:rFonts w:ascii="宋体" w:hAnsi="宋体" w:eastAsia="宋体" w:cs="Times New Roman"/>
          <w:b/>
          <w:sz w:val="24"/>
          <w:szCs w:val="24"/>
        </w:rPr>
      </w:pPr>
      <w:r>
        <w:rPr>
          <w:rFonts w:ascii="宋体" w:hAnsi="宋体" w:eastAsia="宋体" w:cs="Times New Roman"/>
          <w:b/>
          <w:sz w:val="24"/>
          <w:szCs w:val="24"/>
        </w:rPr>
        <w:t>1</w:t>
      </w:r>
      <w:r>
        <w:rPr>
          <w:rFonts w:hint="eastAsia" w:ascii="宋体" w:hAnsi="宋体" w:eastAsia="宋体" w:cs="Times New Roman"/>
          <w:b/>
          <w:sz w:val="24"/>
          <w:szCs w:val="24"/>
        </w:rPr>
        <w:t>．教学内容</w:t>
      </w:r>
    </w:p>
    <w:p w14:paraId="4180AB21">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日本</w:t>
      </w:r>
      <w:r>
        <w:rPr>
          <w:rFonts w:hint="eastAsia" w:ascii="Times New Roman" w:hAnsi="Times New Roman" w:eastAsia="宋体" w:cs="Times New Roman"/>
          <w:sz w:val="24"/>
          <w:szCs w:val="24"/>
        </w:rPr>
        <w:t>基础教育改革的进程</w:t>
      </w:r>
    </w:p>
    <w:p w14:paraId="32D48866">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日本</w:t>
      </w:r>
      <w:r>
        <w:rPr>
          <w:rFonts w:hint="eastAsia" w:ascii="Times New Roman" w:hAnsi="Times New Roman" w:eastAsia="宋体" w:cs="Times New Roman"/>
          <w:sz w:val="24"/>
          <w:szCs w:val="24"/>
        </w:rPr>
        <w:t>基础教育改革的问题</w:t>
      </w:r>
    </w:p>
    <w:p w14:paraId="1BD1E41C">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日本</w:t>
      </w:r>
      <w:r>
        <w:rPr>
          <w:rFonts w:hint="eastAsia" w:ascii="Times New Roman" w:hAnsi="Times New Roman" w:eastAsia="宋体" w:cs="Times New Roman"/>
          <w:sz w:val="24"/>
          <w:szCs w:val="24"/>
        </w:rPr>
        <w:t>基础教育改革的现实意义</w:t>
      </w:r>
    </w:p>
    <w:p w14:paraId="77266494">
      <w:pPr>
        <w:autoSpaceDE w:val="0"/>
        <w:autoSpaceDN w:val="0"/>
        <w:adjustRightInd w:val="0"/>
        <w:spacing w:line="360" w:lineRule="auto"/>
        <w:jc w:val="left"/>
        <w:rPr>
          <w:rFonts w:ascii="宋体" w:hAnsi="宋体" w:eastAsia="宋体" w:cs="Times New Roman"/>
          <w:b/>
          <w:sz w:val="24"/>
          <w:szCs w:val="24"/>
        </w:rPr>
      </w:pPr>
      <w:r>
        <w:rPr>
          <w:rFonts w:hint="eastAsia" w:ascii="宋体" w:hAnsi="宋体" w:eastAsia="宋体" w:cs="Times New Roman"/>
          <w:b/>
          <w:sz w:val="24"/>
          <w:szCs w:val="24"/>
        </w:rPr>
        <w:t>2. 基本要求</w:t>
      </w:r>
    </w:p>
    <w:p w14:paraId="27DC8CBE">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w:t>
      </w:r>
      <w:r>
        <w:rPr>
          <w:rFonts w:hint="eastAsia" w:ascii="Times New Roman" w:hAnsi="Times New Roman" w:eastAsia="宋体" w:cs="Times New Roman"/>
          <w:sz w:val="24"/>
          <w:szCs w:val="24"/>
          <w:lang w:val="en-US" w:eastAsia="zh-CN"/>
        </w:rPr>
        <w:t>日本</w:t>
      </w:r>
      <w:r>
        <w:rPr>
          <w:rFonts w:hint="eastAsia" w:ascii="Times New Roman" w:hAnsi="Times New Roman" w:eastAsia="宋体" w:cs="Times New Roman"/>
          <w:sz w:val="24"/>
          <w:szCs w:val="24"/>
        </w:rPr>
        <w:t>基础教育改革的概况</w:t>
      </w:r>
    </w:p>
    <w:p w14:paraId="05841C38">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w:t>
      </w:r>
      <w:r>
        <w:rPr>
          <w:rFonts w:hint="eastAsia" w:ascii="Times New Roman" w:hAnsi="Times New Roman" w:eastAsia="宋体" w:cs="Times New Roman"/>
          <w:sz w:val="24"/>
          <w:szCs w:val="24"/>
          <w:lang w:val="en-US" w:eastAsia="zh-CN"/>
        </w:rPr>
        <w:t>日本</w:t>
      </w:r>
      <w:r>
        <w:rPr>
          <w:rFonts w:hint="eastAsia" w:ascii="Times New Roman" w:hAnsi="Times New Roman" w:eastAsia="宋体" w:cs="Times New Roman"/>
          <w:sz w:val="24"/>
          <w:szCs w:val="24"/>
        </w:rPr>
        <w:t>基础教育的精神实质及对中国的启示</w:t>
      </w:r>
    </w:p>
    <w:p w14:paraId="1A8FB132">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11CD43B0">
      <w:pPr>
        <w:spacing w:line="360" w:lineRule="auto"/>
        <w:ind w:firstLine="480" w:firstLineChars="200"/>
        <w:rPr>
          <w:rFonts w:ascii="宋体" w:hAnsi="宋体" w:eastAsia="宋体" w:cs="Times New Roman"/>
          <w:color w:val="000000"/>
          <w:sz w:val="24"/>
          <w:szCs w:val="22"/>
        </w:rPr>
      </w:pPr>
      <w:bookmarkStart w:id="1007" w:name="_Toc27847322"/>
      <w:r>
        <w:rPr>
          <w:rFonts w:hint="eastAsia" w:ascii="宋体" w:hAnsi="宋体" w:eastAsia="宋体" w:cs="Times New Roman"/>
          <w:color w:val="000000"/>
          <w:sz w:val="24"/>
          <w:szCs w:val="22"/>
        </w:rPr>
        <w:t>用马克思辩证唯物主义的观点全面分析</w:t>
      </w:r>
      <w:r>
        <w:rPr>
          <w:rFonts w:hint="eastAsia" w:ascii="宋体" w:hAnsi="宋体" w:eastAsia="宋体" w:cs="Times New Roman"/>
          <w:color w:val="000000"/>
          <w:sz w:val="24"/>
          <w:szCs w:val="22"/>
          <w:lang w:val="en-US" w:eastAsia="zh-CN"/>
        </w:rPr>
        <w:t>日本</w:t>
      </w:r>
      <w:r>
        <w:rPr>
          <w:rFonts w:hint="eastAsia" w:ascii="宋体" w:hAnsi="宋体" w:eastAsia="宋体" w:cs="Times New Roman"/>
          <w:color w:val="000000"/>
          <w:sz w:val="24"/>
          <w:szCs w:val="22"/>
        </w:rPr>
        <w:t>基础教育改革的历史背景，以客观开放的心态吸收借鉴国外先进教育改革经验；坚持中国特色社会主义文化自信。</w:t>
      </w:r>
    </w:p>
    <w:p w14:paraId="3F975C88">
      <w:p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教学重点：</w:t>
      </w:r>
      <w:r>
        <w:rPr>
          <w:rFonts w:hint="eastAsia" w:ascii="Times New Roman" w:hAnsi="Times New Roman" w:eastAsia="宋体" w:cs="Times New Roman"/>
          <w:sz w:val="24"/>
          <w:szCs w:val="24"/>
          <w:lang w:val="en-US" w:eastAsia="zh-CN"/>
        </w:rPr>
        <w:t>日本</w:t>
      </w:r>
      <w:r>
        <w:rPr>
          <w:rFonts w:hint="eastAsia" w:ascii="Times New Roman" w:hAnsi="Times New Roman" w:eastAsia="宋体" w:cs="Times New Roman"/>
          <w:sz w:val="24"/>
          <w:szCs w:val="24"/>
        </w:rPr>
        <w:t>基础教育改革的概况</w:t>
      </w:r>
      <w:bookmarkEnd w:id="1007"/>
    </w:p>
    <w:p w14:paraId="1343D6FA">
      <w:pPr>
        <w:spacing w:line="360" w:lineRule="auto"/>
        <w:rPr>
          <w:rFonts w:ascii="宋体" w:hAnsi="宋体" w:eastAsia="宋体" w:cs="Times New Roman"/>
          <w:b/>
          <w:color w:val="000000"/>
          <w:sz w:val="24"/>
          <w:szCs w:val="24"/>
        </w:rPr>
      </w:pPr>
      <w:bookmarkStart w:id="1008" w:name="_Toc27847323"/>
      <w:r>
        <w:rPr>
          <w:rFonts w:hint="eastAsia" w:ascii="宋体" w:hAnsi="宋体" w:eastAsia="宋体" w:cs="Times New Roman"/>
          <w:b/>
          <w:color w:val="000000"/>
          <w:sz w:val="24"/>
          <w:szCs w:val="24"/>
        </w:rPr>
        <w:t>教学难点：</w:t>
      </w:r>
      <w:r>
        <w:rPr>
          <w:rFonts w:hint="eastAsia" w:ascii="Times New Roman" w:hAnsi="Times New Roman" w:eastAsia="宋体" w:cs="Times New Roman"/>
          <w:sz w:val="24"/>
          <w:szCs w:val="24"/>
          <w:lang w:val="en-US" w:eastAsia="zh-CN"/>
        </w:rPr>
        <w:t>日本</w:t>
      </w:r>
      <w:r>
        <w:rPr>
          <w:rFonts w:hint="eastAsia" w:ascii="Times New Roman" w:hAnsi="Times New Roman" w:eastAsia="宋体" w:cs="Times New Roman"/>
          <w:sz w:val="24"/>
          <w:szCs w:val="24"/>
        </w:rPr>
        <w:t>基础教育改革对中国的启示</w:t>
      </w:r>
      <w:bookmarkEnd w:id="1008"/>
    </w:p>
    <w:p w14:paraId="31720945">
      <w:pPr>
        <w:spacing w:line="360" w:lineRule="auto"/>
        <w:rPr>
          <w:rFonts w:ascii="宋体" w:hAnsi="宋体" w:eastAsia="宋体" w:cs="Times New Roman"/>
          <w:b/>
          <w:color w:val="FF0000"/>
          <w:sz w:val="24"/>
          <w:szCs w:val="24"/>
        </w:rPr>
      </w:pPr>
      <w:bookmarkStart w:id="1009" w:name="_Toc27847324"/>
      <w:r>
        <w:rPr>
          <w:rFonts w:hint="eastAsia" w:ascii="宋体" w:hAnsi="宋体" w:eastAsia="宋体" w:cs="Times New Roman"/>
          <w:b/>
          <w:color w:val="000000"/>
          <w:sz w:val="24"/>
          <w:szCs w:val="24"/>
        </w:rPr>
        <w:t>（五）</w:t>
      </w:r>
      <w:r>
        <w:rPr>
          <w:rFonts w:hint="eastAsia" w:ascii="宋体" w:hAnsi="宋体" w:eastAsia="宋体" w:cs="Times New Roman"/>
          <w:b/>
          <w:color w:val="000000"/>
          <w:sz w:val="24"/>
          <w:szCs w:val="24"/>
          <w:lang w:val="en-US" w:eastAsia="zh-CN"/>
        </w:rPr>
        <w:t>中国</w:t>
      </w:r>
      <w:r>
        <w:rPr>
          <w:rFonts w:hint="eastAsia" w:ascii="Times New Roman" w:hAnsi="Times New Roman" w:eastAsia="宋体" w:cs="Times New Roman"/>
          <w:b/>
          <w:sz w:val="24"/>
          <w:szCs w:val="24"/>
        </w:rPr>
        <w:t>基础教育课程改革</w:t>
      </w:r>
      <w:r>
        <w:rPr>
          <w:rFonts w:hint="eastAsia" w:ascii="宋体" w:hAnsi="宋体" w:eastAsia="宋体" w:cs="Times New Roman"/>
          <w:b/>
          <w:color w:val="000000"/>
          <w:sz w:val="24"/>
          <w:szCs w:val="24"/>
        </w:rPr>
        <w:t>（本模块各知识点的讲授与学习，可以支撑课程目标3、课程目标4）</w:t>
      </w:r>
      <w:bookmarkEnd w:id="1009"/>
    </w:p>
    <w:p w14:paraId="2E06F9D0">
      <w:p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3AAE9A96">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）基础教育课程改革的国际潮流</w:t>
      </w:r>
    </w:p>
    <w:p w14:paraId="6325DAE3">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）我国基础教育课程改革的历史演进</w:t>
      </w:r>
    </w:p>
    <w:p w14:paraId="690E21B2">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）我国基础教育课程改革的政策分析</w:t>
      </w:r>
    </w:p>
    <w:p w14:paraId="7C35B64D">
      <w:pPr>
        <w:autoSpaceDE w:val="0"/>
        <w:autoSpaceDN w:val="0"/>
        <w:adjustRightInd w:val="0"/>
        <w:spacing w:line="360" w:lineRule="auto"/>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0C8ECC5A">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（1）了解基础教育课程改革的国际潮流</w:t>
      </w:r>
    </w:p>
    <w:p w14:paraId="76F2EF8E">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（2）理解我国基础教育课程改革的历史演进</w:t>
      </w:r>
    </w:p>
    <w:p w14:paraId="11292369">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hint="eastAsia" w:ascii="宋体" w:hAnsi="宋体" w:eastAsia="宋体" w:cs="Times New Roman"/>
          <w:color w:val="000000"/>
          <w:sz w:val="24"/>
          <w:szCs w:val="24"/>
        </w:rPr>
        <w:t>掌握</w:t>
      </w:r>
      <w:r>
        <w:rPr>
          <w:rFonts w:hint="eastAsia" w:ascii="Times New Roman" w:hAnsi="Times New Roman" w:eastAsia="宋体" w:cs="Times New Roman"/>
          <w:sz w:val="24"/>
          <w:szCs w:val="24"/>
        </w:rPr>
        <w:t>基础教育课程改革的政策及执行</w:t>
      </w:r>
    </w:p>
    <w:p w14:paraId="1FA42013">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43BF8488">
      <w:pPr>
        <w:spacing w:line="360" w:lineRule="auto"/>
        <w:ind w:firstLine="480" w:firstLineChars="200"/>
        <w:rPr>
          <w:rFonts w:ascii="宋体" w:hAnsi="宋体" w:eastAsia="宋体" w:cs="Times New Roman"/>
          <w:b/>
          <w:color w:val="000000"/>
          <w:sz w:val="24"/>
          <w:szCs w:val="22"/>
        </w:rPr>
      </w:pPr>
      <w:r>
        <w:rPr>
          <w:rFonts w:hint="eastAsia" w:ascii="Times New Roman" w:hAnsi="Times New Roman" w:eastAsia="宋体" w:cs="Times New Roman"/>
          <w:sz w:val="24"/>
          <w:szCs w:val="24"/>
        </w:rPr>
        <w:t>以历史唯物主义观点全面分析基础教育课程改革的国际动向，坚持把服务中华民族伟大复兴作为我国基础教育改革的重要历史使命；坚持基础教育的社会主义办学方向，培养全面发展的中国人。</w:t>
      </w:r>
    </w:p>
    <w:p w14:paraId="5FA9F138">
      <w:pPr>
        <w:spacing w:line="360" w:lineRule="auto"/>
        <w:rPr>
          <w:rFonts w:ascii="宋体" w:hAnsi="宋体" w:eastAsia="宋体" w:cs="Times New Roman"/>
          <w:color w:val="000000"/>
          <w:sz w:val="24"/>
          <w:szCs w:val="24"/>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rPr>
        <w:t>基础教育课程改革的政策</w:t>
      </w:r>
    </w:p>
    <w:p w14:paraId="2A09AF0E">
      <w:pPr>
        <w:spacing w:line="360" w:lineRule="auto"/>
        <w:rPr>
          <w:rFonts w:ascii="宋体" w:hAnsi="宋体" w:eastAsia="宋体" w:cs="Times New Roman"/>
          <w:color w:val="000000"/>
          <w:sz w:val="24"/>
          <w:szCs w:val="24"/>
        </w:rPr>
      </w:pPr>
      <w:r>
        <w:rPr>
          <w:rFonts w:hint="eastAsia" w:ascii="宋体" w:hAnsi="宋体" w:eastAsia="宋体" w:cs="Times New Roman"/>
          <w:b/>
          <w:sz w:val="24"/>
          <w:szCs w:val="24"/>
        </w:rPr>
        <w:t>教学难点</w:t>
      </w:r>
      <w:r>
        <w:rPr>
          <w:rFonts w:ascii="宋体" w:hAnsi="宋体" w:eastAsia="宋体" w:cs="Times New Roman"/>
          <w:b/>
          <w:sz w:val="24"/>
          <w:szCs w:val="24"/>
        </w:rPr>
        <w:t>：</w:t>
      </w:r>
      <w:r>
        <w:rPr>
          <w:rFonts w:hint="eastAsia" w:ascii="Times New Roman" w:hAnsi="Times New Roman" w:eastAsia="宋体" w:cs="Times New Roman"/>
          <w:sz w:val="24"/>
          <w:szCs w:val="24"/>
        </w:rPr>
        <w:t>当下课程改革中存在的教育</w:t>
      </w:r>
      <w:r>
        <w:rPr>
          <w:rFonts w:hint="eastAsia" w:ascii="Times New Roman" w:hAnsi="Times New Roman" w:eastAsia="宋体" w:cs="Times New Roman"/>
          <w:sz w:val="24"/>
          <w:szCs w:val="24"/>
          <w:lang w:val="en-US" w:eastAsia="zh-CN"/>
        </w:rPr>
        <w:t>立场</w:t>
      </w:r>
      <w:r>
        <w:rPr>
          <w:rFonts w:hint="eastAsia" w:ascii="Times New Roman" w:hAnsi="Times New Roman" w:eastAsia="宋体" w:cs="Times New Roman"/>
          <w:sz w:val="24"/>
          <w:szCs w:val="24"/>
        </w:rPr>
        <w:t>问题</w:t>
      </w:r>
    </w:p>
    <w:p w14:paraId="682657CD">
      <w:pPr>
        <w:spacing w:line="360" w:lineRule="auto"/>
        <w:rPr>
          <w:rFonts w:ascii="宋体" w:hAnsi="宋体" w:eastAsia="宋体" w:cs="Times New Roman"/>
          <w:b/>
          <w:color w:val="000000"/>
          <w:sz w:val="24"/>
          <w:szCs w:val="24"/>
        </w:rPr>
      </w:pPr>
      <w:bookmarkStart w:id="1010" w:name="_Toc27847325"/>
      <w:r>
        <w:rPr>
          <w:rFonts w:hint="eastAsia" w:ascii="宋体" w:hAnsi="宋体" w:eastAsia="宋体" w:cs="Times New Roman"/>
          <w:b/>
          <w:color w:val="000000"/>
          <w:sz w:val="24"/>
          <w:szCs w:val="24"/>
        </w:rPr>
        <w:t>（六）</w:t>
      </w:r>
      <w:r>
        <w:rPr>
          <w:rFonts w:hint="eastAsia" w:ascii="宋体" w:hAnsi="宋体" w:eastAsia="宋体" w:cs="Times New Roman"/>
          <w:b/>
          <w:color w:val="000000"/>
          <w:sz w:val="24"/>
          <w:szCs w:val="24"/>
          <w:lang w:val="en-US" w:eastAsia="zh-CN"/>
        </w:rPr>
        <w:t>中国</w:t>
      </w:r>
      <w:r>
        <w:rPr>
          <w:rFonts w:hint="eastAsia" w:ascii="Times New Roman" w:hAnsi="Times New Roman" w:eastAsia="宋体" w:cs="Times New Roman"/>
          <w:b/>
          <w:sz w:val="24"/>
          <w:szCs w:val="24"/>
        </w:rPr>
        <w:t>基础教育课堂教学改革</w:t>
      </w:r>
      <w:r>
        <w:rPr>
          <w:rFonts w:hint="eastAsia" w:ascii="宋体" w:hAnsi="宋体" w:eastAsia="宋体" w:cs="Times New Roman"/>
          <w:b/>
          <w:color w:val="000000"/>
          <w:sz w:val="24"/>
          <w:szCs w:val="24"/>
        </w:rPr>
        <w:t>（本模块各知识点的讲授与学习，可以支撑课程目标3、课程目标4）</w:t>
      </w:r>
      <w:bookmarkEnd w:id="1010"/>
    </w:p>
    <w:p w14:paraId="257F421A">
      <w:p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01AB0087">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）基础教育课堂教学目标</w:t>
      </w:r>
    </w:p>
    <w:p w14:paraId="4FC0C1E4">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）基础教育课堂教学过程</w:t>
      </w:r>
    </w:p>
    <w:p w14:paraId="0A789E14">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）基础教育课堂师生关系</w:t>
      </w:r>
    </w:p>
    <w:p w14:paraId="4AB1005A">
      <w:pPr>
        <w:autoSpaceDE w:val="0"/>
        <w:autoSpaceDN w:val="0"/>
        <w:adjustRightInd w:val="0"/>
        <w:spacing w:line="360" w:lineRule="auto"/>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7048E8D1">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（1）理解基础教育课堂教学的目标的选择和过程，树立正确的师生观</w:t>
      </w:r>
    </w:p>
    <w:p w14:paraId="2C556163">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（2）掌握教学过程的设计</w:t>
      </w:r>
    </w:p>
    <w:p w14:paraId="0AD3D176">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5867A6FE">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树立</w:t>
      </w:r>
      <w:r>
        <w:rPr>
          <w:rFonts w:hint="eastAsia" w:ascii="Times New Roman" w:hAnsi="Times New Roman" w:eastAsia="宋体" w:cs="Times New Roman"/>
          <w:sz w:val="24"/>
          <w:szCs w:val="24"/>
          <w:lang w:val="en-US" w:eastAsia="zh-CN"/>
        </w:rPr>
        <w:t>课堂是育人第一阵地的观念</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始终坚持</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上好每一堂课</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的</w:t>
      </w:r>
      <w:r>
        <w:rPr>
          <w:rFonts w:hint="eastAsia" w:ascii="Times New Roman" w:hAnsi="Times New Roman" w:eastAsia="宋体" w:cs="Times New Roman"/>
          <w:sz w:val="24"/>
          <w:szCs w:val="24"/>
        </w:rPr>
        <w:t>好老师的标准。</w:t>
      </w:r>
    </w:p>
    <w:p w14:paraId="395E9C95">
      <w:pPr>
        <w:spacing w:line="360" w:lineRule="auto"/>
        <w:rPr>
          <w:rFonts w:ascii="宋体" w:hAnsi="宋体" w:eastAsia="宋体" w:cs="Times New Roman"/>
          <w:color w:val="000000"/>
          <w:sz w:val="24"/>
          <w:szCs w:val="24"/>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rPr>
        <w:t>教学目标的设定</w:t>
      </w:r>
    </w:p>
    <w:p w14:paraId="0DACC4A2">
      <w:pPr>
        <w:spacing w:line="360" w:lineRule="auto"/>
        <w:rPr>
          <w:rFonts w:hint="eastAsia" w:ascii="Times New Roman" w:hAnsi="Times New Roman" w:eastAsia="宋体" w:cs="Times New Roman"/>
          <w:sz w:val="24"/>
          <w:szCs w:val="24"/>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rPr>
        <w:t>教学过程的创生与意义</w:t>
      </w:r>
    </w:p>
    <w:p w14:paraId="5C049820">
      <w:p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七</w:t>
      </w:r>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中国</w:t>
      </w:r>
      <w:r>
        <w:rPr>
          <w:rFonts w:hint="eastAsia" w:ascii="Times New Roman" w:hAnsi="Times New Roman" w:eastAsia="宋体" w:cs="Times New Roman"/>
          <w:b/>
          <w:sz w:val="24"/>
          <w:szCs w:val="24"/>
        </w:rPr>
        <w:t>基础教育</w:t>
      </w:r>
      <w:r>
        <w:rPr>
          <w:rFonts w:hint="eastAsia" w:ascii="Times New Roman" w:hAnsi="Times New Roman" w:eastAsia="宋体" w:cs="Times New Roman"/>
          <w:b/>
          <w:sz w:val="24"/>
          <w:szCs w:val="24"/>
          <w:lang w:val="en-US" w:eastAsia="zh-CN"/>
        </w:rPr>
        <w:t>教材</w:t>
      </w:r>
      <w:r>
        <w:rPr>
          <w:rFonts w:hint="eastAsia" w:ascii="Times New Roman" w:hAnsi="Times New Roman" w:eastAsia="宋体" w:cs="Times New Roman"/>
          <w:b/>
          <w:sz w:val="24"/>
          <w:szCs w:val="24"/>
        </w:rPr>
        <w:t>改革</w:t>
      </w:r>
      <w:r>
        <w:rPr>
          <w:rFonts w:hint="eastAsia" w:ascii="宋体" w:hAnsi="宋体" w:eastAsia="宋体" w:cs="Times New Roman"/>
          <w:b/>
          <w:color w:val="000000"/>
          <w:sz w:val="24"/>
          <w:szCs w:val="24"/>
        </w:rPr>
        <w:t>（本模块各知识点的讲授与学习，可以支撑课程目标4）</w:t>
      </w:r>
    </w:p>
    <w:p w14:paraId="0D7DA3CF">
      <w:p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0DED5A62">
      <w:pPr>
        <w:autoSpaceDE w:val="0"/>
        <w:autoSpaceDN w:val="0"/>
        <w:adjustRightInd w:val="0"/>
        <w:spacing w:line="360" w:lineRule="auto"/>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）基础教育</w:t>
      </w:r>
      <w:r>
        <w:rPr>
          <w:rFonts w:hint="eastAsia" w:ascii="Times New Roman" w:hAnsi="Times New Roman" w:eastAsia="宋体" w:cs="Times New Roman"/>
          <w:sz w:val="24"/>
          <w:szCs w:val="24"/>
          <w:lang w:val="en-US" w:eastAsia="zh-CN"/>
        </w:rPr>
        <w:t>教材改革历程</w:t>
      </w:r>
    </w:p>
    <w:p w14:paraId="4421CBE2">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）基础教育</w:t>
      </w:r>
      <w:r>
        <w:rPr>
          <w:rFonts w:hint="eastAsia" w:ascii="Times New Roman" w:hAnsi="Times New Roman" w:eastAsia="宋体" w:cs="Times New Roman"/>
          <w:sz w:val="24"/>
          <w:szCs w:val="24"/>
          <w:lang w:val="en-US" w:eastAsia="zh-CN"/>
        </w:rPr>
        <w:t>教材改革中的问题分析</w:t>
      </w:r>
    </w:p>
    <w:p w14:paraId="4158D442">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未来</w:t>
      </w:r>
      <w:r>
        <w:rPr>
          <w:rFonts w:hint="eastAsia" w:ascii="Times New Roman" w:hAnsi="Times New Roman" w:eastAsia="宋体" w:cs="Times New Roman"/>
          <w:sz w:val="24"/>
          <w:szCs w:val="24"/>
        </w:rPr>
        <w:t>基础教育</w:t>
      </w:r>
      <w:r>
        <w:rPr>
          <w:rFonts w:hint="eastAsia" w:ascii="Times New Roman" w:hAnsi="Times New Roman" w:eastAsia="宋体" w:cs="Times New Roman"/>
          <w:sz w:val="24"/>
          <w:szCs w:val="24"/>
          <w:lang w:val="en-US" w:eastAsia="zh-CN"/>
        </w:rPr>
        <w:t>教材改革的趋势</w:t>
      </w:r>
    </w:p>
    <w:p w14:paraId="79DF98BD">
      <w:pPr>
        <w:autoSpaceDE w:val="0"/>
        <w:autoSpaceDN w:val="0"/>
        <w:adjustRightInd w:val="0"/>
        <w:spacing w:line="360" w:lineRule="auto"/>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5B1DBCD5">
      <w:pPr>
        <w:autoSpaceDE w:val="0"/>
        <w:autoSpaceDN w:val="0"/>
        <w:adjustRightInd w:val="0"/>
        <w:spacing w:line="360" w:lineRule="auto"/>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（1）理解基础教育</w:t>
      </w:r>
      <w:r>
        <w:rPr>
          <w:rFonts w:hint="eastAsia" w:ascii="Times New Roman" w:hAnsi="Times New Roman" w:eastAsia="宋体" w:cs="Times New Roman"/>
          <w:sz w:val="24"/>
          <w:szCs w:val="24"/>
          <w:lang w:val="en-US" w:eastAsia="zh-CN"/>
        </w:rPr>
        <w:t>教材改革中</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教育价值观选择</w:t>
      </w:r>
    </w:p>
    <w:p w14:paraId="6B599ACE">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（2）掌握</w:t>
      </w:r>
      <w:r>
        <w:rPr>
          <w:rFonts w:hint="eastAsia" w:ascii="Times New Roman" w:hAnsi="Times New Roman" w:eastAsia="宋体" w:cs="Times New Roman"/>
          <w:sz w:val="24"/>
          <w:szCs w:val="24"/>
          <w:lang w:val="en-US" w:eastAsia="zh-CN"/>
        </w:rPr>
        <w:t>中外基础教育教材改革中的互鉴</w:t>
      </w:r>
    </w:p>
    <w:p w14:paraId="6A08D12B">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0E6CFCD7">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树立</w:t>
      </w:r>
      <w:r>
        <w:rPr>
          <w:rFonts w:hint="eastAsia" w:ascii="Times New Roman" w:hAnsi="Times New Roman" w:eastAsia="宋体" w:cs="Times New Roman"/>
          <w:sz w:val="24"/>
          <w:szCs w:val="24"/>
          <w:lang w:val="en-US" w:eastAsia="zh-CN"/>
        </w:rPr>
        <w:t>教材是课程与教学重要桥梁</w:t>
      </w:r>
      <w:r>
        <w:rPr>
          <w:rFonts w:hint="eastAsia" w:ascii="Times New Roman" w:hAnsi="Times New Roman" w:eastAsia="宋体" w:cs="Times New Roman"/>
          <w:sz w:val="24"/>
          <w:szCs w:val="24"/>
        </w:rPr>
        <w:t>的理念，</w:t>
      </w:r>
      <w:r>
        <w:rPr>
          <w:rFonts w:hint="eastAsia" w:ascii="Times New Roman" w:hAnsi="Times New Roman" w:eastAsia="宋体" w:cs="Times New Roman"/>
          <w:sz w:val="24"/>
          <w:szCs w:val="24"/>
          <w:lang w:val="en-US" w:eastAsia="zh-CN"/>
        </w:rPr>
        <w:t>坚持中国基础教育教材改革中的中国特色与中国标准</w:t>
      </w:r>
      <w:r>
        <w:rPr>
          <w:rFonts w:hint="eastAsia" w:ascii="Times New Roman" w:hAnsi="Times New Roman" w:eastAsia="宋体" w:cs="Times New Roman"/>
          <w:sz w:val="24"/>
          <w:szCs w:val="24"/>
        </w:rPr>
        <w:t>。</w:t>
      </w:r>
    </w:p>
    <w:p w14:paraId="79394858">
      <w:pPr>
        <w:spacing w:line="360" w:lineRule="auto"/>
        <w:rPr>
          <w:rFonts w:hint="default" w:ascii="宋体" w:hAnsi="宋体" w:eastAsia="宋体" w:cs="Times New Roman"/>
          <w:color w:val="000000"/>
          <w:sz w:val="24"/>
          <w:szCs w:val="24"/>
          <w:lang w:val="en-US" w:eastAsia="zh-CN"/>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lang w:val="en-US" w:eastAsia="zh-CN"/>
        </w:rPr>
        <w:t>教材中的教育价值观</w:t>
      </w:r>
    </w:p>
    <w:p w14:paraId="14B34035">
      <w:pPr>
        <w:spacing w:line="360" w:lineRule="auto"/>
        <w:rPr>
          <w:rFonts w:hint="default" w:ascii="Times New Roman" w:hAnsi="Times New Roman" w:eastAsia="宋体" w:cs="Times New Roman"/>
          <w:sz w:val="24"/>
          <w:szCs w:val="24"/>
          <w:lang w:val="en-US" w:eastAsia="zh-CN"/>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lang w:val="en-US" w:eastAsia="zh-CN"/>
        </w:rPr>
        <w:t>国外基础教育教材查阅</w:t>
      </w:r>
    </w:p>
    <w:p w14:paraId="2A4231CF">
      <w:p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八</w:t>
      </w:r>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中国</w:t>
      </w:r>
      <w:r>
        <w:rPr>
          <w:rFonts w:hint="eastAsia" w:ascii="Times New Roman" w:hAnsi="Times New Roman" w:eastAsia="宋体" w:cs="Times New Roman"/>
          <w:b/>
          <w:sz w:val="24"/>
          <w:szCs w:val="24"/>
        </w:rPr>
        <w:t>基础教育</w:t>
      </w:r>
      <w:r>
        <w:rPr>
          <w:rFonts w:hint="eastAsia" w:ascii="Times New Roman" w:hAnsi="Times New Roman" w:eastAsia="宋体" w:cs="Times New Roman"/>
          <w:b/>
          <w:sz w:val="24"/>
          <w:szCs w:val="24"/>
          <w:lang w:val="en-US" w:eastAsia="zh-CN"/>
        </w:rPr>
        <w:t>教师队伍改革</w:t>
      </w:r>
      <w:r>
        <w:rPr>
          <w:rFonts w:hint="eastAsia" w:ascii="宋体" w:hAnsi="宋体" w:eastAsia="宋体" w:cs="Times New Roman"/>
          <w:b/>
          <w:color w:val="000000"/>
          <w:sz w:val="24"/>
          <w:szCs w:val="24"/>
        </w:rPr>
        <w:t>（本模块各知识点的讲授与学习，可以支撑课程目标</w:t>
      </w:r>
      <w:r>
        <w:rPr>
          <w:rFonts w:hint="eastAsia" w:ascii="宋体" w:hAnsi="宋体" w:eastAsia="宋体" w:cs="Times New Roman"/>
          <w:b/>
          <w:color w:val="000000"/>
          <w:sz w:val="24"/>
          <w:szCs w:val="24"/>
          <w:lang w:val="en-US" w:eastAsia="zh-CN"/>
        </w:rPr>
        <w:t>1</w:t>
      </w:r>
      <w:r>
        <w:rPr>
          <w:rFonts w:hint="eastAsia" w:ascii="宋体" w:hAnsi="宋体" w:eastAsia="宋体" w:cs="Times New Roman"/>
          <w:b/>
          <w:color w:val="000000"/>
          <w:sz w:val="24"/>
          <w:szCs w:val="24"/>
        </w:rPr>
        <w:t>）</w:t>
      </w:r>
    </w:p>
    <w:p w14:paraId="14A3F45A">
      <w:p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2DA6E20E">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）基础教育</w:t>
      </w:r>
      <w:r>
        <w:rPr>
          <w:rFonts w:hint="eastAsia" w:ascii="Times New Roman" w:hAnsi="Times New Roman" w:eastAsia="宋体" w:cs="Times New Roman"/>
          <w:sz w:val="24"/>
          <w:szCs w:val="24"/>
          <w:lang w:val="en-US" w:eastAsia="zh-CN"/>
        </w:rPr>
        <w:t>教师队伍建设历程</w:t>
      </w:r>
    </w:p>
    <w:p w14:paraId="18C857C1">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教师队伍建设中的问题</w:t>
      </w:r>
    </w:p>
    <w:p w14:paraId="71529A88">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教师队伍建设的未来趋势</w:t>
      </w:r>
    </w:p>
    <w:p w14:paraId="01201A50">
      <w:pPr>
        <w:autoSpaceDE w:val="0"/>
        <w:autoSpaceDN w:val="0"/>
        <w:adjustRightInd w:val="0"/>
        <w:spacing w:line="360" w:lineRule="auto"/>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6DE0B7BF">
      <w:pPr>
        <w:autoSpaceDE w:val="0"/>
        <w:autoSpaceDN w:val="0"/>
        <w:adjustRightInd w:val="0"/>
        <w:spacing w:line="360" w:lineRule="auto"/>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（1）理解</w:t>
      </w:r>
      <w:r>
        <w:rPr>
          <w:rFonts w:hint="eastAsia" w:ascii="Times New Roman" w:hAnsi="Times New Roman" w:eastAsia="宋体" w:cs="Times New Roman"/>
          <w:sz w:val="24"/>
          <w:szCs w:val="24"/>
          <w:lang w:val="en-US" w:eastAsia="zh-CN"/>
        </w:rPr>
        <w:t>基础教育教师质量的重要性</w:t>
      </w:r>
      <w:r>
        <w:rPr>
          <w:rFonts w:hint="eastAsia" w:ascii="Times New Roman" w:hAnsi="Times New Roman" w:eastAsia="宋体" w:cs="Times New Roman"/>
          <w:sz w:val="24"/>
          <w:szCs w:val="24"/>
        </w:rPr>
        <w:t>，树立正确的</w:t>
      </w:r>
      <w:r>
        <w:rPr>
          <w:rFonts w:hint="eastAsia" w:ascii="Times New Roman" w:hAnsi="Times New Roman" w:eastAsia="宋体" w:cs="Times New Roman"/>
          <w:sz w:val="24"/>
          <w:szCs w:val="24"/>
          <w:lang w:val="en-US" w:eastAsia="zh-CN"/>
        </w:rPr>
        <w:t>教师职业</w:t>
      </w:r>
      <w:r>
        <w:rPr>
          <w:rFonts w:hint="eastAsia" w:ascii="Times New Roman" w:hAnsi="Times New Roman" w:eastAsia="宋体" w:cs="Times New Roman"/>
          <w:sz w:val="24"/>
          <w:szCs w:val="24"/>
        </w:rPr>
        <w:t>观</w:t>
      </w:r>
      <w:r>
        <w:rPr>
          <w:rFonts w:hint="eastAsia" w:ascii="Times New Roman" w:hAnsi="Times New Roman" w:eastAsia="宋体" w:cs="Times New Roman"/>
          <w:sz w:val="24"/>
          <w:szCs w:val="24"/>
          <w:lang w:eastAsia="zh-CN"/>
        </w:rPr>
        <w:t>。</w:t>
      </w:r>
    </w:p>
    <w:p w14:paraId="71D160A4">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了解国家有关教师队伍建设的政策</w:t>
      </w:r>
    </w:p>
    <w:p w14:paraId="7ECD34EF">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919E9D9">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树立教师工作的本质是塑造灵魂、塑造生命、塑造人的理念，牢固树立“四有”好老师的标准。</w:t>
      </w:r>
    </w:p>
    <w:p w14:paraId="10D60F80">
      <w:pPr>
        <w:spacing w:line="360" w:lineRule="auto"/>
        <w:rPr>
          <w:rFonts w:hint="default" w:ascii="宋体" w:hAnsi="宋体" w:eastAsia="宋体" w:cs="Times New Roman"/>
          <w:color w:val="000000"/>
          <w:sz w:val="24"/>
          <w:szCs w:val="24"/>
          <w:lang w:val="en-US" w:eastAsia="zh-CN"/>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lang w:val="en-US" w:eastAsia="zh-CN"/>
        </w:rPr>
        <w:t>基础教育教师队伍改革的政策走向</w:t>
      </w:r>
    </w:p>
    <w:p w14:paraId="0EA97B36">
      <w:pPr>
        <w:spacing w:line="360" w:lineRule="auto"/>
        <w:rPr>
          <w:rFonts w:hint="default" w:ascii="Times New Roman" w:hAnsi="Times New Roman" w:eastAsia="宋体" w:cs="Times New Roman"/>
          <w:sz w:val="24"/>
          <w:szCs w:val="24"/>
          <w:lang w:val="en-US" w:eastAsia="zh-CN"/>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lang w:val="en-US" w:eastAsia="zh-CN"/>
        </w:rPr>
        <w:t>教师队伍建设的现实障碍</w:t>
      </w:r>
    </w:p>
    <w:p w14:paraId="4DF8E6EA">
      <w:pPr>
        <w:spacing w:line="360" w:lineRule="auto"/>
        <w:rPr>
          <w:rFonts w:ascii="宋体" w:hAnsi="宋体" w:eastAsia="宋体" w:cs="Times New Roman"/>
          <w:b/>
          <w:color w:val="000000"/>
          <w:sz w:val="24"/>
          <w:szCs w:val="24"/>
        </w:rPr>
      </w:pPr>
      <w:bookmarkStart w:id="1011" w:name="_Toc27847326"/>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九</w:t>
      </w:r>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中国</w:t>
      </w:r>
      <w:r>
        <w:rPr>
          <w:rFonts w:hint="eastAsia" w:ascii="宋体" w:hAnsi="宋体" w:eastAsia="宋体" w:cs="Times New Roman"/>
          <w:b/>
          <w:color w:val="000000"/>
          <w:sz w:val="24"/>
          <w:szCs w:val="24"/>
        </w:rPr>
        <w:t>农村基础教育改革的问题与走向（本模块各知识点的讲授与学习，可以支撑课程目标</w:t>
      </w:r>
      <w:r>
        <w:rPr>
          <w:rFonts w:hint="eastAsia" w:ascii="宋体" w:hAnsi="宋体" w:eastAsia="宋体" w:cs="Times New Roman"/>
          <w:b/>
          <w:color w:val="000000"/>
          <w:sz w:val="24"/>
          <w:szCs w:val="24"/>
          <w:lang w:val="en-US" w:eastAsia="zh-CN"/>
        </w:rPr>
        <w:t>1</w:t>
      </w:r>
      <w:r>
        <w:rPr>
          <w:rFonts w:hint="eastAsia" w:ascii="宋体" w:hAnsi="宋体" w:eastAsia="宋体" w:cs="Times New Roman"/>
          <w:b/>
          <w:color w:val="000000"/>
          <w:sz w:val="24"/>
          <w:szCs w:val="24"/>
        </w:rPr>
        <w:t>、课程目标</w:t>
      </w:r>
      <w:r>
        <w:rPr>
          <w:rFonts w:hint="eastAsia" w:ascii="宋体" w:hAnsi="宋体" w:eastAsia="宋体" w:cs="Times New Roman"/>
          <w:b/>
          <w:color w:val="000000"/>
          <w:sz w:val="24"/>
          <w:szCs w:val="24"/>
          <w:lang w:val="en-US" w:eastAsia="zh-CN"/>
        </w:rPr>
        <w:t>3</w:t>
      </w:r>
      <w:r>
        <w:rPr>
          <w:rFonts w:hint="eastAsia" w:ascii="宋体" w:hAnsi="宋体" w:eastAsia="宋体" w:cs="Times New Roman"/>
          <w:b/>
          <w:color w:val="000000"/>
          <w:sz w:val="24"/>
          <w:szCs w:val="24"/>
        </w:rPr>
        <w:t>）</w:t>
      </w:r>
      <w:bookmarkEnd w:id="1011"/>
    </w:p>
    <w:p w14:paraId="5CEB5A14">
      <w:p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3FA9B938">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）农村基础教育改革中存在的问题</w:t>
      </w:r>
    </w:p>
    <w:p w14:paraId="271D12C7">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）农村基础教育改革中存在问题的原因分析</w:t>
      </w:r>
    </w:p>
    <w:p w14:paraId="507637BC">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）农村基础教育改革的推进策略</w:t>
      </w:r>
    </w:p>
    <w:p w14:paraId="550E8A65">
      <w:pPr>
        <w:autoSpaceDE w:val="0"/>
        <w:autoSpaceDN w:val="0"/>
        <w:adjustRightInd w:val="0"/>
        <w:spacing w:line="360" w:lineRule="auto"/>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35549898">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（1）了解我国农村基础教育改革的的地位和作用</w:t>
      </w:r>
    </w:p>
    <w:p w14:paraId="1F4D2406">
      <w:pPr>
        <w:autoSpaceDE w:val="0"/>
        <w:autoSpaceDN w:val="0"/>
        <w:adjustRightInd w:val="0"/>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（2）正确分析农村基础教育改革的问题</w:t>
      </w:r>
    </w:p>
    <w:p w14:paraId="22C081D3">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0A1AD4C8">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用马克思主义观点正确分析我国农村基础教育改革中存在的问题及原因，坚持教育的人民立场，树立以教育公平促进社会公平正义的信念。</w:t>
      </w:r>
    </w:p>
    <w:p w14:paraId="7B3010C7">
      <w:pPr>
        <w:spacing w:line="360" w:lineRule="auto"/>
        <w:rPr>
          <w:rFonts w:ascii="宋体" w:hAnsi="宋体" w:eastAsia="宋体" w:cs="Times New Roman"/>
          <w:color w:val="000000"/>
          <w:sz w:val="24"/>
          <w:szCs w:val="24"/>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rPr>
        <w:t>农村基础教育改革的问题</w:t>
      </w:r>
    </w:p>
    <w:p w14:paraId="24E8219F">
      <w:pPr>
        <w:spacing w:line="360" w:lineRule="auto"/>
        <w:rPr>
          <w:rFonts w:ascii="Times New Roman" w:hAnsi="Times New Roman" w:eastAsia="宋体" w:cs="Times New Roman"/>
          <w:sz w:val="24"/>
          <w:szCs w:val="24"/>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rPr>
        <w:t>农村基础教育改革的思路</w:t>
      </w:r>
    </w:p>
    <w:p w14:paraId="7B0E0E12">
      <w:p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十</w:t>
      </w:r>
      <w:r>
        <w:rPr>
          <w:rFonts w:hint="eastAsia" w:ascii="宋体" w:hAnsi="宋体" w:eastAsia="宋体" w:cs="Times New Roman"/>
          <w:b/>
          <w:color w:val="000000"/>
          <w:sz w:val="24"/>
          <w:szCs w:val="24"/>
        </w:rPr>
        <w:t>）</w:t>
      </w:r>
      <w:r>
        <w:rPr>
          <w:rFonts w:hint="eastAsia" w:ascii="宋体" w:hAnsi="宋体" w:eastAsia="宋体" w:cs="Times New Roman"/>
          <w:b/>
          <w:color w:val="000000"/>
          <w:sz w:val="24"/>
          <w:szCs w:val="24"/>
          <w:lang w:val="en-US" w:eastAsia="zh-CN"/>
        </w:rPr>
        <w:t>中外</w:t>
      </w:r>
      <w:r>
        <w:rPr>
          <w:rFonts w:hint="eastAsia" w:ascii="宋体" w:hAnsi="宋体" w:eastAsia="宋体" w:cs="Times New Roman"/>
          <w:b/>
          <w:color w:val="000000"/>
          <w:sz w:val="24"/>
          <w:szCs w:val="24"/>
        </w:rPr>
        <w:t>基础教育改革</w:t>
      </w:r>
      <w:r>
        <w:rPr>
          <w:rFonts w:hint="eastAsia" w:ascii="宋体" w:hAnsi="宋体" w:eastAsia="宋体" w:cs="Times New Roman"/>
          <w:b/>
          <w:color w:val="000000"/>
          <w:sz w:val="24"/>
          <w:szCs w:val="24"/>
          <w:lang w:val="en-US" w:eastAsia="zh-CN"/>
        </w:rPr>
        <w:t>研究热点</w:t>
      </w:r>
      <w:r>
        <w:rPr>
          <w:rFonts w:hint="eastAsia" w:ascii="宋体" w:hAnsi="宋体" w:eastAsia="宋体" w:cs="Times New Roman"/>
          <w:b/>
          <w:color w:val="000000"/>
          <w:sz w:val="24"/>
          <w:szCs w:val="24"/>
        </w:rPr>
        <w:t>（本模块各知识点的讲授与学习，可以支撑课程目标</w:t>
      </w:r>
      <w:r>
        <w:rPr>
          <w:rFonts w:hint="eastAsia" w:ascii="宋体" w:hAnsi="宋体" w:eastAsia="宋体" w:cs="Times New Roman"/>
          <w:b/>
          <w:color w:val="000000"/>
          <w:sz w:val="24"/>
          <w:szCs w:val="24"/>
          <w:lang w:val="en-US" w:eastAsia="zh-CN"/>
        </w:rPr>
        <w:t>3</w:t>
      </w:r>
      <w:r>
        <w:rPr>
          <w:rFonts w:hint="eastAsia" w:ascii="宋体" w:hAnsi="宋体" w:eastAsia="宋体" w:cs="Times New Roman"/>
          <w:b/>
          <w:color w:val="000000"/>
          <w:sz w:val="24"/>
          <w:szCs w:val="24"/>
        </w:rPr>
        <w:t>、课程目标</w:t>
      </w:r>
      <w:r>
        <w:rPr>
          <w:rFonts w:hint="eastAsia" w:ascii="宋体" w:hAnsi="宋体" w:eastAsia="宋体" w:cs="Times New Roman"/>
          <w:b/>
          <w:color w:val="000000"/>
          <w:sz w:val="24"/>
          <w:szCs w:val="24"/>
          <w:lang w:val="en-US" w:eastAsia="zh-CN"/>
        </w:rPr>
        <w:t>4</w:t>
      </w:r>
      <w:r>
        <w:rPr>
          <w:rFonts w:hint="eastAsia" w:ascii="宋体" w:hAnsi="宋体" w:eastAsia="宋体" w:cs="Times New Roman"/>
          <w:b/>
          <w:color w:val="000000"/>
          <w:sz w:val="24"/>
          <w:szCs w:val="24"/>
        </w:rPr>
        <w:t>）</w:t>
      </w:r>
    </w:p>
    <w:p w14:paraId="35717ADD">
      <w:pPr>
        <w:spacing w:line="360" w:lineRule="auto"/>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7192A5D7">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国外</w:t>
      </w:r>
      <w:r>
        <w:rPr>
          <w:rFonts w:hint="eastAsia" w:ascii="Times New Roman" w:hAnsi="Times New Roman" w:eastAsia="宋体" w:cs="Times New Roman"/>
          <w:sz w:val="24"/>
          <w:szCs w:val="24"/>
        </w:rPr>
        <w:t>基础教育改革</w:t>
      </w:r>
      <w:r>
        <w:rPr>
          <w:rFonts w:hint="eastAsia" w:ascii="Times New Roman" w:hAnsi="Times New Roman" w:eastAsia="宋体" w:cs="Times New Roman"/>
          <w:sz w:val="24"/>
          <w:szCs w:val="24"/>
          <w:lang w:val="en-US" w:eastAsia="zh-CN"/>
        </w:rPr>
        <w:t>研究热点</w:t>
      </w:r>
    </w:p>
    <w:p w14:paraId="0A027593">
      <w:pPr>
        <w:autoSpaceDE w:val="0"/>
        <w:autoSpaceDN w:val="0"/>
        <w:adjustRightInd w:val="0"/>
        <w:spacing w:line="360" w:lineRule="auto"/>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中国</w:t>
      </w:r>
      <w:r>
        <w:rPr>
          <w:rFonts w:hint="eastAsia" w:ascii="Times New Roman" w:hAnsi="Times New Roman" w:eastAsia="宋体" w:cs="Times New Roman"/>
          <w:sz w:val="24"/>
          <w:szCs w:val="24"/>
        </w:rPr>
        <w:t>基础教育改革</w:t>
      </w:r>
      <w:r>
        <w:rPr>
          <w:rFonts w:hint="eastAsia" w:ascii="Times New Roman" w:hAnsi="Times New Roman" w:eastAsia="宋体" w:cs="Times New Roman"/>
          <w:sz w:val="24"/>
          <w:szCs w:val="24"/>
          <w:lang w:val="en-US" w:eastAsia="zh-CN"/>
        </w:rPr>
        <w:t>研究热点</w:t>
      </w:r>
    </w:p>
    <w:p w14:paraId="5EA4F89D">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学术研究发展趋势</w:t>
      </w:r>
    </w:p>
    <w:p w14:paraId="690FB5B1">
      <w:pPr>
        <w:autoSpaceDE w:val="0"/>
        <w:autoSpaceDN w:val="0"/>
        <w:adjustRightInd w:val="0"/>
        <w:spacing w:line="360" w:lineRule="auto"/>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7FFFA370">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（1）了解</w:t>
      </w:r>
      <w:r>
        <w:rPr>
          <w:rFonts w:hint="eastAsia" w:ascii="Times New Roman" w:hAnsi="Times New Roman" w:eastAsia="宋体" w:cs="Times New Roman"/>
          <w:sz w:val="24"/>
          <w:szCs w:val="24"/>
          <w:lang w:val="en-US" w:eastAsia="zh-CN"/>
        </w:rPr>
        <w:t>中外</w:t>
      </w:r>
      <w:r>
        <w:rPr>
          <w:rFonts w:hint="eastAsia" w:ascii="Times New Roman" w:hAnsi="Times New Roman" w:eastAsia="宋体" w:cs="Times New Roman"/>
          <w:sz w:val="24"/>
          <w:szCs w:val="24"/>
        </w:rPr>
        <w:t>基础教育改革</w:t>
      </w:r>
      <w:r>
        <w:rPr>
          <w:rFonts w:hint="eastAsia" w:ascii="Times New Roman" w:hAnsi="Times New Roman" w:eastAsia="宋体" w:cs="Times New Roman"/>
          <w:sz w:val="24"/>
          <w:szCs w:val="24"/>
          <w:lang w:val="en-US" w:eastAsia="zh-CN"/>
        </w:rPr>
        <w:t>研究中热点</w:t>
      </w:r>
    </w:p>
    <w:p w14:paraId="7F01A546">
      <w:pPr>
        <w:autoSpaceDE w:val="0"/>
        <w:autoSpaceDN w:val="0"/>
        <w:adjustRightInd w:val="0"/>
        <w:spacing w:line="360" w:lineRule="auto"/>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探索自己</w:t>
      </w:r>
      <w:r>
        <w:rPr>
          <w:rFonts w:hint="eastAsia" w:ascii="Times New Roman" w:hAnsi="Times New Roman" w:eastAsia="宋体" w:cs="Times New Roman"/>
          <w:sz w:val="24"/>
          <w:szCs w:val="24"/>
        </w:rPr>
        <w:t>基础教育改革</w:t>
      </w:r>
      <w:r>
        <w:rPr>
          <w:rFonts w:hint="eastAsia" w:ascii="Times New Roman" w:hAnsi="Times New Roman" w:eastAsia="宋体" w:cs="Times New Roman"/>
          <w:sz w:val="24"/>
          <w:szCs w:val="24"/>
          <w:lang w:val="en-US" w:eastAsia="zh-CN"/>
        </w:rPr>
        <w:t>研究的选题</w:t>
      </w:r>
    </w:p>
    <w:p w14:paraId="5C5600E1">
      <w:pPr>
        <w:autoSpaceDE w:val="0"/>
        <w:autoSpaceDN w:val="0"/>
        <w:adjustRightInd w:val="0"/>
        <w:spacing w:line="36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F30A9CA">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用马克思主义</w:t>
      </w:r>
      <w:r>
        <w:rPr>
          <w:rFonts w:hint="eastAsia" w:ascii="Times New Roman" w:hAnsi="Times New Roman" w:eastAsia="宋体" w:cs="Times New Roman"/>
          <w:sz w:val="24"/>
          <w:szCs w:val="24"/>
          <w:lang w:val="en-US" w:eastAsia="zh-CN"/>
        </w:rPr>
        <w:t>的立场</w:t>
      </w:r>
      <w:r>
        <w:rPr>
          <w:rFonts w:hint="eastAsia" w:ascii="Times New Roman" w:hAnsi="Times New Roman" w:eastAsia="宋体" w:cs="Times New Roman"/>
          <w:sz w:val="24"/>
          <w:szCs w:val="24"/>
        </w:rPr>
        <w:t>分析基础教育改革</w:t>
      </w:r>
      <w:r>
        <w:rPr>
          <w:rFonts w:hint="eastAsia" w:ascii="Times New Roman" w:hAnsi="Times New Roman" w:eastAsia="宋体" w:cs="Times New Roman"/>
          <w:sz w:val="24"/>
          <w:szCs w:val="24"/>
          <w:lang w:val="en-US" w:eastAsia="zh-CN"/>
        </w:rPr>
        <w:t>研究中的中国问题意识</w:t>
      </w:r>
      <w:r>
        <w:rPr>
          <w:rFonts w:hint="eastAsia" w:ascii="Times New Roman" w:hAnsi="Times New Roman" w:eastAsia="宋体" w:cs="Times New Roman"/>
          <w:sz w:val="24"/>
          <w:szCs w:val="24"/>
        </w:rPr>
        <w:t>，坚持</w:t>
      </w:r>
      <w:r>
        <w:rPr>
          <w:rFonts w:hint="eastAsia" w:ascii="Times New Roman" w:hAnsi="Times New Roman" w:eastAsia="宋体" w:cs="Times New Roman"/>
          <w:sz w:val="24"/>
          <w:szCs w:val="24"/>
          <w:lang w:val="en-US" w:eastAsia="zh-CN"/>
        </w:rPr>
        <w:t>为建设基础</w:t>
      </w:r>
      <w:r>
        <w:rPr>
          <w:rFonts w:hint="eastAsia" w:ascii="Times New Roman" w:hAnsi="Times New Roman" w:eastAsia="宋体" w:cs="Times New Roman"/>
          <w:sz w:val="24"/>
          <w:szCs w:val="24"/>
        </w:rPr>
        <w:t>教育</w:t>
      </w:r>
      <w:r>
        <w:rPr>
          <w:rFonts w:hint="eastAsia" w:ascii="Times New Roman" w:hAnsi="Times New Roman" w:eastAsia="宋体" w:cs="Times New Roman"/>
          <w:sz w:val="24"/>
          <w:szCs w:val="24"/>
          <w:lang w:val="en-US" w:eastAsia="zh-CN"/>
        </w:rPr>
        <w:t>强国做贡献</w:t>
      </w:r>
      <w:r>
        <w:rPr>
          <w:rFonts w:hint="eastAsia" w:ascii="Times New Roman" w:hAnsi="Times New Roman" w:eastAsia="宋体" w:cs="Times New Roman"/>
          <w:sz w:val="24"/>
          <w:szCs w:val="24"/>
        </w:rPr>
        <w:t>的信念。</w:t>
      </w:r>
    </w:p>
    <w:p w14:paraId="33A214A6">
      <w:pPr>
        <w:spacing w:line="360" w:lineRule="auto"/>
        <w:rPr>
          <w:rFonts w:hint="eastAsia" w:ascii="宋体" w:hAnsi="宋体" w:eastAsia="宋体" w:cs="Times New Roman"/>
          <w:color w:val="000000"/>
          <w:sz w:val="24"/>
          <w:szCs w:val="24"/>
          <w:lang w:val="en-US" w:eastAsia="zh-CN"/>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rPr>
        <w:t>基础教育改革</w:t>
      </w:r>
      <w:r>
        <w:rPr>
          <w:rFonts w:hint="eastAsia" w:ascii="Times New Roman" w:hAnsi="Times New Roman" w:eastAsia="宋体" w:cs="Times New Roman"/>
          <w:sz w:val="24"/>
          <w:szCs w:val="24"/>
          <w:lang w:val="en-US" w:eastAsia="zh-CN"/>
        </w:rPr>
        <w:t>研究中的</w:t>
      </w:r>
      <w:r>
        <w:rPr>
          <w:rFonts w:hint="eastAsia" w:ascii="Times New Roman" w:hAnsi="Times New Roman" w:eastAsia="宋体" w:cs="Times New Roman"/>
          <w:sz w:val="24"/>
          <w:szCs w:val="24"/>
        </w:rPr>
        <w:t>问题</w:t>
      </w:r>
      <w:r>
        <w:rPr>
          <w:rFonts w:hint="eastAsia" w:ascii="Times New Roman" w:hAnsi="Times New Roman" w:eastAsia="宋体" w:cs="Times New Roman"/>
          <w:sz w:val="24"/>
          <w:szCs w:val="24"/>
          <w:lang w:val="en-US" w:eastAsia="zh-CN"/>
        </w:rPr>
        <w:t>意识</w:t>
      </w:r>
    </w:p>
    <w:p w14:paraId="548F4E61">
      <w:pPr>
        <w:spacing w:line="360" w:lineRule="auto"/>
        <w:rPr>
          <w:rFonts w:hint="default" w:ascii="宋体" w:hAnsi="宋体" w:eastAsia="宋体" w:cs="Times New Roman"/>
          <w:color w:val="000000"/>
          <w:sz w:val="24"/>
          <w:szCs w:val="24"/>
          <w:lang w:val="en-US" w:eastAsia="zh-CN"/>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lang w:val="en-US" w:eastAsia="zh-CN"/>
        </w:rPr>
        <w:t>国外</w:t>
      </w:r>
      <w:r>
        <w:rPr>
          <w:rFonts w:hint="eastAsia" w:ascii="Times New Roman" w:hAnsi="Times New Roman" w:eastAsia="宋体" w:cs="Times New Roman"/>
          <w:sz w:val="24"/>
          <w:szCs w:val="24"/>
        </w:rPr>
        <w:t>基础教育改革</w:t>
      </w:r>
      <w:r>
        <w:rPr>
          <w:rFonts w:hint="eastAsia" w:ascii="Times New Roman" w:hAnsi="Times New Roman" w:eastAsia="宋体" w:cs="Times New Roman"/>
          <w:sz w:val="24"/>
          <w:szCs w:val="24"/>
          <w:lang w:val="en-US" w:eastAsia="zh-CN"/>
        </w:rPr>
        <w:t>研究的趋势</w:t>
      </w:r>
    </w:p>
    <w:p w14:paraId="77B83580">
      <w:pPr>
        <w:spacing w:line="360" w:lineRule="auto"/>
        <w:rPr>
          <w:rFonts w:ascii="宋体" w:hAnsi="宋体" w:eastAsia="宋体" w:cs="Times New Roman"/>
          <w:b/>
          <w:sz w:val="24"/>
          <w:szCs w:val="22"/>
        </w:rPr>
      </w:pPr>
      <w:r>
        <w:rPr>
          <w:rFonts w:hint="eastAsia" w:ascii="宋体" w:hAnsi="宋体" w:eastAsia="宋体" w:cs="Times New Roman"/>
          <w:b/>
          <w:sz w:val="24"/>
          <w:szCs w:val="22"/>
        </w:rPr>
        <w:t>教学内容与</w:t>
      </w:r>
      <w:r>
        <w:rPr>
          <w:rFonts w:ascii="宋体" w:hAnsi="宋体" w:eastAsia="宋体" w:cs="Times New Roman"/>
          <w:b/>
          <w:sz w:val="24"/>
          <w:szCs w:val="22"/>
        </w:rPr>
        <w:t>课程目标的</w:t>
      </w:r>
      <w:r>
        <w:rPr>
          <w:rFonts w:hint="eastAsia" w:ascii="宋体" w:hAnsi="宋体" w:eastAsia="宋体" w:cs="Times New Roman"/>
          <w:b/>
          <w:sz w:val="24"/>
          <w:szCs w:val="22"/>
        </w:rPr>
        <w:t>对应关系及</w:t>
      </w:r>
      <w:r>
        <w:rPr>
          <w:rFonts w:ascii="宋体" w:hAnsi="宋体" w:eastAsia="宋体" w:cs="Times New Roman"/>
          <w:b/>
          <w:sz w:val="24"/>
          <w:szCs w:val="22"/>
        </w:rPr>
        <w:t>学时分配</w:t>
      </w:r>
      <w:r>
        <w:rPr>
          <w:rFonts w:hint="eastAsia" w:ascii="宋体" w:hAnsi="宋体" w:eastAsia="宋体" w:cs="Times New Roman"/>
          <w:b/>
          <w:sz w:val="24"/>
          <w:szCs w:val="22"/>
        </w:rPr>
        <w:t>如表所示：</w:t>
      </w:r>
    </w:p>
    <w:tbl>
      <w:tblPr>
        <w:tblStyle w:val="10"/>
        <w:tblW w:w="851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3868"/>
        <w:gridCol w:w="1167"/>
        <w:gridCol w:w="1644"/>
        <w:gridCol w:w="8"/>
        <w:gridCol w:w="647"/>
        <w:gridCol w:w="655"/>
      </w:tblGrid>
      <w:tr w14:paraId="2D53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29B6479E">
            <w:pPr>
              <w:spacing w:line="276" w:lineRule="auto"/>
              <w:jc w:val="center"/>
              <w:rPr>
                <w:rFonts w:ascii="宋体" w:hAnsi="宋体" w:eastAsia="宋体" w:cs="Times New Roman"/>
                <w:szCs w:val="21"/>
              </w:rPr>
            </w:pPr>
            <w:r>
              <w:rPr>
                <w:rFonts w:hint="eastAsia" w:ascii="宋体" w:hAnsi="宋体" w:eastAsia="宋体" w:cs="Times New Roman"/>
                <w:b/>
                <w:szCs w:val="21"/>
              </w:rPr>
              <w:t>序号</w:t>
            </w:r>
          </w:p>
        </w:tc>
        <w:tc>
          <w:tcPr>
            <w:tcW w:w="3868" w:type="dxa"/>
            <w:vAlign w:val="center"/>
          </w:tcPr>
          <w:p w14:paraId="00CA9CDA">
            <w:pPr>
              <w:widowControl/>
              <w:snapToGrid w:val="0"/>
              <w:spacing w:line="276" w:lineRule="auto"/>
              <w:jc w:val="center"/>
              <w:rPr>
                <w:rFonts w:ascii="宋体" w:hAnsi="宋体" w:eastAsia="宋体" w:cs="宋体"/>
                <w:color w:val="000000"/>
                <w:kern w:val="0"/>
                <w:szCs w:val="21"/>
              </w:rPr>
            </w:pPr>
            <w:r>
              <w:rPr>
                <w:rFonts w:ascii="宋体" w:hAnsi="宋体" w:eastAsia="宋体" w:cs="Times New Roman"/>
                <w:b/>
                <w:szCs w:val="21"/>
              </w:rPr>
              <w:t>教学内容</w:t>
            </w:r>
          </w:p>
        </w:tc>
        <w:tc>
          <w:tcPr>
            <w:tcW w:w="1167" w:type="dxa"/>
            <w:vAlign w:val="center"/>
          </w:tcPr>
          <w:p w14:paraId="6E84374D">
            <w:pPr>
              <w:spacing w:line="276" w:lineRule="auto"/>
              <w:jc w:val="center"/>
              <w:rPr>
                <w:rFonts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644" w:type="dxa"/>
            <w:vAlign w:val="center"/>
          </w:tcPr>
          <w:p w14:paraId="48AAB949">
            <w:pPr>
              <w:spacing w:line="276" w:lineRule="auto"/>
              <w:jc w:val="center"/>
              <w:rPr>
                <w:rFonts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655" w:type="dxa"/>
            <w:gridSpan w:val="2"/>
            <w:vAlign w:val="center"/>
          </w:tcPr>
          <w:p w14:paraId="32D440E9">
            <w:pPr>
              <w:spacing w:line="276" w:lineRule="auto"/>
              <w:jc w:val="center"/>
              <w:rPr>
                <w:rFonts w:ascii="宋体" w:hAnsi="宋体" w:eastAsia="宋体" w:cs="Times New Roman"/>
                <w:kern w:val="0"/>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c>
          <w:tcPr>
            <w:tcW w:w="655" w:type="dxa"/>
            <w:vAlign w:val="center"/>
          </w:tcPr>
          <w:p w14:paraId="628E1861">
            <w:pPr>
              <w:spacing w:line="276" w:lineRule="auto"/>
              <w:jc w:val="center"/>
              <w:rPr>
                <w:rFonts w:ascii="宋体" w:hAnsi="宋体" w:eastAsia="宋体" w:cs="Times New Roman"/>
                <w:b/>
                <w:szCs w:val="21"/>
              </w:rPr>
            </w:pPr>
            <w:r>
              <w:rPr>
                <w:rFonts w:ascii="宋体" w:hAnsi="宋体" w:eastAsia="宋体" w:cs="Times New Roman"/>
                <w:b/>
                <w:szCs w:val="21"/>
              </w:rPr>
              <w:t>实验</w:t>
            </w:r>
          </w:p>
          <w:p w14:paraId="7207DF9A">
            <w:pPr>
              <w:spacing w:line="276" w:lineRule="auto"/>
              <w:rPr>
                <w:rFonts w:ascii="宋体" w:hAnsi="宋体" w:eastAsia="宋体" w:cs="Times New Roman"/>
                <w:kern w:val="0"/>
                <w:szCs w:val="21"/>
              </w:rPr>
            </w:pPr>
            <w:r>
              <w:rPr>
                <w:rFonts w:ascii="宋体" w:hAnsi="宋体" w:eastAsia="宋体" w:cs="Times New Roman"/>
                <w:b/>
                <w:szCs w:val="21"/>
              </w:rPr>
              <w:t>学时</w:t>
            </w:r>
          </w:p>
        </w:tc>
      </w:tr>
      <w:tr w14:paraId="43B4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0F63172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p>
        </w:tc>
        <w:tc>
          <w:tcPr>
            <w:tcW w:w="3868" w:type="dxa"/>
            <w:vAlign w:val="center"/>
          </w:tcPr>
          <w:p w14:paraId="3BC67DE4">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社会转型与</w:t>
            </w:r>
            <w:r>
              <w:rPr>
                <w:rFonts w:hint="eastAsia" w:ascii="宋体" w:hAnsi="宋体" w:eastAsia="宋体" w:cs="宋体"/>
                <w:color w:val="000000"/>
                <w:kern w:val="0"/>
                <w:szCs w:val="21"/>
                <w:lang w:val="en-US" w:eastAsia="zh-CN"/>
              </w:rPr>
              <w:t>各</w:t>
            </w:r>
            <w:r>
              <w:rPr>
                <w:rFonts w:hint="eastAsia" w:ascii="宋体" w:hAnsi="宋体" w:eastAsia="宋体" w:cs="宋体"/>
                <w:color w:val="000000"/>
                <w:kern w:val="0"/>
                <w:szCs w:val="21"/>
              </w:rPr>
              <w:t>国基础教育改革</w:t>
            </w:r>
          </w:p>
        </w:tc>
        <w:tc>
          <w:tcPr>
            <w:tcW w:w="1167" w:type="dxa"/>
            <w:vAlign w:val="center"/>
          </w:tcPr>
          <w:p w14:paraId="7675E6F2">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目标1</w:t>
            </w:r>
          </w:p>
        </w:tc>
        <w:tc>
          <w:tcPr>
            <w:tcW w:w="1644" w:type="dxa"/>
            <w:vAlign w:val="center"/>
          </w:tcPr>
          <w:p w14:paraId="1CADA7F6">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w:t>
            </w:r>
          </w:p>
        </w:tc>
        <w:tc>
          <w:tcPr>
            <w:tcW w:w="655" w:type="dxa"/>
            <w:gridSpan w:val="2"/>
            <w:vAlign w:val="center"/>
          </w:tcPr>
          <w:p w14:paraId="02090FB9">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c>
          <w:tcPr>
            <w:tcW w:w="655" w:type="dxa"/>
            <w:vAlign w:val="center"/>
          </w:tcPr>
          <w:p w14:paraId="63DC4A58">
            <w:pPr>
              <w:spacing w:line="276" w:lineRule="auto"/>
              <w:jc w:val="center"/>
              <w:rPr>
                <w:rFonts w:ascii="宋体" w:hAnsi="宋体" w:eastAsia="宋体" w:cs="Times New Roman"/>
                <w:kern w:val="0"/>
                <w:szCs w:val="21"/>
              </w:rPr>
            </w:pPr>
          </w:p>
        </w:tc>
      </w:tr>
      <w:tr w14:paraId="0C27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3DBC31C2">
            <w:pPr>
              <w:spacing w:line="276" w:lineRule="auto"/>
              <w:jc w:val="center"/>
              <w:rPr>
                <w:rFonts w:ascii="宋体" w:hAnsi="宋体" w:eastAsia="宋体" w:cs="Times New Roman"/>
                <w:szCs w:val="21"/>
              </w:rPr>
            </w:pPr>
            <w:r>
              <w:rPr>
                <w:rFonts w:hint="eastAsia" w:ascii="宋体" w:hAnsi="宋体" w:eastAsia="宋体" w:cs="Times New Roman"/>
                <w:szCs w:val="21"/>
              </w:rPr>
              <w:t>2</w:t>
            </w:r>
          </w:p>
        </w:tc>
        <w:tc>
          <w:tcPr>
            <w:tcW w:w="3868" w:type="dxa"/>
            <w:vAlign w:val="center"/>
          </w:tcPr>
          <w:p w14:paraId="06556FCB">
            <w:pPr>
              <w:spacing w:line="276" w:lineRule="auto"/>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美国</w:t>
            </w:r>
            <w:r>
              <w:rPr>
                <w:rFonts w:hint="eastAsia" w:ascii="宋体" w:hAnsi="宋体" w:eastAsia="宋体" w:cs="宋体"/>
                <w:color w:val="000000"/>
                <w:kern w:val="0"/>
                <w:szCs w:val="21"/>
              </w:rPr>
              <w:t>基础教育改革</w:t>
            </w:r>
            <w:r>
              <w:rPr>
                <w:rFonts w:hint="eastAsia" w:ascii="宋体" w:hAnsi="宋体" w:eastAsia="宋体" w:cs="宋体"/>
                <w:color w:val="000000"/>
                <w:kern w:val="0"/>
                <w:szCs w:val="21"/>
                <w:lang w:val="en-US" w:eastAsia="zh-CN"/>
              </w:rPr>
              <w:t>热点</w:t>
            </w:r>
          </w:p>
        </w:tc>
        <w:tc>
          <w:tcPr>
            <w:tcW w:w="1167" w:type="dxa"/>
            <w:vAlign w:val="center"/>
          </w:tcPr>
          <w:p w14:paraId="50282317">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1C513361">
            <w:pPr>
              <w:spacing w:line="276" w:lineRule="auto"/>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5" w:type="dxa"/>
            <w:gridSpan w:val="2"/>
            <w:vAlign w:val="center"/>
          </w:tcPr>
          <w:p w14:paraId="27CD599A">
            <w:pPr>
              <w:spacing w:line="276" w:lineRule="auto"/>
              <w:jc w:val="center"/>
              <w:rPr>
                <w:rFonts w:hint="eastAsia" w:ascii="宋体" w:hAnsi="宋体" w:eastAsia="宋体" w:cs="Times New Roman"/>
                <w:kern w:val="0"/>
                <w:szCs w:val="21"/>
                <w:lang w:eastAsia="zh-CN"/>
              </w:rPr>
            </w:pPr>
            <w:r>
              <w:rPr>
                <w:rFonts w:hint="eastAsia" w:ascii="宋体" w:hAnsi="宋体" w:eastAsia="宋体" w:cs="Times New Roman"/>
                <w:kern w:val="0"/>
                <w:szCs w:val="21"/>
                <w:lang w:val="en-US" w:eastAsia="zh-CN"/>
              </w:rPr>
              <w:t>4</w:t>
            </w:r>
          </w:p>
        </w:tc>
        <w:tc>
          <w:tcPr>
            <w:tcW w:w="655" w:type="dxa"/>
            <w:vAlign w:val="center"/>
          </w:tcPr>
          <w:p w14:paraId="1E6BC840">
            <w:pPr>
              <w:spacing w:line="276" w:lineRule="auto"/>
              <w:jc w:val="center"/>
              <w:rPr>
                <w:rFonts w:ascii="宋体" w:hAnsi="宋体" w:eastAsia="宋体" w:cs="Times New Roman"/>
                <w:kern w:val="0"/>
                <w:szCs w:val="21"/>
              </w:rPr>
            </w:pPr>
          </w:p>
        </w:tc>
      </w:tr>
      <w:tr w14:paraId="59B4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24" w:type="dxa"/>
            <w:vAlign w:val="center"/>
          </w:tcPr>
          <w:p w14:paraId="3496C59A">
            <w:pPr>
              <w:spacing w:line="276" w:lineRule="auto"/>
              <w:jc w:val="center"/>
              <w:rPr>
                <w:rFonts w:ascii="宋体" w:hAnsi="宋体" w:eastAsia="宋体" w:cs="Times New Roman"/>
                <w:szCs w:val="21"/>
              </w:rPr>
            </w:pPr>
            <w:r>
              <w:rPr>
                <w:rFonts w:hint="eastAsia" w:ascii="宋体" w:hAnsi="宋体" w:eastAsia="宋体" w:cs="Times New Roman"/>
                <w:szCs w:val="21"/>
              </w:rPr>
              <w:t>3</w:t>
            </w:r>
          </w:p>
        </w:tc>
        <w:tc>
          <w:tcPr>
            <w:tcW w:w="3868" w:type="dxa"/>
            <w:vAlign w:val="center"/>
          </w:tcPr>
          <w:p w14:paraId="0AFE1CF4">
            <w:pPr>
              <w:spacing w:line="276" w:lineRule="auto"/>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英国</w:t>
            </w:r>
            <w:r>
              <w:rPr>
                <w:rFonts w:hint="eastAsia" w:ascii="宋体" w:hAnsi="宋体" w:eastAsia="宋体" w:cs="宋体"/>
                <w:color w:val="000000"/>
                <w:kern w:val="0"/>
                <w:szCs w:val="21"/>
              </w:rPr>
              <w:t>基础教育改革</w:t>
            </w:r>
            <w:r>
              <w:rPr>
                <w:rFonts w:hint="eastAsia" w:ascii="宋体" w:hAnsi="宋体" w:eastAsia="宋体" w:cs="宋体"/>
                <w:color w:val="000000"/>
                <w:kern w:val="0"/>
                <w:szCs w:val="21"/>
                <w:lang w:val="en-US" w:eastAsia="zh-CN"/>
              </w:rPr>
              <w:t>热点</w:t>
            </w:r>
          </w:p>
        </w:tc>
        <w:tc>
          <w:tcPr>
            <w:tcW w:w="1167" w:type="dxa"/>
            <w:vAlign w:val="center"/>
          </w:tcPr>
          <w:p w14:paraId="76479895">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6714F060">
            <w:pPr>
              <w:spacing w:line="276" w:lineRule="auto"/>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5" w:type="dxa"/>
            <w:gridSpan w:val="2"/>
            <w:vAlign w:val="center"/>
          </w:tcPr>
          <w:p w14:paraId="24204313">
            <w:pPr>
              <w:spacing w:line="276" w:lineRule="auto"/>
              <w:jc w:val="center"/>
              <w:rPr>
                <w:rFonts w:hint="eastAsia" w:ascii="宋体" w:hAnsi="宋体" w:eastAsia="宋体" w:cs="Times New Roman"/>
                <w:kern w:val="0"/>
                <w:szCs w:val="21"/>
                <w:lang w:eastAsia="zh-CN"/>
              </w:rPr>
            </w:pPr>
            <w:r>
              <w:rPr>
                <w:rFonts w:hint="eastAsia" w:ascii="宋体" w:hAnsi="宋体" w:eastAsia="宋体" w:cs="Times New Roman"/>
                <w:kern w:val="0"/>
                <w:szCs w:val="21"/>
                <w:lang w:val="en-US" w:eastAsia="zh-CN"/>
              </w:rPr>
              <w:t>2</w:t>
            </w:r>
          </w:p>
        </w:tc>
        <w:tc>
          <w:tcPr>
            <w:tcW w:w="655" w:type="dxa"/>
            <w:vAlign w:val="center"/>
          </w:tcPr>
          <w:p w14:paraId="375D0463">
            <w:pPr>
              <w:spacing w:line="276" w:lineRule="auto"/>
              <w:rPr>
                <w:rFonts w:ascii="宋体" w:hAnsi="宋体" w:eastAsia="宋体" w:cs="Times New Roman"/>
                <w:kern w:val="0"/>
                <w:szCs w:val="21"/>
              </w:rPr>
            </w:pPr>
          </w:p>
        </w:tc>
      </w:tr>
      <w:tr w14:paraId="3D52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24" w:type="dxa"/>
            <w:vAlign w:val="center"/>
          </w:tcPr>
          <w:p w14:paraId="7B8473FF">
            <w:pPr>
              <w:spacing w:line="276" w:lineRule="auto"/>
              <w:jc w:val="center"/>
              <w:rPr>
                <w:rFonts w:ascii="宋体" w:hAnsi="宋体" w:eastAsia="宋体" w:cs="Times New Roman"/>
                <w:szCs w:val="21"/>
              </w:rPr>
            </w:pPr>
            <w:r>
              <w:rPr>
                <w:rFonts w:hint="eastAsia" w:ascii="宋体" w:hAnsi="宋体" w:eastAsia="宋体" w:cs="Times New Roman"/>
                <w:szCs w:val="21"/>
              </w:rPr>
              <w:t>4</w:t>
            </w:r>
          </w:p>
        </w:tc>
        <w:tc>
          <w:tcPr>
            <w:tcW w:w="3868" w:type="dxa"/>
            <w:vAlign w:val="center"/>
          </w:tcPr>
          <w:p w14:paraId="05033527">
            <w:pPr>
              <w:spacing w:line="276" w:lineRule="auto"/>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日本</w:t>
            </w:r>
            <w:r>
              <w:rPr>
                <w:rFonts w:hint="eastAsia" w:ascii="宋体" w:hAnsi="宋体" w:eastAsia="宋体" w:cs="宋体"/>
                <w:color w:val="000000"/>
                <w:kern w:val="0"/>
                <w:szCs w:val="21"/>
              </w:rPr>
              <w:t>基础教育改革</w:t>
            </w:r>
            <w:r>
              <w:rPr>
                <w:rFonts w:hint="eastAsia" w:ascii="宋体" w:hAnsi="宋体" w:eastAsia="宋体" w:cs="宋体"/>
                <w:color w:val="000000"/>
                <w:kern w:val="0"/>
                <w:szCs w:val="21"/>
                <w:lang w:val="en-US" w:eastAsia="zh-CN"/>
              </w:rPr>
              <w:t>热点</w:t>
            </w:r>
          </w:p>
        </w:tc>
        <w:tc>
          <w:tcPr>
            <w:tcW w:w="1167" w:type="dxa"/>
            <w:vAlign w:val="center"/>
          </w:tcPr>
          <w:p w14:paraId="6559EF55">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5546A637">
            <w:pPr>
              <w:spacing w:line="276" w:lineRule="auto"/>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5" w:type="dxa"/>
            <w:gridSpan w:val="2"/>
            <w:vAlign w:val="center"/>
          </w:tcPr>
          <w:p w14:paraId="2D6CE655">
            <w:pPr>
              <w:spacing w:line="276" w:lineRule="auto"/>
              <w:jc w:val="center"/>
              <w:rPr>
                <w:rFonts w:hint="eastAsia" w:ascii="宋体" w:hAnsi="宋体" w:eastAsia="宋体" w:cs="Times New Roman"/>
                <w:kern w:val="0"/>
                <w:szCs w:val="21"/>
                <w:lang w:eastAsia="zh-CN"/>
              </w:rPr>
            </w:pPr>
            <w:r>
              <w:rPr>
                <w:rFonts w:hint="eastAsia" w:ascii="宋体" w:hAnsi="宋体" w:eastAsia="宋体" w:cs="Times New Roman"/>
                <w:kern w:val="0"/>
                <w:szCs w:val="21"/>
                <w:lang w:val="en-US" w:eastAsia="zh-CN"/>
              </w:rPr>
              <w:t>4</w:t>
            </w:r>
          </w:p>
        </w:tc>
        <w:tc>
          <w:tcPr>
            <w:tcW w:w="655" w:type="dxa"/>
            <w:vAlign w:val="center"/>
          </w:tcPr>
          <w:p w14:paraId="71F33982">
            <w:pPr>
              <w:spacing w:line="276" w:lineRule="auto"/>
              <w:rPr>
                <w:rFonts w:ascii="宋体" w:hAnsi="宋体" w:eastAsia="宋体" w:cs="Times New Roman"/>
                <w:kern w:val="0"/>
                <w:szCs w:val="21"/>
              </w:rPr>
            </w:pPr>
          </w:p>
        </w:tc>
      </w:tr>
      <w:tr w14:paraId="305C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24" w:type="dxa"/>
            <w:vAlign w:val="center"/>
          </w:tcPr>
          <w:p w14:paraId="18F2080A">
            <w:pPr>
              <w:spacing w:line="276" w:lineRule="auto"/>
              <w:jc w:val="center"/>
              <w:rPr>
                <w:rFonts w:ascii="宋体" w:hAnsi="宋体" w:eastAsia="宋体" w:cs="Times New Roman"/>
                <w:szCs w:val="21"/>
              </w:rPr>
            </w:pPr>
            <w:r>
              <w:rPr>
                <w:rFonts w:hint="eastAsia" w:ascii="宋体" w:hAnsi="宋体" w:eastAsia="宋体" w:cs="Times New Roman"/>
                <w:szCs w:val="21"/>
              </w:rPr>
              <w:t>5</w:t>
            </w:r>
          </w:p>
        </w:tc>
        <w:tc>
          <w:tcPr>
            <w:tcW w:w="3868" w:type="dxa"/>
            <w:vAlign w:val="center"/>
          </w:tcPr>
          <w:p w14:paraId="6E687606">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中国</w:t>
            </w:r>
            <w:r>
              <w:rPr>
                <w:rFonts w:hint="eastAsia" w:ascii="宋体" w:hAnsi="宋体" w:eastAsia="宋体" w:cs="宋体"/>
                <w:color w:val="000000"/>
                <w:kern w:val="0"/>
                <w:szCs w:val="21"/>
              </w:rPr>
              <w:t>基础教育课程改革</w:t>
            </w:r>
          </w:p>
        </w:tc>
        <w:tc>
          <w:tcPr>
            <w:tcW w:w="1167" w:type="dxa"/>
            <w:vAlign w:val="center"/>
          </w:tcPr>
          <w:p w14:paraId="38233DAA">
            <w:pPr>
              <w:spacing w:line="276" w:lineRule="auto"/>
              <w:jc w:val="center"/>
              <w:rPr>
                <w:rFonts w:ascii="宋体" w:hAnsi="宋体" w:eastAsia="宋体" w:cs="Times New Roman"/>
                <w:szCs w:val="21"/>
              </w:rPr>
            </w:pPr>
            <w:r>
              <w:rPr>
                <w:rFonts w:hint="eastAsia" w:ascii="宋体" w:hAnsi="宋体" w:eastAsia="宋体" w:cs="Times New Roman"/>
                <w:kern w:val="0"/>
                <w:szCs w:val="21"/>
              </w:rPr>
              <w:t>目标3、4</w:t>
            </w:r>
          </w:p>
        </w:tc>
        <w:tc>
          <w:tcPr>
            <w:tcW w:w="1644" w:type="dxa"/>
            <w:vAlign w:val="center"/>
          </w:tcPr>
          <w:p w14:paraId="4E6C7D95">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vAlign w:val="center"/>
          </w:tcPr>
          <w:p w14:paraId="6D23C326">
            <w:pPr>
              <w:spacing w:line="276" w:lineRule="auto"/>
              <w:jc w:val="center"/>
              <w:rPr>
                <w:rFonts w:hint="eastAsia" w:ascii="宋体" w:hAnsi="宋体" w:eastAsia="宋体" w:cs="Times New Roman"/>
                <w:kern w:val="0"/>
                <w:szCs w:val="21"/>
                <w:lang w:eastAsia="zh-CN"/>
              </w:rPr>
            </w:pPr>
            <w:r>
              <w:rPr>
                <w:rFonts w:hint="eastAsia" w:ascii="宋体" w:hAnsi="宋体" w:eastAsia="宋体" w:cs="Times New Roman"/>
                <w:kern w:val="0"/>
                <w:szCs w:val="21"/>
                <w:lang w:val="en-US" w:eastAsia="zh-CN"/>
              </w:rPr>
              <w:t>4</w:t>
            </w:r>
          </w:p>
        </w:tc>
        <w:tc>
          <w:tcPr>
            <w:tcW w:w="655" w:type="dxa"/>
            <w:vAlign w:val="center"/>
          </w:tcPr>
          <w:p w14:paraId="175ADB14">
            <w:pPr>
              <w:spacing w:line="276" w:lineRule="auto"/>
              <w:jc w:val="center"/>
              <w:rPr>
                <w:rFonts w:ascii="宋体" w:hAnsi="宋体" w:eastAsia="宋体" w:cs="Times New Roman"/>
                <w:kern w:val="0"/>
                <w:szCs w:val="21"/>
              </w:rPr>
            </w:pPr>
          </w:p>
        </w:tc>
      </w:tr>
      <w:tr w14:paraId="2F83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5F56E6FA">
            <w:pPr>
              <w:spacing w:line="276" w:lineRule="auto"/>
              <w:jc w:val="center"/>
              <w:rPr>
                <w:rFonts w:ascii="宋体" w:hAnsi="宋体" w:eastAsia="宋体" w:cs="Times New Roman"/>
                <w:szCs w:val="21"/>
              </w:rPr>
            </w:pPr>
            <w:r>
              <w:rPr>
                <w:rFonts w:hint="eastAsia" w:ascii="宋体" w:hAnsi="宋体" w:eastAsia="宋体" w:cs="Times New Roman"/>
                <w:szCs w:val="21"/>
              </w:rPr>
              <w:t>6</w:t>
            </w:r>
          </w:p>
        </w:tc>
        <w:tc>
          <w:tcPr>
            <w:tcW w:w="3868" w:type="dxa"/>
            <w:vAlign w:val="center"/>
          </w:tcPr>
          <w:p w14:paraId="3A0429D7">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中国</w:t>
            </w:r>
            <w:r>
              <w:rPr>
                <w:rFonts w:hint="eastAsia" w:ascii="宋体" w:hAnsi="宋体" w:eastAsia="宋体" w:cs="宋体"/>
                <w:color w:val="000000"/>
                <w:kern w:val="0"/>
                <w:szCs w:val="21"/>
              </w:rPr>
              <w:t>基础教育课堂教学改革</w:t>
            </w:r>
          </w:p>
        </w:tc>
        <w:tc>
          <w:tcPr>
            <w:tcW w:w="1167" w:type="dxa"/>
            <w:vAlign w:val="center"/>
          </w:tcPr>
          <w:p w14:paraId="7A735DCA">
            <w:pPr>
              <w:spacing w:line="276" w:lineRule="auto"/>
              <w:jc w:val="center"/>
              <w:rPr>
                <w:rFonts w:ascii="宋体" w:hAnsi="宋体" w:eastAsia="宋体" w:cs="Times New Roman"/>
                <w:szCs w:val="21"/>
              </w:rPr>
            </w:pPr>
            <w:r>
              <w:rPr>
                <w:rFonts w:hint="eastAsia" w:ascii="宋体" w:hAnsi="宋体" w:eastAsia="宋体" w:cs="Times New Roman"/>
                <w:kern w:val="0"/>
                <w:szCs w:val="21"/>
                <w:lang w:val="en-US" w:eastAsia="zh-CN"/>
              </w:rPr>
              <w:t>目标</w:t>
            </w:r>
            <w:r>
              <w:rPr>
                <w:rFonts w:hint="eastAsia" w:ascii="宋体" w:hAnsi="宋体" w:eastAsia="宋体" w:cs="Times New Roman"/>
                <w:kern w:val="0"/>
                <w:szCs w:val="21"/>
              </w:rPr>
              <w:t>4</w:t>
            </w:r>
          </w:p>
        </w:tc>
        <w:tc>
          <w:tcPr>
            <w:tcW w:w="1644" w:type="dxa"/>
            <w:vAlign w:val="center"/>
          </w:tcPr>
          <w:p w14:paraId="2FE9976B">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w:t>
            </w:r>
            <w:r>
              <w:rPr>
                <w:rFonts w:ascii="宋体" w:hAnsi="宋体" w:eastAsia="宋体" w:cs="Times New Roman"/>
                <w:kern w:val="0"/>
                <w:szCs w:val="21"/>
              </w:rPr>
              <w:t>-</w:t>
            </w:r>
            <w:r>
              <w:rPr>
                <w:rFonts w:hint="eastAsia" w:ascii="宋体" w:hAnsi="宋体" w:eastAsia="宋体" w:cs="Times New Roman"/>
                <w:kern w:val="0"/>
                <w:szCs w:val="21"/>
              </w:rPr>
              <w:t>1</w:t>
            </w:r>
          </w:p>
        </w:tc>
        <w:tc>
          <w:tcPr>
            <w:tcW w:w="655" w:type="dxa"/>
            <w:gridSpan w:val="2"/>
            <w:vAlign w:val="center"/>
          </w:tcPr>
          <w:p w14:paraId="37DB06E2">
            <w:pPr>
              <w:spacing w:line="276" w:lineRule="auto"/>
              <w:jc w:val="center"/>
              <w:rPr>
                <w:rFonts w:hint="eastAsia" w:ascii="宋体" w:hAnsi="宋体" w:eastAsia="宋体" w:cs="Times New Roman"/>
                <w:kern w:val="0"/>
                <w:szCs w:val="21"/>
                <w:lang w:eastAsia="zh-CN"/>
              </w:rPr>
            </w:pPr>
            <w:r>
              <w:rPr>
                <w:rFonts w:hint="eastAsia" w:ascii="宋体" w:hAnsi="宋体" w:eastAsia="宋体" w:cs="Times New Roman"/>
                <w:kern w:val="0"/>
                <w:szCs w:val="21"/>
                <w:lang w:val="en-US" w:eastAsia="zh-CN"/>
              </w:rPr>
              <w:t>4</w:t>
            </w:r>
          </w:p>
        </w:tc>
        <w:tc>
          <w:tcPr>
            <w:tcW w:w="655" w:type="dxa"/>
            <w:vAlign w:val="center"/>
          </w:tcPr>
          <w:p w14:paraId="38173DDC">
            <w:pPr>
              <w:spacing w:line="276" w:lineRule="auto"/>
              <w:jc w:val="center"/>
              <w:rPr>
                <w:rFonts w:ascii="宋体" w:hAnsi="宋体" w:eastAsia="宋体" w:cs="Times New Roman"/>
                <w:kern w:val="0"/>
                <w:szCs w:val="21"/>
              </w:rPr>
            </w:pPr>
          </w:p>
        </w:tc>
      </w:tr>
      <w:tr w14:paraId="4705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14E90B71">
            <w:pPr>
              <w:spacing w:line="276" w:lineRule="auto"/>
              <w:jc w:val="center"/>
              <w:rPr>
                <w:rFonts w:ascii="宋体" w:hAnsi="宋体" w:eastAsia="宋体" w:cs="Times New Roman"/>
                <w:szCs w:val="21"/>
              </w:rPr>
            </w:pPr>
            <w:r>
              <w:rPr>
                <w:rFonts w:hint="eastAsia" w:ascii="宋体" w:hAnsi="宋体" w:eastAsia="宋体" w:cs="Times New Roman"/>
                <w:szCs w:val="21"/>
              </w:rPr>
              <w:t>7</w:t>
            </w:r>
          </w:p>
        </w:tc>
        <w:tc>
          <w:tcPr>
            <w:tcW w:w="3868" w:type="dxa"/>
            <w:vAlign w:val="center"/>
          </w:tcPr>
          <w:p w14:paraId="40008F84">
            <w:pPr>
              <w:spacing w:line="276" w:lineRule="auto"/>
              <w:jc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中国基础教育教材改革</w:t>
            </w:r>
          </w:p>
        </w:tc>
        <w:tc>
          <w:tcPr>
            <w:tcW w:w="1167" w:type="dxa"/>
            <w:vAlign w:val="center"/>
          </w:tcPr>
          <w:p w14:paraId="56151748">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目标3</w:t>
            </w:r>
          </w:p>
        </w:tc>
        <w:tc>
          <w:tcPr>
            <w:tcW w:w="1644" w:type="dxa"/>
            <w:vAlign w:val="center"/>
          </w:tcPr>
          <w:p w14:paraId="28DB27FD">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7-3、8-</w:t>
            </w:r>
            <w:r>
              <w:rPr>
                <w:rFonts w:ascii="宋体" w:hAnsi="宋体" w:eastAsia="宋体" w:cs="Times New Roman"/>
                <w:kern w:val="0"/>
                <w:szCs w:val="21"/>
              </w:rPr>
              <w:t>3</w:t>
            </w:r>
          </w:p>
        </w:tc>
        <w:tc>
          <w:tcPr>
            <w:tcW w:w="655" w:type="dxa"/>
            <w:gridSpan w:val="2"/>
            <w:vAlign w:val="center"/>
          </w:tcPr>
          <w:p w14:paraId="0DBF7229">
            <w:pPr>
              <w:spacing w:line="276" w:lineRule="auto"/>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4</w:t>
            </w:r>
          </w:p>
        </w:tc>
        <w:tc>
          <w:tcPr>
            <w:tcW w:w="655" w:type="dxa"/>
            <w:vAlign w:val="center"/>
          </w:tcPr>
          <w:p w14:paraId="7C1356F1">
            <w:pPr>
              <w:spacing w:line="276" w:lineRule="auto"/>
              <w:jc w:val="center"/>
              <w:rPr>
                <w:rFonts w:ascii="宋体" w:hAnsi="宋体" w:eastAsia="宋体" w:cs="Times New Roman"/>
                <w:kern w:val="0"/>
                <w:szCs w:val="21"/>
              </w:rPr>
            </w:pPr>
          </w:p>
        </w:tc>
      </w:tr>
      <w:tr w14:paraId="20DF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388C9137">
            <w:pPr>
              <w:spacing w:line="276"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8</w:t>
            </w:r>
          </w:p>
        </w:tc>
        <w:tc>
          <w:tcPr>
            <w:tcW w:w="3868" w:type="dxa"/>
            <w:vAlign w:val="center"/>
          </w:tcPr>
          <w:p w14:paraId="39255256">
            <w:pPr>
              <w:spacing w:line="276" w:lineRule="auto"/>
              <w:jc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中国基础教育教师队伍改革</w:t>
            </w:r>
          </w:p>
        </w:tc>
        <w:tc>
          <w:tcPr>
            <w:tcW w:w="1167" w:type="dxa"/>
            <w:vAlign w:val="center"/>
          </w:tcPr>
          <w:p w14:paraId="283E630D">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目标</w:t>
            </w:r>
            <w:r>
              <w:rPr>
                <w:rFonts w:hint="eastAsia" w:ascii="宋体" w:hAnsi="宋体" w:eastAsia="宋体" w:cs="Times New Roman"/>
                <w:kern w:val="0"/>
                <w:szCs w:val="21"/>
                <w:lang w:val="en-US" w:eastAsia="zh-CN"/>
              </w:rPr>
              <w:t>1</w:t>
            </w:r>
          </w:p>
        </w:tc>
        <w:tc>
          <w:tcPr>
            <w:tcW w:w="1644" w:type="dxa"/>
            <w:vAlign w:val="center"/>
          </w:tcPr>
          <w:p w14:paraId="796589B9">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vAlign w:val="center"/>
          </w:tcPr>
          <w:p w14:paraId="730D90CB">
            <w:pPr>
              <w:spacing w:line="276" w:lineRule="auto"/>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4</w:t>
            </w:r>
          </w:p>
        </w:tc>
        <w:tc>
          <w:tcPr>
            <w:tcW w:w="655" w:type="dxa"/>
            <w:vAlign w:val="center"/>
          </w:tcPr>
          <w:p w14:paraId="531EA323">
            <w:pPr>
              <w:spacing w:line="276" w:lineRule="auto"/>
              <w:jc w:val="center"/>
              <w:rPr>
                <w:rFonts w:ascii="宋体" w:hAnsi="宋体" w:eastAsia="宋体" w:cs="Times New Roman"/>
                <w:kern w:val="0"/>
                <w:szCs w:val="21"/>
              </w:rPr>
            </w:pPr>
          </w:p>
        </w:tc>
      </w:tr>
      <w:tr w14:paraId="3396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5D34B222">
            <w:pPr>
              <w:spacing w:line="276"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9</w:t>
            </w:r>
          </w:p>
        </w:tc>
        <w:tc>
          <w:tcPr>
            <w:tcW w:w="3868" w:type="dxa"/>
            <w:shd w:val="clear" w:color="auto" w:fill="auto"/>
            <w:vAlign w:val="center"/>
          </w:tcPr>
          <w:p w14:paraId="3D01A71C">
            <w:pPr>
              <w:spacing w:line="276"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中国</w:t>
            </w:r>
            <w:r>
              <w:rPr>
                <w:rFonts w:hint="eastAsia" w:ascii="宋体" w:hAnsi="宋体" w:eastAsia="宋体" w:cs="宋体"/>
                <w:color w:val="000000"/>
                <w:kern w:val="0"/>
                <w:szCs w:val="21"/>
              </w:rPr>
              <w:t>农村基础教育改革的问题与走向</w:t>
            </w:r>
          </w:p>
        </w:tc>
        <w:tc>
          <w:tcPr>
            <w:tcW w:w="1167" w:type="dxa"/>
            <w:shd w:val="clear" w:color="auto" w:fill="auto"/>
            <w:vAlign w:val="center"/>
          </w:tcPr>
          <w:p w14:paraId="23E14DAD">
            <w:pPr>
              <w:spacing w:line="276" w:lineRule="auto"/>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Cs w:val="21"/>
              </w:rPr>
              <w:t>目标</w:t>
            </w:r>
            <w:r>
              <w:rPr>
                <w:rFonts w:hint="eastAsia" w:ascii="宋体" w:hAnsi="宋体" w:eastAsia="宋体" w:cs="Times New Roman"/>
                <w:kern w:val="0"/>
                <w:szCs w:val="21"/>
                <w:lang w:val="en-US" w:eastAsia="zh-CN"/>
              </w:rPr>
              <w:t>1</w:t>
            </w:r>
          </w:p>
        </w:tc>
        <w:tc>
          <w:tcPr>
            <w:tcW w:w="1644" w:type="dxa"/>
            <w:shd w:val="clear" w:color="auto" w:fill="auto"/>
            <w:vAlign w:val="center"/>
          </w:tcPr>
          <w:p w14:paraId="4D266754">
            <w:pPr>
              <w:spacing w:line="276" w:lineRule="auto"/>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shd w:val="clear" w:color="auto" w:fill="auto"/>
            <w:vAlign w:val="center"/>
          </w:tcPr>
          <w:p w14:paraId="29D1E157">
            <w:pPr>
              <w:spacing w:line="276" w:lineRule="auto"/>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Cs w:val="21"/>
                <w:lang w:val="en-US" w:eastAsia="zh-CN"/>
              </w:rPr>
              <w:t>2</w:t>
            </w:r>
          </w:p>
        </w:tc>
        <w:tc>
          <w:tcPr>
            <w:tcW w:w="655" w:type="dxa"/>
            <w:vAlign w:val="center"/>
          </w:tcPr>
          <w:p w14:paraId="5F6B9964">
            <w:pPr>
              <w:spacing w:line="276" w:lineRule="auto"/>
              <w:jc w:val="center"/>
              <w:rPr>
                <w:rFonts w:ascii="宋体" w:hAnsi="宋体" w:eastAsia="宋体" w:cs="Times New Roman"/>
                <w:kern w:val="0"/>
                <w:szCs w:val="21"/>
              </w:rPr>
            </w:pPr>
          </w:p>
        </w:tc>
      </w:tr>
      <w:tr w14:paraId="3B7A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0E34AEB5">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3868" w:type="dxa"/>
            <w:shd w:val="clear" w:color="auto" w:fill="auto"/>
            <w:vAlign w:val="center"/>
          </w:tcPr>
          <w:p w14:paraId="262AC3B4">
            <w:pPr>
              <w:spacing w:line="276" w:lineRule="auto"/>
              <w:jc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中外基础教育改革研究热点</w:t>
            </w:r>
          </w:p>
        </w:tc>
        <w:tc>
          <w:tcPr>
            <w:tcW w:w="1167" w:type="dxa"/>
            <w:shd w:val="clear" w:color="auto" w:fill="auto"/>
            <w:vAlign w:val="center"/>
          </w:tcPr>
          <w:p w14:paraId="4B451E7A">
            <w:pPr>
              <w:spacing w:line="276" w:lineRule="auto"/>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目标3、4</w:t>
            </w:r>
          </w:p>
        </w:tc>
        <w:tc>
          <w:tcPr>
            <w:tcW w:w="1644" w:type="dxa"/>
            <w:shd w:val="clear" w:color="auto" w:fill="auto"/>
            <w:vAlign w:val="center"/>
          </w:tcPr>
          <w:p w14:paraId="0C666BBE">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5" w:type="dxa"/>
            <w:gridSpan w:val="2"/>
            <w:shd w:val="clear" w:color="auto" w:fill="auto"/>
            <w:vAlign w:val="center"/>
          </w:tcPr>
          <w:p w14:paraId="1FDC37CF">
            <w:pPr>
              <w:spacing w:line="276" w:lineRule="auto"/>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2</w:t>
            </w:r>
          </w:p>
        </w:tc>
        <w:tc>
          <w:tcPr>
            <w:tcW w:w="655" w:type="dxa"/>
            <w:vAlign w:val="center"/>
          </w:tcPr>
          <w:p w14:paraId="77D84FCC">
            <w:pPr>
              <w:spacing w:line="276" w:lineRule="auto"/>
              <w:jc w:val="center"/>
              <w:rPr>
                <w:rFonts w:ascii="宋体" w:hAnsi="宋体" w:eastAsia="宋体" w:cs="Times New Roman"/>
                <w:kern w:val="0"/>
                <w:szCs w:val="21"/>
              </w:rPr>
            </w:pPr>
          </w:p>
        </w:tc>
      </w:tr>
      <w:tr w14:paraId="0E55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11" w:type="dxa"/>
            <w:gridSpan w:val="5"/>
            <w:vAlign w:val="center"/>
          </w:tcPr>
          <w:p w14:paraId="0A238A90">
            <w:pPr>
              <w:spacing w:line="276" w:lineRule="auto"/>
              <w:jc w:val="center"/>
              <w:rPr>
                <w:rFonts w:ascii="宋体" w:hAnsi="宋体" w:eastAsia="宋体" w:cs="Times New Roman"/>
                <w:szCs w:val="21"/>
              </w:rPr>
            </w:pPr>
            <w:r>
              <w:rPr>
                <w:rFonts w:ascii="宋体" w:hAnsi="宋体" w:eastAsia="宋体" w:cs="Times New Roman"/>
                <w:szCs w:val="21"/>
              </w:rPr>
              <w:t>合计</w:t>
            </w:r>
          </w:p>
        </w:tc>
        <w:tc>
          <w:tcPr>
            <w:tcW w:w="647" w:type="dxa"/>
            <w:vAlign w:val="center"/>
          </w:tcPr>
          <w:p w14:paraId="02D96158">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32</w:t>
            </w:r>
          </w:p>
        </w:tc>
        <w:tc>
          <w:tcPr>
            <w:tcW w:w="655" w:type="dxa"/>
            <w:vAlign w:val="center"/>
          </w:tcPr>
          <w:p w14:paraId="175B6156">
            <w:pPr>
              <w:spacing w:line="276" w:lineRule="auto"/>
              <w:jc w:val="center"/>
              <w:rPr>
                <w:rFonts w:ascii="宋体" w:hAnsi="宋体" w:eastAsia="宋体" w:cs="Times New Roman"/>
                <w:kern w:val="0"/>
                <w:szCs w:val="21"/>
              </w:rPr>
            </w:pPr>
          </w:p>
        </w:tc>
      </w:tr>
    </w:tbl>
    <w:p w14:paraId="50BBB084">
      <w:pPr>
        <w:spacing w:before="156" w:beforeLines="50" w:line="360" w:lineRule="auto"/>
        <w:rPr>
          <w:rFonts w:ascii="宋体" w:hAnsi="宋体" w:eastAsia="宋体" w:cs="Times New Roman"/>
          <w:b/>
          <w:sz w:val="28"/>
          <w:szCs w:val="28"/>
        </w:rPr>
      </w:pPr>
      <w:r>
        <w:rPr>
          <w:rFonts w:hint="eastAsia" w:ascii="宋体" w:hAnsi="宋体" w:eastAsia="宋体" w:cs="Times New Roman"/>
          <w:b/>
          <w:sz w:val="28"/>
          <w:szCs w:val="28"/>
        </w:rPr>
        <w:t xml:space="preserve">    </w:t>
      </w:r>
      <w:bookmarkStart w:id="1012" w:name="_Toc27847327"/>
      <w:r>
        <w:rPr>
          <w:rFonts w:hint="eastAsia" w:ascii="宋体" w:hAnsi="宋体" w:eastAsia="宋体" w:cs="Times New Roman"/>
          <w:b/>
          <w:sz w:val="28"/>
          <w:szCs w:val="28"/>
        </w:rPr>
        <w:t>四、课程实施</w:t>
      </w:r>
      <w:bookmarkEnd w:id="1012"/>
    </w:p>
    <w:p w14:paraId="093D775E">
      <w:pPr>
        <w:spacing w:line="360" w:lineRule="auto"/>
        <w:rPr>
          <w:rFonts w:ascii="宋体" w:hAnsi="宋体" w:eastAsia="宋体" w:cs="Times New Roman"/>
          <w:color w:val="000000"/>
          <w:sz w:val="24"/>
          <w:szCs w:val="22"/>
        </w:rPr>
      </w:pPr>
      <w:r>
        <w:rPr>
          <w:rFonts w:hint="eastAsia" w:ascii="宋体" w:hAnsi="宋体" w:eastAsia="宋体" w:cs="Times New Roman"/>
          <w:sz w:val="24"/>
          <w:szCs w:val="22"/>
        </w:rPr>
        <w:t>（一）</w:t>
      </w:r>
      <w:r>
        <w:rPr>
          <w:rFonts w:hint="eastAsia" w:ascii="宋体" w:hAnsi="宋体" w:eastAsia="宋体" w:cs="Times New Roman"/>
          <w:color w:val="000000"/>
          <w:sz w:val="24"/>
          <w:szCs w:val="22"/>
        </w:rPr>
        <w:t>积极进行课堂教学改革，主要教学方式包括讲授法、案例分析、讨论法、</w:t>
      </w:r>
      <w:r>
        <w:rPr>
          <w:rFonts w:hint="eastAsia" w:ascii="宋体" w:hAnsi="宋体" w:eastAsia="宋体" w:cs="Times New Roman"/>
          <w:color w:val="000000"/>
          <w:sz w:val="24"/>
          <w:szCs w:val="22"/>
          <w:lang w:val="en-US" w:eastAsia="zh-CN"/>
        </w:rPr>
        <w:t>翻转课堂</w:t>
      </w:r>
      <w:r>
        <w:rPr>
          <w:rFonts w:hint="eastAsia" w:ascii="宋体" w:hAnsi="宋体" w:eastAsia="宋体" w:cs="Times New Roman"/>
          <w:color w:val="000000"/>
          <w:sz w:val="24"/>
          <w:szCs w:val="22"/>
        </w:rPr>
        <w:t>等。充分利用现代化教学手段，提高教学的针对性和实效性。</w:t>
      </w:r>
    </w:p>
    <w:p w14:paraId="63BA1922">
      <w:pPr>
        <w:spacing w:line="360" w:lineRule="auto"/>
        <w:rPr>
          <w:rFonts w:ascii="宋体" w:hAnsi="宋体" w:eastAsia="宋体" w:cs="Times New Roman"/>
          <w:color w:val="000000"/>
          <w:sz w:val="24"/>
          <w:szCs w:val="22"/>
        </w:rPr>
      </w:pPr>
      <w:r>
        <w:rPr>
          <w:rFonts w:hint="eastAsia" w:ascii="宋体" w:hAnsi="宋体" w:eastAsia="宋体" w:cs="Times New Roman"/>
          <w:sz w:val="24"/>
          <w:szCs w:val="22"/>
        </w:rPr>
        <w:t>（二）采用小组合作学习方式，</w:t>
      </w:r>
      <w:r>
        <w:rPr>
          <w:rFonts w:hint="eastAsia" w:ascii="宋体" w:hAnsi="宋体" w:eastAsia="宋体" w:cs="Times New Roman"/>
          <w:kern w:val="0"/>
          <w:sz w:val="24"/>
          <w:szCs w:val="22"/>
        </w:rPr>
        <w:t>学生在小组合作学习过程中完成基础教育改革的</w:t>
      </w:r>
      <w:r>
        <w:rPr>
          <w:rFonts w:hint="eastAsia" w:ascii="宋体" w:hAnsi="宋体" w:eastAsia="宋体" w:cs="Times New Roman"/>
          <w:kern w:val="0"/>
          <w:sz w:val="24"/>
          <w:szCs w:val="22"/>
          <w:lang w:val="en-US" w:eastAsia="zh-CN"/>
        </w:rPr>
        <w:t>文献</w:t>
      </w:r>
      <w:r>
        <w:rPr>
          <w:rFonts w:hint="eastAsia" w:ascii="宋体" w:hAnsi="宋体" w:eastAsia="宋体" w:cs="Times New Roman"/>
          <w:kern w:val="0"/>
          <w:sz w:val="24"/>
          <w:szCs w:val="22"/>
        </w:rPr>
        <w:t>调查，培养学生团队协作精神</w:t>
      </w:r>
      <w:r>
        <w:rPr>
          <w:rFonts w:ascii="宋体" w:hAnsi="宋体" w:eastAsia="宋体" w:cs="Times New Roman"/>
          <w:kern w:val="0"/>
          <w:sz w:val="24"/>
          <w:szCs w:val="22"/>
        </w:rPr>
        <w:t>。</w:t>
      </w:r>
    </w:p>
    <w:p w14:paraId="2E2F81EC">
      <w:pPr>
        <w:spacing w:line="360" w:lineRule="auto"/>
        <w:rPr>
          <w:rFonts w:ascii="宋体" w:hAnsi="宋体" w:eastAsia="宋体" w:cs="Times New Roman"/>
          <w:color w:val="000000"/>
          <w:sz w:val="24"/>
          <w:szCs w:val="22"/>
        </w:rPr>
      </w:pPr>
      <w:r>
        <w:rPr>
          <w:rFonts w:hint="eastAsia" w:ascii="宋体" w:hAnsi="宋体" w:eastAsia="宋体" w:cs="Times New Roman"/>
          <w:sz w:val="24"/>
          <w:szCs w:val="22"/>
        </w:rPr>
        <w:t>（四）</w:t>
      </w:r>
      <w:r>
        <w:rPr>
          <w:rFonts w:hint="eastAsia" w:ascii="宋体" w:hAnsi="宋体" w:eastAsia="宋体" w:cs="Times New Roman"/>
          <w:color w:val="000000"/>
          <w:sz w:val="24"/>
          <w:szCs w:val="22"/>
        </w:rPr>
        <w:t>紧密结合本课程的最新研究成果，及时调整和补充学科前沿知识。</w:t>
      </w:r>
    </w:p>
    <w:p w14:paraId="7A60BA88">
      <w:pPr>
        <w:spacing w:line="360" w:lineRule="auto"/>
        <w:rPr>
          <w:rFonts w:ascii="宋体" w:hAnsi="宋体" w:eastAsia="宋体" w:cs="Times New Roman"/>
          <w:b/>
          <w:bCs/>
          <w:sz w:val="24"/>
          <w:szCs w:val="22"/>
        </w:rPr>
      </w:pPr>
      <w:r>
        <w:rPr>
          <w:rFonts w:ascii="宋体" w:hAnsi="宋体" w:eastAsia="宋体" w:cs="Times New Roman"/>
          <w:b/>
          <w:bCs/>
          <w:sz w:val="24"/>
          <w:szCs w:val="22"/>
        </w:rPr>
        <w:t>主要教学环节的质量要求如表所示</w:t>
      </w:r>
      <w:r>
        <w:rPr>
          <w:rFonts w:hint="eastAsia" w:ascii="宋体" w:hAnsi="宋体" w:eastAsia="宋体" w:cs="Times New Roman"/>
          <w:b/>
          <w:bCs/>
          <w:sz w:val="24"/>
          <w:szCs w:val="22"/>
        </w:rPr>
        <w:t>：</w:t>
      </w:r>
    </w:p>
    <w:tbl>
      <w:tblPr>
        <w:tblStyle w:val="1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6306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6497473F">
            <w:pPr>
              <w:spacing w:line="276" w:lineRule="auto"/>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674F3DA3">
            <w:pPr>
              <w:spacing w:line="276" w:lineRule="auto"/>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10BA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79284B16">
            <w:pPr>
              <w:spacing w:line="276" w:lineRule="auto"/>
              <w:jc w:val="center"/>
              <w:rPr>
                <w:rFonts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5F0F72AF">
            <w:pPr>
              <w:spacing w:line="276" w:lineRule="auto"/>
              <w:jc w:val="center"/>
              <w:rPr>
                <w:rFonts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025A2C0E">
            <w:pPr>
              <w:spacing w:line="276" w:lineRule="auto"/>
              <w:rPr>
                <w:rFonts w:ascii="宋体" w:hAnsi="宋体" w:eastAsia="宋体" w:cs="Times New Roman"/>
                <w:color w:val="000000"/>
                <w:szCs w:val="21"/>
              </w:rPr>
            </w:pPr>
            <w:r>
              <w:rPr>
                <w:rFonts w:ascii="宋体" w:hAnsi="宋体" w:eastAsia="宋体" w:cs="Times New Roman"/>
                <w:color w:val="000000"/>
                <w:szCs w:val="21"/>
              </w:rPr>
              <w:t>（1）掌握课程教学大纲内容，严格按照教学大纲要求进行课程教学内容的组织。</w:t>
            </w:r>
          </w:p>
          <w:p w14:paraId="3D970C9B">
            <w:pPr>
              <w:spacing w:line="276" w:lineRule="auto"/>
              <w:rPr>
                <w:rFonts w:ascii="宋体" w:hAnsi="宋体" w:eastAsia="宋体" w:cs="Times New Roman"/>
                <w:color w:val="000000"/>
                <w:szCs w:val="21"/>
              </w:rPr>
            </w:pPr>
            <w:r>
              <w:rPr>
                <w:rFonts w:ascii="宋体" w:hAnsi="宋体" w:eastAsia="宋体" w:cs="Times New Roman"/>
                <w:color w:val="000000"/>
                <w:szCs w:val="21"/>
              </w:rPr>
              <w:t>（2）悉心了解学生的现有水平和最新发展区水平，深透钻研教材内容，广泛阅读相关文献资料，精心选择教学方法、组织形式</w:t>
            </w:r>
            <w:r>
              <w:rPr>
                <w:rFonts w:hint="eastAsia" w:ascii="宋体" w:hAnsi="宋体" w:eastAsia="宋体" w:cs="Times New Roman"/>
                <w:color w:val="000000"/>
                <w:szCs w:val="21"/>
              </w:rPr>
              <w:t>和教学手段，认真</w:t>
            </w:r>
            <w:r>
              <w:rPr>
                <w:rFonts w:ascii="宋体" w:hAnsi="宋体" w:eastAsia="宋体" w:cs="Times New Roman"/>
                <w:color w:val="000000"/>
                <w:szCs w:val="21"/>
              </w:rPr>
              <w:t>编写授课计划。授课教案内容包括章节标题、教学目标、教学准备、教学方法、课堂类型、时间分配、授课内容、课后作业、教学效果分析等方面。</w:t>
            </w:r>
          </w:p>
        </w:tc>
      </w:tr>
      <w:tr w14:paraId="4335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82" w:type="dxa"/>
            <w:tcBorders>
              <w:left w:val="single" w:color="auto" w:sz="8" w:space="0"/>
            </w:tcBorders>
            <w:vAlign w:val="center"/>
          </w:tcPr>
          <w:p w14:paraId="3EAA1CFB">
            <w:pPr>
              <w:spacing w:line="276" w:lineRule="auto"/>
              <w:jc w:val="center"/>
              <w:rPr>
                <w:rFonts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0C677E5D">
            <w:pPr>
              <w:spacing w:line="276" w:lineRule="auto"/>
              <w:jc w:val="center"/>
              <w:rPr>
                <w:rFonts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41092089">
            <w:pPr>
              <w:spacing w:line="276" w:lineRule="auto"/>
              <w:rPr>
                <w:rFonts w:ascii="宋体" w:hAnsi="宋体" w:eastAsia="宋体" w:cs="Times New Roman"/>
                <w:color w:val="000000"/>
                <w:szCs w:val="24"/>
              </w:rPr>
            </w:pPr>
            <w:r>
              <w:rPr>
                <w:rFonts w:ascii="宋体" w:hAnsi="宋体" w:eastAsia="宋体" w:cs="Times New Roman"/>
                <w:color w:val="000000"/>
                <w:szCs w:val="21"/>
              </w:rPr>
              <w:t>（1）</w:t>
            </w:r>
            <w:r>
              <w:rPr>
                <w:rFonts w:hint="eastAsia" w:ascii="宋体" w:hAnsi="宋体" w:eastAsia="宋体" w:cs="Times New Roman"/>
                <w:color w:val="000000"/>
                <w:szCs w:val="24"/>
              </w:rPr>
              <w:t>教师仪表端庄，情绪情感要饱满；</w:t>
            </w:r>
          </w:p>
          <w:p w14:paraId="5B1D551E">
            <w:pPr>
              <w:spacing w:line="276" w:lineRule="auto"/>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4"/>
              </w:rPr>
              <w:t>教学准备充分，熟悉教学内容；</w:t>
            </w:r>
          </w:p>
          <w:p w14:paraId="1D2E060D">
            <w:pPr>
              <w:spacing w:line="276" w:lineRule="auto"/>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4"/>
              </w:rPr>
              <w:t>教学内容充实，不断充实最新研究成果；</w:t>
            </w:r>
          </w:p>
          <w:p w14:paraId="52866C55">
            <w:pPr>
              <w:spacing w:line="276" w:lineRule="auto"/>
              <w:rPr>
                <w:rFonts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4"/>
              </w:rPr>
              <w:t>严格执行计划，教学进度适宜；</w:t>
            </w:r>
          </w:p>
          <w:p w14:paraId="05E773EE">
            <w:pPr>
              <w:spacing w:line="276" w:lineRule="auto"/>
              <w:rPr>
                <w:rFonts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4"/>
              </w:rPr>
              <w:t>课堂教学信息充分，注重理论联系实际；</w:t>
            </w:r>
          </w:p>
          <w:p w14:paraId="2B8DFFE5">
            <w:pPr>
              <w:spacing w:line="276" w:lineRule="auto"/>
              <w:rPr>
                <w:rFonts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szCs w:val="24"/>
              </w:rPr>
              <w:t>注重启发学生思维，培养学生的教学能力；</w:t>
            </w:r>
          </w:p>
          <w:p w14:paraId="6995733C">
            <w:pPr>
              <w:spacing w:line="276" w:lineRule="auto"/>
              <w:rPr>
                <w:rFonts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4"/>
              </w:rPr>
              <w:t>面向全体基础上因材施教，灵活运用多种教学方法；</w:t>
            </w:r>
          </w:p>
          <w:p w14:paraId="2F4FD88A">
            <w:pPr>
              <w:spacing w:line="276" w:lineRule="auto"/>
              <w:rPr>
                <w:rFonts w:ascii="宋体" w:hAnsi="宋体" w:eastAsia="宋体" w:cs="Times New Roman"/>
                <w:color w:val="000000"/>
                <w:szCs w:val="21"/>
              </w:rPr>
            </w:pPr>
            <w:r>
              <w:rPr>
                <w:rFonts w:ascii="宋体" w:hAnsi="宋体" w:eastAsia="宋体" w:cs="Times New Roman"/>
                <w:color w:val="000000"/>
                <w:szCs w:val="21"/>
              </w:rPr>
              <w:t>（8）</w:t>
            </w:r>
            <w:r>
              <w:rPr>
                <w:rFonts w:hint="eastAsia" w:ascii="宋体" w:hAnsi="宋体" w:eastAsia="宋体" w:cs="Times New Roman"/>
                <w:color w:val="000000"/>
                <w:szCs w:val="24"/>
              </w:rPr>
              <w:t>教学语言规范，为学生教育教学做好表率；</w:t>
            </w:r>
          </w:p>
          <w:p w14:paraId="716A2326">
            <w:pPr>
              <w:spacing w:line="276" w:lineRule="auto"/>
              <w:rPr>
                <w:rFonts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szCs w:val="24"/>
              </w:rPr>
              <w:t>教学条理清楚，教学思路逻辑严密；</w:t>
            </w:r>
          </w:p>
          <w:p w14:paraId="3DE4B399">
            <w:pPr>
              <w:spacing w:line="276" w:lineRule="auto"/>
              <w:rPr>
                <w:rFonts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4"/>
              </w:rPr>
              <w:t>充分运用现代化教学手段，教学技术熟练；</w:t>
            </w:r>
          </w:p>
          <w:p w14:paraId="20A8E67B">
            <w:pPr>
              <w:spacing w:line="276" w:lineRule="auto"/>
              <w:rPr>
                <w:rFonts w:ascii="宋体" w:hAnsi="宋体" w:eastAsia="宋体" w:cs="Times New Roman"/>
                <w:color w:val="000000"/>
                <w:szCs w:val="21"/>
              </w:rPr>
            </w:pPr>
            <w:r>
              <w:rPr>
                <w:rFonts w:ascii="宋体" w:hAnsi="宋体" w:eastAsia="宋体" w:cs="Times New Roman"/>
                <w:color w:val="000000"/>
                <w:szCs w:val="21"/>
              </w:rPr>
              <w:t>（11）</w:t>
            </w:r>
            <w:r>
              <w:rPr>
                <w:rFonts w:hint="eastAsia" w:ascii="宋体" w:hAnsi="宋体" w:eastAsia="宋体" w:cs="Times New Roman"/>
                <w:color w:val="000000"/>
                <w:szCs w:val="24"/>
              </w:rPr>
              <w:t>课堂教学要重点突出，难点突破；</w:t>
            </w:r>
          </w:p>
          <w:p w14:paraId="0525F445">
            <w:pPr>
              <w:spacing w:line="276" w:lineRule="auto"/>
              <w:rPr>
                <w:rFonts w:ascii="宋体" w:hAnsi="宋体" w:eastAsia="宋体" w:cs="Times New Roman"/>
                <w:color w:val="000000"/>
                <w:szCs w:val="21"/>
              </w:rPr>
            </w:pPr>
            <w:r>
              <w:rPr>
                <w:rFonts w:ascii="宋体" w:hAnsi="宋体" w:eastAsia="宋体" w:cs="Times New Roman"/>
                <w:color w:val="000000"/>
                <w:szCs w:val="21"/>
              </w:rPr>
              <w:t>（12）</w:t>
            </w:r>
            <w:r>
              <w:rPr>
                <w:rFonts w:hint="eastAsia" w:ascii="宋体" w:hAnsi="宋体" w:eastAsia="宋体" w:cs="Times New Roman"/>
                <w:color w:val="000000"/>
                <w:szCs w:val="24"/>
              </w:rPr>
              <w:t>注重师生互动，形成良好的课堂氛围。</w:t>
            </w:r>
          </w:p>
        </w:tc>
      </w:tr>
      <w:tr w14:paraId="4AAB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vAlign w:val="center"/>
          </w:tcPr>
          <w:p w14:paraId="03F642B8">
            <w:pPr>
              <w:spacing w:line="276" w:lineRule="auto"/>
              <w:jc w:val="center"/>
              <w:rPr>
                <w:rFonts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72C2CDDD">
            <w:pPr>
              <w:spacing w:line="276" w:lineRule="auto"/>
              <w:jc w:val="center"/>
              <w:rPr>
                <w:rFonts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3A70FD2A">
            <w:pPr>
              <w:spacing w:line="276" w:lineRule="auto"/>
              <w:rPr>
                <w:rFonts w:ascii="宋体" w:hAnsi="宋体" w:eastAsia="宋体" w:cs="Times New Roman"/>
                <w:color w:val="000000"/>
                <w:szCs w:val="21"/>
              </w:rPr>
            </w:pPr>
            <w:r>
              <w:rPr>
                <w:rFonts w:ascii="宋体" w:hAnsi="宋体" w:eastAsia="宋体" w:cs="Times New Roman"/>
                <w:color w:val="000000"/>
                <w:szCs w:val="21"/>
              </w:rPr>
              <w:t>学生必须完成</w:t>
            </w:r>
            <w:r>
              <w:rPr>
                <w:rFonts w:hint="eastAsia" w:ascii="宋体" w:hAnsi="宋体" w:eastAsia="宋体" w:cs="Times New Roman"/>
                <w:color w:val="000000"/>
                <w:szCs w:val="21"/>
              </w:rPr>
              <w:t>规定</w:t>
            </w:r>
            <w:r>
              <w:rPr>
                <w:rFonts w:ascii="宋体" w:hAnsi="宋体" w:eastAsia="宋体" w:cs="Times New Roman"/>
                <w:color w:val="000000"/>
                <w:szCs w:val="21"/>
              </w:rPr>
              <w:t>数量的作业</w:t>
            </w:r>
            <w:r>
              <w:rPr>
                <w:rFonts w:hint="eastAsia" w:ascii="宋体" w:hAnsi="宋体" w:eastAsia="宋体" w:cs="Times New Roman"/>
                <w:color w:val="000000"/>
                <w:szCs w:val="21"/>
              </w:rPr>
              <w:t>，</w:t>
            </w:r>
            <w:r>
              <w:rPr>
                <w:rFonts w:ascii="宋体" w:hAnsi="宋体" w:eastAsia="宋体" w:cs="Times New Roman"/>
                <w:color w:val="000000"/>
                <w:szCs w:val="21"/>
              </w:rPr>
              <w:t>作业必须达到以下基本要求：</w:t>
            </w:r>
          </w:p>
          <w:p w14:paraId="44427028">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按时按量完成作业，不缺交，不抄袭</w:t>
            </w:r>
            <w:r>
              <w:rPr>
                <w:rFonts w:hint="eastAsia" w:ascii="宋体" w:hAnsi="宋体" w:eastAsia="宋体" w:cs="Times New Roman"/>
                <w:color w:val="000000"/>
                <w:szCs w:val="21"/>
              </w:rPr>
              <w:t>。</w:t>
            </w:r>
          </w:p>
          <w:p w14:paraId="2B987ECF">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（2）书写</w:t>
            </w:r>
            <w:r>
              <w:rPr>
                <w:rFonts w:ascii="宋体" w:hAnsi="宋体" w:eastAsia="宋体" w:cs="Times New Roman"/>
                <w:color w:val="000000"/>
                <w:szCs w:val="21"/>
              </w:rPr>
              <w:t>规范</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字迹工整</w:t>
            </w:r>
            <w:r>
              <w:rPr>
                <w:rFonts w:hint="eastAsia" w:ascii="宋体" w:hAnsi="宋体" w:eastAsia="宋体" w:cs="Times New Roman"/>
                <w:color w:val="000000"/>
                <w:szCs w:val="21"/>
              </w:rPr>
              <w:t>。</w:t>
            </w:r>
          </w:p>
          <w:p w14:paraId="77B36FFD">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有独立见解</w:t>
            </w:r>
            <w:r>
              <w:rPr>
                <w:rFonts w:ascii="宋体" w:hAnsi="宋体" w:eastAsia="宋体" w:cs="Times New Roman"/>
                <w:color w:val="000000"/>
                <w:szCs w:val="21"/>
              </w:rPr>
              <w:t>。</w:t>
            </w:r>
          </w:p>
          <w:p w14:paraId="76158508">
            <w:pPr>
              <w:spacing w:line="276" w:lineRule="auto"/>
              <w:rPr>
                <w:rFonts w:ascii="宋体" w:hAnsi="宋体" w:eastAsia="宋体" w:cs="Times New Roman"/>
                <w:color w:val="000000"/>
                <w:szCs w:val="21"/>
              </w:rPr>
            </w:pP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讲评作业要求如下：</w:t>
            </w:r>
          </w:p>
          <w:p w14:paraId="76509FEE">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学生的作业要</w:t>
            </w:r>
            <w:r>
              <w:rPr>
                <w:rFonts w:hint="eastAsia" w:ascii="宋体" w:hAnsi="宋体" w:eastAsia="宋体" w:cs="Times New Roman"/>
                <w:color w:val="000000"/>
                <w:szCs w:val="21"/>
              </w:rPr>
              <w:t>按时</w:t>
            </w:r>
            <w:r>
              <w:rPr>
                <w:rFonts w:ascii="宋体" w:hAnsi="宋体" w:eastAsia="宋体" w:cs="Times New Roman"/>
                <w:color w:val="000000"/>
                <w:szCs w:val="21"/>
              </w:rPr>
              <w:t>全</w:t>
            </w:r>
            <w:r>
              <w:rPr>
                <w:rFonts w:hint="eastAsia" w:ascii="宋体" w:hAnsi="宋体" w:eastAsia="宋体" w:cs="Times New Roman"/>
                <w:color w:val="000000"/>
                <w:szCs w:val="21"/>
              </w:rPr>
              <w:t>部</w:t>
            </w:r>
            <w:r>
              <w:rPr>
                <w:rFonts w:ascii="宋体" w:hAnsi="宋体" w:eastAsia="宋体" w:cs="Times New Roman"/>
                <w:color w:val="000000"/>
                <w:szCs w:val="21"/>
              </w:rPr>
              <w:t>批改，并</w:t>
            </w:r>
            <w:r>
              <w:rPr>
                <w:rFonts w:hint="eastAsia" w:ascii="宋体" w:hAnsi="宋体" w:eastAsia="宋体" w:cs="Times New Roman"/>
                <w:color w:val="000000"/>
                <w:szCs w:val="21"/>
              </w:rPr>
              <w:t>及时进行</w:t>
            </w:r>
            <w:r>
              <w:rPr>
                <w:rFonts w:ascii="宋体" w:hAnsi="宋体" w:eastAsia="宋体" w:cs="Times New Roman"/>
                <w:color w:val="000000"/>
                <w:szCs w:val="21"/>
              </w:rPr>
              <w:t>讲评</w:t>
            </w:r>
            <w:r>
              <w:rPr>
                <w:rFonts w:hint="eastAsia" w:ascii="宋体" w:hAnsi="宋体" w:eastAsia="宋体" w:cs="Times New Roman"/>
                <w:color w:val="000000"/>
                <w:szCs w:val="21"/>
              </w:rPr>
              <w:t>。</w:t>
            </w:r>
          </w:p>
          <w:p w14:paraId="2B94260B">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讲评作业要认真、细致，按百分制评定成绩并写明日期</w:t>
            </w:r>
            <w:r>
              <w:rPr>
                <w:rFonts w:hint="eastAsia" w:ascii="宋体" w:hAnsi="宋体" w:eastAsia="宋体" w:cs="Times New Roman"/>
                <w:color w:val="000000"/>
                <w:szCs w:val="21"/>
              </w:rPr>
              <w:t>。</w:t>
            </w:r>
          </w:p>
          <w:p w14:paraId="15032D12">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学生作业平均成绩</w:t>
            </w:r>
            <w:r>
              <w:rPr>
                <w:rFonts w:hint="eastAsia" w:ascii="宋体" w:hAnsi="宋体" w:eastAsia="宋体" w:cs="Times New Roman"/>
                <w:color w:val="000000"/>
                <w:szCs w:val="21"/>
              </w:rPr>
              <w:t>应</w:t>
            </w:r>
            <w:r>
              <w:rPr>
                <w:rFonts w:ascii="宋体" w:hAnsi="宋体" w:eastAsia="宋体" w:cs="Times New Roman"/>
                <w:color w:val="000000"/>
                <w:szCs w:val="21"/>
              </w:rPr>
              <w:t>作为本课程总评成绩中平时成绩的重要组成部分。</w:t>
            </w:r>
          </w:p>
        </w:tc>
      </w:tr>
      <w:tr w14:paraId="4D6F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6CC984DB">
            <w:pPr>
              <w:spacing w:line="276" w:lineRule="auto"/>
              <w:jc w:val="center"/>
              <w:rPr>
                <w:rFonts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6AAF05DB">
            <w:pPr>
              <w:spacing w:line="276" w:lineRule="auto"/>
              <w:jc w:val="center"/>
              <w:rPr>
                <w:rFonts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72DAB5EE">
            <w:pPr>
              <w:spacing w:line="276" w:lineRule="auto"/>
              <w:rPr>
                <w:rFonts w:hint="default" w:ascii="宋体" w:hAnsi="宋体" w:eastAsia="宋体" w:cs="Times New Roman"/>
                <w:color w:val="000000"/>
                <w:szCs w:val="21"/>
                <w:lang w:val="en-US"/>
              </w:rPr>
            </w:pPr>
            <w:r>
              <w:rPr>
                <w:rFonts w:ascii="宋体" w:hAnsi="宋体" w:eastAsia="宋体" w:cs="Times New Roman"/>
                <w:color w:val="000000"/>
                <w:szCs w:val="21"/>
              </w:rPr>
              <w:t>为了解学生的学习情况，帮助学生</w:t>
            </w:r>
            <w:r>
              <w:rPr>
                <w:rFonts w:hint="eastAsia" w:ascii="宋体" w:hAnsi="宋体" w:eastAsia="宋体" w:cs="Times New Roman"/>
                <w:color w:val="000000"/>
                <w:szCs w:val="21"/>
              </w:rPr>
              <w:t>更好地</w:t>
            </w:r>
            <w:r>
              <w:rPr>
                <w:rFonts w:ascii="宋体" w:hAnsi="宋体" w:eastAsia="宋体" w:cs="Times New Roman"/>
                <w:color w:val="000000"/>
                <w:szCs w:val="21"/>
              </w:rPr>
              <w:t>理解和消化所学知识、改进学习方法和思维方式，培养其独立的</w:t>
            </w:r>
            <w:r>
              <w:rPr>
                <w:rFonts w:hint="eastAsia" w:ascii="宋体" w:hAnsi="宋体" w:eastAsia="宋体" w:cs="Times New Roman"/>
                <w:color w:val="000000"/>
                <w:szCs w:val="21"/>
                <w:lang w:val="en-US" w:eastAsia="zh-CN"/>
              </w:rPr>
              <w:t>学习、分析</w:t>
            </w:r>
            <w:r>
              <w:rPr>
                <w:rFonts w:ascii="宋体" w:hAnsi="宋体" w:eastAsia="宋体" w:cs="Times New Roman"/>
                <w:color w:val="000000"/>
                <w:szCs w:val="21"/>
              </w:rPr>
              <w:t>与评价能力，任课教师</w:t>
            </w:r>
            <w:r>
              <w:rPr>
                <w:rFonts w:hint="eastAsia" w:ascii="宋体" w:hAnsi="宋体" w:eastAsia="宋体" w:cs="Times New Roman"/>
                <w:color w:val="000000"/>
                <w:szCs w:val="21"/>
                <w:lang w:val="en-US" w:eastAsia="zh-CN"/>
              </w:rPr>
              <w:t>根据需要安排一定的课外答疑。</w:t>
            </w:r>
          </w:p>
        </w:tc>
      </w:tr>
      <w:tr w14:paraId="78C1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vAlign w:val="center"/>
          </w:tcPr>
          <w:p w14:paraId="2CB7E692">
            <w:pPr>
              <w:spacing w:line="276" w:lineRule="auto"/>
              <w:jc w:val="center"/>
              <w:rPr>
                <w:rFonts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4B644DA9">
            <w:pPr>
              <w:spacing w:line="276" w:lineRule="auto"/>
              <w:jc w:val="center"/>
              <w:rPr>
                <w:rFonts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6496758A">
            <w:pPr>
              <w:spacing w:line="276" w:lineRule="auto"/>
              <w:rPr>
                <w:rFonts w:ascii="宋体" w:hAnsi="宋体" w:eastAsia="宋体" w:cs="Times New Roman"/>
                <w:color w:val="000000"/>
                <w:szCs w:val="21"/>
              </w:rPr>
            </w:pPr>
            <w:r>
              <w:rPr>
                <w:rFonts w:ascii="宋体" w:hAnsi="宋体" w:eastAsia="宋体" w:cs="Times New Roman"/>
                <w:color w:val="000000"/>
                <w:szCs w:val="21"/>
              </w:rPr>
              <w:t>本课程考核的方式</w:t>
            </w:r>
            <w:r>
              <w:rPr>
                <w:rFonts w:hint="eastAsia" w:ascii="宋体" w:hAnsi="宋体" w:eastAsia="宋体" w:cs="Times New Roman"/>
                <w:color w:val="000000"/>
                <w:szCs w:val="21"/>
              </w:rPr>
              <w:t>为开卷笔试</w:t>
            </w:r>
            <w:r>
              <w:rPr>
                <w:rFonts w:ascii="宋体" w:hAnsi="宋体" w:eastAsia="宋体" w:cs="Times New Roman"/>
                <w:color w:val="000000"/>
                <w:szCs w:val="21"/>
              </w:rPr>
              <w:t>。考试采取教考分离，监考</w:t>
            </w:r>
            <w:r>
              <w:rPr>
                <w:rFonts w:hint="eastAsia" w:ascii="宋体" w:hAnsi="宋体" w:eastAsia="宋体" w:cs="Times New Roman"/>
                <w:color w:val="000000"/>
                <w:szCs w:val="21"/>
              </w:rPr>
              <w:t>由学院</w:t>
            </w:r>
            <w:r>
              <w:rPr>
                <w:rFonts w:ascii="宋体" w:hAnsi="宋体" w:eastAsia="宋体" w:cs="Times New Roman"/>
                <w:color w:val="000000"/>
                <w:szCs w:val="21"/>
              </w:rPr>
              <w:t>统一安排。有下列情况之一者，总评成绩为不及格：</w:t>
            </w:r>
          </w:p>
          <w:p w14:paraId="02B187AF">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缺交作业者</w:t>
            </w:r>
            <w:r>
              <w:rPr>
                <w:rFonts w:hint="eastAsia" w:ascii="宋体" w:hAnsi="宋体" w:eastAsia="宋体" w:cs="Times New Roman"/>
                <w:color w:val="000000"/>
                <w:szCs w:val="21"/>
              </w:rPr>
              <w:t>。</w:t>
            </w:r>
          </w:p>
          <w:p w14:paraId="69B4F1BB">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缺课次数</w:t>
            </w:r>
            <w:r>
              <w:rPr>
                <w:rFonts w:hint="eastAsia" w:ascii="宋体" w:hAnsi="宋体" w:eastAsia="宋体" w:cs="Times New Roman"/>
                <w:color w:val="000000"/>
                <w:szCs w:val="21"/>
                <w:lang w:val="en-US" w:eastAsia="zh-CN"/>
              </w:rPr>
              <w:t>较多</w:t>
            </w:r>
            <w:r>
              <w:rPr>
                <w:rFonts w:ascii="宋体" w:hAnsi="宋体" w:eastAsia="宋体" w:cs="Times New Roman"/>
                <w:color w:val="000000"/>
                <w:szCs w:val="21"/>
              </w:rPr>
              <w:t>者</w:t>
            </w:r>
            <w:r>
              <w:rPr>
                <w:rFonts w:hint="eastAsia" w:ascii="宋体" w:hAnsi="宋体" w:eastAsia="宋体" w:cs="Times New Roman"/>
                <w:color w:val="000000"/>
                <w:szCs w:val="21"/>
              </w:rPr>
              <w:t>。</w:t>
            </w:r>
          </w:p>
        </w:tc>
      </w:tr>
    </w:tbl>
    <w:p w14:paraId="59606448">
      <w:pPr>
        <w:spacing w:line="360" w:lineRule="auto"/>
        <w:rPr>
          <w:rFonts w:ascii="宋体" w:hAnsi="宋体" w:eastAsia="宋体" w:cs="Times New Roman"/>
          <w:b/>
          <w:sz w:val="28"/>
          <w:szCs w:val="28"/>
        </w:rPr>
      </w:pPr>
      <w:r>
        <w:rPr>
          <w:rFonts w:hint="eastAsia" w:ascii="宋体" w:hAnsi="宋体" w:eastAsia="宋体" w:cs="Times New Roman"/>
          <w:b/>
          <w:sz w:val="28"/>
          <w:szCs w:val="28"/>
        </w:rPr>
        <w:t>五、课程</w:t>
      </w:r>
      <w:r>
        <w:rPr>
          <w:rFonts w:ascii="宋体" w:hAnsi="宋体" w:eastAsia="宋体" w:cs="Times New Roman"/>
          <w:b/>
          <w:sz w:val="28"/>
          <w:szCs w:val="28"/>
        </w:rPr>
        <w:t>考核</w:t>
      </w:r>
    </w:p>
    <w:p w14:paraId="29DC5FF3">
      <w:pPr>
        <w:spacing w:line="360" w:lineRule="auto"/>
        <w:rPr>
          <w:rFonts w:ascii="宋体" w:hAnsi="宋体" w:eastAsia="宋体" w:cs="Times New Roman"/>
          <w:sz w:val="24"/>
          <w:szCs w:val="22"/>
        </w:rPr>
      </w:pPr>
      <w:r>
        <w:rPr>
          <w:rFonts w:hint="eastAsia" w:ascii="宋体" w:hAnsi="宋体" w:eastAsia="宋体" w:cs="Times New Roman"/>
          <w:sz w:val="24"/>
          <w:szCs w:val="22"/>
        </w:rPr>
        <w:t>（一）</w:t>
      </w:r>
      <w:r>
        <w:rPr>
          <w:rFonts w:ascii="宋体" w:hAnsi="宋体" w:eastAsia="宋体" w:cs="Times New Roman"/>
          <w:sz w:val="24"/>
          <w:szCs w:val="22"/>
        </w:rPr>
        <w:t>课程考核包括期末考试、平时及作业考核，期</w:t>
      </w:r>
      <w:r>
        <w:rPr>
          <w:rFonts w:hint="eastAsia" w:ascii="宋体" w:hAnsi="宋体" w:eastAsia="宋体" w:cs="Times New Roman"/>
          <w:sz w:val="24"/>
          <w:szCs w:val="22"/>
        </w:rPr>
        <w:t>末</w:t>
      </w:r>
      <w:r>
        <w:rPr>
          <w:rFonts w:ascii="宋体" w:hAnsi="宋体" w:eastAsia="宋体" w:cs="Times New Roman"/>
          <w:sz w:val="24"/>
          <w:szCs w:val="22"/>
        </w:rPr>
        <w:t>考试采用</w:t>
      </w:r>
      <w:r>
        <w:rPr>
          <w:rFonts w:hint="eastAsia" w:ascii="宋体" w:hAnsi="宋体" w:eastAsia="宋体" w:cs="Times New Roman"/>
          <w:sz w:val="24"/>
          <w:szCs w:val="22"/>
        </w:rPr>
        <w:t>开卷笔试方式</w:t>
      </w:r>
      <w:r>
        <w:rPr>
          <w:rFonts w:ascii="宋体" w:hAnsi="宋体" w:eastAsia="宋体" w:cs="Times New Roman"/>
          <w:sz w:val="24"/>
          <w:szCs w:val="22"/>
        </w:rPr>
        <w:t>。</w:t>
      </w:r>
    </w:p>
    <w:p w14:paraId="04A993DB">
      <w:pPr>
        <w:spacing w:line="360" w:lineRule="auto"/>
        <w:rPr>
          <w:rFonts w:ascii="宋体" w:hAnsi="宋体" w:eastAsia="宋体" w:cs="Times New Roman"/>
          <w:sz w:val="24"/>
          <w:szCs w:val="22"/>
        </w:rPr>
      </w:pPr>
      <w:r>
        <w:rPr>
          <w:rFonts w:hint="eastAsia" w:ascii="宋体" w:hAnsi="宋体" w:eastAsia="宋体" w:cs="Times New Roman"/>
          <w:sz w:val="24"/>
          <w:szCs w:val="22"/>
        </w:rPr>
        <w:t>（二）</w:t>
      </w:r>
      <w:r>
        <w:rPr>
          <w:rFonts w:ascii="宋体" w:hAnsi="宋体" w:eastAsia="宋体" w:cs="Times New Roman"/>
          <w:sz w:val="24"/>
          <w:szCs w:val="22"/>
        </w:rPr>
        <w:t>课程</w:t>
      </w:r>
      <w:r>
        <w:rPr>
          <w:rFonts w:hint="eastAsia" w:ascii="宋体" w:hAnsi="宋体" w:eastAsia="宋体" w:cs="Times New Roman"/>
          <w:sz w:val="24"/>
          <w:szCs w:val="22"/>
        </w:rPr>
        <w:t>总评</w:t>
      </w:r>
      <w:r>
        <w:rPr>
          <w:rFonts w:ascii="宋体" w:hAnsi="宋体" w:eastAsia="宋体" w:cs="Times New Roman"/>
          <w:sz w:val="24"/>
          <w:szCs w:val="22"/>
        </w:rPr>
        <w:t>成绩=平时成绩×</w:t>
      </w:r>
      <w:r>
        <w:rPr>
          <w:rFonts w:hint="eastAsia" w:ascii="宋体" w:hAnsi="宋体" w:eastAsia="宋体" w:cs="Times New Roman"/>
          <w:sz w:val="24"/>
          <w:szCs w:val="22"/>
          <w:lang w:val="en-US" w:eastAsia="zh-CN"/>
        </w:rPr>
        <w:t>4</w:t>
      </w:r>
      <w:r>
        <w:rPr>
          <w:rFonts w:hint="eastAsia" w:ascii="宋体" w:hAnsi="宋体" w:eastAsia="宋体" w:cs="Times New Roman"/>
          <w:sz w:val="24"/>
          <w:szCs w:val="22"/>
        </w:rPr>
        <w:t>0</w:t>
      </w:r>
      <w:r>
        <w:rPr>
          <w:rFonts w:ascii="宋体" w:hAnsi="宋体" w:eastAsia="宋体" w:cs="Times New Roman"/>
          <w:sz w:val="24"/>
          <w:szCs w:val="22"/>
        </w:rPr>
        <w:t>% +期末考试成绩×</w:t>
      </w:r>
      <w:r>
        <w:rPr>
          <w:rFonts w:hint="eastAsia" w:ascii="宋体" w:hAnsi="宋体" w:eastAsia="宋体" w:cs="Times New Roman"/>
          <w:sz w:val="24"/>
          <w:szCs w:val="22"/>
          <w:lang w:val="en-US" w:eastAsia="zh-CN"/>
        </w:rPr>
        <w:t>6</w:t>
      </w:r>
      <w:r>
        <w:rPr>
          <w:rFonts w:hint="eastAsia" w:ascii="宋体" w:hAnsi="宋体" w:eastAsia="宋体" w:cs="Times New Roman"/>
          <w:sz w:val="24"/>
          <w:szCs w:val="22"/>
        </w:rPr>
        <w:t>0</w:t>
      </w:r>
      <w:r>
        <w:rPr>
          <w:rFonts w:ascii="宋体" w:hAnsi="宋体" w:eastAsia="宋体" w:cs="Times New Roman"/>
          <w:sz w:val="24"/>
          <w:szCs w:val="22"/>
        </w:rPr>
        <w:t>%。</w:t>
      </w:r>
    </w:p>
    <w:p w14:paraId="30BED5DA">
      <w:pPr>
        <w:spacing w:line="360" w:lineRule="auto"/>
        <w:rPr>
          <w:rFonts w:ascii="宋体" w:hAnsi="宋体" w:eastAsia="宋体" w:cs="Times New Roman"/>
          <w:b/>
          <w:sz w:val="24"/>
          <w:szCs w:val="22"/>
        </w:rPr>
      </w:pPr>
      <w:r>
        <w:rPr>
          <w:rFonts w:ascii="宋体" w:hAnsi="宋体" w:eastAsia="宋体" w:cs="Times New Roman"/>
          <w:b/>
          <w:sz w:val="24"/>
          <w:szCs w:val="22"/>
        </w:rPr>
        <w:t>具体内容和比例</w:t>
      </w:r>
      <w:r>
        <w:rPr>
          <w:rFonts w:hint="eastAsia" w:ascii="宋体" w:hAnsi="宋体" w:eastAsia="宋体" w:cs="Times New Roman"/>
          <w:b/>
          <w:sz w:val="24"/>
          <w:szCs w:val="22"/>
        </w:rPr>
        <w:t>如表所示：</w:t>
      </w:r>
    </w:p>
    <w:tbl>
      <w:tblPr>
        <w:tblStyle w:val="1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38C5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69148688">
            <w:pPr>
              <w:jc w:val="center"/>
              <w:rPr>
                <w:rFonts w:ascii="宋体" w:hAnsi="宋体" w:eastAsia="宋体" w:cs="Times New Roman"/>
                <w:b/>
                <w:szCs w:val="24"/>
              </w:rPr>
            </w:pPr>
            <w:r>
              <w:rPr>
                <w:rFonts w:ascii="宋体" w:hAnsi="宋体" w:eastAsia="宋体" w:cs="Times New Roman"/>
                <w:b/>
                <w:szCs w:val="24"/>
              </w:rPr>
              <w:t>成绩组成</w:t>
            </w:r>
          </w:p>
        </w:tc>
        <w:tc>
          <w:tcPr>
            <w:tcW w:w="1134" w:type="dxa"/>
            <w:shd w:val="clear" w:color="auto" w:fill="FFFFFF"/>
            <w:vAlign w:val="center"/>
          </w:tcPr>
          <w:p w14:paraId="6EBDCD30">
            <w:pPr>
              <w:jc w:val="center"/>
              <w:rPr>
                <w:rFonts w:ascii="宋体" w:hAnsi="宋体" w:eastAsia="宋体" w:cs="Times New Roman"/>
                <w:b/>
                <w:szCs w:val="24"/>
              </w:rPr>
            </w:pPr>
            <w:r>
              <w:rPr>
                <w:rFonts w:ascii="宋体" w:hAnsi="宋体" w:eastAsia="宋体" w:cs="Times New Roman"/>
                <w:b/>
                <w:szCs w:val="24"/>
              </w:rPr>
              <w:t>考核/</w:t>
            </w:r>
          </w:p>
          <w:p w14:paraId="0714E567">
            <w:pPr>
              <w:jc w:val="center"/>
              <w:rPr>
                <w:rFonts w:ascii="宋体" w:hAnsi="宋体" w:eastAsia="宋体" w:cs="Times New Roman"/>
                <w:b/>
                <w:szCs w:val="24"/>
              </w:rPr>
            </w:pPr>
            <w:r>
              <w:rPr>
                <w:rFonts w:ascii="宋体" w:hAnsi="宋体" w:eastAsia="宋体" w:cs="Times New Roman"/>
                <w:b/>
                <w:szCs w:val="24"/>
              </w:rPr>
              <w:t>评价环节</w:t>
            </w:r>
          </w:p>
        </w:tc>
        <w:tc>
          <w:tcPr>
            <w:tcW w:w="709" w:type="dxa"/>
            <w:shd w:val="clear" w:color="auto" w:fill="FFFFFF"/>
            <w:vAlign w:val="center"/>
          </w:tcPr>
          <w:p w14:paraId="41B6E760">
            <w:pPr>
              <w:jc w:val="center"/>
              <w:rPr>
                <w:rFonts w:ascii="宋体" w:hAnsi="宋体" w:eastAsia="宋体" w:cs="Times New Roman"/>
                <w:b/>
                <w:szCs w:val="24"/>
              </w:rPr>
            </w:pPr>
            <w:r>
              <w:rPr>
                <w:rFonts w:hint="eastAsia" w:ascii="宋体" w:hAnsi="宋体" w:eastAsia="宋体" w:cs="Times New Roman"/>
                <w:b/>
                <w:szCs w:val="24"/>
              </w:rPr>
              <w:t>权重</w:t>
            </w:r>
          </w:p>
        </w:tc>
        <w:tc>
          <w:tcPr>
            <w:tcW w:w="2693" w:type="dxa"/>
            <w:shd w:val="clear" w:color="auto" w:fill="FFFFFF"/>
            <w:vAlign w:val="center"/>
          </w:tcPr>
          <w:p w14:paraId="34C572B9">
            <w:pPr>
              <w:jc w:val="center"/>
              <w:rPr>
                <w:rFonts w:ascii="宋体" w:hAnsi="宋体" w:eastAsia="宋体" w:cs="Times New Roman"/>
                <w:b/>
                <w:szCs w:val="24"/>
              </w:rPr>
            </w:pPr>
            <w:r>
              <w:rPr>
                <w:rFonts w:ascii="宋体" w:hAnsi="宋体" w:eastAsia="宋体" w:cs="Times New Roman"/>
                <w:b/>
                <w:szCs w:val="24"/>
              </w:rPr>
              <w:t>考核/评价细则</w:t>
            </w:r>
          </w:p>
        </w:tc>
        <w:tc>
          <w:tcPr>
            <w:tcW w:w="1276" w:type="dxa"/>
            <w:shd w:val="clear" w:color="auto" w:fill="FFFFFF"/>
          </w:tcPr>
          <w:p w14:paraId="2EAFCB56">
            <w:pPr>
              <w:rPr>
                <w:rFonts w:ascii="宋体" w:hAnsi="宋体" w:eastAsia="宋体" w:cs="Times New Roman"/>
                <w:b/>
                <w:szCs w:val="24"/>
              </w:rPr>
            </w:pPr>
            <w:r>
              <w:rPr>
                <w:rFonts w:hint="eastAsia" w:ascii="宋体" w:hAnsi="宋体" w:eastAsia="宋体" w:cs="Times New Roman"/>
                <w:b/>
                <w:szCs w:val="24"/>
              </w:rPr>
              <w:t>课程</w:t>
            </w:r>
          </w:p>
          <w:p w14:paraId="7203EC6D">
            <w:pPr>
              <w:jc w:val="center"/>
              <w:rPr>
                <w:rFonts w:ascii="宋体" w:hAnsi="宋体" w:eastAsia="宋体" w:cs="Times New Roman"/>
                <w:b/>
                <w:szCs w:val="24"/>
              </w:rPr>
            </w:pPr>
            <w:r>
              <w:rPr>
                <w:rFonts w:hint="eastAsia" w:ascii="宋体" w:hAnsi="宋体" w:eastAsia="宋体" w:cs="Times New Roman"/>
                <w:b/>
                <w:szCs w:val="24"/>
              </w:rPr>
              <w:t>目标</w:t>
            </w:r>
          </w:p>
        </w:tc>
        <w:tc>
          <w:tcPr>
            <w:tcW w:w="1276" w:type="dxa"/>
            <w:shd w:val="clear" w:color="auto" w:fill="FFFFFF"/>
          </w:tcPr>
          <w:p w14:paraId="4188738D">
            <w:pPr>
              <w:jc w:val="center"/>
              <w:rPr>
                <w:rFonts w:ascii="宋体" w:hAnsi="宋体" w:eastAsia="宋体" w:cs="Times New Roman"/>
                <w:b/>
                <w:szCs w:val="24"/>
              </w:rPr>
            </w:pPr>
            <w:r>
              <w:rPr>
                <w:rFonts w:hint="eastAsia" w:ascii="宋体" w:hAnsi="宋体" w:eastAsia="宋体" w:cs="Times New Roman"/>
                <w:b/>
                <w:szCs w:val="24"/>
              </w:rPr>
              <w:t>考核</w:t>
            </w:r>
          </w:p>
          <w:p w14:paraId="692DF2D9">
            <w:pPr>
              <w:jc w:val="center"/>
              <w:rPr>
                <w:rFonts w:ascii="宋体" w:hAnsi="宋体" w:eastAsia="宋体" w:cs="Times New Roman"/>
                <w:b/>
                <w:szCs w:val="24"/>
              </w:rPr>
            </w:pPr>
            <w:r>
              <w:rPr>
                <w:rFonts w:ascii="宋体" w:hAnsi="宋体" w:eastAsia="宋体" w:cs="Times New Roman"/>
                <w:b/>
                <w:szCs w:val="24"/>
              </w:rPr>
              <w:t>内容</w:t>
            </w:r>
          </w:p>
        </w:tc>
        <w:tc>
          <w:tcPr>
            <w:tcW w:w="1276" w:type="dxa"/>
            <w:shd w:val="clear" w:color="auto" w:fill="FFFFFF"/>
            <w:vAlign w:val="center"/>
          </w:tcPr>
          <w:p w14:paraId="7A097AB7">
            <w:pPr>
              <w:jc w:val="center"/>
              <w:rPr>
                <w:rFonts w:ascii="宋体" w:hAnsi="宋体" w:eastAsia="宋体" w:cs="Times New Roman"/>
                <w:b/>
                <w:szCs w:val="24"/>
              </w:rPr>
            </w:pPr>
            <w:r>
              <w:rPr>
                <w:rFonts w:ascii="宋体" w:hAnsi="宋体" w:eastAsia="宋体" w:cs="Times New Roman"/>
                <w:b/>
                <w:szCs w:val="24"/>
              </w:rPr>
              <w:t>对应的毕业要求指标点</w:t>
            </w:r>
          </w:p>
        </w:tc>
      </w:tr>
      <w:tr w14:paraId="4C084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0" w:hRule="atLeast"/>
        </w:trPr>
        <w:tc>
          <w:tcPr>
            <w:tcW w:w="624" w:type="dxa"/>
            <w:tcMar>
              <w:left w:w="57" w:type="dxa"/>
              <w:right w:w="57" w:type="dxa"/>
            </w:tcMar>
            <w:vAlign w:val="center"/>
          </w:tcPr>
          <w:p w14:paraId="64FF01F6">
            <w:pPr>
              <w:jc w:val="center"/>
              <w:rPr>
                <w:rFonts w:ascii="宋体" w:hAnsi="宋体" w:eastAsia="宋体" w:cs="Times New Roman"/>
                <w:szCs w:val="24"/>
              </w:rPr>
            </w:pPr>
            <w:r>
              <w:rPr>
                <w:rFonts w:ascii="宋体" w:hAnsi="宋体" w:eastAsia="宋体" w:cs="Times New Roman"/>
                <w:szCs w:val="24"/>
              </w:rPr>
              <w:t>平时成绩</w:t>
            </w:r>
          </w:p>
        </w:tc>
        <w:tc>
          <w:tcPr>
            <w:tcW w:w="1134" w:type="dxa"/>
            <w:vAlign w:val="center"/>
          </w:tcPr>
          <w:p w14:paraId="0E1AF78D">
            <w:pPr>
              <w:jc w:val="center"/>
              <w:rPr>
                <w:rFonts w:ascii="宋体" w:hAnsi="宋体" w:eastAsia="宋体" w:cs="Times New Roman"/>
                <w:szCs w:val="24"/>
              </w:rPr>
            </w:pPr>
            <w:r>
              <w:rPr>
                <w:rFonts w:hint="eastAsia" w:ascii="宋体" w:hAnsi="宋体" w:eastAsia="宋体" w:cs="Times New Roman"/>
                <w:szCs w:val="24"/>
              </w:rPr>
              <w:t>课堂参与及</w:t>
            </w:r>
          </w:p>
          <w:p w14:paraId="24FBE54D">
            <w:pPr>
              <w:jc w:val="center"/>
              <w:rPr>
                <w:rFonts w:ascii="宋体" w:hAnsi="宋体" w:eastAsia="宋体" w:cs="Times New Roman"/>
                <w:szCs w:val="24"/>
              </w:rPr>
            </w:pPr>
            <w:r>
              <w:rPr>
                <w:rFonts w:ascii="宋体" w:hAnsi="宋体" w:eastAsia="宋体" w:cs="Times New Roman"/>
                <w:szCs w:val="24"/>
              </w:rPr>
              <w:t>平时作业</w:t>
            </w:r>
          </w:p>
        </w:tc>
        <w:tc>
          <w:tcPr>
            <w:tcW w:w="709" w:type="dxa"/>
            <w:vAlign w:val="center"/>
          </w:tcPr>
          <w:p w14:paraId="35669BE9">
            <w:pPr>
              <w:jc w:val="center"/>
              <w:rPr>
                <w:rFonts w:ascii="宋体" w:hAnsi="宋体" w:eastAsia="宋体" w:cs="Times New Roman"/>
                <w:szCs w:val="24"/>
              </w:rPr>
            </w:pPr>
            <w:r>
              <w:rPr>
                <w:rFonts w:hint="eastAsia" w:ascii="宋体" w:hAnsi="宋体" w:eastAsia="宋体" w:cs="Times New Roman"/>
                <w:szCs w:val="24"/>
                <w:lang w:val="en-US" w:eastAsia="zh-CN"/>
              </w:rPr>
              <w:t>4</w:t>
            </w:r>
            <w:r>
              <w:rPr>
                <w:rFonts w:ascii="宋体" w:hAnsi="宋体" w:eastAsia="宋体" w:cs="Times New Roman"/>
                <w:szCs w:val="24"/>
              </w:rPr>
              <w:t>0%</w:t>
            </w:r>
          </w:p>
        </w:tc>
        <w:tc>
          <w:tcPr>
            <w:tcW w:w="2693" w:type="dxa"/>
            <w:vAlign w:val="center"/>
          </w:tcPr>
          <w:p w14:paraId="0F1A9208">
            <w:pPr>
              <w:jc w:val="left"/>
              <w:rPr>
                <w:rFonts w:ascii="宋体" w:hAnsi="宋体" w:eastAsia="宋体" w:cs="Times New Roman"/>
                <w:szCs w:val="24"/>
              </w:rPr>
            </w:pPr>
            <w:r>
              <w:rPr>
                <w:rFonts w:hint="eastAsia" w:ascii="宋体" w:hAnsi="宋体" w:eastAsia="宋体" w:cs="Times New Roman"/>
                <w:szCs w:val="24"/>
              </w:rPr>
              <w:t>其中课堂参与包括考勤占20%，平时作业占80%。</w:t>
            </w:r>
          </w:p>
          <w:p w14:paraId="05BD41DE">
            <w:pPr>
              <w:jc w:val="left"/>
              <w:rPr>
                <w:rFonts w:ascii="宋体" w:hAnsi="宋体" w:eastAsia="宋体" w:cs="Times New Roman"/>
                <w:szCs w:val="21"/>
              </w:rPr>
            </w:pPr>
            <w:r>
              <w:rPr>
                <w:rFonts w:hint="eastAsia" w:ascii="宋体" w:hAnsi="宋体" w:eastAsia="宋体" w:cs="Times New Roman"/>
                <w:szCs w:val="21"/>
              </w:rPr>
              <w:t>课堂考勤：无故缺席</w:t>
            </w:r>
            <w:r>
              <w:rPr>
                <w:rFonts w:hint="eastAsia" w:ascii="宋体" w:hAnsi="宋体" w:eastAsia="宋体" w:cs="Times New Roman"/>
                <w:szCs w:val="21"/>
                <w:lang w:val="en-US" w:eastAsia="zh-CN"/>
              </w:rPr>
              <w:t>或迟到</w:t>
            </w:r>
            <w:r>
              <w:rPr>
                <w:rFonts w:hint="eastAsia" w:ascii="宋体" w:hAnsi="宋体" w:eastAsia="宋体" w:cs="Times New Roman"/>
                <w:szCs w:val="21"/>
              </w:rPr>
              <w:t>一次扣</w:t>
            </w:r>
            <w:r>
              <w:rPr>
                <w:rFonts w:hint="eastAsia" w:ascii="宋体" w:hAnsi="宋体" w:eastAsia="宋体" w:cs="Times New Roman"/>
                <w:szCs w:val="21"/>
                <w:lang w:val="en-US" w:eastAsia="zh-CN"/>
              </w:rPr>
              <w:t>1</w:t>
            </w:r>
            <w:r>
              <w:rPr>
                <w:rFonts w:hint="eastAsia" w:ascii="宋体" w:hAnsi="宋体" w:eastAsia="宋体" w:cs="Times New Roman"/>
                <w:szCs w:val="21"/>
              </w:rPr>
              <w:t>分，无故缺席累积达5次以上（不含5次）取消课程成绩。</w:t>
            </w:r>
          </w:p>
          <w:p w14:paraId="66B30AB6">
            <w:pPr>
              <w:jc w:val="left"/>
              <w:rPr>
                <w:rFonts w:ascii="宋体" w:hAnsi="宋体" w:eastAsia="宋体" w:cs="Times New Roman"/>
                <w:color w:val="0070C0"/>
                <w:szCs w:val="24"/>
              </w:rPr>
            </w:pPr>
            <w:r>
              <w:rPr>
                <w:rFonts w:hint="eastAsia" w:ascii="宋体" w:hAnsi="宋体" w:eastAsia="宋体" w:cs="Times New Roman"/>
                <w:szCs w:val="24"/>
              </w:rPr>
              <w:t>平时作业：</w:t>
            </w:r>
            <w:r>
              <w:rPr>
                <w:rFonts w:ascii="宋体" w:hAnsi="宋体" w:eastAsia="宋体" w:cs="Times New Roman"/>
                <w:szCs w:val="24"/>
              </w:rPr>
              <w:t>课后完成</w:t>
            </w:r>
            <w:r>
              <w:rPr>
                <w:rFonts w:hint="eastAsia" w:ascii="宋体" w:hAnsi="宋体" w:eastAsia="宋体" w:cs="Times New Roman"/>
                <w:szCs w:val="24"/>
                <w:lang w:val="en-US" w:eastAsia="zh-CN"/>
              </w:rPr>
              <w:t>2</w:t>
            </w:r>
            <w:r>
              <w:rPr>
                <w:rFonts w:hint="eastAsia" w:ascii="宋体" w:hAnsi="宋体" w:eastAsia="宋体" w:cs="Times New Roman"/>
                <w:szCs w:val="24"/>
              </w:rPr>
              <w:t>次作业</w:t>
            </w:r>
            <w:r>
              <w:rPr>
                <w:rFonts w:ascii="宋体" w:hAnsi="宋体" w:eastAsia="宋体" w:cs="Times New Roman"/>
                <w:szCs w:val="24"/>
              </w:rPr>
              <w:t>，主要考核学生对</w:t>
            </w:r>
            <w:r>
              <w:rPr>
                <w:rFonts w:hint="eastAsia" w:ascii="宋体" w:hAnsi="宋体" w:eastAsia="宋体" w:cs="Times New Roman"/>
                <w:szCs w:val="24"/>
              </w:rPr>
              <w:t>基本</w:t>
            </w:r>
            <w:r>
              <w:rPr>
                <w:rFonts w:ascii="宋体" w:hAnsi="宋体" w:eastAsia="宋体" w:cs="Times New Roman"/>
                <w:szCs w:val="24"/>
              </w:rPr>
              <w:t>理论的理解和掌握程度，计算全部作业的平均成绩。</w:t>
            </w:r>
          </w:p>
        </w:tc>
        <w:tc>
          <w:tcPr>
            <w:tcW w:w="1276" w:type="dxa"/>
            <w:vAlign w:val="center"/>
          </w:tcPr>
          <w:p w14:paraId="4D30F936">
            <w:pPr>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p>
          <w:p w14:paraId="7AB9B6E5">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3</w:t>
            </w:r>
          </w:p>
          <w:p w14:paraId="04FBD0FE">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4</w:t>
            </w:r>
          </w:p>
        </w:tc>
        <w:tc>
          <w:tcPr>
            <w:tcW w:w="1276" w:type="dxa"/>
            <w:vAlign w:val="center"/>
          </w:tcPr>
          <w:p w14:paraId="1242B01B">
            <w:pPr>
              <w:jc w:val="left"/>
              <w:rPr>
                <w:rFonts w:ascii="宋体" w:hAnsi="宋体" w:eastAsia="宋体" w:cs="Times New Roman"/>
                <w:color w:val="000000"/>
                <w:szCs w:val="24"/>
              </w:rPr>
            </w:pPr>
            <w:r>
              <w:rPr>
                <w:rFonts w:hint="eastAsia" w:ascii="宋体" w:hAnsi="宋体" w:eastAsia="宋体" w:cs="Times New Roman"/>
                <w:color w:val="000000"/>
                <w:szCs w:val="24"/>
              </w:rPr>
              <w:t>我国基础教育改革热点问题及改革路径</w:t>
            </w:r>
          </w:p>
        </w:tc>
        <w:tc>
          <w:tcPr>
            <w:tcW w:w="1276" w:type="dxa"/>
            <w:vAlign w:val="center"/>
          </w:tcPr>
          <w:p w14:paraId="108E6B1E">
            <w:pPr>
              <w:jc w:val="center"/>
              <w:rPr>
                <w:rFonts w:ascii="宋体" w:hAnsi="宋体" w:eastAsia="宋体" w:cs="Times New Roman"/>
                <w:szCs w:val="24"/>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1、7-1、7-3、</w:t>
            </w:r>
            <w:r>
              <w:rPr>
                <w:rFonts w:hint="eastAsia" w:ascii="宋体" w:hAnsi="宋体" w:eastAsia="宋体" w:cs="Times New Roman"/>
                <w:color w:val="000000"/>
                <w:szCs w:val="21"/>
              </w:rPr>
              <w:t>8-</w:t>
            </w:r>
            <w:r>
              <w:rPr>
                <w:rFonts w:ascii="宋体" w:hAnsi="宋体" w:eastAsia="宋体" w:cs="Times New Roman"/>
                <w:color w:val="000000"/>
                <w:szCs w:val="21"/>
              </w:rPr>
              <w:t>3</w:t>
            </w:r>
          </w:p>
        </w:tc>
      </w:tr>
      <w:tr w14:paraId="3A0F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624" w:type="dxa"/>
            <w:tcMar>
              <w:left w:w="57" w:type="dxa"/>
              <w:right w:w="57" w:type="dxa"/>
            </w:tcMar>
            <w:vAlign w:val="center"/>
          </w:tcPr>
          <w:p w14:paraId="0814547B">
            <w:pPr>
              <w:jc w:val="center"/>
              <w:rPr>
                <w:rFonts w:ascii="宋体" w:hAnsi="宋体" w:eastAsia="宋体" w:cs="Times New Roman"/>
                <w:szCs w:val="24"/>
              </w:rPr>
            </w:pPr>
            <w:r>
              <w:rPr>
                <w:rFonts w:ascii="宋体" w:hAnsi="宋体" w:eastAsia="宋体" w:cs="Times New Roman"/>
                <w:szCs w:val="24"/>
              </w:rPr>
              <w:t>期末考试</w:t>
            </w:r>
          </w:p>
        </w:tc>
        <w:tc>
          <w:tcPr>
            <w:tcW w:w="1134" w:type="dxa"/>
            <w:vAlign w:val="center"/>
          </w:tcPr>
          <w:p w14:paraId="3C54F4DC">
            <w:pPr>
              <w:jc w:val="center"/>
              <w:rPr>
                <w:rFonts w:ascii="宋体" w:hAnsi="宋体" w:eastAsia="宋体" w:cs="Times New Roman"/>
                <w:szCs w:val="24"/>
              </w:rPr>
            </w:pPr>
            <w:r>
              <w:rPr>
                <w:rFonts w:ascii="宋体" w:hAnsi="宋体" w:eastAsia="宋体" w:cs="Times New Roman"/>
                <w:szCs w:val="24"/>
              </w:rPr>
              <w:t>期末考试</w:t>
            </w:r>
          </w:p>
          <w:p w14:paraId="5CF31916">
            <w:pPr>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09" w:type="dxa"/>
            <w:vAlign w:val="center"/>
          </w:tcPr>
          <w:p w14:paraId="6412B5CD">
            <w:pPr>
              <w:jc w:val="center"/>
              <w:rPr>
                <w:rFonts w:ascii="宋体" w:hAnsi="宋体" w:eastAsia="宋体" w:cs="Times New Roman"/>
                <w:szCs w:val="24"/>
              </w:rPr>
            </w:pPr>
            <w:r>
              <w:rPr>
                <w:rFonts w:hint="eastAsia" w:ascii="宋体" w:hAnsi="宋体" w:eastAsia="宋体" w:cs="Times New Roman"/>
                <w:szCs w:val="24"/>
                <w:lang w:val="en-US" w:eastAsia="zh-CN"/>
              </w:rPr>
              <w:t>6</w:t>
            </w:r>
            <w:r>
              <w:rPr>
                <w:rFonts w:ascii="宋体" w:hAnsi="宋体" w:eastAsia="宋体" w:cs="Times New Roman"/>
                <w:szCs w:val="24"/>
              </w:rPr>
              <w:t>0%</w:t>
            </w:r>
          </w:p>
        </w:tc>
        <w:tc>
          <w:tcPr>
            <w:tcW w:w="2693" w:type="dxa"/>
            <w:vAlign w:val="center"/>
          </w:tcPr>
          <w:p w14:paraId="5C0961C9">
            <w:pPr>
              <w:jc w:val="left"/>
              <w:rPr>
                <w:rFonts w:ascii="宋体" w:hAnsi="宋体" w:eastAsia="宋体" w:cs="Times New Roman"/>
                <w:szCs w:val="21"/>
              </w:rPr>
            </w:pPr>
            <w:r>
              <w:rPr>
                <w:rFonts w:hint="eastAsia" w:ascii="宋体" w:hAnsi="宋体" w:eastAsia="宋体" w:cs="Times New Roman"/>
                <w:szCs w:val="21"/>
              </w:rPr>
              <w:t>开卷</w:t>
            </w:r>
            <w:r>
              <w:rPr>
                <w:rFonts w:ascii="宋体" w:hAnsi="宋体" w:eastAsia="宋体" w:cs="Times New Roman"/>
                <w:szCs w:val="21"/>
              </w:rPr>
              <w:t>题型包括</w:t>
            </w:r>
            <w:r>
              <w:rPr>
                <w:rFonts w:hint="eastAsia" w:ascii="宋体" w:hAnsi="宋体" w:eastAsia="宋体" w:cs="Times New Roman"/>
                <w:szCs w:val="21"/>
              </w:rPr>
              <w:t>论述题</w:t>
            </w:r>
            <w:r>
              <w:rPr>
                <w:rFonts w:ascii="宋体" w:hAnsi="宋体" w:eastAsia="宋体" w:cs="Times New Roman"/>
                <w:szCs w:val="21"/>
              </w:rPr>
              <w:t>和</w:t>
            </w:r>
            <w:r>
              <w:rPr>
                <w:rFonts w:hint="eastAsia" w:ascii="宋体" w:hAnsi="宋体" w:eastAsia="宋体" w:cs="Times New Roman"/>
                <w:szCs w:val="21"/>
                <w:lang w:val="en-US" w:eastAsia="zh-CN"/>
              </w:rPr>
              <w:t>案例分析题</w:t>
            </w:r>
            <w:r>
              <w:rPr>
                <w:rFonts w:ascii="宋体" w:hAnsi="宋体" w:eastAsia="宋体" w:cs="Times New Roman"/>
                <w:szCs w:val="21"/>
              </w:rPr>
              <w:t>，以卷面成绩的</w:t>
            </w:r>
            <w:r>
              <w:rPr>
                <w:rFonts w:hint="eastAsia" w:ascii="宋体" w:hAnsi="宋体" w:eastAsia="宋体" w:cs="Times New Roman"/>
                <w:szCs w:val="21"/>
                <w:lang w:val="en-US" w:eastAsia="zh-CN"/>
              </w:rPr>
              <w:t>6</w:t>
            </w:r>
            <w:r>
              <w:rPr>
                <w:rFonts w:ascii="宋体" w:hAnsi="宋体" w:eastAsia="宋体" w:cs="Times New Roman"/>
                <w:szCs w:val="21"/>
              </w:rPr>
              <w:t>0%计入课程总成绩。</w:t>
            </w:r>
          </w:p>
        </w:tc>
        <w:tc>
          <w:tcPr>
            <w:tcW w:w="1276" w:type="dxa"/>
            <w:vAlign w:val="center"/>
          </w:tcPr>
          <w:p w14:paraId="22802981">
            <w:pPr>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p>
          <w:p w14:paraId="20B451B5">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3</w:t>
            </w:r>
          </w:p>
        </w:tc>
        <w:tc>
          <w:tcPr>
            <w:tcW w:w="1276" w:type="dxa"/>
            <w:vAlign w:val="center"/>
          </w:tcPr>
          <w:p w14:paraId="4AC1686A">
            <w:pPr>
              <w:jc w:val="left"/>
              <w:rPr>
                <w:rFonts w:ascii="宋体" w:hAnsi="宋体" w:eastAsia="宋体" w:cs="Times New Roman"/>
                <w:color w:val="000000"/>
                <w:szCs w:val="21"/>
              </w:rPr>
            </w:pPr>
            <w:r>
              <w:rPr>
                <w:rFonts w:hint="eastAsia" w:ascii="宋体" w:hAnsi="宋体" w:eastAsia="宋体" w:cs="Times New Roman"/>
                <w:color w:val="000000"/>
                <w:szCs w:val="21"/>
              </w:rPr>
              <w:t>国内外基础教育改革现状及发展趋势</w:t>
            </w:r>
          </w:p>
        </w:tc>
        <w:tc>
          <w:tcPr>
            <w:tcW w:w="1276" w:type="dxa"/>
            <w:vAlign w:val="center"/>
          </w:tcPr>
          <w:p w14:paraId="5751BA71">
            <w:pPr>
              <w:jc w:val="center"/>
              <w:rPr>
                <w:rFonts w:ascii="宋体" w:hAnsi="宋体" w:eastAsia="宋体" w:cs="Times New Roman"/>
                <w:color w:val="00000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1、7-1、7-3</w:t>
            </w:r>
          </w:p>
        </w:tc>
      </w:tr>
    </w:tbl>
    <w:p w14:paraId="28D0CABE">
      <w:pPr>
        <w:spacing w:line="360" w:lineRule="auto"/>
        <w:rPr>
          <w:rFonts w:ascii="宋体" w:hAnsi="宋体" w:eastAsia="宋体" w:cs="Times New Roman"/>
          <w:sz w:val="24"/>
          <w:szCs w:val="22"/>
        </w:rPr>
      </w:pPr>
      <w:r>
        <w:rPr>
          <w:rFonts w:hint="eastAsia" w:ascii="宋体" w:hAnsi="宋体" w:eastAsia="宋体" w:cs="Times New Roman"/>
          <w:sz w:val="24"/>
          <w:szCs w:val="22"/>
        </w:rPr>
        <w:t xml:space="preserve">   </w:t>
      </w:r>
      <w:r>
        <w:rPr>
          <w:rFonts w:ascii="宋体" w:hAnsi="宋体" w:eastAsia="宋体" w:cs="Times New Roman"/>
          <w:sz w:val="24"/>
          <w:szCs w:val="22"/>
        </w:rPr>
        <w:t>（三）</w:t>
      </w:r>
      <w:r>
        <w:rPr>
          <w:rFonts w:hint="eastAsia" w:ascii="宋体" w:hAnsi="宋体" w:eastAsia="宋体" w:cs="Times New Roman"/>
          <w:sz w:val="24"/>
          <w:szCs w:val="22"/>
        </w:rPr>
        <w:t>课程目标及考核方式权重分配表</w:t>
      </w:r>
    </w:p>
    <w:tbl>
      <w:tblPr>
        <w:tblStyle w:val="10"/>
        <w:tblW w:w="904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993"/>
        <w:gridCol w:w="1768"/>
        <w:gridCol w:w="1806"/>
        <w:gridCol w:w="2402"/>
        <w:gridCol w:w="1071"/>
      </w:tblGrid>
      <w:tr w14:paraId="0A655A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3761" w:type="dxa"/>
            <w:gridSpan w:val="2"/>
            <w:shd w:val="clear" w:color="auto" w:fill="auto"/>
            <w:vAlign w:val="center"/>
          </w:tcPr>
          <w:p w14:paraId="4FD4FD64">
            <w:pPr>
              <w:widowControl/>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279" w:type="dxa"/>
            <w:gridSpan w:val="3"/>
            <w:shd w:val="clear" w:color="auto" w:fill="auto"/>
            <w:vAlign w:val="center"/>
          </w:tcPr>
          <w:p w14:paraId="1F8F8977">
            <w:pPr>
              <w:widowControl/>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039EA2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1993" w:type="dxa"/>
            <w:shd w:val="clear" w:color="auto" w:fill="auto"/>
            <w:vAlign w:val="center"/>
          </w:tcPr>
          <w:p w14:paraId="65403D18">
            <w:pPr>
              <w:widowControl/>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768" w:type="dxa"/>
            <w:shd w:val="clear" w:color="auto" w:fill="auto"/>
            <w:vAlign w:val="center"/>
          </w:tcPr>
          <w:p w14:paraId="3E905F93">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806" w:type="dxa"/>
            <w:shd w:val="clear" w:color="auto" w:fill="auto"/>
            <w:vAlign w:val="center"/>
          </w:tcPr>
          <w:p w14:paraId="5A67A76B">
            <w:pPr>
              <w:widowControl/>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2402" w:type="dxa"/>
            <w:shd w:val="clear" w:color="auto" w:fill="auto"/>
            <w:vAlign w:val="center"/>
          </w:tcPr>
          <w:p w14:paraId="68EC0B7C">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070" w:type="dxa"/>
          </w:tcPr>
          <w:p w14:paraId="36F94FB6">
            <w:pPr>
              <w:widowControl/>
              <w:rPr>
                <w:rFonts w:ascii="宋体" w:hAnsi="宋体" w:eastAsia="宋体" w:cs="Times New Roman"/>
                <w:color w:val="FF0000"/>
                <w:kern w:val="0"/>
                <w:szCs w:val="21"/>
              </w:rPr>
            </w:pPr>
            <w:r>
              <w:rPr>
                <w:rFonts w:hint="eastAsia" w:ascii="宋体" w:hAnsi="宋体" w:eastAsia="宋体" w:cs="Times New Roman"/>
                <w:kern w:val="0"/>
                <w:szCs w:val="21"/>
              </w:rPr>
              <w:t>考核方式权重合计</w:t>
            </w:r>
          </w:p>
        </w:tc>
      </w:tr>
      <w:tr w14:paraId="71AD99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6054CCA7">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768" w:type="dxa"/>
            <w:vMerge w:val="restart"/>
            <w:shd w:val="clear" w:color="auto" w:fill="auto"/>
            <w:vAlign w:val="center"/>
          </w:tcPr>
          <w:p w14:paraId="116CF260">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6845F429">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0D6A2661">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070" w:type="dxa"/>
            <w:vMerge w:val="restart"/>
            <w:vAlign w:val="center"/>
          </w:tcPr>
          <w:p w14:paraId="1BE4CC95">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742152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993" w:type="dxa"/>
            <w:vMerge w:val="continue"/>
            <w:shd w:val="clear" w:color="auto" w:fill="auto"/>
            <w:vAlign w:val="center"/>
          </w:tcPr>
          <w:p w14:paraId="6E44ABA1">
            <w:pPr>
              <w:widowControl/>
              <w:jc w:val="left"/>
              <w:rPr>
                <w:rFonts w:ascii="宋体" w:hAnsi="宋体" w:eastAsia="宋体" w:cs="Times New Roman"/>
                <w:kern w:val="0"/>
                <w:szCs w:val="21"/>
              </w:rPr>
            </w:pPr>
          </w:p>
        </w:tc>
        <w:tc>
          <w:tcPr>
            <w:tcW w:w="1768" w:type="dxa"/>
            <w:vMerge w:val="continue"/>
            <w:shd w:val="clear" w:color="auto" w:fill="auto"/>
            <w:vAlign w:val="center"/>
          </w:tcPr>
          <w:p w14:paraId="0DC1E230">
            <w:pPr>
              <w:widowControl/>
              <w:jc w:val="left"/>
              <w:rPr>
                <w:rFonts w:ascii="宋体" w:hAnsi="宋体" w:eastAsia="宋体" w:cs="Times New Roman"/>
                <w:kern w:val="0"/>
                <w:szCs w:val="21"/>
              </w:rPr>
            </w:pPr>
          </w:p>
        </w:tc>
        <w:tc>
          <w:tcPr>
            <w:tcW w:w="1806" w:type="dxa"/>
            <w:shd w:val="clear" w:color="auto" w:fill="auto"/>
            <w:vAlign w:val="center"/>
          </w:tcPr>
          <w:p w14:paraId="38E5762B">
            <w:pPr>
              <w:widowControl/>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2402" w:type="dxa"/>
            <w:shd w:val="clear" w:color="auto" w:fill="auto"/>
            <w:vAlign w:val="center"/>
          </w:tcPr>
          <w:p w14:paraId="0225C39A">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tcPr>
          <w:p w14:paraId="34D0586B">
            <w:pPr>
              <w:widowControl/>
              <w:jc w:val="center"/>
              <w:rPr>
                <w:rFonts w:ascii="宋体" w:hAnsi="宋体" w:eastAsia="宋体" w:cs="Times New Roman"/>
                <w:kern w:val="0"/>
                <w:szCs w:val="21"/>
              </w:rPr>
            </w:pPr>
          </w:p>
        </w:tc>
      </w:tr>
      <w:tr w14:paraId="51F9F0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1B447C43">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768" w:type="dxa"/>
            <w:vMerge w:val="restart"/>
            <w:shd w:val="clear" w:color="auto" w:fill="auto"/>
            <w:vAlign w:val="center"/>
          </w:tcPr>
          <w:p w14:paraId="4784DF75">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35E08CE9">
            <w:pPr>
              <w:widowControl/>
              <w:ind w:firstLine="630" w:firstLineChars="300"/>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34408DAB">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070" w:type="dxa"/>
            <w:vMerge w:val="restart"/>
            <w:vAlign w:val="center"/>
          </w:tcPr>
          <w:p w14:paraId="71A6F0CD">
            <w:pPr>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4DA609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0CB4AB51">
            <w:pPr>
              <w:widowControl/>
              <w:jc w:val="left"/>
              <w:rPr>
                <w:rFonts w:ascii="宋体" w:hAnsi="宋体" w:eastAsia="宋体" w:cs="Times New Roman"/>
                <w:kern w:val="0"/>
                <w:szCs w:val="21"/>
              </w:rPr>
            </w:pPr>
          </w:p>
        </w:tc>
        <w:tc>
          <w:tcPr>
            <w:tcW w:w="1768" w:type="dxa"/>
            <w:vMerge w:val="continue"/>
            <w:shd w:val="clear" w:color="auto" w:fill="auto"/>
            <w:vAlign w:val="center"/>
          </w:tcPr>
          <w:p w14:paraId="1C728319">
            <w:pPr>
              <w:widowControl/>
              <w:jc w:val="left"/>
              <w:rPr>
                <w:rFonts w:ascii="宋体" w:hAnsi="宋体" w:eastAsia="宋体" w:cs="Times New Roman"/>
                <w:kern w:val="0"/>
                <w:szCs w:val="21"/>
              </w:rPr>
            </w:pPr>
          </w:p>
        </w:tc>
        <w:tc>
          <w:tcPr>
            <w:tcW w:w="1806" w:type="dxa"/>
            <w:shd w:val="clear" w:color="auto" w:fill="auto"/>
            <w:vAlign w:val="center"/>
          </w:tcPr>
          <w:p w14:paraId="169283EC">
            <w:pPr>
              <w:widowControl/>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2402" w:type="dxa"/>
            <w:shd w:val="clear" w:color="auto" w:fill="auto"/>
            <w:vAlign w:val="center"/>
          </w:tcPr>
          <w:p w14:paraId="258D015F">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vAlign w:val="center"/>
          </w:tcPr>
          <w:p w14:paraId="68808AFB">
            <w:pPr>
              <w:widowControl/>
              <w:jc w:val="center"/>
              <w:rPr>
                <w:rFonts w:ascii="宋体" w:hAnsi="宋体" w:eastAsia="宋体" w:cs="Times New Roman"/>
                <w:kern w:val="0"/>
                <w:szCs w:val="21"/>
              </w:rPr>
            </w:pPr>
          </w:p>
        </w:tc>
      </w:tr>
      <w:tr w14:paraId="36D759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34B16926">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768" w:type="dxa"/>
            <w:vMerge w:val="restart"/>
            <w:shd w:val="clear" w:color="auto" w:fill="auto"/>
            <w:vAlign w:val="center"/>
          </w:tcPr>
          <w:p w14:paraId="40F9FAC1">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806" w:type="dxa"/>
            <w:shd w:val="clear" w:color="auto" w:fill="auto"/>
            <w:vAlign w:val="center"/>
          </w:tcPr>
          <w:p w14:paraId="23A77366">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02B35AFE">
            <w:pPr>
              <w:widowControl/>
              <w:jc w:val="center"/>
              <w:rPr>
                <w:rFonts w:ascii="宋体" w:hAnsi="宋体" w:eastAsia="宋体" w:cs="Times New Roman"/>
                <w:kern w:val="0"/>
                <w:szCs w:val="21"/>
              </w:rPr>
            </w:pPr>
            <w:r>
              <w:rPr>
                <w:rFonts w:hint="eastAsia" w:ascii="宋体" w:hAnsi="宋体" w:eastAsia="宋体" w:cs="Times New Roman"/>
                <w:kern w:val="0"/>
                <w:szCs w:val="21"/>
              </w:rPr>
              <w:t>70%</w:t>
            </w:r>
          </w:p>
        </w:tc>
        <w:tc>
          <w:tcPr>
            <w:tcW w:w="1070" w:type="dxa"/>
            <w:vMerge w:val="restart"/>
            <w:vAlign w:val="center"/>
          </w:tcPr>
          <w:p w14:paraId="5D65E622">
            <w:pPr>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7F5B88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26850550">
            <w:pPr>
              <w:widowControl/>
              <w:jc w:val="left"/>
              <w:rPr>
                <w:rFonts w:ascii="宋体" w:hAnsi="宋体" w:eastAsia="宋体" w:cs="Times New Roman"/>
                <w:kern w:val="0"/>
                <w:szCs w:val="21"/>
              </w:rPr>
            </w:pPr>
          </w:p>
        </w:tc>
        <w:tc>
          <w:tcPr>
            <w:tcW w:w="1768" w:type="dxa"/>
            <w:vMerge w:val="continue"/>
            <w:shd w:val="clear" w:color="auto" w:fill="auto"/>
            <w:vAlign w:val="center"/>
          </w:tcPr>
          <w:p w14:paraId="0DAF92D7">
            <w:pPr>
              <w:widowControl/>
              <w:jc w:val="left"/>
              <w:rPr>
                <w:rFonts w:ascii="宋体" w:hAnsi="宋体" w:eastAsia="宋体" w:cs="Times New Roman"/>
                <w:kern w:val="0"/>
                <w:szCs w:val="21"/>
              </w:rPr>
            </w:pPr>
          </w:p>
        </w:tc>
        <w:tc>
          <w:tcPr>
            <w:tcW w:w="1806" w:type="dxa"/>
            <w:shd w:val="clear" w:color="auto" w:fill="auto"/>
            <w:vAlign w:val="center"/>
          </w:tcPr>
          <w:p w14:paraId="60EEC1F8">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2402" w:type="dxa"/>
            <w:shd w:val="clear" w:color="auto" w:fill="auto"/>
            <w:vAlign w:val="center"/>
          </w:tcPr>
          <w:p w14:paraId="6D7B8203">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vAlign w:val="center"/>
          </w:tcPr>
          <w:p w14:paraId="345CB0ED">
            <w:pPr>
              <w:widowControl/>
              <w:jc w:val="center"/>
              <w:rPr>
                <w:rFonts w:ascii="宋体" w:hAnsi="宋体" w:eastAsia="宋体" w:cs="Times New Roman"/>
                <w:kern w:val="0"/>
                <w:szCs w:val="21"/>
              </w:rPr>
            </w:pPr>
          </w:p>
        </w:tc>
      </w:tr>
      <w:tr w14:paraId="59FBDF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2558C325">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768" w:type="dxa"/>
            <w:vMerge w:val="restart"/>
            <w:shd w:val="clear" w:color="auto" w:fill="auto"/>
            <w:vAlign w:val="center"/>
          </w:tcPr>
          <w:p w14:paraId="66EC3070">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5EBF4C88">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7085F317">
            <w:pPr>
              <w:widowControl/>
              <w:jc w:val="center"/>
              <w:rPr>
                <w:rFonts w:ascii="宋体" w:hAnsi="宋体" w:eastAsia="宋体" w:cs="Times New Roman"/>
                <w:kern w:val="0"/>
                <w:szCs w:val="21"/>
              </w:rPr>
            </w:pPr>
            <w:r>
              <w:rPr>
                <w:rFonts w:hint="eastAsia" w:ascii="宋体" w:hAnsi="宋体" w:eastAsia="宋体" w:cs="Times New Roman"/>
                <w:kern w:val="0"/>
                <w:szCs w:val="21"/>
              </w:rPr>
              <w:t>70%</w:t>
            </w:r>
          </w:p>
        </w:tc>
        <w:tc>
          <w:tcPr>
            <w:tcW w:w="1070" w:type="dxa"/>
            <w:vMerge w:val="restart"/>
            <w:vAlign w:val="center"/>
          </w:tcPr>
          <w:p w14:paraId="3BF036A5">
            <w:pPr>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48F686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368E4F75">
            <w:pPr>
              <w:widowControl/>
              <w:jc w:val="left"/>
              <w:rPr>
                <w:rFonts w:ascii="宋体" w:hAnsi="宋体" w:eastAsia="宋体" w:cs="Times New Roman"/>
                <w:kern w:val="0"/>
                <w:szCs w:val="21"/>
              </w:rPr>
            </w:pPr>
          </w:p>
        </w:tc>
        <w:tc>
          <w:tcPr>
            <w:tcW w:w="1768" w:type="dxa"/>
            <w:vMerge w:val="continue"/>
            <w:shd w:val="clear" w:color="auto" w:fill="auto"/>
            <w:vAlign w:val="center"/>
          </w:tcPr>
          <w:p w14:paraId="2F9E625F">
            <w:pPr>
              <w:widowControl/>
              <w:jc w:val="left"/>
              <w:rPr>
                <w:rFonts w:ascii="宋体" w:hAnsi="宋体" w:eastAsia="宋体" w:cs="Times New Roman"/>
                <w:kern w:val="0"/>
                <w:szCs w:val="21"/>
              </w:rPr>
            </w:pPr>
          </w:p>
        </w:tc>
        <w:tc>
          <w:tcPr>
            <w:tcW w:w="1806" w:type="dxa"/>
            <w:shd w:val="clear" w:color="auto" w:fill="auto"/>
            <w:vAlign w:val="center"/>
          </w:tcPr>
          <w:p w14:paraId="24327624">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2402" w:type="dxa"/>
            <w:shd w:val="clear" w:color="auto" w:fill="auto"/>
            <w:vAlign w:val="center"/>
          </w:tcPr>
          <w:p w14:paraId="0F6ED002">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070" w:type="dxa"/>
            <w:vMerge w:val="continue"/>
          </w:tcPr>
          <w:p w14:paraId="5DDFD1EB">
            <w:pPr>
              <w:widowControl/>
              <w:jc w:val="center"/>
              <w:rPr>
                <w:rFonts w:ascii="宋体" w:hAnsi="宋体" w:eastAsia="宋体" w:cs="Times New Roman"/>
                <w:kern w:val="0"/>
                <w:szCs w:val="21"/>
              </w:rPr>
            </w:pPr>
          </w:p>
        </w:tc>
      </w:tr>
      <w:tr w14:paraId="458E38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1993" w:type="dxa"/>
            <w:shd w:val="clear" w:color="auto" w:fill="auto"/>
            <w:vAlign w:val="center"/>
          </w:tcPr>
          <w:p w14:paraId="79F61A37">
            <w:pPr>
              <w:widowControl/>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768" w:type="dxa"/>
            <w:shd w:val="clear" w:color="auto" w:fill="auto"/>
            <w:vAlign w:val="center"/>
          </w:tcPr>
          <w:p w14:paraId="167B9D0C">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279" w:type="dxa"/>
            <w:gridSpan w:val="3"/>
            <w:shd w:val="clear" w:color="auto" w:fill="auto"/>
            <w:vAlign w:val="center"/>
          </w:tcPr>
          <w:p w14:paraId="5F382E82">
            <w:pPr>
              <w:widowControl/>
              <w:jc w:val="center"/>
              <w:rPr>
                <w:rFonts w:ascii="宋体" w:hAnsi="宋体" w:eastAsia="宋体" w:cs="Times New Roman"/>
                <w:kern w:val="0"/>
                <w:szCs w:val="21"/>
              </w:rPr>
            </w:pPr>
          </w:p>
        </w:tc>
      </w:tr>
    </w:tbl>
    <w:p w14:paraId="67ECD73E">
      <w:pPr>
        <w:spacing w:line="360" w:lineRule="auto"/>
        <w:rPr>
          <w:rFonts w:ascii="宋体" w:hAnsi="宋体" w:eastAsia="宋体" w:cs="Times New Roman"/>
          <w:sz w:val="24"/>
          <w:szCs w:val="22"/>
        </w:rPr>
      </w:pPr>
      <w:r>
        <w:rPr>
          <w:rFonts w:hint="eastAsia" w:ascii="宋体" w:hAnsi="宋体" w:eastAsia="宋体" w:cs="Times New Roman"/>
          <w:sz w:val="24"/>
          <w:szCs w:val="22"/>
        </w:rPr>
        <w:t>（四）</w:t>
      </w:r>
      <w:r>
        <w:rPr>
          <w:rFonts w:ascii="宋体" w:hAnsi="宋体" w:eastAsia="宋体" w:cs="Times New Roman"/>
          <w:sz w:val="24"/>
          <w:szCs w:val="22"/>
        </w:rPr>
        <w:t>课程目标达成度计算方法</w:t>
      </w:r>
    </w:p>
    <w:p w14:paraId="63F86A1C">
      <w:pPr>
        <w:spacing w:line="360" w:lineRule="auto"/>
        <w:rPr>
          <w:rFonts w:ascii="宋体" w:hAnsi="宋体" w:eastAsia="宋体" w:cs="Times New Roman"/>
          <w:sz w:val="24"/>
          <w:szCs w:val="22"/>
        </w:rPr>
      </w:pPr>
      <w:r>
        <w:rPr>
          <w:rFonts w:ascii="宋体" w:hAnsi="宋体" w:eastAsia="宋体" w:cs="Times New Roman"/>
          <w:sz w:val="24"/>
          <w:szCs w:val="22"/>
        </w:rPr>
        <w:t>所有课程目标均</w:t>
      </w:r>
      <w:r>
        <w:rPr>
          <w:rFonts w:hint="eastAsia" w:ascii="宋体" w:hAnsi="宋体" w:eastAsia="宋体" w:cs="Times New Roman"/>
          <w:sz w:val="24"/>
          <w:szCs w:val="22"/>
        </w:rPr>
        <w:t>需</w:t>
      </w:r>
      <w:r>
        <w:rPr>
          <w:rFonts w:ascii="宋体" w:hAnsi="宋体" w:eastAsia="宋体" w:cs="Times New Roman"/>
          <w:sz w:val="24"/>
          <w:szCs w:val="22"/>
        </w:rPr>
        <w:t>大于等于0.6，否则总评成绩不及格，需要补考或重</w:t>
      </w:r>
      <w:r>
        <w:rPr>
          <w:rFonts w:hint="eastAsia" w:ascii="宋体" w:hAnsi="宋体" w:eastAsia="宋体" w:cs="Times New Roman"/>
          <w:sz w:val="24"/>
          <w:szCs w:val="22"/>
        </w:rPr>
        <w:t>修。</w:t>
      </w:r>
      <w:r>
        <w:rPr>
          <w:rFonts w:ascii="宋体" w:hAnsi="宋体" w:eastAsia="宋体" w:cs="Times New Roman"/>
          <w:sz w:val="24"/>
          <w:szCs w:val="22"/>
        </w:rPr>
        <w:t>每</w:t>
      </w:r>
      <w:r>
        <w:rPr>
          <w:rFonts w:hint="eastAsia" w:ascii="宋体" w:hAnsi="宋体" w:eastAsia="宋体" w:cs="Times New Roman"/>
          <w:sz w:val="24"/>
          <w:szCs w:val="22"/>
        </w:rPr>
        <w:t>门</w:t>
      </w:r>
      <w:r>
        <w:rPr>
          <w:rFonts w:ascii="宋体" w:hAnsi="宋体" w:eastAsia="宋体" w:cs="Times New Roman"/>
          <w:sz w:val="24"/>
          <w:szCs w:val="22"/>
        </w:rPr>
        <w:t>课程目标</w:t>
      </w:r>
      <w:r>
        <w:rPr>
          <w:rFonts w:hint="eastAsia" w:ascii="宋体" w:hAnsi="宋体" w:eastAsia="宋体" w:cs="Times New Roman"/>
          <w:sz w:val="24"/>
          <w:szCs w:val="22"/>
        </w:rPr>
        <w:t>总体</w:t>
      </w:r>
      <w:r>
        <w:rPr>
          <w:rFonts w:ascii="宋体" w:hAnsi="宋体" w:eastAsia="宋体" w:cs="Times New Roman"/>
          <w:sz w:val="24"/>
          <w:szCs w:val="22"/>
        </w:rPr>
        <w:t>达成度计算方法如下：</w:t>
      </w:r>
    </w:p>
    <w:p w14:paraId="45845AB6">
      <w:pPr>
        <w:spacing w:line="360" w:lineRule="auto"/>
        <w:rPr>
          <w:rFonts w:ascii="宋体" w:hAnsi="宋体" w:eastAsia="宋体" w:cs="Times New Roman"/>
          <w:sz w:val="24"/>
          <w:szCs w:val="22"/>
        </w:rPr>
      </w:pPr>
      <w:r>
        <w:rPr>
          <w:rFonts w:ascii="宋体" w:hAnsi="宋体" w:eastAsia="宋体" w:cs="Times New Roman"/>
          <w:sz w:val="24"/>
          <w:szCs w:val="22"/>
        </w:rPr>
        <w:drawing>
          <wp:inline distT="0" distB="0" distL="0" distR="0">
            <wp:extent cx="5274310" cy="337185"/>
            <wp:effectExtent l="0" t="0" r="444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72C39E05">
      <w:pPr>
        <w:spacing w:line="360" w:lineRule="auto"/>
        <w:rPr>
          <w:rFonts w:ascii="宋体" w:hAnsi="宋体" w:eastAsia="宋体" w:cs="Times New Roman"/>
          <w:b/>
          <w:sz w:val="24"/>
          <w:szCs w:val="24"/>
        </w:rPr>
      </w:pPr>
    </w:p>
    <w:p w14:paraId="3E805504">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77D6DCB3">
      <w:pPr>
        <w:spacing w:line="360" w:lineRule="auto"/>
        <w:ind w:firstLine="482" w:firstLineChars="200"/>
        <w:rPr>
          <w:rFonts w:ascii="宋体" w:hAnsi="宋体" w:eastAsia="宋体" w:cs="Times New Roman"/>
          <w:b/>
          <w:sz w:val="24"/>
          <w:szCs w:val="22"/>
        </w:rPr>
      </w:pPr>
      <w:bookmarkStart w:id="1013" w:name="_Toc27847328"/>
      <w:r>
        <w:rPr>
          <w:rFonts w:hint="eastAsia" w:ascii="宋体" w:hAnsi="宋体" w:eastAsia="宋体" w:cs="Times New Roman"/>
          <w:b/>
          <w:sz w:val="24"/>
          <w:szCs w:val="22"/>
        </w:rPr>
        <w:t>（一）持续改进</w:t>
      </w:r>
      <w:bookmarkEnd w:id="1013"/>
    </w:p>
    <w:p w14:paraId="015B7852">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1. 提倡改革教学方法，强调应用现代化教学手段，如课件、互联网教学和网络答疑。</w:t>
      </w:r>
    </w:p>
    <w:p w14:paraId="5BEF6D6C">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合理安排教学课时，加强课堂提问、小组讨论</w:t>
      </w:r>
      <w:r>
        <w:rPr>
          <w:rFonts w:hint="eastAsia" w:ascii="Times New Roman" w:hAnsi="Times New Roman" w:eastAsia="宋体" w:cs="Times New Roman"/>
          <w:sz w:val="24"/>
          <w:szCs w:val="24"/>
        </w:rPr>
        <w:t>、</w:t>
      </w:r>
      <w:r>
        <w:rPr>
          <w:rFonts w:ascii="Times New Roman" w:hAnsi="Times New Roman" w:eastAsia="宋体" w:cs="Times New Roman"/>
          <w:sz w:val="24"/>
          <w:szCs w:val="24"/>
        </w:rPr>
        <w:t>社会调查环节</w:t>
      </w:r>
      <w:r>
        <w:rPr>
          <w:rFonts w:hint="eastAsia" w:ascii="Times New Roman" w:hAnsi="Times New Roman" w:eastAsia="宋体" w:cs="Times New Roman"/>
          <w:sz w:val="24"/>
          <w:szCs w:val="24"/>
        </w:rPr>
        <w:t>，</w:t>
      </w:r>
      <w:r>
        <w:rPr>
          <w:rFonts w:ascii="Times New Roman" w:hAnsi="Times New Roman" w:eastAsia="宋体" w:cs="Times New Roman"/>
          <w:sz w:val="24"/>
          <w:szCs w:val="24"/>
        </w:rPr>
        <w:t>旨在</w:t>
      </w:r>
      <w:r>
        <w:rPr>
          <w:rFonts w:hint="eastAsia" w:ascii="Times New Roman" w:hAnsi="Times New Roman" w:eastAsia="宋体" w:cs="Times New Roman"/>
          <w:sz w:val="24"/>
          <w:szCs w:val="24"/>
        </w:rPr>
        <w:t>促进</w:t>
      </w:r>
      <w:r>
        <w:rPr>
          <w:rFonts w:ascii="Times New Roman" w:hAnsi="Times New Roman" w:eastAsia="宋体" w:cs="Times New Roman"/>
          <w:sz w:val="24"/>
          <w:szCs w:val="24"/>
        </w:rPr>
        <w:t>学生</w:t>
      </w:r>
      <w:r>
        <w:rPr>
          <w:rFonts w:hint="eastAsia" w:ascii="Times New Roman" w:hAnsi="Times New Roman" w:eastAsia="宋体" w:cs="Times New Roman"/>
          <w:sz w:val="24"/>
          <w:szCs w:val="24"/>
        </w:rPr>
        <w:t>反思基础教育改革热点问题，培养批判性思维能力。</w:t>
      </w:r>
    </w:p>
    <w:p w14:paraId="1FAAAE31">
      <w:pPr>
        <w:spacing w:line="360" w:lineRule="auto"/>
        <w:rPr>
          <w:rFonts w:ascii="宋体" w:hAnsi="宋体" w:eastAsia="宋体" w:cs="Times New Roman"/>
          <w:sz w:val="24"/>
          <w:szCs w:val="22"/>
        </w:rPr>
      </w:pPr>
      <w:r>
        <w:rPr>
          <w:rFonts w:ascii="Times New Roman" w:hAnsi="Times New Roman" w:eastAsia="宋体" w:cs="Times New Roman"/>
          <w:sz w:val="24"/>
          <w:szCs w:val="24"/>
        </w:rPr>
        <w:t>3．教学内容密切联系</w:t>
      </w:r>
      <w:r>
        <w:rPr>
          <w:rFonts w:hint="eastAsia" w:ascii="Times New Roman" w:hAnsi="Times New Roman" w:eastAsia="宋体" w:cs="Times New Roman"/>
          <w:sz w:val="24"/>
          <w:szCs w:val="24"/>
        </w:rPr>
        <w:t>当前</w:t>
      </w:r>
      <w:r>
        <w:rPr>
          <w:rFonts w:ascii="Times New Roman" w:hAnsi="Times New Roman" w:eastAsia="宋体" w:cs="Times New Roman"/>
          <w:sz w:val="24"/>
          <w:szCs w:val="24"/>
        </w:rPr>
        <w:t>的社会热点。</w:t>
      </w:r>
    </w:p>
    <w:p w14:paraId="23E95C76">
      <w:pPr>
        <w:spacing w:line="360" w:lineRule="auto"/>
        <w:ind w:firstLine="482" w:firstLineChars="200"/>
        <w:rPr>
          <w:rFonts w:ascii="宋体" w:hAnsi="宋体" w:eastAsia="宋体" w:cs="Times New Roman"/>
          <w:b/>
          <w:sz w:val="24"/>
          <w:szCs w:val="22"/>
        </w:rPr>
      </w:pPr>
      <w:bookmarkStart w:id="1014" w:name="_Toc27847329"/>
      <w:r>
        <w:rPr>
          <w:rFonts w:hint="eastAsia" w:ascii="宋体" w:hAnsi="宋体" w:eastAsia="宋体" w:cs="Times New Roman"/>
          <w:b/>
          <w:sz w:val="24"/>
          <w:szCs w:val="22"/>
        </w:rPr>
        <w:t>（二）</w:t>
      </w:r>
      <w:r>
        <w:rPr>
          <w:rFonts w:ascii="宋体" w:hAnsi="宋体" w:eastAsia="宋体" w:cs="Times New Roman"/>
          <w:b/>
          <w:sz w:val="24"/>
          <w:szCs w:val="22"/>
        </w:rPr>
        <w:t>参考书目及学习资料</w:t>
      </w:r>
      <w:bookmarkEnd w:id="1014"/>
    </w:p>
    <w:p w14:paraId="0A815BAA">
      <w:pPr>
        <w:spacing w:line="360" w:lineRule="auto"/>
        <w:rPr>
          <w:rFonts w:ascii="宋体" w:hAnsi="宋体" w:eastAsia="宋体" w:cs="Times New Roman"/>
          <w:sz w:val="24"/>
          <w:szCs w:val="22"/>
        </w:rPr>
      </w:pPr>
      <w:r>
        <w:rPr>
          <w:rFonts w:hint="eastAsia" w:ascii="宋体" w:hAnsi="宋体" w:eastAsia="宋体" w:cs="Times New Roman"/>
          <w:sz w:val="24"/>
          <w:szCs w:val="22"/>
        </w:rPr>
        <w:t>1．</w:t>
      </w:r>
      <w:r>
        <w:rPr>
          <w:rFonts w:hint="eastAsia" w:ascii="宋体" w:hAnsi="宋体" w:eastAsia="宋体" w:cs="Times New Roman"/>
          <w:sz w:val="24"/>
          <w:szCs w:val="22"/>
          <w:lang w:val="en-US" w:eastAsia="zh-CN"/>
        </w:rPr>
        <w:t>参考</w:t>
      </w:r>
      <w:r>
        <w:rPr>
          <w:rFonts w:hint="eastAsia" w:ascii="宋体" w:hAnsi="宋体" w:eastAsia="宋体" w:cs="Times New Roman"/>
          <w:sz w:val="24"/>
          <w:szCs w:val="22"/>
        </w:rPr>
        <w:t>教材</w:t>
      </w:r>
    </w:p>
    <w:p w14:paraId="4B1BE911">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val="en-US" w:eastAsia="zh-CN"/>
        </w:rPr>
        <w:t>张荣伟</w:t>
      </w:r>
      <w:r>
        <w:rPr>
          <w:rFonts w:hint="eastAsia"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lang w:val="en-US" w:eastAsia="zh-CN"/>
        </w:rPr>
        <w:t>我们需要怎样的教育——</w:t>
      </w:r>
      <w:r>
        <w:rPr>
          <w:rFonts w:hint="eastAsia" w:ascii="Times New Roman" w:hAnsi="Times New Roman" w:eastAsia="宋体" w:cs="Times New Roman"/>
          <w:kern w:val="0"/>
          <w:sz w:val="24"/>
          <w:szCs w:val="24"/>
        </w:rPr>
        <w:t>中国基础教育改革</w:t>
      </w:r>
      <w:r>
        <w:rPr>
          <w:rFonts w:hint="eastAsia" w:ascii="Times New Roman" w:hAnsi="Times New Roman" w:eastAsia="宋体" w:cs="Times New Roman"/>
          <w:kern w:val="0"/>
          <w:sz w:val="24"/>
          <w:szCs w:val="24"/>
          <w:lang w:val="en-US" w:eastAsia="zh-CN"/>
        </w:rPr>
        <w:t>概论</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lang w:val="en-US" w:eastAsia="zh-CN"/>
        </w:rPr>
        <w:t>北京</w:t>
      </w:r>
      <w:r>
        <w:rPr>
          <w:rFonts w:hint="eastAsia" w:ascii="Times New Roman" w:hAnsi="Times New Roman" w:eastAsia="宋体" w:cs="Times New Roman"/>
          <w:kern w:val="0"/>
          <w:sz w:val="24"/>
          <w:szCs w:val="24"/>
        </w:rPr>
        <w:t>： </w:t>
      </w:r>
      <w:r>
        <w:rPr>
          <w:rFonts w:hint="eastAsia" w:ascii="Times New Roman" w:hAnsi="Times New Roman" w:eastAsia="宋体" w:cs="Times New Roman"/>
          <w:kern w:val="0"/>
          <w:sz w:val="24"/>
          <w:szCs w:val="24"/>
          <w:lang w:val="en-US" w:eastAsia="zh-CN"/>
        </w:rPr>
        <w:t>教育科学</w:t>
      </w:r>
      <w:r>
        <w:rPr>
          <w:rFonts w:hint="eastAsia" w:ascii="Times New Roman" w:hAnsi="Times New Roman" w:eastAsia="宋体" w:cs="Times New Roman"/>
          <w:kern w:val="0"/>
          <w:sz w:val="24"/>
          <w:szCs w:val="24"/>
        </w:rPr>
        <w:t>出版社</w:t>
      </w:r>
      <w:r>
        <w:rPr>
          <w:rFonts w:hint="eastAsia" w:ascii="宋体" w:hAnsi="宋体" w:eastAsia="宋体" w:cs="Times New Roman"/>
          <w:sz w:val="24"/>
          <w:szCs w:val="22"/>
        </w:rPr>
        <w:t>.</w:t>
      </w:r>
      <w:r>
        <w:rPr>
          <w:rFonts w:ascii="Times New Roman" w:hAnsi="Times New Roman" w:eastAsia="宋体" w:cs="Times New Roman"/>
          <w:kern w:val="0"/>
          <w:sz w:val="24"/>
          <w:szCs w:val="24"/>
        </w:rPr>
        <w:t>20</w:t>
      </w:r>
      <w:r>
        <w:rPr>
          <w:rFonts w:hint="eastAsia"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8</w:t>
      </w:r>
      <w:r>
        <w:rPr>
          <w:rFonts w:hint="eastAsia" w:ascii="Times New Roman" w:hAnsi="Times New Roman" w:eastAsia="宋体" w:cs="Times New Roman"/>
          <w:kern w:val="0"/>
          <w:sz w:val="24"/>
          <w:szCs w:val="24"/>
        </w:rPr>
        <w:t>.</w:t>
      </w:r>
    </w:p>
    <w:p w14:paraId="7104A881">
      <w:pPr>
        <w:spacing w:line="360" w:lineRule="auto"/>
        <w:rPr>
          <w:rFonts w:ascii="宋体" w:hAnsi="宋体" w:eastAsia="宋体" w:cs="Times New Roman"/>
          <w:sz w:val="24"/>
          <w:szCs w:val="22"/>
        </w:rPr>
      </w:pPr>
      <w:bookmarkStart w:id="1015" w:name="_Toc27847330"/>
      <w:r>
        <w:rPr>
          <w:rFonts w:hint="eastAsia" w:ascii="宋体" w:hAnsi="宋体" w:eastAsia="宋体" w:cs="Times New Roman"/>
          <w:sz w:val="24"/>
          <w:szCs w:val="22"/>
        </w:rPr>
        <w:t>2．</w:t>
      </w:r>
      <w:r>
        <w:rPr>
          <w:rFonts w:hint="eastAsia" w:ascii="宋体" w:hAnsi="宋体" w:eastAsia="宋体" w:cs="Times New Roman"/>
          <w:sz w:val="24"/>
          <w:szCs w:val="22"/>
          <w:lang w:val="en-US" w:eastAsia="zh-CN"/>
        </w:rPr>
        <w:t>其他</w:t>
      </w:r>
      <w:r>
        <w:rPr>
          <w:rFonts w:hint="eastAsia" w:ascii="宋体" w:hAnsi="宋体" w:eastAsia="宋体" w:cs="Times New Roman"/>
          <w:sz w:val="24"/>
          <w:szCs w:val="22"/>
        </w:rPr>
        <w:t>教学参考书</w:t>
      </w:r>
      <w:bookmarkEnd w:id="1015"/>
    </w:p>
    <w:p w14:paraId="53BFA4C8">
      <w:pPr>
        <w:spacing w:line="360" w:lineRule="auto"/>
        <w:rPr>
          <w:rFonts w:ascii="宋体" w:hAnsi="宋体" w:eastAsia="宋体" w:cs="Times New Roman"/>
          <w:sz w:val="24"/>
          <w:szCs w:val="22"/>
        </w:rPr>
      </w:pPr>
      <w:r>
        <w:rPr>
          <w:rFonts w:ascii="等线" w:hAnsi="等线" w:eastAsia="等线" w:cs="Times New Roman"/>
          <w:szCs w:val="22"/>
        </w:rPr>
        <w:fldChar w:fldCharType="begin"/>
      </w:r>
      <w:r>
        <w:rPr>
          <w:rFonts w:ascii="等线" w:hAnsi="等线" w:eastAsia="等线" w:cs="Times New Roman"/>
          <w:szCs w:val="22"/>
        </w:rPr>
        <w:instrText xml:space="preserve"> HYPERLINK "https://book.jd.com/writer/%E5%AE%8B%E4%B9%83%E5%BA%86_1.html" \t "_blank" </w:instrText>
      </w:r>
      <w:r>
        <w:rPr>
          <w:rFonts w:ascii="等线" w:hAnsi="等线" w:eastAsia="等线" w:cs="Times New Roman"/>
          <w:szCs w:val="22"/>
        </w:rPr>
        <w:fldChar w:fldCharType="separate"/>
      </w:r>
      <w:bookmarkStart w:id="1016" w:name="_Toc27847331"/>
      <w:r>
        <w:rPr>
          <w:rFonts w:ascii="宋体" w:hAnsi="宋体" w:eastAsia="宋体" w:cs="Times New Roman"/>
          <w:sz w:val="24"/>
          <w:szCs w:val="22"/>
        </w:rPr>
        <w:t>宋乃庆</w:t>
      </w:r>
      <w:r>
        <w:rPr>
          <w:rFonts w:ascii="宋体" w:hAnsi="宋体" w:eastAsia="宋体" w:cs="Times New Roman"/>
          <w:sz w:val="24"/>
          <w:szCs w:val="22"/>
        </w:rPr>
        <w:fldChar w:fldCharType="end"/>
      </w:r>
      <w:r>
        <w:rPr>
          <w:rFonts w:ascii="宋体" w:hAnsi="宋体" w:eastAsia="宋体" w:cs="Times New Roman"/>
          <w:sz w:val="24"/>
          <w:szCs w:val="22"/>
        </w:rPr>
        <w:t>，</w:t>
      </w:r>
      <w:r>
        <w:rPr>
          <w:rFonts w:ascii="等线" w:hAnsi="等线" w:eastAsia="等线" w:cs="Times New Roman"/>
          <w:szCs w:val="22"/>
        </w:rPr>
        <w:fldChar w:fldCharType="begin"/>
      </w:r>
      <w:r>
        <w:rPr>
          <w:rFonts w:ascii="等线" w:hAnsi="等线" w:eastAsia="等线" w:cs="Times New Roman"/>
          <w:szCs w:val="22"/>
        </w:rPr>
        <w:instrText xml:space="preserve"> HYPERLINK "https://book.jd.com/writer/%E6%9D%8E%E6%A3%AE_1.html" \t "_blank" </w:instrText>
      </w:r>
      <w:r>
        <w:rPr>
          <w:rFonts w:ascii="等线" w:hAnsi="等线" w:eastAsia="等线" w:cs="Times New Roman"/>
          <w:szCs w:val="22"/>
        </w:rPr>
        <w:fldChar w:fldCharType="separate"/>
      </w:r>
      <w:r>
        <w:rPr>
          <w:rFonts w:ascii="宋体" w:hAnsi="宋体" w:eastAsia="宋体" w:cs="Times New Roman"/>
          <w:sz w:val="24"/>
          <w:szCs w:val="22"/>
        </w:rPr>
        <w:t>李森</w:t>
      </w:r>
      <w:r>
        <w:rPr>
          <w:rFonts w:ascii="宋体" w:hAnsi="宋体" w:eastAsia="宋体" w:cs="Times New Roman"/>
          <w:sz w:val="24"/>
          <w:szCs w:val="22"/>
        </w:rPr>
        <w:fldChar w:fldCharType="end"/>
      </w:r>
      <w:r>
        <w:rPr>
          <w:rFonts w:ascii="宋体" w:hAnsi="宋体" w:eastAsia="宋体" w:cs="Times New Roman"/>
          <w:sz w:val="24"/>
          <w:szCs w:val="22"/>
        </w:rPr>
        <w:t>，</w:t>
      </w:r>
      <w:r>
        <w:rPr>
          <w:rFonts w:ascii="等线" w:hAnsi="等线" w:eastAsia="等线" w:cs="Times New Roman"/>
          <w:szCs w:val="22"/>
        </w:rPr>
        <w:fldChar w:fldCharType="begin"/>
      </w:r>
      <w:r>
        <w:rPr>
          <w:rFonts w:ascii="等线" w:hAnsi="等线" w:eastAsia="等线" w:cs="Times New Roman"/>
          <w:szCs w:val="22"/>
        </w:rPr>
        <w:instrText xml:space="preserve"> HYPERLINK "https://book.jd.com/writer/%E6%9C%B1%E5%BE%B7%E5%85%A8_1.html" \t "_blank" </w:instrText>
      </w:r>
      <w:r>
        <w:rPr>
          <w:rFonts w:ascii="等线" w:hAnsi="等线" w:eastAsia="等线" w:cs="Times New Roman"/>
          <w:szCs w:val="22"/>
        </w:rPr>
        <w:fldChar w:fldCharType="separate"/>
      </w:r>
      <w:r>
        <w:rPr>
          <w:rFonts w:ascii="宋体" w:hAnsi="宋体" w:eastAsia="宋体" w:cs="Times New Roman"/>
          <w:sz w:val="24"/>
          <w:szCs w:val="22"/>
        </w:rPr>
        <w:t>朱德全</w:t>
      </w:r>
      <w:r>
        <w:rPr>
          <w:rFonts w:ascii="宋体" w:hAnsi="宋体" w:eastAsia="宋体" w:cs="Times New Roman"/>
          <w:sz w:val="24"/>
          <w:szCs w:val="22"/>
        </w:rPr>
        <w:fldChar w:fldCharType="end"/>
      </w:r>
      <w:r>
        <w:rPr>
          <w:rFonts w:hint="eastAsia" w:ascii="Times New Roman" w:hAnsi="Times New Roman" w:eastAsia="宋体" w:cs="Times New Roman"/>
          <w:sz w:val="24"/>
          <w:szCs w:val="24"/>
        </w:rPr>
        <w:t>.</w:t>
      </w:r>
      <w:r>
        <w:rPr>
          <w:rFonts w:ascii="宋体" w:hAnsi="宋体" w:eastAsia="宋体" w:cs="Times New Roman"/>
          <w:sz w:val="24"/>
          <w:szCs w:val="22"/>
        </w:rPr>
        <w:t>中国基础教育改革与发展</w:t>
      </w:r>
      <w:r>
        <w:rPr>
          <w:rFonts w:hint="eastAsia" w:ascii="Times New Roman" w:hAnsi="Times New Roman" w:eastAsia="宋体" w:cs="Times New Roman"/>
          <w:sz w:val="24"/>
          <w:szCs w:val="24"/>
        </w:rPr>
        <w:t>.</w:t>
      </w:r>
      <w:r>
        <w:rPr>
          <w:rFonts w:ascii="宋体" w:hAnsi="宋体" w:eastAsia="宋体" w:cs="Times New Roman"/>
          <w:sz w:val="24"/>
          <w:szCs w:val="22"/>
        </w:rPr>
        <w:t>高等教育出版社</w:t>
      </w:r>
      <w:r>
        <w:rPr>
          <w:rFonts w:hint="eastAsia" w:ascii="宋体" w:hAnsi="宋体" w:eastAsia="宋体" w:cs="Times New Roman"/>
          <w:sz w:val="24"/>
          <w:szCs w:val="22"/>
        </w:rPr>
        <w:t>.2018.</w:t>
      </w:r>
      <w:bookmarkEnd w:id="1016"/>
    </w:p>
    <w:p w14:paraId="6C6D41BD">
      <w:pPr>
        <w:shd w:val="clear" w:color="auto" w:fill="FFFFFF"/>
        <w:spacing w:line="360" w:lineRule="auto"/>
        <w:rPr>
          <w:rFonts w:hint="default" w:ascii="宋体" w:hAnsi="宋体" w:eastAsia="宋体" w:cs="Times New Roman"/>
          <w:sz w:val="24"/>
          <w:szCs w:val="22"/>
          <w:lang w:val="en-US" w:eastAsia="zh-CN"/>
        </w:rPr>
      </w:pPr>
      <w:r>
        <w:rPr>
          <w:rFonts w:hint="eastAsia" w:ascii="宋体" w:hAnsi="宋体" w:eastAsia="宋体" w:cs="Times New Roman"/>
          <w:sz w:val="24"/>
          <w:szCs w:val="22"/>
          <w:lang w:val="en-US" w:eastAsia="zh-CN"/>
        </w:rPr>
        <w:t>王晓辉、赵莉</w:t>
      </w:r>
      <w:r>
        <w:rPr>
          <w:rFonts w:hint="eastAsia" w:ascii="宋体" w:hAnsi="宋体" w:eastAsia="宋体" w:cs="Times New Roman"/>
          <w:sz w:val="24"/>
          <w:szCs w:val="22"/>
        </w:rPr>
        <w:t>.</w:t>
      </w:r>
      <w:r>
        <w:rPr>
          <w:rFonts w:ascii="宋体" w:hAnsi="宋体" w:eastAsia="宋体" w:cs="Times New Roman"/>
          <w:sz w:val="24"/>
          <w:szCs w:val="22"/>
        </w:rPr>
        <w:t>中</w:t>
      </w:r>
      <w:r>
        <w:rPr>
          <w:rFonts w:hint="eastAsia" w:ascii="宋体" w:hAnsi="宋体" w:eastAsia="宋体" w:cs="Times New Roman"/>
          <w:sz w:val="24"/>
          <w:szCs w:val="22"/>
          <w:lang w:val="en-US" w:eastAsia="zh-CN"/>
        </w:rPr>
        <w:t>外</w:t>
      </w:r>
      <w:r>
        <w:rPr>
          <w:rFonts w:ascii="宋体" w:hAnsi="宋体" w:eastAsia="宋体" w:cs="Times New Roman"/>
          <w:sz w:val="24"/>
          <w:szCs w:val="22"/>
        </w:rPr>
        <w:t>基础教育改革与发展</w:t>
      </w:r>
      <w:r>
        <w:rPr>
          <w:rFonts w:hint="eastAsia" w:ascii="宋体" w:hAnsi="宋体" w:eastAsia="宋体" w:cs="Times New Roman"/>
          <w:sz w:val="24"/>
          <w:szCs w:val="22"/>
        </w:rPr>
        <w:t>.</w:t>
      </w:r>
      <w:r>
        <w:rPr>
          <w:rFonts w:hint="eastAsia" w:ascii="宋体" w:hAnsi="宋体" w:eastAsia="宋体" w:cs="Times New Roman"/>
          <w:sz w:val="24"/>
          <w:szCs w:val="22"/>
          <w:lang w:val="en-US" w:eastAsia="zh-CN"/>
        </w:rPr>
        <w:t>中央广播电视大学</w:t>
      </w:r>
      <w:r>
        <w:rPr>
          <w:rFonts w:hint="eastAsia" w:ascii="宋体" w:hAnsi="宋体" w:eastAsia="宋体" w:cs="Times New Roman"/>
          <w:sz w:val="24"/>
          <w:szCs w:val="22"/>
        </w:rPr>
        <w:t>出版社.201</w:t>
      </w:r>
      <w:r>
        <w:rPr>
          <w:rFonts w:hint="eastAsia" w:ascii="宋体" w:hAnsi="宋体" w:eastAsia="宋体" w:cs="Times New Roman"/>
          <w:sz w:val="24"/>
          <w:szCs w:val="22"/>
          <w:lang w:val="en-US" w:eastAsia="zh-CN"/>
        </w:rPr>
        <w:t>7.</w:t>
      </w:r>
    </w:p>
    <w:p w14:paraId="4B46C12C">
      <w:pPr>
        <w:spacing w:line="360" w:lineRule="auto"/>
        <w:rPr>
          <w:rFonts w:ascii="宋体" w:hAnsi="宋体" w:eastAsia="宋体" w:cs="Times New Roman"/>
          <w:sz w:val="24"/>
          <w:szCs w:val="22"/>
        </w:rPr>
      </w:pPr>
    </w:p>
    <w:p w14:paraId="44A96BCC">
      <w:pPr>
        <w:spacing w:line="360" w:lineRule="auto"/>
        <w:rPr>
          <w:rFonts w:ascii="宋体" w:hAnsi="宋体" w:eastAsia="宋体" w:cs="Times New Roman"/>
          <w:sz w:val="24"/>
          <w:szCs w:val="22"/>
        </w:rPr>
      </w:pPr>
    </w:p>
    <w:p w14:paraId="4D08F727">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rPr>
        <w:t>赵振杰</w:t>
      </w:r>
    </w:p>
    <w:p w14:paraId="38DA43E4">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审定人：王  健</w:t>
      </w:r>
    </w:p>
    <w:p w14:paraId="520AF7C1">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审批人：张志欣</w:t>
      </w:r>
    </w:p>
    <w:p w14:paraId="0E3B8C27">
      <w:pPr>
        <w:spacing w:line="360" w:lineRule="auto"/>
        <w:ind w:firstLine="5280" w:firstLineChars="2200"/>
        <w:jc w:val="both"/>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4</w:t>
      </w:r>
      <w:r>
        <w:rPr>
          <w:rFonts w:hint="eastAsia" w:ascii="宋体" w:hAnsi="宋体" w:eastAsia="宋体" w:cs="Times New Roman"/>
          <w:kern w:val="0"/>
          <w:sz w:val="24"/>
          <w:szCs w:val="21"/>
        </w:rPr>
        <w:t>年8月20日</w:t>
      </w:r>
    </w:p>
    <w:p w14:paraId="0CBB4AC6">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424C1525">
      <w:pPr>
        <w:pStyle w:val="2"/>
        <w:bidi w:val="0"/>
        <w:rPr>
          <w:rFonts w:hint="eastAsia"/>
        </w:rPr>
      </w:pPr>
      <w:bookmarkStart w:id="1017" w:name="_Toc11683"/>
      <w:bookmarkStart w:id="1018" w:name="_Toc2982"/>
      <w:bookmarkStart w:id="1019" w:name="_Toc4663"/>
      <w:r>
        <w:rPr>
          <w:rFonts w:hint="eastAsia"/>
          <w:lang w:eastAsia="zh-CN"/>
        </w:rPr>
        <w:t>《</w:t>
      </w:r>
      <w:r>
        <w:rPr>
          <w:rFonts w:hint="eastAsia"/>
        </w:rPr>
        <w:t>教育哲学</w:t>
      </w:r>
      <w:r>
        <w:rPr>
          <w:rFonts w:hint="eastAsia"/>
          <w:lang w:eastAsia="zh-CN"/>
        </w:rPr>
        <w:t>》</w:t>
      </w:r>
      <w:r>
        <w:rPr>
          <w:rFonts w:hint="eastAsia"/>
        </w:rPr>
        <w:t>课程教学大纲</w:t>
      </w:r>
      <w:bookmarkEnd w:id="1017"/>
      <w:bookmarkEnd w:id="1018"/>
      <w:bookmarkEnd w:id="1019"/>
    </w:p>
    <w:p w14:paraId="3B706BE0">
      <w:pPr>
        <w:pStyle w:val="2"/>
        <w:bidi w:val="0"/>
      </w:pPr>
      <w:bookmarkStart w:id="1020" w:name="_Toc16117"/>
      <w:bookmarkStart w:id="1021" w:name="_Toc13002"/>
      <w:bookmarkStart w:id="1022" w:name="_Toc4085"/>
      <w:bookmarkStart w:id="1023" w:name="_Toc18286"/>
      <w:r>
        <w:rPr>
          <w:rFonts w:hint="eastAsia"/>
        </w:rPr>
        <w:t>（</w:t>
      </w:r>
      <w:r>
        <w:t>Philosophy of Education</w:t>
      </w:r>
      <w:r>
        <w:rPr>
          <w:rFonts w:hint="eastAsia"/>
        </w:rPr>
        <w:t>）</w:t>
      </w:r>
      <w:bookmarkEnd w:id="1020"/>
      <w:bookmarkEnd w:id="1021"/>
      <w:bookmarkEnd w:id="1022"/>
      <w:bookmarkEnd w:id="1023"/>
    </w:p>
    <w:p w14:paraId="564EF8B3">
      <w:pPr>
        <w:spacing w:line="360" w:lineRule="auto"/>
        <w:outlineLvl w:val="0"/>
        <w:rPr>
          <w:rFonts w:hint="eastAsia" w:ascii="宋体" w:hAnsi="等线" w:eastAsia="等线" w:cs="Times New Roman"/>
          <w:b/>
          <w:sz w:val="28"/>
          <w:szCs w:val="22"/>
        </w:rPr>
      </w:pPr>
      <w:bookmarkStart w:id="1024" w:name="_Toc6450"/>
      <w:bookmarkStart w:id="1025" w:name="_Toc14128"/>
      <w:bookmarkStart w:id="1026" w:name="_Toc24619"/>
      <w:bookmarkStart w:id="1027" w:name="_Toc31172"/>
      <w:bookmarkStart w:id="1028" w:name="_Toc28454"/>
      <w:bookmarkStart w:id="1029" w:name="_Toc14396"/>
      <w:r>
        <w:rPr>
          <w:rFonts w:hint="eastAsia" w:ascii="宋体" w:hAnsi="宋体" w:eastAsia="等线" w:cs="Times New Roman"/>
          <w:b/>
          <w:sz w:val="28"/>
          <w:szCs w:val="22"/>
        </w:rPr>
        <w:t>一、课程概况</w:t>
      </w:r>
      <w:bookmarkEnd w:id="1024"/>
      <w:bookmarkEnd w:id="1025"/>
      <w:bookmarkEnd w:id="1026"/>
      <w:bookmarkEnd w:id="1027"/>
      <w:bookmarkEnd w:id="1028"/>
      <w:bookmarkEnd w:id="1029"/>
    </w:p>
    <w:p w14:paraId="28A341FA">
      <w:pPr>
        <w:spacing w:line="360" w:lineRule="auto"/>
        <w:ind w:firstLine="420" w:firstLineChars="200"/>
        <w:rPr>
          <w:rFonts w:hint="eastAsia" w:ascii="宋体" w:hAnsi="宋体" w:eastAsia="等线" w:cs="Times New Roman"/>
          <w:szCs w:val="22"/>
        </w:rPr>
      </w:pPr>
      <w:r>
        <w:rPr>
          <w:rFonts w:hint="eastAsia" w:ascii="宋体" w:hAnsi="宋体" w:eastAsia="等线" w:cs="Times New Roman"/>
          <w:b/>
          <w:szCs w:val="22"/>
        </w:rPr>
        <w:t>课程代码</w:t>
      </w:r>
      <w:r>
        <w:rPr>
          <w:rFonts w:hint="eastAsia" w:ascii="宋体" w:hAnsi="宋体" w:eastAsia="等线" w:cs="Times New Roman"/>
          <w:szCs w:val="22"/>
        </w:rPr>
        <w:t>：</w:t>
      </w:r>
      <w:r>
        <w:rPr>
          <w:rFonts w:ascii="宋体" w:hAnsi="宋体" w:eastAsia="等线" w:cs="Times New Roman"/>
          <w:szCs w:val="22"/>
        </w:rPr>
        <w:t>2401017</w:t>
      </w:r>
    </w:p>
    <w:p w14:paraId="151E36E6">
      <w:pPr>
        <w:spacing w:line="360" w:lineRule="auto"/>
        <w:ind w:firstLine="420" w:firstLineChars="200"/>
        <w:rPr>
          <w:rFonts w:hint="eastAsia" w:ascii="宋体" w:hAnsi="宋体" w:eastAsia="等线" w:cs="Times New Roman"/>
          <w:szCs w:val="22"/>
        </w:rPr>
      </w:pPr>
      <w:r>
        <w:rPr>
          <w:rFonts w:hint="eastAsia" w:ascii="宋体" w:hAnsi="宋体" w:eastAsia="等线" w:cs="Times New Roman"/>
          <w:b/>
          <w:szCs w:val="22"/>
        </w:rPr>
        <w:t>学分</w:t>
      </w:r>
      <w:r>
        <w:rPr>
          <w:rFonts w:hint="eastAsia" w:ascii="宋体" w:hAnsi="宋体" w:eastAsia="等线" w:cs="Times New Roman"/>
          <w:szCs w:val="22"/>
        </w:rPr>
        <w:t>：</w:t>
      </w:r>
      <w:r>
        <w:rPr>
          <w:rFonts w:ascii="宋体" w:hAnsi="宋体" w:eastAsia="等线" w:cs="Times New Roman"/>
          <w:szCs w:val="22"/>
        </w:rPr>
        <w:t>2</w:t>
      </w:r>
    </w:p>
    <w:p w14:paraId="20167F9B">
      <w:pPr>
        <w:spacing w:line="360" w:lineRule="auto"/>
        <w:ind w:firstLine="420" w:firstLineChars="200"/>
        <w:rPr>
          <w:rFonts w:hint="eastAsia" w:ascii="宋体" w:hAnsi="宋体" w:eastAsia="等线" w:cs="Times New Roman"/>
          <w:szCs w:val="22"/>
        </w:rPr>
      </w:pPr>
      <w:r>
        <w:rPr>
          <w:rFonts w:hint="eastAsia" w:ascii="宋体" w:hAnsi="宋体" w:eastAsia="等线" w:cs="Times New Roman"/>
          <w:b/>
          <w:szCs w:val="22"/>
        </w:rPr>
        <w:t>学时</w:t>
      </w:r>
      <w:r>
        <w:rPr>
          <w:rFonts w:hint="eastAsia" w:ascii="宋体" w:hAnsi="宋体" w:eastAsia="等线" w:cs="Times New Roman"/>
          <w:szCs w:val="22"/>
        </w:rPr>
        <w:t>：</w:t>
      </w:r>
      <w:r>
        <w:rPr>
          <w:rFonts w:ascii="宋体" w:hAnsi="宋体" w:eastAsia="等线" w:cs="Times New Roman"/>
          <w:szCs w:val="22"/>
        </w:rPr>
        <w:t>32</w:t>
      </w:r>
    </w:p>
    <w:p w14:paraId="4F0942AE">
      <w:pPr>
        <w:spacing w:line="360" w:lineRule="auto"/>
        <w:ind w:firstLine="420" w:firstLineChars="200"/>
        <w:rPr>
          <w:rFonts w:hint="eastAsia" w:ascii="宋体" w:hAnsi="等线" w:eastAsia="等线" w:cs="Times New Roman"/>
          <w:szCs w:val="22"/>
        </w:rPr>
      </w:pPr>
      <w:r>
        <w:rPr>
          <w:rFonts w:hint="eastAsia" w:ascii="宋体" w:hAnsi="宋体" w:eastAsia="等线" w:cs="Times New Roman"/>
          <w:b/>
          <w:szCs w:val="22"/>
        </w:rPr>
        <w:t>先修课程</w:t>
      </w:r>
      <w:r>
        <w:rPr>
          <w:rFonts w:hint="eastAsia" w:ascii="宋体" w:hAnsi="宋体" w:eastAsia="等线" w:cs="Times New Roman"/>
          <w:szCs w:val="22"/>
        </w:rPr>
        <w:t>：中外教育史、教育原理</w:t>
      </w:r>
    </w:p>
    <w:p w14:paraId="652ACBBC">
      <w:pPr>
        <w:spacing w:line="360" w:lineRule="auto"/>
        <w:ind w:firstLine="420" w:firstLineChars="200"/>
        <w:rPr>
          <w:rFonts w:hint="eastAsia" w:ascii="宋体" w:hAnsi="等线" w:eastAsia="等线" w:cs="Times New Roman"/>
          <w:szCs w:val="22"/>
        </w:rPr>
      </w:pPr>
      <w:r>
        <w:rPr>
          <w:rFonts w:hint="eastAsia" w:ascii="宋体" w:hAnsi="宋体" w:eastAsia="等线" w:cs="Times New Roman"/>
          <w:b/>
          <w:szCs w:val="22"/>
        </w:rPr>
        <w:t>适用专业</w:t>
      </w:r>
      <w:r>
        <w:rPr>
          <w:rFonts w:hint="eastAsia" w:ascii="宋体" w:hAnsi="宋体" w:eastAsia="等线" w:cs="Times New Roman"/>
          <w:szCs w:val="22"/>
        </w:rPr>
        <w:t>：小学教育（文）、小学教育（理）</w:t>
      </w:r>
    </w:p>
    <w:p w14:paraId="4EDF251E">
      <w:pPr>
        <w:spacing w:line="360" w:lineRule="auto"/>
        <w:ind w:firstLine="420" w:firstLineChars="200"/>
        <w:rPr>
          <w:rFonts w:hint="eastAsia" w:ascii="宋体" w:hAnsi="宋体" w:eastAsia="等线" w:cs="Times New Roman"/>
          <w:szCs w:val="22"/>
        </w:rPr>
      </w:pPr>
      <w:r>
        <w:rPr>
          <w:rFonts w:hint="eastAsia" w:ascii="宋体" w:hAnsi="宋体" w:eastAsia="等线" w:cs="Times New Roman"/>
          <w:b/>
          <w:szCs w:val="22"/>
        </w:rPr>
        <w:t>建议教材</w:t>
      </w:r>
      <w:r>
        <w:rPr>
          <w:rFonts w:hint="eastAsia" w:ascii="宋体" w:hAnsi="宋体" w:eastAsia="等线" w:cs="Times New Roman"/>
          <w:szCs w:val="22"/>
        </w:rPr>
        <w:t>：《教育哲学》，石中英，高等教育出版社，</w:t>
      </w:r>
      <w:r>
        <w:rPr>
          <w:rFonts w:ascii="宋体" w:hAnsi="宋体" w:eastAsia="等线" w:cs="Times New Roman"/>
          <w:szCs w:val="22"/>
        </w:rPr>
        <w:t>2019.</w:t>
      </w:r>
    </w:p>
    <w:p w14:paraId="40F961DB">
      <w:pPr>
        <w:spacing w:line="360" w:lineRule="auto"/>
        <w:ind w:firstLine="420" w:firstLineChars="200"/>
        <w:rPr>
          <w:rFonts w:hint="eastAsia" w:ascii="宋体" w:hAnsi="宋体" w:eastAsia="等线" w:cs="Times New Roman"/>
          <w:szCs w:val="22"/>
        </w:rPr>
      </w:pPr>
      <w:r>
        <w:rPr>
          <w:rFonts w:hint="eastAsia" w:ascii="宋体" w:hAnsi="宋体" w:eastAsia="等线" w:cs="Times New Roman"/>
          <w:b/>
          <w:szCs w:val="22"/>
        </w:rPr>
        <w:t>课程归口</w:t>
      </w:r>
      <w:r>
        <w:rPr>
          <w:rFonts w:hint="eastAsia" w:ascii="宋体" w:hAnsi="宋体" w:eastAsia="等线" w:cs="Times New Roman"/>
          <w:szCs w:val="22"/>
        </w:rPr>
        <w:t>：师范学院</w:t>
      </w:r>
    </w:p>
    <w:p w14:paraId="23F96D0D">
      <w:pPr>
        <w:spacing w:line="360" w:lineRule="auto"/>
        <w:ind w:firstLine="420" w:firstLineChars="200"/>
        <w:outlineLvl w:val="0"/>
        <w:rPr>
          <w:rFonts w:hint="eastAsia" w:ascii="宋体" w:hAnsi="宋体" w:eastAsia="等线" w:cs="Times New Roman"/>
          <w:b/>
          <w:szCs w:val="22"/>
        </w:rPr>
      </w:pPr>
      <w:bookmarkStart w:id="1030" w:name="_Toc1463"/>
      <w:bookmarkStart w:id="1031" w:name="_Toc4595"/>
      <w:bookmarkStart w:id="1032" w:name="_Toc17004"/>
      <w:bookmarkStart w:id="1033" w:name="_Toc9015"/>
      <w:bookmarkStart w:id="1034" w:name="_Toc11674"/>
      <w:bookmarkStart w:id="1035" w:name="_Toc14055"/>
      <w:r>
        <w:rPr>
          <w:rFonts w:hint="eastAsia" w:ascii="宋体" w:hAnsi="宋体" w:eastAsia="等线" w:cs="Times New Roman"/>
          <w:b/>
          <w:szCs w:val="22"/>
        </w:rPr>
        <w:t>一、课程简介</w:t>
      </w:r>
      <w:bookmarkEnd w:id="1030"/>
      <w:bookmarkEnd w:id="1031"/>
      <w:bookmarkEnd w:id="1032"/>
      <w:bookmarkEnd w:id="1033"/>
      <w:bookmarkEnd w:id="1034"/>
      <w:bookmarkEnd w:id="1035"/>
    </w:p>
    <w:p w14:paraId="5981874A">
      <w:pPr>
        <w:spacing w:line="360" w:lineRule="auto"/>
        <w:ind w:firstLine="420" w:firstLineChars="200"/>
        <w:rPr>
          <w:rFonts w:hint="eastAsia" w:ascii="宋体" w:hAnsi="宋体" w:eastAsia="等线" w:cs="Times New Roman"/>
          <w:szCs w:val="22"/>
        </w:rPr>
      </w:pPr>
      <w:r>
        <w:rPr>
          <w:rFonts w:hint="eastAsia" w:ascii="宋体" w:hAnsi="宋体" w:eastAsia="等线" w:cs="Times New Roman"/>
          <w:szCs w:val="22"/>
        </w:rPr>
        <w:t>本课程是小学教育专业选修课程，是运用哲学的观念、思维方法分析、阐释教育问题的专业基础课。课程从教育实践出发以培养教师的教育人格与教育智慧为宗旨，通过本课程的学习，使学生初步掌握哲学的思维方法分析教育现象的能力，提高教育哲学作为人文学科对教师自身素质发展的价值与意义，尤其是批判性思维的意识，进而更好的处理教育理想与教育行动的关系、教师职业和日常生活的关系。</w:t>
      </w:r>
    </w:p>
    <w:p w14:paraId="27AE3758">
      <w:pPr>
        <w:spacing w:line="360" w:lineRule="auto"/>
        <w:outlineLvl w:val="0"/>
        <w:rPr>
          <w:rFonts w:hint="eastAsia" w:ascii="宋体" w:hAnsi="等线" w:eastAsia="等线" w:cs="Times New Roman"/>
          <w:b/>
          <w:sz w:val="28"/>
          <w:szCs w:val="22"/>
        </w:rPr>
      </w:pPr>
      <w:bookmarkStart w:id="1036" w:name="_Toc22343"/>
      <w:bookmarkStart w:id="1037" w:name="_Toc4972"/>
      <w:bookmarkStart w:id="1038" w:name="_Toc3124"/>
      <w:bookmarkStart w:id="1039" w:name="_Toc24188"/>
      <w:bookmarkStart w:id="1040" w:name="_Toc8690"/>
      <w:bookmarkStart w:id="1041" w:name="_Toc12328"/>
      <w:r>
        <w:rPr>
          <w:rFonts w:hint="eastAsia" w:ascii="宋体" w:hAnsi="宋体" w:eastAsia="等线" w:cs="Times New Roman"/>
          <w:b/>
          <w:sz w:val="28"/>
          <w:szCs w:val="22"/>
        </w:rPr>
        <w:t>二、课程目标</w:t>
      </w:r>
      <w:bookmarkEnd w:id="1036"/>
      <w:bookmarkEnd w:id="1037"/>
      <w:bookmarkEnd w:id="1038"/>
      <w:bookmarkEnd w:id="1039"/>
      <w:bookmarkEnd w:id="1040"/>
      <w:bookmarkEnd w:id="1041"/>
    </w:p>
    <w:p w14:paraId="10C00DE3">
      <w:pPr>
        <w:adjustRightInd w:val="0"/>
        <w:snapToGrid w:val="0"/>
        <w:spacing w:line="360" w:lineRule="auto"/>
        <w:ind w:firstLine="315" w:firstLineChars="150"/>
        <w:outlineLvl w:val="1"/>
        <w:rPr>
          <w:rFonts w:hint="eastAsia" w:ascii="宋体" w:hAnsi="等线" w:eastAsia="等线" w:cs="Times New Roman"/>
          <w:b/>
          <w:szCs w:val="22"/>
        </w:rPr>
      </w:pPr>
      <w:bookmarkStart w:id="1042" w:name="_Toc10209"/>
      <w:r>
        <w:rPr>
          <w:rFonts w:hint="eastAsia" w:ascii="宋体" w:hAnsi="宋体" w:eastAsia="等线" w:cs="Times New Roman"/>
          <w:b/>
          <w:szCs w:val="22"/>
        </w:rPr>
        <w:t>（一）课程具体目标</w:t>
      </w:r>
      <w:bookmarkEnd w:id="1042"/>
    </w:p>
    <w:p w14:paraId="5470AFE1">
      <w:pPr>
        <w:adjustRightInd w:val="0"/>
        <w:snapToGrid w:val="0"/>
        <w:spacing w:line="360" w:lineRule="auto"/>
        <w:ind w:firstLine="420" w:firstLineChars="200"/>
        <w:rPr>
          <w:rFonts w:hint="eastAsia" w:ascii="宋体" w:hAnsi="宋体" w:eastAsia="等线" w:cs="Times New Roman"/>
          <w:szCs w:val="22"/>
        </w:rPr>
      </w:pPr>
      <w:r>
        <w:rPr>
          <w:rFonts w:hint="eastAsia" w:ascii="宋体" w:hAnsi="宋体" w:eastAsia="等线" w:cs="Times New Roman"/>
          <w:szCs w:val="22"/>
        </w:rPr>
        <w:t>目标</w:t>
      </w:r>
      <w:r>
        <w:rPr>
          <w:rFonts w:ascii="宋体" w:hAnsi="宋体" w:eastAsia="等线" w:cs="Times New Roman"/>
          <w:szCs w:val="22"/>
        </w:rPr>
        <w:t>1.</w:t>
      </w:r>
      <w:r>
        <w:rPr>
          <w:rFonts w:hint="eastAsia" w:ascii="宋体" w:hAnsi="宋体" w:eastAsia="等线" w:cs="Times New Roman"/>
          <w:szCs w:val="22"/>
        </w:rPr>
        <w:t>全面系统地了解教育哲学基本知识，深入理解教育哲学特别是建构教育哲学的基本理论观点，初步掌握教育哲学的理论方法。</w:t>
      </w:r>
    </w:p>
    <w:p w14:paraId="5A11CC20">
      <w:pPr>
        <w:adjustRightInd w:val="0"/>
        <w:snapToGrid w:val="0"/>
        <w:spacing w:line="360" w:lineRule="auto"/>
        <w:ind w:firstLine="420" w:firstLineChars="200"/>
        <w:rPr>
          <w:rFonts w:hint="eastAsia" w:ascii="宋体" w:hAnsi="等线" w:eastAsia="等线" w:cs="Times New Roman"/>
          <w:szCs w:val="22"/>
        </w:rPr>
      </w:pPr>
      <w:r>
        <w:rPr>
          <w:rFonts w:hint="eastAsia" w:ascii="宋体" w:hAnsi="宋体" w:eastAsia="等线" w:cs="Times New Roman"/>
          <w:szCs w:val="22"/>
        </w:rPr>
        <w:t>目标2</w:t>
      </w:r>
      <w:r>
        <w:rPr>
          <w:rFonts w:ascii="宋体" w:hAnsi="宋体" w:eastAsia="等线" w:cs="Times New Roman"/>
          <w:szCs w:val="22"/>
        </w:rPr>
        <w:t>.</w:t>
      </w:r>
      <w:r>
        <w:rPr>
          <w:rFonts w:hint="eastAsia" w:ascii="宋体" w:hAnsi="宋体" w:eastAsia="等线" w:cs="Times New Roman"/>
          <w:szCs w:val="22"/>
        </w:rPr>
        <w:t>引导师范生思考教育的根本目的与价值、反思教育实践问题，认识学生、认识教师专业，引导师范生树立正确的教育观、教师观和学生观。</w:t>
      </w:r>
    </w:p>
    <w:p w14:paraId="5D24FBDC">
      <w:pPr>
        <w:adjustRightInd w:val="0"/>
        <w:snapToGrid w:val="0"/>
        <w:spacing w:line="360" w:lineRule="auto"/>
        <w:ind w:firstLine="420" w:firstLineChars="200"/>
        <w:rPr>
          <w:rFonts w:hint="eastAsia" w:ascii="宋体" w:hAnsi="等线" w:eastAsia="等线" w:cs="Times New Roman"/>
          <w:szCs w:val="22"/>
        </w:rPr>
      </w:pPr>
      <w:r>
        <w:rPr>
          <w:rFonts w:hint="eastAsia" w:ascii="宋体" w:hAnsi="宋体" w:eastAsia="等线" w:cs="Times New Roman"/>
          <w:szCs w:val="22"/>
        </w:rPr>
        <w:t>目标</w:t>
      </w:r>
      <w:r>
        <w:rPr>
          <w:rFonts w:ascii="宋体" w:hAnsi="宋体" w:eastAsia="等线" w:cs="Times New Roman"/>
          <w:szCs w:val="22"/>
        </w:rPr>
        <w:t>3.</w:t>
      </w:r>
      <w:r>
        <w:rPr>
          <w:rFonts w:hint="eastAsia" w:ascii="宋体" w:hAnsi="宋体" w:eastAsia="等线" w:cs="Times New Roman"/>
          <w:szCs w:val="22"/>
        </w:rPr>
        <w:t>针对日常教育教学活动和过程的分析与审视，养成师范生反思、乐思、善思的思维品质和思维习惯，提升他们的教育反思意识与能力。</w:t>
      </w:r>
    </w:p>
    <w:p w14:paraId="38BD67E1">
      <w:pPr>
        <w:adjustRightInd w:val="0"/>
        <w:snapToGrid w:val="0"/>
        <w:spacing w:line="360" w:lineRule="auto"/>
        <w:ind w:firstLine="420" w:firstLineChars="200"/>
        <w:rPr>
          <w:rFonts w:hint="eastAsia" w:ascii="宋体" w:hAnsi="宋体" w:eastAsia="等线" w:cs="Times New Roman"/>
          <w:szCs w:val="22"/>
        </w:rPr>
      </w:pPr>
      <w:r>
        <w:rPr>
          <w:rFonts w:hint="eastAsia" w:ascii="宋体" w:hAnsi="宋体" w:eastAsia="等线" w:cs="Times New Roman"/>
          <w:szCs w:val="22"/>
        </w:rPr>
        <w:t>目标</w:t>
      </w:r>
      <w:r>
        <w:rPr>
          <w:rFonts w:ascii="宋体" w:hAnsi="宋体" w:eastAsia="等线" w:cs="Times New Roman"/>
          <w:szCs w:val="22"/>
        </w:rPr>
        <w:t>4</w:t>
      </w:r>
      <w:r>
        <w:rPr>
          <w:rFonts w:ascii="宋体" w:hAnsi="等线" w:eastAsia="等线" w:cs="Times New Roman"/>
          <w:szCs w:val="22"/>
        </w:rPr>
        <w:t>.</w:t>
      </w:r>
      <w:r>
        <w:rPr>
          <w:rFonts w:hint="eastAsia" w:ascii="宋体" w:hAnsi="宋体" w:eastAsia="等线" w:cs="Times New Roman"/>
          <w:szCs w:val="22"/>
        </w:rPr>
        <w:t>形成对教育教学科学合理的理念和价值观，形成和发展优秀的教育人格和卓越的教师品质，逐步成长为研究型、智慧型教师。</w:t>
      </w:r>
    </w:p>
    <w:p w14:paraId="015ED97A">
      <w:pPr>
        <w:spacing w:before="156" w:beforeLines="50" w:after="156" w:afterLines="50" w:line="360" w:lineRule="auto"/>
        <w:jc w:val="left"/>
        <w:outlineLvl w:val="1"/>
        <w:rPr>
          <w:rFonts w:ascii="Times New Roman" w:hAnsi="Times New Roman" w:eastAsia="等线" w:cs="Times New Roman"/>
          <w:b/>
          <w:bCs/>
          <w:szCs w:val="21"/>
        </w:rPr>
      </w:pPr>
      <w:bookmarkStart w:id="1043" w:name="_Toc17983"/>
      <w:r>
        <w:rPr>
          <w:rFonts w:hint="eastAsia" w:ascii="Times New Roman" w:hAnsi="Times New Roman" w:eastAsia="等线" w:cs="Times New Roman"/>
          <w:b/>
          <w:bCs/>
          <w:szCs w:val="21"/>
        </w:rPr>
        <w:t>（二）课程目标及其对毕业要求指标点的支撑</w:t>
      </w:r>
      <w:bookmarkEnd w:id="1043"/>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410"/>
        <w:gridCol w:w="1469"/>
      </w:tblGrid>
      <w:tr w14:paraId="5743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73A0A3A">
            <w:pPr>
              <w:spacing w:line="36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毕业要求</w:t>
            </w:r>
          </w:p>
        </w:tc>
        <w:tc>
          <w:tcPr>
            <w:tcW w:w="5410" w:type="dxa"/>
            <w:vAlign w:val="center"/>
          </w:tcPr>
          <w:p w14:paraId="238E1A2D">
            <w:pPr>
              <w:spacing w:line="36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毕业要求指标点</w:t>
            </w:r>
          </w:p>
        </w:tc>
        <w:tc>
          <w:tcPr>
            <w:tcW w:w="1469" w:type="dxa"/>
            <w:vAlign w:val="center"/>
          </w:tcPr>
          <w:p w14:paraId="2C7DB7F9">
            <w:pPr>
              <w:spacing w:line="360" w:lineRule="auto"/>
              <w:jc w:val="center"/>
              <w:rPr>
                <w:rFonts w:ascii="Times New Roman" w:hAnsi="Times New Roman" w:eastAsia="等线" w:cs="Times New Roman"/>
                <w:b/>
                <w:bCs/>
                <w:kern w:val="0"/>
                <w:szCs w:val="21"/>
              </w:rPr>
            </w:pPr>
            <w:r>
              <w:rPr>
                <w:rFonts w:hint="eastAsia" w:ascii="Times New Roman" w:hAnsi="Times New Roman" w:eastAsia="等线" w:cs="Times New Roman"/>
                <w:b/>
                <w:bCs/>
                <w:kern w:val="0"/>
                <w:szCs w:val="21"/>
              </w:rPr>
              <w:t>课程目标</w:t>
            </w:r>
          </w:p>
        </w:tc>
      </w:tr>
      <w:tr w14:paraId="1C97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65AA955">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毕业要求1师德规范</w:t>
            </w:r>
          </w:p>
        </w:tc>
        <w:tc>
          <w:tcPr>
            <w:tcW w:w="5410" w:type="dxa"/>
            <w:vAlign w:val="center"/>
          </w:tcPr>
          <w:p w14:paraId="0F8E0A1C">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指标点</w:t>
            </w:r>
            <w:r>
              <w:rPr>
                <w:rFonts w:ascii="Times New Roman" w:hAnsi="Times New Roman" w:eastAsia="等线" w:cs="Times New Roman"/>
                <w:kern w:val="0"/>
                <w:sz w:val="21"/>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469" w:type="dxa"/>
            <w:vAlign w:val="center"/>
          </w:tcPr>
          <w:p w14:paraId="00E4324E">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课程目标2</w:t>
            </w:r>
          </w:p>
        </w:tc>
      </w:tr>
      <w:tr w14:paraId="2589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E648BAB">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毕业要求2教育情怀</w:t>
            </w:r>
          </w:p>
        </w:tc>
        <w:tc>
          <w:tcPr>
            <w:tcW w:w="5410" w:type="dxa"/>
            <w:vAlign w:val="center"/>
          </w:tcPr>
          <w:p w14:paraId="6B9A5957">
            <w:pPr>
              <w:spacing w:line="276" w:lineRule="auto"/>
              <w:jc w:val="left"/>
              <w:rPr>
                <w:rFonts w:ascii="Times New Roman" w:hAnsi="Times New Roman" w:eastAsia="等线" w:cs="Times New Roman"/>
                <w:kern w:val="0"/>
                <w:sz w:val="21"/>
                <w:szCs w:val="21"/>
              </w:rPr>
            </w:pPr>
            <w:r>
              <w:rPr>
                <w:rFonts w:hint="eastAsia" w:ascii="宋体" w:hAnsi="宋体" w:eastAsia="等线" w:cs="Times New Roman"/>
                <w:color w:val="000000"/>
                <w:spacing w:val="2"/>
                <w:kern w:val="0"/>
                <w:sz w:val="21"/>
                <w:szCs w:val="21"/>
              </w:rPr>
              <w:t>指标点</w:t>
            </w:r>
            <w:r>
              <w:rPr>
                <w:rFonts w:ascii="宋体" w:hAnsi="宋体" w:eastAsia="等线" w:cs="Times New Roman"/>
                <w:color w:val="000000"/>
                <w:spacing w:val="2"/>
                <w:kern w:val="0"/>
                <w:sz w:val="21"/>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469" w:type="dxa"/>
            <w:vAlign w:val="center"/>
          </w:tcPr>
          <w:p w14:paraId="06AC54A1">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课程目标4</w:t>
            </w:r>
          </w:p>
        </w:tc>
      </w:tr>
      <w:tr w14:paraId="236C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0D483DF">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毕业要求4：教学能力</w:t>
            </w:r>
          </w:p>
        </w:tc>
        <w:tc>
          <w:tcPr>
            <w:tcW w:w="5410" w:type="dxa"/>
            <w:vAlign w:val="center"/>
          </w:tcPr>
          <w:p w14:paraId="04CBDED1">
            <w:pPr>
              <w:spacing w:line="276" w:lineRule="auto"/>
              <w:jc w:val="left"/>
              <w:rPr>
                <w:rFonts w:ascii="Times New Roman" w:hAnsi="Times New Roman" w:eastAsia="等线" w:cs="Times New Roman"/>
                <w:kern w:val="0"/>
                <w:sz w:val="21"/>
                <w:szCs w:val="21"/>
              </w:rPr>
            </w:pPr>
            <w:r>
              <w:rPr>
                <w:rFonts w:hint="eastAsia" w:ascii="宋体" w:hAnsi="宋体" w:eastAsia="等线" w:cs="Times New Roman"/>
                <w:color w:val="000000"/>
                <w:spacing w:val="2"/>
                <w:kern w:val="0"/>
                <w:sz w:val="21"/>
                <w:szCs w:val="21"/>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469" w:type="dxa"/>
            <w:vAlign w:val="center"/>
          </w:tcPr>
          <w:p w14:paraId="1ED8C0DA">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课程目标1</w:t>
            </w:r>
          </w:p>
        </w:tc>
      </w:tr>
      <w:tr w14:paraId="1DDE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7ED39E2">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毕业要求7学会反思</w:t>
            </w:r>
          </w:p>
        </w:tc>
        <w:tc>
          <w:tcPr>
            <w:tcW w:w="5410" w:type="dxa"/>
            <w:vAlign w:val="center"/>
          </w:tcPr>
          <w:p w14:paraId="13532895">
            <w:pPr>
              <w:spacing w:line="276" w:lineRule="auto"/>
              <w:jc w:val="left"/>
              <w:rPr>
                <w:rFonts w:ascii="Times New Roman" w:hAnsi="Times New Roman" w:eastAsia="等线" w:cs="Times New Roman"/>
                <w:kern w:val="0"/>
                <w:sz w:val="21"/>
                <w:szCs w:val="21"/>
              </w:rPr>
            </w:pPr>
            <w:r>
              <w:rPr>
                <w:rFonts w:hint="eastAsia" w:ascii="宋体" w:hAnsi="宋体" w:eastAsia="等线" w:cs="Times New Roman"/>
                <w:color w:val="000000"/>
                <w:kern w:val="0"/>
                <w:sz w:val="21"/>
                <w:szCs w:val="21"/>
              </w:rPr>
              <w:t>指标点</w:t>
            </w:r>
            <w:r>
              <w:rPr>
                <w:rFonts w:ascii="宋体" w:hAnsi="宋体" w:eastAsia="等线" w:cs="Times New Roman"/>
                <w:color w:val="000000"/>
                <w:kern w:val="0"/>
                <w:sz w:val="21"/>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469" w:type="dxa"/>
            <w:vAlign w:val="center"/>
          </w:tcPr>
          <w:p w14:paraId="52F44E45">
            <w:pPr>
              <w:spacing w:line="276"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课程目标3</w:t>
            </w:r>
          </w:p>
        </w:tc>
      </w:tr>
    </w:tbl>
    <w:p w14:paraId="730E7DC5">
      <w:pPr>
        <w:spacing w:before="156" w:beforeLines="50" w:line="360" w:lineRule="auto"/>
        <w:jc w:val="left"/>
        <w:outlineLvl w:val="1"/>
        <w:rPr>
          <w:rFonts w:hint="eastAsia" w:ascii="宋体" w:hAnsi="宋体" w:eastAsia="等线" w:cs="Times New Roman"/>
          <w:b/>
          <w:color w:val="000000"/>
          <w:szCs w:val="21"/>
        </w:rPr>
      </w:pPr>
      <w:bookmarkStart w:id="1044" w:name="_Toc9423"/>
      <w:r>
        <w:rPr>
          <w:rFonts w:hint="eastAsia" w:ascii="宋体" w:hAnsi="宋体" w:eastAsia="等线" w:cs="Times New Roman"/>
          <w:b/>
          <w:color w:val="000000"/>
          <w:szCs w:val="21"/>
        </w:rPr>
        <w:t>（三）课程思政目标</w:t>
      </w:r>
      <w:bookmarkEnd w:id="1044"/>
    </w:p>
    <w:p w14:paraId="24048A55">
      <w:pPr>
        <w:spacing w:line="360" w:lineRule="auto"/>
        <w:ind w:firstLine="420" w:firstLineChars="200"/>
        <w:rPr>
          <w:rFonts w:hint="eastAsia" w:ascii="宋体" w:hAnsi="等线" w:eastAsia="等线" w:cs="Times New Roman"/>
          <w:szCs w:val="22"/>
        </w:rPr>
      </w:pPr>
      <w:r>
        <w:rPr>
          <w:rFonts w:hint="eastAsia" w:ascii="宋体" w:hAnsi="等线" w:eastAsia="等线" w:cs="Times New Roman"/>
          <w:szCs w:val="22"/>
        </w:rPr>
        <w:t>遵循师范培养目标和新时代教师需求，通过学生对教育哲学的学习，全面系统地掌握教育哲学基本知识、观点和方法，并能够指导学生认识学生、认识教师专业，引导师范生树立正确的教育观、教师观和学生观进而培养学生形成和发展优秀的教育人格和卓越的教师品质</w:t>
      </w:r>
    </w:p>
    <w:p w14:paraId="7E6889CC">
      <w:pPr>
        <w:adjustRightInd w:val="0"/>
        <w:snapToGrid w:val="0"/>
        <w:spacing w:line="360" w:lineRule="auto"/>
        <w:rPr>
          <w:rFonts w:hint="eastAsia" w:ascii="宋体" w:hAnsi="宋体" w:eastAsia="等线" w:cs="Times New Roman"/>
          <w:szCs w:val="22"/>
        </w:rPr>
      </w:pPr>
    </w:p>
    <w:p w14:paraId="4DE5F4EB">
      <w:pPr>
        <w:spacing w:line="360" w:lineRule="auto"/>
        <w:jc w:val="left"/>
        <w:outlineLvl w:val="0"/>
        <w:rPr>
          <w:rFonts w:hint="eastAsia" w:ascii="宋体" w:hAnsi="宋体" w:eastAsia="等线" w:cs="Times New Roman"/>
          <w:b/>
          <w:color w:val="000000"/>
          <w:szCs w:val="22"/>
        </w:rPr>
      </w:pPr>
      <w:bookmarkStart w:id="1045" w:name="_Toc15762"/>
      <w:bookmarkStart w:id="1046" w:name="_Toc13362"/>
      <w:bookmarkStart w:id="1047" w:name="_Toc12227"/>
      <w:bookmarkStart w:id="1048" w:name="_Toc19565"/>
      <w:bookmarkStart w:id="1049" w:name="_Toc7117"/>
      <w:bookmarkStart w:id="1050" w:name="_Toc29352"/>
      <w:r>
        <w:rPr>
          <w:rFonts w:hint="eastAsia" w:ascii="宋体" w:hAnsi="宋体" w:eastAsia="等线" w:cs="Times New Roman"/>
          <w:b/>
          <w:color w:val="000000"/>
          <w:szCs w:val="22"/>
        </w:rPr>
        <w:t>三、教学内容与预期学习成效</w:t>
      </w:r>
      <w:bookmarkEnd w:id="1045"/>
      <w:bookmarkEnd w:id="1046"/>
      <w:bookmarkEnd w:id="1047"/>
      <w:bookmarkEnd w:id="1048"/>
      <w:bookmarkEnd w:id="1049"/>
      <w:bookmarkEnd w:id="1050"/>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619"/>
        <w:gridCol w:w="79"/>
        <w:gridCol w:w="1063"/>
        <w:gridCol w:w="69"/>
        <w:gridCol w:w="3050"/>
        <w:gridCol w:w="142"/>
        <w:gridCol w:w="1559"/>
        <w:gridCol w:w="142"/>
        <w:gridCol w:w="372"/>
      </w:tblGrid>
      <w:tr w14:paraId="1D0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14:paraId="0AAB7F5A">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知识</w:t>
            </w:r>
          </w:p>
          <w:p w14:paraId="1B8EC970">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单元</w:t>
            </w:r>
          </w:p>
        </w:tc>
        <w:tc>
          <w:tcPr>
            <w:tcW w:w="1698" w:type="dxa"/>
            <w:gridSpan w:val="2"/>
            <w:vAlign w:val="center"/>
          </w:tcPr>
          <w:p w14:paraId="540D9608">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知识点</w:t>
            </w:r>
          </w:p>
        </w:tc>
        <w:tc>
          <w:tcPr>
            <w:tcW w:w="1132" w:type="dxa"/>
            <w:gridSpan w:val="2"/>
            <w:vAlign w:val="center"/>
          </w:tcPr>
          <w:p w14:paraId="47DBA233">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对应</w:t>
            </w:r>
          </w:p>
          <w:p w14:paraId="1806A71F">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课程目标</w:t>
            </w:r>
          </w:p>
        </w:tc>
        <w:tc>
          <w:tcPr>
            <w:tcW w:w="3050" w:type="dxa"/>
            <w:vAlign w:val="center"/>
          </w:tcPr>
          <w:p w14:paraId="4B25EB69">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预期学习成效</w:t>
            </w:r>
          </w:p>
        </w:tc>
        <w:tc>
          <w:tcPr>
            <w:tcW w:w="1701" w:type="dxa"/>
            <w:gridSpan w:val="2"/>
            <w:vAlign w:val="center"/>
          </w:tcPr>
          <w:p w14:paraId="37F07005">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实现环节</w:t>
            </w:r>
          </w:p>
        </w:tc>
        <w:tc>
          <w:tcPr>
            <w:tcW w:w="514" w:type="dxa"/>
            <w:gridSpan w:val="2"/>
            <w:vAlign w:val="center"/>
          </w:tcPr>
          <w:p w14:paraId="76F5E177">
            <w:pPr>
              <w:jc w:val="center"/>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学时</w:t>
            </w:r>
          </w:p>
        </w:tc>
      </w:tr>
      <w:tr w14:paraId="42D6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3143017D">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绪论</w:t>
            </w:r>
          </w:p>
        </w:tc>
        <w:tc>
          <w:tcPr>
            <w:tcW w:w="1698" w:type="dxa"/>
            <w:gridSpan w:val="2"/>
            <w:vAlign w:val="center"/>
          </w:tcPr>
          <w:p w14:paraId="0C30D638">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（1）教育哲学的研究对象与性质</w:t>
            </w:r>
          </w:p>
          <w:p w14:paraId="68057F4E">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（2）教育哲学的价值</w:t>
            </w:r>
          </w:p>
          <w:p w14:paraId="4203986F">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（3）教育哲学的研究与教学方法</w:t>
            </w:r>
          </w:p>
        </w:tc>
        <w:tc>
          <w:tcPr>
            <w:tcW w:w="1132" w:type="dxa"/>
            <w:gridSpan w:val="2"/>
            <w:vAlign w:val="center"/>
          </w:tcPr>
          <w:p w14:paraId="2B9453CB">
            <w:pPr>
              <w:spacing w:line="269"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w:t>
            </w:r>
          </w:p>
        </w:tc>
        <w:tc>
          <w:tcPr>
            <w:tcW w:w="3050" w:type="dxa"/>
            <w:vAlign w:val="center"/>
          </w:tcPr>
          <w:p w14:paraId="729C137D">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（1）了解教育哲学课程的性质、目标与学习要求；</w:t>
            </w:r>
          </w:p>
          <w:p w14:paraId="0E67A69E">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（2）辨识教育哲学的研究对象，理解教育哲学的四种基本性质；</w:t>
            </w:r>
          </w:p>
          <w:p w14:paraId="5ECBFB22">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（3）理解教育哲学的教育实践价值、政策价值和研究价值；</w:t>
            </w:r>
          </w:p>
          <w:p w14:paraId="37C4D3DE">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（4）理解中国教育哲学的研究和教学为什么要以马克思主义为指导以及如何以马克思主义为指导</w:t>
            </w:r>
          </w:p>
          <w:p w14:paraId="531BDA2F">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（5）培养初步的对于教育哲学学科的积极态度和价值认同教学重点：认识教育哲学的学科属性</w:t>
            </w:r>
          </w:p>
        </w:tc>
        <w:tc>
          <w:tcPr>
            <w:tcW w:w="1701" w:type="dxa"/>
            <w:gridSpan w:val="2"/>
            <w:vAlign w:val="center"/>
          </w:tcPr>
          <w:p w14:paraId="6842DA81">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1.自主学习</w:t>
            </w:r>
          </w:p>
          <w:p w14:paraId="75CD36F0">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2.多媒体教学</w:t>
            </w:r>
          </w:p>
          <w:p w14:paraId="52DF68F3">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3.课堂讨论</w:t>
            </w:r>
          </w:p>
          <w:p w14:paraId="3A22E532">
            <w:pPr>
              <w:spacing w:line="269" w:lineRule="auto"/>
              <w:jc w:val="left"/>
              <w:rPr>
                <w:rFonts w:hint="eastAsia" w:ascii="宋体" w:hAnsi="宋体" w:eastAsia="等线" w:cs="Times New Roman"/>
                <w:color w:val="000000"/>
                <w:kern w:val="0"/>
                <w:sz w:val="21"/>
                <w:szCs w:val="21"/>
              </w:rPr>
            </w:pPr>
          </w:p>
        </w:tc>
        <w:tc>
          <w:tcPr>
            <w:tcW w:w="514" w:type="dxa"/>
            <w:gridSpan w:val="2"/>
            <w:vAlign w:val="center"/>
          </w:tcPr>
          <w:p w14:paraId="0D7529E4">
            <w:pPr>
              <w:spacing w:line="269"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w:t>
            </w:r>
          </w:p>
        </w:tc>
      </w:tr>
      <w:tr w14:paraId="6628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4DC5B07">
            <w:pPr>
              <w:spacing w:line="264" w:lineRule="auto"/>
              <w:jc w:val="center"/>
              <w:rPr>
                <w:rFonts w:hint="eastAsia" w:ascii="宋体" w:hAnsi="宋体" w:eastAsia="等线" w:cs="Times New Roman"/>
                <w:color w:val="000000"/>
                <w:kern w:val="0"/>
                <w:sz w:val="21"/>
                <w:szCs w:val="21"/>
              </w:rPr>
            </w:pPr>
          </w:p>
        </w:tc>
        <w:tc>
          <w:tcPr>
            <w:tcW w:w="8095" w:type="dxa"/>
            <w:gridSpan w:val="9"/>
            <w:vAlign w:val="center"/>
          </w:tcPr>
          <w:p w14:paraId="0434F519">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把马克思主义哲学中的辩证唯物主义和历史唯物主义基本观点融入教育哲学概念和基本理论中，弥补学生哲学素养的不足，并对“哲学是时代精神的精华”做出新时代背景下的阐释。</w:t>
            </w:r>
          </w:p>
        </w:tc>
      </w:tr>
      <w:tr w14:paraId="3F52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391F94CC">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教育哲学的历史发展</w:t>
            </w:r>
          </w:p>
        </w:tc>
        <w:tc>
          <w:tcPr>
            <w:tcW w:w="1698" w:type="dxa"/>
            <w:gridSpan w:val="2"/>
            <w:vAlign w:val="center"/>
          </w:tcPr>
          <w:p w14:paraId="34A7AEA1">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（1）中国教育哲学的历史发展</w:t>
            </w:r>
          </w:p>
          <w:p w14:paraId="1D39D0E0">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（2）西方教育哲学的历史发展</w:t>
            </w:r>
          </w:p>
          <w:p w14:paraId="587B80DB">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（3）马克思主义哲学的形成与发展</w:t>
            </w:r>
          </w:p>
        </w:tc>
        <w:tc>
          <w:tcPr>
            <w:tcW w:w="1132" w:type="dxa"/>
            <w:gridSpan w:val="2"/>
            <w:vAlign w:val="center"/>
          </w:tcPr>
          <w:p w14:paraId="5F493204">
            <w:pPr>
              <w:spacing w:line="269"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w:t>
            </w:r>
          </w:p>
        </w:tc>
        <w:tc>
          <w:tcPr>
            <w:tcW w:w="3050" w:type="dxa"/>
            <w:vAlign w:val="center"/>
          </w:tcPr>
          <w:p w14:paraId="285288AE">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（1）了解中国教育哲学历史发展的主要脉络，初步理解我国古代几种主要的教育哲学传统；</w:t>
            </w:r>
          </w:p>
          <w:p w14:paraId="033F7B00">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（2）了解西方教育哲学历史发展的主要脉络，批判性地认识实用主义教育哲学、存在主义教育哲学、分析教育哲学及后现代教育哲学思潮产生的社会背景、主要观点、学术影响和理论局限；</w:t>
            </w:r>
          </w:p>
          <w:p w14:paraId="2206622E">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（3）系统了解马克思主义经典作家有关教育问题的重要哲学论述，理解马克思主义教育哲学思想在西方、苏联和我国的传播与发展。</w:t>
            </w:r>
          </w:p>
          <w:p w14:paraId="081A5F94">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（4）重点理解十八大以来习近平总书记有关教育问题的重要论述，深度思考如何进一步继承和发展马克思主义教育哲学思想，构建中国特色、中国风格和中国气派的教育哲学体系。</w:t>
            </w:r>
          </w:p>
        </w:tc>
        <w:tc>
          <w:tcPr>
            <w:tcW w:w="1701" w:type="dxa"/>
            <w:gridSpan w:val="2"/>
            <w:vAlign w:val="center"/>
          </w:tcPr>
          <w:p w14:paraId="55458268">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1.自主学习</w:t>
            </w:r>
          </w:p>
          <w:p w14:paraId="547D8E00">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2.多媒体教学</w:t>
            </w:r>
          </w:p>
          <w:p w14:paraId="059824EF">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3.课堂讨论</w:t>
            </w:r>
          </w:p>
          <w:p w14:paraId="46B6244C">
            <w:pPr>
              <w:spacing w:line="269" w:lineRule="auto"/>
              <w:jc w:val="left"/>
              <w:rPr>
                <w:rFonts w:hint="eastAsia" w:ascii="宋体" w:hAnsi="宋体" w:eastAsia="等线" w:cs="Times New Roman"/>
                <w:color w:val="000000"/>
                <w:kern w:val="0"/>
                <w:sz w:val="21"/>
                <w:szCs w:val="21"/>
              </w:rPr>
            </w:pPr>
          </w:p>
        </w:tc>
        <w:tc>
          <w:tcPr>
            <w:tcW w:w="514" w:type="dxa"/>
            <w:gridSpan w:val="2"/>
            <w:vAlign w:val="center"/>
          </w:tcPr>
          <w:p w14:paraId="1124EF6B">
            <w:pPr>
              <w:spacing w:line="269"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w:t>
            </w:r>
          </w:p>
        </w:tc>
      </w:tr>
      <w:tr w14:paraId="1A42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3E7711C">
            <w:pPr>
              <w:spacing w:line="264" w:lineRule="auto"/>
              <w:jc w:val="center"/>
              <w:rPr>
                <w:rFonts w:hint="eastAsia" w:ascii="宋体" w:hAnsi="宋体" w:eastAsia="等线" w:cs="Times New Roman"/>
                <w:color w:val="000000"/>
                <w:kern w:val="0"/>
                <w:sz w:val="21"/>
                <w:szCs w:val="21"/>
              </w:rPr>
            </w:pPr>
          </w:p>
        </w:tc>
        <w:tc>
          <w:tcPr>
            <w:tcW w:w="8095" w:type="dxa"/>
            <w:gridSpan w:val="9"/>
            <w:vAlign w:val="center"/>
          </w:tcPr>
          <w:p w14:paraId="45C1720D">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通过研究和阐发中国教育哲学蕴含的中国智慧，增强文化自信；通过理解十八大以来习近平总书记有关教育问题的重要论述，深度思考如何进一步继承和发展马克思主义教育哲学思想，构建中国特色、中国风格和中国气派的教育哲学。</w:t>
            </w:r>
          </w:p>
        </w:tc>
      </w:tr>
      <w:tr w14:paraId="0C2E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56194AD2">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教育的本质</w:t>
            </w:r>
          </w:p>
        </w:tc>
        <w:tc>
          <w:tcPr>
            <w:tcW w:w="1698" w:type="dxa"/>
            <w:gridSpan w:val="2"/>
            <w:vAlign w:val="center"/>
          </w:tcPr>
          <w:p w14:paraId="200FEC18">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（1）教育概念的语言分析</w:t>
            </w:r>
          </w:p>
          <w:p w14:paraId="01102662">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（2）教育与相关概念的辨析</w:t>
            </w:r>
          </w:p>
          <w:p w14:paraId="5214801B">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（3）教育的本质与理想</w:t>
            </w:r>
          </w:p>
        </w:tc>
        <w:tc>
          <w:tcPr>
            <w:tcW w:w="1132" w:type="dxa"/>
            <w:gridSpan w:val="2"/>
            <w:vAlign w:val="center"/>
          </w:tcPr>
          <w:p w14:paraId="74E517A0">
            <w:pPr>
              <w:spacing w:line="269"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课程目标1、2、4</w:t>
            </w:r>
          </w:p>
        </w:tc>
        <w:tc>
          <w:tcPr>
            <w:tcW w:w="3050" w:type="dxa"/>
            <w:vAlign w:val="center"/>
          </w:tcPr>
          <w:p w14:paraId="03240F6D">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（1）了解教育概念的日常意义、定义类型以及主要的隐喻；</w:t>
            </w:r>
          </w:p>
          <w:p w14:paraId="1D62CE8A">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（2）从理论上和实践上能够把握教育概念与教学、学习、训练、宣传等的区别与联系；</w:t>
            </w:r>
          </w:p>
          <w:p w14:paraId="5217E55E">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（3）理解教育本质认识的社会性和历史性，重点掌握习近平总书记有关教育一般本质和中国特色社会主义教育本质的重要论述；</w:t>
            </w:r>
          </w:p>
          <w:p w14:paraId="0AFF452E">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（4）掌握新时代中国特色社会主义良好教育的标准，理解教育的理想是人的自由全面发展。</w:t>
            </w:r>
          </w:p>
        </w:tc>
        <w:tc>
          <w:tcPr>
            <w:tcW w:w="1701" w:type="dxa"/>
            <w:gridSpan w:val="2"/>
            <w:vAlign w:val="center"/>
          </w:tcPr>
          <w:p w14:paraId="26E56530">
            <w:pPr>
              <w:spacing w:line="269"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1.</w:t>
            </w:r>
            <w:r>
              <w:rPr>
                <w:rFonts w:hint="eastAsia" w:ascii="宋体" w:hAnsi="宋体" w:eastAsia="等线" w:cs="Times New Roman"/>
                <w:color w:val="000000"/>
                <w:kern w:val="0"/>
                <w:sz w:val="21"/>
                <w:szCs w:val="21"/>
              </w:rPr>
              <w:t>自主</w:t>
            </w:r>
            <w:r>
              <w:rPr>
                <w:rFonts w:ascii="宋体" w:hAnsi="宋体" w:eastAsia="等线" w:cs="Times New Roman"/>
                <w:color w:val="000000"/>
                <w:kern w:val="0"/>
                <w:sz w:val="21"/>
                <w:szCs w:val="21"/>
              </w:rPr>
              <w:t>学习</w:t>
            </w:r>
          </w:p>
          <w:p w14:paraId="7BB4B8AC">
            <w:pPr>
              <w:spacing w:line="269"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4867EF2C">
            <w:pPr>
              <w:spacing w:line="269"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p>
        </w:tc>
        <w:tc>
          <w:tcPr>
            <w:tcW w:w="514" w:type="dxa"/>
            <w:gridSpan w:val="2"/>
            <w:vAlign w:val="center"/>
          </w:tcPr>
          <w:p w14:paraId="026B64D6">
            <w:pPr>
              <w:spacing w:line="269"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w:t>
            </w:r>
          </w:p>
        </w:tc>
      </w:tr>
      <w:tr w14:paraId="409D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6B0D7B6F">
            <w:pPr>
              <w:spacing w:line="264" w:lineRule="auto"/>
              <w:jc w:val="center"/>
              <w:rPr>
                <w:rFonts w:hint="eastAsia" w:ascii="宋体" w:hAnsi="宋体" w:eastAsia="等线" w:cs="Times New Roman"/>
                <w:color w:val="000000"/>
                <w:kern w:val="0"/>
                <w:sz w:val="21"/>
                <w:szCs w:val="21"/>
              </w:rPr>
            </w:pPr>
          </w:p>
        </w:tc>
        <w:tc>
          <w:tcPr>
            <w:tcW w:w="8095" w:type="dxa"/>
            <w:gridSpan w:val="9"/>
            <w:vAlign w:val="center"/>
          </w:tcPr>
          <w:p w14:paraId="1E486388">
            <w:pPr>
              <w:spacing w:line="269"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用习近平总书记关于教育重要论述中关于“立德树人”思想分析中外历史上对教育本质的不同理解差异，以及新时代对教育本质理解所发生的变化，使学生通过对比深入思考哲学视域内的教育内涵。使学生从更深的意义上思考师范生所承担的育人使命，增强职业敬畏感和神圣感。</w:t>
            </w:r>
          </w:p>
        </w:tc>
      </w:tr>
      <w:tr w14:paraId="4C3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F4B6EF8">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人性论与教育</w:t>
            </w:r>
          </w:p>
        </w:tc>
        <w:tc>
          <w:tcPr>
            <w:tcW w:w="1698" w:type="dxa"/>
            <w:gridSpan w:val="2"/>
            <w:vAlign w:val="center"/>
          </w:tcPr>
          <w:p w14:paraId="06F93E18">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（1）人性论概述</w:t>
            </w:r>
          </w:p>
          <w:p w14:paraId="1F02BDBC">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（2）人性论与教育的关系</w:t>
            </w:r>
          </w:p>
          <w:p w14:paraId="04931786">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（3）当代教育中的人性问题与责任</w:t>
            </w:r>
          </w:p>
        </w:tc>
        <w:tc>
          <w:tcPr>
            <w:tcW w:w="1132" w:type="dxa"/>
            <w:gridSpan w:val="2"/>
            <w:vAlign w:val="center"/>
          </w:tcPr>
          <w:p w14:paraId="3E8E85CE">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课程目标1、2、3</w:t>
            </w:r>
          </w:p>
        </w:tc>
        <w:tc>
          <w:tcPr>
            <w:tcW w:w="3050" w:type="dxa"/>
            <w:vAlign w:val="center"/>
          </w:tcPr>
          <w:p w14:paraId="31D8ED00">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（1）了解中外历史上的人性论主张，掌握马克思主义在人性问题上的基本立场、观点和方法，理解它们之间的联系与本质差别；</w:t>
            </w:r>
          </w:p>
          <w:p w14:paraId="5D808E7A">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（2）理解不同的人性论假设与儿童观、教育方法和教育管理实践之间的内在关联，并辩证地看待不同人性论对教育实践的影响；</w:t>
            </w:r>
          </w:p>
          <w:p w14:paraId="68329E01">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（3）从实际出发，分析当代教育实践中存在的人性论问题，理解“以人为本”的内涵以及现代教育的人性关怀。</w:t>
            </w:r>
          </w:p>
        </w:tc>
        <w:tc>
          <w:tcPr>
            <w:tcW w:w="1701" w:type="dxa"/>
            <w:gridSpan w:val="2"/>
            <w:vAlign w:val="center"/>
          </w:tcPr>
          <w:p w14:paraId="01A9A05C">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1.</w:t>
            </w:r>
            <w:r>
              <w:rPr>
                <w:rFonts w:hint="eastAsia" w:ascii="宋体" w:hAnsi="宋体" w:eastAsia="等线" w:cs="Times New Roman"/>
                <w:color w:val="000000"/>
                <w:kern w:val="0"/>
                <w:sz w:val="21"/>
                <w:szCs w:val="21"/>
              </w:rPr>
              <w:t>自主</w:t>
            </w:r>
            <w:r>
              <w:rPr>
                <w:rFonts w:ascii="宋体" w:hAnsi="宋体" w:eastAsia="等线" w:cs="Times New Roman"/>
                <w:color w:val="000000"/>
                <w:kern w:val="0"/>
                <w:sz w:val="21"/>
                <w:szCs w:val="21"/>
              </w:rPr>
              <w:t>学习</w:t>
            </w:r>
          </w:p>
          <w:p w14:paraId="1DA3441C">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6B156CBD">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p>
          <w:p w14:paraId="6ABA9CE6">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4.</w:t>
            </w:r>
            <w:r>
              <w:rPr>
                <w:rFonts w:hint="eastAsia" w:ascii="宋体" w:hAnsi="宋体" w:eastAsia="等线" w:cs="Times New Roman"/>
                <w:color w:val="000000"/>
                <w:kern w:val="0"/>
                <w:sz w:val="21"/>
                <w:szCs w:val="21"/>
              </w:rPr>
              <w:t>小组合作与汇报</w:t>
            </w:r>
          </w:p>
        </w:tc>
        <w:tc>
          <w:tcPr>
            <w:tcW w:w="514" w:type="dxa"/>
            <w:gridSpan w:val="2"/>
            <w:vAlign w:val="center"/>
          </w:tcPr>
          <w:p w14:paraId="63B1CAD9">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w:t>
            </w:r>
          </w:p>
        </w:tc>
      </w:tr>
      <w:tr w14:paraId="5787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37495128">
            <w:pPr>
              <w:spacing w:line="276" w:lineRule="auto"/>
              <w:jc w:val="center"/>
              <w:rPr>
                <w:rFonts w:hint="eastAsia" w:ascii="宋体" w:hAnsi="宋体" w:eastAsia="等线" w:cs="Times New Roman"/>
                <w:color w:val="000000"/>
                <w:kern w:val="0"/>
                <w:sz w:val="21"/>
                <w:szCs w:val="21"/>
              </w:rPr>
            </w:pPr>
          </w:p>
        </w:tc>
        <w:tc>
          <w:tcPr>
            <w:tcW w:w="8095" w:type="dxa"/>
            <w:gridSpan w:val="9"/>
            <w:vAlign w:val="center"/>
          </w:tcPr>
          <w:p w14:paraId="49823CA4">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通过对人本身问题的追问和反思，深入理解人性论与教育活动的内在联系，坚持以人为本的原则，树立正确的学生观，促进每一个学生健康、和谐与可持续发展。</w:t>
            </w:r>
          </w:p>
        </w:tc>
      </w:tr>
      <w:tr w14:paraId="569F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5A1FA756">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5.</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认识论与教育</w:t>
            </w:r>
          </w:p>
        </w:tc>
        <w:tc>
          <w:tcPr>
            <w:tcW w:w="1698" w:type="dxa"/>
            <w:gridSpan w:val="2"/>
            <w:vAlign w:val="center"/>
          </w:tcPr>
          <w:p w14:paraId="7464A034">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（1）认识论概述</w:t>
            </w:r>
          </w:p>
          <w:p w14:paraId="03F17619">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（2）知识的性质、类型与课程</w:t>
            </w:r>
          </w:p>
          <w:p w14:paraId="3B2BA6BA">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（3）教育中的批判性思维</w:t>
            </w:r>
          </w:p>
        </w:tc>
        <w:tc>
          <w:tcPr>
            <w:tcW w:w="1132" w:type="dxa"/>
            <w:gridSpan w:val="2"/>
            <w:vAlign w:val="center"/>
          </w:tcPr>
          <w:p w14:paraId="21F2C268">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课程目标1、3、4</w:t>
            </w:r>
          </w:p>
        </w:tc>
        <w:tc>
          <w:tcPr>
            <w:tcW w:w="3050" w:type="dxa"/>
            <w:vAlign w:val="center"/>
          </w:tcPr>
          <w:p w14:paraId="65DC101D">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（1）了解和评析中国传统和西方认识论，深入理解马克思主义认识论；</w:t>
            </w:r>
          </w:p>
          <w:p w14:paraId="342DCC0B">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（2）了解知识的性质与学科性质，掌握知识类型与课程建构的规律，理解课程建构和教育教学中的知识选择；</w:t>
            </w:r>
          </w:p>
          <w:p w14:paraId="79C245C2">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（3）理解批判性思维的概念及其与创造力培养的关系，把握批判性思维的教与学的原则要求；</w:t>
            </w:r>
          </w:p>
          <w:p w14:paraId="0785B04D">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（4）能够就当前我国课程与教学改革中的若干问题从认识论视角进行分析。</w:t>
            </w:r>
          </w:p>
        </w:tc>
        <w:tc>
          <w:tcPr>
            <w:tcW w:w="1701" w:type="dxa"/>
            <w:gridSpan w:val="2"/>
            <w:vAlign w:val="center"/>
          </w:tcPr>
          <w:p w14:paraId="23835929">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1.</w:t>
            </w:r>
            <w:r>
              <w:rPr>
                <w:rFonts w:hint="eastAsia" w:ascii="宋体" w:hAnsi="宋体" w:eastAsia="等线" w:cs="Times New Roman"/>
                <w:color w:val="000000"/>
                <w:kern w:val="0"/>
                <w:sz w:val="21"/>
                <w:szCs w:val="21"/>
              </w:rPr>
              <w:t>自主</w:t>
            </w:r>
            <w:r>
              <w:rPr>
                <w:rFonts w:ascii="宋体" w:hAnsi="宋体" w:eastAsia="等线" w:cs="Times New Roman"/>
                <w:color w:val="000000"/>
                <w:kern w:val="0"/>
                <w:sz w:val="21"/>
                <w:szCs w:val="21"/>
              </w:rPr>
              <w:t>学习</w:t>
            </w:r>
          </w:p>
          <w:p w14:paraId="3BDAA1C2">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6F5BBA0C">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p>
        </w:tc>
        <w:tc>
          <w:tcPr>
            <w:tcW w:w="514" w:type="dxa"/>
            <w:gridSpan w:val="2"/>
            <w:vAlign w:val="center"/>
          </w:tcPr>
          <w:p w14:paraId="05C5CBA6">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w:t>
            </w:r>
          </w:p>
        </w:tc>
      </w:tr>
      <w:tr w14:paraId="54B6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F6B816E">
            <w:pPr>
              <w:spacing w:line="276" w:lineRule="auto"/>
              <w:jc w:val="center"/>
              <w:rPr>
                <w:rFonts w:hint="eastAsia" w:ascii="宋体" w:hAnsi="宋体" w:eastAsia="等线" w:cs="Times New Roman"/>
                <w:color w:val="000000"/>
                <w:kern w:val="0"/>
                <w:sz w:val="21"/>
                <w:szCs w:val="21"/>
              </w:rPr>
            </w:pPr>
          </w:p>
        </w:tc>
        <w:tc>
          <w:tcPr>
            <w:tcW w:w="8095" w:type="dxa"/>
            <w:gridSpan w:val="9"/>
            <w:vAlign w:val="center"/>
          </w:tcPr>
          <w:p w14:paraId="33FAD3CF">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使师范生从唯物主义出发，辩证地、历史地按照事物本身去认识事物，并进行主动的、持续的和审慎的思考，养成批判性思维。同时，使学生在理解知识真正内涵的基础上进一步把握知识的承载者所具有的国家性质和民族意义，增强学生掌握知识服务人类、服务国家、服务社会的伦理自觉性。</w:t>
            </w:r>
          </w:p>
        </w:tc>
      </w:tr>
      <w:tr w14:paraId="4529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1811D110">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6.</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价值论与教育</w:t>
            </w:r>
          </w:p>
        </w:tc>
        <w:tc>
          <w:tcPr>
            <w:tcW w:w="1698" w:type="dxa"/>
            <w:gridSpan w:val="2"/>
            <w:vAlign w:val="center"/>
          </w:tcPr>
          <w:p w14:paraId="20C5B974">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（1）价值论概述</w:t>
            </w:r>
          </w:p>
          <w:p w14:paraId="2A62DEF2">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（2）教育价值</w:t>
            </w:r>
          </w:p>
          <w:p w14:paraId="316BE51E">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（3）价值教育的理论与实践</w:t>
            </w:r>
          </w:p>
        </w:tc>
        <w:tc>
          <w:tcPr>
            <w:tcW w:w="1132" w:type="dxa"/>
            <w:gridSpan w:val="2"/>
            <w:vAlign w:val="center"/>
          </w:tcPr>
          <w:p w14:paraId="150282CC">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课程目标1、2、3</w:t>
            </w:r>
          </w:p>
        </w:tc>
        <w:tc>
          <w:tcPr>
            <w:tcW w:w="3050" w:type="dxa"/>
            <w:vAlign w:val="center"/>
          </w:tcPr>
          <w:p w14:paraId="324A589A">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（1）了解价值和价值论的基本概念；</w:t>
            </w:r>
          </w:p>
          <w:p w14:paraId="0A01CC05">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（2）理解中国传统价值论、西方主要的价值思潮，重点学习和掌握马克思主义价值思想；</w:t>
            </w:r>
          </w:p>
          <w:p w14:paraId="300FDAE5">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（3）理解教育价值的概念、类型和秩序，能够结合实际理解教育价值冲突的本质是教育价值排序的不同，把握当代中国教育改革的基本价值取向；</w:t>
            </w:r>
          </w:p>
          <w:p w14:paraId="7CD27CAB">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（4）理解价值教育的概念及在人的全面自由发展中的作用，批判性地看待20世纪英美主要的价值教育思想，重点掌握新时代我国社会主义核心价值观教育的主要内容和途径。</w:t>
            </w:r>
          </w:p>
        </w:tc>
        <w:tc>
          <w:tcPr>
            <w:tcW w:w="1701" w:type="dxa"/>
            <w:gridSpan w:val="2"/>
            <w:vAlign w:val="center"/>
          </w:tcPr>
          <w:p w14:paraId="224BE650">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1.</w:t>
            </w:r>
            <w:r>
              <w:rPr>
                <w:rFonts w:hint="eastAsia" w:ascii="宋体" w:hAnsi="宋体" w:eastAsia="等线" w:cs="Times New Roman"/>
                <w:color w:val="000000"/>
                <w:kern w:val="0"/>
                <w:sz w:val="21"/>
                <w:szCs w:val="21"/>
              </w:rPr>
              <w:t>自主</w:t>
            </w:r>
            <w:r>
              <w:rPr>
                <w:rFonts w:ascii="宋体" w:hAnsi="宋体" w:eastAsia="等线" w:cs="Times New Roman"/>
                <w:color w:val="000000"/>
                <w:kern w:val="0"/>
                <w:sz w:val="21"/>
                <w:szCs w:val="21"/>
              </w:rPr>
              <w:t>学习</w:t>
            </w:r>
          </w:p>
          <w:p w14:paraId="2098C55E">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667219B4">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p>
          <w:p w14:paraId="0C92FC4A">
            <w:pPr>
              <w:spacing w:line="276" w:lineRule="auto"/>
              <w:jc w:val="left"/>
              <w:rPr>
                <w:rFonts w:hint="eastAsia" w:ascii="宋体" w:hAnsi="宋体" w:eastAsia="等线" w:cs="Times New Roman"/>
                <w:color w:val="000000"/>
                <w:kern w:val="0"/>
                <w:sz w:val="21"/>
                <w:szCs w:val="21"/>
              </w:rPr>
            </w:pPr>
          </w:p>
        </w:tc>
        <w:tc>
          <w:tcPr>
            <w:tcW w:w="514" w:type="dxa"/>
            <w:gridSpan w:val="2"/>
            <w:vAlign w:val="center"/>
          </w:tcPr>
          <w:p w14:paraId="43250786">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w:t>
            </w:r>
          </w:p>
        </w:tc>
      </w:tr>
      <w:tr w14:paraId="161C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44136FE0">
            <w:pPr>
              <w:spacing w:line="276" w:lineRule="auto"/>
              <w:jc w:val="center"/>
              <w:rPr>
                <w:rFonts w:hint="eastAsia" w:ascii="宋体" w:hAnsi="宋体" w:eastAsia="等线" w:cs="Times New Roman"/>
                <w:color w:val="000000"/>
                <w:kern w:val="0"/>
                <w:sz w:val="21"/>
                <w:szCs w:val="21"/>
              </w:rPr>
            </w:pPr>
          </w:p>
        </w:tc>
        <w:tc>
          <w:tcPr>
            <w:tcW w:w="8095" w:type="dxa"/>
            <w:gridSpan w:val="9"/>
            <w:vAlign w:val="center"/>
          </w:tcPr>
          <w:p w14:paraId="4E487E28">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通过把握当代中国教育改革的基本价值取向，使师范生在未来的教育教学实践中推进价值教育实践，更好地完成立德树人根本任务。同时加强对师范生的核心主义价值观教育，为其扣好第一粒扣子。</w:t>
            </w:r>
          </w:p>
        </w:tc>
      </w:tr>
      <w:tr w14:paraId="0687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1835A211">
            <w:pPr>
              <w:spacing w:line="276"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7.</w:t>
            </w:r>
            <w:r>
              <w:rPr>
                <w:rFonts w:hint="eastAsia" w:ascii="等线" w:hAnsi="等线" w:eastAsia="等线" w:cs="Times New Roman"/>
                <w:kern w:val="0"/>
                <w:sz w:val="21"/>
                <w:szCs w:val="21"/>
              </w:rPr>
              <w:t xml:space="preserve"> </w:t>
            </w:r>
            <w:r>
              <w:rPr>
                <w:rFonts w:hint="eastAsia" w:ascii="宋体" w:hAnsi="宋体" w:eastAsia="等线" w:cs="Times New Roman"/>
                <w:kern w:val="0"/>
                <w:sz w:val="21"/>
                <w:szCs w:val="21"/>
              </w:rPr>
              <w:t>伦理学与教育</w:t>
            </w:r>
          </w:p>
        </w:tc>
        <w:tc>
          <w:tcPr>
            <w:tcW w:w="1698" w:type="dxa"/>
            <w:gridSpan w:val="2"/>
            <w:vAlign w:val="center"/>
          </w:tcPr>
          <w:p w14:paraId="5E160C46">
            <w:pPr>
              <w:spacing w:line="276" w:lineRule="auto"/>
              <w:jc w:val="left"/>
              <w:rPr>
                <w:rFonts w:hint="eastAsia" w:ascii="宋体" w:hAnsi="宋体" w:eastAsia="等线" w:cs="Times New Roman"/>
                <w:kern w:val="0"/>
                <w:sz w:val="21"/>
                <w:szCs w:val="21"/>
              </w:rPr>
            </w:pPr>
            <w:r>
              <w:rPr>
                <w:rFonts w:hint="eastAsia" w:ascii="宋体" w:hAnsi="宋体" w:eastAsia="等线" w:cs="Times New Roman"/>
                <w:kern w:val="0"/>
                <w:sz w:val="21"/>
                <w:szCs w:val="21"/>
              </w:rPr>
              <w:t>（1）伦理学概述</w:t>
            </w:r>
          </w:p>
          <w:p w14:paraId="74196ECA">
            <w:pPr>
              <w:spacing w:line="276" w:lineRule="auto"/>
              <w:jc w:val="left"/>
              <w:rPr>
                <w:rFonts w:hint="eastAsia" w:ascii="宋体" w:hAnsi="宋体" w:eastAsia="等线" w:cs="Times New Roman"/>
                <w:kern w:val="0"/>
                <w:sz w:val="21"/>
                <w:szCs w:val="21"/>
              </w:rPr>
            </w:pPr>
            <w:r>
              <w:rPr>
                <w:rFonts w:hint="eastAsia" w:ascii="宋体" w:hAnsi="宋体" w:eastAsia="等线" w:cs="Times New Roman"/>
                <w:kern w:val="0"/>
                <w:sz w:val="21"/>
                <w:szCs w:val="21"/>
              </w:rPr>
              <w:t>（2）道德教育的伦理学基础</w:t>
            </w:r>
          </w:p>
          <w:p w14:paraId="48CE0964">
            <w:pPr>
              <w:spacing w:line="276" w:lineRule="auto"/>
              <w:jc w:val="left"/>
              <w:rPr>
                <w:rFonts w:hint="eastAsia" w:ascii="宋体" w:hAnsi="宋体" w:eastAsia="等线" w:cs="Times New Roman"/>
                <w:kern w:val="0"/>
                <w:sz w:val="21"/>
                <w:szCs w:val="21"/>
              </w:rPr>
            </w:pPr>
            <w:r>
              <w:rPr>
                <w:rFonts w:hint="eastAsia" w:ascii="宋体" w:hAnsi="宋体" w:eastAsia="等线" w:cs="Times New Roman"/>
                <w:kern w:val="0"/>
                <w:sz w:val="21"/>
                <w:szCs w:val="21"/>
              </w:rPr>
              <w:t>（3）教育活动中的伦理问题</w:t>
            </w:r>
          </w:p>
        </w:tc>
        <w:tc>
          <w:tcPr>
            <w:tcW w:w="1132" w:type="dxa"/>
            <w:gridSpan w:val="2"/>
            <w:vAlign w:val="center"/>
          </w:tcPr>
          <w:p w14:paraId="45A73E01">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课程目标1、2、3</w:t>
            </w:r>
          </w:p>
        </w:tc>
        <w:tc>
          <w:tcPr>
            <w:tcW w:w="3050" w:type="dxa"/>
            <w:vAlign w:val="center"/>
          </w:tcPr>
          <w:p w14:paraId="35B79FEB">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（1）了解中国传统的伦理学、西方伦理学的主要流派，重点学习和掌握马克思主义伦理学；</w:t>
            </w:r>
          </w:p>
          <w:p w14:paraId="74089306">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（2）理解道德教育的伦理学基础，包括德性伦理学、功利主义伦理学、义务论伦理学、元伦理学；</w:t>
            </w:r>
          </w:p>
          <w:p w14:paraId="7747BD62">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（3）能够结合实际分析教育活动中的伦理问题。</w:t>
            </w:r>
          </w:p>
        </w:tc>
        <w:tc>
          <w:tcPr>
            <w:tcW w:w="1701" w:type="dxa"/>
            <w:gridSpan w:val="2"/>
            <w:vAlign w:val="center"/>
          </w:tcPr>
          <w:p w14:paraId="1D6E52FC">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1.</w:t>
            </w:r>
            <w:r>
              <w:rPr>
                <w:rFonts w:hint="eastAsia" w:ascii="宋体" w:hAnsi="宋体" w:eastAsia="等线" w:cs="Times New Roman"/>
                <w:color w:val="000000"/>
                <w:kern w:val="0"/>
                <w:sz w:val="21"/>
                <w:szCs w:val="21"/>
              </w:rPr>
              <w:t>自主</w:t>
            </w:r>
            <w:r>
              <w:rPr>
                <w:rFonts w:ascii="宋体" w:hAnsi="宋体" w:eastAsia="等线" w:cs="Times New Roman"/>
                <w:color w:val="000000"/>
                <w:kern w:val="0"/>
                <w:sz w:val="21"/>
                <w:szCs w:val="21"/>
              </w:rPr>
              <w:t>学习</w:t>
            </w:r>
          </w:p>
          <w:p w14:paraId="4C19D303">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3AF1312F">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p>
          <w:p w14:paraId="1C917263">
            <w:pPr>
              <w:spacing w:line="276"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4.</w:t>
            </w:r>
            <w:r>
              <w:rPr>
                <w:rFonts w:hint="eastAsia" w:ascii="宋体" w:hAnsi="宋体" w:eastAsia="等线" w:cs="Times New Roman"/>
                <w:color w:val="000000"/>
                <w:kern w:val="0"/>
                <w:sz w:val="21"/>
                <w:szCs w:val="21"/>
              </w:rPr>
              <w:t>小组合作与汇报</w:t>
            </w:r>
          </w:p>
        </w:tc>
        <w:tc>
          <w:tcPr>
            <w:tcW w:w="514" w:type="dxa"/>
            <w:gridSpan w:val="2"/>
            <w:vAlign w:val="center"/>
          </w:tcPr>
          <w:p w14:paraId="4928997B">
            <w:pPr>
              <w:spacing w:line="276"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w:t>
            </w:r>
          </w:p>
        </w:tc>
      </w:tr>
      <w:tr w14:paraId="5A43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885B388">
            <w:pPr>
              <w:spacing w:line="276" w:lineRule="auto"/>
              <w:jc w:val="center"/>
              <w:rPr>
                <w:rFonts w:hint="eastAsia" w:ascii="宋体" w:hAnsi="宋体" w:eastAsia="等线" w:cs="Times New Roman"/>
                <w:color w:val="000000"/>
                <w:kern w:val="0"/>
                <w:sz w:val="21"/>
                <w:szCs w:val="21"/>
              </w:rPr>
            </w:pPr>
          </w:p>
        </w:tc>
        <w:tc>
          <w:tcPr>
            <w:tcW w:w="8095" w:type="dxa"/>
            <w:gridSpan w:val="9"/>
            <w:vAlign w:val="center"/>
          </w:tcPr>
          <w:p w14:paraId="08CB9461">
            <w:pPr>
              <w:spacing w:line="276"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引导师范生对教育活动进行全面的伦理审视，保障教师专业操守，提升教育专业自信。</w:t>
            </w:r>
          </w:p>
        </w:tc>
      </w:tr>
      <w:tr w14:paraId="1212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04DF3751">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8.</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美学与教育</w:t>
            </w:r>
          </w:p>
        </w:tc>
        <w:tc>
          <w:tcPr>
            <w:tcW w:w="1698" w:type="dxa"/>
            <w:gridSpan w:val="2"/>
            <w:vAlign w:val="center"/>
          </w:tcPr>
          <w:p w14:paraId="41F6ABBA">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（1）美学概述</w:t>
            </w:r>
          </w:p>
          <w:p w14:paraId="7DFE9DAA">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（2）美育的美学基础</w:t>
            </w:r>
          </w:p>
          <w:p w14:paraId="0C4D7572">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（3）美育与人的创造性培养</w:t>
            </w:r>
          </w:p>
        </w:tc>
        <w:tc>
          <w:tcPr>
            <w:tcW w:w="1132" w:type="dxa"/>
            <w:gridSpan w:val="2"/>
            <w:vAlign w:val="center"/>
          </w:tcPr>
          <w:p w14:paraId="3C7627E7">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课程目标1、3</w:t>
            </w:r>
          </w:p>
        </w:tc>
        <w:tc>
          <w:tcPr>
            <w:tcW w:w="3050" w:type="dxa"/>
            <w:vAlign w:val="center"/>
          </w:tcPr>
          <w:p w14:paraId="1103DEE4">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（1）了解中国传统的美学思想、西方主要的美学思想以及马克思主义的美学思想，理解美的多样性以及美学理论的丰富性；</w:t>
            </w:r>
          </w:p>
          <w:p w14:paraId="48301C26">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（2）理解美育的美学基础，包括美的需要与美育的必要性、美的特性与美育的特性以及美与美育的多样性等；</w:t>
            </w:r>
          </w:p>
          <w:p w14:paraId="77235A09">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（3）理解审美素养与人的创造性之间的内在关联，学会用美的眼光来审视教育实践活动</w:t>
            </w:r>
            <w:r>
              <w:rPr>
                <w:rFonts w:ascii="宋体" w:hAnsi="宋体" w:eastAsia="等线" w:cs="Times New Roman"/>
                <w:color w:val="000000"/>
                <w:kern w:val="0"/>
                <w:sz w:val="21"/>
                <w:szCs w:val="21"/>
              </w:rPr>
              <w:t>。</w:t>
            </w:r>
          </w:p>
        </w:tc>
        <w:tc>
          <w:tcPr>
            <w:tcW w:w="1701" w:type="dxa"/>
            <w:gridSpan w:val="2"/>
            <w:vAlign w:val="center"/>
          </w:tcPr>
          <w:p w14:paraId="79EC8379">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1.</w:t>
            </w:r>
            <w:bookmarkStart w:id="1051" w:name="OLE_LINK7"/>
            <w:r>
              <w:rPr>
                <w:rFonts w:hint="eastAsia" w:ascii="宋体" w:hAnsi="宋体" w:eastAsia="等线" w:cs="Times New Roman"/>
                <w:color w:val="000000"/>
                <w:kern w:val="0"/>
                <w:sz w:val="21"/>
                <w:szCs w:val="21"/>
              </w:rPr>
              <w:t>自主</w:t>
            </w:r>
            <w:bookmarkEnd w:id="1051"/>
            <w:r>
              <w:rPr>
                <w:rFonts w:ascii="宋体" w:hAnsi="宋体" w:eastAsia="等线" w:cs="Times New Roman"/>
                <w:color w:val="000000"/>
                <w:kern w:val="0"/>
                <w:sz w:val="21"/>
                <w:szCs w:val="21"/>
              </w:rPr>
              <w:t>学习</w:t>
            </w:r>
          </w:p>
          <w:p w14:paraId="540003C9">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7634E62C">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p>
        </w:tc>
        <w:tc>
          <w:tcPr>
            <w:tcW w:w="514" w:type="dxa"/>
            <w:gridSpan w:val="2"/>
            <w:vAlign w:val="center"/>
          </w:tcPr>
          <w:p w14:paraId="32F7312B">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w:t>
            </w:r>
          </w:p>
        </w:tc>
      </w:tr>
      <w:tr w14:paraId="387C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01AF245">
            <w:pPr>
              <w:spacing w:line="264" w:lineRule="auto"/>
              <w:jc w:val="center"/>
              <w:rPr>
                <w:rFonts w:hint="eastAsia" w:ascii="宋体" w:hAnsi="宋体" w:eastAsia="等线" w:cs="Times New Roman"/>
                <w:color w:val="000000"/>
                <w:kern w:val="0"/>
                <w:sz w:val="21"/>
                <w:szCs w:val="21"/>
              </w:rPr>
            </w:pPr>
          </w:p>
        </w:tc>
        <w:tc>
          <w:tcPr>
            <w:tcW w:w="8095" w:type="dxa"/>
            <w:gridSpan w:val="9"/>
            <w:vAlign w:val="center"/>
          </w:tcPr>
          <w:p w14:paraId="4259CB2E">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通过对美的沉思以及美育问题的讨论，提升师范生的审美素养与创造力，同时传播中国美学精神，从而促进师范生的全面发展和健全人格的养成。</w:t>
            </w:r>
          </w:p>
        </w:tc>
      </w:tr>
      <w:tr w14:paraId="5113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9870999">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9.</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社会哲学与教育</w:t>
            </w:r>
          </w:p>
        </w:tc>
        <w:tc>
          <w:tcPr>
            <w:tcW w:w="1698" w:type="dxa"/>
            <w:gridSpan w:val="2"/>
            <w:vAlign w:val="center"/>
          </w:tcPr>
          <w:p w14:paraId="275F0172">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（1）社会哲学概述</w:t>
            </w:r>
          </w:p>
          <w:p w14:paraId="7E6DF7A7">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（2）良好的社会秩序与教育</w:t>
            </w:r>
          </w:p>
          <w:p w14:paraId="67779E12">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（3）公民意识与公民教育</w:t>
            </w:r>
          </w:p>
        </w:tc>
        <w:tc>
          <w:tcPr>
            <w:tcW w:w="1132" w:type="dxa"/>
            <w:gridSpan w:val="2"/>
            <w:vAlign w:val="center"/>
          </w:tcPr>
          <w:p w14:paraId="48793618">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课程目标1、3、4</w:t>
            </w:r>
          </w:p>
        </w:tc>
        <w:tc>
          <w:tcPr>
            <w:tcW w:w="3050" w:type="dxa"/>
            <w:vAlign w:val="center"/>
          </w:tcPr>
          <w:p w14:paraId="4C09EAAB">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（1）继承和弘扬中国传统的社会哲学思想，在了解和借鉴西方社会哲学思想的基础上，确立马克思主义的历史唯物主义社会哲学思想；</w:t>
            </w:r>
          </w:p>
          <w:p w14:paraId="5049BBA4">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（2）辩证理解个人自由与社会秩序的关系，以及我国良好社会秩序建设的思想基础和价值追求，自觉而有效地开展促进良好社会秩序的教育；</w:t>
            </w:r>
          </w:p>
          <w:p w14:paraId="69C2D373">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（3）立足于我国建设民主法治的社会主义国家，开展社会主义公民教育，培养社会主义的合格公民，成为社会主义的建设者和接班人。</w:t>
            </w:r>
          </w:p>
        </w:tc>
        <w:tc>
          <w:tcPr>
            <w:tcW w:w="1701" w:type="dxa"/>
            <w:gridSpan w:val="2"/>
            <w:vAlign w:val="center"/>
          </w:tcPr>
          <w:p w14:paraId="51FB3F67">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1.</w:t>
            </w:r>
            <w:r>
              <w:rPr>
                <w:rFonts w:hint="eastAsia" w:ascii="宋体" w:hAnsi="宋体" w:eastAsia="等线" w:cs="Times New Roman"/>
                <w:color w:val="000000"/>
                <w:kern w:val="0"/>
                <w:sz w:val="21"/>
                <w:szCs w:val="21"/>
              </w:rPr>
              <w:t>自主</w:t>
            </w:r>
            <w:r>
              <w:rPr>
                <w:rFonts w:ascii="宋体" w:hAnsi="宋体" w:eastAsia="等线" w:cs="Times New Roman"/>
                <w:color w:val="000000"/>
                <w:kern w:val="0"/>
                <w:sz w:val="21"/>
                <w:szCs w:val="21"/>
              </w:rPr>
              <w:t>学习</w:t>
            </w:r>
          </w:p>
          <w:p w14:paraId="1C973C6B">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01654206">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p>
        </w:tc>
        <w:tc>
          <w:tcPr>
            <w:tcW w:w="514" w:type="dxa"/>
            <w:gridSpan w:val="2"/>
            <w:vAlign w:val="center"/>
          </w:tcPr>
          <w:p w14:paraId="214B8040">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w:t>
            </w:r>
          </w:p>
        </w:tc>
      </w:tr>
      <w:tr w14:paraId="7FAA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63610B71">
            <w:pPr>
              <w:spacing w:line="264" w:lineRule="auto"/>
              <w:jc w:val="center"/>
              <w:rPr>
                <w:rFonts w:hint="eastAsia" w:ascii="宋体" w:hAnsi="宋体" w:eastAsia="等线" w:cs="Times New Roman"/>
                <w:color w:val="000000"/>
                <w:kern w:val="0"/>
                <w:sz w:val="21"/>
                <w:szCs w:val="21"/>
              </w:rPr>
            </w:pPr>
          </w:p>
        </w:tc>
        <w:tc>
          <w:tcPr>
            <w:tcW w:w="8095" w:type="dxa"/>
            <w:gridSpan w:val="9"/>
            <w:vAlign w:val="center"/>
          </w:tcPr>
          <w:p w14:paraId="2A9C2728">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使师范生在继承和弘扬中国传统的社会哲学思想，在了解和借鉴西方社会哲学思想的基础上，确立马克思主义的历史唯物主义社会哲学思想；理解我国良好社会秩序建设的思想基础和价值追求，自觉而有效地开展促进良好社会秩序的教育，培养社会主义的合格公民，成为社会主义的建设者和接班人。</w:t>
            </w:r>
          </w:p>
        </w:tc>
      </w:tr>
      <w:tr w14:paraId="56B0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1FEDD6DA">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10.</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文化哲学与教育</w:t>
            </w:r>
          </w:p>
        </w:tc>
        <w:tc>
          <w:tcPr>
            <w:tcW w:w="1698" w:type="dxa"/>
            <w:gridSpan w:val="2"/>
            <w:vAlign w:val="center"/>
          </w:tcPr>
          <w:p w14:paraId="3610B35B">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（1）文化哲学概述</w:t>
            </w:r>
          </w:p>
          <w:p w14:paraId="2A4C432D">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（2）教育的文化基础与责任</w:t>
            </w:r>
          </w:p>
          <w:p w14:paraId="58BE578D">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（3）全球化背景下的文化多样性教育</w:t>
            </w:r>
          </w:p>
        </w:tc>
        <w:tc>
          <w:tcPr>
            <w:tcW w:w="1132" w:type="dxa"/>
            <w:gridSpan w:val="2"/>
            <w:vAlign w:val="center"/>
          </w:tcPr>
          <w:p w14:paraId="3E8B73BE">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课程目标1、2、3</w:t>
            </w:r>
          </w:p>
          <w:p w14:paraId="4C9A8544">
            <w:pPr>
              <w:spacing w:line="264" w:lineRule="auto"/>
              <w:jc w:val="center"/>
              <w:rPr>
                <w:rFonts w:hint="eastAsia" w:ascii="宋体" w:hAnsi="宋体" w:eastAsia="等线" w:cs="Times New Roman"/>
                <w:color w:val="000000"/>
                <w:kern w:val="0"/>
                <w:sz w:val="21"/>
                <w:szCs w:val="21"/>
              </w:rPr>
            </w:pPr>
          </w:p>
        </w:tc>
        <w:tc>
          <w:tcPr>
            <w:tcW w:w="3050" w:type="dxa"/>
            <w:vAlign w:val="center"/>
          </w:tcPr>
          <w:p w14:paraId="00B0434D">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（1）了解中国古代、西方的文化哲学思想，理解马克思主义文化哲学；</w:t>
            </w:r>
          </w:p>
          <w:p w14:paraId="6F30CCE0">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（2）理解教育的文化基础与责任，特别关注如何通过教育促进文化传统的继承与弘扬；</w:t>
            </w:r>
          </w:p>
          <w:p w14:paraId="26BF8C0C">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（3）理解多元文化背景下民族文化认同遭遇的挑战及其教育行动要点；</w:t>
            </w:r>
          </w:p>
          <w:p w14:paraId="7372D49E">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（4）树立文化多样性以及文化交流、文化对话的态度和价值观念。</w:t>
            </w:r>
          </w:p>
        </w:tc>
        <w:tc>
          <w:tcPr>
            <w:tcW w:w="1701" w:type="dxa"/>
            <w:gridSpan w:val="2"/>
            <w:vAlign w:val="center"/>
          </w:tcPr>
          <w:p w14:paraId="04D00076">
            <w:pPr>
              <w:spacing w:line="264" w:lineRule="auto"/>
              <w:jc w:val="left"/>
              <w:rPr>
                <w:rFonts w:hint="eastAsia" w:ascii="宋体" w:hAnsi="宋体" w:eastAsia="等线" w:cs="Times New Roman"/>
                <w:color w:val="000000"/>
                <w:kern w:val="0"/>
                <w:sz w:val="21"/>
                <w:szCs w:val="21"/>
              </w:rPr>
            </w:pPr>
            <w:bookmarkStart w:id="1052" w:name="OLE_LINK6"/>
            <w:r>
              <w:rPr>
                <w:rFonts w:ascii="宋体" w:hAnsi="宋体" w:eastAsia="等线" w:cs="Times New Roman"/>
                <w:color w:val="000000"/>
                <w:kern w:val="0"/>
                <w:sz w:val="21"/>
                <w:szCs w:val="21"/>
              </w:rPr>
              <w:t>1.</w:t>
            </w:r>
            <w:r>
              <w:rPr>
                <w:rFonts w:hint="eastAsia" w:ascii="宋体" w:hAnsi="宋体" w:eastAsia="等线" w:cs="Times New Roman"/>
                <w:color w:val="000000"/>
                <w:kern w:val="0"/>
                <w:sz w:val="21"/>
                <w:szCs w:val="21"/>
              </w:rPr>
              <w:t>自主</w:t>
            </w:r>
            <w:r>
              <w:rPr>
                <w:rFonts w:ascii="宋体" w:hAnsi="宋体" w:eastAsia="等线" w:cs="Times New Roman"/>
                <w:color w:val="000000"/>
                <w:kern w:val="0"/>
                <w:sz w:val="21"/>
                <w:szCs w:val="21"/>
              </w:rPr>
              <w:t>学习</w:t>
            </w:r>
          </w:p>
          <w:p w14:paraId="4CFC47BF">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2.多媒体教学</w:t>
            </w:r>
          </w:p>
          <w:p w14:paraId="32002875">
            <w:pPr>
              <w:spacing w:line="264" w:lineRule="auto"/>
              <w:jc w:val="left"/>
              <w:rPr>
                <w:rFonts w:hint="eastAsia" w:ascii="宋体" w:hAnsi="宋体" w:eastAsia="等线" w:cs="Times New Roman"/>
                <w:color w:val="000000"/>
                <w:kern w:val="0"/>
                <w:sz w:val="21"/>
                <w:szCs w:val="21"/>
              </w:rPr>
            </w:pPr>
            <w:r>
              <w:rPr>
                <w:rFonts w:ascii="宋体" w:hAnsi="宋体" w:eastAsia="等线" w:cs="Times New Roman"/>
                <w:color w:val="000000"/>
                <w:kern w:val="0"/>
                <w:sz w:val="21"/>
                <w:szCs w:val="21"/>
              </w:rPr>
              <w:t>3.课堂讨论</w:t>
            </w:r>
            <w:bookmarkEnd w:id="1052"/>
          </w:p>
        </w:tc>
        <w:tc>
          <w:tcPr>
            <w:tcW w:w="514" w:type="dxa"/>
            <w:gridSpan w:val="2"/>
            <w:vAlign w:val="center"/>
          </w:tcPr>
          <w:p w14:paraId="4C0752AA">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3</w:t>
            </w:r>
          </w:p>
        </w:tc>
      </w:tr>
      <w:tr w14:paraId="0BAF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725E4D4">
            <w:pPr>
              <w:spacing w:line="264" w:lineRule="auto"/>
              <w:jc w:val="center"/>
              <w:rPr>
                <w:rFonts w:hint="eastAsia" w:ascii="宋体" w:hAnsi="宋体" w:eastAsia="等线" w:cs="Times New Roman"/>
                <w:color w:val="000000"/>
                <w:kern w:val="0"/>
                <w:sz w:val="21"/>
                <w:szCs w:val="21"/>
              </w:rPr>
            </w:pPr>
          </w:p>
        </w:tc>
        <w:tc>
          <w:tcPr>
            <w:tcW w:w="8095" w:type="dxa"/>
            <w:gridSpan w:val="9"/>
            <w:vAlign w:val="center"/>
          </w:tcPr>
          <w:p w14:paraId="79643F06">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传承和弘扬中国优秀文化传统，培养具有传统文化素养的人，通过教育变革培养青年一代的文化自信和文化自觉，为中华民族文化保留优秀的基因，培育新的文化生命力。</w:t>
            </w:r>
          </w:p>
        </w:tc>
      </w:tr>
      <w:tr w14:paraId="50C4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03" w:type="dxa"/>
            <w:vMerge w:val="restart"/>
            <w:vAlign w:val="center"/>
          </w:tcPr>
          <w:p w14:paraId="4580DB69">
            <w:pPr>
              <w:spacing w:line="264" w:lineRule="auto"/>
              <w:jc w:val="center"/>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11.</w:t>
            </w:r>
            <w:r>
              <w:rPr>
                <w:rFonts w:hint="eastAsia" w:ascii="等线" w:hAnsi="等线" w:eastAsia="等线" w:cs="Times New Roman"/>
                <w:kern w:val="0"/>
                <w:sz w:val="21"/>
                <w:szCs w:val="21"/>
              </w:rPr>
              <w:t xml:space="preserve"> </w:t>
            </w:r>
            <w:r>
              <w:rPr>
                <w:rFonts w:hint="eastAsia" w:ascii="宋体" w:hAnsi="宋体" w:eastAsia="等线" w:cs="Times New Roman"/>
                <w:color w:val="000000"/>
                <w:kern w:val="0"/>
                <w:sz w:val="21"/>
                <w:szCs w:val="21"/>
              </w:rPr>
              <w:t>教育哲学与教师发展</w:t>
            </w:r>
          </w:p>
        </w:tc>
        <w:tc>
          <w:tcPr>
            <w:tcW w:w="1619" w:type="dxa"/>
            <w:vAlign w:val="center"/>
          </w:tcPr>
          <w:p w14:paraId="59326746">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（1）卓越教师的教育哲学</w:t>
            </w:r>
          </w:p>
          <w:p w14:paraId="3979CB18">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color w:val="000000"/>
                <w:kern w:val="0"/>
                <w:sz w:val="21"/>
                <w:szCs w:val="21"/>
              </w:rPr>
              <w:t>（2）教育哲学与教师专业发展</w:t>
            </w:r>
          </w:p>
          <w:p w14:paraId="223651EB">
            <w:pPr>
              <w:spacing w:line="264" w:lineRule="auto"/>
              <w:jc w:val="left"/>
              <w:rPr>
                <w:rFonts w:hint="eastAsia" w:ascii="宋体" w:hAnsi="宋体" w:eastAsia="等线" w:cs="Times New Roman"/>
                <w:b/>
                <w:color w:val="000000"/>
                <w:kern w:val="0"/>
                <w:sz w:val="21"/>
                <w:szCs w:val="21"/>
              </w:rPr>
            </w:pPr>
            <w:r>
              <w:rPr>
                <w:rFonts w:hint="eastAsia" w:ascii="宋体" w:hAnsi="宋体" w:eastAsia="等线" w:cs="Times New Roman"/>
                <w:color w:val="000000"/>
                <w:kern w:val="0"/>
                <w:sz w:val="21"/>
                <w:szCs w:val="21"/>
              </w:rPr>
              <w:t>（3）建构教师个人教育哲学</w:t>
            </w:r>
          </w:p>
        </w:tc>
        <w:tc>
          <w:tcPr>
            <w:tcW w:w="1142" w:type="dxa"/>
            <w:gridSpan w:val="2"/>
            <w:vAlign w:val="center"/>
          </w:tcPr>
          <w:p w14:paraId="69ED77B9">
            <w:pPr>
              <w:spacing w:line="264" w:lineRule="auto"/>
              <w:jc w:val="left"/>
              <w:rPr>
                <w:rFonts w:hint="eastAsia" w:ascii="宋体" w:hAnsi="宋体" w:eastAsia="等线" w:cs="Times New Roman"/>
                <w:bCs/>
                <w:color w:val="000000"/>
                <w:kern w:val="0"/>
                <w:sz w:val="21"/>
                <w:szCs w:val="21"/>
              </w:rPr>
            </w:pPr>
            <w:r>
              <w:rPr>
                <w:rFonts w:hint="eastAsia" w:ascii="宋体" w:hAnsi="宋体" w:eastAsia="等线" w:cs="Times New Roman"/>
                <w:bCs/>
                <w:color w:val="000000"/>
                <w:kern w:val="0"/>
                <w:sz w:val="21"/>
                <w:szCs w:val="21"/>
              </w:rPr>
              <w:t>课程目标2、3、4</w:t>
            </w:r>
          </w:p>
        </w:tc>
        <w:tc>
          <w:tcPr>
            <w:tcW w:w="3261" w:type="dxa"/>
            <w:gridSpan w:val="3"/>
            <w:vAlign w:val="center"/>
          </w:tcPr>
          <w:p w14:paraId="289B7298">
            <w:pPr>
              <w:spacing w:line="264" w:lineRule="auto"/>
              <w:jc w:val="left"/>
              <w:rPr>
                <w:rFonts w:hint="eastAsia" w:ascii="宋体" w:hAnsi="宋体" w:eastAsia="等线" w:cs="Times New Roman"/>
                <w:color w:val="000000"/>
                <w:kern w:val="0"/>
                <w:sz w:val="21"/>
                <w:szCs w:val="21"/>
              </w:rPr>
            </w:pPr>
            <w:r>
              <w:rPr>
                <w:rFonts w:hint="eastAsia" w:ascii="宋体" w:hAnsi="宋体" w:eastAsia="等线" w:cs="Times New Roman"/>
                <w:bCs/>
                <w:color w:val="000000"/>
                <w:kern w:val="0"/>
                <w:sz w:val="21"/>
                <w:szCs w:val="21"/>
              </w:rPr>
              <w:t>（</w:t>
            </w:r>
            <w:r>
              <w:rPr>
                <w:rFonts w:hint="eastAsia" w:ascii="宋体" w:hAnsi="宋体" w:eastAsia="等线" w:cs="Times New Roman"/>
                <w:color w:val="000000"/>
                <w:kern w:val="0"/>
                <w:sz w:val="21"/>
                <w:szCs w:val="21"/>
              </w:rPr>
              <w:t>1）理解教育哲学作为一种实践哲学，只有与教育实践的主体（教师）相结合，才能发挥实践作用；</w:t>
            </w:r>
          </w:p>
          <w:p w14:paraId="364B1993">
            <w:pPr>
              <w:spacing w:line="264" w:lineRule="auto"/>
              <w:jc w:val="left"/>
              <w:rPr>
                <w:rFonts w:hint="eastAsia" w:ascii="宋体" w:hAnsi="宋体" w:eastAsia="等线" w:cs="Times New Roman"/>
                <w:b/>
                <w:color w:val="000000"/>
                <w:kern w:val="0"/>
                <w:sz w:val="21"/>
                <w:szCs w:val="21"/>
              </w:rPr>
            </w:pPr>
            <w:r>
              <w:rPr>
                <w:rFonts w:hint="eastAsia" w:ascii="宋体" w:hAnsi="宋体" w:eastAsia="等线" w:cs="Times New Roman"/>
                <w:color w:val="000000"/>
                <w:kern w:val="0"/>
                <w:sz w:val="21"/>
                <w:szCs w:val="21"/>
              </w:rPr>
              <w:t>（2）理解教师成长与哲学之思的内在联系，理解教育哲学的实践意义在于让教师拥有反思实践的理论态度；</w:t>
            </w:r>
          </w:p>
        </w:tc>
        <w:tc>
          <w:tcPr>
            <w:tcW w:w="1701" w:type="dxa"/>
            <w:gridSpan w:val="2"/>
            <w:vAlign w:val="center"/>
          </w:tcPr>
          <w:p w14:paraId="69BC4AD0">
            <w:pPr>
              <w:spacing w:line="264" w:lineRule="auto"/>
              <w:jc w:val="left"/>
              <w:rPr>
                <w:rFonts w:hint="eastAsia" w:ascii="宋体" w:hAnsi="宋体" w:eastAsia="等线" w:cs="Times New Roman"/>
                <w:bCs/>
                <w:color w:val="000000"/>
                <w:kern w:val="0"/>
                <w:sz w:val="21"/>
                <w:szCs w:val="21"/>
              </w:rPr>
            </w:pPr>
            <w:r>
              <w:rPr>
                <w:rFonts w:hint="eastAsia" w:ascii="宋体" w:hAnsi="宋体" w:eastAsia="等线" w:cs="Times New Roman"/>
                <w:bCs/>
                <w:color w:val="000000"/>
                <w:kern w:val="0"/>
                <w:sz w:val="21"/>
                <w:szCs w:val="21"/>
              </w:rPr>
              <w:t>1.自主学习</w:t>
            </w:r>
          </w:p>
          <w:p w14:paraId="7B4BE0CC">
            <w:pPr>
              <w:spacing w:line="264" w:lineRule="auto"/>
              <w:jc w:val="left"/>
              <w:rPr>
                <w:rFonts w:hint="eastAsia" w:ascii="宋体" w:hAnsi="宋体" w:eastAsia="等线" w:cs="Times New Roman"/>
                <w:bCs/>
                <w:color w:val="000000"/>
                <w:kern w:val="0"/>
                <w:sz w:val="21"/>
                <w:szCs w:val="21"/>
              </w:rPr>
            </w:pPr>
            <w:r>
              <w:rPr>
                <w:rFonts w:hint="eastAsia" w:ascii="宋体" w:hAnsi="宋体" w:eastAsia="等线" w:cs="Times New Roman"/>
                <w:bCs/>
                <w:color w:val="000000"/>
                <w:kern w:val="0"/>
                <w:sz w:val="21"/>
                <w:szCs w:val="21"/>
              </w:rPr>
              <w:t>2.多媒体教学</w:t>
            </w:r>
          </w:p>
          <w:p w14:paraId="3B653E76">
            <w:pPr>
              <w:spacing w:line="264" w:lineRule="auto"/>
              <w:jc w:val="left"/>
              <w:rPr>
                <w:rFonts w:hint="eastAsia" w:ascii="宋体" w:hAnsi="宋体" w:eastAsia="等线" w:cs="Times New Roman"/>
                <w:bCs/>
                <w:color w:val="000000"/>
                <w:kern w:val="0"/>
                <w:sz w:val="21"/>
                <w:szCs w:val="21"/>
              </w:rPr>
            </w:pPr>
            <w:r>
              <w:rPr>
                <w:rFonts w:hint="eastAsia" w:ascii="宋体" w:hAnsi="宋体" w:eastAsia="等线" w:cs="Times New Roman"/>
                <w:bCs/>
                <w:color w:val="000000"/>
                <w:kern w:val="0"/>
                <w:sz w:val="21"/>
                <w:szCs w:val="21"/>
              </w:rPr>
              <w:t>3.课堂讨论</w:t>
            </w:r>
          </w:p>
          <w:p w14:paraId="06DCD49A">
            <w:pPr>
              <w:spacing w:line="264" w:lineRule="auto"/>
              <w:jc w:val="left"/>
              <w:rPr>
                <w:rFonts w:hint="eastAsia" w:ascii="宋体" w:hAnsi="宋体" w:eastAsia="等线" w:cs="Times New Roman"/>
                <w:b/>
                <w:color w:val="000000"/>
                <w:kern w:val="0"/>
                <w:sz w:val="21"/>
                <w:szCs w:val="21"/>
              </w:rPr>
            </w:pPr>
            <w:r>
              <w:rPr>
                <w:rFonts w:hint="eastAsia" w:ascii="宋体" w:hAnsi="宋体" w:eastAsia="等线" w:cs="Times New Roman"/>
                <w:bCs/>
                <w:color w:val="000000"/>
                <w:kern w:val="0"/>
                <w:sz w:val="21"/>
                <w:szCs w:val="21"/>
              </w:rPr>
              <w:t>4.小组合作</w:t>
            </w:r>
          </w:p>
        </w:tc>
        <w:tc>
          <w:tcPr>
            <w:tcW w:w="372" w:type="dxa"/>
            <w:vAlign w:val="center"/>
          </w:tcPr>
          <w:p w14:paraId="45E36331">
            <w:pPr>
              <w:spacing w:line="264" w:lineRule="auto"/>
              <w:jc w:val="left"/>
              <w:rPr>
                <w:rFonts w:hint="eastAsia" w:ascii="宋体" w:hAnsi="宋体" w:eastAsia="等线" w:cs="Times New Roman"/>
                <w:b/>
                <w:color w:val="000000"/>
                <w:kern w:val="0"/>
                <w:szCs w:val="21"/>
              </w:rPr>
            </w:pPr>
            <w:r>
              <w:rPr>
                <w:rFonts w:hint="eastAsia" w:ascii="宋体" w:hAnsi="宋体" w:eastAsia="等线" w:cs="Times New Roman"/>
                <w:b/>
                <w:color w:val="000000"/>
                <w:kern w:val="0"/>
                <w:szCs w:val="21"/>
              </w:rPr>
              <w:t>4</w:t>
            </w:r>
          </w:p>
        </w:tc>
      </w:tr>
      <w:tr w14:paraId="3371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203" w:type="dxa"/>
            <w:vMerge w:val="continue"/>
            <w:vAlign w:val="center"/>
          </w:tcPr>
          <w:p w14:paraId="6C87C2ED">
            <w:pPr>
              <w:spacing w:line="264" w:lineRule="auto"/>
              <w:jc w:val="center"/>
              <w:rPr>
                <w:rFonts w:hint="eastAsia" w:ascii="宋体" w:hAnsi="宋体" w:eastAsia="等线" w:cs="Times New Roman"/>
                <w:color w:val="000000"/>
                <w:kern w:val="0"/>
                <w:sz w:val="21"/>
                <w:szCs w:val="21"/>
              </w:rPr>
            </w:pPr>
          </w:p>
        </w:tc>
        <w:tc>
          <w:tcPr>
            <w:tcW w:w="7723" w:type="dxa"/>
            <w:gridSpan w:val="8"/>
            <w:vAlign w:val="center"/>
          </w:tcPr>
          <w:p w14:paraId="1EC727C5">
            <w:pPr>
              <w:spacing w:line="264" w:lineRule="auto"/>
              <w:jc w:val="left"/>
              <w:rPr>
                <w:rFonts w:hint="eastAsia" w:ascii="宋体" w:hAnsi="宋体" w:eastAsia="等线" w:cs="Times New Roman"/>
                <w:b/>
                <w:color w:val="000000"/>
                <w:kern w:val="0"/>
                <w:sz w:val="21"/>
                <w:szCs w:val="21"/>
              </w:rPr>
            </w:pPr>
            <w:r>
              <w:rPr>
                <w:rFonts w:hint="eastAsia" w:ascii="宋体" w:hAnsi="宋体" w:eastAsia="等线" w:cs="Times New Roman"/>
                <w:b/>
                <w:color w:val="000000"/>
                <w:kern w:val="0"/>
                <w:sz w:val="21"/>
                <w:szCs w:val="21"/>
              </w:rPr>
              <w:t>课程思政目标：</w:t>
            </w:r>
            <w:r>
              <w:rPr>
                <w:rFonts w:hint="eastAsia" w:ascii="宋体" w:hAnsi="宋体" w:eastAsia="等线" w:cs="Times New Roman"/>
                <w:color w:val="000000"/>
                <w:kern w:val="0"/>
                <w:sz w:val="21"/>
                <w:szCs w:val="21"/>
              </w:rPr>
              <w:t>指导师范生学会以哲学方式思考教师的境遇与相关问题，拥有反思实践的能力（哲学态度）。增强其对专业的热爱和坚持，从而深刻认识教师所承担的国家使命、社会期待和民族重托，立志成为“四有”好老师。</w:t>
            </w:r>
          </w:p>
        </w:tc>
        <w:tc>
          <w:tcPr>
            <w:tcW w:w="372" w:type="dxa"/>
            <w:vAlign w:val="center"/>
          </w:tcPr>
          <w:p w14:paraId="42EC64CD">
            <w:pPr>
              <w:spacing w:line="264" w:lineRule="auto"/>
              <w:jc w:val="left"/>
              <w:rPr>
                <w:rFonts w:hint="eastAsia" w:ascii="宋体" w:hAnsi="宋体" w:eastAsia="等线" w:cs="Times New Roman"/>
                <w:b/>
                <w:color w:val="000000"/>
                <w:kern w:val="0"/>
                <w:szCs w:val="21"/>
              </w:rPr>
            </w:pPr>
          </w:p>
        </w:tc>
      </w:tr>
    </w:tbl>
    <w:p w14:paraId="072FEFAE">
      <w:pPr>
        <w:spacing w:line="360" w:lineRule="auto"/>
        <w:jc w:val="left"/>
        <w:rPr>
          <w:rFonts w:ascii="Times New Roman" w:hAnsi="Times New Roman" w:eastAsia="等线" w:cs="Times New Roman"/>
          <w:szCs w:val="22"/>
        </w:rPr>
      </w:pPr>
    </w:p>
    <w:p w14:paraId="256697FC">
      <w:pPr>
        <w:adjustRightInd w:val="0"/>
        <w:snapToGrid w:val="0"/>
        <w:spacing w:line="360" w:lineRule="auto"/>
        <w:ind w:firstLine="420" w:firstLineChars="200"/>
        <w:rPr>
          <w:rFonts w:hint="eastAsia" w:ascii="宋体" w:hAnsi="宋体" w:eastAsia="等线" w:cs="Times New Roman"/>
          <w:szCs w:val="22"/>
        </w:rPr>
      </w:pPr>
    </w:p>
    <w:p w14:paraId="0A1F5D34">
      <w:pPr>
        <w:widowControl/>
        <w:jc w:val="left"/>
        <w:rPr>
          <w:rFonts w:hint="eastAsia" w:ascii="宋体" w:hAnsi="宋体" w:eastAsia="等线" w:cs="Times New Roman"/>
          <w:szCs w:val="22"/>
        </w:rPr>
      </w:pPr>
      <w:r>
        <w:rPr>
          <w:rFonts w:ascii="宋体" w:hAnsi="宋体" w:eastAsia="等线" w:cs="Times New Roman"/>
          <w:szCs w:val="22"/>
        </w:rPr>
        <w:br w:type="page"/>
      </w:r>
    </w:p>
    <w:p w14:paraId="23519932">
      <w:pPr>
        <w:spacing w:line="360" w:lineRule="auto"/>
        <w:jc w:val="left"/>
        <w:outlineLvl w:val="0"/>
        <w:rPr>
          <w:rFonts w:ascii="Times New Roman" w:hAnsi="Times New Roman" w:eastAsia="等线" w:cs="Times New Roman"/>
          <w:szCs w:val="22"/>
        </w:rPr>
      </w:pPr>
      <w:bookmarkStart w:id="1053" w:name="_Toc22557"/>
      <w:bookmarkStart w:id="1054" w:name="_Toc22629"/>
      <w:bookmarkStart w:id="1055" w:name="_Toc22145"/>
      <w:bookmarkStart w:id="1056" w:name="_Toc3384"/>
      <w:bookmarkStart w:id="1057" w:name="_Toc31182"/>
      <w:bookmarkStart w:id="1058" w:name="_Toc29089"/>
      <w:r>
        <w:rPr>
          <w:rFonts w:hint="eastAsia" w:ascii="宋体" w:hAnsi="宋体" w:eastAsia="等线" w:cs="Times New Roman"/>
          <w:b/>
          <w:color w:val="000000"/>
          <w:szCs w:val="22"/>
        </w:rPr>
        <w:t>四、目标评价与成绩评定</w:t>
      </w:r>
      <w:bookmarkEnd w:id="1053"/>
      <w:bookmarkEnd w:id="1054"/>
      <w:bookmarkEnd w:id="1055"/>
      <w:bookmarkEnd w:id="1056"/>
      <w:bookmarkEnd w:id="1057"/>
      <w:bookmarkEnd w:id="1058"/>
    </w:p>
    <w:p w14:paraId="0C37BD1D">
      <w:pPr>
        <w:spacing w:line="360" w:lineRule="auto"/>
        <w:jc w:val="left"/>
        <w:outlineLvl w:val="1"/>
        <w:rPr>
          <w:rFonts w:ascii="Times New Roman" w:hAnsi="Times New Roman" w:eastAsia="等线" w:cs="Times New Roman"/>
          <w:b/>
          <w:sz w:val="21"/>
          <w:szCs w:val="21"/>
        </w:rPr>
      </w:pPr>
      <w:bookmarkStart w:id="1059" w:name="_Toc18271"/>
      <w:r>
        <w:rPr>
          <w:rFonts w:hint="eastAsia" w:ascii="Times New Roman" w:hAnsi="Times New Roman" w:eastAsia="等线" w:cs="Times New Roman"/>
          <w:b/>
          <w:sz w:val="21"/>
          <w:szCs w:val="21"/>
        </w:rPr>
        <w:t>（一）课程目标评价方式</w:t>
      </w:r>
      <w:bookmarkEnd w:id="1059"/>
    </w:p>
    <w:p w14:paraId="5CD69DE4">
      <w:pPr>
        <w:spacing w:line="360" w:lineRule="auto"/>
        <w:ind w:firstLine="420" w:firstLineChars="200"/>
        <w:jc w:val="left"/>
        <w:rPr>
          <w:rFonts w:ascii="Times New Roman" w:hAnsi="Times New Roman" w:eastAsia="等线" w:cs="Times New Roman"/>
          <w:sz w:val="21"/>
          <w:szCs w:val="21"/>
        </w:rPr>
      </w:pPr>
      <w:r>
        <w:rPr>
          <w:rFonts w:hint="eastAsia" w:ascii="Times New Roman" w:hAnsi="Times New Roman" w:eastAsia="等线" w:cs="Times New Roman"/>
          <w:sz w:val="21"/>
          <w:szCs w:val="21"/>
        </w:rPr>
        <w:t>根据总体设计，用于评价各课程目标的评价方式如表3</w:t>
      </w:r>
      <w:r>
        <w:rPr>
          <w:rFonts w:ascii="Times New Roman" w:hAnsi="Times New Roman" w:eastAsia="等线" w:cs="Times New Roman"/>
          <w:sz w:val="21"/>
          <w:szCs w:val="21"/>
        </w:rPr>
        <w:t>所示。</w:t>
      </w:r>
    </w:p>
    <w:p w14:paraId="548242F8">
      <w:pPr>
        <w:spacing w:line="360" w:lineRule="auto"/>
        <w:jc w:val="center"/>
        <w:rPr>
          <w:rFonts w:ascii="Times New Roman" w:hAnsi="Times New Roman" w:eastAsia="等线" w:cs="Times New Roman"/>
          <w:b/>
          <w:bCs/>
          <w:sz w:val="21"/>
          <w:szCs w:val="21"/>
        </w:rPr>
      </w:pPr>
      <w:r>
        <w:rPr>
          <w:rFonts w:hint="eastAsia" w:ascii="Times New Roman" w:hAnsi="Times New Roman" w:eastAsia="等线" w:cs="Times New Roman"/>
          <w:b/>
          <w:bCs/>
          <w:sz w:val="21"/>
          <w:szCs w:val="21"/>
        </w:rPr>
        <w:t>表3</w:t>
      </w:r>
      <w:r>
        <w:rPr>
          <w:rFonts w:ascii="Times New Roman" w:hAnsi="Times New Roman" w:eastAsia="等线" w:cs="Times New Roman"/>
          <w:b/>
          <w:bCs/>
          <w:sz w:val="21"/>
          <w:szCs w:val="21"/>
        </w:rPr>
        <w:t>课程教学评价设计总表</w:t>
      </w:r>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686"/>
        <w:gridCol w:w="1056"/>
        <w:gridCol w:w="1440"/>
        <w:gridCol w:w="851"/>
      </w:tblGrid>
      <w:tr w14:paraId="0C5B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C145C5D">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课程目标</w:t>
            </w:r>
          </w:p>
        </w:tc>
        <w:tc>
          <w:tcPr>
            <w:tcW w:w="6294" w:type="dxa"/>
            <w:gridSpan w:val="5"/>
            <w:vAlign w:val="center"/>
          </w:tcPr>
          <w:p w14:paraId="1E3F975C">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评价与成绩评定方法</w:t>
            </w:r>
          </w:p>
        </w:tc>
        <w:tc>
          <w:tcPr>
            <w:tcW w:w="851" w:type="dxa"/>
            <w:vMerge w:val="restart"/>
            <w:vAlign w:val="center"/>
          </w:tcPr>
          <w:p w14:paraId="5DFE3903">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分值</w:t>
            </w:r>
          </w:p>
        </w:tc>
      </w:tr>
      <w:tr w14:paraId="5EBB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02732D8">
            <w:pPr>
              <w:spacing w:line="360" w:lineRule="auto"/>
              <w:jc w:val="center"/>
              <w:rPr>
                <w:rFonts w:hint="eastAsia" w:ascii="宋体" w:hAnsi="宋体" w:eastAsia="等线" w:cs="Times New Roman"/>
                <w:kern w:val="0"/>
                <w:sz w:val="21"/>
                <w:szCs w:val="21"/>
              </w:rPr>
            </w:pPr>
          </w:p>
        </w:tc>
        <w:tc>
          <w:tcPr>
            <w:tcW w:w="0" w:type="auto"/>
            <w:vAlign w:val="center"/>
          </w:tcPr>
          <w:p w14:paraId="3ACC9A2F">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平时作业</w:t>
            </w:r>
          </w:p>
        </w:tc>
        <w:tc>
          <w:tcPr>
            <w:tcW w:w="0" w:type="auto"/>
            <w:vAlign w:val="center"/>
          </w:tcPr>
          <w:p w14:paraId="46C954E8">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课堂表现</w:t>
            </w:r>
          </w:p>
        </w:tc>
        <w:tc>
          <w:tcPr>
            <w:tcW w:w="0" w:type="auto"/>
            <w:vAlign w:val="center"/>
          </w:tcPr>
          <w:p w14:paraId="5886AE0D">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小组讨论与汇报</w:t>
            </w:r>
          </w:p>
        </w:tc>
        <w:tc>
          <w:tcPr>
            <w:tcW w:w="0" w:type="auto"/>
            <w:vAlign w:val="center"/>
          </w:tcPr>
          <w:p w14:paraId="78533DA5">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期末考试</w:t>
            </w:r>
          </w:p>
        </w:tc>
        <w:tc>
          <w:tcPr>
            <w:tcW w:w="1440" w:type="dxa"/>
          </w:tcPr>
          <w:p w14:paraId="104D0148">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自主学习</w:t>
            </w:r>
          </w:p>
        </w:tc>
        <w:tc>
          <w:tcPr>
            <w:tcW w:w="851" w:type="dxa"/>
            <w:vMerge w:val="continue"/>
            <w:vAlign w:val="center"/>
          </w:tcPr>
          <w:p w14:paraId="33236CEC">
            <w:pPr>
              <w:spacing w:line="360" w:lineRule="auto"/>
              <w:jc w:val="center"/>
              <w:rPr>
                <w:rFonts w:hint="eastAsia" w:ascii="宋体" w:hAnsi="宋体" w:eastAsia="等线" w:cs="Times New Roman"/>
                <w:kern w:val="0"/>
                <w:sz w:val="21"/>
                <w:szCs w:val="21"/>
              </w:rPr>
            </w:pPr>
          </w:p>
        </w:tc>
      </w:tr>
      <w:tr w14:paraId="5EDF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2AF9DE">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课程目标1</w:t>
            </w:r>
          </w:p>
        </w:tc>
        <w:tc>
          <w:tcPr>
            <w:tcW w:w="0" w:type="auto"/>
            <w:vAlign w:val="center"/>
          </w:tcPr>
          <w:p w14:paraId="7DAC2579">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28A4027E">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14F70E89">
            <w:pPr>
              <w:spacing w:line="360" w:lineRule="auto"/>
              <w:jc w:val="center"/>
              <w:rPr>
                <w:rFonts w:hint="eastAsia" w:ascii="宋体" w:hAnsi="宋体" w:eastAsia="等线" w:cs="Times New Roman"/>
                <w:kern w:val="0"/>
                <w:sz w:val="21"/>
                <w:szCs w:val="21"/>
              </w:rPr>
            </w:pPr>
          </w:p>
        </w:tc>
        <w:tc>
          <w:tcPr>
            <w:tcW w:w="0" w:type="auto"/>
            <w:vAlign w:val="center"/>
          </w:tcPr>
          <w:p w14:paraId="6DE3AF7C">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1440" w:type="dxa"/>
          </w:tcPr>
          <w:p w14:paraId="6A8FF36E">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851" w:type="dxa"/>
            <w:vAlign w:val="center"/>
          </w:tcPr>
          <w:p w14:paraId="04F3C62E">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25</w:t>
            </w:r>
          </w:p>
        </w:tc>
      </w:tr>
      <w:tr w14:paraId="68FA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64E15A7">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课程目标2</w:t>
            </w:r>
          </w:p>
        </w:tc>
        <w:tc>
          <w:tcPr>
            <w:tcW w:w="0" w:type="auto"/>
            <w:vAlign w:val="center"/>
          </w:tcPr>
          <w:p w14:paraId="546FC457">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16071767">
            <w:pPr>
              <w:spacing w:line="360" w:lineRule="auto"/>
              <w:jc w:val="center"/>
              <w:rPr>
                <w:rFonts w:hint="eastAsia" w:ascii="宋体" w:hAnsi="宋体" w:eastAsia="等线" w:cs="Times New Roman"/>
                <w:kern w:val="0"/>
                <w:sz w:val="21"/>
                <w:szCs w:val="21"/>
              </w:rPr>
            </w:pPr>
            <w:bookmarkStart w:id="1060" w:name="OLE_LINK3"/>
            <w:r>
              <w:rPr>
                <w:rFonts w:ascii="宋体" w:hAnsi="宋体" w:eastAsia="等线" w:cs="Times New Roman"/>
                <w:kern w:val="0"/>
                <w:sz w:val="21"/>
                <w:szCs w:val="21"/>
              </w:rPr>
              <w:sym w:font="Wingdings 2" w:char="F050"/>
            </w:r>
            <w:bookmarkEnd w:id="1060"/>
          </w:p>
        </w:tc>
        <w:tc>
          <w:tcPr>
            <w:tcW w:w="0" w:type="auto"/>
            <w:vAlign w:val="center"/>
          </w:tcPr>
          <w:p w14:paraId="055B87A5">
            <w:pPr>
              <w:spacing w:line="360" w:lineRule="auto"/>
              <w:jc w:val="center"/>
              <w:rPr>
                <w:rFonts w:hint="eastAsia" w:ascii="宋体" w:hAnsi="宋体" w:eastAsia="等线" w:cs="Times New Roman"/>
                <w:kern w:val="0"/>
                <w:sz w:val="21"/>
                <w:szCs w:val="21"/>
              </w:rPr>
            </w:pPr>
          </w:p>
        </w:tc>
        <w:tc>
          <w:tcPr>
            <w:tcW w:w="0" w:type="auto"/>
            <w:vAlign w:val="center"/>
          </w:tcPr>
          <w:p w14:paraId="3C4659B5">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1440" w:type="dxa"/>
          </w:tcPr>
          <w:p w14:paraId="3B1918D7">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851" w:type="dxa"/>
            <w:vAlign w:val="center"/>
          </w:tcPr>
          <w:p w14:paraId="0AEFB4AC">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25</w:t>
            </w:r>
          </w:p>
        </w:tc>
      </w:tr>
      <w:tr w14:paraId="1D7C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62C823F">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课程目标3</w:t>
            </w:r>
          </w:p>
        </w:tc>
        <w:tc>
          <w:tcPr>
            <w:tcW w:w="0" w:type="auto"/>
            <w:vAlign w:val="center"/>
          </w:tcPr>
          <w:p w14:paraId="42B05959">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22119F05">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10ABE0F3">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0AA586E5">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1440" w:type="dxa"/>
          </w:tcPr>
          <w:p w14:paraId="5CA9060E">
            <w:pPr>
              <w:spacing w:line="360" w:lineRule="auto"/>
              <w:jc w:val="center"/>
              <w:rPr>
                <w:rFonts w:hint="eastAsia" w:ascii="宋体" w:hAnsi="宋体" w:eastAsia="等线" w:cs="Times New Roman"/>
                <w:kern w:val="0"/>
                <w:sz w:val="21"/>
                <w:szCs w:val="21"/>
              </w:rPr>
            </w:pPr>
          </w:p>
        </w:tc>
        <w:tc>
          <w:tcPr>
            <w:tcW w:w="851" w:type="dxa"/>
            <w:vAlign w:val="center"/>
          </w:tcPr>
          <w:p w14:paraId="5E9FD73E">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25</w:t>
            </w:r>
          </w:p>
        </w:tc>
      </w:tr>
      <w:tr w14:paraId="25E4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E25DC4C">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课程目标4</w:t>
            </w:r>
          </w:p>
        </w:tc>
        <w:tc>
          <w:tcPr>
            <w:tcW w:w="0" w:type="auto"/>
            <w:vAlign w:val="center"/>
          </w:tcPr>
          <w:p w14:paraId="3708ABAE">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2BF356E0">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173A0436">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0" w:type="auto"/>
            <w:vAlign w:val="center"/>
          </w:tcPr>
          <w:p w14:paraId="02474071">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sym w:font="Wingdings 2" w:char="F050"/>
            </w:r>
          </w:p>
        </w:tc>
        <w:tc>
          <w:tcPr>
            <w:tcW w:w="1440" w:type="dxa"/>
          </w:tcPr>
          <w:p w14:paraId="21E4B944">
            <w:pPr>
              <w:spacing w:line="360" w:lineRule="auto"/>
              <w:jc w:val="center"/>
              <w:rPr>
                <w:rFonts w:hint="eastAsia" w:ascii="宋体" w:hAnsi="宋体" w:eastAsia="等线" w:cs="Times New Roman"/>
                <w:kern w:val="0"/>
                <w:sz w:val="21"/>
                <w:szCs w:val="21"/>
              </w:rPr>
            </w:pPr>
            <w:r>
              <w:rPr>
                <w:rFonts w:ascii="宋体" w:hAnsi="宋体" w:eastAsia="等线" w:cs="Times New Roman"/>
                <w:kern w:val="0"/>
                <w:sz w:val="21"/>
                <w:szCs w:val="21"/>
              </w:rPr>
              <w:sym w:font="Wingdings 2" w:char="F050"/>
            </w:r>
          </w:p>
        </w:tc>
        <w:tc>
          <w:tcPr>
            <w:tcW w:w="851" w:type="dxa"/>
            <w:vAlign w:val="center"/>
          </w:tcPr>
          <w:p w14:paraId="59A1E6C7">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25</w:t>
            </w:r>
          </w:p>
        </w:tc>
      </w:tr>
      <w:tr w14:paraId="392D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71BB59B">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合计</w:t>
            </w:r>
          </w:p>
        </w:tc>
        <w:tc>
          <w:tcPr>
            <w:tcW w:w="0" w:type="auto"/>
            <w:vAlign w:val="center"/>
          </w:tcPr>
          <w:p w14:paraId="5660CC3E">
            <w:pPr>
              <w:spacing w:line="360" w:lineRule="auto"/>
              <w:jc w:val="center"/>
              <w:rPr>
                <w:rFonts w:hint="eastAsia" w:ascii="宋体" w:hAnsi="宋体" w:eastAsia="等线" w:cs="Times New Roman"/>
                <w:kern w:val="0"/>
                <w:sz w:val="21"/>
                <w:szCs w:val="21"/>
              </w:rPr>
            </w:pPr>
          </w:p>
        </w:tc>
        <w:tc>
          <w:tcPr>
            <w:tcW w:w="0" w:type="auto"/>
            <w:vAlign w:val="center"/>
          </w:tcPr>
          <w:p w14:paraId="7F754D43">
            <w:pPr>
              <w:spacing w:line="360" w:lineRule="auto"/>
              <w:jc w:val="center"/>
              <w:rPr>
                <w:rFonts w:hint="eastAsia" w:ascii="宋体" w:hAnsi="宋体" w:eastAsia="等线" w:cs="Times New Roman"/>
                <w:kern w:val="0"/>
                <w:sz w:val="21"/>
                <w:szCs w:val="21"/>
              </w:rPr>
            </w:pPr>
          </w:p>
        </w:tc>
        <w:tc>
          <w:tcPr>
            <w:tcW w:w="0" w:type="auto"/>
            <w:vAlign w:val="center"/>
          </w:tcPr>
          <w:p w14:paraId="337A1A57">
            <w:pPr>
              <w:spacing w:line="360" w:lineRule="auto"/>
              <w:jc w:val="center"/>
              <w:rPr>
                <w:rFonts w:hint="eastAsia" w:ascii="宋体" w:hAnsi="宋体" w:eastAsia="等线" w:cs="Times New Roman"/>
                <w:kern w:val="0"/>
                <w:sz w:val="21"/>
                <w:szCs w:val="21"/>
              </w:rPr>
            </w:pPr>
          </w:p>
        </w:tc>
        <w:tc>
          <w:tcPr>
            <w:tcW w:w="0" w:type="auto"/>
            <w:vAlign w:val="center"/>
          </w:tcPr>
          <w:p w14:paraId="36D38306">
            <w:pPr>
              <w:spacing w:line="360" w:lineRule="auto"/>
              <w:jc w:val="center"/>
              <w:rPr>
                <w:rFonts w:hint="eastAsia" w:ascii="宋体" w:hAnsi="宋体" w:eastAsia="等线" w:cs="Times New Roman"/>
                <w:kern w:val="0"/>
                <w:sz w:val="21"/>
                <w:szCs w:val="21"/>
              </w:rPr>
            </w:pPr>
          </w:p>
        </w:tc>
        <w:tc>
          <w:tcPr>
            <w:tcW w:w="1440" w:type="dxa"/>
          </w:tcPr>
          <w:p w14:paraId="1A815A98">
            <w:pPr>
              <w:spacing w:line="360" w:lineRule="auto"/>
              <w:jc w:val="center"/>
              <w:rPr>
                <w:rFonts w:hint="eastAsia" w:ascii="宋体" w:hAnsi="宋体" w:eastAsia="等线" w:cs="Times New Roman"/>
                <w:kern w:val="0"/>
                <w:sz w:val="21"/>
                <w:szCs w:val="21"/>
              </w:rPr>
            </w:pPr>
          </w:p>
        </w:tc>
        <w:tc>
          <w:tcPr>
            <w:tcW w:w="851" w:type="dxa"/>
            <w:vAlign w:val="center"/>
          </w:tcPr>
          <w:p w14:paraId="6682C254">
            <w:pPr>
              <w:spacing w:line="360" w:lineRule="auto"/>
              <w:jc w:val="center"/>
              <w:rPr>
                <w:rFonts w:hint="eastAsia" w:ascii="宋体" w:hAnsi="宋体" w:eastAsia="等线" w:cs="Times New Roman"/>
                <w:kern w:val="0"/>
                <w:sz w:val="21"/>
                <w:szCs w:val="21"/>
              </w:rPr>
            </w:pPr>
            <w:r>
              <w:rPr>
                <w:rFonts w:hint="eastAsia" w:ascii="宋体" w:hAnsi="宋体" w:eastAsia="等线" w:cs="Times New Roman"/>
                <w:kern w:val="0"/>
                <w:sz w:val="21"/>
                <w:szCs w:val="21"/>
              </w:rPr>
              <w:t>100</w:t>
            </w:r>
          </w:p>
        </w:tc>
      </w:tr>
    </w:tbl>
    <w:p w14:paraId="70E5DE0E">
      <w:pPr>
        <w:spacing w:before="156" w:beforeLines="50" w:line="360" w:lineRule="auto"/>
        <w:jc w:val="left"/>
        <w:outlineLvl w:val="1"/>
        <w:rPr>
          <w:rFonts w:ascii="Times New Roman" w:hAnsi="Times New Roman" w:eastAsia="等线" w:cs="Times New Roman"/>
          <w:b/>
          <w:sz w:val="21"/>
          <w:szCs w:val="21"/>
        </w:rPr>
      </w:pPr>
      <w:bookmarkStart w:id="1061" w:name="_Toc27024"/>
      <w:r>
        <w:rPr>
          <w:rFonts w:hint="eastAsia" w:ascii="Times New Roman" w:hAnsi="Times New Roman" w:eastAsia="等线" w:cs="Times New Roman"/>
          <w:b/>
          <w:sz w:val="21"/>
          <w:szCs w:val="21"/>
        </w:rPr>
        <w:t>（二）成绩评定细则</w:t>
      </w:r>
      <w:bookmarkEnd w:id="1061"/>
    </w:p>
    <w:p w14:paraId="6C342519">
      <w:pPr>
        <w:spacing w:line="360" w:lineRule="auto"/>
        <w:ind w:firstLine="420" w:firstLineChars="200"/>
        <w:jc w:val="left"/>
        <w:rPr>
          <w:rFonts w:ascii="Times New Roman" w:hAnsi="Times New Roman" w:eastAsia="等线" w:cs="Times New Roman"/>
          <w:sz w:val="21"/>
          <w:szCs w:val="21"/>
        </w:rPr>
      </w:pPr>
      <w:r>
        <w:rPr>
          <w:rFonts w:hint="eastAsia" w:ascii="Times New Roman" w:hAnsi="Times New Roman" w:eastAsia="等线" w:cs="Times New Roman"/>
          <w:sz w:val="21"/>
          <w:szCs w:val="21"/>
        </w:rPr>
        <w:t>各部分的评价方式和成绩评定的细则如表4所示：</w:t>
      </w:r>
    </w:p>
    <w:p w14:paraId="5E8516DB">
      <w:pPr>
        <w:jc w:val="center"/>
        <w:rPr>
          <w:rFonts w:ascii="Times New Roman" w:hAnsi="Times New Roman" w:eastAsia="等线" w:cs="Times New Roman"/>
          <w:b/>
          <w:bCs/>
          <w:sz w:val="21"/>
          <w:szCs w:val="21"/>
        </w:rPr>
      </w:pPr>
      <w:r>
        <w:rPr>
          <w:rFonts w:hint="eastAsia" w:ascii="Times New Roman" w:hAnsi="Times New Roman" w:eastAsia="等线" w:cs="Times New Roman"/>
          <w:b/>
          <w:bCs/>
          <w:sz w:val="21"/>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45C8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2CBBB37">
            <w:pPr>
              <w:jc w:val="center"/>
              <w:rPr>
                <w:rFonts w:ascii="Times New Roman" w:hAnsi="Times New Roman" w:eastAsia="等线" w:cs="Times New Roman"/>
                <w:b/>
                <w:bCs/>
                <w:kern w:val="0"/>
                <w:sz w:val="21"/>
                <w:szCs w:val="21"/>
              </w:rPr>
            </w:pPr>
            <w:r>
              <w:rPr>
                <w:rFonts w:hint="eastAsia" w:ascii="Times New Roman" w:hAnsi="Times New Roman" w:eastAsia="等线" w:cs="Times New Roman"/>
                <w:b/>
                <w:bCs/>
                <w:kern w:val="0"/>
                <w:sz w:val="21"/>
                <w:szCs w:val="21"/>
              </w:rPr>
              <w:t>评价方式</w:t>
            </w:r>
          </w:p>
        </w:tc>
        <w:tc>
          <w:tcPr>
            <w:tcW w:w="6924" w:type="dxa"/>
            <w:vAlign w:val="center"/>
          </w:tcPr>
          <w:p w14:paraId="4AA718C8">
            <w:pPr>
              <w:jc w:val="center"/>
              <w:rPr>
                <w:rFonts w:ascii="Times New Roman" w:hAnsi="Times New Roman" w:eastAsia="等线" w:cs="Times New Roman"/>
                <w:b/>
                <w:bCs/>
                <w:kern w:val="0"/>
                <w:sz w:val="21"/>
                <w:szCs w:val="21"/>
              </w:rPr>
            </w:pPr>
            <w:r>
              <w:rPr>
                <w:rFonts w:hint="eastAsia" w:ascii="Times New Roman" w:hAnsi="Times New Roman" w:eastAsia="等线" w:cs="Times New Roman"/>
                <w:b/>
                <w:bCs/>
                <w:kern w:val="0"/>
                <w:sz w:val="21"/>
                <w:szCs w:val="21"/>
              </w:rPr>
              <w:t>评定细则</w:t>
            </w:r>
          </w:p>
        </w:tc>
        <w:tc>
          <w:tcPr>
            <w:tcW w:w="0" w:type="auto"/>
            <w:vAlign w:val="center"/>
          </w:tcPr>
          <w:p w14:paraId="4380521C">
            <w:pPr>
              <w:jc w:val="center"/>
              <w:rPr>
                <w:rFonts w:ascii="Times New Roman" w:hAnsi="Times New Roman" w:eastAsia="等线" w:cs="Times New Roman"/>
                <w:b/>
                <w:bCs/>
                <w:kern w:val="0"/>
                <w:sz w:val="21"/>
                <w:szCs w:val="21"/>
              </w:rPr>
            </w:pPr>
            <w:r>
              <w:rPr>
                <w:rFonts w:hint="eastAsia" w:ascii="Times New Roman" w:hAnsi="Times New Roman" w:eastAsia="等线" w:cs="Times New Roman"/>
                <w:b/>
                <w:bCs/>
                <w:kern w:val="0"/>
                <w:sz w:val="21"/>
                <w:szCs w:val="21"/>
              </w:rPr>
              <w:t>占比</w:t>
            </w:r>
          </w:p>
        </w:tc>
      </w:tr>
      <w:tr w14:paraId="168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075E94A">
            <w:pP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平时作业</w:t>
            </w:r>
          </w:p>
        </w:tc>
        <w:tc>
          <w:tcPr>
            <w:tcW w:w="6924" w:type="dxa"/>
            <w:vAlign w:val="center"/>
          </w:tcPr>
          <w:p w14:paraId="659DEEEC">
            <w:pPr>
              <w:spacing w:line="264"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平时作业共3次，一为教育自传，学期初即提供《教育自传》参考资料和要求，要求每位学生以自己成长史为基点，反思自身受教育过程的特点，反思优点与不足，深化自身教育价值观，书写内容、反思深度情况将作为评分的主要依据。二为两次小论文，以小论文的规范性、逻辑性、创新性及整洁性为评分的主要依据。</w:t>
            </w:r>
          </w:p>
        </w:tc>
        <w:tc>
          <w:tcPr>
            <w:tcW w:w="0" w:type="auto"/>
            <w:vAlign w:val="center"/>
          </w:tcPr>
          <w:p w14:paraId="09A73F7A">
            <w:pPr>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20%</w:t>
            </w:r>
          </w:p>
        </w:tc>
      </w:tr>
      <w:tr w14:paraId="71DD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5EF3BFC">
            <w:pP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课堂表现</w:t>
            </w:r>
          </w:p>
        </w:tc>
        <w:tc>
          <w:tcPr>
            <w:tcW w:w="6924" w:type="dxa"/>
            <w:vAlign w:val="center"/>
          </w:tcPr>
          <w:p w14:paraId="2C538D8C">
            <w:pPr>
              <w:widowControl/>
              <w:spacing w:line="264" w:lineRule="auto"/>
              <w:jc w:val="left"/>
              <w:rPr>
                <w:rFonts w:ascii="Times New Roman" w:hAnsi="Times New Roman" w:eastAsia="等线" w:cs="Times New Roman"/>
                <w:kern w:val="0"/>
                <w:sz w:val="21"/>
                <w:szCs w:val="21"/>
              </w:rPr>
            </w:pPr>
            <w:r>
              <w:rPr>
                <w:rFonts w:hint="eastAsia" w:ascii="宋体" w:hAnsi="宋体" w:eastAsia="等线" w:cs="宋体"/>
                <w:color w:val="000000"/>
                <w:kern w:val="0"/>
                <w:sz w:val="21"/>
                <w:szCs w:val="21"/>
                <w:lang w:bidi="ar"/>
              </w:rPr>
              <w:t>一是课题考勤情况</w:t>
            </w:r>
            <w:r>
              <w:rPr>
                <w:rFonts w:ascii="宋体" w:hAnsi="宋体" w:eastAsia="等线" w:cs="宋体"/>
                <w:color w:val="000000"/>
                <w:kern w:val="0"/>
                <w:sz w:val="21"/>
                <w:szCs w:val="21"/>
                <w:lang w:bidi="ar"/>
              </w:rPr>
              <w:t>。</w:t>
            </w:r>
            <w:r>
              <w:rPr>
                <w:rFonts w:hint="eastAsia" w:ascii="Times New Roman" w:hAnsi="Times New Roman" w:eastAsia="等线" w:cs="Times New Roman"/>
                <w:kern w:val="0"/>
                <w:sz w:val="21"/>
                <w:szCs w:val="21"/>
              </w:rPr>
              <w:t>迟到一次扣2分，无故缺席一次扣5分，累计达</w:t>
            </w:r>
            <w:r>
              <w:rPr>
                <w:rFonts w:ascii="Times New Roman" w:hAnsi="Times New Roman" w:eastAsia="等线" w:cs="Times New Roman"/>
                <w:kern w:val="0"/>
                <w:sz w:val="21"/>
                <w:szCs w:val="21"/>
              </w:rPr>
              <w:t>3</w:t>
            </w:r>
            <w:r>
              <w:rPr>
                <w:rFonts w:hint="eastAsia" w:ascii="Times New Roman" w:hAnsi="Times New Roman" w:eastAsia="等线" w:cs="Times New Roman"/>
                <w:kern w:val="0"/>
                <w:sz w:val="21"/>
                <w:szCs w:val="21"/>
              </w:rPr>
              <w:t>次以上（不含</w:t>
            </w:r>
            <w:r>
              <w:rPr>
                <w:rFonts w:ascii="Times New Roman" w:hAnsi="Times New Roman" w:eastAsia="等线" w:cs="Times New Roman"/>
                <w:kern w:val="0"/>
                <w:sz w:val="21"/>
                <w:szCs w:val="21"/>
              </w:rPr>
              <w:t>3</w:t>
            </w:r>
            <w:r>
              <w:rPr>
                <w:rFonts w:hint="eastAsia" w:ascii="Times New Roman" w:hAnsi="Times New Roman" w:eastAsia="等线" w:cs="Times New Roman"/>
                <w:kern w:val="0"/>
                <w:sz w:val="21"/>
                <w:szCs w:val="21"/>
              </w:rPr>
              <w:t>次）取消课程成绩。</w:t>
            </w:r>
          </w:p>
          <w:p w14:paraId="3AB42055">
            <w:pPr>
              <w:widowControl/>
              <w:spacing w:line="264"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二是</w:t>
            </w:r>
            <w:r>
              <w:rPr>
                <w:rFonts w:ascii="宋体" w:hAnsi="宋体" w:eastAsia="等线" w:cs="宋体"/>
                <w:color w:val="000000"/>
                <w:kern w:val="0"/>
                <w:sz w:val="21"/>
                <w:szCs w:val="21"/>
                <w:lang w:bidi="ar"/>
              </w:rPr>
              <w:t>课堂参与</w:t>
            </w:r>
            <w:r>
              <w:rPr>
                <w:rFonts w:hint="eastAsia" w:ascii="宋体" w:hAnsi="宋体" w:eastAsia="等线" w:cs="宋体"/>
                <w:color w:val="000000"/>
                <w:kern w:val="0"/>
                <w:sz w:val="21"/>
                <w:szCs w:val="21"/>
                <w:lang w:bidi="ar"/>
              </w:rPr>
              <w:t>情况。</w:t>
            </w:r>
            <w:r>
              <w:rPr>
                <w:rFonts w:ascii="宋体" w:hAnsi="宋体" w:eastAsia="等线" w:cs="宋体"/>
                <w:color w:val="000000"/>
                <w:kern w:val="0"/>
                <w:sz w:val="21"/>
                <w:szCs w:val="21"/>
                <w:lang w:bidi="ar"/>
              </w:rPr>
              <w:t>主要指课上教师随机提问、组织课堂讨论等，观察学生参与程度</w:t>
            </w:r>
            <w:r>
              <w:rPr>
                <w:rFonts w:hint="eastAsia" w:ascii="宋体" w:hAnsi="宋体" w:eastAsia="等线" w:cs="宋体"/>
                <w:color w:val="000000"/>
                <w:kern w:val="0"/>
                <w:sz w:val="21"/>
                <w:szCs w:val="21"/>
                <w:lang w:bidi="ar"/>
              </w:rPr>
              <w:t>，</w:t>
            </w:r>
            <w:r>
              <w:rPr>
                <w:rFonts w:ascii="宋体" w:hAnsi="宋体" w:eastAsia="等线" w:cs="宋体"/>
                <w:color w:val="000000"/>
                <w:kern w:val="0"/>
                <w:sz w:val="21"/>
                <w:szCs w:val="21"/>
                <w:lang w:bidi="ar"/>
              </w:rPr>
              <w:t>表现良好，按照对应的课程目标及权重给予评定</w:t>
            </w:r>
            <w:r>
              <w:rPr>
                <w:rFonts w:hint="eastAsia" w:ascii="宋体" w:hAnsi="宋体" w:eastAsia="等线" w:cs="宋体"/>
                <w:color w:val="000000"/>
                <w:kern w:val="0"/>
                <w:sz w:val="21"/>
                <w:szCs w:val="21"/>
                <w:lang w:bidi="ar"/>
              </w:rPr>
              <w:t>。</w:t>
            </w:r>
          </w:p>
        </w:tc>
        <w:tc>
          <w:tcPr>
            <w:tcW w:w="0" w:type="auto"/>
            <w:vAlign w:val="center"/>
          </w:tcPr>
          <w:p w14:paraId="73691C0F">
            <w:pPr>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10%</w:t>
            </w:r>
          </w:p>
        </w:tc>
      </w:tr>
      <w:tr w14:paraId="4052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0EC83CF">
            <w:pP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小组讨论与汇报</w:t>
            </w:r>
          </w:p>
        </w:tc>
        <w:tc>
          <w:tcPr>
            <w:tcW w:w="6924" w:type="dxa"/>
            <w:vAlign w:val="center"/>
          </w:tcPr>
          <w:p w14:paraId="617EEAB3">
            <w:pPr>
              <w:widowControl/>
              <w:spacing w:line="264" w:lineRule="auto"/>
              <w:jc w:val="left"/>
              <w:rPr>
                <w:rFonts w:hint="eastAsia" w:ascii="宋体" w:hAnsi="宋体" w:eastAsia="等线" w:cs="宋体"/>
                <w:color w:val="000000"/>
                <w:kern w:val="0"/>
                <w:sz w:val="21"/>
                <w:szCs w:val="21"/>
                <w:lang w:bidi="ar"/>
              </w:rPr>
            </w:pPr>
            <w:r>
              <w:rPr>
                <w:rFonts w:hint="eastAsia" w:ascii="宋体" w:hAnsi="宋体" w:eastAsia="等线" w:cs="宋体"/>
                <w:color w:val="000000"/>
                <w:kern w:val="0"/>
                <w:sz w:val="21"/>
                <w:szCs w:val="21"/>
                <w:lang w:bidi="ar"/>
              </w:rPr>
              <w:t>小组讨论与回报主要包括人性论与教育、伦理学与教育、哲学教师专业发展等内容以小组形式回报，评定主要以、内容、PPT制作、个人参与度、小组合作度、演讲水平等作为成绩评定标准。</w:t>
            </w:r>
          </w:p>
        </w:tc>
        <w:tc>
          <w:tcPr>
            <w:tcW w:w="0" w:type="auto"/>
            <w:vAlign w:val="center"/>
          </w:tcPr>
          <w:p w14:paraId="694A9C6C">
            <w:pPr>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10%</w:t>
            </w:r>
          </w:p>
        </w:tc>
      </w:tr>
      <w:tr w14:paraId="3897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B5EADBB">
            <w:pP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自主学习</w:t>
            </w:r>
          </w:p>
        </w:tc>
        <w:tc>
          <w:tcPr>
            <w:tcW w:w="6924" w:type="dxa"/>
            <w:vAlign w:val="center"/>
          </w:tcPr>
          <w:p w14:paraId="507EC0CA">
            <w:pPr>
              <w:spacing w:line="264" w:lineRule="auto"/>
              <w:jc w:val="left"/>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学生在在线开放课程中完成课前自主学习，系统记录其学习经历，主要包括学习通参与讨论的数量、资料阅读的情况等行为。期末收集所有学生的学习数据，以完成所有要求的学习项目为满分，按比例折算出学生的得分。</w:t>
            </w:r>
          </w:p>
        </w:tc>
        <w:tc>
          <w:tcPr>
            <w:tcW w:w="0" w:type="auto"/>
            <w:vAlign w:val="center"/>
          </w:tcPr>
          <w:p w14:paraId="009619F3">
            <w:pPr>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10%</w:t>
            </w:r>
          </w:p>
        </w:tc>
      </w:tr>
      <w:tr w14:paraId="3C47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149C0E3">
            <w:pP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期末考试</w:t>
            </w:r>
          </w:p>
        </w:tc>
        <w:tc>
          <w:tcPr>
            <w:tcW w:w="6924" w:type="dxa"/>
            <w:vAlign w:val="center"/>
          </w:tcPr>
          <w:p w14:paraId="250EEADC">
            <w:pPr>
              <w:spacing w:line="264" w:lineRule="auto"/>
              <w:jc w:val="left"/>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试卷题型包括</w:t>
            </w:r>
            <w:r>
              <w:rPr>
                <w:rFonts w:hint="eastAsia" w:ascii="Times New Roman" w:hAnsi="Times New Roman" w:eastAsia="等线" w:cs="Times New Roman"/>
                <w:color w:val="000000"/>
                <w:kern w:val="0"/>
                <w:sz w:val="21"/>
                <w:szCs w:val="21"/>
              </w:rPr>
              <w:t>论述题</w:t>
            </w:r>
            <w:r>
              <w:rPr>
                <w:rFonts w:ascii="Times New Roman" w:hAnsi="Times New Roman" w:eastAsia="等线" w:cs="Times New Roman"/>
                <w:color w:val="000000"/>
                <w:kern w:val="0"/>
                <w:sz w:val="21"/>
                <w:szCs w:val="21"/>
              </w:rPr>
              <w:t>等，以卷面成绩的50%计入课程总成绩。</w:t>
            </w:r>
            <w:r>
              <w:rPr>
                <w:rFonts w:hint="eastAsia" w:ascii="Times New Roman" w:hAnsi="Times New Roman" w:eastAsia="等线" w:cs="Times New Roman"/>
                <w:color w:val="000000"/>
                <w:kern w:val="0"/>
                <w:sz w:val="21"/>
                <w:szCs w:val="21"/>
              </w:rPr>
              <w:t>开卷，题考核学生对基本理论知识的掌握自己运用基本理论知识进行综合分析的能力。基本理论知识占50%，运用基本论知识进行综合分析占50%。</w:t>
            </w:r>
          </w:p>
        </w:tc>
        <w:tc>
          <w:tcPr>
            <w:tcW w:w="0" w:type="auto"/>
            <w:vAlign w:val="center"/>
          </w:tcPr>
          <w:p w14:paraId="6C89B016">
            <w:pPr>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50%</w:t>
            </w:r>
          </w:p>
        </w:tc>
      </w:tr>
      <w:tr w14:paraId="6B95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FF47C67">
            <w:pPr>
              <w:jc w:val="center"/>
              <w:rPr>
                <w:rFonts w:ascii="Times New Roman" w:hAnsi="Times New Roman" w:eastAsia="等线" w:cs="Times New Roman"/>
                <w:b/>
                <w:bCs/>
                <w:kern w:val="0"/>
                <w:sz w:val="21"/>
                <w:szCs w:val="21"/>
              </w:rPr>
            </w:pPr>
            <w:r>
              <w:rPr>
                <w:rFonts w:hint="eastAsia" w:ascii="Times New Roman" w:hAnsi="Times New Roman" w:eastAsia="等线" w:cs="Times New Roman"/>
                <w:b/>
                <w:bCs/>
                <w:kern w:val="0"/>
                <w:sz w:val="21"/>
                <w:szCs w:val="21"/>
              </w:rPr>
              <w:t>合计</w:t>
            </w:r>
          </w:p>
        </w:tc>
        <w:tc>
          <w:tcPr>
            <w:tcW w:w="0" w:type="auto"/>
            <w:vAlign w:val="center"/>
          </w:tcPr>
          <w:p w14:paraId="63B83B48">
            <w:pPr>
              <w:jc w:val="left"/>
              <w:rPr>
                <w:rFonts w:ascii="Times New Roman" w:hAnsi="Times New Roman" w:eastAsia="等线" w:cs="Times New Roman"/>
                <w:kern w:val="0"/>
                <w:sz w:val="21"/>
                <w:szCs w:val="21"/>
              </w:rPr>
            </w:pPr>
          </w:p>
        </w:tc>
        <w:tc>
          <w:tcPr>
            <w:tcW w:w="0" w:type="auto"/>
            <w:vAlign w:val="center"/>
          </w:tcPr>
          <w:p w14:paraId="698718C8">
            <w:pPr>
              <w:jc w:val="center"/>
              <w:rPr>
                <w:rFonts w:ascii="Times New Roman" w:hAnsi="Times New Roman" w:eastAsia="等线" w:cs="Times New Roman"/>
                <w:kern w:val="0"/>
                <w:sz w:val="21"/>
                <w:szCs w:val="21"/>
              </w:rPr>
            </w:pPr>
            <w:r>
              <w:rPr>
                <w:rFonts w:hint="eastAsia" w:ascii="Times New Roman" w:hAnsi="Times New Roman" w:eastAsia="等线" w:cs="Times New Roman"/>
                <w:kern w:val="0"/>
                <w:sz w:val="21"/>
                <w:szCs w:val="21"/>
              </w:rPr>
              <w:t>100%</w:t>
            </w:r>
          </w:p>
        </w:tc>
      </w:tr>
    </w:tbl>
    <w:p w14:paraId="05C78B88">
      <w:pPr>
        <w:spacing w:before="156" w:beforeLines="50" w:line="360" w:lineRule="auto"/>
        <w:jc w:val="left"/>
        <w:outlineLvl w:val="1"/>
        <w:rPr>
          <w:rFonts w:hint="eastAsia" w:ascii="Times New Roman" w:hAnsi="Times New Roman" w:eastAsia="等线" w:cs="Times New Roman"/>
          <w:b/>
          <w:sz w:val="21"/>
          <w:szCs w:val="21"/>
        </w:rPr>
      </w:pPr>
      <w:bookmarkStart w:id="1062" w:name="_Toc27950"/>
      <w:r>
        <w:rPr>
          <w:rFonts w:hint="eastAsia" w:ascii="Times New Roman" w:hAnsi="Times New Roman" w:eastAsia="等线" w:cs="Times New Roman"/>
          <w:b/>
          <w:sz w:val="21"/>
          <w:szCs w:val="21"/>
        </w:rPr>
        <w:t>（三）课程目标达成度计算方法</w:t>
      </w:r>
      <w:bookmarkEnd w:id="1062"/>
    </w:p>
    <w:p w14:paraId="2998EF7E">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所有课程目标均需大于等于</w:t>
      </w:r>
      <w:r>
        <w:rPr>
          <w:rFonts w:ascii="宋体" w:hAnsi="宋体" w:eastAsia="等线" w:cs="Times New Roman"/>
          <w:color w:val="000000"/>
          <w:szCs w:val="22"/>
        </w:rPr>
        <w:t>0.6，否则总评成绩不及格，需要补考或重修。每门课程目标总体达成度计算方法如下：</w:t>
      </w:r>
    </w:p>
    <w:p w14:paraId="6804F998">
      <w:pPr>
        <w:spacing w:line="360" w:lineRule="auto"/>
        <w:rPr>
          <w:rFonts w:hint="eastAsia" w:ascii="宋体" w:hAnsi="宋体" w:eastAsia="等线" w:cs="Times New Roman"/>
          <w:b/>
          <w:szCs w:val="22"/>
        </w:rPr>
      </w:pPr>
      <w:r>
        <w:rPr>
          <w:rFonts w:ascii="宋体" w:hAnsi="宋体" w:eastAsia="等线" w:cs="Times New Roman"/>
          <w:color w:val="000000"/>
          <w:szCs w:val="22"/>
        </w:rPr>
        <w:object>
          <v:shape id="_x0000_i1051" o:spt="75" type="#_x0000_t75" style="height:25.05pt;width:404.75pt;" o:ole="t" filled="f" o:preferrelative="t" stroked="f" coordsize="21600,21600">
            <v:path/>
            <v:fill on="f" focussize="0,0"/>
            <v:stroke on="f" joinstyle="miter"/>
            <v:imagedata r:id="rId5" o:title=""/>
            <o:lock v:ext="edit" aspectratio="t"/>
            <w10:wrap type="none"/>
            <w10:anchorlock/>
          </v:shape>
          <o:OLEObject Type="Embed" ProgID="Equation.3" ShapeID="_x0000_i1051" DrawAspect="Content" ObjectID="_1468075751" r:id="rId34">
            <o:LockedField>false</o:LockedField>
          </o:OLEObject>
        </w:object>
      </w:r>
    </w:p>
    <w:p w14:paraId="61515496">
      <w:pPr>
        <w:spacing w:line="360" w:lineRule="auto"/>
        <w:jc w:val="left"/>
        <w:outlineLvl w:val="0"/>
        <w:rPr>
          <w:rFonts w:ascii="宋体" w:hAnsi="宋体" w:eastAsia="等线" w:cs="Times New Roman"/>
          <w:b/>
          <w:color w:val="000000"/>
          <w:szCs w:val="22"/>
        </w:rPr>
      </w:pPr>
      <w:bookmarkStart w:id="1063" w:name="_Toc12619"/>
      <w:bookmarkStart w:id="1064" w:name="_Toc26226"/>
      <w:bookmarkStart w:id="1065" w:name="_Toc16007"/>
      <w:bookmarkStart w:id="1066" w:name="_Toc6378"/>
      <w:bookmarkStart w:id="1067" w:name="_Toc23645"/>
      <w:bookmarkStart w:id="1068" w:name="_Toc4193"/>
      <w:r>
        <w:rPr>
          <w:rFonts w:hint="eastAsia" w:ascii="宋体" w:hAnsi="宋体" w:eastAsia="等线" w:cs="Times New Roman"/>
          <w:b/>
          <w:color w:val="000000"/>
          <w:szCs w:val="22"/>
        </w:rPr>
        <w:t>五、有关说明</w:t>
      </w:r>
      <w:bookmarkEnd w:id="1063"/>
      <w:bookmarkEnd w:id="1064"/>
      <w:bookmarkEnd w:id="1065"/>
      <w:bookmarkEnd w:id="1066"/>
      <w:bookmarkEnd w:id="1067"/>
      <w:bookmarkEnd w:id="1068"/>
    </w:p>
    <w:p w14:paraId="6C56BC3D">
      <w:pPr>
        <w:spacing w:before="156" w:beforeLines="50" w:line="360" w:lineRule="auto"/>
        <w:jc w:val="left"/>
        <w:outlineLvl w:val="1"/>
        <w:rPr>
          <w:rFonts w:ascii="Times New Roman" w:hAnsi="Times New Roman" w:eastAsia="等线" w:cs="Times New Roman"/>
          <w:b/>
          <w:sz w:val="21"/>
          <w:szCs w:val="21"/>
        </w:rPr>
      </w:pPr>
      <w:bookmarkStart w:id="1069" w:name="_Toc26173"/>
      <w:r>
        <w:rPr>
          <w:rFonts w:hint="eastAsia" w:ascii="Times New Roman" w:hAnsi="Times New Roman" w:eastAsia="等线" w:cs="Times New Roman"/>
          <w:b/>
          <w:sz w:val="21"/>
          <w:szCs w:val="21"/>
        </w:rPr>
        <w:t>（一）持续改进</w:t>
      </w:r>
      <w:bookmarkEnd w:id="1069"/>
    </w:p>
    <w:p w14:paraId="78C160F3">
      <w:pPr>
        <w:spacing w:line="300" w:lineRule="auto"/>
        <w:ind w:firstLine="420" w:firstLineChars="200"/>
        <w:rPr>
          <w:rFonts w:ascii="Calibri" w:hAnsi="Calibri" w:eastAsia="等线" w:cs="Times New Roman"/>
          <w:szCs w:val="22"/>
        </w:rPr>
      </w:pPr>
      <w:r>
        <w:rPr>
          <w:rFonts w:hint="eastAsia" w:ascii="Calibri" w:hAnsi="Calibri" w:eastAsia="等线" w:cs="Times New Roman"/>
          <w:szCs w:val="22"/>
        </w:rPr>
        <w:t>本课程根据学生作业、课堂讨论、教学环节、平时考核情况和学生、教学督导等的反馈，及时对教学中的不足之处进行改进，并在下一轮课程教学中整改完善，确保相应毕业要求指标点达成。</w:t>
      </w:r>
    </w:p>
    <w:p w14:paraId="52B06B07">
      <w:pPr>
        <w:spacing w:before="156" w:beforeLines="50" w:line="360" w:lineRule="auto"/>
        <w:jc w:val="left"/>
        <w:outlineLvl w:val="1"/>
        <w:rPr>
          <w:rFonts w:ascii="Times New Roman" w:hAnsi="Times New Roman" w:eastAsia="等线" w:cs="Times New Roman"/>
          <w:b/>
          <w:sz w:val="21"/>
          <w:szCs w:val="21"/>
        </w:rPr>
      </w:pPr>
      <w:bookmarkStart w:id="1070" w:name="_Toc31812"/>
      <w:r>
        <w:rPr>
          <w:rFonts w:hint="eastAsia" w:ascii="Times New Roman" w:hAnsi="Times New Roman" w:eastAsia="等线" w:cs="Times New Roman"/>
          <w:b/>
          <w:sz w:val="21"/>
          <w:szCs w:val="21"/>
        </w:rPr>
        <w:t>（二）参考书目及学习资料</w:t>
      </w:r>
      <w:bookmarkEnd w:id="1070"/>
    </w:p>
    <w:p w14:paraId="6C1DA468">
      <w:pPr>
        <w:spacing w:line="360" w:lineRule="auto"/>
        <w:ind w:firstLine="411" w:firstLineChars="196"/>
        <w:jc w:val="left"/>
        <w:outlineLvl w:val="2"/>
        <w:rPr>
          <w:rFonts w:hint="eastAsia" w:ascii="宋体" w:hAnsi="宋体" w:eastAsia="等线" w:cs="Times New Roman"/>
          <w:color w:val="000000"/>
          <w:szCs w:val="22"/>
        </w:rPr>
      </w:pPr>
      <w:bookmarkStart w:id="1071" w:name="_Toc12649"/>
      <w:r>
        <w:rPr>
          <w:rFonts w:ascii="宋体" w:hAnsi="宋体" w:eastAsia="等线" w:cs="Times New Roman"/>
          <w:color w:val="000000"/>
          <w:szCs w:val="22"/>
        </w:rPr>
        <w:t>1.</w:t>
      </w:r>
      <w:r>
        <w:rPr>
          <w:rFonts w:hint="eastAsia" w:ascii="宋体" w:hAnsi="宋体" w:eastAsia="等线" w:cs="Times New Roman"/>
          <w:color w:val="000000"/>
          <w:szCs w:val="22"/>
        </w:rPr>
        <w:t>教材</w:t>
      </w:r>
      <w:bookmarkEnd w:id="1071"/>
    </w:p>
    <w:p w14:paraId="36641442">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石中英</w:t>
      </w:r>
      <w:r>
        <w:rPr>
          <w:rFonts w:ascii="宋体" w:hAnsi="宋体" w:eastAsia="等线" w:cs="Times New Roman"/>
          <w:color w:val="000000"/>
          <w:szCs w:val="22"/>
        </w:rPr>
        <w:t>.</w:t>
      </w:r>
      <w:r>
        <w:rPr>
          <w:rFonts w:hint="eastAsia" w:ascii="宋体" w:hAnsi="宋体" w:eastAsia="等线" w:cs="Times New Roman"/>
          <w:color w:val="000000"/>
          <w:szCs w:val="22"/>
        </w:rPr>
        <w:t>教育哲学</w:t>
      </w:r>
      <w:r>
        <w:rPr>
          <w:rFonts w:ascii="宋体" w:hAnsi="宋体" w:eastAsia="等线" w:cs="Times New Roman"/>
          <w:color w:val="000000"/>
          <w:szCs w:val="22"/>
        </w:rPr>
        <w:t>.</w:t>
      </w:r>
      <w:r>
        <w:rPr>
          <w:rFonts w:hint="eastAsia" w:ascii="宋体" w:hAnsi="宋体" w:eastAsia="等线" w:cs="Times New Roman"/>
          <w:color w:val="000000"/>
          <w:szCs w:val="22"/>
        </w:rPr>
        <w:t>高等教育出版社，</w:t>
      </w:r>
      <w:r>
        <w:rPr>
          <w:rFonts w:ascii="宋体" w:hAnsi="宋体" w:eastAsia="等线" w:cs="Times New Roman"/>
          <w:color w:val="000000"/>
          <w:szCs w:val="22"/>
        </w:rPr>
        <w:t>2019.</w:t>
      </w:r>
      <w:r>
        <w:rPr>
          <w:rFonts w:hint="eastAsia" w:ascii="宋体" w:hAnsi="宋体" w:eastAsia="等线" w:cs="Times New Roman"/>
          <w:color w:val="000000"/>
          <w:szCs w:val="22"/>
        </w:rPr>
        <w:t>（马工程教材）</w:t>
      </w:r>
    </w:p>
    <w:p w14:paraId="3B117DCE">
      <w:pPr>
        <w:spacing w:line="360" w:lineRule="auto"/>
        <w:ind w:firstLine="411" w:firstLineChars="196"/>
        <w:jc w:val="left"/>
        <w:outlineLvl w:val="2"/>
        <w:rPr>
          <w:rFonts w:hint="eastAsia" w:ascii="宋体" w:hAnsi="宋体" w:eastAsia="等线" w:cs="Times New Roman"/>
          <w:color w:val="000000"/>
          <w:szCs w:val="22"/>
        </w:rPr>
      </w:pPr>
      <w:bookmarkStart w:id="1072" w:name="_Toc17915"/>
      <w:r>
        <w:rPr>
          <w:rFonts w:ascii="宋体" w:hAnsi="宋体" w:eastAsia="等线" w:cs="Times New Roman"/>
          <w:color w:val="000000"/>
          <w:szCs w:val="22"/>
        </w:rPr>
        <w:t>2.</w:t>
      </w:r>
      <w:r>
        <w:rPr>
          <w:rFonts w:hint="eastAsia" w:ascii="宋体" w:hAnsi="宋体" w:eastAsia="等线" w:cs="Times New Roman"/>
          <w:color w:val="000000"/>
          <w:szCs w:val="22"/>
        </w:rPr>
        <w:t>教学参考书</w:t>
      </w:r>
      <w:bookmarkEnd w:id="1072"/>
    </w:p>
    <w:p w14:paraId="4EBCF3B4">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于伟</w:t>
      </w:r>
      <w:r>
        <w:rPr>
          <w:rFonts w:ascii="宋体" w:hAnsi="宋体" w:eastAsia="等线" w:cs="Times New Roman"/>
          <w:color w:val="000000"/>
          <w:szCs w:val="22"/>
        </w:rPr>
        <w:t>.</w:t>
      </w:r>
      <w:r>
        <w:rPr>
          <w:rFonts w:hint="eastAsia" w:ascii="宋体" w:hAnsi="宋体" w:eastAsia="等线" w:cs="Times New Roman"/>
          <w:color w:val="000000"/>
          <w:szCs w:val="22"/>
        </w:rPr>
        <w:t>教育哲学</w:t>
      </w:r>
      <w:r>
        <w:rPr>
          <w:rFonts w:ascii="宋体" w:hAnsi="宋体" w:eastAsia="等线" w:cs="Times New Roman"/>
          <w:color w:val="000000"/>
          <w:szCs w:val="22"/>
        </w:rPr>
        <w:t>.</w:t>
      </w:r>
      <w:r>
        <w:rPr>
          <w:rFonts w:hint="eastAsia" w:ascii="宋体" w:hAnsi="宋体" w:eastAsia="等线" w:cs="Times New Roman"/>
          <w:color w:val="000000"/>
          <w:szCs w:val="22"/>
        </w:rPr>
        <w:t>北京师范大学出版社，</w:t>
      </w:r>
      <w:r>
        <w:rPr>
          <w:rFonts w:ascii="宋体" w:hAnsi="宋体" w:eastAsia="等线" w:cs="Times New Roman"/>
          <w:color w:val="000000"/>
          <w:szCs w:val="22"/>
        </w:rPr>
        <w:t>2016.</w:t>
      </w:r>
    </w:p>
    <w:p w14:paraId="5B5EC1CE">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郝文武</w:t>
      </w:r>
      <w:r>
        <w:rPr>
          <w:rFonts w:ascii="宋体" w:hAnsi="宋体" w:eastAsia="等线" w:cs="Times New Roman"/>
          <w:color w:val="000000"/>
          <w:szCs w:val="22"/>
        </w:rPr>
        <w:t>.</w:t>
      </w:r>
      <w:r>
        <w:rPr>
          <w:rFonts w:hint="eastAsia" w:ascii="宋体" w:hAnsi="宋体" w:eastAsia="等线" w:cs="Times New Roman"/>
          <w:color w:val="000000"/>
          <w:szCs w:val="22"/>
        </w:rPr>
        <w:t>教育哲学</w:t>
      </w:r>
      <w:r>
        <w:rPr>
          <w:rFonts w:ascii="宋体" w:hAnsi="宋体" w:eastAsia="等线" w:cs="Times New Roman"/>
          <w:color w:val="000000"/>
          <w:szCs w:val="22"/>
        </w:rPr>
        <w:t>.</w:t>
      </w:r>
      <w:r>
        <w:rPr>
          <w:rFonts w:hint="eastAsia" w:ascii="宋体" w:hAnsi="宋体" w:eastAsia="等线" w:cs="Times New Roman"/>
          <w:color w:val="000000"/>
          <w:szCs w:val="22"/>
        </w:rPr>
        <w:t>人民教育出版社，</w:t>
      </w:r>
      <w:r>
        <w:rPr>
          <w:rFonts w:ascii="宋体" w:hAnsi="宋体" w:eastAsia="等线" w:cs="Times New Roman"/>
          <w:color w:val="000000"/>
          <w:szCs w:val="22"/>
        </w:rPr>
        <w:t>2011.</w:t>
      </w:r>
    </w:p>
    <w:p w14:paraId="6728EB01">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 xml:space="preserve">刘铁芳.什么是好的教育-学校教育的哲学阐释.高等教育出版社，2014. </w:t>
      </w:r>
    </w:p>
    <w:p w14:paraId="0B5B12F2">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黄济.教育哲学通论.山西教育出版社,1998.</w:t>
      </w:r>
    </w:p>
    <w:p w14:paraId="56B67B8B">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陆有铨.现代西方教育哲学.北京大学出版社,2012.</w:t>
      </w:r>
    </w:p>
    <w:p w14:paraId="0BCC1F39">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张楚廷.教育哲学[M].教育科学出版社,2006.</w:t>
      </w:r>
    </w:p>
    <w:p w14:paraId="075DD6B3">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王坤庆.教育哲学——一种哲学价值论视角的研究.华中师大学出版社,2006.</w:t>
      </w:r>
    </w:p>
    <w:p w14:paraId="2059089D">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萨瓦特尔.教育的价值.北京大学出版社,2012.</w:t>
      </w:r>
    </w:p>
    <w:p w14:paraId="0D481157">
      <w:pPr>
        <w:spacing w:line="360" w:lineRule="auto"/>
        <w:ind w:firstLine="411" w:firstLineChars="196"/>
        <w:jc w:val="left"/>
        <w:rPr>
          <w:rFonts w:hint="eastAsia" w:ascii="宋体" w:hAnsi="宋体" w:eastAsia="等线" w:cs="Times New Roman"/>
          <w:color w:val="000000"/>
          <w:szCs w:val="22"/>
        </w:rPr>
      </w:pPr>
      <w:r>
        <w:rPr>
          <w:rFonts w:hint="eastAsia" w:ascii="宋体" w:hAnsi="宋体" w:eastAsia="等线" w:cs="Times New Roman"/>
          <w:color w:val="000000"/>
          <w:szCs w:val="22"/>
        </w:rPr>
        <w:t>冯建军等.教育哲学[M].武汉大学出版社,2011.</w:t>
      </w:r>
    </w:p>
    <w:p w14:paraId="7F1461B8">
      <w:pPr>
        <w:spacing w:line="300" w:lineRule="auto"/>
        <w:rPr>
          <w:rFonts w:hint="eastAsia" w:ascii="宋体" w:hAnsi="等线" w:eastAsia="等线" w:cs="Times New Roman"/>
          <w:szCs w:val="22"/>
        </w:rPr>
      </w:pPr>
    </w:p>
    <w:p w14:paraId="6CFCB1A3">
      <w:pPr>
        <w:autoSpaceDE w:val="0"/>
        <w:autoSpaceDN w:val="0"/>
        <w:adjustRightInd w:val="0"/>
        <w:spacing w:line="300" w:lineRule="auto"/>
        <w:ind w:firstLine="4620" w:firstLineChars="2200"/>
        <w:jc w:val="left"/>
        <w:rPr>
          <w:rFonts w:hint="eastAsia" w:ascii="宋体" w:hAnsi="等线" w:eastAsia="等线" w:cs="Times New Roman"/>
          <w:color w:val="000000"/>
          <w:kern w:val="0"/>
          <w:szCs w:val="21"/>
        </w:rPr>
      </w:pPr>
      <w:r>
        <w:rPr>
          <w:rFonts w:hint="eastAsia" w:ascii="宋体" w:hAnsi="宋体" w:eastAsia="等线" w:cs="Times New Roman"/>
          <w:color w:val="000000"/>
          <w:kern w:val="0"/>
          <w:szCs w:val="21"/>
        </w:rPr>
        <w:t>执笔人：刘丽</w:t>
      </w:r>
    </w:p>
    <w:p w14:paraId="7D35C5A3">
      <w:pPr>
        <w:autoSpaceDE w:val="0"/>
        <w:autoSpaceDN w:val="0"/>
        <w:adjustRightInd w:val="0"/>
        <w:spacing w:line="300" w:lineRule="auto"/>
        <w:ind w:firstLine="4620" w:firstLineChars="2200"/>
        <w:jc w:val="left"/>
        <w:rPr>
          <w:rFonts w:hint="eastAsia" w:ascii="宋体" w:hAnsi="等线" w:eastAsia="等线" w:cs="Times New Roman"/>
          <w:color w:val="000000"/>
          <w:kern w:val="0"/>
          <w:szCs w:val="21"/>
        </w:rPr>
      </w:pPr>
      <w:r>
        <w:rPr>
          <w:rFonts w:hint="eastAsia" w:ascii="宋体" w:hAnsi="宋体" w:eastAsia="等线" w:cs="Times New Roman"/>
          <w:color w:val="000000"/>
          <w:kern w:val="0"/>
          <w:szCs w:val="21"/>
        </w:rPr>
        <w:t>审定人：王健</w:t>
      </w:r>
    </w:p>
    <w:p w14:paraId="4E239B9D">
      <w:pPr>
        <w:autoSpaceDE w:val="0"/>
        <w:autoSpaceDN w:val="0"/>
        <w:adjustRightInd w:val="0"/>
        <w:spacing w:line="300" w:lineRule="auto"/>
        <w:ind w:firstLine="4620" w:firstLineChars="2200"/>
        <w:jc w:val="left"/>
        <w:rPr>
          <w:rFonts w:hint="eastAsia" w:ascii="宋体" w:hAnsi="等线" w:eastAsia="等线" w:cs="Times New Roman"/>
          <w:color w:val="000000"/>
          <w:kern w:val="0"/>
          <w:szCs w:val="21"/>
        </w:rPr>
      </w:pPr>
      <w:r>
        <w:rPr>
          <w:rFonts w:hint="eastAsia" w:ascii="宋体" w:hAnsi="宋体" w:eastAsia="等线" w:cs="Times New Roman"/>
          <w:color w:val="000000"/>
          <w:kern w:val="0"/>
          <w:szCs w:val="21"/>
        </w:rPr>
        <w:t>审批人：张志欣</w:t>
      </w:r>
    </w:p>
    <w:p w14:paraId="55DAF129">
      <w:pPr>
        <w:autoSpaceDE w:val="0"/>
        <w:autoSpaceDN w:val="0"/>
        <w:adjustRightInd w:val="0"/>
        <w:spacing w:line="300" w:lineRule="auto"/>
        <w:ind w:firstLine="4620" w:firstLineChars="2200"/>
        <w:jc w:val="left"/>
        <w:rPr>
          <w:rFonts w:hint="eastAsia" w:ascii="宋体" w:hAnsi="宋体" w:eastAsia="等线" w:cs="Times New Roman"/>
          <w:color w:val="000000"/>
          <w:kern w:val="0"/>
          <w:szCs w:val="21"/>
        </w:rPr>
      </w:pPr>
      <w:r>
        <w:rPr>
          <w:rFonts w:hint="eastAsia" w:ascii="宋体" w:hAnsi="宋体" w:eastAsia="等线" w:cs="Times New Roman"/>
          <w:color w:val="000000"/>
          <w:kern w:val="0"/>
          <w:szCs w:val="21"/>
        </w:rPr>
        <w:t>批准时间：</w:t>
      </w:r>
      <w:r>
        <w:rPr>
          <w:rFonts w:ascii="宋体" w:hAnsi="宋体" w:eastAsia="等线" w:cs="Times New Roman"/>
          <w:color w:val="000000"/>
          <w:kern w:val="0"/>
          <w:szCs w:val="21"/>
        </w:rPr>
        <w:t>20</w:t>
      </w:r>
      <w:r>
        <w:rPr>
          <w:rFonts w:hint="eastAsia" w:ascii="宋体" w:hAnsi="宋体" w:eastAsia="等线" w:cs="Times New Roman"/>
          <w:color w:val="000000"/>
          <w:kern w:val="0"/>
          <w:szCs w:val="21"/>
        </w:rPr>
        <w:t>24年</w:t>
      </w:r>
      <w:r>
        <w:rPr>
          <w:rFonts w:ascii="宋体" w:hAnsi="宋体" w:eastAsia="等线" w:cs="Times New Roman"/>
          <w:color w:val="000000"/>
          <w:kern w:val="0"/>
          <w:szCs w:val="21"/>
        </w:rPr>
        <w:t>8</w:t>
      </w:r>
      <w:r>
        <w:rPr>
          <w:rFonts w:hint="eastAsia" w:ascii="宋体" w:hAnsi="宋体" w:eastAsia="等线" w:cs="Times New Roman"/>
          <w:color w:val="000000"/>
          <w:kern w:val="0"/>
          <w:szCs w:val="21"/>
        </w:rPr>
        <w:t>月</w:t>
      </w:r>
      <w:r>
        <w:rPr>
          <w:rFonts w:ascii="宋体" w:hAnsi="宋体" w:eastAsia="等线" w:cs="Times New Roman"/>
          <w:color w:val="000000"/>
          <w:kern w:val="0"/>
          <w:szCs w:val="21"/>
        </w:rPr>
        <w:t>30</w:t>
      </w:r>
      <w:r>
        <w:rPr>
          <w:rFonts w:hint="eastAsia" w:ascii="宋体" w:hAnsi="宋体" w:eastAsia="等线" w:cs="Times New Roman"/>
          <w:color w:val="000000"/>
          <w:kern w:val="0"/>
          <w:szCs w:val="21"/>
        </w:rPr>
        <w:t>日</w:t>
      </w:r>
    </w:p>
    <w:p w14:paraId="1F4EA030">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218B21BB">
      <w:pPr>
        <w:pStyle w:val="2"/>
        <w:bidi w:val="0"/>
        <w:rPr>
          <w:rFonts w:hint="eastAsia"/>
          <w:lang w:val="en-US" w:eastAsia="zh-CN"/>
        </w:rPr>
      </w:pPr>
      <w:bookmarkStart w:id="1073" w:name="_Toc29380667"/>
      <w:bookmarkStart w:id="1074" w:name="_Toc13673"/>
      <w:bookmarkStart w:id="1075" w:name="_Toc24817"/>
      <w:bookmarkStart w:id="1076" w:name="_Toc7493"/>
      <w:bookmarkStart w:id="1077" w:name="_Toc4867"/>
      <w:r>
        <w:rPr>
          <w:rFonts w:hint="eastAsia"/>
          <w:lang w:val="en-US" w:eastAsia="zh-CN"/>
        </w:rPr>
        <w:t>《教育社会学》课程与教学大纲</w:t>
      </w:r>
      <w:bookmarkEnd w:id="1073"/>
      <w:bookmarkEnd w:id="1074"/>
      <w:bookmarkEnd w:id="1075"/>
      <w:bookmarkEnd w:id="1076"/>
      <w:bookmarkEnd w:id="1077"/>
    </w:p>
    <w:p w14:paraId="7A70D9C8">
      <w:pPr>
        <w:pStyle w:val="2"/>
        <w:bidi w:val="0"/>
        <w:rPr>
          <w:lang w:val="en-US" w:eastAsia="zh-CN"/>
        </w:rPr>
      </w:pPr>
      <w:bookmarkStart w:id="1078" w:name="_Toc29980"/>
      <w:bookmarkStart w:id="1079" w:name="_Toc8562"/>
      <w:bookmarkStart w:id="1080" w:name="_Toc27475"/>
      <w:bookmarkStart w:id="1081" w:name="_Toc9768"/>
      <w:bookmarkStart w:id="1082" w:name="_Toc28886"/>
      <w:bookmarkStart w:id="1083" w:name="_Toc12182"/>
      <w:bookmarkStart w:id="1084" w:name="_Toc19640"/>
      <w:r>
        <w:rPr>
          <w:lang w:val="en-US" w:eastAsia="zh-CN"/>
        </w:rPr>
        <w:t>(sociology of education</w:t>
      </w:r>
      <w:r>
        <w:rPr>
          <w:rFonts w:hint="eastAsia"/>
          <w:lang w:val="en-US" w:eastAsia="zh-CN"/>
        </w:rPr>
        <w:t>)</w:t>
      </w:r>
      <w:bookmarkEnd w:id="1078"/>
      <w:bookmarkEnd w:id="1079"/>
      <w:bookmarkEnd w:id="1080"/>
      <w:bookmarkEnd w:id="1081"/>
      <w:bookmarkEnd w:id="1082"/>
      <w:bookmarkEnd w:id="1083"/>
      <w:bookmarkEnd w:id="1084"/>
    </w:p>
    <w:p w14:paraId="30346E63">
      <w:pPr>
        <w:spacing w:line="360" w:lineRule="auto"/>
        <w:ind w:firstLine="482" w:firstLineChars="200"/>
        <w:jc w:val="left"/>
        <w:rPr>
          <w:rFonts w:ascii="Times New Roman" w:hAnsi="Times New Roman" w:eastAsia="宋体" w:cs="Times New Roman"/>
          <w:b/>
          <w:sz w:val="24"/>
          <w:szCs w:val="24"/>
        </w:rPr>
      </w:pPr>
    </w:p>
    <w:p w14:paraId="4CFD950E">
      <w:pPr>
        <w:spacing w:line="360" w:lineRule="auto"/>
        <w:ind w:firstLine="482" w:firstLineChars="200"/>
        <w:jc w:val="left"/>
        <w:rPr>
          <w:rFonts w:ascii="Times New Roman" w:hAnsi="Times New Roman" w:eastAsia="宋体" w:cs="Times New Roman"/>
          <w:b/>
          <w:sz w:val="24"/>
          <w:szCs w:val="24"/>
        </w:rPr>
      </w:pPr>
    </w:p>
    <w:p w14:paraId="0351ED6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《教育社会学》</w:t>
      </w:r>
    </w:p>
    <w:p w14:paraId="20DD89B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课程代码：2401018</w:t>
      </w:r>
    </w:p>
    <w:p w14:paraId="1834CE3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7E5F609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1EB04AE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先修课程：小学教育专业导论与职业发展</w:t>
      </w:r>
    </w:p>
    <w:p w14:paraId="47DC6C6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669E365D">
      <w:pPr>
        <w:spacing w:line="360" w:lineRule="auto"/>
        <w:ind w:firstLine="482" w:firstLineChars="200"/>
        <w:jc w:val="left"/>
        <w:rPr>
          <w:rFonts w:ascii="Times New Roman" w:hAnsi="Times New Roman" w:eastAsia="宋体" w:cs="Times New Roman"/>
          <w:b/>
          <w:sz w:val="24"/>
          <w:szCs w:val="24"/>
        </w:rPr>
      </w:pPr>
    </w:p>
    <w:p w14:paraId="49805B54">
      <w:pPr>
        <w:numPr>
          <w:ilvl w:val="0"/>
          <w:numId w:val="45"/>
        </w:numPr>
        <w:spacing w:line="360" w:lineRule="auto"/>
        <w:jc w:val="left"/>
        <w:outlineLvl w:val="0"/>
        <w:rPr>
          <w:rFonts w:ascii="Times New Roman" w:hAnsi="Times New Roman" w:eastAsia="宋体" w:cs="Times New Roman"/>
          <w:b/>
          <w:sz w:val="24"/>
          <w:szCs w:val="24"/>
        </w:rPr>
      </w:pPr>
      <w:bookmarkStart w:id="1085" w:name="_Toc246"/>
      <w:bookmarkStart w:id="1086" w:name="_Toc28132"/>
      <w:bookmarkStart w:id="1087" w:name="_Toc13937"/>
      <w:bookmarkStart w:id="1088" w:name="_Toc25306"/>
      <w:bookmarkStart w:id="1089" w:name="_Toc32186"/>
      <w:bookmarkStart w:id="1090" w:name="_Toc30204"/>
      <w:bookmarkStart w:id="1091" w:name="_Toc10348"/>
      <w:r>
        <w:rPr>
          <w:rFonts w:hint="eastAsia" w:ascii="Times New Roman" w:hAnsi="Times New Roman" w:eastAsia="宋体" w:cs="Times New Roman"/>
          <w:b/>
          <w:sz w:val="24"/>
          <w:szCs w:val="24"/>
        </w:rPr>
        <w:t>课程简介</w:t>
      </w:r>
      <w:bookmarkEnd w:id="1085"/>
      <w:bookmarkEnd w:id="1086"/>
      <w:bookmarkEnd w:id="1087"/>
      <w:bookmarkEnd w:id="1088"/>
      <w:bookmarkEnd w:id="1089"/>
      <w:bookmarkEnd w:id="1090"/>
      <w:bookmarkEnd w:id="1091"/>
    </w:p>
    <w:p w14:paraId="491A9965">
      <w:pPr>
        <w:spacing w:line="360" w:lineRule="auto"/>
        <w:jc w:val="left"/>
        <w:rPr>
          <w:rFonts w:hint="eastAsia" w:ascii="宋体" w:hAnsi="宋体" w:eastAsia="宋体" w:cs="Times New Roman"/>
          <w:bCs/>
          <w:color w:val="000000"/>
          <w:szCs w:val="21"/>
        </w:rPr>
      </w:pPr>
      <w:r>
        <w:rPr>
          <w:rFonts w:hint="eastAsia" w:ascii="Times New Roman" w:hAnsi="Times New Roman" w:eastAsia="宋体" w:cs="Times New Roman"/>
          <w:b/>
          <w:sz w:val="24"/>
          <w:szCs w:val="24"/>
        </w:rPr>
        <w:t xml:space="preserve">    </w:t>
      </w:r>
      <w:r>
        <w:rPr>
          <w:rFonts w:hint="eastAsia" w:ascii="Times New Roman" w:hAnsi="Times New Roman" w:eastAsia="宋体" w:cs="Times New Roman"/>
          <w:bCs/>
          <w:sz w:val="24"/>
          <w:szCs w:val="24"/>
        </w:rPr>
        <w:t>本课程是小学教育专业选修课程。课程的主要任务是通过展示社会学的独特研究视角与经典研究成果，培养学生分析社会问题和社会现象的学科意识，提高其作为教师的综合人文社科素养，以及对人类一般社会活动的认知能力。</w:t>
      </w:r>
    </w:p>
    <w:p w14:paraId="21E731D6">
      <w:pPr>
        <w:spacing w:line="360" w:lineRule="auto"/>
        <w:jc w:val="left"/>
        <w:outlineLvl w:val="0"/>
        <w:rPr>
          <w:rFonts w:ascii="Times New Roman" w:hAnsi="Times New Roman" w:eastAsia="宋体" w:cs="Times New Roman"/>
          <w:b/>
          <w:sz w:val="24"/>
          <w:szCs w:val="24"/>
        </w:rPr>
      </w:pPr>
      <w:bookmarkStart w:id="1092" w:name="_Toc27526"/>
      <w:bookmarkStart w:id="1093" w:name="_Toc22581"/>
      <w:bookmarkStart w:id="1094" w:name="_Toc27931"/>
      <w:bookmarkStart w:id="1095" w:name="_Toc32414"/>
      <w:bookmarkStart w:id="1096" w:name="_Toc17570"/>
      <w:bookmarkStart w:id="1097" w:name="_Toc11282"/>
      <w:bookmarkStart w:id="1098" w:name="_Toc29486"/>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1092"/>
      <w:bookmarkEnd w:id="1093"/>
      <w:bookmarkEnd w:id="1094"/>
      <w:bookmarkEnd w:id="1095"/>
      <w:bookmarkEnd w:id="1096"/>
      <w:bookmarkEnd w:id="1097"/>
      <w:bookmarkEnd w:id="1098"/>
    </w:p>
    <w:p w14:paraId="591B677A">
      <w:pPr>
        <w:spacing w:line="360" w:lineRule="auto"/>
        <w:ind w:firstLine="422" w:firstLineChars="200"/>
        <w:outlineLvl w:val="1"/>
        <w:rPr>
          <w:rFonts w:hint="eastAsia" w:ascii="宋体" w:hAnsi="宋体" w:eastAsia="宋体" w:cs="Times New Roman"/>
          <w:b/>
          <w:color w:val="000000"/>
          <w:szCs w:val="21"/>
        </w:rPr>
      </w:pPr>
      <w:bookmarkStart w:id="1099" w:name="_Toc20676"/>
      <w:r>
        <w:rPr>
          <w:rFonts w:hint="eastAsia" w:ascii="宋体" w:hAnsi="宋体" w:eastAsia="宋体" w:cs="Times New Roman"/>
          <w:b/>
          <w:color w:val="000000"/>
          <w:szCs w:val="21"/>
        </w:rPr>
        <w:t>（一）课程具体目标</w:t>
      </w:r>
      <w:bookmarkEnd w:id="1099"/>
    </w:p>
    <w:p w14:paraId="35619C7A">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color w:val="000000"/>
          <w:sz w:val="24"/>
          <w:szCs w:val="22"/>
        </w:rPr>
        <w:t>掌握教育社会学的学科性质、研究对象、基本概念，建立教育社会学的研究视角和学科意识。</w:t>
      </w:r>
    </w:p>
    <w:p w14:paraId="13E419D5">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hint="eastAsia" w:ascii="宋体" w:hAnsi="宋体" w:eastAsia="宋体" w:cs="Times New Roman"/>
          <w:color w:val="000000"/>
          <w:sz w:val="24"/>
          <w:szCs w:val="22"/>
        </w:rPr>
        <w:t>理解社会系统的运行规则，掌握分析社会问题的教育社会学理论。</w:t>
      </w:r>
    </w:p>
    <w:p w14:paraId="56C8DD36">
      <w:pPr>
        <w:spacing w:line="360" w:lineRule="auto"/>
        <w:ind w:firstLine="422" w:firstLineChars="200"/>
        <w:jc w:val="left"/>
        <w:rPr>
          <w:rFonts w:hint="eastAsia" w:ascii="宋体" w:hAnsi="宋体" w:eastAsia="宋体" w:cs="Times New Roman"/>
          <w:color w:val="000000"/>
          <w:sz w:val="24"/>
          <w:szCs w:val="22"/>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ascii="Times New Roman" w:hAnsi="Times New Roman" w:eastAsia="宋体" w:cs="Times New Roman"/>
          <w:szCs w:val="21"/>
        </w:rPr>
        <w:t xml:space="preserve"> </w:t>
      </w:r>
      <w:r>
        <w:rPr>
          <w:rFonts w:hint="eastAsia" w:ascii="宋体" w:hAnsi="宋体" w:eastAsia="宋体" w:cs="Times New Roman"/>
          <w:color w:val="000000"/>
          <w:sz w:val="24"/>
          <w:szCs w:val="22"/>
        </w:rPr>
        <w:t>理解社会化、社会角色、社会群体等社会良性运动规律的微观分析，理解个体在社会中的作用，建立分析问题的教育社会学视角和意识。</w:t>
      </w:r>
    </w:p>
    <w:p w14:paraId="2ED40654">
      <w:pPr>
        <w:spacing w:line="360" w:lineRule="auto"/>
        <w:ind w:firstLine="422" w:firstLineChars="200"/>
        <w:rPr>
          <w:rFonts w:hint="eastAsia" w:ascii="宋体" w:hAnsi="等线" w:eastAsia="宋体" w:cs="Times New Roman"/>
          <w:color w:val="000000"/>
          <w:sz w:val="24"/>
          <w:szCs w:val="22"/>
        </w:rPr>
      </w:pPr>
      <w:r>
        <w:rPr>
          <w:rFonts w:hint="eastAsia" w:ascii="宋体" w:hAnsi="宋体" w:eastAsia="宋体" w:cs="Times New Roman"/>
          <w:b/>
          <w:bCs/>
          <w:color w:val="000000"/>
          <w:szCs w:val="21"/>
        </w:rPr>
        <w:t>目标</w:t>
      </w:r>
      <w:r>
        <w:rPr>
          <w:rFonts w:ascii="宋体" w:hAnsi="宋体" w:eastAsia="宋体" w:cs="Times New Roman"/>
          <w:b/>
          <w:bCs/>
          <w:color w:val="000000"/>
          <w:szCs w:val="21"/>
        </w:rPr>
        <w:t>4.</w:t>
      </w:r>
      <w:r>
        <w:rPr>
          <w:rFonts w:hint="eastAsia" w:ascii="宋体" w:hAnsi="宋体" w:eastAsia="宋体" w:cs="Times New Roman"/>
          <w:color w:val="000000"/>
          <w:sz w:val="24"/>
          <w:szCs w:val="22"/>
        </w:rPr>
        <w:t>理解宏观范围内的社会组织、社会分层、社会流动等教育社会学基础问题，掌握使用教育社会学方法分析思考一般社会现象的基本能力。</w:t>
      </w:r>
    </w:p>
    <w:p w14:paraId="77CDA1B6">
      <w:pPr>
        <w:spacing w:line="360" w:lineRule="auto"/>
        <w:ind w:firstLine="422" w:firstLineChars="200"/>
        <w:rPr>
          <w:rFonts w:hint="eastAsia" w:ascii="宋体" w:hAnsi="等线" w:eastAsia="宋体" w:cs="Times New Roman"/>
          <w:color w:val="000000"/>
          <w:sz w:val="24"/>
          <w:szCs w:val="22"/>
        </w:rPr>
      </w:pPr>
      <w:r>
        <w:rPr>
          <w:rFonts w:hint="eastAsia" w:ascii="宋体" w:hAnsi="宋体" w:eastAsia="宋体" w:cs="Times New Roman"/>
          <w:b/>
          <w:bCs/>
          <w:color w:val="000000"/>
          <w:szCs w:val="21"/>
        </w:rPr>
        <w:t>目标</w:t>
      </w:r>
      <w:r>
        <w:rPr>
          <w:rFonts w:ascii="宋体" w:hAnsi="宋体" w:eastAsia="宋体" w:cs="Times New Roman"/>
          <w:b/>
          <w:bCs/>
          <w:color w:val="000000"/>
          <w:szCs w:val="21"/>
        </w:rPr>
        <w:t>5.</w:t>
      </w:r>
      <w:r>
        <w:rPr>
          <w:rFonts w:hint="eastAsia" w:ascii="宋体" w:hAnsi="宋体" w:eastAsia="宋体" w:cs="Times New Roman"/>
          <w:color w:val="000000"/>
          <w:sz w:val="24"/>
          <w:szCs w:val="22"/>
        </w:rPr>
        <w:t>理解社会良性运行规律的反向研究教育社会学问题，掌握使用教育社会学方法分析和思考社会问题、社会控制等教育现象的能力。</w:t>
      </w:r>
    </w:p>
    <w:p w14:paraId="5B37FCB8">
      <w:pPr>
        <w:spacing w:line="360" w:lineRule="auto"/>
        <w:ind w:firstLine="422" w:firstLineChars="200"/>
        <w:rPr>
          <w:rFonts w:hint="eastAsia" w:ascii="宋体" w:hAnsi="宋体" w:eastAsia="宋体" w:cs="Times New Roman"/>
          <w:color w:val="000000"/>
          <w:sz w:val="24"/>
          <w:szCs w:val="22"/>
        </w:rPr>
      </w:pPr>
      <w:r>
        <w:rPr>
          <w:rFonts w:hint="eastAsia" w:ascii="宋体" w:hAnsi="宋体" w:eastAsia="宋体" w:cs="Times New Roman"/>
          <w:b/>
          <w:bCs/>
          <w:color w:val="000000"/>
          <w:szCs w:val="21"/>
        </w:rPr>
        <w:t>目标</w:t>
      </w:r>
      <w:r>
        <w:rPr>
          <w:rFonts w:ascii="宋体" w:hAnsi="宋体" w:eastAsia="宋体" w:cs="Times New Roman"/>
          <w:b/>
          <w:bCs/>
          <w:color w:val="000000"/>
          <w:szCs w:val="21"/>
        </w:rPr>
        <w:t>6.</w:t>
      </w:r>
      <w:r>
        <w:rPr>
          <w:rFonts w:hint="eastAsia" w:ascii="宋体" w:hAnsi="宋体" w:eastAsia="宋体" w:cs="Times New Roman"/>
          <w:color w:val="000000"/>
          <w:sz w:val="24"/>
          <w:szCs w:val="22"/>
        </w:rPr>
        <w:t>了解研究社会运行的常用手段，掌握教育社会学调查和社会问题研究的方法。</w:t>
      </w:r>
    </w:p>
    <w:p w14:paraId="5F63EDCE">
      <w:pPr>
        <w:spacing w:line="360" w:lineRule="auto"/>
        <w:ind w:firstLine="422" w:firstLineChars="200"/>
        <w:outlineLvl w:val="1"/>
        <w:rPr>
          <w:rFonts w:ascii="Times New Roman" w:hAnsi="Times New Roman" w:eastAsia="宋体" w:cs="Times New Roman"/>
          <w:b/>
          <w:bCs/>
          <w:szCs w:val="21"/>
        </w:rPr>
      </w:pPr>
      <w:bookmarkStart w:id="1100" w:name="_Toc9947"/>
      <w:r>
        <w:rPr>
          <w:rFonts w:hint="eastAsia" w:ascii="Times New Roman" w:hAnsi="Times New Roman" w:eastAsia="宋体" w:cs="Times New Roman"/>
          <w:b/>
          <w:bCs/>
          <w:szCs w:val="21"/>
        </w:rPr>
        <w:t>（二）课程目标及其对毕业要求指标点的支撑</w:t>
      </w:r>
      <w:bookmarkEnd w:id="1100"/>
    </w:p>
    <w:tbl>
      <w:tblPr>
        <w:tblStyle w:val="1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5463"/>
        <w:gridCol w:w="1281"/>
      </w:tblGrid>
      <w:tr w14:paraId="2E62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43F17F0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463" w:type="dxa"/>
            <w:vAlign w:val="center"/>
          </w:tcPr>
          <w:p w14:paraId="3C3B199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81" w:type="dxa"/>
            <w:vAlign w:val="center"/>
          </w:tcPr>
          <w:p w14:paraId="2C1B75C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218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69B465AF">
            <w:pPr>
              <w:spacing w:line="276" w:lineRule="auto"/>
              <w:ind w:left="210" w:hanging="210" w:hangingChars="100"/>
              <w:jc w:val="left"/>
              <w:rPr>
                <w:rFonts w:ascii="Times New Roman" w:hAnsi="Times New Roman" w:eastAsia="宋体" w:cs="Times New Roman"/>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师德师范</w:t>
            </w:r>
          </w:p>
        </w:tc>
        <w:tc>
          <w:tcPr>
            <w:tcW w:w="5463" w:type="dxa"/>
            <w:vAlign w:val="center"/>
          </w:tcPr>
          <w:p w14:paraId="685A078C">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Calibri" w:hAnsi="Calibri" w:eastAsia="宋体" w:cs="Times New Roman"/>
                <w:color w:val="000000"/>
                <w:szCs w:val="23"/>
              </w:rPr>
              <w:t>认同中国特色社会主义，践行社会主义核心价值观，以立德树人为己任。</w:t>
            </w:r>
          </w:p>
        </w:tc>
        <w:tc>
          <w:tcPr>
            <w:tcW w:w="1281" w:type="dxa"/>
            <w:vAlign w:val="center"/>
          </w:tcPr>
          <w:p w14:paraId="0B33533E">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r>
      <w:tr w14:paraId="6813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41A2CAB2">
            <w:pPr>
              <w:adjustRightInd w:val="0"/>
              <w:snapToGrid w:val="0"/>
              <w:spacing w:line="276" w:lineRule="auto"/>
              <w:rPr>
                <w:rFonts w:ascii="Times New Roman" w:hAnsi="Times New Roman" w:eastAsia="宋体" w:cs="Times New Roman"/>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hint="eastAsia" w:ascii="宋体" w:hAnsi="宋体" w:eastAsia="宋体" w:cs="Times New Roman"/>
                <w:color w:val="000000"/>
                <w:kern w:val="0"/>
                <w:szCs w:val="21"/>
              </w:rPr>
              <w:t>教育情怀</w:t>
            </w:r>
          </w:p>
        </w:tc>
        <w:tc>
          <w:tcPr>
            <w:tcW w:w="5463" w:type="dxa"/>
            <w:vAlign w:val="center"/>
          </w:tcPr>
          <w:p w14:paraId="688BCFF0">
            <w:pPr>
              <w:adjustRightInd w:val="0"/>
              <w:snapToGrid w:val="0"/>
              <w:spacing w:line="276" w:lineRule="auto"/>
              <w:jc w:val="left"/>
              <w:rPr>
                <w:rFonts w:ascii="Times New Roman" w:hAnsi="Times New Roman" w:eastAsia="宋体" w:cs="Times New Roman"/>
                <w:szCs w:val="21"/>
              </w:rPr>
            </w:pPr>
            <w:r>
              <w:rPr>
                <w:rFonts w:hint="eastAsia" w:ascii="宋体" w:hAnsi="宋体" w:eastAsia="宋体" w:cs="Times New Roman"/>
                <w:szCs w:val="21"/>
              </w:rPr>
              <w:t>指标点</w:t>
            </w:r>
            <w:r>
              <w:rPr>
                <w:rFonts w:ascii="宋体" w:hAnsi="宋体" w:eastAsia="宋体" w:cs="Times New Roman"/>
                <w:szCs w:val="21"/>
              </w:rPr>
              <w:t>2-3</w:t>
            </w:r>
            <w:r>
              <w:rPr>
                <w:rFonts w:hint="eastAsia" w:ascii="宋体" w:hAnsi="宋体" w:eastAsia="宋体" w:cs="Times New Roman"/>
                <w:szCs w:val="21"/>
              </w:rPr>
              <w:t>：具有较好的人文底蕴和科学精神，人格健全，心理健康，情感丰富，为人师表。</w:t>
            </w:r>
          </w:p>
        </w:tc>
        <w:tc>
          <w:tcPr>
            <w:tcW w:w="1281" w:type="dxa"/>
            <w:vAlign w:val="center"/>
          </w:tcPr>
          <w:p w14:paraId="66224F88">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r>
      <w:tr w14:paraId="6BED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restart"/>
            <w:vAlign w:val="center"/>
          </w:tcPr>
          <w:p w14:paraId="6605CCD7">
            <w:pPr>
              <w:adjustRightInd w:val="0"/>
              <w:snapToGrid w:val="0"/>
              <w:spacing w:line="276" w:lineRule="auto"/>
              <w:rPr>
                <w:rFonts w:ascii="Times New Roman" w:hAnsi="Times New Roman" w:eastAsia="宋体" w:cs="Times New Roman"/>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3</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学科素养</w:t>
            </w:r>
          </w:p>
        </w:tc>
        <w:tc>
          <w:tcPr>
            <w:tcW w:w="5463" w:type="dxa"/>
            <w:vAlign w:val="center"/>
          </w:tcPr>
          <w:p w14:paraId="0B96E915">
            <w:pPr>
              <w:adjustRightInd w:val="0"/>
              <w:snapToGrid w:val="0"/>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3-1</w:t>
            </w:r>
            <w:r>
              <w:rPr>
                <w:rFonts w:hint="eastAsia" w:ascii="宋体" w:hAnsi="宋体" w:eastAsia="宋体" w:cs="Times New Roman"/>
                <w:color w:val="000000"/>
                <w:szCs w:val="21"/>
              </w:rPr>
              <w:t>：具有一定的人文社会与科学素养。</w:t>
            </w:r>
          </w:p>
        </w:tc>
        <w:tc>
          <w:tcPr>
            <w:tcW w:w="1281" w:type="dxa"/>
            <w:vAlign w:val="center"/>
          </w:tcPr>
          <w:p w14:paraId="418F1CBE">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r>
      <w:tr w14:paraId="2D70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vAlign w:val="center"/>
          </w:tcPr>
          <w:p w14:paraId="15A4BB66">
            <w:pPr>
              <w:adjustRightInd w:val="0"/>
              <w:snapToGrid w:val="0"/>
              <w:spacing w:line="276" w:lineRule="auto"/>
              <w:rPr>
                <w:rFonts w:ascii="Times New Roman" w:hAnsi="Times New Roman" w:eastAsia="宋体" w:cs="Times New Roman"/>
                <w:szCs w:val="21"/>
              </w:rPr>
            </w:pPr>
          </w:p>
        </w:tc>
        <w:tc>
          <w:tcPr>
            <w:tcW w:w="5463" w:type="dxa"/>
            <w:vAlign w:val="center"/>
          </w:tcPr>
          <w:p w14:paraId="32EA70F7">
            <w:pPr>
              <w:shd w:val="clear" w:color="auto" w:fill="FFFFFF"/>
              <w:adjustRightInd w:val="0"/>
              <w:snapToGrid w:val="0"/>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3-3</w:t>
            </w:r>
            <w:r>
              <w:rPr>
                <w:rFonts w:hint="eastAsia" w:ascii="宋体" w:hAnsi="宋体" w:eastAsia="宋体" w:cs="Times New Roman"/>
                <w:color w:val="000000"/>
                <w:szCs w:val="21"/>
              </w:rPr>
              <w:t>：掌握兼教学科的基本知识、原理和技能，理解兼教学科的知识体系。</w:t>
            </w:r>
          </w:p>
        </w:tc>
        <w:tc>
          <w:tcPr>
            <w:tcW w:w="1281" w:type="dxa"/>
            <w:vAlign w:val="center"/>
          </w:tcPr>
          <w:p w14:paraId="3B6128D1">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r>
      <w:tr w14:paraId="04EF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6847549B">
            <w:pPr>
              <w:adjustRightInd w:val="0"/>
              <w:snapToGrid w:val="0"/>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6</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综合育人</w:t>
            </w:r>
          </w:p>
        </w:tc>
        <w:tc>
          <w:tcPr>
            <w:tcW w:w="5463" w:type="dxa"/>
            <w:vAlign w:val="center"/>
          </w:tcPr>
          <w:p w14:paraId="22408B7E">
            <w:pPr>
              <w:shd w:val="clear" w:color="auto" w:fill="FFFFFF"/>
              <w:adjustRightInd w:val="0"/>
              <w:snapToGrid w:val="0"/>
              <w:spacing w:line="276" w:lineRule="auto"/>
              <w:jc w:val="left"/>
              <w:rPr>
                <w:rFonts w:hint="eastAsia" w:ascii="宋体" w:hAnsi="宋体" w:eastAsia="宋体" w:cs="Times New Roman"/>
                <w:color w:val="000000"/>
                <w:szCs w:val="21"/>
              </w:rPr>
            </w:pPr>
            <w:r>
              <w:rPr>
                <w:rFonts w:hint="eastAsia" w:ascii="宋体" w:hAnsi="Calibri" w:eastAsia="宋体" w:cs="Times New Roman"/>
                <w:color w:val="000000"/>
                <w:szCs w:val="21"/>
              </w:rPr>
              <w:t>指标点</w:t>
            </w:r>
            <w:r>
              <w:rPr>
                <w:rFonts w:ascii="宋体" w:hAnsi="Calibri" w:eastAsia="宋体" w:cs="Times New Roman"/>
                <w:color w:val="000000"/>
                <w:szCs w:val="21"/>
              </w:rPr>
              <w:t>6-2</w:t>
            </w:r>
            <w:r>
              <w:rPr>
                <w:rFonts w:hint="eastAsia" w:ascii="宋体" w:hAnsi="Calibri" w:eastAsia="宋体" w:cs="Times New Roman"/>
                <w:color w:val="000000"/>
                <w:szCs w:val="21"/>
              </w:rPr>
              <w:t>：具备结合学科教学进行育人的意识与能力。</w:t>
            </w:r>
          </w:p>
        </w:tc>
        <w:tc>
          <w:tcPr>
            <w:tcW w:w="1281" w:type="dxa"/>
            <w:vAlign w:val="center"/>
          </w:tcPr>
          <w:p w14:paraId="6AC17BD0">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r>
      <w:tr w14:paraId="59EB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14:paraId="3F8DF405">
            <w:pPr>
              <w:adjustRightInd w:val="0"/>
              <w:snapToGrid w:val="0"/>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学会反思</w:t>
            </w:r>
          </w:p>
        </w:tc>
        <w:tc>
          <w:tcPr>
            <w:tcW w:w="5463" w:type="dxa"/>
            <w:vAlign w:val="center"/>
          </w:tcPr>
          <w:p w14:paraId="59CCCDD2">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7-2</w:t>
            </w:r>
            <w:r>
              <w:rPr>
                <w:rFonts w:hint="eastAsia" w:ascii="宋体" w:hAnsi="宋体" w:eastAsia="宋体" w:cs="Times New Roman"/>
                <w:color w:val="000000"/>
                <w:szCs w:val="21"/>
              </w:rPr>
              <w:t>：具有终身学习和专业发展意识，能适应时代和教育发展需求，进行职业生涯规划和自主学习。</w:t>
            </w:r>
          </w:p>
          <w:p w14:paraId="76AA499B">
            <w:pPr>
              <w:shd w:val="clear" w:color="auto" w:fill="FFFFFF"/>
              <w:adjustRightInd w:val="0"/>
              <w:snapToGrid w:val="0"/>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w:t>
            </w:r>
            <w:r>
              <w:rPr>
                <w:rFonts w:ascii="宋体" w:hAnsi="宋体" w:eastAsia="宋体" w:cs="Times New Roman"/>
                <w:color w:val="000000"/>
                <w:szCs w:val="21"/>
              </w:rPr>
              <w:t>7</w:t>
            </w:r>
            <w:r>
              <w:rPr>
                <w:rFonts w:ascii="宋体" w:hAnsi="Calibri"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：初步掌握反思方法和技能，具有一定创新意识，运用批判性思维方法，学会发现、分析和解决小学教育实践中的问题。</w:t>
            </w:r>
          </w:p>
        </w:tc>
        <w:tc>
          <w:tcPr>
            <w:tcW w:w="1281" w:type="dxa"/>
            <w:vAlign w:val="center"/>
          </w:tcPr>
          <w:p w14:paraId="6BA29F36">
            <w:pPr>
              <w:adjustRightInd w:val="0"/>
              <w:snapToGrid w:val="0"/>
              <w:spacing w:line="276" w:lineRule="auto"/>
              <w:jc w:val="center"/>
              <w:rPr>
                <w:rFonts w:ascii="Times New Roman" w:hAnsi="Times New Roman" w:eastAsia="宋体" w:cs="Times New Roman"/>
                <w:szCs w:val="21"/>
              </w:rPr>
            </w:pPr>
            <w:r>
              <w:rPr>
                <w:rFonts w:hint="eastAsia" w:ascii="宋体" w:hAnsi="宋体" w:eastAsia="宋体" w:cs="宋体"/>
                <w:color w:val="000000"/>
                <w:szCs w:val="21"/>
              </w:rPr>
              <w:t>课程目标</w:t>
            </w:r>
            <w:r>
              <w:rPr>
                <w:rFonts w:ascii="宋体" w:hAnsi="宋体" w:eastAsia="宋体" w:cs="宋体"/>
                <w:color w:val="000000"/>
                <w:szCs w:val="21"/>
              </w:rPr>
              <w:t>6</w:t>
            </w:r>
          </w:p>
        </w:tc>
      </w:tr>
    </w:tbl>
    <w:p w14:paraId="3AD8F516">
      <w:pPr>
        <w:spacing w:before="156" w:beforeLines="50" w:line="360" w:lineRule="auto"/>
        <w:jc w:val="left"/>
        <w:outlineLvl w:val="1"/>
        <w:rPr>
          <w:rFonts w:hint="eastAsia" w:ascii="宋体" w:hAnsi="宋体" w:eastAsia="宋体" w:cs="Times New Roman"/>
          <w:b/>
          <w:szCs w:val="21"/>
        </w:rPr>
      </w:pPr>
      <w:bookmarkStart w:id="1101" w:name="_Toc7677"/>
      <w:r>
        <w:rPr>
          <w:rFonts w:hint="eastAsia" w:ascii="宋体" w:hAnsi="宋体" w:eastAsia="宋体" w:cs="Times New Roman"/>
          <w:b/>
          <w:szCs w:val="21"/>
        </w:rPr>
        <w:t>（三）课程思政目标</w:t>
      </w:r>
      <w:bookmarkEnd w:id="1101"/>
    </w:p>
    <w:p w14:paraId="5F6A46E2">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在系统了解教育社会学的学科知识基础上，学习掌握对现实教育问题的社会学观察视角和思想理念，深入了解教育对个人成长的重要意义，理解教育公平与社会正义的重要性；增进自身专业使命感与社会责任感，关注并参与解决现实社会中存在的各种教育不平等问题；弘扬社会主义核心价值观，通过教育促进社会和谐与进步；培养国际视野，理解全球化背景下的教育交流与合作，增进中华民族文化自信。</w:t>
      </w:r>
    </w:p>
    <w:p w14:paraId="2864432A">
      <w:pPr>
        <w:spacing w:line="360" w:lineRule="auto"/>
        <w:jc w:val="left"/>
        <w:outlineLvl w:val="0"/>
        <w:rPr>
          <w:rFonts w:hint="eastAsia" w:ascii="宋体" w:hAnsi="宋体" w:eastAsia="宋体" w:cs="Times New Roman"/>
          <w:b/>
          <w:color w:val="000000"/>
          <w:sz w:val="24"/>
          <w:szCs w:val="24"/>
        </w:rPr>
      </w:pPr>
      <w:bookmarkStart w:id="1102" w:name="_Toc7609"/>
      <w:bookmarkStart w:id="1103" w:name="_Toc15271"/>
      <w:bookmarkStart w:id="1104" w:name="_Toc20688"/>
      <w:bookmarkStart w:id="1105" w:name="_Toc22014"/>
      <w:bookmarkStart w:id="1106" w:name="_Toc31969"/>
      <w:bookmarkStart w:id="1107" w:name="_Toc18740"/>
      <w:bookmarkStart w:id="1108" w:name="_Toc14998"/>
      <w:r>
        <w:rPr>
          <w:rFonts w:hint="eastAsia" w:ascii="宋体" w:hAnsi="宋体" w:eastAsia="宋体" w:cs="Times New Roman"/>
          <w:b/>
          <w:color w:val="000000"/>
          <w:sz w:val="24"/>
          <w:szCs w:val="24"/>
        </w:rPr>
        <w:t>三、教学内容与预期学习成效</w:t>
      </w:r>
      <w:bookmarkEnd w:id="1102"/>
      <w:bookmarkEnd w:id="1103"/>
      <w:bookmarkEnd w:id="1104"/>
      <w:bookmarkEnd w:id="1105"/>
      <w:bookmarkEnd w:id="1106"/>
      <w:bookmarkEnd w:id="1107"/>
      <w:bookmarkEnd w:id="1108"/>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178"/>
        <w:gridCol w:w="828"/>
        <w:gridCol w:w="3089"/>
        <w:gridCol w:w="1560"/>
        <w:gridCol w:w="438"/>
      </w:tblGrid>
      <w:tr w14:paraId="48F8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538DC1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A77687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178" w:type="dxa"/>
            <w:vAlign w:val="center"/>
          </w:tcPr>
          <w:p w14:paraId="6DB3B37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828" w:type="dxa"/>
            <w:vAlign w:val="center"/>
          </w:tcPr>
          <w:p w14:paraId="22CA037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DE44B2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89" w:type="dxa"/>
            <w:vAlign w:val="center"/>
          </w:tcPr>
          <w:p w14:paraId="6E75C42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7ED1A1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00F382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E5C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48F0F98">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第一章</w:t>
            </w:r>
          </w:p>
          <w:p w14:paraId="7D472ED1">
            <w:pPr>
              <w:spacing w:line="276" w:lineRule="auto"/>
              <w:jc w:val="left"/>
              <w:rPr>
                <w:rFonts w:hint="eastAsia" w:ascii="宋体" w:hAnsi="宋体" w:eastAsia="宋体" w:cs="Times New Roman"/>
                <w:color w:val="000000"/>
                <w:szCs w:val="21"/>
              </w:rPr>
            </w:pPr>
            <w:r>
              <w:rPr>
                <w:rFonts w:hint="eastAsia" w:ascii="宋体" w:hAnsi="宋体" w:eastAsia="宋体" w:cs="宋体"/>
                <w:color w:val="000000"/>
                <w:kern w:val="0"/>
                <w:szCs w:val="21"/>
              </w:rPr>
              <w:t>教育社会学概论</w:t>
            </w:r>
          </w:p>
        </w:tc>
        <w:tc>
          <w:tcPr>
            <w:tcW w:w="2178" w:type="dxa"/>
            <w:vAlign w:val="center"/>
          </w:tcPr>
          <w:p w14:paraId="1255E92A">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1.教育社会学的学科性质、研究对象、学科功能和学科边界；</w:t>
            </w:r>
          </w:p>
          <w:p w14:paraId="641A2D8E">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2.教育社会学的概念、教育社会学研究的方法论；</w:t>
            </w:r>
          </w:p>
          <w:p w14:paraId="51E97CE5">
            <w:pPr>
              <w:spacing w:line="269" w:lineRule="auto"/>
              <w:jc w:val="left"/>
              <w:rPr>
                <w:rFonts w:hint="eastAsia" w:ascii="宋体" w:hAnsi="宋体" w:eastAsia="宋体" w:cs="Times New Roman"/>
                <w:color w:val="000000"/>
                <w:szCs w:val="21"/>
              </w:rPr>
            </w:pPr>
            <w:r>
              <w:rPr>
                <w:rFonts w:hint="eastAsia" w:ascii="宋体" w:hAnsi="宋体" w:eastAsia="宋体" w:cs="宋体"/>
                <w:color w:val="000000"/>
                <w:kern w:val="0"/>
                <w:sz w:val="24"/>
                <w:szCs w:val="24"/>
              </w:rPr>
              <w:t>3.教育社会学的研究视角和学科意识。</w:t>
            </w:r>
          </w:p>
        </w:tc>
        <w:tc>
          <w:tcPr>
            <w:tcW w:w="828" w:type="dxa"/>
            <w:vAlign w:val="center"/>
          </w:tcPr>
          <w:p w14:paraId="4C2F45F3">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089" w:type="dxa"/>
            <w:vAlign w:val="center"/>
          </w:tcPr>
          <w:p w14:paraId="5B414F3F">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1.了解教育社会学的学科性质、研究对象、学科功能和学科边界；</w:t>
            </w:r>
          </w:p>
          <w:p w14:paraId="4723AD06">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2.理解教育社会学的概念、教育社会学研究的方法论；</w:t>
            </w:r>
          </w:p>
          <w:p w14:paraId="5D3E960F">
            <w:pPr>
              <w:widowControl/>
              <w:adjustRightInd w:val="0"/>
              <w:snapToGrid w:val="0"/>
              <w:spacing w:line="360" w:lineRule="auto"/>
              <w:jc w:val="left"/>
              <w:rPr>
                <w:rFonts w:hint="eastAsia" w:ascii="宋体" w:hAnsi="宋体" w:eastAsia="宋体" w:cs="Times New Roman"/>
                <w:color w:val="000000"/>
                <w:szCs w:val="21"/>
              </w:rPr>
            </w:pPr>
            <w:r>
              <w:rPr>
                <w:rFonts w:hint="eastAsia" w:ascii="宋体" w:hAnsi="宋体" w:eastAsia="宋体" w:cs="宋体"/>
                <w:color w:val="000000"/>
                <w:kern w:val="0"/>
                <w:sz w:val="24"/>
                <w:szCs w:val="24"/>
              </w:rPr>
              <w:t>3.掌握教育社会学的研究视角和学科意识。</w:t>
            </w:r>
          </w:p>
        </w:tc>
        <w:tc>
          <w:tcPr>
            <w:tcW w:w="1560" w:type="dxa"/>
            <w:vAlign w:val="center"/>
          </w:tcPr>
          <w:p w14:paraId="621D32E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7A14542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61A228B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993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DD8A73A">
            <w:pPr>
              <w:spacing w:line="264" w:lineRule="auto"/>
              <w:jc w:val="center"/>
              <w:rPr>
                <w:rFonts w:hint="eastAsia" w:ascii="宋体" w:hAnsi="宋体" w:eastAsia="宋体" w:cs="Times New Roman"/>
                <w:color w:val="000000"/>
                <w:szCs w:val="21"/>
              </w:rPr>
            </w:pPr>
          </w:p>
        </w:tc>
        <w:tc>
          <w:tcPr>
            <w:tcW w:w="8093" w:type="dxa"/>
            <w:gridSpan w:val="5"/>
            <w:vAlign w:val="center"/>
          </w:tcPr>
          <w:p w14:paraId="6547BC2D">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E2AA80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增进自身专业使命感与社会责任感，运用社会学视角审视教育问题，关注并乐于参与解决现实社会中存在的各种教育不平等问题。</w:t>
            </w:r>
          </w:p>
        </w:tc>
      </w:tr>
      <w:tr w14:paraId="741C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6CD186">
            <w:pPr>
              <w:widowControl/>
              <w:snapToGrid w:val="0"/>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第二章 </w:t>
            </w:r>
          </w:p>
          <w:p w14:paraId="1217E751">
            <w:pPr>
              <w:widowControl/>
              <w:snapToGrid w:val="0"/>
              <w:spacing w:line="276" w:lineRule="auto"/>
              <w:jc w:val="left"/>
              <w:rPr>
                <w:rFonts w:hint="eastAsia" w:ascii="宋体" w:hAnsi="宋体" w:eastAsia="宋体" w:cs="Times New Roman"/>
                <w:color w:val="000000"/>
                <w:szCs w:val="21"/>
              </w:rPr>
            </w:pPr>
            <w:r>
              <w:rPr>
                <w:rFonts w:hint="eastAsia" w:ascii="宋体" w:hAnsi="宋体" w:eastAsia="宋体" w:cs="宋体"/>
                <w:color w:val="000000"/>
                <w:kern w:val="0"/>
                <w:szCs w:val="21"/>
              </w:rPr>
              <w:t>教育社会学的历史与发展</w:t>
            </w:r>
          </w:p>
        </w:tc>
        <w:tc>
          <w:tcPr>
            <w:tcW w:w="2178" w:type="dxa"/>
            <w:vAlign w:val="center"/>
          </w:tcPr>
          <w:p w14:paraId="29468FDF">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1.中外教育社会学的产生和发展历程；</w:t>
            </w:r>
          </w:p>
          <w:p w14:paraId="3BF1A7A4">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2.我国教育社会学所面临的理论创新困境与突破路径；</w:t>
            </w:r>
          </w:p>
          <w:p w14:paraId="227ACAB3">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3.迪尔凯姆与教育社会学创建的相关内容。</w:t>
            </w:r>
          </w:p>
        </w:tc>
        <w:tc>
          <w:tcPr>
            <w:tcW w:w="828" w:type="dxa"/>
            <w:vAlign w:val="center"/>
          </w:tcPr>
          <w:p w14:paraId="058C812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089" w:type="dxa"/>
            <w:vAlign w:val="center"/>
          </w:tcPr>
          <w:p w14:paraId="0AC3B344">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1.了解中外教育社会学的产生和发展历程；</w:t>
            </w:r>
          </w:p>
          <w:p w14:paraId="11BEBA73">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2.理解我国教育社会学所面临的理论创新困境与突破路径；</w:t>
            </w:r>
          </w:p>
          <w:p w14:paraId="58531E38">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3.掌握迪尔凯姆与教育社会学创建的相关内容。</w:t>
            </w:r>
          </w:p>
          <w:p w14:paraId="3167EA79">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01E875B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54665EE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34F36F6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F68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09747B">
            <w:pPr>
              <w:spacing w:line="264" w:lineRule="auto"/>
              <w:jc w:val="center"/>
              <w:rPr>
                <w:rFonts w:hint="eastAsia" w:ascii="宋体" w:hAnsi="宋体" w:eastAsia="宋体" w:cs="Times New Roman"/>
                <w:color w:val="000000"/>
                <w:szCs w:val="21"/>
              </w:rPr>
            </w:pPr>
          </w:p>
        </w:tc>
        <w:tc>
          <w:tcPr>
            <w:tcW w:w="8093" w:type="dxa"/>
            <w:gridSpan w:val="5"/>
            <w:vAlign w:val="center"/>
          </w:tcPr>
          <w:p w14:paraId="5B3536F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25072F5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拥有国际视野，关注中国教育现实，树立中华文化自信。</w:t>
            </w:r>
          </w:p>
        </w:tc>
      </w:tr>
      <w:tr w14:paraId="25E2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761AC1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第三章 教育社会学的理论流派</w:t>
            </w:r>
          </w:p>
        </w:tc>
        <w:tc>
          <w:tcPr>
            <w:tcW w:w="2178" w:type="dxa"/>
            <w:vAlign w:val="center"/>
          </w:tcPr>
          <w:p w14:paraId="5E6C99E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1.互动论教育社会学理论的基本主张、代表人物及经典研究；</w:t>
            </w:r>
          </w:p>
          <w:p w14:paraId="6E8DE000">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2.功能论教育社会学理论的基本主张、代表人物及经典研究；</w:t>
            </w:r>
          </w:p>
          <w:p w14:paraId="33A7FFA4">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3.冲突论教育社会学理论的基本主张、代表人物及经典研究。</w:t>
            </w:r>
          </w:p>
        </w:tc>
        <w:tc>
          <w:tcPr>
            <w:tcW w:w="828" w:type="dxa"/>
            <w:vAlign w:val="center"/>
          </w:tcPr>
          <w:p w14:paraId="109CCF21">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c>
          <w:tcPr>
            <w:tcW w:w="3089" w:type="dxa"/>
            <w:vAlign w:val="center"/>
          </w:tcPr>
          <w:p w14:paraId="0C6EA979">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1.了解互动论教育社会学理论的基本主张、代表人物及经典研究；</w:t>
            </w:r>
          </w:p>
          <w:p w14:paraId="7C3BCD6D">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2.理解功能论教育社会学理论的基本主张、代表人物及经典研究；</w:t>
            </w:r>
          </w:p>
          <w:p w14:paraId="4EB43D7B">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3.掌握冲突论教育社会学理论的基本主张、代表人物及经典研究。</w:t>
            </w:r>
          </w:p>
          <w:p w14:paraId="514BC5F0">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6B2778D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6BC0B1C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71BC4F6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5B1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AA623F">
            <w:pPr>
              <w:spacing w:line="264" w:lineRule="auto"/>
              <w:jc w:val="center"/>
              <w:rPr>
                <w:rFonts w:hint="eastAsia" w:ascii="宋体" w:hAnsi="宋体" w:eastAsia="宋体" w:cs="Times New Roman"/>
                <w:color w:val="000000"/>
                <w:szCs w:val="21"/>
              </w:rPr>
            </w:pPr>
          </w:p>
        </w:tc>
        <w:tc>
          <w:tcPr>
            <w:tcW w:w="8093" w:type="dxa"/>
            <w:gridSpan w:val="5"/>
            <w:vAlign w:val="center"/>
          </w:tcPr>
          <w:p w14:paraId="5C1E5A6F">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242ABF4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放眼世界，拓展国际视野，关注人类共同体所共同关注的教育公平；形成理性分析的社会学思维。</w:t>
            </w:r>
          </w:p>
        </w:tc>
      </w:tr>
      <w:tr w14:paraId="6C39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EF7C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第四章 教育与个体社会化</w:t>
            </w:r>
          </w:p>
        </w:tc>
        <w:tc>
          <w:tcPr>
            <w:tcW w:w="2178" w:type="dxa"/>
            <w:vAlign w:val="center"/>
          </w:tcPr>
          <w:p w14:paraId="24ED484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1.个体社会学的基本类型与主要理论；</w:t>
            </w:r>
          </w:p>
          <w:p w14:paraId="09314DCD">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2.个体社会化的主要内容；</w:t>
            </w:r>
          </w:p>
          <w:p w14:paraId="0B0FBAD6">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3.教育在个体社会化中的作用。</w:t>
            </w:r>
          </w:p>
        </w:tc>
        <w:tc>
          <w:tcPr>
            <w:tcW w:w="828" w:type="dxa"/>
            <w:vAlign w:val="center"/>
          </w:tcPr>
          <w:p w14:paraId="64F130A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w:t>
            </w:r>
          </w:p>
        </w:tc>
        <w:tc>
          <w:tcPr>
            <w:tcW w:w="3089" w:type="dxa"/>
            <w:vAlign w:val="center"/>
          </w:tcPr>
          <w:p w14:paraId="183CAC3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1.了解个体社会学的基本类型与主要理论；</w:t>
            </w:r>
          </w:p>
          <w:p w14:paraId="31D04F0F">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2.理解个体社会化的主要内容；</w:t>
            </w:r>
          </w:p>
          <w:p w14:paraId="11A242E7">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3.掌握教育在个体社会化中的作用。</w:t>
            </w:r>
          </w:p>
        </w:tc>
        <w:tc>
          <w:tcPr>
            <w:tcW w:w="1560" w:type="dxa"/>
            <w:vAlign w:val="center"/>
          </w:tcPr>
          <w:p w14:paraId="6DAB98B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4420715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60DEC34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E50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B8C1C9">
            <w:pPr>
              <w:spacing w:line="276" w:lineRule="auto"/>
              <w:jc w:val="center"/>
              <w:rPr>
                <w:rFonts w:hint="eastAsia" w:ascii="宋体" w:hAnsi="宋体" w:eastAsia="宋体" w:cs="Times New Roman"/>
                <w:color w:val="000000"/>
                <w:szCs w:val="21"/>
              </w:rPr>
            </w:pPr>
          </w:p>
        </w:tc>
        <w:tc>
          <w:tcPr>
            <w:tcW w:w="8093" w:type="dxa"/>
            <w:gridSpan w:val="5"/>
            <w:vAlign w:val="center"/>
          </w:tcPr>
          <w:p w14:paraId="2D7B8298">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3DD8594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以社会主义核心价值观中的</w:t>
            </w:r>
            <w:r>
              <w:rPr>
                <w:rFonts w:ascii="宋体" w:hAnsi="宋体" w:eastAsia="宋体" w:cs="Times New Roman"/>
                <w:color w:val="000000"/>
                <w:szCs w:val="21"/>
              </w:rPr>
              <w:t>爱国、敬业、诚信、友善</w:t>
            </w:r>
            <w:r>
              <w:rPr>
                <w:rFonts w:hint="eastAsia" w:ascii="宋体" w:hAnsi="宋体" w:eastAsia="宋体" w:cs="Times New Roman"/>
                <w:color w:val="000000"/>
                <w:szCs w:val="21"/>
              </w:rPr>
              <w:t>来作为</w:t>
            </w:r>
            <w:r>
              <w:rPr>
                <w:rFonts w:ascii="宋体" w:hAnsi="宋体" w:eastAsia="宋体" w:cs="Times New Roman"/>
                <w:color w:val="000000"/>
                <w:szCs w:val="21"/>
              </w:rPr>
              <w:t>公民个人层面的价值准则</w:t>
            </w:r>
            <w:r>
              <w:rPr>
                <w:rFonts w:hint="eastAsia" w:ascii="宋体" w:hAnsi="宋体" w:eastAsia="宋体" w:cs="Times New Roman"/>
                <w:color w:val="000000"/>
                <w:szCs w:val="21"/>
              </w:rPr>
              <w:t>，提升公民素养，为国育才，为党育人。</w:t>
            </w:r>
          </w:p>
        </w:tc>
      </w:tr>
      <w:tr w14:paraId="0B82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3C2A6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第五章 教育与社会民主</w:t>
            </w:r>
          </w:p>
        </w:tc>
        <w:tc>
          <w:tcPr>
            <w:tcW w:w="2178" w:type="dxa"/>
            <w:vAlign w:val="center"/>
          </w:tcPr>
          <w:p w14:paraId="05CD5464">
            <w:pPr>
              <w:widowControl/>
              <w:adjustRightInd w:val="0"/>
              <w:snapToGrid w:val="0"/>
              <w:spacing w:line="360" w:lineRule="auto"/>
              <w:jc w:val="left"/>
              <w:rPr>
                <w:rFonts w:ascii="宋体" w:hAnsi="宋体" w:eastAsia="宋体" w:cs="宋体"/>
                <w:color w:val="000000"/>
                <w:kern w:val="0"/>
                <w:szCs w:val="21"/>
              </w:rPr>
            </w:pPr>
            <w:r>
              <w:rPr>
                <w:rFonts w:hint="eastAsia" w:ascii="宋体" w:hAnsi="宋体" w:eastAsia="宋体" w:cs="宋体"/>
                <w:color w:val="000000"/>
                <w:kern w:val="0"/>
                <w:szCs w:val="21"/>
              </w:rPr>
              <w:t>1.民主的概念和历史发展；</w:t>
            </w:r>
          </w:p>
          <w:p w14:paraId="1E4068C5">
            <w:pPr>
              <w:widowControl/>
              <w:adjustRightInd w:val="0"/>
              <w:snapToGrid w:val="0"/>
              <w:spacing w:line="360"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2.民主教育与教育民主；</w:t>
            </w:r>
          </w:p>
          <w:p w14:paraId="25E31FD1">
            <w:pPr>
              <w:widowControl/>
              <w:adjustRightInd w:val="0"/>
              <w:snapToGrid w:val="0"/>
              <w:spacing w:line="360"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3.民主教育与民主素质研究的两种理论视角；</w:t>
            </w:r>
          </w:p>
          <w:p w14:paraId="7BAD6484">
            <w:pPr>
              <w:widowControl/>
              <w:adjustRightInd w:val="0"/>
              <w:snapToGrid w:val="0"/>
              <w:spacing w:line="360"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4.我国高中生民主素质与学校民主教育的现状。</w:t>
            </w:r>
          </w:p>
        </w:tc>
        <w:tc>
          <w:tcPr>
            <w:tcW w:w="828" w:type="dxa"/>
            <w:vAlign w:val="center"/>
          </w:tcPr>
          <w:p w14:paraId="3B8D5E3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     课程目标3/4</w:t>
            </w:r>
          </w:p>
        </w:tc>
        <w:tc>
          <w:tcPr>
            <w:tcW w:w="3089" w:type="dxa"/>
            <w:vAlign w:val="center"/>
          </w:tcPr>
          <w:p w14:paraId="77CCCD1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1.了解民主的概念和历史发展；</w:t>
            </w:r>
          </w:p>
          <w:p w14:paraId="2B2B6FB7">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2.区分民主教育与教育民主；</w:t>
            </w:r>
          </w:p>
          <w:p w14:paraId="207FCD90">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3.理解民主教育与民主素质研究的两种理论视角；</w:t>
            </w:r>
          </w:p>
          <w:p w14:paraId="3C451805">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4.掌握我国高中生民主素质与学校民主教育的现状。</w:t>
            </w:r>
          </w:p>
          <w:p w14:paraId="5DEBD7D3">
            <w:pPr>
              <w:widowControl/>
              <w:adjustRightInd w:val="0"/>
              <w:snapToGrid w:val="0"/>
              <w:spacing w:line="360" w:lineRule="auto"/>
              <w:jc w:val="left"/>
              <w:rPr>
                <w:rFonts w:hint="eastAsia" w:ascii="宋体" w:hAnsi="宋体" w:eastAsia="宋体" w:cs="宋体"/>
                <w:color w:val="000000"/>
                <w:kern w:val="0"/>
                <w:sz w:val="24"/>
                <w:szCs w:val="24"/>
              </w:rPr>
            </w:pPr>
          </w:p>
        </w:tc>
        <w:tc>
          <w:tcPr>
            <w:tcW w:w="1560" w:type="dxa"/>
            <w:vAlign w:val="center"/>
          </w:tcPr>
          <w:p w14:paraId="124586E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3C3C82B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小组模拟</w:t>
            </w:r>
          </w:p>
        </w:tc>
        <w:tc>
          <w:tcPr>
            <w:tcW w:w="438" w:type="dxa"/>
            <w:vAlign w:val="center"/>
          </w:tcPr>
          <w:p w14:paraId="113DFC1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78C3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C33B183">
            <w:pPr>
              <w:spacing w:line="276" w:lineRule="auto"/>
              <w:jc w:val="center"/>
              <w:rPr>
                <w:rFonts w:hint="eastAsia" w:ascii="宋体" w:hAnsi="宋体" w:eastAsia="宋体" w:cs="Times New Roman"/>
                <w:color w:val="000000"/>
                <w:szCs w:val="21"/>
              </w:rPr>
            </w:pPr>
          </w:p>
        </w:tc>
        <w:tc>
          <w:tcPr>
            <w:tcW w:w="8093" w:type="dxa"/>
            <w:gridSpan w:val="5"/>
            <w:vAlign w:val="center"/>
          </w:tcPr>
          <w:p w14:paraId="4A550BD2">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00BDAC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践行社会主义核心价值观，强化提升公民民主素养的意识,立志发展素质教育。</w:t>
            </w:r>
          </w:p>
        </w:tc>
      </w:tr>
      <w:tr w14:paraId="3D74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C358CB">
            <w:pPr>
              <w:widowControl/>
              <w:snapToGrid w:val="0"/>
              <w:spacing w:line="276" w:lineRule="auto"/>
              <w:jc w:val="left"/>
              <w:rPr>
                <w:rFonts w:hint="eastAsia" w:ascii="宋体" w:hAnsi="宋体" w:eastAsia="宋体" w:cs="Times New Roman"/>
                <w:color w:val="000000"/>
                <w:szCs w:val="21"/>
              </w:rPr>
            </w:pPr>
            <w:r>
              <w:rPr>
                <w:rFonts w:hint="eastAsia" w:ascii="宋体" w:hAnsi="宋体" w:eastAsia="宋体" w:cs="宋体"/>
                <w:color w:val="000000"/>
                <w:kern w:val="0"/>
                <w:szCs w:val="21"/>
              </w:rPr>
              <w:t>第六章 教育与社会分层、社会流动</w:t>
            </w:r>
          </w:p>
        </w:tc>
        <w:tc>
          <w:tcPr>
            <w:tcW w:w="2178" w:type="dxa"/>
            <w:vAlign w:val="center"/>
          </w:tcPr>
          <w:p w14:paraId="5EE3F9F2">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1.社会流动与教育的关系；</w:t>
            </w:r>
          </w:p>
          <w:p w14:paraId="54B23603">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2.社会分层理论以及两种类型的教育机会均等概念；</w:t>
            </w:r>
          </w:p>
          <w:p w14:paraId="116DE233">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3.社会分层与教育机会均等的经典研究。</w:t>
            </w:r>
          </w:p>
        </w:tc>
        <w:tc>
          <w:tcPr>
            <w:tcW w:w="828" w:type="dxa"/>
            <w:vAlign w:val="center"/>
          </w:tcPr>
          <w:p w14:paraId="1DB2CC9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课程目标4</w:t>
            </w:r>
          </w:p>
        </w:tc>
        <w:tc>
          <w:tcPr>
            <w:tcW w:w="3089" w:type="dxa"/>
            <w:vAlign w:val="center"/>
          </w:tcPr>
          <w:p w14:paraId="3B2ACE3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1.了解社会流动与教育的关系；</w:t>
            </w:r>
          </w:p>
          <w:p w14:paraId="09A31D9E">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2.理解社会分层理论以及两种类型的教育机会均等概念；</w:t>
            </w:r>
          </w:p>
          <w:p w14:paraId="070D5AB6">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3.掌握社会分层与教育机会均等的经典研究。</w:t>
            </w:r>
          </w:p>
          <w:p w14:paraId="531FA655">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2576CAB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6DCD18E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0AC2D69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0775BCA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5D77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DF8289">
            <w:pPr>
              <w:spacing w:line="276" w:lineRule="auto"/>
              <w:jc w:val="center"/>
              <w:rPr>
                <w:rFonts w:hint="eastAsia" w:ascii="宋体" w:hAnsi="宋体" w:eastAsia="宋体" w:cs="Times New Roman"/>
                <w:color w:val="000000"/>
                <w:szCs w:val="21"/>
              </w:rPr>
            </w:pPr>
          </w:p>
        </w:tc>
        <w:tc>
          <w:tcPr>
            <w:tcW w:w="8093" w:type="dxa"/>
            <w:gridSpan w:val="5"/>
            <w:vAlign w:val="center"/>
          </w:tcPr>
          <w:p w14:paraId="5E8E1284">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B09A66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理性看待教育不平等不均衡现象；端正教育观，平等地对待来自不同家庭的每一位学生；关心关注城乡教育差距下的教育不平衡问题；积极帮助弱势群体子女公平普惠地接受教育指导或教育服务。</w:t>
            </w:r>
          </w:p>
        </w:tc>
      </w:tr>
      <w:tr w14:paraId="01BE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5751C9">
            <w:pPr>
              <w:spacing w:line="276" w:lineRule="auto"/>
              <w:jc w:val="left"/>
              <w:rPr>
                <w:rFonts w:hint="eastAsia" w:ascii="宋体" w:hAnsi="宋体" w:eastAsia="宋体" w:cs="Times New Roman"/>
                <w:szCs w:val="21"/>
              </w:rPr>
            </w:pPr>
            <w:r>
              <w:rPr>
                <w:rFonts w:hint="eastAsia" w:ascii="宋体" w:hAnsi="宋体" w:eastAsia="宋体" w:cs="Times New Roman"/>
                <w:color w:val="000000"/>
                <w:szCs w:val="21"/>
              </w:rPr>
              <w:t>第七章 学校的社会学分析</w:t>
            </w:r>
          </w:p>
        </w:tc>
        <w:tc>
          <w:tcPr>
            <w:tcW w:w="2178" w:type="dxa"/>
            <w:vAlign w:val="center"/>
          </w:tcPr>
          <w:p w14:paraId="4B6BFE91">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1.学校是一种制度化的社会组织；</w:t>
            </w:r>
          </w:p>
          <w:p w14:paraId="3B75ED4D">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2.学校组织文化以及学校组织中的各种亚文化；</w:t>
            </w:r>
          </w:p>
          <w:p w14:paraId="5CA8F028">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3.学生越轨行为的表现、成因与对策。</w:t>
            </w:r>
          </w:p>
        </w:tc>
        <w:tc>
          <w:tcPr>
            <w:tcW w:w="828" w:type="dxa"/>
            <w:vAlign w:val="center"/>
          </w:tcPr>
          <w:p w14:paraId="55FF374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课程目标4</w:t>
            </w:r>
          </w:p>
        </w:tc>
        <w:tc>
          <w:tcPr>
            <w:tcW w:w="3089" w:type="dxa"/>
            <w:vAlign w:val="center"/>
          </w:tcPr>
          <w:p w14:paraId="2805B28F">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1.了解学校是一种制度化的社会组织；</w:t>
            </w:r>
          </w:p>
          <w:p w14:paraId="615DF872">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2.理解学校组织文化以及学校组织中的各种亚文化；</w:t>
            </w:r>
          </w:p>
          <w:p w14:paraId="5A859A21">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3.掌握学生越轨行为的表现、成因与对策。</w:t>
            </w:r>
          </w:p>
        </w:tc>
        <w:tc>
          <w:tcPr>
            <w:tcW w:w="1560" w:type="dxa"/>
            <w:vAlign w:val="center"/>
          </w:tcPr>
          <w:p w14:paraId="35A5DE8A">
            <w:pPr>
              <w:spacing w:line="276" w:lineRule="auto"/>
              <w:jc w:val="left"/>
              <w:rPr>
                <w:rFonts w:ascii="宋体" w:hAnsi="宋体" w:eastAsia="宋体" w:cs="Times New Roman"/>
                <w:color w:val="000000"/>
                <w:szCs w:val="21"/>
              </w:rPr>
            </w:pPr>
          </w:p>
          <w:p w14:paraId="72F56265">
            <w:pPr>
              <w:spacing w:line="276" w:lineRule="auto"/>
              <w:jc w:val="left"/>
              <w:rPr>
                <w:rFonts w:ascii="宋体" w:hAnsi="宋体" w:eastAsia="宋体" w:cs="Times New Roman"/>
                <w:color w:val="000000"/>
                <w:szCs w:val="21"/>
              </w:rPr>
            </w:pPr>
          </w:p>
          <w:p w14:paraId="32EB113F">
            <w:pPr>
              <w:spacing w:line="276" w:lineRule="auto"/>
              <w:jc w:val="left"/>
              <w:rPr>
                <w:rFonts w:ascii="宋体" w:hAnsi="宋体" w:eastAsia="宋体" w:cs="Times New Roman"/>
                <w:color w:val="000000"/>
                <w:szCs w:val="21"/>
              </w:rPr>
            </w:pPr>
          </w:p>
          <w:p w14:paraId="4BA4A27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2336507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1E05993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小组分享</w:t>
            </w:r>
          </w:p>
        </w:tc>
        <w:tc>
          <w:tcPr>
            <w:tcW w:w="438" w:type="dxa"/>
            <w:vAlign w:val="center"/>
          </w:tcPr>
          <w:p w14:paraId="27A8CAC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2FAF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58BD24">
            <w:pPr>
              <w:spacing w:line="276" w:lineRule="auto"/>
              <w:jc w:val="center"/>
              <w:rPr>
                <w:rFonts w:hint="eastAsia" w:ascii="宋体" w:hAnsi="宋体" w:eastAsia="宋体" w:cs="Times New Roman"/>
                <w:color w:val="000000"/>
                <w:szCs w:val="21"/>
              </w:rPr>
            </w:pPr>
          </w:p>
        </w:tc>
        <w:tc>
          <w:tcPr>
            <w:tcW w:w="8093" w:type="dxa"/>
            <w:gridSpan w:val="5"/>
            <w:vAlign w:val="center"/>
          </w:tcPr>
          <w:p w14:paraId="6C9543F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1DDAA24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理性看待学生行为失范（包括越轨和违法），倡导我国社会中主流价值观，引导学生健康成长，符合我国社会及新时代的期待和要求。</w:t>
            </w:r>
          </w:p>
        </w:tc>
      </w:tr>
      <w:tr w14:paraId="0CD8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0486F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 xml:space="preserve">第八章 </w:t>
            </w:r>
          </w:p>
          <w:p w14:paraId="46DD0C3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班级的社会学分析</w:t>
            </w:r>
          </w:p>
        </w:tc>
        <w:tc>
          <w:tcPr>
            <w:tcW w:w="2178" w:type="dxa"/>
            <w:vAlign w:val="center"/>
          </w:tcPr>
          <w:p w14:paraId="2995A818">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1.班级的社会属性；</w:t>
            </w:r>
          </w:p>
          <w:p w14:paraId="4ED10F85">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2.班级群体的定位分析以及对班级进行组织分析的不足；</w:t>
            </w:r>
          </w:p>
          <w:p w14:paraId="0C538A8F">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3.班集体组织与建设的相关理论与对策。</w:t>
            </w:r>
          </w:p>
        </w:tc>
        <w:tc>
          <w:tcPr>
            <w:tcW w:w="828" w:type="dxa"/>
            <w:vAlign w:val="center"/>
          </w:tcPr>
          <w:p w14:paraId="3BB9653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课程目标5</w:t>
            </w:r>
          </w:p>
        </w:tc>
        <w:tc>
          <w:tcPr>
            <w:tcW w:w="3089" w:type="dxa"/>
            <w:vAlign w:val="center"/>
          </w:tcPr>
          <w:p w14:paraId="2B8FBE63">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1.了解班级的社会属性；</w:t>
            </w:r>
          </w:p>
          <w:p w14:paraId="3C899116">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2.理解班级群体的定位分析以及对班级进行组织分析的不足；</w:t>
            </w:r>
          </w:p>
          <w:p w14:paraId="7406B82E">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3.掌握班集体组织与建设的相关理论与对策。</w:t>
            </w:r>
          </w:p>
          <w:p w14:paraId="041E87EA">
            <w:pPr>
              <w:widowControl/>
              <w:adjustRightInd w:val="0"/>
              <w:snapToGrid w:val="0"/>
              <w:spacing w:line="360" w:lineRule="auto"/>
              <w:jc w:val="left"/>
              <w:rPr>
                <w:rFonts w:hint="eastAsia" w:ascii="宋体" w:hAnsi="宋体" w:eastAsia="宋体" w:cs="宋体"/>
                <w:color w:val="000000"/>
                <w:kern w:val="0"/>
                <w:sz w:val="24"/>
                <w:szCs w:val="24"/>
              </w:rPr>
            </w:pPr>
          </w:p>
          <w:p w14:paraId="646C13DF">
            <w:pPr>
              <w:spacing w:line="264" w:lineRule="auto"/>
              <w:jc w:val="left"/>
              <w:rPr>
                <w:rFonts w:hint="eastAsia" w:ascii="宋体" w:hAnsi="宋体" w:eastAsia="宋体" w:cs="Times New Roman"/>
                <w:color w:val="000000"/>
                <w:szCs w:val="21"/>
              </w:rPr>
            </w:pPr>
          </w:p>
        </w:tc>
        <w:tc>
          <w:tcPr>
            <w:tcW w:w="1560" w:type="dxa"/>
            <w:vAlign w:val="center"/>
          </w:tcPr>
          <w:p w14:paraId="264F41EE">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325770A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2956843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50A420F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7C5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3D986BB">
            <w:pPr>
              <w:spacing w:line="264" w:lineRule="auto"/>
              <w:jc w:val="center"/>
              <w:rPr>
                <w:rFonts w:hint="eastAsia" w:ascii="宋体" w:hAnsi="宋体" w:eastAsia="宋体" w:cs="Times New Roman"/>
                <w:color w:val="000000"/>
                <w:szCs w:val="21"/>
              </w:rPr>
            </w:pPr>
          </w:p>
        </w:tc>
        <w:tc>
          <w:tcPr>
            <w:tcW w:w="8093" w:type="dxa"/>
            <w:gridSpan w:val="5"/>
            <w:vAlign w:val="center"/>
          </w:tcPr>
          <w:p w14:paraId="2706D993">
            <w:pPr>
              <w:spacing w:line="264" w:lineRule="auto"/>
              <w:jc w:val="left"/>
              <w:rPr>
                <w:rFonts w:ascii="宋体" w:hAnsi="宋体" w:eastAsia="宋体" w:cs="Times New Roman"/>
                <w:b/>
                <w:color w:val="000000"/>
                <w:szCs w:val="21"/>
              </w:rPr>
            </w:pPr>
            <w:r>
              <w:rPr>
                <w:rFonts w:hint="eastAsia" w:ascii="宋体" w:hAnsi="宋体" w:eastAsia="宋体" w:cs="Times New Roman"/>
                <w:b/>
                <w:color w:val="000000"/>
                <w:szCs w:val="21"/>
              </w:rPr>
              <w:t>课程思政目标：</w:t>
            </w:r>
          </w:p>
          <w:p w14:paraId="5AB6B15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 树立社会学视角审视班级、班级组织与建设；引导学生通过不同职务体验民主管理并建设班集体；强化通过优良班风文化建设引导非正式组织、非正式结构等的健康发展。</w:t>
            </w:r>
          </w:p>
        </w:tc>
      </w:tr>
      <w:tr w14:paraId="1CE4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5585BD4">
            <w:pPr>
              <w:spacing w:line="276" w:lineRule="auto"/>
              <w:jc w:val="left"/>
              <w:rPr>
                <w:rFonts w:ascii="宋体" w:hAnsi="宋体" w:eastAsia="宋体" w:cs="Times New Roman"/>
                <w:color w:val="000000"/>
                <w:szCs w:val="21"/>
              </w:rPr>
            </w:pPr>
            <w:bookmarkStart w:id="1109" w:name="_Hlk184664434"/>
            <w:r>
              <w:rPr>
                <w:rFonts w:hint="eastAsia" w:ascii="宋体" w:hAnsi="宋体" w:eastAsia="宋体" w:cs="Times New Roman"/>
                <w:color w:val="000000"/>
                <w:szCs w:val="21"/>
              </w:rPr>
              <w:t>第九章</w:t>
            </w:r>
          </w:p>
          <w:p w14:paraId="564D20B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课程的社会学分析</w:t>
            </w:r>
          </w:p>
        </w:tc>
        <w:tc>
          <w:tcPr>
            <w:tcW w:w="2178" w:type="dxa"/>
            <w:vAlign w:val="center"/>
          </w:tcPr>
          <w:p w14:paraId="1012620A">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1.课程类型与课程社会学的产生与发展历程；</w:t>
            </w:r>
          </w:p>
          <w:p w14:paraId="25E88733">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2.课程研究的社会学范式；</w:t>
            </w:r>
          </w:p>
          <w:p w14:paraId="090CB68D">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3.后现代课程观的特征价值与理论缺陷。</w:t>
            </w:r>
          </w:p>
        </w:tc>
        <w:tc>
          <w:tcPr>
            <w:tcW w:w="828" w:type="dxa"/>
            <w:vAlign w:val="center"/>
          </w:tcPr>
          <w:p w14:paraId="7BD74C2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课程目标6</w:t>
            </w:r>
          </w:p>
        </w:tc>
        <w:tc>
          <w:tcPr>
            <w:tcW w:w="3089" w:type="dxa"/>
            <w:vAlign w:val="center"/>
          </w:tcPr>
          <w:p w14:paraId="270D725E">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1.了解课程类型与课程社会学的产生与发展历程；</w:t>
            </w:r>
          </w:p>
          <w:p w14:paraId="6B321A7E">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2.理解课程研究的社会学范式；</w:t>
            </w:r>
          </w:p>
          <w:p w14:paraId="2494B392">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3.掌握后现代课程观的特征价值与理论缺陷。</w:t>
            </w:r>
          </w:p>
          <w:p w14:paraId="404A8CB0">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5CABA4B5">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教师讲授</w:t>
            </w:r>
          </w:p>
          <w:p w14:paraId="71E8E09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案例分析</w:t>
            </w:r>
          </w:p>
          <w:p w14:paraId="553A27B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70EA3BD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5814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8CA8413">
            <w:pPr>
              <w:spacing w:line="264" w:lineRule="auto"/>
              <w:jc w:val="center"/>
              <w:rPr>
                <w:rFonts w:hint="eastAsia" w:ascii="宋体" w:hAnsi="宋体" w:eastAsia="宋体" w:cs="Times New Roman"/>
                <w:color w:val="000000"/>
                <w:szCs w:val="21"/>
              </w:rPr>
            </w:pPr>
          </w:p>
        </w:tc>
        <w:tc>
          <w:tcPr>
            <w:tcW w:w="8093" w:type="dxa"/>
            <w:gridSpan w:val="5"/>
            <w:vAlign w:val="center"/>
          </w:tcPr>
          <w:p w14:paraId="71EE9663">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170B823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能够辩证地理解课程的社会本质，理解课程在现代社会的重要价值，增进教师和学生对于课程的适应性，积极迎接新课程。</w:t>
            </w:r>
          </w:p>
        </w:tc>
      </w:tr>
      <w:bookmarkEnd w:id="1109"/>
      <w:tr w14:paraId="39F8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CCF422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 xml:space="preserve">第十章 </w:t>
            </w:r>
          </w:p>
          <w:p w14:paraId="6E6AC4F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教学的社会学分析</w:t>
            </w:r>
          </w:p>
        </w:tc>
        <w:tc>
          <w:tcPr>
            <w:tcW w:w="2178" w:type="dxa"/>
            <w:vAlign w:val="center"/>
          </w:tcPr>
          <w:p w14:paraId="27117CD6">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1.教学的职业地位与影响因素；</w:t>
            </w:r>
          </w:p>
          <w:p w14:paraId="3D449551">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2.教学中教师角色，包括教师权威和教师专业化、教师压力与职业倦怠等；</w:t>
            </w:r>
          </w:p>
          <w:p w14:paraId="49C0EE6C">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3.教学中的学生角色；</w:t>
            </w:r>
          </w:p>
          <w:p w14:paraId="0AEDA934">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4.影响教学效果的社会因素。</w:t>
            </w:r>
          </w:p>
        </w:tc>
        <w:tc>
          <w:tcPr>
            <w:tcW w:w="828" w:type="dxa"/>
            <w:vAlign w:val="center"/>
          </w:tcPr>
          <w:p w14:paraId="62F68852">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课程目标6</w:t>
            </w:r>
          </w:p>
        </w:tc>
        <w:tc>
          <w:tcPr>
            <w:tcW w:w="3089" w:type="dxa"/>
            <w:vAlign w:val="center"/>
          </w:tcPr>
          <w:p w14:paraId="69DA4847">
            <w:pPr>
              <w:widowControl/>
              <w:adjustRightInd w:val="0"/>
              <w:snapToGrid w:val="0"/>
              <w:spacing w:line="36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1.了解教学的职业地位与影响因素；</w:t>
            </w:r>
          </w:p>
          <w:p w14:paraId="61295726">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2.理解教学中教师角色，包括教师权威和教师专业化、教师压力与职业倦怠等；</w:t>
            </w:r>
          </w:p>
          <w:p w14:paraId="5A19D002">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3.理解教学中的学生角色；</w:t>
            </w:r>
          </w:p>
          <w:p w14:paraId="74DC74B6">
            <w:pPr>
              <w:widowControl/>
              <w:adjustRightInd w:val="0"/>
              <w:snapToGrid w:val="0"/>
              <w:spacing w:line="360" w:lineRule="auto"/>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4.掌握影响教学效果的社会因素。</w:t>
            </w:r>
          </w:p>
          <w:p w14:paraId="5DF4B1FE">
            <w:pPr>
              <w:widowControl/>
              <w:adjustRightInd w:val="0"/>
              <w:snapToGrid w:val="0"/>
              <w:spacing w:line="360" w:lineRule="auto"/>
              <w:jc w:val="left"/>
              <w:rPr>
                <w:rFonts w:hint="eastAsia" w:ascii="宋体" w:hAnsi="宋体" w:eastAsia="宋体" w:cs="Times New Roman"/>
                <w:color w:val="000000"/>
                <w:szCs w:val="21"/>
              </w:rPr>
            </w:pPr>
          </w:p>
        </w:tc>
        <w:tc>
          <w:tcPr>
            <w:tcW w:w="1560" w:type="dxa"/>
            <w:vAlign w:val="center"/>
          </w:tcPr>
          <w:p w14:paraId="23189C3F">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案例分析</w:t>
            </w:r>
          </w:p>
          <w:p w14:paraId="1E4A258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6408D07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5F2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EB4A24F">
            <w:pPr>
              <w:spacing w:line="264" w:lineRule="auto"/>
              <w:jc w:val="center"/>
              <w:rPr>
                <w:rFonts w:hint="eastAsia" w:ascii="宋体" w:hAnsi="宋体" w:eastAsia="宋体" w:cs="Times New Roman"/>
                <w:color w:val="000000"/>
                <w:szCs w:val="21"/>
              </w:rPr>
            </w:pPr>
          </w:p>
        </w:tc>
        <w:tc>
          <w:tcPr>
            <w:tcW w:w="8093" w:type="dxa"/>
            <w:gridSpan w:val="5"/>
            <w:vAlign w:val="center"/>
          </w:tcPr>
          <w:p w14:paraId="209578EB">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3AC3CB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努力提升</w:t>
            </w:r>
            <w:r>
              <w:rPr>
                <w:rFonts w:ascii="宋体" w:hAnsi="宋体" w:eastAsia="宋体" w:cs="Times New Roman"/>
                <w:color w:val="000000"/>
                <w:szCs w:val="21"/>
              </w:rPr>
              <w:t>作为学生个体社会化承担者的</w:t>
            </w:r>
            <w:r>
              <w:rPr>
                <w:rFonts w:hint="eastAsia" w:ascii="宋体" w:hAnsi="宋体" w:eastAsia="宋体" w:cs="Times New Roman"/>
                <w:color w:val="000000"/>
                <w:szCs w:val="21"/>
              </w:rPr>
              <w:t>专业</w:t>
            </w:r>
            <w:r>
              <w:rPr>
                <w:rFonts w:ascii="宋体" w:hAnsi="宋体" w:eastAsia="宋体" w:cs="Times New Roman"/>
                <w:color w:val="000000"/>
                <w:szCs w:val="21"/>
              </w:rPr>
              <w:t>素质</w:t>
            </w:r>
            <w:r>
              <w:rPr>
                <w:rFonts w:hint="eastAsia" w:ascii="宋体" w:hAnsi="宋体" w:eastAsia="宋体" w:cs="Times New Roman"/>
                <w:color w:val="000000"/>
                <w:szCs w:val="21"/>
              </w:rPr>
              <w:t>；增强教师的权能、提高待遇和尊重，减轻教师非教学负担，努力形成优秀人才争相从教、教师人人尽展其才、好老师不断涌现的良好局面。</w:t>
            </w:r>
          </w:p>
        </w:tc>
      </w:tr>
    </w:tbl>
    <w:p w14:paraId="7A3677CC">
      <w:pPr>
        <w:spacing w:line="360" w:lineRule="auto"/>
        <w:jc w:val="left"/>
        <w:rPr>
          <w:rFonts w:ascii="宋体" w:hAnsi="宋体" w:eastAsia="宋体" w:cs="Times New Roman"/>
          <w:b/>
          <w:color w:val="000000"/>
          <w:sz w:val="24"/>
          <w:szCs w:val="24"/>
        </w:rPr>
      </w:pPr>
    </w:p>
    <w:p w14:paraId="2DE73FFC">
      <w:pPr>
        <w:spacing w:line="360" w:lineRule="auto"/>
        <w:jc w:val="left"/>
        <w:outlineLvl w:val="0"/>
        <w:rPr>
          <w:rFonts w:ascii="Times New Roman" w:hAnsi="Times New Roman" w:eastAsia="宋体" w:cs="Times New Roman"/>
          <w:sz w:val="24"/>
          <w:szCs w:val="24"/>
        </w:rPr>
      </w:pPr>
      <w:bookmarkStart w:id="1110" w:name="_Toc24886"/>
      <w:bookmarkStart w:id="1111" w:name="_Toc13807"/>
      <w:bookmarkStart w:id="1112" w:name="_Toc14303"/>
      <w:bookmarkStart w:id="1113" w:name="_Toc32342"/>
      <w:bookmarkStart w:id="1114" w:name="_Toc21567"/>
      <w:bookmarkStart w:id="1115" w:name="_Toc20600"/>
      <w:bookmarkStart w:id="1116" w:name="_Toc5028"/>
      <w:r>
        <w:rPr>
          <w:rFonts w:hint="eastAsia" w:ascii="宋体" w:hAnsi="宋体" w:eastAsia="宋体" w:cs="Times New Roman"/>
          <w:b/>
          <w:color w:val="000000"/>
          <w:sz w:val="24"/>
          <w:szCs w:val="24"/>
        </w:rPr>
        <w:t>四、目标评价与成绩评定</w:t>
      </w:r>
      <w:bookmarkEnd w:id="1110"/>
      <w:bookmarkEnd w:id="1111"/>
      <w:bookmarkEnd w:id="1112"/>
      <w:bookmarkEnd w:id="1113"/>
      <w:bookmarkEnd w:id="1114"/>
      <w:bookmarkEnd w:id="1115"/>
      <w:bookmarkEnd w:id="1116"/>
    </w:p>
    <w:p w14:paraId="0C80DEE2">
      <w:pPr>
        <w:spacing w:line="360" w:lineRule="auto"/>
        <w:jc w:val="left"/>
        <w:outlineLvl w:val="1"/>
        <w:rPr>
          <w:rFonts w:ascii="Times New Roman" w:hAnsi="Times New Roman" w:eastAsia="宋体" w:cs="Times New Roman"/>
          <w:b/>
          <w:szCs w:val="21"/>
        </w:rPr>
      </w:pPr>
      <w:bookmarkStart w:id="1117" w:name="_Toc6296"/>
      <w:r>
        <w:rPr>
          <w:rFonts w:hint="eastAsia" w:ascii="Times New Roman" w:hAnsi="Times New Roman" w:eastAsia="宋体" w:cs="Times New Roman"/>
          <w:b/>
          <w:szCs w:val="21"/>
        </w:rPr>
        <w:t>（一）课程目标评价方式</w:t>
      </w:r>
      <w:bookmarkEnd w:id="1117"/>
    </w:p>
    <w:p w14:paraId="257D55C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C35AE36">
      <w:pPr>
        <w:spacing w:line="360" w:lineRule="auto"/>
        <w:ind w:firstLine="420" w:firstLineChars="200"/>
        <w:jc w:val="left"/>
        <w:rPr>
          <w:rFonts w:ascii="Times New Roman" w:hAnsi="Times New Roman" w:eastAsia="宋体" w:cs="Times New Roman"/>
          <w:szCs w:val="21"/>
        </w:rPr>
      </w:pPr>
    </w:p>
    <w:p w14:paraId="3A01686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148"/>
        <w:gridCol w:w="1122"/>
        <w:gridCol w:w="1056"/>
        <w:gridCol w:w="1056"/>
        <w:gridCol w:w="1056"/>
        <w:gridCol w:w="1056"/>
        <w:gridCol w:w="636"/>
      </w:tblGrid>
      <w:tr w14:paraId="12C3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227BED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489DFEA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636" w:type="dxa"/>
            <w:vMerge w:val="restart"/>
            <w:vAlign w:val="center"/>
          </w:tcPr>
          <w:p w14:paraId="6451E04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3E2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7B54BD3">
            <w:pPr>
              <w:spacing w:line="360" w:lineRule="auto"/>
              <w:jc w:val="center"/>
              <w:rPr>
                <w:rFonts w:hint="eastAsia" w:ascii="宋体" w:hAnsi="宋体" w:eastAsia="宋体" w:cs="Times New Roman"/>
                <w:szCs w:val="21"/>
              </w:rPr>
            </w:pPr>
          </w:p>
        </w:tc>
        <w:tc>
          <w:tcPr>
            <w:tcW w:w="1148" w:type="dxa"/>
            <w:vAlign w:val="center"/>
          </w:tcPr>
          <w:p w14:paraId="270D2ED1">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122" w:type="dxa"/>
            <w:vAlign w:val="center"/>
          </w:tcPr>
          <w:p w14:paraId="5FDA080C">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2B9CE286">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52E9BE2B">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1A254D3D">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71D6D34D">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636" w:type="dxa"/>
            <w:vMerge w:val="continue"/>
            <w:vAlign w:val="center"/>
          </w:tcPr>
          <w:p w14:paraId="3F2884DC">
            <w:pPr>
              <w:spacing w:line="360" w:lineRule="auto"/>
              <w:jc w:val="center"/>
              <w:rPr>
                <w:rFonts w:hint="eastAsia" w:ascii="宋体" w:hAnsi="宋体" w:eastAsia="宋体" w:cs="Times New Roman"/>
                <w:szCs w:val="21"/>
              </w:rPr>
            </w:pPr>
          </w:p>
        </w:tc>
      </w:tr>
      <w:tr w14:paraId="715A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B097E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148" w:type="dxa"/>
            <w:vAlign w:val="center"/>
          </w:tcPr>
          <w:p w14:paraId="06252A5E">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szCs w:val="21"/>
              </w:rPr>
              <w:t xml:space="preserve">    √</w:t>
            </w:r>
          </w:p>
        </w:tc>
        <w:tc>
          <w:tcPr>
            <w:tcW w:w="1122" w:type="dxa"/>
            <w:vAlign w:val="center"/>
          </w:tcPr>
          <w:p w14:paraId="3B93FCBE">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15F96949">
            <w:pPr>
              <w:adjustRightInd w:val="0"/>
              <w:snapToGrid w:val="0"/>
              <w:spacing w:line="276" w:lineRule="auto"/>
              <w:jc w:val="center"/>
              <w:rPr>
                <w:rFonts w:hint="eastAsia" w:ascii="宋体" w:hAnsi="宋体" w:eastAsia="宋体" w:cs="Times New Roman"/>
                <w:szCs w:val="21"/>
              </w:rPr>
            </w:pPr>
          </w:p>
        </w:tc>
        <w:tc>
          <w:tcPr>
            <w:tcW w:w="1056" w:type="dxa"/>
            <w:vAlign w:val="center"/>
          </w:tcPr>
          <w:p w14:paraId="32621832">
            <w:pPr>
              <w:adjustRightInd w:val="0"/>
              <w:snapToGrid w:val="0"/>
              <w:spacing w:line="276" w:lineRule="auto"/>
              <w:jc w:val="center"/>
              <w:rPr>
                <w:rFonts w:hint="eastAsia" w:ascii="宋体" w:hAnsi="宋体" w:eastAsia="宋体" w:cs="Times New Roman"/>
                <w:szCs w:val="21"/>
              </w:rPr>
            </w:pPr>
          </w:p>
        </w:tc>
        <w:tc>
          <w:tcPr>
            <w:tcW w:w="1056" w:type="dxa"/>
            <w:vAlign w:val="center"/>
          </w:tcPr>
          <w:p w14:paraId="5AB9B891">
            <w:pPr>
              <w:adjustRightInd w:val="0"/>
              <w:snapToGrid w:val="0"/>
              <w:spacing w:line="276" w:lineRule="auto"/>
              <w:jc w:val="center"/>
              <w:rPr>
                <w:rFonts w:hint="eastAsia" w:ascii="宋体" w:hAnsi="宋体" w:eastAsia="宋体" w:cs="Times New Roman"/>
                <w:szCs w:val="21"/>
              </w:rPr>
            </w:pPr>
          </w:p>
        </w:tc>
        <w:tc>
          <w:tcPr>
            <w:tcW w:w="0" w:type="auto"/>
          </w:tcPr>
          <w:p w14:paraId="2C9D170B">
            <w:pPr>
              <w:spacing w:line="360" w:lineRule="auto"/>
              <w:jc w:val="center"/>
              <w:rPr>
                <w:rFonts w:hint="eastAsia" w:ascii="宋体" w:hAnsi="宋体" w:eastAsia="宋体" w:cs="Times New Roman"/>
                <w:szCs w:val="21"/>
              </w:rPr>
            </w:pPr>
          </w:p>
        </w:tc>
        <w:tc>
          <w:tcPr>
            <w:tcW w:w="636" w:type="dxa"/>
            <w:vAlign w:val="center"/>
          </w:tcPr>
          <w:p w14:paraId="3279DE4E">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63AB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0B9A74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148" w:type="dxa"/>
            <w:vAlign w:val="center"/>
          </w:tcPr>
          <w:p w14:paraId="6DF95B0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5AB5D38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06F4F802">
            <w:pPr>
              <w:spacing w:line="360" w:lineRule="auto"/>
              <w:jc w:val="center"/>
              <w:rPr>
                <w:rFonts w:hint="eastAsia" w:ascii="宋体" w:hAnsi="宋体" w:eastAsia="宋体" w:cs="Times New Roman"/>
                <w:szCs w:val="21"/>
              </w:rPr>
            </w:pPr>
          </w:p>
        </w:tc>
        <w:tc>
          <w:tcPr>
            <w:tcW w:w="0" w:type="auto"/>
            <w:vAlign w:val="center"/>
          </w:tcPr>
          <w:p w14:paraId="65325A38">
            <w:pPr>
              <w:spacing w:line="360" w:lineRule="auto"/>
              <w:jc w:val="center"/>
              <w:rPr>
                <w:rFonts w:hint="eastAsia" w:ascii="宋体" w:hAnsi="宋体" w:eastAsia="宋体" w:cs="Times New Roman"/>
                <w:szCs w:val="21"/>
              </w:rPr>
            </w:pPr>
          </w:p>
        </w:tc>
        <w:tc>
          <w:tcPr>
            <w:tcW w:w="0" w:type="auto"/>
            <w:vAlign w:val="center"/>
          </w:tcPr>
          <w:p w14:paraId="15D065D4">
            <w:pPr>
              <w:spacing w:line="360" w:lineRule="auto"/>
              <w:jc w:val="center"/>
              <w:rPr>
                <w:rFonts w:hint="eastAsia" w:ascii="宋体" w:hAnsi="宋体" w:eastAsia="宋体" w:cs="Times New Roman"/>
                <w:szCs w:val="21"/>
              </w:rPr>
            </w:pPr>
          </w:p>
        </w:tc>
        <w:tc>
          <w:tcPr>
            <w:tcW w:w="0" w:type="auto"/>
          </w:tcPr>
          <w:p w14:paraId="02055A34">
            <w:pPr>
              <w:spacing w:line="360" w:lineRule="auto"/>
              <w:jc w:val="center"/>
              <w:rPr>
                <w:rFonts w:hint="eastAsia" w:ascii="宋体" w:hAnsi="宋体" w:eastAsia="宋体" w:cs="Times New Roman"/>
                <w:szCs w:val="21"/>
              </w:rPr>
            </w:pPr>
          </w:p>
        </w:tc>
        <w:tc>
          <w:tcPr>
            <w:tcW w:w="636" w:type="dxa"/>
            <w:vAlign w:val="center"/>
          </w:tcPr>
          <w:p w14:paraId="6C5474DD">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08F8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EDC04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148" w:type="dxa"/>
            <w:vAlign w:val="center"/>
          </w:tcPr>
          <w:p w14:paraId="0B0774C7">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3CEFB966">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58C7EC33">
            <w:pPr>
              <w:spacing w:line="360" w:lineRule="auto"/>
              <w:jc w:val="center"/>
              <w:rPr>
                <w:rFonts w:hint="eastAsia" w:ascii="宋体" w:hAnsi="宋体" w:eastAsia="宋体" w:cs="Times New Roman"/>
                <w:szCs w:val="21"/>
              </w:rPr>
            </w:pPr>
          </w:p>
        </w:tc>
        <w:tc>
          <w:tcPr>
            <w:tcW w:w="0" w:type="auto"/>
            <w:vAlign w:val="center"/>
          </w:tcPr>
          <w:p w14:paraId="7D550752">
            <w:pPr>
              <w:spacing w:line="360" w:lineRule="auto"/>
              <w:jc w:val="center"/>
              <w:rPr>
                <w:rFonts w:hint="eastAsia" w:ascii="宋体" w:hAnsi="宋体" w:eastAsia="宋体" w:cs="Times New Roman"/>
                <w:szCs w:val="21"/>
              </w:rPr>
            </w:pPr>
          </w:p>
        </w:tc>
        <w:tc>
          <w:tcPr>
            <w:tcW w:w="0" w:type="auto"/>
            <w:vAlign w:val="center"/>
          </w:tcPr>
          <w:p w14:paraId="283D642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3F5929E1">
            <w:pPr>
              <w:spacing w:line="360" w:lineRule="auto"/>
              <w:jc w:val="center"/>
              <w:rPr>
                <w:rFonts w:hint="eastAsia" w:ascii="宋体" w:hAnsi="宋体" w:eastAsia="宋体" w:cs="Times New Roman"/>
                <w:szCs w:val="21"/>
              </w:rPr>
            </w:pPr>
          </w:p>
        </w:tc>
        <w:tc>
          <w:tcPr>
            <w:tcW w:w="636" w:type="dxa"/>
            <w:vAlign w:val="center"/>
          </w:tcPr>
          <w:p w14:paraId="0F779A5D">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2</w:t>
            </w:r>
            <w:r>
              <w:rPr>
                <w:rFonts w:ascii="宋体" w:hAnsi="宋体" w:eastAsia="宋体" w:cs="Times New Roman"/>
                <w:kern w:val="0"/>
                <w:szCs w:val="21"/>
              </w:rPr>
              <w:t>0</w:t>
            </w:r>
          </w:p>
        </w:tc>
      </w:tr>
      <w:tr w14:paraId="396E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1266944">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148" w:type="dxa"/>
            <w:vAlign w:val="center"/>
          </w:tcPr>
          <w:p w14:paraId="662DFA2F">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54664D15">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48739006">
            <w:pPr>
              <w:spacing w:line="360" w:lineRule="auto"/>
              <w:jc w:val="center"/>
              <w:rPr>
                <w:rFonts w:hint="eastAsia" w:ascii="宋体" w:hAnsi="宋体" w:eastAsia="宋体" w:cs="Times New Roman"/>
                <w:szCs w:val="21"/>
              </w:rPr>
            </w:pPr>
          </w:p>
        </w:tc>
        <w:tc>
          <w:tcPr>
            <w:tcW w:w="0" w:type="auto"/>
            <w:vAlign w:val="center"/>
          </w:tcPr>
          <w:p w14:paraId="67DCA13B">
            <w:pPr>
              <w:spacing w:line="360" w:lineRule="auto"/>
              <w:jc w:val="center"/>
              <w:rPr>
                <w:rFonts w:hint="eastAsia" w:ascii="宋体" w:hAnsi="宋体" w:eastAsia="宋体" w:cs="Times New Roman"/>
                <w:szCs w:val="21"/>
              </w:rPr>
            </w:pPr>
          </w:p>
        </w:tc>
        <w:tc>
          <w:tcPr>
            <w:tcW w:w="0" w:type="auto"/>
            <w:vAlign w:val="center"/>
          </w:tcPr>
          <w:p w14:paraId="00E92421">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656859E9">
            <w:pPr>
              <w:spacing w:line="360" w:lineRule="auto"/>
              <w:jc w:val="center"/>
              <w:rPr>
                <w:rFonts w:hint="eastAsia" w:ascii="宋体" w:hAnsi="宋体" w:eastAsia="宋体" w:cs="Times New Roman"/>
                <w:szCs w:val="21"/>
              </w:rPr>
            </w:pPr>
          </w:p>
        </w:tc>
        <w:tc>
          <w:tcPr>
            <w:tcW w:w="636" w:type="dxa"/>
            <w:vAlign w:val="center"/>
          </w:tcPr>
          <w:p w14:paraId="6D1A4488">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4018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31A7879">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148" w:type="dxa"/>
            <w:vAlign w:val="center"/>
          </w:tcPr>
          <w:p w14:paraId="79D8234F">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w:t>
            </w:r>
          </w:p>
        </w:tc>
        <w:tc>
          <w:tcPr>
            <w:tcW w:w="1122" w:type="dxa"/>
            <w:vAlign w:val="center"/>
          </w:tcPr>
          <w:p w14:paraId="40C59574">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035DE98A">
            <w:pPr>
              <w:spacing w:line="360" w:lineRule="auto"/>
              <w:jc w:val="center"/>
              <w:rPr>
                <w:rFonts w:hint="eastAsia" w:ascii="宋体" w:hAnsi="宋体" w:eastAsia="宋体" w:cs="Times New Roman"/>
                <w:szCs w:val="21"/>
              </w:rPr>
            </w:pPr>
          </w:p>
        </w:tc>
        <w:tc>
          <w:tcPr>
            <w:tcW w:w="0" w:type="auto"/>
            <w:vAlign w:val="center"/>
          </w:tcPr>
          <w:p w14:paraId="61CD6CA4">
            <w:pPr>
              <w:spacing w:line="360" w:lineRule="auto"/>
              <w:jc w:val="center"/>
              <w:rPr>
                <w:rFonts w:hint="eastAsia" w:ascii="宋体" w:hAnsi="宋体" w:eastAsia="宋体" w:cs="Times New Roman"/>
                <w:szCs w:val="21"/>
              </w:rPr>
            </w:pPr>
          </w:p>
        </w:tc>
        <w:tc>
          <w:tcPr>
            <w:tcW w:w="0" w:type="auto"/>
            <w:vAlign w:val="center"/>
          </w:tcPr>
          <w:p w14:paraId="45E2F5BE">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4B621382">
            <w:pPr>
              <w:spacing w:line="360" w:lineRule="auto"/>
              <w:jc w:val="center"/>
              <w:rPr>
                <w:rFonts w:hint="eastAsia" w:ascii="宋体" w:hAnsi="宋体" w:eastAsia="宋体" w:cs="Times New Roman"/>
                <w:szCs w:val="21"/>
              </w:rPr>
            </w:pPr>
          </w:p>
        </w:tc>
        <w:tc>
          <w:tcPr>
            <w:tcW w:w="636" w:type="dxa"/>
            <w:vAlign w:val="center"/>
          </w:tcPr>
          <w:p w14:paraId="020CB0DF">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229B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1F19843">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148" w:type="dxa"/>
            <w:vAlign w:val="center"/>
          </w:tcPr>
          <w:p w14:paraId="6AB5EBA8">
            <w:pPr>
              <w:spacing w:line="360" w:lineRule="auto"/>
              <w:rPr>
                <w:rFonts w:hint="eastAsia" w:ascii="宋体" w:hAnsi="宋体" w:eastAsia="宋体" w:cs="Times New Roman"/>
                <w:szCs w:val="21"/>
              </w:rPr>
            </w:pPr>
            <w:r>
              <w:rPr>
                <w:rFonts w:hint="eastAsia" w:ascii="宋体" w:hAnsi="宋体" w:eastAsia="宋体" w:cs="Times New Roman"/>
                <w:szCs w:val="21"/>
              </w:rPr>
              <w:t xml:space="preserve">    √</w:t>
            </w:r>
          </w:p>
        </w:tc>
        <w:tc>
          <w:tcPr>
            <w:tcW w:w="1122" w:type="dxa"/>
            <w:vAlign w:val="center"/>
          </w:tcPr>
          <w:p w14:paraId="48F32C5F">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38654172">
            <w:pPr>
              <w:spacing w:line="360" w:lineRule="auto"/>
              <w:jc w:val="center"/>
              <w:rPr>
                <w:rFonts w:hint="eastAsia" w:ascii="宋体" w:hAnsi="宋体" w:eastAsia="宋体" w:cs="Times New Roman"/>
                <w:szCs w:val="21"/>
              </w:rPr>
            </w:pPr>
          </w:p>
        </w:tc>
        <w:tc>
          <w:tcPr>
            <w:tcW w:w="0" w:type="auto"/>
            <w:vAlign w:val="center"/>
          </w:tcPr>
          <w:p w14:paraId="34A9C268">
            <w:pPr>
              <w:spacing w:line="360" w:lineRule="auto"/>
              <w:jc w:val="center"/>
              <w:rPr>
                <w:rFonts w:hint="eastAsia" w:ascii="宋体" w:hAnsi="宋体" w:eastAsia="宋体" w:cs="Times New Roman"/>
                <w:szCs w:val="21"/>
              </w:rPr>
            </w:pPr>
          </w:p>
        </w:tc>
        <w:tc>
          <w:tcPr>
            <w:tcW w:w="0" w:type="auto"/>
            <w:vAlign w:val="center"/>
          </w:tcPr>
          <w:p w14:paraId="6B320043">
            <w:pPr>
              <w:spacing w:line="360" w:lineRule="auto"/>
              <w:jc w:val="center"/>
              <w:rPr>
                <w:rFonts w:hint="eastAsia" w:ascii="宋体" w:hAnsi="宋体" w:eastAsia="宋体" w:cs="Times New Roman"/>
                <w:szCs w:val="21"/>
              </w:rPr>
            </w:pPr>
          </w:p>
        </w:tc>
        <w:tc>
          <w:tcPr>
            <w:tcW w:w="0" w:type="auto"/>
          </w:tcPr>
          <w:p w14:paraId="570F5D79">
            <w:pPr>
              <w:spacing w:line="360" w:lineRule="auto"/>
              <w:jc w:val="center"/>
              <w:rPr>
                <w:rFonts w:hint="eastAsia" w:ascii="宋体" w:hAnsi="宋体" w:eastAsia="宋体" w:cs="Times New Roman"/>
                <w:szCs w:val="21"/>
              </w:rPr>
            </w:pPr>
          </w:p>
        </w:tc>
        <w:tc>
          <w:tcPr>
            <w:tcW w:w="636" w:type="dxa"/>
            <w:vAlign w:val="center"/>
          </w:tcPr>
          <w:p w14:paraId="45978181">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66CF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449EC38">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148" w:type="dxa"/>
            <w:vAlign w:val="center"/>
          </w:tcPr>
          <w:p w14:paraId="2DBD64C3">
            <w:pPr>
              <w:spacing w:line="360" w:lineRule="auto"/>
              <w:jc w:val="center"/>
              <w:rPr>
                <w:rFonts w:hint="eastAsia" w:ascii="宋体" w:hAnsi="宋体" w:eastAsia="宋体" w:cs="Times New Roman"/>
                <w:szCs w:val="21"/>
              </w:rPr>
            </w:pPr>
          </w:p>
        </w:tc>
        <w:tc>
          <w:tcPr>
            <w:tcW w:w="1122" w:type="dxa"/>
            <w:vAlign w:val="center"/>
          </w:tcPr>
          <w:p w14:paraId="74562F7D">
            <w:pPr>
              <w:spacing w:line="360" w:lineRule="auto"/>
              <w:jc w:val="center"/>
              <w:rPr>
                <w:rFonts w:hint="eastAsia" w:ascii="宋体" w:hAnsi="宋体" w:eastAsia="宋体" w:cs="Times New Roman"/>
                <w:szCs w:val="21"/>
              </w:rPr>
            </w:pPr>
          </w:p>
        </w:tc>
        <w:tc>
          <w:tcPr>
            <w:tcW w:w="0" w:type="auto"/>
            <w:vAlign w:val="center"/>
          </w:tcPr>
          <w:p w14:paraId="6C10DC17">
            <w:pPr>
              <w:spacing w:line="360" w:lineRule="auto"/>
              <w:jc w:val="center"/>
              <w:rPr>
                <w:rFonts w:hint="eastAsia" w:ascii="宋体" w:hAnsi="宋体" w:eastAsia="宋体" w:cs="Times New Roman"/>
                <w:szCs w:val="21"/>
              </w:rPr>
            </w:pPr>
          </w:p>
        </w:tc>
        <w:tc>
          <w:tcPr>
            <w:tcW w:w="0" w:type="auto"/>
            <w:vAlign w:val="center"/>
          </w:tcPr>
          <w:p w14:paraId="4096E205">
            <w:pPr>
              <w:spacing w:line="360" w:lineRule="auto"/>
              <w:jc w:val="center"/>
              <w:rPr>
                <w:rFonts w:hint="eastAsia" w:ascii="宋体" w:hAnsi="宋体" w:eastAsia="宋体" w:cs="Times New Roman"/>
                <w:szCs w:val="21"/>
              </w:rPr>
            </w:pPr>
          </w:p>
        </w:tc>
        <w:tc>
          <w:tcPr>
            <w:tcW w:w="0" w:type="auto"/>
            <w:vAlign w:val="center"/>
          </w:tcPr>
          <w:p w14:paraId="6DD4D90C">
            <w:pPr>
              <w:spacing w:line="360" w:lineRule="auto"/>
              <w:jc w:val="center"/>
              <w:rPr>
                <w:rFonts w:hint="eastAsia" w:ascii="宋体" w:hAnsi="宋体" w:eastAsia="宋体" w:cs="Times New Roman"/>
                <w:szCs w:val="21"/>
              </w:rPr>
            </w:pPr>
          </w:p>
        </w:tc>
        <w:tc>
          <w:tcPr>
            <w:tcW w:w="0" w:type="auto"/>
          </w:tcPr>
          <w:p w14:paraId="39047AC5">
            <w:pPr>
              <w:spacing w:line="360" w:lineRule="auto"/>
              <w:jc w:val="center"/>
              <w:rPr>
                <w:rFonts w:hint="eastAsia" w:ascii="宋体" w:hAnsi="宋体" w:eastAsia="宋体" w:cs="Times New Roman"/>
                <w:szCs w:val="21"/>
              </w:rPr>
            </w:pPr>
          </w:p>
        </w:tc>
        <w:tc>
          <w:tcPr>
            <w:tcW w:w="636" w:type="dxa"/>
            <w:vAlign w:val="center"/>
          </w:tcPr>
          <w:p w14:paraId="63575A5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0FE95B2">
      <w:pPr>
        <w:spacing w:before="156" w:beforeLines="50" w:line="360" w:lineRule="auto"/>
        <w:jc w:val="left"/>
        <w:outlineLvl w:val="1"/>
        <w:rPr>
          <w:rFonts w:ascii="Times New Roman" w:hAnsi="Times New Roman" w:eastAsia="宋体" w:cs="Times New Roman"/>
          <w:b/>
          <w:szCs w:val="21"/>
        </w:rPr>
      </w:pPr>
      <w:bookmarkStart w:id="1118" w:name="_Toc14467"/>
      <w:r>
        <w:rPr>
          <w:rFonts w:hint="eastAsia" w:ascii="Times New Roman" w:hAnsi="Times New Roman" w:eastAsia="宋体" w:cs="Times New Roman"/>
          <w:b/>
          <w:szCs w:val="21"/>
        </w:rPr>
        <w:t>（二）成绩评定细则</w:t>
      </w:r>
      <w:bookmarkEnd w:id="1118"/>
    </w:p>
    <w:p w14:paraId="04CF678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73E0E1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3D28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BE3B11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9F587E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tcBorders>
              <w:bottom w:val="single" w:color="auto" w:sz="4" w:space="0"/>
            </w:tcBorders>
            <w:vAlign w:val="center"/>
          </w:tcPr>
          <w:p w14:paraId="55D399A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267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1008FB">
            <w:pPr>
              <w:spacing w:line="400" w:lineRule="exact"/>
              <w:rPr>
                <w:rFonts w:hint="eastAsia" w:ascii="宋体" w:hAnsi="宋体" w:eastAsia="宋体" w:cs="Times New Roman"/>
                <w:szCs w:val="21"/>
              </w:rPr>
            </w:pPr>
            <w:r>
              <w:rPr>
                <w:rFonts w:hint="eastAsia" w:ascii="宋体" w:hAnsi="宋体" w:eastAsia="宋体" w:cs="Times New Roman"/>
                <w:szCs w:val="21"/>
              </w:rPr>
              <w:t>课堂考勤</w:t>
            </w:r>
          </w:p>
        </w:tc>
        <w:tc>
          <w:tcPr>
            <w:tcW w:w="7141" w:type="dxa"/>
            <w:tcBorders>
              <w:right w:val="single" w:color="auto" w:sz="4" w:space="0"/>
            </w:tcBorders>
            <w:vAlign w:val="center"/>
          </w:tcPr>
          <w:p w14:paraId="6ED543F9">
            <w:pPr>
              <w:widowControl/>
              <w:adjustRightInd w:val="0"/>
              <w:snapToGrid w:val="0"/>
              <w:spacing w:line="400" w:lineRule="exact"/>
              <w:jc w:val="left"/>
              <w:rPr>
                <w:rFonts w:hint="eastAsia" w:ascii="宋体" w:hAnsi="宋体" w:eastAsia="宋体" w:cs="宋体"/>
                <w:kern w:val="0"/>
                <w:szCs w:val="21"/>
              </w:rPr>
            </w:pPr>
            <w:r>
              <w:rPr>
                <w:rFonts w:hint="eastAsia" w:ascii="宋体" w:hAnsi="宋体" w:eastAsia="宋体" w:cs="宋体"/>
                <w:kern w:val="0"/>
                <w:szCs w:val="21"/>
              </w:rPr>
              <w:t>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tc>
        <w:tc>
          <w:tcPr>
            <w:tcW w:w="0" w:type="auto"/>
            <w:tcBorders>
              <w:left w:val="single" w:color="auto" w:sz="4" w:space="0"/>
              <w:bottom w:val="single" w:color="auto" w:sz="4" w:space="0"/>
              <w:right w:val="single" w:color="auto" w:sz="4" w:space="0"/>
            </w:tcBorders>
            <w:shd w:val="clear" w:color="auto" w:fill="FFFFFF"/>
            <w:vAlign w:val="center"/>
          </w:tcPr>
          <w:p w14:paraId="1891CCB7">
            <w:pPr>
              <w:spacing w:line="400" w:lineRule="exact"/>
              <w:jc w:val="center"/>
              <w:rPr>
                <w:rFonts w:hint="eastAsia" w:ascii="宋体" w:hAnsi="宋体" w:eastAsia="宋体" w:cs="Times New Roman"/>
                <w:szCs w:val="21"/>
              </w:rPr>
            </w:pPr>
            <w:r>
              <w:rPr>
                <w:rFonts w:hint="eastAsia" w:ascii="宋体" w:hAnsi="宋体" w:eastAsia="宋体" w:cs="Times New Roman"/>
                <w:szCs w:val="21"/>
              </w:rPr>
              <w:t>10%</w:t>
            </w:r>
          </w:p>
        </w:tc>
      </w:tr>
      <w:tr w14:paraId="1E55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DEE75A6">
            <w:pPr>
              <w:spacing w:line="400" w:lineRule="exact"/>
              <w:rPr>
                <w:rFonts w:hint="eastAsia" w:ascii="宋体" w:hAnsi="宋体" w:eastAsia="宋体" w:cs="Times New Roman"/>
                <w:szCs w:val="24"/>
              </w:rPr>
            </w:pPr>
            <w:r>
              <w:rPr>
                <w:rFonts w:hint="eastAsia" w:ascii="宋体" w:hAnsi="宋体" w:eastAsia="宋体" w:cs="宋体"/>
                <w:kern w:val="0"/>
                <w:szCs w:val="21"/>
              </w:rPr>
              <w:t>课堂表现</w:t>
            </w:r>
          </w:p>
        </w:tc>
        <w:tc>
          <w:tcPr>
            <w:tcW w:w="7141" w:type="dxa"/>
            <w:tcBorders>
              <w:right w:val="single" w:color="auto" w:sz="4" w:space="0"/>
            </w:tcBorders>
            <w:vAlign w:val="center"/>
          </w:tcPr>
          <w:p w14:paraId="5EEBBF2A">
            <w:pPr>
              <w:widowControl/>
              <w:adjustRightInd w:val="0"/>
              <w:snapToGrid w:val="0"/>
              <w:spacing w:line="400" w:lineRule="exact"/>
              <w:jc w:val="left"/>
              <w:rPr>
                <w:rFonts w:hint="eastAsia" w:ascii="宋体" w:hAnsi="宋体" w:eastAsia="宋体" w:cs="宋体"/>
                <w:kern w:val="0"/>
                <w:szCs w:val="21"/>
              </w:rPr>
            </w:pPr>
            <w:r>
              <w:rPr>
                <w:rFonts w:hint="eastAsia" w:ascii="宋体" w:hAnsi="宋体" w:eastAsia="宋体" w:cs="宋体"/>
                <w:kern w:val="0"/>
                <w:szCs w:val="21"/>
              </w:rPr>
              <w:t>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tc>
        <w:tc>
          <w:tcPr>
            <w:tcW w:w="0" w:type="auto"/>
            <w:tcBorders>
              <w:left w:val="single" w:color="auto" w:sz="4" w:space="0"/>
              <w:bottom w:val="single" w:color="auto" w:sz="4" w:space="0"/>
              <w:right w:val="single" w:color="auto" w:sz="4" w:space="0"/>
            </w:tcBorders>
            <w:shd w:val="clear" w:color="auto" w:fill="FFFFFF"/>
            <w:vAlign w:val="center"/>
          </w:tcPr>
          <w:p w14:paraId="42D45ABE">
            <w:pPr>
              <w:spacing w:line="400" w:lineRule="exact"/>
              <w:jc w:val="center"/>
              <w:rPr>
                <w:rFonts w:hint="eastAsia" w:ascii="宋体" w:hAnsi="宋体" w:eastAsia="宋体" w:cs="Times New Roman"/>
                <w:szCs w:val="21"/>
              </w:rPr>
            </w:pPr>
            <w:r>
              <w:rPr>
                <w:rFonts w:hint="eastAsia" w:ascii="宋体" w:hAnsi="宋体" w:eastAsia="宋体" w:cs="Times New Roman"/>
                <w:szCs w:val="21"/>
              </w:rPr>
              <w:t>10%</w:t>
            </w:r>
          </w:p>
        </w:tc>
      </w:tr>
      <w:tr w14:paraId="246F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CAD9DB">
            <w:pPr>
              <w:spacing w:line="400" w:lineRule="exact"/>
              <w:rPr>
                <w:rFonts w:hint="eastAsia" w:ascii="宋体" w:hAnsi="宋体" w:eastAsia="宋体" w:cs="Times New Roman"/>
                <w:szCs w:val="24"/>
              </w:rPr>
            </w:pPr>
            <w:r>
              <w:rPr>
                <w:rFonts w:hint="eastAsia" w:ascii="宋体" w:hAnsi="宋体" w:eastAsia="宋体" w:cs="Times New Roman"/>
                <w:szCs w:val="24"/>
              </w:rPr>
              <w:t>平时作业</w:t>
            </w:r>
          </w:p>
        </w:tc>
        <w:tc>
          <w:tcPr>
            <w:tcW w:w="7141" w:type="dxa"/>
            <w:tcBorders>
              <w:right w:val="single" w:color="auto" w:sz="4" w:space="0"/>
            </w:tcBorders>
            <w:vAlign w:val="center"/>
          </w:tcPr>
          <w:p w14:paraId="1D520926">
            <w:pPr>
              <w:widowControl/>
              <w:adjustRightInd w:val="0"/>
              <w:snapToGrid w:val="0"/>
              <w:spacing w:line="400" w:lineRule="exact"/>
              <w:jc w:val="left"/>
              <w:rPr>
                <w:rFonts w:hint="eastAsia" w:ascii="宋体" w:hAnsi="宋体" w:eastAsia="宋体" w:cs="宋体"/>
                <w:kern w:val="0"/>
                <w:szCs w:val="21"/>
              </w:rPr>
            </w:pPr>
            <w:r>
              <w:rPr>
                <w:rFonts w:ascii="宋体" w:hAnsi="宋体" w:eastAsia="宋体" w:cs="Times New Roman"/>
                <w:szCs w:val="21"/>
              </w:rPr>
              <w:t>3</w:t>
            </w:r>
            <w:r>
              <w:rPr>
                <w:rFonts w:hint="eastAsia" w:ascii="宋体" w:hAnsi="宋体" w:eastAsia="宋体" w:cs="Times New Roman"/>
                <w:szCs w:val="21"/>
              </w:rPr>
              <w:t>次书面作业，主要考核学生运用社会学理论分析问题的能力。</w:t>
            </w:r>
          </w:p>
        </w:tc>
        <w:tc>
          <w:tcPr>
            <w:tcW w:w="0" w:type="auto"/>
            <w:tcBorders>
              <w:left w:val="single" w:color="auto" w:sz="4" w:space="0"/>
              <w:bottom w:val="single" w:color="auto" w:sz="4" w:space="0"/>
              <w:right w:val="single" w:color="auto" w:sz="4" w:space="0"/>
            </w:tcBorders>
            <w:shd w:val="clear" w:color="auto" w:fill="FFFFFF"/>
            <w:vAlign w:val="center"/>
          </w:tcPr>
          <w:p w14:paraId="2E8A454D">
            <w:pPr>
              <w:spacing w:line="400" w:lineRule="exact"/>
              <w:jc w:val="center"/>
              <w:rPr>
                <w:rFonts w:hint="eastAsia" w:ascii="宋体" w:hAnsi="宋体" w:eastAsia="宋体" w:cs="Times New Roman"/>
                <w:szCs w:val="21"/>
              </w:rPr>
            </w:pPr>
            <w:r>
              <w:rPr>
                <w:rFonts w:hint="eastAsia" w:ascii="宋体" w:hAnsi="宋体" w:eastAsia="宋体" w:cs="Times New Roman"/>
                <w:szCs w:val="21"/>
              </w:rPr>
              <w:t>20%</w:t>
            </w:r>
          </w:p>
        </w:tc>
      </w:tr>
      <w:tr w14:paraId="4AC1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796F04">
            <w:pPr>
              <w:adjustRightInd w:val="0"/>
              <w:snapToGrid w:val="0"/>
              <w:spacing w:line="400" w:lineRule="exact"/>
              <w:jc w:val="center"/>
              <w:rPr>
                <w:rFonts w:hint="eastAsia" w:ascii="宋体" w:hAnsi="宋体" w:eastAsia="宋体" w:cs="Times New Roman"/>
                <w:szCs w:val="24"/>
              </w:rPr>
            </w:pPr>
            <w:r>
              <w:rPr>
                <w:rFonts w:hint="eastAsia" w:ascii="宋体" w:hAnsi="宋体" w:eastAsia="宋体" w:cs="Times New Roman"/>
                <w:szCs w:val="24"/>
              </w:rPr>
              <w:t>期末考试</w:t>
            </w:r>
          </w:p>
          <w:p w14:paraId="1669B316">
            <w:pPr>
              <w:spacing w:line="400" w:lineRule="exact"/>
              <w:rPr>
                <w:rFonts w:hint="eastAsia" w:ascii="宋体" w:hAnsi="宋体" w:eastAsia="宋体" w:cs="Times New Roman"/>
                <w:szCs w:val="21"/>
              </w:rPr>
            </w:pPr>
          </w:p>
        </w:tc>
        <w:tc>
          <w:tcPr>
            <w:tcW w:w="7141" w:type="dxa"/>
            <w:vAlign w:val="center"/>
          </w:tcPr>
          <w:p w14:paraId="1C53995A">
            <w:pPr>
              <w:adjustRightInd w:val="0"/>
              <w:snapToGrid w:val="0"/>
              <w:spacing w:line="400" w:lineRule="exact"/>
              <w:rPr>
                <w:rFonts w:hint="eastAsia" w:ascii="宋体" w:hAnsi="宋体" w:eastAsia="宋体" w:cs="宋体"/>
                <w:color w:val="000000"/>
                <w:kern w:val="0"/>
                <w:szCs w:val="21"/>
                <w:lang w:bidi="ar"/>
              </w:rPr>
            </w:pPr>
            <w:r>
              <w:rPr>
                <w:rFonts w:hint="eastAsia" w:ascii="宋体" w:hAnsi="宋体" w:eastAsia="宋体" w:cs="Times New Roman"/>
                <w:color w:val="000000"/>
                <w:szCs w:val="21"/>
              </w:rPr>
              <w:t>试卷题型包括填空题、简答题、论述题，以卷面成绩的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计入课程总成绩。其中：考核基本概念知识型题目占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；考核基本知识理解占</w:t>
            </w:r>
            <w:r>
              <w:rPr>
                <w:rFonts w:ascii="宋体" w:hAnsi="宋体" w:eastAsia="宋体" w:cs="Times New Roman"/>
                <w:color w:val="000000"/>
                <w:szCs w:val="21"/>
              </w:rPr>
              <w:t>30%</w:t>
            </w:r>
            <w:r>
              <w:rPr>
                <w:rFonts w:hint="eastAsia" w:ascii="宋体" w:hAnsi="宋体" w:eastAsia="宋体" w:cs="Times New Roman"/>
                <w:color w:val="000000"/>
                <w:szCs w:val="21"/>
              </w:rPr>
              <w:t>；考核综合运用能力占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0" w:type="auto"/>
            <w:tcBorders>
              <w:top w:val="single" w:color="auto" w:sz="4" w:space="0"/>
            </w:tcBorders>
            <w:vAlign w:val="center"/>
          </w:tcPr>
          <w:p w14:paraId="75D4E2C8">
            <w:pPr>
              <w:spacing w:line="400" w:lineRule="exact"/>
              <w:jc w:val="center"/>
              <w:rPr>
                <w:rFonts w:hint="eastAsia" w:ascii="宋体" w:hAnsi="宋体" w:eastAsia="宋体" w:cs="Times New Roman"/>
                <w:szCs w:val="21"/>
              </w:rPr>
            </w:pPr>
            <w:r>
              <w:rPr>
                <w:rFonts w:ascii="宋体" w:hAnsi="宋体" w:eastAsia="宋体" w:cs="Times New Roman"/>
                <w:szCs w:val="24"/>
              </w:rPr>
              <w:t>60%</w:t>
            </w:r>
          </w:p>
        </w:tc>
      </w:tr>
      <w:tr w14:paraId="71C1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AF9E288">
            <w:pPr>
              <w:spacing w:line="400" w:lineRule="exact"/>
              <w:jc w:val="center"/>
              <w:rPr>
                <w:rFonts w:hint="eastAsia" w:ascii="宋体" w:hAnsi="宋体" w:eastAsia="宋体" w:cs="Times New Roman"/>
                <w:b/>
                <w:bCs/>
                <w:szCs w:val="21"/>
              </w:rPr>
            </w:pPr>
            <w:r>
              <w:rPr>
                <w:rFonts w:hint="eastAsia" w:ascii="宋体" w:hAnsi="宋体" w:eastAsia="宋体" w:cs="Times New Roman"/>
                <w:b/>
                <w:bCs/>
                <w:szCs w:val="21"/>
              </w:rPr>
              <w:t>合计</w:t>
            </w:r>
          </w:p>
        </w:tc>
        <w:tc>
          <w:tcPr>
            <w:tcW w:w="0" w:type="auto"/>
            <w:vAlign w:val="center"/>
          </w:tcPr>
          <w:p w14:paraId="21E1BA80">
            <w:pPr>
              <w:spacing w:line="400" w:lineRule="exact"/>
              <w:jc w:val="left"/>
              <w:rPr>
                <w:rFonts w:hint="eastAsia" w:ascii="宋体" w:hAnsi="宋体" w:eastAsia="宋体" w:cs="Times New Roman"/>
                <w:szCs w:val="21"/>
              </w:rPr>
            </w:pPr>
          </w:p>
        </w:tc>
        <w:tc>
          <w:tcPr>
            <w:tcW w:w="0" w:type="auto"/>
            <w:vAlign w:val="center"/>
          </w:tcPr>
          <w:p w14:paraId="4F6450CE">
            <w:pPr>
              <w:spacing w:line="400" w:lineRule="exact"/>
              <w:jc w:val="center"/>
              <w:rPr>
                <w:rFonts w:hint="eastAsia" w:ascii="宋体" w:hAnsi="宋体" w:eastAsia="宋体" w:cs="Times New Roman"/>
                <w:szCs w:val="21"/>
              </w:rPr>
            </w:pPr>
            <w:r>
              <w:rPr>
                <w:rFonts w:hint="eastAsia" w:ascii="宋体" w:hAnsi="宋体" w:eastAsia="宋体" w:cs="Times New Roman"/>
                <w:szCs w:val="21"/>
              </w:rPr>
              <w:t>100%</w:t>
            </w:r>
          </w:p>
        </w:tc>
      </w:tr>
    </w:tbl>
    <w:p w14:paraId="02F96D63">
      <w:pPr>
        <w:spacing w:line="360" w:lineRule="auto"/>
        <w:jc w:val="left"/>
        <w:outlineLvl w:val="1"/>
        <w:rPr>
          <w:rFonts w:hint="eastAsia" w:ascii="宋体" w:hAnsi="宋体" w:eastAsia="宋体" w:cs="Times New Roman"/>
          <w:b/>
          <w:color w:val="000000"/>
          <w:szCs w:val="21"/>
        </w:rPr>
      </w:pPr>
      <w:bookmarkStart w:id="1119" w:name="_Toc28433"/>
      <w:r>
        <w:rPr>
          <w:rFonts w:hint="eastAsia" w:ascii="宋体" w:hAnsi="宋体" w:eastAsia="宋体" w:cs="Times New Roman"/>
          <w:b/>
          <w:color w:val="000000"/>
          <w:szCs w:val="21"/>
        </w:rPr>
        <w:t>（三）课程目标达成度计算方法</w:t>
      </w:r>
      <w:bookmarkEnd w:id="1119"/>
    </w:p>
    <w:p w14:paraId="40B3F91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B4BD1BC">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2"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52" DrawAspect="Content" ObjectID="_1468075752" r:id="rId35">
            <o:LockedField>false</o:LockedField>
          </o:OLEObject>
        </w:object>
      </w:r>
    </w:p>
    <w:p w14:paraId="6C52006E">
      <w:pPr>
        <w:spacing w:before="156" w:beforeLines="50" w:line="360" w:lineRule="auto"/>
        <w:jc w:val="left"/>
        <w:outlineLvl w:val="0"/>
        <w:rPr>
          <w:rFonts w:ascii="Times New Roman" w:hAnsi="Times New Roman" w:eastAsia="宋体" w:cs="Times New Roman"/>
          <w:b/>
          <w:sz w:val="24"/>
          <w:szCs w:val="24"/>
        </w:rPr>
      </w:pPr>
      <w:bookmarkStart w:id="1120" w:name="_Toc8579"/>
      <w:bookmarkStart w:id="1121" w:name="_Toc26017"/>
      <w:bookmarkStart w:id="1122" w:name="_Toc23913"/>
      <w:bookmarkStart w:id="1123" w:name="_Toc27738"/>
      <w:bookmarkStart w:id="1124" w:name="_Toc12521"/>
      <w:bookmarkStart w:id="1125" w:name="_Toc18440"/>
      <w:bookmarkStart w:id="1126" w:name="_Toc7168"/>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1120"/>
      <w:bookmarkEnd w:id="1121"/>
      <w:bookmarkEnd w:id="1122"/>
      <w:bookmarkEnd w:id="1123"/>
      <w:bookmarkEnd w:id="1124"/>
      <w:bookmarkEnd w:id="1125"/>
      <w:bookmarkEnd w:id="1126"/>
    </w:p>
    <w:p w14:paraId="03A0F973">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3A5F441F">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E00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50D44E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9A4EDA6">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C0971E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9AB3B08">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569A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7D163A9">
            <w:pPr>
              <w:spacing w:line="276" w:lineRule="auto"/>
              <w:jc w:val="left"/>
              <w:rPr>
                <w:rFonts w:hint="eastAsia" w:ascii="宋体" w:hAnsi="宋体" w:eastAsia="宋体" w:cs="宋体"/>
                <w:szCs w:val="21"/>
              </w:rPr>
            </w:pPr>
            <w:r>
              <w:rPr>
                <w:rFonts w:hint="eastAsia" w:ascii="宋体" w:hAnsi="宋体" w:eastAsia="宋体" w:cs="宋体"/>
                <w:szCs w:val="21"/>
              </w:rPr>
              <w:t>班干部的选举方法</w:t>
            </w:r>
          </w:p>
        </w:tc>
        <w:tc>
          <w:tcPr>
            <w:tcW w:w="3407" w:type="dxa"/>
            <w:vAlign w:val="center"/>
          </w:tcPr>
          <w:p w14:paraId="74E58ACC">
            <w:pPr>
              <w:spacing w:line="276" w:lineRule="auto"/>
              <w:jc w:val="left"/>
              <w:rPr>
                <w:rFonts w:hint="eastAsia" w:ascii="宋体" w:hAnsi="宋体" w:eastAsia="宋体" w:cs="宋体"/>
                <w:szCs w:val="21"/>
              </w:rPr>
            </w:pPr>
            <w:r>
              <w:rPr>
                <w:rFonts w:hint="eastAsia" w:ascii="宋体" w:hAnsi="宋体" w:eastAsia="宋体" w:cs="宋体"/>
                <w:szCs w:val="21"/>
              </w:rPr>
              <w:t>讨论班级民主管理</w:t>
            </w:r>
          </w:p>
        </w:tc>
        <w:tc>
          <w:tcPr>
            <w:tcW w:w="740" w:type="dxa"/>
            <w:vAlign w:val="center"/>
          </w:tcPr>
          <w:p w14:paraId="2D0626A7">
            <w:pPr>
              <w:spacing w:line="276" w:lineRule="auto"/>
              <w:jc w:val="center"/>
              <w:rPr>
                <w:rFonts w:hint="eastAsia" w:ascii="宋体" w:hAnsi="宋体" w:eastAsia="宋体" w:cs="宋体"/>
                <w:szCs w:val="21"/>
              </w:rPr>
            </w:pPr>
            <w:r>
              <w:rPr>
                <w:rFonts w:hint="eastAsia" w:ascii="宋体" w:hAnsi="宋体" w:eastAsia="宋体" w:cs="宋体"/>
                <w:szCs w:val="21"/>
              </w:rPr>
              <w:t>班会活动</w:t>
            </w:r>
          </w:p>
        </w:tc>
        <w:tc>
          <w:tcPr>
            <w:tcW w:w="3160" w:type="dxa"/>
            <w:vAlign w:val="center"/>
          </w:tcPr>
          <w:p w14:paraId="5B69BE90">
            <w:pPr>
              <w:spacing w:line="276" w:lineRule="auto"/>
              <w:jc w:val="left"/>
              <w:rPr>
                <w:rFonts w:hint="eastAsia" w:ascii="宋体" w:hAnsi="宋体" w:eastAsia="宋体" w:cs="宋体"/>
                <w:szCs w:val="21"/>
              </w:rPr>
            </w:pPr>
            <w:r>
              <w:rPr>
                <w:rFonts w:hint="eastAsia" w:ascii="宋体" w:hAnsi="宋体" w:eastAsia="宋体" w:cs="宋体"/>
                <w:szCs w:val="21"/>
              </w:rPr>
              <w:t>置身真实情景、亲身体验班级民主管理</w:t>
            </w:r>
          </w:p>
        </w:tc>
      </w:tr>
      <w:tr w14:paraId="1660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DF857DE">
            <w:pPr>
              <w:spacing w:line="276" w:lineRule="auto"/>
              <w:jc w:val="left"/>
              <w:rPr>
                <w:rFonts w:hint="eastAsia" w:ascii="宋体" w:hAnsi="宋体" w:eastAsia="宋体" w:cs="宋体"/>
                <w:szCs w:val="21"/>
              </w:rPr>
            </w:pPr>
            <w:r>
              <w:rPr>
                <w:rFonts w:hint="eastAsia" w:ascii="宋体" w:hAnsi="宋体" w:eastAsia="宋体" w:cs="宋体"/>
                <w:szCs w:val="21"/>
              </w:rPr>
              <w:t>教师工作压力观察</w:t>
            </w:r>
          </w:p>
        </w:tc>
        <w:tc>
          <w:tcPr>
            <w:tcW w:w="3407" w:type="dxa"/>
            <w:vAlign w:val="center"/>
          </w:tcPr>
          <w:p w14:paraId="46CCEF02">
            <w:pPr>
              <w:spacing w:line="276" w:lineRule="auto"/>
              <w:jc w:val="left"/>
              <w:rPr>
                <w:rFonts w:hint="eastAsia" w:ascii="宋体" w:hAnsi="宋体" w:eastAsia="宋体" w:cs="宋体"/>
                <w:szCs w:val="21"/>
              </w:rPr>
            </w:pPr>
            <w:r>
              <w:rPr>
                <w:rFonts w:hint="eastAsia" w:ascii="宋体" w:hAnsi="宋体" w:eastAsia="宋体" w:cs="宋体"/>
                <w:szCs w:val="21"/>
              </w:rPr>
              <w:t>利用见习等事件观察一线教师的工作压力状况及其应对</w:t>
            </w:r>
          </w:p>
        </w:tc>
        <w:tc>
          <w:tcPr>
            <w:tcW w:w="740" w:type="dxa"/>
            <w:vAlign w:val="center"/>
          </w:tcPr>
          <w:p w14:paraId="65C99249">
            <w:pPr>
              <w:spacing w:line="276" w:lineRule="auto"/>
              <w:jc w:val="center"/>
              <w:rPr>
                <w:rFonts w:hint="eastAsia" w:ascii="宋体" w:hAnsi="宋体" w:eastAsia="宋体" w:cs="宋体"/>
                <w:szCs w:val="21"/>
              </w:rPr>
            </w:pPr>
            <w:r>
              <w:rPr>
                <w:rFonts w:hint="eastAsia" w:ascii="宋体" w:hAnsi="宋体" w:eastAsia="宋体" w:cs="宋体"/>
                <w:szCs w:val="21"/>
              </w:rPr>
              <w:t>课外调查</w:t>
            </w:r>
          </w:p>
        </w:tc>
        <w:tc>
          <w:tcPr>
            <w:tcW w:w="3160" w:type="dxa"/>
            <w:vAlign w:val="center"/>
          </w:tcPr>
          <w:p w14:paraId="1BC1CD72">
            <w:pPr>
              <w:spacing w:line="276" w:lineRule="auto"/>
              <w:jc w:val="left"/>
              <w:rPr>
                <w:rFonts w:hint="eastAsia" w:ascii="宋体" w:hAnsi="宋体" w:eastAsia="宋体" w:cs="宋体"/>
                <w:szCs w:val="21"/>
              </w:rPr>
            </w:pPr>
            <w:r>
              <w:rPr>
                <w:rFonts w:hint="eastAsia" w:ascii="宋体" w:hAnsi="宋体" w:eastAsia="宋体" w:cs="宋体"/>
                <w:szCs w:val="21"/>
              </w:rPr>
              <w:t>体验教师文化，感受尊师崇教、竞相从师的社会文化氛围的得来不易。</w:t>
            </w:r>
          </w:p>
        </w:tc>
      </w:tr>
    </w:tbl>
    <w:p w14:paraId="72F60DE2">
      <w:pPr>
        <w:spacing w:line="360" w:lineRule="auto"/>
        <w:ind w:firstLine="551" w:firstLineChars="196"/>
        <w:jc w:val="left"/>
        <w:rPr>
          <w:rFonts w:hint="eastAsia" w:ascii="宋体" w:hAnsi="宋体" w:eastAsia="宋体" w:cs="Times New Roman"/>
          <w:b/>
          <w:color w:val="000000"/>
          <w:sz w:val="28"/>
          <w:szCs w:val="28"/>
        </w:rPr>
      </w:pPr>
    </w:p>
    <w:p w14:paraId="0B73FBE2">
      <w:pPr>
        <w:spacing w:line="360" w:lineRule="auto"/>
        <w:jc w:val="left"/>
        <w:outlineLvl w:val="0"/>
        <w:rPr>
          <w:rFonts w:ascii="Times New Roman" w:hAnsi="Times New Roman" w:eastAsia="宋体" w:cs="Times New Roman"/>
          <w:b/>
          <w:bCs/>
          <w:sz w:val="24"/>
          <w:szCs w:val="24"/>
        </w:rPr>
      </w:pPr>
      <w:bookmarkStart w:id="1127" w:name="_Toc8194"/>
      <w:bookmarkStart w:id="1128" w:name="_Toc394"/>
      <w:bookmarkStart w:id="1129" w:name="_Toc12635"/>
      <w:bookmarkStart w:id="1130" w:name="_Toc2079"/>
      <w:bookmarkStart w:id="1131" w:name="_Toc22461"/>
      <w:bookmarkStart w:id="1132" w:name="_Toc2759"/>
      <w:bookmarkStart w:id="1133" w:name="_Toc11427"/>
      <w:r>
        <w:rPr>
          <w:rFonts w:hint="eastAsia" w:ascii="宋体" w:hAnsi="宋体" w:eastAsia="宋体" w:cs="Times New Roman"/>
          <w:b/>
          <w:color w:val="000000"/>
          <w:sz w:val="24"/>
          <w:szCs w:val="24"/>
        </w:rPr>
        <w:t>六、有关说明</w:t>
      </w:r>
      <w:bookmarkEnd w:id="1127"/>
      <w:bookmarkEnd w:id="1128"/>
      <w:bookmarkEnd w:id="1129"/>
      <w:bookmarkEnd w:id="1130"/>
      <w:bookmarkEnd w:id="1131"/>
      <w:bookmarkEnd w:id="1132"/>
      <w:bookmarkEnd w:id="1133"/>
    </w:p>
    <w:p w14:paraId="1A8D1EA3">
      <w:pPr>
        <w:spacing w:line="360" w:lineRule="auto"/>
        <w:jc w:val="left"/>
        <w:outlineLvl w:val="1"/>
        <w:rPr>
          <w:rFonts w:ascii="Times New Roman" w:hAnsi="Times New Roman" w:eastAsia="宋体" w:cs="Times New Roman"/>
          <w:b/>
          <w:szCs w:val="21"/>
        </w:rPr>
      </w:pPr>
      <w:bookmarkStart w:id="1134" w:name="_Toc14618"/>
      <w:r>
        <w:rPr>
          <w:rFonts w:hint="eastAsia" w:ascii="Times New Roman" w:hAnsi="Times New Roman" w:eastAsia="宋体" w:cs="Times New Roman"/>
          <w:b/>
          <w:szCs w:val="21"/>
        </w:rPr>
        <w:t>（一）持续改进</w:t>
      </w:r>
      <w:bookmarkEnd w:id="1134"/>
    </w:p>
    <w:p w14:paraId="1EA8BF73">
      <w:pPr>
        <w:adjustRightInd w:val="0"/>
        <w:snapToGrid w:val="0"/>
        <w:spacing w:line="360" w:lineRule="auto"/>
        <w:ind w:firstLine="480" w:firstLineChars="200"/>
        <w:rPr>
          <w:rFonts w:ascii="Times New Roman" w:hAnsi="Times New Roman" w:eastAsia="宋体" w:cs="Times New Roman"/>
          <w:b/>
          <w:szCs w:val="21"/>
        </w:rPr>
      </w:pPr>
      <w:r>
        <w:rPr>
          <w:rFonts w:hint="eastAsia" w:ascii="Calibri" w:hAnsi="Calibri" w:eastAsia="宋体" w:cs="Times New Roman"/>
          <w:sz w:val="24"/>
          <w:szCs w:val="22"/>
        </w:rPr>
        <w:t>本课程根据学生作业、课堂讨论、教学环节、平时考核情况和学生、教学督导等的反馈，及时对教学中的不足之处进行改进，并在下一轮课程教学中整改完善，确保相应毕业要求指标点达成。</w:t>
      </w:r>
    </w:p>
    <w:p w14:paraId="66049FCB">
      <w:pPr>
        <w:spacing w:line="360" w:lineRule="auto"/>
        <w:jc w:val="left"/>
        <w:outlineLvl w:val="1"/>
        <w:rPr>
          <w:rFonts w:ascii="Times New Roman" w:hAnsi="Times New Roman" w:eastAsia="宋体" w:cs="Times New Roman"/>
          <w:b/>
          <w:szCs w:val="21"/>
        </w:rPr>
      </w:pPr>
      <w:bookmarkStart w:id="1135" w:name="_Toc4676"/>
      <w:r>
        <w:rPr>
          <w:rFonts w:hint="eastAsia" w:ascii="Times New Roman" w:hAnsi="Times New Roman" w:eastAsia="宋体" w:cs="Times New Roman"/>
          <w:b/>
          <w:szCs w:val="21"/>
        </w:rPr>
        <w:t>（二）建议教材</w:t>
      </w:r>
      <w:bookmarkEnd w:id="1135"/>
    </w:p>
    <w:p w14:paraId="6FA73CF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马和民，教育社会学基础，中国人民大学出版社，2022.</w:t>
      </w:r>
    </w:p>
    <w:p w14:paraId="2B066E1E">
      <w:pPr>
        <w:spacing w:line="360" w:lineRule="auto"/>
        <w:jc w:val="left"/>
        <w:outlineLvl w:val="1"/>
        <w:rPr>
          <w:rFonts w:hint="eastAsia" w:ascii="等线" w:hAnsi="等线" w:eastAsia="等线" w:cs="Times New Roman"/>
          <w:szCs w:val="21"/>
        </w:rPr>
      </w:pPr>
      <w:bookmarkStart w:id="1136" w:name="_Toc21154"/>
      <w:r>
        <w:rPr>
          <w:rFonts w:hint="eastAsia" w:ascii="Times New Roman" w:hAnsi="Times New Roman" w:eastAsia="宋体" w:cs="Times New Roman"/>
          <w:b/>
          <w:szCs w:val="21"/>
        </w:rPr>
        <w:t>（三）参考书目</w:t>
      </w:r>
      <w:bookmarkEnd w:id="1136"/>
    </w:p>
    <w:p w14:paraId="649ECDC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1.吴康宁，教育社会学，人民教育出版社，2021</w:t>
      </w:r>
    </w:p>
    <w:p w14:paraId="4CD21BB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2.钱民辉，教育社会学概论（第四版），北京大学出版社，2021.</w:t>
      </w:r>
    </w:p>
    <w:p w14:paraId="2F4C61D0">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3.雷通群.</w:t>
      </w:r>
      <w:r>
        <w:rPr>
          <w:rFonts w:hint="eastAsia" w:ascii="等线" w:hAnsi="等线" w:eastAsia="等线" w:cs="Times New Roman"/>
          <w:szCs w:val="21"/>
        </w:rPr>
        <w:t xml:space="preserve"> </w:t>
      </w:r>
      <w:r>
        <w:rPr>
          <w:rFonts w:hint="eastAsia" w:ascii="宋体" w:hAnsi="宋体" w:eastAsia="宋体" w:cs="Times New Roman"/>
          <w:szCs w:val="21"/>
        </w:rPr>
        <w:t>教育社会学，厦门大学出版社，2021.</w:t>
      </w:r>
    </w:p>
    <w:p w14:paraId="6281F57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4.许瑞、刘惠珍，教育社会学，北京师范大学出版社，2010</w:t>
      </w:r>
    </w:p>
    <w:p w14:paraId="375731FE">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5.珍妮•H•巴兰坦、弗洛伊德•M•哈马克、詹妮•斯图伯，教育社会学——一种系统分析的方法，商务印书馆，2017</w:t>
      </w:r>
    </w:p>
    <w:p w14:paraId="058DB2F8">
      <w:pPr>
        <w:spacing w:line="360" w:lineRule="auto"/>
        <w:ind w:left="420" w:leftChars="200"/>
        <w:rPr>
          <w:rFonts w:hint="eastAsia" w:ascii="宋体" w:hAnsi="宋体" w:eastAsia="宋体" w:cs="Times New Roman"/>
          <w:szCs w:val="21"/>
        </w:rPr>
      </w:pPr>
      <w:r>
        <w:rPr>
          <w:rFonts w:hint="eastAsia" w:ascii="宋体" w:hAnsi="宋体" w:eastAsia="宋体" w:cs="Times New Roman"/>
          <w:szCs w:val="21"/>
        </w:rPr>
        <w:t>6.丹尼尔•U•莱文、瑞依娜•F•莱文，教育社会学，中国人民大学出版社，2016.</w:t>
      </w:r>
    </w:p>
    <w:p w14:paraId="2B65D8E9">
      <w:pPr>
        <w:spacing w:line="360" w:lineRule="auto"/>
        <w:ind w:left="420" w:leftChars="200"/>
        <w:rPr>
          <w:rFonts w:ascii="Times New Roman" w:hAnsi="Times New Roman" w:eastAsia="宋体" w:cs="Times New Roman"/>
          <w:bCs/>
          <w:szCs w:val="21"/>
        </w:rPr>
      </w:pPr>
      <w:r>
        <w:rPr>
          <w:rFonts w:hint="eastAsia" w:ascii="宋体" w:hAnsi="宋体" w:eastAsia="宋体" w:cs="Times New Roman"/>
          <w:szCs w:val="21"/>
        </w:rPr>
        <w:t>7.郑杭生</w:t>
      </w:r>
      <w:r>
        <w:rPr>
          <w:rFonts w:ascii="宋体" w:hAnsi="等线" w:eastAsia="宋体" w:cs="Times New Roman"/>
          <w:szCs w:val="21"/>
        </w:rPr>
        <w:t>.</w:t>
      </w:r>
      <w:r>
        <w:rPr>
          <w:rFonts w:hint="eastAsia" w:ascii="宋体" w:hAnsi="宋体" w:eastAsia="宋体" w:cs="Times New Roman"/>
          <w:szCs w:val="21"/>
        </w:rPr>
        <w:t>社会学概论新修</w:t>
      </w:r>
      <w:r>
        <w:rPr>
          <w:rFonts w:ascii="宋体" w:hAnsi="宋体" w:eastAsia="宋体" w:cs="Times New Roman"/>
          <w:szCs w:val="21"/>
        </w:rPr>
        <w:t>[M].</w:t>
      </w:r>
      <w:r>
        <w:rPr>
          <w:rFonts w:hint="eastAsia" w:ascii="宋体" w:hAnsi="宋体" w:eastAsia="宋体" w:cs="Times New Roman"/>
          <w:szCs w:val="21"/>
        </w:rPr>
        <w:t>北京：中国人民大学出版社，</w:t>
      </w:r>
      <w:r>
        <w:rPr>
          <w:rFonts w:ascii="宋体" w:hAnsi="宋体" w:eastAsia="宋体" w:cs="Times New Roman"/>
          <w:szCs w:val="21"/>
        </w:rPr>
        <w:t>2016</w:t>
      </w:r>
      <w:r>
        <w:rPr>
          <w:rFonts w:ascii="宋体" w:hAnsi="等线" w:eastAsia="宋体" w:cs="Times New Roman"/>
          <w:szCs w:val="21"/>
        </w:rPr>
        <w:t>.</w:t>
      </w:r>
    </w:p>
    <w:p w14:paraId="7F26393B">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美</w:t>
      </w:r>
      <w:r>
        <w:rPr>
          <w:rFonts w:ascii="宋体" w:hAnsi="宋体" w:eastAsia="宋体" w:cs="Times New Roman"/>
          <w:szCs w:val="21"/>
        </w:rPr>
        <w:t>]</w:t>
      </w:r>
      <w:r>
        <w:rPr>
          <w:rFonts w:hint="eastAsia" w:ascii="宋体" w:hAnsi="宋体" w:eastAsia="宋体" w:cs="Times New Roman"/>
          <w:szCs w:val="21"/>
        </w:rPr>
        <w:t>戴维·波普诺</w:t>
      </w:r>
      <w:r>
        <w:rPr>
          <w:rFonts w:ascii="宋体" w:hAnsi="等线" w:eastAsia="宋体" w:cs="Times New Roman"/>
          <w:szCs w:val="21"/>
        </w:rPr>
        <w:t>.</w:t>
      </w:r>
      <w:r>
        <w:rPr>
          <w:rFonts w:hint="eastAsia" w:ascii="宋体" w:hAnsi="宋体" w:eastAsia="宋体" w:cs="Times New Roman"/>
          <w:szCs w:val="21"/>
        </w:rPr>
        <w:t>社会学（第十一版）</w:t>
      </w:r>
      <w:r>
        <w:rPr>
          <w:rFonts w:ascii="宋体" w:hAnsi="宋体" w:eastAsia="宋体" w:cs="Times New Roman"/>
          <w:szCs w:val="21"/>
        </w:rPr>
        <w:t xml:space="preserve"> [M].</w:t>
      </w:r>
      <w:r>
        <w:rPr>
          <w:rFonts w:hint="eastAsia" w:ascii="宋体" w:hAnsi="宋体" w:eastAsia="宋体" w:cs="Times New Roman"/>
          <w:szCs w:val="21"/>
        </w:rPr>
        <w:t>李强等译，北京：中国人民大学出版社，</w:t>
      </w:r>
      <w:r>
        <w:rPr>
          <w:rFonts w:ascii="宋体" w:hAnsi="宋体" w:eastAsia="宋体" w:cs="Times New Roman"/>
          <w:szCs w:val="21"/>
        </w:rPr>
        <w:t>2007.</w:t>
      </w:r>
    </w:p>
    <w:p w14:paraId="6C203087">
      <w:pPr>
        <w:spacing w:line="360" w:lineRule="auto"/>
        <w:ind w:left="239" w:leftChars="114" w:firstLine="210" w:firstLineChars="100"/>
        <w:rPr>
          <w:rFonts w:hint="eastAsia" w:ascii="宋体" w:hAnsi="宋体" w:eastAsia="宋体" w:cs="Times New Roman"/>
          <w:szCs w:val="21"/>
        </w:rPr>
      </w:pPr>
      <w:r>
        <w:rPr>
          <w:rFonts w:hint="eastAsia" w:ascii="宋体" w:hAnsi="等线" w:eastAsia="宋体" w:cs="Times New Roman"/>
          <w:szCs w:val="21"/>
        </w:rPr>
        <w:t>9.[美]理查德</w:t>
      </w:r>
      <w:r>
        <w:rPr>
          <w:rFonts w:hint="eastAsia" w:ascii="宋体" w:hAnsi="宋体" w:eastAsia="宋体" w:cs="Times New Roman"/>
          <w:szCs w:val="21"/>
        </w:rPr>
        <w:t>·拉赫曼.历史社会学概论 [M].赵莉妍译, 北京：商务印书馆，2017.</w:t>
      </w:r>
    </w:p>
    <w:p w14:paraId="1290B46F">
      <w:pPr>
        <w:spacing w:line="360" w:lineRule="auto"/>
        <w:ind w:left="239" w:leftChars="114" w:firstLine="210" w:firstLineChars="100"/>
        <w:rPr>
          <w:rFonts w:hint="eastAsia" w:ascii="宋体" w:hAnsi="宋体" w:eastAsia="宋体" w:cs="Times New Roman"/>
          <w:szCs w:val="21"/>
        </w:rPr>
      </w:pPr>
      <w:r>
        <w:rPr>
          <w:rFonts w:hint="eastAsia" w:ascii="宋体" w:hAnsi="宋体" w:eastAsia="宋体" w:cs="Times New Roman"/>
          <w:szCs w:val="21"/>
        </w:rPr>
        <w:t>10.王永起.社会学研究方法新探，北京：中国书籍出版社，2016.11</w:t>
      </w:r>
    </w:p>
    <w:p w14:paraId="581EE44A">
      <w:pPr>
        <w:spacing w:line="360" w:lineRule="auto"/>
        <w:ind w:left="239" w:leftChars="114" w:firstLine="210" w:firstLineChars="100"/>
        <w:rPr>
          <w:rFonts w:hint="eastAsia" w:ascii="宋体" w:hAnsi="宋体" w:eastAsia="宋体" w:cs="Times New Roman"/>
          <w:szCs w:val="21"/>
        </w:rPr>
      </w:pPr>
      <w:r>
        <w:rPr>
          <w:rFonts w:hint="eastAsia" w:ascii="宋体" w:hAnsi="宋体" w:eastAsia="宋体" w:cs="Times New Roman"/>
          <w:szCs w:val="21"/>
        </w:rPr>
        <w:t>11.徐祥运，刘杰编著.社会学概论（第4版），大连：东北财经大学出版社，2015.02</w:t>
      </w:r>
    </w:p>
    <w:p w14:paraId="6DF22B0A">
      <w:pPr>
        <w:tabs>
          <w:tab w:val="left" w:pos="2767"/>
        </w:tabs>
        <w:rPr>
          <w:rFonts w:hint="eastAsia" w:ascii="等线" w:hAnsi="等线" w:eastAsia="等线" w:cs="Times New Roman"/>
          <w:szCs w:val="22"/>
        </w:rPr>
      </w:pPr>
    </w:p>
    <w:p w14:paraId="35083153">
      <w:pPr>
        <w:rPr>
          <w:rFonts w:hint="eastAsia" w:ascii="等线" w:hAnsi="等线" w:eastAsia="等线" w:cs="Times New Roman"/>
          <w:szCs w:val="22"/>
        </w:rPr>
      </w:pPr>
    </w:p>
    <w:p w14:paraId="0EB40E00">
      <w:pPr>
        <w:spacing w:line="360" w:lineRule="auto"/>
        <w:ind w:right="192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张文娟</w:t>
      </w:r>
    </w:p>
    <w:p w14:paraId="7E0D911C">
      <w:pPr>
        <w:wordWrap w:val="0"/>
        <w:spacing w:line="360" w:lineRule="auto"/>
        <w:ind w:right="216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王健</w:t>
      </w:r>
    </w:p>
    <w:p w14:paraId="4D7541C2">
      <w:pPr>
        <w:spacing w:line="360" w:lineRule="auto"/>
        <w:ind w:right="192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审 批 人：张志欣</w:t>
      </w:r>
    </w:p>
    <w:p w14:paraId="6595DAE3">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4A9864A">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423F006A">
      <w:pPr>
        <w:pStyle w:val="2"/>
        <w:bidi w:val="0"/>
        <w:rPr>
          <w:rFonts w:hint="eastAsia"/>
          <w:lang w:val="en-US" w:eastAsia="zh-CN"/>
        </w:rPr>
      </w:pPr>
      <w:bookmarkStart w:id="1137" w:name="_Toc19579"/>
      <w:bookmarkStart w:id="1138" w:name="_Toc2182"/>
      <w:bookmarkStart w:id="1139" w:name="_Toc17002"/>
      <w:bookmarkStart w:id="1140" w:name="_Toc9371"/>
      <w:r>
        <w:rPr>
          <w:rFonts w:hint="eastAsia"/>
          <w:lang w:val="en-US" w:eastAsia="zh-CN"/>
        </w:rPr>
        <w:t>《家校社协同育人》课程教学大纲</w:t>
      </w:r>
      <w:bookmarkEnd w:id="1137"/>
      <w:bookmarkEnd w:id="1138"/>
      <w:bookmarkEnd w:id="1139"/>
      <w:bookmarkEnd w:id="1140"/>
    </w:p>
    <w:p w14:paraId="1CE69DEE">
      <w:pPr>
        <w:pStyle w:val="2"/>
        <w:bidi w:val="0"/>
        <w:rPr>
          <w:rFonts w:hint="eastAsia"/>
          <w:lang w:val="en-US" w:eastAsia="zh-CN"/>
        </w:rPr>
      </w:pPr>
      <w:bookmarkStart w:id="1141" w:name="_Toc12707"/>
      <w:bookmarkStart w:id="1142" w:name="_Toc27859"/>
      <w:bookmarkStart w:id="1143" w:name="_Toc17182"/>
      <w:bookmarkStart w:id="1144" w:name="_Toc7283"/>
      <w:bookmarkStart w:id="1145" w:name="_Toc30274"/>
      <w:bookmarkStart w:id="1146" w:name="_Toc14968"/>
      <w:bookmarkStart w:id="1147" w:name="_Toc14742"/>
      <w:r>
        <w:rPr>
          <w:lang w:val="en-US" w:eastAsia="zh-CN"/>
        </w:rPr>
        <w:t>（Family and Community Education）</w:t>
      </w:r>
      <w:bookmarkEnd w:id="1141"/>
      <w:bookmarkEnd w:id="1142"/>
      <w:bookmarkEnd w:id="1143"/>
      <w:bookmarkEnd w:id="1144"/>
      <w:bookmarkEnd w:id="1145"/>
      <w:bookmarkEnd w:id="1146"/>
      <w:bookmarkEnd w:id="1147"/>
    </w:p>
    <w:p w14:paraId="70E9ACDA">
      <w:pPr>
        <w:keepNext/>
        <w:widowControl w:val="0"/>
        <w:tabs>
          <w:tab w:val="left" w:pos="720"/>
          <w:tab w:val="left" w:pos="2700"/>
        </w:tabs>
        <w:bidi w:val="0"/>
        <w:spacing w:line="850" w:lineRule="exact"/>
        <w:jc w:val="center"/>
        <w:outlineLvl w:val="0"/>
        <w:rPr>
          <w:rFonts w:hint="eastAsia" w:ascii="Times New Roman" w:hAnsi="Times New Roman" w:eastAsia="宋体" w:cs="Arial"/>
          <w:b/>
          <w:bCs/>
          <w:kern w:val="2"/>
          <w:sz w:val="44"/>
          <w:szCs w:val="24"/>
          <w:lang w:val="en-US" w:eastAsia="zh-CN" w:bidi="ar-SA"/>
        </w:rPr>
      </w:pPr>
    </w:p>
    <w:p w14:paraId="33FA712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ascii="Times New Roman" w:hAnsi="Times New Roman" w:eastAsia="宋体" w:cs="Times New Roman"/>
          <w:b/>
          <w:sz w:val="24"/>
          <w:szCs w:val="24"/>
        </w:rPr>
        <w:t xml:space="preserve"> </w:t>
      </w:r>
      <w:r>
        <w:rPr>
          <w:rFonts w:hint="eastAsia" w:ascii="宋体" w:hAnsi="宋体" w:eastAsia="宋体" w:cs="Times New Roman"/>
          <w:b/>
          <w:color w:val="000000"/>
          <w:sz w:val="24"/>
          <w:szCs w:val="24"/>
        </w:rPr>
        <w:t>《家校社协同育人》</w:t>
      </w:r>
    </w:p>
    <w:p w14:paraId="609D1FB7">
      <w:pPr>
        <w:snapToGrid w:val="0"/>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color w:val="000000"/>
          <w:sz w:val="24"/>
          <w:szCs w:val="24"/>
        </w:rPr>
        <w:t>2401061</w:t>
      </w:r>
    </w:p>
    <w:p w14:paraId="72E5C4BF">
      <w:pPr>
        <w:snapToGrid w:val="0"/>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宋体" w:hAnsi="宋体" w:eastAsia="宋体" w:cs="Times New Roman"/>
          <w:b/>
          <w:color w:val="000000"/>
          <w:sz w:val="24"/>
          <w:szCs w:val="24"/>
        </w:rPr>
        <w:t>2</w:t>
      </w:r>
      <w:r>
        <w:rPr>
          <w:rFonts w:ascii="宋体" w:hAnsi="宋体" w:eastAsia="宋体" w:cs="Times New Roman"/>
          <w:b/>
          <w:color w:val="000000"/>
          <w:sz w:val="24"/>
          <w:szCs w:val="24"/>
        </w:rPr>
        <w:t>.0</w:t>
      </w:r>
      <w:r>
        <w:rPr>
          <w:rFonts w:hint="eastAsia" w:ascii="宋体" w:hAnsi="宋体" w:eastAsia="宋体" w:cs="Times New Roman"/>
          <w:b/>
          <w:color w:val="000000"/>
          <w:sz w:val="24"/>
          <w:szCs w:val="24"/>
        </w:rPr>
        <w:t>学分</w:t>
      </w:r>
    </w:p>
    <w:p w14:paraId="1916C11D">
      <w:pPr>
        <w:snapToGrid w:val="0"/>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学时</w:t>
      </w:r>
    </w:p>
    <w:p w14:paraId="573511D1">
      <w:pPr>
        <w:snapToGrid w:val="0"/>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w:t>
      </w:r>
      <w:r>
        <w:rPr>
          <w:rFonts w:hint="eastAsia" w:ascii="宋体" w:hAnsi="宋体" w:eastAsia="宋体" w:cs="Times New Roman"/>
          <w:b/>
          <w:color w:val="000000"/>
          <w:sz w:val="24"/>
          <w:szCs w:val="24"/>
        </w:rPr>
        <w:t>教育原理、教育心理学</w:t>
      </w:r>
    </w:p>
    <w:p w14:paraId="0ACF44A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49BDF720">
      <w:pPr>
        <w:spacing w:line="360" w:lineRule="auto"/>
        <w:jc w:val="left"/>
        <w:rPr>
          <w:rFonts w:ascii="Times New Roman" w:hAnsi="Times New Roman" w:eastAsia="宋体" w:cs="Times New Roman"/>
          <w:b/>
          <w:sz w:val="24"/>
          <w:szCs w:val="24"/>
        </w:rPr>
      </w:pPr>
    </w:p>
    <w:p w14:paraId="30C79845">
      <w:pPr>
        <w:spacing w:line="360" w:lineRule="auto"/>
        <w:jc w:val="left"/>
        <w:outlineLvl w:val="0"/>
        <w:rPr>
          <w:rFonts w:ascii="Times New Roman" w:hAnsi="Times New Roman" w:eastAsia="宋体" w:cs="Times New Roman"/>
          <w:sz w:val="24"/>
          <w:szCs w:val="24"/>
        </w:rPr>
      </w:pPr>
      <w:bookmarkStart w:id="1148" w:name="_Toc28000"/>
      <w:bookmarkStart w:id="1149" w:name="_Toc7459"/>
      <w:bookmarkStart w:id="1150" w:name="_Toc9438"/>
      <w:bookmarkStart w:id="1151" w:name="_Toc3036"/>
      <w:bookmarkStart w:id="1152" w:name="_Toc6526"/>
      <w:bookmarkStart w:id="1153" w:name="_Toc13774"/>
      <w:bookmarkStart w:id="1154" w:name="_Toc27465"/>
      <w:r>
        <w:rPr>
          <w:rFonts w:hint="eastAsia" w:ascii="Times New Roman" w:hAnsi="Times New Roman" w:eastAsia="宋体" w:cs="Times New Roman"/>
          <w:b/>
          <w:sz w:val="24"/>
          <w:szCs w:val="24"/>
        </w:rPr>
        <w:t>一、课程简介</w:t>
      </w:r>
      <w:bookmarkEnd w:id="1148"/>
      <w:bookmarkEnd w:id="1149"/>
      <w:bookmarkEnd w:id="1150"/>
      <w:bookmarkEnd w:id="1151"/>
      <w:bookmarkEnd w:id="1152"/>
      <w:bookmarkEnd w:id="1153"/>
      <w:bookmarkEnd w:id="1154"/>
    </w:p>
    <w:p w14:paraId="6AECCAE1">
      <w:pPr>
        <w:snapToGrid w:val="0"/>
        <w:spacing w:line="360" w:lineRule="auto"/>
        <w:ind w:firstLine="411" w:firstLineChars="196"/>
        <w:rPr>
          <w:rFonts w:hint="eastAsia" w:ascii="宋体" w:hAnsi="宋体" w:eastAsia="宋体" w:cs="Times New Roman"/>
          <w:szCs w:val="21"/>
        </w:rPr>
      </w:pPr>
      <w:r>
        <w:rPr>
          <w:rFonts w:hint="eastAsia" w:ascii="宋体" w:hAnsi="宋体" w:eastAsia="宋体" w:cs="Times New Roman"/>
          <w:color w:val="000000"/>
          <w:szCs w:val="21"/>
        </w:rPr>
        <w:t>《家校社协同育人》是小学教育专业的一门专业选修课，是一门实践性和理论性并重的基础课程，该课程主要涉及家庭与社区教育的一些基本概念和基本理论，</w:t>
      </w:r>
      <w:r>
        <w:rPr>
          <w:rFonts w:hint="eastAsia" w:ascii="宋体" w:hAnsi="宋体" w:eastAsia="宋体" w:cs="Times New Roman"/>
          <w:szCs w:val="21"/>
        </w:rPr>
        <w:t>立足中国儿童家庭与社区教育发展的实际，关注</w:t>
      </w:r>
      <w:r>
        <w:rPr>
          <w:rFonts w:ascii="宋体" w:hAnsi="宋体" w:eastAsia="宋体" w:cs="Times New Roman"/>
          <w:szCs w:val="21"/>
        </w:rPr>
        <w:t>当前家庭教育发展的具体情况，总结近些年中国家庭教育的发展历程与经验启示，介绍中国家庭教育的现状、父母教育理念的更新、家庭教育的立法进程、</w:t>
      </w:r>
      <w:r>
        <w:rPr>
          <w:rFonts w:hint="eastAsia" w:ascii="宋体" w:hAnsi="宋体" w:eastAsia="宋体" w:cs="Times New Roman"/>
          <w:szCs w:val="21"/>
        </w:rPr>
        <w:t>“</w:t>
      </w:r>
      <w:r>
        <w:rPr>
          <w:rFonts w:ascii="宋体" w:hAnsi="宋体" w:eastAsia="宋体" w:cs="Times New Roman"/>
          <w:szCs w:val="21"/>
        </w:rPr>
        <w:t>二孩时代</w:t>
      </w:r>
      <w:r>
        <w:rPr>
          <w:rFonts w:hint="eastAsia" w:ascii="宋体" w:hAnsi="宋体" w:eastAsia="宋体" w:cs="Times New Roman"/>
          <w:szCs w:val="21"/>
        </w:rPr>
        <w:t>”的</w:t>
      </w:r>
      <w:r>
        <w:rPr>
          <w:rFonts w:ascii="宋体" w:hAnsi="宋体" w:eastAsia="宋体" w:cs="Times New Roman"/>
          <w:szCs w:val="21"/>
        </w:rPr>
        <w:t>隔代教养</w:t>
      </w:r>
      <w:r>
        <w:rPr>
          <w:rFonts w:hint="eastAsia" w:ascii="宋体" w:hAnsi="宋体" w:eastAsia="宋体" w:cs="Times New Roman"/>
          <w:szCs w:val="21"/>
        </w:rPr>
        <w:t>等</w:t>
      </w:r>
      <w:r>
        <w:rPr>
          <w:rFonts w:ascii="宋体" w:hAnsi="宋体" w:eastAsia="宋体" w:cs="Times New Roman"/>
          <w:szCs w:val="21"/>
        </w:rPr>
        <w:t>诸多现象、家风家训与中国传统优秀家教文化的弘扬等内容，为</w:t>
      </w:r>
      <w:r>
        <w:rPr>
          <w:rFonts w:hint="eastAsia" w:ascii="宋体" w:hAnsi="宋体" w:eastAsia="宋体" w:cs="Times New Roman"/>
          <w:szCs w:val="21"/>
        </w:rPr>
        <w:t>小学</w:t>
      </w:r>
      <w:r>
        <w:rPr>
          <w:rFonts w:ascii="宋体" w:hAnsi="宋体" w:eastAsia="宋体" w:cs="Times New Roman"/>
          <w:szCs w:val="21"/>
        </w:rPr>
        <w:t>教育专业学生掌握</w:t>
      </w:r>
      <w:r>
        <w:rPr>
          <w:rFonts w:hint="eastAsia" w:ascii="宋体" w:hAnsi="宋体" w:eastAsia="宋体" w:cs="Times New Roman"/>
          <w:szCs w:val="21"/>
        </w:rPr>
        <w:t>、理解</w:t>
      </w:r>
      <w:r>
        <w:rPr>
          <w:rFonts w:ascii="宋体" w:hAnsi="宋体" w:eastAsia="宋体" w:cs="Times New Roman"/>
          <w:szCs w:val="21"/>
        </w:rPr>
        <w:t>和开展家庭与社区教育提供理论学习</w:t>
      </w:r>
      <w:r>
        <w:rPr>
          <w:rFonts w:hint="eastAsia" w:ascii="宋体" w:hAnsi="宋体" w:eastAsia="宋体" w:cs="Times New Roman"/>
          <w:szCs w:val="21"/>
        </w:rPr>
        <w:t>帮助。</w:t>
      </w:r>
    </w:p>
    <w:p w14:paraId="4A2F1D76">
      <w:pPr>
        <w:spacing w:line="360" w:lineRule="auto"/>
        <w:jc w:val="left"/>
        <w:rPr>
          <w:rFonts w:hint="eastAsia" w:ascii="宋体" w:hAnsi="宋体" w:eastAsia="宋体" w:cs="Times New Roman"/>
          <w:b/>
          <w:color w:val="000000"/>
          <w:szCs w:val="21"/>
        </w:rPr>
      </w:pPr>
    </w:p>
    <w:p w14:paraId="1B7FEDEF">
      <w:pPr>
        <w:spacing w:line="360" w:lineRule="auto"/>
        <w:jc w:val="left"/>
        <w:outlineLvl w:val="0"/>
        <w:rPr>
          <w:rFonts w:ascii="Times New Roman" w:hAnsi="Times New Roman" w:eastAsia="宋体" w:cs="Times New Roman"/>
          <w:sz w:val="24"/>
          <w:szCs w:val="24"/>
        </w:rPr>
      </w:pPr>
      <w:bookmarkStart w:id="1155" w:name="_Toc31198"/>
      <w:bookmarkStart w:id="1156" w:name="_Toc9641"/>
      <w:bookmarkStart w:id="1157" w:name="_Toc11464"/>
      <w:bookmarkStart w:id="1158" w:name="_Toc634"/>
      <w:bookmarkStart w:id="1159" w:name="_Toc27839"/>
      <w:bookmarkStart w:id="1160" w:name="_Toc20839"/>
      <w:bookmarkStart w:id="1161" w:name="_Toc16572"/>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1155"/>
      <w:bookmarkEnd w:id="1156"/>
      <w:bookmarkEnd w:id="1157"/>
      <w:bookmarkEnd w:id="1158"/>
      <w:bookmarkEnd w:id="1159"/>
      <w:bookmarkEnd w:id="1160"/>
      <w:bookmarkEnd w:id="1161"/>
    </w:p>
    <w:p w14:paraId="5F5F1DBE">
      <w:pPr>
        <w:spacing w:line="360" w:lineRule="auto"/>
        <w:ind w:firstLine="422" w:firstLineChars="200"/>
        <w:outlineLvl w:val="1"/>
        <w:rPr>
          <w:rFonts w:hint="eastAsia" w:ascii="宋体" w:hAnsi="宋体" w:eastAsia="宋体" w:cs="Times New Roman"/>
          <w:b/>
          <w:color w:val="000000"/>
          <w:szCs w:val="21"/>
        </w:rPr>
      </w:pPr>
      <w:bookmarkStart w:id="1162" w:name="_Toc4715"/>
      <w:r>
        <w:rPr>
          <w:rFonts w:hint="eastAsia" w:ascii="宋体" w:hAnsi="宋体" w:eastAsia="宋体" w:cs="Times New Roman"/>
          <w:b/>
          <w:color w:val="000000"/>
          <w:szCs w:val="21"/>
        </w:rPr>
        <w:t>（一）课程具体目标</w:t>
      </w:r>
      <w:bookmarkEnd w:id="1162"/>
    </w:p>
    <w:p w14:paraId="1512BAA6">
      <w:pPr>
        <w:snapToGrid w:val="0"/>
        <w:spacing w:line="360" w:lineRule="auto"/>
        <w:ind w:firstLine="413" w:firstLineChars="196"/>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szCs w:val="21"/>
        </w:rPr>
        <w:t>了解本课程以及家庭教育的理论知识及实践，了解中国在家庭教育方面的优秀传统文化及当前面临的育人现实问题。</w:t>
      </w:r>
    </w:p>
    <w:p w14:paraId="131FD239">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hint="eastAsia" w:ascii="宋体" w:hAnsi="宋体" w:eastAsia="宋体" w:cs="Times New Roman"/>
          <w:szCs w:val="21"/>
        </w:rPr>
        <w:t>树立科学的儿童观、具备保护儿童权利的意识；树立家校社协同育人的思想观念；树立家庭教育的法制观念和职业职责意识。</w:t>
      </w:r>
    </w:p>
    <w:p w14:paraId="2BFEA595">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宋体" w:hAnsi="宋体" w:eastAsia="宋体" w:cs="Times New Roman"/>
          <w:szCs w:val="21"/>
        </w:rPr>
        <w:t>具备了解儿童，具备家校社协同育人的知识、能力和技巧。</w:t>
      </w:r>
      <w:r>
        <w:rPr>
          <w:rFonts w:ascii="Times New Roman" w:hAnsi="Times New Roman" w:eastAsia="宋体" w:cs="Times New Roman"/>
          <w:szCs w:val="21"/>
        </w:rPr>
        <w:t xml:space="preserve"> </w:t>
      </w:r>
    </w:p>
    <w:p w14:paraId="3EDD1D99">
      <w:pPr>
        <w:spacing w:before="156" w:beforeLines="50" w:after="156" w:afterLines="50" w:line="360" w:lineRule="auto"/>
        <w:jc w:val="left"/>
        <w:outlineLvl w:val="1"/>
        <w:rPr>
          <w:rFonts w:ascii="Times New Roman" w:hAnsi="Times New Roman" w:eastAsia="宋体" w:cs="Times New Roman"/>
          <w:b/>
          <w:bCs/>
          <w:szCs w:val="21"/>
        </w:rPr>
      </w:pPr>
      <w:bookmarkStart w:id="1163" w:name="_Toc6845"/>
      <w:r>
        <w:rPr>
          <w:rFonts w:hint="eastAsia" w:ascii="Times New Roman" w:hAnsi="Times New Roman" w:eastAsia="宋体" w:cs="Times New Roman"/>
          <w:b/>
          <w:bCs/>
          <w:szCs w:val="21"/>
        </w:rPr>
        <w:t>（二）课程目标及其对毕业要求指标点的支撑</w:t>
      </w:r>
      <w:bookmarkEnd w:id="1163"/>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37B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E56457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AF172A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E6BB9B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973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4915655">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毕业要求5：班级管理</w:t>
            </w:r>
          </w:p>
        </w:tc>
        <w:tc>
          <w:tcPr>
            <w:tcW w:w="5688" w:type="dxa"/>
            <w:vAlign w:val="center"/>
          </w:tcPr>
          <w:p w14:paraId="7EE1CF14">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指标点5-2：</w:t>
            </w:r>
            <w:r>
              <w:rPr>
                <w:rFonts w:hint="eastAsia" w:ascii="宋体" w:hAnsi="宋体" w:eastAsia="宋体" w:cs="Times New Roman"/>
                <w:color w:val="000000"/>
                <w:szCs w:val="21"/>
              </w:rPr>
              <w:t>【重视心理健康教育】了解小学生身体、情感发展的特性和差异性，</w:t>
            </w:r>
            <w:r>
              <w:rPr>
                <w:rFonts w:ascii="宋体" w:hAnsi="宋体" w:eastAsia="宋体" w:cs="Times New Roman"/>
                <w:color w:val="000000"/>
                <w:szCs w:val="21"/>
              </w:rPr>
              <w:t>获得小学心理健康教育指导体验，参与组织与指导对小学生心理健康教育的科普宣传及心理辅导，掌握小学心理健康教育的基本方法。</w:t>
            </w:r>
          </w:p>
        </w:tc>
        <w:tc>
          <w:tcPr>
            <w:tcW w:w="1191" w:type="dxa"/>
            <w:vAlign w:val="center"/>
          </w:tcPr>
          <w:p w14:paraId="7076FAB2">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课程目标1</w:t>
            </w:r>
          </w:p>
        </w:tc>
      </w:tr>
      <w:tr w14:paraId="2EB6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6362B1B">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毕业要求6：综合育人</w:t>
            </w:r>
          </w:p>
        </w:tc>
        <w:tc>
          <w:tcPr>
            <w:tcW w:w="5688" w:type="dxa"/>
            <w:vAlign w:val="center"/>
          </w:tcPr>
          <w:p w14:paraId="13A3D37A">
            <w:pPr>
              <w:spacing w:line="276" w:lineRule="auto"/>
              <w:jc w:val="left"/>
              <w:rPr>
                <w:rFonts w:ascii="Times New Roman" w:hAnsi="Times New Roman" w:eastAsia="宋体" w:cs="Times New Roman"/>
                <w:szCs w:val="21"/>
              </w:rPr>
            </w:pPr>
            <w:r>
              <w:rPr>
                <w:rFonts w:ascii="宋体" w:hAnsi="宋体" w:eastAsia="宋体" w:cs="Times New Roman"/>
                <w:color w:val="000000"/>
                <w:szCs w:val="21"/>
              </w:rPr>
              <w:t>指标点6-3：</w:t>
            </w:r>
            <w:r>
              <w:rPr>
                <w:rFonts w:hint="eastAsia" w:ascii="宋体" w:hAnsi="宋体" w:eastAsia="宋体" w:cs="Times New Roman"/>
                <w:color w:val="000000"/>
                <w:szCs w:val="21"/>
              </w:rPr>
              <w:t>【善于文化与活动育人】了解课外活动组织和管理知识，掌握学校文化和各类课外教育活动的育人内涵和方法，参与组织主题教育、少先队活动和社团活动，促进小学生全面、健康发展</w:t>
            </w:r>
          </w:p>
        </w:tc>
        <w:tc>
          <w:tcPr>
            <w:tcW w:w="1191" w:type="dxa"/>
            <w:vAlign w:val="center"/>
          </w:tcPr>
          <w:p w14:paraId="2FFFD6B8">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课程目标2</w:t>
            </w:r>
          </w:p>
        </w:tc>
      </w:tr>
      <w:tr w14:paraId="4C54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restart"/>
            <w:vAlign w:val="center"/>
          </w:tcPr>
          <w:p w14:paraId="45EAB34C">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毕业要求8</w:t>
            </w:r>
            <w:r>
              <w:rPr>
                <w:rFonts w:ascii="宋体" w:hAnsi="宋体" w:eastAsia="宋体" w:cs="Times New Roman"/>
                <w:color w:val="000000"/>
                <w:szCs w:val="21"/>
              </w:rPr>
              <w:t>.</w:t>
            </w:r>
            <w:r>
              <w:rPr>
                <w:rFonts w:hint="eastAsia" w:ascii="宋体" w:hAnsi="宋体" w:eastAsia="宋体" w:cs="Times New Roman"/>
                <w:color w:val="000000"/>
                <w:szCs w:val="21"/>
              </w:rPr>
              <w:t>沟通合作</w:t>
            </w:r>
          </w:p>
        </w:tc>
        <w:tc>
          <w:tcPr>
            <w:tcW w:w="5688" w:type="dxa"/>
            <w:shd w:val="clear" w:color="auto" w:fill="auto"/>
            <w:vAlign w:val="center"/>
          </w:tcPr>
          <w:p w14:paraId="032E60FC">
            <w:pPr>
              <w:snapToGrid w:val="0"/>
              <w:spacing w:line="288" w:lineRule="auto"/>
              <w:ind w:firstLine="411" w:firstLineChars="196"/>
              <w:rPr>
                <w:rFonts w:hint="eastAsia" w:ascii="宋体" w:hAnsi="宋体" w:eastAsia="宋体" w:cs="Times New Roman"/>
                <w:color w:val="000000"/>
                <w:szCs w:val="21"/>
              </w:rPr>
            </w:pPr>
            <w:r>
              <w:rPr>
                <w:rFonts w:ascii="宋体" w:hAnsi="宋体" w:eastAsia="宋体" w:cs="Times New Roman"/>
                <w:color w:val="000000"/>
                <w:szCs w:val="21"/>
              </w:rPr>
              <w:t>指标点8-1：</w:t>
            </w:r>
            <w:r>
              <w:rPr>
                <w:rFonts w:hint="eastAsia" w:ascii="宋体" w:hAnsi="宋体" w:eastAsia="宋体" w:cs="Times New Roman"/>
                <w:color w:val="000000"/>
                <w:szCs w:val="21"/>
              </w:rPr>
              <w:t>【善于团队合作】理解学习共同体的本质和价值，掌握团队协作的基本策略，在课堂学习与教育实践中获得合作学习体验，形成团队协作精神。</w:t>
            </w:r>
          </w:p>
        </w:tc>
        <w:tc>
          <w:tcPr>
            <w:tcW w:w="1191" w:type="dxa"/>
            <w:vMerge w:val="restart"/>
            <w:vAlign w:val="center"/>
          </w:tcPr>
          <w:p w14:paraId="1C8C18CB">
            <w:pPr>
              <w:spacing w:line="276" w:lineRule="auto"/>
              <w:jc w:val="left"/>
              <w:rPr>
                <w:rFonts w:ascii="Times New Roman" w:hAnsi="Times New Roman" w:eastAsia="宋体" w:cs="Times New Roman"/>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tc>
      </w:tr>
      <w:tr w14:paraId="07D1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Merge w:val="continue"/>
            <w:vAlign w:val="center"/>
          </w:tcPr>
          <w:p w14:paraId="41D1488D">
            <w:pPr>
              <w:spacing w:line="276" w:lineRule="auto"/>
              <w:jc w:val="left"/>
              <w:rPr>
                <w:rFonts w:ascii="Times New Roman" w:hAnsi="Times New Roman" w:eastAsia="宋体" w:cs="Times New Roman"/>
                <w:szCs w:val="21"/>
              </w:rPr>
            </w:pPr>
          </w:p>
        </w:tc>
        <w:tc>
          <w:tcPr>
            <w:tcW w:w="5688" w:type="dxa"/>
            <w:shd w:val="clear" w:color="auto" w:fill="auto"/>
            <w:vAlign w:val="center"/>
          </w:tcPr>
          <w:p w14:paraId="52E6519E">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指标点8-2：</w:t>
            </w:r>
            <w:r>
              <w:rPr>
                <w:rFonts w:hint="eastAsia" w:ascii="宋体" w:hAnsi="宋体" w:eastAsia="宋体" w:cs="Times New Roman"/>
                <w:color w:val="000000"/>
                <w:szCs w:val="21"/>
              </w:rPr>
              <w:t>【学会沟通交流】掌握人际沟通合作技能与方法，能与学生和家长以及同行、同事、专家进行有效沟通与合作，实现共同发展。</w:t>
            </w:r>
          </w:p>
        </w:tc>
        <w:tc>
          <w:tcPr>
            <w:tcW w:w="1191" w:type="dxa"/>
            <w:vMerge w:val="continue"/>
            <w:vAlign w:val="center"/>
          </w:tcPr>
          <w:p w14:paraId="57254D0B">
            <w:pPr>
              <w:spacing w:line="276" w:lineRule="auto"/>
              <w:jc w:val="left"/>
              <w:rPr>
                <w:rFonts w:ascii="Times New Roman" w:hAnsi="Times New Roman" w:eastAsia="宋体" w:cs="Times New Roman"/>
                <w:szCs w:val="21"/>
              </w:rPr>
            </w:pPr>
          </w:p>
        </w:tc>
      </w:tr>
    </w:tbl>
    <w:p w14:paraId="30E0E314">
      <w:pPr>
        <w:spacing w:before="156" w:beforeLines="50" w:line="360" w:lineRule="auto"/>
        <w:jc w:val="left"/>
        <w:outlineLvl w:val="1"/>
        <w:rPr>
          <w:rFonts w:hint="eastAsia" w:ascii="宋体" w:hAnsi="宋体" w:eastAsia="宋体" w:cs="Times New Roman"/>
          <w:b/>
          <w:color w:val="000000"/>
          <w:szCs w:val="21"/>
        </w:rPr>
      </w:pPr>
      <w:bookmarkStart w:id="1164" w:name="_Toc19268"/>
      <w:r>
        <w:rPr>
          <w:rFonts w:hint="eastAsia" w:ascii="宋体" w:hAnsi="宋体" w:eastAsia="宋体" w:cs="Times New Roman"/>
          <w:b/>
          <w:color w:val="000000"/>
          <w:szCs w:val="21"/>
        </w:rPr>
        <w:t>（三）课程思政目标</w:t>
      </w:r>
      <w:bookmarkEnd w:id="1164"/>
    </w:p>
    <w:p w14:paraId="331F012D">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引导学生树立关心现实教育需求、关怀儿童的理念；弘扬师德师爱，增强儿童权益保护意识；强化儿童教育的法制观念，认识到教师自身专业职责，做家庭教育政策的贯彻着和践行者；厚植中华优秀传统文化，宣传优良家教家风家训等文化；立足人口政策现实，积极为家庭提供教育指导服务。</w:t>
      </w:r>
    </w:p>
    <w:p w14:paraId="0C34D49C">
      <w:pPr>
        <w:spacing w:line="360" w:lineRule="auto"/>
        <w:jc w:val="left"/>
        <w:outlineLvl w:val="0"/>
        <w:rPr>
          <w:rFonts w:hint="eastAsia" w:ascii="宋体" w:hAnsi="宋体" w:eastAsia="宋体" w:cs="Times New Roman"/>
          <w:b/>
          <w:color w:val="000000"/>
          <w:sz w:val="24"/>
          <w:szCs w:val="24"/>
        </w:rPr>
      </w:pPr>
      <w:bookmarkStart w:id="1165" w:name="_Toc23901"/>
      <w:bookmarkStart w:id="1166" w:name="_Toc22531"/>
      <w:bookmarkStart w:id="1167" w:name="_Toc15783"/>
      <w:bookmarkStart w:id="1168" w:name="_Toc6750"/>
      <w:bookmarkStart w:id="1169" w:name="_Toc19133"/>
      <w:bookmarkStart w:id="1170" w:name="_Toc20588"/>
      <w:bookmarkStart w:id="1171" w:name="_Toc25980"/>
      <w:r>
        <w:rPr>
          <w:rFonts w:hint="eastAsia" w:ascii="宋体" w:hAnsi="宋体" w:eastAsia="宋体" w:cs="Times New Roman"/>
          <w:b/>
          <w:color w:val="000000"/>
          <w:sz w:val="24"/>
          <w:szCs w:val="24"/>
        </w:rPr>
        <w:t>三、教学内容与预期学习成效</w:t>
      </w:r>
      <w:bookmarkEnd w:id="1165"/>
      <w:bookmarkEnd w:id="1166"/>
      <w:bookmarkEnd w:id="1167"/>
      <w:bookmarkEnd w:id="1168"/>
      <w:bookmarkEnd w:id="1169"/>
      <w:bookmarkEnd w:id="1170"/>
      <w:bookmarkEnd w:id="1171"/>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7C1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811D3A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E117A1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7E7938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6ABD27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53B8BE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14752E2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F96BE6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C7688D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75C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178F28">
            <w:pPr>
              <w:spacing w:line="264" w:lineRule="auto"/>
              <w:jc w:val="center"/>
              <w:rPr>
                <w:rFonts w:hint="eastAsia" w:ascii="宋体" w:hAnsi="宋体" w:eastAsia="宋体" w:cs="Times New Roman"/>
                <w:color w:val="000000"/>
                <w:szCs w:val="21"/>
              </w:rPr>
            </w:pPr>
          </w:p>
          <w:p w14:paraId="66D2E56E">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1.“家校社合作共育”概述</w:t>
            </w:r>
          </w:p>
          <w:p w14:paraId="6E64D97C">
            <w:pPr>
              <w:spacing w:line="264" w:lineRule="auto"/>
              <w:jc w:val="center"/>
              <w:rPr>
                <w:rFonts w:hint="eastAsia" w:ascii="宋体" w:hAnsi="宋体" w:eastAsia="宋体" w:cs="Times New Roman"/>
                <w:color w:val="000000"/>
                <w:szCs w:val="21"/>
              </w:rPr>
            </w:pPr>
          </w:p>
          <w:p w14:paraId="708F2870">
            <w:pPr>
              <w:spacing w:line="264" w:lineRule="auto"/>
              <w:jc w:val="center"/>
              <w:rPr>
                <w:rFonts w:hint="eastAsia" w:ascii="宋体" w:hAnsi="宋体" w:eastAsia="宋体" w:cs="Times New Roman"/>
                <w:color w:val="000000"/>
                <w:szCs w:val="21"/>
              </w:rPr>
            </w:pPr>
          </w:p>
        </w:tc>
        <w:tc>
          <w:tcPr>
            <w:tcW w:w="1701" w:type="dxa"/>
            <w:vAlign w:val="center"/>
          </w:tcPr>
          <w:p w14:paraId="553C67E9">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（1）“家校社合作共育”课程介绍</w:t>
            </w:r>
          </w:p>
          <w:p w14:paraId="06EB0FAD">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（2）学习“家校社合作共育”的意义和方法</w:t>
            </w:r>
          </w:p>
        </w:tc>
        <w:tc>
          <w:tcPr>
            <w:tcW w:w="1134" w:type="dxa"/>
            <w:vAlign w:val="center"/>
          </w:tcPr>
          <w:p w14:paraId="2216987D">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、6、8</w:t>
            </w:r>
          </w:p>
        </w:tc>
        <w:tc>
          <w:tcPr>
            <w:tcW w:w="3260" w:type="dxa"/>
            <w:vAlign w:val="center"/>
          </w:tcPr>
          <w:p w14:paraId="56E8A1FD">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了解“家校社合作共育”这门课程的学科归属</w:t>
            </w:r>
          </w:p>
          <w:p w14:paraId="5ABC1BA3">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能够理解“家校社合作共育”的意义、掌握其方法</w:t>
            </w:r>
          </w:p>
          <w:p w14:paraId="4A656ED6">
            <w:pPr>
              <w:spacing w:line="269" w:lineRule="auto"/>
              <w:jc w:val="left"/>
              <w:rPr>
                <w:rFonts w:hint="eastAsia" w:ascii="宋体" w:hAnsi="宋体" w:eastAsia="宋体" w:cs="Times New Roman"/>
                <w:color w:val="000000"/>
                <w:szCs w:val="21"/>
              </w:rPr>
            </w:pPr>
          </w:p>
        </w:tc>
        <w:tc>
          <w:tcPr>
            <w:tcW w:w="1560" w:type="dxa"/>
            <w:vAlign w:val="center"/>
          </w:tcPr>
          <w:p w14:paraId="37E367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课堂讲授</w:t>
            </w:r>
          </w:p>
          <w:p w14:paraId="2617D96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74E7384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7CC2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3A54E4">
            <w:pPr>
              <w:spacing w:line="264" w:lineRule="auto"/>
              <w:jc w:val="center"/>
              <w:rPr>
                <w:rFonts w:hint="eastAsia" w:ascii="宋体" w:hAnsi="宋体" w:eastAsia="宋体" w:cs="Times New Roman"/>
                <w:color w:val="000000"/>
                <w:szCs w:val="21"/>
              </w:rPr>
            </w:pPr>
          </w:p>
        </w:tc>
        <w:tc>
          <w:tcPr>
            <w:tcW w:w="8093" w:type="dxa"/>
            <w:gridSpan w:val="5"/>
            <w:vAlign w:val="center"/>
          </w:tcPr>
          <w:p w14:paraId="3CB74B09">
            <w:pPr>
              <w:snapToGrid w:val="0"/>
              <w:spacing w:line="360" w:lineRule="auto"/>
              <w:ind w:firstLine="413" w:firstLineChars="196"/>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家校社合作育人是社会主义教育价值观念的具体表现和集中反映，能够树立宏观的家校社合作育人的理念。 </w:t>
            </w:r>
          </w:p>
        </w:tc>
      </w:tr>
      <w:tr w14:paraId="33BE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E8FB9B">
            <w:pPr>
              <w:spacing w:line="264" w:lineRule="auto"/>
              <w:jc w:val="center"/>
              <w:rPr>
                <w:rFonts w:hint="eastAsia" w:ascii="宋体" w:hAnsi="宋体" w:eastAsia="宋体" w:cs="Times New Roman"/>
                <w:color w:val="000000"/>
                <w:szCs w:val="21"/>
              </w:rPr>
            </w:pPr>
          </w:p>
          <w:p w14:paraId="4A2DEFDF">
            <w:pPr>
              <w:spacing w:line="264" w:lineRule="auto"/>
              <w:jc w:val="center"/>
              <w:rPr>
                <w:rFonts w:hint="eastAsia" w:ascii="宋体" w:hAnsi="宋体" w:eastAsia="宋体" w:cs="Times New Roman"/>
                <w:color w:val="000000"/>
                <w:szCs w:val="21"/>
              </w:rPr>
            </w:pPr>
          </w:p>
          <w:p w14:paraId="2C62D314">
            <w:pPr>
              <w:snapToGrid w:val="0"/>
              <w:spacing w:line="360" w:lineRule="auto"/>
              <w:ind w:firstLine="411" w:firstLineChars="196"/>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中国家庭教育的现状与特点</w:t>
            </w:r>
          </w:p>
          <w:p w14:paraId="50CAB179">
            <w:pPr>
              <w:spacing w:line="264" w:lineRule="auto"/>
              <w:jc w:val="center"/>
              <w:rPr>
                <w:rFonts w:hint="eastAsia" w:ascii="宋体" w:hAnsi="宋体" w:eastAsia="宋体" w:cs="Times New Roman"/>
                <w:color w:val="000000"/>
                <w:szCs w:val="21"/>
              </w:rPr>
            </w:pPr>
          </w:p>
          <w:p w14:paraId="635643CC">
            <w:pPr>
              <w:spacing w:line="264" w:lineRule="auto"/>
              <w:jc w:val="center"/>
              <w:rPr>
                <w:rFonts w:hint="eastAsia" w:ascii="宋体" w:hAnsi="宋体" w:eastAsia="宋体" w:cs="Times New Roman"/>
                <w:color w:val="000000"/>
                <w:szCs w:val="21"/>
              </w:rPr>
            </w:pPr>
          </w:p>
        </w:tc>
        <w:tc>
          <w:tcPr>
            <w:tcW w:w="1701" w:type="dxa"/>
            <w:vAlign w:val="center"/>
          </w:tcPr>
          <w:p w14:paraId="39E84BA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中国家庭教育的现状及特点：</w:t>
            </w:r>
            <w:r>
              <w:rPr>
                <w:rFonts w:ascii="宋体" w:hAnsi="宋体" w:eastAsia="宋体" w:cs="Times New Roman"/>
                <w:color w:val="000000"/>
                <w:szCs w:val="21"/>
              </w:rPr>
              <w:t>政府主导力度越来越大</w:t>
            </w:r>
            <w:r>
              <w:rPr>
                <w:rFonts w:hint="eastAsia" w:ascii="宋体" w:hAnsi="宋体" w:eastAsia="宋体" w:cs="Times New Roman"/>
                <w:color w:val="000000"/>
                <w:szCs w:val="21"/>
              </w:rPr>
              <w:t>；</w:t>
            </w:r>
            <w:r>
              <w:rPr>
                <w:rFonts w:ascii="宋体" w:hAnsi="宋体" w:eastAsia="宋体" w:cs="Times New Roman"/>
                <w:color w:val="000000"/>
                <w:szCs w:val="21"/>
              </w:rPr>
              <w:t>社会各方支持力度日趋加大</w:t>
            </w:r>
            <w:r>
              <w:rPr>
                <w:rFonts w:hint="eastAsia" w:ascii="宋体" w:hAnsi="宋体" w:eastAsia="宋体" w:cs="Times New Roman"/>
                <w:color w:val="000000"/>
                <w:szCs w:val="21"/>
              </w:rPr>
              <w:t>；</w:t>
            </w:r>
            <w:r>
              <w:rPr>
                <w:rFonts w:ascii="宋体" w:hAnsi="宋体" w:eastAsia="宋体" w:cs="Times New Roman"/>
                <w:color w:val="000000"/>
                <w:szCs w:val="21"/>
              </w:rPr>
              <w:t>家校社合作成为普遍追求</w:t>
            </w:r>
            <w:r>
              <w:rPr>
                <w:rFonts w:hint="eastAsia" w:ascii="宋体" w:hAnsi="宋体" w:eastAsia="宋体" w:cs="Times New Roman"/>
                <w:color w:val="000000"/>
                <w:szCs w:val="21"/>
              </w:rPr>
              <w:t>；</w:t>
            </w:r>
            <w:r>
              <w:rPr>
                <w:rFonts w:ascii="宋体" w:hAnsi="宋体" w:eastAsia="宋体" w:cs="Times New Roman"/>
                <w:color w:val="000000"/>
                <w:szCs w:val="21"/>
              </w:rPr>
              <w:t>家庭教育立法进入加速期</w:t>
            </w:r>
            <w:r>
              <w:rPr>
                <w:rFonts w:hint="eastAsia" w:ascii="宋体" w:hAnsi="宋体" w:eastAsia="宋体" w:cs="Times New Roman"/>
                <w:color w:val="000000"/>
                <w:szCs w:val="21"/>
              </w:rPr>
              <w:t>；</w:t>
            </w:r>
            <w:r>
              <w:rPr>
                <w:rFonts w:ascii="宋体" w:hAnsi="宋体" w:eastAsia="宋体" w:cs="Times New Roman"/>
                <w:color w:val="000000"/>
                <w:szCs w:val="21"/>
              </w:rPr>
              <w:t>强化父母的主体责任</w:t>
            </w:r>
            <w:r>
              <w:rPr>
                <w:rFonts w:hint="eastAsia" w:ascii="宋体" w:hAnsi="宋体" w:eastAsia="宋体" w:cs="Times New Roman"/>
                <w:color w:val="000000"/>
                <w:szCs w:val="21"/>
              </w:rPr>
              <w:t>；家</w:t>
            </w:r>
            <w:r>
              <w:rPr>
                <w:rFonts w:ascii="宋体" w:hAnsi="宋体" w:eastAsia="宋体" w:cs="Times New Roman"/>
                <w:color w:val="000000"/>
                <w:szCs w:val="21"/>
              </w:rPr>
              <w:t>庭教育指导进入新媒体时代</w:t>
            </w:r>
            <w:r>
              <w:rPr>
                <w:rFonts w:hint="eastAsia" w:ascii="宋体" w:hAnsi="宋体" w:eastAsia="宋体" w:cs="Times New Roman"/>
                <w:color w:val="000000"/>
                <w:szCs w:val="21"/>
              </w:rPr>
              <w:t>；</w:t>
            </w:r>
            <w:r>
              <w:rPr>
                <w:rFonts w:ascii="宋体" w:hAnsi="宋体" w:eastAsia="宋体" w:cs="Times New Roman"/>
                <w:color w:val="000000"/>
                <w:szCs w:val="21"/>
              </w:rPr>
              <w:t>家文化开始复兴</w:t>
            </w:r>
            <w:r>
              <w:rPr>
                <w:rFonts w:hint="eastAsia" w:ascii="宋体" w:hAnsi="宋体" w:eastAsia="宋体" w:cs="Times New Roman"/>
                <w:color w:val="000000"/>
                <w:szCs w:val="21"/>
              </w:rPr>
              <w:t>。</w:t>
            </w:r>
          </w:p>
        </w:tc>
        <w:tc>
          <w:tcPr>
            <w:tcW w:w="1134" w:type="dxa"/>
            <w:vAlign w:val="center"/>
          </w:tcPr>
          <w:p w14:paraId="215D8CB1">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3333D56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了解中国现阶段家庭教育的现状，领会家庭教育特点。</w:t>
            </w:r>
          </w:p>
        </w:tc>
        <w:tc>
          <w:tcPr>
            <w:tcW w:w="1560" w:type="dxa"/>
            <w:vAlign w:val="center"/>
          </w:tcPr>
          <w:p w14:paraId="5415C11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案例观摩</w:t>
            </w:r>
          </w:p>
          <w:p w14:paraId="55A052E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小组讨论</w:t>
            </w:r>
          </w:p>
        </w:tc>
        <w:tc>
          <w:tcPr>
            <w:tcW w:w="438" w:type="dxa"/>
            <w:vAlign w:val="center"/>
          </w:tcPr>
          <w:p w14:paraId="7ECBB36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B39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BDFD92">
            <w:pPr>
              <w:spacing w:line="264" w:lineRule="auto"/>
              <w:jc w:val="center"/>
              <w:rPr>
                <w:rFonts w:hint="eastAsia" w:ascii="宋体" w:hAnsi="宋体" w:eastAsia="宋体" w:cs="Times New Roman"/>
                <w:color w:val="000000"/>
                <w:szCs w:val="21"/>
              </w:rPr>
            </w:pPr>
          </w:p>
        </w:tc>
        <w:tc>
          <w:tcPr>
            <w:tcW w:w="8093" w:type="dxa"/>
            <w:gridSpan w:val="5"/>
            <w:vAlign w:val="center"/>
          </w:tcPr>
          <w:p w14:paraId="126F4107">
            <w:pPr>
              <w:snapToGrid w:val="0"/>
              <w:spacing w:line="360" w:lineRule="auto"/>
              <w:ind w:firstLine="413" w:firstLineChars="196"/>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树立关心现实教育需求、关怀儿童的教育理念，形成调查研究的教学与研究习惯，基于事实能够科学地开展自己的教育教学工作。</w:t>
            </w:r>
          </w:p>
        </w:tc>
      </w:tr>
      <w:tr w14:paraId="4D59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AD51B07">
            <w:pPr>
              <w:spacing w:line="264" w:lineRule="auto"/>
              <w:jc w:val="center"/>
              <w:rPr>
                <w:rFonts w:hint="eastAsia" w:ascii="宋体" w:hAnsi="宋体" w:eastAsia="宋体" w:cs="Times New Roman"/>
                <w:color w:val="000000"/>
                <w:szCs w:val="21"/>
              </w:rPr>
            </w:pPr>
          </w:p>
          <w:p w14:paraId="274C6680">
            <w:pPr>
              <w:snapToGrid w:val="0"/>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Cs w:val="21"/>
              </w:rPr>
              <w:t>3.</w:t>
            </w:r>
            <w:r>
              <w:rPr>
                <w:rFonts w:ascii="宋体" w:hAnsi="宋体" w:eastAsia="宋体" w:cs="Times New Roman"/>
                <w:color w:val="000000"/>
                <w:szCs w:val="21"/>
              </w:rPr>
              <w:t>家庭教育理论的发展与创新</w:t>
            </w:r>
          </w:p>
          <w:p w14:paraId="4BC41BB6">
            <w:pPr>
              <w:spacing w:line="264" w:lineRule="auto"/>
              <w:jc w:val="center"/>
              <w:rPr>
                <w:rFonts w:hint="eastAsia" w:ascii="宋体" w:hAnsi="宋体" w:eastAsia="宋体" w:cs="Times New Roman"/>
                <w:color w:val="000000"/>
                <w:szCs w:val="21"/>
              </w:rPr>
            </w:pPr>
          </w:p>
          <w:p w14:paraId="1E219C7A">
            <w:pPr>
              <w:spacing w:line="264" w:lineRule="auto"/>
              <w:jc w:val="center"/>
              <w:rPr>
                <w:rFonts w:hint="eastAsia" w:ascii="宋体" w:hAnsi="宋体" w:eastAsia="宋体" w:cs="Times New Roman"/>
                <w:color w:val="000000"/>
                <w:szCs w:val="21"/>
              </w:rPr>
            </w:pPr>
          </w:p>
          <w:p w14:paraId="00C9CCE4">
            <w:pPr>
              <w:spacing w:line="264" w:lineRule="auto"/>
              <w:jc w:val="center"/>
              <w:rPr>
                <w:rFonts w:hint="eastAsia" w:ascii="宋体" w:hAnsi="宋体" w:eastAsia="宋体" w:cs="Times New Roman"/>
                <w:color w:val="000000"/>
                <w:szCs w:val="21"/>
              </w:rPr>
            </w:pPr>
          </w:p>
        </w:tc>
        <w:tc>
          <w:tcPr>
            <w:tcW w:w="1701" w:type="dxa"/>
            <w:vAlign w:val="center"/>
          </w:tcPr>
          <w:p w14:paraId="112E1818">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家庭教育理论中的核心概念与基本内容</w:t>
            </w:r>
          </w:p>
          <w:p w14:paraId="53DFF91A">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不同阶段的家庭教育理论发展</w:t>
            </w:r>
          </w:p>
          <w:p w14:paraId="14A9A03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当代家庭教育理论的新发展</w:t>
            </w:r>
          </w:p>
          <w:p w14:paraId="474F7E6A">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家庭教育理论发展存在的主要问题</w:t>
            </w:r>
          </w:p>
          <w:p w14:paraId="22051533">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家庭教育理论的研究趋势</w:t>
            </w:r>
          </w:p>
        </w:tc>
        <w:tc>
          <w:tcPr>
            <w:tcW w:w="1134" w:type="dxa"/>
            <w:vAlign w:val="center"/>
          </w:tcPr>
          <w:p w14:paraId="583B0065">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56C0E74B">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（1）掌握</w:t>
            </w:r>
            <w:r>
              <w:rPr>
                <w:rFonts w:ascii="宋体" w:hAnsi="宋体" w:eastAsia="宋体" w:cs="Times New Roman"/>
                <w:color w:val="000000"/>
                <w:szCs w:val="21"/>
              </w:rPr>
              <w:t>家庭教育理论中的核心概念与基本内容</w:t>
            </w:r>
          </w:p>
          <w:p w14:paraId="649555D1">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（2）理解</w:t>
            </w:r>
            <w:r>
              <w:rPr>
                <w:rFonts w:ascii="宋体" w:hAnsi="宋体" w:eastAsia="宋体" w:cs="Times New Roman"/>
                <w:color w:val="000000"/>
                <w:szCs w:val="21"/>
              </w:rPr>
              <w:t>不同阶段的家庭教育理论发展</w:t>
            </w:r>
          </w:p>
          <w:p w14:paraId="0204CEB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（3）了解</w:t>
            </w:r>
            <w:r>
              <w:rPr>
                <w:rFonts w:ascii="宋体" w:hAnsi="宋体" w:eastAsia="宋体" w:cs="Times New Roman"/>
                <w:color w:val="000000"/>
                <w:szCs w:val="21"/>
              </w:rPr>
              <w:t>当代家庭教育理论的新发展</w:t>
            </w:r>
          </w:p>
          <w:p w14:paraId="055B995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（4）了解</w:t>
            </w:r>
            <w:r>
              <w:rPr>
                <w:rFonts w:ascii="宋体" w:hAnsi="宋体" w:eastAsia="宋体" w:cs="Times New Roman"/>
                <w:color w:val="000000"/>
                <w:szCs w:val="21"/>
              </w:rPr>
              <w:t>家庭教育理论发展存在的主要问题</w:t>
            </w:r>
          </w:p>
          <w:p w14:paraId="716E782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（5）了解</w:t>
            </w:r>
            <w:r>
              <w:rPr>
                <w:rFonts w:ascii="宋体" w:hAnsi="宋体" w:eastAsia="宋体" w:cs="Times New Roman"/>
                <w:color w:val="000000"/>
                <w:szCs w:val="21"/>
              </w:rPr>
              <w:t>家庭教育理论的研究趋势</w:t>
            </w:r>
          </w:p>
        </w:tc>
        <w:tc>
          <w:tcPr>
            <w:tcW w:w="1560" w:type="dxa"/>
            <w:vAlign w:val="center"/>
          </w:tcPr>
          <w:p w14:paraId="29D258D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课堂讲授</w:t>
            </w:r>
          </w:p>
          <w:p w14:paraId="3ABF782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0C5C3AF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2C4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611A09">
            <w:pPr>
              <w:spacing w:line="264" w:lineRule="auto"/>
              <w:jc w:val="center"/>
              <w:rPr>
                <w:rFonts w:hint="eastAsia" w:ascii="宋体" w:hAnsi="宋体" w:eastAsia="宋体" w:cs="Times New Roman"/>
                <w:color w:val="000000"/>
                <w:szCs w:val="21"/>
              </w:rPr>
            </w:pPr>
          </w:p>
        </w:tc>
        <w:tc>
          <w:tcPr>
            <w:tcW w:w="8093" w:type="dxa"/>
            <w:gridSpan w:val="5"/>
            <w:vAlign w:val="center"/>
          </w:tcPr>
          <w:p w14:paraId="1EEE1A05">
            <w:pPr>
              <w:snapToGrid w:val="0"/>
              <w:spacing w:line="360" w:lineRule="auto"/>
              <w:ind w:firstLine="413" w:firstLineChars="196"/>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胸怀家国、关注中国现实，形成调查研究的教学与研究习惯，基于事实能够科学地开展自己的教育教学工作。</w:t>
            </w:r>
          </w:p>
        </w:tc>
      </w:tr>
      <w:tr w14:paraId="2F5E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4EE935">
            <w:pPr>
              <w:snapToGrid w:val="0"/>
              <w:spacing w:line="360" w:lineRule="auto"/>
              <w:rPr>
                <w:rFonts w:hint="eastAsia" w:ascii="宋体" w:hAnsi="宋体" w:eastAsia="宋体" w:cs="Times New Roman"/>
                <w:b/>
                <w:bCs/>
                <w:color w:val="000000"/>
                <w:sz w:val="24"/>
                <w:szCs w:val="24"/>
              </w:rPr>
            </w:pPr>
            <w:r>
              <w:rPr>
                <w:rFonts w:hint="eastAsia" w:ascii="宋体" w:hAnsi="宋体" w:eastAsia="宋体" w:cs="Times New Roman"/>
                <w:color w:val="000000"/>
                <w:szCs w:val="21"/>
              </w:rPr>
              <w:t>4.</w:t>
            </w:r>
            <w:r>
              <w:rPr>
                <w:rFonts w:ascii="宋体" w:hAnsi="宋体" w:eastAsia="宋体" w:cs="Times New Roman"/>
                <w:color w:val="000000"/>
                <w:szCs w:val="21"/>
              </w:rPr>
              <w:t>家庭教育的立法进程</w:t>
            </w:r>
          </w:p>
          <w:p w14:paraId="03389B48">
            <w:pPr>
              <w:spacing w:line="276" w:lineRule="auto"/>
              <w:jc w:val="center"/>
              <w:rPr>
                <w:rFonts w:hint="eastAsia" w:ascii="宋体" w:hAnsi="宋体" w:eastAsia="宋体" w:cs="Times New Roman"/>
                <w:color w:val="000000"/>
                <w:szCs w:val="21"/>
              </w:rPr>
            </w:pPr>
          </w:p>
        </w:tc>
        <w:tc>
          <w:tcPr>
            <w:tcW w:w="1701" w:type="dxa"/>
            <w:vAlign w:val="center"/>
          </w:tcPr>
          <w:p w14:paraId="5E800622">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家庭教育法的背景和意义</w:t>
            </w:r>
          </w:p>
          <w:p w14:paraId="30808F51">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家庭教育立法的现状与进展</w:t>
            </w:r>
          </w:p>
          <w:p w14:paraId="4145114E">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制定家庭教育法的思路与重点</w:t>
            </w:r>
          </w:p>
        </w:tc>
        <w:tc>
          <w:tcPr>
            <w:tcW w:w="1134" w:type="dxa"/>
            <w:vAlign w:val="center"/>
          </w:tcPr>
          <w:p w14:paraId="782B854E">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437B5D7D">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了解《</w:t>
            </w:r>
            <w:r>
              <w:rPr>
                <w:rFonts w:ascii="宋体" w:hAnsi="宋体" w:eastAsia="宋体" w:cs="Times New Roman"/>
                <w:color w:val="000000"/>
                <w:szCs w:val="21"/>
              </w:rPr>
              <w:t>家庭教育</w:t>
            </w:r>
            <w:r>
              <w:rPr>
                <w:rFonts w:hint="eastAsia" w:ascii="宋体" w:hAnsi="宋体" w:eastAsia="宋体" w:cs="Times New Roman"/>
                <w:color w:val="000000"/>
                <w:szCs w:val="21"/>
              </w:rPr>
              <w:t>促进</w:t>
            </w:r>
            <w:r>
              <w:rPr>
                <w:rFonts w:ascii="宋体" w:hAnsi="宋体" w:eastAsia="宋体" w:cs="Times New Roman"/>
                <w:color w:val="000000"/>
                <w:szCs w:val="21"/>
              </w:rPr>
              <w:t>法</w:t>
            </w:r>
            <w:r>
              <w:rPr>
                <w:rFonts w:hint="eastAsia" w:ascii="宋体" w:hAnsi="宋体" w:eastAsia="宋体" w:cs="Times New Roman"/>
                <w:color w:val="000000"/>
                <w:szCs w:val="21"/>
              </w:rPr>
              <w:t>》等国家立法</w:t>
            </w:r>
            <w:r>
              <w:rPr>
                <w:rFonts w:ascii="宋体" w:hAnsi="宋体" w:eastAsia="宋体" w:cs="Times New Roman"/>
                <w:color w:val="000000"/>
                <w:szCs w:val="21"/>
              </w:rPr>
              <w:t>背景和意义</w:t>
            </w:r>
          </w:p>
          <w:p w14:paraId="30A9D6A3">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明确我国</w:t>
            </w:r>
            <w:r>
              <w:rPr>
                <w:rFonts w:ascii="宋体" w:hAnsi="宋体" w:eastAsia="宋体" w:cs="Times New Roman"/>
                <w:color w:val="000000"/>
                <w:szCs w:val="21"/>
              </w:rPr>
              <w:t>家庭教育立法的现状与进展</w:t>
            </w:r>
          </w:p>
          <w:p w14:paraId="0A795B2A">
            <w:pPr>
              <w:snapToGrid w:val="0"/>
              <w:spacing w:line="360" w:lineRule="auto"/>
              <w:rPr>
                <w:rFonts w:hint="eastAsia" w:ascii="宋体" w:hAnsi="宋体" w:eastAsia="宋体" w:cs="Times New Roman"/>
                <w:color w:val="000000"/>
                <w:sz w:val="24"/>
                <w:szCs w:val="24"/>
              </w:rPr>
            </w:pPr>
            <w:r>
              <w:rPr>
                <w:rFonts w:ascii="宋体" w:hAnsi="宋体" w:eastAsia="宋体" w:cs="Times New Roman"/>
                <w:color w:val="000000"/>
                <w:szCs w:val="21"/>
              </w:rPr>
              <w:t>（</w:t>
            </w: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理解我国</w:t>
            </w:r>
            <w:r>
              <w:rPr>
                <w:rFonts w:ascii="宋体" w:hAnsi="宋体" w:eastAsia="宋体" w:cs="Times New Roman"/>
                <w:color w:val="000000"/>
                <w:szCs w:val="21"/>
              </w:rPr>
              <w:t>制定家庭教育法的思路与重点</w:t>
            </w:r>
          </w:p>
          <w:p w14:paraId="3144F1A0">
            <w:pPr>
              <w:spacing w:line="276" w:lineRule="auto"/>
              <w:jc w:val="left"/>
              <w:rPr>
                <w:rFonts w:hint="eastAsia" w:ascii="宋体" w:hAnsi="宋体" w:eastAsia="宋体" w:cs="Times New Roman"/>
                <w:color w:val="000000"/>
                <w:szCs w:val="21"/>
              </w:rPr>
            </w:pPr>
          </w:p>
        </w:tc>
        <w:tc>
          <w:tcPr>
            <w:tcW w:w="1560" w:type="dxa"/>
            <w:vAlign w:val="center"/>
          </w:tcPr>
          <w:p w14:paraId="17C1FFD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自我学习</w:t>
            </w:r>
          </w:p>
          <w:p w14:paraId="5BF0888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课堂分享</w:t>
            </w:r>
          </w:p>
        </w:tc>
        <w:tc>
          <w:tcPr>
            <w:tcW w:w="438" w:type="dxa"/>
            <w:vAlign w:val="center"/>
          </w:tcPr>
          <w:p w14:paraId="7A276EF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1F5D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8580388">
            <w:pPr>
              <w:spacing w:line="276" w:lineRule="auto"/>
              <w:jc w:val="center"/>
              <w:rPr>
                <w:rFonts w:hint="eastAsia" w:ascii="宋体" w:hAnsi="宋体" w:eastAsia="宋体" w:cs="Times New Roman"/>
                <w:color w:val="000000"/>
                <w:szCs w:val="21"/>
              </w:rPr>
            </w:pPr>
          </w:p>
        </w:tc>
        <w:tc>
          <w:tcPr>
            <w:tcW w:w="8093" w:type="dxa"/>
            <w:gridSpan w:val="5"/>
            <w:vAlign w:val="center"/>
          </w:tcPr>
          <w:p w14:paraId="1D340CE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树立儿童教育法制观念，明确自身教师家庭教育指导的责任，能够成为国家家庭教育政策的贯彻者和践行者。 </w:t>
            </w:r>
          </w:p>
        </w:tc>
      </w:tr>
      <w:tr w14:paraId="0A0E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E749B6">
            <w:pPr>
              <w:snapToGrid w:val="0"/>
              <w:spacing w:line="360" w:lineRule="auto"/>
              <w:ind w:firstLine="621" w:firstLineChars="296"/>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中国家庭教育中的儿童权利保护</w:t>
            </w:r>
          </w:p>
          <w:p w14:paraId="01D36934">
            <w:pPr>
              <w:spacing w:line="276" w:lineRule="auto"/>
              <w:jc w:val="center"/>
              <w:rPr>
                <w:rFonts w:hint="eastAsia" w:ascii="宋体" w:hAnsi="宋体" w:eastAsia="宋体" w:cs="Times New Roman"/>
                <w:color w:val="000000"/>
                <w:szCs w:val="21"/>
              </w:rPr>
            </w:pPr>
          </w:p>
        </w:tc>
        <w:tc>
          <w:tcPr>
            <w:tcW w:w="1701" w:type="dxa"/>
            <w:vAlign w:val="center"/>
          </w:tcPr>
          <w:p w14:paraId="17B47EB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中国儿童权利及其家庭教育中的权利保护</w:t>
            </w:r>
          </w:p>
        </w:tc>
        <w:tc>
          <w:tcPr>
            <w:tcW w:w="1134" w:type="dxa"/>
            <w:vAlign w:val="center"/>
          </w:tcPr>
          <w:p w14:paraId="3C92E90A">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6709E6F4">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（1）明确我国</w:t>
            </w:r>
            <w:r>
              <w:rPr>
                <w:rFonts w:ascii="宋体" w:hAnsi="宋体" w:eastAsia="宋体" w:cs="Times New Roman"/>
                <w:color w:val="000000"/>
                <w:szCs w:val="21"/>
              </w:rPr>
              <w:t>政策和法规</w:t>
            </w:r>
            <w:r>
              <w:rPr>
                <w:rFonts w:hint="eastAsia" w:ascii="宋体" w:hAnsi="宋体" w:eastAsia="宋体" w:cs="Times New Roman"/>
                <w:color w:val="000000"/>
                <w:szCs w:val="21"/>
              </w:rPr>
              <w:t>规定的儿童权利及其教师责任</w:t>
            </w:r>
          </w:p>
          <w:p w14:paraId="2A4483ED">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（2）能够通过自身行动贯彻落实我国儿童权利保护</w:t>
            </w:r>
          </w:p>
          <w:p w14:paraId="7F038372">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）学会指导</w:t>
            </w:r>
            <w:r>
              <w:rPr>
                <w:rFonts w:ascii="宋体" w:hAnsi="宋体" w:eastAsia="宋体" w:cs="Times New Roman"/>
                <w:color w:val="000000"/>
                <w:szCs w:val="21"/>
              </w:rPr>
              <w:t>家庭教育中的儿童权利保护</w:t>
            </w:r>
          </w:p>
        </w:tc>
        <w:tc>
          <w:tcPr>
            <w:tcW w:w="1560" w:type="dxa"/>
            <w:vAlign w:val="center"/>
          </w:tcPr>
          <w:p w14:paraId="22BE7FF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tc>
        <w:tc>
          <w:tcPr>
            <w:tcW w:w="438" w:type="dxa"/>
            <w:vAlign w:val="center"/>
          </w:tcPr>
          <w:p w14:paraId="3211EAD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434E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AAA3CB">
            <w:pPr>
              <w:spacing w:line="276" w:lineRule="auto"/>
              <w:jc w:val="center"/>
              <w:rPr>
                <w:rFonts w:hint="eastAsia" w:ascii="宋体" w:hAnsi="宋体" w:eastAsia="宋体" w:cs="Times New Roman"/>
                <w:color w:val="000000"/>
                <w:szCs w:val="21"/>
              </w:rPr>
            </w:pPr>
          </w:p>
        </w:tc>
        <w:tc>
          <w:tcPr>
            <w:tcW w:w="8093" w:type="dxa"/>
            <w:gridSpan w:val="5"/>
            <w:vAlign w:val="center"/>
          </w:tcPr>
          <w:p w14:paraId="59958C4A">
            <w:pPr>
              <w:snapToGrid w:val="0"/>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树立正确的儿童观，树立儿童权利保护意识、教育法律观念，强化教师职业信念，弘扬师德、师爱，爱护儿童，帮助儿童健康快乐成长。</w:t>
            </w:r>
          </w:p>
        </w:tc>
      </w:tr>
      <w:tr w14:paraId="738F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6D94D40">
            <w:pPr>
              <w:snapToGrid w:val="0"/>
              <w:spacing w:line="360" w:lineRule="auto"/>
              <w:rPr>
                <w:rFonts w:hint="eastAsia" w:ascii="宋体" w:hAnsi="宋体" w:eastAsia="宋体" w:cs="Times New Roman"/>
                <w:b/>
                <w:bCs/>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独生子女和二孩政策</w:t>
            </w:r>
            <w:r>
              <w:rPr>
                <w:rFonts w:hint="eastAsia" w:ascii="宋体" w:hAnsi="宋体" w:eastAsia="宋体" w:cs="Times New Roman"/>
                <w:color w:val="000000"/>
                <w:szCs w:val="21"/>
              </w:rPr>
              <w:t>及其对</w:t>
            </w:r>
            <w:r>
              <w:rPr>
                <w:rFonts w:ascii="宋体" w:hAnsi="宋体" w:eastAsia="宋体" w:cs="Times New Roman"/>
                <w:color w:val="000000"/>
                <w:szCs w:val="21"/>
              </w:rPr>
              <w:t>家庭教育的影响</w:t>
            </w:r>
          </w:p>
          <w:p w14:paraId="57115563">
            <w:pPr>
              <w:spacing w:line="276" w:lineRule="auto"/>
              <w:jc w:val="center"/>
              <w:rPr>
                <w:rFonts w:hint="eastAsia" w:ascii="宋体" w:hAnsi="宋体" w:eastAsia="宋体" w:cs="Times New Roman"/>
                <w:color w:val="000000"/>
                <w:szCs w:val="21"/>
              </w:rPr>
            </w:pPr>
          </w:p>
        </w:tc>
        <w:tc>
          <w:tcPr>
            <w:tcW w:w="1701" w:type="dxa"/>
            <w:vAlign w:val="center"/>
          </w:tcPr>
          <w:p w14:paraId="4AEC6421">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（1）家庭的结构类型</w:t>
            </w:r>
          </w:p>
          <w:p w14:paraId="1C6C749F">
            <w:pPr>
              <w:snapToGrid w:val="0"/>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Cs w:val="21"/>
              </w:rPr>
              <w:t>（2）现阶段少子化时代的家庭教育现状</w:t>
            </w:r>
          </w:p>
        </w:tc>
        <w:tc>
          <w:tcPr>
            <w:tcW w:w="1134" w:type="dxa"/>
            <w:vAlign w:val="center"/>
          </w:tcPr>
          <w:p w14:paraId="2D1305B6">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5ABD5BE0">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（1）掌握家庭的结构类型</w:t>
            </w:r>
          </w:p>
          <w:p w14:paraId="7DB4ACA8">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（2）了解现阶段少子化时代特点：独生子女和二孩政策</w:t>
            </w:r>
          </w:p>
          <w:p w14:paraId="2308DEA2">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（3）家庭教育的结构动力学分析及思考</w:t>
            </w:r>
          </w:p>
        </w:tc>
        <w:tc>
          <w:tcPr>
            <w:tcW w:w="1560" w:type="dxa"/>
            <w:vAlign w:val="center"/>
          </w:tcPr>
          <w:p w14:paraId="75F4058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3108C95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65A9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CCD530E">
            <w:pPr>
              <w:spacing w:line="276" w:lineRule="auto"/>
              <w:jc w:val="center"/>
              <w:rPr>
                <w:rFonts w:hint="eastAsia" w:ascii="宋体" w:hAnsi="宋体" w:eastAsia="宋体" w:cs="Times New Roman"/>
                <w:color w:val="000000"/>
                <w:szCs w:val="21"/>
              </w:rPr>
            </w:pPr>
          </w:p>
        </w:tc>
        <w:tc>
          <w:tcPr>
            <w:tcW w:w="8093" w:type="dxa"/>
            <w:gridSpan w:val="5"/>
            <w:vAlign w:val="center"/>
          </w:tcPr>
          <w:p w14:paraId="1105CE93">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胸怀家国、关注现实，责任担当，能够认识到自身的教师社会责任。</w:t>
            </w:r>
          </w:p>
        </w:tc>
      </w:tr>
      <w:tr w14:paraId="73D1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1BF6354">
            <w:pPr>
              <w:snapToGrid w:val="0"/>
              <w:spacing w:line="360" w:lineRule="auto"/>
              <w:rPr>
                <w:rFonts w:hint="eastAsia" w:ascii="宋体" w:hAnsi="宋体" w:eastAsia="宋体" w:cs="Times New Roman"/>
                <w:color w:val="000000"/>
                <w:szCs w:val="21"/>
              </w:rPr>
            </w:pPr>
            <w:r>
              <w:rPr>
                <w:rFonts w:hint="eastAsia" w:ascii="宋体" w:hAnsi="宋体" w:eastAsia="宋体" w:cs="Times New Roman"/>
                <w:szCs w:val="21"/>
              </w:rPr>
              <w:t>7.</w:t>
            </w:r>
            <w:r>
              <w:rPr>
                <w:rFonts w:ascii="宋体" w:hAnsi="宋体" w:eastAsia="宋体" w:cs="Times New Roman"/>
                <w:color w:val="000000"/>
                <w:szCs w:val="21"/>
              </w:rPr>
              <w:t>家庭中祖辈参与教养的现状与特点</w:t>
            </w:r>
          </w:p>
          <w:p w14:paraId="11BA776A">
            <w:pPr>
              <w:spacing w:line="276" w:lineRule="auto"/>
              <w:jc w:val="center"/>
              <w:rPr>
                <w:rFonts w:hint="eastAsia" w:ascii="宋体" w:hAnsi="宋体" w:eastAsia="宋体" w:cs="Times New Roman"/>
                <w:szCs w:val="21"/>
              </w:rPr>
            </w:pPr>
          </w:p>
        </w:tc>
        <w:tc>
          <w:tcPr>
            <w:tcW w:w="1701" w:type="dxa"/>
            <w:vAlign w:val="center"/>
          </w:tcPr>
          <w:p w14:paraId="52482410">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家庭中常见的家庭教养模式</w:t>
            </w:r>
          </w:p>
          <w:p w14:paraId="1CDB9E57">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家庭教养中祖辈参与</w:t>
            </w:r>
            <w:r>
              <w:rPr>
                <w:rFonts w:hint="eastAsia" w:ascii="宋体" w:hAnsi="宋体" w:eastAsia="宋体" w:cs="Times New Roman"/>
                <w:color w:val="000000"/>
                <w:szCs w:val="21"/>
              </w:rPr>
              <w:t>教养的意义、现状、问题及建议</w:t>
            </w:r>
          </w:p>
        </w:tc>
        <w:tc>
          <w:tcPr>
            <w:tcW w:w="1134" w:type="dxa"/>
            <w:vAlign w:val="center"/>
          </w:tcPr>
          <w:p w14:paraId="3CFEFAE2">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21083184">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掌握</w:t>
            </w:r>
            <w:r>
              <w:rPr>
                <w:rFonts w:ascii="宋体" w:hAnsi="宋体" w:eastAsia="宋体" w:cs="Times New Roman"/>
                <w:color w:val="000000"/>
                <w:szCs w:val="21"/>
              </w:rPr>
              <w:t>家庭中常见的家庭教养模式</w:t>
            </w:r>
          </w:p>
          <w:p w14:paraId="75994CCC">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宋体" w:hAnsi="宋体" w:eastAsia="宋体" w:cs="Times New Roman"/>
                <w:color w:val="000000"/>
                <w:szCs w:val="21"/>
              </w:rPr>
              <w:t>理解</w:t>
            </w:r>
            <w:r>
              <w:rPr>
                <w:rFonts w:ascii="宋体" w:hAnsi="宋体" w:eastAsia="宋体" w:cs="Times New Roman"/>
                <w:color w:val="000000"/>
                <w:szCs w:val="21"/>
              </w:rPr>
              <w:t>中国家庭教养中祖辈参与教养的</w:t>
            </w:r>
            <w:r>
              <w:rPr>
                <w:rFonts w:hint="eastAsia" w:ascii="宋体" w:hAnsi="宋体" w:eastAsia="宋体" w:cs="Times New Roman"/>
                <w:color w:val="000000"/>
                <w:szCs w:val="21"/>
              </w:rPr>
              <w:t>意义、</w:t>
            </w:r>
            <w:r>
              <w:rPr>
                <w:rFonts w:ascii="宋体" w:hAnsi="宋体" w:eastAsia="宋体" w:cs="Times New Roman"/>
                <w:color w:val="000000"/>
                <w:szCs w:val="21"/>
              </w:rPr>
              <w:t>现状、问题及建议</w:t>
            </w:r>
          </w:p>
        </w:tc>
        <w:tc>
          <w:tcPr>
            <w:tcW w:w="1560" w:type="dxa"/>
            <w:vAlign w:val="center"/>
          </w:tcPr>
          <w:p w14:paraId="13AC243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学生分享</w:t>
            </w:r>
          </w:p>
        </w:tc>
        <w:tc>
          <w:tcPr>
            <w:tcW w:w="438" w:type="dxa"/>
            <w:vAlign w:val="center"/>
          </w:tcPr>
          <w:p w14:paraId="1994825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478E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0AC5AC">
            <w:pPr>
              <w:spacing w:line="276" w:lineRule="auto"/>
              <w:jc w:val="center"/>
              <w:rPr>
                <w:rFonts w:hint="eastAsia" w:ascii="宋体" w:hAnsi="宋体" w:eastAsia="宋体" w:cs="Times New Roman"/>
                <w:color w:val="000000"/>
                <w:szCs w:val="21"/>
              </w:rPr>
            </w:pPr>
          </w:p>
        </w:tc>
        <w:tc>
          <w:tcPr>
            <w:tcW w:w="8093" w:type="dxa"/>
            <w:gridSpan w:val="5"/>
            <w:vAlign w:val="center"/>
          </w:tcPr>
          <w:p w14:paraId="0746A6E0">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r>
              <w:rPr>
                <w:rFonts w:ascii="宋体" w:hAnsi="宋体" w:eastAsia="宋体" w:cs="Times New Roman"/>
                <w:color w:val="000000"/>
                <w:szCs w:val="21"/>
              </w:rPr>
              <w:t>胸怀家国、</w:t>
            </w:r>
            <w:r>
              <w:rPr>
                <w:rFonts w:hint="eastAsia" w:ascii="宋体" w:hAnsi="宋体" w:eastAsia="宋体" w:cs="Times New Roman"/>
                <w:color w:val="000000"/>
                <w:szCs w:val="21"/>
              </w:rPr>
              <w:t>关注现实，责任担当，能够认识到自身作为教师的社会责任。</w:t>
            </w:r>
          </w:p>
        </w:tc>
      </w:tr>
      <w:tr w14:paraId="4BA2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29774B6">
            <w:pPr>
              <w:snapToGrid w:val="0"/>
              <w:spacing w:line="360" w:lineRule="auto"/>
              <w:rPr>
                <w:rFonts w:hint="eastAsia" w:ascii="宋体" w:hAnsi="宋体" w:eastAsia="宋体" w:cs="Times New Roman"/>
                <w:b/>
                <w:bCs/>
                <w:color w:val="000000"/>
                <w:sz w:val="24"/>
                <w:szCs w:val="24"/>
              </w:rPr>
            </w:pPr>
            <w:r>
              <w:rPr>
                <w:rFonts w:hint="eastAsia" w:ascii="宋体" w:hAnsi="宋体" w:eastAsia="宋体" w:cs="Times New Roman"/>
                <w:color w:val="000000"/>
                <w:szCs w:val="21"/>
              </w:rPr>
              <w:t>8.</w:t>
            </w:r>
            <w:r>
              <w:rPr>
                <w:rFonts w:ascii="宋体" w:hAnsi="宋体" w:eastAsia="宋体" w:cs="Times New Roman"/>
                <w:color w:val="000000"/>
                <w:szCs w:val="21"/>
              </w:rPr>
              <w:t>家风家训与中国传统家教文化的弘扬</w:t>
            </w:r>
          </w:p>
          <w:p w14:paraId="5D7E528C">
            <w:pPr>
              <w:spacing w:line="264" w:lineRule="auto"/>
              <w:jc w:val="center"/>
              <w:rPr>
                <w:rFonts w:hint="eastAsia" w:ascii="宋体" w:hAnsi="宋体" w:eastAsia="宋体" w:cs="Times New Roman"/>
                <w:color w:val="000000"/>
                <w:szCs w:val="21"/>
              </w:rPr>
            </w:pPr>
          </w:p>
        </w:tc>
        <w:tc>
          <w:tcPr>
            <w:tcW w:w="1701" w:type="dxa"/>
            <w:vAlign w:val="center"/>
          </w:tcPr>
          <w:p w14:paraId="14E519CA">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（1）中国传统家训文化及其研究进展</w:t>
            </w:r>
          </w:p>
          <w:p w14:paraId="21BB3956">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（2）中国优秀家风及其建设研究</w:t>
            </w:r>
          </w:p>
        </w:tc>
        <w:tc>
          <w:tcPr>
            <w:tcW w:w="1134" w:type="dxa"/>
            <w:vAlign w:val="center"/>
          </w:tcPr>
          <w:p w14:paraId="440AAB79">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6E4F28A2">
            <w:pPr>
              <w:snapToGrid w:val="0"/>
              <w:spacing w:line="360" w:lineRule="auto"/>
              <w:rPr>
                <w:rFonts w:hint="eastAsia" w:ascii="宋体" w:hAnsi="宋体" w:eastAsia="宋体" w:cs="Times New Roman"/>
                <w:color w:val="000000"/>
                <w:szCs w:val="21"/>
              </w:rPr>
            </w:pPr>
            <w:r>
              <w:rPr>
                <w:rFonts w:ascii="宋体" w:hAnsi="宋体" w:eastAsia="宋体" w:cs="Times New Roman"/>
                <w:color w:val="000000"/>
                <w:szCs w:val="21"/>
              </w:rPr>
              <w:t>（</w:t>
            </w: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理解中国传统家训文化及其研究进展</w:t>
            </w:r>
          </w:p>
          <w:p w14:paraId="002B7D8D">
            <w:pPr>
              <w:snapToGrid w:val="0"/>
              <w:spacing w:line="360" w:lineRule="auto"/>
              <w:rPr>
                <w:rFonts w:hint="eastAsia" w:ascii="宋体" w:hAnsi="宋体" w:eastAsia="宋体" w:cs="Times New Roman"/>
                <w:color w:val="000000"/>
                <w:sz w:val="24"/>
                <w:szCs w:val="24"/>
              </w:rPr>
            </w:pPr>
            <w:r>
              <w:rPr>
                <w:rFonts w:ascii="宋体" w:hAnsi="宋体" w:eastAsia="宋体" w:cs="Times New Roman"/>
                <w:color w:val="000000"/>
                <w:szCs w:val="21"/>
              </w:rPr>
              <w:t>（</w:t>
            </w:r>
            <w:r>
              <w:rPr>
                <w:rFonts w:hint="eastAsia" w:ascii="宋体" w:hAnsi="宋体" w:eastAsia="宋体" w:cs="Times New Roman"/>
                <w:color w:val="000000"/>
                <w:szCs w:val="21"/>
              </w:rPr>
              <w:t>2）理解中国优秀家风及其建设研究</w:t>
            </w:r>
          </w:p>
        </w:tc>
        <w:tc>
          <w:tcPr>
            <w:tcW w:w="1560" w:type="dxa"/>
            <w:vAlign w:val="center"/>
          </w:tcPr>
          <w:p w14:paraId="6161D97C">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案例观摩</w:t>
            </w:r>
          </w:p>
          <w:p w14:paraId="74C8863E">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0979FDD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EC1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997B5F8">
            <w:pPr>
              <w:spacing w:line="264" w:lineRule="auto"/>
              <w:jc w:val="center"/>
              <w:rPr>
                <w:rFonts w:hint="eastAsia" w:ascii="宋体" w:hAnsi="宋体" w:eastAsia="宋体" w:cs="Times New Roman"/>
                <w:color w:val="000000"/>
                <w:szCs w:val="21"/>
              </w:rPr>
            </w:pPr>
          </w:p>
        </w:tc>
        <w:tc>
          <w:tcPr>
            <w:tcW w:w="8093" w:type="dxa"/>
            <w:gridSpan w:val="5"/>
            <w:vAlign w:val="center"/>
          </w:tcPr>
          <w:p w14:paraId="5C90A3CB">
            <w:pPr>
              <w:snapToGrid w:val="0"/>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植根中华优秀传统文化，厚植爱国主义情怀，传承中华优秀传统文化尤其是家教家风，为国育人、为党育人。</w:t>
            </w:r>
          </w:p>
        </w:tc>
      </w:tr>
      <w:tr w14:paraId="7FAA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27D698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 w:val="18"/>
                <w:szCs w:val="18"/>
              </w:rPr>
              <w:t>9.</w:t>
            </w:r>
            <w:r>
              <w:rPr>
                <w:rFonts w:ascii="宋体" w:hAnsi="宋体" w:eastAsia="宋体" w:cs="Times New Roman"/>
                <w:color w:val="000000"/>
                <w:sz w:val="18"/>
                <w:szCs w:val="18"/>
              </w:rPr>
              <w:t>亲子共读实践</w:t>
            </w:r>
          </w:p>
        </w:tc>
        <w:tc>
          <w:tcPr>
            <w:tcW w:w="1701" w:type="dxa"/>
            <w:vAlign w:val="center"/>
          </w:tcPr>
          <w:p w14:paraId="5BF26BFE">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亲子共读的特点</w:t>
            </w:r>
            <w:r>
              <w:rPr>
                <w:rFonts w:hint="eastAsia" w:ascii="宋体" w:hAnsi="宋体" w:eastAsia="宋体" w:cs="Times New Roman"/>
                <w:color w:val="000000"/>
                <w:szCs w:val="21"/>
              </w:rPr>
              <w:t>、方式</w:t>
            </w:r>
          </w:p>
          <w:p w14:paraId="7CBB1210">
            <w:pPr>
              <w:snapToGrid w:val="0"/>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Cs w:val="21"/>
              </w:rPr>
              <w:t>（2）亲子共读的现存问题及社会探索</w:t>
            </w:r>
          </w:p>
        </w:tc>
        <w:tc>
          <w:tcPr>
            <w:tcW w:w="1134" w:type="dxa"/>
            <w:vAlign w:val="center"/>
          </w:tcPr>
          <w:p w14:paraId="3C2006B8">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3260" w:type="dxa"/>
            <w:vAlign w:val="center"/>
          </w:tcPr>
          <w:p w14:paraId="043F9B62">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（1）掌握</w:t>
            </w:r>
            <w:r>
              <w:rPr>
                <w:rFonts w:ascii="宋体" w:hAnsi="宋体" w:eastAsia="宋体" w:cs="Times New Roman"/>
                <w:color w:val="000000"/>
                <w:szCs w:val="21"/>
              </w:rPr>
              <w:t>亲子共读的特点</w:t>
            </w:r>
            <w:r>
              <w:rPr>
                <w:rFonts w:hint="eastAsia" w:ascii="宋体" w:hAnsi="宋体" w:eastAsia="宋体" w:cs="Times New Roman"/>
                <w:color w:val="000000"/>
                <w:szCs w:val="21"/>
              </w:rPr>
              <w:t>、方式</w:t>
            </w:r>
          </w:p>
          <w:p w14:paraId="78DEBB0F">
            <w:pPr>
              <w:snapToGrid w:val="0"/>
              <w:spacing w:line="360" w:lineRule="auto"/>
              <w:rPr>
                <w:rFonts w:hint="eastAsia" w:ascii="宋体" w:hAnsi="宋体" w:eastAsia="宋体" w:cs="Times New Roman"/>
                <w:color w:val="000000"/>
                <w:szCs w:val="21"/>
              </w:rPr>
            </w:pPr>
            <w:r>
              <w:rPr>
                <w:rFonts w:hint="eastAsia" w:ascii="宋体" w:hAnsi="宋体" w:eastAsia="宋体" w:cs="Times New Roman"/>
                <w:color w:val="000000"/>
                <w:szCs w:val="21"/>
              </w:rPr>
              <w:t>（2）了解亲子共读的现存问题及社会探索</w:t>
            </w:r>
          </w:p>
          <w:p w14:paraId="4F5BD5F6">
            <w:pPr>
              <w:spacing w:line="264" w:lineRule="auto"/>
              <w:jc w:val="left"/>
              <w:rPr>
                <w:rFonts w:hint="eastAsia" w:ascii="宋体" w:hAnsi="宋体" w:eastAsia="宋体" w:cs="Times New Roman"/>
                <w:color w:val="000000"/>
                <w:szCs w:val="21"/>
              </w:rPr>
            </w:pPr>
          </w:p>
        </w:tc>
        <w:tc>
          <w:tcPr>
            <w:tcW w:w="1560" w:type="dxa"/>
            <w:vAlign w:val="center"/>
          </w:tcPr>
          <w:p w14:paraId="56C09B6A">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学生调查</w:t>
            </w:r>
          </w:p>
          <w:p w14:paraId="6877B8B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403B1E0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3BDA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205" w:type="dxa"/>
            <w:vMerge w:val="continue"/>
            <w:vAlign w:val="center"/>
          </w:tcPr>
          <w:p w14:paraId="53B4C274">
            <w:pPr>
              <w:spacing w:line="264" w:lineRule="auto"/>
              <w:jc w:val="center"/>
              <w:rPr>
                <w:rFonts w:hint="eastAsia" w:ascii="宋体" w:hAnsi="宋体" w:eastAsia="宋体" w:cs="Times New Roman"/>
                <w:color w:val="000000"/>
                <w:szCs w:val="21"/>
              </w:rPr>
            </w:pPr>
          </w:p>
        </w:tc>
        <w:tc>
          <w:tcPr>
            <w:tcW w:w="8093" w:type="dxa"/>
            <w:gridSpan w:val="5"/>
            <w:vAlign w:val="center"/>
          </w:tcPr>
          <w:p w14:paraId="4427EC7E">
            <w:pPr>
              <w:snapToGrid w:val="0"/>
              <w:spacing w:line="360" w:lineRule="auto"/>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关心教育现实、立足社会实践，积极投身儿童教育事业，积极为家庭提供教育指导服务。</w:t>
            </w:r>
          </w:p>
        </w:tc>
      </w:tr>
    </w:tbl>
    <w:p w14:paraId="5FABE62D">
      <w:pPr>
        <w:spacing w:line="360" w:lineRule="auto"/>
        <w:jc w:val="left"/>
        <w:rPr>
          <w:rFonts w:ascii="Times New Roman" w:hAnsi="Times New Roman" w:eastAsia="宋体" w:cs="Times New Roman"/>
          <w:sz w:val="24"/>
          <w:szCs w:val="24"/>
        </w:rPr>
      </w:pPr>
    </w:p>
    <w:p w14:paraId="12E2E246">
      <w:pPr>
        <w:spacing w:line="360" w:lineRule="auto"/>
        <w:jc w:val="left"/>
        <w:outlineLvl w:val="0"/>
        <w:rPr>
          <w:rFonts w:ascii="Times New Roman" w:hAnsi="Times New Roman" w:eastAsia="宋体" w:cs="Times New Roman"/>
          <w:sz w:val="24"/>
          <w:szCs w:val="24"/>
        </w:rPr>
      </w:pPr>
      <w:bookmarkStart w:id="1172" w:name="_Toc31046"/>
      <w:bookmarkStart w:id="1173" w:name="_Toc1200"/>
      <w:bookmarkStart w:id="1174" w:name="_Toc31838"/>
      <w:bookmarkStart w:id="1175" w:name="_Toc25028"/>
      <w:bookmarkStart w:id="1176" w:name="_Toc7173"/>
      <w:bookmarkStart w:id="1177" w:name="_Toc17011"/>
      <w:bookmarkStart w:id="1178" w:name="_Toc22682"/>
      <w:r>
        <w:rPr>
          <w:rFonts w:hint="eastAsia" w:ascii="宋体" w:hAnsi="宋体" w:eastAsia="宋体" w:cs="Times New Roman"/>
          <w:b/>
          <w:color w:val="000000"/>
          <w:sz w:val="24"/>
          <w:szCs w:val="24"/>
        </w:rPr>
        <w:t>四、目标评价与成绩评定</w:t>
      </w:r>
      <w:bookmarkEnd w:id="1172"/>
      <w:bookmarkEnd w:id="1173"/>
      <w:bookmarkEnd w:id="1174"/>
      <w:bookmarkEnd w:id="1175"/>
      <w:bookmarkEnd w:id="1176"/>
      <w:bookmarkEnd w:id="1177"/>
      <w:bookmarkEnd w:id="1178"/>
    </w:p>
    <w:p w14:paraId="2FB0C7FA">
      <w:pPr>
        <w:spacing w:line="360" w:lineRule="auto"/>
        <w:jc w:val="left"/>
        <w:outlineLvl w:val="1"/>
        <w:rPr>
          <w:rFonts w:ascii="Times New Roman" w:hAnsi="Times New Roman" w:eastAsia="宋体" w:cs="Times New Roman"/>
          <w:b/>
          <w:szCs w:val="21"/>
        </w:rPr>
      </w:pPr>
      <w:bookmarkStart w:id="1179" w:name="_Toc29186"/>
      <w:r>
        <w:rPr>
          <w:rFonts w:hint="eastAsia" w:ascii="Times New Roman" w:hAnsi="Times New Roman" w:eastAsia="宋体" w:cs="Times New Roman"/>
          <w:b/>
          <w:szCs w:val="21"/>
        </w:rPr>
        <w:t>（一）课程目标评价方式</w:t>
      </w:r>
      <w:bookmarkEnd w:id="1179"/>
    </w:p>
    <w:p w14:paraId="412C63F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DBBE69F">
      <w:pPr>
        <w:spacing w:line="360" w:lineRule="auto"/>
        <w:ind w:firstLine="420" w:firstLineChars="200"/>
        <w:jc w:val="left"/>
        <w:rPr>
          <w:rFonts w:ascii="Times New Roman" w:hAnsi="Times New Roman" w:eastAsia="宋体" w:cs="Times New Roman"/>
          <w:szCs w:val="21"/>
        </w:rPr>
      </w:pPr>
    </w:p>
    <w:p w14:paraId="6B30347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76E8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07596A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7DCBD12">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0671AE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C76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C997CF8">
            <w:pPr>
              <w:spacing w:line="360" w:lineRule="auto"/>
              <w:jc w:val="center"/>
              <w:rPr>
                <w:rFonts w:hint="eastAsia" w:ascii="宋体" w:hAnsi="宋体" w:eastAsia="宋体" w:cs="Times New Roman"/>
                <w:szCs w:val="21"/>
              </w:rPr>
            </w:pPr>
          </w:p>
        </w:tc>
        <w:tc>
          <w:tcPr>
            <w:tcW w:w="0" w:type="auto"/>
            <w:vAlign w:val="center"/>
          </w:tcPr>
          <w:p w14:paraId="641B71D1">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466A5A08">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1F22D4C3">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0F47B441">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DCB4CE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4A597AB1">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7A30848E">
            <w:pPr>
              <w:spacing w:line="360" w:lineRule="auto"/>
              <w:jc w:val="center"/>
              <w:rPr>
                <w:rFonts w:hint="eastAsia" w:ascii="宋体" w:hAnsi="宋体" w:eastAsia="宋体" w:cs="Times New Roman"/>
                <w:szCs w:val="21"/>
              </w:rPr>
            </w:pPr>
          </w:p>
        </w:tc>
      </w:tr>
      <w:tr w14:paraId="6AA6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DA291A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752CBF2">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tcPr>
          <w:p w14:paraId="414C580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2B9CEE35">
            <w:pPr>
              <w:spacing w:line="360" w:lineRule="auto"/>
              <w:jc w:val="center"/>
              <w:rPr>
                <w:rFonts w:hint="eastAsia" w:ascii="宋体" w:hAnsi="宋体" w:eastAsia="宋体" w:cs="Times New Roman"/>
                <w:szCs w:val="21"/>
              </w:rPr>
            </w:pPr>
          </w:p>
        </w:tc>
        <w:tc>
          <w:tcPr>
            <w:tcW w:w="0" w:type="auto"/>
            <w:vAlign w:val="center"/>
          </w:tcPr>
          <w:p w14:paraId="48618A8A">
            <w:pPr>
              <w:spacing w:line="360" w:lineRule="auto"/>
              <w:jc w:val="center"/>
              <w:rPr>
                <w:rFonts w:hint="eastAsia" w:ascii="宋体" w:hAnsi="宋体" w:eastAsia="宋体" w:cs="Times New Roman"/>
                <w:szCs w:val="21"/>
              </w:rPr>
            </w:pPr>
          </w:p>
        </w:tc>
        <w:tc>
          <w:tcPr>
            <w:tcW w:w="0" w:type="auto"/>
            <w:vAlign w:val="center"/>
          </w:tcPr>
          <w:p w14:paraId="75FA0089">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5C4A7E1B">
            <w:pPr>
              <w:spacing w:line="360" w:lineRule="auto"/>
              <w:jc w:val="center"/>
              <w:rPr>
                <w:rFonts w:hint="eastAsia" w:ascii="宋体" w:hAnsi="宋体" w:eastAsia="宋体" w:cs="Times New Roman"/>
                <w:szCs w:val="21"/>
              </w:rPr>
            </w:pPr>
          </w:p>
        </w:tc>
        <w:tc>
          <w:tcPr>
            <w:tcW w:w="0" w:type="auto"/>
            <w:vAlign w:val="center"/>
          </w:tcPr>
          <w:p w14:paraId="4E1C6C59">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2A7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4CC40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2983F7E">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tcPr>
          <w:p w14:paraId="46084A4C">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3716A2E3">
            <w:pPr>
              <w:spacing w:line="360" w:lineRule="auto"/>
              <w:jc w:val="center"/>
              <w:rPr>
                <w:rFonts w:hint="eastAsia" w:ascii="宋体" w:hAnsi="宋体" w:eastAsia="宋体" w:cs="Times New Roman"/>
                <w:szCs w:val="21"/>
              </w:rPr>
            </w:pPr>
          </w:p>
        </w:tc>
        <w:tc>
          <w:tcPr>
            <w:tcW w:w="0" w:type="auto"/>
            <w:vAlign w:val="center"/>
          </w:tcPr>
          <w:p w14:paraId="7BEEA621">
            <w:pPr>
              <w:spacing w:line="360" w:lineRule="auto"/>
              <w:jc w:val="center"/>
              <w:rPr>
                <w:rFonts w:hint="eastAsia" w:ascii="宋体" w:hAnsi="宋体" w:eastAsia="宋体" w:cs="Times New Roman"/>
                <w:szCs w:val="21"/>
              </w:rPr>
            </w:pPr>
          </w:p>
        </w:tc>
        <w:tc>
          <w:tcPr>
            <w:tcW w:w="0" w:type="auto"/>
            <w:vAlign w:val="center"/>
          </w:tcPr>
          <w:p w14:paraId="612820FE">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2B4000A8">
            <w:pPr>
              <w:spacing w:line="360" w:lineRule="auto"/>
              <w:jc w:val="center"/>
              <w:rPr>
                <w:rFonts w:hint="eastAsia" w:ascii="宋体" w:hAnsi="宋体" w:eastAsia="宋体" w:cs="Times New Roman"/>
                <w:szCs w:val="21"/>
              </w:rPr>
            </w:pPr>
          </w:p>
        </w:tc>
        <w:tc>
          <w:tcPr>
            <w:tcW w:w="0" w:type="auto"/>
            <w:vAlign w:val="center"/>
          </w:tcPr>
          <w:p w14:paraId="7008936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2BD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3BF90B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49112A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tcPr>
          <w:p w14:paraId="699C59C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056" w:type="dxa"/>
            <w:vAlign w:val="center"/>
          </w:tcPr>
          <w:p w14:paraId="29D50622">
            <w:pPr>
              <w:spacing w:line="360" w:lineRule="auto"/>
              <w:jc w:val="center"/>
              <w:rPr>
                <w:rFonts w:hint="eastAsia" w:ascii="宋体" w:hAnsi="宋体" w:eastAsia="宋体" w:cs="Times New Roman"/>
                <w:szCs w:val="21"/>
              </w:rPr>
            </w:pPr>
          </w:p>
        </w:tc>
        <w:tc>
          <w:tcPr>
            <w:tcW w:w="0" w:type="auto"/>
            <w:vAlign w:val="center"/>
          </w:tcPr>
          <w:p w14:paraId="7B7749DA">
            <w:pPr>
              <w:spacing w:line="360" w:lineRule="auto"/>
              <w:jc w:val="center"/>
              <w:rPr>
                <w:rFonts w:hint="eastAsia" w:ascii="宋体" w:hAnsi="宋体" w:eastAsia="宋体" w:cs="Times New Roman"/>
                <w:szCs w:val="21"/>
              </w:rPr>
            </w:pPr>
          </w:p>
        </w:tc>
        <w:tc>
          <w:tcPr>
            <w:tcW w:w="0" w:type="auto"/>
            <w:vAlign w:val="center"/>
          </w:tcPr>
          <w:p w14:paraId="345FA7CB">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5B53BC2F">
            <w:pPr>
              <w:spacing w:line="360" w:lineRule="auto"/>
              <w:jc w:val="center"/>
              <w:rPr>
                <w:rFonts w:hint="eastAsia" w:ascii="宋体" w:hAnsi="宋体" w:eastAsia="宋体" w:cs="Times New Roman"/>
                <w:szCs w:val="21"/>
              </w:rPr>
            </w:pPr>
          </w:p>
        </w:tc>
        <w:tc>
          <w:tcPr>
            <w:tcW w:w="0" w:type="auto"/>
            <w:vAlign w:val="center"/>
          </w:tcPr>
          <w:p w14:paraId="6E553FD8">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31C1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1C087F2">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55BC763">
            <w:pPr>
              <w:spacing w:line="360" w:lineRule="auto"/>
              <w:jc w:val="center"/>
              <w:rPr>
                <w:rFonts w:hint="eastAsia" w:ascii="宋体" w:hAnsi="宋体" w:eastAsia="宋体" w:cs="Times New Roman"/>
                <w:szCs w:val="21"/>
              </w:rPr>
            </w:pPr>
          </w:p>
        </w:tc>
        <w:tc>
          <w:tcPr>
            <w:tcW w:w="1056" w:type="dxa"/>
            <w:vAlign w:val="center"/>
          </w:tcPr>
          <w:p w14:paraId="4A885A36">
            <w:pPr>
              <w:spacing w:line="360" w:lineRule="auto"/>
              <w:jc w:val="center"/>
              <w:rPr>
                <w:rFonts w:hint="eastAsia" w:ascii="宋体" w:hAnsi="宋体" w:eastAsia="宋体" w:cs="Times New Roman"/>
                <w:szCs w:val="21"/>
              </w:rPr>
            </w:pPr>
          </w:p>
        </w:tc>
        <w:tc>
          <w:tcPr>
            <w:tcW w:w="1056" w:type="dxa"/>
            <w:vAlign w:val="center"/>
          </w:tcPr>
          <w:p w14:paraId="30412FF3">
            <w:pPr>
              <w:spacing w:line="360" w:lineRule="auto"/>
              <w:jc w:val="center"/>
              <w:rPr>
                <w:rFonts w:hint="eastAsia" w:ascii="宋体" w:hAnsi="宋体" w:eastAsia="宋体" w:cs="Times New Roman"/>
                <w:szCs w:val="21"/>
              </w:rPr>
            </w:pPr>
          </w:p>
        </w:tc>
        <w:tc>
          <w:tcPr>
            <w:tcW w:w="0" w:type="auto"/>
            <w:vAlign w:val="center"/>
          </w:tcPr>
          <w:p w14:paraId="46E14569">
            <w:pPr>
              <w:spacing w:line="360" w:lineRule="auto"/>
              <w:jc w:val="center"/>
              <w:rPr>
                <w:rFonts w:hint="eastAsia" w:ascii="宋体" w:hAnsi="宋体" w:eastAsia="宋体" w:cs="Times New Roman"/>
                <w:szCs w:val="21"/>
              </w:rPr>
            </w:pPr>
          </w:p>
        </w:tc>
        <w:tc>
          <w:tcPr>
            <w:tcW w:w="0" w:type="auto"/>
            <w:vAlign w:val="center"/>
          </w:tcPr>
          <w:p w14:paraId="33A287DD">
            <w:pPr>
              <w:spacing w:line="360" w:lineRule="auto"/>
              <w:jc w:val="center"/>
              <w:rPr>
                <w:rFonts w:hint="eastAsia" w:ascii="宋体" w:hAnsi="宋体" w:eastAsia="宋体" w:cs="Times New Roman"/>
                <w:szCs w:val="21"/>
              </w:rPr>
            </w:pPr>
          </w:p>
        </w:tc>
        <w:tc>
          <w:tcPr>
            <w:tcW w:w="0" w:type="auto"/>
          </w:tcPr>
          <w:p w14:paraId="463AA28A">
            <w:pPr>
              <w:spacing w:line="360" w:lineRule="auto"/>
              <w:jc w:val="center"/>
              <w:rPr>
                <w:rFonts w:hint="eastAsia" w:ascii="宋体" w:hAnsi="宋体" w:eastAsia="宋体" w:cs="Times New Roman"/>
                <w:szCs w:val="21"/>
              </w:rPr>
            </w:pPr>
          </w:p>
        </w:tc>
        <w:tc>
          <w:tcPr>
            <w:tcW w:w="0" w:type="auto"/>
            <w:vAlign w:val="center"/>
          </w:tcPr>
          <w:p w14:paraId="6BC5831F">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0344449">
      <w:pPr>
        <w:spacing w:before="156" w:beforeLines="50" w:line="360" w:lineRule="auto"/>
        <w:jc w:val="left"/>
        <w:outlineLvl w:val="1"/>
        <w:rPr>
          <w:rFonts w:ascii="Times New Roman" w:hAnsi="Times New Roman" w:eastAsia="宋体" w:cs="Times New Roman"/>
          <w:b/>
          <w:szCs w:val="21"/>
        </w:rPr>
      </w:pPr>
      <w:bookmarkStart w:id="1180" w:name="_Toc6457"/>
      <w:r>
        <w:rPr>
          <w:rFonts w:hint="eastAsia" w:ascii="Times New Roman" w:hAnsi="Times New Roman" w:eastAsia="宋体" w:cs="Times New Roman"/>
          <w:b/>
          <w:szCs w:val="21"/>
        </w:rPr>
        <w:t>（二）成绩评定细则</w:t>
      </w:r>
      <w:bookmarkEnd w:id="1180"/>
    </w:p>
    <w:p w14:paraId="710D97E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E9E922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56E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86400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0CA6D2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3C7459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B90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378DB6">
            <w:pPr>
              <w:snapToGrid w:val="0"/>
              <w:spacing w:line="288" w:lineRule="auto"/>
              <w:rPr>
                <w:rFonts w:ascii="Times New Roman" w:hAnsi="Times New Roman" w:eastAsia="宋体" w:cs="Times New Roman"/>
                <w:szCs w:val="21"/>
              </w:rPr>
            </w:pPr>
            <w:r>
              <w:rPr>
                <w:rFonts w:hint="eastAsia" w:ascii="宋体" w:hAnsi="宋体" w:eastAsia="宋体" w:cs="Times New Roman"/>
                <w:color w:val="000000"/>
                <w:szCs w:val="21"/>
              </w:rPr>
              <w:t>课堂表现及</w:t>
            </w:r>
            <w:r>
              <w:rPr>
                <w:rFonts w:ascii="宋体" w:hAnsi="宋体" w:eastAsia="宋体" w:cs="Times New Roman"/>
                <w:color w:val="000000"/>
                <w:szCs w:val="21"/>
              </w:rPr>
              <w:t>平时作业</w:t>
            </w:r>
          </w:p>
        </w:tc>
        <w:tc>
          <w:tcPr>
            <w:tcW w:w="7141" w:type="dxa"/>
            <w:vAlign w:val="center"/>
          </w:tcPr>
          <w:p w14:paraId="527D9A4C">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课堂表现占</w:t>
            </w:r>
            <w:r>
              <w:rPr>
                <w:rFonts w:ascii="宋体" w:hAnsi="宋体" w:eastAsia="宋体" w:cs="Times New Roman"/>
                <w:color w:val="000000"/>
                <w:szCs w:val="21"/>
              </w:rPr>
              <w:t>4</w:t>
            </w:r>
            <w:r>
              <w:rPr>
                <w:rFonts w:hint="eastAsia" w:ascii="宋体" w:hAnsi="宋体" w:eastAsia="宋体" w:cs="Times New Roman"/>
                <w:color w:val="000000"/>
                <w:szCs w:val="21"/>
              </w:rPr>
              <w:t>0%，平时作业占</w:t>
            </w:r>
            <w:r>
              <w:rPr>
                <w:rFonts w:ascii="宋体" w:hAnsi="宋体" w:eastAsia="宋体" w:cs="Times New Roman"/>
                <w:color w:val="000000"/>
                <w:szCs w:val="21"/>
              </w:rPr>
              <w:t>6</w:t>
            </w:r>
            <w:r>
              <w:rPr>
                <w:rFonts w:hint="eastAsia" w:ascii="宋体" w:hAnsi="宋体" w:eastAsia="宋体" w:cs="Times New Roman"/>
                <w:color w:val="000000"/>
                <w:szCs w:val="21"/>
              </w:rPr>
              <w:t>0%。</w:t>
            </w:r>
          </w:p>
          <w:p w14:paraId="27154EE4">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课堂表现：课堂考勤和课上表现。</w:t>
            </w:r>
          </w:p>
          <w:p w14:paraId="2F979D57">
            <w:pPr>
              <w:spacing w:line="264" w:lineRule="auto"/>
              <w:jc w:val="left"/>
              <w:rPr>
                <w:rFonts w:ascii="Times New Roman" w:hAnsi="Times New Roman" w:eastAsia="宋体" w:cs="Times New Roman"/>
                <w:szCs w:val="21"/>
              </w:rPr>
            </w:pPr>
            <w:r>
              <w:rPr>
                <w:rFonts w:hint="eastAsia" w:ascii="宋体" w:hAnsi="宋体" w:eastAsia="宋体" w:cs="Times New Roman"/>
                <w:color w:val="000000"/>
                <w:szCs w:val="21"/>
              </w:rPr>
              <w:t>平时作业：</w:t>
            </w:r>
            <w:r>
              <w:rPr>
                <w:rFonts w:ascii="宋体" w:hAnsi="宋体" w:eastAsia="宋体" w:cs="Times New Roman"/>
                <w:color w:val="000000"/>
                <w:szCs w:val="21"/>
              </w:rPr>
              <w:t>主要考核学生对知识点的理解和</w:t>
            </w:r>
            <w:r>
              <w:rPr>
                <w:rFonts w:hint="eastAsia" w:ascii="宋体" w:hAnsi="宋体" w:eastAsia="宋体" w:cs="Times New Roman"/>
                <w:color w:val="000000"/>
                <w:szCs w:val="21"/>
              </w:rPr>
              <w:t>应用</w:t>
            </w:r>
            <w:r>
              <w:rPr>
                <w:rFonts w:ascii="宋体" w:hAnsi="宋体" w:eastAsia="宋体" w:cs="Times New Roman"/>
                <w:color w:val="000000"/>
                <w:szCs w:val="21"/>
              </w:rPr>
              <w:t>。</w:t>
            </w:r>
          </w:p>
        </w:tc>
        <w:tc>
          <w:tcPr>
            <w:tcW w:w="0" w:type="auto"/>
            <w:vAlign w:val="center"/>
          </w:tcPr>
          <w:p w14:paraId="1B7D5D78">
            <w:pPr>
              <w:jc w:val="center"/>
              <w:rPr>
                <w:rFonts w:ascii="Times New Roman" w:hAnsi="Times New Roman" w:eastAsia="宋体" w:cs="Times New Roman"/>
                <w:szCs w:val="21"/>
              </w:rPr>
            </w:pPr>
            <w:r>
              <w:rPr>
                <w:rFonts w:ascii="宋体" w:hAnsi="宋体" w:eastAsia="宋体" w:cs="Times New Roman"/>
                <w:color w:val="000000"/>
                <w:szCs w:val="21"/>
              </w:rPr>
              <w:t>40%</w:t>
            </w:r>
          </w:p>
        </w:tc>
      </w:tr>
      <w:tr w14:paraId="7805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B20D44">
            <w:pPr>
              <w:snapToGrid w:val="0"/>
              <w:spacing w:line="288" w:lineRule="auto"/>
              <w:rPr>
                <w:rFonts w:hint="eastAsia" w:ascii="宋体" w:hAnsi="宋体" w:eastAsia="宋体" w:cs="Times New Roman"/>
                <w:color w:val="000000"/>
                <w:szCs w:val="21"/>
              </w:rPr>
            </w:pPr>
            <w:r>
              <w:rPr>
                <w:rFonts w:ascii="宋体" w:hAnsi="宋体" w:eastAsia="宋体" w:cs="Times New Roman"/>
                <w:color w:val="000000"/>
                <w:szCs w:val="21"/>
              </w:rPr>
              <w:t>期末考试</w:t>
            </w:r>
          </w:p>
          <w:p w14:paraId="0C813708">
            <w:pPr>
              <w:rPr>
                <w:rFonts w:ascii="Times New Roman" w:hAnsi="Times New Roman" w:eastAsia="宋体" w:cs="Times New Roman"/>
                <w:szCs w:val="21"/>
              </w:rPr>
            </w:pPr>
            <w:r>
              <w:rPr>
                <w:rFonts w:hint="eastAsia" w:ascii="宋体" w:hAnsi="宋体" w:eastAsia="宋体" w:cs="Times New Roman"/>
                <w:color w:val="000000"/>
                <w:szCs w:val="21"/>
              </w:rPr>
              <w:t>卷面</w:t>
            </w:r>
            <w:r>
              <w:rPr>
                <w:rFonts w:ascii="宋体" w:hAnsi="宋体" w:eastAsia="宋体" w:cs="Times New Roman"/>
                <w:color w:val="000000"/>
                <w:szCs w:val="21"/>
              </w:rPr>
              <w:t>成绩</w:t>
            </w:r>
          </w:p>
        </w:tc>
        <w:tc>
          <w:tcPr>
            <w:tcW w:w="7141" w:type="dxa"/>
            <w:vAlign w:val="center"/>
          </w:tcPr>
          <w:p w14:paraId="70ECA232">
            <w:pPr>
              <w:widowControl/>
              <w:spacing w:line="264" w:lineRule="auto"/>
              <w:jc w:val="left"/>
              <w:rPr>
                <w:rFonts w:ascii="Times New Roman" w:hAnsi="Times New Roman" w:eastAsia="宋体" w:cs="Times New Roman"/>
                <w:szCs w:val="21"/>
              </w:rPr>
            </w:pPr>
            <w:r>
              <w:rPr>
                <w:rFonts w:hint="eastAsia" w:ascii="宋体" w:hAnsi="宋体" w:eastAsia="宋体" w:cs="Times New Roman"/>
                <w:color w:val="000000"/>
                <w:szCs w:val="21"/>
              </w:rPr>
              <w:t>开卷</w:t>
            </w:r>
            <w:r>
              <w:rPr>
                <w:rFonts w:ascii="宋体" w:hAnsi="宋体" w:eastAsia="宋体" w:cs="Times New Roman"/>
                <w:color w:val="000000"/>
                <w:szCs w:val="21"/>
              </w:rPr>
              <w:t>题型包括</w:t>
            </w:r>
            <w:r>
              <w:rPr>
                <w:rFonts w:hint="eastAsia" w:ascii="宋体" w:hAnsi="宋体" w:eastAsia="宋体" w:cs="Times New Roman"/>
                <w:color w:val="000000"/>
                <w:szCs w:val="21"/>
              </w:rPr>
              <w:t>材料</w:t>
            </w:r>
            <w:r>
              <w:rPr>
                <w:rFonts w:ascii="宋体" w:hAnsi="宋体" w:eastAsia="宋体" w:cs="Times New Roman"/>
                <w:color w:val="000000"/>
                <w:szCs w:val="21"/>
              </w:rPr>
              <w:t>分析题</w:t>
            </w:r>
            <w:r>
              <w:rPr>
                <w:rFonts w:hint="eastAsia" w:ascii="宋体" w:hAnsi="宋体" w:eastAsia="宋体" w:cs="Times New Roman"/>
                <w:color w:val="000000"/>
                <w:szCs w:val="21"/>
              </w:rPr>
              <w:t>、论述题</w:t>
            </w:r>
            <w:r>
              <w:rPr>
                <w:rFonts w:ascii="宋体" w:hAnsi="宋体" w:eastAsia="宋体" w:cs="Times New Roman"/>
                <w:color w:val="000000"/>
                <w:szCs w:val="21"/>
              </w:rPr>
              <w:t>等，以卷面成绩的60%计入课程总成绩。</w:t>
            </w:r>
          </w:p>
        </w:tc>
        <w:tc>
          <w:tcPr>
            <w:tcW w:w="0" w:type="auto"/>
            <w:vAlign w:val="center"/>
          </w:tcPr>
          <w:p w14:paraId="7464419D">
            <w:pPr>
              <w:jc w:val="center"/>
              <w:rPr>
                <w:rFonts w:ascii="Times New Roman" w:hAnsi="Times New Roman" w:eastAsia="宋体" w:cs="Times New Roman"/>
                <w:szCs w:val="21"/>
              </w:rPr>
            </w:pPr>
            <w:r>
              <w:rPr>
                <w:rFonts w:ascii="宋体" w:hAnsi="宋体" w:eastAsia="宋体" w:cs="Times New Roman"/>
                <w:color w:val="000000"/>
                <w:szCs w:val="21"/>
              </w:rPr>
              <w:t>60%</w:t>
            </w:r>
          </w:p>
        </w:tc>
      </w:tr>
      <w:tr w14:paraId="41C2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F5D1AE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2E54249">
            <w:pPr>
              <w:jc w:val="left"/>
              <w:rPr>
                <w:rFonts w:ascii="Times New Roman" w:hAnsi="Times New Roman" w:eastAsia="宋体" w:cs="Times New Roman"/>
                <w:szCs w:val="21"/>
              </w:rPr>
            </w:pPr>
          </w:p>
        </w:tc>
        <w:tc>
          <w:tcPr>
            <w:tcW w:w="0" w:type="auto"/>
            <w:vAlign w:val="center"/>
          </w:tcPr>
          <w:p w14:paraId="0C4886C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0D190EA">
      <w:pPr>
        <w:spacing w:line="360" w:lineRule="auto"/>
        <w:jc w:val="left"/>
        <w:outlineLvl w:val="1"/>
        <w:rPr>
          <w:rFonts w:hint="eastAsia" w:ascii="宋体" w:hAnsi="宋体" w:eastAsia="宋体" w:cs="Times New Roman"/>
          <w:b/>
          <w:color w:val="000000"/>
          <w:szCs w:val="21"/>
        </w:rPr>
      </w:pPr>
      <w:bookmarkStart w:id="1181" w:name="_Toc29381"/>
      <w:r>
        <w:rPr>
          <w:rFonts w:hint="eastAsia" w:ascii="宋体" w:hAnsi="宋体" w:eastAsia="宋体" w:cs="Times New Roman"/>
          <w:b/>
          <w:color w:val="000000"/>
          <w:szCs w:val="21"/>
        </w:rPr>
        <w:t>（三）课程目标达成度计算方法</w:t>
      </w:r>
      <w:bookmarkEnd w:id="1181"/>
    </w:p>
    <w:p w14:paraId="1663788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6E57279">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3"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53" DrawAspect="Content" ObjectID="_1468075753" r:id="rId36">
            <o:LockedField>false</o:LockedField>
          </o:OLEObject>
        </w:object>
      </w:r>
    </w:p>
    <w:p w14:paraId="7346192D">
      <w:pPr>
        <w:spacing w:before="156" w:beforeLines="50" w:line="360" w:lineRule="auto"/>
        <w:jc w:val="left"/>
        <w:outlineLvl w:val="0"/>
        <w:rPr>
          <w:rFonts w:ascii="Times New Roman" w:hAnsi="Times New Roman" w:eastAsia="宋体" w:cs="Times New Roman"/>
          <w:b/>
          <w:sz w:val="24"/>
          <w:szCs w:val="24"/>
        </w:rPr>
      </w:pPr>
      <w:bookmarkStart w:id="1182" w:name="_Toc30135"/>
      <w:bookmarkStart w:id="1183" w:name="_Toc32593"/>
      <w:bookmarkStart w:id="1184" w:name="_Toc19588"/>
      <w:bookmarkStart w:id="1185" w:name="_Toc11834"/>
      <w:bookmarkStart w:id="1186" w:name="_Toc16242"/>
      <w:bookmarkStart w:id="1187" w:name="_Toc15080"/>
      <w:bookmarkStart w:id="1188" w:name="_Toc3677"/>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1182"/>
      <w:bookmarkEnd w:id="1183"/>
      <w:bookmarkEnd w:id="1184"/>
      <w:bookmarkEnd w:id="1185"/>
      <w:bookmarkEnd w:id="1186"/>
      <w:bookmarkEnd w:id="1187"/>
      <w:bookmarkEnd w:id="1188"/>
    </w:p>
    <w:p w14:paraId="62689712">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2AB61FB9">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21C0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8F2259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6B8C200B">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02E6AF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AF558AA">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779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3608ED1">
            <w:pPr>
              <w:spacing w:line="276" w:lineRule="auto"/>
              <w:jc w:val="left"/>
              <w:rPr>
                <w:rFonts w:hint="eastAsia" w:ascii="宋体" w:hAnsi="宋体" w:eastAsia="宋体" w:cs="宋体"/>
                <w:szCs w:val="21"/>
              </w:rPr>
            </w:pPr>
            <w:r>
              <w:rPr>
                <w:rFonts w:hint="eastAsia" w:ascii="宋体" w:hAnsi="宋体" w:eastAsia="宋体" w:cs="宋体"/>
                <w:szCs w:val="21"/>
              </w:rPr>
              <w:t>不同类型家庭及其家庭教育现状观察</w:t>
            </w:r>
          </w:p>
        </w:tc>
        <w:tc>
          <w:tcPr>
            <w:tcW w:w="3407" w:type="dxa"/>
            <w:vAlign w:val="center"/>
          </w:tcPr>
          <w:p w14:paraId="0E9C6F3B">
            <w:pPr>
              <w:spacing w:line="276" w:lineRule="auto"/>
              <w:jc w:val="left"/>
              <w:rPr>
                <w:rFonts w:hint="eastAsia" w:ascii="宋体" w:hAnsi="宋体" w:eastAsia="宋体" w:cs="宋体"/>
                <w:szCs w:val="21"/>
              </w:rPr>
            </w:pPr>
            <w:r>
              <w:rPr>
                <w:rFonts w:hint="eastAsia" w:ascii="宋体" w:hAnsi="宋体" w:eastAsia="宋体" w:cs="宋体"/>
                <w:szCs w:val="21"/>
              </w:rPr>
              <w:t>观察了解中小学生的家庭类型、家长教育需求；观察了解现实中的中小学生所遭遇到的儿童权利保护不当或不完善之处的种种表现。</w:t>
            </w:r>
          </w:p>
        </w:tc>
        <w:tc>
          <w:tcPr>
            <w:tcW w:w="740" w:type="dxa"/>
            <w:vAlign w:val="center"/>
          </w:tcPr>
          <w:p w14:paraId="33F171B8">
            <w:pPr>
              <w:spacing w:line="276" w:lineRule="auto"/>
              <w:jc w:val="center"/>
              <w:rPr>
                <w:rFonts w:hint="eastAsia" w:ascii="宋体" w:hAnsi="宋体" w:eastAsia="宋体" w:cs="宋体"/>
                <w:szCs w:val="21"/>
              </w:rPr>
            </w:pPr>
            <w:r>
              <w:rPr>
                <w:rFonts w:hint="eastAsia" w:ascii="宋体" w:hAnsi="宋体" w:eastAsia="宋体" w:cs="宋体"/>
                <w:szCs w:val="21"/>
              </w:rPr>
              <w:t>实践观察</w:t>
            </w:r>
          </w:p>
        </w:tc>
        <w:tc>
          <w:tcPr>
            <w:tcW w:w="3160" w:type="dxa"/>
            <w:vAlign w:val="center"/>
          </w:tcPr>
          <w:p w14:paraId="0F099C52">
            <w:pPr>
              <w:spacing w:line="276" w:lineRule="auto"/>
              <w:jc w:val="left"/>
              <w:rPr>
                <w:rFonts w:hint="eastAsia" w:ascii="宋体" w:hAnsi="宋体" w:eastAsia="宋体" w:cs="宋体"/>
                <w:szCs w:val="21"/>
              </w:rPr>
            </w:pPr>
            <w:r>
              <w:rPr>
                <w:rFonts w:hint="eastAsia" w:ascii="宋体" w:hAnsi="宋体" w:eastAsia="宋体" w:cs="宋体"/>
                <w:szCs w:val="21"/>
              </w:rPr>
              <w:t>关心关注教育现实，提升专业责任感及家庭教育法制责任意识，积极投身儿童教育事业，愿意为家庭提供教育指导服务。</w:t>
            </w:r>
          </w:p>
        </w:tc>
      </w:tr>
      <w:tr w14:paraId="661F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C0E11D8">
            <w:pPr>
              <w:spacing w:line="276" w:lineRule="auto"/>
              <w:jc w:val="left"/>
              <w:rPr>
                <w:rFonts w:hint="eastAsia" w:ascii="宋体" w:hAnsi="宋体" w:eastAsia="宋体" w:cs="宋体"/>
                <w:szCs w:val="21"/>
              </w:rPr>
            </w:pPr>
            <w:r>
              <w:rPr>
                <w:rFonts w:hint="eastAsia" w:ascii="宋体" w:hAnsi="宋体" w:eastAsia="宋体" w:cs="宋体"/>
                <w:szCs w:val="21"/>
              </w:rPr>
              <w:t>家乡所在地的优秀家教家书家风家训</w:t>
            </w:r>
          </w:p>
        </w:tc>
        <w:tc>
          <w:tcPr>
            <w:tcW w:w="3407" w:type="dxa"/>
            <w:vAlign w:val="center"/>
          </w:tcPr>
          <w:p w14:paraId="4FAC964C">
            <w:pPr>
              <w:spacing w:line="276" w:lineRule="auto"/>
              <w:jc w:val="left"/>
              <w:rPr>
                <w:rFonts w:hint="eastAsia" w:ascii="宋体" w:hAnsi="宋体" w:eastAsia="宋体" w:cs="宋体"/>
                <w:szCs w:val="21"/>
              </w:rPr>
            </w:pPr>
            <w:r>
              <w:rPr>
                <w:rFonts w:hint="eastAsia" w:ascii="宋体" w:hAnsi="宋体" w:eastAsia="宋体" w:cs="宋体"/>
                <w:szCs w:val="21"/>
              </w:rPr>
              <w:t>搜集并学习家乡所在地的红色家书；讲述家乡所在地涌现出的优秀家教、家风、家训等优秀典型；观察小学校园中的儿童有关有中华优秀传统文化类的读本情况</w:t>
            </w:r>
          </w:p>
        </w:tc>
        <w:tc>
          <w:tcPr>
            <w:tcW w:w="740" w:type="dxa"/>
            <w:vAlign w:val="center"/>
          </w:tcPr>
          <w:p w14:paraId="5BB08B83">
            <w:pPr>
              <w:spacing w:line="276" w:lineRule="auto"/>
              <w:jc w:val="center"/>
              <w:rPr>
                <w:rFonts w:ascii="宋体" w:hAnsi="宋体" w:eastAsia="宋体" w:cs="宋体"/>
                <w:szCs w:val="21"/>
              </w:rPr>
            </w:pPr>
            <w:r>
              <w:rPr>
                <w:rFonts w:hint="eastAsia" w:ascii="宋体" w:hAnsi="宋体" w:eastAsia="宋体" w:cs="宋体"/>
                <w:szCs w:val="21"/>
              </w:rPr>
              <w:t>案例观摩</w:t>
            </w:r>
          </w:p>
          <w:p w14:paraId="1A839D70">
            <w:pPr>
              <w:spacing w:line="276" w:lineRule="auto"/>
              <w:jc w:val="center"/>
              <w:rPr>
                <w:rFonts w:ascii="宋体" w:hAnsi="宋体" w:eastAsia="宋体" w:cs="宋体"/>
                <w:szCs w:val="21"/>
              </w:rPr>
            </w:pPr>
          </w:p>
          <w:p w14:paraId="4EE2BA04">
            <w:pPr>
              <w:spacing w:line="276" w:lineRule="auto"/>
              <w:jc w:val="center"/>
              <w:rPr>
                <w:rFonts w:hint="eastAsia" w:ascii="宋体" w:hAnsi="宋体" w:eastAsia="宋体" w:cs="宋体"/>
                <w:szCs w:val="21"/>
              </w:rPr>
            </w:pPr>
            <w:r>
              <w:rPr>
                <w:rFonts w:hint="eastAsia" w:ascii="宋体" w:hAnsi="宋体" w:eastAsia="宋体" w:cs="宋体"/>
                <w:szCs w:val="21"/>
              </w:rPr>
              <w:t>学生分享</w:t>
            </w:r>
          </w:p>
        </w:tc>
        <w:tc>
          <w:tcPr>
            <w:tcW w:w="3160" w:type="dxa"/>
            <w:vAlign w:val="center"/>
          </w:tcPr>
          <w:p w14:paraId="47A19B19">
            <w:pPr>
              <w:spacing w:line="276" w:lineRule="auto"/>
              <w:jc w:val="left"/>
              <w:rPr>
                <w:rFonts w:hint="eastAsia" w:ascii="宋体" w:hAnsi="宋体" w:eastAsia="宋体" w:cs="宋体"/>
                <w:szCs w:val="21"/>
              </w:rPr>
            </w:pPr>
            <w:r>
              <w:rPr>
                <w:rFonts w:hint="eastAsia" w:ascii="宋体" w:hAnsi="宋体" w:eastAsia="宋体" w:cs="宋体"/>
                <w:szCs w:val="21"/>
              </w:rPr>
              <w:t>传承并弘扬中华优秀传统文化中的责任担当、孝行义举等文化基因或红色文化基因</w:t>
            </w:r>
          </w:p>
        </w:tc>
      </w:tr>
    </w:tbl>
    <w:p w14:paraId="49800B8D">
      <w:pPr>
        <w:spacing w:line="360" w:lineRule="auto"/>
        <w:ind w:firstLine="551" w:firstLineChars="196"/>
        <w:jc w:val="left"/>
        <w:rPr>
          <w:rFonts w:hint="eastAsia" w:ascii="宋体" w:hAnsi="宋体" w:eastAsia="宋体" w:cs="Times New Roman"/>
          <w:b/>
          <w:color w:val="000000"/>
          <w:sz w:val="28"/>
          <w:szCs w:val="28"/>
        </w:rPr>
      </w:pPr>
    </w:p>
    <w:p w14:paraId="68C3D112">
      <w:pPr>
        <w:spacing w:line="360" w:lineRule="auto"/>
        <w:jc w:val="left"/>
        <w:outlineLvl w:val="0"/>
        <w:rPr>
          <w:rFonts w:ascii="Times New Roman" w:hAnsi="Times New Roman" w:eastAsia="宋体" w:cs="Times New Roman"/>
          <w:b/>
          <w:bCs/>
          <w:sz w:val="24"/>
          <w:szCs w:val="24"/>
        </w:rPr>
      </w:pPr>
      <w:bookmarkStart w:id="1189" w:name="_Toc31609"/>
      <w:bookmarkStart w:id="1190" w:name="_Toc10117"/>
      <w:bookmarkStart w:id="1191" w:name="_Toc17020"/>
      <w:bookmarkStart w:id="1192" w:name="_Toc3379"/>
      <w:bookmarkStart w:id="1193" w:name="_Toc10399"/>
      <w:bookmarkStart w:id="1194" w:name="_Toc27022"/>
      <w:bookmarkStart w:id="1195" w:name="_Toc4483"/>
      <w:r>
        <w:rPr>
          <w:rFonts w:hint="eastAsia" w:ascii="宋体" w:hAnsi="宋体" w:eastAsia="宋体" w:cs="Times New Roman"/>
          <w:b/>
          <w:color w:val="000000"/>
          <w:sz w:val="24"/>
          <w:szCs w:val="24"/>
        </w:rPr>
        <w:t>六、有关说明</w:t>
      </w:r>
      <w:bookmarkEnd w:id="1189"/>
      <w:bookmarkEnd w:id="1190"/>
      <w:bookmarkEnd w:id="1191"/>
      <w:bookmarkEnd w:id="1192"/>
      <w:bookmarkEnd w:id="1193"/>
      <w:bookmarkEnd w:id="1194"/>
      <w:bookmarkEnd w:id="1195"/>
    </w:p>
    <w:p w14:paraId="66401A28">
      <w:pPr>
        <w:snapToGrid w:val="0"/>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6D531A6">
      <w:pPr>
        <w:snapToGrid w:val="0"/>
        <w:spacing w:line="360" w:lineRule="auto"/>
        <w:ind w:firstLine="411" w:firstLineChars="196"/>
        <w:rPr>
          <w:rFonts w:ascii="Times New Roman" w:hAnsi="Times New Roman" w:eastAsia="宋体" w:cs="Times New Roman"/>
          <w:b/>
          <w:szCs w:val="21"/>
        </w:rPr>
      </w:pPr>
      <w:r>
        <w:rPr>
          <w:rFonts w:ascii="宋体" w:hAnsi="宋体" w:eastAsia="宋体" w:cs="Times New Roman"/>
          <w:color w:val="000000"/>
          <w:szCs w:val="21"/>
        </w:rPr>
        <w:t>本课程根据学生作业、课堂讨论、平时考核情况和学生、教学督导等</w:t>
      </w:r>
      <w:r>
        <w:rPr>
          <w:rFonts w:hint="eastAsia" w:ascii="宋体" w:hAnsi="宋体" w:eastAsia="宋体" w:cs="Times New Roman"/>
          <w:color w:val="000000"/>
          <w:szCs w:val="21"/>
        </w:rPr>
        <w:t>的</w:t>
      </w:r>
      <w:r>
        <w:rPr>
          <w:rFonts w:ascii="宋体" w:hAnsi="宋体" w:eastAsia="宋体" w:cs="Times New Roman"/>
          <w:color w:val="000000"/>
          <w:szCs w:val="21"/>
        </w:rPr>
        <w:t>反馈，及时对教学中</w:t>
      </w:r>
      <w:r>
        <w:rPr>
          <w:rFonts w:hint="eastAsia" w:ascii="宋体" w:hAnsi="宋体" w:eastAsia="宋体" w:cs="Times New Roman"/>
          <w:color w:val="000000"/>
          <w:szCs w:val="21"/>
        </w:rPr>
        <w:t>的</w:t>
      </w:r>
      <w:r>
        <w:rPr>
          <w:rFonts w:ascii="宋体" w:hAnsi="宋体" w:eastAsia="宋体" w:cs="Times New Roman"/>
          <w:color w:val="000000"/>
          <w:szCs w:val="21"/>
        </w:rPr>
        <w:t>不足之处进行改进，并在下一轮课程教学中</w:t>
      </w:r>
      <w:r>
        <w:rPr>
          <w:rFonts w:hint="eastAsia" w:ascii="宋体" w:hAnsi="宋体" w:eastAsia="宋体" w:cs="Times New Roman"/>
          <w:color w:val="000000"/>
          <w:szCs w:val="21"/>
        </w:rPr>
        <w:t>整改完善</w:t>
      </w:r>
      <w:r>
        <w:rPr>
          <w:rFonts w:ascii="宋体" w:hAnsi="宋体" w:eastAsia="宋体" w:cs="Times New Roman"/>
          <w:color w:val="000000"/>
          <w:szCs w:val="21"/>
        </w:rPr>
        <w:t>，确保相应毕业要求指标点达成。</w:t>
      </w:r>
    </w:p>
    <w:p w14:paraId="3A2DD71F">
      <w:pPr>
        <w:snapToGrid w:val="0"/>
        <w:spacing w:line="360" w:lineRule="auto"/>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9992011">
      <w:pPr>
        <w:snapToGrid w:val="0"/>
        <w:spacing w:line="360" w:lineRule="auto"/>
        <w:ind w:firstLine="420" w:firstLineChars="200"/>
        <w:rPr>
          <w:rFonts w:ascii="Times New Roman" w:hAnsi="Times New Roman" w:eastAsia="宋体" w:cs="Times New Roman"/>
          <w:bCs/>
          <w:color w:val="000000"/>
          <w:szCs w:val="21"/>
        </w:rPr>
      </w:pPr>
      <w:r>
        <w:rPr>
          <w:rFonts w:hint="eastAsia" w:ascii="宋体" w:hAnsi="宋体" w:eastAsia="宋体" w:cs="Times New Roman"/>
          <w:color w:val="000000"/>
          <w:szCs w:val="21"/>
        </w:rPr>
        <w:t>孙云晓，</w:t>
      </w:r>
      <w:r>
        <w:rPr>
          <w:rFonts w:ascii="宋体" w:hAnsi="宋体" w:eastAsia="宋体" w:cs="Times New Roman"/>
          <w:color w:val="000000"/>
          <w:szCs w:val="21"/>
        </w:rPr>
        <w:t>家校合作共育：中国家庭教育的新趋势</w:t>
      </w:r>
      <w:r>
        <w:rPr>
          <w:rFonts w:hint="eastAsia" w:ascii="宋体" w:hAnsi="宋体" w:eastAsia="宋体" w:cs="Times New Roman"/>
          <w:color w:val="000000"/>
          <w:szCs w:val="21"/>
        </w:rPr>
        <w:t>，北京：中国人民大学出版社，20</w:t>
      </w:r>
      <w:r>
        <w:rPr>
          <w:rFonts w:ascii="宋体" w:hAnsi="宋体" w:eastAsia="宋体" w:cs="Times New Roman"/>
          <w:color w:val="000000"/>
          <w:szCs w:val="21"/>
        </w:rPr>
        <w:t>20</w:t>
      </w:r>
      <w:r>
        <w:rPr>
          <w:rFonts w:hint="eastAsia" w:ascii="宋体" w:hAnsi="宋体" w:eastAsia="宋体" w:cs="Times New Roman"/>
          <w:color w:val="000000"/>
          <w:szCs w:val="21"/>
        </w:rPr>
        <w:t>.</w:t>
      </w:r>
      <w:r>
        <w:rPr>
          <w:rFonts w:ascii="宋体" w:hAnsi="宋体" w:eastAsia="宋体" w:cs="Times New Roman"/>
          <w:color w:val="000000"/>
          <w:szCs w:val="21"/>
        </w:rPr>
        <w:t>10.</w:t>
      </w:r>
    </w:p>
    <w:p w14:paraId="1339776E">
      <w:pPr>
        <w:numPr>
          <w:ilvl w:val="0"/>
          <w:numId w:val="46"/>
        </w:numPr>
        <w:spacing w:line="360" w:lineRule="auto"/>
        <w:jc w:val="left"/>
        <w:rPr>
          <w:rFonts w:ascii="宋体" w:hAnsi="宋体" w:eastAsia="宋体" w:cs="Times New Roman"/>
          <w:b/>
          <w:szCs w:val="21"/>
        </w:rPr>
      </w:pPr>
      <w:r>
        <w:rPr>
          <w:rFonts w:hint="eastAsia" w:ascii="宋体" w:hAnsi="宋体" w:eastAsia="宋体" w:cs="Times New Roman"/>
          <w:b/>
          <w:szCs w:val="21"/>
        </w:rPr>
        <w:t>参考书目</w:t>
      </w:r>
    </w:p>
    <w:p w14:paraId="367C6B2D">
      <w:pPr>
        <w:spacing w:line="360" w:lineRule="auto"/>
        <w:rPr>
          <w:rFonts w:hint="eastAsia" w:ascii="宋体" w:hAnsi="宋体" w:eastAsia="宋体" w:cs="Times New Roman"/>
          <w:szCs w:val="22"/>
        </w:rPr>
      </w:pPr>
      <w:r>
        <w:rPr>
          <w:rFonts w:hint="eastAsia" w:ascii="宋体" w:hAnsi="宋体" w:eastAsia="宋体" w:cs="Times New Roman"/>
          <w:szCs w:val="22"/>
        </w:rPr>
        <w:t>1.李家成，学校家庭社区协同育人研究，国家开放大学出版社，2023.</w:t>
      </w:r>
    </w:p>
    <w:p w14:paraId="6358B257">
      <w:pPr>
        <w:spacing w:line="360" w:lineRule="auto"/>
        <w:rPr>
          <w:rFonts w:hint="eastAsia" w:ascii="宋体" w:hAnsi="宋体" w:eastAsia="宋体" w:cs="Times New Roman"/>
          <w:szCs w:val="22"/>
        </w:rPr>
      </w:pPr>
      <w:r>
        <w:rPr>
          <w:rFonts w:hint="eastAsia" w:ascii="宋体" w:hAnsi="宋体" w:eastAsia="宋体" w:cs="Times New Roman"/>
          <w:szCs w:val="22"/>
        </w:rPr>
        <w:t>2.张竹林，教师家庭教育制导能力建设论，上海：华东师范大学出版社，2</w:t>
      </w:r>
      <w:r>
        <w:rPr>
          <w:rFonts w:ascii="宋体" w:hAnsi="宋体" w:eastAsia="宋体" w:cs="Times New Roman"/>
          <w:szCs w:val="22"/>
        </w:rPr>
        <w:t>021.</w:t>
      </w:r>
    </w:p>
    <w:p w14:paraId="4B72C55F">
      <w:pPr>
        <w:spacing w:line="360" w:lineRule="auto"/>
        <w:rPr>
          <w:rFonts w:hint="eastAsia" w:ascii="宋体" w:hAnsi="宋体" w:eastAsia="宋体" w:cs="Times New Roman"/>
          <w:szCs w:val="22"/>
        </w:rPr>
      </w:pPr>
      <w:r>
        <w:rPr>
          <w:rFonts w:hint="eastAsia" w:ascii="宋体" w:hAnsi="宋体" w:eastAsia="宋体" w:cs="Times New Roman"/>
          <w:szCs w:val="22"/>
        </w:rPr>
        <w:t>3.</w:t>
      </w:r>
      <w:r>
        <w:rPr>
          <w:rFonts w:ascii="宋体" w:hAnsi="宋体" w:eastAsia="宋体" w:cs="Times New Roman"/>
          <w:szCs w:val="22"/>
        </w:rPr>
        <w:t>吴重涵，王梅雾，张俊</w:t>
      </w:r>
      <w:r>
        <w:rPr>
          <w:rFonts w:hint="eastAsia" w:ascii="宋体" w:hAnsi="宋体" w:eastAsia="宋体" w:cs="Times New Roman"/>
          <w:szCs w:val="22"/>
        </w:rPr>
        <w:t>，国际视野与本土行动：家校合作的经验和行动指南，江西教育出版社，2</w:t>
      </w:r>
      <w:r>
        <w:rPr>
          <w:rFonts w:ascii="宋体" w:hAnsi="宋体" w:eastAsia="宋体" w:cs="Times New Roman"/>
          <w:szCs w:val="22"/>
        </w:rPr>
        <w:t>012</w:t>
      </w:r>
      <w:r>
        <w:rPr>
          <w:rFonts w:hint="eastAsia" w:ascii="宋体" w:hAnsi="宋体" w:eastAsia="宋体" w:cs="Times New Roman"/>
          <w:szCs w:val="22"/>
        </w:rPr>
        <w:t>.</w:t>
      </w:r>
    </w:p>
    <w:p w14:paraId="744FB1B1">
      <w:pPr>
        <w:spacing w:line="360" w:lineRule="auto"/>
        <w:rPr>
          <w:rFonts w:hint="eastAsia" w:ascii="宋体" w:hAnsi="宋体" w:eastAsia="宋体" w:cs="Times New Roman"/>
          <w:szCs w:val="22"/>
        </w:rPr>
      </w:pPr>
      <w:r>
        <w:rPr>
          <w:rFonts w:hint="eastAsia" w:ascii="宋体" w:hAnsi="宋体" w:eastAsia="宋体" w:cs="Times New Roman"/>
          <w:szCs w:val="22"/>
        </w:rPr>
        <w:t>4．</w:t>
      </w:r>
      <w:r>
        <w:rPr>
          <w:rFonts w:ascii="宋体" w:hAnsi="宋体" w:eastAsia="宋体" w:cs="Times New Roman"/>
          <w:szCs w:val="22"/>
        </w:rPr>
        <w:t>吴重涵，王梅雾，张俊，</w:t>
      </w:r>
      <w:r>
        <w:rPr>
          <w:rFonts w:hint="eastAsia" w:ascii="宋体" w:hAnsi="宋体" w:eastAsia="宋体" w:cs="Times New Roman"/>
          <w:szCs w:val="22"/>
        </w:rPr>
        <w:t>家校合作：理论、经验与行动，江西教育出版社，2</w:t>
      </w:r>
      <w:r>
        <w:rPr>
          <w:rFonts w:ascii="宋体" w:hAnsi="宋体" w:eastAsia="宋体" w:cs="Times New Roman"/>
          <w:szCs w:val="22"/>
        </w:rPr>
        <w:t>013</w:t>
      </w:r>
      <w:r>
        <w:rPr>
          <w:rFonts w:hint="eastAsia" w:ascii="宋体" w:hAnsi="宋体" w:eastAsia="宋体" w:cs="Times New Roman"/>
          <w:szCs w:val="22"/>
        </w:rPr>
        <w:t>.</w:t>
      </w:r>
    </w:p>
    <w:p w14:paraId="65DF00A7">
      <w:pPr>
        <w:spacing w:line="360" w:lineRule="auto"/>
        <w:rPr>
          <w:rFonts w:hint="eastAsia" w:ascii="宋体" w:hAnsi="宋体" w:eastAsia="宋体" w:cs="Times New Roman"/>
          <w:szCs w:val="22"/>
        </w:rPr>
      </w:pPr>
      <w:r>
        <w:rPr>
          <w:rFonts w:hint="eastAsia" w:ascii="宋体" w:hAnsi="宋体" w:eastAsia="宋体" w:cs="Times New Roman"/>
          <w:szCs w:val="22"/>
        </w:rPr>
        <w:t>5.</w:t>
      </w:r>
      <w:r>
        <w:rPr>
          <w:rFonts w:ascii="宋体" w:hAnsi="宋体" w:eastAsia="宋体" w:cs="Times New Roman"/>
          <w:szCs w:val="22"/>
        </w:rPr>
        <w:t>Joyce L. Epstein; Mavis G. Sanders; Steven B. Sheldon</w:t>
      </w:r>
      <w:r>
        <w:rPr>
          <w:rFonts w:hint="eastAsia" w:ascii="宋体" w:hAnsi="宋体" w:eastAsia="宋体" w:cs="Times New Roman"/>
          <w:szCs w:val="22"/>
        </w:rPr>
        <w:t>，学校、家庭和社区合作伙伴：行动手册，江西教育出版社，2</w:t>
      </w:r>
      <w:r>
        <w:rPr>
          <w:rFonts w:ascii="宋体" w:hAnsi="宋体" w:eastAsia="宋体" w:cs="Times New Roman"/>
          <w:szCs w:val="22"/>
        </w:rPr>
        <w:t>012</w:t>
      </w:r>
      <w:r>
        <w:rPr>
          <w:rFonts w:hint="eastAsia" w:ascii="宋体" w:hAnsi="宋体" w:eastAsia="宋体" w:cs="Times New Roman"/>
          <w:szCs w:val="22"/>
        </w:rPr>
        <w:t>。</w:t>
      </w:r>
    </w:p>
    <w:p w14:paraId="6A7B08CB">
      <w:pPr>
        <w:spacing w:line="360" w:lineRule="auto"/>
        <w:ind w:firstLine="422" w:firstLineChars="200"/>
        <w:rPr>
          <w:rFonts w:hint="eastAsia" w:ascii="宋体" w:hAnsi="宋体" w:eastAsia="宋体" w:cs="Times New Roman"/>
          <w:b/>
          <w:bCs/>
          <w:szCs w:val="22"/>
        </w:rPr>
      </w:pPr>
      <w:r>
        <w:rPr>
          <w:rFonts w:hint="eastAsia" w:ascii="宋体" w:hAnsi="宋体" w:eastAsia="宋体" w:cs="Times New Roman"/>
          <w:b/>
          <w:bCs/>
          <w:szCs w:val="22"/>
        </w:rPr>
        <w:t>国家新近政策</w:t>
      </w:r>
    </w:p>
    <w:p w14:paraId="50CF20BF">
      <w:pPr>
        <w:spacing w:line="360" w:lineRule="auto"/>
        <w:rPr>
          <w:rFonts w:hint="eastAsia" w:ascii="宋体" w:hAnsi="宋体" w:eastAsia="宋体" w:cs="Times New Roman"/>
          <w:szCs w:val="22"/>
        </w:rPr>
      </w:pPr>
      <w:r>
        <w:rPr>
          <w:rFonts w:hint="eastAsia" w:ascii="宋体" w:hAnsi="宋体" w:eastAsia="宋体" w:cs="Times New Roman"/>
          <w:szCs w:val="22"/>
        </w:rPr>
        <w:t>1.教育部，加快推动“教联体”建设 凝聚全社会育人合力，http://www.moe.gov.cn/jyb_xwfb/s5148/202411/t20241101_1160298.html</w:t>
      </w:r>
    </w:p>
    <w:p w14:paraId="07E4C2A0">
      <w:pPr>
        <w:spacing w:line="360" w:lineRule="auto"/>
        <w:rPr>
          <w:rFonts w:ascii="宋体" w:hAnsi="宋体" w:eastAsia="宋体" w:cs="Times New Roman"/>
          <w:szCs w:val="22"/>
        </w:rPr>
      </w:pPr>
      <w:r>
        <w:rPr>
          <w:rFonts w:hint="eastAsia" w:ascii="宋体" w:hAnsi="宋体" w:eastAsia="宋体" w:cs="Times New Roman"/>
          <w:szCs w:val="22"/>
        </w:rPr>
        <w:t>2.教育部等联合印发《家校社协同育人“教联体”工作方案》2024年.</w:t>
      </w:r>
    </w:p>
    <w:p w14:paraId="3F1A7927">
      <w:pPr>
        <w:spacing w:line="360" w:lineRule="auto"/>
        <w:rPr>
          <w:rFonts w:hint="eastAsia" w:ascii="宋体" w:hAnsi="宋体" w:eastAsia="宋体" w:cs="Times New Roman"/>
          <w:szCs w:val="22"/>
        </w:rPr>
      </w:pPr>
      <w:r>
        <w:rPr>
          <w:rFonts w:hint="eastAsia" w:ascii="宋体" w:hAnsi="宋体" w:eastAsia="宋体" w:cs="Times New Roman"/>
          <w:szCs w:val="22"/>
        </w:rPr>
        <w:t>3.</w:t>
      </w:r>
      <w:r>
        <w:rPr>
          <w:rFonts w:ascii="等线" w:hAnsi="等线" w:eastAsia="等线" w:cs="Times New Roman"/>
          <w:szCs w:val="22"/>
        </w:rPr>
        <w:fldChar w:fldCharType="begin"/>
      </w:r>
      <w:r>
        <w:rPr>
          <w:rFonts w:ascii="等线" w:hAnsi="等线" w:eastAsia="等线" w:cs="Times New Roman"/>
          <w:szCs w:val="22"/>
        </w:rPr>
        <w:instrText xml:space="preserve"> HYPERLINK "http://www.moe.gov.cn/jyb_xwfb/s5148/202411/t20241102_1160413.html" </w:instrText>
      </w:r>
      <w:r>
        <w:rPr>
          <w:rFonts w:ascii="等线" w:hAnsi="等线" w:eastAsia="等线" w:cs="Times New Roman"/>
          <w:szCs w:val="22"/>
        </w:rPr>
        <w:fldChar w:fldCharType="separate"/>
      </w:r>
      <w:r>
        <w:rPr>
          <w:rFonts w:ascii="宋体" w:hAnsi="宋体" w:eastAsia="宋体" w:cs="Times New Roman"/>
          <w:color w:val="auto"/>
          <w:szCs w:val="22"/>
          <w:u w:val="none"/>
        </w:rPr>
        <w:t>构建协同育人“教联体” 共画学生成长“同心圆”——专家解读《家校社协同育人“教联体”工作方案》 - 中华人民共和国教育部政府门户网站</w:t>
      </w:r>
      <w:r>
        <w:rPr>
          <w:rFonts w:ascii="宋体" w:hAnsi="宋体" w:eastAsia="宋体" w:cs="Times New Roman"/>
          <w:color w:val="auto"/>
          <w:szCs w:val="22"/>
          <w:u w:val="none"/>
        </w:rPr>
        <w:fldChar w:fldCharType="end"/>
      </w:r>
      <w:r>
        <w:rPr>
          <w:rFonts w:hint="eastAsia" w:ascii="宋体" w:hAnsi="宋体" w:eastAsia="宋体" w:cs="Times New Roman"/>
          <w:szCs w:val="22"/>
        </w:rPr>
        <w:t>http://www.moe.gov.cn/jyb_xwfb/s5148/202411/t20241102_1160413.html</w:t>
      </w:r>
    </w:p>
    <w:p w14:paraId="36A11ACB">
      <w:pPr>
        <w:spacing w:line="360" w:lineRule="auto"/>
        <w:rPr>
          <w:rFonts w:ascii="宋体" w:hAnsi="宋体" w:eastAsia="宋体" w:cs="Times New Roman"/>
          <w:szCs w:val="22"/>
        </w:rPr>
      </w:pPr>
      <w:r>
        <w:rPr>
          <w:rFonts w:hint="eastAsia" w:ascii="宋体" w:hAnsi="宋体" w:eastAsia="宋体" w:cs="Times New Roman"/>
          <w:szCs w:val="22"/>
        </w:rPr>
        <w:t>4.</w:t>
      </w:r>
      <w:r>
        <w:rPr>
          <w:rFonts w:ascii="等线" w:hAnsi="等线" w:eastAsia="等线" w:cs="Times New Roman"/>
          <w:szCs w:val="22"/>
        </w:rPr>
        <w:fldChar w:fldCharType="begin"/>
      </w:r>
      <w:r>
        <w:rPr>
          <w:rFonts w:ascii="等线" w:hAnsi="等线" w:eastAsia="等线" w:cs="Times New Roman"/>
          <w:szCs w:val="22"/>
        </w:rPr>
        <w:instrText xml:space="preserve"> HYPERLINK "http://www.moe.gov.cn/jyb_sjzl/sjzl_zcfg/zcfg_qtxgfl/202110/t20211025_574749.html" </w:instrText>
      </w:r>
      <w:r>
        <w:rPr>
          <w:rFonts w:ascii="等线" w:hAnsi="等线" w:eastAsia="等线" w:cs="Times New Roman"/>
          <w:szCs w:val="22"/>
        </w:rPr>
        <w:fldChar w:fldCharType="separate"/>
      </w:r>
      <w:r>
        <w:rPr>
          <w:rFonts w:ascii="宋体" w:hAnsi="宋体" w:eastAsia="宋体" w:cs="Times New Roman"/>
          <w:color w:val="auto"/>
          <w:szCs w:val="22"/>
          <w:u w:val="none"/>
        </w:rPr>
        <w:t>中华人民共和国家庭教育促进法 - 中华人民共和国教育部政府门户网站</w:t>
      </w:r>
      <w:r>
        <w:rPr>
          <w:rFonts w:ascii="宋体" w:hAnsi="宋体" w:eastAsia="宋体" w:cs="Times New Roman"/>
          <w:color w:val="auto"/>
          <w:szCs w:val="22"/>
          <w:u w:val="none"/>
        </w:rPr>
        <w:fldChar w:fldCharType="end"/>
      </w:r>
      <w:r>
        <w:rPr>
          <w:rFonts w:ascii="等线" w:hAnsi="等线" w:eastAsia="等线" w:cs="Times New Roman"/>
          <w:szCs w:val="22"/>
        </w:rPr>
        <w:fldChar w:fldCharType="begin"/>
      </w:r>
      <w:r>
        <w:rPr>
          <w:rFonts w:ascii="等线" w:hAnsi="等线" w:eastAsia="等线" w:cs="Times New Roman"/>
          <w:szCs w:val="22"/>
        </w:rPr>
        <w:instrText xml:space="preserve"> HYPERLINK "http://www.moe.gov.cn/jyb_sjzl/sjzl_zcfg/zcfg_qtxgfl/202110/t20211025_574749.html" </w:instrText>
      </w:r>
      <w:r>
        <w:rPr>
          <w:rFonts w:ascii="等线" w:hAnsi="等线" w:eastAsia="等线" w:cs="Times New Roman"/>
          <w:szCs w:val="22"/>
        </w:rPr>
        <w:fldChar w:fldCharType="separate"/>
      </w:r>
      <w:r>
        <w:rPr>
          <w:rFonts w:hint="eastAsia" w:ascii="宋体" w:hAnsi="宋体" w:eastAsia="宋体" w:cs="Times New Roman"/>
          <w:color w:val="auto"/>
          <w:szCs w:val="22"/>
          <w:u w:val="none"/>
        </w:rPr>
        <w:t>http://www.moe.gov.cn/jyb_sjzl/sjzl_zcfg/zcfg_qtxgfl/202110/t20211025_574749.html</w:t>
      </w:r>
      <w:r>
        <w:rPr>
          <w:rFonts w:hint="eastAsia" w:ascii="宋体" w:hAnsi="宋体" w:eastAsia="宋体" w:cs="Times New Roman"/>
          <w:color w:val="auto"/>
          <w:szCs w:val="22"/>
          <w:u w:val="none"/>
        </w:rPr>
        <w:fldChar w:fldCharType="end"/>
      </w:r>
    </w:p>
    <w:p w14:paraId="35FE25D0">
      <w:pPr>
        <w:spacing w:line="360" w:lineRule="auto"/>
        <w:rPr>
          <w:rFonts w:ascii="宋体" w:hAnsi="宋体" w:eastAsia="宋体" w:cs="Times New Roman"/>
          <w:szCs w:val="22"/>
        </w:rPr>
      </w:pPr>
      <w:r>
        <w:rPr>
          <w:rFonts w:hint="eastAsia" w:ascii="宋体" w:hAnsi="宋体" w:eastAsia="宋体" w:cs="Times New Roman"/>
          <w:szCs w:val="22"/>
        </w:rPr>
        <w:t>5.</w:t>
      </w:r>
      <w:r>
        <w:rPr>
          <w:rFonts w:ascii="等线" w:hAnsi="等线" w:eastAsia="等线" w:cs="Times New Roman"/>
          <w:szCs w:val="22"/>
        </w:rPr>
        <w:fldChar w:fldCharType="begin"/>
      </w:r>
      <w:r>
        <w:rPr>
          <w:rFonts w:ascii="等线" w:hAnsi="等线" w:eastAsia="等线" w:cs="Times New Roman"/>
          <w:szCs w:val="22"/>
        </w:rPr>
        <w:instrText xml:space="preserve"> HYPERLINK "http://www.moe.gov.cn/jyb_sjzl/sjzl_zcfg/zcfg_qtxgfl/202110/t20211025_574798.html" </w:instrText>
      </w:r>
      <w:r>
        <w:rPr>
          <w:rFonts w:ascii="等线" w:hAnsi="等线" w:eastAsia="等线" w:cs="Times New Roman"/>
          <w:szCs w:val="22"/>
        </w:rPr>
        <w:fldChar w:fldCharType="separate"/>
      </w:r>
      <w:r>
        <w:rPr>
          <w:rFonts w:ascii="宋体" w:hAnsi="宋体" w:eastAsia="宋体" w:cs="Times New Roman"/>
          <w:color w:val="auto"/>
          <w:szCs w:val="22"/>
          <w:u w:val="none"/>
        </w:rPr>
        <w:t>中华人民共和国未成年人保护法 - 中华人民共和国教育部政府门户网站</w:t>
      </w:r>
      <w:r>
        <w:rPr>
          <w:rFonts w:ascii="宋体" w:hAnsi="宋体" w:eastAsia="宋体" w:cs="Times New Roman"/>
          <w:color w:val="auto"/>
          <w:szCs w:val="22"/>
          <w:u w:val="none"/>
        </w:rPr>
        <w:fldChar w:fldCharType="end"/>
      </w:r>
      <w:r>
        <w:rPr>
          <w:rFonts w:hint="eastAsia" w:ascii="宋体" w:hAnsi="宋体" w:eastAsia="宋体" w:cs="Times New Roman"/>
          <w:szCs w:val="22"/>
        </w:rPr>
        <w:t>http://www.moe.gov.cn/jyb_sjzl/sjzl_zcfg/zcfg_qtxgfl/202110/t20211025_574798.html</w:t>
      </w:r>
    </w:p>
    <w:p w14:paraId="34465234">
      <w:pPr>
        <w:rPr>
          <w:rFonts w:ascii="等线" w:hAnsi="等线" w:eastAsia="等线" w:cs="Times New Roman"/>
          <w:szCs w:val="22"/>
        </w:rPr>
      </w:pPr>
    </w:p>
    <w:p w14:paraId="79459AC0">
      <w:pPr>
        <w:rPr>
          <w:rFonts w:ascii="等线" w:hAnsi="等线" w:eastAsia="等线" w:cs="Times New Roman"/>
          <w:szCs w:val="22"/>
        </w:rPr>
      </w:pPr>
    </w:p>
    <w:p w14:paraId="3CE04D72">
      <w:pPr>
        <w:rPr>
          <w:rFonts w:ascii="等线" w:hAnsi="等线" w:eastAsia="等线" w:cs="Times New Roman"/>
          <w:szCs w:val="22"/>
        </w:rPr>
      </w:pPr>
    </w:p>
    <w:p w14:paraId="71955489">
      <w:pPr>
        <w:rPr>
          <w:rFonts w:ascii="等线" w:hAnsi="等线" w:eastAsia="等线" w:cs="Times New Roman"/>
          <w:szCs w:val="22"/>
        </w:rPr>
      </w:pPr>
    </w:p>
    <w:p w14:paraId="2F8CA33A">
      <w:pPr>
        <w:rPr>
          <w:rFonts w:ascii="等线" w:hAnsi="等线" w:eastAsia="等线" w:cs="Times New Roman"/>
          <w:szCs w:val="22"/>
        </w:rPr>
      </w:pPr>
    </w:p>
    <w:p w14:paraId="506E6C8B">
      <w:pPr>
        <w:rPr>
          <w:rFonts w:ascii="等线" w:hAnsi="等线" w:eastAsia="等线" w:cs="Times New Roman"/>
          <w:szCs w:val="22"/>
        </w:rPr>
      </w:pPr>
    </w:p>
    <w:p w14:paraId="3666D092">
      <w:pPr>
        <w:rPr>
          <w:rFonts w:ascii="等线" w:hAnsi="等线" w:eastAsia="等线" w:cs="Times New Roman"/>
          <w:szCs w:val="22"/>
        </w:rPr>
      </w:pPr>
    </w:p>
    <w:p w14:paraId="7F7F3E51">
      <w:pPr>
        <w:rPr>
          <w:rFonts w:ascii="等线" w:hAnsi="等线" w:eastAsia="等线" w:cs="Times New Roman"/>
          <w:szCs w:val="22"/>
        </w:rPr>
      </w:pPr>
    </w:p>
    <w:p w14:paraId="77594B81">
      <w:pPr>
        <w:rPr>
          <w:rFonts w:ascii="等线" w:hAnsi="等线" w:eastAsia="等线" w:cs="Times New Roman"/>
          <w:szCs w:val="22"/>
        </w:rPr>
      </w:pPr>
    </w:p>
    <w:p w14:paraId="58FDB46C">
      <w:pPr>
        <w:rPr>
          <w:rFonts w:ascii="等线" w:hAnsi="等线" w:eastAsia="等线" w:cs="Times New Roman"/>
          <w:szCs w:val="22"/>
        </w:rPr>
      </w:pPr>
    </w:p>
    <w:p w14:paraId="7017F8FA">
      <w:pPr>
        <w:rPr>
          <w:rFonts w:hint="eastAsia" w:ascii="等线" w:hAnsi="等线" w:eastAsia="等线" w:cs="Times New Roman"/>
          <w:szCs w:val="22"/>
        </w:rPr>
      </w:pPr>
    </w:p>
    <w:p w14:paraId="03F30507">
      <w:pPr>
        <w:snapToGrid w:val="0"/>
        <w:spacing w:line="360" w:lineRule="auto"/>
        <w:ind w:firstLine="5520" w:firstLineChars="2300"/>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宋体" w:hAnsi="宋体" w:eastAsia="宋体" w:cs="Times New Roman"/>
          <w:color w:val="000000"/>
          <w:sz w:val="24"/>
          <w:szCs w:val="24"/>
        </w:rPr>
        <w:t>张文娟</w:t>
      </w:r>
    </w:p>
    <w:p w14:paraId="32FA53C9">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审 定 人：</w:t>
      </w:r>
      <w:r>
        <w:rPr>
          <w:rFonts w:ascii="Times New Roman" w:hAnsi="Times New Roman" w:eastAsia="宋体" w:cs="Times New Roman"/>
          <w:sz w:val="24"/>
          <w:szCs w:val="24"/>
        </w:rPr>
        <w:t xml:space="preserve"> </w:t>
      </w:r>
      <w:r>
        <w:rPr>
          <w:rFonts w:hint="eastAsia" w:ascii="宋体" w:hAnsi="宋体" w:eastAsia="宋体" w:cs="Times New Roman"/>
          <w:color w:val="000000"/>
          <w:sz w:val="24"/>
          <w:szCs w:val="24"/>
        </w:rPr>
        <w:t>张志欣</w:t>
      </w:r>
    </w:p>
    <w:p w14:paraId="5E16B4A6">
      <w:pPr>
        <w:snapToGrid w:val="0"/>
        <w:spacing w:line="360" w:lineRule="auto"/>
        <w:ind w:firstLine="5520" w:firstLineChars="2300"/>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hint="eastAsia" w:ascii="宋体" w:hAnsi="宋体" w:eastAsia="宋体" w:cs="Times New Roman"/>
          <w:color w:val="000000"/>
          <w:sz w:val="24"/>
          <w:szCs w:val="24"/>
        </w:rPr>
        <w:t>崔涛</w:t>
      </w:r>
      <w:r>
        <w:rPr>
          <w:rFonts w:ascii="Times New Roman" w:hAnsi="Times New Roman" w:eastAsia="宋体" w:cs="Times New Roman"/>
          <w:sz w:val="24"/>
          <w:szCs w:val="24"/>
        </w:rPr>
        <w:t xml:space="preserve"> </w:t>
      </w:r>
    </w:p>
    <w:p w14:paraId="57101676">
      <w:pPr>
        <w:snapToGrid w:val="0"/>
        <w:spacing w:line="360" w:lineRule="auto"/>
        <w:ind w:firstLine="4800" w:firstLineChars="2000"/>
        <w:rPr>
          <w:rFonts w:hint="eastAsia" w:ascii="宋体" w:hAnsi="宋体" w:eastAsia="宋体" w:cs="Times New Roman"/>
          <w:color w:val="000000"/>
          <w:sz w:val="24"/>
          <w:szCs w:val="24"/>
        </w:rPr>
      </w:pPr>
      <w:r>
        <w:rPr>
          <w:rFonts w:hint="eastAsia" w:ascii="Times New Roman" w:hAnsi="Times New Roman" w:eastAsia="宋体" w:cs="Times New Roman"/>
          <w:sz w:val="24"/>
          <w:szCs w:val="24"/>
        </w:rPr>
        <w:t xml:space="preserve">批准时间： </w:t>
      </w:r>
      <w:r>
        <w:rPr>
          <w:rFonts w:hint="eastAsia" w:ascii="宋体" w:hAnsi="宋体" w:eastAsia="宋体" w:cs="Times New Roman"/>
          <w:color w:val="000000"/>
          <w:sz w:val="24"/>
          <w:szCs w:val="24"/>
        </w:rPr>
        <w:t>202</w:t>
      </w: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8</w:t>
      </w:r>
      <w:r>
        <w:rPr>
          <w:rFonts w:hint="eastAsia" w:ascii="宋体" w:hAnsi="宋体" w:eastAsia="宋体" w:cs="Times New Roman"/>
          <w:color w:val="000000"/>
          <w:sz w:val="24"/>
          <w:szCs w:val="24"/>
        </w:rPr>
        <w:t>月20日</w:t>
      </w:r>
    </w:p>
    <w:p w14:paraId="573BFA11">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3D6D7D82">
      <w:pPr>
        <w:pStyle w:val="2"/>
        <w:bidi w:val="0"/>
        <w:rPr>
          <w:lang w:val="en-US" w:eastAsia="zh-CN"/>
        </w:rPr>
      </w:pPr>
      <w:bookmarkStart w:id="1196" w:name="_Toc14566"/>
      <w:bookmarkStart w:id="1197" w:name="_Toc166165201"/>
      <w:bookmarkStart w:id="1198" w:name="_Toc31335"/>
      <w:bookmarkStart w:id="1199" w:name="_Toc24373"/>
      <w:bookmarkStart w:id="1200" w:name="_Toc25841"/>
      <w:r>
        <w:rPr>
          <w:rFonts w:hint="eastAsia"/>
          <w:lang w:val="en-US" w:eastAsia="zh-CN"/>
        </w:rPr>
        <w:t>《中外教育名著导读》课程教学大纲</w:t>
      </w:r>
      <w:bookmarkEnd w:id="1196"/>
      <w:bookmarkEnd w:id="1197"/>
      <w:bookmarkEnd w:id="1198"/>
      <w:bookmarkEnd w:id="1199"/>
      <w:bookmarkEnd w:id="1200"/>
    </w:p>
    <w:p w14:paraId="6DB80966">
      <w:pPr>
        <w:pStyle w:val="2"/>
        <w:bidi w:val="0"/>
        <w:rPr>
          <w:lang w:val="en-US" w:eastAsia="zh-CN"/>
        </w:rPr>
      </w:pPr>
      <w:bookmarkStart w:id="1201" w:name="_Toc16945"/>
      <w:bookmarkStart w:id="1202" w:name="_Toc14633"/>
      <w:bookmarkStart w:id="1203" w:name="_Toc21325"/>
      <w:bookmarkStart w:id="1204" w:name="_Toc32193"/>
      <w:bookmarkStart w:id="1205" w:name="_Toc16156"/>
      <w:bookmarkStart w:id="1206" w:name="_Toc30183"/>
      <w:bookmarkStart w:id="1207" w:name="_Toc12637"/>
      <w:r>
        <w:rPr>
          <w:lang w:val="en-US" w:eastAsia="zh-CN"/>
        </w:rPr>
        <w:t>（Introduction to Chinese and Foreign Educational Classics）</w:t>
      </w:r>
      <w:bookmarkEnd w:id="1201"/>
      <w:bookmarkEnd w:id="1202"/>
      <w:bookmarkEnd w:id="1203"/>
      <w:bookmarkEnd w:id="1204"/>
      <w:bookmarkEnd w:id="1205"/>
      <w:bookmarkEnd w:id="1206"/>
      <w:bookmarkEnd w:id="1207"/>
    </w:p>
    <w:p w14:paraId="5AED90A4">
      <w:pPr>
        <w:spacing w:line="360" w:lineRule="auto"/>
        <w:ind w:firstLine="482" w:firstLineChars="200"/>
        <w:jc w:val="left"/>
        <w:rPr>
          <w:rFonts w:ascii="Times New Roman" w:hAnsi="Times New Roman" w:eastAsia="宋体" w:cs="Times New Roman"/>
          <w:b/>
          <w:sz w:val="24"/>
          <w:szCs w:val="24"/>
        </w:rPr>
      </w:pPr>
    </w:p>
    <w:p w14:paraId="32D64CCF">
      <w:pPr>
        <w:spacing w:line="360" w:lineRule="auto"/>
        <w:ind w:firstLine="562" w:firstLineChars="200"/>
        <w:jc w:val="left"/>
        <w:outlineLvl w:val="0"/>
        <w:rPr>
          <w:rFonts w:ascii="Times New Roman" w:hAnsi="Times New Roman" w:eastAsia="宋体" w:cs="Times New Roman"/>
          <w:b/>
          <w:sz w:val="28"/>
          <w:szCs w:val="28"/>
        </w:rPr>
      </w:pPr>
      <w:bookmarkStart w:id="1208" w:name="_Toc10084"/>
      <w:bookmarkStart w:id="1209" w:name="_Toc1446"/>
      <w:bookmarkStart w:id="1210" w:name="_Toc5410"/>
      <w:bookmarkStart w:id="1211" w:name="_Toc32298"/>
      <w:bookmarkStart w:id="1212" w:name="_Toc29458"/>
      <w:bookmarkStart w:id="1213" w:name="_Toc20004"/>
      <w:bookmarkStart w:id="1214" w:name="_Toc27974"/>
      <w:r>
        <w:rPr>
          <w:rFonts w:hint="eastAsia" w:ascii="Times New Roman" w:hAnsi="Times New Roman" w:eastAsia="宋体" w:cs="Times New Roman"/>
          <w:b/>
          <w:sz w:val="28"/>
          <w:szCs w:val="28"/>
        </w:rPr>
        <w:t>一、课程概况</w:t>
      </w:r>
      <w:bookmarkEnd w:id="1208"/>
      <w:bookmarkEnd w:id="1209"/>
      <w:bookmarkEnd w:id="1210"/>
      <w:bookmarkEnd w:id="1211"/>
      <w:bookmarkEnd w:id="1212"/>
      <w:bookmarkEnd w:id="1213"/>
      <w:bookmarkEnd w:id="1214"/>
    </w:p>
    <w:p w14:paraId="6800C045">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sz w:val="24"/>
          <w:szCs w:val="24"/>
        </w:rPr>
        <w:t>2401020</w:t>
      </w:r>
    </w:p>
    <w:p w14:paraId="20A059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sz w:val="24"/>
          <w:szCs w:val="24"/>
        </w:rPr>
        <w:t>2</w:t>
      </w:r>
    </w:p>
    <w:p w14:paraId="072A9E1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sz w:val="24"/>
          <w:szCs w:val="24"/>
        </w:rPr>
        <w:t>32</w:t>
      </w:r>
    </w:p>
    <w:p w14:paraId="3F8B6B9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Cs/>
          <w:sz w:val="24"/>
          <w:szCs w:val="24"/>
        </w:rPr>
        <w:t>教育原理、中国教育史、外国教育史</w:t>
      </w:r>
    </w:p>
    <w:p w14:paraId="349525F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sz w:val="24"/>
          <w:szCs w:val="24"/>
        </w:rPr>
        <w:t>小学教育</w:t>
      </w:r>
    </w:p>
    <w:p w14:paraId="6DC981E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建议教材：</w:t>
      </w:r>
      <w:r>
        <w:rPr>
          <w:rFonts w:hint="eastAsia" w:ascii="Times New Roman" w:hAnsi="Times New Roman" w:eastAsia="宋体" w:cs="Times New Roman"/>
          <w:sz w:val="24"/>
          <w:szCs w:val="24"/>
        </w:rPr>
        <w:t>《中外教育名著选读》，肖朗，高等教育出版社，20</w:t>
      </w:r>
      <w:r>
        <w:rPr>
          <w:rFonts w:ascii="Times New Roman" w:hAnsi="Times New Roman" w:eastAsia="宋体" w:cs="Times New Roman"/>
          <w:sz w:val="24"/>
          <w:szCs w:val="24"/>
        </w:rPr>
        <w:t>09.</w:t>
      </w:r>
    </w:p>
    <w:p w14:paraId="217A95B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课程归口：</w:t>
      </w:r>
      <w:r>
        <w:rPr>
          <w:rFonts w:hint="eastAsia" w:ascii="Times New Roman" w:hAnsi="Times New Roman" w:eastAsia="宋体" w:cs="Times New Roman"/>
          <w:sz w:val="24"/>
          <w:szCs w:val="24"/>
        </w:rPr>
        <w:t>师范学院</w:t>
      </w:r>
    </w:p>
    <w:p w14:paraId="00CC0560">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课程的性质与任务：</w:t>
      </w:r>
      <w:r>
        <w:rPr>
          <w:rFonts w:hint="eastAsia" w:ascii="Times New Roman" w:hAnsi="Times New Roman" w:eastAsia="宋体" w:cs="Times New Roman"/>
          <w:sz w:val="24"/>
          <w:szCs w:val="24"/>
        </w:rPr>
        <w:t>本课程是小学教育专业的一门专业基础选修课。开设本课程，旨在促使学生通过阅读一些中外教育名著，更真实清晰地了解教育史上的重要教育思想，理解其思想实质和教育家们思考问题的立场、方法及时代背景；能运用马克思主义的思想观点、立场、方法来分析历史上中外教育家们的教育思想，取其精华，去其糟粕。学生在掌握中外教育名著理论精华和特色的基础上，能把传统思想精华与现代教育改革有机结合，丰富中国特色现代教育理论和实践。牢固学生专业思想，养成热爱祖国，热爱教育事业的情操。</w:t>
      </w:r>
    </w:p>
    <w:p w14:paraId="5BAE609E">
      <w:pPr>
        <w:spacing w:line="360" w:lineRule="auto"/>
        <w:ind w:firstLine="562" w:firstLineChars="200"/>
        <w:outlineLvl w:val="0"/>
        <w:rPr>
          <w:rFonts w:ascii="Times New Roman" w:hAnsi="Times New Roman" w:eastAsia="宋体" w:cs="Times New Roman"/>
          <w:b/>
          <w:bCs/>
          <w:sz w:val="28"/>
          <w:szCs w:val="28"/>
        </w:rPr>
      </w:pPr>
      <w:bookmarkStart w:id="1215" w:name="_Toc4169"/>
      <w:bookmarkStart w:id="1216" w:name="_Toc11661"/>
      <w:bookmarkStart w:id="1217" w:name="_Toc25380"/>
      <w:bookmarkStart w:id="1218" w:name="_Toc25259"/>
      <w:bookmarkStart w:id="1219" w:name="_Toc11824"/>
      <w:bookmarkStart w:id="1220" w:name="_Toc14598"/>
      <w:bookmarkStart w:id="1221" w:name="_Toc30792"/>
      <w:r>
        <w:rPr>
          <w:rFonts w:hint="eastAsia" w:ascii="Times New Roman" w:hAnsi="Times New Roman" w:eastAsia="宋体" w:cs="Times New Roman"/>
          <w:b/>
          <w:bCs/>
          <w:sz w:val="28"/>
          <w:szCs w:val="28"/>
        </w:rPr>
        <w:t>二、课程目标</w:t>
      </w:r>
      <w:bookmarkEnd w:id="1215"/>
      <w:bookmarkEnd w:id="1216"/>
      <w:bookmarkEnd w:id="1217"/>
      <w:bookmarkEnd w:id="1218"/>
      <w:bookmarkEnd w:id="1219"/>
      <w:bookmarkEnd w:id="1220"/>
      <w:bookmarkEnd w:id="1221"/>
    </w:p>
    <w:p w14:paraId="3925766A">
      <w:pPr>
        <w:spacing w:line="360" w:lineRule="auto"/>
        <w:ind w:firstLine="562" w:firstLineChars="200"/>
        <w:outlineLvl w:val="1"/>
        <w:rPr>
          <w:rFonts w:ascii="Times New Roman" w:hAnsi="Times New Roman" w:eastAsia="宋体" w:cs="Times New Roman"/>
          <w:b/>
          <w:bCs/>
          <w:sz w:val="28"/>
          <w:szCs w:val="28"/>
        </w:rPr>
      </w:pPr>
      <w:bookmarkStart w:id="1222" w:name="_Toc23737"/>
      <w:r>
        <w:rPr>
          <w:rFonts w:hint="eastAsia" w:ascii="Times New Roman" w:hAnsi="Times New Roman" w:eastAsia="宋体" w:cs="Times New Roman"/>
          <w:b/>
          <w:bCs/>
          <w:sz w:val="28"/>
          <w:szCs w:val="28"/>
        </w:rPr>
        <w:t>（一）课程具体目标</w:t>
      </w:r>
      <w:bookmarkEnd w:id="1222"/>
    </w:p>
    <w:p w14:paraId="67FCCDE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掌握中外著名教育家的主要教育思想及代表性作品。</w:t>
      </w:r>
    </w:p>
    <w:p w14:paraId="1F531F4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了解中外教育名著的写作背景，把握其思想实质和教育家们分析问题的立场、方法，自觉树立科学的教育理念</w:t>
      </w:r>
    </w:p>
    <w:p w14:paraId="5C6772C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了解古今中外教育家教育思想的现实意义，通过知古识今，洋为中用，更好地分析和思考当前我国教育改革的实际问题，增强教育的革新意识</w:t>
      </w:r>
    </w:p>
    <w:p w14:paraId="0C3751E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4. </w:t>
      </w:r>
      <w:r>
        <w:rPr>
          <w:rFonts w:hint="eastAsia" w:ascii="Times New Roman" w:hAnsi="Times New Roman" w:eastAsia="宋体" w:cs="Times New Roman"/>
          <w:sz w:val="24"/>
          <w:szCs w:val="24"/>
        </w:rPr>
        <w:t>掌握一定的阅读方法，养成良好的阅读习惯，增强分析、批判和创新能力。</w:t>
      </w:r>
    </w:p>
    <w:p w14:paraId="156D64A1">
      <w:pPr>
        <w:spacing w:before="156" w:beforeLines="50" w:after="156" w:afterLines="50" w:line="360" w:lineRule="auto"/>
        <w:jc w:val="left"/>
        <w:outlineLvl w:val="1"/>
        <w:rPr>
          <w:rFonts w:ascii="Times New Roman" w:hAnsi="Times New Roman" w:eastAsia="宋体" w:cs="Times New Roman"/>
          <w:b/>
          <w:bCs/>
          <w:szCs w:val="21"/>
        </w:rPr>
      </w:pPr>
      <w:bookmarkStart w:id="1223" w:name="_Toc2611"/>
      <w:r>
        <w:rPr>
          <w:rFonts w:hint="eastAsia" w:ascii="Times New Roman" w:hAnsi="Times New Roman" w:eastAsia="宋体" w:cs="Times New Roman"/>
          <w:b/>
          <w:bCs/>
          <w:szCs w:val="21"/>
        </w:rPr>
        <w:t>（二）课程目标及其对毕业要求指标点的支撑</w:t>
      </w:r>
      <w:bookmarkEnd w:id="1223"/>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D9B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4853723">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4FDF63EB">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45563638">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5948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F629903">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毕业要求2教育情怀</w:t>
            </w:r>
          </w:p>
        </w:tc>
        <w:tc>
          <w:tcPr>
            <w:tcW w:w="5688" w:type="dxa"/>
            <w:vAlign w:val="center"/>
          </w:tcPr>
          <w:p w14:paraId="7DBAA9FE">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指标点2-3：【自身修养良好】具有较好的人文艺术底蕴与科学精神，言行举止符合教师职业标准，情感积极，人格健全，身心健康。</w:t>
            </w:r>
          </w:p>
        </w:tc>
        <w:tc>
          <w:tcPr>
            <w:tcW w:w="1191" w:type="dxa"/>
            <w:vAlign w:val="center"/>
          </w:tcPr>
          <w:p w14:paraId="71F2D112">
            <w:pPr>
              <w:spacing w:line="276" w:lineRule="auto"/>
              <w:jc w:val="left"/>
              <w:rPr>
                <w:rFonts w:hint="eastAsia"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课程目标1、4</w:t>
            </w:r>
          </w:p>
        </w:tc>
      </w:tr>
      <w:tr w14:paraId="1BE1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0677C31">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毕业要求3学科素养</w:t>
            </w:r>
          </w:p>
        </w:tc>
        <w:tc>
          <w:tcPr>
            <w:tcW w:w="5688" w:type="dxa"/>
            <w:vAlign w:val="center"/>
          </w:tcPr>
          <w:p w14:paraId="758C756D">
            <w:pPr>
              <w:spacing w:line="276" w:lineRule="auto"/>
              <w:jc w:val="left"/>
              <w:rPr>
                <w:rFonts w:ascii="Times New Roman" w:hAnsi="Times New Roman" w:eastAsia="宋体" w:cs="Times New Roman"/>
                <w:kern w:val="0"/>
                <w:sz w:val="20"/>
                <w:szCs w:val="21"/>
              </w:rPr>
            </w:pPr>
            <w:r>
              <w:rPr>
                <w:rFonts w:hint="eastAsia" w:ascii="宋体" w:hAnsi="宋体" w:eastAsia="宋体" w:cs="Times New Roman"/>
                <w:color w:val="000000"/>
                <w:spacing w:val="2"/>
                <w:kern w:val="0"/>
                <w:sz w:val="20"/>
                <w:szCs w:val="21"/>
              </w:rPr>
              <w:t>指标点3-1：【通识知识广博】具有小学教育本科专业相应的自然科学和人文社会科学知识素养。</w:t>
            </w:r>
          </w:p>
        </w:tc>
        <w:tc>
          <w:tcPr>
            <w:tcW w:w="1191" w:type="dxa"/>
            <w:vAlign w:val="center"/>
          </w:tcPr>
          <w:p w14:paraId="1C6C58F1">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课程目标1、2</w:t>
            </w:r>
          </w:p>
        </w:tc>
      </w:tr>
      <w:tr w14:paraId="2D62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B3F7CCB">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毕业要求7学会反思</w:t>
            </w:r>
          </w:p>
        </w:tc>
        <w:tc>
          <w:tcPr>
            <w:tcW w:w="5688" w:type="dxa"/>
            <w:vAlign w:val="center"/>
          </w:tcPr>
          <w:p w14:paraId="13A5C1FB">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指标点</w:t>
            </w:r>
            <w:r>
              <w:rPr>
                <w:rFonts w:hint="eastAsia" w:ascii="宋体" w:hAnsi="宋体" w:eastAsia="宋体" w:cs="Times New Roman"/>
                <w:color w:val="000000"/>
                <w:kern w:val="0"/>
                <w:sz w:val="20"/>
                <w:szCs w:val="21"/>
              </w:rPr>
              <w:t>7</w:t>
            </w:r>
            <w:r>
              <w:rPr>
                <w:rFonts w:ascii="宋体" w:hAnsi="宋体" w:eastAsia="宋体" w:cs="Times New Roman"/>
                <w:color w:val="000000"/>
                <w:kern w:val="0"/>
                <w:sz w:val="20"/>
                <w:szCs w:val="21"/>
              </w:rPr>
              <w:t>-1：</w:t>
            </w:r>
            <w:r>
              <w:rPr>
                <w:rFonts w:hint="eastAsia" w:ascii="宋体" w:hAnsi="宋体" w:eastAsia="宋体" w:cs="Times New Roman"/>
                <w:color w:val="000000"/>
                <w:kern w:val="0"/>
                <w:sz w:val="20"/>
                <w:szCs w:val="21"/>
              </w:rPr>
              <w:t>【教育视野开阔】积极参加基础教育领域的国内外交流，了解国内外基础教育改革发展的动态，具有宽广的教育视野，能够主动适应新时代和教育发展需求。</w:t>
            </w:r>
          </w:p>
          <w:p w14:paraId="32A6B2AC">
            <w:pPr>
              <w:spacing w:line="276" w:lineRule="auto"/>
              <w:jc w:val="left"/>
              <w:rPr>
                <w:rFonts w:ascii="Times New Roman" w:hAnsi="Times New Roman" w:eastAsia="宋体" w:cs="Times New Roman"/>
                <w:kern w:val="0"/>
                <w:sz w:val="20"/>
                <w:szCs w:val="21"/>
              </w:rPr>
            </w:pPr>
          </w:p>
        </w:tc>
        <w:tc>
          <w:tcPr>
            <w:tcW w:w="1191" w:type="dxa"/>
            <w:vAlign w:val="center"/>
          </w:tcPr>
          <w:p w14:paraId="3885FEC6">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bl>
    <w:p w14:paraId="2EEA89F9">
      <w:pPr>
        <w:spacing w:line="360" w:lineRule="auto"/>
        <w:jc w:val="left"/>
        <w:outlineLvl w:val="0"/>
        <w:rPr>
          <w:rFonts w:hint="eastAsia" w:ascii="宋体" w:hAnsi="宋体" w:eastAsia="宋体" w:cs="Times New Roman"/>
          <w:b/>
          <w:color w:val="000000"/>
          <w:sz w:val="24"/>
          <w:szCs w:val="24"/>
        </w:rPr>
      </w:pPr>
      <w:bookmarkStart w:id="1224" w:name="_Toc25747"/>
      <w:bookmarkStart w:id="1225" w:name="_Toc14628"/>
      <w:bookmarkStart w:id="1226" w:name="_Toc29923"/>
      <w:bookmarkStart w:id="1227" w:name="_Toc9205"/>
      <w:bookmarkStart w:id="1228" w:name="_Toc1868"/>
      <w:bookmarkStart w:id="1229" w:name="_Toc18637"/>
      <w:bookmarkStart w:id="1230" w:name="_Toc1358"/>
      <w:r>
        <w:rPr>
          <w:rFonts w:hint="eastAsia" w:ascii="宋体" w:hAnsi="宋体" w:eastAsia="宋体" w:cs="Times New Roman"/>
          <w:b/>
          <w:color w:val="000000"/>
          <w:sz w:val="24"/>
          <w:szCs w:val="24"/>
        </w:rPr>
        <w:t>三、教学内容与预期学习成效</w:t>
      </w:r>
      <w:bookmarkEnd w:id="1224"/>
      <w:bookmarkEnd w:id="1225"/>
      <w:bookmarkEnd w:id="1226"/>
      <w:bookmarkEnd w:id="1227"/>
      <w:bookmarkEnd w:id="1228"/>
      <w:bookmarkEnd w:id="1229"/>
      <w:bookmarkEnd w:id="1230"/>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579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A3088C2">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03EFBCD7">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01" w:type="dxa"/>
            <w:vAlign w:val="center"/>
          </w:tcPr>
          <w:p w14:paraId="373D4F96">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134" w:type="dxa"/>
            <w:vAlign w:val="center"/>
          </w:tcPr>
          <w:p w14:paraId="5C776A8A">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32A0E14D">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0" w:type="dxa"/>
            <w:vAlign w:val="center"/>
          </w:tcPr>
          <w:p w14:paraId="4A99ED00">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0" w:type="dxa"/>
            <w:vAlign w:val="center"/>
          </w:tcPr>
          <w:p w14:paraId="7BBB34D0">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实现环节</w:t>
            </w:r>
          </w:p>
        </w:tc>
        <w:tc>
          <w:tcPr>
            <w:tcW w:w="438" w:type="dxa"/>
            <w:vAlign w:val="center"/>
          </w:tcPr>
          <w:p w14:paraId="3CF2DFEB">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16DB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07A02C1">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导读概述</w:t>
            </w:r>
          </w:p>
        </w:tc>
        <w:tc>
          <w:tcPr>
            <w:tcW w:w="1701" w:type="dxa"/>
            <w:vAlign w:val="center"/>
          </w:tcPr>
          <w:p w14:paraId="169C27C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（1）什么是教育经典名著</w:t>
            </w:r>
          </w:p>
          <w:p w14:paraId="3660EDA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（2）阅读教育经典名著的方法</w:t>
            </w:r>
          </w:p>
        </w:tc>
        <w:tc>
          <w:tcPr>
            <w:tcW w:w="1134" w:type="dxa"/>
            <w:vAlign w:val="center"/>
          </w:tcPr>
          <w:p w14:paraId="0AFD367C">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课程目标1、4</w:t>
            </w:r>
          </w:p>
        </w:tc>
        <w:tc>
          <w:tcPr>
            <w:tcW w:w="3260" w:type="dxa"/>
            <w:vAlign w:val="center"/>
          </w:tcPr>
          <w:p w14:paraId="5B0CCFE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（1）了解什么是教育经典名著</w:t>
            </w:r>
          </w:p>
          <w:p w14:paraId="4945EF6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（2）明确阅读教育经典名著的意义</w:t>
            </w:r>
          </w:p>
          <w:p w14:paraId="19EC575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（3）掌握教育经典名著的方法</w:t>
            </w:r>
          </w:p>
        </w:tc>
        <w:tc>
          <w:tcPr>
            <w:tcW w:w="1560" w:type="dxa"/>
            <w:vAlign w:val="center"/>
          </w:tcPr>
          <w:p w14:paraId="300635D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2F4B273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2A77339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tc>
        <w:tc>
          <w:tcPr>
            <w:tcW w:w="438" w:type="dxa"/>
            <w:vAlign w:val="center"/>
          </w:tcPr>
          <w:p w14:paraId="0C3F1111">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p>
        </w:tc>
      </w:tr>
      <w:tr w14:paraId="6835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F6DF20B">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12CF79A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把马克思主义经典理论和习近平新时代中国特色社会主义思想等马克思主义中国化的最新理论成果融入课程内容，树牢“四个意识”，坚定“四个自信”，坚决做到“两个维护”，立志肩负起民族复兴的时代重任。</w:t>
            </w:r>
          </w:p>
        </w:tc>
      </w:tr>
      <w:tr w14:paraId="7AFA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FFB7E5B">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中国古代教育名著导读</w:t>
            </w:r>
          </w:p>
        </w:tc>
        <w:tc>
          <w:tcPr>
            <w:tcW w:w="1701" w:type="dxa"/>
            <w:vAlign w:val="center"/>
          </w:tcPr>
          <w:p w14:paraId="76FA738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（1）《论语》导读</w:t>
            </w:r>
          </w:p>
          <w:p w14:paraId="17F9D8D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（2）《学记》导读</w:t>
            </w:r>
          </w:p>
          <w:p w14:paraId="488AB14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（3）《勉学》导读</w:t>
            </w:r>
          </w:p>
          <w:p w14:paraId="4FAD2EB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（4）《师说》导读</w:t>
            </w:r>
          </w:p>
        </w:tc>
        <w:tc>
          <w:tcPr>
            <w:tcW w:w="1134" w:type="dxa"/>
            <w:vAlign w:val="center"/>
          </w:tcPr>
          <w:p w14:paraId="627BCD23">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510CB673">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（1）了解《论语》《学记》《勉学》《师说》的内容和孔子、颜之推、韩愈的教育思想</w:t>
            </w:r>
          </w:p>
          <w:p w14:paraId="38ACEE6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（2）理解《论语》《学记》《勉学》《师说》中的教育观和它们的历史地位</w:t>
            </w:r>
          </w:p>
          <w:p w14:paraId="239F274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0719763E">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（4）能联系实际，探寻教育思想的现代意义</w:t>
            </w:r>
          </w:p>
        </w:tc>
        <w:tc>
          <w:tcPr>
            <w:tcW w:w="1560" w:type="dxa"/>
            <w:vAlign w:val="center"/>
          </w:tcPr>
          <w:p w14:paraId="6EE2E85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1.线上学习</w:t>
            </w:r>
          </w:p>
          <w:p w14:paraId="737CF03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2.多媒体教学3.课堂讨论</w:t>
            </w:r>
          </w:p>
          <w:p w14:paraId="4DAB116F">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4.单元测验</w:t>
            </w:r>
          </w:p>
        </w:tc>
        <w:tc>
          <w:tcPr>
            <w:tcW w:w="438" w:type="dxa"/>
            <w:vAlign w:val="center"/>
          </w:tcPr>
          <w:p w14:paraId="11ACCCC2">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w:t>
            </w:r>
          </w:p>
        </w:tc>
      </w:tr>
      <w:tr w14:paraId="10DB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B3F9CD">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6E3D742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以教育家为榜样，忠诚人民教育事业，进一步巩固专业思想，乐于从事“太阳底下最光辉的事业”，把青春和智慧献给教育事业。</w:t>
            </w:r>
          </w:p>
        </w:tc>
      </w:tr>
      <w:tr w14:paraId="59B8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9AFB7F">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中国近现代教育名著导读</w:t>
            </w:r>
          </w:p>
        </w:tc>
        <w:tc>
          <w:tcPr>
            <w:tcW w:w="1701" w:type="dxa"/>
            <w:vAlign w:val="center"/>
          </w:tcPr>
          <w:p w14:paraId="4822921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（1）《就任北京大学校长之演说》导读</w:t>
            </w:r>
          </w:p>
          <w:p w14:paraId="3A7D203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（2）《大学一解》导读</w:t>
            </w:r>
          </w:p>
          <w:p w14:paraId="16CF111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（3）《创造的教育》导读</w:t>
            </w:r>
          </w:p>
          <w:p w14:paraId="51A1611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（4）《为什么读书》导读</w:t>
            </w:r>
          </w:p>
        </w:tc>
        <w:tc>
          <w:tcPr>
            <w:tcW w:w="1134" w:type="dxa"/>
            <w:vAlign w:val="center"/>
          </w:tcPr>
          <w:p w14:paraId="3A7E2924">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031A259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（1）了解蔡元培、梅贻琦、陶行知、胡适的教育思想</w:t>
            </w:r>
          </w:p>
          <w:p w14:paraId="2A0414C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（2）理解《就任北京大学校长之演说》《大学一解》《创造的教育》《为什么读书》中的教育观</w:t>
            </w:r>
          </w:p>
          <w:p w14:paraId="3CA1D17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2359AD3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（4）能联系实际，探寻其教育思想的现代意义</w:t>
            </w:r>
          </w:p>
        </w:tc>
        <w:tc>
          <w:tcPr>
            <w:tcW w:w="1560" w:type="dxa"/>
            <w:vAlign w:val="center"/>
          </w:tcPr>
          <w:p w14:paraId="30D81686">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43D42FF5">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4FF38B43">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6FB47A08">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w:t>
            </w:r>
          </w:p>
        </w:tc>
      </w:tr>
      <w:tr w14:paraId="7EF4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C94BFB">
            <w:pPr>
              <w:spacing w:line="264" w:lineRule="auto"/>
              <w:jc w:val="center"/>
              <w:rPr>
                <w:rFonts w:hint="eastAsia" w:ascii="宋体" w:hAnsi="宋体" w:eastAsia="宋体" w:cs="Times New Roman"/>
                <w:color w:val="000000"/>
                <w:kern w:val="0"/>
                <w:sz w:val="20"/>
                <w:szCs w:val="21"/>
              </w:rPr>
            </w:pPr>
          </w:p>
        </w:tc>
        <w:tc>
          <w:tcPr>
            <w:tcW w:w="8093" w:type="dxa"/>
            <w:gridSpan w:val="5"/>
            <w:vAlign w:val="center"/>
          </w:tcPr>
          <w:p w14:paraId="7BDE7577">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继承祖国优秀教育遗产，增强民族自尊心和自信心。厚植爱国主义情怀，传承中华优秀传统文化，弘扬以爱国主义为核心的民族精神和以改革创新为核心的时代精神。</w:t>
            </w:r>
          </w:p>
        </w:tc>
      </w:tr>
      <w:tr w14:paraId="67A3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E1F230">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西方古代教育名著导读</w:t>
            </w:r>
          </w:p>
        </w:tc>
        <w:tc>
          <w:tcPr>
            <w:tcW w:w="1701" w:type="dxa"/>
            <w:vAlign w:val="center"/>
          </w:tcPr>
          <w:p w14:paraId="1D4D579C">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（1）《大教学论》导读</w:t>
            </w:r>
          </w:p>
          <w:p w14:paraId="2A2AC2BC">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（2）《教育漫话》导读</w:t>
            </w:r>
          </w:p>
          <w:p w14:paraId="605C9AA5">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（3）《爱弥儿》导读</w:t>
            </w:r>
          </w:p>
          <w:p w14:paraId="06DE499E">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（4）《普通教育学》导读</w:t>
            </w:r>
          </w:p>
        </w:tc>
        <w:tc>
          <w:tcPr>
            <w:tcW w:w="1134" w:type="dxa"/>
            <w:vAlign w:val="center"/>
          </w:tcPr>
          <w:p w14:paraId="5DAA5696">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2E468DB1">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（1）了解夸美纽斯、洛克、卢梭、赫尔巴特的教育思想</w:t>
            </w:r>
          </w:p>
          <w:p w14:paraId="4F568B33">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（2）理解《大教学论》《教育漫话》《爱弥儿》《普通教育学》中的教育观</w:t>
            </w:r>
          </w:p>
          <w:p w14:paraId="311E720B">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11A0F4DF">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（4）能联系实际，探寻教育思想的现代意义</w:t>
            </w:r>
          </w:p>
        </w:tc>
        <w:tc>
          <w:tcPr>
            <w:tcW w:w="1560" w:type="dxa"/>
            <w:vAlign w:val="center"/>
          </w:tcPr>
          <w:p w14:paraId="7FD6D67F">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3AC84EC9">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0BB3C10B">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36887833">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8</w:t>
            </w:r>
          </w:p>
        </w:tc>
      </w:tr>
      <w:tr w14:paraId="1801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B66BD5">
            <w:pPr>
              <w:spacing w:line="276" w:lineRule="auto"/>
              <w:jc w:val="center"/>
              <w:rPr>
                <w:rFonts w:hint="eastAsia" w:ascii="宋体" w:hAnsi="宋体" w:eastAsia="宋体" w:cs="Times New Roman"/>
                <w:color w:val="000000"/>
                <w:kern w:val="0"/>
                <w:sz w:val="20"/>
                <w:szCs w:val="21"/>
              </w:rPr>
            </w:pPr>
          </w:p>
        </w:tc>
        <w:tc>
          <w:tcPr>
            <w:tcW w:w="8093" w:type="dxa"/>
            <w:gridSpan w:val="5"/>
            <w:vAlign w:val="center"/>
          </w:tcPr>
          <w:p w14:paraId="73830390">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践行教育家精神，学习其乐思、善思的精神树立经师与人师统一的大先生。</w:t>
            </w:r>
          </w:p>
        </w:tc>
      </w:tr>
      <w:tr w14:paraId="01A5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6FDF90">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5.</w:t>
            </w:r>
            <w:r>
              <w:rPr>
                <w:rFonts w:hint="eastAsia" w:ascii="Times New Roman" w:hAnsi="Times New Roman" w:eastAsia="宋体" w:cs="Times New Roman"/>
                <w:kern w:val="0"/>
                <w:sz w:val="20"/>
                <w:szCs w:val="20"/>
              </w:rPr>
              <w:t xml:space="preserve"> </w:t>
            </w:r>
            <w:r>
              <w:rPr>
                <w:rFonts w:hint="eastAsia" w:ascii="宋体" w:hAnsi="宋体" w:eastAsia="宋体" w:cs="Times New Roman"/>
                <w:color w:val="000000"/>
                <w:kern w:val="0"/>
                <w:sz w:val="20"/>
                <w:szCs w:val="21"/>
              </w:rPr>
              <w:t>西方近现代教育名著导读</w:t>
            </w:r>
          </w:p>
        </w:tc>
        <w:tc>
          <w:tcPr>
            <w:tcW w:w="1701" w:type="dxa"/>
            <w:vAlign w:val="center"/>
          </w:tcPr>
          <w:p w14:paraId="2A84AAC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（1）《民主主义与教育》导读</w:t>
            </w:r>
          </w:p>
          <w:p w14:paraId="22E5BB6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（2）《静悄悄的革命》导读</w:t>
            </w:r>
          </w:p>
          <w:p w14:paraId="73858963">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（3）《学会生存——教育世界的今天和明天》导读</w:t>
            </w:r>
          </w:p>
        </w:tc>
        <w:tc>
          <w:tcPr>
            <w:tcW w:w="1134" w:type="dxa"/>
            <w:vAlign w:val="center"/>
          </w:tcPr>
          <w:p w14:paraId="67FC2EE8">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w:t>
            </w:r>
          </w:p>
        </w:tc>
        <w:tc>
          <w:tcPr>
            <w:tcW w:w="3260" w:type="dxa"/>
            <w:vAlign w:val="center"/>
          </w:tcPr>
          <w:p w14:paraId="2805F486">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（1）了解杜威、佐藤学、埃德加·富尔的教育思想</w:t>
            </w:r>
          </w:p>
          <w:p w14:paraId="3C77C943">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（2）理解《民主主义与教育》《静悄悄的革命》《学会生存》中的教育观</w:t>
            </w:r>
          </w:p>
          <w:p w14:paraId="5FE1A171">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（3）掌握其思想精髓</w:t>
            </w:r>
          </w:p>
          <w:p w14:paraId="76DC7608">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（4）能联系实际，探寻教育思想的现代意义</w:t>
            </w:r>
          </w:p>
        </w:tc>
        <w:tc>
          <w:tcPr>
            <w:tcW w:w="1560" w:type="dxa"/>
            <w:vAlign w:val="center"/>
          </w:tcPr>
          <w:p w14:paraId="7BC0424A">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1.线上学习</w:t>
            </w:r>
          </w:p>
          <w:p w14:paraId="543E3189">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2.多媒体教学3.课堂讨论</w:t>
            </w:r>
          </w:p>
          <w:p w14:paraId="556C5198">
            <w:pPr>
              <w:spacing w:line="276"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4.单元测验</w:t>
            </w:r>
          </w:p>
        </w:tc>
        <w:tc>
          <w:tcPr>
            <w:tcW w:w="438" w:type="dxa"/>
            <w:vAlign w:val="center"/>
          </w:tcPr>
          <w:p w14:paraId="31CED09B">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7</w:t>
            </w:r>
          </w:p>
        </w:tc>
      </w:tr>
      <w:tr w14:paraId="4C7E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C0B0EA3">
            <w:pPr>
              <w:spacing w:line="276" w:lineRule="auto"/>
              <w:jc w:val="center"/>
              <w:rPr>
                <w:rFonts w:hint="eastAsia" w:ascii="宋体" w:hAnsi="宋体" w:eastAsia="宋体" w:cs="Times New Roman"/>
                <w:color w:val="000000"/>
                <w:kern w:val="0"/>
                <w:sz w:val="20"/>
                <w:szCs w:val="21"/>
              </w:rPr>
            </w:pPr>
          </w:p>
        </w:tc>
        <w:tc>
          <w:tcPr>
            <w:tcW w:w="8093" w:type="dxa"/>
            <w:gridSpan w:val="5"/>
            <w:vAlign w:val="center"/>
          </w:tcPr>
          <w:p w14:paraId="6FCEFBD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bCs/>
                <w:color w:val="000000"/>
                <w:kern w:val="0"/>
                <w:sz w:val="20"/>
                <w:szCs w:val="21"/>
              </w:rPr>
              <w:t>学习教育家与践行教育家精神，树立楷模先知的四有好教师。</w:t>
            </w:r>
          </w:p>
        </w:tc>
      </w:tr>
    </w:tbl>
    <w:p w14:paraId="163D56E5">
      <w:pPr>
        <w:spacing w:line="360" w:lineRule="auto"/>
        <w:jc w:val="left"/>
        <w:outlineLvl w:val="0"/>
        <w:rPr>
          <w:rFonts w:ascii="Times New Roman" w:hAnsi="Times New Roman" w:eastAsia="宋体" w:cs="Times New Roman"/>
          <w:sz w:val="24"/>
          <w:szCs w:val="24"/>
        </w:rPr>
      </w:pPr>
      <w:bookmarkStart w:id="1231" w:name="_Toc9644"/>
      <w:bookmarkStart w:id="1232" w:name="_Toc28355"/>
      <w:bookmarkStart w:id="1233" w:name="_Toc11791"/>
      <w:bookmarkStart w:id="1234" w:name="_Toc18377"/>
      <w:bookmarkStart w:id="1235" w:name="_Toc13994"/>
      <w:bookmarkStart w:id="1236" w:name="_Toc2122"/>
      <w:bookmarkStart w:id="1237" w:name="_Toc31867"/>
      <w:r>
        <w:rPr>
          <w:rFonts w:hint="eastAsia" w:ascii="宋体" w:hAnsi="宋体" w:eastAsia="宋体" w:cs="Times New Roman"/>
          <w:b/>
          <w:color w:val="000000"/>
          <w:sz w:val="24"/>
          <w:szCs w:val="24"/>
        </w:rPr>
        <w:t>四、目标评价与成绩评定</w:t>
      </w:r>
      <w:bookmarkEnd w:id="1231"/>
      <w:bookmarkEnd w:id="1232"/>
      <w:bookmarkEnd w:id="1233"/>
      <w:bookmarkEnd w:id="1234"/>
      <w:bookmarkEnd w:id="1235"/>
      <w:bookmarkEnd w:id="1236"/>
      <w:bookmarkEnd w:id="1237"/>
    </w:p>
    <w:p w14:paraId="1A46F475">
      <w:pPr>
        <w:spacing w:line="360" w:lineRule="auto"/>
        <w:jc w:val="left"/>
        <w:outlineLvl w:val="1"/>
        <w:rPr>
          <w:rFonts w:ascii="Times New Roman" w:hAnsi="Times New Roman" w:eastAsia="宋体" w:cs="Times New Roman"/>
          <w:b/>
          <w:szCs w:val="21"/>
        </w:rPr>
      </w:pPr>
      <w:bookmarkStart w:id="1238" w:name="_Toc16883"/>
      <w:r>
        <w:rPr>
          <w:rFonts w:hint="eastAsia" w:ascii="Times New Roman" w:hAnsi="Times New Roman" w:eastAsia="宋体" w:cs="Times New Roman"/>
          <w:b/>
          <w:szCs w:val="21"/>
        </w:rPr>
        <w:t>（一）课程目标评价方式</w:t>
      </w:r>
      <w:bookmarkEnd w:id="1238"/>
    </w:p>
    <w:p w14:paraId="2E730F1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D6AB3E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664"/>
        <w:gridCol w:w="1134"/>
        <w:gridCol w:w="1418"/>
        <w:gridCol w:w="1134"/>
        <w:gridCol w:w="1276"/>
        <w:gridCol w:w="992"/>
      </w:tblGrid>
      <w:tr w14:paraId="1EC5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FAB8A2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626" w:type="dxa"/>
            <w:gridSpan w:val="5"/>
            <w:vAlign w:val="center"/>
          </w:tcPr>
          <w:p w14:paraId="4560818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992" w:type="dxa"/>
            <w:vMerge w:val="restart"/>
            <w:vAlign w:val="center"/>
          </w:tcPr>
          <w:p w14:paraId="1891D43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3F49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077F93D">
            <w:pPr>
              <w:spacing w:line="360" w:lineRule="auto"/>
              <w:jc w:val="center"/>
              <w:rPr>
                <w:rFonts w:hint="eastAsia" w:ascii="宋体" w:hAnsi="宋体" w:eastAsia="宋体" w:cs="Times New Roman"/>
                <w:kern w:val="0"/>
                <w:sz w:val="20"/>
                <w:szCs w:val="21"/>
              </w:rPr>
            </w:pPr>
          </w:p>
        </w:tc>
        <w:tc>
          <w:tcPr>
            <w:tcW w:w="1664" w:type="dxa"/>
            <w:vAlign w:val="center"/>
          </w:tcPr>
          <w:p w14:paraId="26D9426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134" w:type="dxa"/>
            <w:vAlign w:val="center"/>
          </w:tcPr>
          <w:p w14:paraId="51E193D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418" w:type="dxa"/>
            <w:vAlign w:val="center"/>
          </w:tcPr>
          <w:p w14:paraId="37FBB20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单元测验</w:t>
            </w:r>
          </w:p>
        </w:tc>
        <w:tc>
          <w:tcPr>
            <w:tcW w:w="1134" w:type="dxa"/>
            <w:vAlign w:val="center"/>
          </w:tcPr>
          <w:p w14:paraId="01C96BB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自主学习</w:t>
            </w:r>
          </w:p>
        </w:tc>
        <w:tc>
          <w:tcPr>
            <w:tcW w:w="1276" w:type="dxa"/>
            <w:vAlign w:val="center"/>
          </w:tcPr>
          <w:p w14:paraId="58B8C30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992" w:type="dxa"/>
            <w:vMerge w:val="continue"/>
            <w:vAlign w:val="center"/>
          </w:tcPr>
          <w:p w14:paraId="24DB4986">
            <w:pPr>
              <w:spacing w:line="360" w:lineRule="auto"/>
              <w:jc w:val="center"/>
              <w:rPr>
                <w:rFonts w:hint="eastAsia" w:ascii="宋体" w:hAnsi="宋体" w:eastAsia="宋体" w:cs="Times New Roman"/>
                <w:kern w:val="0"/>
                <w:sz w:val="20"/>
                <w:szCs w:val="21"/>
              </w:rPr>
            </w:pPr>
          </w:p>
        </w:tc>
      </w:tr>
      <w:tr w14:paraId="7DCD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CB2F6D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664" w:type="dxa"/>
            <w:vAlign w:val="center"/>
          </w:tcPr>
          <w:p w14:paraId="50121A7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9EB3A3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0D78DEB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39D33E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6FF34F6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w:t>
            </w:r>
            <w:r>
              <w:rPr>
                <w:rFonts w:ascii="宋体" w:hAnsi="宋体" w:eastAsia="宋体" w:cs="Times New Roman"/>
                <w:kern w:val="0"/>
                <w:sz w:val="20"/>
                <w:szCs w:val="21"/>
              </w:rPr>
              <w:sym w:font="Wingdings 2" w:char="F050"/>
            </w:r>
          </w:p>
        </w:tc>
        <w:tc>
          <w:tcPr>
            <w:tcW w:w="992" w:type="dxa"/>
            <w:vAlign w:val="center"/>
          </w:tcPr>
          <w:p w14:paraId="5F84552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3B8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71968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664" w:type="dxa"/>
            <w:vAlign w:val="center"/>
          </w:tcPr>
          <w:p w14:paraId="40D5411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59B8278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3A8D17D5">
            <w:pPr>
              <w:spacing w:line="360" w:lineRule="auto"/>
              <w:jc w:val="center"/>
              <w:rPr>
                <w:rFonts w:hint="eastAsia" w:ascii="宋体" w:hAnsi="宋体" w:eastAsia="宋体" w:cs="Times New Roman"/>
                <w:kern w:val="0"/>
                <w:sz w:val="20"/>
                <w:szCs w:val="21"/>
              </w:rPr>
            </w:pPr>
          </w:p>
        </w:tc>
        <w:tc>
          <w:tcPr>
            <w:tcW w:w="1134" w:type="dxa"/>
            <w:vAlign w:val="center"/>
          </w:tcPr>
          <w:p w14:paraId="0B3802F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4DDB88E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592D1E6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68E3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E453E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664" w:type="dxa"/>
            <w:vAlign w:val="center"/>
          </w:tcPr>
          <w:p w14:paraId="748BA5A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7ADDE610">
            <w:pPr>
              <w:spacing w:line="360" w:lineRule="auto"/>
              <w:jc w:val="center"/>
              <w:rPr>
                <w:rFonts w:hint="eastAsia" w:ascii="宋体" w:hAnsi="宋体" w:eastAsia="宋体" w:cs="Times New Roman"/>
                <w:kern w:val="0"/>
                <w:sz w:val="20"/>
                <w:szCs w:val="21"/>
              </w:rPr>
            </w:pPr>
          </w:p>
        </w:tc>
        <w:tc>
          <w:tcPr>
            <w:tcW w:w="1418" w:type="dxa"/>
            <w:vAlign w:val="center"/>
          </w:tcPr>
          <w:p w14:paraId="581B5E1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29605080">
            <w:pPr>
              <w:spacing w:line="360" w:lineRule="auto"/>
              <w:jc w:val="center"/>
              <w:rPr>
                <w:rFonts w:hint="eastAsia" w:ascii="宋体" w:hAnsi="宋体" w:eastAsia="宋体" w:cs="Times New Roman"/>
                <w:kern w:val="0"/>
                <w:sz w:val="20"/>
                <w:szCs w:val="21"/>
              </w:rPr>
            </w:pPr>
          </w:p>
        </w:tc>
        <w:tc>
          <w:tcPr>
            <w:tcW w:w="1276" w:type="dxa"/>
            <w:vAlign w:val="center"/>
          </w:tcPr>
          <w:p w14:paraId="339FB90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378B527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3CD9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83933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664" w:type="dxa"/>
            <w:vAlign w:val="center"/>
          </w:tcPr>
          <w:p w14:paraId="1FD4CCB1">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485112F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25FD4004">
            <w:pPr>
              <w:spacing w:line="360" w:lineRule="auto"/>
              <w:jc w:val="center"/>
              <w:rPr>
                <w:rFonts w:hint="eastAsia" w:ascii="宋体" w:hAnsi="宋体" w:eastAsia="宋体" w:cs="Times New Roman"/>
                <w:kern w:val="0"/>
                <w:sz w:val="20"/>
                <w:szCs w:val="21"/>
              </w:rPr>
            </w:pPr>
          </w:p>
        </w:tc>
        <w:tc>
          <w:tcPr>
            <w:tcW w:w="1134" w:type="dxa"/>
            <w:vAlign w:val="center"/>
          </w:tcPr>
          <w:p w14:paraId="2EEBCB3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0B0940F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482ADBE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C9F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5BCFE9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664" w:type="dxa"/>
            <w:vAlign w:val="center"/>
          </w:tcPr>
          <w:p w14:paraId="528EC61D">
            <w:pPr>
              <w:spacing w:line="360" w:lineRule="auto"/>
              <w:jc w:val="center"/>
              <w:rPr>
                <w:rFonts w:hint="eastAsia" w:ascii="宋体" w:hAnsi="宋体" w:eastAsia="宋体" w:cs="Times New Roman"/>
                <w:kern w:val="0"/>
                <w:sz w:val="20"/>
                <w:szCs w:val="21"/>
              </w:rPr>
            </w:pPr>
          </w:p>
        </w:tc>
        <w:tc>
          <w:tcPr>
            <w:tcW w:w="1134" w:type="dxa"/>
            <w:vAlign w:val="center"/>
          </w:tcPr>
          <w:p w14:paraId="1D53494F">
            <w:pPr>
              <w:spacing w:line="360" w:lineRule="auto"/>
              <w:jc w:val="center"/>
              <w:rPr>
                <w:rFonts w:hint="eastAsia" w:ascii="宋体" w:hAnsi="宋体" w:eastAsia="宋体" w:cs="Times New Roman"/>
                <w:kern w:val="0"/>
                <w:sz w:val="20"/>
                <w:szCs w:val="21"/>
              </w:rPr>
            </w:pPr>
          </w:p>
        </w:tc>
        <w:tc>
          <w:tcPr>
            <w:tcW w:w="1418" w:type="dxa"/>
            <w:vAlign w:val="center"/>
          </w:tcPr>
          <w:p w14:paraId="0F20A2FF">
            <w:pPr>
              <w:spacing w:line="360" w:lineRule="auto"/>
              <w:jc w:val="center"/>
              <w:rPr>
                <w:rFonts w:hint="eastAsia" w:ascii="宋体" w:hAnsi="宋体" w:eastAsia="宋体" w:cs="Times New Roman"/>
                <w:kern w:val="0"/>
                <w:sz w:val="20"/>
                <w:szCs w:val="21"/>
              </w:rPr>
            </w:pPr>
          </w:p>
        </w:tc>
        <w:tc>
          <w:tcPr>
            <w:tcW w:w="1134" w:type="dxa"/>
            <w:vAlign w:val="center"/>
          </w:tcPr>
          <w:p w14:paraId="01B66ED3">
            <w:pPr>
              <w:spacing w:line="360" w:lineRule="auto"/>
              <w:jc w:val="center"/>
              <w:rPr>
                <w:rFonts w:hint="eastAsia" w:ascii="宋体" w:hAnsi="宋体" w:eastAsia="宋体" w:cs="Times New Roman"/>
                <w:kern w:val="0"/>
                <w:sz w:val="20"/>
                <w:szCs w:val="21"/>
              </w:rPr>
            </w:pPr>
          </w:p>
        </w:tc>
        <w:tc>
          <w:tcPr>
            <w:tcW w:w="1276" w:type="dxa"/>
            <w:vAlign w:val="center"/>
          </w:tcPr>
          <w:p w14:paraId="76136CBA">
            <w:pPr>
              <w:spacing w:line="360" w:lineRule="auto"/>
              <w:jc w:val="center"/>
              <w:rPr>
                <w:rFonts w:hint="eastAsia" w:ascii="宋体" w:hAnsi="宋体" w:eastAsia="宋体" w:cs="Times New Roman"/>
                <w:kern w:val="0"/>
                <w:sz w:val="20"/>
                <w:szCs w:val="21"/>
              </w:rPr>
            </w:pPr>
          </w:p>
        </w:tc>
        <w:tc>
          <w:tcPr>
            <w:tcW w:w="992" w:type="dxa"/>
            <w:vAlign w:val="center"/>
          </w:tcPr>
          <w:p w14:paraId="13304B0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06241FC1">
      <w:pPr>
        <w:spacing w:before="156" w:beforeLines="50" w:line="360" w:lineRule="auto"/>
        <w:jc w:val="left"/>
        <w:outlineLvl w:val="1"/>
        <w:rPr>
          <w:rFonts w:ascii="Times New Roman" w:hAnsi="Times New Roman" w:eastAsia="宋体" w:cs="Times New Roman"/>
          <w:b/>
          <w:szCs w:val="21"/>
        </w:rPr>
      </w:pPr>
      <w:bookmarkStart w:id="1239" w:name="_Toc14265"/>
      <w:bookmarkStart w:id="1240" w:name="OLE_LINK1"/>
      <w:r>
        <w:rPr>
          <w:rFonts w:hint="eastAsia" w:ascii="Times New Roman" w:hAnsi="Times New Roman" w:eastAsia="宋体" w:cs="Times New Roman"/>
          <w:b/>
          <w:szCs w:val="21"/>
        </w:rPr>
        <w:t>（二）成绩评定细则</w:t>
      </w:r>
      <w:bookmarkEnd w:id="1239"/>
    </w:p>
    <w:p w14:paraId="15FE09F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bookmarkEnd w:id="1240"/>
    <w:p w14:paraId="65E17FC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46"/>
        <w:gridCol w:w="683"/>
      </w:tblGrid>
      <w:tr w14:paraId="76A6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C2785B8">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946" w:type="dxa"/>
            <w:vAlign w:val="center"/>
          </w:tcPr>
          <w:p w14:paraId="2A91306A">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35ED1F82">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51EA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B2629C9">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946" w:type="dxa"/>
            <w:vAlign w:val="center"/>
          </w:tcPr>
          <w:p w14:paraId="3FFC5B7F">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3次，一为读书笔记，学期初即提供阅读书目，要求每位学生至少选择一本认真阅读并作读书笔记，读书笔记完成情况将作为评分的主要依据。二为小组汇报，三为小论文，以小论文的规范性、逻辑性、创新性及整洁性为评分的主要依据。</w:t>
            </w:r>
          </w:p>
        </w:tc>
        <w:tc>
          <w:tcPr>
            <w:tcW w:w="0" w:type="auto"/>
            <w:vAlign w:val="center"/>
          </w:tcPr>
          <w:p w14:paraId="6B9773D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523E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FDB3EE0">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946" w:type="dxa"/>
            <w:vAlign w:val="center"/>
          </w:tcPr>
          <w:p w14:paraId="031BE1AB">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color w:val="000000"/>
                <w:kern w:val="0"/>
                <w:sz w:val="20"/>
                <w:szCs w:val="21"/>
                <w:lang w:bidi="ar"/>
              </w:rPr>
              <w:t>一是课题考勤情况</w:t>
            </w:r>
            <w:r>
              <w:rPr>
                <w:rFonts w:ascii="宋体" w:hAnsi="宋体" w:eastAsia="宋体" w:cs="宋体"/>
                <w:color w:val="000000"/>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50F5BDD9">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color w:val="000000"/>
                <w:kern w:val="0"/>
                <w:sz w:val="20"/>
                <w:szCs w:val="21"/>
                <w:lang w:bidi="ar"/>
              </w:rPr>
              <w:t>课堂参与</w:t>
            </w:r>
            <w:r>
              <w:rPr>
                <w:rFonts w:hint="eastAsia" w:ascii="宋体" w:hAnsi="宋体" w:eastAsia="宋体" w:cs="宋体"/>
                <w:color w:val="000000"/>
                <w:kern w:val="0"/>
                <w:sz w:val="20"/>
                <w:szCs w:val="21"/>
                <w:lang w:bidi="ar"/>
              </w:rPr>
              <w:t>情况。</w:t>
            </w:r>
            <w:r>
              <w:rPr>
                <w:rFonts w:ascii="宋体" w:hAnsi="宋体" w:eastAsia="宋体" w:cs="宋体"/>
                <w:color w:val="000000"/>
                <w:kern w:val="0"/>
                <w:sz w:val="20"/>
                <w:szCs w:val="21"/>
                <w:lang w:bidi="ar"/>
              </w:rPr>
              <w:t>主要指课上教师随机提问、组织课堂讨论等，观察学生参与程度</w:t>
            </w:r>
            <w:r>
              <w:rPr>
                <w:rFonts w:hint="eastAsia" w:ascii="宋体" w:hAnsi="宋体" w:eastAsia="宋体" w:cs="宋体"/>
                <w:color w:val="000000"/>
                <w:kern w:val="0"/>
                <w:sz w:val="20"/>
                <w:szCs w:val="21"/>
                <w:lang w:bidi="ar"/>
              </w:rPr>
              <w:t>，</w:t>
            </w:r>
            <w:r>
              <w:rPr>
                <w:rFonts w:ascii="宋体" w:hAnsi="宋体" w:eastAsia="宋体" w:cs="宋体"/>
                <w:color w:val="000000"/>
                <w:kern w:val="0"/>
                <w:sz w:val="20"/>
                <w:szCs w:val="21"/>
                <w:lang w:bidi="ar"/>
              </w:rPr>
              <w:t>表现良好，按照对应的课程目标及权重给予评定</w:t>
            </w:r>
            <w:r>
              <w:rPr>
                <w:rFonts w:hint="eastAsia" w:ascii="宋体" w:hAnsi="宋体" w:eastAsia="宋体" w:cs="宋体"/>
                <w:color w:val="000000"/>
                <w:kern w:val="0"/>
                <w:sz w:val="20"/>
                <w:szCs w:val="21"/>
                <w:lang w:bidi="ar"/>
              </w:rPr>
              <w:t>。</w:t>
            </w:r>
          </w:p>
        </w:tc>
        <w:tc>
          <w:tcPr>
            <w:tcW w:w="0" w:type="auto"/>
            <w:vAlign w:val="center"/>
          </w:tcPr>
          <w:p w14:paraId="1820232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5C03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C9449B0">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单元测验</w:t>
            </w:r>
          </w:p>
        </w:tc>
        <w:tc>
          <w:tcPr>
            <w:tcW w:w="6946" w:type="dxa"/>
            <w:vAlign w:val="center"/>
          </w:tcPr>
          <w:p w14:paraId="7042213B">
            <w:pPr>
              <w:widowControl/>
              <w:spacing w:line="264" w:lineRule="auto"/>
              <w:jc w:val="left"/>
              <w:rPr>
                <w:rFonts w:hint="eastAsia" w:ascii="宋体" w:hAnsi="宋体" w:eastAsia="宋体" w:cs="宋体"/>
                <w:color w:val="000000"/>
                <w:kern w:val="0"/>
                <w:sz w:val="20"/>
                <w:szCs w:val="21"/>
                <w:lang w:bidi="ar"/>
              </w:rPr>
            </w:pPr>
            <w:r>
              <w:rPr>
                <w:rFonts w:hint="eastAsia" w:ascii="宋体" w:hAnsi="宋体" w:eastAsia="宋体" w:cs="宋体"/>
                <w:color w:val="000000"/>
                <w:kern w:val="0"/>
                <w:sz w:val="20"/>
                <w:szCs w:val="21"/>
                <w:lang w:bidi="ar"/>
              </w:rPr>
              <w:t>每单元在线上进行测验，主要考查基础知识和基本理论的掌握，以题目的正确率为得分依据。</w:t>
            </w:r>
          </w:p>
        </w:tc>
        <w:tc>
          <w:tcPr>
            <w:tcW w:w="0" w:type="auto"/>
            <w:vAlign w:val="center"/>
          </w:tcPr>
          <w:p w14:paraId="5534F9A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7BD8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07EBEDE">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自主学习</w:t>
            </w:r>
          </w:p>
        </w:tc>
        <w:tc>
          <w:tcPr>
            <w:tcW w:w="6946" w:type="dxa"/>
            <w:vAlign w:val="center"/>
          </w:tcPr>
          <w:p w14:paraId="7760993B">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F434D6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7AEC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DBB3910">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946" w:type="dxa"/>
            <w:vAlign w:val="center"/>
          </w:tcPr>
          <w:p w14:paraId="1DB8DDDE">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color w:val="000000"/>
                <w:kern w:val="0"/>
                <w:sz w:val="20"/>
                <w:szCs w:val="21"/>
              </w:rPr>
              <w:t>以课程论文方式进行，主要测查学生对于中外教育名著的了解程度和理解程度占50%；对当代中国教育教学改革的关注意识、反思能力和创新精神占50%。</w:t>
            </w:r>
          </w:p>
        </w:tc>
        <w:tc>
          <w:tcPr>
            <w:tcW w:w="0" w:type="auto"/>
            <w:vAlign w:val="center"/>
          </w:tcPr>
          <w:p w14:paraId="7825B661">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1CD4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BB6B54F">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0" w:type="auto"/>
            <w:vAlign w:val="center"/>
          </w:tcPr>
          <w:p w14:paraId="5A1BA41A">
            <w:pPr>
              <w:jc w:val="left"/>
              <w:rPr>
                <w:rFonts w:ascii="Times New Roman" w:hAnsi="Times New Roman" w:eastAsia="宋体" w:cs="Times New Roman"/>
                <w:kern w:val="0"/>
                <w:sz w:val="20"/>
                <w:szCs w:val="21"/>
              </w:rPr>
            </w:pPr>
          </w:p>
        </w:tc>
        <w:tc>
          <w:tcPr>
            <w:tcW w:w="0" w:type="auto"/>
            <w:vAlign w:val="center"/>
          </w:tcPr>
          <w:p w14:paraId="397EBB6F">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18F261FA">
      <w:pPr>
        <w:spacing w:line="360" w:lineRule="auto"/>
        <w:jc w:val="left"/>
        <w:outlineLvl w:val="1"/>
        <w:rPr>
          <w:rFonts w:hint="eastAsia" w:ascii="宋体" w:hAnsi="宋体" w:eastAsia="宋体" w:cs="Times New Roman"/>
          <w:b/>
          <w:color w:val="000000"/>
          <w:szCs w:val="21"/>
        </w:rPr>
      </w:pPr>
      <w:bookmarkStart w:id="1241" w:name="_Toc10757"/>
      <w:r>
        <w:rPr>
          <w:rFonts w:hint="eastAsia" w:ascii="宋体" w:hAnsi="宋体" w:eastAsia="宋体" w:cs="Times New Roman"/>
          <w:b/>
          <w:color w:val="000000"/>
          <w:szCs w:val="21"/>
        </w:rPr>
        <w:t>（三）课程目标达成度计算方法</w:t>
      </w:r>
      <w:bookmarkEnd w:id="1241"/>
    </w:p>
    <w:p w14:paraId="6DCA8C8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5DC84BA">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4" o:spt="75" type="#_x0000_t75" style="height:25.05pt;width:404.65pt;" o:ole="t" filled="f" o:preferrelative="t" stroked="f" coordsize="21600,21600">
            <v:path/>
            <v:fill on="f" focussize="0,0"/>
            <v:stroke on="f"/>
            <v:imagedata r:id="rId5" o:title=""/>
            <o:lock v:ext="edit" aspectratio="t"/>
            <w10:wrap type="none"/>
            <w10:anchorlock/>
          </v:shape>
          <o:OLEObject Type="Embed" ProgID="Equation.3" ShapeID="_x0000_i1054" DrawAspect="Content" ObjectID="_1468075754" r:id="rId37">
            <o:LockedField>false</o:LockedField>
          </o:OLEObject>
        </w:object>
      </w:r>
    </w:p>
    <w:p w14:paraId="3C4438CD">
      <w:pPr>
        <w:spacing w:line="360" w:lineRule="auto"/>
        <w:ind w:firstLine="562" w:firstLineChars="200"/>
        <w:outlineLvl w:val="0"/>
        <w:rPr>
          <w:rFonts w:hint="eastAsia" w:ascii="宋体" w:hAnsi="宋体" w:eastAsia="宋体" w:cs="Times New Roman"/>
          <w:b/>
          <w:sz w:val="28"/>
          <w:szCs w:val="28"/>
        </w:rPr>
      </w:pPr>
      <w:bookmarkStart w:id="1242" w:name="_Toc15850"/>
      <w:bookmarkStart w:id="1243" w:name="_Toc17399"/>
      <w:bookmarkStart w:id="1244" w:name="_Toc8540"/>
      <w:bookmarkStart w:id="1245" w:name="_Toc5874"/>
      <w:bookmarkStart w:id="1246" w:name="_Toc15060"/>
      <w:bookmarkStart w:id="1247" w:name="_Toc8674"/>
      <w:bookmarkStart w:id="1248" w:name="_Toc24757"/>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bookmarkEnd w:id="1242"/>
      <w:bookmarkEnd w:id="1243"/>
      <w:bookmarkEnd w:id="1244"/>
      <w:bookmarkEnd w:id="1245"/>
      <w:bookmarkEnd w:id="1246"/>
      <w:bookmarkEnd w:id="1247"/>
      <w:bookmarkEnd w:id="1248"/>
    </w:p>
    <w:p w14:paraId="58282351">
      <w:pPr>
        <w:spacing w:line="360" w:lineRule="auto"/>
        <w:ind w:firstLine="482" w:firstLineChars="200"/>
        <w:outlineLvl w:val="1"/>
        <w:rPr>
          <w:rFonts w:hint="eastAsia" w:ascii="宋体" w:hAnsi="宋体" w:eastAsia="宋体" w:cs="Times New Roman"/>
          <w:b/>
          <w:bCs/>
          <w:sz w:val="24"/>
          <w:szCs w:val="22"/>
        </w:rPr>
      </w:pPr>
      <w:bookmarkStart w:id="1249" w:name="_Toc2219"/>
      <w:r>
        <w:rPr>
          <w:rFonts w:hint="eastAsia" w:ascii="宋体" w:hAnsi="宋体" w:eastAsia="宋体" w:cs="Times New Roman"/>
          <w:b/>
          <w:bCs/>
          <w:sz w:val="24"/>
          <w:szCs w:val="22"/>
        </w:rPr>
        <w:t>（一）持续改进</w:t>
      </w:r>
      <w:bookmarkEnd w:id="1249"/>
    </w:p>
    <w:p w14:paraId="61EE8DE3">
      <w:pPr>
        <w:spacing w:line="360" w:lineRule="auto"/>
        <w:ind w:firstLine="480" w:firstLineChars="200"/>
        <w:rPr>
          <w:rFonts w:hint="eastAsia" w:ascii="宋体" w:hAnsi="宋体" w:eastAsia="宋体" w:cs="Times New Roman"/>
          <w:sz w:val="24"/>
          <w:szCs w:val="22"/>
        </w:rPr>
      </w:pPr>
      <w:r>
        <w:rPr>
          <w:rFonts w:ascii="宋体" w:hAnsi="宋体" w:eastAsia="宋体" w:cs="Times New Roman"/>
          <w:sz w:val="24"/>
          <w:szCs w:val="22"/>
        </w:rPr>
        <w:t>本课程根据学生作业、课堂讨论、考核情况和学生、教学督导等</w:t>
      </w:r>
      <w:r>
        <w:rPr>
          <w:rFonts w:hint="eastAsia" w:ascii="宋体" w:hAnsi="宋体" w:eastAsia="宋体" w:cs="Times New Roman"/>
          <w:sz w:val="24"/>
          <w:szCs w:val="22"/>
        </w:rPr>
        <w:t>的</w:t>
      </w:r>
      <w:r>
        <w:rPr>
          <w:rFonts w:ascii="宋体" w:hAnsi="宋体" w:eastAsia="宋体" w:cs="Times New Roman"/>
          <w:sz w:val="24"/>
          <w:szCs w:val="22"/>
        </w:rPr>
        <w:t>反馈，及时对教学中</w:t>
      </w:r>
      <w:r>
        <w:rPr>
          <w:rFonts w:hint="eastAsia" w:ascii="宋体" w:hAnsi="宋体" w:eastAsia="宋体" w:cs="Times New Roman"/>
          <w:sz w:val="24"/>
          <w:szCs w:val="22"/>
        </w:rPr>
        <w:t>的</w:t>
      </w:r>
      <w:r>
        <w:rPr>
          <w:rFonts w:ascii="宋体" w:hAnsi="宋体" w:eastAsia="宋体" w:cs="Times New Roman"/>
          <w:sz w:val="24"/>
          <w:szCs w:val="22"/>
        </w:rPr>
        <w:t>不足之处进行改进，并在下一轮课程教学中</w:t>
      </w:r>
      <w:r>
        <w:rPr>
          <w:rFonts w:hint="eastAsia" w:ascii="宋体" w:hAnsi="宋体" w:eastAsia="宋体" w:cs="Times New Roman"/>
          <w:sz w:val="24"/>
          <w:szCs w:val="22"/>
        </w:rPr>
        <w:t>整改完善</w:t>
      </w:r>
      <w:r>
        <w:rPr>
          <w:rFonts w:ascii="宋体" w:hAnsi="宋体" w:eastAsia="宋体" w:cs="Times New Roman"/>
          <w:sz w:val="24"/>
          <w:szCs w:val="22"/>
        </w:rPr>
        <w:t>，确保相应毕业要求指标点达成。</w:t>
      </w:r>
    </w:p>
    <w:p w14:paraId="28EEADD4">
      <w:pPr>
        <w:spacing w:line="360" w:lineRule="auto"/>
        <w:ind w:firstLine="482" w:firstLineChars="200"/>
        <w:outlineLvl w:val="1"/>
        <w:rPr>
          <w:rFonts w:hint="eastAsia" w:ascii="宋体" w:hAnsi="宋体" w:eastAsia="宋体" w:cs="Times New Roman"/>
          <w:b/>
          <w:sz w:val="24"/>
          <w:szCs w:val="22"/>
        </w:rPr>
      </w:pPr>
      <w:bookmarkStart w:id="1250" w:name="_Toc27847345"/>
      <w:bookmarkStart w:id="1251" w:name="_Toc15921"/>
      <w:r>
        <w:rPr>
          <w:rFonts w:hint="eastAsia" w:ascii="宋体" w:hAnsi="宋体" w:eastAsia="宋体" w:cs="Times New Roman"/>
          <w:b/>
          <w:sz w:val="24"/>
          <w:szCs w:val="22"/>
        </w:rPr>
        <w:t>（二）</w:t>
      </w:r>
      <w:r>
        <w:rPr>
          <w:rFonts w:ascii="宋体" w:hAnsi="宋体" w:eastAsia="宋体" w:cs="Times New Roman"/>
          <w:b/>
          <w:sz w:val="24"/>
          <w:szCs w:val="22"/>
        </w:rPr>
        <w:t>参考书目及学习资料</w:t>
      </w:r>
      <w:bookmarkEnd w:id="1250"/>
      <w:bookmarkEnd w:id="1251"/>
    </w:p>
    <w:p w14:paraId="52C0EBE0">
      <w:pPr>
        <w:spacing w:line="360" w:lineRule="auto"/>
        <w:ind w:firstLine="482" w:firstLineChars="200"/>
        <w:outlineLvl w:val="2"/>
        <w:rPr>
          <w:rFonts w:hint="eastAsia" w:ascii="宋体" w:hAnsi="宋体" w:eastAsia="宋体" w:cs="Times New Roman"/>
          <w:b/>
          <w:bCs/>
          <w:sz w:val="24"/>
          <w:szCs w:val="22"/>
        </w:rPr>
      </w:pPr>
      <w:bookmarkStart w:id="1252" w:name="_Toc8441"/>
      <w:r>
        <w:rPr>
          <w:rFonts w:hint="eastAsia" w:ascii="宋体" w:hAnsi="宋体" w:eastAsia="宋体" w:cs="Times New Roman"/>
          <w:b/>
          <w:bCs/>
          <w:sz w:val="24"/>
          <w:szCs w:val="22"/>
        </w:rPr>
        <w:t>1</w:t>
      </w:r>
      <w:r>
        <w:rPr>
          <w:rFonts w:ascii="宋体" w:hAnsi="宋体" w:eastAsia="宋体" w:cs="Times New Roman"/>
          <w:b/>
          <w:bCs/>
          <w:sz w:val="24"/>
          <w:szCs w:val="22"/>
        </w:rPr>
        <w:t>.</w:t>
      </w:r>
      <w:r>
        <w:rPr>
          <w:rFonts w:hint="eastAsia" w:ascii="宋体" w:hAnsi="宋体" w:eastAsia="宋体" w:cs="Times New Roman"/>
          <w:b/>
          <w:bCs/>
          <w:sz w:val="24"/>
          <w:szCs w:val="22"/>
        </w:rPr>
        <w:t>教材</w:t>
      </w:r>
      <w:bookmarkEnd w:id="1252"/>
    </w:p>
    <w:p w14:paraId="4D6D4921">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肖朗.中外教育名著选读.</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北京：高等教育出版社，20</w:t>
      </w:r>
      <w:r>
        <w:rPr>
          <w:rFonts w:ascii="Times New Roman" w:hAnsi="Times New Roman" w:eastAsia="宋体" w:cs="Times New Roman"/>
          <w:sz w:val="24"/>
          <w:szCs w:val="24"/>
        </w:rPr>
        <w:t>09.</w:t>
      </w:r>
    </w:p>
    <w:p w14:paraId="72C99CD6">
      <w:pPr>
        <w:spacing w:line="360" w:lineRule="auto"/>
        <w:ind w:firstLine="482" w:firstLineChars="200"/>
        <w:outlineLvl w:val="2"/>
        <w:rPr>
          <w:rFonts w:ascii="宋体" w:hAnsi="宋体" w:eastAsia="宋体" w:cs="Times New Roman"/>
          <w:b/>
          <w:bCs/>
          <w:sz w:val="24"/>
          <w:szCs w:val="22"/>
        </w:rPr>
      </w:pPr>
      <w:bookmarkStart w:id="1253" w:name="_Toc17476"/>
      <w:r>
        <w:rPr>
          <w:rFonts w:hint="eastAsia" w:ascii="宋体" w:hAnsi="宋体" w:eastAsia="宋体" w:cs="Times New Roman"/>
          <w:b/>
          <w:bCs/>
          <w:sz w:val="24"/>
          <w:szCs w:val="22"/>
        </w:rPr>
        <w:t>2</w:t>
      </w:r>
      <w:r>
        <w:rPr>
          <w:rFonts w:ascii="宋体" w:hAnsi="宋体" w:eastAsia="宋体" w:cs="Times New Roman"/>
          <w:b/>
          <w:bCs/>
          <w:sz w:val="24"/>
          <w:szCs w:val="22"/>
        </w:rPr>
        <w:t>.</w:t>
      </w:r>
      <w:r>
        <w:rPr>
          <w:rFonts w:hint="eastAsia" w:ascii="宋体" w:hAnsi="宋体" w:eastAsia="宋体" w:cs="Times New Roman"/>
          <w:b/>
          <w:bCs/>
          <w:sz w:val="24"/>
          <w:szCs w:val="22"/>
        </w:rPr>
        <w:t>教学参考书</w:t>
      </w:r>
      <w:bookmarkEnd w:id="1253"/>
    </w:p>
    <w:p w14:paraId="30CCE6A0">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周洪宇.教育经典导读.华中科技大学出版社,2013.</w:t>
      </w:r>
    </w:p>
    <w:p w14:paraId="6583EE69">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华东师范大学教育系</w:t>
      </w:r>
      <w:r>
        <w:rPr>
          <w:rFonts w:ascii="宋体" w:hAnsi="宋体" w:eastAsia="宋体" w:cs="Times New Roman"/>
          <w:sz w:val="24"/>
          <w:szCs w:val="22"/>
        </w:rPr>
        <w:t xml:space="preserve">. </w:t>
      </w:r>
      <w:r>
        <w:rPr>
          <w:rFonts w:hint="eastAsia" w:ascii="宋体" w:hAnsi="宋体" w:eastAsia="宋体" w:cs="Times New Roman"/>
          <w:sz w:val="24"/>
          <w:szCs w:val="22"/>
        </w:rPr>
        <w:t>教育文选</w:t>
      </w:r>
      <w:r>
        <w:rPr>
          <w:rFonts w:ascii="宋体" w:hAnsi="宋体" w:eastAsia="宋体" w:cs="Times New Roman"/>
          <w:sz w:val="24"/>
          <w:szCs w:val="22"/>
        </w:rPr>
        <w:t xml:space="preserve">. </w:t>
      </w:r>
      <w:r>
        <w:rPr>
          <w:rFonts w:hint="eastAsia" w:ascii="宋体" w:hAnsi="宋体" w:eastAsia="宋体" w:cs="Times New Roman"/>
          <w:sz w:val="24"/>
          <w:szCs w:val="22"/>
        </w:rPr>
        <w:t>北京</w:t>
      </w:r>
      <w:r>
        <w:rPr>
          <w:rFonts w:ascii="宋体" w:hAnsi="宋体" w:eastAsia="宋体" w:cs="Times New Roman"/>
          <w:sz w:val="24"/>
          <w:szCs w:val="22"/>
        </w:rPr>
        <w:t xml:space="preserve">: </w:t>
      </w:r>
      <w:r>
        <w:rPr>
          <w:rFonts w:hint="eastAsia" w:ascii="宋体" w:hAnsi="宋体" w:eastAsia="宋体" w:cs="Times New Roman"/>
          <w:sz w:val="24"/>
          <w:szCs w:val="22"/>
        </w:rPr>
        <w:t>人民教育出版社</w:t>
      </w:r>
      <w:r>
        <w:rPr>
          <w:rFonts w:ascii="宋体" w:hAnsi="宋体" w:eastAsia="宋体" w:cs="Times New Roman"/>
          <w:sz w:val="24"/>
          <w:szCs w:val="22"/>
        </w:rPr>
        <w:t>, 2007.</w:t>
      </w:r>
    </w:p>
    <w:p w14:paraId="2CD9C800">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褚慧芳</w:t>
      </w:r>
      <w:r>
        <w:rPr>
          <w:rFonts w:ascii="宋体" w:hAnsi="宋体" w:eastAsia="宋体" w:cs="Times New Roman"/>
          <w:sz w:val="24"/>
          <w:szCs w:val="22"/>
        </w:rPr>
        <w:t>.</w:t>
      </w:r>
      <w:r>
        <w:rPr>
          <w:rFonts w:hint="eastAsia" w:ascii="宋体" w:hAnsi="宋体" w:eastAsia="宋体" w:cs="Times New Roman"/>
          <w:sz w:val="24"/>
          <w:szCs w:val="22"/>
        </w:rPr>
        <w:t>外国教育名著导读</w:t>
      </w:r>
      <w:r>
        <w:rPr>
          <w:rFonts w:ascii="宋体" w:hAnsi="宋体" w:eastAsia="宋体" w:cs="Times New Roman"/>
          <w:sz w:val="24"/>
          <w:szCs w:val="22"/>
        </w:rPr>
        <w:t>.</w:t>
      </w:r>
      <w:r>
        <w:rPr>
          <w:rFonts w:hint="eastAsia" w:ascii="宋体" w:hAnsi="宋体" w:eastAsia="宋体" w:cs="Times New Roman"/>
          <w:sz w:val="24"/>
          <w:szCs w:val="22"/>
        </w:rPr>
        <w:t>北京：人民教育出版社</w:t>
      </w:r>
      <w:r>
        <w:rPr>
          <w:rFonts w:ascii="宋体" w:hAnsi="宋体" w:eastAsia="宋体" w:cs="Times New Roman"/>
          <w:sz w:val="24"/>
          <w:szCs w:val="22"/>
        </w:rPr>
        <w:t>，2009.</w:t>
      </w:r>
    </w:p>
    <w:p w14:paraId="69A7FE4A">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张瑞璠，王承绪</w:t>
      </w:r>
      <w:r>
        <w:rPr>
          <w:rFonts w:ascii="宋体" w:hAnsi="宋体" w:eastAsia="宋体" w:cs="Times New Roman"/>
          <w:sz w:val="24"/>
          <w:szCs w:val="22"/>
        </w:rPr>
        <w:t>.</w:t>
      </w:r>
      <w:r>
        <w:rPr>
          <w:rFonts w:hint="eastAsia" w:ascii="宋体" w:hAnsi="宋体" w:eastAsia="宋体" w:cs="Times New Roman"/>
          <w:sz w:val="24"/>
          <w:szCs w:val="22"/>
        </w:rPr>
        <w:t>中外教育比较史纲</w:t>
      </w:r>
      <w:r>
        <w:rPr>
          <w:rFonts w:ascii="宋体" w:hAnsi="宋体" w:eastAsia="宋体" w:cs="Times New Roman"/>
          <w:sz w:val="24"/>
          <w:szCs w:val="22"/>
        </w:rPr>
        <w:t>.</w:t>
      </w:r>
      <w:r>
        <w:rPr>
          <w:rFonts w:hint="eastAsia" w:ascii="宋体" w:hAnsi="宋体" w:eastAsia="宋体" w:cs="Times New Roman"/>
          <w:sz w:val="24"/>
          <w:szCs w:val="22"/>
        </w:rPr>
        <w:t>济南：山东教育出版社</w:t>
      </w:r>
      <w:r>
        <w:rPr>
          <w:rFonts w:ascii="宋体" w:hAnsi="宋体" w:eastAsia="宋体" w:cs="Times New Roman"/>
          <w:sz w:val="24"/>
          <w:szCs w:val="22"/>
        </w:rPr>
        <w:t>，2001.</w:t>
      </w:r>
    </w:p>
    <w:p w14:paraId="4C00EC4B">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刘丽</w:t>
      </w:r>
    </w:p>
    <w:p w14:paraId="45B5BCE2">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审定人：王  健</w:t>
      </w:r>
    </w:p>
    <w:p w14:paraId="6AA7FCEB">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2FE92818">
      <w:pPr>
        <w:ind w:firstLine="4800" w:firstLineChars="2000"/>
        <w:rPr>
          <w:rFonts w:hint="eastAsia" w:ascii="等线" w:hAnsi="等线" w:eastAsia="等线" w:cs="Times New Roman"/>
          <w:szCs w:val="22"/>
        </w:rPr>
      </w:pPr>
      <w:r>
        <w:rPr>
          <w:rFonts w:hint="eastAsia" w:ascii="宋体" w:hAnsi="宋体" w:eastAsia="宋体" w:cs="Times New Roman"/>
          <w:kern w:val="0"/>
          <w:sz w:val="24"/>
          <w:szCs w:val="21"/>
        </w:rPr>
        <w:t>批准时间：2024年8月30</w:t>
      </w:r>
    </w:p>
    <w:p w14:paraId="3BD9266C">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5FAE2F96">
      <w:pPr>
        <w:pStyle w:val="2"/>
        <w:tabs>
          <w:tab w:val="left" w:pos="720"/>
          <w:tab w:val="left" w:pos="2700"/>
        </w:tabs>
        <w:bidi w:val="0"/>
      </w:pPr>
      <w:bookmarkStart w:id="1254" w:name="_Toc28419"/>
      <w:bookmarkStart w:id="1255" w:name="_Toc13932"/>
      <w:bookmarkStart w:id="1256" w:name="_Toc4241"/>
      <w:bookmarkStart w:id="1257" w:name="_Toc24161"/>
      <w:r>
        <w:rPr>
          <w:rFonts w:hint="eastAsia"/>
        </w:rPr>
        <w:t>《课堂观察与模拟教学》课程教学大纲</w:t>
      </w:r>
      <w:bookmarkEnd w:id="1254"/>
      <w:bookmarkEnd w:id="1255"/>
      <w:bookmarkEnd w:id="1256"/>
      <w:bookmarkEnd w:id="1257"/>
    </w:p>
    <w:p w14:paraId="3A1C972D">
      <w:pPr>
        <w:pStyle w:val="2"/>
        <w:tabs>
          <w:tab w:val="left" w:pos="720"/>
          <w:tab w:val="left" w:pos="2700"/>
        </w:tabs>
        <w:bidi w:val="0"/>
        <w:rPr>
          <w:rFonts w:ascii="Times New Roman" w:hAnsi="Times New Roman" w:eastAsia="宋体" w:cs="Times New Roman"/>
          <w:b/>
          <w:bCs/>
          <w:szCs w:val="28"/>
        </w:rPr>
      </w:pPr>
      <w:bookmarkStart w:id="1258" w:name="_Toc2304"/>
      <w:bookmarkStart w:id="1259" w:name="_Toc21050"/>
      <w:bookmarkStart w:id="1260" w:name="_Toc7819"/>
      <w:bookmarkStart w:id="1261" w:name="_Toc20505"/>
      <w:bookmarkStart w:id="1262" w:name="_Toc15030"/>
      <w:bookmarkStart w:id="1263" w:name="_Toc20239"/>
      <w:bookmarkStart w:id="1264" w:name="_Toc16434"/>
      <w:r>
        <w:t>（Classroom Observation and Simulation Teaching）</w:t>
      </w:r>
      <w:bookmarkEnd w:id="1258"/>
      <w:bookmarkEnd w:id="1259"/>
      <w:bookmarkEnd w:id="1260"/>
      <w:bookmarkEnd w:id="1261"/>
      <w:bookmarkEnd w:id="1262"/>
      <w:bookmarkEnd w:id="1263"/>
      <w:bookmarkEnd w:id="1264"/>
    </w:p>
    <w:p w14:paraId="581AC6E8">
      <w:pPr>
        <w:spacing w:line="360" w:lineRule="auto"/>
        <w:jc w:val="center"/>
        <w:rPr>
          <w:rFonts w:ascii="Times New Roman" w:hAnsi="Times New Roman" w:eastAsia="宋体" w:cs="Times New Roman"/>
          <w:bCs/>
          <w:sz w:val="30"/>
          <w:szCs w:val="30"/>
        </w:rPr>
      </w:pPr>
    </w:p>
    <w:p w14:paraId="22DD116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课程名称：课堂观察与模拟教学</w:t>
      </w:r>
    </w:p>
    <w:p w14:paraId="5E76E42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2401021</w:t>
      </w:r>
    </w:p>
    <w:p w14:paraId="1C24A87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分：2</w:t>
      </w:r>
    </w:p>
    <w:p w14:paraId="0E2EB781">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时：32 （其中：讲授学时16， 实践学时16）</w:t>
      </w:r>
    </w:p>
    <w:p w14:paraId="0FEB4C3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先修课程：教育心理学、课程与教学论、小学语文/数学课程标准与教材分析、小学语文/数学教学设计与实施</w:t>
      </w:r>
    </w:p>
    <w:p w14:paraId="13D9B5E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适用专业：小学教育（文）、小学教育（理）</w:t>
      </w:r>
    </w:p>
    <w:p w14:paraId="3951F046">
      <w:pPr>
        <w:spacing w:line="360" w:lineRule="auto"/>
        <w:jc w:val="left"/>
        <w:rPr>
          <w:rFonts w:ascii="Times New Roman" w:hAnsi="Times New Roman" w:eastAsia="宋体" w:cs="Times New Roman"/>
          <w:b/>
          <w:sz w:val="24"/>
          <w:szCs w:val="24"/>
        </w:rPr>
      </w:pPr>
    </w:p>
    <w:p w14:paraId="6BF86B01">
      <w:pPr>
        <w:spacing w:line="360" w:lineRule="auto"/>
        <w:jc w:val="left"/>
        <w:outlineLvl w:val="0"/>
        <w:rPr>
          <w:rFonts w:ascii="Times New Roman" w:hAnsi="Times New Roman" w:eastAsia="宋体" w:cs="Times New Roman"/>
          <w:sz w:val="24"/>
          <w:szCs w:val="24"/>
        </w:rPr>
      </w:pPr>
      <w:bookmarkStart w:id="1265" w:name="_Toc23693"/>
      <w:bookmarkStart w:id="1266" w:name="_Toc23103"/>
      <w:bookmarkStart w:id="1267" w:name="_Toc5094"/>
      <w:bookmarkStart w:id="1268" w:name="_Toc313"/>
      <w:bookmarkStart w:id="1269" w:name="_Toc5217"/>
      <w:bookmarkStart w:id="1270" w:name="_Toc28229"/>
      <w:bookmarkStart w:id="1271" w:name="_Toc22625"/>
      <w:r>
        <w:rPr>
          <w:rFonts w:hint="eastAsia" w:ascii="Times New Roman" w:hAnsi="Times New Roman" w:eastAsia="宋体" w:cs="Times New Roman"/>
          <w:b/>
          <w:sz w:val="24"/>
          <w:szCs w:val="24"/>
        </w:rPr>
        <w:t>一、课程简介</w:t>
      </w:r>
      <w:bookmarkEnd w:id="1265"/>
      <w:bookmarkEnd w:id="1266"/>
      <w:bookmarkEnd w:id="1267"/>
      <w:bookmarkEnd w:id="1268"/>
      <w:bookmarkEnd w:id="1269"/>
      <w:bookmarkEnd w:id="1270"/>
      <w:bookmarkEnd w:id="1271"/>
    </w:p>
    <w:p w14:paraId="4CC0E2B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通过本课程的学习，学生能熟练掌握课程观察的方法和技能，能够从课堂观察中借鉴他人的课堂教学与管理经验；掌握模拟教学的一般原理和基本技能，具备较强的模拟教学能力，为将来从事小学教学工作做好准备。</w:t>
      </w:r>
    </w:p>
    <w:p w14:paraId="5C2F85A1">
      <w:pPr>
        <w:spacing w:line="360" w:lineRule="auto"/>
        <w:jc w:val="left"/>
        <w:outlineLvl w:val="0"/>
        <w:rPr>
          <w:rFonts w:ascii="Times New Roman" w:hAnsi="Times New Roman" w:eastAsia="宋体" w:cs="Times New Roman"/>
          <w:sz w:val="24"/>
          <w:szCs w:val="24"/>
        </w:rPr>
      </w:pPr>
      <w:bookmarkStart w:id="1272" w:name="_Toc23121"/>
      <w:bookmarkStart w:id="1273" w:name="_Toc29172"/>
      <w:bookmarkStart w:id="1274" w:name="_Toc13239"/>
      <w:bookmarkStart w:id="1275" w:name="_Toc25250"/>
      <w:bookmarkStart w:id="1276" w:name="_Toc16008"/>
      <w:bookmarkStart w:id="1277" w:name="_Toc9036"/>
      <w:bookmarkStart w:id="1278" w:name="_Toc18518"/>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1272"/>
      <w:bookmarkEnd w:id="1273"/>
      <w:bookmarkEnd w:id="1274"/>
      <w:bookmarkEnd w:id="1275"/>
      <w:bookmarkEnd w:id="1276"/>
      <w:bookmarkEnd w:id="1277"/>
      <w:bookmarkEnd w:id="1278"/>
    </w:p>
    <w:p w14:paraId="1FF68728">
      <w:pPr>
        <w:spacing w:line="360" w:lineRule="auto"/>
        <w:ind w:firstLine="422" w:firstLineChars="200"/>
        <w:outlineLvl w:val="1"/>
        <w:rPr>
          <w:rFonts w:ascii="宋体" w:hAnsi="宋体" w:eastAsia="宋体" w:cs="Times New Roman"/>
          <w:b/>
          <w:color w:val="000000"/>
          <w:szCs w:val="21"/>
        </w:rPr>
      </w:pPr>
      <w:bookmarkStart w:id="1279" w:name="_Toc11490"/>
      <w:r>
        <w:rPr>
          <w:rFonts w:hint="eastAsia" w:ascii="宋体" w:hAnsi="宋体" w:eastAsia="宋体" w:cs="Times New Roman"/>
          <w:b/>
          <w:color w:val="000000"/>
          <w:szCs w:val="21"/>
        </w:rPr>
        <w:t>（一）课程具体目标</w:t>
      </w:r>
      <w:bookmarkEnd w:id="1279"/>
    </w:p>
    <w:p w14:paraId="61D9438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 理解课堂观察的内涵</w:t>
      </w:r>
      <w:r>
        <w:rPr>
          <w:rFonts w:hint="eastAsia" w:ascii="Times New Roman" w:hAnsi="Times New Roman" w:eastAsia="宋体" w:cs="Times New Roman"/>
          <w:szCs w:val="21"/>
        </w:rPr>
        <w:t>和</w:t>
      </w:r>
      <w:r>
        <w:rPr>
          <w:rFonts w:ascii="Times New Roman" w:hAnsi="Times New Roman" w:eastAsia="宋体" w:cs="Times New Roman"/>
          <w:szCs w:val="21"/>
        </w:rPr>
        <w:t>意义，了解课堂观察的类型与方法，掌握课堂观察的基本技能，能够运用科学的方法深入现场进行全方位的课堂观察，能够撰写规范的课堂观察报告，能够从课堂观察中吸取经验教训，</w:t>
      </w:r>
      <w:r>
        <w:rPr>
          <w:rFonts w:hint="eastAsia" w:ascii="Times New Roman" w:hAnsi="Times New Roman" w:eastAsia="宋体" w:cs="Times New Roman"/>
          <w:szCs w:val="21"/>
        </w:rPr>
        <w:t>为</w:t>
      </w:r>
      <w:r>
        <w:rPr>
          <w:rFonts w:ascii="Times New Roman" w:hAnsi="Times New Roman" w:eastAsia="宋体" w:cs="Times New Roman"/>
          <w:szCs w:val="21"/>
        </w:rPr>
        <w:t>自己</w:t>
      </w:r>
      <w:r>
        <w:rPr>
          <w:rFonts w:hint="eastAsia" w:ascii="Times New Roman" w:hAnsi="Times New Roman" w:eastAsia="宋体" w:cs="Times New Roman"/>
          <w:szCs w:val="21"/>
        </w:rPr>
        <w:t>今后</w:t>
      </w:r>
      <w:r>
        <w:rPr>
          <w:rFonts w:ascii="Times New Roman" w:hAnsi="Times New Roman" w:eastAsia="宋体" w:cs="Times New Roman"/>
          <w:szCs w:val="21"/>
        </w:rPr>
        <w:t>课堂教学</w:t>
      </w:r>
      <w:r>
        <w:rPr>
          <w:rFonts w:hint="eastAsia" w:ascii="Times New Roman" w:hAnsi="Times New Roman" w:eastAsia="宋体" w:cs="Times New Roman"/>
          <w:szCs w:val="21"/>
        </w:rPr>
        <w:t>提供借鉴</w:t>
      </w:r>
      <w:r>
        <w:rPr>
          <w:rFonts w:ascii="Times New Roman" w:hAnsi="Times New Roman" w:eastAsia="宋体" w:cs="Times New Roman"/>
          <w:szCs w:val="21"/>
        </w:rPr>
        <w:t>。</w:t>
      </w:r>
    </w:p>
    <w:p w14:paraId="46093AF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2.理解模拟教学的内涵，理解模拟教学对于师范生专业发展的意义，</w:t>
      </w:r>
      <w:r>
        <w:rPr>
          <w:rFonts w:hint="eastAsia" w:ascii="Times New Roman" w:hAnsi="Times New Roman" w:eastAsia="宋体" w:cs="Times New Roman"/>
          <w:szCs w:val="21"/>
        </w:rPr>
        <w:t>理解</w:t>
      </w:r>
      <w:r>
        <w:rPr>
          <w:rFonts w:ascii="Times New Roman" w:hAnsi="Times New Roman" w:eastAsia="宋体" w:cs="Times New Roman"/>
          <w:szCs w:val="21"/>
        </w:rPr>
        <w:t>模拟教学的原则，掌握模拟教学的方法，了解模拟教学的一般流程，能够运用现代教学理念开展模拟教学，具有较强的模拟教学能力，能对自己的模拟教学进行正确的评价并作出相应的改进。</w:t>
      </w:r>
    </w:p>
    <w:p w14:paraId="0132653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3.具有较强的研究能力和反思能力。</w:t>
      </w:r>
      <w:r>
        <w:rPr>
          <w:rFonts w:hint="eastAsia" w:ascii="Times New Roman" w:hAnsi="Times New Roman" w:eastAsia="宋体" w:cs="Times New Roman"/>
          <w:szCs w:val="21"/>
        </w:rPr>
        <w:t>养成</w:t>
      </w:r>
      <w:r>
        <w:rPr>
          <w:rFonts w:ascii="Times New Roman" w:hAnsi="Times New Roman" w:eastAsia="宋体" w:cs="Times New Roman"/>
          <w:szCs w:val="21"/>
        </w:rPr>
        <w:t>严谨、踏实的学习和教学态度</w:t>
      </w:r>
      <w:r>
        <w:rPr>
          <w:rFonts w:hint="eastAsia" w:ascii="Times New Roman" w:hAnsi="Times New Roman" w:eastAsia="宋体" w:cs="Times New Roman"/>
          <w:szCs w:val="21"/>
        </w:rPr>
        <w:t>；</w:t>
      </w:r>
      <w:r>
        <w:rPr>
          <w:rFonts w:ascii="Times New Roman" w:hAnsi="Times New Roman" w:eastAsia="宋体" w:cs="Times New Roman"/>
          <w:szCs w:val="21"/>
        </w:rPr>
        <w:t>愿意与他人分享自己的课堂观察和模拟教学经验，能够主动寻求同学和老师的帮助，具有强烈的团队合作意识。</w:t>
      </w:r>
    </w:p>
    <w:p w14:paraId="568D937E">
      <w:pPr>
        <w:spacing w:before="156" w:beforeLines="50" w:after="156" w:afterLines="50" w:line="360" w:lineRule="auto"/>
        <w:jc w:val="left"/>
        <w:outlineLvl w:val="1"/>
        <w:rPr>
          <w:rFonts w:ascii="Times New Roman" w:hAnsi="Times New Roman" w:eastAsia="宋体" w:cs="Times New Roman"/>
          <w:b/>
          <w:bCs/>
          <w:szCs w:val="21"/>
        </w:rPr>
      </w:pPr>
      <w:bookmarkStart w:id="1280" w:name="_Toc11351"/>
      <w:r>
        <w:rPr>
          <w:rFonts w:hint="eastAsia" w:ascii="Times New Roman" w:hAnsi="Times New Roman" w:eastAsia="宋体" w:cs="Times New Roman"/>
          <w:b/>
          <w:bCs/>
          <w:szCs w:val="21"/>
        </w:rPr>
        <w:t>（二）课程目标及其对毕业要求指标点的支撑</w:t>
      </w:r>
      <w:bookmarkEnd w:id="1280"/>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5B4D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4911A6C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37" w:type="dxa"/>
            <w:gridSpan w:val="2"/>
            <w:vAlign w:val="center"/>
          </w:tcPr>
          <w:p w14:paraId="08BDBFC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22ABBE0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929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restart"/>
            <w:vAlign w:val="center"/>
          </w:tcPr>
          <w:p w14:paraId="57290E2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4</w:t>
            </w:r>
            <w:r>
              <w:rPr>
                <w:rFonts w:hint="eastAsia" w:ascii="Times New Roman" w:hAnsi="Times New Roman" w:eastAsia="宋体" w:cs="Times New Roman"/>
                <w:szCs w:val="21"/>
              </w:rPr>
              <w:t>：</w:t>
            </w:r>
            <w:r>
              <w:rPr>
                <w:rFonts w:ascii="Times New Roman" w:hAnsi="Times New Roman" w:eastAsia="宋体" w:cs="Times New Roman"/>
                <w:szCs w:val="21"/>
              </w:rPr>
              <w:t xml:space="preserve"> 教学能力</w:t>
            </w:r>
          </w:p>
        </w:tc>
        <w:tc>
          <w:tcPr>
            <w:tcW w:w="6095" w:type="dxa"/>
            <w:vAlign w:val="center"/>
          </w:tcPr>
          <w:p w14:paraId="57DE38E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29A8A9E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5616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continue"/>
            <w:vAlign w:val="center"/>
          </w:tcPr>
          <w:p w14:paraId="1448F9AD">
            <w:pPr>
              <w:spacing w:line="276" w:lineRule="auto"/>
              <w:jc w:val="center"/>
              <w:rPr>
                <w:rFonts w:ascii="Times New Roman" w:hAnsi="Times New Roman" w:eastAsia="宋体" w:cs="Times New Roman"/>
                <w:szCs w:val="21"/>
              </w:rPr>
            </w:pPr>
          </w:p>
        </w:tc>
        <w:tc>
          <w:tcPr>
            <w:tcW w:w="6095" w:type="dxa"/>
            <w:vAlign w:val="center"/>
          </w:tcPr>
          <w:p w14:paraId="274B585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4-4：【具备教学研究能力】掌握教育研究的基本方法，在教育教学实践中，结合小学教育教学实践进行研究，具有一定的教学研究能力。</w:t>
            </w:r>
          </w:p>
        </w:tc>
        <w:tc>
          <w:tcPr>
            <w:tcW w:w="1327" w:type="dxa"/>
            <w:vAlign w:val="center"/>
          </w:tcPr>
          <w:p w14:paraId="04D448A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08F4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2E59D4A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学会反思</w:t>
            </w:r>
          </w:p>
        </w:tc>
        <w:tc>
          <w:tcPr>
            <w:tcW w:w="6095" w:type="dxa"/>
            <w:vAlign w:val="center"/>
          </w:tcPr>
          <w:p w14:paraId="5D6B6040">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6F93813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0DB26094">
      <w:pPr>
        <w:spacing w:before="156" w:beforeLines="50" w:line="360" w:lineRule="auto"/>
        <w:jc w:val="left"/>
        <w:outlineLvl w:val="1"/>
        <w:rPr>
          <w:rFonts w:ascii="宋体" w:hAnsi="宋体" w:eastAsia="宋体" w:cs="Times New Roman"/>
          <w:b/>
          <w:color w:val="000000"/>
          <w:szCs w:val="21"/>
        </w:rPr>
      </w:pPr>
      <w:bookmarkStart w:id="1281" w:name="_Toc22187"/>
      <w:r>
        <w:rPr>
          <w:rFonts w:hint="eastAsia" w:ascii="宋体" w:hAnsi="宋体" w:eastAsia="宋体" w:cs="Times New Roman"/>
          <w:b/>
          <w:color w:val="000000"/>
          <w:szCs w:val="21"/>
        </w:rPr>
        <w:t>（三）课程思政目标</w:t>
      </w:r>
      <w:bookmarkEnd w:id="1281"/>
    </w:p>
    <w:p w14:paraId="50070F96">
      <w:pPr>
        <w:spacing w:line="360" w:lineRule="auto"/>
        <w:ind w:firstLine="411" w:firstLineChars="196"/>
        <w:jc w:val="left"/>
        <w:rPr>
          <w:rFonts w:ascii="宋体" w:hAnsi="宋体" w:eastAsia="宋体" w:cs="Times New Roman"/>
          <w:color w:val="000000"/>
          <w:szCs w:val="21"/>
        </w:rPr>
      </w:pPr>
      <w:r>
        <w:rPr>
          <w:rFonts w:ascii="宋体" w:hAnsi="宋体" w:eastAsia="宋体" w:cs="Times New Roman"/>
          <w:color w:val="000000"/>
          <w:szCs w:val="21"/>
        </w:rPr>
        <w:t>以“四有”好老师的标准要求自己，进一步巩固专业思想</w:t>
      </w:r>
      <w:r>
        <w:rPr>
          <w:rFonts w:hint="eastAsia" w:ascii="宋体" w:hAnsi="宋体" w:eastAsia="宋体" w:cs="Times New Roman"/>
          <w:color w:val="000000"/>
          <w:szCs w:val="21"/>
        </w:rPr>
        <w:t>，</w:t>
      </w:r>
      <w:r>
        <w:rPr>
          <w:rFonts w:ascii="宋体" w:hAnsi="宋体" w:eastAsia="宋体" w:cs="Times New Roman"/>
          <w:color w:val="000000"/>
          <w:szCs w:val="21"/>
        </w:rPr>
        <w:t>体会数学的严谨性，养成严谨治学的态度</w:t>
      </w:r>
      <w:r>
        <w:rPr>
          <w:rFonts w:hint="eastAsia" w:ascii="宋体" w:hAnsi="宋体" w:eastAsia="宋体" w:cs="Times New Roman"/>
          <w:color w:val="000000"/>
          <w:szCs w:val="21"/>
        </w:rPr>
        <w:t>，</w:t>
      </w:r>
      <w:r>
        <w:rPr>
          <w:rFonts w:ascii="宋体" w:hAnsi="宋体" w:eastAsia="宋体" w:cs="Times New Roman"/>
          <w:color w:val="000000"/>
          <w:szCs w:val="21"/>
        </w:rPr>
        <w:t>掌握科学、严谨的学习方法</w:t>
      </w:r>
      <w:r>
        <w:rPr>
          <w:rFonts w:hint="eastAsia" w:ascii="宋体" w:hAnsi="宋体" w:eastAsia="宋体" w:cs="Times New Roman"/>
          <w:color w:val="000000"/>
          <w:szCs w:val="21"/>
        </w:rPr>
        <w:t>，</w:t>
      </w:r>
      <w:r>
        <w:rPr>
          <w:rFonts w:ascii="宋体" w:hAnsi="宋体" w:eastAsia="宋体" w:cs="Times New Roman"/>
          <w:color w:val="000000"/>
          <w:szCs w:val="21"/>
        </w:rPr>
        <w:t>强化学习意识，注重创新精神和实践能力的提升</w:t>
      </w:r>
      <w:r>
        <w:rPr>
          <w:rFonts w:hint="eastAsia" w:ascii="宋体" w:hAnsi="宋体" w:eastAsia="宋体" w:cs="Times New Roman"/>
          <w:color w:val="000000"/>
          <w:szCs w:val="21"/>
        </w:rPr>
        <w:t>，</w:t>
      </w:r>
      <w:r>
        <w:rPr>
          <w:rFonts w:ascii="宋体" w:hAnsi="宋体" w:eastAsia="宋体" w:cs="Times New Roman"/>
          <w:color w:val="000000"/>
          <w:szCs w:val="21"/>
        </w:rPr>
        <w:t>树立全面的评价理念</w:t>
      </w:r>
      <w:r>
        <w:rPr>
          <w:rFonts w:hint="eastAsia" w:ascii="宋体" w:hAnsi="宋体" w:eastAsia="宋体" w:cs="Times New Roman"/>
          <w:color w:val="000000"/>
          <w:szCs w:val="21"/>
        </w:rPr>
        <w:t>，</w:t>
      </w:r>
      <w:r>
        <w:rPr>
          <w:rFonts w:ascii="宋体" w:hAnsi="宋体" w:eastAsia="宋体" w:cs="Times New Roman"/>
          <w:color w:val="000000"/>
          <w:szCs w:val="21"/>
        </w:rPr>
        <w:t>增强团队合作的意识，争做“四有”好老师。</w:t>
      </w:r>
    </w:p>
    <w:p w14:paraId="50EBE49D">
      <w:pPr>
        <w:spacing w:line="360" w:lineRule="auto"/>
        <w:jc w:val="left"/>
        <w:outlineLvl w:val="0"/>
        <w:rPr>
          <w:rFonts w:ascii="宋体" w:hAnsi="宋体" w:eastAsia="宋体" w:cs="Times New Roman"/>
          <w:b/>
          <w:color w:val="000000"/>
          <w:sz w:val="24"/>
          <w:szCs w:val="24"/>
        </w:rPr>
      </w:pPr>
      <w:bookmarkStart w:id="1282" w:name="_Toc15566"/>
      <w:bookmarkStart w:id="1283" w:name="_Toc10596"/>
      <w:bookmarkStart w:id="1284" w:name="_Toc15871"/>
      <w:bookmarkStart w:id="1285" w:name="_Toc25768"/>
      <w:bookmarkStart w:id="1286" w:name="_Toc20201"/>
      <w:bookmarkStart w:id="1287" w:name="_Toc18602"/>
      <w:bookmarkStart w:id="1288" w:name="_Toc29002"/>
      <w:r>
        <w:rPr>
          <w:rFonts w:hint="eastAsia" w:ascii="宋体" w:hAnsi="宋体" w:eastAsia="宋体" w:cs="Times New Roman"/>
          <w:b/>
          <w:color w:val="000000"/>
          <w:sz w:val="24"/>
          <w:szCs w:val="24"/>
        </w:rPr>
        <w:t>三、教学内容与预期学习成效</w:t>
      </w:r>
      <w:bookmarkEnd w:id="1282"/>
      <w:bookmarkEnd w:id="1283"/>
      <w:bookmarkEnd w:id="1284"/>
      <w:bookmarkEnd w:id="1285"/>
      <w:bookmarkEnd w:id="1286"/>
      <w:bookmarkEnd w:id="1287"/>
      <w:bookmarkEnd w:id="1288"/>
    </w:p>
    <w:tbl>
      <w:tblPr>
        <w:tblStyle w:val="11"/>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1B0B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5BF639A5">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FE5AFD1">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4" w:type="dxa"/>
            <w:vAlign w:val="center"/>
          </w:tcPr>
          <w:p w14:paraId="318D6062">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5" w:type="dxa"/>
            <w:vAlign w:val="center"/>
          </w:tcPr>
          <w:p w14:paraId="19178E2F">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DC62F00">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6" w:type="dxa"/>
            <w:vAlign w:val="center"/>
          </w:tcPr>
          <w:p w14:paraId="6553B20F">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3" w:type="dxa"/>
            <w:vAlign w:val="center"/>
          </w:tcPr>
          <w:p w14:paraId="1DB31872">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40" w:type="dxa"/>
            <w:vAlign w:val="center"/>
          </w:tcPr>
          <w:p w14:paraId="7601E8FC">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1422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70958EB7">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课堂观察与模拟教学概述</w:t>
            </w:r>
          </w:p>
        </w:tc>
        <w:tc>
          <w:tcPr>
            <w:tcW w:w="1704" w:type="dxa"/>
            <w:vAlign w:val="center"/>
          </w:tcPr>
          <w:p w14:paraId="580A8DB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⑴课堂观察与模拟教学的内涵</w:t>
            </w:r>
          </w:p>
          <w:p w14:paraId="13C8EAE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⑵课堂观察与模拟教学的意义</w:t>
            </w:r>
          </w:p>
          <w:p w14:paraId="61CB891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⑶课堂观察与模拟教学的任务</w:t>
            </w:r>
          </w:p>
        </w:tc>
        <w:tc>
          <w:tcPr>
            <w:tcW w:w="1135" w:type="dxa"/>
            <w:vAlign w:val="center"/>
          </w:tcPr>
          <w:p w14:paraId="2B8271F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36D6749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1）理解课堂观察与模拟教学的内涵</w:t>
            </w:r>
          </w:p>
          <w:p w14:paraId="73A9857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2）明确课堂观察与模拟教学的意义</w:t>
            </w:r>
          </w:p>
          <w:p w14:paraId="7D8FFD3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3）了解课堂观察的任务</w:t>
            </w:r>
          </w:p>
        </w:tc>
        <w:tc>
          <w:tcPr>
            <w:tcW w:w="1563" w:type="dxa"/>
            <w:vAlign w:val="center"/>
          </w:tcPr>
          <w:p w14:paraId="4408771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587C3DF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61E5439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0" w:type="dxa"/>
            <w:vAlign w:val="center"/>
          </w:tcPr>
          <w:p w14:paraId="2FB59556">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422B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73F9D557">
            <w:pPr>
              <w:spacing w:line="264" w:lineRule="auto"/>
              <w:jc w:val="center"/>
              <w:rPr>
                <w:rFonts w:ascii="宋体" w:hAnsi="宋体" w:eastAsia="宋体" w:cs="Times New Roman"/>
                <w:color w:val="000000"/>
                <w:szCs w:val="21"/>
              </w:rPr>
            </w:pPr>
          </w:p>
        </w:tc>
        <w:tc>
          <w:tcPr>
            <w:tcW w:w="8110" w:type="dxa"/>
            <w:gridSpan w:val="5"/>
            <w:vAlign w:val="center"/>
          </w:tcPr>
          <w:p w14:paraId="2A57E53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体会数学的严谨性，养成严谨治学的态度</w:t>
            </w:r>
            <w:r>
              <w:rPr>
                <w:rFonts w:hint="eastAsia" w:ascii="宋体" w:hAnsi="宋体" w:eastAsia="宋体" w:cs="Times New Roman"/>
                <w:color w:val="000000"/>
                <w:szCs w:val="21"/>
              </w:rPr>
              <w:t>，</w:t>
            </w:r>
            <w:r>
              <w:rPr>
                <w:rFonts w:ascii="宋体" w:hAnsi="宋体" w:eastAsia="宋体" w:cs="Times New Roman"/>
                <w:color w:val="000000"/>
                <w:szCs w:val="21"/>
              </w:rPr>
              <w:t>争做“四有”好老师。</w:t>
            </w:r>
          </w:p>
        </w:tc>
      </w:tr>
      <w:tr w14:paraId="47D1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6DB9DCC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课堂观察的类型与方法</w:t>
            </w:r>
          </w:p>
        </w:tc>
        <w:tc>
          <w:tcPr>
            <w:tcW w:w="1704" w:type="dxa"/>
            <w:vAlign w:val="center"/>
          </w:tcPr>
          <w:p w14:paraId="04F82A4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⑴课堂观察的类型</w:t>
            </w:r>
          </w:p>
          <w:p w14:paraId="286F9FC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⑵课堂观察的方法</w:t>
            </w:r>
          </w:p>
        </w:tc>
        <w:tc>
          <w:tcPr>
            <w:tcW w:w="1135" w:type="dxa"/>
            <w:vAlign w:val="center"/>
          </w:tcPr>
          <w:p w14:paraId="50F66EA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266" w:type="dxa"/>
            <w:vAlign w:val="center"/>
          </w:tcPr>
          <w:p w14:paraId="63443BD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1）了解课堂观察的基本类型及特点</w:t>
            </w:r>
          </w:p>
          <w:p w14:paraId="19321BB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2）掌握常用的课堂观察方法</w:t>
            </w:r>
          </w:p>
        </w:tc>
        <w:tc>
          <w:tcPr>
            <w:tcW w:w="1563" w:type="dxa"/>
            <w:vAlign w:val="center"/>
          </w:tcPr>
          <w:p w14:paraId="1A6F16D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1CB6C7D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35F1F47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0" w:type="dxa"/>
            <w:vAlign w:val="center"/>
          </w:tcPr>
          <w:p w14:paraId="3285D723">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0D6A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3BF8DDB5">
            <w:pPr>
              <w:spacing w:line="264" w:lineRule="auto"/>
              <w:jc w:val="center"/>
              <w:rPr>
                <w:rFonts w:ascii="宋体" w:hAnsi="宋体" w:eastAsia="宋体" w:cs="Times New Roman"/>
                <w:color w:val="000000"/>
                <w:szCs w:val="21"/>
              </w:rPr>
            </w:pPr>
          </w:p>
        </w:tc>
        <w:tc>
          <w:tcPr>
            <w:tcW w:w="8110" w:type="dxa"/>
            <w:gridSpan w:val="5"/>
            <w:vAlign w:val="center"/>
          </w:tcPr>
          <w:p w14:paraId="0628031C">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1）掌握科学、严谨的学习方法。</w:t>
            </w: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养成</w:t>
            </w:r>
            <w:r>
              <w:rPr>
                <w:rFonts w:ascii="宋体" w:hAnsi="宋体" w:eastAsia="宋体" w:cs="Times New Roman"/>
                <w:color w:val="000000"/>
                <w:szCs w:val="21"/>
              </w:rPr>
              <w:t>学习他人先进理念和教学经验的意识。</w:t>
            </w:r>
          </w:p>
        </w:tc>
      </w:tr>
      <w:tr w14:paraId="404F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25135D6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课堂观察的实施</w:t>
            </w:r>
          </w:p>
        </w:tc>
        <w:tc>
          <w:tcPr>
            <w:tcW w:w="1704" w:type="dxa"/>
            <w:vAlign w:val="center"/>
          </w:tcPr>
          <w:p w14:paraId="2FFB4F7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⑴课堂观察的准备</w:t>
            </w:r>
          </w:p>
          <w:p w14:paraId="052838F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⑵课堂观察的具体实施</w:t>
            </w:r>
          </w:p>
          <w:p w14:paraId="5EE074D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⑶课堂观察报告的撰写</w:t>
            </w:r>
          </w:p>
        </w:tc>
        <w:tc>
          <w:tcPr>
            <w:tcW w:w="1135" w:type="dxa"/>
            <w:vAlign w:val="center"/>
          </w:tcPr>
          <w:p w14:paraId="4F4082F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r>
              <w:rPr>
                <w:rFonts w:hint="eastAsia" w:ascii="宋体" w:hAnsi="宋体" w:eastAsia="宋体" w:cs="Times New Roman"/>
                <w:color w:val="000000"/>
                <w:szCs w:val="21"/>
              </w:rPr>
              <w:t>、3</w:t>
            </w:r>
          </w:p>
        </w:tc>
        <w:tc>
          <w:tcPr>
            <w:tcW w:w="3266" w:type="dxa"/>
            <w:vAlign w:val="center"/>
          </w:tcPr>
          <w:p w14:paraId="235C2C2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1）知道如何做好课堂观察的准备</w:t>
            </w:r>
          </w:p>
          <w:p w14:paraId="242BB11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2）能够运用科学的方法开展课堂观察</w:t>
            </w:r>
          </w:p>
          <w:p w14:paraId="5CD8136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3）能够撰写较为全面课堂观察报告</w:t>
            </w:r>
          </w:p>
        </w:tc>
        <w:tc>
          <w:tcPr>
            <w:tcW w:w="1563" w:type="dxa"/>
            <w:vAlign w:val="center"/>
          </w:tcPr>
          <w:p w14:paraId="6223A8E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515B405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3269D302">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.观察实践</w:t>
            </w:r>
          </w:p>
          <w:p w14:paraId="565F235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352D2386">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12</w:t>
            </w:r>
          </w:p>
        </w:tc>
      </w:tr>
      <w:tr w14:paraId="2498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5D736341">
            <w:pPr>
              <w:spacing w:line="264" w:lineRule="auto"/>
              <w:jc w:val="center"/>
              <w:rPr>
                <w:rFonts w:ascii="宋体" w:hAnsi="宋体" w:eastAsia="宋体" w:cs="Times New Roman"/>
                <w:color w:val="000000"/>
                <w:szCs w:val="21"/>
              </w:rPr>
            </w:pPr>
          </w:p>
        </w:tc>
        <w:tc>
          <w:tcPr>
            <w:tcW w:w="8110" w:type="dxa"/>
            <w:gridSpan w:val="5"/>
            <w:vAlign w:val="center"/>
          </w:tcPr>
          <w:p w14:paraId="58142EED">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1）学习优秀教师的教学经验和专业情怀。</w:t>
            </w:r>
            <w:r>
              <w:rPr>
                <w:rFonts w:hint="eastAsia" w:ascii="宋体" w:hAnsi="宋体" w:eastAsia="宋体" w:cs="Times New Roman"/>
                <w:color w:val="000000"/>
                <w:szCs w:val="21"/>
              </w:rPr>
              <w:t>（</w:t>
            </w:r>
            <w:r>
              <w:rPr>
                <w:rFonts w:ascii="宋体" w:hAnsi="宋体" w:eastAsia="宋体" w:cs="Times New Roman"/>
                <w:color w:val="000000"/>
                <w:szCs w:val="21"/>
              </w:rPr>
              <w:t>2）养成踏实、严谨的学习习惯。</w:t>
            </w:r>
          </w:p>
        </w:tc>
      </w:tr>
      <w:tr w14:paraId="75F8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427E501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模拟教学的原则</w:t>
            </w:r>
          </w:p>
        </w:tc>
        <w:tc>
          <w:tcPr>
            <w:tcW w:w="1704" w:type="dxa"/>
            <w:vAlign w:val="center"/>
          </w:tcPr>
          <w:p w14:paraId="6A5264C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⑴影响模拟教学的主要因素</w:t>
            </w:r>
          </w:p>
          <w:p w14:paraId="077C4A4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⑵模拟教学的一般原则</w:t>
            </w:r>
          </w:p>
        </w:tc>
        <w:tc>
          <w:tcPr>
            <w:tcW w:w="1135" w:type="dxa"/>
            <w:vAlign w:val="center"/>
          </w:tcPr>
          <w:p w14:paraId="1561F00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1E72FCF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1）了解影响模拟教学的主要因素</w:t>
            </w:r>
          </w:p>
          <w:p w14:paraId="3DF78DB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2）理解模拟教学应遵循的一般原则</w:t>
            </w:r>
          </w:p>
          <w:p w14:paraId="2E31065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3）明确模拟教学的基本要求</w:t>
            </w:r>
          </w:p>
        </w:tc>
        <w:tc>
          <w:tcPr>
            <w:tcW w:w="1563" w:type="dxa"/>
            <w:vAlign w:val="center"/>
          </w:tcPr>
          <w:p w14:paraId="060BF13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151758C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49DA9D3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3660BC8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61F46FED">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7451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079512C2">
            <w:pPr>
              <w:spacing w:line="276" w:lineRule="auto"/>
              <w:jc w:val="center"/>
              <w:rPr>
                <w:rFonts w:ascii="宋体" w:hAnsi="宋体" w:eastAsia="宋体" w:cs="Times New Roman"/>
                <w:color w:val="000000"/>
                <w:szCs w:val="21"/>
              </w:rPr>
            </w:pPr>
          </w:p>
        </w:tc>
        <w:tc>
          <w:tcPr>
            <w:tcW w:w="8110" w:type="dxa"/>
            <w:gridSpan w:val="5"/>
            <w:vAlign w:val="center"/>
          </w:tcPr>
          <w:p w14:paraId="167D7F29">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1）强化学习意识，注重创新精神和实践能力的提升。</w:t>
            </w:r>
            <w:r>
              <w:rPr>
                <w:rFonts w:hint="eastAsia" w:ascii="宋体" w:hAnsi="宋体" w:eastAsia="宋体" w:cs="Times New Roman"/>
                <w:color w:val="000000"/>
                <w:szCs w:val="21"/>
              </w:rPr>
              <w:t>（</w:t>
            </w:r>
            <w:r>
              <w:rPr>
                <w:rFonts w:ascii="宋体" w:hAnsi="宋体" w:eastAsia="宋体" w:cs="Times New Roman"/>
                <w:color w:val="000000"/>
                <w:szCs w:val="21"/>
              </w:rPr>
              <w:t>2）提高专业学习的严谨性。</w:t>
            </w:r>
          </w:p>
        </w:tc>
      </w:tr>
      <w:tr w14:paraId="3530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206" w:type="dxa"/>
            <w:vMerge w:val="restart"/>
            <w:vAlign w:val="center"/>
          </w:tcPr>
          <w:p w14:paraId="6F2A263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rPr>
              <w:t xml:space="preserve"> </w:t>
            </w:r>
            <w:r>
              <w:rPr>
                <w:rFonts w:hint="eastAsia" w:ascii="宋体" w:hAnsi="宋体" w:eastAsia="宋体" w:cs="Times New Roman"/>
                <w:color w:val="000000"/>
                <w:szCs w:val="21"/>
              </w:rPr>
              <w:t>模拟教学的流程</w:t>
            </w:r>
          </w:p>
        </w:tc>
        <w:tc>
          <w:tcPr>
            <w:tcW w:w="1704" w:type="dxa"/>
            <w:vAlign w:val="center"/>
          </w:tcPr>
          <w:p w14:paraId="2243B10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⑴模拟教学的一般流程</w:t>
            </w:r>
          </w:p>
          <w:p w14:paraId="6B3FDA1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⑵模拟教学案例分析</w:t>
            </w:r>
          </w:p>
        </w:tc>
        <w:tc>
          <w:tcPr>
            <w:tcW w:w="1135" w:type="dxa"/>
            <w:vAlign w:val="center"/>
          </w:tcPr>
          <w:p w14:paraId="3CB9CC1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395D9C6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1）了解模拟教学的一般流程</w:t>
            </w:r>
          </w:p>
          <w:p w14:paraId="7D0040D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2）知道如何进行有效的模拟教学</w:t>
            </w:r>
          </w:p>
          <w:p w14:paraId="596EF20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3）能较好地进行模拟教学</w:t>
            </w:r>
          </w:p>
        </w:tc>
        <w:tc>
          <w:tcPr>
            <w:tcW w:w="1563" w:type="dxa"/>
            <w:vAlign w:val="center"/>
          </w:tcPr>
          <w:p w14:paraId="2652708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01BA034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067157E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726460E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62677878">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3172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3FAAF009">
            <w:pPr>
              <w:spacing w:line="276" w:lineRule="auto"/>
              <w:jc w:val="center"/>
              <w:rPr>
                <w:rFonts w:ascii="宋体" w:hAnsi="宋体" w:eastAsia="宋体" w:cs="Times New Roman"/>
                <w:color w:val="000000"/>
                <w:szCs w:val="21"/>
              </w:rPr>
            </w:pPr>
          </w:p>
        </w:tc>
        <w:tc>
          <w:tcPr>
            <w:tcW w:w="8110" w:type="dxa"/>
            <w:gridSpan w:val="5"/>
            <w:vAlign w:val="center"/>
          </w:tcPr>
          <w:p w14:paraId="29800BEA">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1）增强团队合作意识与沟通表达能力。</w:t>
            </w:r>
            <w:r>
              <w:rPr>
                <w:rFonts w:hint="eastAsia" w:ascii="宋体" w:hAnsi="宋体" w:eastAsia="宋体" w:cs="Times New Roman"/>
                <w:color w:val="000000"/>
                <w:szCs w:val="21"/>
              </w:rPr>
              <w:t>（</w:t>
            </w:r>
            <w:r>
              <w:rPr>
                <w:rFonts w:ascii="宋体" w:hAnsi="宋体" w:eastAsia="宋体" w:cs="Times New Roman"/>
                <w:color w:val="000000"/>
                <w:szCs w:val="21"/>
              </w:rPr>
              <w:t>2）养成虚心学习和不断进取的意识。</w:t>
            </w:r>
          </w:p>
        </w:tc>
      </w:tr>
      <w:tr w14:paraId="6C33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1206" w:type="dxa"/>
            <w:vMerge w:val="restart"/>
            <w:vAlign w:val="center"/>
          </w:tcPr>
          <w:p w14:paraId="34B7EF54">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6.</w:t>
            </w:r>
            <w:r>
              <w:rPr>
                <w:rFonts w:hint="eastAsia"/>
              </w:rPr>
              <w:t xml:space="preserve"> 模拟教学的训练与指导</w:t>
            </w:r>
          </w:p>
        </w:tc>
        <w:tc>
          <w:tcPr>
            <w:tcW w:w="1704" w:type="dxa"/>
            <w:vAlign w:val="center"/>
          </w:tcPr>
          <w:p w14:paraId="2AE016E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⑴模拟教学训练</w:t>
            </w:r>
          </w:p>
          <w:p w14:paraId="2085AC2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⑵模拟教学指导</w:t>
            </w:r>
          </w:p>
        </w:tc>
        <w:tc>
          <w:tcPr>
            <w:tcW w:w="1135" w:type="dxa"/>
            <w:vAlign w:val="center"/>
          </w:tcPr>
          <w:p w14:paraId="2F1BFB3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6C85795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1）能够在理论的指导下开展经常性的模拟教学训练</w:t>
            </w:r>
          </w:p>
          <w:p w14:paraId="2FBF937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2）较为熟练地掌握模拟教学的技能</w:t>
            </w:r>
          </w:p>
          <w:p w14:paraId="3F0C194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3）能虚心听取老师和同学们的建议</w:t>
            </w:r>
          </w:p>
        </w:tc>
        <w:tc>
          <w:tcPr>
            <w:tcW w:w="1563" w:type="dxa"/>
            <w:vAlign w:val="center"/>
          </w:tcPr>
          <w:p w14:paraId="41366C4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24A4A26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63C349C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71B0278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69AFE6DC">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10</w:t>
            </w:r>
          </w:p>
        </w:tc>
      </w:tr>
      <w:tr w14:paraId="424A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248CE055">
            <w:pPr>
              <w:spacing w:line="276" w:lineRule="auto"/>
              <w:jc w:val="center"/>
              <w:rPr>
                <w:rFonts w:ascii="宋体" w:hAnsi="宋体" w:eastAsia="宋体" w:cs="Times New Roman"/>
                <w:color w:val="000000"/>
                <w:szCs w:val="21"/>
              </w:rPr>
            </w:pPr>
          </w:p>
        </w:tc>
        <w:tc>
          <w:tcPr>
            <w:tcW w:w="8110" w:type="dxa"/>
            <w:gridSpan w:val="5"/>
            <w:vAlign w:val="center"/>
          </w:tcPr>
          <w:p w14:paraId="0D4C511C">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1）增强团队合作意识。</w:t>
            </w:r>
            <w:r>
              <w:rPr>
                <w:rFonts w:hint="eastAsia" w:ascii="宋体" w:hAnsi="宋体" w:eastAsia="宋体" w:cs="Times New Roman"/>
                <w:color w:val="000000"/>
                <w:szCs w:val="21"/>
              </w:rPr>
              <w:t>（</w:t>
            </w:r>
            <w:r>
              <w:rPr>
                <w:rFonts w:ascii="宋体" w:hAnsi="宋体" w:eastAsia="宋体" w:cs="Times New Roman"/>
                <w:color w:val="000000"/>
                <w:szCs w:val="21"/>
              </w:rPr>
              <w:t>2）养成坚持不懈的意志品质，进一步巩固专业思想。</w:t>
            </w:r>
          </w:p>
        </w:tc>
      </w:tr>
      <w:tr w14:paraId="4A43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1206" w:type="dxa"/>
            <w:vMerge w:val="restart"/>
            <w:vAlign w:val="center"/>
          </w:tcPr>
          <w:p w14:paraId="4DF17116">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7.</w:t>
            </w:r>
            <w:r>
              <w:rPr>
                <w:rFonts w:hint="eastAsia"/>
              </w:rPr>
              <w:t xml:space="preserve"> </w:t>
            </w:r>
            <w:r>
              <w:rPr>
                <w:rFonts w:hint="eastAsia" w:ascii="宋体" w:hAnsi="宋体" w:eastAsia="宋体" w:cs="Times New Roman"/>
                <w:color w:val="000000"/>
                <w:szCs w:val="21"/>
              </w:rPr>
              <w:t>模拟教学的评价</w:t>
            </w:r>
          </w:p>
        </w:tc>
        <w:tc>
          <w:tcPr>
            <w:tcW w:w="1704" w:type="dxa"/>
            <w:vAlign w:val="center"/>
          </w:tcPr>
          <w:p w14:paraId="4EEE36C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⑴模拟教学的评价标准</w:t>
            </w:r>
          </w:p>
          <w:p w14:paraId="60572BC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⑵模拟教学的评价方法</w:t>
            </w:r>
          </w:p>
        </w:tc>
        <w:tc>
          <w:tcPr>
            <w:tcW w:w="1135" w:type="dxa"/>
            <w:vAlign w:val="center"/>
          </w:tcPr>
          <w:p w14:paraId="2EDF818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3266" w:type="dxa"/>
            <w:vAlign w:val="center"/>
          </w:tcPr>
          <w:p w14:paraId="5A7F11D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1）明确模拟教学的评价标准</w:t>
            </w:r>
          </w:p>
          <w:p w14:paraId="5900266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2）知道如何开展模拟教学评价</w:t>
            </w:r>
          </w:p>
          <w:p w14:paraId="5993F7B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3）能在全面评价的基础上进一步改进模拟教学</w:t>
            </w:r>
          </w:p>
        </w:tc>
        <w:tc>
          <w:tcPr>
            <w:tcW w:w="1563" w:type="dxa"/>
            <w:vAlign w:val="center"/>
          </w:tcPr>
          <w:p w14:paraId="24BFA6B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1.理论讲解</w:t>
            </w:r>
          </w:p>
          <w:p w14:paraId="739C478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2.课堂讨论</w:t>
            </w:r>
          </w:p>
          <w:p w14:paraId="673A2D8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.模拟教学</w:t>
            </w:r>
          </w:p>
          <w:p w14:paraId="17C025B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40" w:type="dxa"/>
            <w:vAlign w:val="center"/>
          </w:tcPr>
          <w:p w14:paraId="770371D7">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r>
      <w:tr w14:paraId="44BB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06" w:type="dxa"/>
            <w:vMerge w:val="continue"/>
            <w:vAlign w:val="center"/>
          </w:tcPr>
          <w:p w14:paraId="4734FC9C">
            <w:pPr>
              <w:spacing w:line="276" w:lineRule="auto"/>
              <w:jc w:val="center"/>
              <w:rPr>
                <w:rFonts w:ascii="宋体" w:hAnsi="宋体" w:eastAsia="宋体" w:cs="Times New Roman"/>
                <w:color w:val="000000"/>
                <w:szCs w:val="21"/>
              </w:rPr>
            </w:pPr>
          </w:p>
        </w:tc>
        <w:tc>
          <w:tcPr>
            <w:tcW w:w="8110" w:type="dxa"/>
            <w:gridSpan w:val="5"/>
            <w:vAlign w:val="center"/>
          </w:tcPr>
          <w:p w14:paraId="648CF0F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w:t>
            </w:r>
            <w:r>
              <w:rPr>
                <w:rFonts w:ascii="宋体" w:hAnsi="宋体" w:eastAsia="宋体" w:cs="Times New Roman"/>
                <w:color w:val="000000"/>
                <w:szCs w:val="21"/>
              </w:rPr>
              <w:t>1）树立全面的评价理念。</w:t>
            </w:r>
            <w:r>
              <w:rPr>
                <w:rFonts w:hint="eastAsia" w:ascii="宋体" w:hAnsi="宋体" w:eastAsia="宋体" w:cs="Times New Roman"/>
                <w:color w:val="000000"/>
                <w:szCs w:val="21"/>
              </w:rPr>
              <w:t>（</w:t>
            </w:r>
            <w:r>
              <w:rPr>
                <w:rFonts w:ascii="宋体" w:hAnsi="宋体" w:eastAsia="宋体" w:cs="Times New Roman"/>
                <w:color w:val="000000"/>
                <w:szCs w:val="21"/>
              </w:rPr>
              <w:t>2）增强团队合作的意识。</w:t>
            </w:r>
          </w:p>
        </w:tc>
      </w:tr>
    </w:tbl>
    <w:p w14:paraId="16FBAB5F">
      <w:pPr>
        <w:spacing w:line="360" w:lineRule="auto"/>
        <w:jc w:val="left"/>
        <w:rPr>
          <w:rFonts w:ascii="Times New Roman" w:hAnsi="Times New Roman" w:eastAsia="宋体" w:cs="Times New Roman"/>
          <w:sz w:val="24"/>
          <w:szCs w:val="24"/>
        </w:rPr>
      </w:pPr>
    </w:p>
    <w:p w14:paraId="6DE5774D">
      <w:pPr>
        <w:spacing w:line="360" w:lineRule="auto"/>
        <w:jc w:val="left"/>
        <w:outlineLvl w:val="0"/>
        <w:rPr>
          <w:rFonts w:ascii="Times New Roman" w:hAnsi="Times New Roman" w:eastAsia="宋体" w:cs="Times New Roman"/>
          <w:sz w:val="24"/>
          <w:szCs w:val="24"/>
        </w:rPr>
      </w:pPr>
      <w:bookmarkStart w:id="1289" w:name="_Toc2239"/>
      <w:bookmarkStart w:id="1290" w:name="_Toc15962"/>
      <w:bookmarkStart w:id="1291" w:name="_Toc19751"/>
      <w:bookmarkStart w:id="1292" w:name="_Toc30849"/>
      <w:bookmarkStart w:id="1293" w:name="_Toc22919"/>
      <w:bookmarkStart w:id="1294" w:name="_Toc1540"/>
      <w:bookmarkStart w:id="1295" w:name="_Toc493"/>
      <w:r>
        <w:rPr>
          <w:rFonts w:hint="eastAsia" w:ascii="宋体" w:hAnsi="宋体" w:eastAsia="宋体" w:cs="Times New Roman"/>
          <w:b/>
          <w:color w:val="000000"/>
          <w:sz w:val="24"/>
          <w:szCs w:val="24"/>
        </w:rPr>
        <w:t>四、目标评价与成绩评定</w:t>
      </w:r>
      <w:bookmarkEnd w:id="1289"/>
      <w:bookmarkEnd w:id="1290"/>
      <w:bookmarkEnd w:id="1291"/>
      <w:bookmarkEnd w:id="1292"/>
      <w:bookmarkEnd w:id="1293"/>
      <w:bookmarkEnd w:id="1294"/>
      <w:bookmarkEnd w:id="1295"/>
    </w:p>
    <w:p w14:paraId="7EE6A976">
      <w:pPr>
        <w:spacing w:line="360" w:lineRule="auto"/>
        <w:jc w:val="left"/>
        <w:outlineLvl w:val="1"/>
        <w:rPr>
          <w:rFonts w:ascii="Times New Roman" w:hAnsi="Times New Roman" w:eastAsia="宋体" w:cs="Times New Roman"/>
          <w:b/>
          <w:szCs w:val="21"/>
        </w:rPr>
      </w:pPr>
      <w:bookmarkStart w:id="1296" w:name="_Toc10673"/>
      <w:r>
        <w:rPr>
          <w:rFonts w:hint="eastAsia" w:ascii="Times New Roman" w:hAnsi="Times New Roman" w:eastAsia="宋体" w:cs="Times New Roman"/>
          <w:b/>
          <w:szCs w:val="21"/>
        </w:rPr>
        <w:t>（一）课程目标评价方式</w:t>
      </w:r>
      <w:bookmarkEnd w:id="1296"/>
    </w:p>
    <w:p w14:paraId="34DA88F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311511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71D0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5B6E8E85">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5DA6DC9F">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4953FD4F">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2678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064E16BF">
            <w:pPr>
              <w:spacing w:line="360" w:lineRule="auto"/>
              <w:jc w:val="center"/>
              <w:rPr>
                <w:rFonts w:ascii="宋体" w:hAnsi="宋体" w:eastAsia="宋体" w:cs="Times New Roman"/>
                <w:szCs w:val="21"/>
              </w:rPr>
            </w:pPr>
          </w:p>
        </w:tc>
        <w:tc>
          <w:tcPr>
            <w:tcW w:w="0" w:type="auto"/>
            <w:vAlign w:val="center"/>
          </w:tcPr>
          <w:p w14:paraId="7981CFA2">
            <w:pPr>
              <w:spacing w:line="360" w:lineRule="auto"/>
              <w:jc w:val="center"/>
              <w:rPr>
                <w:rFonts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0B1F18DB">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5B51F47">
            <w:pPr>
              <w:spacing w:line="360" w:lineRule="auto"/>
              <w:jc w:val="center"/>
              <w:rPr>
                <w:rFonts w:ascii="宋体" w:hAnsi="宋体" w:eastAsia="宋体" w:cs="Times New Roman"/>
                <w:szCs w:val="21"/>
              </w:rPr>
            </w:pPr>
            <w:r>
              <w:rPr>
                <w:rFonts w:hint="eastAsia" w:ascii="宋体" w:hAnsi="宋体" w:eastAsia="宋体" w:cs="Times New Roman"/>
                <w:szCs w:val="21"/>
              </w:rPr>
              <w:t>课内实践</w:t>
            </w:r>
          </w:p>
        </w:tc>
        <w:tc>
          <w:tcPr>
            <w:tcW w:w="0" w:type="auto"/>
            <w:vAlign w:val="center"/>
          </w:tcPr>
          <w:p w14:paraId="0A77E5B5">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5C638631">
            <w:pPr>
              <w:spacing w:line="360" w:lineRule="auto"/>
              <w:jc w:val="center"/>
              <w:rPr>
                <w:rFonts w:ascii="宋体" w:hAnsi="宋体" w:eastAsia="宋体" w:cs="Times New Roman"/>
                <w:szCs w:val="21"/>
              </w:rPr>
            </w:pPr>
          </w:p>
        </w:tc>
      </w:tr>
      <w:tr w14:paraId="469A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3DA292F3">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94BBFC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C60F98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2D2610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A66F38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745BCC4">
            <w:pPr>
              <w:spacing w:line="360" w:lineRule="auto"/>
              <w:jc w:val="center"/>
              <w:rPr>
                <w:rFonts w:ascii="宋体" w:hAnsi="宋体" w:eastAsia="宋体" w:cs="Times New Roman"/>
                <w:szCs w:val="21"/>
              </w:rPr>
            </w:pPr>
            <w:r>
              <w:rPr>
                <w:rFonts w:ascii="宋体" w:hAnsi="宋体" w:eastAsia="宋体" w:cs="Times New Roman"/>
                <w:szCs w:val="21"/>
              </w:rPr>
              <w:t>25</w:t>
            </w:r>
          </w:p>
        </w:tc>
      </w:tr>
      <w:tr w14:paraId="54D1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2A12687C">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0D4ECD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F9DBE2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47A43E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3CE0DA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06E620B">
            <w:pPr>
              <w:spacing w:line="360" w:lineRule="auto"/>
              <w:jc w:val="center"/>
              <w:rPr>
                <w:rFonts w:ascii="宋体" w:hAnsi="宋体" w:eastAsia="宋体" w:cs="Times New Roman"/>
                <w:szCs w:val="21"/>
              </w:rPr>
            </w:pPr>
            <w:r>
              <w:rPr>
                <w:rFonts w:ascii="宋体" w:hAnsi="宋体" w:eastAsia="宋体" w:cs="Times New Roman"/>
                <w:szCs w:val="21"/>
              </w:rPr>
              <w:t>50</w:t>
            </w:r>
          </w:p>
        </w:tc>
      </w:tr>
      <w:tr w14:paraId="1988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6E25F6B7">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99ED4F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C4CBC2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76AAEB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94FFF1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16E678B">
            <w:pPr>
              <w:spacing w:line="360" w:lineRule="auto"/>
              <w:jc w:val="center"/>
              <w:rPr>
                <w:rFonts w:ascii="宋体" w:hAnsi="宋体" w:eastAsia="宋体" w:cs="Times New Roman"/>
                <w:szCs w:val="21"/>
              </w:rPr>
            </w:pPr>
            <w:r>
              <w:rPr>
                <w:rFonts w:ascii="宋体" w:hAnsi="宋体" w:eastAsia="宋体" w:cs="Times New Roman"/>
                <w:szCs w:val="21"/>
              </w:rPr>
              <w:t>25</w:t>
            </w:r>
          </w:p>
        </w:tc>
      </w:tr>
      <w:tr w14:paraId="2AE7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6F68D9E2">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6A4626FF">
            <w:pPr>
              <w:spacing w:line="360" w:lineRule="auto"/>
              <w:jc w:val="center"/>
              <w:rPr>
                <w:rFonts w:ascii="宋体" w:hAnsi="宋体" w:eastAsia="宋体" w:cs="Times New Roman"/>
                <w:szCs w:val="21"/>
              </w:rPr>
            </w:pPr>
            <w:r>
              <w:rPr>
                <w:rFonts w:ascii="宋体" w:hAnsi="宋体" w:eastAsia="宋体" w:cs="Times New Roman"/>
                <w:szCs w:val="21"/>
              </w:rPr>
              <w:t>20</w:t>
            </w:r>
          </w:p>
        </w:tc>
        <w:tc>
          <w:tcPr>
            <w:tcW w:w="0" w:type="auto"/>
            <w:vAlign w:val="center"/>
          </w:tcPr>
          <w:p w14:paraId="087286D0">
            <w:pPr>
              <w:spacing w:line="360" w:lineRule="auto"/>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1DB32343">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0" w:type="auto"/>
            <w:vAlign w:val="center"/>
          </w:tcPr>
          <w:p w14:paraId="724A91F4">
            <w:pPr>
              <w:spacing w:line="360" w:lineRule="auto"/>
              <w:jc w:val="center"/>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499AEED2">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DFE42F8">
      <w:pPr>
        <w:spacing w:before="156" w:beforeLines="50" w:line="360" w:lineRule="auto"/>
        <w:jc w:val="left"/>
        <w:outlineLvl w:val="1"/>
        <w:rPr>
          <w:rFonts w:ascii="Times New Roman" w:hAnsi="Times New Roman" w:eastAsia="宋体" w:cs="Times New Roman"/>
          <w:b/>
          <w:szCs w:val="21"/>
        </w:rPr>
      </w:pPr>
      <w:bookmarkStart w:id="1297" w:name="_Toc19201"/>
      <w:r>
        <w:rPr>
          <w:rFonts w:hint="eastAsia" w:ascii="Times New Roman" w:hAnsi="Times New Roman" w:eastAsia="宋体" w:cs="Times New Roman"/>
          <w:b/>
          <w:szCs w:val="21"/>
        </w:rPr>
        <w:t>（二）成绩评定细则</w:t>
      </w:r>
      <w:bookmarkEnd w:id="1297"/>
    </w:p>
    <w:p w14:paraId="22B89CC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588039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6C74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F34C07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40752A6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F7AF95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C5C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42DB55D">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4E63F9A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70875D3C">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2423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4C82D33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4511CD20">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课堂表现。</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B877D3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B3C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7D651C0">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6924" w:type="dxa"/>
            <w:vAlign w:val="center"/>
          </w:tcPr>
          <w:p w14:paraId="0BE1C327">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认真完成</w:t>
            </w:r>
            <w:r>
              <w:rPr>
                <w:rFonts w:ascii="宋体" w:hAnsi="宋体" w:eastAsia="宋体" w:cs="宋体"/>
                <w:color w:val="000000"/>
                <w:kern w:val="0"/>
                <w:szCs w:val="21"/>
                <w:lang w:bidi="ar"/>
              </w:rPr>
              <w:t>5个项目的课内实践，</w:t>
            </w:r>
            <w:r>
              <w:rPr>
                <w:rFonts w:hint="eastAsia" w:ascii="宋体" w:hAnsi="宋体" w:eastAsia="宋体" w:cs="宋体"/>
                <w:color w:val="000000"/>
                <w:kern w:val="0"/>
                <w:szCs w:val="21"/>
                <w:lang w:bidi="ar"/>
              </w:rPr>
              <w:t>在充分观摩学习的基础上</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开展全面的课堂观察和持续的模拟教学训练</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实行组内互评与教师评价相结合的方式。</w:t>
            </w:r>
            <w:r>
              <w:rPr>
                <w:rFonts w:ascii="宋体" w:hAnsi="宋体" w:eastAsia="宋体" w:cs="宋体"/>
                <w:color w:val="000000"/>
                <w:kern w:val="0"/>
                <w:szCs w:val="21"/>
                <w:lang w:bidi="ar"/>
              </w:rPr>
              <w:t>4个项目成绩取平均分作为课内实践分。</w:t>
            </w:r>
          </w:p>
        </w:tc>
        <w:tc>
          <w:tcPr>
            <w:tcW w:w="0" w:type="auto"/>
            <w:vAlign w:val="center"/>
          </w:tcPr>
          <w:p w14:paraId="3EF9CA42">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388A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95CCD41">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5224B530">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利用教育实习的机会，完成一份课堂观察报告；选择一个小学数学教学内容，提交一份小学数学模拟教学视频</w:t>
            </w:r>
            <w:r>
              <w:rPr>
                <w:rFonts w:ascii="Times New Roman" w:hAnsi="Times New Roman" w:eastAsia="宋体" w:cs="Times New Roman"/>
                <w:color w:val="000000"/>
                <w:szCs w:val="21"/>
              </w:rPr>
              <w:t>。</w:t>
            </w:r>
          </w:p>
        </w:tc>
        <w:tc>
          <w:tcPr>
            <w:tcW w:w="0" w:type="auto"/>
            <w:vAlign w:val="center"/>
          </w:tcPr>
          <w:p w14:paraId="2667BA1D">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E06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F1082F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6E32B38">
            <w:pPr>
              <w:jc w:val="left"/>
              <w:rPr>
                <w:rFonts w:ascii="Times New Roman" w:hAnsi="Times New Roman" w:eastAsia="宋体" w:cs="Times New Roman"/>
                <w:szCs w:val="21"/>
              </w:rPr>
            </w:pPr>
          </w:p>
        </w:tc>
        <w:tc>
          <w:tcPr>
            <w:tcW w:w="0" w:type="auto"/>
            <w:vAlign w:val="center"/>
          </w:tcPr>
          <w:p w14:paraId="2996A21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81A391E">
      <w:pPr>
        <w:spacing w:line="360" w:lineRule="auto"/>
        <w:jc w:val="left"/>
        <w:outlineLvl w:val="1"/>
        <w:rPr>
          <w:rFonts w:ascii="宋体" w:hAnsi="宋体" w:eastAsia="宋体" w:cs="Times New Roman"/>
          <w:b/>
          <w:color w:val="000000"/>
          <w:szCs w:val="21"/>
        </w:rPr>
      </w:pPr>
      <w:bookmarkStart w:id="1298" w:name="_Toc27733"/>
      <w:r>
        <w:rPr>
          <w:rFonts w:hint="eastAsia" w:ascii="宋体" w:hAnsi="宋体" w:eastAsia="宋体" w:cs="Times New Roman"/>
          <w:b/>
          <w:color w:val="000000"/>
          <w:szCs w:val="21"/>
        </w:rPr>
        <w:t>（三）课程目标达成度计算方法</w:t>
      </w:r>
      <w:bookmarkEnd w:id="1298"/>
    </w:p>
    <w:p w14:paraId="3C89DAB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C9E6523">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55"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55" DrawAspect="Content" ObjectID="_1468075755" r:id="rId38">
            <o:LockedField>false</o:LockedField>
          </o:OLEObject>
        </w:object>
      </w:r>
    </w:p>
    <w:p w14:paraId="6FC56ABF">
      <w:pPr>
        <w:spacing w:before="156" w:beforeLines="50" w:line="360" w:lineRule="auto"/>
        <w:jc w:val="left"/>
        <w:outlineLvl w:val="0"/>
        <w:rPr>
          <w:rFonts w:ascii="Times New Roman" w:hAnsi="Times New Roman" w:eastAsia="宋体" w:cs="Times New Roman"/>
          <w:b/>
          <w:sz w:val="24"/>
          <w:szCs w:val="24"/>
        </w:rPr>
      </w:pPr>
      <w:bookmarkStart w:id="1299" w:name="_Toc16261"/>
      <w:bookmarkStart w:id="1300" w:name="_Toc9361"/>
      <w:bookmarkStart w:id="1301" w:name="_Toc23080"/>
      <w:bookmarkStart w:id="1302" w:name="_Toc1154"/>
      <w:bookmarkStart w:id="1303" w:name="_Toc19666"/>
      <w:bookmarkStart w:id="1304" w:name="_Toc17156"/>
      <w:bookmarkStart w:id="1305" w:name="_Toc2175"/>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bookmarkEnd w:id="1299"/>
      <w:bookmarkEnd w:id="1300"/>
      <w:bookmarkEnd w:id="1301"/>
      <w:bookmarkEnd w:id="1302"/>
      <w:bookmarkEnd w:id="1303"/>
      <w:bookmarkEnd w:id="1304"/>
      <w:bookmarkEnd w:id="1305"/>
    </w:p>
    <w:p w14:paraId="4491598D">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本课程在理论教学的基础上，安排了4个课内实践项目（共</w:t>
      </w:r>
      <w:r>
        <w:rPr>
          <w:rFonts w:ascii="宋体" w:hAnsi="宋体" w:eastAsia="宋体"/>
          <w:szCs w:val="21"/>
        </w:rPr>
        <w:t>16</w:t>
      </w:r>
      <w:r>
        <w:rPr>
          <w:rFonts w:hint="eastAsia" w:ascii="宋体" w:hAnsi="宋体" w:eastAsia="宋体"/>
          <w:szCs w:val="21"/>
        </w:rPr>
        <w:t>学时），体现了理论与实践的结合，强化对学生的课程思政。</w:t>
      </w:r>
    </w:p>
    <w:p w14:paraId="22BF1095">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81F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D513ABE">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F051A88">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BCDA4ED">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1F3F8D7F">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6521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3888846">
            <w:pPr>
              <w:rPr>
                <w:rFonts w:ascii="宋体" w:hAnsi="宋体" w:eastAsia="宋体"/>
                <w:szCs w:val="21"/>
              </w:rPr>
            </w:pPr>
            <w:r>
              <w:rPr>
                <w:rFonts w:hint="eastAsia" w:ascii="宋体" w:hAnsi="宋体" w:eastAsia="宋体"/>
                <w:szCs w:val="21"/>
              </w:rPr>
              <w:t>设计课堂</w:t>
            </w:r>
            <w:r>
              <w:rPr>
                <w:rFonts w:ascii="宋体" w:hAnsi="宋体" w:eastAsia="宋体"/>
                <w:szCs w:val="21"/>
              </w:rPr>
              <w:t>观察记录表</w:t>
            </w:r>
          </w:p>
        </w:tc>
        <w:tc>
          <w:tcPr>
            <w:tcW w:w="3407" w:type="dxa"/>
            <w:vAlign w:val="center"/>
          </w:tcPr>
          <w:p w14:paraId="328EDC70">
            <w:pPr>
              <w:rPr>
                <w:rFonts w:ascii="宋体" w:hAnsi="宋体" w:eastAsia="宋体"/>
                <w:szCs w:val="21"/>
              </w:rPr>
            </w:pPr>
            <w:r>
              <w:rPr>
                <w:rFonts w:hint="eastAsia" w:ascii="宋体" w:hAnsi="宋体" w:eastAsia="宋体"/>
                <w:szCs w:val="21"/>
              </w:rPr>
              <w:t>确定3</w:t>
            </w:r>
            <w:r>
              <w:rPr>
                <w:rFonts w:ascii="宋体" w:hAnsi="宋体" w:eastAsia="宋体"/>
                <w:szCs w:val="21"/>
              </w:rPr>
              <w:t>-4</w:t>
            </w:r>
            <w:r>
              <w:rPr>
                <w:rFonts w:hint="eastAsia" w:ascii="宋体" w:hAnsi="宋体" w:eastAsia="宋体"/>
                <w:szCs w:val="21"/>
              </w:rPr>
              <w:t>个</w:t>
            </w:r>
            <w:r>
              <w:rPr>
                <w:rFonts w:ascii="宋体" w:hAnsi="宋体" w:eastAsia="宋体"/>
                <w:szCs w:val="21"/>
              </w:rPr>
              <w:t>课堂观察主题，以小组为单位，设计课堂观察记录表。</w:t>
            </w:r>
          </w:p>
        </w:tc>
        <w:tc>
          <w:tcPr>
            <w:tcW w:w="740" w:type="dxa"/>
            <w:vAlign w:val="center"/>
          </w:tcPr>
          <w:p w14:paraId="53B4F6A2">
            <w:pPr>
              <w:spacing w:line="276" w:lineRule="auto"/>
              <w:jc w:val="center"/>
              <w:rPr>
                <w:rFonts w:ascii="宋体" w:hAnsi="宋体" w:eastAsia="宋体" w:cs="宋体"/>
                <w:szCs w:val="21"/>
              </w:rPr>
            </w:pPr>
            <w:r>
              <w:rPr>
                <w:rFonts w:hint="eastAsia" w:ascii="宋体" w:hAnsi="宋体" w:eastAsia="宋体" w:cs="宋体"/>
                <w:szCs w:val="21"/>
              </w:rPr>
              <w:t>研讨</w:t>
            </w:r>
          </w:p>
          <w:p w14:paraId="35BF69F3">
            <w:pPr>
              <w:spacing w:line="276" w:lineRule="auto"/>
              <w:jc w:val="center"/>
              <w:rPr>
                <w:rFonts w:ascii="宋体" w:hAnsi="宋体" w:eastAsia="宋体" w:cs="宋体"/>
                <w:szCs w:val="21"/>
              </w:rPr>
            </w:pPr>
            <w:r>
              <w:rPr>
                <w:rFonts w:hint="eastAsia" w:ascii="宋体" w:hAnsi="宋体" w:eastAsia="宋体" w:cs="宋体"/>
                <w:szCs w:val="21"/>
              </w:rPr>
              <w:t>设计</w:t>
            </w:r>
          </w:p>
        </w:tc>
        <w:tc>
          <w:tcPr>
            <w:tcW w:w="3160" w:type="dxa"/>
            <w:vAlign w:val="center"/>
          </w:tcPr>
          <w:p w14:paraId="7B56D7DB">
            <w:pPr>
              <w:rPr>
                <w:rFonts w:ascii="宋体" w:hAnsi="宋体" w:eastAsia="宋体"/>
                <w:szCs w:val="21"/>
              </w:rPr>
            </w:pPr>
            <w:r>
              <w:rPr>
                <w:rFonts w:hint="eastAsia" w:ascii="宋体" w:hAnsi="宋体" w:eastAsia="宋体"/>
                <w:szCs w:val="21"/>
              </w:rPr>
              <w:t>体会数学的严谨性，养成严谨治学的态度，争做“四有”好老师。</w:t>
            </w:r>
          </w:p>
        </w:tc>
      </w:tr>
      <w:tr w14:paraId="7863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197BDF9">
            <w:pPr>
              <w:rPr>
                <w:rFonts w:ascii="宋体" w:hAnsi="宋体" w:eastAsia="宋体"/>
                <w:szCs w:val="21"/>
              </w:rPr>
            </w:pPr>
            <w:r>
              <w:rPr>
                <w:rFonts w:hint="eastAsia" w:ascii="宋体" w:hAnsi="宋体" w:eastAsia="宋体"/>
                <w:szCs w:val="21"/>
              </w:rPr>
              <w:t>课堂观察</w:t>
            </w:r>
            <w:r>
              <w:rPr>
                <w:rFonts w:ascii="宋体" w:hAnsi="宋体" w:eastAsia="宋体"/>
                <w:szCs w:val="21"/>
              </w:rPr>
              <w:t>实施</w:t>
            </w:r>
          </w:p>
        </w:tc>
        <w:tc>
          <w:tcPr>
            <w:tcW w:w="3407" w:type="dxa"/>
            <w:vAlign w:val="center"/>
          </w:tcPr>
          <w:p w14:paraId="67434B87">
            <w:pPr>
              <w:rPr>
                <w:rFonts w:ascii="宋体" w:hAnsi="宋体" w:eastAsia="宋体"/>
                <w:szCs w:val="21"/>
              </w:rPr>
            </w:pPr>
            <w:r>
              <w:rPr>
                <w:rFonts w:hint="eastAsia" w:ascii="宋体" w:hAnsi="宋体" w:eastAsia="宋体"/>
                <w:szCs w:val="21"/>
              </w:rPr>
              <w:t>在</w:t>
            </w:r>
            <w:r>
              <w:rPr>
                <w:rFonts w:ascii="宋体" w:hAnsi="宋体" w:eastAsia="宋体"/>
                <w:szCs w:val="21"/>
              </w:rPr>
              <w:t>充分准备</w:t>
            </w:r>
            <w:r>
              <w:rPr>
                <w:rFonts w:hint="eastAsia" w:ascii="宋体" w:hAnsi="宋体" w:eastAsia="宋体"/>
                <w:szCs w:val="21"/>
              </w:rPr>
              <w:t>的</w:t>
            </w:r>
            <w:r>
              <w:rPr>
                <w:rFonts w:ascii="宋体" w:hAnsi="宋体" w:eastAsia="宋体"/>
                <w:szCs w:val="21"/>
              </w:rPr>
              <w:t>基础上，</w:t>
            </w:r>
            <w:r>
              <w:rPr>
                <w:rFonts w:hint="eastAsia" w:ascii="宋体" w:hAnsi="宋体" w:eastAsia="宋体"/>
                <w:szCs w:val="21"/>
              </w:rPr>
              <w:t>深入小学</w:t>
            </w:r>
            <w:r>
              <w:rPr>
                <w:rFonts w:ascii="宋体" w:hAnsi="宋体" w:eastAsia="宋体"/>
                <w:szCs w:val="21"/>
              </w:rPr>
              <w:t>课堂</w:t>
            </w:r>
            <w:r>
              <w:rPr>
                <w:rFonts w:hint="eastAsia" w:ascii="宋体" w:hAnsi="宋体" w:eastAsia="宋体"/>
                <w:szCs w:val="21"/>
              </w:rPr>
              <w:t>进行</w:t>
            </w:r>
            <w:r>
              <w:rPr>
                <w:rFonts w:ascii="宋体" w:hAnsi="宋体" w:eastAsia="宋体"/>
                <w:szCs w:val="21"/>
              </w:rPr>
              <w:t>课堂观察</w:t>
            </w:r>
            <w:r>
              <w:rPr>
                <w:rFonts w:hint="eastAsia" w:ascii="宋体" w:hAnsi="宋体" w:eastAsia="宋体"/>
                <w:szCs w:val="21"/>
              </w:rPr>
              <w:t>，做好</w:t>
            </w:r>
            <w:r>
              <w:rPr>
                <w:rFonts w:ascii="宋体" w:hAnsi="宋体" w:eastAsia="宋体"/>
                <w:szCs w:val="21"/>
              </w:rPr>
              <w:t>观察记录，并提交</w:t>
            </w:r>
            <w:r>
              <w:rPr>
                <w:rFonts w:hint="eastAsia" w:ascii="宋体" w:hAnsi="宋体" w:eastAsia="宋体"/>
                <w:szCs w:val="21"/>
              </w:rPr>
              <w:t>3-4个</w:t>
            </w:r>
            <w:r>
              <w:rPr>
                <w:rFonts w:ascii="宋体" w:hAnsi="宋体" w:eastAsia="宋体"/>
                <w:szCs w:val="21"/>
              </w:rPr>
              <w:t>相应的课堂观察报告。</w:t>
            </w:r>
          </w:p>
        </w:tc>
        <w:tc>
          <w:tcPr>
            <w:tcW w:w="740" w:type="dxa"/>
            <w:vAlign w:val="center"/>
          </w:tcPr>
          <w:p w14:paraId="7C07BB31">
            <w:pPr>
              <w:spacing w:line="276" w:lineRule="auto"/>
              <w:jc w:val="center"/>
              <w:rPr>
                <w:rFonts w:ascii="宋体" w:hAnsi="宋体" w:eastAsia="宋体" w:cs="宋体"/>
                <w:szCs w:val="21"/>
              </w:rPr>
            </w:pPr>
            <w:r>
              <w:rPr>
                <w:rFonts w:hint="eastAsia" w:ascii="宋体" w:hAnsi="宋体" w:eastAsia="宋体" w:cs="宋体"/>
                <w:szCs w:val="21"/>
              </w:rPr>
              <w:t>研讨</w:t>
            </w:r>
          </w:p>
          <w:p w14:paraId="053D1CC2">
            <w:pPr>
              <w:spacing w:line="276" w:lineRule="auto"/>
              <w:jc w:val="center"/>
              <w:rPr>
                <w:rFonts w:ascii="宋体" w:hAnsi="宋体" w:eastAsia="宋体" w:cs="宋体"/>
                <w:szCs w:val="21"/>
              </w:rPr>
            </w:pPr>
            <w:r>
              <w:rPr>
                <w:rFonts w:hint="eastAsia" w:ascii="宋体" w:hAnsi="宋体" w:eastAsia="宋体" w:cs="宋体"/>
                <w:szCs w:val="21"/>
              </w:rPr>
              <w:t>观察</w:t>
            </w:r>
          </w:p>
        </w:tc>
        <w:tc>
          <w:tcPr>
            <w:tcW w:w="3160" w:type="dxa"/>
            <w:vAlign w:val="center"/>
          </w:tcPr>
          <w:p w14:paraId="48C94DF9">
            <w:pPr>
              <w:rPr>
                <w:rFonts w:ascii="宋体" w:hAnsi="宋体" w:eastAsia="宋体"/>
                <w:szCs w:val="21"/>
              </w:rPr>
            </w:pPr>
            <w:r>
              <w:rPr>
                <w:rFonts w:ascii="宋体" w:hAnsi="宋体" w:eastAsia="宋体"/>
                <w:szCs w:val="21"/>
              </w:rPr>
              <w:t>掌握科学、严谨的学习方法</w:t>
            </w:r>
            <w:r>
              <w:rPr>
                <w:rFonts w:hint="eastAsia" w:ascii="宋体" w:hAnsi="宋体" w:eastAsia="宋体"/>
                <w:szCs w:val="21"/>
              </w:rPr>
              <w:t>,</w:t>
            </w:r>
            <w:r>
              <w:rPr>
                <w:rFonts w:ascii="宋体" w:hAnsi="宋体" w:eastAsia="宋体"/>
                <w:szCs w:val="21"/>
              </w:rPr>
              <w:t>养成学习他人先进理念和教学经验的意识。</w:t>
            </w:r>
          </w:p>
        </w:tc>
      </w:tr>
      <w:tr w14:paraId="5C64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95BF08F">
            <w:pPr>
              <w:rPr>
                <w:rFonts w:ascii="宋体" w:hAnsi="宋体" w:eastAsia="宋体"/>
                <w:szCs w:val="21"/>
              </w:rPr>
            </w:pPr>
            <w:r>
              <w:rPr>
                <w:rFonts w:hint="eastAsia" w:ascii="宋体" w:hAnsi="宋体" w:eastAsia="宋体"/>
                <w:szCs w:val="21"/>
              </w:rPr>
              <w:t>课堂观察</w:t>
            </w:r>
            <w:r>
              <w:rPr>
                <w:rFonts w:ascii="宋体" w:hAnsi="宋体" w:eastAsia="宋体"/>
                <w:szCs w:val="21"/>
              </w:rPr>
              <w:t>交流</w:t>
            </w:r>
          </w:p>
        </w:tc>
        <w:tc>
          <w:tcPr>
            <w:tcW w:w="3407" w:type="dxa"/>
            <w:vAlign w:val="center"/>
          </w:tcPr>
          <w:p w14:paraId="11A43466">
            <w:pPr>
              <w:rPr>
                <w:rFonts w:ascii="宋体" w:hAnsi="宋体" w:eastAsia="宋体"/>
                <w:szCs w:val="21"/>
              </w:rPr>
            </w:pPr>
            <w:r>
              <w:rPr>
                <w:rFonts w:hint="eastAsia" w:ascii="宋体" w:hAnsi="宋体" w:eastAsia="宋体"/>
                <w:szCs w:val="21"/>
              </w:rPr>
              <w:t>围绕课堂</w:t>
            </w:r>
            <w:r>
              <w:rPr>
                <w:rFonts w:ascii="宋体" w:hAnsi="宋体" w:eastAsia="宋体"/>
                <w:szCs w:val="21"/>
              </w:rPr>
              <w:t>观察的实际情况进行研讨、交流，分享观察体会，</w:t>
            </w:r>
            <w:r>
              <w:rPr>
                <w:rFonts w:hint="eastAsia" w:ascii="宋体" w:hAnsi="宋体" w:eastAsia="宋体"/>
                <w:szCs w:val="21"/>
              </w:rPr>
              <w:t>探讨课堂</w:t>
            </w:r>
            <w:r>
              <w:rPr>
                <w:rFonts w:ascii="宋体" w:hAnsi="宋体" w:eastAsia="宋体"/>
                <w:szCs w:val="21"/>
              </w:rPr>
              <w:t>教学经验</w:t>
            </w:r>
            <w:r>
              <w:rPr>
                <w:rFonts w:hint="eastAsia" w:ascii="宋体" w:hAnsi="宋体" w:eastAsia="宋体"/>
                <w:szCs w:val="21"/>
              </w:rPr>
              <w:t>。</w:t>
            </w:r>
          </w:p>
        </w:tc>
        <w:tc>
          <w:tcPr>
            <w:tcW w:w="740" w:type="dxa"/>
            <w:vAlign w:val="center"/>
          </w:tcPr>
          <w:p w14:paraId="24C3A784">
            <w:pPr>
              <w:spacing w:line="276" w:lineRule="auto"/>
              <w:jc w:val="center"/>
              <w:rPr>
                <w:rFonts w:ascii="宋体" w:hAnsi="宋体" w:eastAsia="宋体" w:cs="宋体"/>
                <w:szCs w:val="21"/>
              </w:rPr>
            </w:pPr>
            <w:r>
              <w:rPr>
                <w:rFonts w:hint="eastAsia" w:ascii="宋体" w:hAnsi="宋体" w:eastAsia="宋体" w:cs="宋体"/>
                <w:szCs w:val="21"/>
              </w:rPr>
              <w:t>研讨</w:t>
            </w:r>
          </w:p>
          <w:p w14:paraId="3D49F4B5">
            <w:pPr>
              <w:spacing w:line="276" w:lineRule="auto"/>
              <w:jc w:val="center"/>
              <w:rPr>
                <w:rFonts w:ascii="宋体" w:hAnsi="宋体" w:eastAsia="宋体" w:cs="宋体"/>
                <w:szCs w:val="21"/>
              </w:rPr>
            </w:pPr>
            <w:r>
              <w:rPr>
                <w:rFonts w:hint="eastAsia" w:ascii="宋体" w:hAnsi="宋体" w:eastAsia="宋体" w:cs="宋体"/>
                <w:szCs w:val="21"/>
              </w:rPr>
              <w:t>交流</w:t>
            </w:r>
          </w:p>
        </w:tc>
        <w:tc>
          <w:tcPr>
            <w:tcW w:w="3160" w:type="dxa"/>
            <w:vAlign w:val="center"/>
          </w:tcPr>
          <w:p w14:paraId="446C2322">
            <w:pPr>
              <w:rPr>
                <w:rFonts w:ascii="宋体" w:hAnsi="宋体" w:eastAsia="宋体"/>
                <w:szCs w:val="21"/>
              </w:rPr>
            </w:pPr>
            <w:r>
              <w:rPr>
                <w:rFonts w:ascii="宋体" w:hAnsi="宋体" w:eastAsia="宋体"/>
                <w:szCs w:val="21"/>
              </w:rPr>
              <w:t>增强团队合作意识与沟通表达能力</w:t>
            </w:r>
            <w:r>
              <w:rPr>
                <w:rFonts w:hint="eastAsia" w:ascii="宋体" w:hAnsi="宋体" w:eastAsia="宋体"/>
                <w:szCs w:val="21"/>
              </w:rPr>
              <w:t>,</w:t>
            </w:r>
            <w:r>
              <w:rPr>
                <w:rFonts w:ascii="宋体" w:hAnsi="宋体" w:eastAsia="宋体"/>
                <w:szCs w:val="21"/>
              </w:rPr>
              <w:t>养成虚心学习和不断进取的意识。</w:t>
            </w:r>
          </w:p>
        </w:tc>
      </w:tr>
      <w:tr w14:paraId="6390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F4C1CF1">
            <w:pPr>
              <w:rPr>
                <w:rFonts w:ascii="宋体" w:hAnsi="宋体" w:eastAsia="宋体"/>
                <w:szCs w:val="21"/>
              </w:rPr>
            </w:pPr>
            <w:r>
              <w:rPr>
                <w:rFonts w:hint="eastAsia" w:ascii="宋体" w:hAnsi="宋体" w:eastAsia="宋体"/>
                <w:szCs w:val="21"/>
              </w:rPr>
              <w:t>模拟教学训练</w:t>
            </w:r>
          </w:p>
        </w:tc>
        <w:tc>
          <w:tcPr>
            <w:tcW w:w="3407" w:type="dxa"/>
            <w:vAlign w:val="center"/>
          </w:tcPr>
          <w:p w14:paraId="41C1A4F1">
            <w:pPr>
              <w:rPr>
                <w:rFonts w:ascii="宋体" w:hAnsi="宋体" w:eastAsia="宋体"/>
                <w:szCs w:val="21"/>
              </w:rPr>
            </w:pPr>
            <w:r>
              <w:rPr>
                <w:rFonts w:hint="eastAsia" w:ascii="宋体" w:hAnsi="宋体" w:eastAsia="宋体"/>
                <w:szCs w:val="21"/>
              </w:rPr>
              <w:t>选择</w:t>
            </w:r>
            <w:r>
              <w:rPr>
                <w:rFonts w:ascii="宋体" w:hAnsi="宋体" w:eastAsia="宋体"/>
                <w:szCs w:val="21"/>
              </w:rPr>
              <w:t>3-5</w:t>
            </w:r>
            <w:r>
              <w:rPr>
                <w:rFonts w:hint="eastAsia" w:ascii="宋体" w:hAnsi="宋体" w:eastAsia="宋体"/>
                <w:szCs w:val="21"/>
              </w:rPr>
              <w:t>个</w:t>
            </w:r>
            <w:r>
              <w:rPr>
                <w:rFonts w:ascii="宋体" w:hAnsi="宋体" w:eastAsia="宋体"/>
                <w:szCs w:val="21"/>
              </w:rPr>
              <w:t>小学教学内容</w:t>
            </w:r>
            <w:r>
              <w:rPr>
                <w:rFonts w:hint="eastAsia" w:ascii="宋体" w:hAnsi="宋体" w:eastAsia="宋体"/>
                <w:szCs w:val="21"/>
              </w:rPr>
              <w:t>，</w:t>
            </w:r>
            <w:r>
              <w:rPr>
                <w:rFonts w:ascii="宋体" w:hAnsi="宋体" w:eastAsia="宋体"/>
                <w:szCs w:val="21"/>
              </w:rPr>
              <w:t>先</w:t>
            </w:r>
            <w:r>
              <w:rPr>
                <w:rFonts w:hint="eastAsia" w:ascii="宋体" w:hAnsi="宋体" w:eastAsia="宋体"/>
                <w:szCs w:val="21"/>
              </w:rPr>
              <w:t>进行教学设计，然后</w:t>
            </w:r>
            <w:r>
              <w:rPr>
                <w:rFonts w:ascii="宋体" w:hAnsi="宋体" w:eastAsia="宋体"/>
                <w:szCs w:val="21"/>
              </w:rPr>
              <w:t>模拟教学</w:t>
            </w:r>
            <w:r>
              <w:rPr>
                <w:rFonts w:hint="eastAsia" w:ascii="宋体" w:hAnsi="宋体" w:eastAsia="宋体"/>
                <w:szCs w:val="21"/>
              </w:rPr>
              <w:t>。</w:t>
            </w:r>
          </w:p>
        </w:tc>
        <w:tc>
          <w:tcPr>
            <w:tcW w:w="740" w:type="dxa"/>
            <w:vAlign w:val="center"/>
          </w:tcPr>
          <w:p w14:paraId="51FF88F1">
            <w:pPr>
              <w:spacing w:line="276" w:lineRule="auto"/>
              <w:jc w:val="center"/>
              <w:rPr>
                <w:rFonts w:ascii="宋体" w:hAnsi="宋体" w:eastAsia="宋体" w:cs="宋体"/>
                <w:szCs w:val="21"/>
              </w:rPr>
            </w:pPr>
            <w:r>
              <w:rPr>
                <w:rFonts w:hint="eastAsia" w:ascii="宋体" w:hAnsi="宋体" w:eastAsia="宋体" w:cs="宋体"/>
                <w:szCs w:val="21"/>
              </w:rPr>
              <w:t>设计</w:t>
            </w:r>
          </w:p>
          <w:p w14:paraId="1A26A963">
            <w:pPr>
              <w:spacing w:line="276" w:lineRule="auto"/>
              <w:jc w:val="center"/>
              <w:rPr>
                <w:rFonts w:ascii="宋体" w:hAnsi="宋体" w:eastAsia="宋体" w:cs="宋体"/>
                <w:szCs w:val="21"/>
              </w:rPr>
            </w:pPr>
            <w:r>
              <w:rPr>
                <w:rFonts w:hint="eastAsia" w:ascii="宋体" w:hAnsi="宋体" w:eastAsia="宋体" w:cs="宋体"/>
                <w:szCs w:val="21"/>
              </w:rPr>
              <w:t>训练</w:t>
            </w:r>
          </w:p>
        </w:tc>
        <w:tc>
          <w:tcPr>
            <w:tcW w:w="3160" w:type="dxa"/>
            <w:vAlign w:val="center"/>
          </w:tcPr>
          <w:p w14:paraId="2CD93B7C">
            <w:pPr>
              <w:rPr>
                <w:rFonts w:ascii="宋体" w:hAnsi="宋体" w:eastAsia="宋体"/>
                <w:szCs w:val="21"/>
              </w:rPr>
            </w:pPr>
            <w:r>
              <w:rPr>
                <w:rFonts w:ascii="宋体" w:hAnsi="宋体" w:eastAsia="宋体"/>
                <w:szCs w:val="21"/>
              </w:rPr>
              <w:t>增强团队合作意识</w:t>
            </w:r>
            <w:r>
              <w:rPr>
                <w:rFonts w:hint="eastAsia" w:ascii="宋体" w:hAnsi="宋体" w:eastAsia="宋体"/>
                <w:szCs w:val="21"/>
              </w:rPr>
              <w:t>,</w:t>
            </w:r>
            <w:r>
              <w:rPr>
                <w:rFonts w:ascii="宋体" w:hAnsi="宋体" w:eastAsia="宋体"/>
                <w:szCs w:val="21"/>
              </w:rPr>
              <w:t>养成坚持不懈的意志品质，进一步巩固专业思想</w:t>
            </w:r>
            <w:r>
              <w:rPr>
                <w:rFonts w:hint="eastAsia" w:ascii="宋体" w:hAnsi="宋体" w:eastAsia="宋体"/>
                <w:szCs w:val="21"/>
              </w:rPr>
              <w:t>,增强专业自信心。</w:t>
            </w:r>
          </w:p>
        </w:tc>
      </w:tr>
      <w:tr w14:paraId="1FF0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56A94339">
            <w:pPr>
              <w:rPr>
                <w:rFonts w:ascii="宋体" w:hAnsi="宋体" w:eastAsia="宋体"/>
                <w:szCs w:val="21"/>
              </w:rPr>
            </w:pPr>
            <w:r>
              <w:rPr>
                <w:rFonts w:hint="eastAsia" w:ascii="宋体" w:hAnsi="宋体" w:eastAsia="宋体"/>
                <w:szCs w:val="21"/>
              </w:rPr>
              <w:t>模拟</w:t>
            </w:r>
            <w:r>
              <w:rPr>
                <w:rFonts w:ascii="宋体" w:hAnsi="宋体" w:eastAsia="宋体"/>
                <w:szCs w:val="21"/>
              </w:rPr>
              <w:t>教学交流</w:t>
            </w:r>
          </w:p>
        </w:tc>
        <w:tc>
          <w:tcPr>
            <w:tcW w:w="3407" w:type="dxa"/>
            <w:vAlign w:val="center"/>
          </w:tcPr>
          <w:p w14:paraId="0B480561">
            <w:pPr>
              <w:rPr>
                <w:rFonts w:ascii="宋体" w:hAnsi="宋体" w:eastAsia="宋体"/>
                <w:szCs w:val="21"/>
              </w:rPr>
            </w:pPr>
            <w:r>
              <w:rPr>
                <w:rFonts w:hint="eastAsia" w:ascii="宋体" w:hAnsi="宋体" w:eastAsia="宋体"/>
                <w:szCs w:val="21"/>
              </w:rPr>
              <w:t>围绕自己</w:t>
            </w:r>
            <w:r>
              <w:rPr>
                <w:rFonts w:ascii="宋体" w:hAnsi="宋体" w:eastAsia="宋体"/>
                <w:szCs w:val="21"/>
              </w:rPr>
              <w:t>和其他同学的模拟教学进行</w:t>
            </w:r>
            <w:r>
              <w:rPr>
                <w:rFonts w:hint="eastAsia" w:ascii="宋体" w:hAnsi="宋体" w:eastAsia="宋体"/>
                <w:szCs w:val="21"/>
              </w:rPr>
              <w:t>研讨</w:t>
            </w:r>
            <w:r>
              <w:rPr>
                <w:rFonts w:ascii="宋体" w:hAnsi="宋体" w:eastAsia="宋体"/>
                <w:szCs w:val="21"/>
              </w:rPr>
              <w:t>、交流，</w:t>
            </w:r>
            <w:r>
              <w:rPr>
                <w:rFonts w:hint="eastAsia" w:ascii="宋体" w:hAnsi="宋体" w:eastAsia="宋体"/>
                <w:szCs w:val="21"/>
              </w:rPr>
              <w:t>从而</w:t>
            </w:r>
            <w:r>
              <w:rPr>
                <w:rFonts w:ascii="宋体" w:hAnsi="宋体" w:eastAsia="宋体"/>
                <w:szCs w:val="21"/>
              </w:rPr>
              <w:t>进一步</w:t>
            </w:r>
            <w:r>
              <w:rPr>
                <w:rFonts w:hint="eastAsia" w:ascii="宋体" w:hAnsi="宋体" w:eastAsia="宋体"/>
                <w:szCs w:val="21"/>
              </w:rPr>
              <w:t>提高</w:t>
            </w:r>
            <w:r>
              <w:rPr>
                <w:rFonts w:ascii="宋体" w:hAnsi="宋体" w:eastAsia="宋体"/>
                <w:szCs w:val="21"/>
              </w:rPr>
              <w:t>教学能力</w:t>
            </w:r>
            <w:r>
              <w:rPr>
                <w:rFonts w:hint="eastAsia" w:ascii="宋体" w:hAnsi="宋体" w:eastAsia="宋体"/>
                <w:szCs w:val="21"/>
              </w:rPr>
              <w:t>。</w:t>
            </w:r>
          </w:p>
        </w:tc>
        <w:tc>
          <w:tcPr>
            <w:tcW w:w="740" w:type="dxa"/>
            <w:vAlign w:val="center"/>
          </w:tcPr>
          <w:p w14:paraId="7BF25F6E">
            <w:pPr>
              <w:spacing w:line="276" w:lineRule="auto"/>
              <w:jc w:val="center"/>
              <w:rPr>
                <w:rFonts w:ascii="宋体" w:hAnsi="宋体" w:eastAsia="宋体" w:cs="宋体"/>
                <w:szCs w:val="21"/>
              </w:rPr>
            </w:pPr>
            <w:r>
              <w:rPr>
                <w:rFonts w:hint="eastAsia" w:ascii="宋体" w:hAnsi="宋体" w:eastAsia="宋体" w:cs="宋体"/>
                <w:szCs w:val="21"/>
              </w:rPr>
              <w:t>研讨</w:t>
            </w:r>
          </w:p>
          <w:p w14:paraId="26AE45B0">
            <w:pPr>
              <w:spacing w:line="276" w:lineRule="auto"/>
              <w:jc w:val="center"/>
              <w:rPr>
                <w:rFonts w:ascii="宋体" w:hAnsi="宋体" w:eastAsia="宋体" w:cs="宋体"/>
                <w:szCs w:val="21"/>
              </w:rPr>
            </w:pPr>
            <w:r>
              <w:rPr>
                <w:rFonts w:hint="eastAsia" w:ascii="宋体" w:hAnsi="宋体" w:eastAsia="宋体" w:cs="宋体"/>
                <w:szCs w:val="21"/>
              </w:rPr>
              <w:t>交流</w:t>
            </w:r>
          </w:p>
        </w:tc>
        <w:tc>
          <w:tcPr>
            <w:tcW w:w="3160" w:type="dxa"/>
            <w:vAlign w:val="center"/>
          </w:tcPr>
          <w:p w14:paraId="054B3294">
            <w:pPr>
              <w:rPr>
                <w:rFonts w:ascii="宋体" w:hAnsi="宋体" w:eastAsia="宋体"/>
                <w:szCs w:val="21"/>
              </w:rPr>
            </w:pPr>
            <w:r>
              <w:rPr>
                <w:rFonts w:ascii="宋体" w:hAnsi="宋体" w:eastAsia="宋体"/>
                <w:szCs w:val="21"/>
              </w:rPr>
              <w:t>树立全面的评价理念</w:t>
            </w:r>
            <w:r>
              <w:rPr>
                <w:rFonts w:hint="eastAsia" w:ascii="宋体" w:hAnsi="宋体" w:eastAsia="宋体"/>
                <w:szCs w:val="21"/>
              </w:rPr>
              <w:t>,</w:t>
            </w:r>
            <w:r>
              <w:rPr>
                <w:rFonts w:ascii="宋体" w:hAnsi="宋体" w:eastAsia="宋体"/>
                <w:szCs w:val="21"/>
              </w:rPr>
              <w:t>增强团队合作的意识。</w:t>
            </w:r>
          </w:p>
        </w:tc>
      </w:tr>
    </w:tbl>
    <w:p w14:paraId="720AFAA1">
      <w:pPr>
        <w:spacing w:line="360" w:lineRule="auto"/>
        <w:ind w:firstLine="551" w:firstLineChars="196"/>
        <w:jc w:val="left"/>
        <w:rPr>
          <w:rFonts w:ascii="宋体" w:hAnsi="宋体" w:eastAsia="宋体" w:cs="Times New Roman"/>
          <w:b/>
          <w:color w:val="000000"/>
          <w:sz w:val="28"/>
          <w:szCs w:val="28"/>
        </w:rPr>
      </w:pPr>
    </w:p>
    <w:p w14:paraId="6A510077">
      <w:pPr>
        <w:spacing w:line="360" w:lineRule="auto"/>
        <w:jc w:val="left"/>
        <w:outlineLvl w:val="0"/>
        <w:rPr>
          <w:rFonts w:ascii="Times New Roman" w:hAnsi="Times New Roman" w:eastAsia="宋体" w:cs="Times New Roman"/>
          <w:b/>
          <w:bCs/>
          <w:sz w:val="24"/>
          <w:szCs w:val="24"/>
        </w:rPr>
      </w:pPr>
      <w:bookmarkStart w:id="1306" w:name="_Toc23827"/>
      <w:bookmarkStart w:id="1307" w:name="_Toc23963"/>
      <w:bookmarkStart w:id="1308" w:name="_Toc23586"/>
      <w:bookmarkStart w:id="1309" w:name="_Toc31099"/>
      <w:bookmarkStart w:id="1310" w:name="_Toc17344"/>
      <w:bookmarkStart w:id="1311" w:name="_Toc26688"/>
      <w:bookmarkStart w:id="1312" w:name="_Toc5708"/>
      <w:r>
        <w:rPr>
          <w:rFonts w:hint="eastAsia" w:ascii="宋体" w:hAnsi="宋体" w:eastAsia="宋体" w:cs="Times New Roman"/>
          <w:b/>
          <w:color w:val="000000"/>
          <w:sz w:val="24"/>
          <w:szCs w:val="24"/>
        </w:rPr>
        <w:t>六、有关说明</w:t>
      </w:r>
      <w:bookmarkEnd w:id="1306"/>
      <w:bookmarkEnd w:id="1307"/>
      <w:bookmarkEnd w:id="1308"/>
      <w:bookmarkEnd w:id="1309"/>
      <w:bookmarkEnd w:id="1310"/>
      <w:bookmarkEnd w:id="1311"/>
      <w:bookmarkEnd w:id="1312"/>
    </w:p>
    <w:p w14:paraId="13B1B51C">
      <w:pPr>
        <w:spacing w:line="360" w:lineRule="auto"/>
        <w:jc w:val="left"/>
        <w:outlineLvl w:val="1"/>
        <w:rPr>
          <w:rFonts w:ascii="Times New Roman" w:hAnsi="Times New Roman" w:eastAsia="宋体" w:cs="Times New Roman"/>
          <w:b/>
          <w:szCs w:val="21"/>
        </w:rPr>
      </w:pPr>
      <w:bookmarkStart w:id="1313" w:name="_Toc29236"/>
      <w:r>
        <w:rPr>
          <w:rFonts w:hint="eastAsia" w:ascii="Times New Roman" w:hAnsi="Times New Roman" w:eastAsia="宋体" w:cs="Times New Roman"/>
          <w:b/>
          <w:szCs w:val="21"/>
        </w:rPr>
        <w:t>（一）持续改进</w:t>
      </w:r>
      <w:bookmarkEnd w:id="1313"/>
    </w:p>
    <w:p w14:paraId="53023773">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本课程根据学生作业、课堂讨论、实践环节和学生、教学督导等的反馈，及时对教学中的不足之处进行改进，并在下一轮课程教学中整改完善，确保相应毕业要求指标点达成。</w:t>
      </w:r>
    </w:p>
    <w:p w14:paraId="67DAE793">
      <w:pPr>
        <w:spacing w:line="360" w:lineRule="auto"/>
        <w:ind w:firstLine="527" w:firstLineChars="250"/>
        <w:jc w:val="left"/>
        <w:outlineLvl w:val="1"/>
        <w:rPr>
          <w:rFonts w:ascii="Times New Roman" w:hAnsi="Times New Roman" w:eastAsia="宋体" w:cs="Times New Roman"/>
          <w:b/>
          <w:szCs w:val="21"/>
        </w:rPr>
      </w:pPr>
      <w:bookmarkStart w:id="1314" w:name="_Toc22494"/>
      <w:r>
        <w:rPr>
          <w:rFonts w:hint="eastAsia" w:ascii="Times New Roman" w:hAnsi="Times New Roman" w:eastAsia="宋体" w:cs="Times New Roman"/>
          <w:b/>
          <w:szCs w:val="21"/>
        </w:rPr>
        <w:t>（二）建议教材</w:t>
      </w:r>
      <w:bookmarkEnd w:id="1314"/>
    </w:p>
    <w:p w14:paraId="4797661E">
      <w:pPr>
        <w:spacing w:line="360" w:lineRule="auto"/>
        <w:ind w:firstLine="525" w:firstLineChars="250"/>
        <w:jc w:val="left"/>
        <w:rPr>
          <w:rFonts w:ascii="Times New Roman" w:hAnsi="Times New Roman" w:eastAsia="宋体" w:cs="Times New Roman"/>
          <w:bCs/>
          <w:color w:val="000000"/>
          <w:szCs w:val="21"/>
        </w:rPr>
      </w:pPr>
      <w:r>
        <w:rPr>
          <w:rFonts w:hint="eastAsia" w:ascii="宋体" w:hAnsi="宋体" w:eastAsia="宋体" w:cs="Times New Roman"/>
          <w:szCs w:val="21"/>
        </w:rPr>
        <w:t>沈毅，崔允漷</w:t>
      </w:r>
      <w:r>
        <w:rPr>
          <w:rFonts w:ascii="宋体" w:hAnsi="宋体" w:eastAsia="宋体" w:cs="Times New Roman"/>
          <w:szCs w:val="21"/>
        </w:rPr>
        <w:t>.课堂观察：走向专业的听评课.上海：华东师范大学大学出版社.2008.</w:t>
      </w:r>
    </w:p>
    <w:p w14:paraId="1450E754">
      <w:pPr>
        <w:spacing w:line="360" w:lineRule="auto"/>
        <w:ind w:firstLine="527" w:firstLineChars="250"/>
        <w:jc w:val="left"/>
        <w:outlineLvl w:val="1"/>
        <w:rPr>
          <w:rFonts w:ascii="Times New Roman" w:hAnsi="Times New Roman" w:eastAsia="宋体" w:cs="Times New Roman"/>
          <w:b/>
          <w:szCs w:val="21"/>
        </w:rPr>
      </w:pPr>
      <w:bookmarkStart w:id="1315" w:name="_Toc24255"/>
      <w:r>
        <w:rPr>
          <w:rFonts w:hint="eastAsia" w:ascii="Times New Roman" w:hAnsi="Times New Roman" w:eastAsia="宋体" w:cs="Times New Roman"/>
          <w:b/>
          <w:szCs w:val="21"/>
        </w:rPr>
        <w:t>（三）参考书目</w:t>
      </w:r>
      <w:bookmarkEnd w:id="1315"/>
    </w:p>
    <w:p w14:paraId="2A227A71">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教育部.义务教育</w:t>
      </w:r>
      <w:r>
        <w:rPr>
          <w:rFonts w:ascii="宋体" w:hAnsi="宋体" w:eastAsia="宋体" w:cs="Times New Roman"/>
          <w:szCs w:val="21"/>
        </w:rPr>
        <w:t>数学课程标准</w:t>
      </w:r>
      <w:r>
        <w:rPr>
          <w:rFonts w:hint="eastAsia" w:ascii="宋体" w:hAnsi="宋体" w:eastAsia="宋体" w:cs="Times New Roman"/>
          <w:szCs w:val="21"/>
        </w:rPr>
        <w:t>（20</w:t>
      </w:r>
      <w:r>
        <w:rPr>
          <w:rFonts w:ascii="宋体" w:hAnsi="宋体" w:eastAsia="宋体" w:cs="Times New Roman"/>
          <w:szCs w:val="21"/>
        </w:rPr>
        <w:t>22</w:t>
      </w:r>
      <w:r>
        <w:rPr>
          <w:rFonts w:hint="eastAsia" w:ascii="宋体" w:hAnsi="宋体" w:eastAsia="宋体" w:cs="Times New Roman"/>
          <w:szCs w:val="21"/>
        </w:rPr>
        <w:t>年</w:t>
      </w:r>
      <w:r>
        <w:rPr>
          <w:rFonts w:ascii="宋体" w:hAnsi="宋体" w:eastAsia="宋体" w:cs="Times New Roman"/>
          <w:szCs w:val="21"/>
        </w:rPr>
        <w:t>版）</w:t>
      </w:r>
      <w:r>
        <w:rPr>
          <w:rFonts w:hint="eastAsia" w:ascii="宋体" w:hAnsi="宋体" w:eastAsia="宋体" w:cs="Times New Roman"/>
          <w:szCs w:val="21"/>
        </w:rPr>
        <w:t>.北京：北京师范</w:t>
      </w:r>
      <w:r>
        <w:rPr>
          <w:rFonts w:ascii="宋体" w:hAnsi="宋体" w:eastAsia="宋体" w:cs="Times New Roman"/>
          <w:szCs w:val="21"/>
        </w:rPr>
        <w:t>大学</w:t>
      </w:r>
      <w:r>
        <w:rPr>
          <w:rFonts w:hint="eastAsia" w:ascii="宋体" w:hAnsi="宋体" w:eastAsia="宋体" w:cs="Times New Roman"/>
          <w:szCs w:val="21"/>
        </w:rPr>
        <w:t>大学出版社.20</w:t>
      </w:r>
      <w:r>
        <w:rPr>
          <w:rFonts w:ascii="宋体" w:hAnsi="宋体" w:eastAsia="宋体" w:cs="Times New Roman"/>
          <w:szCs w:val="21"/>
        </w:rPr>
        <w:t>22</w:t>
      </w:r>
      <w:r>
        <w:rPr>
          <w:rFonts w:hint="eastAsia" w:ascii="宋体" w:hAnsi="宋体" w:eastAsia="宋体" w:cs="Times New Roman"/>
          <w:szCs w:val="21"/>
        </w:rPr>
        <w:t>.</w:t>
      </w:r>
    </w:p>
    <w:p w14:paraId="3BEE7EB8">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Times New Roman" w:hAnsi="Times New Roman" w:eastAsia="宋体" w:cs="Times New Roman"/>
          <w:bCs/>
          <w:color w:val="000000"/>
          <w:szCs w:val="21"/>
        </w:rPr>
        <w:t xml:space="preserve"> 陈瑶</w:t>
      </w:r>
      <w:r>
        <w:rPr>
          <w:rFonts w:ascii="Times New Roman" w:hAnsi="Times New Roman" w:eastAsia="宋体" w:cs="Times New Roman"/>
          <w:bCs/>
          <w:color w:val="000000"/>
          <w:szCs w:val="21"/>
        </w:rPr>
        <w:t>.课堂观察指导.北京：教育科学出版社，</w:t>
      </w:r>
      <w:r>
        <w:rPr>
          <w:rFonts w:hint="eastAsia" w:ascii="Times New Roman" w:hAnsi="Times New Roman" w:eastAsia="宋体" w:cs="Times New Roman"/>
          <w:bCs/>
          <w:color w:val="000000"/>
          <w:szCs w:val="21"/>
        </w:rPr>
        <w:t>2</w:t>
      </w:r>
      <w:r>
        <w:rPr>
          <w:rFonts w:ascii="Times New Roman" w:hAnsi="Times New Roman" w:eastAsia="宋体" w:cs="Times New Roman"/>
          <w:bCs/>
          <w:color w:val="000000"/>
          <w:szCs w:val="21"/>
        </w:rPr>
        <w:t>003.</w:t>
      </w:r>
    </w:p>
    <w:p w14:paraId="5AEC0058">
      <w:pPr>
        <w:spacing w:line="360" w:lineRule="auto"/>
        <w:ind w:firstLine="420" w:firstLineChars="200"/>
        <w:rPr>
          <w:rFonts w:ascii="宋体" w:hAnsi="宋体" w:eastAsia="宋体" w:cs="Times New Roman"/>
          <w:szCs w:val="21"/>
        </w:rPr>
      </w:pPr>
      <w:r>
        <w:rPr>
          <w:rFonts w:ascii="宋体" w:hAnsi="宋体" w:eastAsia="宋体" w:cs="Times New Roman"/>
          <w:szCs w:val="21"/>
        </w:rPr>
        <w:t>3.[加]F.迈克尔•康纳利，D.琼•克兰迪宁.教师成为课程研究者——经验叙事.刘良华，等译.杭州：浙江教育出版社，2004.</w:t>
      </w:r>
    </w:p>
    <w:p w14:paraId="333942A5">
      <w:pPr>
        <w:spacing w:line="360" w:lineRule="auto"/>
        <w:ind w:firstLine="420" w:firstLineChars="200"/>
        <w:rPr>
          <w:rFonts w:ascii="宋体" w:hAnsi="宋体" w:eastAsia="宋体" w:cs="Times New Roman"/>
          <w:szCs w:val="21"/>
        </w:rPr>
      </w:pPr>
      <w:r>
        <w:rPr>
          <w:rFonts w:ascii="宋体" w:hAnsi="宋体" w:eastAsia="宋体" w:cs="Times New Roman"/>
          <w:szCs w:val="21"/>
        </w:rPr>
        <w:t>4.[美]Renee Campoy.课堂问题分析与解决——成为反思型教师。赵清梅，等译.北京:中国轻工业出版社,2007.</w:t>
      </w:r>
    </w:p>
    <w:p w14:paraId="39BCFB4B"/>
    <w:p w14:paraId="0AC2F22E"/>
    <w:p w14:paraId="77A9A54D"/>
    <w:p w14:paraId="006438AB">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执 笔 人：谢国忠</w:t>
      </w:r>
    </w:p>
    <w:p w14:paraId="2863C8AB">
      <w:pPr>
        <w:wordWrap w:val="0"/>
        <w:spacing w:line="360" w:lineRule="auto"/>
        <w:ind w:right="144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定 人：王 健</w:t>
      </w:r>
    </w:p>
    <w:p w14:paraId="73797937">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49939D49">
      <w:pPr>
        <w:spacing w:line="360" w:lineRule="auto"/>
        <w:ind w:firstLine="4800" w:firstLineChars="20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AA453C4">
      <w:pPr>
        <w:rPr>
          <w:rFonts w:ascii="Times New Roman" w:hAnsi="Times New Roman" w:eastAsia="宋体" w:cs="Times New Roman"/>
          <w:sz w:val="24"/>
          <w:szCs w:val="24"/>
        </w:rPr>
      </w:pPr>
      <w:r>
        <w:rPr>
          <w:rFonts w:ascii="Times New Roman" w:hAnsi="Times New Roman" w:eastAsia="宋体" w:cs="Times New Roman"/>
          <w:sz w:val="24"/>
          <w:szCs w:val="24"/>
        </w:rPr>
        <w:br w:type="page"/>
      </w:r>
    </w:p>
    <w:p w14:paraId="63EFB5C6">
      <w:pPr>
        <w:pStyle w:val="2"/>
        <w:bidi w:val="0"/>
        <w:rPr>
          <w:lang w:val="en-US" w:eastAsia="zh-CN"/>
        </w:rPr>
      </w:pPr>
      <w:bookmarkStart w:id="1316" w:name="_Toc15968"/>
      <w:bookmarkStart w:id="1317" w:name="_Toc2024"/>
      <w:bookmarkStart w:id="1318" w:name="_Toc16816"/>
      <w:bookmarkStart w:id="1319" w:name="_Toc17259"/>
      <w:r>
        <w:rPr>
          <w:rFonts w:hint="eastAsia"/>
          <w:lang w:val="en-US" w:eastAsia="zh-CN"/>
        </w:rPr>
        <w:t>《校本课程开发》课程教学大纲</w:t>
      </w:r>
      <w:bookmarkEnd w:id="1316"/>
      <w:bookmarkEnd w:id="1317"/>
      <w:bookmarkEnd w:id="1318"/>
      <w:bookmarkEnd w:id="1319"/>
    </w:p>
    <w:p w14:paraId="0868007D">
      <w:pPr>
        <w:pStyle w:val="2"/>
        <w:bidi w:val="0"/>
        <w:rPr>
          <w:rFonts w:ascii="Times New Roman" w:hAnsi="Times New Roman" w:eastAsia="宋体" w:cs="Arial"/>
          <w:b/>
          <w:bCs/>
          <w:kern w:val="2"/>
          <w:szCs w:val="24"/>
          <w:lang w:val="en-US" w:eastAsia="zh-CN" w:bidi="ar-SA"/>
        </w:rPr>
      </w:pPr>
      <w:bookmarkStart w:id="1320" w:name="_Toc6887"/>
      <w:bookmarkStart w:id="1321" w:name="_Toc8303"/>
      <w:bookmarkStart w:id="1322" w:name="_Toc20028"/>
      <w:bookmarkStart w:id="1323" w:name="_Toc749"/>
      <w:bookmarkStart w:id="1324" w:name="_Toc5261"/>
      <w:bookmarkStart w:id="1325" w:name="_Toc3282"/>
      <w:bookmarkStart w:id="1326" w:name="_Toc22079"/>
      <w:r>
        <w:rPr>
          <w:rFonts w:hint="eastAsia"/>
          <w:lang w:val="en-US" w:eastAsia="zh-CN"/>
        </w:rPr>
        <w:t>（Development of School-based Curriculum）</w:t>
      </w:r>
      <w:bookmarkEnd w:id="1320"/>
      <w:bookmarkEnd w:id="1321"/>
      <w:bookmarkEnd w:id="1322"/>
      <w:bookmarkEnd w:id="1323"/>
      <w:bookmarkEnd w:id="1324"/>
      <w:bookmarkEnd w:id="1325"/>
      <w:bookmarkEnd w:id="1326"/>
    </w:p>
    <w:p w14:paraId="756F9F9E">
      <w:pPr>
        <w:spacing w:line="360" w:lineRule="auto"/>
        <w:jc w:val="center"/>
        <w:rPr>
          <w:rFonts w:ascii="Times New Roman" w:hAnsi="Times New Roman" w:eastAsia="宋体" w:cs="Times New Roman"/>
          <w:bCs/>
          <w:sz w:val="30"/>
          <w:szCs w:val="30"/>
        </w:rPr>
      </w:pPr>
    </w:p>
    <w:p w14:paraId="278751A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Cs/>
          <w:sz w:val="24"/>
          <w:szCs w:val="24"/>
        </w:rPr>
        <w:t>校本课程开发</w:t>
      </w:r>
      <w:r>
        <w:rPr>
          <w:rFonts w:ascii="Times New Roman" w:hAnsi="Times New Roman" w:eastAsia="宋体" w:cs="Times New Roman"/>
          <w:bCs/>
          <w:sz w:val="24"/>
          <w:szCs w:val="24"/>
        </w:rPr>
        <w:t xml:space="preserve"> </w:t>
      </w:r>
    </w:p>
    <w:p w14:paraId="7A465E89">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Cs/>
          <w:sz w:val="24"/>
          <w:szCs w:val="24"/>
        </w:rPr>
        <w:t>2401022</w:t>
      </w:r>
    </w:p>
    <w:p w14:paraId="47A9514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Cs/>
          <w:sz w:val="24"/>
          <w:szCs w:val="24"/>
        </w:rPr>
        <w:t>2</w:t>
      </w:r>
    </w:p>
    <w:p w14:paraId="11F5BCB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Cs/>
          <w:sz w:val="24"/>
          <w:szCs w:val="24"/>
        </w:rPr>
        <w:t>32</w:t>
      </w:r>
    </w:p>
    <w:p w14:paraId="66E33B0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Cs/>
          <w:sz w:val="24"/>
          <w:szCs w:val="24"/>
        </w:rPr>
        <w:t>教育原理、课程与教学论</w:t>
      </w:r>
    </w:p>
    <w:p w14:paraId="00B27D50">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bCs/>
          <w:sz w:val="24"/>
          <w:szCs w:val="24"/>
        </w:rPr>
        <w:t>师范学院</w:t>
      </w:r>
    </w:p>
    <w:p w14:paraId="4116F6F3">
      <w:pPr>
        <w:spacing w:line="360" w:lineRule="auto"/>
        <w:jc w:val="left"/>
        <w:rPr>
          <w:rFonts w:ascii="Times New Roman" w:hAnsi="Times New Roman" w:eastAsia="宋体" w:cs="Times New Roman"/>
          <w:b/>
          <w:sz w:val="24"/>
          <w:szCs w:val="24"/>
        </w:rPr>
      </w:pPr>
    </w:p>
    <w:p w14:paraId="33739F8A">
      <w:pPr>
        <w:spacing w:line="360" w:lineRule="auto"/>
        <w:jc w:val="left"/>
        <w:outlineLvl w:val="0"/>
        <w:rPr>
          <w:rFonts w:ascii="Times New Roman" w:hAnsi="Times New Roman" w:eastAsia="宋体" w:cs="Times New Roman"/>
          <w:sz w:val="24"/>
          <w:szCs w:val="24"/>
        </w:rPr>
      </w:pPr>
      <w:bookmarkStart w:id="1327" w:name="_Toc3696"/>
      <w:bookmarkStart w:id="1328" w:name="_Toc16794"/>
      <w:bookmarkStart w:id="1329" w:name="_Toc18985"/>
      <w:bookmarkStart w:id="1330" w:name="_Toc24911"/>
      <w:bookmarkStart w:id="1331" w:name="_Toc31411"/>
      <w:bookmarkStart w:id="1332" w:name="_Toc7298"/>
      <w:bookmarkStart w:id="1333" w:name="_Toc2193"/>
      <w:r>
        <w:rPr>
          <w:rFonts w:hint="eastAsia" w:ascii="Times New Roman" w:hAnsi="Times New Roman" w:eastAsia="宋体" w:cs="Times New Roman"/>
          <w:b/>
          <w:sz w:val="24"/>
          <w:szCs w:val="24"/>
        </w:rPr>
        <w:t>一、课程简介</w:t>
      </w:r>
      <w:bookmarkEnd w:id="1327"/>
      <w:bookmarkEnd w:id="1328"/>
      <w:bookmarkEnd w:id="1329"/>
      <w:bookmarkEnd w:id="1330"/>
      <w:bookmarkEnd w:id="1331"/>
      <w:bookmarkEnd w:id="1332"/>
      <w:bookmarkEnd w:id="1333"/>
    </w:p>
    <w:p w14:paraId="0EDA8D8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选修课。通过本课程的学习使学生了解校本课程的基本理念，国内外校本课程开发的经验，掌握校本课程开发中的相关理论问题和具体实践操作的步骤和方法，明确校本课程资源开发的一般原理和具体做法，并从校本课程开发中对教师专业发展的要求来寻找自己的不足，从而为在教学实践中能有效地进行校本课程开发打下理论和实践基础。</w:t>
      </w:r>
    </w:p>
    <w:p w14:paraId="6631A21D">
      <w:pPr>
        <w:spacing w:line="360" w:lineRule="auto"/>
        <w:jc w:val="left"/>
        <w:outlineLvl w:val="0"/>
        <w:rPr>
          <w:rFonts w:ascii="Times New Roman" w:hAnsi="Times New Roman" w:eastAsia="宋体" w:cs="Times New Roman"/>
          <w:sz w:val="24"/>
          <w:szCs w:val="24"/>
        </w:rPr>
      </w:pPr>
      <w:bookmarkStart w:id="1334" w:name="_Toc7481"/>
      <w:bookmarkStart w:id="1335" w:name="_Toc5616"/>
      <w:bookmarkStart w:id="1336" w:name="_Toc31756"/>
      <w:bookmarkStart w:id="1337" w:name="_Toc16245"/>
      <w:bookmarkStart w:id="1338" w:name="_Toc324"/>
      <w:bookmarkStart w:id="1339" w:name="_Toc21397"/>
      <w:bookmarkStart w:id="1340" w:name="_Toc10246"/>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1334"/>
      <w:bookmarkEnd w:id="1335"/>
      <w:bookmarkEnd w:id="1336"/>
      <w:bookmarkEnd w:id="1337"/>
      <w:bookmarkEnd w:id="1338"/>
      <w:bookmarkEnd w:id="1339"/>
      <w:bookmarkEnd w:id="1340"/>
    </w:p>
    <w:p w14:paraId="02BFE184">
      <w:pPr>
        <w:spacing w:line="360" w:lineRule="auto"/>
        <w:ind w:firstLine="422" w:firstLineChars="200"/>
        <w:outlineLvl w:val="1"/>
        <w:rPr>
          <w:rFonts w:hint="eastAsia" w:ascii="宋体" w:hAnsi="宋体" w:eastAsia="宋体" w:cs="Times New Roman"/>
          <w:b/>
          <w:color w:val="000000"/>
          <w:szCs w:val="21"/>
        </w:rPr>
      </w:pPr>
      <w:bookmarkStart w:id="1341" w:name="_Toc5390"/>
      <w:r>
        <w:rPr>
          <w:rFonts w:hint="eastAsia" w:ascii="宋体" w:hAnsi="宋体" w:eastAsia="宋体" w:cs="Times New Roman"/>
          <w:b/>
          <w:color w:val="000000"/>
          <w:szCs w:val="21"/>
        </w:rPr>
        <w:t>（一）课程具体目标</w:t>
      </w:r>
      <w:bookmarkEnd w:id="1341"/>
    </w:p>
    <w:p w14:paraId="2EB803C0">
      <w:pPr>
        <w:spacing w:line="360" w:lineRule="auto"/>
        <w:ind w:firstLine="482"/>
        <w:jc w:val="left"/>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b/>
          <w:bCs/>
          <w:szCs w:val="21"/>
        </w:rPr>
        <w:t>目标1.</w:t>
      </w:r>
      <w:r>
        <w:rPr>
          <w:rFonts w:hint="eastAsia" w:ascii="Times New Roman" w:hAnsi="Times New Roman" w:eastAsia="宋体" w:cs="Times New Roman"/>
          <w:szCs w:val="21"/>
        </w:rPr>
        <w:t xml:space="preserve"> 掌握校本课程开发的理论基础知识，了解校本课程开发的国内外经验，增强本课程学习所需的知识基础。</w:t>
      </w:r>
    </w:p>
    <w:p w14:paraId="46D64B6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 xml:space="preserve">目标2. </w:t>
      </w:r>
      <w:r>
        <w:rPr>
          <w:rFonts w:hint="eastAsia" w:ascii="Times New Roman" w:hAnsi="Times New Roman" w:eastAsia="宋体" w:cs="Times New Roman"/>
          <w:szCs w:val="21"/>
        </w:rPr>
        <w:t>学生能够立足实践，领悟校本课程开发所应树立的崭新课程与教育教学理念，掌握科学的校本课程开发方法（研制、开发、实施、管理与评价等），培养和锻炼学生的实践能力和创新能力。</w:t>
      </w:r>
    </w:p>
    <w:p w14:paraId="02B74E95">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目标3.</w:t>
      </w:r>
      <w:r>
        <w:rPr>
          <w:rFonts w:hint="eastAsia" w:ascii="Times New Roman" w:hAnsi="Times New Roman" w:eastAsia="宋体" w:cs="Times New Roman"/>
          <w:szCs w:val="21"/>
        </w:rPr>
        <w:t xml:space="preserve"> 让学生亲身感受和体验校本课程开发对我国基础教育的影响，从而培养他们积极地学习态度和学习方法。同时进一步夯实他们的专业思想，是他们热爱小学教师这个职业，对小学教育事业产生深厚的情感，并愿意为教育事业奋斗终身。</w:t>
      </w:r>
    </w:p>
    <w:p w14:paraId="479B5904">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目标4.</w:t>
      </w:r>
      <w:r>
        <w:rPr>
          <w:rFonts w:hint="eastAsia" w:ascii="Times New Roman" w:hAnsi="Times New Roman" w:eastAsia="宋体" w:cs="Times New Roman"/>
          <w:szCs w:val="21"/>
        </w:rPr>
        <w:t xml:space="preserve"> 能明确校本课程管理和评价的一般原理和具体做法，能够在管理和评价中学会反思，运用批判的思维分析和解决问题。</w:t>
      </w:r>
    </w:p>
    <w:p w14:paraId="2D4ED197">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 xml:space="preserve">目标5. </w:t>
      </w:r>
      <w:r>
        <w:rPr>
          <w:rFonts w:hint="eastAsia" w:ascii="Times New Roman" w:hAnsi="Times New Roman" w:eastAsia="宋体" w:cs="Times New Roman"/>
          <w:szCs w:val="21"/>
        </w:rPr>
        <w:t>明确校本课程开发对教师的意义和要求，并能从校本课程开发中对教师专业发展的要求来寻找自己的不足，从而为在教学实践中能有效地进行校本课程开发打下理论和实践基础。</w:t>
      </w:r>
    </w:p>
    <w:p w14:paraId="7B45C2BE">
      <w:pPr>
        <w:spacing w:before="156" w:beforeLines="50" w:after="156" w:afterLines="50" w:line="360" w:lineRule="auto"/>
        <w:jc w:val="left"/>
        <w:outlineLvl w:val="1"/>
        <w:rPr>
          <w:rFonts w:ascii="Times New Roman" w:hAnsi="Times New Roman" w:eastAsia="宋体" w:cs="Times New Roman"/>
          <w:b/>
          <w:bCs/>
          <w:szCs w:val="21"/>
        </w:rPr>
      </w:pPr>
      <w:bookmarkStart w:id="1342" w:name="_Toc19507"/>
      <w:r>
        <w:rPr>
          <w:rFonts w:hint="eastAsia" w:ascii="Times New Roman" w:hAnsi="Times New Roman" w:eastAsia="宋体" w:cs="Times New Roman"/>
          <w:b/>
          <w:bCs/>
          <w:szCs w:val="21"/>
        </w:rPr>
        <w:t>（二）课程目标及其对毕业要求指标点的支撑</w:t>
      </w:r>
      <w:bookmarkEnd w:id="1342"/>
    </w:p>
    <w:tbl>
      <w:tblPr>
        <w:tblStyle w:val="11"/>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5688"/>
        <w:gridCol w:w="1191"/>
      </w:tblGrid>
      <w:tr w14:paraId="3E38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51C1E46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A0C16F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EED7F5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775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573DDE0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179A5C60">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1</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【通识知识广博】具有小学教育本科专业相应的自然科学和人文社会科学知识素养。</w:t>
            </w:r>
          </w:p>
        </w:tc>
        <w:tc>
          <w:tcPr>
            <w:tcW w:w="1191" w:type="dxa"/>
            <w:vAlign w:val="center"/>
          </w:tcPr>
          <w:p w14:paraId="5EA0BA4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课程目标1、3</w:t>
            </w:r>
          </w:p>
        </w:tc>
      </w:tr>
      <w:tr w14:paraId="2ABC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34792AF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w:t>
            </w:r>
          </w:p>
          <w:p w14:paraId="0A22781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教学能力</w:t>
            </w:r>
          </w:p>
          <w:p w14:paraId="58E835FE">
            <w:pPr>
              <w:spacing w:line="276" w:lineRule="auto"/>
              <w:jc w:val="left"/>
              <w:rPr>
                <w:rFonts w:ascii="Times New Roman" w:hAnsi="Times New Roman" w:eastAsia="宋体" w:cs="Times New Roman"/>
                <w:szCs w:val="21"/>
              </w:rPr>
            </w:pPr>
          </w:p>
        </w:tc>
        <w:tc>
          <w:tcPr>
            <w:tcW w:w="5688" w:type="dxa"/>
            <w:vAlign w:val="center"/>
          </w:tcPr>
          <w:p w14:paraId="6D60DD36">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spacing w:val="2"/>
                <w:kern w:val="0"/>
                <w:szCs w:val="21"/>
              </w:rPr>
              <w:t>指</w:t>
            </w:r>
            <w:r>
              <w:rPr>
                <w:rFonts w:ascii="宋体" w:hAnsi="宋体" w:eastAsia="宋体" w:cs="Times New Roman"/>
                <w:spacing w:val="2"/>
                <w:kern w:val="0"/>
                <w:szCs w:val="21"/>
              </w:rPr>
              <w:t>标</w:t>
            </w:r>
            <w:r>
              <w:rPr>
                <w:rFonts w:ascii="宋体" w:hAnsi="宋体" w:eastAsia="宋体" w:cs="Times New Roman"/>
                <w:color w:val="000000"/>
                <w:spacing w:val="2"/>
                <w:kern w:val="0"/>
                <w:szCs w:val="21"/>
              </w:rPr>
              <w:t xml:space="preserve">点4-2：【教学设计恰当】能针对小学生已有的知识水平、 学习经验和兴趣特点，依据课标确定恰当的学习目标和学习重 点，设计学习活动。能依据单元内容进行整体设计，科学合理地 依据教学目标及内容设计作业。 </w:t>
            </w:r>
          </w:p>
          <w:p w14:paraId="3D19A18E">
            <w:pPr>
              <w:spacing w:line="276" w:lineRule="auto"/>
              <w:jc w:val="left"/>
              <w:rPr>
                <w:rFonts w:hint="eastAsia" w:ascii="宋体" w:hAnsi="宋体" w:eastAsia="宋体" w:cs="Times New Roman"/>
                <w:color w:val="000000"/>
                <w:spacing w:val="2"/>
                <w:kern w:val="0"/>
                <w:szCs w:val="21"/>
              </w:rPr>
            </w:pPr>
            <w:r>
              <w:rPr>
                <w:rFonts w:ascii="宋体" w:hAnsi="宋体" w:eastAsia="宋体" w:cs="Times New Roman"/>
                <w:color w:val="000000"/>
                <w:spacing w:val="2"/>
                <w:kern w:val="0"/>
                <w:szCs w:val="21"/>
              </w:rPr>
              <w:t>指标点4-3：【教学实施与评价科学】掌握小学教师基本功技能， 包括书写技能、沟通与表达技能、信息技术运用技能等。获得全 面的小学教学体验，掌握学科教学的基本方法与策略，能独立进 行教学实施和评价。</w:t>
            </w:r>
          </w:p>
        </w:tc>
        <w:tc>
          <w:tcPr>
            <w:tcW w:w="1191" w:type="dxa"/>
            <w:vAlign w:val="center"/>
          </w:tcPr>
          <w:p w14:paraId="4FB8464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课程目标2、4</w:t>
            </w:r>
          </w:p>
        </w:tc>
      </w:tr>
      <w:tr w14:paraId="70E4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4" w:type="dxa"/>
            <w:vAlign w:val="center"/>
          </w:tcPr>
          <w:p w14:paraId="6510A8A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3EA6844D">
            <w:pPr>
              <w:spacing w:line="276" w:lineRule="auto"/>
              <w:jc w:val="left"/>
              <w:rPr>
                <w:rFonts w:hint="eastAsia" w:ascii="宋体" w:hAnsi="宋体" w:eastAsia="宋体" w:cs="Times New Roman"/>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7</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【教育视野开阔】积极参加基础教育领域的国内外交流，了解国内外基础教育改革发展的动态，具有宽广的教育</w:t>
            </w:r>
            <w:r>
              <w:rPr>
                <w:rFonts w:hint="eastAsia" w:ascii="宋体" w:hAnsi="宋体" w:eastAsia="宋体" w:cs="Times New Roman"/>
                <w:kern w:val="0"/>
                <w:szCs w:val="21"/>
              </w:rPr>
              <w:t>视野，能够主动适应新时代和教育发展需求。</w:t>
            </w:r>
          </w:p>
          <w:p w14:paraId="62BBEFF5">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指标点7-2：</w:t>
            </w:r>
            <w:r>
              <w:rPr>
                <w:rFonts w:ascii="宋体" w:hAnsi="宋体" w:eastAsia="宋体" w:cs="Times New Roman"/>
                <w:kern w:val="0"/>
                <w:szCs w:val="21"/>
              </w:rPr>
              <w:t>【职业规划合理】了解教师专业发展的要求，形成 终身学习的意识和习惯，注重自身的专业发展，根据基础教育课程改革的动态和发展情况，进行职业生涯规划和自主学习。</w:t>
            </w:r>
          </w:p>
          <w:p w14:paraId="343C95FA">
            <w:pPr>
              <w:spacing w:line="276" w:lineRule="auto"/>
              <w:jc w:val="left"/>
              <w:rPr>
                <w:rFonts w:ascii="Times New Roman" w:hAnsi="Times New Roman" w:eastAsia="宋体" w:cs="Times New Roman"/>
                <w:szCs w:val="21"/>
              </w:rPr>
            </w:pPr>
            <w:r>
              <w:rPr>
                <w:rFonts w:hint="eastAsia" w:ascii="宋体" w:hAnsi="宋体" w:eastAsia="宋体" w:cs="Times New Roman"/>
                <w:kern w:val="0"/>
                <w:szCs w:val="21"/>
              </w:rPr>
              <w:t>指标点</w:t>
            </w:r>
            <w:r>
              <w:rPr>
                <w:rFonts w:ascii="宋体" w:hAnsi="宋体" w:eastAsia="宋体" w:cs="Times New Roman"/>
                <w:kern w:val="0"/>
                <w:szCs w:val="21"/>
              </w:rPr>
              <w:t>7-3：【</w:t>
            </w:r>
            <w:r>
              <w:rPr>
                <w:rFonts w:ascii="宋体" w:hAnsi="宋体" w:eastAsia="宋体" w:cs="Times New Roman"/>
                <w:color w:val="000000"/>
                <w:kern w:val="0"/>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3ED12FA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课程目标3、4、5</w:t>
            </w:r>
          </w:p>
        </w:tc>
      </w:tr>
    </w:tbl>
    <w:p w14:paraId="17FFEA2A">
      <w:pPr>
        <w:spacing w:before="156" w:beforeLines="50" w:line="360" w:lineRule="auto"/>
        <w:jc w:val="left"/>
        <w:outlineLvl w:val="1"/>
        <w:rPr>
          <w:rFonts w:hint="eastAsia" w:ascii="宋体" w:hAnsi="宋体" w:eastAsia="宋体" w:cs="Times New Roman"/>
          <w:b/>
          <w:color w:val="000000"/>
          <w:szCs w:val="21"/>
        </w:rPr>
      </w:pPr>
      <w:bookmarkStart w:id="1343" w:name="_Toc20131"/>
      <w:r>
        <w:rPr>
          <w:rFonts w:hint="eastAsia" w:ascii="宋体" w:hAnsi="宋体" w:eastAsia="宋体" w:cs="Times New Roman"/>
          <w:b/>
          <w:color w:val="000000"/>
          <w:szCs w:val="21"/>
        </w:rPr>
        <w:t>（三）课程思政目标</w:t>
      </w:r>
      <w:bookmarkEnd w:id="1343"/>
    </w:p>
    <w:p w14:paraId="5DBA1DD1">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继承中华优秀教师文化、彰显时代教育要求、发扬工匠精神，充分挖掘地方资源优势并将其融入校本课程，传承并弘扬中华优秀传统文化，增强运用课程积极发挥课程育人作用的思想意识，努力成为新时代高素质专业化教师队伍中的一员，为国育才，为党育人。关心关注本土本地的课程改革的新要求、新进展，用笃行创新的躬耕态度做好教书育人工作，唤醒并不断增强课程开发及课程领导意识，通过实际行动积极践行新课改与新课标中的新任务新要求。</w:t>
      </w:r>
    </w:p>
    <w:p w14:paraId="17B72193">
      <w:pPr>
        <w:spacing w:line="360" w:lineRule="auto"/>
        <w:jc w:val="left"/>
        <w:outlineLvl w:val="0"/>
        <w:rPr>
          <w:rFonts w:hint="eastAsia" w:ascii="宋体" w:hAnsi="宋体" w:eastAsia="宋体" w:cs="Times New Roman"/>
          <w:b/>
          <w:color w:val="000000"/>
          <w:sz w:val="24"/>
          <w:szCs w:val="24"/>
        </w:rPr>
      </w:pPr>
      <w:bookmarkStart w:id="1344" w:name="_Toc8356"/>
      <w:bookmarkStart w:id="1345" w:name="_Toc22822"/>
      <w:bookmarkStart w:id="1346" w:name="_Toc2606"/>
      <w:bookmarkStart w:id="1347" w:name="_Toc5316"/>
      <w:bookmarkStart w:id="1348" w:name="_Toc5398"/>
      <w:bookmarkStart w:id="1349" w:name="_Toc7663"/>
      <w:bookmarkStart w:id="1350" w:name="_Toc11020"/>
      <w:r>
        <w:rPr>
          <w:rFonts w:hint="eastAsia" w:ascii="宋体" w:hAnsi="宋体" w:eastAsia="宋体" w:cs="Times New Roman"/>
          <w:b/>
          <w:color w:val="000000"/>
          <w:sz w:val="24"/>
          <w:szCs w:val="24"/>
        </w:rPr>
        <w:t>三、教学内容与预期学习成效</w:t>
      </w:r>
      <w:bookmarkEnd w:id="1344"/>
      <w:bookmarkEnd w:id="1345"/>
      <w:bookmarkEnd w:id="1346"/>
      <w:bookmarkEnd w:id="1347"/>
      <w:bookmarkEnd w:id="1348"/>
      <w:bookmarkEnd w:id="1349"/>
      <w:bookmarkEnd w:id="1350"/>
    </w:p>
    <w:tbl>
      <w:tblPr>
        <w:tblStyle w:val="11"/>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701"/>
        <w:gridCol w:w="1134"/>
        <w:gridCol w:w="3260"/>
        <w:gridCol w:w="1560"/>
        <w:gridCol w:w="438"/>
      </w:tblGrid>
      <w:tr w14:paraId="64F0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007AA07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C57377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EEF113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12B409D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035AD5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174F23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479A23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9EC42A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7F2C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2B9D725A">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导论：校本课程开发概述</w:t>
            </w:r>
          </w:p>
        </w:tc>
        <w:tc>
          <w:tcPr>
            <w:tcW w:w="1701" w:type="dxa"/>
            <w:vAlign w:val="center"/>
          </w:tcPr>
          <w:p w14:paraId="70D53A33">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（1）校本课程开发的兴起</w:t>
            </w:r>
          </w:p>
          <w:p w14:paraId="5EA96CF6">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（2）校本课程开发的涵义</w:t>
            </w:r>
          </w:p>
          <w:p w14:paraId="2981BF37">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（3）校本课程开发的意义</w:t>
            </w:r>
          </w:p>
          <w:p w14:paraId="2FB93CB1">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（4）校本课程开发的现状</w:t>
            </w:r>
          </w:p>
        </w:tc>
        <w:tc>
          <w:tcPr>
            <w:tcW w:w="1134" w:type="dxa"/>
            <w:vAlign w:val="center"/>
          </w:tcPr>
          <w:p w14:paraId="6339395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8A07D2D">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（1）理解校本课程开发的涵义。</w:t>
            </w:r>
          </w:p>
          <w:p w14:paraId="5AC158A8">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（2）了解校本课程开发的兴起、发展与现状。</w:t>
            </w:r>
          </w:p>
          <w:p w14:paraId="30EE5C96">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（3）掌握校本课程开发的意义。</w:t>
            </w:r>
          </w:p>
          <w:p w14:paraId="39145324">
            <w:pPr>
              <w:spacing w:line="269" w:lineRule="auto"/>
              <w:jc w:val="left"/>
              <w:rPr>
                <w:rFonts w:hint="eastAsia" w:ascii="宋体" w:hAnsi="宋体" w:eastAsia="宋体" w:cs="Times New Roman"/>
                <w:color w:val="000000"/>
                <w:szCs w:val="21"/>
              </w:rPr>
            </w:pPr>
          </w:p>
        </w:tc>
        <w:tc>
          <w:tcPr>
            <w:tcW w:w="1560" w:type="dxa"/>
            <w:vAlign w:val="center"/>
          </w:tcPr>
          <w:p w14:paraId="0DB2C31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5B0EB7D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42DB9CA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40A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7525583E">
            <w:pPr>
              <w:spacing w:line="264" w:lineRule="auto"/>
              <w:jc w:val="center"/>
              <w:rPr>
                <w:rFonts w:hint="eastAsia" w:ascii="宋体" w:hAnsi="宋体" w:eastAsia="宋体" w:cs="Times New Roman"/>
                <w:color w:val="000000"/>
                <w:szCs w:val="21"/>
              </w:rPr>
            </w:pPr>
          </w:p>
        </w:tc>
        <w:tc>
          <w:tcPr>
            <w:tcW w:w="8093" w:type="dxa"/>
            <w:gridSpan w:val="5"/>
            <w:vAlign w:val="center"/>
          </w:tcPr>
          <w:p w14:paraId="7EE899E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01B5774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明确课程政策要求，增强运用课程积极发挥课程育人作用的思想意识，为国育才，为党育人。</w:t>
            </w:r>
          </w:p>
        </w:tc>
      </w:tr>
      <w:tr w14:paraId="486A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7CE9E4B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课程管理体制的变革</w:t>
            </w:r>
          </w:p>
        </w:tc>
        <w:tc>
          <w:tcPr>
            <w:tcW w:w="1701" w:type="dxa"/>
            <w:vAlign w:val="center"/>
          </w:tcPr>
          <w:p w14:paraId="4DF545A7">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1.教学内容</w:t>
            </w:r>
          </w:p>
          <w:p w14:paraId="4156F847">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（1）外国课程管理体制的经验</w:t>
            </w:r>
          </w:p>
          <w:p w14:paraId="557EC37C">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（2）中国课程管理体制的经验</w:t>
            </w:r>
          </w:p>
        </w:tc>
        <w:tc>
          <w:tcPr>
            <w:tcW w:w="1134" w:type="dxa"/>
            <w:vAlign w:val="center"/>
          </w:tcPr>
          <w:p w14:paraId="1D8DBC8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4235C891">
            <w:pPr>
              <w:spacing w:line="269" w:lineRule="auto"/>
              <w:jc w:val="left"/>
              <w:rPr>
                <w:rFonts w:ascii="Times New Roman" w:hAnsi="Times New Roman" w:eastAsia="宋体" w:cs="Times New Roman"/>
                <w:bCs/>
                <w:szCs w:val="21"/>
              </w:rPr>
            </w:pPr>
            <w:r>
              <w:rPr>
                <w:rFonts w:hint="eastAsia" w:ascii="Times New Roman" w:hAnsi="Times New Roman" w:eastAsia="宋体" w:cs="Times New Roman"/>
                <w:bCs/>
                <w:szCs w:val="21"/>
              </w:rPr>
              <w:t>（1）了解国外课程管理体制的基本经验。</w:t>
            </w:r>
          </w:p>
          <w:p w14:paraId="2C55EDED">
            <w:pPr>
              <w:spacing w:line="269" w:lineRule="auto"/>
              <w:jc w:val="left"/>
              <w:rPr>
                <w:rFonts w:ascii="Times New Roman" w:hAnsi="Times New Roman" w:eastAsia="宋体" w:cs="Times New Roman"/>
                <w:bCs/>
                <w:szCs w:val="21"/>
              </w:rPr>
            </w:pPr>
            <w:r>
              <w:rPr>
                <w:rFonts w:hint="eastAsia" w:ascii="Times New Roman" w:hAnsi="Times New Roman" w:eastAsia="宋体" w:cs="Times New Roman"/>
                <w:bCs/>
                <w:szCs w:val="21"/>
              </w:rPr>
              <w:t>（2）了解中国课程管理体制的经验和弊端。</w:t>
            </w:r>
          </w:p>
          <w:p w14:paraId="0568FAEF">
            <w:pPr>
              <w:spacing w:line="269" w:lineRule="auto"/>
              <w:jc w:val="left"/>
              <w:rPr>
                <w:rFonts w:ascii="Times New Roman" w:hAnsi="Times New Roman" w:eastAsia="宋体" w:cs="Times New Roman"/>
                <w:bCs/>
                <w:szCs w:val="21"/>
              </w:rPr>
            </w:pPr>
            <w:r>
              <w:rPr>
                <w:rFonts w:hint="eastAsia" w:ascii="Times New Roman" w:hAnsi="Times New Roman" w:eastAsia="宋体" w:cs="Times New Roman"/>
                <w:bCs/>
                <w:szCs w:val="21"/>
              </w:rPr>
              <w:t>（3）理解三级课程管理体制及其价值。</w:t>
            </w:r>
          </w:p>
        </w:tc>
        <w:tc>
          <w:tcPr>
            <w:tcW w:w="1560" w:type="dxa"/>
            <w:vAlign w:val="center"/>
          </w:tcPr>
          <w:p w14:paraId="04F3989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分组查阅</w:t>
            </w:r>
          </w:p>
          <w:p w14:paraId="4551E3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课堂分享</w:t>
            </w:r>
          </w:p>
        </w:tc>
        <w:tc>
          <w:tcPr>
            <w:tcW w:w="438" w:type="dxa"/>
            <w:vAlign w:val="center"/>
          </w:tcPr>
          <w:p w14:paraId="22DBE2E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331B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337E5CA0">
            <w:pPr>
              <w:spacing w:line="264" w:lineRule="auto"/>
              <w:jc w:val="center"/>
              <w:rPr>
                <w:rFonts w:hint="eastAsia" w:ascii="宋体" w:hAnsi="宋体" w:eastAsia="宋体" w:cs="Times New Roman"/>
                <w:color w:val="000000"/>
                <w:szCs w:val="21"/>
              </w:rPr>
            </w:pPr>
          </w:p>
        </w:tc>
        <w:tc>
          <w:tcPr>
            <w:tcW w:w="8093" w:type="dxa"/>
            <w:gridSpan w:val="5"/>
            <w:vAlign w:val="center"/>
          </w:tcPr>
          <w:p w14:paraId="483FD908">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376F309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增强社会责任感与课程主体意识，既具有国际视野，也进一步增强我国课程文化自信。</w:t>
            </w:r>
          </w:p>
        </w:tc>
      </w:tr>
      <w:tr w14:paraId="116D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6AC77A66">
            <w:pPr>
              <w:spacing w:line="264" w:lineRule="auto"/>
              <w:rPr>
                <w:rFonts w:hint="eastAsia" w:ascii="宋体" w:hAnsi="宋体" w:eastAsia="宋体" w:cs="Times New Roman"/>
                <w:color w:val="000000"/>
                <w:szCs w:val="21"/>
              </w:rPr>
            </w:pPr>
            <w:r>
              <w:rPr>
                <w:rFonts w:hint="eastAsia" w:ascii="宋体" w:hAnsi="宋体" w:eastAsia="宋体" w:cs="Times New Roman"/>
                <w:color w:val="000000"/>
                <w:szCs w:val="21"/>
              </w:rPr>
              <w:t>校本课程开发的特征</w:t>
            </w:r>
          </w:p>
        </w:tc>
        <w:tc>
          <w:tcPr>
            <w:tcW w:w="1701" w:type="dxa"/>
            <w:vAlign w:val="center"/>
          </w:tcPr>
          <w:p w14:paraId="69EF1823">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（1）校本课程开发的特点</w:t>
            </w:r>
          </w:p>
          <w:p w14:paraId="0E3F3EE4">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（2）校本课程开发的关键要素</w:t>
            </w:r>
          </w:p>
          <w:p w14:paraId="791B810D">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（3）校本课程开发的独特价值</w:t>
            </w:r>
          </w:p>
        </w:tc>
        <w:tc>
          <w:tcPr>
            <w:tcW w:w="1134" w:type="dxa"/>
            <w:vAlign w:val="center"/>
          </w:tcPr>
          <w:p w14:paraId="587D9D6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12B9A109">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（1）理解校本课程开发的特征。</w:t>
            </w:r>
          </w:p>
          <w:p w14:paraId="0EB05DEB">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（2）了解校本课程开发的独特价值。</w:t>
            </w:r>
          </w:p>
          <w:p w14:paraId="537E3A88">
            <w:pPr>
              <w:spacing w:line="269"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（3）掌握校本课程开发的关键要素。</w:t>
            </w:r>
          </w:p>
        </w:tc>
        <w:tc>
          <w:tcPr>
            <w:tcW w:w="1560" w:type="dxa"/>
            <w:vAlign w:val="center"/>
          </w:tcPr>
          <w:p w14:paraId="398A324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76C9306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411D710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45BE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5DBE8B9B">
            <w:pPr>
              <w:spacing w:line="264" w:lineRule="auto"/>
              <w:jc w:val="center"/>
              <w:rPr>
                <w:rFonts w:hint="eastAsia" w:ascii="宋体" w:hAnsi="宋体" w:eastAsia="宋体" w:cs="Times New Roman"/>
                <w:color w:val="000000"/>
                <w:szCs w:val="21"/>
              </w:rPr>
            </w:pPr>
          </w:p>
        </w:tc>
        <w:tc>
          <w:tcPr>
            <w:tcW w:w="8093" w:type="dxa"/>
            <w:gridSpan w:val="5"/>
            <w:vAlign w:val="center"/>
          </w:tcPr>
          <w:p w14:paraId="38E18008">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42FA249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乐于关注我国基础教育课程改革新动态，愿意学习我国各地各校的校本课程开发的中国经验。</w:t>
            </w:r>
          </w:p>
        </w:tc>
      </w:tr>
      <w:tr w14:paraId="23D4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0D1FF978">
            <w:pPr>
              <w:spacing w:line="276"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校本课程开发的模式</w:t>
            </w:r>
          </w:p>
        </w:tc>
        <w:tc>
          <w:tcPr>
            <w:tcW w:w="1701" w:type="dxa"/>
            <w:vAlign w:val="center"/>
          </w:tcPr>
          <w:p w14:paraId="663D96AB">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（1）校本课程开发的可能形态</w:t>
            </w:r>
          </w:p>
          <w:p w14:paraId="57BD91C0">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（2）校本课程开发的具体方式</w:t>
            </w:r>
          </w:p>
          <w:p w14:paraId="42AFB08F">
            <w:pPr>
              <w:spacing w:line="276" w:lineRule="auto"/>
              <w:jc w:val="left"/>
              <w:rPr>
                <w:rFonts w:hint="eastAsia" w:ascii="宋体" w:hAnsi="宋体" w:eastAsia="宋体" w:cs="Times New Roman"/>
                <w:color w:val="000000"/>
                <w:szCs w:val="21"/>
              </w:rPr>
            </w:pPr>
          </w:p>
        </w:tc>
        <w:tc>
          <w:tcPr>
            <w:tcW w:w="1134" w:type="dxa"/>
            <w:vAlign w:val="center"/>
          </w:tcPr>
          <w:p w14:paraId="68EB9BB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D47BB4E">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（1）了解课程开发的多元分类标准和不同类型。</w:t>
            </w:r>
          </w:p>
          <w:p w14:paraId="2995DED2">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（2）掌握课程选择、课程整合、课程创编等三种开发活动的实践样式，并能在实践中自由运用。</w:t>
            </w:r>
          </w:p>
        </w:tc>
        <w:tc>
          <w:tcPr>
            <w:tcW w:w="1560" w:type="dxa"/>
            <w:vAlign w:val="center"/>
          </w:tcPr>
          <w:p w14:paraId="1B4C8BF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68D6E16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74944E8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课堂交流</w:t>
            </w:r>
          </w:p>
        </w:tc>
        <w:tc>
          <w:tcPr>
            <w:tcW w:w="438" w:type="dxa"/>
            <w:vAlign w:val="center"/>
          </w:tcPr>
          <w:p w14:paraId="05DF6A3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976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2788B1BA">
            <w:pPr>
              <w:spacing w:line="276" w:lineRule="auto"/>
              <w:jc w:val="center"/>
              <w:rPr>
                <w:rFonts w:hint="eastAsia" w:ascii="宋体" w:hAnsi="宋体" w:eastAsia="宋体" w:cs="Times New Roman"/>
                <w:color w:val="000000"/>
                <w:szCs w:val="21"/>
              </w:rPr>
            </w:pPr>
          </w:p>
        </w:tc>
        <w:tc>
          <w:tcPr>
            <w:tcW w:w="8093" w:type="dxa"/>
            <w:gridSpan w:val="5"/>
            <w:vAlign w:val="center"/>
          </w:tcPr>
          <w:p w14:paraId="1F89D2E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26D2C2E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体验教师校本课程开发中不断创新的工匠精神，传承并弘扬中国教育家精神。</w:t>
            </w:r>
          </w:p>
        </w:tc>
      </w:tr>
      <w:tr w14:paraId="7218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54BEF2B0">
            <w:pPr>
              <w:spacing w:line="276"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校本课程开发的条件</w:t>
            </w:r>
          </w:p>
        </w:tc>
        <w:tc>
          <w:tcPr>
            <w:tcW w:w="1701" w:type="dxa"/>
            <w:vAlign w:val="center"/>
          </w:tcPr>
          <w:p w14:paraId="19D92C76">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（1）校本课程开发的影响因素</w:t>
            </w:r>
          </w:p>
          <w:p w14:paraId="1F307C90">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（2）校长与学校教育哲学</w:t>
            </w:r>
          </w:p>
          <w:p w14:paraId="546B6BB9">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（3）教师与个人教育信念</w:t>
            </w:r>
          </w:p>
        </w:tc>
        <w:tc>
          <w:tcPr>
            <w:tcW w:w="1134" w:type="dxa"/>
            <w:vAlign w:val="center"/>
          </w:tcPr>
          <w:p w14:paraId="2EAD81A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DCC1067">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（1）理解影响校本课程开发的因素。</w:t>
            </w:r>
          </w:p>
          <w:p w14:paraId="6FC70E56">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（2）了解校长在校本课程开发中的重要性。</w:t>
            </w:r>
          </w:p>
          <w:p w14:paraId="179EAC00">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（4）掌握教师参与校本课程开发的条件。</w:t>
            </w:r>
          </w:p>
        </w:tc>
        <w:tc>
          <w:tcPr>
            <w:tcW w:w="1560" w:type="dxa"/>
            <w:vAlign w:val="center"/>
          </w:tcPr>
          <w:p w14:paraId="39DE7BF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案例观摩</w:t>
            </w:r>
          </w:p>
          <w:p w14:paraId="3872370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小组辩论</w:t>
            </w:r>
          </w:p>
        </w:tc>
        <w:tc>
          <w:tcPr>
            <w:tcW w:w="438" w:type="dxa"/>
            <w:vAlign w:val="center"/>
          </w:tcPr>
          <w:p w14:paraId="6BC2872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8E1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8B25C8C">
            <w:pPr>
              <w:spacing w:line="276" w:lineRule="auto"/>
              <w:jc w:val="center"/>
              <w:rPr>
                <w:rFonts w:hint="eastAsia" w:ascii="宋体" w:hAnsi="宋体" w:eastAsia="宋体" w:cs="Times New Roman"/>
                <w:color w:val="000000"/>
                <w:szCs w:val="21"/>
              </w:rPr>
            </w:pPr>
          </w:p>
        </w:tc>
        <w:tc>
          <w:tcPr>
            <w:tcW w:w="8093" w:type="dxa"/>
            <w:gridSpan w:val="5"/>
            <w:vAlign w:val="center"/>
          </w:tcPr>
          <w:p w14:paraId="32CE8AEB">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256062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强化课程开发的主体意识，自觉借助课程弘扬中华优秀传统文化，文化自信。</w:t>
            </w:r>
          </w:p>
        </w:tc>
      </w:tr>
      <w:tr w14:paraId="3A36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594D03B4">
            <w:pPr>
              <w:spacing w:line="276"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校本课程开发的资源</w:t>
            </w:r>
          </w:p>
        </w:tc>
        <w:tc>
          <w:tcPr>
            <w:tcW w:w="1701" w:type="dxa"/>
            <w:vAlign w:val="center"/>
          </w:tcPr>
          <w:p w14:paraId="3263CAF3">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（1）课程资源的类型与选择</w:t>
            </w:r>
          </w:p>
          <w:p w14:paraId="7A99E7A9">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（2）物质课程资源的开发与利用</w:t>
            </w:r>
          </w:p>
          <w:p w14:paraId="24AAB4C5">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（3）人力资源的开发与利用</w:t>
            </w:r>
          </w:p>
          <w:p w14:paraId="3743AE4F">
            <w:pPr>
              <w:spacing w:line="276" w:lineRule="auto"/>
              <w:jc w:val="left"/>
              <w:rPr>
                <w:rFonts w:hint="eastAsia" w:ascii="宋体" w:hAnsi="宋体" w:eastAsia="宋体" w:cs="Times New Roman"/>
                <w:color w:val="000000"/>
                <w:szCs w:val="21"/>
              </w:rPr>
            </w:pPr>
          </w:p>
        </w:tc>
        <w:tc>
          <w:tcPr>
            <w:tcW w:w="1134" w:type="dxa"/>
            <w:vAlign w:val="center"/>
          </w:tcPr>
          <w:p w14:paraId="5D39056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20952F58">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（1）了解课程资源的类型以及课程资源选择的原则与路径。</w:t>
            </w:r>
          </w:p>
          <w:p w14:paraId="2702E045">
            <w:pPr>
              <w:spacing w:line="276"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（2）明确校本课程开发中有哪些物质和人力资源可以利用，掌握物质和人力资源开发和利用中应注意的一些问题，并结合案例明确如何在各学科教学课程与教学中选择和使用物质、人力资源。</w:t>
            </w:r>
          </w:p>
        </w:tc>
        <w:tc>
          <w:tcPr>
            <w:tcW w:w="1560" w:type="dxa"/>
            <w:vAlign w:val="center"/>
          </w:tcPr>
          <w:p w14:paraId="070417C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实践观察</w:t>
            </w:r>
          </w:p>
          <w:p w14:paraId="7E10EEF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4DC51C5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2426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F4D0CB9">
            <w:pPr>
              <w:spacing w:line="276" w:lineRule="auto"/>
              <w:jc w:val="center"/>
              <w:rPr>
                <w:rFonts w:hint="eastAsia" w:ascii="宋体" w:hAnsi="宋体" w:eastAsia="宋体" w:cs="Times New Roman"/>
                <w:color w:val="000000"/>
                <w:szCs w:val="21"/>
              </w:rPr>
            </w:pPr>
          </w:p>
        </w:tc>
        <w:tc>
          <w:tcPr>
            <w:tcW w:w="8093" w:type="dxa"/>
            <w:gridSpan w:val="5"/>
            <w:vAlign w:val="center"/>
          </w:tcPr>
          <w:p w14:paraId="6B17738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69F9A4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增进文化自信，充分挖掘地方资源优势并将其融入校本课程，实现课程育人的宗旨。</w:t>
            </w:r>
          </w:p>
        </w:tc>
      </w:tr>
      <w:tr w14:paraId="5688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4A476248">
            <w:pPr>
              <w:spacing w:line="276" w:lineRule="auto"/>
              <w:jc w:val="center"/>
              <w:rPr>
                <w:rFonts w:hint="eastAsia" w:ascii="宋体" w:hAnsi="宋体" w:eastAsia="宋体" w:cs="Times New Roman"/>
                <w:szCs w:val="21"/>
              </w:rPr>
            </w:pPr>
            <w:r>
              <w:rPr>
                <w:rFonts w:hint="eastAsia" w:ascii="宋体" w:hAnsi="宋体" w:eastAsia="宋体" w:cs="Times New Roman"/>
                <w:szCs w:val="21"/>
              </w:rPr>
              <w:t>开发校本课程的操作策略</w:t>
            </w:r>
          </w:p>
        </w:tc>
        <w:tc>
          <w:tcPr>
            <w:tcW w:w="1701" w:type="dxa"/>
            <w:vAlign w:val="center"/>
          </w:tcPr>
          <w:p w14:paraId="647E1C3D">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（1）校本课程开发的流程</w:t>
            </w:r>
          </w:p>
          <w:p w14:paraId="4BF8374E">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（2）校本课程开发的三种取向</w:t>
            </w:r>
          </w:p>
          <w:p w14:paraId="2E55EF8A">
            <w:pPr>
              <w:spacing w:line="276" w:lineRule="auto"/>
              <w:jc w:val="left"/>
              <w:rPr>
                <w:rFonts w:hint="eastAsia" w:ascii="宋体" w:hAnsi="宋体" w:eastAsia="宋体" w:cs="Times New Roman"/>
                <w:szCs w:val="21"/>
              </w:rPr>
            </w:pPr>
          </w:p>
        </w:tc>
        <w:tc>
          <w:tcPr>
            <w:tcW w:w="1134" w:type="dxa"/>
            <w:vAlign w:val="center"/>
          </w:tcPr>
          <w:p w14:paraId="2F3BAAD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260" w:type="dxa"/>
            <w:vAlign w:val="center"/>
          </w:tcPr>
          <w:p w14:paraId="05693A04">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（1）掌握校本课程开发的流程，尤其是校本课程方案的制定和设计的基本途径，为未来校本课程开发实践打下基础。</w:t>
            </w:r>
          </w:p>
          <w:p w14:paraId="2331D81A">
            <w:pPr>
              <w:spacing w:line="276" w:lineRule="auto"/>
              <w:jc w:val="left"/>
              <w:rPr>
                <w:rFonts w:hint="eastAsia" w:ascii="宋体" w:hAnsi="宋体" w:eastAsia="宋体" w:cs="Times New Roman"/>
                <w:bCs/>
                <w:szCs w:val="21"/>
              </w:rPr>
            </w:pPr>
            <w:r>
              <w:rPr>
                <w:rFonts w:hint="eastAsia" w:ascii="宋体" w:hAnsi="宋体" w:eastAsia="宋体" w:cs="Times New Roman"/>
                <w:bCs/>
                <w:szCs w:val="21"/>
              </w:rPr>
              <w:t>（2）深刻理解校本课程开发的三种取向，实践中能根据实际情况灵活运用。</w:t>
            </w:r>
          </w:p>
        </w:tc>
        <w:tc>
          <w:tcPr>
            <w:tcW w:w="1560" w:type="dxa"/>
            <w:vAlign w:val="center"/>
          </w:tcPr>
          <w:p w14:paraId="59D7016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教师讲授</w:t>
            </w:r>
          </w:p>
          <w:p w14:paraId="5AC0AA0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小组合作</w:t>
            </w:r>
          </w:p>
        </w:tc>
        <w:tc>
          <w:tcPr>
            <w:tcW w:w="438" w:type="dxa"/>
            <w:vAlign w:val="center"/>
          </w:tcPr>
          <w:p w14:paraId="5CE10FD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p>
        </w:tc>
      </w:tr>
      <w:tr w14:paraId="637B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4F83D52E">
            <w:pPr>
              <w:spacing w:line="276" w:lineRule="auto"/>
              <w:jc w:val="center"/>
              <w:rPr>
                <w:rFonts w:hint="eastAsia" w:ascii="宋体" w:hAnsi="宋体" w:eastAsia="宋体" w:cs="Times New Roman"/>
                <w:color w:val="000000"/>
                <w:szCs w:val="21"/>
              </w:rPr>
            </w:pPr>
          </w:p>
        </w:tc>
        <w:tc>
          <w:tcPr>
            <w:tcW w:w="8093" w:type="dxa"/>
            <w:gridSpan w:val="5"/>
            <w:vAlign w:val="center"/>
          </w:tcPr>
          <w:p w14:paraId="17862225">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516F333A">
            <w:pPr>
              <w:spacing w:line="276" w:lineRule="auto"/>
              <w:jc w:val="left"/>
              <w:rPr>
                <w:rFonts w:hint="eastAsia" w:ascii="宋体" w:hAnsi="宋体" w:eastAsia="宋体" w:cs="Times New Roman"/>
                <w:color w:val="000000"/>
                <w:szCs w:val="21"/>
              </w:rPr>
            </w:pPr>
            <w:bookmarkStart w:id="1351" w:name="_Hlk184661792"/>
            <w:r>
              <w:rPr>
                <w:rFonts w:hint="eastAsia" w:ascii="宋体" w:hAnsi="宋体" w:eastAsia="宋体" w:cs="Times New Roman"/>
                <w:color w:val="000000"/>
                <w:szCs w:val="21"/>
              </w:rPr>
              <w:t>用工匠精神做好立德树人工作，用笃行创新的躬耕态度做好教书育人工作。</w:t>
            </w:r>
            <w:bookmarkEnd w:id="1351"/>
          </w:p>
        </w:tc>
      </w:tr>
      <w:tr w14:paraId="3248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58F838BD">
            <w:pPr>
              <w:spacing w:line="264" w:lineRule="auto"/>
              <w:jc w:val="center"/>
              <w:rPr>
                <w:rFonts w:hint="eastAsia" w:ascii="宋体" w:hAnsi="宋体" w:eastAsia="宋体" w:cs="Times New Roman"/>
                <w:color w:val="000000"/>
                <w:szCs w:val="21"/>
              </w:rPr>
            </w:pPr>
            <w:r>
              <w:rPr>
                <w:rFonts w:hint="eastAsia" w:ascii="Times New Roman" w:hAnsi="Times New Roman" w:eastAsia="宋体" w:cs="Times New Roman"/>
                <w:color w:val="000000"/>
                <w:szCs w:val="21"/>
              </w:rPr>
              <w:t>校本课程的管理与评价</w:t>
            </w:r>
          </w:p>
        </w:tc>
        <w:tc>
          <w:tcPr>
            <w:tcW w:w="1701" w:type="dxa"/>
            <w:vAlign w:val="center"/>
          </w:tcPr>
          <w:p w14:paraId="4E6821C3">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（1）校本课程的管理</w:t>
            </w:r>
          </w:p>
          <w:p w14:paraId="21813A7D">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（2）校本课程的评价</w:t>
            </w:r>
          </w:p>
          <w:p w14:paraId="354DD6D0">
            <w:pPr>
              <w:spacing w:line="264" w:lineRule="auto"/>
              <w:jc w:val="left"/>
              <w:rPr>
                <w:rFonts w:hint="eastAsia" w:ascii="宋体" w:hAnsi="宋体" w:eastAsia="宋体" w:cs="Times New Roman"/>
                <w:color w:val="000000"/>
                <w:szCs w:val="21"/>
              </w:rPr>
            </w:pPr>
          </w:p>
        </w:tc>
        <w:tc>
          <w:tcPr>
            <w:tcW w:w="1134" w:type="dxa"/>
            <w:vAlign w:val="center"/>
          </w:tcPr>
          <w:p w14:paraId="6BE6E2C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课程目标4</w:t>
            </w:r>
          </w:p>
        </w:tc>
        <w:tc>
          <w:tcPr>
            <w:tcW w:w="3260" w:type="dxa"/>
            <w:vAlign w:val="center"/>
          </w:tcPr>
          <w:p w14:paraId="1B8269D1">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（1）了解校本课程管理与评价的价值观、主要内容、取向和模式。</w:t>
            </w:r>
          </w:p>
          <w:p w14:paraId="64AF92EB">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（2）掌握校本课程管理和评价的具体方法、原则，为在实践中有效管理和评价校本课程提供理论和实践指导。</w:t>
            </w:r>
          </w:p>
        </w:tc>
        <w:tc>
          <w:tcPr>
            <w:tcW w:w="1560" w:type="dxa"/>
            <w:vAlign w:val="center"/>
          </w:tcPr>
          <w:p w14:paraId="2FE6BD6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课堂学习</w:t>
            </w:r>
          </w:p>
          <w:p w14:paraId="67CCC3B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课例观察</w:t>
            </w:r>
          </w:p>
          <w:p w14:paraId="4DBBC1B1">
            <w:pPr>
              <w:spacing w:line="264" w:lineRule="auto"/>
              <w:jc w:val="left"/>
              <w:rPr>
                <w:rFonts w:hint="eastAsia" w:ascii="宋体" w:hAnsi="宋体" w:eastAsia="宋体" w:cs="Times New Roman"/>
                <w:color w:val="000000"/>
                <w:szCs w:val="21"/>
              </w:rPr>
            </w:pPr>
          </w:p>
        </w:tc>
        <w:tc>
          <w:tcPr>
            <w:tcW w:w="438" w:type="dxa"/>
            <w:vAlign w:val="center"/>
          </w:tcPr>
          <w:p w14:paraId="311EEF6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6D6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3907EDFE">
            <w:pPr>
              <w:spacing w:line="264" w:lineRule="auto"/>
              <w:jc w:val="center"/>
              <w:rPr>
                <w:rFonts w:hint="eastAsia" w:ascii="宋体" w:hAnsi="宋体" w:eastAsia="宋体" w:cs="Times New Roman"/>
                <w:color w:val="000000"/>
                <w:szCs w:val="21"/>
              </w:rPr>
            </w:pPr>
          </w:p>
        </w:tc>
        <w:tc>
          <w:tcPr>
            <w:tcW w:w="8093" w:type="dxa"/>
            <w:gridSpan w:val="5"/>
            <w:vAlign w:val="center"/>
          </w:tcPr>
          <w:p w14:paraId="0A7DBBAA">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77CF470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以评促教，以评促学，以评促改，以评促优，树立构建教育新生态的课程意识。</w:t>
            </w:r>
          </w:p>
        </w:tc>
      </w:tr>
      <w:tr w14:paraId="402E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7572E72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校本课程开发中的教师专业发展</w:t>
            </w:r>
          </w:p>
        </w:tc>
        <w:tc>
          <w:tcPr>
            <w:tcW w:w="1701" w:type="dxa"/>
            <w:vAlign w:val="center"/>
          </w:tcPr>
          <w:p w14:paraId="50651531">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（1）校本课程开发对教师的意义和对教师的要求</w:t>
            </w:r>
          </w:p>
          <w:p w14:paraId="063F7996">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（2）教师参与校本课程开发的影响因素和提高途径</w:t>
            </w:r>
          </w:p>
        </w:tc>
        <w:tc>
          <w:tcPr>
            <w:tcW w:w="1134" w:type="dxa"/>
            <w:vAlign w:val="center"/>
          </w:tcPr>
          <w:p w14:paraId="7AC4FEC3">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课程目标5</w:t>
            </w:r>
          </w:p>
        </w:tc>
        <w:tc>
          <w:tcPr>
            <w:tcW w:w="3260" w:type="dxa"/>
            <w:vAlign w:val="center"/>
          </w:tcPr>
          <w:p w14:paraId="493D7C71">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（1）了解校本课程开发对教师的意义和对教师的要求。</w:t>
            </w:r>
          </w:p>
          <w:p w14:paraId="72E7E276">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（2）掌握影响教师参与校本课程开发的因素。</w:t>
            </w:r>
          </w:p>
          <w:p w14:paraId="25FB7E5A">
            <w:pPr>
              <w:spacing w:line="264" w:lineRule="auto"/>
              <w:jc w:val="left"/>
              <w:rPr>
                <w:rFonts w:hint="eastAsia" w:ascii="宋体" w:hAnsi="宋体" w:eastAsia="宋体" w:cs="Times New Roman"/>
                <w:bCs/>
                <w:color w:val="000000"/>
                <w:szCs w:val="21"/>
              </w:rPr>
            </w:pPr>
            <w:r>
              <w:rPr>
                <w:rFonts w:hint="eastAsia" w:ascii="宋体" w:hAnsi="宋体" w:eastAsia="宋体" w:cs="Times New Roman"/>
                <w:bCs/>
                <w:color w:val="000000"/>
                <w:szCs w:val="21"/>
              </w:rPr>
              <w:t>（3）明确要实现有效的校本课程开发，就必须从教师培训、教育教学研究及校本教研入手来促进教师的专业发展。</w:t>
            </w:r>
          </w:p>
        </w:tc>
        <w:tc>
          <w:tcPr>
            <w:tcW w:w="1560" w:type="dxa"/>
            <w:vAlign w:val="center"/>
          </w:tcPr>
          <w:p w14:paraId="7586D1A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课堂讨论</w:t>
            </w:r>
          </w:p>
        </w:tc>
        <w:tc>
          <w:tcPr>
            <w:tcW w:w="438" w:type="dxa"/>
            <w:vAlign w:val="center"/>
          </w:tcPr>
          <w:p w14:paraId="35380945">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0D5A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3F62E1E5">
            <w:pPr>
              <w:spacing w:line="264" w:lineRule="auto"/>
              <w:jc w:val="center"/>
              <w:rPr>
                <w:rFonts w:hint="eastAsia" w:ascii="宋体" w:hAnsi="宋体" w:eastAsia="宋体" w:cs="Times New Roman"/>
                <w:color w:val="000000"/>
                <w:szCs w:val="21"/>
              </w:rPr>
            </w:pPr>
          </w:p>
        </w:tc>
        <w:tc>
          <w:tcPr>
            <w:tcW w:w="8093" w:type="dxa"/>
            <w:gridSpan w:val="5"/>
            <w:vAlign w:val="center"/>
          </w:tcPr>
          <w:p w14:paraId="60035BB9">
            <w:pPr>
              <w:spacing w:line="264"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p>
          <w:p w14:paraId="5EB5D58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继承中华优秀教师文化、彰显时代教育要求，不断从“四有”好老师，到“四个引路人”和“四个相统一”，到“经师”和“人师”相统一的“大先生”，再到“中国特有的教育家精神”，自觉提升自我，成为新时代高素质专业化教师队伍中的一员。</w:t>
            </w:r>
          </w:p>
        </w:tc>
      </w:tr>
    </w:tbl>
    <w:p w14:paraId="35B78483">
      <w:pPr>
        <w:spacing w:line="360" w:lineRule="auto"/>
        <w:jc w:val="left"/>
        <w:rPr>
          <w:rFonts w:ascii="Times New Roman" w:hAnsi="Times New Roman" w:eastAsia="宋体" w:cs="Times New Roman"/>
          <w:sz w:val="24"/>
          <w:szCs w:val="24"/>
        </w:rPr>
      </w:pPr>
    </w:p>
    <w:p w14:paraId="11D5141C">
      <w:pPr>
        <w:spacing w:line="360" w:lineRule="auto"/>
        <w:jc w:val="left"/>
        <w:outlineLvl w:val="0"/>
        <w:rPr>
          <w:rFonts w:ascii="Times New Roman" w:hAnsi="Times New Roman" w:eastAsia="宋体" w:cs="Times New Roman"/>
          <w:sz w:val="24"/>
          <w:szCs w:val="24"/>
        </w:rPr>
      </w:pPr>
      <w:bookmarkStart w:id="1352" w:name="_Toc9929"/>
      <w:bookmarkStart w:id="1353" w:name="_Toc27613"/>
      <w:bookmarkStart w:id="1354" w:name="_Toc22342"/>
      <w:bookmarkStart w:id="1355" w:name="_Toc9300"/>
      <w:bookmarkStart w:id="1356" w:name="_Toc24898"/>
      <w:bookmarkStart w:id="1357" w:name="_Toc11820"/>
      <w:bookmarkStart w:id="1358" w:name="_Toc10552"/>
      <w:r>
        <w:rPr>
          <w:rFonts w:hint="eastAsia" w:ascii="宋体" w:hAnsi="宋体" w:eastAsia="宋体" w:cs="Times New Roman"/>
          <w:b/>
          <w:color w:val="000000"/>
          <w:sz w:val="24"/>
          <w:szCs w:val="24"/>
        </w:rPr>
        <w:t>四、目标评价与成绩评定</w:t>
      </w:r>
      <w:bookmarkEnd w:id="1352"/>
      <w:bookmarkEnd w:id="1353"/>
      <w:bookmarkEnd w:id="1354"/>
      <w:bookmarkEnd w:id="1355"/>
      <w:bookmarkEnd w:id="1356"/>
      <w:bookmarkEnd w:id="1357"/>
      <w:bookmarkEnd w:id="1358"/>
    </w:p>
    <w:p w14:paraId="39E3E23F">
      <w:pPr>
        <w:spacing w:line="360" w:lineRule="auto"/>
        <w:jc w:val="left"/>
        <w:outlineLvl w:val="1"/>
        <w:rPr>
          <w:rFonts w:ascii="Times New Roman" w:hAnsi="Times New Roman" w:eastAsia="宋体" w:cs="Times New Roman"/>
          <w:b/>
          <w:szCs w:val="21"/>
        </w:rPr>
      </w:pPr>
      <w:bookmarkStart w:id="1359" w:name="_Toc7922"/>
      <w:r>
        <w:rPr>
          <w:rFonts w:hint="eastAsia" w:ascii="Times New Roman" w:hAnsi="Times New Roman" w:eastAsia="宋体" w:cs="Times New Roman"/>
          <w:b/>
          <w:szCs w:val="21"/>
        </w:rPr>
        <w:t>（一）课程目标评价方式</w:t>
      </w:r>
      <w:bookmarkEnd w:id="1359"/>
    </w:p>
    <w:p w14:paraId="66330A1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936DDA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4EC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2F3A8D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22E50D2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6001E2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A19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577C196">
            <w:pPr>
              <w:spacing w:line="360" w:lineRule="auto"/>
              <w:jc w:val="center"/>
              <w:rPr>
                <w:rFonts w:hint="eastAsia" w:ascii="宋体" w:hAnsi="宋体" w:eastAsia="宋体" w:cs="Times New Roman"/>
                <w:szCs w:val="21"/>
              </w:rPr>
            </w:pPr>
          </w:p>
        </w:tc>
        <w:tc>
          <w:tcPr>
            <w:tcW w:w="0" w:type="auto"/>
            <w:vAlign w:val="center"/>
          </w:tcPr>
          <w:p w14:paraId="0E8C063F">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1ED11C03">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1C20BE4F">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7D327C17">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7A434582">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186D07E5">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3700DC20">
            <w:pPr>
              <w:spacing w:line="360" w:lineRule="auto"/>
              <w:jc w:val="center"/>
              <w:rPr>
                <w:rFonts w:hint="eastAsia" w:ascii="宋体" w:hAnsi="宋体" w:eastAsia="宋体" w:cs="Times New Roman"/>
                <w:szCs w:val="21"/>
              </w:rPr>
            </w:pPr>
          </w:p>
        </w:tc>
      </w:tr>
      <w:tr w14:paraId="4BD3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81D95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4DFA4E61">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729D755E">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0167FA97">
            <w:pPr>
              <w:spacing w:line="360" w:lineRule="auto"/>
              <w:jc w:val="center"/>
              <w:rPr>
                <w:rFonts w:hint="eastAsia" w:ascii="宋体" w:hAnsi="宋体" w:eastAsia="宋体" w:cs="Times New Roman"/>
                <w:szCs w:val="21"/>
              </w:rPr>
            </w:pPr>
          </w:p>
        </w:tc>
        <w:tc>
          <w:tcPr>
            <w:tcW w:w="0" w:type="auto"/>
            <w:vAlign w:val="center"/>
          </w:tcPr>
          <w:p w14:paraId="283018CD">
            <w:pPr>
              <w:spacing w:line="360" w:lineRule="auto"/>
              <w:jc w:val="center"/>
              <w:rPr>
                <w:rFonts w:hint="eastAsia" w:ascii="宋体" w:hAnsi="宋体" w:eastAsia="宋体" w:cs="Times New Roman"/>
                <w:szCs w:val="21"/>
              </w:rPr>
            </w:pPr>
          </w:p>
        </w:tc>
        <w:tc>
          <w:tcPr>
            <w:tcW w:w="0" w:type="auto"/>
            <w:vAlign w:val="center"/>
          </w:tcPr>
          <w:p w14:paraId="757183B4">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3B9732C5">
            <w:pPr>
              <w:spacing w:line="360" w:lineRule="auto"/>
              <w:jc w:val="center"/>
              <w:rPr>
                <w:rFonts w:hint="eastAsia" w:ascii="宋体" w:hAnsi="宋体" w:eastAsia="宋体" w:cs="Times New Roman"/>
                <w:szCs w:val="21"/>
              </w:rPr>
            </w:pPr>
          </w:p>
        </w:tc>
        <w:tc>
          <w:tcPr>
            <w:tcW w:w="0" w:type="auto"/>
            <w:vAlign w:val="center"/>
          </w:tcPr>
          <w:p w14:paraId="3AE3373C">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61D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8B59D7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ED40352">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34ECFA76">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6C1AEAE9">
            <w:pPr>
              <w:spacing w:line="360" w:lineRule="auto"/>
              <w:jc w:val="center"/>
              <w:rPr>
                <w:rFonts w:hint="eastAsia" w:ascii="宋体" w:hAnsi="宋体" w:eastAsia="宋体" w:cs="Times New Roman"/>
                <w:szCs w:val="21"/>
              </w:rPr>
            </w:pPr>
          </w:p>
        </w:tc>
        <w:tc>
          <w:tcPr>
            <w:tcW w:w="0" w:type="auto"/>
            <w:vAlign w:val="center"/>
          </w:tcPr>
          <w:p w14:paraId="7461892D">
            <w:pPr>
              <w:spacing w:line="360" w:lineRule="auto"/>
              <w:jc w:val="center"/>
              <w:rPr>
                <w:rFonts w:hint="eastAsia" w:ascii="宋体" w:hAnsi="宋体" w:eastAsia="宋体" w:cs="Times New Roman"/>
                <w:szCs w:val="21"/>
              </w:rPr>
            </w:pPr>
          </w:p>
        </w:tc>
        <w:tc>
          <w:tcPr>
            <w:tcW w:w="0" w:type="auto"/>
            <w:vAlign w:val="center"/>
          </w:tcPr>
          <w:p w14:paraId="2E07156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13BF3727">
            <w:pPr>
              <w:spacing w:line="360" w:lineRule="auto"/>
              <w:jc w:val="center"/>
              <w:rPr>
                <w:rFonts w:hint="eastAsia" w:ascii="宋体" w:hAnsi="宋体" w:eastAsia="宋体" w:cs="Times New Roman"/>
                <w:szCs w:val="21"/>
              </w:rPr>
            </w:pPr>
          </w:p>
        </w:tc>
        <w:tc>
          <w:tcPr>
            <w:tcW w:w="0" w:type="auto"/>
            <w:vAlign w:val="center"/>
          </w:tcPr>
          <w:p w14:paraId="641D66D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A7B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4FFC4D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459C8351">
            <w:pPr>
              <w:spacing w:line="360" w:lineRule="auto"/>
              <w:jc w:val="center"/>
              <w:rPr>
                <w:rFonts w:hint="eastAsia" w:ascii="宋体" w:hAnsi="宋体" w:eastAsia="宋体" w:cs="Times New Roman"/>
                <w:szCs w:val="21"/>
              </w:rPr>
            </w:pPr>
          </w:p>
        </w:tc>
        <w:tc>
          <w:tcPr>
            <w:tcW w:w="0" w:type="auto"/>
            <w:vAlign w:val="center"/>
          </w:tcPr>
          <w:p w14:paraId="149230F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2AB95DD5">
            <w:pPr>
              <w:spacing w:line="360" w:lineRule="auto"/>
              <w:jc w:val="center"/>
              <w:rPr>
                <w:rFonts w:hint="eastAsia" w:ascii="宋体" w:hAnsi="宋体" w:eastAsia="宋体" w:cs="Times New Roman"/>
                <w:szCs w:val="21"/>
              </w:rPr>
            </w:pPr>
          </w:p>
        </w:tc>
        <w:tc>
          <w:tcPr>
            <w:tcW w:w="0" w:type="auto"/>
            <w:vAlign w:val="center"/>
          </w:tcPr>
          <w:p w14:paraId="012F65A2">
            <w:pPr>
              <w:spacing w:line="360" w:lineRule="auto"/>
              <w:jc w:val="center"/>
              <w:rPr>
                <w:rFonts w:hint="eastAsia" w:ascii="宋体" w:hAnsi="宋体" w:eastAsia="宋体" w:cs="Times New Roman"/>
                <w:szCs w:val="21"/>
              </w:rPr>
            </w:pPr>
          </w:p>
        </w:tc>
        <w:tc>
          <w:tcPr>
            <w:tcW w:w="0" w:type="auto"/>
            <w:vAlign w:val="center"/>
          </w:tcPr>
          <w:p w14:paraId="169C5FEC">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tcPr>
          <w:p w14:paraId="0E21D117">
            <w:pPr>
              <w:spacing w:line="360" w:lineRule="auto"/>
              <w:jc w:val="center"/>
              <w:rPr>
                <w:rFonts w:hint="eastAsia" w:ascii="宋体" w:hAnsi="宋体" w:eastAsia="宋体" w:cs="Times New Roman"/>
                <w:szCs w:val="21"/>
              </w:rPr>
            </w:pPr>
          </w:p>
        </w:tc>
        <w:tc>
          <w:tcPr>
            <w:tcW w:w="0" w:type="auto"/>
            <w:vAlign w:val="center"/>
          </w:tcPr>
          <w:p w14:paraId="1A6EDDE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6D98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EAF14E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0" w:type="auto"/>
            <w:vAlign w:val="center"/>
          </w:tcPr>
          <w:p w14:paraId="6D32CDE5">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28FCBA49">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67F33D7F">
            <w:pPr>
              <w:spacing w:line="360" w:lineRule="auto"/>
              <w:jc w:val="center"/>
              <w:rPr>
                <w:rFonts w:hint="eastAsia" w:ascii="宋体" w:hAnsi="宋体" w:eastAsia="宋体" w:cs="Times New Roman"/>
                <w:szCs w:val="21"/>
              </w:rPr>
            </w:pPr>
          </w:p>
        </w:tc>
        <w:tc>
          <w:tcPr>
            <w:tcW w:w="0" w:type="auto"/>
            <w:vAlign w:val="center"/>
          </w:tcPr>
          <w:p w14:paraId="2662C8EB">
            <w:pPr>
              <w:spacing w:line="360" w:lineRule="auto"/>
              <w:jc w:val="center"/>
              <w:rPr>
                <w:rFonts w:hint="eastAsia" w:ascii="宋体" w:hAnsi="宋体" w:eastAsia="宋体" w:cs="Times New Roman"/>
                <w:szCs w:val="21"/>
              </w:rPr>
            </w:pPr>
          </w:p>
        </w:tc>
        <w:tc>
          <w:tcPr>
            <w:tcW w:w="0" w:type="auto"/>
            <w:vAlign w:val="center"/>
          </w:tcPr>
          <w:p w14:paraId="416FAD85">
            <w:pPr>
              <w:spacing w:line="360" w:lineRule="auto"/>
              <w:jc w:val="center"/>
              <w:rPr>
                <w:rFonts w:hint="eastAsia" w:ascii="宋体" w:hAnsi="宋体" w:eastAsia="宋体" w:cs="Times New Roman"/>
                <w:szCs w:val="21"/>
              </w:rPr>
            </w:pPr>
          </w:p>
        </w:tc>
        <w:tc>
          <w:tcPr>
            <w:tcW w:w="0" w:type="auto"/>
          </w:tcPr>
          <w:p w14:paraId="77CD2722">
            <w:pPr>
              <w:spacing w:line="360" w:lineRule="auto"/>
              <w:jc w:val="center"/>
              <w:rPr>
                <w:rFonts w:hint="eastAsia" w:ascii="宋体" w:hAnsi="宋体" w:eastAsia="宋体" w:cs="Times New Roman"/>
                <w:szCs w:val="21"/>
              </w:rPr>
            </w:pPr>
          </w:p>
        </w:tc>
        <w:tc>
          <w:tcPr>
            <w:tcW w:w="0" w:type="auto"/>
            <w:vAlign w:val="center"/>
          </w:tcPr>
          <w:p w14:paraId="1C0243C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8B1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A7BCB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0" w:type="auto"/>
            <w:vAlign w:val="center"/>
          </w:tcPr>
          <w:p w14:paraId="0B37030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0671B91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77A34C2F">
            <w:pPr>
              <w:spacing w:line="360" w:lineRule="auto"/>
              <w:jc w:val="center"/>
              <w:rPr>
                <w:rFonts w:hint="eastAsia" w:ascii="宋体" w:hAnsi="宋体" w:eastAsia="宋体" w:cs="Times New Roman"/>
                <w:szCs w:val="21"/>
              </w:rPr>
            </w:pPr>
          </w:p>
        </w:tc>
        <w:tc>
          <w:tcPr>
            <w:tcW w:w="0" w:type="auto"/>
            <w:vAlign w:val="center"/>
          </w:tcPr>
          <w:p w14:paraId="436E21D1">
            <w:pPr>
              <w:spacing w:line="360" w:lineRule="auto"/>
              <w:jc w:val="center"/>
              <w:rPr>
                <w:rFonts w:hint="eastAsia" w:ascii="宋体" w:hAnsi="宋体" w:eastAsia="宋体" w:cs="Times New Roman"/>
                <w:szCs w:val="21"/>
              </w:rPr>
            </w:pPr>
          </w:p>
        </w:tc>
        <w:tc>
          <w:tcPr>
            <w:tcW w:w="0" w:type="auto"/>
            <w:vAlign w:val="center"/>
          </w:tcPr>
          <w:p w14:paraId="5E68D1F0">
            <w:pPr>
              <w:spacing w:line="360" w:lineRule="auto"/>
              <w:jc w:val="center"/>
              <w:rPr>
                <w:rFonts w:hint="eastAsia" w:ascii="宋体" w:hAnsi="宋体" w:eastAsia="宋体" w:cs="Times New Roman"/>
                <w:szCs w:val="21"/>
              </w:rPr>
            </w:pPr>
          </w:p>
        </w:tc>
        <w:tc>
          <w:tcPr>
            <w:tcW w:w="0" w:type="auto"/>
          </w:tcPr>
          <w:p w14:paraId="6CBBCB6F">
            <w:pPr>
              <w:spacing w:line="360" w:lineRule="auto"/>
              <w:jc w:val="center"/>
              <w:rPr>
                <w:rFonts w:hint="eastAsia" w:ascii="宋体" w:hAnsi="宋体" w:eastAsia="宋体" w:cs="Times New Roman"/>
                <w:szCs w:val="21"/>
              </w:rPr>
            </w:pPr>
          </w:p>
        </w:tc>
        <w:tc>
          <w:tcPr>
            <w:tcW w:w="0" w:type="auto"/>
            <w:vAlign w:val="center"/>
          </w:tcPr>
          <w:p w14:paraId="6808AEBE">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979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498096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30A3E0A9">
            <w:pPr>
              <w:spacing w:line="360" w:lineRule="auto"/>
              <w:jc w:val="center"/>
              <w:rPr>
                <w:rFonts w:hint="eastAsia" w:ascii="宋体" w:hAnsi="宋体" w:eastAsia="宋体" w:cs="Times New Roman"/>
                <w:szCs w:val="21"/>
              </w:rPr>
            </w:pPr>
          </w:p>
        </w:tc>
        <w:tc>
          <w:tcPr>
            <w:tcW w:w="0" w:type="auto"/>
            <w:vAlign w:val="center"/>
          </w:tcPr>
          <w:p w14:paraId="2A78160D">
            <w:pPr>
              <w:spacing w:line="360" w:lineRule="auto"/>
              <w:jc w:val="center"/>
              <w:rPr>
                <w:rFonts w:hint="eastAsia" w:ascii="宋体" w:hAnsi="宋体" w:eastAsia="宋体" w:cs="Times New Roman"/>
                <w:szCs w:val="21"/>
              </w:rPr>
            </w:pPr>
          </w:p>
        </w:tc>
        <w:tc>
          <w:tcPr>
            <w:tcW w:w="0" w:type="auto"/>
            <w:vAlign w:val="center"/>
          </w:tcPr>
          <w:p w14:paraId="359008FA">
            <w:pPr>
              <w:spacing w:line="360" w:lineRule="auto"/>
              <w:jc w:val="center"/>
              <w:rPr>
                <w:rFonts w:hint="eastAsia" w:ascii="宋体" w:hAnsi="宋体" w:eastAsia="宋体" w:cs="Times New Roman"/>
                <w:szCs w:val="21"/>
              </w:rPr>
            </w:pPr>
          </w:p>
        </w:tc>
        <w:tc>
          <w:tcPr>
            <w:tcW w:w="0" w:type="auto"/>
            <w:vAlign w:val="center"/>
          </w:tcPr>
          <w:p w14:paraId="65FD09A4">
            <w:pPr>
              <w:spacing w:line="360" w:lineRule="auto"/>
              <w:jc w:val="center"/>
              <w:rPr>
                <w:rFonts w:hint="eastAsia" w:ascii="宋体" w:hAnsi="宋体" w:eastAsia="宋体" w:cs="Times New Roman"/>
                <w:szCs w:val="21"/>
              </w:rPr>
            </w:pPr>
          </w:p>
        </w:tc>
        <w:tc>
          <w:tcPr>
            <w:tcW w:w="0" w:type="auto"/>
            <w:vAlign w:val="center"/>
          </w:tcPr>
          <w:p w14:paraId="0D28D4E2">
            <w:pPr>
              <w:spacing w:line="360" w:lineRule="auto"/>
              <w:jc w:val="center"/>
              <w:rPr>
                <w:rFonts w:hint="eastAsia" w:ascii="宋体" w:hAnsi="宋体" w:eastAsia="宋体" w:cs="Times New Roman"/>
                <w:szCs w:val="21"/>
              </w:rPr>
            </w:pPr>
          </w:p>
        </w:tc>
        <w:tc>
          <w:tcPr>
            <w:tcW w:w="0" w:type="auto"/>
          </w:tcPr>
          <w:p w14:paraId="7708A7EB">
            <w:pPr>
              <w:spacing w:line="360" w:lineRule="auto"/>
              <w:jc w:val="center"/>
              <w:rPr>
                <w:rFonts w:hint="eastAsia" w:ascii="宋体" w:hAnsi="宋体" w:eastAsia="宋体" w:cs="Times New Roman"/>
                <w:szCs w:val="21"/>
              </w:rPr>
            </w:pPr>
          </w:p>
        </w:tc>
        <w:tc>
          <w:tcPr>
            <w:tcW w:w="0" w:type="auto"/>
            <w:vAlign w:val="center"/>
          </w:tcPr>
          <w:p w14:paraId="591CD851">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EB47651">
      <w:pPr>
        <w:spacing w:before="156" w:beforeLines="50" w:line="360" w:lineRule="auto"/>
        <w:jc w:val="left"/>
        <w:outlineLvl w:val="1"/>
        <w:rPr>
          <w:rFonts w:ascii="Times New Roman" w:hAnsi="Times New Roman" w:eastAsia="宋体" w:cs="Times New Roman"/>
          <w:b/>
          <w:szCs w:val="21"/>
        </w:rPr>
      </w:pPr>
      <w:bookmarkStart w:id="1360" w:name="_Toc32297"/>
      <w:r>
        <w:rPr>
          <w:rFonts w:hint="eastAsia" w:ascii="Times New Roman" w:hAnsi="Times New Roman" w:eastAsia="宋体" w:cs="Times New Roman"/>
          <w:b/>
          <w:szCs w:val="21"/>
        </w:rPr>
        <w:t>（二）成绩评定细则</w:t>
      </w:r>
      <w:bookmarkEnd w:id="1360"/>
    </w:p>
    <w:p w14:paraId="19AF6E8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048181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0"/>
        <w:tblW w:w="7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701"/>
        <w:gridCol w:w="824"/>
      </w:tblGrid>
      <w:tr w14:paraId="0D13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shd w:val="clear" w:color="auto" w:fill="FFFFFF"/>
            <w:vAlign w:val="center"/>
          </w:tcPr>
          <w:p w14:paraId="046F58CA">
            <w:pPr>
              <w:jc w:val="center"/>
              <w:rPr>
                <w:rFonts w:ascii="Times New Roman" w:hAnsi="Times New Roman" w:eastAsia="宋体" w:cs="Times New Roman"/>
                <w:b/>
                <w:bCs/>
                <w:szCs w:val="24"/>
              </w:rPr>
            </w:pPr>
            <w:r>
              <w:rPr>
                <w:rFonts w:ascii="Times New Roman" w:hAnsi="Times New Roman" w:eastAsia="宋体" w:cs="Times New Roman"/>
                <w:b/>
                <w:bCs/>
                <w:szCs w:val="24"/>
              </w:rPr>
              <w:t>评</w:t>
            </w:r>
            <w:r>
              <w:rPr>
                <w:rFonts w:hint="eastAsia" w:ascii="Times New Roman" w:hAnsi="Times New Roman" w:eastAsia="宋体" w:cs="Times New Roman"/>
                <w:b/>
                <w:bCs/>
                <w:szCs w:val="24"/>
              </w:rPr>
              <w:t>定方式</w:t>
            </w:r>
          </w:p>
        </w:tc>
        <w:tc>
          <w:tcPr>
            <w:tcW w:w="5701" w:type="dxa"/>
            <w:shd w:val="clear" w:color="auto" w:fill="FFFFFF"/>
            <w:vAlign w:val="center"/>
          </w:tcPr>
          <w:p w14:paraId="0DED445F">
            <w:pPr>
              <w:jc w:val="center"/>
              <w:rPr>
                <w:rFonts w:ascii="Times New Roman" w:hAnsi="Times New Roman" w:eastAsia="宋体" w:cs="Times New Roman"/>
                <w:b/>
                <w:bCs/>
                <w:szCs w:val="24"/>
              </w:rPr>
            </w:pPr>
            <w:r>
              <w:rPr>
                <w:rFonts w:ascii="Times New Roman" w:hAnsi="Times New Roman" w:eastAsia="宋体" w:cs="Times New Roman"/>
                <w:b/>
                <w:bCs/>
                <w:szCs w:val="24"/>
              </w:rPr>
              <w:t>评</w:t>
            </w:r>
            <w:r>
              <w:rPr>
                <w:rFonts w:hint="eastAsia" w:ascii="Times New Roman" w:hAnsi="Times New Roman" w:eastAsia="宋体" w:cs="Times New Roman"/>
                <w:b/>
                <w:bCs/>
                <w:szCs w:val="24"/>
              </w:rPr>
              <w:t>定</w:t>
            </w:r>
            <w:r>
              <w:rPr>
                <w:rFonts w:ascii="Times New Roman" w:hAnsi="Times New Roman" w:eastAsia="宋体" w:cs="Times New Roman"/>
                <w:b/>
                <w:bCs/>
                <w:szCs w:val="24"/>
              </w:rPr>
              <w:t>细则</w:t>
            </w:r>
          </w:p>
        </w:tc>
        <w:tc>
          <w:tcPr>
            <w:tcW w:w="824" w:type="dxa"/>
            <w:shd w:val="clear" w:color="auto" w:fill="FFFFFF"/>
            <w:vAlign w:val="center"/>
          </w:tcPr>
          <w:p w14:paraId="788FD69D">
            <w:pPr>
              <w:jc w:val="center"/>
              <w:rPr>
                <w:rFonts w:ascii="Times New Roman" w:hAnsi="Times New Roman" w:eastAsia="宋体" w:cs="Times New Roman"/>
                <w:b/>
                <w:bCs/>
                <w:szCs w:val="24"/>
              </w:rPr>
            </w:pPr>
            <w:r>
              <w:rPr>
                <w:rFonts w:hint="eastAsia" w:ascii="Times New Roman" w:hAnsi="Times New Roman" w:eastAsia="宋体" w:cs="Times New Roman"/>
                <w:b/>
                <w:bCs/>
                <w:szCs w:val="24"/>
              </w:rPr>
              <w:t>权重</w:t>
            </w:r>
          </w:p>
        </w:tc>
      </w:tr>
      <w:tr w14:paraId="3BD9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419" w:type="dxa"/>
            <w:vAlign w:val="center"/>
          </w:tcPr>
          <w:p w14:paraId="0C7F7262">
            <w:pPr>
              <w:jc w:val="center"/>
              <w:rPr>
                <w:rFonts w:ascii="Times New Roman" w:hAnsi="Times New Roman" w:eastAsia="宋体" w:cs="Times New Roman"/>
                <w:szCs w:val="24"/>
              </w:rPr>
            </w:pPr>
            <w:r>
              <w:rPr>
                <w:rFonts w:ascii="Times New Roman" w:hAnsi="Times New Roman" w:eastAsia="宋体" w:cs="Times New Roman"/>
                <w:szCs w:val="24"/>
              </w:rPr>
              <w:t>平时作业</w:t>
            </w:r>
          </w:p>
        </w:tc>
        <w:tc>
          <w:tcPr>
            <w:tcW w:w="5701" w:type="dxa"/>
            <w:vAlign w:val="center"/>
          </w:tcPr>
          <w:p w14:paraId="6E8C8A7E">
            <w:pPr>
              <w:rPr>
                <w:rFonts w:ascii="Times New Roman" w:hAnsi="Times New Roman" w:eastAsia="宋体" w:cs="Times New Roman"/>
                <w:szCs w:val="24"/>
              </w:rPr>
            </w:pPr>
            <w:r>
              <w:rPr>
                <w:rFonts w:hint="eastAsia" w:ascii="Times New Roman" w:hAnsi="Times New Roman" w:eastAsia="宋体" w:cs="Times New Roman"/>
                <w:szCs w:val="24"/>
              </w:rPr>
              <w:t>三次书面作业，主要考察学生对所学知识的理解和应用</w:t>
            </w:r>
            <w:r>
              <w:rPr>
                <w:rFonts w:ascii="Times New Roman" w:hAnsi="Times New Roman" w:eastAsia="宋体" w:cs="Times New Roman"/>
                <w:szCs w:val="24"/>
              </w:rPr>
              <w:t>，计算全部作业的平均成绩再按</w:t>
            </w:r>
            <w:r>
              <w:rPr>
                <w:rFonts w:hint="eastAsia" w:ascii="Times New Roman" w:hAnsi="Times New Roman" w:eastAsia="宋体" w:cs="Times New Roman"/>
                <w:szCs w:val="24"/>
              </w:rPr>
              <w:t>2</w:t>
            </w:r>
            <w:r>
              <w:rPr>
                <w:rFonts w:ascii="Times New Roman" w:hAnsi="Times New Roman" w:eastAsia="宋体" w:cs="Times New Roman"/>
                <w:szCs w:val="24"/>
              </w:rPr>
              <w:t>0%计入总成绩。</w:t>
            </w:r>
          </w:p>
        </w:tc>
        <w:tc>
          <w:tcPr>
            <w:tcW w:w="824" w:type="dxa"/>
            <w:vAlign w:val="center"/>
          </w:tcPr>
          <w:p w14:paraId="165726B9">
            <w:pP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0%</w:t>
            </w:r>
          </w:p>
        </w:tc>
      </w:tr>
      <w:tr w14:paraId="2CC1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419" w:type="dxa"/>
            <w:vAlign w:val="center"/>
          </w:tcPr>
          <w:p w14:paraId="7030E968">
            <w:pPr>
              <w:jc w:val="center"/>
              <w:rPr>
                <w:rFonts w:ascii="Times New Roman" w:hAnsi="Times New Roman" w:eastAsia="宋体" w:cs="Times New Roman"/>
                <w:szCs w:val="24"/>
              </w:rPr>
            </w:pPr>
            <w:r>
              <w:rPr>
                <w:rFonts w:hint="eastAsia" w:ascii="Times New Roman" w:hAnsi="Times New Roman" w:eastAsia="宋体" w:cs="Times New Roman"/>
                <w:szCs w:val="24"/>
              </w:rPr>
              <w:t>考勤</w:t>
            </w:r>
            <w:r>
              <w:rPr>
                <w:rFonts w:ascii="Times New Roman" w:hAnsi="Times New Roman" w:eastAsia="宋体" w:cs="Times New Roman"/>
                <w:szCs w:val="24"/>
              </w:rPr>
              <w:t>及</w:t>
            </w:r>
          </w:p>
          <w:p w14:paraId="22F09FFF">
            <w:pPr>
              <w:jc w:val="center"/>
              <w:rPr>
                <w:rFonts w:ascii="Times New Roman" w:hAnsi="Times New Roman" w:eastAsia="宋体" w:cs="Times New Roman"/>
                <w:szCs w:val="24"/>
              </w:rPr>
            </w:pPr>
            <w:r>
              <w:rPr>
                <w:rFonts w:ascii="Times New Roman" w:hAnsi="Times New Roman" w:eastAsia="宋体" w:cs="Times New Roman"/>
                <w:szCs w:val="24"/>
              </w:rPr>
              <w:t>课堂练习</w:t>
            </w:r>
          </w:p>
        </w:tc>
        <w:tc>
          <w:tcPr>
            <w:tcW w:w="5701" w:type="dxa"/>
            <w:vAlign w:val="center"/>
          </w:tcPr>
          <w:p w14:paraId="126E6629">
            <w:pPr>
              <w:rPr>
                <w:rFonts w:ascii="Times New Roman" w:hAnsi="Times New Roman" w:eastAsia="宋体" w:cs="Times New Roman"/>
                <w:szCs w:val="21"/>
              </w:rPr>
            </w:pPr>
            <w:r>
              <w:rPr>
                <w:rFonts w:hint="eastAsia" w:ascii="Times New Roman" w:hAnsi="Times New Roman" w:eastAsia="宋体" w:cs="Times New Roman"/>
                <w:szCs w:val="21"/>
              </w:rPr>
              <w:t>在教学过程中，提问每位同学，根据回答问题情况给出相应分数，同时课堂组织小组讨论，根据每组同学表现给分，再</w:t>
            </w:r>
            <w:r>
              <w:rPr>
                <w:rFonts w:ascii="Times New Roman" w:hAnsi="Times New Roman" w:eastAsia="宋体" w:cs="Times New Roman"/>
                <w:szCs w:val="21"/>
              </w:rPr>
              <w:t>结合平时</w:t>
            </w:r>
            <w:r>
              <w:rPr>
                <w:rFonts w:hint="eastAsia" w:ascii="Times New Roman" w:hAnsi="Times New Roman" w:eastAsia="宋体" w:cs="Times New Roman"/>
                <w:szCs w:val="21"/>
              </w:rPr>
              <w:t>考勤</w:t>
            </w:r>
            <w:r>
              <w:rPr>
                <w:rFonts w:ascii="Times New Roman" w:hAnsi="Times New Roman" w:eastAsia="宋体" w:cs="Times New Roman"/>
                <w:szCs w:val="21"/>
              </w:rPr>
              <w:t>，最后按</w:t>
            </w:r>
            <w:r>
              <w:rPr>
                <w:rFonts w:hint="eastAsia" w:ascii="Times New Roman" w:hAnsi="Times New Roman" w:eastAsia="宋体" w:cs="Times New Roman"/>
                <w:szCs w:val="21"/>
              </w:rPr>
              <w:t>2</w:t>
            </w:r>
            <w:r>
              <w:rPr>
                <w:rFonts w:ascii="Times New Roman" w:hAnsi="Times New Roman" w:eastAsia="宋体" w:cs="Times New Roman"/>
                <w:szCs w:val="21"/>
              </w:rPr>
              <w:t>0%计入课程总成绩。</w:t>
            </w:r>
          </w:p>
        </w:tc>
        <w:tc>
          <w:tcPr>
            <w:tcW w:w="824" w:type="dxa"/>
            <w:vAlign w:val="center"/>
          </w:tcPr>
          <w:p w14:paraId="1D353F2F">
            <w:pPr>
              <w:rPr>
                <w:rFonts w:ascii="Times New Roman" w:hAnsi="Times New Roman" w:eastAsia="宋体" w:cs="Times New Roman"/>
                <w:szCs w:val="21"/>
              </w:rPr>
            </w:pPr>
            <w:r>
              <w:rPr>
                <w:rFonts w:hint="eastAsia" w:ascii="Times New Roman" w:hAnsi="Times New Roman" w:eastAsia="宋体" w:cs="Times New Roman"/>
                <w:szCs w:val="24"/>
              </w:rPr>
              <w:t>2</w:t>
            </w:r>
            <w:r>
              <w:rPr>
                <w:rFonts w:ascii="Times New Roman" w:hAnsi="Times New Roman" w:eastAsia="宋体" w:cs="Times New Roman"/>
                <w:szCs w:val="24"/>
              </w:rPr>
              <w:t>0%</w:t>
            </w:r>
          </w:p>
        </w:tc>
      </w:tr>
      <w:tr w14:paraId="71DF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9" w:type="dxa"/>
            <w:vAlign w:val="center"/>
          </w:tcPr>
          <w:p w14:paraId="38A7C6E0">
            <w:pPr>
              <w:jc w:val="center"/>
              <w:rPr>
                <w:rFonts w:ascii="Times New Roman" w:hAnsi="Times New Roman" w:eastAsia="宋体" w:cs="Times New Roman"/>
                <w:szCs w:val="24"/>
              </w:rPr>
            </w:pPr>
            <w:r>
              <w:rPr>
                <w:rFonts w:ascii="Times New Roman" w:hAnsi="Times New Roman" w:eastAsia="宋体" w:cs="Times New Roman"/>
                <w:szCs w:val="24"/>
              </w:rPr>
              <w:t>期末考试</w:t>
            </w:r>
          </w:p>
          <w:p w14:paraId="0EA5C4EF">
            <w:pPr>
              <w:jc w:val="center"/>
              <w:rPr>
                <w:rFonts w:ascii="Times New Roman" w:hAnsi="Times New Roman" w:eastAsia="宋体" w:cs="Times New Roman"/>
                <w:szCs w:val="24"/>
              </w:rPr>
            </w:pPr>
            <w:r>
              <w:rPr>
                <w:rFonts w:hint="eastAsia" w:ascii="Times New Roman" w:hAnsi="Times New Roman" w:eastAsia="宋体" w:cs="Times New Roman"/>
                <w:szCs w:val="24"/>
              </w:rPr>
              <w:t>卷面</w:t>
            </w:r>
            <w:r>
              <w:rPr>
                <w:rFonts w:ascii="Times New Roman" w:hAnsi="Times New Roman" w:eastAsia="宋体" w:cs="Times New Roman"/>
                <w:szCs w:val="24"/>
              </w:rPr>
              <w:t>成绩</w:t>
            </w:r>
          </w:p>
        </w:tc>
        <w:tc>
          <w:tcPr>
            <w:tcW w:w="5701" w:type="dxa"/>
            <w:vAlign w:val="center"/>
          </w:tcPr>
          <w:p w14:paraId="66D202E2">
            <w:pPr>
              <w:rPr>
                <w:rFonts w:ascii="Times New Roman" w:hAnsi="Times New Roman" w:eastAsia="宋体" w:cs="Times New Roman"/>
                <w:color w:val="000000"/>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名词解释</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等，以卷面成绩的60%计入课程总成绩。</w:t>
            </w:r>
          </w:p>
        </w:tc>
        <w:tc>
          <w:tcPr>
            <w:tcW w:w="824" w:type="dxa"/>
            <w:vAlign w:val="center"/>
          </w:tcPr>
          <w:p w14:paraId="75323916">
            <w:pPr>
              <w:rPr>
                <w:rFonts w:ascii="Times New Roman" w:hAnsi="Times New Roman" w:eastAsia="宋体" w:cs="Times New Roman"/>
                <w:color w:val="000000"/>
                <w:szCs w:val="21"/>
              </w:rPr>
            </w:pPr>
            <w:r>
              <w:rPr>
                <w:rFonts w:ascii="Times New Roman" w:hAnsi="Times New Roman" w:eastAsia="宋体" w:cs="Times New Roman"/>
                <w:szCs w:val="24"/>
              </w:rPr>
              <w:t>60%</w:t>
            </w:r>
          </w:p>
        </w:tc>
      </w:tr>
      <w:tr w14:paraId="4AE0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19" w:type="dxa"/>
            <w:vAlign w:val="center"/>
          </w:tcPr>
          <w:p w14:paraId="39681661">
            <w:pPr>
              <w:jc w:val="center"/>
              <w:rPr>
                <w:rFonts w:ascii="Times New Roman" w:hAnsi="Times New Roman" w:eastAsia="宋体" w:cs="Times New Roman"/>
                <w:b/>
                <w:bCs/>
                <w:szCs w:val="24"/>
              </w:rPr>
            </w:pPr>
            <w:r>
              <w:rPr>
                <w:rFonts w:hint="eastAsia" w:ascii="Times New Roman" w:hAnsi="Times New Roman" w:eastAsia="宋体" w:cs="Times New Roman"/>
                <w:b/>
                <w:bCs/>
                <w:szCs w:val="24"/>
              </w:rPr>
              <w:t>合计</w:t>
            </w:r>
          </w:p>
        </w:tc>
        <w:tc>
          <w:tcPr>
            <w:tcW w:w="5701" w:type="dxa"/>
            <w:vAlign w:val="center"/>
          </w:tcPr>
          <w:p w14:paraId="6836D0DD">
            <w:pPr>
              <w:rPr>
                <w:rFonts w:ascii="Times New Roman" w:hAnsi="Times New Roman" w:eastAsia="宋体" w:cs="Times New Roman"/>
                <w:color w:val="000000"/>
                <w:szCs w:val="21"/>
              </w:rPr>
            </w:pPr>
          </w:p>
        </w:tc>
        <w:tc>
          <w:tcPr>
            <w:tcW w:w="824" w:type="dxa"/>
            <w:vAlign w:val="center"/>
          </w:tcPr>
          <w:p w14:paraId="618EA50A">
            <w:pPr>
              <w:rPr>
                <w:rFonts w:ascii="Times New Roman" w:hAnsi="Times New Roman" w:eastAsia="宋体" w:cs="Times New Roman"/>
                <w:szCs w:val="24"/>
              </w:rPr>
            </w:pPr>
            <w:r>
              <w:rPr>
                <w:rFonts w:hint="eastAsia" w:ascii="Times New Roman" w:hAnsi="Times New Roman" w:eastAsia="宋体" w:cs="Times New Roman"/>
                <w:szCs w:val="24"/>
              </w:rPr>
              <w:t>100%</w:t>
            </w:r>
          </w:p>
        </w:tc>
      </w:tr>
    </w:tbl>
    <w:p w14:paraId="0771128A">
      <w:pPr>
        <w:jc w:val="center"/>
        <w:rPr>
          <w:rFonts w:ascii="Times New Roman" w:hAnsi="Times New Roman" w:eastAsia="宋体" w:cs="Times New Roman"/>
          <w:b/>
          <w:bCs/>
          <w:szCs w:val="21"/>
        </w:rPr>
      </w:pPr>
    </w:p>
    <w:p w14:paraId="0E7BDFED">
      <w:pPr>
        <w:spacing w:line="360" w:lineRule="auto"/>
        <w:jc w:val="left"/>
        <w:outlineLvl w:val="1"/>
        <w:rPr>
          <w:rFonts w:hint="eastAsia" w:ascii="宋体" w:hAnsi="宋体" w:eastAsia="宋体" w:cs="Times New Roman"/>
          <w:b/>
          <w:color w:val="000000"/>
          <w:szCs w:val="21"/>
        </w:rPr>
      </w:pPr>
      <w:bookmarkStart w:id="1361" w:name="_Toc4879"/>
      <w:r>
        <w:rPr>
          <w:rFonts w:hint="eastAsia" w:ascii="宋体" w:hAnsi="宋体" w:eastAsia="宋体" w:cs="Times New Roman"/>
          <w:b/>
          <w:color w:val="000000"/>
          <w:szCs w:val="21"/>
        </w:rPr>
        <w:t>（三）课程目标达成度计算方法</w:t>
      </w:r>
      <w:bookmarkEnd w:id="1361"/>
    </w:p>
    <w:p w14:paraId="4FC72C4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5FE6CD8">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56" o:spt="75" type="#_x0000_t75" style="height:25.05pt;width:404.65pt;" o:ole="t" filled="f" o:preferrelative="t" stroked="f" coordsize="21600,21600">
            <v:path/>
            <v:fill on="f" focussize="0,0"/>
            <v:stroke on="f" joinstyle="miter"/>
            <v:imagedata r:id="rId5" o:title=""/>
            <o:lock v:ext="edit" aspectratio="t"/>
            <w10:wrap type="none"/>
            <w10:anchorlock/>
          </v:shape>
          <o:OLEObject Type="Embed" ProgID="Equation.3" ShapeID="_x0000_i1056" DrawAspect="Content" ObjectID="_1468075756" r:id="rId39">
            <o:LockedField>false</o:LockedField>
          </o:OLEObject>
        </w:object>
      </w:r>
    </w:p>
    <w:p w14:paraId="27713621">
      <w:pPr>
        <w:spacing w:before="156" w:beforeLines="50" w:line="360" w:lineRule="auto"/>
        <w:jc w:val="left"/>
        <w:outlineLvl w:val="0"/>
        <w:rPr>
          <w:rFonts w:ascii="Times New Roman" w:hAnsi="Times New Roman" w:eastAsia="宋体" w:cs="Times New Roman"/>
          <w:b/>
          <w:sz w:val="24"/>
          <w:szCs w:val="24"/>
        </w:rPr>
      </w:pPr>
      <w:bookmarkStart w:id="1362" w:name="_Toc21536"/>
      <w:bookmarkStart w:id="1363" w:name="_Toc8189"/>
      <w:bookmarkStart w:id="1364" w:name="_Toc21707"/>
      <w:bookmarkStart w:id="1365" w:name="_Toc15184"/>
      <w:bookmarkStart w:id="1366" w:name="_Toc14181"/>
      <w:bookmarkStart w:id="1367" w:name="_Toc6508"/>
      <w:bookmarkStart w:id="1368" w:name="_Toc10470"/>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1362"/>
      <w:bookmarkEnd w:id="1363"/>
      <w:bookmarkEnd w:id="1364"/>
      <w:bookmarkEnd w:id="1365"/>
      <w:bookmarkEnd w:id="1366"/>
      <w:bookmarkEnd w:id="1367"/>
      <w:bookmarkEnd w:id="1368"/>
    </w:p>
    <w:p w14:paraId="7AB69456">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5FB80419">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A87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1212" w:type="dxa"/>
            <w:vAlign w:val="center"/>
          </w:tcPr>
          <w:p w14:paraId="673B89E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948298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6BB046AF">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797251D">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138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D9BD1CE">
            <w:pPr>
              <w:spacing w:line="276" w:lineRule="auto"/>
              <w:jc w:val="left"/>
              <w:rPr>
                <w:rFonts w:hint="eastAsia" w:ascii="宋体" w:hAnsi="宋体" w:eastAsia="宋体" w:cs="宋体"/>
                <w:szCs w:val="21"/>
              </w:rPr>
            </w:pPr>
            <w:r>
              <w:rPr>
                <w:rFonts w:hint="eastAsia" w:ascii="宋体" w:hAnsi="宋体" w:eastAsia="宋体" w:cs="宋体"/>
                <w:szCs w:val="21"/>
              </w:rPr>
              <w:t>小学校本课程发现</w:t>
            </w:r>
          </w:p>
        </w:tc>
        <w:tc>
          <w:tcPr>
            <w:tcW w:w="3407" w:type="dxa"/>
            <w:vAlign w:val="center"/>
          </w:tcPr>
          <w:p w14:paraId="2A93E58C">
            <w:pPr>
              <w:spacing w:line="276" w:lineRule="auto"/>
              <w:jc w:val="left"/>
              <w:rPr>
                <w:rFonts w:hint="eastAsia" w:ascii="宋体" w:hAnsi="宋体" w:eastAsia="宋体" w:cs="宋体"/>
                <w:szCs w:val="21"/>
              </w:rPr>
            </w:pPr>
            <w:r>
              <w:rPr>
                <w:rFonts w:hint="eastAsia" w:ascii="宋体" w:hAnsi="宋体" w:eastAsia="宋体" w:cs="宋体"/>
                <w:szCs w:val="21"/>
              </w:rPr>
              <w:t>借助教育见习之机或日常观察，了解家乡所在地区的小学的校本课程</w:t>
            </w:r>
          </w:p>
        </w:tc>
        <w:tc>
          <w:tcPr>
            <w:tcW w:w="740" w:type="dxa"/>
            <w:vAlign w:val="center"/>
          </w:tcPr>
          <w:p w14:paraId="6F137CEF">
            <w:pPr>
              <w:spacing w:line="276" w:lineRule="auto"/>
              <w:jc w:val="center"/>
              <w:rPr>
                <w:rFonts w:hint="eastAsia" w:ascii="宋体" w:hAnsi="宋体" w:eastAsia="宋体" w:cs="宋体"/>
                <w:szCs w:val="21"/>
              </w:rPr>
            </w:pPr>
            <w:r>
              <w:rPr>
                <w:rFonts w:hint="eastAsia" w:ascii="宋体" w:hAnsi="宋体" w:eastAsia="宋体" w:cs="宋体"/>
                <w:szCs w:val="21"/>
              </w:rPr>
              <w:t>调查报告</w:t>
            </w:r>
          </w:p>
        </w:tc>
        <w:tc>
          <w:tcPr>
            <w:tcW w:w="3160" w:type="dxa"/>
            <w:vAlign w:val="center"/>
          </w:tcPr>
          <w:p w14:paraId="00A216FC">
            <w:pPr>
              <w:spacing w:line="276" w:lineRule="auto"/>
              <w:jc w:val="left"/>
              <w:rPr>
                <w:rFonts w:hint="eastAsia" w:ascii="宋体" w:hAnsi="宋体" w:eastAsia="宋体" w:cs="宋体"/>
                <w:szCs w:val="21"/>
              </w:rPr>
            </w:pPr>
            <w:r>
              <w:rPr>
                <w:rFonts w:hint="eastAsia" w:ascii="宋体" w:hAnsi="宋体" w:eastAsia="宋体" w:cs="宋体"/>
                <w:szCs w:val="21"/>
              </w:rPr>
              <w:t>关心关注本土本地的课程改革的新要求、新进展</w:t>
            </w:r>
          </w:p>
        </w:tc>
      </w:tr>
      <w:tr w14:paraId="0BB6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FA98533">
            <w:pPr>
              <w:spacing w:line="276" w:lineRule="auto"/>
              <w:jc w:val="left"/>
              <w:rPr>
                <w:rFonts w:hint="eastAsia" w:ascii="宋体" w:hAnsi="宋体" w:eastAsia="宋体" w:cs="宋体"/>
                <w:szCs w:val="21"/>
              </w:rPr>
            </w:pPr>
            <w:r>
              <w:rPr>
                <w:rFonts w:hint="eastAsia" w:ascii="宋体" w:hAnsi="宋体" w:eastAsia="宋体" w:cs="宋体"/>
                <w:szCs w:val="21"/>
              </w:rPr>
              <w:t>教师的校本课程开发个案</w:t>
            </w:r>
          </w:p>
        </w:tc>
        <w:tc>
          <w:tcPr>
            <w:tcW w:w="3407" w:type="dxa"/>
            <w:vAlign w:val="center"/>
          </w:tcPr>
          <w:p w14:paraId="0328AB7A">
            <w:pPr>
              <w:spacing w:line="276" w:lineRule="auto"/>
              <w:jc w:val="left"/>
              <w:rPr>
                <w:rFonts w:hint="eastAsia" w:ascii="宋体" w:hAnsi="宋体" w:eastAsia="宋体" w:cs="宋体"/>
                <w:szCs w:val="21"/>
              </w:rPr>
            </w:pPr>
            <w:r>
              <w:rPr>
                <w:rFonts w:hint="eastAsia" w:ascii="宋体" w:hAnsi="宋体" w:eastAsia="宋体" w:cs="宋体"/>
                <w:szCs w:val="21"/>
              </w:rPr>
              <w:t>观察记录小学学科教师的校本课程理解及开发情况</w:t>
            </w:r>
          </w:p>
        </w:tc>
        <w:tc>
          <w:tcPr>
            <w:tcW w:w="740" w:type="dxa"/>
            <w:vAlign w:val="center"/>
          </w:tcPr>
          <w:p w14:paraId="6F51C8A1">
            <w:pPr>
              <w:spacing w:line="276" w:lineRule="auto"/>
              <w:jc w:val="center"/>
              <w:rPr>
                <w:rFonts w:hint="eastAsia" w:ascii="宋体" w:hAnsi="宋体" w:eastAsia="宋体" w:cs="宋体"/>
                <w:szCs w:val="21"/>
              </w:rPr>
            </w:pPr>
            <w:r>
              <w:rPr>
                <w:rFonts w:hint="eastAsia" w:ascii="宋体" w:hAnsi="宋体" w:eastAsia="宋体" w:cs="宋体"/>
                <w:szCs w:val="21"/>
              </w:rPr>
              <w:t>观察记录</w:t>
            </w:r>
          </w:p>
        </w:tc>
        <w:tc>
          <w:tcPr>
            <w:tcW w:w="3160" w:type="dxa"/>
            <w:vAlign w:val="center"/>
          </w:tcPr>
          <w:p w14:paraId="3E9CE273">
            <w:pPr>
              <w:spacing w:line="276" w:lineRule="auto"/>
              <w:jc w:val="left"/>
              <w:rPr>
                <w:rFonts w:hint="eastAsia" w:ascii="宋体" w:hAnsi="宋体" w:eastAsia="宋体" w:cs="宋体"/>
                <w:szCs w:val="21"/>
              </w:rPr>
            </w:pPr>
            <w:r>
              <w:rPr>
                <w:rFonts w:hint="eastAsia" w:ascii="宋体" w:hAnsi="宋体" w:eastAsia="宋体" w:cs="宋体"/>
                <w:szCs w:val="21"/>
              </w:rPr>
              <w:t>唤醒课程开发及课程领导意识，通过实际行动积极践行新课改与新课标。</w:t>
            </w:r>
          </w:p>
        </w:tc>
      </w:tr>
    </w:tbl>
    <w:p w14:paraId="51AF2EF2">
      <w:pPr>
        <w:spacing w:line="360" w:lineRule="auto"/>
        <w:ind w:firstLine="551" w:firstLineChars="196"/>
        <w:jc w:val="left"/>
        <w:rPr>
          <w:rFonts w:hint="eastAsia" w:ascii="宋体" w:hAnsi="宋体" w:eastAsia="宋体" w:cs="Times New Roman"/>
          <w:b/>
          <w:color w:val="000000"/>
          <w:sz w:val="28"/>
          <w:szCs w:val="28"/>
        </w:rPr>
      </w:pPr>
    </w:p>
    <w:p w14:paraId="1D88DE9C">
      <w:pPr>
        <w:spacing w:line="360" w:lineRule="auto"/>
        <w:jc w:val="left"/>
        <w:outlineLvl w:val="0"/>
        <w:rPr>
          <w:rFonts w:ascii="Times New Roman" w:hAnsi="Times New Roman" w:eastAsia="宋体" w:cs="Times New Roman"/>
          <w:b/>
          <w:bCs/>
          <w:sz w:val="24"/>
          <w:szCs w:val="24"/>
        </w:rPr>
      </w:pPr>
      <w:bookmarkStart w:id="1369" w:name="_Toc4923"/>
      <w:bookmarkStart w:id="1370" w:name="_Toc13296"/>
      <w:bookmarkStart w:id="1371" w:name="_Toc31735"/>
      <w:bookmarkStart w:id="1372" w:name="_Toc23761"/>
      <w:bookmarkStart w:id="1373" w:name="_Toc1816"/>
      <w:bookmarkStart w:id="1374" w:name="_Toc25914"/>
      <w:bookmarkStart w:id="1375" w:name="_Toc14888"/>
      <w:r>
        <w:rPr>
          <w:rFonts w:hint="eastAsia" w:ascii="宋体" w:hAnsi="宋体" w:eastAsia="宋体" w:cs="Times New Roman"/>
          <w:b/>
          <w:color w:val="000000"/>
          <w:sz w:val="24"/>
          <w:szCs w:val="24"/>
        </w:rPr>
        <w:t>六、有关说明</w:t>
      </w:r>
      <w:bookmarkEnd w:id="1369"/>
      <w:bookmarkEnd w:id="1370"/>
      <w:bookmarkEnd w:id="1371"/>
      <w:bookmarkEnd w:id="1372"/>
      <w:bookmarkEnd w:id="1373"/>
      <w:bookmarkEnd w:id="1374"/>
      <w:bookmarkEnd w:id="1375"/>
    </w:p>
    <w:p w14:paraId="5BBD4E23">
      <w:pPr>
        <w:spacing w:line="360" w:lineRule="auto"/>
        <w:jc w:val="left"/>
        <w:outlineLvl w:val="1"/>
        <w:rPr>
          <w:rFonts w:ascii="Times New Roman" w:hAnsi="Times New Roman" w:eastAsia="宋体" w:cs="Times New Roman"/>
          <w:b/>
          <w:szCs w:val="21"/>
        </w:rPr>
      </w:pPr>
      <w:bookmarkStart w:id="1376" w:name="_Toc1125"/>
      <w:r>
        <w:rPr>
          <w:rFonts w:hint="eastAsia" w:ascii="Times New Roman" w:hAnsi="Times New Roman" w:eastAsia="宋体" w:cs="Times New Roman"/>
          <w:b/>
          <w:szCs w:val="21"/>
        </w:rPr>
        <w:t>（一）持续改进</w:t>
      </w:r>
      <w:bookmarkEnd w:id="1376"/>
    </w:p>
    <w:p w14:paraId="4E0E5B3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本课程根据学生作业、课堂讨论、平时考核情况和学生、教学督导等</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反馈，及时对教学中</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不足之处进行改进，并在下一轮课程教学中</w:t>
      </w:r>
      <w:r>
        <w:rPr>
          <w:rFonts w:hint="eastAsia" w:ascii="Times New Roman" w:hAnsi="Times New Roman" w:eastAsia="宋体" w:cs="Times New Roman"/>
          <w:sz w:val="24"/>
          <w:szCs w:val="24"/>
        </w:rPr>
        <w:t>整改完善</w:t>
      </w:r>
      <w:r>
        <w:rPr>
          <w:rFonts w:ascii="Times New Roman" w:hAnsi="Times New Roman" w:eastAsia="宋体" w:cs="Times New Roman"/>
          <w:sz w:val="24"/>
          <w:szCs w:val="24"/>
        </w:rPr>
        <w:t>，确保相应毕业要求指标点达成。</w:t>
      </w:r>
    </w:p>
    <w:p w14:paraId="049F55A7">
      <w:pPr>
        <w:spacing w:line="360" w:lineRule="auto"/>
        <w:jc w:val="left"/>
        <w:outlineLvl w:val="1"/>
        <w:rPr>
          <w:rFonts w:hint="eastAsia" w:ascii="宋体" w:hAnsi="宋体" w:eastAsia="宋体" w:cs="Times New Roman"/>
          <w:b/>
          <w:szCs w:val="21"/>
        </w:rPr>
      </w:pPr>
      <w:bookmarkStart w:id="1377" w:name="_Toc345"/>
      <w:r>
        <w:rPr>
          <w:rFonts w:hint="eastAsia" w:ascii="宋体" w:hAnsi="宋体" w:eastAsia="宋体" w:cs="Times New Roman"/>
          <w:b/>
          <w:szCs w:val="21"/>
        </w:rPr>
        <w:t>（二）建议教材</w:t>
      </w:r>
      <w:bookmarkEnd w:id="1377"/>
    </w:p>
    <w:p w14:paraId="3DBF5132">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高慎英，《小学</w:t>
      </w:r>
      <w:bookmarkStart w:id="1378" w:name="_Hlk184559674"/>
      <w:r>
        <w:rPr>
          <w:rFonts w:hint="eastAsia" w:ascii="宋体" w:hAnsi="宋体" w:eastAsia="宋体" w:cs="Times New Roman"/>
          <w:bCs/>
          <w:szCs w:val="21"/>
        </w:rPr>
        <w:t>校本课程开发</w:t>
      </w:r>
      <w:bookmarkEnd w:id="1378"/>
      <w:r>
        <w:rPr>
          <w:rFonts w:hint="eastAsia" w:ascii="宋体" w:hAnsi="宋体" w:eastAsia="宋体" w:cs="Times New Roman"/>
          <w:bCs/>
          <w:szCs w:val="21"/>
        </w:rPr>
        <w:t>》，高等教育出版社，2017.6.</w:t>
      </w:r>
    </w:p>
    <w:p w14:paraId="679D6225">
      <w:pPr>
        <w:spacing w:line="360" w:lineRule="auto"/>
        <w:jc w:val="left"/>
        <w:outlineLvl w:val="1"/>
        <w:rPr>
          <w:rFonts w:hint="eastAsia" w:ascii="宋体" w:hAnsi="宋体" w:eastAsia="宋体" w:cs="Times New Roman"/>
          <w:b/>
          <w:szCs w:val="21"/>
        </w:rPr>
      </w:pPr>
      <w:bookmarkStart w:id="1379" w:name="_Toc13903"/>
      <w:r>
        <w:rPr>
          <w:rFonts w:hint="eastAsia" w:ascii="宋体" w:hAnsi="宋体" w:eastAsia="宋体" w:cs="Times New Roman"/>
          <w:b/>
          <w:szCs w:val="21"/>
        </w:rPr>
        <w:t>（三）参考书目</w:t>
      </w:r>
      <w:bookmarkEnd w:id="1379"/>
    </w:p>
    <w:p w14:paraId="115380EE">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1.罗生全、艾兴，中小学校本课程开发，西南大学出版社，2023.</w:t>
      </w:r>
    </w:p>
    <w:p w14:paraId="75A62A56">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2.李臣之，校本课程开发，北京师范大学出版社，2015.8.</w:t>
      </w:r>
    </w:p>
    <w:p w14:paraId="3A20B80B">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3.张华著，《课程与教学论》，上海教育出版社，2014.</w:t>
      </w:r>
    </w:p>
    <w:p w14:paraId="4C80DB68">
      <w:pPr>
        <w:ind w:firstLine="420" w:firstLineChars="200"/>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项家庆</w:t>
      </w:r>
      <w:r>
        <w:rPr>
          <w:rFonts w:hint="eastAsia" w:ascii="宋体" w:hAnsi="宋体" w:eastAsia="宋体" w:cs="Times New Roman"/>
          <w:szCs w:val="21"/>
        </w:rPr>
        <w:t>，</w:t>
      </w:r>
      <w:r>
        <w:rPr>
          <w:rFonts w:ascii="宋体" w:hAnsi="宋体" w:eastAsia="宋体" w:cs="Times New Roman"/>
          <w:szCs w:val="21"/>
        </w:rPr>
        <w:t>教你开发校本课程</w:t>
      </w:r>
      <w:r>
        <w:rPr>
          <w:rFonts w:hint="eastAsia" w:ascii="宋体" w:hAnsi="宋体" w:eastAsia="宋体" w:cs="Times New Roman"/>
          <w:szCs w:val="21"/>
        </w:rPr>
        <w:t>，</w:t>
      </w:r>
      <w:r>
        <w:rPr>
          <w:rFonts w:ascii="宋体" w:hAnsi="宋体" w:eastAsia="宋体" w:cs="Times New Roman"/>
          <w:szCs w:val="21"/>
        </w:rPr>
        <w:t>世界图书出版广东有限公司</w:t>
      </w:r>
      <w:r>
        <w:rPr>
          <w:rFonts w:hint="eastAsia" w:ascii="宋体" w:hAnsi="宋体" w:eastAsia="宋体" w:cs="Times New Roman"/>
          <w:szCs w:val="21"/>
        </w:rPr>
        <w:t>，</w:t>
      </w:r>
      <w:r>
        <w:rPr>
          <w:rFonts w:ascii="宋体" w:hAnsi="宋体" w:eastAsia="宋体" w:cs="Times New Roman"/>
          <w:szCs w:val="21"/>
        </w:rPr>
        <w:t>2012</w:t>
      </w:r>
      <w:r>
        <w:rPr>
          <w:rFonts w:hint="eastAsia" w:ascii="宋体" w:hAnsi="宋体" w:eastAsia="宋体" w:cs="Times New Roman"/>
          <w:szCs w:val="21"/>
        </w:rPr>
        <w:t>.</w:t>
      </w:r>
    </w:p>
    <w:p w14:paraId="0FAF5917">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5.钟启泉主编，《新课程的理念与创新——师范生读本》（第二版），高等教育出版社，2008.</w:t>
      </w:r>
    </w:p>
    <w:p w14:paraId="777E30C7">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6.崔允漷，《校本课程开发：课程故事》，华东师范大学出版社，2007.</w:t>
      </w:r>
    </w:p>
    <w:p w14:paraId="589EA82C">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7.施良方著，《课程理论》，教育科学出版社，1996.</w:t>
      </w:r>
    </w:p>
    <w:p w14:paraId="4E09C06E">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8.吴刚平著，《校本课程开发》，四川教育出版社，2002.</w:t>
      </w:r>
    </w:p>
    <w:p w14:paraId="77AF5645">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9.[美]泰勒著，《课程与教学的基本原理》，中国轻工业出版社，2008.</w:t>
      </w:r>
    </w:p>
    <w:p w14:paraId="751F0F74">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10.中小学校校本课程资源开发研究与实验课题组编著,《校本课程资源开发指南》，人民教育出版社，2004</w:t>
      </w:r>
      <w:r>
        <w:rPr>
          <w:rFonts w:ascii="宋体" w:hAnsi="宋体" w:eastAsia="宋体" w:cs="Times New Roman"/>
          <w:bCs/>
          <w:szCs w:val="21"/>
        </w:rPr>
        <w:t> </w:t>
      </w:r>
    </w:p>
    <w:p w14:paraId="2CAFB93F">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11.王一军</w:t>
      </w:r>
      <w:r>
        <w:rPr>
          <w:rFonts w:ascii="宋体" w:hAnsi="宋体" w:eastAsia="宋体" w:cs="Times New Roman"/>
          <w:bCs/>
          <w:szCs w:val="21"/>
        </w:rPr>
        <w:t> 吕林海著</w:t>
      </w:r>
      <w:r>
        <w:rPr>
          <w:rFonts w:hint="eastAsia" w:ascii="宋体" w:hAnsi="宋体" w:eastAsia="宋体" w:cs="Times New Roman"/>
          <w:bCs/>
          <w:szCs w:val="21"/>
        </w:rPr>
        <w:t>,《校本课程开发：小学案例》,华东师范大学出版社，2009.</w:t>
      </w:r>
    </w:p>
    <w:p w14:paraId="6E842574">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12，本书编写组,</w:t>
      </w:r>
      <w:r>
        <w:rPr>
          <w:rFonts w:ascii="宋体" w:hAnsi="宋体" w:eastAsia="宋体" w:cs="Times New Roman"/>
          <w:bCs/>
          <w:szCs w:val="21"/>
        </w:rPr>
        <w:t>《新课改校本研究与课程新设计</w:t>
      </w:r>
      <w:r>
        <w:rPr>
          <w:rFonts w:hint="eastAsia" w:ascii="宋体" w:hAnsi="宋体" w:eastAsia="宋体" w:cs="Times New Roman"/>
          <w:bCs/>
          <w:szCs w:val="21"/>
        </w:rPr>
        <w:t>：校本课程开发案例</w:t>
      </w:r>
      <w:r>
        <w:rPr>
          <w:rFonts w:ascii="宋体" w:hAnsi="宋体" w:eastAsia="宋体" w:cs="Times New Roman"/>
          <w:bCs/>
          <w:szCs w:val="21"/>
        </w:rPr>
        <w:t>》</w:t>
      </w:r>
      <w:r>
        <w:rPr>
          <w:rFonts w:hint="eastAsia" w:ascii="宋体" w:hAnsi="宋体" w:eastAsia="宋体" w:cs="Times New Roman"/>
          <w:bCs/>
          <w:szCs w:val="21"/>
        </w:rPr>
        <w:t>，</w:t>
      </w:r>
      <w:r>
        <w:rPr>
          <w:rFonts w:ascii="宋体" w:hAnsi="宋体" w:eastAsia="宋体" w:cs="Times New Roman"/>
          <w:bCs/>
          <w:szCs w:val="21"/>
        </w:rPr>
        <w:t>人民日报出版社</w:t>
      </w:r>
      <w:r>
        <w:rPr>
          <w:rFonts w:hint="eastAsia" w:ascii="宋体" w:hAnsi="宋体" w:eastAsia="宋体" w:cs="Times New Roman"/>
          <w:bCs/>
          <w:szCs w:val="21"/>
        </w:rPr>
        <w:t>，2004.</w:t>
      </w:r>
    </w:p>
    <w:p w14:paraId="06596DA7">
      <w:pPr>
        <w:rPr>
          <w:rFonts w:ascii="宋体" w:hAnsi="宋体" w:eastAsia="宋体" w:cs="Times New Roman"/>
          <w:sz w:val="24"/>
          <w:szCs w:val="24"/>
        </w:rPr>
      </w:pPr>
    </w:p>
    <w:p w14:paraId="73AFADD8">
      <w:pPr>
        <w:rPr>
          <w:rFonts w:ascii="宋体" w:hAnsi="宋体" w:eastAsia="宋体" w:cs="Times New Roman"/>
          <w:sz w:val="24"/>
          <w:szCs w:val="24"/>
        </w:rPr>
      </w:pPr>
    </w:p>
    <w:p w14:paraId="04AD2EB4">
      <w:pPr>
        <w:rPr>
          <w:rFonts w:ascii="宋体" w:hAnsi="宋体" w:eastAsia="宋体" w:cs="Times New Roman"/>
          <w:sz w:val="24"/>
          <w:szCs w:val="24"/>
        </w:rPr>
      </w:pPr>
    </w:p>
    <w:p w14:paraId="48B22E7C">
      <w:pPr>
        <w:rPr>
          <w:rFonts w:ascii="宋体" w:hAnsi="宋体" w:eastAsia="宋体" w:cs="Times New Roman"/>
          <w:sz w:val="24"/>
          <w:szCs w:val="24"/>
        </w:rPr>
      </w:pPr>
    </w:p>
    <w:p w14:paraId="6EF6D208">
      <w:pPr>
        <w:rPr>
          <w:rFonts w:ascii="宋体" w:hAnsi="宋体" w:eastAsia="宋体" w:cs="Times New Roman"/>
          <w:sz w:val="24"/>
          <w:szCs w:val="24"/>
        </w:rPr>
      </w:pPr>
    </w:p>
    <w:p w14:paraId="7C8B0F55">
      <w:pPr>
        <w:rPr>
          <w:rFonts w:ascii="宋体" w:hAnsi="宋体" w:eastAsia="宋体" w:cs="Times New Roman"/>
          <w:sz w:val="24"/>
          <w:szCs w:val="24"/>
        </w:rPr>
      </w:pPr>
    </w:p>
    <w:p w14:paraId="671885B6">
      <w:pPr>
        <w:rPr>
          <w:rFonts w:hint="eastAsia" w:ascii="等线" w:hAnsi="等线" w:eastAsia="等线" w:cs="Times New Roman"/>
          <w:szCs w:val="22"/>
        </w:rPr>
      </w:pPr>
    </w:p>
    <w:p w14:paraId="1ADD15FA">
      <w:pPr>
        <w:spacing w:line="360" w:lineRule="auto"/>
        <w:ind w:right="168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人：张文娟</w:t>
      </w:r>
      <w:r>
        <w:rPr>
          <w:rFonts w:ascii="Times New Roman" w:hAnsi="Times New Roman" w:eastAsia="宋体" w:cs="Times New Roman"/>
          <w:sz w:val="24"/>
          <w:szCs w:val="24"/>
        </w:rPr>
        <w:t xml:space="preserve"> </w:t>
      </w:r>
    </w:p>
    <w:p w14:paraId="06A4387C">
      <w:pPr>
        <w:wordWrap w:val="0"/>
        <w:spacing w:line="360" w:lineRule="auto"/>
        <w:ind w:right="18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人：王健</w:t>
      </w:r>
    </w:p>
    <w:p w14:paraId="479C7FAF">
      <w:pPr>
        <w:spacing w:line="360" w:lineRule="auto"/>
        <w:ind w:right="168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人：张志欣</w:t>
      </w:r>
    </w:p>
    <w:p w14:paraId="04404012">
      <w:pPr>
        <w:spacing w:line="360" w:lineRule="auto"/>
        <w:ind w:right="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批准时间：</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2024年8月30日</w:t>
      </w:r>
    </w:p>
    <w:p w14:paraId="6B85C5E0">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br w:type="page"/>
      </w:r>
    </w:p>
    <w:p w14:paraId="76D96899">
      <w:pPr>
        <w:pStyle w:val="2"/>
        <w:bidi w:val="0"/>
        <w:rPr>
          <w:lang w:val="en-US" w:eastAsia="zh-CN"/>
        </w:rPr>
      </w:pPr>
      <w:bookmarkStart w:id="1380" w:name="_Toc7428"/>
      <w:bookmarkStart w:id="1381" w:name="_Toc31654"/>
      <w:bookmarkStart w:id="1382" w:name="_Toc16429"/>
      <w:bookmarkStart w:id="1383" w:name="_Toc88340335"/>
      <w:bookmarkStart w:id="1384" w:name="_Toc18253"/>
      <w:r>
        <w:rPr>
          <w:rFonts w:hint="eastAsia"/>
          <w:lang w:val="en-US" w:eastAsia="zh-CN"/>
        </w:rPr>
        <w:t>《小学生心理辅导》课程教学大纲</w:t>
      </w:r>
      <w:bookmarkEnd w:id="1380"/>
      <w:bookmarkEnd w:id="1381"/>
      <w:bookmarkEnd w:id="1382"/>
      <w:bookmarkEnd w:id="1383"/>
      <w:bookmarkEnd w:id="1384"/>
    </w:p>
    <w:p w14:paraId="7CA53434">
      <w:pPr>
        <w:pStyle w:val="2"/>
        <w:bidi w:val="0"/>
        <w:rPr>
          <w:rFonts w:ascii="Times New Roman" w:hAnsi="Times New Roman" w:eastAsia="宋体" w:cs="Arial"/>
          <w:b/>
          <w:bCs/>
          <w:kern w:val="2"/>
          <w:szCs w:val="24"/>
          <w:lang w:val="en-US" w:eastAsia="zh-CN" w:bidi="ar-SA"/>
        </w:rPr>
      </w:pPr>
      <w:bookmarkStart w:id="1385" w:name="_Toc11120"/>
      <w:bookmarkStart w:id="1386" w:name="_Toc13654"/>
      <w:bookmarkStart w:id="1387" w:name="_Toc31445"/>
      <w:bookmarkStart w:id="1388" w:name="_Toc22992"/>
      <w:bookmarkStart w:id="1389" w:name="_Toc21052"/>
      <w:bookmarkStart w:id="1390" w:name="_Toc25947"/>
      <w:bookmarkStart w:id="1391" w:name="_Toc4209"/>
      <w:r>
        <w:rPr>
          <w:lang w:val="en-US" w:eastAsia="zh-CN"/>
        </w:rPr>
        <w:t>（Psychological counseling for primary school students）</w:t>
      </w:r>
      <w:bookmarkEnd w:id="1385"/>
      <w:bookmarkEnd w:id="1386"/>
      <w:bookmarkEnd w:id="1387"/>
      <w:bookmarkEnd w:id="1388"/>
      <w:bookmarkEnd w:id="1389"/>
      <w:bookmarkEnd w:id="1390"/>
      <w:bookmarkEnd w:id="1391"/>
    </w:p>
    <w:p w14:paraId="46CF8F99">
      <w:pPr>
        <w:keepNext/>
        <w:widowControl w:val="0"/>
        <w:tabs>
          <w:tab w:val="left" w:pos="720"/>
          <w:tab w:val="left" w:pos="2700"/>
        </w:tabs>
        <w:bidi w:val="0"/>
        <w:spacing w:line="850" w:lineRule="exact"/>
        <w:jc w:val="center"/>
        <w:outlineLvl w:val="0"/>
        <w:rPr>
          <w:rFonts w:ascii="Times New Roman" w:hAnsi="Times New Roman" w:eastAsia="宋体" w:cs="Arial"/>
          <w:b/>
          <w:bCs/>
          <w:kern w:val="2"/>
          <w:sz w:val="44"/>
          <w:szCs w:val="24"/>
          <w:lang w:val="en-US" w:eastAsia="zh-CN" w:bidi="ar-SA"/>
        </w:rPr>
      </w:pPr>
    </w:p>
    <w:p w14:paraId="165CB741">
      <w:pPr>
        <w:spacing w:line="360" w:lineRule="auto"/>
        <w:outlineLvl w:val="0"/>
        <w:rPr>
          <w:rFonts w:ascii="Calibri" w:hAnsi="Calibri" w:eastAsia="宋体" w:cs="Times New Roman"/>
          <w:b/>
          <w:sz w:val="28"/>
          <w:szCs w:val="28"/>
        </w:rPr>
      </w:pPr>
      <w:bookmarkStart w:id="1392" w:name="_Toc19534"/>
      <w:bookmarkStart w:id="1393" w:name="_Toc29946"/>
      <w:bookmarkStart w:id="1394" w:name="_Toc2901"/>
      <w:bookmarkStart w:id="1395" w:name="_Toc16709"/>
      <w:bookmarkStart w:id="1396" w:name="_Toc28816"/>
      <w:bookmarkStart w:id="1397" w:name="_Toc17968"/>
      <w:bookmarkStart w:id="1398" w:name="_Toc18803"/>
      <w:r>
        <w:rPr>
          <w:rFonts w:hint="eastAsia" w:ascii="Calibri" w:hAnsi="Calibri" w:eastAsia="宋体" w:cs="Times New Roman"/>
          <w:b/>
          <w:sz w:val="28"/>
          <w:szCs w:val="28"/>
        </w:rPr>
        <w:t>一、课程概况</w:t>
      </w:r>
      <w:bookmarkEnd w:id="1392"/>
      <w:bookmarkEnd w:id="1393"/>
      <w:bookmarkEnd w:id="1394"/>
      <w:bookmarkEnd w:id="1395"/>
      <w:bookmarkEnd w:id="1396"/>
      <w:bookmarkEnd w:id="1397"/>
      <w:bookmarkEnd w:id="1398"/>
    </w:p>
    <w:p w14:paraId="3D30F2DF">
      <w:pPr>
        <w:spacing w:line="360" w:lineRule="auto"/>
        <w:rPr>
          <w:rFonts w:ascii="Times New Roman" w:hAnsi="Times New Roman" w:eastAsia="宋体" w:cs="Times New Roman"/>
          <w:b/>
          <w:sz w:val="28"/>
          <w:szCs w:val="28"/>
        </w:rPr>
      </w:pPr>
      <w:r>
        <w:rPr>
          <w:rFonts w:ascii="Times New Roman" w:hAnsi="Times New Roman" w:eastAsia="宋体" w:cs="Times New Roman"/>
          <w:b/>
          <w:bCs/>
          <w:kern w:val="0"/>
          <w:sz w:val="24"/>
          <w:szCs w:val="22"/>
        </w:rPr>
        <w:t>课程代码</w:t>
      </w:r>
      <w:r>
        <w:rPr>
          <w:rFonts w:ascii="Times New Roman" w:hAnsi="Times New Roman" w:eastAsia="宋体" w:cs="Times New Roman"/>
          <w:b/>
          <w:kern w:val="0"/>
          <w:sz w:val="24"/>
          <w:szCs w:val="22"/>
        </w:rPr>
        <w:t>：</w:t>
      </w:r>
      <w:r>
        <w:rPr>
          <w:rFonts w:ascii="Times New Roman" w:hAnsi="Times New Roman" w:eastAsia="宋体" w:cs="Times New Roman"/>
          <w:bCs/>
          <w:kern w:val="0"/>
          <w:sz w:val="24"/>
          <w:szCs w:val="22"/>
        </w:rPr>
        <w:t>2401023</w:t>
      </w:r>
    </w:p>
    <w:p w14:paraId="2812A5E7">
      <w:pPr>
        <w:spacing w:line="360" w:lineRule="auto"/>
        <w:rPr>
          <w:rFonts w:ascii="Times New Roman" w:hAnsi="Times New Roman" w:eastAsia="宋体" w:cs="Times New Roman"/>
          <w:kern w:val="0"/>
          <w:sz w:val="24"/>
          <w:szCs w:val="22"/>
        </w:rPr>
      </w:pPr>
      <w:r>
        <w:rPr>
          <w:rFonts w:ascii="Times New Roman" w:hAnsi="Times New Roman" w:eastAsia="宋体" w:cs="Times New Roman"/>
          <w:b/>
          <w:bCs/>
          <w:kern w:val="0"/>
          <w:sz w:val="24"/>
          <w:szCs w:val="22"/>
        </w:rPr>
        <w:t>学    分</w:t>
      </w:r>
      <w:r>
        <w:rPr>
          <w:rFonts w:ascii="Times New Roman" w:hAnsi="Times New Roman" w:eastAsia="宋体" w:cs="Times New Roman"/>
          <w:b/>
          <w:kern w:val="0"/>
          <w:sz w:val="24"/>
          <w:szCs w:val="22"/>
        </w:rPr>
        <w:t>：</w:t>
      </w:r>
      <w:r>
        <w:rPr>
          <w:rFonts w:ascii="Times New Roman" w:hAnsi="Times New Roman" w:eastAsia="宋体" w:cs="Times New Roman"/>
          <w:kern w:val="0"/>
          <w:sz w:val="24"/>
          <w:szCs w:val="22"/>
        </w:rPr>
        <w:t>2</w:t>
      </w:r>
    </w:p>
    <w:p w14:paraId="537C5420">
      <w:pPr>
        <w:spacing w:line="360" w:lineRule="auto"/>
        <w:rPr>
          <w:rFonts w:ascii="Times New Roman" w:hAnsi="Times New Roman" w:eastAsia="宋体" w:cs="Times New Roman"/>
          <w:kern w:val="0"/>
          <w:sz w:val="24"/>
          <w:szCs w:val="22"/>
        </w:rPr>
      </w:pPr>
      <w:r>
        <w:rPr>
          <w:rFonts w:ascii="Times New Roman" w:hAnsi="Times New Roman" w:eastAsia="宋体" w:cs="Times New Roman"/>
          <w:b/>
          <w:bCs/>
          <w:kern w:val="0"/>
          <w:sz w:val="24"/>
          <w:szCs w:val="22"/>
        </w:rPr>
        <w:t>学    时</w:t>
      </w:r>
      <w:r>
        <w:rPr>
          <w:rFonts w:ascii="Times New Roman" w:hAnsi="Times New Roman" w:eastAsia="宋体" w:cs="Times New Roman"/>
          <w:b/>
          <w:kern w:val="0"/>
          <w:sz w:val="24"/>
          <w:szCs w:val="22"/>
        </w:rPr>
        <w:t>：</w:t>
      </w:r>
      <w:r>
        <w:rPr>
          <w:rFonts w:ascii="Times New Roman" w:hAnsi="Times New Roman" w:eastAsia="宋体" w:cs="Times New Roman"/>
          <w:kern w:val="0"/>
          <w:sz w:val="24"/>
          <w:szCs w:val="22"/>
        </w:rPr>
        <w:t>32（其中：讲授学时24，课内实践学时8）</w:t>
      </w:r>
    </w:p>
    <w:p w14:paraId="25B61B60">
      <w:pPr>
        <w:spacing w:line="360" w:lineRule="auto"/>
        <w:rPr>
          <w:rFonts w:ascii="Calibri" w:hAnsi="Calibri" w:eastAsia="宋体" w:cs="Times New Roman"/>
          <w:kern w:val="0"/>
          <w:sz w:val="24"/>
          <w:szCs w:val="22"/>
        </w:rPr>
      </w:pPr>
      <w:r>
        <w:rPr>
          <w:rFonts w:hint="eastAsia" w:ascii="Calibri" w:hAnsi="Calibri" w:eastAsia="宋体" w:cs="Times New Roman"/>
          <w:b/>
          <w:bCs/>
          <w:kern w:val="0"/>
          <w:sz w:val="24"/>
          <w:szCs w:val="22"/>
        </w:rPr>
        <w:t>适用专业</w:t>
      </w:r>
      <w:r>
        <w:rPr>
          <w:rFonts w:hint="eastAsia" w:ascii="Calibri" w:hAnsi="Calibri" w:eastAsia="宋体" w:cs="Times New Roman"/>
          <w:b/>
          <w:kern w:val="0"/>
          <w:sz w:val="24"/>
          <w:szCs w:val="22"/>
        </w:rPr>
        <w:t>：</w:t>
      </w:r>
      <w:r>
        <w:rPr>
          <w:rFonts w:hint="eastAsia" w:ascii="Calibri" w:hAnsi="Calibri" w:eastAsia="宋体" w:cs="Times New Roman"/>
          <w:sz w:val="24"/>
          <w:szCs w:val="22"/>
        </w:rPr>
        <w:t>小学教育（文）、小学教育（理）</w:t>
      </w:r>
    </w:p>
    <w:p w14:paraId="1150672D">
      <w:pPr>
        <w:spacing w:line="360" w:lineRule="auto"/>
        <w:rPr>
          <w:rFonts w:hint="eastAsia" w:ascii="等线" w:hAnsi="等线" w:eastAsia="等线" w:cs="Times New Roman"/>
          <w:szCs w:val="22"/>
        </w:rPr>
      </w:pPr>
      <w:r>
        <w:rPr>
          <w:rFonts w:hint="eastAsia" w:ascii="Calibri" w:hAnsi="Calibri" w:eastAsia="宋体" w:cs="Times New Roman"/>
          <w:b/>
          <w:bCs/>
          <w:kern w:val="0"/>
          <w:sz w:val="24"/>
          <w:szCs w:val="22"/>
        </w:rPr>
        <w:t>建议教材</w:t>
      </w:r>
      <w:r>
        <w:rPr>
          <w:rFonts w:hint="eastAsia" w:ascii="Calibri" w:hAnsi="Calibri" w:eastAsia="宋体" w:cs="Times New Roman"/>
          <w:b/>
          <w:kern w:val="0"/>
          <w:sz w:val="24"/>
          <w:szCs w:val="22"/>
        </w:rPr>
        <w:t>：</w:t>
      </w:r>
      <w:r>
        <w:rPr>
          <w:rFonts w:hint="eastAsia" w:ascii="Times New Roman" w:hAnsi="Times New Roman" w:eastAsia="宋体" w:cs="Times New Roman"/>
          <w:bCs/>
          <w:kern w:val="0"/>
          <w:sz w:val="24"/>
          <w:szCs w:val="22"/>
        </w:rPr>
        <w:t>邹萍</w:t>
      </w:r>
      <w:r>
        <w:rPr>
          <w:rFonts w:ascii="Times New Roman" w:hAnsi="Times New Roman" w:eastAsia="宋体" w:cs="Times New Roman"/>
          <w:bCs/>
          <w:kern w:val="0"/>
          <w:sz w:val="24"/>
          <w:szCs w:val="22"/>
        </w:rPr>
        <w:t>著，小学生心理辅导，华东师范大学出版社，</w:t>
      </w:r>
      <w:r>
        <w:rPr>
          <w:rFonts w:hint="eastAsia" w:ascii="Times New Roman" w:hAnsi="Times New Roman" w:eastAsia="宋体" w:cs="Times New Roman"/>
          <w:bCs/>
          <w:kern w:val="0"/>
          <w:sz w:val="24"/>
          <w:szCs w:val="22"/>
        </w:rPr>
        <w:t>2014.</w:t>
      </w:r>
    </w:p>
    <w:p w14:paraId="24FD407E">
      <w:pPr>
        <w:spacing w:line="360" w:lineRule="auto"/>
        <w:ind w:firstLine="1200" w:firstLineChars="500"/>
        <w:rPr>
          <w:rFonts w:ascii="Calibri" w:hAnsi="Calibri" w:eastAsia="宋体" w:cs="Times New Roman"/>
          <w:b/>
          <w:kern w:val="0"/>
          <w:sz w:val="24"/>
          <w:szCs w:val="22"/>
        </w:rPr>
      </w:pPr>
      <w:r>
        <w:rPr>
          <w:rFonts w:hint="eastAsia" w:ascii="Times New Roman" w:hAnsi="Times New Roman" w:eastAsia="宋体" w:cs="Times New Roman"/>
          <w:bCs/>
          <w:kern w:val="0"/>
          <w:sz w:val="24"/>
          <w:szCs w:val="22"/>
        </w:rPr>
        <w:t>彭小虎著，小学生心理辅导，华东师范大学出版社，2012</w:t>
      </w:r>
    </w:p>
    <w:p w14:paraId="4767979E">
      <w:pPr>
        <w:spacing w:line="360" w:lineRule="auto"/>
        <w:rPr>
          <w:rFonts w:ascii="Calibri" w:hAnsi="Calibri" w:eastAsia="宋体" w:cs="Times New Roman"/>
          <w:kern w:val="0"/>
          <w:sz w:val="24"/>
          <w:szCs w:val="22"/>
        </w:rPr>
      </w:pPr>
      <w:r>
        <w:rPr>
          <w:rFonts w:hint="eastAsia" w:ascii="Calibri" w:hAnsi="Calibri" w:eastAsia="宋体" w:cs="Times New Roman"/>
          <w:b/>
          <w:bCs/>
          <w:kern w:val="0"/>
          <w:sz w:val="24"/>
          <w:szCs w:val="22"/>
        </w:rPr>
        <w:t>课程归口：</w:t>
      </w:r>
      <w:r>
        <w:rPr>
          <w:rFonts w:hint="eastAsia" w:ascii="宋体" w:hAnsi="宋体" w:eastAsia="宋体" w:cs="Times New Roman"/>
          <w:bCs/>
          <w:kern w:val="0"/>
          <w:sz w:val="24"/>
          <w:szCs w:val="22"/>
        </w:rPr>
        <w:t>师范</w:t>
      </w:r>
      <w:r>
        <w:rPr>
          <w:rFonts w:hint="eastAsia" w:ascii="Calibri" w:hAnsi="Calibri" w:eastAsia="宋体" w:cs="Times New Roman"/>
          <w:kern w:val="0"/>
          <w:sz w:val="24"/>
          <w:szCs w:val="22"/>
        </w:rPr>
        <w:t>学院</w:t>
      </w:r>
    </w:p>
    <w:p w14:paraId="124139D4">
      <w:pPr>
        <w:spacing w:line="360" w:lineRule="auto"/>
        <w:outlineLvl w:val="0"/>
        <w:rPr>
          <w:rFonts w:ascii="Calibri" w:hAnsi="Calibri" w:eastAsia="宋体" w:cs="Times New Roman"/>
          <w:b/>
          <w:bCs/>
          <w:kern w:val="0"/>
          <w:sz w:val="24"/>
          <w:szCs w:val="22"/>
        </w:rPr>
      </w:pPr>
      <w:bookmarkStart w:id="1399" w:name="_Toc18270"/>
      <w:bookmarkStart w:id="1400" w:name="_Toc13195"/>
      <w:bookmarkStart w:id="1401" w:name="_Toc12638"/>
      <w:bookmarkStart w:id="1402" w:name="_Toc14207"/>
      <w:bookmarkStart w:id="1403" w:name="_Toc6254"/>
      <w:bookmarkStart w:id="1404" w:name="_Toc31855"/>
      <w:bookmarkStart w:id="1405" w:name="_Toc15256"/>
      <w:r>
        <w:rPr>
          <w:rFonts w:hint="eastAsia" w:ascii="Calibri" w:hAnsi="Calibri" w:eastAsia="宋体" w:cs="Times New Roman"/>
          <w:b/>
          <w:bCs/>
          <w:kern w:val="0"/>
          <w:sz w:val="24"/>
          <w:szCs w:val="22"/>
        </w:rPr>
        <w:t>一、课程简介</w:t>
      </w:r>
      <w:bookmarkEnd w:id="1399"/>
      <w:bookmarkEnd w:id="1400"/>
      <w:bookmarkEnd w:id="1401"/>
      <w:bookmarkEnd w:id="1402"/>
      <w:bookmarkEnd w:id="1403"/>
      <w:bookmarkEnd w:id="1404"/>
      <w:bookmarkEnd w:id="1405"/>
    </w:p>
    <w:p w14:paraId="407E716A">
      <w:pPr>
        <w:spacing w:line="360" w:lineRule="auto"/>
        <w:ind w:firstLine="480" w:firstLineChars="200"/>
        <w:rPr>
          <w:rFonts w:ascii="Calibri" w:hAnsi="Calibri" w:eastAsia="宋体" w:cs="Times New Roman"/>
          <w:kern w:val="0"/>
          <w:sz w:val="24"/>
          <w:szCs w:val="22"/>
        </w:rPr>
      </w:pPr>
      <w:r>
        <w:rPr>
          <w:rFonts w:hint="eastAsia" w:ascii="Calibri" w:hAnsi="Calibri" w:eastAsia="宋体" w:cs="Times New Roman"/>
          <w:kern w:val="0"/>
          <w:sz w:val="24"/>
          <w:szCs w:val="22"/>
        </w:rPr>
        <w:t>小学生心理辅导是小学教育专业的专业选修课程。课程通过对心理辅导技术的学习，结合小学生发展存在问题的研究，提高本专业学生的心理辅导的能力和操作技能。本课程的任务是掌握小学生心理辅导的基本概念和理论，学会心理辅导的基本方法，树立科学的心理辅导观，熟练运用小学生心理辅导规律和技术对小学生进行心理辅导。提高自己在生活和工作中的适应能力，能解决工作和生活中的各种心理健康问题。</w:t>
      </w:r>
    </w:p>
    <w:p w14:paraId="6150A7B1">
      <w:pPr>
        <w:spacing w:line="360" w:lineRule="auto"/>
        <w:outlineLvl w:val="0"/>
        <w:rPr>
          <w:rFonts w:ascii="Calibri" w:hAnsi="Calibri" w:eastAsia="宋体" w:cs="Times New Roman"/>
          <w:b/>
          <w:sz w:val="28"/>
          <w:szCs w:val="28"/>
        </w:rPr>
      </w:pPr>
      <w:bookmarkStart w:id="1406" w:name="_Toc16030"/>
      <w:bookmarkStart w:id="1407" w:name="_Toc13844"/>
      <w:bookmarkStart w:id="1408" w:name="_Toc9839"/>
      <w:bookmarkStart w:id="1409" w:name="_Toc17219"/>
      <w:bookmarkStart w:id="1410" w:name="_Toc22229"/>
      <w:bookmarkStart w:id="1411" w:name="_Toc13821"/>
      <w:bookmarkStart w:id="1412" w:name="_Toc15253"/>
      <w:r>
        <w:rPr>
          <w:rFonts w:hint="eastAsia" w:ascii="Calibri" w:hAnsi="Calibri" w:eastAsia="宋体" w:cs="Times New Roman"/>
          <w:b/>
          <w:sz w:val="28"/>
          <w:szCs w:val="28"/>
        </w:rPr>
        <w:t>二、课程目标</w:t>
      </w:r>
      <w:bookmarkEnd w:id="1406"/>
      <w:bookmarkEnd w:id="1407"/>
      <w:bookmarkEnd w:id="1408"/>
      <w:bookmarkEnd w:id="1409"/>
      <w:bookmarkEnd w:id="1410"/>
      <w:bookmarkEnd w:id="1411"/>
      <w:bookmarkEnd w:id="1412"/>
    </w:p>
    <w:p w14:paraId="6F23B675">
      <w:pPr>
        <w:spacing w:line="360" w:lineRule="auto"/>
        <w:outlineLvl w:val="1"/>
        <w:rPr>
          <w:rFonts w:ascii="Calibri" w:hAnsi="Calibri" w:eastAsia="宋体" w:cs="Times New Roman"/>
          <w:b/>
          <w:sz w:val="24"/>
          <w:szCs w:val="24"/>
        </w:rPr>
      </w:pPr>
      <w:bookmarkStart w:id="1413" w:name="_Toc28015"/>
      <w:r>
        <w:rPr>
          <w:rFonts w:hint="eastAsia" w:ascii="Calibri" w:hAnsi="Calibri" w:eastAsia="宋体" w:cs="Times New Roman"/>
          <w:b/>
          <w:sz w:val="24"/>
          <w:szCs w:val="24"/>
        </w:rPr>
        <w:t>（一）课程具体目标</w:t>
      </w:r>
      <w:bookmarkEnd w:id="1413"/>
    </w:p>
    <w:p w14:paraId="6F2B9742">
      <w:pPr>
        <w:spacing w:line="360" w:lineRule="auto"/>
        <w:ind w:firstLine="480" w:firstLineChars="200"/>
        <w:jc w:val="left"/>
        <w:rPr>
          <w:rFonts w:ascii="Times New Roman" w:hAnsi="Times New Roman" w:eastAsia="宋体" w:cs="Times New Roman"/>
          <w:sz w:val="24"/>
          <w:szCs w:val="22"/>
        </w:rPr>
      </w:pPr>
      <w:r>
        <w:rPr>
          <w:rFonts w:ascii="Times New Roman" w:hAnsi="Times New Roman" w:eastAsia="宋体" w:cs="Times New Roman"/>
          <w:sz w:val="24"/>
          <w:szCs w:val="22"/>
        </w:rPr>
        <w:t>目标1.阐释小学生心理辅导的目标和价值，形成以儿童发展为中心的辅导理念，分析小学儿童发展心理的规律，思政目标在于强化教师职业理念中的儿童中心思想，提高师范生的职业信念。</w:t>
      </w:r>
    </w:p>
    <w:p w14:paraId="1FDDA5AE">
      <w:pPr>
        <w:spacing w:line="360" w:lineRule="auto"/>
        <w:ind w:firstLine="480" w:firstLineChars="200"/>
        <w:jc w:val="left"/>
        <w:rPr>
          <w:rFonts w:ascii="Times New Roman" w:hAnsi="Times New Roman" w:eastAsia="宋体" w:cs="Times New Roman"/>
          <w:sz w:val="24"/>
          <w:szCs w:val="22"/>
        </w:rPr>
      </w:pPr>
      <w:r>
        <w:rPr>
          <w:rFonts w:ascii="Times New Roman" w:hAnsi="Times New Roman" w:eastAsia="宋体" w:cs="Times New Roman"/>
          <w:sz w:val="24"/>
          <w:szCs w:val="22"/>
        </w:rPr>
        <w:t>目标2.尝试运用小学生心理辅导的理论，结合小学生心理辅导的主要技术，学会在小学生班队管理中设计团体辅导活动，思政目标是强化科学发展观，用学科发展的历史及对学科的流派的梳理培养科学精神。</w:t>
      </w:r>
    </w:p>
    <w:p w14:paraId="69C1CD95">
      <w:pPr>
        <w:spacing w:line="360" w:lineRule="auto"/>
        <w:ind w:firstLine="480" w:firstLineChars="200"/>
        <w:jc w:val="left"/>
        <w:rPr>
          <w:rFonts w:ascii="Times New Roman" w:hAnsi="Times New Roman" w:eastAsia="宋体" w:cs="Times New Roman"/>
          <w:sz w:val="24"/>
          <w:szCs w:val="22"/>
        </w:rPr>
      </w:pPr>
      <w:r>
        <w:rPr>
          <w:rFonts w:ascii="Times New Roman" w:hAnsi="Times New Roman" w:eastAsia="宋体" w:cs="Times New Roman"/>
          <w:sz w:val="24"/>
          <w:szCs w:val="22"/>
        </w:rPr>
        <w:t>目标3.学会分析小学生常见的心理问题，运用个别辅导技术设计辅导方案，在课内实践中验证方案的可行性</w:t>
      </w:r>
      <w:r>
        <w:rPr>
          <w:rFonts w:hint="eastAsia" w:ascii="Times New Roman" w:hAnsi="Times New Roman" w:eastAsia="宋体" w:cs="Times New Roman"/>
          <w:sz w:val="24"/>
          <w:szCs w:val="22"/>
        </w:rPr>
        <w:t>。</w:t>
      </w:r>
      <w:r>
        <w:rPr>
          <w:rFonts w:ascii="Times New Roman" w:hAnsi="Times New Roman" w:eastAsia="宋体" w:cs="Times New Roman"/>
          <w:sz w:val="24"/>
          <w:szCs w:val="22"/>
        </w:rPr>
        <w:t>思政目标是进一步提升教师职业素养，提高因材施教的能力。</w:t>
      </w:r>
    </w:p>
    <w:p w14:paraId="744F22C3">
      <w:pPr>
        <w:spacing w:line="360" w:lineRule="auto"/>
        <w:ind w:firstLine="480" w:firstLineChars="200"/>
        <w:jc w:val="left"/>
        <w:rPr>
          <w:rFonts w:ascii="Times New Roman" w:hAnsi="Times New Roman" w:eastAsia="宋体" w:cs="Times New Roman"/>
          <w:sz w:val="24"/>
          <w:szCs w:val="22"/>
        </w:rPr>
      </w:pPr>
      <w:r>
        <w:rPr>
          <w:rFonts w:ascii="Times New Roman" w:hAnsi="Times New Roman" w:eastAsia="宋体" w:cs="Times New Roman"/>
          <w:sz w:val="24"/>
          <w:szCs w:val="22"/>
        </w:rPr>
        <w:t>目标4.在课内实践过程中选择相应的小组活动形式，练习心理辅导的技能，获得团队活动体验，习得与学生、同伴和家长沟通的技能，思政目标是强调教育的生态观，师范生在活动中提升人际协调的能力和体验。</w:t>
      </w:r>
    </w:p>
    <w:p w14:paraId="6953E67C">
      <w:pPr>
        <w:spacing w:line="360" w:lineRule="auto"/>
        <w:outlineLvl w:val="1"/>
        <w:rPr>
          <w:rFonts w:hint="eastAsia" w:ascii="宋体" w:hAnsi="宋体" w:eastAsia="宋体" w:cs="Times New Roman"/>
          <w:b/>
          <w:color w:val="000000"/>
          <w:sz w:val="24"/>
          <w:szCs w:val="24"/>
        </w:rPr>
      </w:pPr>
      <w:bookmarkStart w:id="1414" w:name="_Toc7133"/>
      <w:r>
        <w:rPr>
          <w:rFonts w:hint="eastAsia" w:ascii="宋体" w:hAnsi="宋体" w:eastAsia="宋体" w:cs="Times New Roman"/>
          <w:b/>
          <w:color w:val="000000"/>
          <w:sz w:val="24"/>
          <w:szCs w:val="24"/>
        </w:rPr>
        <w:t>（二）课程目标及其对毕业要求指标点的支撑</w:t>
      </w:r>
      <w:bookmarkEnd w:id="1414"/>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57A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79CF926">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39357AB2">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2CE92578">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3DEE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D0BB9BF">
            <w:pPr>
              <w:spacing w:line="276" w:lineRule="auto"/>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毕业要求5：班级管理</w:t>
            </w:r>
          </w:p>
        </w:tc>
        <w:tc>
          <w:tcPr>
            <w:tcW w:w="5688" w:type="dxa"/>
            <w:vAlign w:val="center"/>
          </w:tcPr>
          <w:p w14:paraId="0EE90E6C">
            <w:pPr>
              <w:spacing w:line="276" w:lineRule="auto"/>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指标点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2B348BA1">
            <w:pPr>
              <w:spacing w:line="276" w:lineRule="auto"/>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课程目标2、3</w:t>
            </w:r>
          </w:p>
        </w:tc>
      </w:tr>
      <w:tr w14:paraId="148E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CE4335A">
            <w:pPr>
              <w:spacing w:line="276" w:lineRule="auto"/>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毕业要求6：综合育人</w:t>
            </w:r>
          </w:p>
        </w:tc>
        <w:tc>
          <w:tcPr>
            <w:tcW w:w="5688" w:type="dxa"/>
            <w:vAlign w:val="center"/>
          </w:tcPr>
          <w:p w14:paraId="65372A7F">
            <w:pPr>
              <w:spacing w:line="276" w:lineRule="auto"/>
              <w:jc w:val="left"/>
              <w:rPr>
                <w:rFonts w:hint="eastAsia" w:ascii="宋体" w:hAnsi="宋体" w:eastAsia="宋体" w:cs="Times New Roman"/>
                <w:color w:val="000000"/>
                <w:spacing w:val="2"/>
                <w:kern w:val="0"/>
                <w:sz w:val="21"/>
                <w:szCs w:val="21"/>
              </w:rPr>
            </w:pPr>
            <w:r>
              <w:rPr>
                <w:rFonts w:hint="eastAsia" w:ascii="宋体" w:hAnsi="宋体" w:eastAsia="宋体" w:cs="Times New Roman"/>
                <w:color w:val="000000"/>
                <w:spacing w:val="2"/>
                <w:kern w:val="0"/>
                <w:sz w:val="21"/>
                <w:szCs w:val="21"/>
              </w:rPr>
              <w:t>指标点6-1：【遵循身心规律】了解不同年龄以及有特殊需要的小学生的身心发展特点和规律、不同年龄小学生学习的特点，掌握小学生良好行为习惯养成的知识。</w:t>
            </w:r>
          </w:p>
          <w:p w14:paraId="4594FACA">
            <w:pPr>
              <w:spacing w:line="276" w:lineRule="auto"/>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4266FF9B">
            <w:pPr>
              <w:spacing w:line="276" w:lineRule="auto"/>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课程目标1、4</w:t>
            </w:r>
          </w:p>
        </w:tc>
      </w:tr>
    </w:tbl>
    <w:p w14:paraId="76DBFF82">
      <w:pPr>
        <w:spacing w:line="360" w:lineRule="auto"/>
        <w:jc w:val="left"/>
        <w:rPr>
          <w:rFonts w:hint="eastAsia" w:ascii="宋体" w:hAnsi="宋体" w:eastAsia="宋体" w:cs="Times New Roman"/>
          <w:b/>
          <w:color w:val="000000"/>
          <w:sz w:val="24"/>
          <w:szCs w:val="24"/>
        </w:rPr>
      </w:pPr>
    </w:p>
    <w:p w14:paraId="0CC3A49A">
      <w:pPr>
        <w:spacing w:line="360" w:lineRule="auto"/>
        <w:jc w:val="left"/>
        <w:outlineLvl w:val="0"/>
        <w:rPr>
          <w:rFonts w:hint="eastAsia" w:ascii="宋体" w:hAnsi="宋体" w:eastAsia="宋体" w:cs="Times New Roman"/>
          <w:b/>
          <w:color w:val="000000"/>
          <w:sz w:val="24"/>
          <w:szCs w:val="24"/>
        </w:rPr>
      </w:pPr>
      <w:bookmarkStart w:id="1415" w:name="_Toc18099"/>
      <w:bookmarkStart w:id="1416" w:name="_Toc6150"/>
      <w:bookmarkStart w:id="1417" w:name="_Toc22977"/>
      <w:bookmarkStart w:id="1418" w:name="_Toc30797"/>
      <w:bookmarkStart w:id="1419" w:name="_Toc32458"/>
      <w:bookmarkStart w:id="1420" w:name="_Toc3656"/>
      <w:bookmarkStart w:id="1421" w:name="_Toc2474"/>
      <w:r>
        <w:rPr>
          <w:rFonts w:hint="eastAsia" w:ascii="宋体" w:hAnsi="宋体" w:eastAsia="宋体" w:cs="Times New Roman"/>
          <w:b/>
          <w:color w:val="000000"/>
          <w:sz w:val="24"/>
          <w:szCs w:val="24"/>
        </w:rPr>
        <w:t>三、教学内容与预期学习成效</w:t>
      </w:r>
      <w:bookmarkEnd w:id="1415"/>
      <w:bookmarkEnd w:id="1416"/>
      <w:bookmarkEnd w:id="1417"/>
      <w:bookmarkEnd w:id="1418"/>
      <w:bookmarkEnd w:id="1419"/>
      <w:bookmarkEnd w:id="1420"/>
      <w:bookmarkEnd w:id="1421"/>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66"/>
        <w:gridCol w:w="1068"/>
        <w:gridCol w:w="66"/>
        <w:gridCol w:w="3168"/>
        <w:gridCol w:w="26"/>
        <w:gridCol w:w="1484"/>
        <w:gridCol w:w="76"/>
        <w:gridCol w:w="438"/>
      </w:tblGrid>
      <w:tr w14:paraId="313D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C91F4E8">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467F3C4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01" w:type="dxa"/>
            <w:vAlign w:val="center"/>
          </w:tcPr>
          <w:p w14:paraId="1B55CE28">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134" w:type="dxa"/>
            <w:gridSpan w:val="2"/>
            <w:vAlign w:val="center"/>
          </w:tcPr>
          <w:p w14:paraId="23F8CA6C">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6BF492D3">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0" w:type="dxa"/>
            <w:gridSpan w:val="3"/>
            <w:vAlign w:val="center"/>
          </w:tcPr>
          <w:p w14:paraId="641BE4B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0" w:type="dxa"/>
            <w:gridSpan w:val="2"/>
            <w:vAlign w:val="center"/>
          </w:tcPr>
          <w:p w14:paraId="441E86A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实现环节</w:t>
            </w:r>
          </w:p>
        </w:tc>
        <w:tc>
          <w:tcPr>
            <w:tcW w:w="438" w:type="dxa"/>
            <w:vAlign w:val="center"/>
          </w:tcPr>
          <w:p w14:paraId="0AAC2B79">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1521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EB8CADE">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1.小学生心理辅导概述</w:t>
            </w:r>
          </w:p>
        </w:tc>
        <w:tc>
          <w:tcPr>
            <w:tcW w:w="1701" w:type="dxa"/>
            <w:vAlign w:val="center"/>
          </w:tcPr>
          <w:p w14:paraId="6EEE46C7">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（1）小学生心理辅导的意义</w:t>
            </w:r>
          </w:p>
          <w:p w14:paraId="07F75080">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（2）小学生心理辅导的内涵</w:t>
            </w:r>
          </w:p>
          <w:p w14:paraId="6004BFD0">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（3）小学生心理辅导的目标</w:t>
            </w:r>
          </w:p>
          <w:p w14:paraId="5F9F7C76">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（4）小学生心理辅导的对象与内容</w:t>
            </w:r>
          </w:p>
          <w:p w14:paraId="13DB06F5">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（5）小学生心理辅导的原则</w:t>
            </w:r>
          </w:p>
        </w:tc>
        <w:tc>
          <w:tcPr>
            <w:tcW w:w="1134" w:type="dxa"/>
            <w:gridSpan w:val="2"/>
            <w:vAlign w:val="center"/>
          </w:tcPr>
          <w:p w14:paraId="28A01A1E">
            <w:pPr>
              <w:spacing w:line="269"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课程目标1</w:t>
            </w:r>
          </w:p>
        </w:tc>
        <w:tc>
          <w:tcPr>
            <w:tcW w:w="3260" w:type="dxa"/>
            <w:gridSpan w:val="3"/>
            <w:vAlign w:val="center"/>
          </w:tcPr>
          <w:p w14:paraId="7650915A">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（1）了解小学生心理辅导的意义，掌握小学生心理辅导的目标与对象；</w:t>
            </w:r>
          </w:p>
          <w:p w14:paraId="0B55E5A3">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（2）理解小学生心理辅导的原则和内涵，形成正确的小学生心理辅导理念。</w:t>
            </w:r>
          </w:p>
        </w:tc>
        <w:tc>
          <w:tcPr>
            <w:tcW w:w="1560" w:type="dxa"/>
            <w:gridSpan w:val="2"/>
            <w:vAlign w:val="center"/>
          </w:tcPr>
          <w:p w14:paraId="7DF64809">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1.线上学习</w:t>
            </w:r>
          </w:p>
          <w:p w14:paraId="2908FCCD">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2.多媒体教学3.课堂讨论</w:t>
            </w:r>
          </w:p>
          <w:p w14:paraId="3F74CD54">
            <w:pPr>
              <w:spacing w:line="269" w:lineRule="auto"/>
              <w:jc w:val="left"/>
              <w:rPr>
                <w:rFonts w:hint="eastAsia" w:ascii="宋体" w:hAnsi="宋体" w:eastAsia="宋体" w:cs="Times New Roman"/>
                <w:color w:val="000000"/>
                <w:kern w:val="0"/>
                <w:sz w:val="21"/>
                <w:szCs w:val="21"/>
              </w:rPr>
            </w:pPr>
          </w:p>
        </w:tc>
        <w:tc>
          <w:tcPr>
            <w:tcW w:w="438" w:type="dxa"/>
            <w:vAlign w:val="center"/>
          </w:tcPr>
          <w:p w14:paraId="5A19DF86">
            <w:pPr>
              <w:spacing w:line="269"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p>
        </w:tc>
      </w:tr>
      <w:tr w14:paraId="5446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68E8FA">
            <w:pPr>
              <w:spacing w:line="264" w:lineRule="auto"/>
              <w:jc w:val="center"/>
              <w:rPr>
                <w:rFonts w:hint="eastAsia" w:ascii="宋体" w:hAnsi="宋体" w:eastAsia="宋体" w:cs="Times New Roman"/>
                <w:color w:val="000000"/>
                <w:kern w:val="0"/>
                <w:sz w:val="21"/>
                <w:szCs w:val="21"/>
              </w:rPr>
            </w:pPr>
          </w:p>
        </w:tc>
        <w:tc>
          <w:tcPr>
            <w:tcW w:w="8093" w:type="dxa"/>
            <w:gridSpan w:val="9"/>
            <w:vAlign w:val="center"/>
          </w:tcPr>
          <w:p w14:paraId="6E0D0CC4">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建立“以人为本、立德树人”的教育价值观，并融入小学生心理辅导个案中。</w:t>
            </w:r>
          </w:p>
        </w:tc>
      </w:tr>
      <w:tr w14:paraId="7F35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D60E5F">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小学生心理辅导的基本理论</w:t>
            </w:r>
          </w:p>
        </w:tc>
        <w:tc>
          <w:tcPr>
            <w:tcW w:w="1701" w:type="dxa"/>
            <w:vAlign w:val="center"/>
          </w:tcPr>
          <w:p w14:paraId="424FA649">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（1）精神分析理论</w:t>
            </w:r>
          </w:p>
          <w:p w14:paraId="22EF5683">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（2）行为主义理论</w:t>
            </w:r>
          </w:p>
          <w:p w14:paraId="351F1A98">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（3）理性情绪咨询理论</w:t>
            </w:r>
          </w:p>
          <w:p w14:paraId="6D88A4AA">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（4）以人为中心的咨询理论</w:t>
            </w:r>
          </w:p>
          <w:p w14:paraId="4B60F056">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（5）群体动力理论</w:t>
            </w:r>
          </w:p>
        </w:tc>
        <w:tc>
          <w:tcPr>
            <w:tcW w:w="1134" w:type="dxa"/>
            <w:gridSpan w:val="2"/>
            <w:vAlign w:val="center"/>
          </w:tcPr>
          <w:p w14:paraId="5B45C585">
            <w:pPr>
              <w:spacing w:line="269"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课程目标2、3</w:t>
            </w:r>
          </w:p>
        </w:tc>
        <w:tc>
          <w:tcPr>
            <w:tcW w:w="3260" w:type="dxa"/>
            <w:gridSpan w:val="3"/>
            <w:vAlign w:val="center"/>
          </w:tcPr>
          <w:p w14:paraId="480417B5">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（1）了解群体动力理论，理解各理论流派在小学生心理辅导中的适用性；</w:t>
            </w:r>
          </w:p>
          <w:p w14:paraId="071398DE">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（2）掌握行为主义理论和理性情绪理论，能设计与相关理论相应的小学生心理辅导活动。</w:t>
            </w:r>
          </w:p>
        </w:tc>
        <w:tc>
          <w:tcPr>
            <w:tcW w:w="1560" w:type="dxa"/>
            <w:gridSpan w:val="2"/>
            <w:vAlign w:val="center"/>
          </w:tcPr>
          <w:p w14:paraId="56D597FF">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1.线上学习</w:t>
            </w:r>
          </w:p>
          <w:p w14:paraId="23DCB496">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2.多媒体教学3.课堂讨论</w:t>
            </w:r>
          </w:p>
          <w:p w14:paraId="6BD03F7E">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4.课内实践</w:t>
            </w:r>
          </w:p>
        </w:tc>
        <w:tc>
          <w:tcPr>
            <w:tcW w:w="438" w:type="dxa"/>
            <w:vAlign w:val="center"/>
          </w:tcPr>
          <w:p w14:paraId="49F6A52D">
            <w:pPr>
              <w:spacing w:line="269"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w:t>
            </w:r>
          </w:p>
        </w:tc>
      </w:tr>
      <w:tr w14:paraId="4011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CCB9D30">
            <w:pPr>
              <w:spacing w:line="264" w:lineRule="auto"/>
              <w:jc w:val="center"/>
              <w:rPr>
                <w:rFonts w:hint="eastAsia" w:ascii="宋体" w:hAnsi="宋体" w:eastAsia="宋体" w:cs="Times New Roman"/>
                <w:color w:val="000000"/>
                <w:kern w:val="0"/>
                <w:sz w:val="21"/>
                <w:szCs w:val="21"/>
              </w:rPr>
            </w:pPr>
          </w:p>
        </w:tc>
        <w:tc>
          <w:tcPr>
            <w:tcW w:w="8093" w:type="dxa"/>
            <w:gridSpan w:val="9"/>
            <w:vAlign w:val="center"/>
          </w:tcPr>
          <w:p w14:paraId="48622774">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以全人的视角分析理论学习对小学生辅导的价值，进而形成正确的学生观、教育观。</w:t>
            </w:r>
          </w:p>
        </w:tc>
      </w:tr>
      <w:tr w14:paraId="1C0D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AAF71BF">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小学生心理辅导的基本技术</w:t>
            </w:r>
          </w:p>
        </w:tc>
        <w:tc>
          <w:tcPr>
            <w:tcW w:w="1701" w:type="dxa"/>
            <w:vAlign w:val="center"/>
          </w:tcPr>
          <w:p w14:paraId="527BE1F7">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（1）心理辅导关系建立技术</w:t>
            </w:r>
          </w:p>
          <w:p w14:paraId="67AAC348">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（2）晤谈技术</w:t>
            </w:r>
          </w:p>
          <w:p w14:paraId="1068EA88">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（3）心理评估技术</w:t>
            </w:r>
          </w:p>
        </w:tc>
        <w:tc>
          <w:tcPr>
            <w:tcW w:w="1134" w:type="dxa"/>
            <w:gridSpan w:val="2"/>
            <w:vAlign w:val="center"/>
          </w:tcPr>
          <w:p w14:paraId="251121F7">
            <w:pPr>
              <w:spacing w:line="269"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课程目标3、4</w:t>
            </w:r>
          </w:p>
        </w:tc>
        <w:tc>
          <w:tcPr>
            <w:tcW w:w="3260" w:type="dxa"/>
            <w:gridSpan w:val="3"/>
            <w:vAlign w:val="center"/>
          </w:tcPr>
          <w:p w14:paraId="48168EC3">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（1）了解上小学生心理辅导的基本技术的构成，理解心理辅导技术的流程；</w:t>
            </w:r>
          </w:p>
          <w:p w14:paraId="53A1959A">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（2）掌握心理辅导关系的建立、晤谈技术的基本要点，能运用心理评估技术对小学生进行初步的心理评估。</w:t>
            </w:r>
          </w:p>
        </w:tc>
        <w:tc>
          <w:tcPr>
            <w:tcW w:w="1560" w:type="dxa"/>
            <w:gridSpan w:val="2"/>
            <w:vAlign w:val="center"/>
          </w:tcPr>
          <w:p w14:paraId="0E45ABB9">
            <w:pPr>
              <w:spacing w:line="269"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180D545F">
            <w:pPr>
              <w:spacing w:line="269"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55BD9848">
            <w:pPr>
              <w:spacing w:line="269"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4.</w:t>
            </w:r>
            <w:r>
              <w:rPr>
                <w:rFonts w:hint="eastAsia" w:ascii="宋体" w:hAnsi="宋体" w:eastAsia="宋体" w:cs="Times New Roman"/>
                <w:color w:val="000000"/>
                <w:kern w:val="0"/>
                <w:sz w:val="21"/>
                <w:szCs w:val="21"/>
              </w:rPr>
              <w:t>课内实践</w:t>
            </w:r>
          </w:p>
        </w:tc>
        <w:tc>
          <w:tcPr>
            <w:tcW w:w="438" w:type="dxa"/>
            <w:vAlign w:val="center"/>
          </w:tcPr>
          <w:p w14:paraId="1AF758D9">
            <w:pPr>
              <w:spacing w:line="269"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w:t>
            </w:r>
          </w:p>
        </w:tc>
      </w:tr>
      <w:tr w14:paraId="3675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6267E0F">
            <w:pPr>
              <w:spacing w:line="264" w:lineRule="auto"/>
              <w:jc w:val="center"/>
              <w:rPr>
                <w:rFonts w:hint="eastAsia" w:ascii="宋体" w:hAnsi="宋体" w:eastAsia="宋体" w:cs="Times New Roman"/>
                <w:color w:val="000000"/>
                <w:kern w:val="0"/>
                <w:sz w:val="21"/>
                <w:szCs w:val="21"/>
              </w:rPr>
            </w:pPr>
          </w:p>
        </w:tc>
        <w:tc>
          <w:tcPr>
            <w:tcW w:w="8093" w:type="dxa"/>
            <w:gridSpan w:val="9"/>
            <w:vAlign w:val="center"/>
          </w:tcPr>
          <w:p w14:paraId="06AA6076">
            <w:pPr>
              <w:spacing w:line="269"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了解小学生心理辅导的基本技术和流程，建立“民主、平等”的师生关系，培养德智体美劳全面发展的人。</w:t>
            </w:r>
          </w:p>
        </w:tc>
      </w:tr>
      <w:tr w14:paraId="3159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3ECC93">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小学生常见的心理问题及其辅导</w:t>
            </w:r>
          </w:p>
        </w:tc>
        <w:tc>
          <w:tcPr>
            <w:tcW w:w="1701" w:type="dxa"/>
            <w:vAlign w:val="center"/>
          </w:tcPr>
          <w:p w14:paraId="7C4DCCD2">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（1）小学生认知心理问题及其辅导</w:t>
            </w:r>
          </w:p>
          <w:p w14:paraId="19709660">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（2）小学生学习心理问题及其辅导</w:t>
            </w:r>
          </w:p>
          <w:p w14:paraId="7ABB2798">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（3）小学生人际交往心理问题及其辅导</w:t>
            </w:r>
          </w:p>
          <w:p w14:paraId="3AB5719F">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（4）小学生情绪、意志心理问题及其辅导</w:t>
            </w:r>
          </w:p>
        </w:tc>
        <w:tc>
          <w:tcPr>
            <w:tcW w:w="1134" w:type="dxa"/>
            <w:gridSpan w:val="2"/>
            <w:vAlign w:val="center"/>
          </w:tcPr>
          <w:p w14:paraId="643F5D82">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课程目标3</w:t>
            </w:r>
          </w:p>
        </w:tc>
        <w:tc>
          <w:tcPr>
            <w:tcW w:w="3260" w:type="dxa"/>
            <w:gridSpan w:val="3"/>
            <w:vAlign w:val="center"/>
          </w:tcPr>
          <w:p w14:paraId="76F4D512">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（1）了解小学生常见的各类心理问题的表现，学会分析影响小学生心理问题的各类因素，并能提出辅导建议；</w:t>
            </w:r>
          </w:p>
          <w:p w14:paraId="5FBE864E">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（2）掌握小学生各类心理问题的辅导方法，能设计小学生心理问题辅导的方案并能加以实施。</w:t>
            </w:r>
          </w:p>
        </w:tc>
        <w:tc>
          <w:tcPr>
            <w:tcW w:w="1560" w:type="dxa"/>
            <w:gridSpan w:val="2"/>
            <w:vAlign w:val="center"/>
          </w:tcPr>
          <w:p w14:paraId="4FF4AF6D">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48F6FB98">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444EA07E">
            <w:pPr>
              <w:spacing w:line="276" w:lineRule="auto"/>
              <w:jc w:val="left"/>
              <w:rPr>
                <w:rFonts w:hint="eastAsia" w:ascii="宋体" w:hAnsi="宋体" w:eastAsia="宋体" w:cs="Times New Roman"/>
                <w:color w:val="000000"/>
                <w:kern w:val="0"/>
                <w:sz w:val="21"/>
                <w:szCs w:val="21"/>
              </w:rPr>
            </w:pPr>
          </w:p>
        </w:tc>
        <w:tc>
          <w:tcPr>
            <w:tcW w:w="438" w:type="dxa"/>
            <w:vAlign w:val="center"/>
          </w:tcPr>
          <w:p w14:paraId="6AC358DD">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w:t>
            </w:r>
          </w:p>
        </w:tc>
      </w:tr>
      <w:tr w14:paraId="3D12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A3966C">
            <w:pPr>
              <w:spacing w:line="276" w:lineRule="auto"/>
              <w:jc w:val="center"/>
              <w:rPr>
                <w:rFonts w:hint="eastAsia" w:ascii="宋体" w:hAnsi="宋体" w:eastAsia="宋体" w:cs="Times New Roman"/>
                <w:color w:val="000000"/>
                <w:kern w:val="0"/>
                <w:sz w:val="21"/>
                <w:szCs w:val="21"/>
              </w:rPr>
            </w:pPr>
          </w:p>
        </w:tc>
        <w:tc>
          <w:tcPr>
            <w:tcW w:w="8093" w:type="dxa"/>
            <w:gridSpan w:val="9"/>
            <w:vAlign w:val="center"/>
          </w:tcPr>
          <w:p w14:paraId="375CD4C8">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通过了解小学生常见的心理问题，培养学生热爱教育事业和学生的情感，增强从事教育事业的责任感和使命感。</w:t>
            </w:r>
          </w:p>
        </w:tc>
      </w:tr>
      <w:tr w14:paraId="5F66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9DAA8D">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5.</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小学生问题行为的甄别与干预</w:t>
            </w:r>
          </w:p>
        </w:tc>
        <w:tc>
          <w:tcPr>
            <w:tcW w:w="1701" w:type="dxa"/>
            <w:vAlign w:val="center"/>
          </w:tcPr>
          <w:p w14:paraId="66824669">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（1）问题行为的概述</w:t>
            </w:r>
          </w:p>
          <w:p w14:paraId="77595A10">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（2）品行问题的甄别与干预</w:t>
            </w:r>
          </w:p>
          <w:p w14:paraId="679B4FF0">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（3）不良行为习惯的甄别与干预</w:t>
            </w:r>
          </w:p>
          <w:p w14:paraId="3AC72FB4">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（4）退缩行为的甄别与干预（4）素质教育创新人才培养</w:t>
            </w:r>
          </w:p>
        </w:tc>
        <w:tc>
          <w:tcPr>
            <w:tcW w:w="1134" w:type="dxa"/>
            <w:gridSpan w:val="2"/>
            <w:vAlign w:val="center"/>
          </w:tcPr>
          <w:p w14:paraId="70BD5205">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课程目标3</w:t>
            </w:r>
          </w:p>
        </w:tc>
        <w:tc>
          <w:tcPr>
            <w:tcW w:w="3260" w:type="dxa"/>
            <w:gridSpan w:val="3"/>
            <w:vAlign w:val="center"/>
          </w:tcPr>
          <w:p w14:paraId="72D147C0">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（1）理解问题行为的涵义和分类，掌握各类问题行为的特征；</w:t>
            </w:r>
          </w:p>
          <w:p w14:paraId="3476F3F3">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（2）了解小学生问题各类问题行为的甄别方法，能针对不同的问题行为提出辅导建议。</w:t>
            </w:r>
          </w:p>
        </w:tc>
        <w:tc>
          <w:tcPr>
            <w:tcW w:w="1560" w:type="dxa"/>
            <w:gridSpan w:val="2"/>
            <w:vAlign w:val="center"/>
          </w:tcPr>
          <w:p w14:paraId="3C3E82F8">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55A58D19">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7CFAD866">
            <w:pPr>
              <w:spacing w:line="276" w:lineRule="auto"/>
              <w:jc w:val="left"/>
              <w:rPr>
                <w:rFonts w:hint="eastAsia" w:ascii="宋体" w:hAnsi="宋体" w:eastAsia="宋体" w:cs="Times New Roman"/>
                <w:color w:val="000000"/>
                <w:kern w:val="0"/>
                <w:sz w:val="21"/>
                <w:szCs w:val="21"/>
              </w:rPr>
            </w:pPr>
          </w:p>
        </w:tc>
        <w:tc>
          <w:tcPr>
            <w:tcW w:w="438" w:type="dxa"/>
            <w:vAlign w:val="center"/>
          </w:tcPr>
          <w:p w14:paraId="5A601ACB">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p>
        </w:tc>
      </w:tr>
      <w:tr w14:paraId="60F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62E6B5D">
            <w:pPr>
              <w:spacing w:line="276" w:lineRule="auto"/>
              <w:jc w:val="center"/>
              <w:rPr>
                <w:rFonts w:hint="eastAsia" w:ascii="宋体" w:hAnsi="宋体" w:eastAsia="宋体" w:cs="Times New Roman"/>
                <w:color w:val="000000"/>
                <w:kern w:val="0"/>
                <w:sz w:val="21"/>
                <w:szCs w:val="21"/>
              </w:rPr>
            </w:pPr>
          </w:p>
        </w:tc>
        <w:tc>
          <w:tcPr>
            <w:tcW w:w="8093" w:type="dxa"/>
            <w:gridSpan w:val="9"/>
            <w:vAlign w:val="center"/>
          </w:tcPr>
          <w:p w14:paraId="48E1E0CA">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通过对小学生问题行为的甄别与干预能够用整体观看待小学生问题行为与干预。</w:t>
            </w:r>
          </w:p>
        </w:tc>
      </w:tr>
      <w:tr w14:paraId="30F4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36FBAF8">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6.</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小学生心理障碍的甄别与干预</w:t>
            </w:r>
          </w:p>
        </w:tc>
        <w:tc>
          <w:tcPr>
            <w:tcW w:w="1701" w:type="dxa"/>
            <w:vAlign w:val="center"/>
          </w:tcPr>
          <w:p w14:paraId="133756EF">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（1）注意缺陷多动障碍的甄别与干预；</w:t>
            </w:r>
          </w:p>
          <w:p w14:paraId="69C7E635">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（2）品行障碍的甄别与干预；</w:t>
            </w:r>
          </w:p>
          <w:p w14:paraId="090D3801">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（3）小学生情感障碍的甄别与干预。</w:t>
            </w:r>
          </w:p>
          <w:p w14:paraId="2C8807C7">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（4）学习和交流障碍的甄别与干预；</w:t>
            </w:r>
          </w:p>
          <w:p w14:paraId="733D523E">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（5）精神发育迟滞的甄别与干预；</w:t>
            </w:r>
          </w:p>
          <w:p w14:paraId="4A4984F4">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（6）自闭症的甄别。</w:t>
            </w:r>
          </w:p>
        </w:tc>
        <w:tc>
          <w:tcPr>
            <w:tcW w:w="1134" w:type="dxa"/>
            <w:gridSpan w:val="2"/>
            <w:vAlign w:val="center"/>
          </w:tcPr>
          <w:p w14:paraId="56E8AE98">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课程目标3</w:t>
            </w:r>
          </w:p>
        </w:tc>
        <w:tc>
          <w:tcPr>
            <w:tcW w:w="3260" w:type="dxa"/>
            <w:gridSpan w:val="3"/>
            <w:vAlign w:val="center"/>
          </w:tcPr>
          <w:p w14:paraId="0465B174">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（1）掌握小学生常见的心理障碍分类及基本的甄别方法，并具有简单的干预能力；</w:t>
            </w:r>
          </w:p>
          <w:p w14:paraId="68C41444">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（2）了解各类心理障碍的表现和影响因素，具备基本的心理干预意识。</w:t>
            </w:r>
          </w:p>
        </w:tc>
        <w:tc>
          <w:tcPr>
            <w:tcW w:w="1560" w:type="dxa"/>
            <w:gridSpan w:val="2"/>
            <w:vAlign w:val="center"/>
          </w:tcPr>
          <w:p w14:paraId="2B659090">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210AB29C">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564B10E8">
            <w:pPr>
              <w:spacing w:line="276" w:lineRule="auto"/>
              <w:jc w:val="left"/>
              <w:rPr>
                <w:rFonts w:hint="eastAsia" w:ascii="宋体" w:hAnsi="宋体" w:eastAsia="宋体" w:cs="Times New Roman"/>
                <w:color w:val="000000"/>
                <w:kern w:val="0"/>
                <w:sz w:val="21"/>
                <w:szCs w:val="21"/>
              </w:rPr>
            </w:pPr>
          </w:p>
        </w:tc>
        <w:tc>
          <w:tcPr>
            <w:tcW w:w="438" w:type="dxa"/>
            <w:vAlign w:val="center"/>
          </w:tcPr>
          <w:p w14:paraId="404D0907">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p>
        </w:tc>
      </w:tr>
      <w:tr w14:paraId="357F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8B23B98">
            <w:pPr>
              <w:spacing w:line="276" w:lineRule="auto"/>
              <w:jc w:val="center"/>
              <w:rPr>
                <w:rFonts w:hint="eastAsia" w:ascii="宋体" w:hAnsi="宋体" w:eastAsia="宋体" w:cs="Times New Roman"/>
                <w:color w:val="000000"/>
                <w:kern w:val="0"/>
                <w:sz w:val="21"/>
                <w:szCs w:val="21"/>
              </w:rPr>
            </w:pPr>
          </w:p>
        </w:tc>
        <w:tc>
          <w:tcPr>
            <w:tcW w:w="8093" w:type="dxa"/>
            <w:gridSpan w:val="9"/>
            <w:vAlign w:val="center"/>
          </w:tcPr>
          <w:p w14:paraId="5B78838D">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通过对小学生心理障碍的甄别与干预的学习，形成全面发展的教育观，确立从教信念。</w:t>
            </w:r>
          </w:p>
        </w:tc>
      </w:tr>
      <w:tr w14:paraId="5901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BB2A894">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7小学生游戏辅导</w:t>
            </w:r>
          </w:p>
        </w:tc>
        <w:tc>
          <w:tcPr>
            <w:tcW w:w="1701" w:type="dxa"/>
            <w:vAlign w:val="center"/>
          </w:tcPr>
          <w:p w14:paraId="73510C13">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（1）游戏辅导的意义和主要理论</w:t>
            </w:r>
          </w:p>
          <w:p w14:paraId="70E82F1C">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（2）游戏辅导实施</w:t>
            </w:r>
          </w:p>
          <w:p w14:paraId="1FC7172B">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（3）沙盘游戏辅导</w:t>
            </w:r>
          </w:p>
        </w:tc>
        <w:tc>
          <w:tcPr>
            <w:tcW w:w="1134" w:type="dxa"/>
            <w:gridSpan w:val="2"/>
            <w:vAlign w:val="center"/>
          </w:tcPr>
          <w:p w14:paraId="2435D6D9">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课程目标1、2、3</w:t>
            </w:r>
          </w:p>
        </w:tc>
        <w:tc>
          <w:tcPr>
            <w:tcW w:w="3260" w:type="dxa"/>
            <w:gridSpan w:val="3"/>
            <w:vAlign w:val="center"/>
          </w:tcPr>
          <w:p w14:paraId="5F188493">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（1）了解游戏辅导的意义和主要的游戏辅导理论，掌握游戏辅导的涵义和分类；</w:t>
            </w:r>
          </w:p>
          <w:p w14:paraId="387639EC">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（2）掌握几种主要的心理游戏辅导活动，能进行游戏设计和实施。</w:t>
            </w:r>
          </w:p>
        </w:tc>
        <w:tc>
          <w:tcPr>
            <w:tcW w:w="1560" w:type="dxa"/>
            <w:gridSpan w:val="2"/>
            <w:vAlign w:val="center"/>
          </w:tcPr>
          <w:p w14:paraId="1015EF44">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18219F89">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31E2B537">
            <w:pPr>
              <w:spacing w:line="276"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4.</w:t>
            </w:r>
            <w:r>
              <w:rPr>
                <w:rFonts w:hint="eastAsia" w:ascii="宋体" w:hAnsi="宋体" w:eastAsia="宋体" w:cs="Times New Roman"/>
                <w:color w:val="000000"/>
                <w:kern w:val="0"/>
                <w:sz w:val="21"/>
                <w:szCs w:val="21"/>
              </w:rPr>
              <w:t>课内实践</w:t>
            </w:r>
          </w:p>
        </w:tc>
        <w:tc>
          <w:tcPr>
            <w:tcW w:w="438" w:type="dxa"/>
            <w:vAlign w:val="center"/>
          </w:tcPr>
          <w:p w14:paraId="19B16057">
            <w:pPr>
              <w:spacing w:line="276"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w:t>
            </w:r>
          </w:p>
        </w:tc>
      </w:tr>
      <w:tr w14:paraId="5634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9A2DA0">
            <w:pPr>
              <w:spacing w:line="276" w:lineRule="auto"/>
              <w:jc w:val="center"/>
              <w:rPr>
                <w:rFonts w:hint="eastAsia" w:ascii="宋体" w:hAnsi="宋体" w:eastAsia="宋体" w:cs="Times New Roman"/>
                <w:color w:val="000000"/>
                <w:kern w:val="0"/>
                <w:sz w:val="21"/>
                <w:szCs w:val="21"/>
              </w:rPr>
            </w:pPr>
          </w:p>
        </w:tc>
        <w:tc>
          <w:tcPr>
            <w:tcW w:w="8093" w:type="dxa"/>
            <w:gridSpan w:val="9"/>
            <w:vAlign w:val="center"/>
          </w:tcPr>
          <w:p w14:paraId="55282EE3">
            <w:pPr>
              <w:spacing w:line="276"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了解小学生游戏辅导，用发展眼光看待学生的发展潜能。</w:t>
            </w:r>
          </w:p>
        </w:tc>
      </w:tr>
      <w:tr w14:paraId="5DFA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A4CB6DA">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8.</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小学生心理剧辅导</w:t>
            </w:r>
          </w:p>
        </w:tc>
        <w:tc>
          <w:tcPr>
            <w:tcW w:w="1701" w:type="dxa"/>
            <w:vAlign w:val="center"/>
          </w:tcPr>
          <w:p w14:paraId="087970A6">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（1）心理剧辅导的概述</w:t>
            </w:r>
          </w:p>
          <w:p w14:paraId="323FCF52">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（2）小学生心理剧辅导的理论</w:t>
            </w:r>
          </w:p>
          <w:p w14:paraId="6FA6BA06">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（3）小学生心理剧辅导的组织与实施</w:t>
            </w:r>
          </w:p>
        </w:tc>
        <w:tc>
          <w:tcPr>
            <w:tcW w:w="1134" w:type="dxa"/>
            <w:gridSpan w:val="2"/>
            <w:vAlign w:val="center"/>
          </w:tcPr>
          <w:p w14:paraId="2A60EF23">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课程目标1、3、4</w:t>
            </w:r>
          </w:p>
        </w:tc>
        <w:tc>
          <w:tcPr>
            <w:tcW w:w="3260" w:type="dxa"/>
            <w:gridSpan w:val="3"/>
            <w:vAlign w:val="center"/>
          </w:tcPr>
          <w:p w14:paraId="63514E17">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（1）了解小学生心理剧辅导的理论，理解心理剧辅导的涵义和类型；</w:t>
            </w:r>
          </w:p>
          <w:p w14:paraId="110D67E5">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（2）掌握小学生心理剧辅导的组织和实施过程，能在团队活动中组织开展心理剧活动。</w:t>
            </w:r>
          </w:p>
        </w:tc>
        <w:tc>
          <w:tcPr>
            <w:tcW w:w="1560" w:type="dxa"/>
            <w:gridSpan w:val="2"/>
            <w:vAlign w:val="center"/>
          </w:tcPr>
          <w:p w14:paraId="4E6E4676">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61619B27">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267DA369">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4.</w:t>
            </w:r>
            <w:r>
              <w:rPr>
                <w:rFonts w:hint="eastAsia" w:ascii="宋体" w:hAnsi="宋体" w:eastAsia="宋体" w:cs="Times New Roman"/>
                <w:color w:val="000000"/>
                <w:kern w:val="0"/>
                <w:sz w:val="21"/>
                <w:szCs w:val="21"/>
              </w:rPr>
              <w:t>课内实践</w:t>
            </w:r>
          </w:p>
        </w:tc>
        <w:tc>
          <w:tcPr>
            <w:tcW w:w="438" w:type="dxa"/>
            <w:vAlign w:val="center"/>
          </w:tcPr>
          <w:p w14:paraId="5483E1A1">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w:t>
            </w:r>
          </w:p>
        </w:tc>
      </w:tr>
      <w:tr w14:paraId="1E97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F1628E">
            <w:pPr>
              <w:spacing w:line="264" w:lineRule="auto"/>
              <w:jc w:val="center"/>
              <w:rPr>
                <w:rFonts w:hint="eastAsia" w:ascii="宋体" w:hAnsi="宋体" w:eastAsia="宋体" w:cs="Times New Roman"/>
                <w:color w:val="000000"/>
                <w:kern w:val="0"/>
                <w:sz w:val="21"/>
                <w:szCs w:val="21"/>
              </w:rPr>
            </w:pPr>
          </w:p>
        </w:tc>
        <w:tc>
          <w:tcPr>
            <w:tcW w:w="8093" w:type="dxa"/>
            <w:gridSpan w:val="9"/>
            <w:vAlign w:val="center"/>
          </w:tcPr>
          <w:p w14:paraId="26702F23">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color w:val="000000"/>
                <w:kern w:val="0"/>
                <w:sz w:val="21"/>
                <w:szCs w:val="21"/>
              </w:rPr>
              <w:t>鼓励用积极关注方法来展示小学生心理辅导。</w:t>
            </w:r>
          </w:p>
        </w:tc>
      </w:tr>
      <w:tr w14:paraId="6D71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67582B">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9.</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小学生图文作品辅导</w:t>
            </w:r>
          </w:p>
        </w:tc>
        <w:tc>
          <w:tcPr>
            <w:tcW w:w="1701" w:type="dxa"/>
            <w:vAlign w:val="center"/>
          </w:tcPr>
          <w:p w14:paraId="1240A8E9">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（1）图文作品辅导的概述</w:t>
            </w:r>
          </w:p>
          <w:p w14:paraId="37B973DD">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（2）小学生绘画心理辅导</w:t>
            </w:r>
          </w:p>
          <w:p w14:paraId="3B49B5C1">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（3）小学生写作心理辅导</w:t>
            </w:r>
          </w:p>
          <w:p w14:paraId="2098A7AD">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（4）小学生阅读心理辅导</w:t>
            </w:r>
          </w:p>
        </w:tc>
        <w:tc>
          <w:tcPr>
            <w:tcW w:w="1134" w:type="dxa"/>
            <w:gridSpan w:val="2"/>
            <w:vAlign w:val="center"/>
          </w:tcPr>
          <w:p w14:paraId="5A55747E">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课程目标3</w:t>
            </w:r>
          </w:p>
        </w:tc>
        <w:tc>
          <w:tcPr>
            <w:tcW w:w="3260" w:type="dxa"/>
            <w:gridSpan w:val="3"/>
            <w:vAlign w:val="center"/>
          </w:tcPr>
          <w:p w14:paraId="5604C7A8">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（1）了解小学生图文作品辅导的理论基础，掌握图文作品辅导的范围；</w:t>
            </w:r>
          </w:p>
          <w:p w14:paraId="5DA75DEC">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（2）能结合小学生的心理特点开展小学生的绘画、写作和阅读心理辅导。</w:t>
            </w:r>
          </w:p>
        </w:tc>
        <w:tc>
          <w:tcPr>
            <w:tcW w:w="1560" w:type="dxa"/>
            <w:gridSpan w:val="2"/>
            <w:vAlign w:val="center"/>
          </w:tcPr>
          <w:p w14:paraId="0F44D42E">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6607274B">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020890CC">
            <w:pPr>
              <w:spacing w:line="264" w:lineRule="auto"/>
              <w:jc w:val="left"/>
              <w:rPr>
                <w:rFonts w:hint="eastAsia" w:ascii="宋体" w:hAnsi="宋体" w:eastAsia="宋体" w:cs="Times New Roman"/>
                <w:color w:val="000000"/>
                <w:kern w:val="0"/>
                <w:sz w:val="21"/>
                <w:szCs w:val="21"/>
              </w:rPr>
            </w:pPr>
          </w:p>
        </w:tc>
        <w:tc>
          <w:tcPr>
            <w:tcW w:w="438" w:type="dxa"/>
            <w:vAlign w:val="center"/>
          </w:tcPr>
          <w:p w14:paraId="456E1CB3">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p>
        </w:tc>
      </w:tr>
      <w:tr w14:paraId="6496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553D3F2">
            <w:pPr>
              <w:spacing w:line="264" w:lineRule="auto"/>
              <w:jc w:val="center"/>
              <w:rPr>
                <w:rFonts w:hint="eastAsia" w:ascii="宋体" w:hAnsi="宋体" w:eastAsia="宋体" w:cs="Times New Roman"/>
                <w:color w:val="000000"/>
                <w:kern w:val="0"/>
                <w:sz w:val="21"/>
                <w:szCs w:val="21"/>
              </w:rPr>
            </w:pPr>
          </w:p>
        </w:tc>
        <w:tc>
          <w:tcPr>
            <w:tcW w:w="8093" w:type="dxa"/>
            <w:gridSpan w:val="9"/>
            <w:vAlign w:val="center"/>
          </w:tcPr>
          <w:p w14:paraId="3AAAAE6E">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bCs/>
                <w:color w:val="000000"/>
                <w:kern w:val="0"/>
                <w:sz w:val="21"/>
                <w:szCs w:val="21"/>
              </w:rPr>
              <w:t>树立正确的教师观、学生观并用发展的视角看待学生。</w:t>
            </w:r>
          </w:p>
        </w:tc>
      </w:tr>
      <w:tr w14:paraId="15D1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6D70ECB">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10.</w:t>
            </w:r>
            <w:r>
              <w:rPr>
                <w:rFonts w:hint="eastAsia" w:ascii="Times New Roman" w:hAnsi="Times New Roman" w:eastAsia="宋体" w:cs="Times New Roman"/>
                <w:kern w:val="0"/>
                <w:sz w:val="21"/>
                <w:szCs w:val="21"/>
              </w:rPr>
              <w:t xml:space="preserve"> </w:t>
            </w:r>
            <w:r>
              <w:rPr>
                <w:rFonts w:hint="eastAsia" w:ascii="宋体" w:hAnsi="宋体" w:eastAsia="宋体" w:cs="Times New Roman"/>
                <w:color w:val="000000"/>
                <w:kern w:val="0"/>
                <w:sz w:val="21"/>
                <w:szCs w:val="21"/>
              </w:rPr>
              <w:t>小学班级心理辅导活动课设计</w:t>
            </w:r>
          </w:p>
        </w:tc>
        <w:tc>
          <w:tcPr>
            <w:tcW w:w="1701" w:type="dxa"/>
            <w:vAlign w:val="center"/>
          </w:tcPr>
          <w:p w14:paraId="3E553F55">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（1）小学班级心理辅导活动课概述</w:t>
            </w:r>
          </w:p>
          <w:p w14:paraId="35E4E27D">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（2）小学班级心理辅导活动课设计</w:t>
            </w:r>
          </w:p>
          <w:p w14:paraId="08083413">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（3）小学班级心理辅导活动课的实施与评价</w:t>
            </w:r>
          </w:p>
        </w:tc>
        <w:tc>
          <w:tcPr>
            <w:tcW w:w="1134" w:type="dxa"/>
            <w:gridSpan w:val="2"/>
            <w:vAlign w:val="center"/>
          </w:tcPr>
          <w:p w14:paraId="7FF0BE39">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课程目标2、3</w:t>
            </w:r>
          </w:p>
          <w:p w14:paraId="1F691BD1">
            <w:pPr>
              <w:spacing w:line="264" w:lineRule="auto"/>
              <w:jc w:val="center"/>
              <w:rPr>
                <w:rFonts w:hint="eastAsia" w:ascii="宋体" w:hAnsi="宋体" w:eastAsia="宋体" w:cs="Times New Roman"/>
                <w:color w:val="000000"/>
                <w:kern w:val="0"/>
                <w:sz w:val="21"/>
                <w:szCs w:val="21"/>
              </w:rPr>
            </w:pPr>
          </w:p>
        </w:tc>
        <w:tc>
          <w:tcPr>
            <w:tcW w:w="3260" w:type="dxa"/>
            <w:gridSpan w:val="3"/>
            <w:vAlign w:val="center"/>
          </w:tcPr>
          <w:p w14:paraId="5AC3E6D0">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（1）理解小学生班级心理辅导活动课的适用范围，掌握小学班级心理辅导活动课的开展要素；</w:t>
            </w:r>
          </w:p>
          <w:p w14:paraId="00182734">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（2）会进行小学班级心理活动课的设计，并能开展实施，也能对小学班级心理活动课的开展情况进行合理评价。</w:t>
            </w:r>
          </w:p>
        </w:tc>
        <w:tc>
          <w:tcPr>
            <w:tcW w:w="1560" w:type="dxa"/>
            <w:gridSpan w:val="2"/>
            <w:vAlign w:val="center"/>
          </w:tcPr>
          <w:p w14:paraId="4ED98596">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1.线上学习</w:t>
            </w:r>
          </w:p>
          <w:p w14:paraId="6AFB1AC4">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2.多媒体教学3.课堂讨论</w:t>
            </w:r>
          </w:p>
          <w:p w14:paraId="66886138">
            <w:pPr>
              <w:spacing w:line="264" w:lineRule="auto"/>
              <w:jc w:val="left"/>
              <w:rPr>
                <w:rFonts w:hint="eastAsia" w:ascii="宋体" w:hAnsi="宋体" w:eastAsia="宋体" w:cs="Times New Roman"/>
                <w:color w:val="000000"/>
                <w:kern w:val="0"/>
                <w:sz w:val="21"/>
                <w:szCs w:val="21"/>
              </w:rPr>
            </w:pPr>
            <w:r>
              <w:rPr>
                <w:rFonts w:ascii="宋体" w:hAnsi="宋体" w:eastAsia="宋体" w:cs="Times New Roman"/>
                <w:color w:val="000000"/>
                <w:kern w:val="0"/>
                <w:sz w:val="21"/>
                <w:szCs w:val="21"/>
              </w:rPr>
              <w:t>4.</w:t>
            </w:r>
            <w:r>
              <w:rPr>
                <w:rFonts w:hint="eastAsia" w:ascii="宋体" w:hAnsi="宋体" w:eastAsia="宋体" w:cs="Times New Roman"/>
                <w:color w:val="000000"/>
                <w:kern w:val="0"/>
                <w:sz w:val="21"/>
                <w:szCs w:val="21"/>
              </w:rPr>
              <w:t>课内实践</w:t>
            </w:r>
          </w:p>
        </w:tc>
        <w:tc>
          <w:tcPr>
            <w:tcW w:w="438" w:type="dxa"/>
            <w:vAlign w:val="center"/>
          </w:tcPr>
          <w:p w14:paraId="7B7FED8A">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w:t>
            </w:r>
          </w:p>
        </w:tc>
      </w:tr>
      <w:tr w14:paraId="725C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F15358">
            <w:pPr>
              <w:spacing w:line="264" w:lineRule="auto"/>
              <w:jc w:val="center"/>
              <w:rPr>
                <w:rFonts w:hint="eastAsia" w:ascii="宋体" w:hAnsi="宋体" w:eastAsia="宋体" w:cs="Times New Roman"/>
                <w:color w:val="000000"/>
                <w:kern w:val="0"/>
                <w:sz w:val="21"/>
                <w:szCs w:val="21"/>
              </w:rPr>
            </w:pPr>
          </w:p>
        </w:tc>
        <w:tc>
          <w:tcPr>
            <w:tcW w:w="8093" w:type="dxa"/>
            <w:gridSpan w:val="9"/>
            <w:vAlign w:val="center"/>
          </w:tcPr>
          <w:p w14:paraId="7840864A">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bCs/>
                <w:color w:val="000000"/>
                <w:kern w:val="0"/>
                <w:sz w:val="21"/>
                <w:szCs w:val="21"/>
              </w:rPr>
              <w:t>通过对小学生班级心理辅导活动设计，将思想政治教育与心理健康教育有机融合，引导小学生树立正确的世界观、人生观、价值观，培养他们良好的道德品质、社会责任感、爱国情怀和集体主义精神。</w:t>
            </w:r>
          </w:p>
        </w:tc>
      </w:tr>
      <w:tr w14:paraId="0C00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restart"/>
            <w:vAlign w:val="center"/>
          </w:tcPr>
          <w:p w14:paraId="7698C3C2">
            <w:pPr>
              <w:spacing w:line="264" w:lineRule="auto"/>
              <w:jc w:val="center"/>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11. 小学生心理辅导的工作开展</w:t>
            </w:r>
          </w:p>
        </w:tc>
        <w:tc>
          <w:tcPr>
            <w:tcW w:w="1767" w:type="dxa"/>
            <w:gridSpan w:val="2"/>
            <w:vAlign w:val="center"/>
          </w:tcPr>
          <w:p w14:paraId="0B75CF07">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（1）小学生心理辅导的基本格局</w:t>
            </w:r>
          </w:p>
          <w:p w14:paraId="4013B415">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（2）小学生心理辅导教师的道德素养与专业素养</w:t>
            </w:r>
          </w:p>
          <w:p w14:paraId="2F046F8C">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（3）小学生心理辅导室的创建</w:t>
            </w:r>
          </w:p>
          <w:p w14:paraId="1DB1215B">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（4）小学生心理辅导档案的管理</w:t>
            </w:r>
          </w:p>
          <w:p w14:paraId="56644B5C">
            <w:pPr>
              <w:spacing w:line="264" w:lineRule="auto"/>
              <w:jc w:val="left"/>
              <w:rPr>
                <w:rFonts w:hint="eastAsia" w:ascii="宋体" w:hAnsi="宋体" w:eastAsia="宋体" w:cs="Times New Roman"/>
                <w:b/>
                <w:color w:val="000000"/>
                <w:kern w:val="0"/>
                <w:sz w:val="21"/>
                <w:szCs w:val="21"/>
              </w:rPr>
            </w:pPr>
            <w:r>
              <w:rPr>
                <w:rFonts w:hint="eastAsia" w:ascii="宋体" w:hAnsi="宋体" w:eastAsia="宋体" w:cs="Times New Roman"/>
                <w:color w:val="000000"/>
                <w:kern w:val="0"/>
                <w:sz w:val="21"/>
                <w:szCs w:val="21"/>
              </w:rPr>
              <w:t>（5）关于全员参与小学生心理辅导教育的展望</w:t>
            </w:r>
          </w:p>
        </w:tc>
        <w:tc>
          <w:tcPr>
            <w:tcW w:w="1134" w:type="dxa"/>
            <w:gridSpan w:val="2"/>
            <w:vAlign w:val="center"/>
          </w:tcPr>
          <w:p w14:paraId="5F0243FE">
            <w:pPr>
              <w:spacing w:line="264" w:lineRule="auto"/>
              <w:jc w:val="center"/>
              <w:rPr>
                <w:rFonts w:hint="eastAsia" w:ascii="宋体" w:hAnsi="宋体" w:eastAsia="宋体" w:cs="Times New Roman"/>
                <w:b/>
                <w:color w:val="000000"/>
                <w:kern w:val="0"/>
                <w:sz w:val="21"/>
                <w:szCs w:val="21"/>
              </w:rPr>
            </w:pPr>
            <w:r>
              <w:rPr>
                <w:rFonts w:hint="eastAsia" w:ascii="宋体" w:hAnsi="宋体" w:eastAsia="宋体" w:cs="Times New Roman"/>
                <w:color w:val="000000"/>
                <w:kern w:val="0"/>
                <w:sz w:val="21"/>
                <w:szCs w:val="21"/>
              </w:rPr>
              <w:t>课程目标2、3、4</w:t>
            </w:r>
          </w:p>
        </w:tc>
        <w:tc>
          <w:tcPr>
            <w:tcW w:w="3168" w:type="dxa"/>
            <w:vAlign w:val="center"/>
          </w:tcPr>
          <w:p w14:paraId="0B9DD762">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（1）了解小学生心理辅导教育的发展前景，知道小学生心理辅导的基本格局，掌握小学生心理辅导的教师的专业素养；</w:t>
            </w:r>
          </w:p>
          <w:p w14:paraId="22FDCED8">
            <w:pPr>
              <w:spacing w:line="264" w:lineRule="auto"/>
              <w:jc w:val="left"/>
              <w:rPr>
                <w:rFonts w:hint="eastAsia" w:ascii="宋体" w:hAnsi="宋体" w:eastAsia="宋体" w:cs="Times New Roman"/>
                <w:b/>
                <w:color w:val="000000"/>
                <w:kern w:val="0"/>
                <w:sz w:val="21"/>
                <w:szCs w:val="21"/>
              </w:rPr>
            </w:pPr>
            <w:r>
              <w:rPr>
                <w:rFonts w:hint="eastAsia" w:ascii="宋体" w:hAnsi="宋体" w:eastAsia="宋体" w:cs="Times New Roman"/>
                <w:color w:val="000000"/>
                <w:kern w:val="0"/>
                <w:sz w:val="21"/>
                <w:szCs w:val="21"/>
              </w:rPr>
              <w:t>（2）学会创建小学生心理辅导室，掌握小学生心理辅导档案的建立和管理方法。</w:t>
            </w:r>
          </w:p>
        </w:tc>
        <w:tc>
          <w:tcPr>
            <w:tcW w:w="1510" w:type="dxa"/>
            <w:gridSpan w:val="2"/>
            <w:vAlign w:val="center"/>
          </w:tcPr>
          <w:p w14:paraId="136CB179">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1.线上学习</w:t>
            </w:r>
          </w:p>
          <w:p w14:paraId="559F0048">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2.多媒体教学3.课堂讨论</w:t>
            </w:r>
          </w:p>
          <w:p w14:paraId="0CBDA671">
            <w:pPr>
              <w:spacing w:line="264" w:lineRule="auto"/>
              <w:jc w:val="left"/>
              <w:rPr>
                <w:rFonts w:hint="eastAsia" w:ascii="宋体" w:hAnsi="宋体" w:eastAsia="宋体" w:cs="Times New Roman"/>
                <w:color w:val="000000"/>
                <w:kern w:val="0"/>
                <w:sz w:val="21"/>
                <w:szCs w:val="21"/>
              </w:rPr>
            </w:pPr>
            <w:r>
              <w:rPr>
                <w:rFonts w:hint="eastAsia" w:ascii="宋体" w:hAnsi="宋体" w:eastAsia="宋体" w:cs="Times New Roman"/>
                <w:color w:val="000000"/>
                <w:kern w:val="0"/>
                <w:sz w:val="21"/>
                <w:szCs w:val="21"/>
              </w:rPr>
              <w:t>4.课内实践</w:t>
            </w:r>
          </w:p>
        </w:tc>
        <w:tc>
          <w:tcPr>
            <w:tcW w:w="514" w:type="dxa"/>
            <w:gridSpan w:val="2"/>
            <w:vAlign w:val="center"/>
          </w:tcPr>
          <w:p w14:paraId="47943FFF">
            <w:pPr>
              <w:spacing w:line="264" w:lineRule="auto"/>
              <w:jc w:val="left"/>
              <w:rPr>
                <w:rFonts w:hint="eastAsia"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2</w:t>
            </w:r>
          </w:p>
        </w:tc>
      </w:tr>
      <w:tr w14:paraId="759B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205" w:type="dxa"/>
            <w:vMerge w:val="continue"/>
            <w:vAlign w:val="center"/>
          </w:tcPr>
          <w:p w14:paraId="55BC319A">
            <w:pPr>
              <w:spacing w:line="264" w:lineRule="auto"/>
              <w:jc w:val="center"/>
              <w:rPr>
                <w:rFonts w:hint="eastAsia" w:ascii="宋体" w:hAnsi="宋体" w:eastAsia="宋体" w:cs="Times New Roman"/>
                <w:color w:val="000000"/>
                <w:kern w:val="0"/>
                <w:sz w:val="21"/>
                <w:szCs w:val="21"/>
              </w:rPr>
            </w:pPr>
          </w:p>
        </w:tc>
        <w:tc>
          <w:tcPr>
            <w:tcW w:w="8093" w:type="dxa"/>
            <w:gridSpan w:val="9"/>
            <w:vAlign w:val="center"/>
          </w:tcPr>
          <w:p w14:paraId="43394BEB">
            <w:pPr>
              <w:spacing w:line="264" w:lineRule="auto"/>
              <w:jc w:val="left"/>
              <w:rPr>
                <w:rFonts w:hint="eastAsia"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课程思政目标：</w:t>
            </w:r>
            <w:r>
              <w:rPr>
                <w:rFonts w:hint="eastAsia" w:ascii="宋体" w:hAnsi="宋体" w:eastAsia="宋体" w:cs="Times New Roman"/>
                <w:bCs/>
                <w:color w:val="000000"/>
                <w:kern w:val="0"/>
                <w:sz w:val="21"/>
                <w:szCs w:val="21"/>
              </w:rPr>
              <w:t>通过多形式开展心理健康活动，培养学生教师道德和专业素养，力争成为四有好教师。</w:t>
            </w:r>
          </w:p>
        </w:tc>
      </w:tr>
    </w:tbl>
    <w:p w14:paraId="1FB3FE60">
      <w:pPr>
        <w:spacing w:line="360" w:lineRule="auto"/>
        <w:jc w:val="left"/>
        <w:rPr>
          <w:rFonts w:hint="eastAsia" w:ascii="宋体" w:hAnsi="宋体" w:eastAsia="宋体" w:cs="Times New Roman"/>
          <w:b/>
          <w:color w:val="000000"/>
          <w:sz w:val="24"/>
          <w:szCs w:val="24"/>
        </w:rPr>
      </w:pPr>
    </w:p>
    <w:p w14:paraId="42BDEB5D">
      <w:pPr>
        <w:spacing w:line="360" w:lineRule="auto"/>
        <w:jc w:val="left"/>
        <w:outlineLvl w:val="0"/>
        <w:rPr>
          <w:rFonts w:ascii="Times New Roman" w:hAnsi="Times New Roman" w:eastAsia="宋体" w:cs="Times New Roman"/>
          <w:sz w:val="24"/>
          <w:szCs w:val="24"/>
        </w:rPr>
      </w:pPr>
      <w:bookmarkStart w:id="1422" w:name="_Toc12418"/>
      <w:bookmarkStart w:id="1423" w:name="_Toc28418"/>
      <w:bookmarkStart w:id="1424" w:name="_Toc12910"/>
      <w:bookmarkStart w:id="1425" w:name="_Toc31259"/>
      <w:bookmarkStart w:id="1426" w:name="_Toc9654"/>
      <w:bookmarkStart w:id="1427" w:name="_Toc8621"/>
      <w:bookmarkStart w:id="1428" w:name="_Toc11926"/>
      <w:r>
        <w:rPr>
          <w:rFonts w:hint="eastAsia" w:ascii="宋体" w:hAnsi="宋体" w:eastAsia="宋体" w:cs="Times New Roman"/>
          <w:b/>
          <w:color w:val="000000"/>
          <w:sz w:val="24"/>
          <w:szCs w:val="24"/>
        </w:rPr>
        <w:t>四、目标评价与成绩评定</w:t>
      </w:r>
      <w:bookmarkEnd w:id="1422"/>
      <w:bookmarkEnd w:id="1423"/>
      <w:bookmarkEnd w:id="1424"/>
      <w:bookmarkEnd w:id="1425"/>
      <w:bookmarkEnd w:id="1426"/>
      <w:bookmarkEnd w:id="1427"/>
      <w:bookmarkEnd w:id="1428"/>
    </w:p>
    <w:p w14:paraId="2E29BD68">
      <w:pPr>
        <w:spacing w:line="360" w:lineRule="auto"/>
        <w:jc w:val="left"/>
        <w:outlineLvl w:val="1"/>
        <w:rPr>
          <w:rFonts w:ascii="Times New Roman" w:hAnsi="Times New Roman" w:eastAsia="宋体" w:cs="Times New Roman"/>
          <w:b/>
          <w:szCs w:val="21"/>
        </w:rPr>
      </w:pPr>
      <w:bookmarkStart w:id="1429" w:name="_Toc20809"/>
      <w:r>
        <w:rPr>
          <w:rFonts w:hint="eastAsia" w:ascii="Times New Roman" w:hAnsi="Times New Roman" w:eastAsia="宋体" w:cs="Times New Roman"/>
          <w:b/>
          <w:szCs w:val="21"/>
        </w:rPr>
        <w:t>（一）课程目标评价方式</w:t>
      </w:r>
      <w:bookmarkEnd w:id="1429"/>
    </w:p>
    <w:p w14:paraId="615D925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223956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97"/>
        <w:gridCol w:w="1134"/>
        <w:gridCol w:w="1134"/>
        <w:gridCol w:w="1560"/>
        <w:gridCol w:w="1417"/>
        <w:gridCol w:w="851"/>
      </w:tblGrid>
      <w:tr w14:paraId="0C47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4CA6C3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342" w:type="dxa"/>
            <w:gridSpan w:val="5"/>
            <w:vAlign w:val="center"/>
          </w:tcPr>
          <w:p w14:paraId="04B2A23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851" w:type="dxa"/>
            <w:vMerge w:val="restart"/>
            <w:vAlign w:val="center"/>
          </w:tcPr>
          <w:p w14:paraId="7D369B2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250C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D667C3B">
            <w:pPr>
              <w:spacing w:line="360" w:lineRule="auto"/>
              <w:jc w:val="center"/>
              <w:rPr>
                <w:rFonts w:hint="eastAsia" w:ascii="宋体" w:hAnsi="宋体" w:eastAsia="宋体" w:cs="Times New Roman"/>
                <w:kern w:val="0"/>
                <w:sz w:val="20"/>
                <w:szCs w:val="21"/>
              </w:rPr>
            </w:pPr>
          </w:p>
        </w:tc>
        <w:tc>
          <w:tcPr>
            <w:tcW w:w="1097" w:type="dxa"/>
            <w:vAlign w:val="center"/>
          </w:tcPr>
          <w:p w14:paraId="3BF8DD2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134" w:type="dxa"/>
            <w:vAlign w:val="center"/>
          </w:tcPr>
          <w:p w14:paraId="3E311F0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134" w:type="dxa"/>
            <w:vAlign w:val="center"/>
          </w:tcPr>
          <w:p w14:paraId="70D8B7D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课内实践</w:t>
            </w:r>
          </w:p>
        </w:tc>
        <w:tc>
          <w:tcPr>
            <w:tcW w:w="1560" w:type="dxa"/>
            <w:vAlign w:val="center"/>
          </w:tcPr>
          <w:p w14:paraId="253C0E0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417" w:type="dxa"/>
          </w:tcPr>
          <w:p w14:paraId="62A4061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自主学习</w:t>
            </w:r>
          </w:p>
        </w:tc>
        <w:tc>
          <w:tcPr>
            <w:tcW w:w="851" w:type="dxa"/>
            <w:vMerge w:val="continue"/>
            <w:vAlign w:val="center"/>
          </w:tcPr>
          <w:p w14:paraId="61AE725B">
            <w:pPr>
              <w:spacing w:line="360" w:lineRule="auto"/>
              <w:jc w:val="center"/>
              <w:rPr>
                <w:rFonts w:hint="eastAsia" w:ascii="宋体" w:hAnsi="宋体" w:eastAsia="宋体" w:cs="Times New Roman"/>
                <w:kern w:val="0"/>
                <w:sz w:val="20"/>
                <w:szCs w:val="21"/>
              </w:rPr>
            </w:pPr>
          </w:p>
        </w:tc>
      </w:tr>
      <w:tr w14:paraId="2C38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8BD8F1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097" w:type="dxa"/>
            <w:vAlign w:val="center"/>
          </w:tcPr>
          <w:p w14:paraId="7267CFD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4318A6A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325A8927">
            <w:pPr>
              <w:spacing w:line="360" w:lineRule="auto"/>
              <w:jc w:val="center"/>
              <w:rPr>
                <w:rFonts w:hint="eastAsia" w:ascii="宋体" w:hAnsi="宋体" w:eastAsia="宋体" w:cs="Times New Roman"/>
                <w:kern w:val="0"/>
                <w:sz w:val="20"/>
                <w:szCs w:val="21"/>
              </w:rPr>
            </w:pPr>
          </w:p>
        </w:tc>
        <w:tc>
          <w:tcPr>
            <w:tcW w:w="1560" w:type="dxa"/>
            <w:vAlign w:val="center"/>
          </w:tcPr>
          <w:p w14:paraId="5468B37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1DFBA0CA">
            <w:pPr>
              <w:spacing w:line="360" w:lineRule="auto"/>
              <w:jc w:val="center"/>
              <w:rPr>
                <w:rFonts w:hint="eastAsia" w:ascii="宋体" w:hAnsi="宋体" w:eastAsia="宋体" w:cs="Times New Roman"/>
                <w:kern w:val="0"/>
                <w:sz w:val="20"/>
                <w:szCs w:val="21"/>
              </w:rPr>
            </w:pPr>
          </w:p>
        </w:tc>
        <w:tc>
          <w:tcPr>
            <w:tcW w:w="851" w:type="dxa"/>
            <w:vAlign w:val="center"/>
          </w:tcPr>
          <w:p w14:paraId="31513D1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768F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805CAC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097" w:type="dxa"/>
            <w:vAlign w:val="center"/>
          </w:tcPr>
          <w:p w14:paraId="6FECFC0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4CF36A26">
            <w:pPr>
              <w:spacing w:line="360" w:lineRule="auto"/>
              <w:jc w:val="center"/>
              <w:rPr>
                <w:rFonts w:hint="eastAsia" w:ascii="宋体" w:hAnsi="宋体" w:eastAsia="宋体" w:cs="Times New Roman"/>
                <w:kern w:val="0"/>
                <w:sz w:val="20"/>
                <w:szCs w:val="21"/>
              </w:rPr>
            </w:pPr>
          </w:p>
        </w:tc>
        <w:tc>
          <w:tcPr>
            <w:tcW w:w="1134" w:type="dxa"/>
            <w:vAlign w:val="center"/>
          </w:tcPr>
          <w:p w14:paraId="016B876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r>
              <w:rPr>
                <w:rFonts w:ascii="宋体" w:hAnsi="宋体" w:eastAsia="宋体" w:cs="Times New Roman"/>
                <w:kern w:val="0"/>
                <w:sz w:val="20"/>
                <w:szCs w:val="21"/>
              </w:rPr>
              <w:t></w:t>
            </w:r>
          </w:p>
        </w:tc>
        <w:tc>
          <w:tcPr>
            <w:tcW w:w="1560" w:type="dxa"/>
            <w:vAlign w:val="center"/>
          </w:tcPr>
          <w:p w14:paraId="35B23F6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54434B1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851" w:type="dxa"/>
            <w:vAlign w:val="center"/>
          </w:tcPr>
          <w:p w14:paraId="5EE9909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1B85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B3E955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097" w:type="dxa"/>
            <w:vAlign w:val="center"/>
          </w:tcPr>
          <w:p w14:paraId="2CE0C18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0CD163CB">
            <w:pPr>
              <w:spacing w:line="360" w:lineRule="auto"/>
              <w:jc w:val="center"/>
              <w:rPr>
                <w:rFonts w:hint="eastAsia" w:ascii="宋体" w:hAnsi="宋体" w:eastAsia="宋体" w:cs="Times New Roman"/>
                <w:kern w:val="0"/>
                <w:sz w:val="20"/>
                <w:szCs w:val="21"/>
              </w:rPr>
            </w:pPr>
          </w:p>
        </w:tc>
        <w:tc>
          <w:tcPr>
            <w:tcW w:w="1134" w:type="dxa"/>
            <w:vAlign w:val="center"/>
          </w:tcPr>
          <w:p w14:paraId="7D1AEE2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60" w:type="dxa"/>
            <w:vAlign w:val="center"/>
          </w:tcPr>
          <w:p w14:paraId="7823EB7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6334219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851" w:type="dxa"/>
            <w:vAlign w:val="center"/>
          </w:tcPr>
          <w:p w14:paraId="0FF79E8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6460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BE270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097" w:type="dxa"/>
            <w:vAlign w:val="center"/>
          </w:tcPr>
          <w:p w14:paraId="68A46C9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8212DDB">
            <w:pPr>
              <w:spacing w:line="360" w:lineRule="auto"/>
              <w:jc w:val="center"/>
              <w:rPr>
                <w:rFonts w:hint="eastAsia" w:ascii="宋体" w:hAnsi="宋体" w:eastAsia="宋体" w:cs="Times New Roman"/>
                <w:kern w:val="0"/>
                <w:sz w:val="20"/>
                <w:szCs w:val="21"/>
              </w:rPr>
            </w:pPr>
          </w:p>
        </w:tc>
        <w:tc>
          <w:tcPr>
            <w:tcW w:w="1134" w:type="dxa"/>
            <w:vAlign w:val="center"/>
          </w:tcPr>
          <w:p w14:paraId="7C11AA3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60" w:type="dxa"/>
            <w:vAlign w:val="center"/>
          </w:tcPr>
          <w:p w14:paraId="7A14E6E3">
            <w:pPr>
              <w:spacing w:line="360" w:lineRule="auto"/>
              <w:jc w:val="center"/>
              <w:rPr>
                <w:rFonts w:hint="eastAsia" w:ascii="宋体" w:hAnsi="宋体" w:eastAsia="宋体" w:cs="Times New Roman"/>
                <w:kern w:val="0"/>
                <w:sz w:val="20"/>
                <w:szCs w:val="21"/>
              </w:rPr>
            </w:pPr>
          </w:p>
        </w:tc>
        <w:tc>
          <w:tcPr>
            <w:tcW w:w="1417" w:type="dxa"/>
          </w:tcPr>
          <w:p w14:paraId="1ADA6183">
            <w:pPr>
              <w:spacing w:line="360" w:lineRule="auto"/>
              <w:jc w:val="center"/>
              <w:rPr>
                <w:rFonts w:hint="eastAsia" w:ascii="宋体" w:hAnsi="宋体" w:eastAsia="宋体" w:cs="Times New Roman"/>
                <w:kern w:val="0"/>
                <w:sz w:val="20"/>
                <w:szCs w:val="21"/>
              </w:rPr>
            </w:pPr>
          </w:p>
        </w:tc>
        <w:tc>
          <w:tcPr>
            <w:tcW w:w="851" w:type="dxa"/>
            <w:vAlign w:val="center"/>
          </w:tcPr>
          <w:p w14:paraId="2CFE028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2069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209041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097" w:type="dxa"/>
            <w:vAlign w:val="center"/>
          </w:tcPr>
          <w:p w14:paraId="168EA3B9">
            <w:pPr>
              <w:spacing w:line="360" w:lineRule="auto"/>
              <w:jc w:val="center"/>
              <w:rPr>
                <w:rFonts w:hint="eastAsia" w:ascii="宋体" w:hAnsi="宋体" w:eastAsia="宋体" w:cs="Times New Roman"/>
                <w:kern w:val="0"/>
                <w:sz w:val="20"/>
                <w:szCs w:val="21"/>
              </w:rPr>
            </w:pPr>
          </w:p>
        </w:tc>
        <w:tc>
          <w:tcPr>
            <w:tcW w:w="1134" w:type="dxa"/>
            <w:vAlign w:val="center"/>
          </w:tcPr>
          <w:p w14:paraId="6A45C5D8">
            <w:pPr>
              <w:spacing w:line="360" w:lineRule="auto"/>
              <w:jc w:val="center"/>
              <w:rPr>
                <w:rFonts w:hint="eastAsia" w:ascii="宋体" w:hAnsi="宋体" w:eastAsia="宋体" w:cs="Times New Roman"/>
                <w:kern w:val="0"/>
                <w:sz w:val="20"/>
                <w:szCs w:val="21"/>
              </w:rPr>
            </w:pPr>
          </w:p>
        </w:tc>
        <w:tc>
          <w:tcPr>
            <w:tcW w:w="1134" w:type="dxa"/>
            <w:vAlign w:val="center"/>
          </w:tcPr>
          <w:p w14:paraId="35EEC832">
            <w:pPr>
              <w:spacing w:line="360" w:lineRule="auto"/>
              <w:jc w:val="center"/>
              <w:rPr>
                <w:rFonts w:hint="eastAsia" w:ascii="宋体" w:hAnsi="宋体" w:eastAsia="宋体" w:cs="Times New Roman"/>
                <w:kern w:val="0"/>
                <w:sz w:val="20"/>
                <w:szCs w:val="21"/>
              </w:rPr>
            </w:pPr>
          </w:p>
        </w:tc>
        <w:tc>
          <w:tcPr>
            <w:tcW w:w="1560" w:type="dxa"/>
            <w:vAlign w:val="center"/>
          </w:tcPr>
          <w:p w14:paraId="3949C016">
            <w:pPr>
              <w:spacing w:line="360" w:lineRule="auto"/>
              <w:jc w:val="center"/>
              <w:rPr>
                <w:rFonts w:hint="eastAsia" w:ascii="宋体" w:hAnsi="宋体" w:eastAsia="宋体" w:cs="Times New Roman"/>
                <w:kern w:val="0"/>
                <w:sz w:val="20"/>
                <w:szCs w:val="21"/>
              </w:rPr>
            </w:pPr>
          </w:p>
        </w:tc>
        <w:tc>
          <w:tcPr>
            <w:tcW w:w="1417" w:type="dxa"/>
          </w:tcPr>
          <w:p w14:paraId="4D6991EC">
            <w:pPr>
              <w:spacing w:line="360" w:lineRule="auto"/>
              <w:jc w:val="center"/>
              <w:rPr>
                <w:rFonts w:hint="eastAsia" w:ascii="宋体" w:hAnsi="宋体" w:eastAsia="宋体" w:cs="Times New Roman"/>
                <w:kern w:val="0"/>
                <w:sz w:val="20"/>
                <w:szCs w:val="21"/>
              </w:rPr>
            </w:pPr>
          </w:p>
        </w:tc>
        <w:tc>
          <w:tcPr>
            <w:tcW w:w="851" w:type="dxa"/>
            <w:vAlign w:val="center"/>
          </w:tcPr>
          <w:p w14:paraId="45221DF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20378ADD">
      <w:pPr>
        <w:spacing w:before="156" w:beforeLines="50" w:line="360" w:lineRule="auto"/>
        <w:jc w:val="left"/>
        <w:rPr>
          <w:rFonts w:ascii="Times New Roman" w:hAnsi="Times New Roman" w:eastAsia="宋体" w:cs="Times New Roman"/>
          <w:b/>
          <w:szCs w:val="21"/>
        </w:rPr>
      </w:pPr>
    </w:p>
    <w:p w14:paraId="48B012AD">
      <w:pPr>
        <w:spacing w:before="156" w:beforeLines="50" w:line="360" w:lineRule="auto"/>
        <w:jc w:val="left"/>
        <w:outlineLvl w:val="1"/>
        <w:rPr>
          <w:rFonts w:ascii="Times New Roman" w:hAnsi="Times New Roman" w:eastAsia="宋体" w:cs="Times New Roman"/>
          <w:b/>
          <w:szCs w:val="21"/>
        </w:rPr>
      </w:pPr>
      <w:bookmarkStart w:id="1430" w:name="_Toc15605"/>
      <w:r>
        <w:rPr>
          <w:rFonts w:hint="eastAsia" w:ascii="Times New Roman" w:hAnsi="Times New Roman" w:eastAsia="宋体" w:cs="Times New Roman"/>
          <w:b/>
          <w:szCs w:val="21"/>
        </w:rPr>
        <w:t>（二）成绩评定细则</w:t>
      </w:r>
      <w:bookmarkEnd w:id="1430"/>
    </w:p>
    <w:p w14:paraId="7D801BC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13B52C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46"/>
        <w:gridCol w:w="683"/>
      </w:tblGrid>
      <w:tr w14:paraId="7DE8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26A0028">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946" w:type="dxa"/>
            <w:vAlign w:val="center"/>
          </w:tcPr>
          <w:p w14:paraId="72855580">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3E06BB8C">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0815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3AA5858">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946" w:type="dxa"/>
            <w:vAlign w:val="center"/>
          </w:tcPr>
          <w:p w14:paraId="5BA9ECF9">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3次，一为SCL-90心理健康自测，要求每位同学按照测了要求进行自测，分析自己的心理健康现状，提出策略。二代币制设计。根据行为主义治疗理论设计一个用代币制教育儿童不良行为的方案，主要考核标准为：不良行为表现、目标行为、代币系统设计、实施方案等。三为活动设计，完成一个五年级学生的以合作为主题的心理健康活动设计，评定内容包括活动主题、活动目标、活动过程、注意事项或反思。</w:t>
            </w:r>
          </w:p>
        </w:tc>
        <w:tc>
          <w:tcPr>
            <w:tcW w:w="0" w:type="auto"/>
            <w:vAlign w:val="center"/>
          </w:tcPr>
          <w:p w14:paraId="3AE8985A">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2E7B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16374DF">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946" w:type="dxa"/>
            <w:vAlign w:val="center"/>
          </w:tcPr>
          <w:p w14:paraId="78225C3B">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color w:val="000000"/>
                <w:kern w:val="0"/>
                <w:sz w:val="20"/>
                <w:szCs w:val="21"/>
                <w:lang w:bidi="ar"/>
              </w:rPr>
              <w:t>一是课题考勤情况</w:t>
            </w:r>
            <w:r>
              <w:rPr>
                <w:rFonts w:ascii="宋体" w:hAnsi="宋体" w:eastAsia="宋体" w:cs="宋体"/>
                <w:color w:val="000000"/>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22F63EFC">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color w:val="000000"/>
                <w:kern w:val="0"/>
                <w:sz w:val="20"/>
                <w:szCs w:val="21"/>
                <w:lang w:bidi="ar"/>
              </w:rPr>
              <w:t>课堂参与</w:t>
            </w:r>
            <w:r>
              <w:rPr>
                <w:rFonts w:hint="eastAsia" w:ascii="宋体" w:hAnsi="宋体" w:eastAsia="宋体" w:cs="宋体"/>
                <w:color w:val="000000"/>
                <w:kern w:val="0"/>
                <w:sz w:val="20"/>
                <w:szCs w:val="21"/>
                <w:lang w:bidi="ar"/>
              </w:rPr>
              <w:t>情况。</w:t>
            </w:r>
            <w:r>
              <w:rPr>
                <w:rFonts w:ascii="宋体" w:hAnsi="宋体" w:eastAsia="宋体" w:cs="宋体"/>
                <w:color w:val="000000"/>
                <w:kern w:val="0"/>
                <w:sz w:val="20"/>
                <w:szCs w:val="21"/>
                <w:lang w:bidi="ar"/>
              </w:rPr>
              <w:t>主要指课上教师随机提问、组织课堂讨论等，观察学生参与程度</w:t>
            </w:r>
            <w:r>
              <w:rPr>
                <w:rFonts w:hint="eastAsia" w:ascii="宋体" w:hAnsi="宋体" w:eastAsia="宋体" w:cs="宋体"/>
                <w:color w:val="000000"/>
                <w:kern w:val="0"/>
                <w:sz w:val="20"/>
                <w:szCs w:val="21"/>
                <w:lang w:bidi="ar"/>
              </w:rPr>
              <w:t>，</w:t>
            </w:r>
            <w:r>
              <w:rPr>
                <w:rFonts w:ascii="宋体" w:hAnsi="宋体" w:eastAsia="宋体" w:cs="宋体"/>
                <w:color w:val="000000"/>
                <w:kern w:val="0"/>
                <w:sz w:val="20"/>
                <w:szCs w:val="21"/>
                <w:lang w:bidi="ar"/>
              </w:rPr>
              <w:t>表现良好，按照对应的课程目标及权重给予评定</w:t>
            </w:r>
            <w:r>
              <w:rPr>
                <w:rFonts w:hint="eastAsia" w:ascii="宋体" w:hAnsi="宋体" w:eastAsia="宋体" w:cs="宋体"/>
                <w:color w:val="000000"/>
                <w:kern w:val="0"/>
                <w:sz w:val="20"/>
                <w:szCs w:val="21"/>
                <w:lang w:bidi="ar"/>
              </w:rPr>
              <w:t>。</w:t>
            </w:r>
          </w:p>
        </w:tc>
        <w:tc>
          <w:tcPr>
            <w:tcW w:w="0" w:type="auto"/>
            <w:vAlign w:val="center"/>
          </w:tcPr>
          <w:p w14:paraId="2164CB14">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0AD9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140822F">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课内实践</w:t>
            </w:r>
          </w:p>
        </w:tc>
        <w:tc>
          <w:tcPr>
            <w:tcW w:w="6946" w:type="dxa"/>
            <w:vAlign w:val="center"/>
          </w:tcPr>
          <w:p w14:paraId="49A430B3">
            <w:pPr>
              <w:widowControl/>
              <w:spacing w:line="264" w:lineRule="auto"/>
              <w:jc w:val="left"/>
              <w:rPr>
                <w:rFonts w:hint="eastAsia" w:ascii="宋体" w:hAnsi="宋体" w:eastAsia="宋体" w:cs="宋体"/>
                <w:color w:val="000000"/>
                <w:kern w:val="0"/>
                <w:sz w:val="20"/>
                <w:szCs w:val="21"/>
                <w:lang w:bidi="ar"/>
              </w:rPr>
            </w:pPr>
            <w:r>
              <w:rPr>
                <w:rFonts w:hint="eastAsia" w:ascii="宋体" w:hAnsi="宋体" w:eastAsia="宋体" w:cs="宋体"/>
                <w:color w:val="000000"/>
                <w:kern w:val="0"/>
                <w:sz w:val="20"/>
                <w:szCs w:val="21"/>
                <w:lang w:bidi="ar"/>
              </w:rPr>
              <w:t>完成4个课内实践活动，主要是学生对常用心理辅导技术的掌握和学生对合作学习、学习共同体的活动体验的表现，实践成绩平均后得到实践总评成绩，并按20%计入课程总成绩。</w:t>
            </w:r>
          </w:p>
        </w:tc>
        <w:tc>
          <w:tcPr>
            <w:tcW w:w="0" w:type="auto"/>
            <w:vAlign w:val="center"/>
          </w:tcPr>
          <w:p w14:paraId="6C274E9B">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4B4A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924521D">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自主学习</w:t>
            </w:r>
          </w:p>
        </w:tc>
        <w:tc>
          <w:tcPr>
            <w:tcW w:w="6946" w:type="dxa"/>
            <w:vAlign w:val="center"/>
          </w:tcPr>
          <w:p w14:paraId="095E452A">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课后完成练习题，主要考核学生对每节课知识点的复习、理解和掌握程度，计算全部作业的平均成绩再按20%计入总成绩。</w:t>
            </w:r>
          </w:p>
        </w:tc>
        <w:tc>
          <w:tcPr>
            <w:tcW w:w="0" w:type="auto"/>
            <w:vAlign w:val="center"/>
          </w:tcPr>
          <w:p w14:paraId="60CEE2A0">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0A08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87AEE85">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946" w:type="dxa"/>
            <w:vAlign w:val="center"/>
          </w:tcPr>
          <w:p w14:paraId="1BAE2C82">
            <w:pPr>
              <w:spacing w:line="264" w:lineRule="auto"/>
              <w:jc w:val="left"/>
              <w:rPr>
                <w:rFonts w:ascii="Times New Roman" w:hAnsi="Times New Roman" w:eastAsia="宋体" w:cs="Times New Roman"/>
                <w:color w:val="000000"/>
                <w:kern w:val="0"/>
                <w:sz w:val="20"/>
                <w:szCs w:val="21"/>
              </w:rPr>
            </w:pPr>
            <w:r>
              <w:rPr>
                <w:rFonts w:hint="eastAsia" w:ascii="Times New Roman" w:hAnsi="Times New Roman" w:eastAsia="宋体" w:cs="Times New Roman"/>
                <w:color w:val="000000"/>
                <w:kern w:val="0"/>
                <w:sz w:val="20"/>
                <w:szCs w:val="21"/>
              </w:rPr>
              <w:t>试卷题型简答题、案例分析和论述题，以卷面成绩的50%计入课程总成绩。其中考核小学生心理辅导的知识、理论占20%，小学生心理相关理论案例分析和应用占40%；以及小学生心理辅导的活动设计占40%。</w:t>
            </w:r>
          </w:p>
        </w:tc>
        <w:tc>
          <w:tcPr>
            <w:tcW w:w="0" w:type="auto"/>
            <w:vAlign w:val="center"/>
          </w:tcPr>
          <w:p w14:paraId="4BBBC42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4CC4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3AAFACE">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0" w:type="auto"/>
            <w:vAlign w:val="center"/>
          </w:tcPr>
          <w:p w14:paraId="4BC6A8A0">
            <w:pPr>
              <w:jc w:val="left"/>
              <w:rPr>
                <w:rFonts w:ascii="Times New Roman" w:hAnsi="Times New Roman" w:eastAsia="宋体" w:cs="Times New Roman"/>
                <w:kern w:val="0"/>
                <w:sz w:val="20"/>
                <w:szCs w:val="21"/>
              </w:rPr>
            </w:pPr>
          </w:p>
        </w:tc>
        <w:tc>
          <w:tcPr>
            <w:tcW w:w="0" w:type="auto"/>
            <w:vAlign w:val="center"/>
          </w:tcPr>
          <w:p w14:paraId="3A4C8081">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164B527C">
      <w:pPr>
        <w:spacing w:line="360" w:lineRule="auto"/>
        <w:jc w:val="left"/>
        <w:outlineLvl w:val="1"/>
        <w:rPr>
          <w:rFonts w:hint="eastAsia" w:ascii="宋体" w:hAnsi="宋体" w:eastAsia="宋体" w:cs="Times New Roman"/>
          <w:b/>
          <w:color w:val="000000"/>
          <w:szCs w:val="21"/>
        </w:rPr>
      </w:pPr>
      <w:bookmarkStart w:id="1431" w:name="_Toc20826"/>
      <w:r>
        <w:rPr>
          <w:rFonts w:hint="eastAsia" w:ascii="宋体" w:hAnsi="宋体" w:eastAsia="宋体" w:cs="Times New Roman"/>
          <w:b/>
          <w:color w:val="000000"/>
          <w:szCs w:val="21"/>
        </w:rPr>
        <w:t>（三）课程目标达成度计算方法</w:t>
      </w:r>
      <w:bookmarkEnd w:id="1431"/>
    </w:p>
    <w:p w14:paraId="43CC59C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CC39994">
      <w:pPr>
        <w:spacing w:line="360" w:lineRule="auto"/>
        <w:rPr>
          <w:rFonts w:hint="eastAsia" w:ascii="宋体" w:hAnsi="宋体" w:eastAsia="宋体" w:cs="Times New Roman"/>
          <w:color w:val="000000"/>
          <w:szCs w:val="21"/>
        </w:rPr>
      </w:pPr>
      <w:r>
        <w:rPr>
          <w:rFonts w:ascii="宋体" w:hAnsi="宋体" w:eastAsia="宋体" w:cs="Times New Roman"/>
          <w:color w:val="000000"/>
          <w:szCs w:val="21"/>
        </w:rPr>
        <w:object>
          <v:shape id="_x0000_i1057" o:spt="75" type="#_x0000_t75" style="height:25.05pt;width:404.75pt;" o:ole="t" filled="f" o:preferrelative="t" stroked="f" coordsize="21600,21600">
            <v:path/>
            <v:fill on="f" focussize="0,0"/>
            <v:stroke on="f" joinstyle="miter"/>
            <v:imagedata r:id="rId5" o:title=""/>
            <o:lock v:ext="edit" aspectratio="t"/>
            <w10:wrap type="none"/>
            <w10:anchorlock/>
          </v:shape>
          <o:OLEObject Type="Embed" ProgID="Equation.3" ShapeID="_x0000_i1057" DrawAspect="Content" ObjectID="_1468075757" r:id="rId40">
            <o:LockedField>false</o:LockedField>
          </o:OLEObject>
        </w:object>
      </w:r>
    </w:p>
    <w:p w14:paraId="2476DCBC">
      <w:pPr>
        <w:spacing w:line="360" w:lineRule="auto"/>
        <w:jc w:val="left"/>
        <w:outlineLvl w:val="0"/>
        <w:rPr>
          <w:rFonts w:ascii="宋体" w:hAnsi="宋体" w:eastAsia="宋体" w:cs="Times New Roman"/>
          <w:b/>
          <w:color w:val="000000"/>
          <w:sz w:val="24"/>
          <w:szCs w:val="24"/>
        </w:rPr>
      </w:pPr>
      <w:bookmarkStart w:id="1432" w:name="_Toc432"/>
      <w:bookmarkStart w:id="1433" w:name="_Toc32058"/>
      <w:bookmarkStart w:id="1434" w:name="_Toc28781"/>
      <w:bookmarkStart w:id="1435" w:name="_Toc22081"/>
      <w:bookmarkStart w:id="1436" w:name="_Toc14185"/>
      <w:bookmarkStart w:id="1437" w:name="_Toc2457"/>
      <w:bookmarkStart w:id="1438" w:name="_Toc399"/>
      <w:r>
        <w:rPr>
          <w:rFonts w:hint="eastAsia" w:ascii="宋体" w:hAnsi="宋体" w:eastAsia="宋体" w:cs="Times New Roman"/>
          <w:b/>
          <w:color w:val="000000"/>
          <w:sz w:val="24"/>
          <w:szCs w:val="24"/>
        </w:rPr>
        <w:t>五、课内实验（实践）</w:t>
      </w:r>
      <w:bookmarkEnd w:id="1432"/>
      <w:bookmarkEnd w:id="1433"/>
      <w:bookmarkEnd w:id="1434"/>
      <w:bookmarkEnd w:id="1435"/>
      <w:bookmarkEnd w:id="1436"/>
      <w:bookmarkEnd w:id="1437"/>
      <w:bookmarkEnd w:id="1438"/>
    </w:p>
    <w:tbl>
      <w:tblPr>
        <w:tblStyle w:val="10"/>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396"/>
        <w:gridCol w:w="4252"/>
        <w:gridCol w:w="709"/>
      </w:tblGrid>
      <w:tr w14:paraId="6042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shd w:val="clear" w:color="auto" w:fill="FFFFFF"/>
            <w:vAlign w:val="center"/>
          </w:tcPr>
          <w:p w14:paraId="071A5716">
            <w:pPr>
              <w:spacing w:line="276" w:lineRule="auto"/>
              <w:jc w:val="center"/>
              <w:rPr>
                <w:rFonts w:ascii="Calibri" w:hAnsi="Calibri" w:eastAsia="宋体" w:cs="Times New Roman"/>
                <w:bCs/>
                <w:spacing w:val="-20"/>
                <w:szCs w:val="21"/>
              </w:rPr>
            </w:pPr>
            <w:r>
              <w:rPr>
                <w:rFonts w:hint="eastAsia" w:ascii="Calibri" w:hAnsi="Calibri" w:eastAsia="宋体" w:cs="Times New Roman"/>
                <w:bCs/>
                <w:spacing w:val="-20"/>
                <w:szCs w:val="21"/>
              </w:rPr>
              <w:t>序号</w:t>
            </w:r>
          </w:p>
        </w:tc>
        <w:tc>
          <w:tcPr>
            <w:tcW w:w="2396" w:type="dxa"/>
            <w:tcBorders>
              <w:top w:val="single" w:color="auto" w:sz="4" w:space="0"/>
              <w:left w:val="single" w:color="auto" w:sz="4" w:space="0"/>
              <w:bottom w:val="single" w:color="auto" w:sz="4" w:space="0"/>
              <w:right w:val="single" w:color="auto" w:sz="4" w:space="0"/>
            </w:tcBorders>
            <w:shd w:val="clear" w:color="auto" w:fill="FFFFFF"/>
            <w:vAlign w:val="center"/>
          </w:tcPr>
          <w:p w14:paraId="565FF0AD">
            <w:pPr>
              <w:spacing w:line="276" w:lineRule="auto"/>
              <w:jc w:val="center"/>
              <w:rPr>
                <w:rFonts w:ascii="Calibri" w:hAnsi="Calibri" w:eastAsia="宋体" w:cs="Times New Roman"/>
                <w:bCs/>
                <w:szCs w:val="21"/>
              </w:rPr>
            </w:pPr>
            <w:r>
              <w:rPr>
                <w:rFonts w:hint="eastAsia" w:ascii="Calibri" w:hAnsi="Calibri" w:eastAsia="宋体" w:cs="Times New Roman"/>
                <w:bCs/>
                <w:szCs w:val="21"/>
              </w:rPr>
              <w:t>项目名称</w:t>
            </w:r>
          </w:p>
        </w:tc>
        <w:tc>
          <w:tcPr>
            <w:tcW w:w="4252" w:type="dxa"/>
            <w:tcBorders>
              <w:top w:val="single" w:color="auto" w:sz="4" w:space="0"/>
              <w:left w:val="single" w:color="auto" w:sz="4" w:space="0"/>
              <w:bottom w:val="single" w:color="auto" w:sz="4" w:space="0"/>
              <w:right w:val="single" w:color="auto" w:sz="4" w:space="0"/>
            </w:tcBorders>
            <w:shd w:val="clear" w:color="auto" w:fill="FFFFFF"/>
            <w:vAlign w:val="center"/>
          </w:tcPr>
          <w:p w14:paraId="7FE098EB">
            <w:pPr>
              <w:spacing w:line="276" w:lineRule="auto"/>
              <w:jc w:val="center"/>
              <w:rPr>
                <w:rFonts w:ascii="Calibri" w:hAnsi="Calibri" w:eastAsia="宋体" w:cs="Times New Roman"/>
                <w:bCs/>
                <w:szCs w:val="21"/>
              </w:rPr>
            </w:pPr>
            <w:r>
              <w:rPr>
                <w:rFonts w:hint="eastAsia" w:ascii="Calibri" w:hAnsi="Calibri" w:eastAsia="宋体" w:cs="Times New Roman"/>
                <w:bCs/>
                <w:szCs w:val="21"/>
              </w:rPr>
              <w:t>实践内容及要求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75F39744">
            <w:pPr>
              <w:spacing w:line="276" w:lineRule="auto"/>
              <w:jc w:val="center"/>
              <w:rPr>
                <w:rFonts w:ascii="Calibri" w:hAnsi="Calibri" w:eastAsia="宋体" w:cs="Times New Roman"/>
                <w:bCs/>
                <w:szCs w:val="21"/>
              </w:rPr>
            </w:pPr>
            <w:r>
              <w:rPr>
                <w:rFonts w:hint="eastAsia" w:ascii="Calibri" w:hAnsi="Calibri" w:eastAsia="宋体" w:cs="Times New Roman"/>
                <w:bCs/>
                <w:szCs w:val="21"/>
              </w:rPr>
              <w:t>学时</w:t>
            </w:r>
          </w:p>
        </w:tc>
      </w:tr>
      <w:tr w14:paraId="2B72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48B3F409">
            <w:pPr>
              <w:spacing w:line="276" w:lineRule="auto"/>
              <w:jc w:val="center"/>
              <w:rPr>
                <w:rFonts w:hint="eastAsia" w:ascii="新宋体" w:hAnsi="新宋体" w:eastAsia="新宋体" w:cs="Times New Roman"/>
                <w:szCs w:val="21"/>
              </w:rPr>
            </w:pPr>
            <w:r>
              <w:rPr>
                <w:rFonts w:hint="eastAsia" w:ascii="新宋体" w:hAnsi="新宋体" w:eastAsia="新宋体" w:cs="Times New Roman"/>
                <w:szCs w:val="21"/>
              </w:rPr>
              <w:t>1</w:t>
            </w:r>
          </w:p>
        </w:tc>
        <w:tc>
          <w:tcPr>
            <w:tcW w:w="2396" w:type="dxa"/>
            <w:tcBorders>
              <w:top w:val="single" w:color="auto" w:sz="4" w:space="0"/>
              <w:left w:val="single" w:color="auto" w:sz="4" w:space="0"/>
              <w:bottom w:val="single" w:color="auto" w:sz="4" w:space="0"/>
              <w:right w:val="single" w:color="auto" w:sz="4" w:space="0"/>
            </w:tcBorders>
            <w:vAlign w:val="center"/>
          </w:tcPr>
          <w:p w14:paraId="1C095E1A">
            <w:pPr>
              <w:adjustRightInd w:val="0"/>
              <w:spacing w:line="276" w:lineRule="auto"/>
              <w:rPr>
                <w:rFonts w:hint="eastAsia" w:ascii="新宋体" w:hAnsi="新宋体" w:eastAsia="新宋体" w:cs="Times New Roman"/>
                <w:bCs/>
                <w:szCs w:val="21"/>
              </w:rPr>
            </w:pPr>
            <w:r>
              <w:rPr>
                <w:rFonts w:hint="eastAsia" w:ascii="新宋体" w:hAnsi="新宋体" w:eastAsia="新宋体" w:cs="Times New Roman"/>
                <w:szCs w:val="21"/>
              </w:rPr>
              <w:t>晤谈技术训练</w:t>
            </w:r>
          </w:p>
        </w:tc>
        <w:tc>
          <w:tcPr>
            <w:tcW w:w="4252" w:type="dxa"/>
            <w:tcBorders>
              <w:top w:val="single" w:color="auto" w:sz="4" w:space="0"/>
              <w:left w:val="single" w:color="auto" w:sz="4" w:space="0"/>
              <w:bottom w:val="single" w:color="auto" w:sz="4" w:space="0"/>
              <w:right w:val="single" w:color="auto" w:sz="4" w:space="0"/>
            </w:tcBorders>
            <w:vAlign w:val="center"/>
          </w:tcPr>
          <w:p w14:paraId="0A2ACDBB">
            <w:pPr>
              <w:spacing w:line="276" w:lineRule="auto"/>
              <w:rPr>
                <w:rFonts w:hint="eastAsia" w:ascii="新宋体" w:hAnsi="新宋体" w:eastAsia="新宋体" w:cs="Times New Roman"/>
                <w:szCs w:val="21"/>
              </w:rPr>
            </w:pPr>
            <w:r>
              <w:rPr>
                <w:rFonts w:hint="eastAsia" w:ascii="新宋体" w:hAnsi="新宋体" w:eastAsia="新宋体" w:cs="Times New Roman"/>
                <w:szCs w:val="21"/>
              </w:rPr>
              <w:t>实践内容：根据要求设计小学生心理辅导的晤谈过程并进行模拟晤谈</w:t>
            </w:r>
          </w:p>
          <w:p w14:paraId="4DFA787B">
            <w:pPr>
              <w:spacing w:line="276" w:lineRule="auto"/>
              <w:rPr>
                <w:rFonts w:hint="eastAsia" w:ascii="新宋体" w:hAnsi="新宋体" w:eastAsia="新宋体" w:cs="Times New Roman"/>
                <w:szCs w:val="21"/>
              </w:rPr>
            </w:pPr>
            <w:r>
              <w:rPr>
                <w:rFonts w:hint="eastAsia" w:ascii="新宋体" w:hAnsi="新宋体" w:eastAsia="新宋体" w:cs="Times New Roman"/>
                <w:szCs w:val="21"/>
              </w:rPr>
              <w:t>实践要求：（1）设计合理的晤谈提纲</w:t>
            </w:r>
          </w:p>
          <w:p w14:paraId="72D7006F">
            <w:pPr>
              <w:spacing w:line="276" w:lineRule="auto"/>
              <w:rPr>
                <w:rFonts w:hint="eastAsia" w:ascii="新宋体" w:hAnsi="新宋体" w:eastAsia="新宋体" w:cs="Times New Roman"/>
                <w:szCs w:val="21"/>
              </w:rPr>
            </w:pPr>
            <w:r>
              <w:rPr>
                <w:rFonts w:hint="eastAsia" w:ascii="新宋体" w:hAnsi="新宋体" w:eastAsia="新宋体" w:cs="Times New Roman"/>
                <w:szCs w:val="21"/>
              </w:rPr>
              <w:t>（2）与同学合作开展模拟晤谈并录像</w:t>
            </w:r>
          </w:p>
          <w:p w14:paraId="526DE97F">
            <w:pPr>
              <w:spacing w:line="276" w:lineRule="auto"/>
              <w:rPr>
                <w:rFonts w:hint="eastAsia" w:ascii="新宋体" w:hAnsi="新宋体" w:eastAsia="新宋体" w:cs="Times New Roman"/>
                <w:szCs w:val="21"/>
              </w:rPr>
            </w:pPr>
            <w:r>
              <w:rPr>
                <w:rFonts w:hint="eastAsia" w:ascii="新宋体" w:hAnsi="新宋体" w:eastAsia="新宋体" w:cs="Times New Roman"/>
                <w:szCs w:val="21"/>
              </w:rPr>
              <w:t>（3）反复练习晤谈的各个步骤，直到熟练</w:t>
            </w:r>
          </w:p>
        </w:tc>
        <w:tc>
          <w:tcPr>
            <w:tcW w:w="709" w:type="dxa"/>
            <w:tcBorders>
              <w:top w:val="single" w:color="auto" w:sz="4" w:space="0"/>
              <w:left w:val="single" w:color="auto" w:sz="4" w:space="0"/>
              <w:bottom w:val="single" w:color="auto" w:sz="4" w:space="0"/>
              <w:right w:val="single" w:color="auto" w:sz="4" w:space="0"/>
            </w:tcBorders>
            <w:vAlign w:val="center"/>
          </w:tcPr>
          <w:p w14:paraId="54DABD2E">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16E5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1FCEC5E0">
            <w:pPr>
              <w:spacing w:line="276" w:lineRule="auto"/>
              <w:jc w:val="center"/>
              <w:rPr>
                <w:rFonts w:hint="eastAsia" w:ascii="新宋体" w:hAnsi="新宋体" w:eastAsia="新宋体" w:cs="Times New Roman"/>
                <w:szCs w:val="21"/>
              </w:rPr>
            </w:pPr>
            <w:r>
              <w:rPr>
                <w:rFonts w:hint="eastAsia" w:ascii="新宋体" w:hAnsi="新宋体" w:eastAsia="新宋体" w:cs="Times New Roman"/>
                <w:szCs w:val="21"/>
              </w:rPr>
              <w:t>2</w:t>
            </w:r>
          </w:p>
        </w:tc>
        <w:tc>
          <w:tcPr>
            <w:tcW w:w="2396" w:type="dxa"/>
            <w:tcBorders>
              <w:top w:val="single" w:color="auto" w:sz="4" w:space="0"/>
              <w:left w:val="single" w:color="auto" w:sz="4" w:space="0"/>
              <w:bottom w:val="single" w:color="auto" w:sz="4" w:space="0"/>
              <w:right w:val="single" w:color="auto" w:sz="4" w:space="0"/>
            </w:tcBorders>
            <w:vAlign w:val="center"/>
          </w:tcPr>
          <w:p w14:paraId="639B876B">
            <w:pPr>
              <w:adjustRightInd w:val="0"/>
              <w:spacing w:line="276" w:lineRule="auto"/>
              <w:rPr>
                <w:rFonts w:hint="eastAsia" w:ascii="宋体" w:hAnsi="宋体" w:eastAsia="宋体" w:cs="Times New Roman"/>
                <w:bCs/>
                <w:szCs w:val="21"/>
              </w:rPr>
            </w:pPr>
            <w:r>
              <w:rPr>
                <w:rFonts w:hint="eastAsia" w:ascii="宋体" w:hAnsi="宋体" w:eastAsia="宋体" w:cs="Times New Roman"/>
                <w:szCs w:val="21"/>
              </w:rPr>
              <w:t>游戏辅导设计</w:t>
            </w:r>
          </w:p>
        </w:tc>
        <w:tc>
          <w:tcPr>
            <w:tcW w:w="4252" w:type="dxa"/>
            <w:tcBorders>
              <w:top w:val="single" w:color="auto" w:sz="4" w:space="0"/>
              <w:left w:val="single" w:color="auto" w:sz="4" w:space="0"/>
              <w:bottom w:val="single" w:color="auto" w:sz="4" w:space="0"/>
              <w:right w:val="single" w:color="auto" w:sz="4" w:space="0"/>
            </w:tcBorders>
            <w:vAlign w:val="center"/>
          </w:tcPr>
          <w:p w14:paraId="5448BD1B">
            <w:pPr>
              <w:spacing w:line="276" w:lineRule="auto"/>
              <w:rPr>
                <w:rFonts w:hint="eastAsia" w:ascii="宋体" w:hAnsi="宋体" w:eastAsia="宋体" w:cs="Times New Roman"/>
                <w:szCs w:val="21"/>
              </w:rPr>
            </w:pPr>
            <w:r>
              <w:rPr>
                <w:rFonts w:hint="eastAsia" w:ascii="宋体" w:hAnsi="宋体" w:eastAsia="宋体" w:cs="Times New Roman"/>
                <w:szCs w:val="21"/>
              </w:rPr>
              <w:t>实践内容：设计一个符合小学生心理发展特点并能促进小学生心理发展的游戏，并能在小组内实施</w:t>
            </w:r>
          </w:p>
          <w:p w14:paraId="5AD9381B">
            <w:pPr>
              <w:spacing w:line="276" w:lineRule="auto"/>
              <w:rPr>
                <w:rFonts w:hint="eastAsia" w:ascii="宋体" w:hAnsi="宋体" w:eastAsia="宋体" w:cs="Times New Roman"/>
                <w:szCs w:val="21"/>
              </w:rPr>
            </w:pPr>
            <w:r>
              <w:rPr>
                <w:rFonts w:hint="eastAsia" w:ascii="宋体" w:hAnsi="宋体" w:eastAsia="宋体" w:cs="Times New Roman"/>
                <w:szCs w:val="21"/>
              </w:rPr>
              <w:t>实践要求：（1）游戏设计符合小学生心理特点，能针对性地对小学发展的某个方面进行辅导</w:t>
            </w:r>
          </w:p>
          <w:p w14:paraId="10384ECD">
            <w:pPr>
              <w:spacing w:line="276" w:lineRule="auto"/>
              <w:rPr>
                <w:rFonts w:hint="eastAsia" w:ascii="宋体" w:hAnsi="宋体" w:eastAsia="宋体" w:cs="Times New Roman"/>
                <w:szCs w:val="21"/>
              </w:rPr>
            </w:pPr>
            <w:r>
              <w:rPr>
                <w:rFonts w:hint="eastAsia" w:ascii="宋体" w:hAnsi="宋体" w:eastAsia="宋体" w:cs="Times New Roman"/>
                <w:szCs w:val="21"/>
              </w:rPr>
              <w:t>（2）游戏安排时间合理，程序清楚，目标明确</w:t>
            </w:r>
          </w:p>
          <w:p w14:paraId="7D3C3B12">
            <w:pPr>
              <w:spacing w:line="276" w:lineRule="auto"/>
              <w:rPr>
                <w:rFonts w:hint="eastAsia" w:ascii="宋体" w:hAnsi="宋体" w:eastAsia="宋体" w:cs="Times New Roman"/>
                <w:szCs w:val="21"/>
              </w:rPr>
            </w:pPr>
            <w:r>
              <w:rPr>
                <w:rFonts w:hint="eastAsia" w:ascii="宋体" w:hAnsi="宋体" w:eastAsia="宋体" w:cs="Times New Roman"/>
                <w:szCs w:val="21"/>
              </w:rPr>
              <w:t>（3）游戏实施过程清晰，组织安排恰当</w:t>
            </w:r>
          </w:p>
        </w:tc>
        <w:tc>
          <w:tcPr>
            <w:tcW w:w="709" w:type="dxa"/>
            <w:tcBorders>
              <w:top w:val="single" w:color="auto" w:sz="4" w:space="0"/>
              <w:left w:val="single" w:color="auto" w:sz="4" w:space="0"/>
              <w:bottom w:val="single" w:color="auto" w:sz="4" w:space="0"/>
              <w:right w:val="single" w:color="auto" w:sz="4" w:space="0"/>
            </w:tcBorders>
            <w:vAlign w:val="center"/>
          </w:tcPr>
          <w:p w14:paraId="42C842F8">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22C5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30237B04">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2396" w:type="dxa"/>
            <w:tcBorders>
              <w:top w:val="single" w:color="auto" w:sz="4" w:space="0"/>
              <w:left w:val="single" w:color="auto" w:sz="4" w:space="0"/>
              <w:bottom w:val="single" w:color="auto" w:sz="4" w:space="0"/>
              <w:right w:val="single" w:color="auto" w:sz="4" w:space="0"/>
            </w:tcBorders>
            <w:vAlign w:val="center"/>
          </w:tcPr>
          <w:p w14:paraId="27C23F51">
            <w:pPr>
              <w:adjustRightInd w:val="0"/>
              <w:spacing w:line="276" w:lineRule="auto"/>
              <w:rPr>
                <w:rFonts w:hint="eastAsia" w:ascii="宋体" w:hAnsi="宋体" w:eastAsia="宋体" w:cs="Times New Roman"/>
                <w:bCs/>
                <w:szCs w:val="21"/>
              </w:rPr>
            </w:pPr>
            <w:r>
              <w:rPr>
                <w:rFonts w:hint="eastAsia" w:ascii="宋体" w:hAnsi="宋体" w:eastAsia="宋体" w:cs="Times New Roman"/>
                <w:szCs w:val="21"/>
              </w:rPr>
              <w:t>心理剧展演</w:t>
            </w:r>
          </w:p>
        </w:tc>
        <w:tc>
          <w:tcPr>
            <w:tcW w:w="4252" w:type="dxa"/>
            <w:tcBorders>
              <w:top w:val="single" w:color="auto" w:sz="4" w:space="0"/>
              <w:left w:val="single" w:color="auto" w:sz="4" w:space="0"/>
              <w:bottom w:val="single" w:color="auto" w:sz="4" w:space="0"/>
              <w:right w:val="single" w:color="auto" w:sz="4" w:space="0"/>
            </w:tcBorders>
            <w:vAlign w:val="center"/>
          </w:tcPr>
          <w:p w14:paraId="7AAAA679">
            <w:pPr>
              <w:spacing w:line="276" w:lineRule="auto"/>
              <w:rPr>
                <w:rFonts w:hint="eastAsia" w:ascii="宋体" w:hAnsi="宋体" w:eastAsia="宋体" w:cs="Times New Roman"/>
                <w:szCs w:val="21"/>
              </w:rPr>
            </w:pPr>
            <w:r>
              <w:rPr>
                <w:rFonts w:hint="eastAsia" w:ascii="宋体" w:hAnsi="宋体" w:eastAsia="宋体" w:cs="Times New Roman"/>
                <w:szCs w:val="21"/>
              </w:rPr>
              <w:t>实践内容：小组合作创编一个心理剧并在演出</w:t>
            </w:r>
          </w:p>
          <w:p w14:paraId="7B85DDF0">
            <w:pPr>
              <w:spacing w:line="276" w:lineRule="auto"/>
              <w:rPr>
                <w:rFonts w:hint="eastAsia" w:ascii="宋体" w:hAnsi="宋体" w:eastAsia="宋体" w:cs="Times New Roman"/>
                <w:szCs w:val="21"/>
              </w:rPr>
            </w:pPr>
            <w:r>
              <w:rPr>
                <w:rFonts w:hint="eastAsia" w:ascii="宋体" w:hAnsi="宋体" w:eastAsia="宋体" w:cs="Times New Roman"/>
                <w:szCs w:val="21"/>
              </w:rPr>
              <w:t>实践要求：（1）心理剧创编由小组合作完成，内容符合小学生特点，形式符合心理剧要求</w:t>
            </w:r>
          </w:p>
          <w:p w14:paraId="1524AEEE">
            <w:pPr>
              <w:spacing w:line="276" w:lineRule="auto"/>
              <w:rPr>
                <w:rFonts w:hint="eastAsia" w:ascii="宋体" w:hAnsi="宋体" w:eastAsia="宋体" w:cs="Times New Roman"/>
                <w:szCs w:val="21"/>
              </w:rPr>
            </w:pPr>
            <w:r>
              <w:rPr>
                <w:rFonts w:hint="eastAsia" w:ascii="宋体" w:hAnsi="宋体" w:eastAsia="宋体" w:cs="Times New Roman"/>
                <w:szCs w:val="21"/>
              </w:rPr>
              <w:t>（2）各成员分工合理，能协同完成活动</w:t>
            </w:r>
          </w:p>
        </w:tc>
        <w:tc>
          <w:tcPr>
            <w:tcW w:w="709" w:type="dxa"/>
            <w:tcBorders>
              <w:top w:val="single" w:color="auto" w:sz="4" w:space="0"/>
              <w:left w:val="single" w:color="auto" w:sz="4" w:space="0"/>
              <w:bottom w:val="single" w:color="auto" w:sz="4" w:space="0"/>
              <w:right w:val="single" w:color="auto" w:sz="4" w:space="0"/>
            </w:tcBorders>
            <w:vAlign w:val="center"/>
          </w:tcPr>
          <w:p w14:paraId="3EC3E4FE">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102A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6BC1267B">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2396" w:type="dxa"/>
            <w:tcBorders>
              <w:top w:val="single" w:color="auto" w:sz="4" w:space="0"/>
              <w:left w:val="single" w:color="auto" w:sz="4" w:space="0"/>
              <w:bottom w:val="single" w:color="auto" w:sz="4" w:space="0"/>
              <w:right w:val="single" w:color="auto" w:sz="4" w:space="0"/>
            </w:tcBorders>
            <w:vAlign w:val="center"/>
          </w:tcPr>
          <w:p w14:paraId="5B6ED79F">
            <w:pPr>
              <w:adjustRightInd w:val="0"/>
              <w:spacing w:line="276" w:lineRule="auto"/>
              <w:rPr>
                <w:rFonts w:hint="eastAsia" w:ascii="宋体" w:hAnsi="宋体" w:eastAsia="宋体" w:cs="Times New Roman"/>
                <w:bCs/>
                <w:szCs w:val="21"/>
              </w:rPr>
            </w:pPr>
            <w:r>
              <w:rPr>
                <w:rFonts w:hint="eastAsia" w:ascii="宋体" w:hAnsi="宋体" w:eastAsia="宋体" w:cs="Times New Roman"/>
                <w:bCs/>
                <w:szCs w:val="21"/>
              </w:rPr>
              <w:t>模拟教学</w:t>
            </w:r>
          </w:p>
        </w:tc>
        <w:tc>
          <w:tcPr>
            <w:tcW w:w="4252" w:type="dxa"/>
            <w:tcBorders>
              <w:top w:val="single" w:color="auto" w:sz="4" w:space="0"/>
              <w:left w:val="single" w:color="auto" w:sz="4" w:space="0"/>
              <w:bottom w:val="single" w:color="auto" w:sz="4" w:space="0"/>
              <w:right w:val="single" w:color="auto" w:sz="4" w:space="0"/>
            </w:tcBorders>
            <w:vAlign w:val="center"/>
          </w:tcPr>
          <w:p w14:paraId="4E7FC694">
            <w:pPr>
              <w:spacing w:line="276" w:lineRule="auto"/>
              <w:rPr>
                <w:rFonts w:hint="eastAsia" w:ascii="宋体" w:hAnsi="宋体" w:eastAsia="宋体" w:cs="Times New Roman"/>
                <w:szCs w:val="21"/>
              </w:rPr>
            </w:pPr>
            <w:r>
              <w:rPr>
                <w:rFonts w:hint="eastAsia" w:ascii="宋体" w:hAnsi="宋体" w:eastAsia="宋体" w:cs="Times New Roman"/>
                <w:szCs w:val="21"/>
              </w:rPr>
              <w:t>实践内容：在微格教室完成心理一节心理辅导课的模拟教学</w:t>
            </w:r>
          </w:p>
          <w:p w14:paraId="516B533E">
            <w:pPr>
              <w:spacing w:line="276" w:lineRule="auto"/>
              <w:rPr>
                <w:rFonts w:hint="eastAsia" w:ascii="宋体" w:hAnsi="宋体" w:eastAsia="宋体" w:cs="Times New Roman"/>
                <w:szCs w:val="21"/>
              </w:rPr>
            </w:pPr>
            <w:r>
              <w:rPr>
                <w:rFonts w:hint="eastAsia" w:ascii="宋体" w:hAnsi="宋体" w:eastAsia="宋体" w:cs="Times New Roman"/>
                <w:szCs w:val="21"/>
              </w:rPr>
              <w:t>实践要求：（1）模拟教学目标清楚、内容符合小学心理辅导课的要求</w:t>
            </w:r>
          </w:p>
          <w:p w14:paraId="2FFFDB3F">
            <w:pPr>
              <w:spacing w:line="276" w:lineRule="auto"/>
              <w:rPr>
                <w:rFonts w:hint="eastAsia" w:ascii="宋体" w:hAnsi="宋体" w:eastAsia="宋体" w:cs="Times New Roman"/>
                <w:szCs w:val="21"/>
              </w:rPr>
            </w:pPr>
            <w:r>
              <w:rPr>
                <w:rFonts w:hint="eastAsia" w:ascii="宋体" w:hAnsi="宋体" w:eastAsia="宋体" w:cs="Times New Roman"/>
                <w:szCs w:val="21"/>
              </w:rPr>
              <w:t>（2）能对模拟教学进行自评和互评</w:t>
            </w:r>
          </w:p>
        </w:tc>
        <w:tc>
          <w:tcPr>
            <w:tcW w:w="709" w:type="dxa"/>
            <w:tcBorders>
              <w:top w:val="single" w:color="auto" w:sz="4" w:space="0"/>
              <w:left w:val="single" w:color="auto" w:sz="4" w:space="0"/>
              <w:bottom w:val="single" w:color="auto" w:sz="4" w:space="0"/>
              <w:right w:val="single" w:color="auto" w:sz="4" w:space="0"/>
            </w:tcBorders>
            <w:vAlign w:val="center"/>
          </w:tcPr>
          <w:p w14:paraId="1F138816">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641F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3114" w:type="dxa"/>
            <w:gridSpan w:val="2"/>
            <w:tcBorders>
              <w:top w:val="single" w:color="auto" w:sz="4" w:space="0"/>
              <w:left w:val="single" w:color="auto" w:sz="4" w:space="0"/>
              <w:bottom w:val="single" w:color="auto" w:sz="4" w:space="0"/>
              <w:right w:val="single" w:color="auto" w:sz="4" w:space="0"/>
            </w:tcBorders>
            <w:vAlign w:val="center"/>
          </w:tcPr>
          <w:p w14:paraId="6FB2D90E">
            <w:pPr>
              <w:adjustRightInd w:val="0"/>
              <w:spacing w:line="276" w:lineRule="auto"/>
              <w:rPr>
                <w:rFonts w:hint="eastAsia" w:ascii="新宋体" w:hAnsi="新宋体" w:eastAsia="新宋体" w:cs="Times New Roman"/>
                <w:bCs/>
                <w:szCs w:val="21"/>
              </w:rPr>
            </w:pPr>
            <w:r>
              <w:rPr>
                <w:rFonts w:hint="eastAsia" w:ascii="新宋体" w:hAnsi="新宋体" w:eastAsia="新宋体" w:cs="Times New Roman"/>
                <w:bCs/>
                <w:szCs w:val="21"/>
              </w:rPr>
              <w:t>合计</w:t>
            </w:r>
          </w:p>
        </w:tc>
        <w:tc>
          <w:tcPr>
            <w:tcW w:w="4252" w:type="dxa"/>
            <w:tcBorders>
              <w:top w:val="single" w:color="auto" w:sz="4" w:space="0"/>
              <w:left w:val="single" w:color="auto" w:sz="4" w:space="0"/>
              <w:bottom w:val="single" w:color="auto" w:sz="4" w:space="0"/>
              <w:right w:val="single" w:color="auto" w:sz="4" w:space="0"/>
            </w:tcBorders>
            <w:vAlign w:val="center"/>
          </w:tcPr>
          <w:p w14:paraId="56A7240A">
            <w:pPr>
              <w:spacing w:line="276" w:lineRule="auto"/>
              <w:rPr>
                <w:rFonts w:hint="eastAsia" w:ascii="新宋体" w:hAnsi="新宋体" w:eastAsia="新宋体" w:cs="Times New Roman"/>
                <w:szCs w:val="21"/>
              </w:rPr>
            </w:pPr>
          </w:p>
        </w:tc>
        <w:tc>
          <w:tcPr>
            <w:tcW w:w="709" w:type="dxa"/>
            <w:tcBorders>
              <w:top w:val="single" w:color="auto" w:sz="4" w:space="0"/>
              <w:left w:val="single" w:color="auto" w:sz="4" w:space="0"/>
              <w:bottom w:val="single" w:color="auto" w:sz="4" w:space="0"/>
              <w:right w:val="single" w:color="auto" w:sz="4" w:space="0"/>
            </w:tcBorders>
            <w:vAlign w:val="center"/>
          </w:tcPr>
          <w:p w14:paraId="61E015FF">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8</w:t>
            </w:r>
          </w:p>
        </w:tc>
      </w:tr>
    </w:tbl>
    <w:p w14:paraId="4406B047">
      <w:pPr>
        <w:spacing w:line="360" w:lineRule="auto"/>
        <w:jc w:val="left"/>
        <w:outlineLvl w:val="0"/>
        <w:rPr>
          <w:rFonts w:hint="eastAsia" w:ascii="宋体" w:hAnsi="宋体" w:eastAsia="宋体" w:cs="Times New Roman"/>
          <w:b/>
          <w:color w:val="000000"/>
          <w:sz w:val="24"/>
          <w:szCs w:val="24"/>
        </w:rPr>
      </w:pPr>
      <w:bookmarkStart w:id="1439" w:name="_Toc19841"/>
      <w:bookmarkStart w:id="1440" w:name="_Toc29681"/>
      <w:bookmarkStart w:id="1441" w:name="_Toc13495"/>
      <w:bookmarkStart w:id="1442" w:name="_Toc21884"/>
      <w:bookmarkStart w:id="1443" w:name="_Toc4771"/>
      <w:bookmarkStart w:id="1444" w:name="_Toc10913"/>
      <w:bookmarkStart w:id="1445" w:name="_Toc965"/>
      <w:r>
        <w:rPr>
          <w:rFonts w:hint="eastAsia" w:ascii="宋体" w:hAnsi="宋体" w:eastAsia="宋体" w:cs="Times New Roman"/>
          <w:b/>
          <w:color w:val="000000"/>
          <w:sz w:val="24"/>
          <w:szCs w:val="24"/>
        </w:rPr>
        <w:t>六、有关说明</w:t>
      </w:r>
      <w:bookmarkEnd w:id="1439"/>
      <w:bookmarkEnd w:id="1440"/>
      <w:bookmarkEnd w:id="1441"/>
      <w:bookmarkEnd w:id="1442"/>
      <w:bookmarkEnd w:id="1443"/>
      <w:bookmarkEnd w:id="1444"/>
      <w:bookmarkEnd w:id="1445"/>
    </w:p>
    <w:p w14:paraId="59936B16">
      <w:pPr>
        <w:spacing w:line="360" w:lineRule="auto"/>
        <w:outlineLvl w:val="1"/>
        <w:rPr>
          <w:rFonts w:ascii="Calibri" w:hAnsi="Calibri" w:eastAsia="宋体" w:cs="Times New Roman"/>
          <w:b/>
          <w:color w:val="000000"/>
          <w:sz w:val="24"/>
          <w:szCs w:val="22"/>
        </w:rPr>
      </w:pPr>
      <w:bookmarkStart w:id="1446" w:name="_Toc5388"/>
      <w:r>
        <w:rPr>
          <w:rFonts w:hint="eastAsia" w:ascii="Calibri" w:hAnsi="Calibri" w:eastAsia="宋体" w:cs="Times New Roman"/>
          <w:b/>
          <w:color w:val="000000"/>
          <w:sz w:val="24"/>
          <w:szCs w:val="22"/>
        </w:rPr>
        <w:t>（一）持续改进</w:t>
      </w:r>
      <w:bookmarkEnd w:id="1446"/>
    </w:p>
    <w:p w14:paraId="3FACF44C">
      <w:pPr>
        <w:spacing w:line="360" w:lineRule="auto"/>
        <w:ind w:firstLine="480" w:firstLineChars="200"/>
        <w:rPr>
          <w:rFonts w:ascii="Calibri" w:hAnsi="Calibri" w:eastAsia="宋体" w:cs="Times New Roman"/>
          <w:sz w:val="24"/>
          <w:szCs w:val="22"/>
        </w:rPr>
      </w:pPr>
      <w:r>
        <w:rPr>
          <w:rFonts w:hint="eastAsia" w:ascii="Calibri" w:hAnsi="Calibri" w:eastAsia="宋体" w:cs="Times New Roman"/>
          <w:sz w:val="24"/>
          <w:szCs w:val="22"/>
        </w:rPr>
        <w:t>本课程根据学生作业、课堂讨论、实验环节、平时考核情况和学生、教学督导等的反馈，及时对教学中的不足之处进行改进，并在下一轮课程教学中整改完善，确保相应毕业要求指标点达成。</w:t>
      </w:r>
    </w:p>
    <w:p w14:paraId="1365AC10">
      <w:pPr>
        <w:spacing w:line="360" w:lineRule="auto"/>
        <w:outlineLvl w:val="1"/>
        <w:rPr>
          <w:rFonts w:ascii="Calibri" w:hAnsi="Calibri" w:eastAsia="宋体" w:cs="Times New Roman"/>
          <w:b/>
          <w:color w:val="000000"/>
          <w:sz w:val="24"/>
          <w:szCs w:val="22"/>
        </w:rPr>
      </w:pPr>
      <w:bookmarkStart w:id="1447" w:name="_Toc14612"/>
      <w:r>
        <w:rPr>
          <w:rFonts w:hint="eastAsia" w:ascii="Calibri" w:hAnsi="Calibri" w:eastAsia="宋体" w:cs="Times New Roman"/>
          <w:b/>
          <w:color w:val="000000"/>
          <w:sz w:val="24"/>
          <w:szCs w:val="22"/>
        </w:rPr>
        <w:t>（二）参考书目及学习资料</w:t>
      </w:r>
      <w:bookmarkEnd w:id="1447"/>
    </w:p>
    <w:p w14:paraId="327032A0">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1.彭小虎，小学生心理辅导，华东师范大学出版社，2012</w:t>
      </w:r>
    </w:p>
    <w:p w14:paraId="469D181A">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2.吴增强 主编，发展性心理辅导：理论与实务，上海科技教育出版社，2018</w:t>
      </w:r>
    </w:p>
    <w:p w14:paraId="00FFBE9C">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3.刘慧贤，郝红英.小学生心理健康与辅导，教育科学出版社，2013</w:t>
      </w:r>
    </w:p>
    <w:p w14:paraId="7699A0D3">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4.陶勑恒,郑洪利．小学生心理辅导（第二版）．高等教育出版社，2018．</w:t>
      </w:r>
    </w:p>
    <w:p w14:paraId="5DD8B877">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5.殷炳江．小学生心理健康教育．人民教育出版社，2003．</w:t>
      </w:r>
    </w:p>
    <w:p w14:paraId="2C67882F">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6.</w:t>
      </w:r>
      <w:r>
        <w:rPr>
          <w:rFonts w:ascii="Times New Roman" w:hAnsi="Times New Roman" w:eastAsia="宋体" w:cs="Times New Roman"/>
          <w:szCs w:val="22"/>
        </w:rPr>
        <w:t xml:space="preserve"> </w:t>
      </w:r>
      <w:r>
        <w:rPr>
          <w:rFonts w:ascii="Times New Roman" w:hAnsi="Times New Roman" w:eastAsia="宋体" w:cs="Times New Roman"/>
          <w:kern w:val="0"/>
          <w:sz w:val="24"/>
          <w:szCs w:val="21"/>
        </w:rPr>
        <w:t xml:space="preserve">张艺馨，小学生心理辅导与咨询 ，北京师范大学出版社，2013 </w:t>
      </w:r>
    </w:p>
    <w:p w14:paraId="4F6DEBED">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 xml:space="preserve">7. 叶一舵著，中小学团体心理辅导活动350例（中小学心理健康教育案例丛书），福建教育出版社，2018 </w:t>
      </w:r>
    </w:p>
    <w:p w14:paraId="5B9D3F50">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8.郭黎岩，小学生心理健康与辅导（第2版），高等教育出版社，2014</w:t>
      </w:r>
    </w:p>
    <w:p w14:paraId="286D73D8">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9.H．T．Prout &amp; D.T.Brown 著、林丹华等译．儿童青少年心理咨询与治疗．中国轻工业出版社，2002．</w:t>
      </w:r>
    </w:p>
    <w:p w14:paraId="669D1E1B">
      <w:pPr>
        <w:autoSpaceDE w:val="0"/>
        <w:autoSpaceDN w:val="0"/>
        <w:adjustRightInd w:val="0"/>
        <w:spacing w:line="360" w:lineRule="auto"/>
        <w:rPr>
          <w:rFonts w:ascii="Calibri" w:hAnsi="Calibri" w:eastAsia="宋体" w:cs="Times New Roman"/>
          <w:kern w:val="0"/>
          <w:sz w:val="24"/>
          <w:szCs w:val="21"/>
        </w:rPr>
      </w:pPr>
    </w:p>
    <w:p w14:paraId="56706D65">
      <w:pPr>
        <w:autoSpaceDE w:val="0"/>
        <w:autoSpaceDN w:val="0"/>
        <w:adjustRightInd w:val="0"/>
        <w:spacing w:line="360" w:lineRule="auto"/>
        <w:jc w:val="left"/>
        <w:rPr>
          <w:rFonts w:ascii="Calibri" w:hAnsi="Calibri" w:eastAsia="宋体" w:cs="Times New Roman"/>
          <w:kern w:val="0"/>
          <w:sz w:val="24"/>
          <w:szCs w:val="21"/>
        </w:rPr>
      </w:pPr>
    </w:p>
    <w:p w14:paraId="4ED50167">
      <w:pPr>
        <w:autoSpaceDE w:val="0"/>
        <w:autoSpaceDN w:val="0"/>
        <w:adjustRightInd w:val="0"/>
        <w:spacing w:line="360" w:lineRule="auto"/>
        <w:ind w:firstLine="6240" w:firstLineChars="2600"/>
        <w:jc w:val="left"/>
        <w:rPr>
          <w:rFonts w:ascii="Calibri" w:hAnsi="Calibri" w:eastAsia="宋体" w:cs="Times New Roman"/>
          <w:kern w:val="0"/>
          <w:sz w:val="24"/>
          <w:szCs w:val="21"/>
        </w:rPr>
      </w:pPr>
      <w:r>
        <w:rPr>
          <w:rFonts w:hint="eastAsia" w:ascii="Calibri" w:hAnsi="Calibri" w:eastAsia="宋体" w:cs="Times New Roman"/>
          <w:kern w:val="0"/>
          <w:sz w:val="24"/>
          <w:szCs w:val="21"/>
        </w:rPr>
        <w:t>执笔人：刘丽</w:t>
      </w:r>
    </w:p>
    <w:p w14:paraId="5C606F3E">
      <w:pPr>
        <w:autoSpaceDE w:val="0"/>
        <w:autoSpaceDN w:val="0"/>
        <w:adjustRightInd w:val="0"/>
        <w:spacing w:line="360" w:lineRule="auto"/>
        <w:ind w:firstLine="6240" w:firstLineChars="2600"/>
        <w:jc w:val="left"/>
        <w:rPr>
          <w:rFonts w:ascii="Calibri" w:hAnsi="Calibri" w:eastAsia="宋体" w:cs="Times New Roman"/>
          <w:kern w:val="0"/>
          <w:sz w:val="24"/>
          <w:szCs w:val="21"/>
        </w:rPr>
      </w:pPr>
      <w:r>
        <w:rPr>
          <w:rFonts w:hint="eastAsia" w:ascii="Calibri" w:hAnsi="Calibri" w:eastAsia="宋体" w:cs="Times New Roman"/>
          <w:kern w:val="0"/>
          <w:sz w:val="24"/>
          <w:szCs w:val="21"/>
        </w:rPr>
        <w:t>审定人：王健</w:t>
      </w:r>
    </w:p>
    <w:p w14:paraId="2C592F81">
      <w:pPr>
        <w:autoSpaceDE w:val="0"/>
        <w:autoSpaceDN w:val="0"/>
        <w:adjustRightInd w:val="0"/>
        <w:spacing w:line="360" w:lineRule="auto"/>
        <w:ind w:firstLine="6240" w:firstLineChars="2600"/>
        <w:jc w:val="left"/>
        <w:rPr>
          <w:rFonts w:ascii="Calibri" w:hAnsi="Calibri" w:eastAsia="宋体" w:cs="Times New Roman"/>
          <w:kern w:val="0"/>
          <w:sz w:val="24"/>
          <w:szCs w:val="21"/>
        </w:rPr>
      </w:pPr>
      <w:r>
        <w:rPr>
          <w:rFonts w:hint="eastAsia" w:ascii="Calibri" w:hAnsi="Calibri" w:eastAsia="宋体" w:cs="Times New Roman"/>
          <w:kern w:val="0"/>
          <w:sz w:val="24"/>
          <w:szCs w:val="21"/>
        </w:rPr>
        <w:t>审批人：张志欣</w:t>
      </w:r>
    </w:p>
    <w:p w14:paraId="03A21D99">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 202</w:t>
      </w:r>
      <w:r>
        <w:rPr>
          <w:rFonts w:hint="eastAsia" w:ascii="Times New Roman" w:hAnsi="Times New Roman" w:eastAsia="宋体" w:cs="Times New Roman"/>
          <w:kern w:val="0"/>
          <w:sz w:val="24"/>
          <w:szCs w:val="21"/>
        </w:rPr>
        <w:t>4</w:t>
      </w:r>
      <w:r>
        <w:rPr>
          <w:rFonts w:ascii="Times New Roman" w:hAnsi="Times New Roman" w:eastAsia="宋体" w:cs="Times New Roman"/>
          <w:kern w:val="0"/>
          <w:sz w:val="24"/>
          <w:szCs w:val="21"/>
        </w:rPr>
        <w:t>年8月30日</w:t>
      </w:r>
    </w:p>
    <w:p w14:paraId="74CFF28F">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br w:type="page"/>
      </w:r>
    </w:p>
    <w:p w14:paraId="4CC79674">
      <w:pPr>
        <w:pStyle w:val="2"/>
        <w:bidi w:val="0"/>
        <w:rPr>
          <w:lang w:val="en-US" w:eastAsia="zh-CN"/>
        </w:rPr>
      </w:pPr>
      <w:bookmarkStart w:id="1448" w:name="_Toc20241"/>
      <w:bookmarkStart w:id="1449" w:name="_Toc1494"/>
      <w:bookmarkStart w:id="1450" w:name="_Toc15401"/>
      <w:bookmarkStart w:id="1451" w:name="_Toc31981"/>
      <w:r>
        <w:rPr>
          <w:rFonts w:hint="eastAsia"/>
          <w:lang w:val="en-US" w:eastAsia="zh-CN"/>
        </w:rPr>
        <w:t>《小学跨学科学习》课程教学大纲</w:t>
      </w:r>
      <w:bookmarkEnd w:id="1448"/>
      <w:bookmarkEnd w:id="1449"/>
      <w:bookmarkEnd w:id="1450"/>
      <w:bookmarkEnd w:id="1451"/>
    </w:p>
    <w:p w14:paraId="6BC83C89">
      <w:pPr>
        <w:pStyle w:val="2"/>
        <w:bidi w:val="0"/>
        <w:rPr>
          <w:lang w:val="en-US" w:eastAsia="zh-CN"/>
        </w:rPr>
      </w:pPr>
      <w:bookmarkStart w:id="1452" w:name="_Toc27439"/>
      <w:bookmarkStart w:id="1453" w:name="_Toc10979"/>
      <w:bookmarkStart w:id="1454" w:name="_Toc1"/>
      <w:bookmarkStart w:id="1455" w:name="_Toc7301"/>
      <w:bookmarkStart w:id="1456" w:name="_Toc12705"/>
      <w:bookmarkStart w:id="1457" w:name="_Toc30821"/>
      <w:bookmarkStart w:id="1458" w:name="_Toc10202"/>
      <w:r>
        <w:rPr>
          <w:lang w:val="en-US" w:eastAsia="zh-CN"/>
        </w:rPr>
        <w:t>（</w:t>
      </w:r>
      <w:r>
        <w:rPr>
          <w:rFonts w:hint="eastAsia"/>
          <w:lang w:val="en-US" w:eastAsia="zh-CN"/>
        </w:rPr>
        <w:t>Interdisciplinary Learning in Primary School</w:t>
      </w:r>
      <w:r>
        <w:rPr>
          <w:lang w:val="en-US" w:eastAsia="zh-CN"/>
        </w:rPr>
        <w:t>）</w:t>
      </w:r>
      <w:bookmarkEnd w:id="1452"/>
      <w:bookmarkEnd w:id="1453"/>
      <w:bookmarkEnd w:id="1454"/>
      <w:bookmarkEnd w:id="1455"/>
      <w:bookmarkEnd w:id="1456"/>
      <w:bookmarkEnd w:id="1457"/>
      <w:bookmarkEnd w:id="1458"/>
    </w:p>
    <w:p w14:paraId="4408E514">
      <w:pPr>
        <w:spacing w:line="360" w:lineRule="auto"/>
        <w:jc w:val="center"/>
        <w:rPr>
          <w:rFonts w:ascii="Times New Roman" w:hAnsi="Times New Roman" w:eastAsia="宋体" w:cs="Times New Roman"/>
          <w:bCs/>
          <w:sz w:val="30"/>
          <w:szCs w:val="30"/>
        </w:rPr>
      </w:pPr>
    </w:p>
    <w:p w14:paraId="5C578D69">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小学跨学科学习</w:t>
      </w:r>
    </w:p>
    <w:p w14:paraId="52E36725">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课程代码：24010</w:t>
      </w:r>
      <w:r>
        <w:rPr>
          <w:rFonts w:hint="eastAsia" w:ascii="Times New Roman" w:hAnsi="Times New Roman" w:eastAsia="宋体" w:cs="Times New Roman"/>
          <w:b/>
          <w:sz w:val="24"/>
          <w:szCs w:val="24"/>
          <w:lang w:val="en-US" w:eastAsia="zh-CN"/>
        </w:rPr>
        <w:t>62</w:t>
      </w:r>
    </w:p>
    <w:p w14:paraId="7161668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23C7AC0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4BD2F7E0">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先修课程：小学心理学、</w:t>
      </w:r>
      <w:r>
        <w:rPr>
          <w:rFonts w:hint="eastAsia" w:ascii="Times New Roman" w:hAnsi="Times New Roman" w:eastAsia="宋体" w:cs="Times New Roman"/>
          <w:b/>
          <w:sz w:val="24"/>
          <w:szCs w:val="24"/>
          <w:lang w:val="en-US" w:eastAsia="zh-CN"/>
        </w:rPr>
        <w:t>教育原理、学科课程与教学论</w:t>
      </w:r>
      <w:r>
        <w:rPr>
          <w:rFonts w:hint="eastAsia" w:ascii="Times New Roman" w:hAnsi="Times New Roman" w:eastAsia="宋体" w:cs="Times New Roman"/>
          <w:b/>
          <w:sz w:val="24"/>
          <w:szCs w:val="24"/>
        </w:rPr>
        <w:t>、教育心理学</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学科课程标准与教材分析</w:t>
      </w:r>
    </w:p>
    <w:p w14:paraId="43B64EC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61AAC09F">
      <w:pPr>
        <w:spacing w:line="360" w:lineRule="auto"/>
        <w:jc w:val="left"/>
        <w:rPr>
          <w:rFonts w:ascii="Times New Roman" w:hAnsi="Times New Roman" w:eastAsia="宋体" w:cs="Times New Roman"/>
          <w:b/>
          <w:sz w:val="24"/>
          <w:szCs w:val="24"/>
        </w:rPr>
      </w:pPr>
    </w:p>
    <w:p w14:paraId="300C185E">
      <w:pPr>
        <w:spacing w:line="360" w:lineRule="auto"/>
        <w:jc w:val="left"/>
        <w:outlineLvl w:val="0"/>
        <w:rPr>
          <w:rFonts w:ascii="Times New Roman" w:hAnsi="Times New Roman" w:eastAsia="宋体" w:cs="Times New Roman"/>
          <w:sz w:val="24"/>
          <w:szCs w:val="24"/>
        </w:rPr>
      </w:pPr>
      <w:bookmarkStart w:id="1459" w:name="_Toc17270"/>
      <w:bookmarkStart w:id="1460" w:name="_Toc30822"/>
      <w:bookmarkStart w:id="1461" w:name="_Toc22040"/>
      <w:bookmarkStart w:id="1462" w:name="_Toc14167"/>
      <w:bookmarkStart w:id="1463" w:name="_Toc23606"/>
      <w:bookmarkStart w:id="1464" w:name="_Toc6821"/>
      <w:bookmarkStart w:id="1465" w:name="_Toc20482"/>
      <w:r>
        <w:rPr>
          <w:rFonts w:hint="eastAsia" w:ascii="Times New Roman" w:hAnsi="Times New Roman" w:eastAsia="宋体" w:cs="Times New Roman"/>
          <w:b/>
          <w:sz w:val="24"/>
          <w:szCs w:val="24"/>
        </w:rPr>
        <w:t>一、课程简介</w:t>
      </w:r>
      <w:bookmarkEnd w:id="1459"/>
      <w:bookmarkEnd w:id="1460"/>
      <w:bookmarkEnd w:id="1461"/>
      <w:bookmarkEnd w:id="1462"/>
      <w:bookmarkEnd w:id="1463"/>
      <w:bookmarkEnd w:id="1464"/>
      <w:bookmarkEnd w:id="1465"/>
    </w:p>
    <w:p w14:paraId="7A32422A">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小学教育专业的专业基础选修课。通过本课程的学习，学生在了解跨学科学习的背景、意义、类型的基础上，形成自觉主动的跨学科意识，真正理解为什么跨学科学习、跨学科究竟要跨什么；掌握跨学科学习设计与实施过程中的主题确定、目标确定、任务设计、评价设计，能够科学开展跨学科主题学习教研活动，将新课标理念落实到教育教学中。</w:t>
      </w:r>
    </w:p>
    <w:p w14:paraId="7055B17A">
      <w:pPr>
        <w:spacing w:line="360" w:lineRule="auto"/>
        <w:jc w:val="left"/>
        <w:outlineLvl w:val="0"/>
        <w:rPr>
          <w:rFonts w:ascii="Times New Roman" w:hAnsi="Times New Roman" w:eastAsia="宋体" w:cs="Times New Roman"/>
          <w:sz w:val="24"/>
          <w:szCs w:val="24"/>
        </w:rPr>
      </w:pPr>
      <w:bookmarkStart w:id="1466" w:name="_Toc18119"/>
      <w:bookmarkStart w:id="1467" w:name="_Toc20360"/>
      <w:bookmarkStart w:id="1468" w:name="_Toc31266"/>
      <w:bookmarkStart w:id="1469" w:name="_Toc1307"/>
      <w:bookmarkStart w:id="1470" w:name="_Toc6202"/>
      <w:bookmarkStart w:id="1471" w:name="_Toc4438"/>
      <w:bookmarkStart w:id="1472" w:name="_Toc30683"/>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1466"/>
      <w:bookmarkEnd w:id="1467"/>
      <w:bookmarkEnd w:id="1468"/>
      <w:bookmarkEnd w:id="1469"/>
      <w:bookmarkEnd w:id="1470"/>
      <w:bookmarkEnd w:id="1471"/>
      <w:bookmarkEnd w:id="1472"/>
    </w:p>
    <w:p w14:paraId="6F6D8E40">
      <w:pPr>
        <w:spacing w:line="360" w:lineRule="auto"/>
        <w:ind w:firstLine="422" w:firstLineChars="200"/>
        <w:outlineLvl w:val="1"/>
        <w:rPr>
          <w:rFonts w:hint="eastAsia" w:ascii="宋体" w:hAnsi="宋体" w:eastAsia="宋体" w:cs="Times New Roman"/>
          <w:b/>
          <w:color w:val="000000"/>
          <w:szCs w:val="21"/>
        </w:rPr>
      </w:pPr>
      <w:bookmarkStart w:id="1473" w:name="_Toc8186"/>
      <w:r>
        <w:rPr>
          <w:rFonts w:hint="eastAsia" w:ascii="宋体" w:hAnsi="宋体" w:eastAsia="宋体" w:cs="Times New Roman"/>
          <w:b/>
          <w:color w:val="000000"/>
          <w:szCs w:val="21"/>
        </w:rPr>
        <w:t>（一）课程具体目标</w:t>
      </w:r>
      <w:bookmarkEnd w:id="1473"/>
    </w:p>
    <w:p w14:paraId="768A93B9">
      <w:pPr>
        <w:spacing w:line="360" w:lineRule="auto"/>
        <w:ind w:firstLine="422" w:firstLineChars="200"/>
        <w:jc w:val="left"/>
        <w:rPr>
          <w:rFonts w:hint="eastAsia" w:ascii="Times New Roman" w:hAnsi="Times New Roman" w:eastAsia="宋体" w:cs="Times New Roman"/>
          <w:b/>
          <w:szCs w:val="21"/>
        </w:rPr>
      </w:pPr>
      <w:r>
        <w:rPr>
          <w:rFonts w:hint="eastAsia" w:ascii="Times New Roman" w:hAnsi="Times New Roman" w:eastAsia="宋体" w:cs="Times New Roman"/>
          <w:b/>
          <w:szCs w:val="21"/>
        </w:rPr>
        <w:t xml:space="preserve">目标1. </w:t>
      </w:r>
      <w:r>
        <w:rPr>
          <w:rFonts w:hint="eastAsia" w:ascii="Times New Roman" w:hAnsi="Times New Roman" w:eastAsia="宋体" w:cs="Times New Roman"/>
          <w:b w:val="0"/>
          <w:bCs/>
          <w:szCs w:val="21"/>
        </w:rPr>
        <w:t>了解跨学科学习的概念、功能、类型；掌握跨学科学习设计与实施过程中的主题确定、目标确定、任务设计、评价设计的基础知识和基本原理。</w:t>
      </w:r>
    </w:p>
    <w:p w14:paraId="2989045A">
      <w:pPr>
        <w:spacing w:line="360" w:lineRule="auto"/>
        <w:ind w:firstLine="422"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szCs w:val="21"/>
        </w:rPr>
        <w:t xml:space="preserve">目标2. </w:t>
      </w:r>
      <w:r>
        <w:rPr>
          <w:rFonts w:hint="eastAsia" w:ascii="Times New Roman" w:hAnsi="Times New Roman" w:eastAsia="宋体" w:cs="Times New Roman"/>
          <w:b w:val="0"/>
          <w:bCs/>
          <w:szCs w:val="21"/>
        </w:rPr>
        <w:t>能够从小学生学习和发展的角度，主动加强学科间的内容关联，主动建立学科思想和方法的关联，并将其转化为有真实情境的、小学生能够主动介入的学习主题；能够科学开展跨学科主题学习教研活动。</w:t>
      </w:r>
    </w:p>
    <w:p w14:paraId="4E92AAA9">
      <w:pPr>
        <w:spacing w:line="360" w:lineRule="auto"/>
        <w:ind w:firstLine="422"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szCs w:val="21"/>
        </w:rPr>
        <w:t xml:space="preserve">目标3. </w:t>
      </w:r>
      <w:r>
        <w:rPr>
          <w:rFonts w:hint="eastAsia" w:ascii="Times New Roman" w:hAnsi="Times New Roman" w:eastAsia="宋体" w:cs="Times New Roman"/>
          <w:b w:val="0"/>
          <w:bCs/>
          <w:szCs w:val="21"/>
        </w:rPr>
        <w:t>理解跨学科学习的意义及重要性，明确跨学科学习的学科立场；通过关键问题解读、典型课例解析，真正理解为什么跨、跨什么、怎么跨，形成自觉主动的跨学科意识。</w:t>
      </w:r>
    </w:p>
    <w:p w14:paraId="6811A84F">
      <w:pPr>
        <w:spacing w:before="156" w:beforeLines="50" w:after="156" w:afterLines="50" w:line="360" w:lineRule="auto"/>
        <w:jc w:val="left"/>
        <w:outlineLvl w:val="1"/>
        <w:rPr>
          <w:rFonts w:ascii="Times New Roman" w:hAnsi="Times New Roman" w:eastAsia="宋体" w:cs="Times New Roman"/>
          <w:b/>
          <w:bCs/>
          <w:szCs w:val="21"/>
        </w:rPr>
      </w:pPr>
      <w:bookmarkStart w:id="1474" w:name="_Toc16071"/>
      <w:r>
        <w:rPr>
          <w:rFonts w:hint="eastAsia" w:ascii="Times New Roman" w:hAnsi="Times New Roman" w:eastAsia="宋体" w:cs="Times New Roman"/>
          <w:b/>
          <w:bCs/>
          <w:szCs w:val="21"/>
        </w:rPr>
        <w:t>（二）课程目标及其对毕业要求指标点的支撑</w:t>
      </w:r>
      <w:bookmarkEnd w:id="1474"/>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39B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8" w:type="dxa"/>
            <w:vAlign w:val="center"/>
          </w:tcPr>
          <w:p w14:paraId="44BE50A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2DE5D8F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BA520F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E82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262C0DA">
            <w:pPr>
              <w:spacing w:line="276"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3学科素养</w:t>
            </w:r>
          </w:p>
        </w:tc>
        <w:tc>
          <w:tcPr>
            <w:tcW w:w="5688" w:type="dxa"/>
            <w:vAlign w:val="center"/>
          </w:tcPr>
          <w:p w14:paraId="0A88FC8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指标点3-4：【注重知识整合】了解所教学科与其他学科及与社会实践、小学生生活实践之间的联系，了解学科整合的在小学教育中的价值，具有跨学科解决问题的意识和能力，能指导综合性学科教学活动。</w:t>
            </w:r>
          </w:p>
        </w:tc>
        <w:tc>
          <w:tcPr>
            <w:tcW w:w="1191" w:type="dxa"/>
            <w:vAlign w:val="center"/>
          </w:tcPr>
          <w:p w14:paraId="3677BC62">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课程目标1</w:t>
            </w:r>
          </w:p>
          <w:p w14:paraId="2877C48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课程目标2</w:t>
            </w:r>
            <w:r>
              <w:rPr>
                <w:rFonts w:hint="eastAsia" w:ascii="Times New Roman" w:hAnsi="Times New Roman" w:eastAsia="宋体" w:cs="Times New Roman"/>
                <w:szCs w:val="21"/>
              </w:rPr>
              <w:t>课程目标3</w:t>
            </w:r>
          </w:p>
        </w:tc>
      </w:tr>
      <w:tr w14:paraId="6791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749EE26">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4教学能力</w:t>
            </w:r>
          </w:p>
        </w:tc>
        <w:tc>
          <w:tcPr>
            <w:tcW w:w="5688" w:type="dxa"/>
            <w:vAlign w:val="center"/>
          </w:tcPr>
          <w:p w14:paraId="48CCDCE8">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tc>
        <w:tc>
          <w:tcPr>
            <w:tcW w:w="1191" w:type="dxa"/>
            <w:vAlign w:val="center"/>
          </w:tcPr>
          <w:p w14:paraId="77FFE697">
            <w:pPr>
              <w:spacing w:line="276"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w:t>
            </w:r>
          </w:p>
        </w:tc>
      </w:tr>
    </w:tbl>
    <w:p w14:paraId="6B6DD69D">
      <w:pPr>
        <w:spacing w:before="156" w:beforeLines="50" w:line="360" w:lineRule="auto"/>
        <w:jc w:val="left"/>
        <w:outlineLvl w:val="1"/>
        <w:rPr>
          <w:rFonts w:hint="eastAsia" w:ascii="宋体" w:hAnsi="宋体" w:eastAsia="宋体" w:cs="Times New Roman"/>
          <w:b/>
          <w:color w:val="000000"/>
          <w:szCs w:val="21"/>
        </w:rPr>
      </w:pPr>
      <w:bookmarkStart w:id="1475" w:name="_Toc17383"/>
      <w:r>
        <w:rPr>
          <w:rFonts w:hint="eastAsia" w:ascii="宋体" w:hAnsi="宋体" w:eastAsia="宋体" w:cs="Times New Roman"/>
          <w:b/>
          <w:color w:val="000000"/>
          <w:szCs w:val="21"/>
        </w:rPr>
        <w:t>（三）课程思政目标</w:t>
      </w:r>
      <w:bookmarkEnd w:id="1475"/>
    </w:p>
    <w:p w14:paraId="5D5CD73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深刻</w:t>
      </w:r>
      <w:r>
        <w:rPr>
          <w:rFonts w:hint="eastAsia" w:ascii="宋体" w:hAnsi="宋体" w:eastAsia="宋体" w:cs="Times New Roman"/>
          <w:color w:val="000000"/>
          <w:szCs w:val="21"/>
        </w:rPr>
        <w:t>理解跨学科</w:t>
      </w:r>
      <w:r>
        <w:rPr>
          <w:rFonts w:hint="eastAsia" w:ascii="宋体" w:hAnsi="宋体" w:eastAsia="宋体" w:cs="Times New Roman"/>
          <w:color w:val="000000"/>
          <w:szCs w:val="21"/>
          <w:lang w:val="en-US" w:eastAsia="zh-CN"/>
        </w:rPr>
        <w:t>学习</w:t>
      </w:r>
      <w:r>
        <w:rPr>
          <w:rFonts w:hint="eastAsia" w:ascii="宋体" w:hAnsi="宋体" w:eastAsia="宋体" w:cs="Times New Roman"/>
          <w:color w:val="000000"/>
          <w:szCs w:val="21"/>
        </w:rPr>
        <w:t>的价值、理念和本质特征</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形成跨学科意识、终身学习意识与研究意识，努力成为“四有”好老师；</w:t>
      </w:r>
      <w:r>
        <w:rPr>
          <w:rFonts w:hint="eastAsia" w:ascii="宋体" w:hAnsi="宋体" w:eastAsia="宋体" w:cs="Times New Roman"/>
          <w:color w:val="000000"/>
          <w:szCs w:val="21"/>
        </w:rPr>
        <w:t>积极响应国家对教师跨学科素养培育的要求，</w:t>
      </w:r>
      <w:r>
        <w:rPr>
          <w:rFonts w:hint="eastAsia" w:ascii="宋体" w:hAnsi="宋体" w:eastAsia="宋体" w:cs="Times New Roman"/>
          <w:color w:val="000000"/>
          <w:szCs w:val="21"/>
          <w:lang w:val="en-US" w:eastAsia="zh-CN"/>
        </w:rPr>
        <w:t>科学开展跨学科主题学习活动，将新课标理念落实到教育教学中</w:t>
      </w:r>
      <w:r>
        <w:rPr>
          <w:rFonts w:hint="eastAsia" w:ascii="宋体" w:hAnsi="宋体" w:eastAsia="宋体" w:cs="Times New Roman"/>
          <w:color w:val="000000"/>
          <w:szCs w:val="21"/>
        </w:rPr>
        <w:t>。</w:t>
      </w:r>
    </w:p>
    <w:p w14:paraId="6A8FBDA4">
      <w:pPr>
        <w:spacing w:line="360" w:lineRule="auto"/>
        <w:jc w:val="left"/>
        <w:outlineLvl w:val="0"/>
        <w:rPr>
          <w:rFonts w:hint="eastAsia" w:ascii="宋体" w:hAnsi="宋体" w:eastAsia="宋体" w:cs="Times New Roman"/>
          <w:b/>
          <w:color w:val="000000"/>
          <w:sz w:val="24"/>
          <w:szCs w:val="24"/>
        </w:rPr>
      </w:pPr>
      <w:bookmarkStart w:id="1476" w:name="_Toc14065"/>
      <w:bookmarkStart w:id="1477" w:name="_Toc13926"/>
      <w:bookmarkStart w:id="1478" w:name="_Toc17629"/>
      <w:bookmarkStart w:id="1479" w:name="_Toc32043"/>
      <w:bookmarkStart w:id="1480" w:name="_Toc25041"/>
      <w:bookmarkStart w:id="1481" w:name="_Toc30924"/>
      <w:bookmarkStart w:id="1482" w:name="_Toc19358"/>
      <w:r>
        <w:rPr>
          <w:rFonts w:hint="eastAsia" w:ascii="宋体" w:hAnsi="宋体" w:eastAsia="宋体" w:cs="Times New Roman"/>
          <w:b/>
          <w:color w:val="000000"/>
          <w:sz w:val="24"/>
          <w:szCs w:val="24"/>
        </w:rPr>
        <w:t>三、教学内容与预期学习成效</w:t>
      </w:r>
      <w:bookmarkEnd w:id="1476"/>
      <w:bookmarkEnd w:id="1477"/>
      <w:bookmarkEnd w:id="1478"/>
      <w:bookmarkEnd w:id="1479"/>
      <w:bookmarkEnd w:id="1480"/>
      <w:bookmarkEnd w:id="1481"/>
      <w:bookmarkEnd w:id="1482"/>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750"/>
        <w:gridCol w:w="825"/>
        <w:gridCol w:w="2875"/>
        <w:gridCol w:w="1490"/>
        <w:gridCol w:w="438"/>
      </w:tblGrid>
      <w:tr w14:paraId="6FB2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Align w:val="center"/>
          </w:tcPr>
          <w:p w14:paraId="372C799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29A211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750" w:type="dxa"/>
            <w:vAlign w:val="center"/>
          </w:tcPr>
          <w:p w14:paraId="1B94C2C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825" w:type="dxa"/>
            <w:vAlign w:val="center"/>
          </w:tcPr>
          <w:p w14:paraId="21F7E30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58D392F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875" w:type="dxa"/>
            <w:vAlign w:val="center"/>
          </w:tcPr>
          <w:p w14:paraId="75EE0BD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490" w:type="dxa"/>
            <w:vAlign w:val="center"/>
          </w:tcPr>
          <w:p w14:paraId="63B999D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F1C60E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5171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7FB14FC2">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1.跨学科学习</w:t>
            </w:r>
            <w:r>
              <w:rPr>
                <w:rFonts w:hint="eastAsia" w:ascii="宋体" w:hAnsi="宋体" w:eastAsia="宋体" w:cs="Times New Roman"/>
                <w:color w:val="000000"/>
                <w:szCs w:val="21"/>
                <w:lang w:val="en-US" w:eastAsia="zh-CN"/>
              </w:rPr>
              <w:t>的意义与功能</w:t>
            </w:r>
          </w:p>
        </w:tc>
        <w:tc>
          <w:tcPr>
            <w:tcW w:w="2750" w:type="dxa"/>
            <w:vAlign w:val="center"/>
          </w:tcPr>
          <w:p w14:paraId="16EE190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跨学科学习的含义</w:t>
            </w:r>
          </w:p>
          <w:p w14:paraId="75A98EA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（2）设置跨学科学习的意义</w:t>
            </w:r>
          </w:p>
          <w:p w14:paraId="765DF1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（3）跨学科学习的功能</w:t>
            </w:r>
          </w:p>
          <w:p w14:paraId="02F8D62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（4）跨学科学习的学科立场</w:t>
            </w:r>
          </w:p>
        </w:tc>
        <w:tc>
          <w:tcPr>
            <w:tcW w:w="825" w:type="dxa"/>
            <w:vAlign w:val="center"/>
          </w:tcPr>
          <w:p w14:paraId="1AEC44BB">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3</w:t>
            </w:r>
          </w:p>
        </w:tc>
        <w:tc>
          <w:tcPr>
            <w:tcW w:w="2875" w:type="dxa"/>
            <w:vAlign w:val="center"/>
          </w:tcPr>
          <w:p w14:paraId="6D724C35">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理解跨学科学习的概念表述</w:t>
            </w:r>
            <w:r>
              <w:rPr>
                <w:rFonts w:hint="eastAsia" w:ascii="宋体" w:hAnsi="宋体" w:eastAsia="宋体" w:cs="Times New Roman"/>
                <w:color w:val="000000"/>
                <w:szCs w:val="21"/>
                <w:lang w:eastAsia="zh-CN"/>
              </w:rPr>
              <w:t>；</w:t>
            </w:r>
          </w:p>
          <w:p w14:paraId="05715CEF">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了解跨学科学习的意义、功能与学科立场</w:t>
            </w:r>
            <w:r>
              <w:rPr>
                <w:rFonts w:hint="eastAsia" w:ascii="宋体" w:hAnsi="宋体" w:eastAsia="宋体" w:cs="Times New Roman"/>
                <w:color w:val="000000"/>
                <w:szCs w:val="21"/>
                <w:lang w:eastAsia="zh-CN"/>
              </w:rPr>
              <w:t>。</w:t>
            </w:r>
          </w:p>
          <w:p w14:paraId="7AA799FA">
            <w:pPr>
              <w:spacing w:line="269" w:lineRule="auto"/>
              <w:jc w:val="left"/>
              <w:rPr>
                <w:rFonts w:hint="eastAsia" w:ascii="宋体" w:hAnsi="宋体" w:eastAsia="宋体" w:cs="Times New Roman"/>
                <w:color w:val="000000"/>
                <w:szCs w:val="21"/>
              </w:rPr>
            </w:pPr>
          </w:p>
        </w:tc>
        <w:tc>
          <w:tcPr>
            <w:tcW w:w="1490" w:type="dxa"/>
            <w:vAlign w:val="center"/>
          </w:tcPr>
          <w:p w14:paraId="32BC8B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.多媒体教学</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.课堂讨论</w:t>
            </w:r>
          </w:p>
          <w:p w14:paraId="39B3B1E6">
            <w:pPr>
              <w:spacing w:line="269" w:lineRule="auto"/>
              <w:jc w:val="left"/>
              <w:rPr>
                <w:rFonts w:hint="eastAsia" w:ascii="宋体" w:hAnsi="宋体" w:eastAsia="宋体" w:cs="Times New Roman"/>
                <w:color w:val="000000"/>
                <w:szCs w:val="21"/>
              </w:rPr>
            </w:pPr>
          </w:p>
        </w:tc>
        <w:tc>
          <w:tcPr>
            <w:tcW w:w="438" w:type="dxa"/>
            <w:vAlign w:val="center"/>
          </w:tcPr>
          <w:p w14:paraId="5FF7599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0C5E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190E4AAC">
            <w:pPr>
              <w:spacing w:line="264" w:lineRule="auto"/>
              <w:jc w:val="center"/>
              <w:rPr>
                <w:rFonts w:hint="eastAsia" w:ascii="宋体" w:hAnsi="宋体" w:eastAsia="宋体" w:cs="Times New Roman"/>
                <w:color w:val="000000"/>
                <w:szCs w:val="21"/>
              </w:rPr>
            </w:pPr>
          </w:p>
        </w:tc>
        <w:tc>
          <w:tcPr>
            <w:tcW w:w="8378" w:type="dxa"/>
            <w:gridSpan w:val="5"/>
            <w:vAlign w:val="center"/>
          </w:tcPr>
          <w:p w14:paraId="67AD1C5E">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在中国式现代化、教育强国、人才强国背景下理解跨学科学习与时代新人培养的意义，结合我国人才素养要求，与时俱进，开拓创新，立志为中华民族伟大复兴培养高素质人才奠基。</w:t>
            </w:r>
          </w:p>
        </w:tc>
      </w:tr>
      <w:tr w14:paraId="1BF7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7DE120A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2.跨学科学习的基本类型、实施要点与进阶安排</w:t>
            </w:r>
          </w:p>
        </w:tc>
        <w:tc>
          <w:tcPr>
            <w:tcW w:w="2750" w:type="dxa"/>
            <w:vAlign w:val="center"/>
          </w:tcPr>
          <w:p w14:paraId="19F7700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跨学科学习的基本类型</w:t>
            </w:r>
          </w:p>
          <w:p w14:paraId="32699A0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（2）跨学科学习的实施要点</w:t>
            </w:r>
          </w:p>
          <w:p w14:paraId="5E6F13D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（3）跨学科学习的进阶安排</w:t>
            </w:r>
          </w:p>
        </w:tc>
        <w:tc>
          <w:tcPr>
            <w:tcW w:w="825" w:type="dxa"/>
            <w:vAlign w:val="center"/>
          </w:tcPr>
          <w:p w14:paraId="5C24EAF7">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2875" w:type="dxa"/>
            <w:vAlign w:val="center"/>
          </w:tcPr>
          <w:p w14:paraId="15D95E3E">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正确理解并掌握跨学科学习的基本类型与实施要点</w:t>
            </w:r>
            <w:r>
              <w:rPr>
                <w:rFonts w:hint="eastAsia" w:ascii="宋体" w:hAnsi="宋体" w:eastAsia="宋体" w:cs="Times New Roman"/>
                <w:color w:val="000000"/>
                <w:szCs w:val="21"/>
                <w:lang w:eastAsia="zh-CN"/>
              </w:rPr>
              <w:t>；</w:t>
            </w:r>
          </w:p>
          <w:p w14:paraId="547D936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理解跨学科学习进阶安排的含义、依据、基本思路与支持工具。</w:t>
            </w:r>
          </w:p>
        </w:tc>
        <w:tc>
          <w:tcPr>
            <w:tcW w:w="1490" w:type="dxa"/>
            <w:vAlign w:val="center"/>
          </w:tcPr>
          <w:p w14:paraId="6E32BB1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23C905C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A420F8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0FFEDCB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r>
      <w:tr w14:paraId="43B3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53554FB8">
            <w:pPr>
              <w:spacing w:line="264" w:lineRule="auto"/>
              <w:jc w:val="center"/>
              <w:rPr>
                <w:rFonts w:hint="eastAsia" w:ascii="宋体" w:hAnsi="宋体" w:eastAsia="宋体" w:cs="Times New Roman"/>
                <w:color w:val="000000"/>
                <w:szCs w:val="21"/>
              </w:rPr>
            </w:pPr>
          </w:p>
        </w:tc>
        <w:tc>
          <w:tcPr>
            <w:tcW w:w="8378" w:type="dxa"/>
            <w:gridSpan w:val="5"/>
            <w:vAlign w:val="center"/>
          </w:tcPr>
          <w:p w14:paraId="374F150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形成对跨学科学习的正确认识，理解跨学科学习的重要性。</w:t>
            </w:r>
          </w:p>
        </w:tc>
      </w:tr>
      <w:tr w14:paraId="0360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7941638F">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3.跨学科学习的主题确定</w:t>
            </w:r>
          </w:p>
        </w:tc>
        <w:tc>
          <w:tcPr>
            <w:tcW w:w="2750" w:type="dxa"/>
            <w:vAlign w:val="center"/>
          </w:tcPr>
          <w:p w14:paraId="0D3899A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确立主题的主要依据</w:t>
            </w:r>
          </w:p>
          <w:p w14:paraId="09C3974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（2）主题应具备的重要特征</w:t>
            </w:r>
          </w:p>
          <w:p w14:paraId="207E17E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（3）主题的表述要点</w:t>
            </w:r>
          </w:p>
        </w:tc>
        <w:tc>
          <w:tcPr>
            <w:tcW w:w="825" w:type="dxa"/>
            <w:vAlign w:val="center"/>
          </w:tcPr>
          <w:p w14:paraId="2C8F607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2、3</w:t>
            </w:r>
          </w:p>
        </w:tc>
        <w:tc>
          <w:tcPr>
            <w:tcW w:w="2875" w:type="dxa"/>
            <w:vAlign w:val="center"/>
          </w:tcPr>
          <w:p w14:paraId="4F84112C">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理解确立主题的主要依据</w:t>
            </w:r>
            <w:r>
              <w:rPr>
                <w:rFonts w:hint="eastAsia" w:ascii="宋体" w:hAnsi="宋体" w:eastAsia="宋体" w:cs="Times New Roman"/>
                <w:color w:val="000000"/>
                <w:szCs w:val="21"/>
                <w:lang w:eastAsia="zh-CN"/>
              </w:rPr>
              <w:t>；</w:t>
            </w:r>
          </w:p>
          <w:p w14:paraId="5B579361">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掌握主题应具备的主要特征</w:t>
            </w:r>
            <w:r>
              <w:rPr>
                <w:rFonts w:hint="eastAsia" w:ascii="宋体" w:hAnsi="宋体" w:eastAsia="宋体" w:cs="Times New Roman"/>
                <w:color w:val="000000"/>
                <w:szCs w:val="21"/>
                <w:lang w:eastAsia="zh-CN"/>
              </w:rPr>
              <w:t>；</w:t>
            </w:r>
          </w:p>
          <w:p w14:paraId="23DE202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能够正确的进行主题表述。</w:t>
            </w:r>
          </w:p>
        </w:tc>
        <w:tc>
          <w:tcPr>
            <w:tcW w:w="1490" w:type="dxa"/>
            <w:vAlign w:val="center"/>
          </w:tcPr>
          <w:p w14:paraId="015ACD7E">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3AE7293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4783BE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27BEDB8">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4337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67B718C9">
            <w:pPr>
              <w:spacing w:line="264" w:lineRule="auto"/>
              <w:jc w:val="center"/>
              <w:rPr>
                <w:rFonts w:hint="eastAsia" w:ascii="宋体" w:hAnsi="宋体" w:eastAsia="宋体" w:cs="Times New Roman"/>
                <w:color w:val="000000"/>
                <w:szCs w:val="21"/>
              </w:rPr>
            </w:pPr>
          </w:p>
        </w:tc>
        <w:tc>
          <w:tcPr>
            <w:tcW w:w="8378" w:type="dxa"/>
            <w:gridSpan w:val="5"/>
            <w:vAlign w:val="center"/>
          </w:tcPr>
          <w:p w14:paraId="2CB960E8">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4EC3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40BD6D0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4.跨学科主题学习的目标确定</w:t>
            </w:r>
          </w:p>
        </w:tc>
        <w:tc>
          <w:tcPr>
            <w:tcW w:w="2750" w:type="dxa"/>
            <w:vAlign w:val="center"/>
          </w:tcPr>
          <w:p w14:paraId="4C9EB18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确定目标的基本依据</w:t>
            </w:r>
          </w:p>
          <w:p w14:paraId="6CB71FC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（2）目标的基本要点</w:t>
            </w:r>
          </w:p>
          <w:p w14:paraId="752AFE8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（3）目标的表述方式</w:t>
            </w:r>
          </w:p>
        </w:tc>
        <w:tc>
          <w:tcPr>
            <w:tcW w:w="825" w:type="dxa"/>
            <w:vAlign w:val="center"/>
          </w:tcPr>
          <w:p w14:paraId="4DC3477F">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2875" w:type="dxa"/>
            <w:vAlign w:val="center"/>
          </w:tcPr>
          <w:p w14:paraId="2D20BE74">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理解跨学科学习目标确定的基本依据</w:t>
            </w:r>
            <w:r>
              <w:rPr>
                <w:rFonts w:hint="eastAsia" w:ascii="宋体" w:hAnsi="宋体" w:eastAsia="宋体" w:cs="Times New Roman"/>
                <w:color w:val="000000"/>
                <w:szCs w:val="21"/>
                <w:lang w:eastAsia="zh-CN"/>
              </w:rPr>
              <w:t>；</w:t>
            </w:r>
          </w:p>
          <w:p w14:paraId="3DF8B4F3">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掌握跨学科学习目标的基本要点与表述方式</w:t>
            </w:r>
            <w:r>
              <w:rPr>
                <w:rFonts w:hint="eastAsia" w:ascii="宋体" w:hAnsi="宋体" w:eastAsia="宋体" w:cs="Times New Roman"/>
                <w:color w:val="000000"/>
                <w:szCs w:val="21"/>
                <w:lang w:eastAsia="zh-CN"/>
              </w:rPr>
              <w:t>；</w:t>
            </w:r>
          </w:p>
          <w:p w14:paraId="2FA4123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能够进行科学的目标表述。</w:t>
            </w:r>
          </w:p>
        </w:tc>
        <w:tc>
          <w:tcPr>
            <w:tcW w:w="1490" w:type="dxa"/>
            <w:vAlign w:val="center"/>
          </w:tcPr>
          <w:p w14:paraId="2D50A86B">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F530CC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07B63B2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25FA4A6">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6510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43100F49">
            <w:pPr>
              <w:spacing w:line="276" w:lineRule="auto"/>
              <w:jc w:val="center"/>
              <w:rPr>
                <w:rFonts w:hint="eastAsia" w:ascii="宋体" w:hAnsi="宋体" w:eastAsia="宋体" w:cs="Times New Roman"/>
                <w:color w:val="000000"/>
                <w:szCs w:val="21"/>
              </w:rPr>
            </w:pPr>
          </w:p>
        </w:tc>
        <w:tc>
          <w:tcPr>
            <w:tcW w:w="8378" w:type="dxa"/>
            <w:gridSpan w:val="5"/>
            <w:vAlign w:val="center"/>
          </w:tcPr>
          <w:p w14:paraId="374B122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3B8B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30685EE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5.跨学科学习的任务设计</w:t>
            </w:r>
          </w:p>
        </w:tc>
        <w:tc>
          <w:tcPr>
            <w:tcW w:w="2750" w:type="dxa"/>
            <w:vAlign w:val="center"/>
          </w:tcPr>
          <w:p w14:paraId="7EAF638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任务设计的依据</w:t>
            </w:r>
          </w:p>
          <w:p w14:paraId="32A02A2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（2）任务设计的流程</w:t>
            </w:r>
          </w:p>
          <w:p w14:paraId="5E9AC00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（3）任务设计自评</w:t>
            </w:r>
          </w:p>
        </w:tc>
        <w:tc>
          <w:tcPr>
            <w:tcW w:w="825" w:type="dxa"/>
            <w:vAlign w:val="center"/>
          </w:tcPr>
          <w:p w14:paraId="0F1A62C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626A402C">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掌握跨学科学习任务设计的依据与流程</w:t>
            </w:r>
            <w:r>
              <w:rPr>
                <w:rFonts w:hint="eastAsia" w:ascii="宋体" w:hAnsi="宋体" w:eastAsia="宋体" w:cs="Times New Roman"/>
                <w:color w:val="000000"/>
                <w:szCs w:val="21"/>
                <w:lang w:eastAsia="zh-CN"/>
              </w:rPr>
              <w:t>；</w:t>
            </w:r>
          </w:p>
          <w:p w14:paraId="695B67C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能够进行任务设计并进行自评。</w:t>
            </w:r>
          </w:p>
        </w:tc>
        <w:tc>
          <w:tcPr>
            <w:tcW w:w="1490" w:type="dxa"/>
            <w:vAlign w:val="center"/>
          </w:tcPr>
          <w:p w14:paraId="3599F3A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0628726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4C2FB5BA">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F817CC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p>
        </w:tc>
      </w:tr>
      <w:tr w14:paraId="73FD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4B181A44">
            <w:pPr>
              <w:spacing w:line="276" w:lineRule="auto"/>
              <w:jc w:val="center"/>
              <w:rPr>
                <w:rFonts w:hint="eastAsia" w:ascii="宋体" w:hAnsi="宋体" w:eastAsia="宋体" w:cs="Times New Roman"/>
                <w:color w:val="000000"/>
                <w:szCs w:val="21"/>
              </w:rPr>
            </w:pPr>
          </w:p>
        </w:tc>
        <w:tc>
          <w:tcPr>
            <w:tcW w:w="8378" w:type="dxa"/>
            <w:gridSpan w:val="5"/>
            <w:vAlign w:val="center"/>
          </w:tcPr>
          <w:p w14:paraId="1DD044A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7D25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13F3592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6.跨学科学习的评价设计</w:t>
            </w:r>
          </w:p>
        </w:tc>
        <w:tc>
          <w:tcPr>
            <w:tcW w:w="2750" w:type="dxa"/>
            <w:vAlign w:val="center"/>
          </w:tcPr>
          <w:p w14:paraId="155C9D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评价设计的基本依据</w:t>
            </w:r>
          </w:p>
          <w:p w14:paraId="6641B61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（2）评价设计要点</w:t>
            </w:r>
          </w:p>
          <w:p w14:paraId="70FB64E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（3）引导学生参与评价</w:t>
            </w:r>
          </w:p>
        </w:tc>
        <w:tc>
          <w:tcPr>
            <w:tcW w:w="825" w:type="dxa"/>
            <w:vAlign w:val="center"/>
          </w:tcPr>
          <w:p w14:paraId="0CDC6EE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2C76D712">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理解跨学科学习评价设计的依据、掌握评价设计的要点</w:t>
            </w:r>
            <w:r>
              <w:rPr>
                <w:rFonts w:hint="eastAsia" w:ascii="宋体" w:hAnsi="宋体" w:eastAsia="宋体" w:cs="Times New Roman"/>
                <w:color w:val="000000"/>
                <w:szCs w:val="21"/>
                <w:lang w:eastAsia="zh-CN"/>
              </w:rPr>
              <w:t>；</w:t>
            </w:r>
          </w:p>
          <w:p w14:paraId="79A42C2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能够引导学生参与评价。</w:t>
            </w:r>
          </w:p>
        </w:tc>
        <w:tc>
          <w:tcPr>
            <w:tcW w:w="1490" w:type="dxa"/>
            <w:vAlign w:val="center"/>
          </w:tcPr>
          <w:p w14:paraId="6B1B8FC0">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072E7AF">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3F0CF664">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9A8C186">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5A68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75706280">
            <w:pPr>
              <w:spacing w:line="276" w:lineRule="auto"/>
              <w:jc w:val="center"/>
              <w:rPr>
                <w:rFonts w:hint="eastAsia" w:ascii="宋体" w:hAnsi="宋体" w:eastAsia="宋体" w:cs="Times New Roman"/>
                <w:color w:val="000000"/>
                <w:szCs w:val="21"/>
              </w:rPr>
            </w:pPr>
          </w:p>
        </w:tc>
        <w:tc>
          <w:tcPr>
            <w:tcW w:w="8378" w:type="dxa"/>
            <w:gridSpan w:val="5"/>
            <w:vAlign w:val="center"/>
          </w:tcPr>
          <w:p w14:paraId="7735B39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结合案例，理解跨学科学习的重要性以及教师开展跨学科教学应具备的素养，树立终身学习意识，努力成为“四有”好老师。</w:t>
            </w:r>
          </w:p>
        </w:tc>
      </w:tr>
      <w:tr w14:paraId="5A68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restart"/>
            <w:vAlign w:val="center"/>
          </w:tcPr>
          <w:p w14:paraId="6990EF6D">
            <w:pPr>
              <w:spacing w:line="276" w:lineRule="auto"/>
              <w:jc w:val="center"/>
              <w:rPr>
                <w:rFonts w:hint="eastAsia" w:ascii="宋体" w:hAnsi="宋体" w:eastAsia="宋体" w:cs="Times New Roman"/>
                <w:szCs w:val="21"/>
              </w:rPr>
            </w:pPr>
            <w:r>
              <w:rPr>
                <w:rFonts w:hint="eastAsia" w:ascii="宋体" w:hAnsi="宋体" w:eastAsia="宋体" w:cs="Times New Roman"/>
                <w:szCs w:val="21"/>
              </w:rPr>
              <w:t>7.跨学科学习的教研活动</w:t>
            </w:r>
          </w:p>
        </w:tc>
        <w:tc>
          <w:tcPr>
            <w:tcW w:w="2750" w:type="dxa"/>
            <w:vAlign w:val="center"/>
          </w:tcPr>
          <w:p w14:paraId="1A6F62E9">
            <w:pPr>
              <w:spacing w:line="276" w:lineRule="auto"/>
              <w:jc w:val="left"/>
              <w:rPr>
                <w:rFonts w:hint="eastAsia" w:ascii="宋体" w:hAnsi="宋体" w:eastAsia="宋体" w:cs="Times New Roman"/>
                <w:szCs w:val="21"/>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1</w:t>
            </w:r>
            <w:r>
              <w:rPr>
                <w:rFonts w:hint="eastAsia" w:ascii="宋体" w:hAnsi="宋体" w:eastAsia="宋体" w:cs="Times New Roman"/>
                <w:szCs w:val="21"/>
                <w:lang w:eastAsia="zh-CN"/>
              </w:rPr>
              <w:t>）</w:t>
            </w:r>
            <w:r>
              <w:rPr>
                <w:rFonts w:hint="eastAsia" w:ascii="宋体" w:hAnsi="宋体" w:eastAsia="宋体" w:cs="Times New Roman"/>
                <w:szCs w:val="21"/>
              </w:rPr>
              <w:t>价值与难点</w:t>
            </w:r>
          </w:p>
          <w:p w14:paraId="14605CA6">
            <w:pPr>
              <w:spacing w:line="276" w:lineRule="auto"/>
              <w:jc w:val="left"/>
              <w:rPr>
                <w:rFonts w:hint="eastAsia" w:ascii="宋体" w:hAnsi="宋体" w:eastAsia="宋体" w:cs="Times New Roman"/>
                <w:szCs w:val="21"/>
              </w:rPr>
            </w:pPr>
            <w:r>
              <w:rPr>
                <w:rFonts w:hint="eastAsia" w:ascii="宋体" w:hAnsi="宋体" w:eastAsia="宋体" w:cs="Times New Roman"/>
                <w:szCs w:val="21"/>
              </w:rPr>
              <w:t>（2）基本类型</w:t>
            </w:r>
          </w:p>
          <w:p w14:paraId="0348BAA2">
            <w:pPr>
              <w:spacing w:line="276" w:lineRule="auto"/>
              <w:jc w:val="left"/>
              <w:rPr>
                <w:rFonts w:hint="eastAsia" w:ascii="宋体" w:hAnsi="宋体" w:eastAsia="宋体" w:cs="Times New Roman"/>
                <w:szCs w:val="21"/>
              </w:rPr>
            </w:pPr>
            <w:r>
              <w:rPr>
                <w:rFonts w:hint="eastAsia" w:ascii="宋体" w:hAnsi="宋体" w:eastAsia="宋体" w:cs="Times New Roman"/>
                <w:szCs w:val="21"/>
              </w:rPr>
              <w:t>（3）基本流程和关键要素</w:t>
            </w:r>
          </w:p>
        </w:tc>
        <w:tc>
          <w:tcPr>
            <w:tcW w:w="825" w:type="dxa"/>
            <w:vAlign w:val="center"/>
          </w:tcPr>
          <w:p w14:paraId="7B332071">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2875" w:type="dxa"/>
            <w:vAlign w:val="center"/>
          </w:tcPr>
          <w:p w14:paraId="6DBCA515">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了解跨学科学习教研活动的价值与难点，掌握教研活动的类型与基本流程</w:t>
            </w:r>
            <w:r>
              <w:rPr>
                <w:rFonts w:hint="eastAsia" w:ascii="宋体" w:hAnsi="宋体" w:eastAsia="宋体" w:cs="Times New Roman"/>
                <w:color w:val="000000"/>
                <w:szCs w:val="21"/>
                <w:lang w:eastAsia="zh-CN"/>
              </w:rPr>
              <w:t>；</w:t>
            </w:r>
          </w:p>
          <w:p w14:paraId="2A77A856">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能够开展跨学科学习教研活动</w:t>
            </w:r>
            <w:r>
              <w:rPr>
                <w:rFonts w:hint="eastAsia" w:ascii="宋体" w:hAnsi="宋体" w:eastAsia="宋体" w:cs="Times New Roman"/>
                <w:color w:val="000000"/>
                <w:szCs w:val="21"/>
                <w:lang w:eastAsia="zh-CN"/>
              </w:rPr>
              <w:t>；</w:t>
            </w:r>
          </w:p>
        </w:tc>
        <w:tc>
          <w:tcPr>
            <w:tcW w:w="1490" w:type="dxa"/>
            <w:vAlign w:val="center"/>
          </w:tcPr>
          <w:p w14:paraId="6AA56342">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7ABC8CB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1B4709A6">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25A07AD">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01C6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0" w:type="dxa"/>
            <w:vMerge w:val="continue"/>
            <w:vAlign w:val="center"/>
          </w:tcPr>
          <w:p w14:paraId="5DE6259D">
            <w:pPr>
              <w:spacing w:line="276" w:lineRule="auto"/>
              <w:jc w:val="center"/>
              <w:rPr>
                <w:rFonts w:hint="eastAsia" w:ascii="宋体" w:hAnsi="宋体" w:eastAsia="宋体" w:cs="Times New Roman"/>
                <w:color w:val="000000"/>
                <w:szCs w:val="21"/>
              </w:rPr>
            </w:pPr>
          </w:p>
        </w:tc>
        <w:tc>
          <w:tcPr>
            <w:tcW w:w="8378" w:type="dxa"/>
            <w:gridSpan w:val="5"/>
            <w:vAlign w:val="center"/>
          </w:tcPr>
          <w:p w14:paraId="2CC1AA2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结合案例，理解开展跨学科学习教研活动的重要性，树立终身学习意识与研究意识，努力成为“四有”好老师。</w:t>
            </w:r>
          </w:p>
        </w:tc>
      </w:tr>
    </w:tbl>
    <w:p w14:paraId="30413300">
      <w:pPr>
        <w:spacing w:line="360" w:lineRule="auto"/>
        <w:jc w:val="left"/>
        <w:outlineLvl w:val="0"/>
        <w:rPr>
          <w:rFonts w:ascii="Times New Roman" w:hAnsi="Times New Roman" w:eastAsia="宋体" w:cs="Times New Roman"/>
          <w:sz w:val="24"/>
          <w:szCs w:val="24"/>
        </w:rPr>
      </w:pPr>
      <w:bookmarkStart w:id="1483" w:name="_Toc22429"/>
      <w:bookmarkStart w:id="1484" w:name="_Toc7820"/>
      <w:bookmarkStart w:id="1485" w:name="_Toc12839"/>
      <w:bookmarkStart w:id="1486" w:name="_Toc30101"/>
      <w:bookmarkStart w:id="1487" w:name="_Toc8449"/>
      <w:bookmarkStart w:id="1488" w:name="_Toc19649"/>
      <w:bookmarkStart w:id="1489" w:name="_Toc10665"/>
      <w:r>
        <w:rPr>
          <w:rFonts w:hint="eastAsia" w:ascii="宋体" w:hAnsi="宋体" w:eastAsia="宋体" w:cs="Times New Roman"/>
          <w:b/>
          <w:color w:val="000000"/>
          <w:sz w:val="24"/>
          <w:szCs w:val="24"/>
        </w:rPr>
        <w:t>四、目标评价与成绩评定</w:t>
      </w:r>
      <w:bookmarkEnd w:id="1483"/>
      <w:bookmarkEnd w:id="1484"/>
      <w:bookmarkEnd w:id="1485"/>
      <w:bookmarkEnd w:id="1486"/>
      <w:bookmarkEnd w:id="1487"/>
      <w:bookmarkEnd w:id="1488"/>
      <w:bookmarkEnd w:id="1489"/>
    </w:p>
    <w:p w14:paraId="5435DD52">
      <w:pPr>
        <w:spacing w:line="360" w:lineRule="auto"/>
        <w:jc w:val="left"/>
        <w:outlineLvl w:val="1"/>
        <w:rPr>
          <w:rFonts w:ascii="Times New Roman" w:hAnsi="Times New Roman" w:eastAsia="宋体" w:cs="Times New Roman"/>
          <w:b/>
          <w:szCs w:val="21"/>
        </w:rPr>
      </w:pPr>
      <w:bookmarkStart w:id="1490" w:name="_Toc30260"/>
      <w:r>
        <w:rPr>
          <w:rFonts w:hint="eastAsia" w:ascii="Times New Roman" w:hAnsi="Times New Roman" w:eastAsia="宋体" w:cs="Times New Roman"/>
          <w:b/>
          <w:szCs w:val="21"/>
        </w:rPr>
        <w:t>（一）课程目标评价方式</w:t>
      </w:r>
      <w:bookmarkEnd w:id="1490"/>
    </w:p>
    <w:p w14:paraId="6906DC8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9A03BE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140"/>
        <w:gridCol w:w="1110"/>
        <w:gridCol w:w="1425"/>
        <w:gridCol w:w="1170"/>
        <w:gridCol w:w="1575"/>
        <w:gridCol w:w="1140"/>
      </w:tblGrid>
      <w:tr w14:paraId="66CE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6" w:type="dxa"/>
            <w:vMerge w:val="restart"/>
            <w:vAlign w:val="center"/>
          </w:tcPr>
          <w:p w14:paraId="663E89C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420" w:type="dxa"/>
            <w:gridSpan w:val="5"/>
            <w:vAlign w:val="center"/>
          </w:tcPr>
          <w:p w14:paraId="2B845D7C">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54518A12">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28F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63344C46">
            <w:pPr>
              <w:spacing w:line="360" w:lineRule="auto"/>
              <w:jc w:val="center"/>
              <w:rPr>
                <w:rFonts w:ascii="宋体" w:hAnsi="宋体" w:eastAsia="宋体" w:cs="Times New Roman"/>
                <w:szCs w:val="21"/>
              </w:rPr>
            </w:pPr>
          </w:p>
        </w:tc>
        <w:tc>
          <w:tcPr>
            <w:tcW w:w="1140" w:type="dxa"/>
            <w:vAlign w:val="center"/>
          </w:tcPr>
          <w:p w14:paraId="33141BBB">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110" w:type="dxa"/>
            <w:vAlign w:val="center"/>
          </w:tcPr>
          <w:p w14:paraId="33BE855C">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425" w:type="dxa"/>
            <w:vAlign w:val="center"/>
          </w:tcPr>
          <w:p w14:paraId="458BE9BB">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1170" w:type="dxa"/>
            <w:vAlign w:val="center"/>
          </w:tcPr>
          <w:p w14:paraId="79E3A1CC">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575" w:type="dxa"/>
          </w:tcPr>
          <w:p w14:paraId="02DC2A1E">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1140" w:type="dxa"/>
            <w:vMerge w:val="continue"/>
            <w:vAlign w:val="center"/>
          </w:tcPr>
          <w:p w14:paraId="17C57139">
            <w:pPr>
              <w:spacing w:line="360" w:lineRule="auto"/>
              <w:jc w:val="center"/>
              <w:rPr>
                <w:rFonts w:ascii="宋体" w:hAnsi="宋体" w:eastAsia="宋体" w:cs="Times New Roman"/>
                <w:szCs w:val="21"/>
              </w:rPr>
            </w:pPr>
          </w:p>
        </w:tc>
      </w:tr>
      <w:tr w14:paraId="04CB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BEBD80E">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140" w:type="dxa"/>
            <w:vAlign w:val="center"/>
          </w:tcPr>
          <w:p w14:paraId="3367134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1A7AFE1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7B88F2D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70" w:type="dxa"/>
            <w:vAlign w:val="center"/>
          </w:tcPr>
          <w:p w14:paraId="77E2D36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75" w:type="dxa"/>
          </w:tcPr>
          <w:p w14:paraId="47CBC2D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03FDB90C">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3D69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66D8F36">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140" w:type="dxa"/>
            <w:vAlign w:val="center"/>
          </w:tcPr>
          <w:p w14:paraId="6665538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341ECBA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4A51CA7D">
            <w:pPr>
              <w:spacing w:line="360" w:lineRule="auto"/>
              <w:jc w:val="center"/>
              <w:rPr>
                <w:rFonts w:ascii="宋体" w:hAnsi="宋体" w:eastAsia="宋体" w:cs="Times New Roman"/>
                <w:szCs w:val="21"/>
              </w:rPr>
            </w:pPr>
          </w:p>
        </w:tc>
        <w:tc>
          <w:tcPr>
            <w:tcW w:w="1170" w:type="dxa"/>
            <w:vAlign w:val="center"/>
          </w:tcPr>
          <w:p w14:paraId="1F1B199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75" w:type="dxa"/>
          </w:tcPr>
          <w:p w14:paraId="2CEF980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34BC6E83">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690E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E74489F">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140" w:type="dxa"/>
            <w:vAlign w:val="center"/>
          </w:tcPr>
          <w:p w14:paraId="6DA8ABC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6196520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7041EEF1">
            <w:pPr>
              <w:spacing w:line="360" w:lineRule="auto"/>
              <w:jc w:val="center"/>
              <w:rPr>
                <w:rFonts w:ascii="宋体" w:hAnsi="宋体" w:eastAsia="宋体" w:cs="Times New Roman"/>
                <w:szCs w:val="21"/>
              </w:rPr>
            </w:pPr>
          </w:p>
        </w:tc>
        <w:tc>
          <w:tcPr>
            <w:tcW w:w="1170" w:type="dxa"/>
            <w:vAlign w:val="center"/>
          </w:tcPr>
          <w:p w14:paraId="2D03F9E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75" w:type="dxa"/>
          </w:tcPr>
          <w:p w14:paraId="6AFB7BE4">
            <w:pPr>
              <w:spacing w:line="360" w:lineRule="auto"/>
              <w:jc w:val="center"/>
              <w:rPr>
                <w:rFonts w:ascii="宋体" w:hAnsi="宋体" w:eastAsia="宋体" w:cs="Times New Roman"/>
                <w:szCs w:val="21"/>
              </w:rPr>
            </w:pPr>
          </w:p>
        </w:tc>
        <w:tc>
          <w:tcPr>
            <w:tcW w:w="1140" w:type="dxa"/>
            <w:vAlign w:val="center"/>
          </w:tcPr>
          <w:p w14:paraId="1F536436">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4B8A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DA66DA1">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140" w:type="dxa"/>
            <w:vAlign w:val="center"/>
          </w:tcPr>
          <w:p w14:paraId="7EB729C4">
            <w:pPr>
              <w:spacing w:line="360" w:lineRule="auto"/>
              <w:jc w:val="center"/>
              <w:rPr>
                <w:rFonts w:ascii="宋体" w:hAnsi="宋体" w:eastAsia="宋体" w:cs="Times New Roman"/>
                <w:szCs w:val="21"/>
              </w:rPr>
            </w:pPr>
          </w:p>
        </w:tc>
        <w:tc>
          <w:tcPr>
            <w:tcW w:w="1110" w:type="dxa"/>
            <w:vAlign w:val="center"/>
          </w:tcPr>
          <w:p w14:paraId="7BD5EA0B">
            <w:pPr>
              <w:spacing w:line="360" w:lineRule="auto"/>
              <w:jc w:val="center"/>
              <w:rPr>
                <w:rFonts w:ascii="宋体" w:hAnsi="宋体" w:eastAsia="宋体" w:cs="Times New Roman"/>
                <w:szCs w:val="21"/>
              </w:rPr>
            </w:pPr>
          </w:p>
        </w:tc>
        <w:tc>
          <w:tcPr>
            <w:tcW w:w="1425" w:type="dxa"/>
            <w:vAlign w:val="center"/>
          </w:tcPr>
          <w:p w14:paraId="78026603">
            <w:pPr>
              <w:spacing w:line="360" w:lineRule="auto"/>
              <w:jc w:val="center"/>
              <w:rPr>
                <w:rFonts w:ascii="宋体" w:hAnsi="宋体" w:eastAsia="宋体" w:cs="Times New Roman"/>
                <w:szCs w:val="21"/>
              </w:rPr>
            </w:pPr>
          </w:p>
        </w:tc>
        <w:tc>
          <w:tcPr>
            <w:tcW w:w="1170" w:type="dxa"/>
            <w:vAlign w:val="center"/>
          </w:tcPr>
          <w:p w14:paraId="7093A09B">
            <w:pPr>
              <w:spacing w:line="360" w:lineRule="auto"/>
              <w:jc w:val="center"/>
              <w:rPr>
                <w:rFonts w:ascii="宋体" w:hAnsi="宋体" w:eastAsia="宋体" w:cs="Times New Roman"/>
                <w:szCs w:val="21"/>
              </w:rPr>
            </w:pPr>
          </w:p>
        </w:tc>
        <w:tc>
          <w:tcPr>
            <w:tcW w:w="1575" w:type="dxa"/>
          </w:tcPr>
          <w:p w14:paraId="513C7CD7">
            <w:pPr>
              <w:spacing w:line="360" w:lineRule="auto"/>
              <w:jc w:val="center"/>
              <w:rPr>
                <w:rFonts w:ascii="宋体" w:hAnsi="宋体" w:eastAsia="宋体" w:cs="Times New Roman"/>
                <w:szCs w:val="21"/>
              </w:rPr>
            </w:pPr>
          </w:p>
        </w:tc>
        <w:tc>
          <w:tcPr>
            <w:tcW w:w="1140" w:type="dxa"/>
            <w:vAlign w:val="center"/>
          </w:tcPr>
          <w:p w14:paraId="212801BF">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323143EB">
      <w:pPr>
        <w:spacing w:before="156" w:beforeLines="50" w:line="360" w:lineRule="auto"/>
        <w:jc w:val="left"/>
        <w:outlineLvl w:val="1"/>
        <w:rPr>
          <w:rFonts w:ascii="Times New Roman" w:hAnsi="Times New Roman" w:eastAsia="宋体" w:cs="Times New Roman"/>
          <w:b/>
          <w:szCs w:val="21"/>
        </w:rPr>
      </w:pPr>
      <w:bookmarkStart w:id="1491" w:name="_Toc12543"/>
      <w:r>
        <w:rPr>
          <w:rFonts w:hint="eastAsia" w:ascii="Times New Roman" w:hAnsi="Times New Roman" w:eastAsia="宋体" w:cs="Times New Roman"/>
          <w:b/>
          <w:szCs w:val="21"/>
        </w:rPr>
        <w:t>（二）成绩评定细则</w:t>
      </w:r>
      <w:bookmarkEnd w:id="1491"/>
    </w:p>
    <w:p w14:paraId="06964AF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A55153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574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E67B3B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2E373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DB490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958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BE0B48">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DC8993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平时作业即过程性考核：由1篇小论文、2篇实践活动报告组成，主要</w:t>
            </w:r>
            <w:r>
              <w:rPr>
                <w:rFonts w:hint="eastAsia" w:ascii="Times New Roman" w:hAnsi="Times New Roman" w:eastAsia="宋体" w:cs="Times New Roman"/>
                <w:szCs w:val="21"/>
                <w:lang w:val="en-US" w:eastAsia="zh-CN"/>
              </w:rPr>
              <w:t>考查</w:t>
            </w:r>
            <w:r>
              <w:rPr>
                <w:rFonts w:hint="eastAsia" w:ascii="Times New Roman" w:hAnsi="Times New Roman" w:eastAsia="宋体" w:cs="Times New Roman"/>
                <w:szCs w:val="21"/>
              </w:rPr>
              <w:t>学生对所学知识的理解和应用。</w:t>
            </w:r>
          </w:p>
        </w:tc>
        <w:tc>
          <w:tcPr>
            <w:tcW w:w="0" w:type="auto"/>
            <w:vAlign w:val="center"/>
          </w:tcPr>
          <w:p w14:paraId="2039E729">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rPr>
              <w:t>%</w:t>
            </w:r>
          </w:p>
        </w:tc>
      </w:tr>
      <w:tr w14:paraId="0EB3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3AB24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F22A207">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课堂考勤：迟到一次扣2分，事假一次扣3分，病假一次扣1分无故缺席一次扣5分，累计达3次以上（不含3次）取消课程成绩。</w:t>
            </w:r>
          </w:p>
          <w:p w14:paraId="1AF4F786">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w:t>
            </w:r>
            <w:r>
              <w:rPr>
                <w:rFonts w:hint="eastAsia" w:ascii="宋体" w:hAnsi="宋体" w:eastAsia="宋体" w:cs="宋体"/>
                <w:color w:val="000000"/>
                <w:kern w:val="0"/>
                <w:szCs w:val="21"/>
                <w:lang w:val="en-US" w:eastAsia="zh-CN" w:bidi="ar"/>
              </w:rPr>
              <w:t>参与</w:t>
            </w:r>
            <w:r>
              <w:rPr>
                <w:rFonts w:hint="eastAsia" w:ascii="宋体" w:hAnsi="宋体" w:eastAsia="宋体" w:cs="宋体"/>
                <w:color w:val="000000"/>
                <w:kern w:val="0"/>
                <w:szCs w:val="21"/>
                <w:lang w:bidi="ar"/>
              </w:rPr>
              <w:t>：在教学过程中，随机提问，根据回答情况进行评分，同时课堂组织小组讨论，根据每组同学表现给分。</w:t>
            </w:r>
          </w:p>
        </w:tc>
        <w:tc>
          <w:tcPr>
            <w:tcW w:w="0" w:type="auto"/>
            <w:vAlign w:val="center"/>
          </w:tcPr>
          <w:p w14:paraId="502661C6">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15</w:t>
            </w:r>
            <w:r>
              <w:rPr>
                <w:rFonts w:hint="eastAsia" w:ascii="Times New Roman" w:hAnsi="Times New Roman" w:eastAsia="宋体" w:cs="Times New Roman"/>
                <w:szCs w:val="21"/>
              </w:rPr>
              <w:t>%</w:t>
            </w:r>
          </w:p>
        </w:tc>
      </w:tr>
      <w:tr w14:paraId="1657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0AF788">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536D6999">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val="en-US" w:eastAsia="zh-CN" w:bidi="ar"/>
              </w:rPr>
              <w:t>对</w:t>
            </w:r>
            <w:r>
              <w:rPr>
                <w:rFonts w:hint="eastAsia" w:ascii="宋体" w:hAnsi="宋体" w:eastAsia="宋体" w:cs="宋体"/>
                <w:color w:val="000000"/>
                <w:kern w:val="0"/>
                <w:szCs w:val="21"/>
                <w:lang w:bidi="ar"/>
              </w:rPr>
              <w:t>单元</w:t>
            </w:r>
            <w:r>
              <w:rPr>
                <w:rFonts w:hint="eastAsia" w:ascii="宋体" w:hAnsi="宋体" w:eastAsia="宋体" w:cs="宋体"/>
                <w:color w:val="000000"/>
                <w:kern w:val="0"/>
                <w:szCs w:val="21"/>
                <w:lang w:val="en-US" w:eastAsia="zh-CN" w:bidi="ar"/>
              </w:rPr>
              <w:t>知识</w:t>
            </w:r>
            <w:r>
              <w:rPr>
                <w:rFonts w:hint="eastAsia" w:ascii="宋体" w:hAnsi="宋体" w:eastAsia="宋体" w:cs="宋体"/>
                <w:color w:val="000000"/>
                <w:kern w:val="0"/>
                <w:szCs w:val="21"/>
                <w:lang w:bidi="ar"/>
              </w:rPr>
              <w:t>在线上进行测验，主要考查基础知识和基本理论的掌握，以题目的正确率为得分依据。</w:t>
            </w:r>
          </w:p>
        </w:tc>
        <w:tc>
          <w:tcPr>
            <w:tcW w:w="0" w:type="auto"/>
            <w:vAlign w:val="center"/>
          </w:tcPr>
          <w:p w14:paraId="09B4B93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5B6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75C6FA">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59C8552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403BEF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373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70360D">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72E44A3">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试卷题型包括辨析、论述题案例分析题等，以卷面成绩的50%计入课程总成绩。其中考核跨学科主题学习理论和知识型题目占30%；考核学生运用基本理论知识进行分析能力的题型占30%；考核学生运用学与教的基本理论和知识进行教学设计的题型占40%。</w:t>
            </w:r>
          </w:p>
        </w:tc>
        <w:tc>
          <w:tcPr>
            <w:tcW w:w="0" w:type="auto"/>
            <w:vAlign w:val="center"/>
          </w:tcPr>
          <w:p w14:paraId="0732CF78">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D6B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34AD2D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77C4649">
            <w:pPr>
              <w:jc w:val="left"/>
              <w:rPr>
                <w:rFonts w:ascii="Times New Roman" w:hAnsi="Times New Roman" w:eastAsia="宋体" w:cs="Times New Roman"/>
                <w:szCs w:val="21"/>
              </w:rPr>
            </w:pPr>
          </w:p>
        </w:tc>
        <w:tc>
          <w:tcPr>
            <w:tcW w:w="0" w:type="auto"/>
            <w:vAlign w:val="center"/>
          </w:tcPr>
          <w:p w14:paraId="734EE12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2DF146B">
      <w:pPr>
        <w:spacing w:line="360" w:lineRule="auto"/>
        <w:jc w:val="left"/>
        <w:outlineLvl w:val="1"/>
        <w:rPr>
          <w:rFonts w:hint="eastAsia" w:ascii="宋体" w:hAnsi="宋体" w:eastAsia="宋体" w:cs="Times New Roman"/>
          <w:b/>
          <w:color w:val="000000"/>
          <w:szCs w:val="21"/>
        </w:rPr>
      </w:pPr>
      <w:bookmarkStart w:id="1492" w:name="_Toc11200"/>
      <w:r>
        <w:rPr>
          <w:rFonts w:hint="eastAsia" w:ascii="宋体" w:hAnsi="宋体" w:eastAsia="宋体" w:cs="Times New Roman"/>
          <w:b/>
          <w:color w:val="000000"/>
          <w:szCs w:val="21"/>
        </w:rPr>
        <w:t>（三）课程目标达成度计算方法</w:t>
      </w:r>
      <w:bookmarkEnd w:id="1492"/>
    </w:p>
    <w:p w14:paraId="57C5A46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D333FFF">
      <w:pPr>
        <w:spacing w:before="156" w:beforeLines="50" w:line="360" w:lineRule="auto"/>
        <w:ind w:firstLine="420" w:firstLineChars="200"/>
        <w:jc w:val="left"/>
        <w:rPr>
          <w:rFonts w:ascii="Times New Roman" w:hAnsi="Times New Roman" w:eastAsia="宋体" w:cs="Times New Roman"/>
          <w:b/>
          <w:sz w:val="24"/>
          <w:szCs w:val="24"/>
        </w:rPr>
      </w:pPr>
      <w:r>
        <w:rPr>
          <w:rFonts w:ascii="宋体" w:hAnsi="宋体" w:eastAsia="宋体" w:cs="Times New Roman"/>
          <w:color w:val="000000"/>
          <w:szCs w:val="21"/>
        </w:rPr>
        <w:object>
          <v:shape id="_x0000_i1058"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58" DrawAspect="Content" ObjectID="_1468075758" r:id="rId41">
            <o:LockedField>false</o:LockedField>
          </o:OLEObject>
        </w:object>
      </w: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36D01D5B">
      <w:pPr>
        <w:spacing w:line="360" w:lineRule="auto"/>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无</w:t>
      </w:r>
    </w:p>
    <w:p w14:paraId="02F09CF5">
      <w:pPr>
        <w:spacing w:line="360" w:lineRule="auto"/>
        <w:jc w:val="left"/>
        <w:outlineLvl w:val="0"/>
        <w:rPr>
          <w:rFonts w:ascii="Times New Roman" w:hAnsi="Times New Roman" w:eastAsia="宋体" w:cs="Times New Roman"/>
          <w:b/>
          <w:bCs/>
          <w:sz w:val="24"/>
          <w:szCs w:val="24"/>
        </w:rPr>
      </w:pPr>
      <w:bookmarkStart w:id="1493" w:name="_Toc14917"/>
      <w:bookmarkStart w:id="1494" w:name="_Toc3040"/>
      <w:bookmarkStart w:id="1495" w:name="_Toc14046"/>
      <w:bookmarkStart w:id="1496" w:name="_Toc3526"/>
      <w:bookmarkStart w:id="1497" w:name="_Toc7407"/>
      <w:bookmarkStart w:id="1498" w:name="_Toc22591"/>
      <w:bookmarkStart w:id="1499" w:name="_Toc12904"/>
      <w:r>
        <w:rPr>
          <w:rFonts w:hint="eastAsia" w:ascii="宋体" w:hAnsi="宋体" w:eastAsia="宋体" w:cs="Times New Roman"/>
          <w:b/>
          <w:color w:val="000000"/>
          <w:sz w:val="24"/>
          <w:szCs w:val="24"/>
        </w:rPr>
        <w:t>六、有关说明</w:t>
      </w:r>
      <w:bookmarkEnd w:id="1493"/>
      <w:bookmarkEnd w:id="1494"/>
      <w:bookmarkEnd w:id="1495"/>
      <w:bookmarkEnd w:id="1496"/>
      <w:bookmarkEnd w:id="1497"/>
      <w:bookmarkEnd w:id="1498"/>
      <w:bookmarkEnd w:id="1499"/>
    </w:p>
    <w:p w14:paraId="6CB6850F">
      <w:pPr>
        <w:spacing w:line="360" w:lineRule="auto"/>
        <w:jc w:val="left"/>
        <w:outlineLvl w:val="1"/>
        <w:rPr>
          <w:rFonts w:ascii="Times New Roman" w:hAnsi="Times New Roman" w:eastAsia="宋体" w:cs="Times New Roman"/>
          <w:b/>
          <w:szCs w:val="21"/>
        </w:rPr>
      </w:pPr>
      <w:bookmarkStart w:id="1500" w:name="_Toc20940"/>
      <w:r>
        <w:rPr>
          <w:rFonts w:hint="eastAsia" w:ascii="Times New Roman" w:hAnsi="Times New Roman" w:eastAsia="宋体" w:cs="Times New Roman"/>
          <w:b/>
          <w:szCs w:val="21"/>
        </w:rPr>
        <w:t>（一）持续改进</w:t>
      </w:r>
      <w:bookmarkEnd w:id="1500"/>
    </w:p>
    <w:p w14:paraId="5AD63E7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2E312EC1">
      <w:pPr>
        <w:spacing w:line="360" w:lineRule="auto"/>
        <w:jc w:val="left"/>
        <w:outlineLvl w:val="1"/>
        <w:rPr>
          <w:rFonts w:ascii="Times New Roman" w:hAnsi="Times New Roman" w:eastAsia="宋体" w:cs="Times New Roman"/>
          <w:b/>
          <w:szCs w:val="21"/>
        </w:rPr>
      </w:pPr>
      <w:bookmarkStart w:id="1501" w:name="_Toc17320"/>
      <w:r>
        <w:rPr>
          <w:rFonts w:hint="eastAsia" w:ascii="Times New Roman" w:hAnsi="Times New Roman" w:eastAsia="宋体" w:cs="Times New Roman"/>
          <w:b/>
          <w:szCs w:val="21"/>
        </w:rPr>
        <w:t>（二）建议教材</w:t>
      </w:r>
      <w:bookmarkEnd w:id="1501"/>
    </w:p>
    <w:p w14:paraId="059F3334">
      <w:pPr>
        <w:spacing w:line="360" w:lineRule="auto"/>
        <w:ind w:firstLine="420" w:firstLineChars="200"/>
        <w:jc w:val="left"/>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郭华等.跨学科主题学习.北京：教育科学出版社，2023.</w:t>
      </w:r>
    </w:p>
    <w:p w14:paraId="3FEC9476">
      <w:pPr>
        <w:spacing w:line="360" w:lineRule="auto"/>
        <w:jc w:val="left"/>
        <w:outlineLvl w:val="1"/>
        <w:rPr>
          <w:rFonts w:ascii="Times New Roman" w:hAnsi="Times New Roman" w:eastAsia="宋体" w:cs="Times New Roman"/>
          <w:b/>
          <w:szCs w:val="21"/>
        </w:rPr>
      </w:pPr>
      <w:bookmarkStart w:id="1502" w:name="_Toc32684"/>
      <w:r>
        <w:rPr>
          <w:rFonts w:hint="eastAsia" w:ascii="Times New Roman" w:hAnsi="Times New Roman" w:eastAsia="宋体" w:cs="Times New Roman"/>
          <w:b/>
          <w:szCs w:val="21"/>
        </w:rPr>
        <w:t>（三）参考书目</w:t>
      </w:r>
      <w:bookmarkEnd w:id="1502"/>
    </w:p>
    <w:p w14:paraId="416B7674">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1.</w:t>
      </w:r>
      <w:r>
        <w:rPr>
          <w:rFonts w:hint="eastAsia" w:ascii="Times New Roman" w:hAnsi="Times New Roman" w:eastAsia="宋体" w:cs="Times New Roman"/>
          <w:bCs/>
          <w:color w:val="000000"/>
          <w:szCs w:val="21"/>
        </w:rPr>
        <w:t>王艳玲等. 跨学科主题学习设计与实施（小学数学）. 北京：教育科学出版社，2023.</w:t>
      </w:r>
    </w:p>
    <w:p w14:paraId="640EB40D">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徐鹏. 跨学科主题学习设计与实施（小学语文）. 北京：教育科学出版社，2023.</w:t>
      </w:r>
    </w:p>
    <w:p w14:paraId="778DBDE4">
      <w:pPr>
        <w:ind w:firstLine="420" w:firstLineChars="200"/>
        <w:rPr>
          <w:rFonts w:hint="eastAsia" w:ascii="等线" w:hAnsi="等线" w:eastAsia="等线" w:cs="Times New Roman"/>
          <w:szCs w:val="22"/>
        </w:rPr>
      </w:pPr>
      <w:r>
        <w:rPr>
          <w:rFonts w:hint="eastAsia" w:ascii="Times New Roman" w:hAnsi="Times New Roman" w:eastAsia="宋体" w:cs="Times New Roman"/>
          <w:bCs/>
          <w:color w:val="000000"/>
          <w:szCs w:val="21"/>
          <w:lang w:val="en-US" w:eastAsia="zh-CN"/>
        </w:rPr>
        <w:t>3.</w:t>
      </w:r>
      <w:r>
        <w:rPr>
          <w:rFonts w:hint="eastAsia" w:ascii="Times New Roman" w:hAnsi="Times New Roman" w:eastAsia="宋体" w:cs="Times New Roman"/>
          <w:bCs/>
          <w:color w:val="000000"/>
          <w:szCs w:val="21"/>
        </w:rPr>
        <w:t>（美）阿卡西娅·M. 沃伦.跨学科项目式学习.孙明玉译.北京：中国青年出版社，2020</w:t>
      </w:r>
    </w:p>
    <w:p w14:paraId="22D4978E">
      <w:pPr>
        <w:rPr>
          <w:rFonts w:hint="eastAsia" w:ascii="等线" w:hAnsi="等线" w:eastAsia="等线" w:cs="Times New Roman"/>
          <w:szCs w:val="22"/>
        </w:rPr>
      </w:pPr>
    </w:p>
    <w:p w14:paraId="231CF43C">
      <w:pPr>
        <w:rPr>
          <w:rFonts w:hint="eastAsia" w:ascii="等线" w:hAnsi="等线" w:eastAsia="等线" w:cs="Times New Roman"/>
          <w:szCs w:val="22"/>
        </w:rPr>
      </w:pPr>
    </w:p>
    <w:p w14:paraId="0463BD0A">
      <w:pPr>
        <w:rPr>
          <w:rFonts w:hint="eastAsia" w:ascii="等线" w:hAnsi="等线" w:eastAsia="等线" w:cs="Times New Roman"/>
          <w:szCs w:val="22"/>
        </w:rPr>
      </w:pPr>
    </w:p>
    <w:p w14:paraId="6D38610B">
      <w:pPr>
        <w:rPr>
          <w:rFonts w:hint="eastAsia" w:ascii="等线" w:hAnsi="等线" w:eastAsia="等线" w:cs="Times New Roman"/>
          <w:szCs w:val="22"/>
        </w:rPr>
      </w:pPr>
    </w:p>
    <w:p w14:paraId="2A7F7B35">
      <w:pPr>
        <w:spacing w:line="360" w:lineRule="auto"/>
        <w:ind w:right="144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执 笔 人：</w:t>
      </w:r>
      <w:r>
        <w:rPr>
          <w:rFonts w:hint="eastAsia" w:ascii="Times New Roman" w:hAnsi="Times New Roman" w:eastAsia="宋体" w:cs="Times New Roman"/>
          <w:sz w:val="24"/>
          <w:szCs w:val="24"/>
          <w:lang w:val="en-US" w:eastAsia="zh-CN"/>
        </w:rPr>
        <w:t>姚玉香</w:t>
      </w:r>
    </w:p>
    <w:p w14:paraId="4344A7FE">
      <w:pPr>
        <w:spacing w:line="360" w:lineRule="auto"/>
        <w:ind w:right="144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定 人： 王</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健</w:t>
      </w:r>
    </w:p>
    <w:p w14:paraId="76B7D4A0">
      <w:pPr>
        <w:spacing w:line="360" w:lineRule="auto"/>
        <w:ind w:right="14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42CBBA77">
      <w:pPr>
        <w:spacing w:line="360" w:lineRule="auto"/>
        <w:ind w:right="2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1270ADB">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br w:type="page"/>
      </w:r>
    </w:p>
    <w:p w14:paraId="7D3BC560">
      <w:pPr>
        <w:pStyle w:val="2"/>
        <w:bidi w:val="0"/>
        <w:rPr>
          <w:lang w:val="en-US" w:eastAsia="zh-CN"/>
        </w:rPr>
      </w:pPr>
      <w:bookmarkStart w:id="1503" w:name="_Toc12192"/>
      <w:bookmarkStart w:id="1504" w:name="_Toc9159"/>
      <w:bookmarkStart w:id="1505" w:name="_Toc27102"/>
      <w:bookmarkStart w:id="1506" w:name="_Toc27318"/>
      <w:r>
        <w:rPr>
          <w:rFonts w:hint="eastAsia"/>
          <w:lang w:val="en-US" w:eastAsia="zh-CN"/>
        </w:rPr>
        <w:t>《教育论文写作》课程教学大纲</w:t>
      </w:r>
      <w:bookmarkEnd w:id="1503"/>
      <w:bookmarkEnd w:id="1504"/>
      <w:bookmarkEnd w:id="1505"/>
      <w:bookmarkEnd w:id="1506"/>
      <w:r>
        <w:rPr>
          <w:lang w:val="en-US" w:eastAsia="zh-CN"/>
        </w:rPr>
        <w:t xml:space="preserve"> </w:t>
      </w:r>
    </w:p>
    <w:p w14:paraId="7699D801">
      <w:pPr>
        <w:pStyle w:val="2"/>
        <w:bidi w:val="0"/>
        <w:rPr>
          <w:lang w:val="en-US" w:eastAsia="zh-CN"/>
        </w:rPr>
      </w:pPr>
      <w:bookmarkStart w:id="1507" w:name="_Toc30021"/>
      <w:bookmarkStart w:id="1508" w:name="_Toc3049"/>
      <w:bookmarkStart w:id="1509" w:name="_Toc32371"/>
      <w:bookmarkStart w:id="1510" w:name="_Toc13634"/>
      <w:bookmarkStart w:id="1511" w:name="_Toc3973"/>
      <w:bookmarkStart w:id="1512" w:name="_Toc26250"/>
      <w:bookmarkStart w:id="1513" w:name="_Toc8458"/>
      <w:r>
        <w:rPr>
          <w:rFonts w:hint="eastAsia"/>
          <w:lang w:val="en-US" w:eastAsia="zh-CN"/>
        </w:rPr>
        <w:t>（</w:t>
      </w:r>
      <w:r>
        <w:rPr>
          <w:lang w:val="en-US" w:eastAsia="zh-CN"/>
        </w:rPr>
        <w:t>Educational Thesis Writing）</w:t>
      </w:r>
      <w:bookmarkEnd w:id="1507"/>
      <w:bookmarkEnd w:id="1508"/>
      <w:bookmarkEnd w:id="1509"/>
      <w:bookmarkEnd w:id="1510"/>
      <w:bookmarkEnd w:id="1511"/>
      <w:bookmarkEnd w:id="1512"/>
      <w:bookmarkEnd w:id="1513"/>
    </w:p>
    <w:p w14:paraId="5ED08E6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课程名称：教育论文写作</w:t>
      </w:r>
    </w:p>
    <w:p w14:paraId="282EB851">
      <w:pPr>
        <w:spacing w:line="360" w:lineRule="auto"/>
        <w:ind w:firstLine="482" w:firstLineChars="200"/>
        <w:jc w:val="left"/>
        <w:rPr>
          <w:rFonts w:ascii="Times New Roman" w:hAnsi="Times New Roman" w:eastAsia="宋体" w:cs="Times New Roman"/>
          <w:b/>
          <w:color w:val="FF0000"/>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color w:val="000000"/>
          <w:sz w:val="24"/>
          <w:szCs w:val="24"/>
        </w:rPr>
        <w:t>2401025</w:t>
      </w:r>
    </w:p>
    <w:p w14:paraId="48E4131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2559A72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32（其中，讲授学时16，实践学时16）</w:t>
      </w:r>
    </w:p>
    <w:p w14:paraId="4604442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先修课程：教育原理、教育心理学、教育哲学、中国教育史、中外基础教育改革热点、教育社会学</w:t>
      </w:r>
    </w:p>
    <w:p w14:paraId="4032BD1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w:t>
      </w:r>
      <w:r>
        <w:rPr>
          <w:rFonts w:ascii="Times New Roman" w:hAnsi="Times New Roman" w:eastAsia="宋体" w:cs="Times New Roman"/>
          <w:b/>
          <w:sz w:val="24"/>
          <w:szCs w:val="24"/>
        </w:rPr>
        <w:t xml:space="preserve"> 小学教育（文）       </w:t>
      </w:r>
    </w:p>
    <w:p w14:paraId="1F661FFB">
      <w:pPr>
        <w:spacing w:line="360" w:lineRule="auto"/>
        <w:jc w:val="left"/>
        <w:rPr>
          <w:rFonts w:ascii="Times New Roman" w:hAnsi="Times New Roman" w:eastAsia="宋体" w:cs="Times New Roman"/>
          <w:b/>
          <w:sz w:val="28"/>
          <w:szCs w:val="28"/>
        </w:rPr>
      </w:pPr>
    </w:p>
    <w:p w14:paraId="75A45A57">
      <w:pPr>
        <w:spacing w:line="360" w:lineRule="auto"/>
        <w:jc w:val="left"/>
        <w:outlineLvl w:val="0"/>
        <w:rPr>
          <w:rFonts w:ascii="Times New Roman" w:hAnsi="Times New Roman" w:eastAsia="宋体" w:cs="Times New Roman"/>
          <w:sz w:val="24"/>
          <w:szCs w:val="24"/>
        </w:rPr>
      </w:pPr>
      <w:bookmarkStart w:id="1514" w:name="_Toc27770"/>
      <w:bookmarkStart w:id="1515" w:name="_Toc22448"/>
      <w:bookmarkStart w:id="1516" w:name="_Toc3317"/>
      <w:bookmarkStart w:id="1517" w:name="_Toc32005"/>
      <w:bookmarkStart w:id="1518" w:name="_Toc18120"/>
      <w:bookmarkStart w:id="1519" w:name="_Toc6163"/>
      <w:bookmarkStart w:id="1520" w:name="_Toc26810"/>
      <w:r>
        <w:rPr>
          <w:rFonts w:hint="eastAsia" w:ascii="Times New Roman" w:hAnsi="Times New Roman" w:eastAsia="宋体" w:cs="Times New Roman"/>
          <w:b/>
          <w:sz w:val="28"/>
          <w:szCs w:val="28"/>
        </w:rPr>
        <w:t>一、课程简介</w:t>
      </w:r>
      <w:bookmarkEnd w:id="1514"/>
      <w:bookmarkEnd w:id="1515"/>
      <w:bookmarkEnd w:id="1516"/>
      <w:bookmarkEnd w:id="1517"/>
      <w:bookmarkEnd w:id="1518"/>
      <w:bookmarkEnd w:id="1519"/>
      <w:bookmarkEnd w:id="1520"/>
    </w:p>
    <w:p w14:paraId="67239F5B">
      <w:pPr>
        <w:spacing w:line="360" w:lineRule="auto"/>
        <w:ind w:firstLine="420" w:firstLineChars="200"/>
        <w:jc w:val="left"/>
        <w:rPr>
          <w:rFonts w:ascii="Times New Roman" w:hAnsi="Times New Roman" w:eastAsia="宋体" w:cs="Times New Roman"/>
          <w:sz w:val="24"/>
          <w:szCs w:val="24"/>
        </w:rPr>
      </w:pPr>
      <w:r>
        <w:rPr>
          <w:rFonts w:hint="eastAsia" w:ascii="Times New Roman" w:hAnsi="Times New Roman" w:eastAsia="宋体" w:cs="Times New Roman"/>
          <w:szCs w:val="21"/>
        </w:rPr>
        <w:t>本课程是小学教育专业的一门专业基础选修课程。通过本课程的教学，师范生能够了解教育论文的基本要求与写作过程，初步掌握不同类型教育论文的写作方法，能够撰写符合学术规范和语言规范的教育论文，为后续毕业论文写作奠定基础。</w:t>
      </w:r>
    </w:p>
    <w:p w14:paraId="32D912C6">
      <w:pPr>
        <w:spacing w:line="360" w:lineRule="auto"/>
        <w:jc w:val="left"/>
        <w:rPr>
          <w:rFonts w:ascii="宋体" w:hAnsi="宋体" w:eastAsia="宋体" w:cs="Times New Roman"/>
          <w:b/>
          <w:sz w:val="28"/>
          <w:szCs w:val="28"/>
        </w:rPr>
      </w:pPr>
    </w:p>
    <w:p w14:paraId="035B3CE4">
      <w:pPr>
        <w:spacing w:line="360" w:lineRule="auto"/>
        <w:jc w:val="left"/>
        <w:outlineLvl w:val="0"/>
        <w:rPr>
          <w:rFonts w:ascii="Times New Roman" w:hAnsi="Times New Roman" w:eastAsia="宋体" w:cs="Times New Roman"/>
          <w:sz w:val="24"/>
          <w:szCs w:val="24"/>
        </w:rPr>
      </w:pPr>
      <w:bookmarkStart w:id="1521" w:name="_Toc23306"/>
      <w:bookmarkStart w:id="1522" w:name="_Toc23527"/>
      <w:bookmarkStart w:id="1523" w:name="_Toc3415"/>
      <w:bookmarkStart w:id="1524" w:name="_Toc5676"/>
      <w:bookmarkStart w:id="1525" w:name="_Toc29948"/>
      <w:bookmarkStart w:id="1526" w:name="_Toc26442"/>
      <w:bookmarkStart w:id="1527" w:name="_Toc5586"/>
      <w:r>
        <w:rPr>
          <w:rFonts w:hint="eastAsia" w:ascii="宋体" w:hAnsi="宋体" w:eastAsia="宋体" w:cs="Times New Roman"/>
          <w:b/>
          <w:sz w:val="28"/>
          <w:szCs w:val="28"/>
        </w:rPr>
        <w:t>二</w:t>
      </w:r>
      <w:r>
        <w:rPr>
          <w:rFonts w:ascii="宋体" w:hAnsi="宋体" w:eastAsia="宋体" w:cs="Times New Roman"/>
          <w:b/>
          <w:sz w:val="28"/>
          <w:szCs w:val="28"/>
        </w:rPr>
        <w:t>、课程目标</w:t>
      </w:r>
      <w:bookmarkEnd w:id="1521"/>
      <w:bookmarkEnd w:id="1522"/>
      <w:bookmarkEnd w:id="1523"/>
      <w:bookmarkEnd w:id="1524"/>
      <w:bookmarkEnd w:id="1525"/>
      <w:bookmarkEnd w:id="1526"/>
      <w:bookmarkEnd w:id="1527"/>
    </w:p>
    <w:p w14:paraId="02403443">
      <w:pPr>
        <w:spacing w:line="360" w:lineRule="auto"/>
        <w:ind w:firstLine="482" w:firstLineChars="200"/>
        <w:outlineLvl w:val="1"/>
        <w:rPr>
          <w:rFonts w:ascii="宋体" w:hAnsi="宋体" w:eastAsia="宋体" w:cs="Times New Roman"/>
          <w:b/>
          <w:sz w:val="24"/>
          <w:szCs w:val="24"/>
        </w:rPr>
      </w:pPr>
      <w:bookmarkStart w:id="1528" w:name="_Toc31809"/>
      <w:r>
        <w:rPr>
          <w:rFonts w:hint="eastAsia" w:ascii="宋体" w:hAnsi="宋体" w:eastAsia="宋体" w:cs="Times New Roman"/>
          <w:b/>
          <w:sz w:val="24"/>
          <w:szCs w:val="24"/>
        </w:rPr>
        <w:t>（一）课程具体目标</w:t>
      </w:r>
      <w:bookmarkEnd w:id="1528"/>
    </w:p>
    <w:p w14:paraId="1694E533">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目标</w:t>
      </w:r>
      <w:r>
        <w:rPr>
          <w:rFonts w:ascii="Times New Roman" w:hAnsi="Times New Roman" w:eastAsia="宋体" w:cs="Times New Roman"/>
          <w:kern w:val="0"/>
          <w:szCs w:val="21"/>
        </w:rPr>
        <w:t>1. 理解教育论文写作的意义，熟悉教育论文写作的基本步骤。</w:t>
      </w:r>
    </w:p>
    <w:p w14:paraId="1C4C9B79">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目标</w:t>
      </w:r>
      <w:r>
        <w:rPr>
          <w:rFonts w:ascii="Times New Roman" w:hAnsi="Times New Roman" w:eastAsia="宋体" w:cs="Times New Roman"/>
          <w:kern w:val="0"/>
          <w:szCs w:val="21"/>
        </w:rPr>
        <w:t>2. 结合具体案例，学会分析学术期刊论文、教育综述论文、教育调查报告、教育实验报告、教育经验总结、教育叙事论文、学位论文等类型教育论文的框架结构，解释教育论文的语言特点。</w:t>
      </w:r>
    </w:p>
    <w:p w14:paraId="6C5D0A67">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目标</w:t>
      </w:r>
      <w:r>
        <w:rPr>
          <w:rFonts w:ascii="Times New Roman" w:hAnsi="Times New Roman" w:eastAsia="宋体" w:cs="Times New Roman"/>
          <w:kern w:val="0"/>
          <w:szCs w:val="21"/>
        </w:rPr>
        <w:t>3．结合教育实践和自身的学习、思考，撰写符合规范的教育论文。</w:t>
      </w:r>
    </w:p>
    <w:p w14:paraId="60B8605B">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kern w:val="0"/>
          <w:szCs w:val="21"/>
        </w:rPr>
        <w:t>目标4. 了解教育论文交流、发表的途径与方法，遵守教育论文写作的学术规范，恪守学术道德。</w:t>
      </w:r>
    </w:p>
    <w:p w14:paraId="2903F004">
      <w:pPr>
        <w:spacing w:line="360" w:lineRule="auto"/>
        <w:ind w:firstLine="482" w:firstLineChars="200"/>
        <w:jc w:val="left"/>
        <w:outlineLvl w:val="1"/>
        <w:rPr>
          <w:rFonts w:ascii="Times New Roman" w:hAnsi="Times New Roman" w:eastAsia="宋体" w:cs="Times New Roman"/>
          <w:b/>
          <w:bCs/>
          <w:sz w:val="24"/>
          <w:szCs w:val="24"/>
        </w:rPr>
      </w:pPr>
      <w:bookmarkStart w:id="1529" w:name="_Toc26053"/>
      <w:r>
        <w:rPr>
          <w:rFonts w:hint="eastAsia" w:ascii="Times New Roman" w:hAnsi="Times New Roman" w:eastAsia="宋体" w:cs="Times New Roman"/>
          <w:b/>
          <w:bCs/>
          <w:sz w:val="24"/>
          <w:szCs w:val="24"/>
        </w:rPr>
        <w:t>（二）课程目标及其对毕业要求指标点的支撑</w:t>
      </w:r>
      <w:bookmarkEnd w:id="1529"/>
    </w:p>
    <w:p w14:paraId="517E55BB">
      <w:pPr>
        <w:spacing w:line="360" w:lineRule="auto"/>
        <w:jc w:val="center"/>
        <w:rPr>
          <w:rFonts w:ascii="Times New Roman" w:hAnsi="Times New Roman" w:eastAsia="宋体" w:cs="Times New Roman"/>
          <w:b/>
          <w:bCs/>
          <w:sz w:val="24"/>
          <w:szCs w:val="24"/>
        </w:rPr>
      </w:pPr>
    </w:p>
    <w:p w14:paraId="74333A1F">
      <w:pPr>
        <w:spacing w:line="360" w:lineRule="auto"/>
        <w:jc w:val="center"/>
        <w:rPr>
          <w:rFonts w:ascii="Times New Roman" w:hAnsi="Times New Roman" w:eastAsia="宋体" w:cs="Times New Roman"/>
          <w:b/>
          <w:bCs/>
          <w:sz w:val="24"/>
          <w:szCs w:val="24"/>
        </w:rPr>
      </w:pPr>
    </w:p>
    <w:p w14:paraId="6F72EAEB">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w:t>
      </w:r>
      <w:r>
        <w:rPr>
          <w:rFonts w:ascii="Times New Roman" w:hAnsi="Times New Roman" w:eastAsia="宋体" w:cs="Times New Roman"/>
          <w:b/>
          <w:bCs/>
          <w:sz w:val="24"/>
          <w:szCs w:val="24"/>
        </w:rPr>
        <w:t>1 课程目标及其对毕业要求</w:t>
      </w:r>
      <w:r>
        <w:rPr>
          <w:rFonts w:hint="eastAsia" w:ascii="Times New Roman" w:hAnsi="Times New Roman" w:eastAsia="宋体" w:cs="Times New Roman"/>
          <w:b/>
          <w:bCs/>
          <w:sz w:val="24"/>
          <w:szCs w:val="24"/>
        </w:rPr>
        <w:t>指标</w:t>
      </w:r>
      <w:r>
        <w:rPr>
          <w:rFonts w:ascii="Times New Roman" w:hAnsi="Times New Roman" w:eastAsia="宋体" w:cs="Times New Roman"/>
          <w:b/>
          <w:bCs/>
          <w:sz w:val="24"/>
          <w:szCs w:val="24"/>
        </w:rPr>
        <w:t>点的支撑</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4819"/>
        <w:gridCol w:w="1922"/>
      </w:tblGrid>
      <w:tr w14:paraId="1840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85B9E9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4819" w:type="dxa"/>
          </w:tcPr>
          <w:p w14:paraId="781429D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922" w:type="dxa"/>
          </w:tcPr>
          <w:p w14:paraId="65744D0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679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555" w:type="dxa"/>
            <w:vAlign w:val="center"/>
          </w:tcPr>
          <w:p w14:paraId="039E8A45">
            <w:pPr>
              <w:spacing w:line="276" w:lineRule="auto"/>
              <w:jc w:val="left"/>
              <w:rPr>
                <w:rFonts w:ascii="宋体" w:hAnsi="宋体" w:eastAsia="宋体" w:cs="宋体"/>
                <w:szCs w:val="21"/>
              </w:rPr>
            </w:pPr>
            <w:r>
              <w:rPr>
                <w:rFonts w:hint="eastAsia" w:ascii="宋体" w:hAnsi="宋体" w:eastAsia="宋体" w:cs="宋体"/>
                <w:szCs w:val="21"/>
              </w:rPr>
              <w:t>毕业要求</w:t>
            </w:r>
            <w:r>
              <w:rPr>
                <w:rFonts w:ascii="宋体" w:hAnsi="宋体" w:eastAsia="宋体" w:cs="宋体"/>
                <w:szCs w:val="21"/>
              </w:rPr>
              <w:t>1.</w:t>
            </w:r>
          </w:p>
          <w:p w14:paraId="444251A4">
            <w:pPr>
              <w:spacing w:line="276" w:lineRule="auto"/>
              <w:jc w:val="left"/>
              <w:rPr>
                <w:rFonts w:ascii="宋体" w:hAnsi="宋体" w:eastAsia="宋体" w:cs="宋体"/>
                <w:szCs w:val="21"/>
              </w:rPr>
            </w:pPr>
            <w:r>
              <w:rPr>
                <w:rFonts w:ascii="宋体" w:hAnsi="宋体" w:eastAsia="宋体" w:cs="宋体"/>
                <w:szCs w:val="21"/>
              </w:rPr>
              <w:t>师德规范</w:t>
            </w:r>
          </w:p>
        </w:tc>
        <w:tc>
          <w:tcPr>
            <w:tcW w:w="4819" w:type="dxa"/>
            <w:vAlign w:val="center"/>
          </w:tcPr>
          <w:p w14:paraId="5D7323D5">
            <w:pPr>
              <w:spacing w:line="276" w:lineRule="auto"/>
              <w:jc w:val="left"/>
              <w:rPr>
                <w:rFonts w:ascii="宋体" w:hAnsi="宋体" w:eastAsia="宋体" w:cs="Times New Roman"/>
                <w:szCs w:val="21"/>
              </w:rPr>
            </w:pPr>
            <w:r>
              <w:rPr>
                <w:rFonts w:ascii="宋体" w:hAnsi="宋体" w:eastAsia="宋体" w:cs="Times New Roman"/>
                <w:szCs w:val="21"/>
              </w:rPr>
              <w:t>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922" w:type="dxa"/>
            <w:vAlign w:val="center"/>
          </w:tcPr>
          <w:p w14:paraId="1C68D7A1">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6A72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trPr>
        <w:tc>
          <w:tcPr>
            <w:tcW w:w="1555" w:type="dxa"/>
            <w:vAlign w:val="center"/>
          </w:tcPr>
          <w:p w14:paraId="2D54E340">
            <w:pPr>
              <w:widowControl w:val="0"/>
              <w:spacing w:line="276" w:lineRule="auto"/>
              <w:ind w:firstLine="0" w:firstLineChars="0"/>
              <w:jc w:val="both"/>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毕业要求</w:t>
            </w:r>
            <w:r>
              <w:rPr>
                <w:rFonts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t xml:space="preserve">. </w:t>
            </w:r>
          </w:p>
          <w:p w14:paraId="5D30F3A8">
            <w:pPr>
              <w:widowControl w:val="0"/>
              <w:spacing w:line="276" w:lineRule="auto"/>
              <w:ind w:firstLine="0" w:firstLineChars="0"/>
              <w:jc w:val="both"/>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教育情怀</w:t>
            </w:r>
          </w:p>
        </w:tc>
        <w:tc>
          <w:tcPr>
            <w:tcW w:w="4819" w:type="dxa"/>
            <w:vAlign w:val="center"/>
          </w:tcPr>
          <w:p w14:paraId="3E8482DA">
            <w:pPr>
              <w:widowControl w:val="0"/>
              <w:spacing w:line="276" w:lineRule="auto"/>
              <w:ind w:firstLine="0" w:firstLineChars="0"/>
              <w:jc w:val="left"/>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2-2：【仁爱之心深厚】关爱学生，用心从教。具有正确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w:t>
            </w:r>
          </w:p>
        </w:tc>
        <w:tc>
          <w:tcPr>
            <w:tcW w:w="1922" w:type="dxa"/>
            <w:vAlign w:val="center"/>
          </w:tcPr>
          <w:p w14:paraId="6475BAAD">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6E40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555" w:type="dxa"/>
            <w:vAlign w:val="center"/>
          </w:tcPr>
          <w:p w14:paraId="32D2985D">
            <w:pPr>
              <w:widowControl w:val="0"/>
              <w:spacing w:line="276" w:lineRule="auto"/>
              <w:ind w:firstLine="0" w:firstLineChars="0"/>
              <w:jc w:val="both"/>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毕业要求</w:t>
            </w:r>
            <w:r>
              <w:rPr>
                <w:rFonts w:ascii="宋体" w:hAnsi="宋体" w:eastAsia="宋体" w:cs="宋体"/>
                <w:kern w:val="2"/>
                <w:sz w:val="21"/>
                <w:szCs w:val="21"/>
                <w:lang w:val="en-US" w:eastAsia="zh-CN" w:bidi="ar-SA"/>
              </w:rPr>
              <w:t>4</w:t>
            </w:r>
            <w:r>
              <w:rPr>
                <w:rFonts w:hint="eastAsia" w:ascii="宋体" w:hAnsi="宋体" w:eastAsia="宋体" w:cs="宋体"/>
                <w:kern w:val="2"/>
                <w:sz w:val="21"/>
                <w:szCs w:val="21"/>
                <w:lang w:val="en-US" w:eastAsia="zh-CN" w:bidi="ar-SA"/>
              </w:rPr>
              <w:t>.</w:t>
            </w:r>
          </w:p>
          <w:p w14:paraId="073E3593">
            <w:pPr>
              <w:widowControl w:val="0"/>
              <w:spacing w:line="276" w:lineRule="auto"/>
              <w:ind w:firstLine="0" w:firstLineChars="0"/>
              <w:jc w:val="both"/>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学会教学</w:t>
            </w:r>
          </w:p>
        </w:tc>
        <w:tc>
          <w:tcPr>
            <w:tcW w:w="4819" w:type="dxa"/>
            <w:vAlign w:val="center"/>
          </w:tcPr>
          <w:p w14:paraId="4909DF95">
            <w:pPr>
              <w:widowControl w:val="0"/>
              <w:spacing w:line="276" w:lineRule="auto"/>
              <w:ind w:firstLine="0" w:firstLineChars="0"/>
              <w:jc w:val="left"/>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4-4：【具备教学研究能力】掌握教育研究的基本方法，在教育教学实践中，结合小学教育教学实践进行研究，具有一定的教学研究能力。</w:t>
            </w:r>
          </w:p>
        </w:tc>
        <w:tc>
          <w:tcPr>
            <w:tcW w:w="1922" w:type="dxa"/>
            <w:vAlign w:val="center"/>
          </w:tcPr>
          <w:p w14:paraId="130D9732">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p w14:paraId="263DAEF6">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p w14:paraId="3D54E377">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r w14:paraId="21AF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555" w:type="dxa"/>
            <w:vMerge w:val="restart"/>
            <w:vAlign w:val="center"/>
          </w:tcPr>
          <w:p w14:paraId="6FE8E385">
            <w:pPr>
              <w:widowControl w:val="0"/>
              <w:spacing w:line="276" w:lineRule="auto"/>
              <w:ind w:firstLine="0" w:firstLineChars="0"/>
              <w:jc w:val="both"/>
              <w:rPr>
                <w:rFonts w:ascii="Calibri" w:hAnsi="Calibri" w:eastAsia="宋体" w:cs="Times New Roman"/>
                <w:kern w:val="2"/>
                <w:sz w:val="21"/>
                <w:szCs w:val="22"/>
                <w:lang w:val="en-US" w:eastAsia="zh-CN" w:bidi="ar-SA"/>
              </w:rPr>
            </w:pPr>
            <w:r>
              <w:rPr>
                <w:rFonts w:hint="eastAsia" w:ascii="宋体" w:hAnsi="宋体" w:eastAsia="宋体" w:cs="宋体"/>
                <w:kern w:val="2"/>
                <w:sz w:val="21"/>
                <w:szCs w:val="21"/>
                <w:lang w:val="en-US" w:eastAsia="zh-CN" w:bidi="ar-SA"/>
              </w:rPr>
              <w:t>毕业要求7</w:t>
            </w:r>
            <w:r>
              <w:rPr>
                <w:rFonts w:ascii="宋体" w:hAnsi="宋体" w:eastAsia="宋体" w:cs="宋体"/>
                <w:kern w:val="2"/>
                <w:sz w:val="21"/>
                <w:szCs w:val="21"/>
                <w:lang w:val="en-US" w:eastAsia="zh-CN" w:bidi="ar-SA"/>
              </w:rPr>
              <w:t>.</w:t>
            </w:r>
            <w:r>
              <w:rPr>
                <w:rFonts w:hint="eastAsia" w:ascii="Calibri" w:hAnsi="Calibri" w:eastAsia="宋体" w:cs="Times New Roman"/>
                <w:kern w:val="2"/>
                <w:sz w:val="21"/>
                <w:szCs w:val="22"/>
                <w:lang w:val="en-US" w:eastAsia="zh-CN" w:bidi="ar-SA"/>
              </w:rPr>
              <w:t xml:space="preserve"> </w:t>
            </w:r>
          </w:p>
          <w:p w14:paraId="733CBE1C">
            <w:pPr>
              <w:widowControl w:val="0"/>
              <w:spacing w:line="276" w:lineRule="auto"/>
              <w:ind w:firstLine="0" w:firstLineChars="0"/>
              <w:jc w:val="both"/>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学会反思</w:t>
            </w:r>
          </w:p>
        </w:tc>
        <w:tc>
          <w:tcPr>
            <w:tcW w:w="4819" w:type="dxa"/>
            <w:vAlign w:val="center"/>
          </w:tcPr>
          <w:p w14:paraId="126892B6">
            <w:pPr>
              <w:widowControl w:val="0"/>
              <w:spacing w:line="276" w:lineRule="auto"/>
              <w:ind w:firstLine="0" w:firstLineChars="0"/>
              <w:jc w:val="left"/>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7-1：</w:t>
            </w:r>
            <w:r>
              <w:rPr>
                <w:rFonts w:hint="eastAsia" w:ascii="宋体" w:hAnsi="宋体" w:eastAsia="宋体" w:cs="宋体"/>
                <w:kern w:val="2"/>
                <w:sz w:val="21"/>
                <w:szCs w:val="21"/>
                <w:lang w:val="en-US" w:eastAsia="zh-CN" w:bidi="ar-SA"/>
              </w:rPr>
              <w:t>【教育视野开阔】积极关注基础教育领域的国内外交流进展，了解国内外基础教育改革发展的动态，具有宽广的教育视野，能够主动适应新时代和教育发展需求。</w:t>
            </w:r>
          </w:p>
        </w:tc>
        <w:tc>
          <w:tcPr>
            <w:tcW w:w="1922" w:type="dxa"/>
            <w:vAlign w:val="center"/>
          </w:tcPr>
          <w:p w14:paraId="0697710A">
            <w:pPr>
              <w:spacing w:line="360" w:lineRule="auto"/>
              <w:jc w:val="left"/>
              <w:rPr>
                <w:rFonts w:ascii="宋体" w:hAnsi="宋体" w:eastAsia="宋体" w:cs="宋体"/>
                <w:szCs w:val="21"/>
              </w:rPr>
            </w:pPr>
            <w:r>
              <w:rPr>
                <w:rFonts w:hint="eastAsia" w:ascii="宋体" w:hAnsi="宋体" w:eastAsia="宋体" w:cs="宋体"/>
                <w:szCs w:val="21"/>
              </w:rPr>
              <w:t>课程目标4</w:t>
            </w:r>
          </w:p>
        </w:tc>
      </w:tr>
      <w:tr w14:paraId="2EA3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555" w:type="dxa"/>
            <w:vMerge w:val="continue"/>
            <w:vAlign w:val="center"/>
          </w:tcPr>
          <w:p w14:paraId="015C39D3">
            <w:pPr>
              <w:widowControl w:val="0"/>
              <w:spacing w:line="276" w:lineRule="auto"/>
              <w:ind w:firstLine="0" w:firstLineChars="0"/>
              <w:jc w:val="both"/>
              <w:rPr>
                <w:rFonts w:ascii="宋体" w:hAnsi="宋体" w:eastAsia="宋体" w:cs="宋体"/>
                <w:kern w:val="2"/>
                <w:sz w:val="21"/>
                <w:szCs w:val="21"/>
                <w:lang w:val="en-US" w:eastAsia="zh-CN" w:bidi="ar-SA"/>
              </w:rPr>
            </w:pPr>
          </w:p>
        </w:tc>
        <w:tc>
          <w:tcPr>
            <w:tcW w:w="4819" w:type="dxa"/>
            <w:vAlign w:val="center"/>
          </w:tcPr>
          <w:p w14:paraId="55738324">
            <w:pPr>
              <w:widowControl w:val="0"/>
              <w:spacing w:line="276" w:lineRule="auto"/>
              <w:ind w:firstLine="0" w:firstLineChars="0"/>
              <w:jc w:val="left"/>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922" w:type="dxa"/>
            <w:vAlign w:val="center"/>
          </w:tcPr>
          <w:p w14:paraId="2DC0829C">
            <w:pPr>
              <w:spacing w:line="360" w:lineRule="auto"/>
              <w:jc w:val="left"/>
              <w:rPr>
                <w:rFonts w:ascii="宋体" w:hAnsi="宋体" w:eastAsia="宋体" w:cs="宋体"/>
                <w:szCs w:val="21"/>
              </w:rPr>
            </w:pPr>
            <w:r>
              <w:rPr>
                <w:rFonts w:hint="eastAsia" w:ascii="宋体" w:hAnsi="宋体" w:eastAsia="宋体" w:cs="宋体"/>
                <w:szCs w:val="21"/>
              </w:rPr>
              <w:t>课程目标2</w:t>
            </w:r>
          </w:p>
          <w:p w14:paraId="2D0B99E6">
            <w:pPr>
              <w:spacing w:line="360" w:lineRule="auto"/>
              <w:jc w:val="left"/>
              <w:rPr>
                <w:rFonts w:ascii="宋体" w:hAnsi="宋体" w:eastAsia="宋体" w:cs="宋体"/>
                <w:szCs w:val="21"/>
              </w:rPr>
            </w:pPr>
            <w:r>
              <w:rPr>
                <w:rFonts w:hint="eastAsia" w:ascii="宋体" w:hAnsi="宋体" w:eastAsia="宋体" w:cs="宋体"/>
                <w:szCs w:val="21"/>
              </w:rPr>
              <w:t>课程目标3</w:t>
            </w:r>
          </w:p>
          <w:p w14:paraId="0174CCD4">
            <w:pPr>
              <w:spacing w:line="360" w:lineRule="auto"/>
              <w:jc w:val="left"/>
              <w:rPr>
                <w:rFonts w:ascii="宋体" w:hAnsi="宋体" w:eastAsia="宋体" w:cs="宋体"/>
                <w:szCs w:val="21"/>
              </w:rPr>
            </w:pPr>
            <w:r>
              <w:rPr>
                <w:rFonts w:hint="eastAsia" w:ascii="宋体" w:hAnsi="宋体" w:eastAsia="宋体" w:cs="宋体"/>
                <w:szCs w:val="21"/>
              </w:rPr>
              <w:t>课程目标4</w:t>
            </w:r>
          </w:p>
        </w:tc>
      </w:tr>
    </w:tbl>
    <w:p w14:paraId="6A7293A4">
      <w:pPr>
        <w:spacing w:line="360" w:lineRule="auto"/>
        <w:ind w:firstLine="482" w:firstLineChars="200"/>
        <w:outlineLvl w:val="1"/>
        <w:rPr>
          <w:rFonts w:ascii="宋体" w:hAnsi="宋体" w:eastAsia="宋体" w:cs="Times New Roman"/>
          <w:b/>
          <w:sz w:val="24"/>
          <w:szCs w:val="28"/>
        </w:rPr>
      </w:pPr>
      <w:bookmarkStart w:id="1530" w:name="_Toc24819"/>
      <w:r>
        <w:rPr>
          <w:rFonts w:hint="eastAsia" w:ascii="宋体" w:hAnsi="宋体" w:eastAsia="宋体" w:cs="Times New Roman"/>
          <w:b/>
          <w:sz w:val="24"/>
          <w:szCs w:val="28"/>
        </w:rPr>
        <w:t>（三）课程思政目标</w:t>
      </w:r>
      <w:bookmarkEnd w:id="1530"/>
    </w:p>
    <w:p w14:paraId="1693F9C4">
      <w:pPr>
        <w:spacing w:line="360" w:lineRule="auto"/>
        <w:ind w:firstLine="411" w:firstLineChars="196"/>
        <w:jc w:val="left"/>
        <w:rPr>
          <w:rFonts w:ascii="宋体" w:hAnsi="宋体" w:eastAsia="宋体" w:cs="Times New Roman"/>
          <w:szCs w:val="21"/>
        </w:rPr>
      </w:pPr>
      <w:r>
        <w:rPr>
          <w:rFonts w:hint="eastAsia" w:ascii="宋体" w:hAnsi="宋体" w:eastAsia="宋体" w:cs="Times New Roman"/>
          <w:szCs w:val="21"/>
        </w:rPr>
        <w:t>学生在扎实掌握教育论文写作理论与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66B8AF48">
      <w:pPr>
        <w:spacing w:line="360" w:lineRule="auto"/>
        <w:jc w:val="left"/>
        <w:rPr>
          <w:rFonts w:ascii="宋体" w:hAnsi="宋体" w:eastAsia="宋体" w:cs="Times New Roman"/>
          <w:b/>
          <w:sz w:val="24"/>
          <w:szCs w:val="24"/>
        </w:rPr>
      </w:pPr>
    </w:p>
    <w:p w14:paraId="3EA04780">
      <w:pPr>
        <w:spacing w:line="360" w:lineRule="auto"/>
        <w:jc w:val="left"/>
        <w:outlineLvl w:val="0"/>
        <w:rPr>
          <w:rFonts w:ascii="宋体" w:hAnsi="宋体" w:eastAsia="宋体" w:cs="Times New Roman"/>
          <w:b/>
          <w:sz w:val="24"/>
          <w:szCs w:val="24"/>
        </w:rPr>
      </w:pPr>
      <w:bookmarkStart w:id="1531" w:name="_Toc12813"/>
      <w:bookmarkStart w:id="1532" w:name="_Toc18401"/>
      <w:bookmarkStart w:id="1533" w:name="_Toc15180"/>
      <w:bookmarkStart w:id="1534" w:name="_Toc4482"/>
      <w:bookmarkStart w:id="1535" w:name="_Toc26408"/>
      <w:bookmarkStart w:id="1536" w:name="_Toc19984"/>
      <w:bookmarkStart w:id="1537" w:name="_Toc3742"/>
      <w:r>
        <w:rPr>
          <w:rFonts w:hint="eastAsia" w:ascii="宋体" w:hAnsi="宋体" w:eastAsia="宋体" w:cs="Times New Roman"/>
          <w:b/>
          <w:sz w:val="24"/>
          <w:szCs w:val="24"/>
        </w:rPr>
        <w:t>三、教学内容与预期学习成效</w:t>
      </w:r>
      <w:bookmarkEnd w:id="1531"/>
      <w:bookmarkEnd w:id="1532"/>
      <w:bookmarkEnd w:id="1533"/>
      <w:bookmarkEnd w:id="1534"/>
      <w:bookmarkEnd w:id="1535"/>
      <w:bookmarkEnd w:id="1536"/>
      <w:bookmarkEnd w:id="1537"/>
    </w:p>
    <w:p w14:paraId="3E3BE674">
      <w:pPr>
        <w:spacing w:line="360" w:lineRule="auto"/>
        <w:jc w:val="left"/>
        <w:rPr>
          <w:rFonts w:ascii="宋体" w:hAnsi="宋体" w:eastAsia="宋体" w:cs="Times New Roman"/>
          <w:szCs w:val="21"/>
        </w:rPr>
      </w:pPr>
      <w:r>
        <w:rPr>
          <w:rFonts w:hint="eastAsia" w:ascii="宋体" w:hAnsi="宋体" w:eastAsia="宋体" w:cs="Times New Roman"/>
          <w:b/>
          <w:sz w:val="24"/>
          <w:szCs w:val="24"/>
        </w:rPr>
        <w:t xml:space="preserve"> </w:t>
      </w:r>
      <w:r>
        <w:rPr>
          <w:rFonts w:ascii="宋体" w:hAnsi="宋体" w:eastAsia="宋体" w:cs="Times New Roman"/>
          <w:b/>
          <w:sz w:val="24"/>
          <w:szCs w:val="24"/>
        </w:rPr>
        <w:t xml:space="preserve">  </w:t>
      </w:r>
      <w:r>
        <w:rPr>
          <w:rFonts w:hint="eastAsia" w:ascii="宋体" w:hAnsi="宋体" w:eastAsia="宋体" w:cs="Times New Roman"/>
          <w:szCs w:val="21"/>
        </w:rPr>
        <w:t>本课程主要教学内容及学生预期学习成效见表2。</w:t>
      </w:r>
    </w:p>
    <w:p w14:paraId="2E8E0381">
      <w:pPr>
        <w:spacing w:line="360" w:lineRule="auto"/>
        <w:ind w:firstLine="1928" w:firstLineChars="800"/>
        <w:jc w:val="left"/>
        <w:rPr>
          <w:rFonts w:ascii="宋体" w:hAnsi="宋体" w:eastAsia="宋体" w:cs="Times New Roman"/>
          <w:b/>
          <w:sz w:val="24"/>
          <w:szCs w:val="24"/>
        </w:rPr>
      </w:pPr>
      <w:r>
        <w:rPr>
          <w:rFonts w:hint="eastAsia" w:ascii="宋体" w:hAnsi="宋体" w:eastAsia="宋体" w:cs="Times New Roman"/>
          <w:b/>
          <w:sz w:val="24"/>
          <w:szCs w:val="24"/>
        </w:rPr>
        <w:t>表</w:t>
      </w:r>
      <w:r>
        <w:rPr>
          <w:rFonts w:ascii="宋体" w:hAnsi="宋体" w:eastAsia="宋体" w:cs="Times New Roman"/>
          <w:b/>
          <w:sz w:val="24"/>
          <w:szCs w:val="24"/>
        </w:rPr>
        <w:t xml:space="preserve">2   </w:t>
      </w:r>
      <w:r>
        <w:rPr>
          <w:rFonts w:hint="eastAsia" w:ascii="宋体" w:hAnsi="宋体" w:eastAsia="宋体" w:cs="Times New Roman"/>
          <w:b/>
          <w:sz w:val="24"/>
          <w:szCs w:val="24"/>
        </w:rPr>
        <w:t>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26"/>
        <w:gridCol w:w="1276"/>
        <w:gridCol w:w="656"/>
      </w:tblGrid>
      <w:tr w14:paraId="1DBB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18B606D">
            <w:pPr>
              <w:jc w:val="center"/>
              <w:rPr>
                <w:rFonts w:ascii="宋体" w:hAnsi="宋体" w:eastAsia="宋体" w:cs="Times New Roman"/>
                <w:b/>
                <w:szCs w:val="21"/>
              </w:rPr>
            </w:pPr>
            <w:r>
              <w:rPr>
                <w:rFonts w:hint="eastAsia" w:ascii="宋体" w:hAnsi="宋体" w:eastAsia="宋体" w:cs="Times New Roman"/>
                <w:b/>
                <w:szCs w:val="21"/>
              </w:rPr>
              <w:t>知识</w:t>
            </w:r>
          </w:p>
          <w:p w14:paraId="0B9ADBF9">
            <w:pPr>
              <w:jc w:val="center"/>
              <w:rPr>
                <w:rFonts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40666F7C">
            <w:pPr>
              <w:jc w:val="center"/>
              <w:rPr>
                <w:rFonts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25ED4309">
            <w:pPr>
              <w:jc w:val="center"/>
              <w:rPr>
                <w:rFonts w:ascii="宋体" w:hAnsi="宋体" w:eastAsia="宋体" w:cs="Times New Roman"/>
                <w:b/>
                <w:szCs w:val="21"/>
              </w:rPr>
            </w:pPr>
            <w:r>
              <w:rPr>
                <w:rFonts w:hint="eastAsia" w:ascii="宋体" w:hAnsi="宋体" w:eastAsia="宋体" w:cs="Times New Roman"/>
                <w:b/>
                <w:szCs w:val="21"/>
              </w:rPr>
              <w:t>对应</w:t>
            </w:r>
          </w:p>
          <w:p w14:paraId="375610E4">
            <w:pPr>
              <w:jc w:val="center"/>
              <w:rPr>
                <w:rFonts w:ascii="宋体" w:hAnsi="宋体" w:eastAsia="宋体" w:cs="Times New Roman"/>
                <w:b/>
                <w:szCs w:val="21"/>
              </w:rPr>
            </w:pPr>
            <w:r>
              <w:rPr>
                <w:rFonts w:hint="eastAsia" w:ascii="宋体" w:hAnsi="宋体" w:eastAsia="宋体" w:cs="Times New Roman"/>
                <w:b/>
                <w:szCs w:val="21"/>
              </w:rPr>
              <w:t>课程目标</w:t>
            </w:r>
          </w:p>
        </w:tc>
        <w:tc>
          <w:tcPr>
            <w:tcW w:w="3326" w:type="dxa"/>
            <w:vAlign w:val="center"/>
          </w:tcPr>
          <w:p w14:paraId="3E79E577">
            <w:pPr>
              <w:jc w:val="center"/>
              <w:rPr>
                <w:rFonts w:ascii="宋体" w:hAnsi="宋体" w:eastAsia="宋体" w:cs="Times New Roman"/>
                <w:b/>
                <w:szCs w:val="21"/>
              </w:rPr>
            </w:pPr>
            <w:r>
              <w:rPr>
                <w:rFonts w:hint="eastAsia" w:ascii="宋体" w:hAnsi="宋体" w:eastAsia="宋体" w:cs="Times New Roman"/>
                <w:b/>
                <w:szCs w:val="21"/>
              </w:rPr>
              <w:t>预期学习成效</w:t>
            </w:r>
          </w:p>
        </w:tc>
        <w:tc>
          <w:tcPr>
            <w:tcW w:w="1276" w:type="dxa"/>
            <w:vAlign w:val="center"/>
          </w:tcPr>
          <w:p w14:paraId="3AA01D1E">
            <w:pPr>
              <w:jc w:val="center"/>
              <w:rPr>
                <w:rFonts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6697AA00">
            <w:pPr>
              <w:jc w:val="center"/>
              <w:rPr>
                <w:rFonts w:ascii="宋体" w:hAnsi="宋体" w:eastAsia="宋体" w:cs="Times New Roman"/>
                <w:b/>
                <w:szCs w:val="21"/>
              </w:rPr>
            </w:pPr>
            <w:r>
              <w:rPr>
                <w:rFonts w:hint="eastAsia" w:ascii="宋体" w:hAnsi="宋体" w:eastAsia="宋体" w:cs="Times New Roman"/>
                <w:b/>
                <w:szCs w:val="21"/>
              </w:rPr>
              <w:t>学时</w:t>
            </w:r>
          </w:p>
        </w:tc>
      </w:tr>
      <w:tr w14:paraId="255F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D46611F">
            <w:pPr>
              <w:spacing w:line="264" w:lineRule="auto"/>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教育论文写作概述</w:t>
            </w:r>
          </w:p>
        </w:tc>
        <w:tc>
          <w:tcPr>
            <w:tcW w:w="1701" w:type="dxa"/>
            <w:vAlign w:val="center"/>
          </w:tcPr>
          <w:p w14:paraId="5F68B05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1）教育论文写作的意义</w:t>
            </w:r>
          </w:p>
          <w:p w14:paraId="111A2E7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2）教育论文写作的一般步骤</w:t>
            </w:r>
          </w:p>
          <w:p w14:paraId="4993CF2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3）教育论文写作的学术规范</w:t>
            </w:r>
          </w:p>
        </w:tc>
        <w:tc>
          <w:tcPr>
            <w:tcW w:w="1134" w:type="dxa"/>
            <w:vAlign w:val="center"/>
          </w:tcPr>
          <w:p w14:paraId="1B9EF236">
            <w:pPr>
              <w:jc w:val="center"/>
              <w:rPr>
                <w:rFonts w:ascii="宋体" w:hAnsi="宋体" w:eastAsia="宋体" w:cs="Times New Roman"/>
                <w:szCs w:val="21"/>
              </w:rPr>
            </w:pPr>
            <w:r>
              <w:rPr>
                <w:rFonts w:hint="eastAsia" w:ascii="宋体" w:hAnsi="宋体" w:eastAsia="宋体" w:cs="Times New Roman"/>
                <w:szCs w:val="21"/>
              </w:rPr>
              <w:t>课程目标1</w:t>
            </w:r>
          </w:p>
        </w:tc>
        <w:tc>
          <w:tcPr>
            <w:tcW w:w="3326" w:type="dxa"/>
            <w:vAlign w:val="center"/>
          </w:tcPr>
          <w:p w14:paraId="3929208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1）理解论文写作的意义；</w:t>
            </w:r>
          </w:p>
          <w:p w14:paraId="5CCB0E9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2）掌握教育论文写作的基本步骤；</w:t>
            </w:r>
          </w:p>
          <w:p w14:paraId="7EAE6D5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3）了解教育论文写作的学术规范，恪守学术道德。</w:t>
            </w:r>
          </w:p>
        </w:tc>
        <w:tc>
          <w:tcPr>
            <w:tcW w:w="1276" w:type="dxa"/>
            <w:vAlign w:val="center"/>
          </w:tcPr>
          <w:p w14:paraId="12B3276A">
            <w:pPr>
              <w:spacing w:line="269" w:lineRule="auto"/>
              <w:jc w:val="left"/>
              <w:rPr>
                <w:rFonts w:ascii="宋体" w:hAnsi="宋体" w:eastAsia="宋体" w:cs="Times New Roman"/>
                <w:szCs w:val="21"/>
              </w:rPr>
            </w:pPr>
            <w:r>
              <w:rPr>
                <w:rFonts w:hint="eastAsia" w:ascii="宋体" w:hAnsi="宋体" w:eastAsia="宋体" w:cs="Times New Roman"/>
                <w:szCs w:val="21"/>
              </w:rPr>
              <w:t>自主学习</w:t>
            </w:r>
          </w:p>
          <w:p w14:paraId="41276079">
            <w:pPr>
              <w:spacing w:line="269" w:lineRule="auto"/>
              <w:jc w:val="left"/>
              <w:rPr>
                <w:rFonts w:ascii="宋体" w:hAnsi="宋体" w:eastAsia="宋体" w:cs="Times New Roman"/>
                <w:szCs w:val="21"/>
              </w:rPr>
            </w:pPr>
            <w:r>
              <w:rPr>
                <w:rFonts w:hint="eastAsia" w:ascii="宋体" w:hAnsi="宋体" w:eastAsia="宋体" w:cs="Times New Roman"/>
                <w:szCs w:val="21"/>
              </w:rPr>
              <w:t>多媒体教学</w:t>
            </w:r>
          </w:p>
          <w:p w14:paraId="6B4708D5">
            <w:pPr>
              <w:spacing w:line="269" w:lineRule="auto"/>
              <w:jc w:val="left"/>
              <w:rPr>
                <w:rFonts w:ascii="宋体" w:hAnsi="宋体" w:eastAsia="宋体" w:cs="Times New Roman"/>
                <w:szCs w:val="21"/>
              </w:rPr>
            </w:pPr>
            <w:r>
              <w:rPr>
                <w:rFonts w:hint="eastAsia" w:ascii="宋体" w:hAnsi="宋体" w:eastAsia="宋体" w:cs="Times New Roman"/>
                <w:szCs w:val="21"/>
              </w:rPr>
              <w:t>课堂讨论</w:t>
            </w:r>
          </w:p>
        </w:tc>
        <w:tc>
          <w:tcPr>
            <w:tcW w:w="656" w:type="dxa"/>
            <w:vAlign w:val="center"/>
          </w:tcPr>
          <w:p w14:paraId="719E7BFB">
            <w:pPr>
              <w:spacing w:line="269" w:lineRule="auto"/>
              <w:jc w:val="center"/>
              <w:rPr>
                <w:rFonts w:ascii="宋体" w:hAnsi="宋体" w:eastAsia="宋体" w:cs="Times New Roman"/>
                <w:szCs w:val="21"/>
              </w:rPr>
            </w:pPr>
            <w:r>
              <w:rPr>
                <w:rFonts w:ascii="宋体" w:hAnsi="宋体" w:eastAsia="宋体" w:cs="Times New Roman"/>
                <w:szCs w:val="21"/>
              </w:rPr>
              <w:t>2</w:t>
            </w:r>
          </w:p>
        </w:tc>
      </w:tr>
      <w:tr w14:paraId="5DF9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AD96DE">
            <w:pPr>
              <w:spacing w:line="264" w:lineRule="auto"/>
              <w:jc w:val="center"/>
              <w:rPr>
                <w:rFonts w:ascii="宋体" w:hAnsi="宋体" w:eastAsia="宋体" w:cs="Times New Roman"/>
                <w:szCs w:val="21"/>
              </w:rPr>
            </w:pPr>
          </w:p>
        </w:tc>
        <w:tc>
          <w:tcPr>
            <w:tcW w:w="8093" w:type="dxa"/>
            <w:gridSpan w:val="5"/>
            <w:vAlign w:val="center"/>
          </w:tcPr>
          <w:p w14:paraId="5BE3F504">
            <w:pPr>
              <w:spacing w:line="269"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以习近平总书记关于教育工作的重要论述为指导，理解教育论文写作的价值和意义；坚持“立德树人”，树立正确的世界观、价值观和人生观；热爱中小学教育，理解基础教育改革的意义，具有一定的创新意识，学会发现和分析人民群众关心的基础教育热点和难点问题。</w:t>
            </w:r>
          </w:p>
        </w:tc>
      </w:tr>
      <w:tr w14:paraId="7CEC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6F27E61">
            <w:pPr>
              <w:spacing w:line="264" w:lineRule="auto"/>
              <w:jc w:val="center"/>
              <w:rPr>
                <w:rFonts w:ascii="宋体" w:hAnsi="宋体" w:eastAsia="宋体" w:cs="Times New Roman"/>
                <w:szCs w:val="21"/>
              </w:rPr>
            </w:pPr>
            <w:r>
              <w:rPr>
                <w:rFonts w:hint="eastAsia" w:ascii="宋体" w:hAnsi="宋体" w:eastAsia="宋体" w:cs="Times New Roman"/>
                <w:szCs w:val="21"/>
              </w:rPr>
              <w:t>2.</w:t>
            </w:r>
            <w:r>
              <w:rPr>
                <w:rFonts w:hint="eastAsia" w:ascii="等线" w:hAnsi="等线" w:eastAsia="等线" w:cs="Times New Roman"/>
                <w:szCs w:val="22"/>
              </w:rPr>
              <w:t xml:space="preserve"> </w:t>
            </w:r>
            <w:r>
              <w:rPr>
                <w:rFonts w:hint="eastAsia" w:ascii="宋体" w:hAnsi="宋体" w:eastAsia="宋体" w:cs="Times New Roman"/>
                <w:szCs w:val="21"/>
              </w:rPr>
              <w:t>学术期刊论文的写作</w:t>
            </w:r>
          </w:p>
        </w:tc>
        <w:tc>
          <w:tcPr>
            <w:tcW w:w="1701" w:type="dxa"/>
            <w:vAlign w:val="center"/>
          </w:tcPr>
          <w:p w14:paraId="0BCA584B">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1）学术期刊论文标题的拟定</w:t>
            </w:r>
          </w:p>
          <w:p w14:paraId="32A06D7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2）学术期刊论文摘要的撰写</w:t>
            </w:r>
          </w:p>
          <w:p w14:paraId="08F7256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3）学术期刊论文引言的撰写</w:t>
            </w:r>
          </w:p>
          <w:p w14:paraId="2E88E2D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4）学术期刊论文正文的撰写</w:t>
            </w:r>
          </w:p>
          <w:p w14:paraId="4510BB2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5）学术期刊论文结语的撰写</w:t>
            </w:r>
          </w:p>
        </w:tc>
        <w:tc>
          <w:tcPr>
            <w:tcW w:w="1134" w:type="dxa"/>
            <w:vAlign w:val="center"/>
          </w:tcPr>
          <w:p w14:paraId="28003AC2">
            <w:pPr>
              <w:jc w:val="center"/>
              <w:rPr>
                <w:rFonts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；课程目标3</w:t>
            </w:r>
          </w:p>
        </w:tc>
        <w:tc>
          <w:tcPr>
            <w:tcW w:w="3326" w:type="dxa"/>
            <w:vAlign w:val="center"/>
          </w:tcPr>
          <w:p w14:paraId="6389561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1）了解教育论文（期刊论文）的基本结构；</w:t>
            </w:r>
          </w:p>
          <w:p w14:paraId="2E8CEAA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2）掌握教育论文各组成部分的写作方法；</w:t>
            </w:r>
          </w:p>
          <w:p w14:paraId="6FC63C1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3）能够撰写符合规范的小论文。</w:t>
            </w:r>
          </w:p>
        </w:tc>
        <w:tc>
          <w:tcPr>
            <w:tcW w:w="1276" w:type="dxa"/>
            <w:vAlign w:val="center"/>
          </w:tcPr>
          <w:p w14:paraId="05D7745F">
            <w:pPr>
              <w:spacing w:line="269" w:lineRule="auto"/>
              <w:jc w:val="left"/>
              <w:rPr>
                <w:rFonts w:ascii="宋体" w:hAnsi="宋体" w:eastAsia="宋体" w:cs="Times New Roman"/>
                <w:szCs w:val="21"/>
              </w:rPr>
            </w:pPr>
            <w:r>
              <w:rPr>
                <w:rFonts w:hint="eastAsia" w:ascii="宋体" w:hAnsi="宋体" w:eastAsia="宋体" w:cs="Times New Roman"/>
                <w:szCs w:val="21"/>
              </w:rPr>
              <w:t>自主学习</w:t>
            </w:r>
          </w:p>
          <w:p w14:paraId="39B46D7D">
            <w:pPr>
              <w:spacing w:line="269" w:lineRule="auto"/>
              <w:jc w:val="left"/>
              <w:rPr>
                <w:rFonts w:ascii="宋体" w:hAnsi="宋体" w:eastAsia="宋体" w:cs="Times New Roman"/>
                <w:szCs w:val="21"/>
              </w:rPr>
            </w:pPr>
            <w:r>
              <w:rPr>
                <w:rFonts w:hint="eastAsia" w:ascii="宋体" w:hAnsi="宋体" w:eastAsia="宋体" w:cs="Times New Roman"/>
                <w:szCs w:val="21"/>
              </w:rPr>
              <w:t>案例教学</w:t>
            </w:r>
          </w:p>
          <w:p w14:paraId="4462679B">
            <w:pPr>
              <w:spacing w:line="269" w:lineRule="auto"/>
              <w:jc w:val="left"/>
              <w:rPr>
                <w:rFonts w:ascii="宋体" w:hAnsi="宋体" w:eastAsia="宋体" w:cs="Times New Roman"/>
                <w:szCs w:val="21"/>
              </w:rPr>
            </w:pPr>
            <w:r>
              <w:rPr>
                <w:rFonts w:hint="eastAsia" w:ascii="宋体" w:hAnsi="宋体" w:eastAsia="宋体" w:cs="Times New Roman"/>
                <w:szCs w:val="21"/>
              </w:rPr>
              <w:t>课堂讨论</w:t>
            </w:r>
          </w:p>
          <w:p w14:paraId="18010EDE">
            <w:pPr>
              <w:spacing w:line="269" w:lineRule="auto"/>
              <w:jc w:val="left"/>
              <w:rPr>
                <w:rFonts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087A0DF3">
            <w:pPr>
              <w:spacing w:line="269" w:lineRule="auto"/>
              <w:jc w:val="center"/>
              <w:rPr>
                <w:rFonts w:ascii="宋体" w:hAnsi="宋体" w:eastAsia="宋体" w:cs="Times New Roman"/>
                <w:szCs w:val="21"/>
              </w:rPr>
            </w:pPr>
            <w:r>
              <w:rPr>
                <w:rFonts w:ascii="宋体" w:hAnsi="宋体" w:eastAsia="宋体" w:cs="Times New Roman"/>
                <w:szCs w:val="21"/>
              </w:rPr>
              <w:t>6</w:t>
            </w:r>
          </w:p>
        </w:tc>
      </w:tr>
      <w:tr w14:paraId="5042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EF7388">
            <w:pPr>
              <w:spacing w:line="264" w:lineRule="auto"/>
              <w:jc w:val="center"/>
              <w:rPr>
                <w:rFonts w:ascii="宋体" w:hAnsi="宋体" w:eastAsia="宋体" w:cs="Times New Roman"/>
                <w:szCs w:val="21"/>
              </w:rPr>
            </w:pPr>
          </w:p>
        </w:tc>
        <w:tc>
          <w:tcPr>
            <w:tcW w:w="8093" w:type="dxa"/>
            <w:gridSpan w:val="5"/>
            <w:vAlign w:val="center"/>
          </w:tcPr>
          <w:p w14:paraId="52FED049">
            <w:pPr>
              <w:spacing w:line="269"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 xml:space="preserve">  正确处理整体和部分的关系，准确把握主要矛盾和次要矛盾；践行社会主义核心价值观，坚持“四个自信”；虚心学习，实事求是，培养和形成朴素、严谨的文风；遵守学术规范，恪守学术诚信；学会创新，善于分析和解决人民群众关心的热点问题。</w:t>
            </w:r>
          </w:p>
        </w:tc>
      </w:tr>
      <w:tr w14:paraId="5E8D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DEB3B6">
            <w:pPr>
              <w:spacing w:line="264" w:lineRule="auto"/>
              <w:jc w:val="cente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 xml:space="preserve">. </w:t>
            </w:r>
            <w:r>
              <w:rPr>
                <w:rFonts w:hint="eastAsia" w:ascii="宋体" w:hAnsi="宋体" w:eastAsia="宋体" w:cs="Times New Roman"/>
                <w:szCs w:val="21"/>
              </w:rPr>
              <w:t>教育综述论文的写作</w:t>
            </w:r>
          </w:p>
        </w:tc>
        <w:tc>
          <w:tcPr>
            <w:tcW w:w="1701" w:type="dxa"/>
            <w:vAlign w:val="center"/>
          </w:tcPr>
          <w:p w14:paraId="56A513C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1）教育综述论文的结构特点</w:t>
            </w:r>
          </w:p>
          <w:p w14:paraId="0EA8942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2）教育综述论文的语言特点 </w:t>
            </w:r>
          </w:p>
          <w:p w14:paraId="7B15E722">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3）教育综述论文的撰写要点</w:t>
            </w:r>
          </w:p>
        </w:tc>
        <w:tc>
          <w:tcPr>
            <w:tcW w:w="1134" w:type="dxa"/>
            <w:vAlign w:val="center"/>
          </w:tcPr>
          <w:p w14:paraId="615E4F2D">
            <w:pPr>
              <w:jc w:val="center"/>
              <w:rPr>
                <w:rFonts w:ascii="宋体" w:hAnsi="宋体" w:eastAsia="宋体" w:cs="Times New Roman"/>
                <w:szCs w:val="21"/>
              </w:rPr>
            </w:pPr>
            <w:r>
              <w:rPr>
                <w:rFonts w:hint="eastAsia" w:ascii="宋体" w:hAnsi="宋体" w:eastAsia="宋体" w:cs="Times New Roman"/>
                <w:szCs w:val="21"/>
              </w:rPr>
              <w:t>课程目标2；课程目标3</w:t>
            </w:r>
          </w:p>
        </w:tc>
        <w:tc>
          <w:tcPr>
            <w:tcW w:w="3326" w:type="dxa"/>
            <w:vAlign w:val="center"/>
          </w:tcPr>
          <w:p w14:paraId="32F03988">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1）熟悉教育综述论文的结构特点；</w:t>
            </w:r>
          </w:p>
          <w:p w14:paraId="04B66C4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2）结合实例，了解教育综述论文的语言特点；</w:t>
            </w:r>
          </w:p>
          <w:p w14:paraId="1186C44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3）能够结合自身的学习和研究，撰写符合规范的教育综述小论文。</w:t>
            </w:r>
          </w:p>
        </w:tc>
        <w:tc>
          <w:tcPr>
            <w:tcW w:w="1276" w:type="dxa"/>
            <w:vAlign w:val="center"/>
          </w:tcPr>
          <w:p w14:paraId="696C1510">
            <w:pPr>
              <w:jc w:val="left"/>
              <w:rPr>
                <w:rFonts w:ascii="宋体" w:hAnsi="宋体" w:eastAsia="宋体" w:cs="Times New Roman"/>
                <w:szCs w:val="21"/>
              </w:rPr>
            </w:pPr>
            <w:r>
              <w:rPr>
                <w:rFonts w:hint="eastAsia" w:ascii="宋体" w:hAnsi="宋体" w:eastAsia="宋体" w:cs="Times New Roman"/>
                <w:szCs w:val="21"/>
              </w:rPr>
              <w:t>自主学习</w:t>
            </w:r>
          </w:p>
          <w:p w14:paraId="04F36D97">
            <w:pPr>
              <w:jc w:val="left"/>
              <w:rPr>
                <w:rFonts w:ascii="宋体" w:hAnsi="宋体" w:eastAsia="宋体" w:cs="Times New Roman"/>
                <w:szCs w:val="21"/>
              </w:rPr>
            </w:pPr>
            <w:r>
              <w:rPr>
                <w:rFonts w:hint="eastAsia" w:ascii="宋体" w:hAnsi="宋体" w:eastAsia="宋体" w:cs="Times New Roman"/>
                <w:szCs w:val="21"/>
              </w:rPr>
              <w:t>案例教学</w:t>
            </w:r>
          </w:p>
          <w:p w14:paraId="1A7E1BEE">
            <w:pPr>
              <w:jc w:val="left"/>
              <w:rPr>
                <w:rFonts w:ascii="宋体" w:hAnsi="宋体" w:eastAsia="宋体" w:cs="Times New Roman"/>
                <w:szCs w:val="21"/>
              </w:rPr>
            </w:pPr>
            <w:r>
              <w:rPr>
                <w:rFonts w:hint="eastAsia" w:ascii="宋体" w:hAnsi="宋体" w:eastAsia="宋体" w:cs="Times New Roman"/>
                <w:szCs w:val="21"/>
              </w:rPr>
              <w:t>课堂讨论</w:t>
            </w:r>
          </w:p>
          <w:p w14:paraId="69B7BA2A">
            <w:pPr>
              <w:jc w:val="left"/>
              <w:rPr>
                <w:rFonts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245C7953">
            <w:pPr>
              <w:jc w:val="center"/>
              <w:rPr>
                <w:rFonts w:ascii="宋体" w:hAnsi="宋体" w:eastAsia="宋体" w:cs="Times New Roman"/>
                <w:szCs w:val="21"/>
              </w:rPr>
            </w:pPr>
            <w:r>
              <w:rPr>
                <w:rFonts w:ascii="宋体" w:hAnsi="宋体" w:eastAsia="宋体" w:cs="Times New Roman"/>
                <w:szCs w:val="21"/>
              </w:rPr>
              <w:t>6</w:t>
            </w:r>
          </w:p>
        </w:tc>
      </w:tr>
      <w:tr w14:paraId="6745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0C0746">
            <w:pPr>
              <w:spacing w:line="264" w:lineRule="auto"/>
              <w:jc w:val="center"/>
              <w:rPr>
                <w:rFonts w:ascii="宋体" w:hAnsi="宋体" w:eastAsia="宋体" w:cs="Times New Roman"/>
                <w:szCs w:val="21"/>
              </w:rPr>
            </w:pPr>
          </w:p>
        </w:tc>
        <w:tc>
          <w:tcPr>
            <w:tcW w:w="8093" w:type="dxa"/>
            <w:gridSpan w:val="5"/>
            <w:vAlign w:val="center"/>
          </w:tcPr>
          <w:p w14:paraId="18D90BAF">
            <w:pPr>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国内外教育研究现状的全面梳理，增强对我国基础教育改革取得伟大成就的自豪感，培养投身基础教育科学研究的责任感和使命感；形成诚信务实、脚踏实地、实事求是的科研素养；遵守学术规范，恪守学术诚信。</w:t>
            </w:r>
          </w:p>
        </w:tc>
      </w:tr>
      <w:tr w14:paraId="2B23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BC2215">
            <w:pPr>
              <w:spacing w:line="276" w:lineRule="auto"/>
              <w:jc w:val="center"/>
              <w:rPr>
                <w:rFonts w:ascii="宋体" w:hAnsi="宋体" w:eastAsia="宋体" w:cs="Times New Roman"/>
                <w:szCs w:val="21"/>
              </w:rPr>
            </w:pPr>
            <w:r>
              <w:rPr>
                <w:rFonts w:hint="eastAsia" w:ascii="宋体" w:hAnsi="宋体" w:eastAsia="宋体" w:cs="Times New Roman"/>
                <w:szCs w:val="21"/>
              </w:rPr>
              <w:t>4.</w:t>
            </w:r>
            <w:r>
              <w:rPr>
                <w:rFonts w:hint="eastAsia" w:ascii="等线" w:hAnsi="等线" w:eastAsia="等线" w:cs="Times New Roman"/>
                <w:szCs w:val="22"/>
              </w:rPr>
              <w:t xml:space="preserve"> </w:t>
            </w:r>
            <w:r>
              <w:rPr>
                <w:rFonts w:hint="eastAsia" w:ascii="宋体" w:hAnsi="宋体" w:eastAsia="宋体" w:cs="Times New Roman"/>
                <w:szCs w:val="21"/>
              </w:rPr>
              <w:t>教育经验总结论文的写作</w:t>
            </w:r>
          </w:p>
        </w:tc>
        <w:tc>
          <w:tcPr>
            <w:tcW w:w="1701" w:type="dxa"/>
            <w:vAlign w:val="center"/>
          </w:tcPr>
          <w:p w14:paraId="3430C485">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1）教育经验总结论文的类别及其结构 </w:t>
            </w:r>
          </w:p>
          <w:p w14:paraId="22243A04">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2）具体经验总结论文的撰写</w:t>
            </w:r>
          </w:p>
          <w:p w14:paraId="5564AA06">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3）一般经验总结论文的撰写</w:t>
            </w:r>
          </w:p>
          <w:p w14:paraId="16224204">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4）理论性经验总结论文的撰写</w:t>
            </w:r>
          </w:p>
        </w:tc>
        <w:tc>
          <w:tcPr>
            <w:tcW w:w="1134" w:type="dxa"/>
            <w:vAlign w:val="center"/>
          </w:tcPr>
          <w:p w14:paraId="1534B58B">
            <w:pPr>
              <w:spacing w:line="276" w:lineRule="auto"/>
              <w:jc w:val="center"/>
              <w:rPr>
                <w:rFonts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；课程目标3</w:t>
            </w:r>
          </w:p>
        </w:tc>
        <w:tc>
          <w:tcPr>
            <w:tcW w:w="3326" w:type="dxa"/>
            <w:vAlign w:val="center"/>
          </w:tcPr>
          <w:p w14:paraId="1C43838D">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1）熟悉教育经验总结类论文的结构特点；</w:t>
            </w:r>
          </w:p>
          <w:p w14:paraId="56DA5682">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2）结合实例，了解教育经验总结类论文的语言特点；</w:t>
            </w:r>
          </w:p>
          <w:p w14:paraId="2703CC0A">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3）初步掌握教育经验总结类论文的写作要点；</w:t>
            </w:r>
          </w:p>
          <w:p w14:paraId="788C8996">
            <w:pPr>
              <w:spacing w:line="276" w:lineRule="auto"/>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4）能够结合教育实践，撰写符合规范的具体教育经验总结小论文（教学随笔或教学反思）。</w:t>
            </w:r>
          </w:p>
        </w:tc>
        <w:tc>
          <w:tcPr>
            <w:tcW w:w="1276" w:type="dxa"/>
            <w:vAlign w:val="center"/>
          </w:tcPr>
          <w:p w14:paraId="6EEDD9CA">
            <w:pPr>
              <w:spacing w:line="276" w:lineRule="auto"/>
              <w:jc w:val="left"/>
              <w:rPr>
                <w:rFonts w:ascii="宋体" w:hAnsi="宋体" w:eastAsia="宋体" w:cs="Times New Roman"/>
                <w:szCs w:val="21"/>
              </w:rPr>
            </w:pPr>
            <w:r>
              <w:rPr>
                <w:rFonts w:hint="eastAsia" w:ascii="宋体" w:hAnsi="宋体" w:eastAsia="宋体" w:cs="Times New Roman"/>
                <w:szCs w:val="21"/>
              </w:rPr>
              <w:t>自主学习</w:t>
            </w:r>
          </w:p>
          <w:p w14:paraId="1BA2F833">
            <w:pPr>
              <w:spacing w:line="276" w:lineRule="auto"/>
              <w:jc w:val="left"/>
              <w:rPr>
                <w:rFonts w:ascii="宋体" w:hAnsi="宋体" w:eastAsia="宋体" w:cs="Times New Roman"/>
                <w:szCs w:val="21"/>
              </w:rPr>
            </w:pPr>
            <w:r>
              <w:rPr>
                <w:rFonts w:hint="eastAsia" w:ascii="宋体" w:hAnsi="宋体" w:eastAsia="宋体" w:cs="Times New Roman"/>
                <w:szCs w:val="21"/>
              </w:rPr>
              <w:t>案例教学</w:t>
            </w:r>
          </w:p>
          <w:p w14:paraId="6F81AD78">
            <w:pPr>
              <w:spacing w:line="276" w:lineRule="auto"/>
              <w:jc w:val="left"/>
              <w:rPr>
                <w:rFonts w:ascii="宋体" w:hAnsi="宋体" w:eastAsia="宋体" w:cs="Times New Roman"/>
                <w:szCs w:val="21"/>
              </w:rPr>
            </w:pPr>
            <w:r>
              <w:rPr>
                <w:rFonts w:hint="eastAsia" w:ascii="宋体" w:hAnsi="宋体" w:eastAsia="宋体" w:cs="Times New Roman"/>
                <w:szCs w:val="21"/>
              </w:rPr>
              <w:t>课堂讨论</w:t>
            </w:r>
          </w:p>
          <w:p w14:paraId="354943B2">
            <w:pPr>
              <w:spacing w:line="276" w:lineRule="auto"/>
              <w:jc w:val="left"/>
              <w:rPr>
                <w:rFonts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4397F0E2">
            <w:pPr>
              <w:spacing w:line="276" w:lineRule="auto"/>
              <w:jc w:val="center"/>
              <w:rPr>
                <w:rFonts w:ascii="宋体" w:hAnsi="宋体" w:eastAsia="宋体" w:cs="Times New Roman"/>
                <w:szCs w:val="21"/>
              </w:rPr>
            </w:pPr>
            <w:r>
              <w:rPr>
                <w:rFonts w:ascii="宋体" w:hAnsi="宋体" w:eastAsia="宋体" w:cs="Times New Roman"/>
                <w:szCs w:val="21"/>
              </w:rPr>
              <w:t>4</w:t>
            </w:r>
          </w:p>
        </w:tc>
      </w:tr>
      <w:tr w14:paraId="03B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8D0CA4C">
            <w:pPr>
              <w:spacing w:line="276" w:lineRule="auto"/>
              <w:jc w:val="center"/>
              <w:rPr>
                <w:rFonts w:ascii="宋体" w:hAnsi="宋体" w:eastAsia="宋体" w:cs="Times New Roman"/>
                <w:szCs w:val="21"/>
              </w:rPr>
            </w:pPr>
          </w:p>
        </w:tc>
        <w:tc>
          <w:tcPr>
            <w:tcW w:w="8093" w:type="dxa"/>
            <w:gridSpan w:val="5"/>
            <w:vAlign w:val="center"/>
          </w:tcPr>
          <w:p w14:paraId="770D6B4E">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理解学校教育工作的价值和意义；把握教育改革和发展的本质规律；尊重科学、尊重事实， 遵循教育规律，培养和形成正确</w:t>
            </w:r>
            <w:r>
              <w:rPr>
                <w:rFonts w:hint="eastAsia" w:ascii="宋体" w:hAnsi="宋体" w:eastAsia="宋体" w:cs="Times New Roman"/>
                <w:szCs w:val="21"/>
              </w:rPr>
              <w:t>科研观</w:t>
            </w:r>
            <w:r>
              <w:rPr>
                <w:rFonts w:ascii="宋体" w:hAnsi="宋体" w:eastAsia="宋体" w:cs="Times New Roman"/>
                <w:szCs w:val="21"/>
              </w:rPr>
              <w:t>；遵守学术规范，恪守学术诚信。</w:t>
            </w:r>
          </w:p>
        </w:tc>
      </w:tr>
      <w:tr w14:paraId="6CB9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F8C7DB">
            <w:pPr>
              <w:spacing w:line="276" w:lineRule="auto"/>
              <w:jc w:val="center"/>
              <w:rPr>
                <w:rFonts w:ascii="宋体" w:hAnsi="宋体" w:eastAsia="宋体" w:cs="Times New Roman"/>
                <w:szCs w:val="21"/>
              </w:rPr>
            </w:pPr>
            <w:r>
              <w:rPr>
                <w:rFonts w:hint="eastAsia" w:ascii="宋体" w:hAnsi="宋体" w:eastAsia="宋体" w:cs="Times New Roman"/>
                <w:szCs w:val="21"/>
              </w:rPr>
              <w:t>5.</w:t>
            </w:r>
            <w:r>
              <w:rPr>
                <w:rFonts w:hint="eastAsia" w:ascii="等线" w:hAnsi="等线" w:eastAsia="等线" w:cs="Times New Roman"/>
                <w:szCs w:val="22"/>
              </w:rPr>
              <w:t xml:space="preserve"> </w:t>
            </w:r>
            <w:r>
              <w:rPr>
                <w:rFonts w:hint="eastAsia" w:ascii="宋体" w:hAnsi="宋体" w:eastAsia="宋体" w:cs="Times New Roman"/>
                <w:szCs w:val="21"/>
              </w:rPr>
              <w:t>教育调查报告及实验报告的写作</w:t>
            </w:r>
          </w:p>
        </w:tc>
        <w:tc>
          <w:tcPr>
            <w:tcW w:w="1701" w:type="dxa"/>
            <w:vAlign w:val="center"/>
          </w:tcPr>
          <w:p w14:paraId="2431763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1）教育调查报告的结构特点及写作要求</w:t>
            </w:r>
          </w:p>
          <w:p w14:paraId="7E6CA2FE">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2）教育实验报告的结构特点与写作要求</w:t>
            </w:r>
          </w:p>
        </w:tc>
        <w:tc>
          <w:tcPr>
            <w:tcW w:w="1134" w:type="dxa"/>
            <w:vAlign w:val="center"/>
          </w:tcPr>
          <w:p w14:paraId="19E81490">
            <w:pPr>
              <w:jc w:val="center"/>
              <w:rPr>
                <w:rFonts w:ascii="宋体" w:hAnsi="宋体" w:eastAsia="宋体" w:cs="Times New Roman"/>
                <w:szCs w:val="21"/>
              </w:rPr>
            </w:pPr>
            <w:r>
              <w:rPr>
                <w:rFonts w:hint="eastAsia" w:ascii="宋体" w:hAnsi="宋体" w:eastAsia="宋体" w:cs="Times New Roman"/>
                <w:szCs w:val="21"/>
              </w:rPr>
              <w:t>课程目标2；课程目标3</w:t>
            </w:r>
            <w:r>
              <w:rPr>
                <w:rFonts w:ascii="宋体" w:hAnsi="宋体" w:eastAsia="宋体" w:cs="Times New Roman"/>
                <w:szCs w:val="21"/>
              </w:rPr>
              <w:t xml:space="preserve"> </w:t>
            </w:r>
          </w:p>
        </w:tc>
        <w:tc>
          <w:tcPr>
            <w:tcW w:w="3326" w:type="dxa"/>
            <w:vAlign w:val="center"/>
          </w:tcPr>
          <w:p w14:paraId="5AD5C5B5">
            <w:pPr>
              <w:jc w:val="left"/>
              <w:rPr>
                <w:rFonts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1）结合实例，了解教育调查报告、教育实验报告的结构特点；</w:t>
            </w:r>
          </w:p>
          <w:p w14:paraId="0ECCB5B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2）能够结合教育实践（开展微型教育调查），撰写符合规范的教育调查报告。 </w:t>
            </w:r>
          </w:p>
          <w:p w14:paraId="40141A6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3）能够结合教育实践，提出教育实验课题，列出教育实验报告的框架。</w:t>
            </w:r>
          </w:p>
        </w:tc>
        <w:tc>
          <w:tcPr>
            <w:tcW w:w="1276" w:type="dxa"/>
            <w:vAlign w:val="center"/>
          </w:tcPr>
          <w:p w14:paraId="02608E47">
            <w:pPr>
              <w:jc w:val="left"/>
              <w:rPr>
                <w:rFonts w:ascii="宋体" w:hAnsi="宋体" w:eastAsia="宋体" w:cs="Times New Roman"/>
                <w:szCs w:val="21"/>
              </w:rPr>
            </w:pPr>
            <w:r>
              <w:rPr>
                <w:rFonts w:hint="eastAsia" w:ascii="宋体" w:hAnsi="宋体" w:eastAsia="宋体" w:cs="Times New Roman"/>
                <w:szCs w:val="21"/>
              </w:rPr>
              <w:t>自主学习</w:t>
            </w:r>
          </w:p>
          <w:p w14:paraId="2D08368C">
            <w:pPr>
              <w:jc w:val="left"/>
              <w:rPr>
                <w:rFonts w:ascii="宋体" w:hAnsi="宋体" w:eastAsia="宋体" w:cs="Times New Roman"/>
                <w:szCs w:val="21"/>
              </w:rPr>
            </w:pPr>
            <w:r>
              <w:rPr>
                <w:rFonts w:hint="eastAsia" w:ascii="宋体" w:hAnsi="宋体" w:eastAsia="宋体" w:cs="Times New Roman"/>
                <w:szCs w:val="21"/>
              </w:rPr>
              <w:t>案例教学</w:t>
            </w:r>
          </w:p>
          <w:p w14:paraId="187FCD8C">
            <w:pPr>
              <w:jc w:val="left"/>
              <w:rPr>
                <w:rFonts w:ascii="宋体" w:hAnsi="宋体" w:eastAsia="宋体" w:cs="Times New Roman"/>
                <w:szCs w:val="21"/>
              </w:rPr>
            </w:pPr>
            <w:r>
              <w:rPr>
                <w:rFonts w:hint="eastAsia" w:ascii="宋体" w:hAnsi="宋体" w:eastAsia="宋体" w:cs="Times New Roman"/>
                <w:szCs w:val="21"/>
              </w:rPr>
              <w:t>课堂讨论</w:t>
            </w:r>
          </w:p>
          <w:p w14:paraId="44BC003F">
            <w:pPr>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20785888">
            <w:pPr>
              <w:spacing w:line="276" w:lineRule="auto"/>
              <w:rPr>
                <w:rFonts w:ascii="宋体" w:hAnsi="宋体" w:eastAsia="宋体" w:cs="Times New Roman"/>
                <w:szCs w:val="21"/>
              </w:rPr>
            </w:pPr>
            <w:r>
              <w:rPr>
                <w:rFonts w:ascii="宋体" w:hAnsi="宋体" w:eastAsia="宋体" w:cs="Times New Roman"/>
                <w:szCs w:val="21"/>
              </w:rPr>
              <w:t>4</w:t>
            </w:r>
          </w:p>
        </w:tc>
      </w:tr>
      <w:tr w14:paraId="3610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BED4A7">
            <w:pPr>
              <w:spacing w:line="276" w:lineRule="auto"/>
              <w:jc w:val="center"/>
              <w:rPr>
                <w:rFonts w:ascii="宋体" w:hAnsi="宋体" w:eastAsia="宋体" w:cs="Times New Roman"/>
                <w:szCs w:val="21"/>
              </w:rPr>
            </w:pPr>
          </w:p>
        </w:tc>
        <w:tc>
          <w:tcPr>
            <w:tcW w:w="8093" w:type="dxa"/>
            <w:gridSpan w:val="5"/>
            <w:vAlign w:val="center"/>
          </w:tcPr>
          <w:p w14:paraId="6C3F3CCD">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了解基础教育改革与发展的本质规律，准确把握事物的主要矛盾和次要矛盾；培养和形成朴素、严谨的文风。</w:t>
            </w:r>
          </w:p>
        </w:tc>
      </w:tr>
      <w:tr w14:paraId="293E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12EAA19">
            <w:pPr>
              <w:spacing w:line="276" w:lineRule="auto"/>
              <w:jc w:val="center"/>
              <w:rPr>
                <w:rFonts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 xml:space="preserve"> </w:t>
            </w:r>
            <w:r>
              <w:rPr>
                <w:rFonts w:hint="eastAsia" w:ascii="宋体" w:hAnsi="宋体" w:eastAsia="宋体" w:cs="Times New Roman"/>
                <w:szCs w:val="21"/>
              </w:rPr>
              <w:t>教育叙事论文的写作</w:t>
            </w:r>
          </w:p>
        </w:tc>
        <w:tc>
          <w:tcPr>
            <w:tcW w:w="1701" w:type="dxa"/>
            <w:vAlign w:val="center"/>
          </w:tcPr>
          <w:p w14:paraId="501E56E9">
            <w:pPr>
              <w:jc w:val="lef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 xml:space="preserve">1）教育叙事论文的结构 </w:t>
            </w:r>
          </w:p>
          <w:p w14:paraId="2B2893B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2）教育叙事论文的写作程序与方法</w:t>
            </w:r>
          </w:p>
          <w:p w14:paraId="7345BA77">
            <w:pPr>
              <w:jc w:val="left"/>
              <w:rPr>
                <w:rFonts w:ascii="宋体" w:hAnsi="宋体" w:eastAsia="宋体" w:cs="Times New Roman"/>
                <w:szCs w:val="21"/>
              </w:rPr>
            </w:pPr>
          </w:p>
        </w:tc>
        <w:tc>
          <w:tcPr>
            <w:tcW w:w="1134" w:type="dxa"/>
            <w:vAlign w:val="center"/>
          </w:tcPr>
          <w:p w14:paraId="10BD8104">
            <w:pPr>
              <w:jc w:val="center"/>
              <w:rPr>
                <w:rFonts w:ascii="宋体" w:hAnsi="宋体" w:eastAsia="宋体" w:cs="Times New Roman"/>
                <w:szCs w:val="21"/>
              </w:rPr>
            </w:pPr>
            <w:r>
              <w:rPr>
                <w:rFonts w:hint="eastAsia" w:ascii="宋体" w:hAnsi="宋体" w:eastAsia="宋体" w:cs="Times New Roman"/>
                <w:szCs w:val="21"/>
              </w:rPr>
              <w:t>课程目标2；课程目标3</w:t>
            </w:r>
            <w:r>
              <w:rPr>
                <w:rFonts w:ascii="宋体" w:hAnsi="宋体" w:eastAsia="宋体" w:cs="Times New Roman"/>
                <w:szCs w:val="21"/>
              </w:rPr>
              <w:t xml:space="preserve">  </w:t>
            </w:r>
          </w:p>
        </w:tc>
        <w:tc>
          <w:tcPr>
            <w:tcW w:w="3326" w:type="dxa"/>
            <w:vAlign w:val="center"/>
          </w:tcPr>
          <w:p w14:paraId="7B2DD0F9">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1）结合实例，学会分析教育叙事论文的结构；</w:t>
            </w:r>
          </w:p>
          <w:p w14:paraId="5A6191D5">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2）掌握教育叙事研究的“深度描写”的基本要求；</w:t>
            </w:r>
          </w:p>
          <w:p w14:paraId="146A899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3）能够结合教育实践，尝试撰写教育叙事论文。</w:t>
            </w:r>
          </w:p>
        </w:tc>
        <w:tc>
          <w:tcPr>
            <w:tcW w:w="1276" w:type="dxa"/>
            <w:vAlign w:val="center"/>
          </w:tcPr>
          <w:p w14:paraId="7D769A2C">
            <w:pPr>
              <w:spacing w:line="276" w:lineRule="auto"/>
              <w:jc w:val="left"/>
              <w:rPr>
                <w:rFonts w:ascii="宋体" w:hAnsi="宋体" w:eastAsia="宋体" w:cs="Times New Roman"/>
                <w:szCs w:val="21"/>
              </w:rPr>
            </w:pPr>
            <w:r>
              <w:rPr>
                <w:rFonts w:hint="eastAsia" w:ascii="宋体" w:hAnsi="宋体" w:eastAsia="宋体" w:cs="Times New Roman"/>
                <w:szCs w:val="21"/>
              </w:rPr>
              <w:t>自主学习</w:t>
            </w:r>
          </w:p>
          <w:p w14:paraId="01C008D9">
            <w:pPr>
              <w:spacing w:line="276" w:lineRule="auto"/>
              <w:jc w:val="left"/>
              <w:rPr>
                <w:rFonts w:ascii="宋体" w:hAnsi="宋体" w:eastAsia="宋体" w:cs="Times New Roman"/>
                <w:szCs w:val="21"/>
              </w:rPr>
            </w:pPr>
            <w:r>
              <w:rPr>
                <w:rFonts w:hint="eastAsia" w:ascii="宋体" w:hAnsi="宋体" w:eastAsia="宋体" w:cs="Times New Roman"/>
                <w:szCs w:val="21"/>
              </w:rPr>
              <w:t>案例教学</w:t>
            </w:r>
          </w:p>
          <w:p w14:paraId="02867672">
            <w:pPr>
              <w:spacing w:line="276" w:lineRule="auto"/>
              <w:jc w:val="left"/>
              <w:rPr>
                <w:rFonts w:ascii="宋体" w:hAnsi="宋体" w:eastAsia="宋体" w:cs="Times New Roman"/>
                <w:szCs w:val="21"/>
              </w:rPr>
            </w:pPr>
            <w:r>
              <w:rPr>
                <w:rFonts w:hint="eastAsia" w:ascii="宋体" w:hAnsi="宋体" w:eastAsia="宋体" w:cs="Times New Roman"/>
                <w:szCs w:val="21"/>
              </w:rPr>
              <w:t>课堂讨论</w:t>
            </w:r>
          </w:p>
          <w:p w14:paraId="361D59CF">
            <w:pPr>
              <w:spacing w:line="276" w:lineRule="auto"/>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094913B1">
            <w:pPr>
              <w:spacing w:line="276" w:lineRule="auto"/>
              <w:jc w:val="center"/>
              <w:rPr>
                <w:rFonts w:ascii="宋体" w:hAnsi="宋体" w:eastAsia="宋体" w:cs="Times New Roman"/>
                <w:szCs w:val="21"/>
              </w:rPr>
            </w:pPr>
            <w:r>
              <w:rPr>
                <w:rFonts w:ascii="宋体" w:hAnsi="宋体" w:eastAsia="宋体" w:cs="Times New Roman"/>
                <w:szCs w:val="21"/>
              </w:rPr>
              <w:t>4</w:t>
            </w:r>
          </w:p>
        </w:tc>
      </w:tr>
      <w:tr w14:paraId="5F6F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755A886">
            <w:pPr>
              <w:spacing w:line="276" w:lineRule="auto"/>
              <w:jc w:val="center"/>
              <w:rPr>
                <w:rFonts w:ascii="宋体" w:hAnsi="宋体" w:eastAsia="宋体" w:cs="Times New Roman"/>
                <w:szCs w:val="21"/>
              </w:rPr>
            </w:pPr>
          </w:p>
        </w:tc>
        <w:tc>
          <w:tcPr>
            <w:tcW w:w="8093" w:type="dxa"/>
            <w:gridSpan w:val="5"/>
            <w:vAlign w:val="center"/>
          </w:tcPr>
          <w:p w14:paraId="25168056">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培养和形成深厚的教育情怀，走进儿童心灵，关心、关爱儿童；形成脚踏实地、实事求是的学习风气和研究态度。</w:t>
            </w:r>
          </w:p>
        </w:tc>
      </w:tr>
      <w:tr w14:paraId="752D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CE20760">
            <w:pPr>
              <w:spacing w:line="276" w:lineRule="auto"/>
              <w:jc w:val="center"/>
              <w:rPr>
                <w:rFonts w:ascii="宋体" w:hAnsi="宋体" w:eastAsia="宋体" w:cs="Times New Roman"/>
                <w:szCs w:val="21"/>
              </w:rPr>
            </w:pPr>
            <w:r>
              <w:rPr>
                <w:rFonts w:hint="eastAsia" w:ascii="宋体" w:hAnsi="宋体" w:eastAsia="宋体" w:cs="Times New Roman"/>
                <w:szCs w:val="21"/>
              </w:rPr>
              <w:t>7. 教育学位论文的写作</w:t>
            </w:r>
          </w:p>
        </w:tc>
        <w:tc>
          <w:tcPr>
            <w:tcW w:w="1701" w:type="dxa"/>
            <w:vAlign w:val="center"/>
          </w:tcPr>
          <w:p w14:paraId="3887FC53">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1）教育学位论文基本结构</w:t>
            </w:r>
          </w:p>
          <w:p w14:paraId="68D48FD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2）教育学论文写作的方法与要求</w:t>
            </w:r>
          </w:p>
        </w:tc>
        <w:tc>
          <w:tcPr>
            <w:tcW w:w="1134" w:type="dxa"/>
            <w:vAlign w:val="center"/>
          </w:tcPr>
          <w:p w14:paraId="03805D6E">
            <w:pPr>
              <w:jc w:val="center"/>
              <w:rPr>
                <w:rFonts w:ascii="宋体" w:hAnsi="宋体" w:eastAsia="宋体" w:cs="Times New Roman"/>
                <w:szCs w:val="21"/>
              </w:rPr>
            </w:pPr>
            <w:r>
              <w:rPr>
                <w:rFonts w:hint="eastAsia" w:ascii="宋体" w:hAnsi="宋体" w:eastAsia="宋体" w:cs="Times New Roman"/>
                <w:szCs w:val="21"/>
              </w:rPr>
              <w:t>课程目标2；课程目标3</w:t>
            </w:r>
          </w:p>
        </w:tc>
        <w:tc>
          <w:tcPr>
            <w:tcW w:w="3326" w:type="dxa"/>
            <w:vAlign w:val="center"/>
          </w:tcPr>
          <w:p w14:paraId="572428C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1）了解教育学位论文的结构特点；</w:t>
            </w:r>
          </w:p>
          <w:p w14:paraId="3B134C6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2）掌握教育教学论文写作的方法与要求； </w:t>
            </w:r>
          </w:p>
          <w:p w14:paraId="3CC40B4C">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3）能够根据毕业论文的选题，初步拟定毕业论文的框架。</w:t>
            </w:r>
          </w:p>
        </w:tc>
        <w:tc>
          <w:tcPr>
            <w:tcW w:w="1276" w:type="dxa"/>
            <w:vAlign w:val="center"/>
          </w:tcPr>
          <w:p w14:paraId="62D3428C">
            <w:pPr>
              <w:spacing w:line="276" w:lineRule="auto"/>
              <w:jc w:val="left"/>
              <w:rPr>
                <w:rFonts w:ascii="宋体" w:hAnsi="宋体" w:eastAsia="宋体" w:cs="Times New Roman"/>
                <w:szCs w:val="21"/>
              </w:rPr>
            </w:pPr>
            <w:r>
              <w:rPr>
                <w:rFonts w:hint="eastAsia" w:ascii="宋体" w:hAnsi="宋体" w:eastAsia="宋体" w:cs="Times New Roman"/>
                <w:szCs w:val="21"/>
              </w:rPr>
              <w:t>自主学习</w:t>
            </w:r>
          </w:p>
          <w:p w14:paraId="357DBBD2">
            <w:pPr>
              <w:spacing w:line="276" w:lineRule="auto"/>
              <w:jc w:val="left"/>
              <w:rPr>
                <w:rFonts w:ascii="宋体" w:hAnsi="宋体" w:eastAsia="宋体" w:cs="Times New Roman"/>
                <w:szCs w:val="21"/>
              </w:rPr>
            </w:pPr>
            <w:r>
              <w:rPr>
                <w:rFonts w:hint="eastAsia" w:ascii="宋体" w:hAnsi="宋体" w:eastAsia="宋体" w:cs="Times New Roman"/>
                <w:szCs w:val="21"/>
              </w:rPr>
              <w:t>案例教学</w:t>
            </w:r>
          </w:p>
          <w:p w14:paraId="5B388BB7">
            <w:pPr>
              <w:spacing w:line="276" w:lineRule="auto"/>
              <w:jc w:val="left"/>
              <w:rPr>
                <w:rFonts w:ascii="宋体" w:hAnsi="宋体" w:eastAsia="宋体" w:cs="Times New Roman"/>
                <w:szCs w:val="21"/>
              </w:rPr>
            </w:pPr>
            <w:r>
              <w:rPr>
                <w:rFonts w:hint="eastAsia" w:ascii="宋体" w:hAnsi="宋体" w:eastAsia="宋体" w:cs="Times New Roman"/>
                <w:szCs w:val="21"/>
              </w:rPr>
              <w:t>课堂讨论</w:t>
            </w:r>
          </w:p>
          <w:p w14:paraId="3BF65B41">
            <w:pPr>
              <w:spacing w:line="276" w:lineRule="auto"/>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4C441E92">
            <w:pPr>
              <w:spacing w:line="276" w:lineRule="auto"/>
              <w:jc w:val="center"/>
              <w:rPr>
                <w:rFonts w:ascii="宋体" w:hAnsi="宋体" w:eastAsia="宋体" w:cs="Times New Roman"/>
                <w:szCs w:val="21"/>
              </w:rPr>
            </w:pPr>
            <w:r>
              <w:rPr>
                <w:rFonts w:ascii="宋体" w:hAnsi="宋体" w:eastAsia="宋体" w:cs="Times New Roman"/>
                <w:szCs w:val="21"/>
              </w:rPr>
              <w:t>4</w:t>
            </w:r>
          </w:p>
        </w:tc>
      </w:tr>
      <w:tr w14:paraId="57EF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FDD8A60">
            <w:pPr>
              <w:spacing w:line="276" w:lineRule="auto"/>
              <w:jc w:val="center"/>
              <w:rPr>
                <w:rFonts w:ascii="宋体" w:hAnsi="宋体" w:eastAsia="宋体" w:cs="Times New Roman"/>
                <w:szCs w:val="21"/>
              </w:rPr>
            </w:pPr>
          </w:p>
        </w:tc>
        <w:tc>
          <w:tcPr>
            <w:tcW w:w="8093" w:type="dxa"/>
            <w:gridSpan w:val="5"/>
            <w:vAlign w:val="center"/>
          </w:tcPr>
          <w:p w14:paraId="0EFBC4F6">
            <w:pPr>
              <w:spacing w:line="276"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培养学生学会发现、分析和解决人民关心的教育热点问题的能力；培养创新精神和实践能力。</w:t>
            </w:r>
          </w:p>
        </w:tc>
      </w:tr>
      <w:tr w14:paraId="5CC7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205" w:type="dxa"/>
            <w:vMerge w:val="restart"/>
            <w:vAlign w:val="center"/>
          </w:tcPr>
          <w:p w14:paraId="0D480E86">
            <w:pPr>
              <w:spacing w:line="264" w:lineRule="auto"/>
              <w:jc w:val="center"/>
              <w:rPr>
                <w:rFonts w:ascii="宋体" w:hAnsi="宋体" w:eastAsia="宋体" w:cs="Times New Roman"/>
                <w:szCs w:val="21"/>
              </w:rPr>
            </w:pPr>
            <w:r>
              <w:rPr>
                <w:rFonts w:hint="eastAsia" w:ascii="宋体" w:hAnsi="宋体" w:eastAsia="宋体" w:cs="Times New Roman"/>
                <w:szCs w:val="21"/>
              </w:rPr>
              <w:t>8.</w:t>
            </w:r>
            <w:r>
              <w:rPr>
                <w:rFonts w:hint="eastAsia" w:ascii="等线" w:hAnsi="等线" w:eastAsia="等线" w:cs="Times New Roman"/>
                <w:szCs w:val="22"/>
              </w:rPr>
              <w:t xml:space="preserve"> </w:t>
            </w:r>
            <w:r>
              <w:rPr>
                <w:rFonts w:hint="eastAsia" w:ascii="宋体" w:hAnsi="宋体" w:eastAsia="宋体" w:cs="Times New Roman"/>
                <w:szCs w:val="21"/>
              </w:rPr>
              <w:t>教育论文的交流与发表</w:t>
            </w:r>
          </w:p>
        </w:tc>
        <w:tc>
          <w:tcPr>
            <w:tcW w:w="1701" w:type="dxa"/>
            <w:vAlign w:val="center"/>
          </w:tcPr>
          <w:p w14:paraId="5FC22C84">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1）教育论文的修改</w:t>
            </w:r>
          </w:p>
          <w:p w14:paraId="6D619FA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2）教育论文的交流</w:t>
            </w:r>
          </w:p>
          <w:p w14:paraId="2344900D">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2）教育论文的发表</w:t>
            </w:r>
          </w:p>
        </w:tc>
        <w:tc>
          <w:tcPr>
            <w:tcW w:w="1134" w:type="dxa"/>
            <w:vAlign w:val="center"/>
          </w:tcPr>
          <w:p w14:paraId="1CFD5DE5">
            <w:pPr>
              <w:jc w:val="center"/>
              <w:rPr>
                <w:rFonts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 xml:space="preserve">4 </w:t>
            </w:r>
          </w:p>
        </w:tc>
        <w:tc>
          <w:tcPr>
            <w:tcW w:w="3326" w:type="dxa"/>
            <w:vAlign w:val="center"/>
          </w:tcPr>
          <w:p w14:paraId="61332CF1">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1）掌握教育论文修改的基本方法与要求；</w:t>
            </w:r>
          </w:p>
          <w:p w14:paraId="063B30F6">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2）了解教育论文交流与发表的途径； </w:t>
            </w:r>
          </w:p>
          <w:p w14:paraId="4721FDEA">
            <w:pPr>
              <w:jc w:val="left"/>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3）了解教育论文投稿的规范。</w:t>
            </w:r>
          </w:p>
        </w:tc>
        <w:tc>
          <w:tcPr>
            <w:tcW w:w="1276" w:type="dxa"/>
            <w:vAlign w:val="center"/>
          </w:tcPr>
          <w:p w14:paraId="3F701665">
            <w:pPr>
              <w:spacing w:line="264" w:lineRule="auto"/>
              <w:jc w:val="left"/>
              <w:rPr>
                <w:rFonts w:ascii="宋体" w:hAnsi="宋体" w:eastAsia="宋体" w:cs="Times New Roman"/>
                <w:szCs w:val="21"/>
              </w:rPr>
            </w:pPr>
            <w:r>
              <w:rPr>
                <w:rFonts w:hint="eastAsia" w:ascii="宋体" w:hAnsi="宋体" w:eastAsia="宋体" w:cs="Times New Roman"/>
                <w:szCs w:val="21"/>
              </w:rPr>
              <w:t>自主学习</w:t>
            </w:r>
          </w:p>
          <w:p w14:paraId="48F6096A">
            <w:pPr>
              <w:spacing w:line="264" w:lineRule="auto"/>
              <w:jc w:val="left"/>
              <w:rPr>
                <w:rFonts w:ascii="宋体" w:hAnsi="宋体" w:eastAsia="宋体" w:cs="Times New Roman"/>
                <w:szCs w:val="21"/>
              </w:rPr>
            </w:pPr>
            <w:r>
              <w:rPr>
                <w:rFonts w:hint="eastAsia" w:ascii="宋体" w:hAnsi="宋体" w:eastAsia="宋体" w:cs="Times New Roman"/>
                <w:szCs w:val="21"/>
              </w:rPr>
              <w:t>案例教学</w:t>
            </w:r>
          </w:p>
          <w:p w14:paraId="2F561A7E">
            <w:pPr>
              <w:spacing w:line="264" w:lineRule="auto"/>
              <w:jc w:val="left"/>
              <w:rPr>
                <w:rFonts w:ascii="宋体" w:hAnsi="宋体" w:eastAsia="宋体" w:cs="Times New Roman"/>
                <w:szCs w:val="21"/>
              </w:rPr>
            </w:pPr>
            <w:r>
              <w:rPr>
                <w:rFonts w:hint="eastAsia" w:ascii="宋体" w:hAnsi="宋体" w:eastAsia="宋体" w:cs="Times New Roman"/>
                <w:szCs w:val="21"/>
              </w:rPr>
              <w:t>课堂讨论</w:t>
            </w:r>
          </w:p>
          <w:p w14:paraId="0EBE4A8D">
            <w:pPr>
              <w:spacing w:line="264" w:lineRule="auto"/>
              <w:jc w:val="left"/>
              <w:rPr>
                <w:rFonts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76D0DA37">
            <w:pPr>
              <w:spacing w:line="264" w:lineRule="auto"/>
              <w:ind w:firstLine="210" w:firstLineChars="100"/>
              <w:rPr>
                <w:rFonts w:ascii="宋体" w:hAnsi="宋体" w:eastAsia="宋体" w:cs="Times New Roman"/>
                <w:szCs w:val="21"/>
              </w:rPr>
            </w:pPr>
            <w:r>
              <w:rPr>
                <w:rFonts w:ascii="宋体" w:hAnsi="宋体" w:eastAsia="宋体" w:cs="Times New Roman"/>
                <w:szCs w:val="21"/>
              </w:rPr>
              <w:t>2</w:t>
            </w:r>
          </w:p>
        </w:tc>
      </w:tr>
      <w:tr w14:paraId="51C2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205" w:type="dxa"/>
            <w:vMerge w:val="continue"/>
            <w:vAlign w:val="center"/>
          </w:tcPr>
          <w:p w14:paraId="00D6036A">
            <w:pPr>
              <w:spacing w:line="264" w:lineRule="auto"/>
              <w:jc w:val="center"/>
              <w:rPr>
                <w:rFonts w:ascii="宋体" w:hAnsi="宋体" w:eastAsia="宋体" w:cs="Times New Roman"/>
                <w:szCs w:val="21"/>
              </w:rPr>
            </w:pPr>
          </w:p>
        </w:tc>
        <w:tc>
          <w:tcPr>
            <w:tcW w:w="8093" w:type="dxa"/>
            <w:gridSpan w:val="5"/>
            <w:vAlign w:val="center"/>
          </w:tcPr>
          <w:p w14:paraId="1D8315A3">
            <w:pPr>
              <w:spacing w:line="264" w:lineRule="auto"/>
              <w:jc w:val="left"/>
              <w:rPr>
                <w:rFonts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培养学生国际视野，增强“四个自信”；遵守学术规范，恪守学术诚信。</w:t>
            </w:r>
          </w:p>
        </w:tc>
      </w:tr>
    </w:tbl>
    <w:p w14:paraId="6595C252">
      <w:pPr>
        <w:spacing w:line="360" w:lineRule="auto"/>
        <w:jc w:val="left"/>
        <w:rPr>
          <w:rFonts w:ascii="Times New Roman" w:hAnsi="Times New Roman" w:eastAsia="宋体" w:cs="Times New Roman"/>
          <w:sz w:val="24"/>
          <w:szCs w:val="24"/>
        </w:rPr>
      </w:pPr>
    </w:p>
    <w:p w14:paraId="7E9F897B">
      <w:pPr>
        <w:spacing w:line="360" w:lineRule="auto"/>
        <w:jc w:val="left"/>
        <w:outlineLvl w:val="0"/>
        <w:rPr>
          <w:rFonts w:ascii="Times New Roman" w:hAnsi="Times New Roman" w:eastAsia="宋体" w:cs="Times New Roman"/>
          <w:sz w:val="28"/>
          <w:szCs w:val="28"/>
        </w:rPr>
      </w:pPr>
      <w:bookmarkStart w:id="1538" w:name="_Toc20603"/>
      <w:bookmarkStart w:id="1539" w:name="_Toc27060"/>
      <w:bookmarkStart w:id="1540" w:name="_Toc7624"/>
      <w:bookmarkStart w:id="1541" w:name="_Toc27857"/>
      <w:bookmarkStart w:id="1542" w:name="_Toc3212"/>
      <w:bookmarkStart w:id="1543" w:name="_Toc18182"/>
      <w:bookmarkStart w:id="1544" w:name="_Toc17637"/>
      <w:r>
        <w:rPr>
          <w:rFonts w:hint="eastAsia" w:ascii="宋体" w:hAnsi="宋体" w:eastAsia="宋体" w:cs="Times New Roman"/>
          <w:b/>
          <w:sz w:val="28"/>
          <w:szCs w:val="28"/>
        </w:rPr>
        <w:t>四、目标评价与成绩评定</w:t>
      </w:r>
      <w:bookmarkEnd w:id="1538"/>
      <w:bookmarkEnd w:id="1539"/>
      <w:bookmarkEnd w:id="1540"/>
      <w:bookmarkEnd w:id="1541"/>
      <w:bookmarkEnd w:id="1542"/>
      <w:bookmarkEnd w:id="1543"/>
      <w:bookmarkEnd w:id="1544"/>
    </w:p>
    <w:p w14:paraId="0B738B9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87C2A65">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表3</w:t>
      </w:r>
      <w:r>
        <w:rPr>
          <w:rFonts w:ascii="Times New Roman" w:hAnsi="Times New Roman" w:eastAsia="宋体" w:cs="Times New Roman"/>
          <w:b/>
          <w:bCs/>
          <w:sz w:val="24"/>
          <w:szCs w:val="24"/>
        </w:rPr>
        <w:t xml:space="preserve">  课程教学评价设计总表</w:t>
      </w:r>
      <w:r>
        <w:rPr>
          <w:rFonts w:hint="eastAsia" w:ascii="Times New Roman" w:hAnsi="Times New Roman" w:eastAsia="宋体" w:cs="Times New Roman"/>
          <w:b/>
          <w:bCs/>
          <w:sz w:val="24"/>
          <w:szCs w:val="24"/>
        </w:rPr>
        <w:t xml:space="preserve"> </w:t>
      </w:r>
    </w:p>
    <w:tbl>
      <w:tblPr>
        <w:tblStyle w:val="11"/>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39"/>
        <w:gridCol w:w="1276"/>
        <w:gridCol w:w="1134"/>
        <w:gridCol w:w="1134"/>
        <w:gridCol w:w="1418"/>
        <w:gridCol w:w="992"/>
      </w:tblGrid>
      <w:tr w14:paraId="5FF8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4" w:type="dxa"/>
            <w:vMerge w:val="restart"/>
            <w:vAlign w:val="center"/>
          </w:tcPr>
          <w:p w14:paraId="0DC7B6B0">
            <w:pPr>
              <w:jc w:val="left"/>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c>
          <w:tcPr>
            <w:tcW w:w="6101" w:type="dxa"/>
            <w:gridSpan w:val="5"/>
            <w:vAlign w:val="center"/>
          </w:tcPr>
          <w:p w14:paraId="482E14C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评价与成绩评定方法</w:t>
            </w:r>
          </w:p>
        </w:tc>
        <w:tc>
          <w:tcPr>
            <w:tcW w:w="992" w:type="dxa"/>
            <w:vMerge w:val="restart"/>
            <w:vAlign w:val="center"/>
          </w:tcPr>
          <w:p w14:paraId="2F26830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分值</w:t>
            </w:r>
          </w:p>
        </w:tc>
      </w:tr>
      <w:tr w14:paraId="7948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24" w:type="dxa"/>
            <w:vMerge w:val="continue"/>
            <w:vAlign w:val="center"/>
          </w:tcPr>
          <w:p w14:paraId="683BA189">
            <w:pPr>
              <w:jc w:val="left"/>
              <w:rPr>
                <w:rFonts w:ascii="Times New Roman" w:hAnsi="Times New Roman" w:eastAsia="宋体" w:cs="Times New Roman"/>
                <w:b/>
                <w:bCs/>
                <w:szCs w:val="21"/>
              </w:rPr>
            </w:pPr>
          </w:p>
        </w:tc>
        <w:tc>
          <w:tcPr>
            <w:tcW w:w="4683" w:type="dxa"/>
            <w:gridSpan w:val="4"/>
            <w:vAlign w:val="center"/>
          </w:tcPr>
          <w:p w14:paraId="5535FF3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过程性评价</w:t>
            </w:r>
          </w:p>
        </w:tc>
        <w:tc>
          <w:tcPr>
            <w:tcW w:w="1418" w:type="dxa"/>
            <w:vAlign w:val="center"/>
          </w:tcPr>
          <w:p w14:paraId="2EF25AC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992" w:type="dxa"/>
            <w:vMerge w:val="continue"/>
            <w:vAlign w:val="center"/>
          </w:tcPr>
          <w:p w14:paraId="3BCAFD7E">
            <w:pPr>
              <w:jc w:val="center"/>
              <w:rPr>
                <w:rFonts w:ascii="Times New Roman" w:hAnsi="Times New Roman" w:eastAsia="宋体" w:cs="Times New Roman"/>
                <w:b/>
                <w:bCs/>
                <w:szCs w:val="21"/>
              </w:rPr>
            </w:pPr>
          </w:p>
        </w:tc>
      </w:tr>
      <w:tr w14:paraId="7006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14:paraId="04E2DAEB">
            <w:pPr>
              <w:spacing w:line="360" w:lineRule="auto"/>
              <w:jc w:val="left"/>
              <w:rPr>
                <w:rFonts w:ascii="Times New Roman" w:hAnsi="Times New Roman" w:eastAsia="宋体" w:cs="Times New Roman"/>
                <w:szCs w:val="21"/>
              </w:rPr>
            </w:pPr>
          </w:p>
        </w:tc>
        <w:tc>
          <w:tcPr>
            <w:tcW w:w="1139" w:type="dxa"/>
            <w:vAlign w:val="center"/>
          </w:tcPr>
          <w:p w14:paraId="2C55552B">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课堂表现</w:t>
            </w:r>
          </w:p>
        </w:tc>
        <w:tc>
          <w:tcPr>
            <w:tcW w:w="1276" w:type="dxa"/>
            <w:vAlign w:val="center"/>
          </w:tcPr>
          <w:p w14:paraId="7610C6D5">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平时作业</w:t>
            </w:r>
          </w:p>
        </w:tc>
        <w:tc>
          <w:tcPr>
            <w:tcW w:w="1134" w:type="dxa"/>
            <w:vAlign w:val="center"/>
          </w:tcPr>
          <w:p w14:paraId="593E7726">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自主学习</w:t>
            </w:r>
          </w:p>
        </w:tc>
        <w:tc>
          <w:tcPr>
            <w:tcW w:w="1134" w:type="dxa"/>
            <w:vAlign w:val="center"/>
          </w:tcPr>
          <w:p w14:paraId="6BB1CD46">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合作学习</w:t>
            </w:r>
          </w:p>
        </w:tc>
        <w:tc>
          <w:tcPr>
            <w:tcW w:w="1418" w:type="dxa"/>
            <w:vAlign w:val="center"/>
          </w:tcPr>
          <w:p w14:paraId="00E33A09">
            <w:pPr>
              <w:adjustRightInd w:val="0"/>
              <w:spacing w:line="240" w:lineRule="exact"/>
              <w:jc w:val="center"/>
              <w:rPr>
                <w:rFonts w:ascii="仿宋" w:hAnsi="仿宋" w:eastAsia="仿宋" w:cs="Times New Roman"/>
                <w:szCs w:val="21"/>
              </w:rPr>
            </w:pPr>
            <w:r>
              <w:rPr>
                <w:rFonts w:hint="eastAsia" w:ascii="仿宋" w:hAnsi="仿宋" w:eastAsia="仿宋" w:cs="Times New Roman"/>
                <w:szCs w:val="21"/>
              </w:rPr>
              <w:t>论文撰写</w:t>
            </w:r>
          </w:p>
        </w:tc>
        <w:tc>
          <w:tcPr>
            <w:tcW w:w="992" w:type="dxa"/>
            <w:vMerge w:val="continue"/>
            <w:vAlign w:val="center"/>
          </w:tcPr>
          <w:p w14:paraId="35BEEB02">
            <w:pPr>
              <w:spacing w:line="360" w:lineRule="auto"/>
              <w:jc w:val="left"/>
              <w:rPr>
                <w:rFonts w:ascii="Times New Roman" w:hAnsi="Times New Roman" w:eastAsia="宋体" w:cs="Times New Roman"/>
                <w:szCs w:val="21"/>
              </w:rPr>
            </w:pPr>
          </w:p>
        </w:tc>
      </w:tr>
      <w:tr w14:paraId="14D3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4" w:type="dxa"/>
            <w:vAlign w:val="center"/>
          </w:tcPr>
          <w:p w14:paraId="7385CFDD">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课程目标1</w:t>
            </w:r>
          </w:p>
        </w:tc>
        <w:tc>
          <w:tcPr>
            <w:tcW w:w="1139" w:type="dxa"/>
            <w:vAlign w:val="center"/>
          </w:tcPr>
          <w:p w14:paraId="3CCA4004">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276" w:type="dxa"/>
            <w:vAlign w:val="center"/>
          </w:tcPr>
          <w:p w14:paraId="12D5B55A">
            <w:pPr>
              <w:spacing w:line="320" w:lineRule="exact"/>
              <w:ind w:firstLine="210" w:firstLineChars="100"/>
              <w:contextualSpacing/>
              <w:jc w:val="center"/>
              <w:rPr>
                <w:rFonts w:ascii="Times New Roman" w:hAnsi="Times New Roman" w:eastAsia="宋体" w:cs="Times New Roman"/>
                <w:szCs w:val="21"/>
              </w:rPr>
            </w:pPr>
          </w:p>
        </w:tc>
        <w:tc>
          <w:tcPr>
            <w:tcW w:w="1134" w:type="dxa"/>
            <w:vAlign w:val="center"/>
          </w:tcPr>
          <w:p w14:paraId="1ACB72F3">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134" w:type="dxa"/>
            <w:vAlign w:val="center"/>
          </w:tcPr>
          <w:p w14:paraId="2CC22B4E">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418" w:type="dxa"/>
            <w:vAlign w:val="center"/>
          </w:tcPr>
          <w:p w14:paraId="1ED75479">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992" w:type="dxa"/>
            <w:vAlign w:val="center"/>
          </w:tcPr>
          <w:p w14:paraId="74FD8BBA">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20</w:t>
            </w:r>
          </w:p>
        </w:tc>
      </w:tr>
      <w:tr w14:paraId="7ED4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69DDD64D">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课程目标2</w:t>
            </w:r>
          </w:p>
        </w:tc>
        <w:tc>
          <w:tcPr>
            <w:tcW w:w="1139" w:type="dxa"/>
            <w:vAlign w:val="center"/>
          </w:tcPr>
          <w:p w14:paraId="273069EE">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276" w:type="dxa"/>
            <w:vAlign w:val="center"/>
          </w:tcPr>
          <w:p w14:paraId="76FE528F">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134" w:type="dxa"/>
            <w:vAlign w:val="center"/>
          </w:tcPr>
          <w:p w14:paraId="507C0428">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134" w:type="dxa"/>
            <w:vAlign w:val="center"/>
          </w:tcPr>
          <w:p w14:paraId="120776C7">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418" w:type="dxa"/>
            <w:vAlign w:val="center"/>
          </w:tcPr>
          <w:p w14:paraId="7F0CD7CE">
            <w:pPr>
              <w:jc w:val="center"/>
              <w:rPr>
                <w:rFonts w:ascii="等线" w:hAnsi="等线" w:eastAsia="等线" w:cs="Times New Roman"/>
                <w:szCs w:val="22"/>
              </w:rPr>
            </w:pPr>
            <w:r>
              <w:rPr>
                <w:rFonts w:hint="eastAsia" w:ascii="宋体" w:hAnsi="宋体" w:eastAsia="宋体" w:cs="Times New Roman"/>
                <w:szCs w:val="21"/>
              </w:rPr>
              <w:t>√</w:t>
            </w:r>
          </w:p>
        </w:tc>
        <w:tc>
          <w:tcPr>
            <w:tcW w:w="992" w:type="dxa"/>
            <w:vAlign w:val="center"/>
          </w:tcPr>
          <w:p w14:paraId="4E7457E8">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30</w:t>
            </w:r>
          </w:p>
        </w:tc>
      </w:tr>
      <w:tr w14:paraId="2311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0A66FC0F">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课程目标3</w:t>
            </w:r>
          </w:p>
        </w:tc>
        <w:tc>
          <w:tcPr>
            <w:tcW w:w="1139" w:type="dxa"/>
            <w:vAlign w:val="center"/>
          </w:tcPr>
          <w:p w14:paraId="3CBA5603">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276" w:type="dxa"/>
            <w:vAlign w:val="center"/>
          </w:tcPr>
          <w:p w14:paraId="19B4800B">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134" w:type="dxa"/>
            <w:vAlign w:val="center"/>
          </w:tcPr>
          <w:p w14:paraId="00D8A781">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134" w:type="dxa"/>
            <w:vAlign w:val="center"/>
          </w:tcPr>
          <w:p w14:paraId="58307670">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418" w:type="dxa"/>
            <w:vAlign w:val="center"/>
          </w:tcPr>
          <w:p w14:paraId="5C37D163">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992" w:type="dxa"/>
            <w:vAlign w:val="center"/>
          </w:tcPr>
          <w:p w14:paraId="51D145C5">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30</w:t>
            </w:r>
          </w:p>
        </w:tc>
      </w:tr>
      <w:tr w14:paraId="675C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42FF3E98">
            <w:pPr>
              <w:spacing w:line="320" w:lineRule="exact"/>
              <w:contextualSpacing/>
              <w:jc w:val="left"/>
              <w:rPr>
                <w:rFonts w:ascii="仿宋" w:hAnsi="仿宋" w:eastAsia="仿宋" w:cs="Times New Roman"/>
                <w:sz w:val="18"/>
                <w:szCs w:val="18"/>
              </w:rPr>
            </w:pPr>
            <w:r>
              <w:rPr>
                <w:rFonts w:hint="eastAsia" w:ascii="仿宋" w:hAnsi="仿宋" w:eastAsia="仿宋" w:cs="Times New Roman"/>
                <w:sz w:val="18"/>
                <w:szCs w:val="18"/>
              </w:rPr>
              <w:t>课程目标4</w:t>
            </w:r>
          </w:p>
        </w:tc>
        <w:tc>
          <w:tcPr>
            <w:tcW w:w="1139" w:type="dxa"/>
            <w:vAlign w:val="center"/>
          </w:tcPr>
          <w:p w14:paraId="66D93BA0">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276" w:type="dxa"/>
            <w:vAlign w:val="center"/>
          </w:tcPr>
          <w:p w14:paraId="0A930546">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134" w:type="dxa"/>
            <w:vAlign w:val="center"/>
          </w:tcPr>
          <w:p w14:paraId="05DCD9AC">
            <w:pPr>
              <w:spacing w:line="320" w:lineRule="exact"/>
              <w:contextualSpacing/>
              <w:jc w:val="center"/>
              <w:rPr>
                <w:rFonts w:ascii="Times New Roman" w:hAnsi="Times New Roman" w:eastAsia="宋体" w:cs="Times New Roman"/>
                <w:szCs w:val="21"/>
              </w:rPr>
            </w:pPr>
            <w:r>
              <w:rPr>
                <w:rFonts w:hint="eastAsia" w:ascii="宋体" w:hAnsi="宋体" w:eastAsia="宋体" w:cs="Times New Roman"/>
                <w:szCs w:val="21"/>
              </w:rPr>
              <w:t>√</w:t>
            </w:r>
          </w:p>
        </w:tc>
        <w:tc>
          <w:tcPr>
            <w:tcW w:w="1134" w:type="dxa"/>
            <w:vAlign w:val="center"/>
          </w:tcPr>
          <w:p w14:paraId="1B1A46A8">
            <w:pPr>
              <w:spacing w:line="320" w:lineRule="exact"/>
              <w:contextualSpacing/>
              <w:jc w:val="center"/>
              <w:rPr>
                <w:rFonts w:ascii="Times New Roman" w:hAnsi="Times New Roman" w:eastAsia="宋体" w:cs="Times New Roman"/>
                <w:szCs w:val="21"/>
              </w:rPr>
            </w:pPr>
          </w:p>
        </w:tc>
        <w:tc>
          <w:tcPr>
            <w:tcW w:w="1418" w:type="dxa"/>
            <w:vAlign w:val="center"/>
          </w:tcPr>
          <w:p w14:paraId="3E7DE4A9">
            <w:pPr>
              <w:jc w:val="center"/>
              <w:rPr>
                <w:rFonts w:ascii="等线" w:hAnsi="等线" w:eastAsia="等线" w:cs="Times New Roman"/>
                <w:szCs w:val="22"/>
              </w:rPr>
            </w:pPr>
            <w:r>
              <w:rPr>
                <w:rFonts w:hint="eastAsia" w:ascii="宋体" w:hAnsi="宋体" w:eastAsia="宋体" w:cs="Times New Roman"/>
                <w:szCs w:val="21"/>
              </w:rPr>
              <w:t>√</w:t>
            </w:r>
          </w:p>
        </w:tc>
        <w:tc>
          <w:tcPr>
            <w:tcW w:w="992" w:type="dxa"/>
            <w:vAlign w:val="center"/>
          </w:tcPr>
          <w:p w14:paraId="2864AC36">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20</w:t>
            </w:r>
          </w:p>
        </w:tc>
      </w:tr>
      <w:tr w14:paraId="29AE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14:paraId="645E1A4A">
            <w:pPr>
              <w:spacing w:line="320" w:lineRule="exact"/>
              <w:contextualSpacing/>
              <w:jc w:val="left"/>
              <w:rPr>
                <w:rFonts w:ascii="Times New Roman" w:hAnsi="Times New Roman" w:eastAsia="宋体" w:cs="Times New Roman"/>
                <w:szCs w:val="21"/>
              </w:rPr>
            </w:pPr>
            <w:r>
              <w:rPr>
                <w:rFonts w:hint="eastAsia" w:ascii="Times New Roman" w:hAnsi="Times New Roman" w:eastAsia="宋体" w:cs="Times New Roman"/>
                <w:b/>
                <w:bCs/>
                <w:szCs w:val="21"/>
              </w:rPr>
              <w:t>合计</w:t>
            </w:r>
          </w:p>
        </w:tc>
        <w:tc>
          <w:tcPr>
            <w:tcW w:w="1139" w:type="dxa"/>
            <w:vAlign w:val="center"/>
          </w:tcPr>
          <w:p w14:paraId="13D3A8FB">
            <w:pPr>
              <w:spacing w:line="320" w:lineRule="exact"/>
              <w:contextualSpacing/>
              <w:jc w:val="center"/>
              <w:rPr>
                <w:rFonts w:ascii="Times New Roman" w:hAnsi="Times New Roman" w:eastAsia="宋体" w:cs="Times New Roman"/>
                <w:szCs w:val="21"/>
              </w:rPr>
            </w:pPr>
          </w:p>
        </w:tc>
        <w:tc>
          <w:tcPr>
            <w:tcW w:w="1276" w:type="dxa"/>
            <w:vAlign w:val="center"/>
          </w:tcPr>
          <w:p w14:paraId="71B52253">
            <w:pPr>
              <w:spacing w:line="320" w:lineRule="exact"/>
              <w:contextualSpacing/>
              <w:jc w:val="center"/>
              <w:rPr>
                <w:rFonts w:ascii="Times New Roman" w:hAnsi="Times New Roman" w:eastAsia="宋体" w:cs="Times New Roman"/>
                <w:szCs w:val="21"/>
              </w:rPr>
            </w:pPr>
          </w:p>
        </w:tc>
        <w:tc>
          <w:tcPr>
            <w:tcW w:w="1134" w:type="dxa"/>
            <w:vAlign w:val="center"/>
          </w:tcPr>
          <w:p w14:paraId="1FCC92DE">
            <w:pPr>
              <w:spacing w:line="320" w:lineRule="exact"/>
              <w:contextualSpacing/>
              <w:jc w:val="center"/>
              <w:rPr>
                <w:rFonts w:ascii="Times New Roman" w:hAnsi="Times New Roman" w:eastAsia="宋体" w:cs="Times New Roman"/>
                <w:szCs w:val="21"/>
              </w:rPr>
            </w:pPr>
          </w:p>
        </w:tc>
        <w:tc>
          <w:tcPr>
            <w:tcW w:w="1134" w:type="dxa"/>
            <w:vAlign w:val="center"/>
          </w:tcPr>
          <w:p w14:paraId="14DB8598">
            <w:pPr>
              <w:spacing w:line="320" w:lineRule="exact"/>
              <w:contextualSpacing/>
              <w:jc w:val="center"/>
              <w:rPr>
                <w:rFonts w:ascii="Times New Roman" w:hAnsi="Times New Roman" w:eastAsia="宋体" w:cs="Times New Roman"/>
                <w:szCs w:val="21"/>
              </w:rPr>
            </w:pPr>
          </w:p>
        </w:tc>
        <w:tc>
          <w:tcPr>
            <w:tcW w:w="1418" w:type="dxa"/>
            <w:vAlign w:val="center"/>
          </w:tcPr>
          <w:p w14:paraId="5648B44A">
            <w:pPr>
              <w:spacing w:line="320" w:lineRule="exact"/>
              <w:contextualSpacing/>
              <w:jc w:val="center"/>
              <w:rPr>
                <w:rFonts w:ascii="Times New Roman" w:hAnsi="Times New Roman" w:eastAsia="宋体" w:cs="Times New Roman"/>
                <w:szCs w:val="21"/>
              </w:rPr>
            </w:pPr>
          </w:p>
        </w:tc>
        <w:tc>
          <w:tcPr>
            <w:tcW w:w="992" w:type="dxa"/>
            <w:vAlign w:val="center"/>
          </w:tcPr>
          <w:p w14:paraId="4C6AE02D">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5ADE981">
      <w:pPr>
        <w:spacing w:line="360" w:lineRule="auto"/>
        <w:jc w:val="left"/>
        <w:rPr>
          <w:rFonts w:ascii="Times New Roman" w:hAnsi="Times New Roman" w:eastAsia="宋体" w:cs="Times New Roman"/>
          <w:sz w:val="24"/>
          <w:szCs w:val="24"/>
        </w:rPr>
      </w:pPr>
    </w:p>
    <w:p w14:paraId="6764375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AA1C56D">
      <w:pPr>
        <w:spacing w:line="360" w:lineRule="auto"/>
        <w:jc w:val="cente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表4 各部分的评价方式和成绩评定细则</w:t>
      </w:r>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5D4E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12" w:type="dxa"/>
            <w:vAlign w:val="center"/>
          </w:tcPr>
          <w:p w14:paraId="4DB35EF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26" w:type="dxa"/>
            <w:vAlign w:val="center"/>
          </w:tcPr>
          <w:p w14:paraId="2F0986C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成绩评定细则</w:t>
            </w:r>
          </w:p>
        </w:tc>
        <w:tc>
          <w:tcPr>
            <w:tcW w:w="1021" w:type="dxa"/>
            <w:vAlign w:val="center"/>
          </w:tcPr>
          <w:p w14:paraId="34D62B6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4A9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457FD516">
            <w:pPr>
              <w:rPr>
                <w:rFonts w:ascii="Times New Roman" w:hAnsi="Times New Roman" w:eastAsia="宋体" w:cs="Times New Roman"/>
                <w:b/>
                <w:bCs/>
                <w:szCs w:val="21"/>
              </w:rPr>
            </w:pPr>
            <w:r>
              <w:rPr>
                <w:rFonts w:hint="eastAsia" w:ascii="Times New Roman" w:hAnsi="Times New Roman" w:eastAsia="宋体" w:cs="Times New Roman"/>
                <w:b/>
                <w:bCs/>
                <w:szCs w:val="21"/>
              </w:rPr>
              <w:t>课堂表现</w:t>
            </w:r>
          </w:p>
        </w:tc>
        <w:tc>
          <w:tcPr>
            <w:tcW w:w="6026" w:type="dxa"/>
          </w:tcPr>
          <w:p w14:paraId="71FD0408">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按出勤和课堂参与情况进行评分。全勤记</w:t>
            </w:r>
            <w:r>
              <w:rPr>
                <w:rFonts w:ascii="Times New Roman" w:hAnsi="Times New Roman" w:eastAsia="宋体" w:cs="Times New Roman"/>
                <w:szCs w:val="21"/>
              </w:rPr>
              <w:t>5分</w:t>
            </w:r>
            <w:r>
              <w:rPr>
                <w:rFonts w:hint="eastAsia" w:ascii="Times New Roman" w:hAnsi="Times New Roman" w:eastAsia="宋体" w:cs="Times New Roman"/>
                <w:szCs w:val="21"/>
              </w:rPr>
              <w:t>，</w:t>
            </w:r>
            <w:r>
              <w:rPr>
                <w:rFonts w:ascii="Times New Roman" w:hAnsi="Times New Roman" w:eastAsia="宋体" w:cs="Times New Roman"/>
                <w:szCs w:val="21"/>
              </w:rPr>
              <w:t>事假1节</w:t>
            </w:r>
            <w:r>
              <w:rPr>
                <w:rFonts w:hint="eastAsia" w:ascii="Times New Roman" w:hAnsi="Times New Roman" w:eastAsia="宋体" w:cs="Times New Roman"/>
                <w:szCs w:val="21"/>
              </w:rPr>
              <w:t>或</w:t>
            </w:r>
            <w:r>
              <w:rPr>
                <w:rFonts w:ascii="Times New Roman" w:hAnsi="Times New Roman" w:eastAsia="宋体" w:cs="Times New Roman"/>
                <w:szCs w:val="21"/>
              </w:rPr>
              <w:t>迟到、早退1次各扣1分</w:t>
            </w:r>
            <w:r>
              <w:rPr>
                <w:rFonts w:hint="eastAsia" w:ascii="Times New Roman" w:hAnsi="Times New Roman" w:eastAsia="宋体" w:cs="Times New Roman"/>
                <w:szCs w:val="21"/>
              </w:rPr>
              <w:t>，</w:t>
            </w:r>
            <w:r>
              <w:rPr>
                <w:rFonts w:ascii="Times New Roman" w:hAnsi="Times New Roman" w:eastAsia="宋体" w:cs="Times New Roman"/>
                <w:szCs w:val="21"/>
              </w:rPr>
              <w:t>无故旷课1次扣2分，无故旷课2次扣5分，</w:t>
            </w:r>
            <w:r>
              <w:rPr>
                <w:rFonts w:hint="eastAsia" w:ascii="Times New Roman" w:hAnsi="Times New Roman" w:eastAsia="宋体" w:cs="Times New Roman"/>
                <w:szCs w:val="21"/>
              </w:rPr>
              <w:t>无故</w:t>
            </w:r>
            <w:r>
              <w:rPr>
                <w:rFonts w:ascii="Times New Roman" w:hAnsi="Times New Roman" w:eastAsia="宋体" w:cs="Times New Roman"/>
                <w:szCs w:val="21"/>
              </w:rPr>
              <w:t>旷课3次及以上直接定为不及格。</w:t>
            </w:r>
            <w:r>
              <w:rPr>
                <w:rFonts w:hint="eastAsia" w:ascii="Times New Roman" w:hAnsi="Times New Roman" w:eastAsia="宋体" w:cs="Times New Roman"/>
                <w:szCs w:val="21"/>
              </w:rPr>
              <w:t>课堂参与满分5分。学生在</w:t>
            </w:r>
            <w:r>
              <w:rPr>
                <w:rFonts w:ascii="Times New Roman" w:hAnsi="Times New Roman" w:eastAsia="宋体" w:cs="Times New Roman"/>
                <w:szCs w:val="21"/>
              </w:rPr>
              <w:t>课堂上不做与学习无关的事</w:t>
            </w:r>
            <w:r>
              <w:rPr>
                <w:rFonts w:hint="eastAsia" w:ascii="Times New Roman" w:hAnsi="Times New Roman" w:eastAsia="宋体" w:cs="Times New Roman"/>
                <w:szCs w:val="21"/>
              </w:rPr>
              <w:t>，认真听课，</w:t>
            </w:r>
            <w:r>
              <w:rPr>
                <w:rFonts w:ascii="Times New Roman" w:hAnsi="Times New Roman" w:eastAsia="宋体" w:cs="Times New Roman"/>
                <w:szCs w:val="21"/>
              </w:rPr>
              <w:t>勤于思考，主动回答提问</w:t>
            </w:r>
            <w:r>
              <w:rPr>
                <w:rFonts w:hint="eastAsia" w:ascii="Times New Roman" w:hAnsi="Times New Roman" w:eastAsia="宋体" w:cs="Times New Roman"/>
                <w:szCs w:val="21"/>
              </w:rPr>
              <w:t>，</w:t>
            </w:r>
            <w:r>
              <w:rPr>
                <w:rFonts w:ascii="Times New Roman" w:hAnsi="Times New Roman" w:eastAsia="宋体" w:cs="Times New Roman"/>
                <w:szCs w:val="21"/>
              </w:rPr>
              <w:t>积极参加小组</w:t>
            </w:r>
            <w:r>
              <w:rPr>
                <w:rFonts w:hint="eastAsia" w:ascii="Times New Roman" w:hAnsi="Times New Roman" w:eastAsia="宋体" w:cs="Times New Roman"/>
                <w:szCs w:val="21"/>
              </w:rPr>
              <w:t>讨论。根据学生课堂表现酌情给分。</w:t>
            </w:r>
            <w:r>
              <w:rPr>
                <w:rFonts w:ascii="Times New Roman" w:hAnsi="Times New Roman" w:eastAsia="宋体" w:cs="Times New Roman"/>
                <w:szCs w:val="21"/>
              </w:rPr>
              <w:t xml:space="preserve"> </w:t>
            </w:r>
          </w:p>
        </w:tc>
        <w:tc>
          <w:tcPr>
            <w:tcW w:w="1021" w:type="dxa"/>
            <w:vAlign w:val="center"/>
          </w:tcPr>
          <w:p w14:paraId="19400DA1">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11FE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0767319C">
            <w:pPr>
              <w:rPr>
                <w:rFonts w:ascii="Times New Roman" w:hAnsi="Times New Roman" w:eastAsia="宋体" w:cs="Times New Roman"/>
                <w:b/>
                <w:bCs/>
                <w:szCs w:val="21"/>
              </w:rPr>
            </w:pPr>
            <w:r>
              <w:rPr>
                <w:rFonts w:hint="eastAsia" w:ascii="Times New Roman" w:hAnsi="Times New Roman" w:eastAsia="宋体" w:cs="Times New Roman"/>
                <w:b/>
                <w:bCs/>
                <w:szCs w:val="21"/>
              </w:rPr>
              <w:t>平时作业</w:t>
            </w:r>
          </w:p>
        </w:tc>
        <w:tc>
          <w:tcPr>
            <w:tcW w:w="6026" w:type="dxa"/>
          </w:tcPr>
          <w:p w14:paraId="14231D0C">
            <w:pPr>
              <w:spacing w:line="310" w:lineRule="exact"/>
              <w:jc w:val="left"/>
              <w:rPr>
                <w:rFonts w:ascii="等线" w:hAnsi="等线" w:eastAsia="宋体" w:cs="Times New Roman"/>
                <w:szCs w:val="21"/>
              </w:rPr>
            </w:pPr>
            <w:r>
              <w:rPr>
                <w:rFonts w:hint="eastAsia" w:ascii="等线" w:hAnsi="等线" w:eastAsia="宋体" w:cs="Times New Roman"/>
                <w:szCs w:val="21"/>
              </w:rPr>
              <w:t xml:space="preserve">在本课程学习中，学生提交的论文初稿、二稿为平时作业。 </w:t>
            </w:r>
          </w:p>
          <w:p w14:paraId="23C02071">
            <w:pPr>
              <w:spacing w:line="310" w:lineRule="exact"/>
              <w:jc w:val="left"/>
              <w:rPr>
                <w:rFonts w:ascii="Times New Roman" w:hAnsi="Times New Roman" w:eastAsia="宋体" w:cs="Times New Roman"/>
                <w:szCs w:val="21"/>
              </w:rPr>
            </w:pPr>
            <w:r>
              <w:rPr>
                <w:rFonts w:hint="eastAsia" w:ascii="等线" w:hAnsi="等线" w:eastAsia="宋体" w:cs="Times New Roman"/>
                <w:szCs w:val="21"/>
              </w:rPr>
              <w:t>学生需认真完成平时作业，按时提交，无故迟交作业1次扣</w:t>
            </w:r>
            <w:r>
              <w:rPr>
                <w:rFonts w:ascii="等线" w:hAnsi="等线" w:eastAsia="宋体" w:cs="Times New Roman"/>
                <w:szCs w:val="21"/>
              </w:rPr>
              <w:t>1</w:t>
            </w:r>
            <w:r>
              <w:rPr>
                <w:rFonts w:hint="eastAsia" w:ascii="等线" w:hAnsi="等线" w:eastAsia="宋体" w:cs="Times New Roman"/>
                <w:szCs w:val="21"/>
              </w:rPr>
              <w:t>分。作业评定标准与各项目评分标准相同。</w:t>
            </w:r>
          </w:p>
        </w:tc>
        <w:tc>
          <w:tcPr>
            <w:tcW w:w="1021" w:type="dxa"/>
            <w:vAlign w:val="center"/>
          </w:tcPr>
          <w:p w14:paraId="79FBDCD0">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3796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480D953C">
            <w:pPr>
              <w:rPr>
                <w:rFonts w:ascii="Times New Roman" w:hAnsi="Times New Roman" w:eastAsia="宋体" w:cs="Times New Roman"/>
                <w:b/>
                <w:bCs/>
                <w:szCs w:val="21"/>
              </w:rPr>
            </w:pPr>
            <w:r>
              <w:rPr>
                <w:rFonts w:hint="eastAsia" w:ascii="Times New Roman" w:hAnsi="Times New Roman" w:eastAsia="宋体" w:cs="Times New Roman"/>
                <w:b/>
                <w:bCs/>
                <w:szCs w:val="21"/>
              </w:rPr>
              <w:t>自主学习</w:t>
            </w:r>
          </w:p>
        </w:tc>
        <w:tc>
          <w:tcPr>
            <w:tcW w:w="6026" w:type="dxa"/>
          </w:tcPr>
          <w:p w14:paraId="4E1F0F67">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每个单元开课前，学生提前一周完成教材预习。</w:t>
            </w:r>
          </w:p>
        </w:tc>
        <w:tc>
          <w:tcPr>
            <w:tcW w:w="1021" w:type="dxa"/>
            <w:vAlign w:val="center"/>
          </w:tcPr>
          <w:p w14:paraId="508156C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501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5A565CFE">
            <w:pPr>
              <w:rPr>
                <w:rFonts w:ascii="Times New Roman" w:hAnsi="Times New Roman" w:eastAsia="宋体" w:cs="Times New Roman"/>
                <w:b/>
                <w:bCs/>
                <w:szCs w:val="21"/>
              </w:rPr>
            </w:pPr>
            <w:r>
              <w:rPr>
                <w:rFonts w:hint="eastAsia" w:ascii="Times New Roman" w:hAnsi="Times New Roman" w:eastAsia="宋体" w:cs="Times New Roman"/>
                <w:b/>
                <w:bCs/>
                <w:szCs w:val="21"/>
              </w:rPr>
              <w:t>合作学习</w:t>
            </w:r>
          </w:p>
        </w:tc>
        <w:tc>
          <w:tcPr>
            <w:tcW w:w="6026" w:type="dxa"/>
          </w:tcPr>
          <w:p w14:paraId="02D35735">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合作学习主要体现在课堂小组讨论和课后小组合作完成项目设计之中。课堂小组合作主要以学生互评为主，评价依据为每个学生在小组合作中的参与度与投入度。</w:t>
            </w:r>
          </w:p>
        </w:tc>
        <w:tc>
          <w:tcPr>
            <w:tcW w:w="1021" w:type="dxa"/>
            <w:vAlign w:val="center"/>
          </w:tcPr>
          <w:p w14:paraId="38525203">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265B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5020971D">
            <w:pP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6026" w:type="dxa"/>
          </w:tcPr>
          <w:p w14:paraId="6F99A1E9">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学生需独立完成</w:t>
            </w:r>
            <w:r>
              <w:rPr>
                <w:rFonts w:ascii="Times New Roman" w:hAnsi="Times New Roman" w:eastAsia="宋体" w:cs="Times New Roman"/>
                <w:szCs w:val="21"/>
              </w:rPr>
              <w:t>1篇符合学术规范的教育论文，</w:t>
            </w:r>
            <w:r>
              <w:rPr>
                <w:rFonts w:hint="eastAsia" w:ascii="Times New Roman" w:hAnsi="Times New Roman" w:eastAsia="宋体" w:cs="Times New Roman"/>
                <w:szCs w:val="21"/>
              </w:rPr>
              <w:t>要求：选题合适，层次清晰，结构合理，语句通顺；符合学术规范；</w:t>
            </w:r>
            <w:r>
              <w:rPr>
                <w:rFonts w:ascii="Times New Roman" w:hAnsi="Times New Roman" w:eastAsia="宋体" w:cs="Times New Roman"/>
                <w:szCs w:val="21"/>
              </w:rPr>
              <w:t>字数5000字以上。</w:t>
            </w:r>
          </w:p>
        </w:tc>
        <w:tc>
          <w:tcPr>
            <w:tcW w:w="1021" w:type="dxa"/>
            <w:vAlign w:val="center"/>
          </w:tcPr>
          <w:p w14:paraId="1F15526C">
            <w:pPr>
              <w:ind w:firstLine="210" w:firstLineChars="100"/>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0% </w:t>
            </w:r>
          </w:p>
        </w:tc>
      </w:tr>
      <w:tr w14:paraId="7CBF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12" w:type="dxa"/>
          </w:tcPr>
          <w:p w14:paraId="7A69E3D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26" w:type="dxa"/>
          </w:tcPr>
          <w:p w14:paraId="07639501">
            <w:pPr>
              <w:jc w:val="left"/>
              <w:rPr>
                <w:rFonts w:ascii="Times New Roman" w:hAnsi="Times New Roman" w:eastAsia="宋体" w:cs="Times New Roman"/>
                <w:szCs w:val="21"/>
              </w:rPr>
            </w:pPr>
          </w:p>
        </w:tc>
        <w:tc>
          <w:tcPr>
            <w:tcW w:w="1021" w:type="dxa"/>
            <w:vAlign w:val="center"/>
          </w:tcPr>
          <w:p w14:paraId="6517C20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758D65E">
      <w:pPr>
        <w:spacing w:line="360" w:lineRule="auto"/>
        <w:jc w:val="left"/>
        <w:rPr>
          <w:rFonts w:ascii="宋体" w:hAnsi="宋体" w:eastAsia="宋体" w:cs="Times New Roman"/>
          <w:b/>
          <w:sz w:val="24"/>
          <w:szCs w:val="24"/>
        </w:rPr>
      </w:pPr>
      <w:r>
        <w:rPr>
          <w:rFonts w:hint="eastAsia" w:ascii="宋体" w:hAnsi="宋体" w:eastAsia="宋体" w:cs="Times New Roman"/>
          <w:b/>
          <w:sz w:val="24"/>
          <w:szCs w:val="24"/>
        </w:rPr>
        <w:t>（三）课程目标达成度计算方法</w:t>
      </w:r>
    </w:p>
    <w:p w14:paraId="6C78EDF3">
      <w:pPr>
        <w:spacing w:line="360" w:lineRule="auto"/>
        <w:ind w:firstLine="411" w:firstLineChars="196"/>
        <w:jc w:val="left"/>
        <w:rPr>
          <w:rFonts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BA2E546">
      <w:pPr>
        <w:spacing w:before="156" w:beforeLines="50" w:line="360" w:lineRule="auto"/>
        <w:ind w:firstLine="420" w:firstLineChars="200"/>
        <w:jc w:val="left"/>
        <w:rPr>
          <w:rFonts w:ascii="宋体" w:hAnsi="宋体" w:eastAsia="宋体" w:cs="Times New Roman"/>
          <w:szCs w:val="21"/>
        </w:rPr>
      </w:pPr>
      <w:r>
        <w:rPr>
          <w:rFonts w:ascii="宋体" w:hAnsi="宋体" w:eastAsia="宋体" w:cs="Times New Roman"/>
          <w:szCs w:val="21"/>
        </w:rPr>
        <w:object>
          <v:shape id="_x0000_i1059" o:spt="75" type="#_x0000_t75" style="height:24.95pt;width:404.55pt;" o:ole="t" filled="f" o:preferrelative="t" stroked="f" coordsize="21600,21600">
            <v:path/>
            <v:fill on="f" focussize="0,0"/>
            <v:stroke on="f" joinstyle="miter"/>
            <v:imagedata r:id="rId5" o:title=""/>
            <o:lock v:ext="edit" aspectratio="t"/>
            <w10:wrap type="none"/>
            <w10:anchorlock/>
          </v:shape>
          <o:OLEObject Type="Embed" ProgID="Equation.3" ShapeID="_x0000_i1059" DrawAspect="Content" ObjectID="_1468075759" r:id="rId42">
            <o:LockedField>false</o:LockedField>
          </o:OLEObject>
        </w:object>
      </w:r>
    </w:p>
    <w:p w14:paraId="179424E3">
      <w:pPr>
        <w:spacing w:before="156" w:beforeLines="50" w:line="360" w:lineRule="auto"/>
        <w:ind w:firstLine="420" w:firstLineChars="200"/>
        <w:jc w:val="left"/>
        <w:rPr>
          <w:rFonts w:ascii="宋体" w:hAnsi="宋体" w:eastAsia="宋体" w:cs="Times New Roman"/>
          <w:szCs w:val="21"/>
        </w:rPr>
      </w:pPr>
    </w:p>
    <w:p w14:paraId="2E2B1287">
      <w:pPr>
        <w:spacing w:line="360" w:lineRule="auto"/>
        <w:outlineLvl w:val="0"/>
        <w:rPr>
          <w:rFonts w:ascii="宋体" w:hAnsi="宋体" w:eastAsia="宋体" w:cs="Times New Roman"/>
          <w:b/>
          <w:sz w:val="28"/>
          <w:szCs w:val="28"/>
        </w:rPr>
      </w:pPr>
      <w:bookmarkStart w:id="1545" w:name="_Toc10932"/>
      <w:bookmarkStart w:id="1546" w:name="_Toc3081"/>
      <w:bookmarkStart w:id="1547" w:name="_Toc5158"/>
      <w:bookmarkStart w:id="1548" w:name="_Toc26146"/>
      <w:bookmarkStart w:id="1549" w:name="_Toc15455"/>
      <w:bookmarkStart w:id="1550" w:name="_Toc5485"/>
      <w:bookmarkStart w:id="1551" w:name="_Toc14106"/>
      <w:r>
        <w:rPr>
          <w:rFonts w:hint="eastAsia" w:ascii="宋体" w:hAnsi="宋体" w:eastAsia="宋体" w:cs="Times New Roman"/>
          <w:b/>
          <w:sz w:val="28"/>
          <w:szCs w:val="28"/>
        </w:rPr>
        <w:t>五、课程实践（课内实践）</w:t>
      </w:r>
      <w:bookmarkEnd w:id="1545"/>
      <w:bookmarkEnd w:id="1546"/>
      <w:bookmarkEnd w:id="1547"/>
      <w:bookmarkEnd w:id="1548"/>
      <w:bookmarkEnd w:id="1549"/>
      <w:bookmarkEnd w:id="1550"/>
      <w:bookmarkEnd w:id="1551"/>
    </w:p>
    <w:tbl>
      <w:tblPr>
        <w:tblStyle w:val="10"/>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308A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75437C1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1610" w:type="dxa"/>
            <w:shd w:val="clear" w:color="auto" w:fill="FFFFFF"/>
            <w:vAlign w:val="center"/>
          </w:tcPr>
          <w:p w14:paraId="73944A6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实验（实践）</w:t>
            </w:r>
          </w:p>
          <w:p w14:paraId="7A1FDEB3">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项目名称</w:t>
            </w:r>
          </w:p>
        </w:tc>
        <w:tc>
          <w:tcPr>
            <w:tcW w:w="3260" w:type="dxa"/>
            <w:shd w:val="clear" w:color="auto" w:fill="FFFFFF"/>
            <w:vAlign w:val="center"/>
          </w:tcPr>
          <w:p w14:paraId="10CBF40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实验（实践）项目</w:t>
            </w:r>
          </w:p>
          <w:p w14:paraId="09B0728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内容及要求</w:t>
            </w:r>
          </w:p>
        </w:tc>
        <w:tc>
          <w:tcPr>
            <w:tcW w:w="1276" w:type="dxa"/>
            <w:shd w:val="clear" w:color="auto" w:fill="FFFFFF"/>
            <w:vAlign w:val="center"/>
          </w:tcPr>
          <w:p w14:paraId="543820E0">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对</w:t>
            </w:r>
            <w:r>
              <w:rPr>
                <w:rFonts w:ascii="Times New Roman" w:hAnsi="Times New Roman" w:eastAsia="宋体" w:cs="Times New Roman"/>
                <w:color w:val="000000"/>
                <w:szCs w:val="21"/>
              </w:rPr>
              <w:t>毕业要求</w:t>
            </w:r>
          </w:p>
          <w:p w14:paraId="04A2363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支撑</w:t>
            </w:r>
          </w:p>
        </w:tc>
        <w:tc>
          <w:tcPr>
            <w:tcW w:w="708" w:type="dxa"/>
            <w:shd w:val="clear" w:color="auto" w:fill="FFFFFF"/>
            <w:vAlign w:val="center"/>
          </w:tcPr>
          <w:p w14:paraId="05452F25">
            <w:pPr>
              <w:rPr>
                <w:rFonts w:ascii="Times New Roman" w:hAnsi="Times New Roman" w:eastAsia="宋体" w:cs="Times New Roman"/>
                <w:color w:val="000000"/>
                <w:szCs w:val="21"/>
              </w:rPr>
            </w:pPr>
            <w:r>
              <w:rPr>
                <w:rFonts w:ascii="Times New Roman" w:hAnsi="Times New Roman" w:eastAsia="宋体" w:cs="Times New Roman"/>
                <w:color w:val="000000"/>
                <w:szCs w:val="21"/>
              </w:rPr>
              <w:t>学时</w:t>
            </w:r>
          </w:p>
        </w:tc>
        <w:tc>
          <w:tcPr>
            <w:tcW w:w="851" w:type="dxa"/>
            <w:shd w:val="clear" w:color="auto" w:fill="FFFFFF"/>
            <w:vAlign w:val="center"/>
          </w:tcPr>
          <w:p w14:paraId="4DCE6D7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类型</w:t>
            </w:r>
          </w:p>
        </w:tc>
        <w:tc>
          <w:tcPr>
            <w:tcW w:w="908" w:type="dxa"/>
            <w:shd w:val="clear" w:color="auto" w:fill="FFFFFF"/>
            <w:vAlign w:val="center"/>
          </w:tcPr>
          <w:p w14:paraId="56FC724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备注</w:t>
            </w:r>
          </w:p>
        </w:tc>
      </w:tr>
      <w:tr w14:paraId="5D43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7EFF7918">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610" w:type="dxa"/>
            <w:vAlign w:val="center"/>
          </w:tcPr>
          <w:p w14:paraId="710277F3">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学术期刊论文撰写</w:t>
            </w:r>
          </w:p>
        </w:tc>
        <w:tc>
          <w:tcPr>
            <w:tcW w:w="3260" w:type="dxa"/>
            <w:vAlign w:val="center"/>
          </w:tcPr>
          <w:p w14:paraId="1CA22CA9">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内容：根据学术期刊论文写作规范，结合中小学教育实践，撰写1篇学术论文。</w:t>
            </w:r>
          </w:p>
          <w:p w14:paraId="2DFBC84E">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要求：选题合适，层次清晰，结构合理，语句通顺；符合学术规范；字数3000字以上。</w:t>
            </w:r>
          </w:p>
        </w:tc>
        <w:tc>
          <w:tcPr>
            <w:tcW w:w="1276" w:type="dxa"/>
            <w:vAlign w:val="center"/>
          </w:tcPr>
          <w:p w14:paraId="4D1156B4">
            <w:pPr>
              <w:jc w:val="center"/>
              <w:rPr>
                <w:rFonts w:ascii="Times New Roman" w:hAnsi="Times New Roman" w:eastAsia="宋体" w:cs="Times New Roman"/>
                <w:szCs w:val="21"/>
              </w:rPr>
            </w:pPr>
            <w:r>
              <w:rPr>
                <w:rFonts w:ascii="Times New Roman" w:hAnsi="Times New Roman" w:eastAsia="宋体" w:cs="Times New Roman"/>
                <w:szCs w:val="21"/>
              </w:rPr>
              <w:t>1-1</w:t>
            </w:r>
          </w:p>
          <w:p w14:paraId="76BDFBB4">
            <w:pPr>
              <w:jc w:val="center"/>
              <w:rPr>
                <w:rFonts w:ascii="Times New Roman" w:hAnsi="Times New Roman" w:eastAsia="宋体" w:cs="Times New Roman"/>
                <w:szCs w:val="21"/>
              </w:rPr>
            </w:pPr>
            <w:r>
              <w:rPr>
                <w:rFonts w:ascii="Times New Roman" w:hAnsi="Times New Roman" w:eastAsia="宋体" w:cs="Times New Roman"/>
                <w:szCs w:val="21"/>
              </w:rPr>
              <w:t>2-2</w:t>
            </w:r>
          </w:p>
          <w:p w14:paraId="74968FEC">
            <w:pPr>
              <w:jc w:val="center"/>
              <w:rPr>
                <w:rFonts w:ascii="Times New Roman" w:hAnsi="Times New Roman" w:eastAsia="宋体" w:cs="Times New Roman"/>
                <w:szCs w:val="21"/>
              </w:rPr>
            </w:pPr>
            <w:r>
              <w:rPr>
                <w:rFonts w:ascii="Times New Roman" w:hAnsi="Times New Roman" w:eastAsia="宋体" w:cs="Times New Roman"/>
                <w:szCs w:val="21"/>
              </w:rPr>
              <w:t>4-4</w:t>
            </w:r>
          </w:p>
          <w:p w14:paraId="6C51FBFF">
            <w:pPr>
              <w:jc w:val="center"/>
              <w:rPr>
                <w:rFonts w:ascii="Times New Roman" w:hAnsi="Times New Roman" w:eastAsia="宋体" w:cs="Times New Roman"/>
                <w:szCs w:val="21"/>
              </w:rPr>
            </w:pPr>
            <w:r>
              <w:rPr>
                <w:rFonts w:ascii="Times New Roman" w:hAnsi="Times New Roman" w:eastAsia="宋体" w:cs="Times New Roman"/>
                <w:szCs w:val="21"/>
              </w:rPr>
              <w:t>7-1</w:t>
            </w:r>
          </w:p>
          <w:p w14:paraId="72F409F1">
            <w:pPr>
              <w:jc w:val="center"/>
              <w:rPr>
                <w:rFonts w:ascii="Times New Roman" w:hAnsi="Times New Roman" w:eastAsia="宋体" w:cs="Times New Roman"/>
                <w:szCs w:val="21"/>
              </w:rPr>
            </w:pPr>
            <w:r>
              <w:rPr>
                <w:rFonts w:ascii="Times New Roman" w:hAnsi="Times New Roman" w:eastAsia="宋体" w:cs="Times New Roman"/>
                <w:szCs w:val="21"/>
              </w:rPr>
              <w:t>7-3</w:t>
            </w:r>
          </w:p>
        </w:tc>
        <w:tc>
          <w:tcPr>
            <w:tcW w:w="708" w:type="dxa"/>
            <w:vAlign w:val="center"/>
          </w:tcPr>
          <w:p w14:paraId="3E159DEC">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3572F203">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4779BE32">
            <w:pPr>
              <w:jc w:val="center"/>
              <w:rPr>
                <w:rFonts w:ascii="Times New Roman" w:hAnsi="Times New Roman" w:eastAsia="宋体" w:cs="Times New Roman"/>
                <w:szCs w:val="21"/>
              </w:rPr>
            </w:pPr>
            <w:r>
              <w:rPr>
                <w:rFonts w:hint="eastAsia" w:ascii="Times New Roman" w:hAnsi="Times New Roman" w:eastAsia="宋体" w:cs="Times New Roman"/>
                <w:szCs w:val="21"/>
              </w:rPr>
              <w:t>1-2</w:t>
            </w:r>
          </w:p>
          <w:p w14:paraId="1F584F88">
            <w:pPr>
              <w:jc w:val="center"/>
              <w:rPr>
                <w:rFonts w:ascii="Times New Roman" w:hAnsi="Times New Roman" w:eastAsia="宋体" w:cs="Times New Roman"/>
                <w:szCs w:val="21"/>
              </w:rPr>
            </w:pPr>
            <w:r>
              <w:rPr>
                <w:rFonts w:hint="eastAsia" w:ascii="Times New Roman" w:hAnsi="Times New Roman" w:eastAsia="宋体" w:cs="Times New Roman"/>
                <w:szCs w:val="21"/>
              </w:rPr>
              <w:t>二选一</w:t>
            </w:r>
          </w:p>
        </w:tc>
      </w:tr>
      <w:tr w14:paraId="2D2A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44F1E876">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p>
        </w:tc>
        <w:tc>
          <w:tcPr>
            <w:tcW w:w="1610" w:type="dxa"/>
            <w:vAlign w:val="center"/>
          </w:tcPr>
          <w:p w14:paraId="7424583C">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教育综述论文写作</w:t>
            </w:r>
          </w:p>
        </w:tc>
        <w:tc>
          <w:tcPr>
            <w:tcW w:w="3260" w:type="dxa"/>
            <w:vAlign w:val="center"/>
          </w:tcPr>
          <w:p w14:paraId="6362DBD0">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内容：根据教育综述论文写作规范，结合自身的研究和思考，撰写1篇教育综述论文。</w:t>
            </w:r>
          </w:p>
          <w:p w14:paraId="1F9DDB8D">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要求：选题合适，层次清晰，结构合理，语句通顺；符合学术规范；字数1000字以上。</w:t>
            </w:r>
          </w:p>
        </w:tc>
        <w:tc>
          <w:tcPr>
            <w:tcW w:w="1276" w:type="dxa"/>
            <w:vAlign w:val="center"/>
          </w:tcPr>
          <w:p w14:paraId="06FAE996">
            <w:pPr>
              <w:jc w:val="center"/>
              <w:rPr>
                <w:rFonts w:ascii="Times New Roman" w:hAnsi="Times New Roman" w:eastAsia="宋体" w:cs="Times New Roman"/>
                <w:szCs w:val="21"/>
              </w:rPr>
            </w:pPr>
            <w:r>
              <w:rPr>
                <w:rFonts w:ascii="Times New Roman" w:hAnsi="Times New Roman" w:eastAsia="宋体" w:cs="Times New Roman"/>
                <w:szCs w:val="21"/>
              </w:rPr>
              <w:t>1-1</w:t>
            </w:r>
          </w:p>
          <w:p w14:paraId="706EDD26">
            <w:pPr>
              <w:jc w:val="center"/>
              <w:rPr>
                <w:rFonts w:ascii="Times New Roman" w:hAnsi="Times New Roman" w:eastAsia="宋体" w:cs="Times New Roman"/>
                <w:szCs w:val="21"/>
              </w:rPr>
            </w:pPr>
            <w:r>
              <w:rPr>
                <w:rFonts w:ascii="Times New Roman" w:hAnsi="Times New Roman" w:eastAsia="宋体" w:cs="Times New Roman"/>
                <w:szCs w:val="21"/>
              </w:rPr>
              <w:t>2-2</w:t>
            </w:r>
          </w:p>
          <w:p w14:paraId="0183F82E">
            <w:pPr>
              <w:jc w:val="center"/>
              <w:rPr>
                <w:rFonts w:ascii="Times New Roman" w:hAnsi="Times New Roman" w:eastAsia="宋体" w:cs="Times New Roman"/>
                <w:szCs w:val="21"/>
              </w:rPr>
            </w:pPr>
            <w:r>
              <w:rPr>
                <w:rFonts w:ascii="Times New Roman" w:hAnsi="Times New Roman" w:eastAsia="宋体" w:cs="Times New Roman"/>
                <w:szCs w:val="21"/>
              </w:rPr>
              <w:t>4-4</w:t>
            </w:r>
          </w:p>
          <w:p w14:paraId="2815A09C">
            <w:pPr>
              <w:jc w:val="center"/>
              <w:rPr>
                <w:rFonts w:ascii="Times New Roman" w:hAnsi="Times New Roman" w:eastAsia="宋体" w:cs="Times New Roman"/>
                <w:szCs w:val="21"/>
              </w:rPr>
            </w:pPr>
            <w:r>
              <w:rPr>
                <w:rFonts w:ascii="Times New Roman" w:hAnsi="Times New Roman" w:eastAsia="宋体" w:cs="Times New Roman"/>
                <w:szCs w:val="21"/>
              </w:rPr>
              <w:t>7-1</w:t>
            </w:r>
          </w:p>
          <w:p w14:paraId="7BC2C93A">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708" w:type="dxa"/>
            <w:vAlign w:val="center"/>
          </w:tcPr>
          <w:p w14:paraId="777A81BE">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682D0313">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21884F58">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p w14:paraId="0823F500">
            <w:pPr>
              <w:jc w:val="center"/>
              <w:rPr>
                <w:rFonts w:ascii="Times New Roman" w:hAnsi="Times New Roman" w:eastAsia="宋体" w:cs="Times New Roman"/>
                <w:szCs w:val="21"/>
              </w:rPr>
            </w:pPr>
            <w:r>
              <w:rPr>
                <w:rFonts w:hint="eastAsia" w:ascii="Times New Roman" w:hAnsi="Times New Roman" w:eastAsia="宋体" w:cs="Times New Roman"/>
                <w:szCs w:val="21"/>
              </w:rPr>
              <w:t>二选一</w:t>
            </w:r>
          </w:p>
        </w:tc>
      </w:tr>
      <w:tr w14:paraId="0E57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1A55FDB0">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610" w:type="dxa"/>
            <w:vAlign w:val="center"/>
          </w:tcPr>
          <w:p w14:paraId="02E590A5">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教育随笔写作</w:t>
            </w:r>
          </w:p>
        </w:tc>
        <w:tc>
          <w:tcPr>
            <w:tcW w:w="3260" w:type="dxa"/>
            <w:vAlign w:val="center"/>
          </w:tcPr>
          <w:p w14:paraId="511FCF3B">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内容：结合教育实践，撰写1篇符合规范的教学随笔论文。</w:t>
            </w:r>
          </w:p>
          <w:p w14:paraId="790D93E4">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要求：题目恰当，层次清晰，结构合理，语句通顺；符合学术规范；字数800字以上。</w:t>
            </w:r>
          </w:p>
        </w:tc>
        <w:tc>
          <w:tcPr>
            <w:tcW w:w="1276" w:type="dxa"/>
            <w:vAlign w:val="center"/>
          </w:tcPr>
          <w:p w14:paraId="2A07FD6F">
            <w:pPr>
              <w:jc w:val="center"/>
              <w:rPr>
                <w:rFonts w:ascii="Times New Roman" w:hAnsi="Times New Roman" w:eastAsia="宋体" w:cs="Times New Roman"/>
                <w:szCs w:val="21"/>
              </w:rPr>
            </w:pPr>
            <w:r>
              <w:rPr>
                <w:rFonts w:ascii="Times New Roman" w:hAnsi="Times New Roman" w:eastAsia="宋体" w:cs="Times New Roman"/>
                <w:szCs w:val="21"/>
              </w:rPr>
              <w:t>1-1</w:t>
            </w:r>
          </w:p>
          <w:p w14:paraId="6BA07552">
            <w:pPr>
              <w:jc w:val="center"/>
              <w:rPr>
                <w:rFonts w:ascii="Times New Roman" w:hAnsi="Times New Roman" w:eastAsia="宋体" w:cs="Times New Roman"/>
                <w:szCs w:val="21"/>
              </w:rPr>
            </w:pPr>
            <w:r>
              <w:rPr>
                <w:rFonts w:ascii="Times New Roman" w:hAnsi="Times New Roman" w:eastAsia="宋体" w:cs="Times New Roman"/>
                <w:szCs w:val="21"/>
              </w:rPr>
              <w:t>2-2</w:t>
            </w:r>
          </w:p>
          <w:p w14:paraId="591FA5E8">
            <w:pPr>
              <w:jc w:val="center"/>
              <w:rPr>
                <w:rFonts w:ascii="Times New Roman" w:hAnsi="Times New Roman" w:eastAsia="宋体" w:cs="Times New Roman"/>
                <w:szCs w:val="21"/>
              </w:rPr>
            </w:pPr>
            <w:r>
              <w:rPr>
                <w:rFonts w:ascii="Times New Roman" w:hAnsi="Times New Roman" w:eastAsia="宋体" w:cs="Times New Roman"/>
                <w:szCs w:val="21"/>
              </w:rPr>
              <w:t>4-4</w:t>
            </w:r>
          </w:p>
          <w:p w14:paraId="3ADFF643">
            <w:pPr>
              <w:jc w:val="center"/>
              <w:rPr>
                <w:rFonts w:ascii="Times New Roman" w:hAnsi="Times New Roman" w:eastAsia="宋体" w:cs="Times New Roman"/>
                <w:szCs w:val="21"/>
              </w:rPr>
            </w:pPr>
            <w:r>
              <w:rPr>
                <w:rFonts w:ascii="Times New Roman" w:hAnsi="Times New Roman" w:eastAsia="宋体" w:cs="Times New Roman"/>
                <w:szCs w:val="21"/>
              </w:rPr>
              <w:t>7-1</w:t>
            </w:r>
          </w:p>
          <w:p w14:paraId="54594B62">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708" w:type="dxa"/>
            <w:vAlign w:val="center"/>
          </w:tcPr>
          <w:p w14:paraId="681A267E">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851" w:type="dxa"/>
            <w:vAlign w:val="center"/>
          </w:tcPr>
          <w:p w14:paraId="756F7A62">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0603F81C">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p>
          <w:p w14:paraId="4BF5529E">
            <w:pPr>
              <w:jc w:val="center"/>
              <w:rPr>
                <w:rFonts w:ascii="Times New Roman" w:hAnsi="Times New Roman" w:eastAsia="宋体" w:cs="Times New Roman"/>
                <w:szCs w:val="21"/>
              </w:rPr>
            </w:pPr>
            <w:r>
              <w:rPr>
                <w:rFonts w:hint="eastAsia" w:ascii="Times New Roman" w:hAnsi="Times New Roman" w:eastAsia="宋体" w:cs="Times New Roman"/>
                <w:szCs w:val="21"/>
              </w:rPr>
              <w:t>三选一</w:t>
            </w:r>
          </w:p>
        </w:tc>
      </w:tr>
      <w:tr w14:paraId="60A2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2CA34D3E">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610" w:type="dxa"/>
            <w:vAlign w:val="center"/>
          </w:tcPr>
          <w:p w14:paraId="42522403">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教育调查报告撰写 </w:t>
            </w:r>
          </w:p>
        </w:tc>
        <w:tc>
          <w:tcPr>
            <w:tcW w:w="3260" w:type="dxa"/>
            <w:vAlign w:val="center"/>
          </w:tcPr>
          <w:p w14:paraId="59178AC7">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内容：开展一项微型教育调查，撰写1份符合规范的教育调查报告。</w:t>
            </w:r>
          </w:p>
          <w:p w14:paraId="13F6EDF0">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要求：选题合适，层次清晰，结构合理，语句通顺；符合学术规范；字数1500字以上。</w:t>
            </w:r>
          </w:p>
        </w:tc>
        <w:tc>
          <w:tcPr>
            <w:tcW w:w="1276" w:type="dxa"/>
            <w:vAlign w:val="center"/>
          </w:tcPr>
          <w:p w14:paraId="71A9AA3E">
            <w:pPr>
              <w:jc w:val="center"/>
              <w:rPr>
                <w:rFonts w:ascii="Times New Roman" w:hAnsi="Times New Roman" w:eastAsia="宋体" w:cs="Times New Roman"/>
                <w:szCs w:val="21"/>
              </w:rPr>
            </w:pPr>
            <w:r>
              <w:rPr>
                <w:rFonts w:ascii="Times New Roman" w:hAnsi="Times New Roman" w:eastAsia="宋体" w:cs="Times New Roman"/>
                <w:szCs w:val="21"/>
              </w:rPr>
              <w:t xml:space="preserve"> 1-1</w:t>
            </w:r>
          </w:p>
          <w:p w14:paraId="62FFE56D">
            <w:pPr>
              <w:jc w:val="center"/>
              <w:rPr>
                <w:rFonts w:ascii="Times New Roman" w:hAnsi="Times New Roman" w:eastAsia="宋体" w:cs="Times New Roman"/>
                <w:szCs w:val="21"/>
              </w:rPr>
            </w:pPr>
            <w:r>
              <w:rPr>
                <w:rFonts w:ascii="Times New Roman" w:hAnsi="Times New Roman" w:eastAsia="宋体" w:cs="Times New Roman"/>
                <w:szCs w:val="21"/>
              </w:rPr>
              <w:t>2-2</w:t>
            </w:r>
          </w:p>
          <w:p w14:paraId="54D224AC">
            <w:pPr>
              <w:jc w:val="center"/>
              <w:rPr>
                <w:rFonts w:ascii="Times New Roman" w:hAnsi="Times New Roman" w:eastAsia="宋体" w:cs="Times New Roman"/>
                <w:szCs w:val="21"/>
              </w:rPr>
            </w:pPr>
            <w:r>
              <w:rPr>
                <w:rFonts w:ascii="Times New Roman" w:hAnsi="Times New Roman" w:eastAsia="宋体" w:cs="Times New Roman"/>
                <w:szCs w:val="21"/>
              </w:rPr>
              <w:t>4-4</w:t>
            </w:r>
          </w:p>
          <w:p w14:paraId="311FFFFA">
            <w:pPr>
              <w:jc w:val="center"/>
              <w:rPr>
                <w:rFonts w:ascii="Times New Roman" w:hAnsi="Times New Roman" w:eastAsia="宋体" w:cs="Times New Roman"/>
                <w:szCs w:val="21"/>
              </w:rPr>
            </w:pPr>
            <w:r>
              <w:rPr>
                <w:rFonts w:ascii="Times New Roman" w:hAnsi="Times New Roman" w:eastAsia="宋体" w:cs="Times New Roman"/>
                <w:szCs w:val="21"/>
              </w:rPr>
              <w:t>7-1</w:t>
            </w:r>
          </w:p>
          <w:p w14:paraId="07492D20">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708" w:type="dxa"/>
            <w:vAlign w:val="center"/>
          </w:tcPr>
          <w:p w14:paraId="5A06521B">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238483F8">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2AEBAA7F">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p>
          <w:p w14:paraId="6AD78CAE">
            <w:pPr>
              <w:jc w:val="center"/>
              <w:rPr>
                <w:rFonts w:ascii="Times New Roman" w:hAnsi="Times New Roman" w:eastAsia="宋体" w:cs="Times New Roman"/>
                <w:szCs w:val="21"/>
              </w:rPr>
            </w:pPr>
            <w:r>
              <w:rPr>
                <w:rFonts w:hint="eastAsia" w:ascii="Times New Roman" w:hAnsi="Times New Roman" w:eastAsia="宋体" w:cs="Times New Roman"/>
                <w:szCs w:val="21"/>
              </w:rPr>
              <w:t>三选一</w:t>
            </w:r>
          </w:p>
        </w:tc>
      </w:tr>
      <w:tr w14:paraId="42A6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115FBD9E">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610" w:type="dxa"/>
            <w:vAlign w:val="center"/>
          </w:tcPr>
          <w:p w14:paraId="260DC330">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教育叙事论文撰写</w:t>
            </w:r>
          </w:p>
        </w:tc>
        <w:tc>
          <w:tcPr>
            <w:tcW w:w="3260" w:type="dxa"/>
            <w:vAlign w:val="center"/>
          </w:tcPr>
          <w:p w14:paraId="346A05E2">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内容：结合教育实践，撰写1篇教育叙事论文。</w:t>
            </w:r>
          </w:p>
          <w:p w14:paraId="2E0C7790">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要求：选题合适，层次清晰，结构合理，语句通顺；符合学术规范；字数1500字以上。</w:t>
            </w:r>
          </w:p>
        </w:tc>
        <w:tc>
          <w:tcPr>
            <w:tcW w:w="1276" w:type="dxa"/>
            <w:vAlign w:val="center"/>
          </w:tcPr>
          <w:p w14:paraId="3EED31C3">
            <w:pPr>
              <w:jc w:val="center"/>
              <w:rPr>
                <w:rFonts w:ascii="Times New Roman" w:hAnsi="Times New Roman" w:eastAsia="宋体" w:cs="Times New Roman"/>
                <w:szCs w:val="21"/>
              </w:rPr>
            </w:pPr>
            <w:r>
              <w:rPr>
                <w:rFonts w:ascii="Times New Roman" w:hAnsi="Times New Roman" w:eastAsia="宋体" w:cs="Times New Roman"/>
                <w:szCs w:val="21"/>
              </w:rPr>
              <w:t>1-1</w:t>
            </w:r>
          </w:p>
          <w:p w14:paraId="1CEF8ADF">
            <w:pPr>
              <w:jc w:val="center"/>
              <w:rPr>
                <w:rFonts w:ascii="Times New Roman" w:hAnsi="Times New Roman" w:eastAsia="宋体" w:cs="Times New Roman"/>
                <w:szCs w:val="21"/>
              </w:rPr>
            </w:pPr>
            <w:r>
              <w:rPr>
                <w:rFonts w:ascii="Times New Roman" w:hAnsi="Times New Roman" w:eastAsia="宋体" w:cs="Times New Roman"/>
                <w:szCs w:val="21"/>
              </w:rPr>
              <w:t>2-2</w:t>
            </w:r>
          </w:p>
          <w:p w14:paraId="4E82F0CB">
            <w:pPr>
              <w:jc w:val="center"/>
              <w:rPr>
                <w:rFonts w:ascii="Times New Roman" w:hAnsi="Times New Roman" w:eastAsia="宋体" w:cs="Times New Roman"/>
                <w:szCs w:val="21"/>
              </w:rPr>
            </w:pPr>
            <w:r>
              <w:rPr>
                <w:rFonts w:ascii="Times New Roman" w:hAnsi="Times New Roman" w:eastAsia="宋体" w:cs="Times New Roman"/>
                <w:szCs w:val="21"/>
              </w:rPr>
              <w:t>4-4</w:t>
            </w:r>
          </w:p>
          <w:p w14:paraId="0A6810EA">
            <w:pPr>
              <w:jc w:val="center"/>
              <w:rPr>
                <w:rFonts w:ascii="Times New Roman" w:hAnsi="Times New Roman" w:eastAsia="宋体" w:cs="Times New Roman"/>
                <w:szCs w:val="21"/>
              </w:rPr>
            </w:pPr>
            <w:r>
              <w:rPr>
                <w:rFonts w:ascii="Times New Roman" w:hAnsi="Times New Roman" w:eastAsia="宋体" w:cs="Times New Roman"/>
                <w:szCs w:val="21"/>
              </w:rPr>
              <w:t>7-1</w:t>
            </w:r>
          </w:p>
          <w:p w14:paraId="79D95605">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708" w:type="dxa"/>
            <w:vAlign w:val="center"/>
          </w:tcPr>
          <w:p w14:paraId="1680A1C2">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7D24B870">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2BAD5192">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p>
          <w:p w14:paraId="352244B9">
            <w:pPr>
              <w:jc w:val="center"/>
              <w:rPr>
                <w:rFonts w:ascii="Times New Roman" w:hAnsi="Times New Roman" w:eastAsia="宋体" w:cs="Times New Roman"/>
                <w:szCs w:val="21"/>
              </w:rPr>
            </w:pPr>
            <w:r>
              <w:rPr>
                <w:rFonts w:hint="eastAsia" w:ascii="Times New Roman" w:hAnsi="Times New Roman" w:eastAsia="宋体" w:cs="Times New Roman"/>
                <w:szCs w:val="21"/>
              </w:rPr>
              <w:t>三选一</w:t>
            </w:r>
          </w:p>
        </w:tc>
      </w:tr>
      <w:tr w14:paraId="4611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3F2D5C51">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610" w:type="dxa"/>
            <w:vAlign w:val="center"/>
          </w:tcPr>
          <w:p w14:paraId="1DC539E9">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毕业论文提纲撰写</w:t>
            </w:r>
          </w:p>
        </w:tc>
        <w:tc>
          <w:tcPr>
            <w:tcW w:w="3260" w:type="dxa"/>
            <w:vAlign w:val="center"/>
          </w:tcPr>
          <w:p w14:paraId="1CDEA1B3">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内容：结合毕业论文选题，拟定毕业论文提纲。</w:t>
            </w:r>
          </w:p>
          <w:p w14:paraId="736936C6">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要求：选题合适，层次清晰，结构合理，列出三级提纲。</w:t>
            </w:r>
          </w:p>
        </w:tc>
        <w:tc>
          <w:tcPr>
            <w:tcW w:w="1276" w:type="dxa"/>
            <w:vAlign w:val="center"/>
          </w:tcPr>
          <w:p w14:paraId="2A17E04F">
            <w:pPr>
              <w:jc w:val="center"/>
              <w:rPr>
                <w:rFonts w:ascii="Times New Roman" w:hAnsi="Times New Roman" w:eastAsia="宋体" w:cs="Times New Roman"/>
                <w:szCs w:val="21"/>
              </w:rPr>
            </w:pPr>
            <w:r>
              <w:rPr>
                <w:rFonts w:ascii="Times New Roman" w:hAnsi="Times New Roman" w:eastAsia="宋体" w:cs="Times New Roman"/>
                <w:szCs w:val="21"/>
              </w:rPr>
              <w:t>1-1</w:t>
            </w:r>
          </w:p>
          <w:p w14:paraId="6DB6EF15">
            <w:pPr>
              <w:jc w:val="center"/>
              <w:rPr>
                <w:rFonts w:ascii="Times New Roman" w:hAnsi="Times New Roman" w:eastAsia="宋体" w:cs="Times New Roman"/>
                <w:szCs w:val="21"/>
              </w:rPr>
            </w:pPr>
            <w:r>
              <w:rPr>
                <w:rFonts w:ascii="Times New Roman" w:hAnsi="Times New Roman" w:eastAsia="宋体" w:cs="Times New Roman"/>
                <w:szCs w:val="21"/>
              </w:rPr>
              <w:t>2-2</w:t>
            </w:r>
          </w:p>
          <w:p w14:paraId="631829DB">
            <w:pPr>
              <w:jc w:val="center"/>
              <w:rPr>
                <w:rFonts w:ascii="Times New Roman" w:hAnsi="Times New Roman" w:eastAsia="宋体" w:cs="Times New Roman"/>
                <w:szCs w:val="21"/>
              </w:rPr>
            </w:pPr>
            <w:r>
              <w:rPr>
                <w:rFonts w:ascii="Times New Roman" w:hAnsi="Times New Roman" w:eastAsia="宋体" w:cs="Times New Roman"/>
                <w:szCs w:val="21"/>
              </w:rPr>
              <w:t>4-4</w:t>
            </w:r>
          </w:p>
          <w:p w14:paraId="55F94702">
            <w:pPr>
              <w:jc w:val="center"/>
              <w:rPr>
                <w:rFonts w:ascii="Times New Roman" w:hAnsi="Times New Roman" w:eastAsia="宋体" w:cs="Times New Roman"/>
                <w:szCs w:val="21"/>
              </w:rPr>
            </w:pPr>
            <w:r>
              <w:rPr>
                <w:rFonts w:ascii="Times New Roman" w:hAnsi="Times New Roman" w:eastAsia="宋体" w:cs="Times New Roman"/>
                <w:szCs w:val="21"/>
              </w:rPr>
              <w:t>7-1</w:t>
            </w:r>
          </w:p>
          <w:p w14:paraId="1CDAA270">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708" w:type="dxa"/>
            <w:vAlign w:val="center"/>
          </w:tcPr>
          <w:p w14:paraId="0BE0C264">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851" w:type="dxa"/>
            <w:vAlign w:val="center"/>
          </w:tcPr>
          <w:p w14:paraId="55E4A59A">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68B121D5">
            <w:pPr>
              <w:jc w:val="center"/>
              <w:rPr>
                <w:rFonts w:ascii="Times New Roman" w:hAnsi="Times New Roman" w:eastAsia="宋体" w:cs="Times New Roman"/>
                <w:szCs w:val="21"/>
              </w:rPr>
            </w:pPr>
            <w:r>
              <w:rPr>
                <w:rFonts w:hint="eastAsia" w:ascii="Times New Roman" w:hAnsi="Times New Roman" w:eastAsia="宋体" w:cs="Times New Roman"/>
                <w:szCs w:val="21"/>
              </w:rPr>
              <w:t>必做</w:t>
            </w:r>
          </w:p>
        </w:tc>
      </w:tr>
    </w:tbl>
    <w:p w14:paraId="1511C596">
      <w:pPr>
        <w:spacing w:line="360" w:lineRule="auto"/>
        <w:jc w:val="left"/>
        <w:rPr>
          <w:rFonts w:ascii="宋体" w:hAnsi="宋体" w:eastAsia="宋体" w:cs="Times New Roman"/>
          <w:b/>
          <w:color w:val="000000"/>
          <w:sz w:val="28"/>
          <w:szCs w:val="28"/>
        </w:rPr>
      </w:pPr>
    </w:p>
    <w:p w14:paraId="20112502">
      <w:pPr>
        <w:spacing w:line="360" w:lineRule="auto"/>
        <w:jc w:val="left"/>
        <w:outlineLvl w:val="0"/>
        <w:rPr>
          <w:rFonts w:ascii="Times New Roman" w:hAnsi="Times New Roman" w:eastAsia="宋体" w:cs="Times New Roman"/>
          <w:b/>
          <w:bCs/>
          <w:sz w:val="32"/>
          <w:szCs w:val="32"/>
        </w:rPr>
      </w:pPr>
      <w:bookmarkStart w:id="1552" w:name="_Toc21164"/>
      <w:bookmarkStart w:id="1553" w:name="_Toc5020"/>
      <w:bookmarkStart w:id="1554" w:name="_Toc28024"/>
      <w:bookmarkStart w:id="1555" w:name="_Toc6184"/>
      <w:bookmarkStart w:id="1556" w:name="_Toc28177"/>
      <w:bookmarkStart w:id="1557" w:name="_Toc14985"/>
      <w:bookmarkStart w:id="1558" w:name="_Toc31581"/>
      <w:r>
        <w:rPr>
          <w:rFonts w:hint="eastAsia" w:ascii="宋体" w:hAnsi="宋体" w:eastAsia="宋体" w:cs="Times New Roman"/>
          <w:b/>
          <w:sz w:val="28"/>
          <w:szCs w:val="28"/>
        </w:rPr>
        <w:t>六、有关说明</w:t>
      </w:r>
      <w:bookmarkEnd w:id="1552"/>
      <w:bookmarkEnd w:id="1553"/>
      <w:bookmarkEnd w:id="1554"/>
      <w:bookmarkEnd w:id="1555"/>
      <w:bookmarkEnd w:id="1556"/>
      <w:bookmarkEnd w:id="1557"/>
      <w:bookmarkEnd w:id="1558"/>
    </w:p>
    <w:p w14:paraId="7EBCF221">
      <w:pPr>
        <w:spacing w:line="360" w:lineRule="auto"/>
        <w:jc w:val="left"/>
        <w:outlineLvl w:val="1"/>
        <w:rPr>
          <w:rFonts w:ascii="Times New Roman" w:hAnsi="Times New Roman" w:eastAsia="宋体" w:cs="Times New Roman"/>
          <w:b/>
          <w:bCs/>
          <w:sz w:val="24"/>
          <w:szCs w:val="24"/>
        </w:rPr>
      </w:pPr>
      <w:bookmarkStart w:id="1559" w:name="_Toc47"/>
      <w:r>
        <w:rPr>
          <w:rFonts w:hint="eastAsia" w:ascii="Times New Roman" w:hAnsi="Times New Roman" w:eastAsia="宋体" w:cs="Times New Roman"/>
          <w:b/>
          <w:bCs/>
          <w:sz w:val="24"/>
          <w:szCs w:val="24"/>
        </w:rPr>
        <w:t>（一）持续改进</w:t>
      </w:r>
      <w:bookmarkEnd w:id="1559"/>
    </w:p>
    <w:p w14:paraId="7925D33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主讲教师利用指导学生教育见习、实习的机会，认真听取优秀毕业生对本课程教学改革的建议；根据基础教育改革与研究的需要，及时优化、调整教学内容。</w:t>
      </w:r>
    </w:p>
    <w:p w14:paraId="5602E14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759D059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根据学生作业完成情况，及时发现课程评价中存在的问题，不断优化课程评价方式。</w:t>
      </w:r>
    </w:p>
    <w:p w14:paraId="0019306B">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 xml:space="preserve">4. </w:t>
      </w:r>
      <w:r>
        <w:rPr>
          <w:rFonts w:hint="eastAsia" w:ascii="Times New Roman" w:hAnsi="Times New Roman" w:eastAsia="宋体" w:cs="Times New Roman"/>
          <w:szCs w:val="21"/>
        </w:rPr>
        <w:t>虚心听取领导、督导、教师听课评价意见和建议，努力提高教学质量。</w:t>
      </w:r>
    </w:p>
    <w:p w14:paraId="776D9E83">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 每一轮开课结束后，课程组召开研讨会，探讨课程教学中的盲点、难点和痛点问题，找准课程改革的切入点和教学质量的增长点，确保课程目标对毕业要求形成有力支撑。</w:t>
      </w:r>
    </w:p>
    <w:p w14:paraId="5A3BB8A2">
      <w:pPr>
        <w:spacing w:line="360" w:lineRule="auto"/>
        <w:jc w:val="left"/>
        <w:outlineLvl w:val="1"/>
        <w:rPr>
          <w:rFonts w:ascii="Times New Roman" w:hAnsi="Times New Roman" w:eastAsia="宋体" w:cs="Times New Roman"/>
          <w:b/>
          <w:bCs/>
          <w:sz w:val="24"/>
          <w:szCs w:val="24"/>
        </w:rPr>
      </w:pPr>
      <w:bookmarkStart w:id="1560" w:name="_Toc2227"/>
      <w:r>
        <w:rPr>
          <w:rFonts w:hint="eastAsia" w:ascii="Times New Roman" w:hAnsi="Times New Roman" w:eastAsia="宋体" w:cs="Times New Roman"/>
          <w:b/>
          <w:bCs/>
          <w:sz w:val="24"/>
          <w:szCs w:val="24"/>
        </w:rPr>
        <w:t>（二）</w:t>
      </w:r>
      <w:r>
        <w:rPr>
          <w:rFonts w:ascii="Times New Roman" w:hAnsi="Times New Roman" w:eastAsia="宋体" w:cs="Times New Roman"/>
          <w:b/>
          <w:bCs/>
          <w:sz w:val="24"/>
          <w:szCs w:val="24"/>
        </w:rPr>
        <w:t>参考书目及学习资料</w:t>
      </w:r>
      <w:bookmarkEnd w:id="1560"/>
    </w:p>
    <w:p w14:paraId="656445CC">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兰国帅</w:t>
      </w:r>
      <w:r>
        <w:rPr>
          <w:rFonts w:hint="eastAsia" w:ascii="Times New Roman" w:hAnsi="Times New Roman" w:eastAsia="宋体" w:cs="Times New Roman"/>
          <w:kern w:val="0"/>
          <w:szCs w:val="21"/>
        </w:rPr>
        <w:t>：教育学学术论文写作，</w:t>
      </w:r>
      <w:r>
        <w:rPr>
          <w:rFonts w:ascii="Times New Roman" w:hAnsi="Times New Roman" w:eastAsia="宋体" w:cs="Times New Roman"/>
          <w:kern w:val="0"/>
          <w:szCs w:val="21"/>
        </w:rPr>
        <w:t>科学出版社</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2024年</w:t>
      </w:r>
      <w:r>
        <w:rPr>
          <w:rFonts w:hint="eastAsia" w:ascii="Times New Roman" w:hAnsi="Times New Roman" w:eastAsia="宋体" w:cs="Times New Roman"/>
          <w:kern w:val="0"/>
          <w:szCs w:val="21"/>
        </w:rPr>
        <w:t>版。</w:t>
      </w:r>
    </w:p>
    <w:p w14:paraId="3CC20E27">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 徐有富</w:t>
      </w:r>
      <w:r>
        <w:rPr>
          <w:rFonts w:hint="eastAsia" w:ascii="Times New Roman" w:hAnsi="Times New Roman" w:eastAsia="宋体" w:cs="Times New Roman"/>
          <w:kern w:val="0"/>
          <w:szCs w:val="21"/>
        </w:rPr>
        <w:t>：学术论文写作1</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讲，</w:t>
      </w:r>
      <w:r>
        <w:rPr>
          <w:rFonts w:ascii="Times New Roman" w:hAnsi="Times New Roman" w:eastAsia="宋体" w:cs="Times New Roman"/>
          <w:kern w:val="0"/>
          <w:szCs w:val="21"/>
        </w:rPr>
        <w:t>北京大学出版社</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2019年</w:t>
      </w:r>
      <w:r>
        <w:rPr>
          <w:rFonts w:hint="eastAsia" w:ascii="Times New Roman" w:hAnsi="Times New Roman" w:eastAsia="宋体" w:cs="Times New Roman"/>
          <w:kern w:val="0"/>
          <w:szCs w:val="21"/>
        </w:rPr>
        <w:t>版。</w:t>
      </w:r>
    </w:p>
    <w:p w14:paraId="2D9EC6B9">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r>
        <w:rPr>
          <w:rFonts w:hint="eastAsia" w:ascii="Times New Roman" w:hAnsi="Times New Roman" w:eastAsia="宋体" w:cs="Times New Roman"/>
          <w:kern w:val="0"/>
          <w:szCs w:val="21"/>
        </w:rPr>
        <w:t>李德方：怎样写文章——学术论文写作项目化教程，苏州大学出版社，2</w:t>
      </w:r>
      <w:r>
        <w:rPr>
          <w:rFonts w:ascii="Times New Roman" w:hAnsi="Times New Roman" w:eastAsia="宋体" w:cs="Times New Roman"/>
          <w:kern w:val="0"/>
          <w:szCs w:val="21"/>
        </w:rPr>
        <w:t>020</w:t>
      </w:r>
      <w:r>
        <w:rPr>
          <w:rFonts w:hint="eastAsia" w:ascii="Times New Roman" w:hAnsi="Times New Roman" w:eastAsia="宋体" w:cs="Times New Roman"/>
          <w:kern w:val="0"/>
          <w:szCs w:val="21"/>
        </w:rPr>
        <w:t>年版。</w:t>
      </w:r>
    </w:p>
    <w:p w14:paraId="4137941F">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4. 吴杨</w:t>
      </w:r>
      <w:r>
        <w:rPr>
          <w:rFonts w:hint="eastAsia" w:ascii="Times New Roman" w:hAnsi="Times New Roman" w:eastAsia="宋体" w:cs="Times New Roman"/>
          <w:kern w:val="0"/>
          <w:szCs w:val="21"/>
        </w:rPr>
        <w:t>：社科类学术论文写作指南，</w:t>
      </w:r>
      <w:r>
        <w:rPr>
          <w:rFonts w:ascii="Times New Roman" w:hAnsi="Times New Roman" w:eastAsia="宋体" w:cs="Times New Roman"/>
          <w:kern w:val="0"/>
          <w:szCs w:val="21"/>
        </w:rPr>
        <w:t>人民出版社</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2021年</w:t>
      </w:r>
      <w:r>
        <w:rPr>
          <w:rFonts w:hint="eastAsia" w:ascii="Times New Roman" w:hAnsi="Times New Roman" w:eastAsia="宋体" w:cs="Times New Roman"/>
          <w:kern w:val="0"/>
          <w:szCs w:val="21"/>
        </w:rPr>
        <w:t>版。</w:t>
      </w:r>
    </w:p>
    <w:p w14:paraId="61D89080">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5. </w:t>
      </w:r>
      <w:r>
        <w:rPr>
          <w:rFonts w:hint="eastAsia" w:ascii="Times New Roman" w:hAnsi="Times New Roman" w:eastAsia="宋体" w:cs="Times New Roman"/>
          <w:kern w:val="0"/>
          <w:szCs w:val="21"/>
        </w:rPr>
        <w:t>王雨磊等：学术论文写作与发表指引，中国人民大学出版社，2017年版。</w:t>
      </w:r>
    </w:p>
    <w:p w14:paraId="65292065">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 周新年：科学研究方法与学术论文写作（第二版），科学出版社，2019年版。</w:t>
      </w:r>
    </w:p>
    <w:p w14:paraId="7C3FAFE6">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7</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王细荣等：文献信息检索与论文写作（第六版），上海交通大学出版社，2017年版。</w:t>
      </w:r>
    </w:p>
    <w:p w14:paraId="648929A9">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8</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李兴仁、王荣党：毕业论文写作指导，科学出版社，2018年版。</w:t>
      </w:r>
    </w:p>
    <w:p w14:paraId="7A741527">
      <w:pPr>
        <w:autoSpaceDE w:val="0"/>
        <w:autoSpaceDN w:val="0"/>
        <w:adjustRightInd w:val="0"/>
        <w:spacing w:line="360" w:lineRule="auto"/>
        <w:ind w:firstLine="480"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w:t>
      </w:r>
    </w:p>
    <w:p w14:paraId="5238CECC">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潘金林</w:t>
      </w:r>
    </w:p>
    <w:p w14:paraId="6419E4C0">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王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健</w:t>
      </w:r>
    </w:p>
    <w:p w14:paraId="0A359EF1">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1504FE74">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4225A4AA">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br w:type="page"/>
      </w:r>
    </w:p>
    <w:p w14:paraId="07D6547C">
      <w:pPr>
        <w:pStyle w:val="2"/>
        <w:bidi w:val="0"/>
        <w:rPr>
          <w:lang w:val="en-US" w:eastAsia="zh-CN"/>
        </w:rPr>
      </w:pPr>
      <w:bookmarkStart w:id="1561" w:name="_Toc57314540"/>
      <w:bookmarkStart w:id="1562" w:name="_Toc17180"/>
      <w:bookmarkStart w:id="1563" w:name="_Toc18129"/>
      <w:bookmarkStart w:id="1564" w:name="_Toc13058"/>
      <w:bookmarkStart w:id="1565" w:name="_Toc425"/>
      <w:r>
        <w:rPr>
          <w:rFonts w:hint="eastAsia"/>
          <w:lang w:val="en-US" w:eastAsia="zh-CN"/>
        </w:rPr>
        <w:t>《古代汉语》课程教学大纲</w:t>
      </w:r>
      <w:bookmarkEnd w:id="1561"/>
      <w:bookmarkEnd w:id="1562"/>
      <w:bookmarkEnd w:id="1563"/>
      <w:bookmarkEnd w:id="1564"/>
      <w:bookmarkEnd w:id="1565"/>
    </w:p>
    <w:p w14:paraId="5F97DC5E">
      <w:pPr>
        <w:pStyle w:val="2"/>
        <w:bidi w:val="0"/>
        <w:rPr>
          <w:rFonts w:ascii="Times New Roman" w:hAnsi="Times New Roman" w:eastAsia="宋体" w:cs="Times New Roman"/>
          <w:b/>
          <w:bCs/>
          <w:kern w:val="2"/>
          <w:szCs w:val="32"/>
          <w:lang w:val="en-US" w:eastAsia="zh-CN" w:bidi="ar-SA"/>
        </w:rPr>
      </w:pPr>
      <w:bookmarkStart w:id="1566" w:name="_Toc7473"/>
      <w:bookmarkStart w:id="1567" w:name="_Toc6372"/>
      <w:bookmarkStart w:id="1568" w:name="_Toc6819"/>
      <w:bookmarkStart w:id="1569" w:name="_Toc31019"/>
      <w:bookmarkStart w:id="1570" w:name="_Toc10064"/>
      <w:bookmarkStart w:id="1571" w:name="_Toc23735"/>
      <w:bookmarkStart w:id="1572" w:name="_Toc26650"/>
      <w:r>
        <w:rPr>
          <w:lang w:val="en-US" w:eastAsia="zh-CN"/>
        </w:rPr>
        <w:t>（Ancient Chinese）</w:t>
      </w:r>
      <w:bookmarkEnd w:id="1566"/>
      <w:bookmarkEnd w:id="1567"/>
      <w:bookmarkEnd w:id="1568"/>
      <w:bookmarkEnd w:id="1569"/>
      <w:bookmarkEnd w:id="1570"/>
      <w:bookmarkEnd w:id="1571"/>
      <w:bookmarkEnd w:id="1572"/>
    </w:p>
    <w:p w14:paraId="3774C602">
      <w:pPr>
        <w:spacing w:line="360" w:lineRule="auto"/>
        <w:outlineLvl w:val="0"/>
        <w:rPr>
          <w:rFonts w:ascii="Times New Roman" w:hAnsi="Times New Roman" w:eastAsia="宋体" w:cs="Times New Roman"/>
          <w:b/>
          <w:bCs/>
          <w:smallCaps/>
          <w:color w:val="333333"/>
          <w:kern w:val="44"/>
          <w:sz w:val="24"/>
          <w:szCs w:val="24"/>
        </w:rPr>
      </w:pPr>
      <w:bookmarkStart w:id="1573" w:name="_Toc3093"/>
      <w:bookmarkStart w:id="1574" w:name="_Toc25305"/>
      <w:bookmarkStart w:id="1575" w:name="_Toc9530"/>
      <w:bookmarkStart w:id="1576" w:name="_Toc24805"/>
      <w:bookmarkStart w:id="1577" w:name="_Toc32496"/>
      <w:bookmarkStart w:id="1578" w:name="_Toc27856"/>
      <w:bookmarkStart w:id="1579" w:name="_Toc240"/>
      <w:r>
        <w:rPr>
          <w:rFonts w:ascii="Times New Roman" w:hAnsi="Times New Roman" w:eastAsia="宋体" w:cs="Times New Roman"/>
          <w:b/>
          <w:bCs/>
          <w:smallCaps/>
          <w:color w:val="333333"/>
          <w:kern w:val="44"/>
          <w:sz w:val="24"/>
          <w:szCs w:val="24"/>
        </w:rPr>
        <w:t>一、课程概况</w:t>
      </w:r>
      <w:bookmarkEnd w:id="1573"/>
      <w:bookmarkEnd w:id="1574"/>
      <w:bookmarkEnd w:id="1575"/>
      <w:bookmarkEnd w:id="1576"/>
      <w:bookmarkEnd w:id="1577"/>
      <w:bookmarkEnd w:id="1578"/>
      <w:bookmarkEnd w:id="1579"/>
    </w:p>
    <w:p w14:paraId="203830EE">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课程代码：</w:t>
      </w:r>
      <w:r>
        <w:rPr>
          <w:rFonts w:ascii="Times New Roman" w:hAnsi="Times New Roman" w:eastAsia="宋体" w:cs="Times New Roman"/>
          <w:sz w:val="24"/>
          <w:szCs w:val="24"/>
        </w:rPr>
        <w:t>0705026</w:t>
      </w:r>
    </w:p>
    <w:p w14:paraId="5468F65C">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学    分：</w:t>
      </w:r>
      <w:r>
        <w:rPr>
          <w:rFonts w:ascii="Times New Roman" w:hAnsi="Times New Roman" w:eastAsia="宋体" w:cs="Times New Roman"/>
          <w:smallCaps/>
          <w:color w:val="333333"/>
          <w:kern w:val="44"/>
          <w:sz w:val="24"/>
          <w:szCs w:val="24"/>
        </w:rPr>
        <w:t xml:space="preserve"> 3</w:t>
      </w:r>
    </w:p>
    <w:p w14:paraId="728B8A0E">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学    时：</w:t>
      </w:r>
      <w:r>
        <w:rPr>
          <w:rFonts w:ascii="Times New Roman" w:hAnsi="Times New Roman" w:eastAsia="宋体" w:cs="Times New Roman"/>
          <w:smallCaps/>
          <w:color w:val="333333"/>
          <w:kern w:val="44"/>
          <w:sz w:val="24"/>
          <w:szCs w:val="24"/>
        </w:rPr>
        <w:t xml:space="preserve"> 48（其中：讲授学时48，</w:t>
      </w:r>
      <w:r>
        <w:rPr>
          <w:rFonts w:ascii="Times New Roman" w:hAnsi="Times New Roman" w:eastAsia="宋体" w:cs="Times New Roman"/>
          <w:smallCaps/>
          <w:color w:val="333333"/>
          <w:kern w:val="44"/>
          <w:sz w:val="24"/>
          <w:szCs w:val="22"/>
        </w:rPr>
        <w:t>实践学时0</w:t>
      </w:r>
      <w:r>
        <w:rPr>
          <w:rFonts w:ascii="Times New Roman" w:hAnsi="Times New Roman" w:eastAsia="宋体" w:cs="Times New Roman"/>
          <w:smallCaps/>
          <w:color w:val="333333"/>
          <w:kern w:val="44"/>
          <w:sz w:val="24"/>
          <w:szCs w:val="24"/>
        </w:rPr>
        <w:t>）</w:t>
      </w:r>
    </w:p>
    <w:p w14:paraId="39486735">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先修课程</w:t>
      </w:r>
      <w:r>
        <w:rPr>
          <w:rFonts w:ascii="Times New Roman" w:hAnsi="Times New Roman" w:eastAsia="宋体" w:cs="Times New Roman"/>
          <w:smallCaps/>
          <w:color w:val="333333"/>
          <w:kern w:val="44"/>
          <w:sz w:val="24"/>
          <w:szCs w:val="24"/>
        </w:rPr>
        <w:t>：现代汉语</w:t>
      </w:r>
    </w:p>
    <w:p w14:paraId="31AD2F46">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适用专业</w:t>
      </w:r>
      <w:r>
        <w:rPr>
          <w:rFonts w:ascii="Times New Roman" w:hAnsi="Times New Roman" w:eastAsia="宋体" w:cs="Times New Roman"/>
          <w:smallCaps/>
          <w:color w:val="333333"/>
          <w:kern w:val="44"/>
          <w:sz w:val="24"/>
          <w:szCs w:val="24"/>
        </w:rPr>
        <w:t>：</w:t>
      </w:r>
      <w:r>
        <w:rPr>
          <w:rFonts w:hint="eastAsia" w:ascii="Times New Roman" w:hAnsi="Times New Roman" w:eastAsia="宋体" w:cs="Times New Roman"/>
          <w:smallCaps/>
          <w:color w:val="333333"/>
          <w:kern w:val="44"/>
          <w:sz w:val="24"/>
          <w:szCs w:val="24"/>
        </w:rPr>
        <w:t>小学教育（文）</w:t>
      </w:r>
      <w:r>
        <w:rPr>
          <w:rFonts w:ascii="Times New Roman" w:hAnsi="Times New Roman" w:eastAsia="宋体" w:cs="Times New Roman"/>
          <w:smallCaps/>
          <w:color w:val="333333"/>
          <w:kern w:val="44"/>
          <w:sz w:val="24"/>
          <w:szCs w:val="24"/>
        </w:rPr>
        <w:t xml:space="preserve"> </w:t>
      </w:r>
    </w:p>
    <w:p w14:paraId="61B5DC12">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教    材：</w:t>
      </w:r>
      <w:r>
        <w:rPr>
          <w:rFonts w:ascii="Times New Roman" w:hAnsi="Times New Roman" w:eastAsia="宋体" w:cs="Times New Roman"/>
          <w:smallCaps/>
          <w:color w:val="333333"/>
          <w:kern w:val="44"/>
          <w:sz w:val="24"/>
          <w:szCs w:val="24"/>
        </w:rPr>
        <w:t>《古代汉语》，王力主编，中华书局，1999年版</w:t>
      </w:r>
    </w:p>
    <w:p w14:paraId="21090EDA">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课程归口：</w:t>
      </w:r>
      <w:r>
        <w:rPr>
          <w:rFonts w:hint="eastAsia" w:ascii="Times New Roman" w:hAnsi="Times New Roman" w:eastAsia="宋体" w:cs="Times New Roman"/>
          <w:smallCaps/>
          <w:color w:val="333333"/>
          <w:kern w:val="44"/>
          <w:sz w:val="24"/>
          <w:szCs w:val="24"/>
        </w:rPr>
        <w:t>人文</w:t>
      </w:r>
      <w:r>
        <w:rPr>
          <w:rFonts w:ascii="Times New Roman" w:hAnsi="Times New Roman" w:eastAsia="宋体" w:cs="Times New Roman"/>
          <w:smallCaps/>
          <w:color w:val="333333"/>
          <w:kern w:val="44"/>
          <w:sz w:val="24"/>
          <w:szCs w:val="24"/>
        </w:rPr>
        <w:t>学院</w:t>
      </w:r>
    </w:p>
    <w:p w14:paraId="46EF452B">
      <w:pPr>
        <w:autoSpaceDE w:val="0"/>
        <w:autoSpaceDN w:val="0"/>
        <w:adjustRightInd w:val="0"/>
        <w:snapToGrid w:val="0"/>
        <w:spacing w:line="360" w:lineRule="auto"/>
        <w:jc w:val="left"/>
        <w:rPr>
          <w:rFonts w:ascii="Times New Roman" w:hAnsi="Times New Roman" w:eastAsia="宋体" w:cs="Times New Roman"/>
          <w:smallCaps/>
          <w:color w:val="333333"/>
          <w:kern w:val="44"/>
          <w:sz w:val="24"/>
          <w:szCs w:val="24"/>
        </w:rPr>
      </w:pPr>
      <w:r>
        <w:rPr>
          <w:rFonts w:ascii="Times New Roman" w:hAnsi="Times New Roman" w:eastAsia="宋体" w:cs="Times New Roman"/>
          <w:b/>
          <w:bCs/>
          <w:smallCaps/>
          <w:color w:val="333333"/>
          <w:kern w:val="44"/>
          <w:sz w:val="24"/>
          <w:szCs w:val="24"/>
        </w:rPr>
        <w:t>课程的性质与任务</w:t>
      </w:r>
      <w:r>
        <w:rPr>
          <w:rFonts w:ascii="Times New Roman" w:hAnsi="Times New Roman" w:eastAsia="宋体" w:cs="Times New Roman"/>
          <w:smallCaps/>
          <w:color w:val="333333"/>
          <w:kern w:val="44"/>
          <w:sz w:val="24"/>
          <w:szCs w:val="24"/>
        </w:rPr>
        <w:t>：</w:t>
      </w:r>
    </w:p>
    <w:p w14:paraId="0D52FE25">
      <w:pPr>
        <w:autoSpaceDE w:val="0"/>
        <w:autoSpaceDN w:val="0"/>
        <w:adjustRightInd w:val="0"/>
        <w:snapToGrid w:val="0"/>
        <w:spacing w:line="360" w:lineRule="auto"/>
        <w:jc w:val="left"/>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本课程是</w:t>
      </w:r>
      <w:r>
        <w:rPr>
          <w:rFonts w:hint="eastAsia" w:ascii="Times New Roman" w:hAnsi="Times New Roman" w:eastAsia="宋体" w:cs="Times New Roman"/>
          <w:smallCaps/>
          <w:color w:val="333333"/>
          <w:kern w:val="44"/>
          <w:sz w:val="24"/>
          <w:szCs w:val="24"/>
        </w:rPr>
        <w:t>小学教育（文）</w:t>
      </w:r>
      <w:r>
        <w:rPr>
          <w:rFonts w:ascii="Times New Roman" w:hAnsi="Times New Roman" w:eastAsia="宋体" w:cs="Times New Roman"/>
          <w:smallCaps/>
          <w:color w:val="333333"/>
          <w:kern w:val="44"/>
          <w:sz w:val="24"/>
          <w:szCs w:val="24"/>
        </w:rPr>
        <w:t>专业的专业必修课。课程秉持立德树人的教育理念，将课程思政与专业教学有机结合，注意将知识传授、能力培养和价值观引领有机统一</w:t>
      </w:r>
      <w:r>
        <w:rPr>
          <w:rFonts w:hint="eastAsia" w:ascii="Times New Roman" w:hAnsi="Times New Roman" w:eastAsia="宋体" w:cs="Times New Roman"/>
          <w:smallCaps/>
          <w:color w:val="333333"/>
          <w:kern w:val="44"/>
          <w:sz w:val="24"/>
          <w:szCs w:val="24"/>
        </w:rPr>
        <w:t>，推动中华优秀传统文化自信教育，培养新时代文化传承者。</w:t>
      </w:r>
    </w:p>
    <w:p w14:paraId="206DD080">
      <w:pPr>
        <w:autoSpaceDE w:val="0"/>
        <w:autoSpaceDN w:val="0"/>
        <w:adjustRightInd w:val="0"/>
        <w:snapToGrid w:val="0"/>
        <w:spacing w:line="360" w:lineRule="auto"/>
        <w:jc w:val="left"/>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本课程旨</w:t>
      </w:r>
      <w:r>
        <w:rPr>
          <w:rFonts w:hint="eastAsia" w:ascii="Times New Roman" w:hAnsi="Times New Roman" w:eastAsia="宋体" w:cs="Times New Roman"/>
          <w:smallCaps/>
          <w:color w:val="333333"/>
          <w:kern w:val="44"/>
          <w:sz w:val="24"/>
          <w:szCs w:val="24"/>
        </w:rPr>
        <w:t>在</w:t>
      </w:r>
      <w:r>
        <w:rPr>
          <w:rFonts w:ascii="Times New Roman" w:hAnsi="Times New Roman" w:eastAsia="宋体" w:cs="Times New Roman"/>
          <w:smallCaps/>
          <w:color w:val="333333"/>
          <w:kern w:val="44"/>
          <w:sz w:val="24"/>
          <w:szCs w:val="24"/>
        </w:rPr>
        <w:t>培养学生独立阅读古书的能力，即通过古代汉语的基础理论、基本知识的教学与有重点地阅读古代文献的实践，使学生掌握古代汉语的语言规律，以便借助于工具书能够直接阅读古代文献，</w:t>
      </w:r>
      <w:r>
        <w:rPr>
          <w:rFonts w:hint="eastAsia" w:ascii="Times New Roman" w:hAnsi="Times New Roman" w:eastAsia="宋体" w:cs="Times New Roman"/>
          <w:smallCaps/>
          <w:color w:val="333333"/>
          <w:kern w:val="44"/>
          <w:sz w:val="24"/>
          <w:szCs w:val="24"/>
        </w:rPr>
        <w:t>获得较为全面系统的知识框架，</w:t>
      </w:r>
      <w:r>
        <w:rPr>
          <w:rFonts w:ascii="Times New Roman" w:hAnsi="Times New Roman" w:eastAsia="宋体" w:cs="Times New Roman"/>
          <w:smallCaps/>
          <w:color w:val="333333"/>
          <w:kern w:val="44"/>
          <w:sz w:val="24"/>
          <w:szCs w:val="24"/>
        </w:rPr>
        <w:t>从而批判地继承我国古代优秀的文化遗产，</w:t>
      </w:r>
      <w:r>
        <w:rPr>
          <w:rFonts w:hint="eastAsia" w:ascii="Times New Roman" w:hAnsi="Times New Roman" w:eastAsia="宋体" w:cs="Times New Roman"/>
          <w:smallCaps/>
          <w:color w:val="333333"/>
          <w:kern w:val="44"/>
          <w:sz w:val="24"/>
          <w:szCs w:val="24"/>
        </w:rPr>
        <w:t>进一步坚定文化自信，增强中华民族的向心力和凝聚力，</w:t>
      </w:r>
      <w:r>
        <w:rPr>
          <w:rFonts w:ascii="Times New Roman" w:hAnsi="Times New Roman" w:eastAsia="宋体" w:cs="Times New Roman"/>
          <w:smallCaps/>
          <w:color w:val="333333"/>
          <w:kern w:val="44"/>
          <w:sz w:val="24"/>
          <w:szCs w:val="24"/>
        </w:rPr>
        <w:t>也为后续课程奠定基础。</w:t>
      </w:r>
    </w:p>
    <w:p w14:paraId="2207CA03">
      <w:pPr>
        <w:spacing w:line="360" w:lineRule="auto"/>
        <w:rPr>
          <w:rFonts w:ascii="Times New Roman" w:hAnsi="Times New Roman" w:eastAsia="宋体" w:cs="Times New Roman"/>
          <w:b/>
          <w:bCs/>
          <w:smallCaps/>
          <w:color w:val="333333"/>
          <w:kern w:val="44"/>
          <w:sz w:val="24"/>
          <w:szCs w:val="24"/>
        </w:rPr>
      </w:pPr>
      <w:r>
        <w:rPr>
          <w:rFonts w:hint="eastAsia" w:ascii="Times New Roman" w:hAnsi="Times New Roman" w:eastAsia="宋体" w:cs="Times New Roman"/>
          <w:b/>
          <w:bCs/>
          <w:smallCaps/>
          <w:color w:val="333333"/>
          <w:kern w:val="44"/>
          <w:sz w:val="24"/>
          <w:szCs w:val="24"/>
          <w:lang w:val="en-US" w:eastAsia="zh-CN"/>
        </w:rPr>
        <w:t>二、</w:t>
      </w:r>
      <w:r>
        <w:rPr>
          <w:rFonts w:ascii="Times New Roman" w:hAnsi="Times New Roman" w:eastAsia="宋体" w:cs="Times New Roman"/>
          <w:b/>
          <w:bCs/>
          <w:smallCaps/>
          <w:color w:val="333333"/>
          <w:kern w:val="44"/>
          <w:sz w:val="24"/>
          <w:szCs w:val="24"/>
        </w:rPr>
        <w:t>课程目标</w:t>
      </w:r>
    </w:p>
    <w:p w14:paraId="3F84782B">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1.知识目标</w:t>
      </w:r>
      <w:r>
        <w:rPr>
          <w:rFonts w:hint="eastAsia" w:ascii="Times New Roman" w:hAnsi="Times New Roman" w:eastAsia="宋体" w:cs="Times New Roman"/>
          <w:smallCaps/>
          <w:color w:val="333333"/>
          <w:kern w:val="44"/>
          <w:sz w:val="24"/>
          <w:szCs w:val="24"/>
        </w:rPr>
        <w:t>：</w:t>
      </w:r>
      <w:r>
        <w:rPr>
          <w:rFonts w:ascii="Times New Roman" w:hAnsi="Times New Roman" w:eastAsia="宋体" w:cs="Times New Roman"/>
          <w:smallCaps/>
          <w:color w:val="333333"/>
          <w:kern w:val="44"/>
          <w:sz w:val="24"/>
          <w:szCs w:val="24"/>
        </w:rPr>
        <w:t>掌握古代汉语的基本理论和基础知识。</w:t>
      </w:r>
    </w:p>
    <w:p w14:paraId="2FEC47DE">
      <w:pPr>
        <w:spacing w:line="360" w:lineRule="auto"/>
        <w:rPr>
          <w:rFonts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t>2.能力目标：</w:t>
      </w:r>
      <w:r>
        <w:rPr>
          <w:rFonts w:ascii="Times New Roman" w:hAnsi="Times New Roman" w:eastAsia="宋体" w:cs="Times New Roman"/>
          <w:smallCaps/>
          <w:color w:val="333333"/>
          <w:kern w:val="44"/>
          <w:sz w:val="24"/>
          <w:szCs w:val="24"/>
        </w:rPr>
        <w:t>培养和提高学生理解、分析和运用古代汉语的能力</w:t>
      </w:r>
      <w:r>
        <w:rPr>
          <w:rFonts w:hint="eastAsia" w:ascii="Times New Roman" w:hAnsi="Times New Roman" w:eastAsia="宋体" w:cs="Times New Roman"/>
          <w:smallCaps/>
          <w:color w:val="333333"/>
          <w:kern w:val="44"/>
          <w:sz w:val="24"/>
          <w:szCs w:val="24"/>
        </w:rPr>
        <w:t>和初步的学术研究能力。</w:t>
      </w:r>
    </w:p>
    <w:p w14:paraId="6507DEFB">
      <w:pPr>
        <w:spacing w:line="360" w:lineRule="auto"/>
        <w:jc w:val="left"/>
        <w:rPr>
          <w:rFonts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t>3.素质目标：</w:t>
      </w:r>
      <w:r>
        <w:rPr>
          <w:rFonts w:ascii="Times New Roman" w:hAnsi="Times New Roman" w:eastAsia="宋体" w:cs="Times New Roman"/>
          <w:smallCaps/>
          <w:color w:val="333333"/>
          <w:kern w:val="44"/>
          <w:sz w:val="24"/>
          <w:szCs w:val="24"/>
        </w:rPr>
        <w:t>培养学生</w:t>
      </w:r>
      <w:r>
        <w:rPr>
          <w:rFonts w:hint="eastAsia" w:ascii="Times New Roman" w:hAnsi="Times New Roman" w:eastAsia="宋体" w:cs="Times New Roman"/>
          <w:smallCaps/>
          <w:color w:val="333333"/>
          <w:kern w:val="44"/>
          <w:sz w:val="24"/>
          <w:szCs w:val="24"/>
        </w:rPr>
        <w:t>对中华优秀传统文化的热爱和文化自信并</w:t>
      </w:r>
      <w:r>
        <w:rPr>
          <w:rFonts w:ascii="Times New Roman" w:hAnsi="Times New Roman" w:eastAsia="宋体" w:cs="Times New Roman"/>
          <w:smallCaps/>
          <w:color w:val="333333"/>
          <w:kern w:val="44"/>
          <w:sz w:val="24"/>
          <w:szCs w:val="24"/>
        </w:rPr>
        <w:t>提升学生的人文素养</w:t>
      </w:r>
      <w:r>
        <w:rPr>
          <w:rFonts w:hint="eastAsia" w:ascii="Times New Roman" w:hAnsi="Times New Roman" w:eastAsia="宋体" w:cs="Times New Roman"/>
          <w:smallCaps/>
          <w:color w:val="333333"/>
          <w:kern w:val="44"/>
          <w:sz w:val="24"/>
          <w:szCs w:val="24"/>
        </w:rPr>
        <w:t>和传承中华优秀传统文化的自觉性</w:t>
      </w:r>
      <w:r>
        <w:rPr>
          <w:rFonts w:ascii="Times New Roman" w:hAnsi="Times New Roman" w:eastAsia="宋体" w:cs="Times New Roman"/>
          <w:smallCaps/>
          <w:color w:val="333333"/>
          <w:kern w:val="44"/>
          <w:sz w:val="24"/>
          <w:szCs w:val="24"/>
        </w:rPr>
        <w:t>。</w:t>
      </w:r>
    </w:p>
    <w:p w14:paraId="768DF900">
      <w:pPr>
        <w:spacing w:line="360" w:lineRule="auto"/>
        <w:outlineLvl w:val="0"/>
        <w:rPr>
          <w:rFonts w:ascii="Times New Roman" w:hAnsi="Times New Roman" w:eastAsia="宋体" w:cs="Times New Roman"/>
          <w:b/>
          <w:bCs/>
          <w:smallCaps/>
          <w:color w:val="333333"/>
          <w:kern w:val="44"/>
          <w:sz w:val="24"/>
          <w:szCs w:val="24"/>
        </w:rPr>
      </w:pPr>
      <w:bookmarkStart w:id="1580" w:name="_Toc7580"/>
      <w:bookmarkStart w:id="1581" w:name="_Toc826"/>
      <w:bookmarkStart w:id="1582" w:name="_Toc31690"/>
      <w:bookmarkStart w:id="1583" w:name="_Toc2632"/>
      <w:bookmarkStart w:id="1584" w:name="_Toc21117"/>
      <w:bookmarkStart w:id="1585" w:name="_Toc7767"/>
      <w:bookmarkStart w:id="1586" w:name="_Toc20956"/>
      <w:r>
        <w:rPr>
          <w:rFonts w:ascii="Times New Roman" w:hAnsi="Times New Roman" w:eastAsia="宋体" w:cs="Times New Roman"/>
          <w:b/>
          <w:bCs/>
          <w:smallCaps/>
          <w:color w:val="333333"/>
          <w:kern w:val="44"/>
          <w:sz w:val="24"/>
          <w:szCs w:val="24"/>
        </w:rPr>
        <w:t>三、课程内容及要求</w:t>
      </w:r>
      <w:bookmarkEnd w:id="1580"/>
      <w:bookmarkEnd w:id="1581"/>
      <w:bookmarkEnd w:id="1582"/>
      <w:bookmarkEnd w:id="1583"/>
      <w:bookmarkEnd w:id="1584"/>
      <w:bookmarkEnd w:id="1585"/>
      <w:bookmarkEnd w:id="1586"/>
    </w:p>
    <w:p w14:paraId="1FEDEC66">
      <w:pPr>
        <w:spacing w:line="360" w:lineRule="auto"/>
        <w:outlineLvl w:val="1"/>
        <w:rPr>
          <w:rFonts w:ascii="Times New Roman" w:hAnsi="Times New Roman" w:eastAsia="宋体" w:cs="Times New Roman"/>
          <w:b/>
          <w:bCs/>
          <w:smallCaps/>
          <w:color w:val="333333"/>
          <w:kern w:val="44"/>
          <w:sz w:val="24"/>
          <w:szCs w:val="24"/>
        </w:rPr>
      </w:pPr>
      <w:bookmarkStart w:id="1587" w:name="_Toc13417"/>
      <w:r>
        <w:rPr>
          <w:rFonts w:ascii="Times New Roman" w:hAnsi="Times New Roman" w:eastAsia="宋体" w:cs="Times New Roman"/>
          <w:b/>
          <w:bCs/>
          <w:smallCaps/>
          <w:color w:val="333333"/>
          <w:kern w:val="44"/>
          <w:sz w:val="24"/>
          <w:szCs w:val="24"/>
        </w:rPr>
        <w:t>（一）文字部分</w:t>
      </w:r>
      <w:bookmarkEnd w:id="1587"/>
    </w:p>
    <w:p w14:paraId="43B747C0">
      <w:pPr>
        <w:spacing w:line="360" w:lineRule="auto"/>
        <w:outlineLvl w:val="2"/>
        <w:rPr>
          <w:rFonts w:ascii="Times New Roman" w:hAnsi="Times New Roman" w:eastAsia="宋体" w:cs="Times New Roman"/>
          <w:b/>
          <w:bCs/>
          <w:smallCaps/>
          <w:color w:val="333333"/>
          <w:kern w:val="44"/>
          <w:sz w:val="24"/>
          <w:szCs w:val="24"/>
        </w:rPr>
      </w:pPr>
      <w:bookmarkStart w:id="1588" w:name="_Toc16912"/>
      <w:r>
        <w:rPr>
          <w:rFonts w:ascii="Times New Roman" w:hAnsi="Times New Roman" w:eastAsia="宋体" w:cs="Times New Roman"/>
          <w:b/>
          <w:bCs/>
          <w:smallCaps/>
          <w:color w:val="333333"/>
          <w:kern w:val="44"/>
          <w:sz w:val="24"/>
          <w:szCs w:val="24"/>
        </w:rPr>
        <w:t>1.教学内容</w:t>
      </w:r>
      <w:bookmarkEnd w:id="1588"/>
    </w:p>
    <w:p w14:paraId="2E8916A7">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（1）六书的名称及由来</w:t>
      </w:r>
    </w:p>
    <w:p w14:paraId="6FF6CA56">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（2）六书的内容</w:t>
      </w:r>
    </w:p>
    <w:p w14:paraId="06BA3AF4">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（3）六书的局限</w:t>
      </w:r>
    </w:p>
    <w:p w14:paraId="4CCD5F06">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（4）什么是古今字，古今字形成的原因；古今字的类型；古今字的特点</w:t>
      </w:r>
    </w:p>
    <w:p w14:paraId="2C19313C">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（5）什么是异体字；产生异体字的几种情况</w:t>
      </w:r>
    </w:p>
    <w:p w14:paraId="3D49A7D0">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（6）什么是繁简字；繁简字的对应情况</w:t>
      </w:r>
    </w:p>
    <w:p w14:paraId="14239301">
      <w:pPr>
        <w:spacing w:line="360" w:lineRule="auto"/>
        <w:outlineLvl w:val="2"/>
        <w:rPr>
          <w:rFonts w:ascii="Times New Roman" w:hAnsi="Times New Roman" w:eastAsia="宋体" w:cs="Times New Roman"/>
          <w:b/>
          <w:bCs/>
          <w:smallCaps/>
          <w:color w:val="333333"/>
          <w:kern w:val="44"/>
          <w:sz w:val="24"/>
          <w:szCs w:val="24"/>
        </w:rPr>
      </w:pPr>
      <w:bookmarkStart w:id="1589" w:name="_Toc6521"/>
      <w:r>
        <w:rPr>
          <w:rFonts w:ascii="Times New Roman" w:hAnsi="Times New Roman" w:eastAsia="宋体" w:cs="Times New Roman"/>
          <w:b/>
          <w:bCs/>
          <w:smallCaps/>
          <w:color w:val="333333"/>
          <w:kern w:val="44"/>
          <w:sz w:val="24"/>
          <w:szCs w:val="24"/>
        </w:rPr>
        <w:t>2.基本要求</w:t>
      </w:r>
      <w:bookmarkEnd w:id="1589"/>
    </w:p>
    <w:p w14:paraId="37E1C491">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（1）了解汉字形体的构造，掌握象形、指事、会意、形声四种造字方法。</w:t>
      </w:r>
    </w:p>
    <w:p w14:paraId="1C41B965">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（2）知道古今字、异体字、繁简字的区别，了解繁简字的对应情况。</w:t>
      </w:r>
    </w:p>
    <w:p w14:paraId="7DFC3956">
      <w:pPr>
        <w:spacing w:line="360" w:lineRule="auto"/>
        <w:outlineLvl w:val="2"/>
        <w:rPr>
          <w:rFonts w:ascii="Times New Roman" w:hAnsi="Times New Roman" w:eastAsia="宋体" w:cs="Times New Roman"/>
          <w:b/>
          <w:bCs/>
          <w:smallCaps/>
          <w:color w:val="333333"/>
          <w:kern w:val="44"/>
          <w:sz w:val="24"/>
          <w:szCs w:val="24"/>
        </w:rPr>
      </w:pPr>
      <w:bookmarkStart w:id="1590" w:name="_Toc595"/>
      <w:r>
        <w:rPr>
          <w:rFonts w:ascii="Times New Roman" w:hAnsi="Times New Roman" w:eastAsia="宋体" w:cs="Times New Roman"/>
          <w:b/>
          <w:bCs/>
          <w:smallCaps/>
          <w:color w:val="333333"/>
          <w:kern w:val="44"/>
          <w:sz w:val="24"/>
          <w:szCs w:val="24"/>
        </w:rPr>
        <w:t>3.重点难点</w:t>
      </w:r>
      <w:bookmarkEnd w:id="1590"/>
      <w:r>
        <w:rPr>
          <w:rFonts w:ascii="Times New Roman" w:hAnsi="Times New Roman" w:eastAsia="宋体" w:cs="Times New Roman"/>
          <w:b/>
          <w:bCs/>
          <w:smallCaps/>
          <w:color w:val="333333"/>
          <w:kern w:val="44"/>
          <w:sz w:val="24"/>
          <w:szCs w:val="24"/>
        </w:rPr>
        <w:t xml:space="preserve"> </w:t>
      </w:r>
    </w:p>
    <w:p w14:paraId="5F25771C">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（1）理解六书概念，能够独立分析判断。</w:t>
      </w:r>
    </w:p>
    <w:p w14:paraId="5F072C2D">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（2）能读、会写繁体字。</w:t>
      </w:r>
    </w:p>
    <w:p w14:paraId="0C5EF319">
      <w:pPr>
        <w:spacing w:line="360" w:lineRule="auto"/>
        <w:outlineLvl w:val="2"/>
        <w:rPr>
          <w:rFonts w:ascii="Times New Roman" w:hAnsi="Times New Roman" w:eastAsia="宋体" w:cs="Times New Roman"/>
          <w:b/>
          <w:bCs/>
          <w:smallCaps/>
          <w:kern w:val="44"/>
          <w:sz w:val="24"/>
          <w:szCs w:val="24"/>
        </w:rPr>
      </w:pPr>
      <w:bookmarkStart w:id="1591" w:name="_Toc27126"/>
      <w:r>
        <w:rPr>
          <w:rFonts w:hint="eastAsia" w:ascii="Times New Roman" w:hAnsi="Times New Roman" w:eastAsia="宋体" w:cs="Times New Roman"/>
          <w:b/>
          <w:bCs/>
          <w:smallCaps/>
          <w:kern w:val="44"/>
          <w:sz w:val="24"/>
          <w:szCs w:val="24"/>
        </w:rPr>
        <w:t>4</w:t>
      </w:r>
      <w:r>
        <w:rPr>
          <w:rFonts w:ascii="Times New Roman" w:hAnsi="Times New Roman" w:eastAsia="宋体" w:cs="Times New Roman"/>
          <w:b/>
          <w:bCs/>
          <w:smallCaps/>
          <w:kern w:val="44"/>
          <w:sz w:val="24"/>
          <w:szCs w:val="24"/>
        </w:rPr>
        <w:t>.</w:t>
      </w:r>
      <w:r>
        <w:rPr>
          <w:rFonts w:hint="eastAsia" w:ascii="Times New Roman" w:hAnsi="Times New Roman" w:eastAsia="宋体" w:cs="Times New Roman"/>
          <w:b/>
          <w:bCs/>
          <w:smallCaps/>
          <w:kern w:val="44"/>
          <w:sz w:val="24"/>
          <w:szCs w:val="24"/>
        </w:rPr>
        <w:t>课程思政育人目标</w:t>
      </w:r>
      <w:bookmarkEnd w:id="1591"/>
    </w:p>
    <w:p w14:paraId="6953911F">
      <w:pPr>
        <w:spacing w:line="360" w:lineRule="auto"/>
        <w:rPr>
          <w:rFonts w:ascii="Times New Roman" w:hAnsi="Times New Roman" w:eastAsia="宋体" w:cs="Times New Roman"/>
          <w:smallCaps/>
          <w:kern w:val="44"/>
          <w:sz w:val="24"/>
          <w:szCs w:val="24"/>
        </w:rPr>
      </w:pPr>
      <w:r>
        <w:rPr>
          <w:rFonts w:hint="eastAsia" w:ascii="Times New Roman" w:hAnsi="Times New Roman" w:eastAsia="宋体" w:cs="Times New Roman"/>
          <w:smallCaps/>
          <w:kern w:val="44"/>
          <w:sz w:val="24"/>
          <w:szCs w:val="24"/>
        </w:rPr>
        <w:t>汉字是传承中华文明的载体，学好、用好汉字对继承发扬民族文化、提高文化自信心有极大助益。</w:t>
      </w:r>
    </w:p>
    <w:p w14:paraId="5A7ADE8C">
      <w:pPr>
        <w:spacing w:line="360" w:lineRule="auto"/>
        <w:outlineLvl w:val="1"/>
        <w:rPr>
          <w:rFonts w:ascii="Times New Roman" w:hAnsi="Times New Roman" w:eastAsia="宋体" w:cs="Times New Roman"/>
          <w:b/>
          <w:bCs/>
          <w:smallCaps/>
          <w:color w:val="333333"/>
          <w:kern w:val="44"/>
          <w:sz w:val="24"/>
          <w:szCs w:val="24"/>
        </w:rPr>
      </w:pPr>
      <w:bookmarkStart w:id="1592" w:name="_Toc15913"/>
      <w:r>
        <w:rPr>
          <w:rFonts w:ascii="Times New Roman" w:hAnsi="Times New Roman" w:eastAsia="宋体" w:cs="Times New Roman"/>
          <w:b/>
          <w:bCs/>
          <w:smallCaps/>
          <w:color w:val="333333"/>
          <w:kern w:val="44"/>
          <w:sz w:val="24"/>
          <w:szCs w:val="24"/>
        </w:rPr>
        <w:t>（二）词汇部分</w:t>
      </w:r>
      <w:bookmarkEnd w:id="1592"/>
    </w:p>
    <w:p w14:paraId="462619D7">
      <w:pPr>
        <w:spacing w:line="360" w:lineRule="auto"/>
        <w:outlineLvl w:val="2"/>
        <w:rPr>
          <w:rFonts w:ascii="Times New Roman" w:hAnsi="Times New Roman" w:eastAsia="宋体" w:cs="Times New Roman"/>
          <w:b/>
          <w:bCs/>
          <w:smallCaps/>
          <w:color w:val="333333"/>
          <w:kern w:val="44"/>
          <w:sz w:val="24"/>
          <w:szCs w:val="24"/>
        </w:rPr>
      </w:pPr>
      <w:bookmarkStart w:id="1593" w:name="_Toc2856"/>
      <w:r>
        <w:rPr>
          <w:rFonts w:ascii="Times New Roman" w:hAnsi="Times New Roman" w:eastAsia="宋体" w:cs="Times New Roman"/>
          <w:b/>
          <w:bCs/>
          <w:smallCaps/>
          <w:color w:val="333333"/>
          <w:kern w:val="44"/>
          <w:sz w:val="24"/>
          <w:szCs w:val="24"/>
        </w:rPr>
        <w:t>1.教学内容</w:t>
      </w:r>
      <w:bookmarkEnd w:id="1593"/>
    </w:p>
    <w:p w14:paraId="2F520D20">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（1）词汇的继承与发展</w:t>
      </w:r>
    </w:p>
    <w:p w14:paraId="4BB0E786">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（2）词义的沿袭与演变，沟通古今词义</w:t>
      </w:r>
    </w:p>
    <w:p w14:paraId="6388A571">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（3）什么是单音词，什么是复音词，正确辨识古代汉语中的单音词和复音词</w:t>
      </w:r>
    </w:p>
    <w:p w14:paraId="0307004D">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（4）古代汉语同义词的特点，辨析同义词的依据和基本方法</w:t>
      </w:r>
    </w:p>
    <w:p w14:paraId="3E76CF68">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（5）词的本义和引申义，探求词的本义和引申义的方法，词义引申的类型和方式</w:t>
      </w:r>
    </w:p>
    <w:p w14:paraId="275E6D50">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（6）词义引申和词性变化</w:t>
      </w:r>
    </w:p>
    <w:p w14:paraId="1B585CE1">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（7）词义引申的相互渗透和影响</w:t>
      </w:r>
    </w:p>
    <w:p w14:paraId="62697851">
      <w:pPr>
        <w:spacing w:line="360" w:lineRule="auto"/>
        <w:outlineLvl w:val="2"/>
        <w:rPr>
          <w:rFonts w:ascii="Times New Roman" w:hAnsi="Times New Roman" w:eastAsia="宋体" w:cs="Times New Roman"/>
          <w:b/>
          <w:bCs/>
          <w:smallCaps/>
          <w:color w:val="333333"/>
          <w:kern w:val="44"/>
          <w:sz w:val="24"/>
          <w:szCs w:val="24"/>
        </w:rPr>
      </w:pPr>
      <w:bookmarkStart w:id="1594" w:name="_Toc18073"/>
      <w:r>
        <w:rPr>
          <w:rFonts w:ascii="Times New Roman" w:hAnsi="Times New Roman" w:eastAsia="宋体" w:cs="Times New Roman"/>
          <w:b/>
          <w:bCs/>
          <w:smallCaps/>
          <w:color w:val="333333"/>
          <w:kern w:val="44"/>
          <w:sz w:val="24"/>
          <w:szCs w:val="24"/>
        </w:rPr>
        <w:t>2.基本要求</w:t>
      </w:r>
      <w:bookmarkEnd w:id="1594"/>
    </w:p>
    <w:p w14:paraId="5CD6D3ED">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（1）了解古今词的演变和古今词义的差异。</w:t>
      </w:r>
    </w:p>
    <w:p w14:paraId="464E4A73">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（2）了解单音词、复音词的关系，能够辨析同义词。</w:t>
      </w:r>
    </w:p>
    <w:p w14:paraId="25C93250">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（3）掌握词的本义和引申义，并能揭示词的本义与引申义之间的关系。</w:t>
      </w:r>
    </w:p>
    <w:p w14:paraId="55631E29">
      <w:pPr>
        <w:spacing w:line="360" w:lineRule="auto"/>
        <w:outlineLvl w:val="2"/>
        <w:rPr>
          <w:rFonts w:ascii="Times New Roman" w:hAnsi="Times New Roman" w:eastAsia="宋体" w:cs="Times New Roman"/>
          <w:b/>
          <w:bCs/>
          <w:smallCaps/>
          <w:color w:val="333333"/>
          <w:kern w:val="44"/>
          <w:sz w:val="24"/>
          <w:szCs w:val="24"/>
        </w:rPr>
      </w:pPr>
      <w:bookmarkStart w:id="1595" w:name="_Toc28522"/>
      <w:r>
        <w:rPr>
          <w:rFonts w:ascii="Times New Roman" w:hAnsi="Times New Roman" w:eastAsia="宋体" w:cs="Times New Roman"/>
          <w:b/>
          <w:bCs/>
          <w:smallCaps/>
          <w:color w:val="333333"/>
          <w:kern w:val="44"/>
          <w:sz w:val="24"/>
          <w:szCs w:val="24"/>
        </w:rPr>
        <w:t>3.重点难点</w:t>
      </w:r>
      <w:bookmarkEnd w:id="1595"/>
      <w:r>
        <w:rPr>
          <w:rFonts w:ascii="Times New Roman" w:hAnsi="Times New Roman" w:eastAsia="宋体" w:cs="Times New Roman"/>
          <w:b/>
          <w:bCs/>
          <w:smallCaps/>
          <w:color w:val="333333"/>
          <w:kern w:val="44"/>
          <w:sz w:val="24"/>
          <w:szCs w:val="24"/>
        </w:rPr>
        <w:t xml:space="preserve"> </w:t>
      </w:r>
    </w:p>
    <w:p w14:paraId="17E62077">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（1）能够辨析同义词。</w:t>
      </w:r>
    </w:p>
    <w:p w14:paraId="737B6BA0">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（2）能够辨析古今词义差异。</w:t>
      </w:r>
    </w:p>
    <w:p w14:paraId="47D4EE4E">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（3）能够在工具书的帮助下梳理词义发展脉络。</w:t>
      </w:r>
    </w:p>
    <w:p w14:paraId="12EDD60A">
      <w:pPr>
        <w:spacing w:line="360" w:lineRule="auto"/>
        <w:outlineLvl w:val="2"/>
        <w:rPr>
          <w:rFonts w:ascii="Times New Roman" w:hAnsi="Times New Roman" w:eastAsia="宋体" w:cs="Times New Roman"/>
          <w:b/>
          <w:bCs/>
          <w:smallCaps/>
          <w:kern w:val="44"/>
          <w:sz w:val="24"/>
          <w:szCs w:val="24"/>
        </w:rPr>
      </w:pPr>
      <w:bookmarkStart w:id="1596" w:name="_Toc23605"/>
      <w:r>
        <w:rPr>
          <w:rFonts w:hint="eastAsia" w:ascii="Times New Roman" w:hAnsi="Times New Roman" w:eastAsia="宋体" w:cs="Times New Roman"/>
          <w:b/>
          <w:bCs/>
          <w:smallCaps/>
          <w:kern w:val="44"/>
          <w:sz w:val="24"/>
          <w:szCs w:val="24"/>
        </w:rPr>
        <w:t>4</w:t>
      </w:r>
      <w:r>
        <w:rPr>
          <w:rFonts w:ascii="Times New Roman" w:hAnsi="Times New Roman" w:eastAsia="宋体" w:cs="Times New Roman"/>
          <w:b/>
          <w:bCs/>
          <w:smallCaps/>
          <w:kern w:val="44"/>
          <w:sz w:val="24"/>
          <w:szCs w:val="24"/>
        </w:rPr>
        <w:t>.</w:t>
      </w:r>
      <w:r>
        <w:rPr>
          <w:rFonts w:hint="eastAsia" w:ascii="Times New Roman" w:hAnsi="Times New Roman" w:eastAsia="宋体" w:cs="Times New Roman"/>
          <w:b/>
          <w:bCs/>
          <w:smallCaps/>
          <w:kern w:val="44"/>
          <w:sz w:val="24"/>
          <w:szCs w:val="24"/>
        </w:rPr>
        <w:t>课程思政育人目标</w:t>
      </w:r>
      <w:bookmarkEnd w:id="1596"/>
    </w:p>
    <w:p w14:paraId="353F01FC">
      <w:pPr>
        <w:spacing w:line="360" w:lineRule="auto"/>
        <w:rPr>
          <w:rFonts w:ascii="宋体" w:hAnsi="宋体"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t>在汉语的各个要素中，词汇的发展变化最快，最能体现中国社会的变化发展，学好词汇</w:t>
      </w:r>
      <w:r>
        <w:rPr>
          <w:rFonts w:hint="eastAsia" w:ascii="宋体" w:hAnsi="宋体" w:eastAsia="宋体" w:cs="Times New Roman"/>
          <w:smallCaps/>
          <w:color w:val="333333"/>
          <w:kern w:val="44"/>
          <w:sz w:val="24"/>
          <w:szCs w:val="24"/>
        </w:rPr>
        <w:t>学部分，有助于学生更好的知晓传统文化的发展历程，明确中国社会的发展方向。</w:t>
      </w:r>
    </w:p>
    <w:p w14:paraId="565E4377">
      <w:pPr>
        <w:spacing w:line="360" w:lineRule="auto"/>
        <w:outlineLvl w:val="1"/>
        <w:rPr>
          <w:rFonts w:ascii="宋体" w:hAnsi="宋体" w:eastAsia="宋体" w:cs="Times New Roman"/>
          <w:b/>
          <w:bCs/>
          <w:smallCaps/>
          <w:color w:val="333333"/>
          <w:kern w:val="44"/>
          <w:sz w:val="24"/>
          <w:szCs w:val="24"/>
        </w:rPr>
      </w:pPr>
      <w:bookmarkStart w:id="1597" w:name="_Toc13839"/>
      <w:r>
        <w:rPr>
          <w:rFonts w:ascii="宋体" w:hAnsi="宋体" w:eastAsia="宋体" w:cs="Times New Roman"/>
          <w:b/>
          <w:bCs/>
          <w:smallCaps/>
          <w:color w:val="333333"/>
          <w:kern w:val="44"/>
          <w:sz w:val="24"/>
          <w:szCs w:val="24"/>
        </w:rPr>
        <w:t>（三）语法部分</w:t>
      </w:r>
      <w:bookmarkEnd w:id="1597"/>
    </w:p>
    <w:p w14:paraId="12FCB3F6">
      <w:pPr>
        <w:spacing w:line="360" w:lineRule="auto"/>
        <w:outlineLvl w:val="2"/>
        <w:rPr>
          <w:rFonts w:ascii="宋体" w:hAnsi="宋体" w:eastAsia="宋体" w:cs="Times New Roman"/>
          <w:b/>
          <w:bCs/>
          <w:smallCaps/>
          <w:color w:val="333333"/>
          <w:kern w:val="44"/>
          <w:sz w:val="24"/>
          <w:szCs w:val="24"/>
        </w:rPr>
      </w:pPr>
      <w:bookmarkStart w:id="1598" w:name="_Toc1537"/>
      <w:r>
        <w:rPr>
          <w:rFonts w:ascii="宋体" w:hAnsi="宋体" w:eastAsia="宋体" w:cs="Times New Roman"/>
          <w:b/>
          <w:bCs/>
          <w:smallCaps/>
          <w:color w:val="333333"/>
          <w:kern w:val="44"/>
          <w:sz w:val="24"/>
          <w:szCs w:val="24"/>
        </w:rPr>
        <w:t>1.教学内容</w:t>
      </w:r>
      <w:bookmarkEnd w:id="1598"/>
    </w:p>
    <w:p w14:paraId="5B58D1D5">
      <w:pPr>
        <w:spacing w:line="360" w:lineRule="auto"/>
        <w:rPr>
          <w:rFonts w:ascii="宋体" w:hAnsi="宋体" w:eastAsia="宋体" w:cs="Times New Roman"/>
          <w:smallCaps/>
          <w:color w:val="333333"/>
          <w:kern w:val="44"/>
          <w:sz w:val="24"/>
          <w:szCs w:val="24"/>
        </w:rPr>
      </w:pPr>
      <w:r>
        <w:rPr>
          <w:rFonts w:ascii="宋体" w:hAnsi="宋体" w:eastAsia="宋体" w:cs="Times New Roman"/>
          <w:smallCaps/>
          <w:color w:val="333333"/>
          <w:kern w:val="44"/>
          <w:sz w:val="24"/>
          <w:szCs w:val="24"/>
        </w:rPr>
        <w:t>（1）古汉语判断句的句式和特点</w:t>
      </w:r>
    </w:p>
    <w:p w14:paraId="5F566722">
      <w:pPr>
        <w:spacing w:line="360" w:lineRule="auto"/>
        <w:rPr>
          <w:rFonts w:ascii="宋体" w:hAnsi="宋体" w:eastAsia="宋体" w:cs="Times New Roman"/>
          <w:smallCaps/>
          <w:color w:val="333333"/>
          <w:kern w:val="44"/>
          <w:sz w:val="24"/>
          <w:szCs w:val="24"/>
        </w:rPr>
      </w:pPr>
      <w:r>
        <w:rPr>
          <w:rFonts w:ascii="宋体" w:hAnsi="宋体" w:eastAsia="宋体" w:cs="Times New Roman"/>
          <w:smallCaps/>
          <w:color w:val="333333"/>
          <w:kern w:val="44"/>
          <w:sz w:val="24"/>
          <w:szCs w:val="24"/>
        </w:rPr>
        <w:t xml:space="preserve">（2）判断句的活用 </w:t>
      </w:r>
    </w:p>
    <w:p w14:paraId="27399ECA">
      <w:pPr>
        <w:spacing w:line="360" w:lineRule="auto"/>
        <w:rPr>
          <w:rFonts w:ascii="Times New Roman" w:hAnsi="Times New Roman" w:eastAsia="宋体" w:cs="Times New Roman"/>
          <w:smallCaps/>
          <w:color w:val="333333"/>
          <w:kern w:val="44"/>
          <w:sz w:val="24"/>
          <w:szCs w:val="24"/>
        </w:rPr>
      </w:pPr>
      <w:r>
        <w:rPr>
          <w:rFonts w:ascii="宋体" w:hAnsi="宋体" w:eastAsia="宋体" w:cs="Times New Roman"/>
          <w:smallCaps/>
          <w:color w:val="333333"/>
          <w:kern w:val="44"/>
          <w:sz w:val="24"/>
          <w:szCs w:val="24"/>
        </w:rPr>
        <w:t>（3）双宾语句，尤其是动词“为”所带双宾</w:t>
      </w:r>
      <w:r>
        <w:rPr>
          <w:rFonts w:ascii="Times New Roman" w:hAnsi="Times New Roman" w:eastAsia="宋体" w:cs="Times New Roman"/>
          <w:smallCaps/>
          <w:color w:val="333333"/>
          <w:kern w:val="44"/>
          <w:sz w:val="24"/>
          <w:szCs w:val="24"/>
        </w:rPr>
        <w:t>语句</w:t>
      </w:r>
    </w:p>
    <w:p w14:paraId="241704DC">
      <w:pPr>
        <w:spacing w:line="360" w:lineRule="auto"/>
        <w:rPr>
          <w:rFonts w:ascii="宋体" w:hAnsi="宋体"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（4）</w:t>
      </w:r>
      <w:r>
        <w:rPr>
          <w:rFonts w:ascii="宋体" w:hAnsi="宋体" w:eastAsia="宋体" w:cs="Times New Roman"/>
          <w:smallCaps/>
          <w:color w:val="333333"/>
          <w:kern w:val="44"/>
          <w:sz w:val="24"/>
          <w:szCs w:val="24"/>
        </w:rPr>
        <w:t>用代词“是”“之”等复指的宾语前置句</w:t>
      </w:r>
    </w:p>
    <w:p w14:paraId="047E40B2">
      <w:pPr>
        <w:spacing w:line="360" w:lineRule="auto"/>
        <w:rPr>
          <w:rFonts w:ascii="宋体" w:hAnsi="宋体" w:eastAsia="宋体" w:cs="宋体"/>
          <w:smallCaps/>
          <w:color w:val="333333"/>
          <w:kern w:val="44"/>
          <w:sz w:val="24"/>
          <w:szCs w:val="24"/>
        </w:rPr>
      </w:pPr>
      <w:r>
        <w:rPr>
          <w:rFonts w:ascii="宋体" w:hAnsi="宋体" w:eastAsia="宋体" w:cs="Times New Roman"/>
          <w:smallCaps/>
          <w:color w:val="333333"/>
          <w:kern w:val="44"/>
          <w:sz w:val="24"/>
          <w:szCs w:val="24"/>
        </w:rPr>
        <w:t>（5）行为</w:t>
      </w:r>
      <w:r>
        <w:rPr>
          <w:rFonts w:hint="eastAsia" w:ascii="宋体" w:hAnsi="宋体" w:eastAsia="宋体" w:cs="宋体"/>
          <w:smallCaps/>
          <w:color w:val="333333"/>
          <w:kern w:val="44"/>
          <w:sz w:val="24"/>
          <w:szCs w:val="24"/>
        </w:rPr>
        <w:t>数量表示法</w:t>
      </w:r>
    </w:p>
    <w:p w14:paraId="1BC01769">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（6）被动句的类型</w:t>
      </w:r>
    </w:p>
    <w:p w14:paraId="29F16C52">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（7）“矣”“焉”的性质和作用</w:t>
      </w:r>
    </w:p>
    <w:p w14:paraId="6568AE94">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（8）否定句代词宾语前置的条件和规律</w:t>
      </w:r>
    </w:p>
    <w:p w14:paraId="41197206">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（9）“不”“弗”“毋”“勿”“未”“否”“非”“无”“莫”等否定代词的用法</w:t>
      </w:r>
    </w:p>
    <w:p w14:paraId="577DE492">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（10）疑问代词宾语提前的规律</w:t>
      </w:r>
    </w:p>
    <w:p w14:paraId="603356F6">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（11）疑句代词“谁”“孰”“何”“安”“恶”“焉”“胡”“奚”“曷”的用法</w:t>
      </w:r>
    </w:p>
    <w:p w14:paraId="2BE664AE">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（12）疑问语气词“乎”“诸”“与”“邪（耶）”“哉”的用法</w:t>
      </w:r>
    </w:p>
    <w:p w14:paraId="0E3E7E2D">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（13）几种表示反问的习惯说法</w:t>
      </w:r>
    </w:p>
    <w:p w14:paraId="620C6357">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（14）名词用如动词</w:t>
      </w:r>
    </w:p>
    <w:p w14:paraId="43E44B4F">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（15）动词、形容词、名词的使动用法</w:t>
      </w:r>
    </w:p>
    <w:p w14:paraId="012A4B41">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（16）形容词、名词的意动用法</w:t>
      </w:r>
    </w:p>
    <w:p w14:paraId="18E8D2D1">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（17）名词用作状语</w:t>
      </w:r>
    </w:p>
    <w:p w14:paraId="41D19608">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（18）动词用作状语</w:t>
      </w:r>
    </w:p>
    <w:p w14:paraId="79D40710">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（19）人称代词“尔”“汝”“若”“而”“乃”“其”“之”的用法。</w:t>
      </w:r>
    </w:p>
    <w:p w14:paraId="10BBCAA6">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（20）指示代词“是”“兹”“尔”“若”“然”“焉”“或”的用法。</w:t>
      </w:r>
    </w:p>
    <w:p w14:paraId="58340FDF">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（21）特殊指示代词“者”和“所”的用法及区别。</w:t>
      </w:r>
    </w:p>
    <w:p w14:paraId="4E99B9DA">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（22）连词“与”“以”“而”“则”等的用法</w:t>
      </w:r>
    </w:p>
    <w:p w14:paraId="7B01214C">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（23）介词“以”“於（于、乎、诸）”“为”“之”等的用法</w:t>
      </w:r>
    </w:p>
    <w:p w14:paraId="157CCD98">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（24）语气词“夫”“其”“唯”的用法</w:t>
      </w:r>
    </w:p>
    <w:p w14:paraId="0AD56723">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（25）词头“有”“其”“言”“于”“薄”的用法。</w:t>
      </w:r>
    </w:p>
    <w:p w14:paraId="54329140">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（26）词尾“然”“乎”“焉”“如”“尔”的用法。</w:t>
      </w:r>
    </w:p>
    <w:p w14:paraId="16B82860">
      <w:pPr>
        <w:spacing w:line="360" w:lineRule="auto"/>
        <w:outlineLvl w:val="2"/>
        <w:rPr>
          <w:rFonts w:ascii="宋体" w:hAnsi="宋体" w:eastAsia="宋体" w:cs="宋体"/>
          <w:b/>
          <w:bCs/>
          <w:smallCaps/>
          <w:color w:val="333333"/>
          <w:kern w:val="44"/>
          <w:sz w:val="24"/>
          <w:szCs w:val="24"/>
        </w:rPr>
      </w:pPr>
      <w:bookmarkStart w:id="1599" w:name="_Toc788"/>
      <w:r>
        <w:rPr>
          <w:rFonts w:hint="eastAsia" w:ascii="宋体" w:hAnsi="宋体" w:eastAsia="宋体" w:cs="宋体"/>
          <w:b/>
          <w:bCs/>
          <w:smallCaps/>
          <w:color w:val="333333"/>
          <w:kern w:val="44"/>
          <w:sz w:val="24"/>
          <w:szCs w:val="24"/>
        </w:rPr>
        <w:t>2.基本要求</w:t>
      </w:r>
      <w:bookmarkEnd w:id="1599"/>
    </w:p>
    <w:p w14:paraId="504567FD">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（1）掌握古汉语判断句的特点及常见句式。</w:t>
      </w:r>
    </w:p>
    <w:p w14:paraId="5FECBFDC">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（2）了解古汉语叙述句的结构及其特点。</w:t>
      </w:r>
    </w:p>
    <w:p w14:paraId="3615608C">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（3）掌握否定句代词宾语前置的条件和规律及几个重要否定词的用法。</w:t>
      </w:r>
    </w:p>
    <w:p w14:paraId="2323A8CB">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（4）掌握古汉语疑问句的特点及常见的疑问词。</w:t>
      </w:r>
    </w:p>
    <w:p w14:paraId="2BA7B7F8">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（5）掌握各种词类活用的特点，并能正确加以辨认。</w:t>
      </w:r>
    </w:p>
    <w:p w14:paraId="05E6602D">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（6）了解常用人称代词和指示代词，掌握特殊指示代词“者”“所”用法。</w:t>
      </w:r>
    </w:p>
    <w:p w14:paraId="7A6FBD4D">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（7）掌握古汉语中常用连词及介词的使用特点。</w:t>
      </w:r>
    </w:p>
    <w:p w14:paraId="0B2F1155">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（8）了解古汉语句首句中语气词及词头、词尾的使用情况。</w:t>
      </w:r>
    </w:p>
    <w:p w14:paraId="6C1C0A50">
      <w:pPr>
        <w:spacing w:line="360" w:lineRule="auto"/>
        <w:outlineLvl w:val="2"/>
        <w:rPr>
          <w:rFonts w:ascii="宋体" w:hAnsi="宋体" w:eastAsia="宋体" w:cs="宋体"/>
          <w:b/>
          <w:bCs/>
          <w:smallCaps/>
          <w:color w:val="333333"/>
          <w:kern w:val="44"/>
          <w:sz w:val="24"/>
          <w:szCs w:val="24"/>
        </w:rPr>
      </w:pPr>
      <w:bookmarkStart w:id="1600" w:name="_Toc29908"/>
      <w:r>
        <w:rPr>
          <w:rFonts w:hint="eastAsia" w:ascii="宋体" w:hAnsi="宋体" w:eastAsia="宋体" w:cs="宋体"/>
          <w:b/>
          <w:bCs/>
          <w:smallCaps/>
          <w:color w:val="333333"/>
          <w:kern w:val="44"/>
          <w:sz w:val="24"/>
          <w:szCs w:val="24"/>
        </w:rPr>
        <w:t>3.重点难点</w:t>
      </w:r>
      <w:bookmarkEnd w:id="1600"/>
      <w:r>
        <w:rPr>
          <w:rFonts w:hint="eastAsia" w:ascii="宋体" w:hAnsi="宋体" w:eastAsia="宋体" w:cs="宋体"/>
          <w:b/>
          <w:bCs/>
          <w:smallCaps/>
          <w:color w:val="333333"/>
          <w:kern w:val="44"/>
          <w:sz w:val="24"/>
          <w:szCs w:val="24"/>
        </w:rPr>
        <w:t xml:space="preserve"> </w:t>
      </w:r>
    </w:p>
    <w:p w14:paraId="1029B4FB">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（1）能够分析判断古汉语常用句式。</w:t>
      </w:r>
    </w:p>
    <w:p w14:paraId="4A6A0377">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（2）能够分析宾语前置。</w:t>
      </w:r>
    </w:p>
    <w:p w14:paraId="31674810">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（3）掌握特殊代词的用法。</w:t>
      </w:r>
    </w:p>
    <w:p w14:paraId="0B30C6F0">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（4）连词“以”与介词“以”的区别</w:t>
      </w:r>
    </w:p>
    <w:p w14:paraId="1928C223">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（5）常见介词、连词的功能分析</w:t>
      </w:r>
    </w:p>
    <w:p w14:paraId="28052B93">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（6）语气词“夫”“其”“唯”的用法。</w:t>
      </w:r>
    </w:p>
    <w:p w14:paraId="27459B59">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（7）常见词头、词尾的用法。</w:t>
      </w:r>
    </w:p>
    <w:p w14:paraId="6AD57C03">
      <w:pPr>
        <w:spacing w:line="360" w:lineRule="auto"/>
        <w:outlineLvl w:val="2"/>
        <w:rPr>
          <w:rFonts w:ascii="Times New Roman" w:hAnsi="Times New Roman" w:eastAsia="宋体" w:cs="Times New Roman"/>
          <w:b/>
          <w:bCs/>
          <w:smallCaps/>
          <w:kern w:val="44"/>
          <w:sz w:val="24"/>
          <w:szCs w:val="24"/>
        </w:rPr>
      </w:pPr>
      <w:bookmarkStart w:id="1601" w:name="_Toc5533"/>
      <w:r>
        <w:rPr>
          <w:rFonts w:hint="eastAsia" w:ascii="Times New Roman" w:hAnsi="Times New Roman" w:eastAsia="宋体" w:cs="Times New Roman"/>
          <w:b/>
          <w:bCs/>
          <w:smallCaps/>
          <w:kern w:val="44"/>
          <w:sz w:val="24"/>
          <w:szCs w:val="24"/>
        </w:rPr>
        <w:t>4</w:t>
      </w:r>
      <w:r>
        <w:rPr>
          <w:rFonts w:ascii="Times New Roman" w:hAnsi="Times New Roman" w:eastAsia="宋体" w:cs="Times New Roman"/>
          <w:b/>
          <w:bCs/>
          <w:smallCaps/>
          <w:kern w:val="44"/>
          <w:sz w:val="24"/>
          <w:szCs w:val="24"/>
        </w:rPr>
        <w:t>.</w:t>
      </w:r>
      <w:r>
        <w:rPr>
          <w:rFonts w:hint="eastAsia" w:ascii="Times New Roman" w:hAnsi="Times New Roman" w:eastAsia="宋体" w:cs="Times New Roman"/>
          <w:b/>
          <w:bCs/>
          <w:smallCaps/>
          <w:kern w:val="44"/>
          <w:sz w:val="24"/>
          <w:szCs w:val="24"/>
        </w:rPr>
        <w:t>课程思政育人目标</w:t>
      </w:r>
      <w:bookmarkEnd w:id="1601"/>
    </w:p>
    <w:p w14:paraId="5B88A63B">
      <w:pPr>
        <w:spacing w:line="360" w:lineRule="auto"/>
        <w:rPr>
          <w:rFonts w:ascii="宋体" w:hAnsi="宋体" w:eastAsia="宋体" w:cs="宋体"/>
          <w:smallCaps/>
          <w:kern w:val="44"/>
          <w:sz w:val="24"/>
          <w:szCs w:val="24"/>
        </w:rPr>
      </w:pPr>
      <w:r>
        <w:rPr>
          <w:rFonts w:hint="eastAsia" w:ascii="宋体" w:hAnsi="宋体" w:eastAsia="宋体" w:cs="宋体"/>
          <w:smallCaps/>
          <w:kern w:val="44"/>
          <w:sz w:val="24"/>
          <w:szCs w:val="24"/>
        </w:rPr>
        <w:t>学好语法部分有助于消除学生对古代汉语的陌生感，对提高学生独立阅读古书的能力提升非常显著。学生掌握丰富的语法知识后，对现代文的写作也有帮助。</w:t>
      </w:r>
    </w:p>
    <w:p w14:paraId="2300A775">
      <w:pPr>
        <w:spacing w:line="360" w:lineRule="auto"/>
        <w:outlineLvl w:val="1"/>
        <w:rPr>
          <w:rFonts w:ascii="宋体" w:hAnsi="宋体" w:eastAsia="宋体" w:cs="宋体"/>
          <w:b/>
          <w:bCs/>
          <w:smallCaps/>
          <w:color w:val="333333"/>
          <w:kern w:val="44"/>
          <w:sz w:val="24"/>
          <w:szCs w:val="24"/>
        </w:rPr>
      </w:pPr>
      <w:bookmarkStart w:id="1602" w:name="_Toc32340"/>
      <w:r>
        <w:rPr>
          <w:rFonts w:hint="eastAsia" w:ascii="宋体" w:hAnsi="宋体" w:eastAsia="宋体" w:cs="宋体"/>
          <w:b/>
          <w:bCs/>
          <w:smallCaps/>
          <w:color w:val="333333"/>
          <w:kern w:val="44"/>
          <w:sz w:val="24"/>
          <w:szCs w:val="24"/>
        </w:rPr>
        <w:t>（四）音韵部分</w:t>
      </w:r>
      <w:bookmarkEnd w:id="1602"/>
    </w:p>
    <w:p w14:paraId="776CD892">
      <w:pPr>
        <w:spacing w:line="360" w:lineRule="auto"/>
        <w:outlineLvl w:val="2"/>
        <w:rPr>
          <w:rFonts w:ascii="宋体" w:hAnsi="宋体" w:eastAsia="宋体" w:cs="宋体"/>
          <w:b/>
          <w:bCs/>
          <w:smallCaps/>
          <w:color w:val="333333"/>
          <w:kern w:val="44"/>
          <w:sz w:val="24"/>
          <w:szCs w:val="24"/>
        </w:rPr>
      </w:pPr>
      <w:bookmarkStart w:id="1603" w:name="_Toc7014"/>
      <w:r>
        <w:rPr>
          <w:rFonts w:hint="eastAsia" w:ascii="宋体" w:hAnsi="宋体" w:eastAsia="宋体" w:cs="宋体"/>
          <w:b/>
          <w:bCs/>
          <w:smallCaps/>
          <w:color w:val="333333"/>
          <w:kern w:val="44"/>
          <w:sz w:val="24"/>
          <w:szCs w:val="24"/>
        </w:rPr>
        <w:t>1.教学内容</w:t>
      </w:r>
      <w:bookmarkEnd w:id="1603"/>
    </w:p>
    <w:p w14:paraId="62AED464">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（1）《诗经》的用韵</w:t>
      </w:r>
    </w:p>
    <w:p w14:paraId="019CB4BC">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（2）《诗经》的韵例</w:t>
      </w:r>
    </w:p>
    <w:p w14:paraId="04D8F9CF">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（3）先秦古韵三十部，唐宋三十六字母</w:t>
      </w:r>
    </w:p>
    <w:p w14:paraId="721FE988">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（4）双声、叠韵、叠音词、联绵词等术语</w:t>
      </w:r>
    </w:p>
    <w:p w14:paraId="09735205">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（5）古音通假；假借字产生的两种情况（即本有其字的假借与本无其字的假借）；古音通假的原则</w:t>
      </w:r>
    </w:p>
    <w:p w14:paraId="1A741CA7">
      <w:pPr>
        <w:spacing w:line="360" w:lineRule="auto"/>
        <w:outlineLvl w:val="2"/>
        <w:rPr>
          <w:rFonts w:ascii="宋体" w:hAnsi="宋体" w:eastAsia="宋体" w:cs="宋体"/>
          <w:b/>
          <w:bCs/>
          <w:smallCaps/>
          <w:color w:val="333333"/>
          <w:kern w:val="44"/>
          <w:sz w:val="24"/>
          <w:szCs w:val="24"/>
        </w:rPr>
      </w:pPr>
      <w:bookmarkStart w:id="1604" w:name="_Toc21822"/>
      <w:r>
        <w:rPr>
          <w:rFonts w:hint="eastAsia" w:ascii="宋体" w:hAnsi="宋体" w:eastAsia="宋体" w:cs="宋体"/>
          <w:b/>
          <w:bCs/>
          <w:smallCaps/>
          <w:color w:val="333333"/>
          <w:kern w:val="44"/>
          <w:sz w:val="24"/>
          <w:szCs w:val="24"/>
        </w:rPr>
        <w:t>2.基本要求</w:t>
      </w:r>
      <w:bookmarkEnd w:id="1604"/>
    </w:p>
    <w:p w14:paraId="2E87AA63">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了解《诗经》的用韵情况；掌握音韵术语；了解先秦古韵三十部；掌握古汉语中的古音通假现象。</w:t>
      </w:r>
    </w:p>
    <w:p w14:paraId="2C9EFDC7">
      <w:pPr>
        <w:spacing w:line="360" w:lineRule="auto"/>
        <w:outlineLvl w:val="2"/>
        <w:rPr>
          <w:rFonts w:ascii="宋体" w:hAnsi="宋体" w:eastAsia="宋体" w:cs="宋体"/>
          <w:b/>
          <w:bCs/>
          <w:smallCaps/>
          <w:color w:val="333333"/>
          <w:kern w:val="44"/>
          <w:sz w:val="24"/>
          <w:szCs w:val="24"/>
        </w:rPr>
      </w:pPr>
      <w:bookmarkStart w:id="1605" w:name="_Toc28795"/>
      <w:r>
        <w:rPr>
          <w:rFonts w:hint="eastAsia" w:ascii="宋体" w:hAnsi="宋体" w:eastAsia="宋体" w:cs="宋体"/>
          <w:b/>
          <w:bCs/>
          <w:smallCaps/>
          <w:color w:val="333333"/>
          <w:kern w:val="44"/>
          <w:sz w:val="24"/>
          <w:szCs w:val="24"/>
        </w:rPr>
        <w:t>3.重点难点</w:t>
      </w:r>
      <w:bookmarkEnd w:id="1605"/>
      <w:r>
        <w:rPr>
          <w:rFonts w:hint="eastAsia" w:ascii="宋体" w:hAnsi="宋体" w:eastAsia="宋体" w:cs="宋体"/>
          <w:b/>
          <w:bCs/>
          <w:smallCaps/>
          <w:color w:val="333333"/>
          <w:kern w:val="44"/>
          <w:sz w:val="24"/>
          <w:szCs w:val="24"/>
        </w:rPr>
        <w:t xml:space="preserve"> </w:t>
      </w:r>
    </w:p>
    <w:p w14:paraId="38917272">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（1）《诗经》的用韵</w:t>
      </w:r>
    </w:p>
    <w:p w14:paraId="5B94B2EC">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（2）先秦古韵三十部和三十六字母的理解与记忆</w:t>
      </w:r>
    </w:p>
    <w:p w14:paraId="124F6F52">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（3）上古、中古汉语声母系统的基本面貌</w:t>
      </w:r>
    </w:p>
    <w:p w14:paraId="3CB276E5">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（4）上古、中古汉语韵母系统的基本面貌</w:t>
      </w:r>
    </w:p>
    <w:p w14:paraId="27E35838">
      <w:pPr>
        <w:spacing w:line="360" w:lineRule="auto"/>
        <w:outlineLvl w:val="2"/>
        <w:rPr>
          <w:rFonts w:ascii="宋体" w:hAnsi="宋体" w:eastAsia="宋体" w:cs="Times New Roman"/>
          <w:b/>
          <w:bCs/>
          <w:smallCaps/>
          <w:kern w:val="44"/>
          <w:sz w:val="24"/>
          <w:szCs w:val="24"/>
        </w:rPr>
      </w:pPr>
      <w:bookmarkStart w:id="1606" w:name="_Toc4259"/>
      <w:r>
        <w:rPr>
          <w:rFonts w:hint="eastAsia" w:ascii="宋体" w:hAnsi="宋体" w:eastAsia="宋体" w:cs="Times New Roman"/>
          <w:b/>
          <w:bCs/>
          <w:smallCaps/>
          <w:kern w:val="44"/>
          <w:sz w:val="24"/>
          <w:szCs w:val="24"/>
        </w:rPr>
        <w:t>4</w:t>
      </w:r>
      <w:r>
        <w:rPr>
          <w:rFonts w:ascii="宋体" w:hAnsi="宋体" w:eastAsia="宋体" w:cs="Times New Roman"/>
          <w:b/>
          <w:bCs/>
          <w:smallCaps/>
          <w:kern w:val="44"/>
          <w:sz w:val="24"/>
          <w:szCs w:val="24"/>
        </w:rPr>
        <w:t>.</w:t>
      </w:r>
      <w:r>
        <w:rPr>
          <w:rFonts w:hint="eastAsia" w:ascii="宋体" w:hAnsi="宋体" w:eastAsia="宋体" w:cs="Times New Roman"/>
          <w:b/>
          <w:bCs/>
          <w:smallCaps/>
          <w:kern w:val="44"/>
          <w:sz w:val="24"/>
          <w:szCs w:val="24"/>
        </w:rPr>
        <w:t>课程思政育人目标</w:t>
      </w:r>
      <w:bookmarkEnd w:id="1606"/>
    </w:p>
    <w:p w14:paraId="18B0447D">
      <w:pPr>
        <w:spacing w:line="360" w:lineRule="auto"/>
        <w:rPr>
          <w:rFonts w:ascii="宋体" w:hAnsi="宋体" w:eastAsia="宋体" w:cs="宋体"/>
          <w:smallCaps/>
          <w:color w:val="333333"/>
          <w:kern w:val="44"/>
          <w:sz w:val="24"/>
          <w:szCs w:val="24"/>
        </w:rPr>
      </w:pPr>
      <w:r>
        <w:rPr>
          <w:rFonts w:hint="eastAsia" w:ascii="宋体" w:hAnsi="宋体" w:eastAsia="宋体" w:cs="宋体"/>
          <w:smallCaps/>
          <w:color w:val="333333"/>
          <w:kern w:val="44"/>
          <w:sz w:val="24"/>
          <w:szCs w:val="24"/>
        </w:rPr>
        <w:t>汉语的语音古今差异巨大，学生学好古音知识，可以更好的欣赏和阅读古代诗文，培养出具有汉民族文化特色的审美趋向，增强中华传统优秀文化理念的认同感。</w:t>
      </w:r>
    </w:p>
    <w:p w14:paraId="18E1165D">
      <w:pPr>
        <w:spacing w:line="360" w:lineRule="auto"/>
        <w:outlineLvl w:val="1"/>
        <w:rPr>
          <w:rFonts w:ascii="Times New Roman" w:hAnsi="Times New Roman" w:eastAsia="宋体" w:cs="Times New Roman"/>
          <w:b/>
          <w:bCs/>
          <w:smallCaps/>
          <w:color w:val="333333"/>
          <w:kern w:val="44"/>
          <w:sz w:val="24"/>
          <w:szCs w:val="24"/>
        </w:rPr>
      </w:pPr>
      <w:bookmarkStart w:id="1607" w:name="_Toc13819"/>
      <w:r>
        <w:rPr>
          <w:rFonts w:ascii="Times New Roman" w:hAnsi="Times New Roman" w:eastAsia="宋体" w:cs="Times New Roman"/>
          <w:b/>
          <w:bCs/>
          <w:smallCaps/>
          <w:color w:val="333333"/>
          <w:kern w:val="44"/>
          <w:sz w:val="24"/>
          <w:szCs w:val="24"/>
        </w:rPr>
        <w:t>（五）古书注解</w:t>
      </w:r>
      <w:bookmarkEnd w:id="1607"/>
    </w:p>
    <w:p w14:paraId="0449927C">
      <w:pPr>
        <w:spacing w:line="360" w:lineRule="auto"/>
        <w:outlineLvl w:val="2"/>
        <w:rPr>
          <w:rFonts w:ascii="Times New Roman" w:hAnsi="Times New Roman" w:eastAsia="宋体" w:cs="Times New Roman"/>
          <w:b/>
          <w:bCs/>
          <w:smallCaps/>
          <w:color w:val="333333"/>
          <w:kern w:val="44"/>
          <w:sz w:val="24"/>
          <w:szCs w:val="24"/>
        </w:rPr>
      </w:pPr>
      <w:bookmarkStart w:id="1608" w:name="_Toc25141"/>
      <w:r>
        <w:rPr>
          <w:rFonts w:ascii="Times New Roman" w:hAnsi="Times New Roman" w:eastAsia="宋体" w:cs="Times New Roman"/>
          <w:b/>
          <w:bCs/>
          <w:smallCaps/>
          <w:color w:val="333333"/>
          <w:kern w:val="44"/>
          <w:sz w:val="24"/>
          <w:szCs w:val="24"/>
        </w:rPr>
        <w:t>1.教学内容</w:t>
      </w:r>
      <w:bookmarkEnd w:id="1608"/>
    </w:p>
    <w:p w14:paraId="50A89BF4">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（1）古书旧注的重要性</w:t>
      </w:r>
    </w:p>
    <w:p w14:paraId="0E5A1191">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（2）古注的发展概况</w:t>
      </w:r>
    </w:p>
    <w:p w14:paraId="76FB782B">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（3）古注的分类</w:t>
      </w:r>
    </w:p>
    <w:p w14:paraId="6A78F7C8">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 xml:space="preserve">（4）旧注的编排体例 </w:t>
      </w:r>
    </w:p>
    <w:p w14:paraId="3255BA9E">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（5）注解术语：曰、为、为之；谓；貌、之貌；犹；之言、之为言；读曰、读为；读若、读如；衍文、脱文</w:t>
      </w:r>
    </w:p>
    <w:p w14:paraId="10892CD6">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（6）注音术语：如字、破读</w:t>
      </w:r>
    </w:p>
    <w:p w14:paraId="2ED21CE3">
      <w:pPr>
        <w:spacing w:line="360" w:lineRule="auto"/>
        <w:outlineLvl w:val="2"/>
        <w:rPr>
          <w:rFonts w:ascii="Times New Roman" w:hAnsi="Times New Roman" w:eastAsia="宋体" w:cs="Times New Roman"/>
          <w:b/>
          <w:bCs/>
          <w:smallCaps/>
          <w:color w:val="333333"/>
          <w:kern w:val="44"/>
          <w:sz w:val="24"/>
          <w:szCs w:val="24"/>
        </w:rPr>
      </w:pPr>
      <w:bookmarkStart w:id="1609" w:name="_Toc16309"/>
      <w:r>
        <w:rPr>
          <w:rFonts w:ascii="Times New Roman" w:hAnsi="Times New Roman" w:eastAsia="宋体" w:cs="Times New Roman"/>
          <w:b/>
          <w:bCs/>
          <w:smallCaps/>
          <w:color w:val="333333"/>
          <w:kern w:val="44"/>
          <w:sz w:val="24"/>
          <w:szCs w:val="24"/>
        </w:rPr>
        <w:t>2.基本要求</w:t>
      </w:r>
      <w:bookmarkEnd w:id="1609"/>
    </w:p>
    <w:p w14:paraId="6257BAA6">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（1）了解古书注解的类型。</w:t>
      </w:r>
    </w:p>
    <w:p w14:paraId="57FB9D09">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（2）掌握古书注解的术语：曰、为、谓之；谓；貌；犹；之言、之为言；读如、读若；读曰、读为等。</w:t>
      </w:r>
    </w:p>
    <w:p w14:paraId="37436D2B">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（3）掌握注音术语：如字、破读。</w:t>
      </w:r>
    </w:p>
    <w:p w14:paraId="45D2BAB9">
      <w:pPr>
        <w:spacing w:line="360" w:lineRule="auto"/>
        <w:outlineLvl w:val="2"/>
        <w:rPr>
          <w:rFonts w:ascii="Times New Roman" w:hAnsi="Times New Roman" w:eastAsia="宋体" w:cs="Times New Roman"/>
          <w:b/>
          <w:bCs/>
          <w:smallCaps/>
          <w:color w:val="333333"/>
          <w:kern w:val="44"/>
          <w:sz w:val="24"/>
          <w:szCs w:val="24"/>
        </w:rPr>
      </w:pPr>
      <w:bookmarkStart w:id="1610" w:name="_Toc7134"/>
      <w:r>
        <w:rPr>
          <w:rFonts w:ascii="Times New Roman" w:hAnsi="Times New Roman" w:eastAsia="宋体" w:cs="Times New Roman"/>
          <w:b/>
          <w:bCs/>
          <w:smallCaps/>
          <w:color w:val="333333"/>
          <w:kern w:val="44"/>
          <w:sz w:val="24"/>
          <w:szCs w:val="24"/>
        </w:rPr>
        <w:t>3.重点难点</w:t>
      </w:r>
      <w:bookmarkEnd w:id="1610"/>
    </w:p>
    <w:p w14:paraId="5C712F13">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不同注解术语的含义。</w:t>
      </w:r>
    </w:p>
    <w:p w14:paraId="1C056F5A">
      <w:pPr>
        <w:spacing w:line="360" w:lineRule="auto"/>
        <w:outlineLvl w:val="2"/>
        <w:rPr>
          <w:rFonts w:ascii="Times New Roman" w:hAnsi="Times New Roman" w:eastAsia="宋体" w:cs="Times New Roman"/>
          <w:b/>
          <w:bCs/>
          <w:smallCaps/>
          <w:kern w:val="44"/>
          <w:sz w:val="24"/>
          <w:szCs w:val="24"/>
        </w:rPr>
      </w:pPr>
      <w:bookmarkStart w:id="1611" w:name="_Toc6105"/>
      <w:r>
        <w:rPr>
          <w:rFonts w:hint="eastAsia" w:ascii="Times New Roman" w:hAnsi="Times New Roman" w:eastAsia="宋体" w:cs="Times New Roman"/>
          <w:b/>
          <w:bCs/>
          <w:smallCaps/>
          <w:kern w:val="44"/>
          <w:sz w:val="24"/>
          <w:szCs w:val="24"/>
        </w:rPr>
        <w:t>4</w:t>
      </w:r>
      <w:r>
        <w:rPr>
          <w:rFonts w:ascii="Times New Roman" w:hAnsi="Times New Roman" w:eastAsia="宋体" w:cs="Times New Roman"/>
          <w:b/>
          <w:bCs/>
          <w:smallCaps/>
          <w:kern w:val="44"/>
          <w:sz w:val="24"/>
          <w:szCs w:val="24"/>
        </w:rPr>
        <w:t>.</w:t>
      </w:r>
      <w:r>
        <w:rPr>
          <w:rFonts w:hint="eastAsia" w:ascii="Times New Roman" w:hAnsi="Times New Roman" w:eastAsia="宋体" w:cs="Times New Roman"/>
          <w:b/>
          <w:bCs/>
          <w:smallCaps/>
          <w:kern w:val="44"/>
          <w:sz w:val="24"/>
          <w:szCs w:val="24"/>
        </w:rPr>
        <w:t>课程思政育人目标</w:t>
      </w:r>
      <w:bookmarkEnd w:id="1611"/>
    </w:p>
    <w:p w14:paraId="1AC75245">
      <w:pPr>
        <w:spacing w:line="360" w:lineRule="auto"/>
        <w:rPr>
          <w:rFonts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t>古书旧注可以帮助我们尽快吸收前人研究成果，在前人的基础上尽快获取所需知识以便于开展深入研究。学生掌握阅读古注的方法手段，可以更好地发挥自身价值，助力国家文化事业进步。</w:t>
      </w:r>
    </w:p>
    <w:p w14:paraId="2435E5B1">
      <w:pPr>
        <w:spacing w:line="360" w:lineRule="auto"/>
        <w:outlineLvl w:val="1"/>
        <w:rPr>
          <w:rFonts w:ascii="Times New Roman" w:hAnsi="Times New Roman" w:eastAsia="宋体" w:cs="Times New Roman"/>
          <w:b/>
          <w:bCs/>
          <w:smallCaps/>
          <w:color w:val="333333"/>
          <w:kern w:val="44"/>
          <w:sz w:val="24"/>
          <w:szCs w:val="24"/>
        </w:rPr>
      </w:pPr>
      <w:bookmarkStart w:id="1612" w:name="_Toc26424"/>
      <w:r>
        <w:rPr>
          <w:rFonts w:ascii="Times New Roman" w:hAnsi="Times New Roman" w:eastAsia="宋体" w:cs="Times New Roman"/>
          <w:b/>
          <w:bCs/>
          <w:smallCaps/>
          <w:color w:val="333333"/>
          <w:kern w:val="44"/>
          <w:sz w:val="24"/>
          <w:szCs w:val="24"/>
        </w:rPr>
        <w:t>（六）文选</w:t>
      </w:r>
      <w:bookmarkEnd w:id="1612"/>
    </w:p>
    <w:p w14:paraId="1506E91E">
      <w:pPr>
        <w:spacing w:line="360" w:lineRule="auto"/>
        <w:outlineLvl w:val="2"/>
        <w:rPr>
          <w:rFonts w:ascii="Times New Roman" w:hAnsi="Times New Roman" w:eastAsia="宋体" w:cs="Times New Roman"/>
          <w:b/>
          <w:bCs/>
          <w:smallCaps/>
          <w:color w:val="333333"/>
          <w:kern w:val="44"/>
          <w:sz w:val="24"/>
          <w:szCs w:val="24"/>
        </w:rPr>
      </w:pPr>
      <w:bookmarkStart w:id="1613" w:name="_Toc4378"/>
      <w:r>
        <w:rPr>
          <w:rFonts w:ascii="Times New Roman" w:hAnsi="Times New Roman" w:eastAsia="宋体" w:cs="Times New Roman"/>
          <w:b/>
          <w:bCs/>
          <w:smallCaps/>
          <w:color w:val="333333"/>
          <w:kern w:val="44"/>
          <w:sz w:val="24"/>
          <w:szCs w:val="24"/>
        </w:rPr>
        <w:t>1.教学内容</w:t>
      </w:r>
      <w:bookmarkEnd w:id="1613"/>
    </w:p>
    <w:p w14:paraId="32DB0C64">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精讲篇目：《郑伯克段于鄢》《</w:t>
      </w:r>
      <w:r>
        <w:rPr>
          <w:rFonts w:hint="eastAsia" w:ascii="Times New Roman" w:hAnsi="Times New Roman" w:eastAsia="宋体" w:cs="Times New Roman"/>
          <w:smallCaps/>
          <w:color w:val="333333"/>
          <w:kern w:val="44"/>
          <w:sz w:val="24"/>
          <w:szCs w:val="24"/>
        </w:rPr>
        <w:t>齐晋鞌之战</w:t>
      </w:r>
      <w:r>
        <w:rPr>
          <w:rFonts w:ascii="Times New Roman" w:hAnsi="Times New Roman" w:eastAsia="宋体" w:cs="Times New Roman"/>
          <w:smallCaps/>
          <w:color w:val="333333"/>
          <w:kern w:val="44"/>
          <w:sz w:val="24"/>
          <w:szCs w:val="24"/>
        </w:rPr>
        <w:t>》《冯谖客孟尝君》</w:t>
      </w:r>
      <w:r>
        <w:rPr>
          <w:rFonts w:hint="eastAsia" w:ascii="Times New Roman" w:hAnsi="Times New Roman" w:eastAsia="宋体" w:cs="Times New Roman"/>
          <w:smallCaps/>
          <w:color w:val="333333"/>
          <w:kern w:val="44"/>
          <w:sz w:val="24"/>
          <w:szCs w:val="24"/>
        </w:rPr>
        <w:t>《鲁仲连义不帝秦》</w:t>
      </w:r>
      <w:r>
        <w:rPr>
          <w:rFonts w:ascii="Times New Roman" w:hAnsi="Times New Roman" w:eastAsia="宋体" w:cs="Times New Roman"/>
          <w:smallCaps/>
          <w:color w:val="333333"/>
          <w:kern w:val="44"/>
          <w:sz w:val="24"/>
          <w:szCs w:val="24"/>
        </w:rPr>
        <w:t>《大同》《许行》《非攻》</w:t>
      </w:r>
      <w:r>
        <w:rPr>
          <w:rFonts w:hint="eastAsia" w:ascii="Times New Roman" w:hAnsi="Times New Roman" w:eastAsia="宋体" w:cs="Times New Roman"/>
          <w:smallCaps/>
          <w:color w:val="333333"/>
          <w:kern w:val="44"/>
          <w:sz w:val="24"/>
          <w:szCs w:val="24"/>
        </w:rPr>
        <w:t>《察传》</w:t>
      </w:r>
      <w:r>
        <w:rPr>
          <w:rFonts w:ascii="Times New Roman" w:hAnsi="Times New Roman" w:eastAsia="宋体" w:cs="Times New Roman"/>
          <w:smallCaps/>
          <w:color w:val="333333"/>
          <w:kern w:val="44"/>
          <w:sz w:val="24"/>
          <w:szCs w:val="24"/>
        </w:rPr>
        <w:t>《胠箧》《五蠹》《</w:t>
      </w:r>
      <w:r>
        <w:rPr>
          <w:rFonts w:hint="eastAsia" w:ascii="Times New Roman" w:hAnsi="Times New Roman" w:eastAsia="宋体" w:cs="Times New Roman"/>
          <w:smallCaps/>
          <w:color w:val="333333"/>
          <w:kern w:val="44"/>
          <w:sz w:val="24"/>
          <w:szCs w:val="24"/>
        </w:rPr>
        <w:t>北门</w:t>
      </w:r>
      <w:r>
        <w:rPr>
          <w:rFonts w:ascii="Times New Roman" w:hAnsi="Times New Roman" w:eastAsia="宋体" w:cs="Times New Roman"/>
          <w:smallCaps/>
          <w:color w:val="333333"/>
          <w:kern w:val="44"/>
          <w:sz w:val="24"/>
          <w:szCs w:val="24"/>
        </w:rPr>
        <w:t>》《柏舟》《七月》。</w:t>
      </w:r>
    </w:p>
    <w:p w14:paraId="0200CE49">
      <w:pPr>
        <w:spacing w:line="360" w:lineRule="auto"/>
        <w:outlineLvl w:val="2"/>
        <w:rPr>
          <w:rFonts w:ascii="Times New Roman" w:hAnsi="Times New Roman" w:eastAsia="宋体" w:cs="Times New Roman"/>
          <w:b/>
          <w:bCs/>
          <w:smallCaps/>
          <w:color w:val="333333"/>
          <w:kern w:val="44"/>
          <w:sz w:val="24"/>
          <w:szCs w:val="24"/>
        </w:rPr>
      </w:pPr>
      <w:bookmarkStart w:id="1614" w:name="_Toc26018"/>
      <w:r>
        <w:rPr>
          <w:rFonts w:ascii="Times New Roman" w:hAnsi="Times New Roman" w:eastAsia="宋体" w:cs="Times New Roman"/>
          <w:b/>
          <w:bCs/>
          <w:smallCaps/>
          <w:color w:val="333333"/>
          <w:kern w:val="44"/>
          <w:sz w:val="24"/>
          <w:szCs w:val="24"/>
        </w:rPr>
        <w:t>2.基本要求</w:t>
      </w:r>
      <w:bookmarkEnd w:id="1614"/>
    </w:p>
    <w:p w14:paraId="5290D742">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（1）掌握每篇精读散文的字义词义句子结构和句意，特别注意句中涉及到的虚词用法及各种语法现象。</w:t>
      </w:r>
    </w:p>
    <w:p w14:paraId="4AA1FF9A">
      <w:pPr>
        <w:spacing w:line="360" w:lineRule="auto"/>
        <w:rPr>
          <w:rFonts w:ascii="宋体" w:hAnsi="宋体"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（2）了解韵文的押韵情况，能够运用古音学知识分析辨别文中出现的通假字。</w:t>
      </w:r>
    </w:p>
    <w:p w14:paraId="03B0E3A1">
      <w:pPr>
        <w:spacing w:line="360" w:lineRule="auto"/>
        <w:outlineLvl w:val="2"/>
        <w:rPr>
          <w:rFonts w:ascii="宋体" w:hAnsi="宋体" w:eastAsia="宋体" w:cs="Times New Roman"/>
          <w:b/>
          <w:bCs/>
          <w:smallCaps/>
          <w:color w:val="333333"/>
          <w:kern w:val="44"/>
          <w:sz w:val="24"/>
          <w:szCs w:val="24"/>
        </w:rPr>
      </w:pPr>
      <w:bookmarkStart w:id="1615" w:name="_Toc25331"/>
      <w:r>
        <w:rPr>
          <w:rFonts w:ascii="宋体" w:hAnsi="宋体" w:eastAsia="宋体" w:cs="Times New Roman"/>
          <w:b/>
          <w:bCs/>
          <w:smallCaps/>
          <w:color w:val="333333"/>
          <w:kern w:val="44"/>
          <w:sz w:val="24"/>
          <w:szCs w:val="24"/>
        </w:rPr>
        <w:t>3.重点难点</w:t>
      </w:r>
      <w:bookmarkEnd w:id="1615"/>
    </w:p>
    <w:p w14:paraId="246B9848">
      <w:pPr>
        <w:spacing w:line="360" w:lineRule="auto"/>
        <w:rPr>
          <w:rFonts w:ascii="宋体" w:hAnsi="宋体" w:eastAsia="宋体" w:cs="Times New Roman"/>
          <w:smallCaps/>
          <w:color w:val="333333"/>
          <w:kern w:val="44"/>
          <w:sz w:val="24"/>
          <w:szCs w:val="24"/>
        </w:rPr>
      </w:pPr>
      <w:r>
        <w:rPr>
          <w:rFonts w:ascii="宋体" w:hAnsi="宋体" w:eastAsia="宋体" w:cs="Times New Roman"/>
          <w:smallCaps/>
          <w:color w:val="333333"/>
          <w:kern w:val="44"/>
          <w:sz w:val="24"/>
          <w:szCs w:val="24"/>
        </w:rPr>
        <w:t>（1）偏义复词、同义词、反义词在课文中的运用。</w:t>
      </w:r>
    </w:p>
    <w:p w14:paraId="7F40EBD3">
      <w:pPr>
        <w:spacing w:line="360" w:lineRule="auto"/>
        <w:rPr>
          <w:rFonts w:ascii="宋体" w:hAnsi="宋体" w:eastAsia="宋体" w:cs="Times New Roman"/>
          <w:smallCaps/>
          <w:color w:val="333333"/>
          <w:kern w:val="44"/>
          <w:sz w:val="24"/>
          <w:szCs w:val="24"/>
        </w:rPr>
      </w:pPr>
      <w:r>
        <w:rPr>
          <w:rFonts w:ascii="宋体" w:hAnsi="宋体" w:eastAsia="宋体" w:cs="Times New Roman"/>
          <w:smallCaps/>
          <w:color w:val="333333"/>
          <w:kern w:val="44"/>
          <w:sz w:val="24"/>
          <w:szCs w:val="24"/>
        </w:rPr>
        <w:t>（2）形容词的使动和意动用法。</w:t>
      </w:r>
    </w:p>
    <w:p w14:paraId="06A57879">
      <w:pPr>
        <w:spacing w:line="360" w:lineRule="auto"/>
        <w:rPr>
          <w:rFonts w:ascii="宋体" w:hAnsi="宋体" w:eastAsia="宋体" w:cs="Times New Roman"/>
          <w:smallCaps/>
          <w:color w:val="333333"/>
          <w:kern w:val="44"/>
          <w:sz w:val="24"/>
          <w:szCs w:val="24"/>
        </w:rPr>
      </w:pPr>
      <w:r>
        <w:rPr>
          <w:rFonts w:ascii="宋体" w:hAnsi="宋体" w:eastAsia="宋体" w:cs="Times New Roman"/>
          <w:smallCaps/>
          <w:color w:val="333333"/>
          <w:kern w:val="44"/>
          <w:sz w:val="24"/>
          <w:szCs w:val="24"/>
        </w:rPr>
        <w:t>（3）文中重要实词，了解词类活用现象</w:t>
      </w:r>
    </w:p>
    <w:p w14:paraId="6EE93FA3">
      <w:pPr>
        <w:spacing w:line="360" w:lineRule="auto"/>
        <w:rPr>
          <w:rFonts w:ascii="宋体" w:hAnsi="宋体" w:eastAsia="宋体" w:cs="Times New Roman"/>
          <w:smallCaps/>
          <w:color w:val="333333"/>
          <w:kern w:val="44"/>
          <w:sz w:val="24"/>
          <w:szCs w:val="24"/>
        </w:rPr>
      </w:pPr>
      <w:r>
        <w:rPr>
          <w:rFonts w:ascii="宋体" w:hAnsi="宋体" w:eastAsia="宋体" w:cs="Times New Roman"/>
          <w:smallCaps/>
          <w:color w:val="333333"/>
          <w:kern w:val="44"/>
          <w:sz w:val="24"/>
          <w:szCs w:val="24"/>
        </w:rPr>
        <w:t>（4）切实运用音韵学、文字学的知识于古文阅读之中。</w:t>
      </w:r>
    </w:p>
    <w:p w14:paraId="2A52167B">
      <w:pPr>
        <w:spacing w:line="360" w:lineRule="auto"/>
        <w:outlineLvl w:val="2"/>
        <w:rPr>
          <w:rFonts w:ascii="宋体" w:hAnsi="宋体" w:eastAsia="宋体" w:cs="Times New Roman"/>
          <w:b/>
          <w:bCs/>
          <w:smallCaps/>
          <w:kern w:val="44"/>
          <w:sz w:val="24"/>
          <w:szCs w:val="24"/>
        </w:rPr>
      </w:pPr>
      <w:bookmarkStart w:id="1616" w:name="_Toc26106"/>
      <w:r>
        <w:rPr>
          <w:rFonts w:hint="eastAsia" w:ascii="宋体" w:hAnsi="宋体" w:eastAsia="宋体" w:cs="Times New Roman"/>
          <w:b/>
          <w:bCs/>
          <w:smallCaps/>
          <w:kern w:val="44"/>
          <w:sz w:val="24"/>
          <w:szCs w:val="24"/>
        </w:rPr>
        <w:t>4</w:t>
      </w:r>
      <w:r>
        <w:rPr>
          <w:rFonts w:ascii="宋体" w:hAnsi="宋体" w:eastAsia="宋体" w:cs="Times New Roman"/>
          <w:b/>
          <w:bCs/>
          <w:smallCaps/>
          <w:kern w:val="44"/>
          <w:sz w:val="24"/>
          <w:szCs w:val="24"/>
        </w:rPr>
        <w:t>.</w:t>
      </w:r>
      <w:r>
        <w:rPr>
          <w:rFonts w:hint="eastAsia" w:ascii="宋体" w:hAnsi="宋体" w:eastAsia="宋体" w:cs="Times New Roman"/>
          <w:b/>
          <w:bCs/>
          <w:smallCaps/>
          <w:kern w:val="44"/>
          <w:sz w:val="24"/>
          <w:szCs w:val="24"/>
        </w:rPr>
        <w:t>课程思政育人目标</w:t>
      </w:r>
      <w:bookmarkEnd w:id="1616"/>
    </w:p>
    <w:p w14:paraId="63783CED">
      <w:pPr>
        <w:spacing w:line="360" w:lineRule="auto"/>
        <w:rPr>
          <w:rFonts w:ascii="Times New Roman" w:hAnsi="Times New Roman" w:eastAsia="宋体" w:cs="Times New Roman"/>
          <w:smallCaps/>
          <w:color w:val="333333"/>
          <w:kern w:val="44"/>
          <w:sz w:val="24"/>
          <w:szCs w:val="24"/>
        </w:rPr>
      </w:pPr>
      <w:r>
        <w:rPr>
          <w:rFonts w:hint="eastAsia" w:ascii="宋体" w:hAnsi="宋体" w:eastAsia="宋体" w:cs="Times New Roman"/>
          <w:smallCaps/>
          <w:color w:val="333333"/>
          <w:kern w:val="44"/>
          <w:sz w:val="24"/>
          <w:szCs w:val="24"/>
        </w:rPr>
        <w:t>仔细研读典范的传世古文可以探究得到传统中国人所应用的、具有民族性的独特思维方式，这是中国人观照世界的独特视角。广博与专精并存的文选阅读，一方面可以增广知识拓</w:t>
      </w:r>
      <w:r>
        <w:rPr>
          <w:rFonts w:hint="eastAsia" w:ascii="Times New Roman" w:hAnsi="Times New Roman" w:eastAsia="宋体" w:cs="Times New Roman"/>
          <w:smallCaps/>
          <w:color w:val="333333"/>
          <w:kern w:val="44"/>
          <w:sz w:val="24"/>
          <w:szCs w:val="24"/>
        </w:rPr>
        <w:t>宽视野，另一方面能避免过于欧化的语言思维方式。</w:t>
      </w:r>
    </w:p>
    <w:p w14:paraId="63D46F0B">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教学内容与课程目标的对应关系及学时分配如表所示。</w:t>
      </w:r>
    </w:p>
    <w:tbl>
      <w:tblPr>
        <w:tblStyle w:val="10"/>
        <w:tblW w:w="850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353"/>
        <w:gridCol w:w="1843"/>
        <w:gridCol w:w="2976"/>
        <w:gridCol w:w="1142"/>
      </w:tblGrid>
      <w:tr w14:paraId="0897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shd w:val="clear" w:color="auto" w:fill="FFFFFF"/>
            <w:vAlign w:val="center"/>
          </w:tcPr>
          <w:p w14:paraId="67A0AF1A">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序号</w:t>
            </w:r>
          </w:p>
        </w:tc>
        <w:tc>
          <w:tcPr>
            <w:tcW w:w="1353" w:type="dxa"/>
            <w:shd w:val="clear" w:color="auto" w:fill="FFFFFF"/>
            <w:vAlign w:val="center"/>
          </w:tcPr>
          <w:p w14:paraId="56B4E250">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教学内容</w:t>
            </w:r>
          </w:p>
        </w:tc>
        <w:tc>
          <w:tcPr>
            <w:tcW w:w="1843" w:type="dxa"/>
            <w:shd w:val="clear" w:color="auto" w:fill="FFFFFF"/>
            <w:vAlign w:val="center"/>
          </w:tcPr>
          <w:p w14:paraId="299024D4">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支撑的课程目标</w:t>
            </w:r>
          </w:p>
        </w:tc>
        <w:tc>
          <w:tcPr>
            <w:tcW w:w="2976" w:type="dxa"/>
            <w:shd w:val="clear" w:color="auto" w:fill="FFFFFF"/>
            <w:vAlign w:val="center"/>
          </w:tcPr>
          <w:p w14:paraId="7A3F3BB0">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支撑的毕业要求指标点</w:t>
            </w:r>
          </w:p>
        </w:tc>
        <w:tc>
          <w:tcPr>
            <w:tcW w:w="1142" w:type="dxa"/>
            <w:shd w:val="clear" w:color="auto" w:fill="FFFFFF"/>
            <w:vAlign w:val="center"/>
          </w:tcPr>
          <w:p w14:paraId="76C8C1D2">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讲授学时</w:t>
            </w:r>
          </w:p>
        </w:tc>
      </w:tr>
      <w:tr w14:paraId="1DD5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10E3F6A2">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w:t>
            </w:r>
          </w:p>
        </w:tc>
        <w:tc>
          <w:tcPr>
            <w:tcW w:w="1353" w:type="dxa"/>
            <w:vAlign w:val="center"/>
          </w:tcPr>
          <w:p w14:paraId="3A38486C">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文字</w:t>
            </w:r>
          </w:p>
        </w:tc>
        <w:tc>
          <w:tcPr>
            <w:tcW w:w="1843" w:type="dxa"/>
            <w:vAlign w:val="center"/>
          </w:tcPr>
          <w:p w14:paraId="654A836A">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目标12345</w:t>
            </w:r>
          </w:p>
        </w:tc>
        <w:tc>
          <w:tcPr>
            <w:tcW w:w="2976" w:type="dxa"/>
            <w:vAlign w:val="center"/>
          </w:tcPr>
          <w:p w14:paraId="58CAB728">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毕业要求2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3-1</w:t>
            </w:r>
            <w:r>
              <w:rPr>
                <w:rFonts w:hint="eastAsia" w:ascii="Times New Roman" w:hAnsi="Times New Roman" w:eastAsia="宋体" w:cs="Times New Roman"/>
                <w:smallCaps/>
                <w:color w:val="333333"/>
                <w:kern w:val="44"/>
                <w:szCs w:val="21"/>
              </w:rPr>
              <w:t>、3-</w:t>
            </w:r>
            <w:r>
              <w:rPr>
                <w:rFonts w:ascii="Times New Roman" w:hAnsi="Times New Roman" w:eastAsia="宋体" w:cs="Times New Roman"/>
                <w:smallCaps/>
                <w:color w:val="333333"/>
                <w:kern w:val="44"/>
                <w:szCs w:val="21"/>
              </w:rPr>
              <w:t>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6</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2</w:t>
            </w:r>
          </w:p>
        </w:tc>
        <w:tc>
          <w:tcPr>
            <w:tcW w:w="1142" w:type="dxa"/>
            <w:vAlign w:val="center"/>
          </w:tcPr>
          <w:p w14:paraId="70505987">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6</w:t>
            </w:r>
          </w:p>
        </w:tc>
      </w:tr>
      <w:tr w14:paraId="3ED2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6D891C72">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2</w:t>
            </w:r>
          </w:p>
        </w:tc>
        <w:tc>
          <w:tcPr>
            <w:tcW w:w="1353" w:type="dxa"/>
            <w:vAlign w:val="center"/>
          </w:tcPr>
          <w:p w14:paraId="55AFC885">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词汇</w:t>
            </w:r>
          </w:p>
        </w:tc>
        <w:tc>
          <w:tcPr>
            <w:tcW w:w="1843" w:type="dxa"/>
            <w:vAlign w:val="center"/>
          </w:tcPr>
          <w:p w14:paraId="53CD859D">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目标12345</w:t>
            </w:r>
          </w:p>
        </w:tc>
        <w:tc>
          <w:tcPr>
            <w:tcW w:w="2976" w:type="dxa"/>
          </w:tcPr>
          <w:p w14:paraId="2F608B92">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毕业要求2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3-1</w:t>
            </w:r>
            <w:r>
              <w:rPr>
                <w:rFonts w:hint="eastAsia" w:ascii="Times New Roman" w:hAnsi="Times New Roman" w:eastAsia="宋体" w:cs="Times New Roman"/>
                <w:smallCaps/>
                <w:color w:val="333333"/>
                <w:kern w:val="44"/>
                <w:szCs w:val="21"/>
              </w:rPr>
              <w:t>、3-</w:t>
            </w:r>
            <w:r>
              <w:rPr>
                <w:rFonts w:ascii="Times New Roman" w:hAnsi="Times New Roman" w:eastAsia="宋体" w:cs="Times New Roman"/>
                <w:smallCaps/>
                <w:color w:val="333333"/>
                <w:kern w:val="44"/>
                <w:szCs w:val="21"/>
              </w:rPr>
              <w:t>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6</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2</w:t>
            </w:r>
          </w:p>
        </w:tc>
        <w:tc>
          <w:tcPr>
            <w:tcW w:w="1142" w:type="dxa"/>
            <w:vAlign w:val="center"/>
          </w:tcPr>
          <w:p w14:paraId="63B81482">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6</w:t>
            </w:r>
          </w:p>
        </w:tc>
      </w:tr>
      <w:tr w14:paraId="2E6F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03091357">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w:t>
            </w:r>
          </w:p>
        </w:tc>
        <w:tc>
          <w:tcPr>
            <w:tcW w:w="1353" w:type="dxa"/>
            <w:vAlign w:val="center"/>
          </w:tcPr>
          <w:p w14:paraId="1217C70B">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语法</w:t>
            </w:r>
          </w:p>
        </w:tc>
        <w:tc>
          <w:tcPr>
            <w:tcW w:w="1843" w:type="dxa"/>
            <w:vAlign w:val="center"/>
          </w:tcPr>
          <w:p w14:paraId="02987F0B">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目标12345</w:t>
            </w:r>
          </w:p>
        </w:tc>
        <w:tc>
          <w:tcPr>
            <w:tcW w:w="2976" w:type="dxa"/>
          </w:tcPr>
          <w:p w14:paraId="172BB5D5">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毕业要求2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3-1</w:t>
            </w:r>
            <w:r>
              <w:rPr>
                <w:rFonts w:hint="eastAsia" w:ascii="Times New Roman" w:hAnsi="Times New Roman" w:eastAsia="宋体" w:cs="Times New Roman"/>
                <w:smallCaps/>
                <w:color w:val="333333"/>
                <w:kern w:val="44"/>
                <w:szCs w:val="21"/>
              </w:rPr>
              <w:t>、3-</w:t>
            </w:r>
            <w:r>
              <w:rPr>
                <w:rFonts w:ascii="Times New Roman" w:hAnsi="Times New Roman" w:eastAsia="宋体" w:cs="Times New Roman"/>
                <w:smallCaps/>
                <w:color w:val="333333"/>
                <w:kern w:val="44"/>
                <w:szCs w:val="21"/>
              </w:rPr>
              <w:t>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6</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2</w:t>
            </w:r>
          </w:p>
        </w:tc>
        <w:tc>
          <w:tcPr>
            <w:tcW w:w="1142" w:type="dxa"/>
            <w:vAlign w:val="center"/>
          </w:tcPr>
          <w:p w14:paraId="6675D58A">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9</w:t>
            </w:r>
          </w:p>
        </w:tc>
      </w:tr>
      <w:tr w14:paraId="4735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34DB4B03">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4</w:t>
            </w:r>
          </w:p>
        </w:tc>
        <w:tc>
          <w:tcPr>
            <w:tcW w:w="1353" w:type="dxa"/>
            <w:vAlign w:val="center"/>
          </w:tcPr>
          <w:p w14:paraId="252FE942">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音韵</w:t>
            </w:r>
          </w:p>
        </w:tc>
        <w:tc>
          <w:tcPr>
            <w:tcW w:w="1843" w:type="dxa"/>
            <w:vAlign w:val="center"/>
          </w:tcPr>
          <w:p w14:paraId="447BB94F">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目标12345</w:t>
            </w:r>
          </w:p>
        </w:tc>
        <w:tc>
          <w:tcPr>
            <w:tcW w:w="2976" w:type="dxa"/>
          </w:tcPr>
          <w:p w14:paraId="6377DF7D">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毕业要求2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3-1</w:t>
            </w:r>
            <w:r>
              <w:rPr>
                <w:rFonts w:hint="eastAsia" w:ascii="Times New Roman" w:hAnsi="Times New Roman" w:eastAsia="宋体" w:cs="Times New Roman"/>
                <w:smallCaps/>
                <w:color w:val="333333"/>
                <w:kern w:val="44"/>
                <w:szCs w:val="21"/>
              </w:rPr>
              <w:t>、3-</w:t>
            </w:r>
            <w:r>
              <w:rPr>
                <w:rFonts w:ascii="Times New Roman" w:hAnsi="Times New Roman" w:eastAsia="宋体" w:cs="Times New Roman"/>
                <w:smallCaps/>
                <w:color w:val="333333"/>
                <w:kern w:val="44"/>
                <w:szCs w:val="21"/>
              </w:rPr>
              <w:t>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6</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2</w:t>
            </w:r>
          </w:p>
        </w:tc>
        <w:tc>
          <w:tcPr>
            <w:tcW w:w="1142" w:type="dxa"/>
            <w:vAlign w:val="center"/>
          </w:tcPr>
          <w:p w14:paraId="66E9B87E">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w:t>
            </w:r>
          </w:p>
        </w:tc>
      </w:tr>
      <w:tr w14:paraId="4516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0602F4A9">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5</w:t>
            </w:r>
          </w:p>
        </w:tc>
        <w:tc>
          <w:tcPr>
            <w:tcW w:w="1353" w:type="dxa"/>
            <w:vAlign w:val="center"/>
          </w:tcPr>
          <w:p w14:paraId="00F112D4">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古书注解</w:t>
            </w:r>
          </w:p>
        </w:tc>
        <w:tc>
          <w:tcPr>
            <w:tcW w:w="1843" w:type="dxa"/>
            <w:vAlign w:val="center"/>
          </w:tcPr>
          <w:p w14:paraId="00023728">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目标12345</w:t>
            </w:r>
          </w:p>
        </w:tc>
        <w:tc>
          <w:tcPr>
            <w:tcW w:w="2976" w:type="dxa"/>
          </w:tcPr>
          <w:p w14:paraId="5E319E4A">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毕业要求2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3-1</w:t>
            </w:r>
            <w:r>
              <w:rPr>
                <w:rFonts w:hint="eastAsia" w:ascii="Times New Roman" w:hAnsi="Times New Roman" w:eastAsia="宋体" w:cs="Times New Roman"/>
                <w:smallCaps/>
                <w:color w:val="333333"/>
                <w:kern w:val="44"/>
                <w:szCs w:val="21"/>
              </w:rPr>
              <w:t>、3-</w:t>
            </w:r>
            <w:r>
              <w:rPr>
                <w:rFonts w:ascii="Times New Roman" w:hAnsi="Times New Roman" w:eastAsia="宋体" w:cs="Times New Roman"/>
                <w:smallCaps/>
                <w:color w:val="333333"/>
                <w:kern w:val="44"/>
                <w:szCs w:val="21"/>
              </w:rPr>
              <w:t>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6</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2</w:t>
            </w:r>
          </w:p>
        </w:tc>
        <w:tc>
          <w:tcPr>
            <w:tcW w:w="1142" w:type="dxa"/>
            <w:vAlign w:val="center"/>
          </w:tcPr>
          <w:p w14:paraId="2D2ACC6E">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6</w:t>
            </w:r>
          </w:p>
        </w:tc>
      </w:tr>
      <w:tr w14:paraId="4D48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1AFD52B1">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6</w:t>
            </w:r>
          </w:p>
        </w:tc>
        <w:tc>
          <w:tcPr>
            <w:tcW w:w="1353" w:type="dxa"/>
            <w:vAlign w:val="center"/>
          </w:tcPr>
          <w:p w14:paraId="782F5FF1">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文选</w:t>
            </w:r>
          </w:p>
        </w:tc>
        <w:tc>
          <w:tcPr>
            <w:tcW w:w="1843" w:type="dxa"/>
            <w:vAlign w:val="center"/>
          </w:tcPr>
          <w:p w14:paraId="644E2FFE">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目标12345</w:t>
            </w:r>
          </w:p>
        </w:tc>
        <w:tc>
          <w:tcPr>
            <w:tcW w:w="2976" w:type="dxa"/>
          </w:tcPr>
          <w:p w14:paraId="07739ABA">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毕业要求2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3-1</w:t>
            </w:r>
            <w:r>
              <w:rPr>
                <w:rFonts w:hint="eastAsia" w:ascii="Times New Roman" w:hAnsi="Times New Roman" w:eastAsia="宋体" w:cs="Times New Roman"/>
                <w:smallCaps/>
                <w:color w:val="333333"/>
                <w:kern w:val="44"/>
                <w:szCs w:val="21"/>
              </w:rPr>
              <w:t>、3-</w:t>
            </w:r>
            <w:r>
              <w:rPr>
                <w:rFonts w:ascii="Times New Roman" w:hAnsi="Times New Roman" w:eastAsia="宋体" w:cs="Times New Roman"/>
                <w:smallCaps/>
                <w:color w:val="333333"/>
                <w:kern w:val="44"/>
                <w:szCs w:val="21"/>
              </w:rPr>
              <w:t>2</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6</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2</w:t>
            </w:r>
          </w:p>
        </w:tc>
        <w:tc>
          <w:tcPr>
            <w:tcW w:w="1142" w:type="dxa"/>
            <w:vAlign w:val="center"/>
          </w:tcPr>
          <w:p w14:paraId="05D9779D">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18</w:t>
            </w:r>
          </w:p>
        </w:tc>
      </w:tr>
      <w:tr w14:paraId="794D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3" w:type="dxa"/>
            <w:gridSpan w:val="4"/>
            <w:vAlign w:val="center"/>
          </w:tcPr>
          <w:p w14:paraId="66C67FBC">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合计</w:t>
            </w:r>
          </w:p>
        </w:tc>
        <w:tc>
          <w:tcPr>
            <w:tcW w:w="1142" w:type="dxa"/>
            <w:vAlign w:val="center"/>
          </w:tcPr>
          <w:p w14:paraId="372A8AD6">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48</w:t>
            </w:r>
          </w:p>
        </w:tc>
      </w:tr>
    </w:tbl>
    <w:p w14:paraId="4C27FDA7">
      <w:pPr>
        <w:spacing w:line="360" w:lineRule="auto"/>
        <w:rPr>
          <w:rFonts w:ascii="Times New Roman" w:hAnsi="Times New Roman" w:eastAsia="宋体" w:cs="Times New Roman"/>
          <w:b/>
          <w:bCs/>
          <w:smallCaps/>
          <w:color w:val="333333"/>
          <w:kern w:val="44"/>
          <w:sz w:val="24"/>
          <w:szCs w:val="24"/>
        </w:rPr>
      </w:pPr>
    </w:p>
    <w:p w14:paraId="24C15844">
      <w:pPr>
        <w:spacing w:line="360" w:lineRule="auto"/>
        <w:outlineLvl w:val="0"/>
        <w:rPr>
          <w:rFonts w:ascii="Times New Roman" w:hAnsi="Times New Roman" w:eastAsia="宋体" w:cs="Times New Roman"/>
          <w:b/>
          <w:bCs/>
          <w:smallCaps/>
          <w:color w:val="333333"/>
          <w:kern w:val="44"/>
          <w:sz w:val="28"/>
          <w:szCs w:val="28"/>
        </w:rPr>
      </w:pPr>
      <w:bookmarkStart w:id="1617" w:name="_Toc8622"/>
      <w:bookmarkStart w:id="1618" w:name="_Toc910"/>
      <w:bookmarkStart w:id="1619" w:name="_Toc32025"/>
      <w:bookmarkStart w:id="1620" w:name="_Toc8603"/>
      <w:bookmarkStart w:id="1621" w:name="_Toc3500"/>
      <w:bookmarkStart w:id="1622" w:name="_Toc26853"/>
      <w:bookmarkStart w:id="1623" w:name="_Toc12699"/>
      <w:r>
        <w:rPr>
          <w:rFonts w:ascii="Times New Roman" w:hAnsi="Times New Roman" w:eastAsia="宋体" w:cs="Times New Roman"/>
          <w:b/>
          <w:bCs/>
          <w:smallCaps/>
          <w:color w:val="333333"/>
          <w:kern w:val="44"/>
          <w:sz w:val="28"/>
          <w:szCs w:val="28"/>
        </w:rPr>
        <w:t>四、课程实施</w:t>
      </w:r>
      <w:bookmarkEnd w:id="1617"/>
      <w:bookmarkEnd w:id="1618"/>
      <w:bookmarkEnd w:id="1619"/>
      <w:bookmarkEnd w:id="1620"/>
      <w:bookmarkEnd w:id="1621"/>
      <w:bookmarkEnd w:id="1622"/>
      <w:bookmarkEnd w:id="1623"/>
    </w:p>
    <w:p w14:paraId="3007D348">
      <w:pPr>
        <w:spacing w:line="360" w:lineRule="auto"/>
        <w:outlineLvl w:val="1"/>
        <w:rPr>
          <w:rFonts w:ascii="Times New Roman" w:hAnsi="Times New Roman" w:eastAsia="宋体" w:cs="Times New Roman"/>
          <w:b/>
          <w:bCs/>
          <w:smallCaps/>
          <w:color w:val="333333"/>
          <w:kern w:val="44"/>
          <w:sz w:val="24"/>
          <w:szCs w:val="24"/>
        </w:rPr>
      </w:pPr>
      <w:bookmarkStart w:id="1624" w:name="_Toc1361"/>
      <w:r>
        <w:rPr>
          <w:rFonts w:ascii="Times New Roman" w:hAnsi="Times New Roman" w:eastAsia="宋体" w:cs="Times New Roman"/>
          <w:b/>
          <w:bCs/>
          <w:smallCaps/>
          <w:color w:val="333333"/>
          <w:kern w:val="44"/>
          <w:sz w:val="24"/>
          <w:szCs w:val="24"/>
        </w:rPr>
        <w:t>（一）教学方法与教学手段</w:t>
      </w:r>
      <w:bookmarkEnd w:id="1624"/>
    </w:p>
    <w:p w14:paraId="209D7CFA">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1.传统讲授式教学：系统传授课程基本知识。</w:t>
      </w:r>
    </w:p>
    <w:p w14:paraId="64D0A8A0">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2.研究性教学：通过作业，培养学生查阅中国知网，写研究报告、研究综述和论文提纲等能力。</w:t>
      </w:r>
    </w:p>
    <w:p w14:paraId="0ABBAFA6">
      <w:pPr>
        <w:adjustRightInd w:val="0"/>
        <w:snapToGrid w:val="0"/>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3.互动式教学，教学过程中积极创造情境，引导学生参与到课堂讨论中来。</w:t>
      </w:r>
    </w:p>
    <w:p w14:paraId="3A597324">
      <w:pPr>
        <w:spacing w:line="360" w:lineRule="auto"/>
        <w:outlineLvl w:val="1"/>
        <w:rPr>
          <w:rFonts w:ascii="Times New Roman" w:hAnsi="Times New Roman" w:eastAsia="宋体" w:cs="Times New Roman"/>
          <w:b/>
          <w:bCs/>
          <w:smallCaps/>
          <w:color w:val="333333"/>
          <w:kern w:val="44"/>
          <w:sz w:val="24"/>
          <w:szCs w:val="24"/>
        </w:rPr>
      </w:pPr>
      <w:bookmarkStart w:id="1625" w:name="_Toc9458"/>
      <w:r>
        <w:rPr>
          <w:rFonts w:ascii="Times New Roman" w:hAnsi="Times New Roman" w:eastAsia="宋体" w:cs="Times New Roman"/>
          <w:b/>
          <w:bCs/>
          <w:smallCaps/>
          <w:color w:val="333333"/>
          <w:kern w:val="44"/>
          <w:sz w:val="24"/>
          <w:szCs w:val="24"/>
        </w:rPr>
        <w:t>（二）课程实施与保障</w:t>
      </w:r>
      <w:bookmarkEnd w:id="1625"/>
    </w:p>
    <w:tbl>
      <w:tblPr>
        <w:tblStyle w:val="1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34"/>
        <w:gridCol w:w="7230"/>
      </w:tblGrid>
      <w:tr w14:paraId="46BA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gridSpan w:val="2"/>
            <w:tcBorders>
              <w:top w:val="single" w:color="auto" w:sz="8" w:space="0"/>
              <w:left w:val="single" w:color="auto" w:sz="8" w:space="0"/>
              <w:right w:val="single" w:color="auto" w:sz="8" w:space="0"/>
            </w:tcBorders>
            <w:tcMar>
              <w:left w:w="28" w:type="dxa"/>
              <w:right w:w="28" w:type="dxa"/>
            </w:tcMar>
            <w:vAlign w:val="center"/>
          </w:tcPr>
          <w:p w14:paraId="7D839175">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主要教学环节</w:t>
            </w:r>
          </w:p>
        </w:tc>
        <w:tc>
          <w:tcPr>
            <w:tcW w:w="7230" w:type="dxa"/>
            <w:tcBorders>
              <w:top w:val="single" w:color="auto" w:sz="8" w:space="0"/>
              <w:left w:val="single" w:color="auto" w:sz="8" w:space="0"/>
              <w:right w:val="single" w:color="auto" w:sz="8" w:space="0"/>
            </w:tcBorders>
            <w:vAlign w:val="center"/>
          </w:tcPr>
          <w:p w14:paraId="08B6EFB8">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质量要求</w:t>
            </w:r>
          </w:p>
        </w:tc>
      </w:tr>
      <w:tr w14:paraId="17DC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EB4E4A8">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w:t>
            </w:r>
          </w:p>
        </w:tc>
        <w:tc>
          <w:tcPr>
            <w:tcW w:w="1234" w:type="dxa"/>
            <w:tcMar>
              <w:left w:w="28" w:type="dxa"/>
              <w:right w:w="28" w:type="dxa"/>
            </w:tcMar>
            <w:vAlign w:val="center"/>
          </w:tcPr>
          <w:p w14:paraId="6EAFC1A0">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备课</w:t>
            </w:r>
          </w:p>
        </w:tc>
        <w:tc>
          <w:tcPr>
            <w:tcW w:w="7230" w:type="dxa"/>
            <w:tcBorders>
              <w:right w:val="single" w:color="auto" w:sz="8" w:space="0"/>
            </w:tcBorders>
            <w:vAlign w:val="center"/>
          </w:tcPr>
          <w:p w14:paraId="13952BBF">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（1）严格按照教学大纲要求进行课程教学内容的组织。</w:t>
            </w:r>
          </w:p>
          <w:p w14:paraId="075E090E">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（2）借助专业书籍资料和其他材料，依据教学大纲编写授课计划，编写授课教案。</w:t>
            </w:r>
          </w:p>
          <w:p w14:paraId="7E019258">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（3）根据各部分教学内容构思授课思路、技巧，选择合适的教学方法。</w:t>
            </w:r>
          </w:p>
        </w:tc>
      </w:tr>
      <w:tr w14:paraId="2A33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687718F">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2</w:t>
            </w:r>
          </w:p>
        </w:tc>
        <w:tc>
          <w:tcPr>
            <w:tcW w:w="1234" w:type="dxa"/>
            <w:tcMar>
              <w:left w:w="28" w:type="dxa"/>
              <w:right w:w="28" w:type="dxa"/>
            </w:tcMar>
            <w:vAlign w:val="center"/>
          </w:tcPr>
          <w:p w14:paraId="43C89AD5">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讲授</w:t>
            </w:r>
          </w:p>
        </w:tc>
        <w:tc>
          <w:tcPr>
            <w:tcW w:w="7230" w:type="dxa"/>
            <w:tcBorders>
              <w:right w:val="single" w:color="auto" w:sz="8" w:space="0"/>
            </w:tcBorders>
            <w:vAlign w:val="center"/>
          </w:tcPr>
          <w:p w14:paraId="210CC29F">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（1）知识讲授努力做到概念准确、条理清晰、重点突出。</w:t>
            </w:r>
          </w:p>
          <w:p w14:paraId="0BD6662E">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（2）采用启发式教学，注重培养学生发现、分析和解决问题的能力。</w:t>
            </w:r>
          </w:p>
          <w:p w14:paraId="63D8DEB8">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（3）采用现代信息技术辅助教学。</w:t>
            </w:r>
          </w:p>
          <w:p w14:paraId="6050C002">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（4）教学语言力求做到形象生动，努力调动学生学习兴趣。</w:t>
            </w:r>
          </w:p>
        </w:tc>
      </w:tr>
      <w:tr w14:paraId="473B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0F8767B">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w:t>
            </w:r>
          </w:p>
        </w:tc>
        <w:tc>
          <w:tcPr>
            <w:tcW w:w="1234" w:type="dxa"/>
            <w:tcMar>
              <w:left w:w="28" w:type="dxa"/>
              <w:right w:w="28" w:type="dxa"/>
            </w:tcMar>
            <w:vAlign w:val="center"/>
          </w:tcPr>
          <w:p w14:paraId="6D0C4D50">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作业布置与批改</w:t>
            </w:r>
          </w:p>
        </w:tc>
        <w:tc>
          <w:tcPr>
            <w:tcW w:w="7230" w:type="dxa"/>
            <w:tcBorders>
              <w:right w:val="single" w:color="auto" w:sz="8" w:space="0"/>
            </w:tcBorders>
            <w:vAlign w:val="center"/>
          </w:tcPr>
          <w:p w14:paraId="3F0BE3AF">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学生必须完成规定数量的作业，作业必须达到以下基本要求：</w:t>
            </w:r>
          </w:p>
          <w:p w14:paraId="41B31D2F">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（1）按时按量完成作业，不缺交，不抄袭。</w:t>
            </w:r>
          </w:p>
          <w:p w14:paraId="07CBBA4A">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（2）书写规范、清晰。</w:t>
            </w:r>
          </w:p>
          <w:p w14:paraId="0DD576D4">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（3）有自己的思考与认识。</w:t>
            </w:r>
          </w:p>
          <w:p w14:paraId="6FDDAB7B">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教师批改和讲评作业要求如下：</w:t>
            </w:r>
          </w:p>
          <w:p w14:paraId="03E43D99">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（1）按时批改学生作业，及时进行讲评。</w:t>
            </w:r>
          </w:p>
          <w:p w14:paraId="73283608">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（2）批改和讲评作业认真、细致。</w:t>
            </w:r>
          </w:p>
        </w:tc>
      </w:tr>
      <w:tr w14:paraId="2C8F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4AC80F7">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4</w:t>
            </w:r>
          </w:p>
        </w:tc>
        <w:tc>
          <w:tcPr>
            <w:tcW w:w="1234" w:type="dxa"/>
            <w:tcMar>
              <w:left w:w="28" w:type="dxa"/>
              <w:right w:w="28" w:type="dxa"/>
            </w:tcMar>
            <w:vAlign w:val="center"/>
          </w:tcPr>
          <w:p w14:paraId="57A1DBDD">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课外答疑</w:t>
            </w:r>
          </w:p>
        </w:tc>
        <w:tc>
          <w:tcPr>
            <w:tcW w:w="7230" w:type="dxa"/>
            <w:tcBorders>
              <w:right w:val="single" w:color="auto" w:sz="8" w:space="0"/>
            </w:tcBorders>
            <w:vAlign w:val="center"/>
          </w:tcPr>
          <w:p w14:paraId="22686426">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为了解学生的学习情况，帮助学生更好地理解和消化所学知识、改进学习方法和思维方式，培养其独立思考问题的能力，根据学生实际需要安排一定时间进行课外答疑与辅导。</w:t>
            </w:r>
          </w:p>
        </w:tc>
      </w:tr>
      <w:tr w14:paraId="59D3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8510D49">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5</w:t>
            </w:r>
          </w:p>
        </w:tc>
        <w:tc>
          <w:tcPr>
            <w:tcW w:w="1234" w:type="dxa"/>
            <w:tcMar>
              <w:left w:w="28" w:type="dxa"/>
              <w:right w:w="28" w:type="dxa"/>
            </w:tcMar>
            <w:vAlign w:val="center"/>
          </w:tcPr>
          <w:p w14:paraId="28FC60B9">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成绩考核</w:t>
            </w:r>
          </w:p>
        </w:tc>
        <w:tc>
          <w:tcPr>
            <w:tcW w:w="7230" w:type="dxa"/>
            <w:tcBorders>
              <w:right w:val="single" w:color="auto" w:sz="8" w:space="0"/>
            </w:tcBorders>
            <w:vAlign w:val="center"/>
          </w:tcPr>
          <w:p w14:paraId="5281FE43">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本课程考核的方式为闭卷笔试。有下列情况之一者，总评成绩为不及格：</w:t>
            </w:r>
          </w:p>
          <w:p w14:paraId="21C8A305">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（1）缺交作业次数达1/3以上者。</w:t>
            </w:r>
          </w:p>
          <w:p w14:paraId="4DFA5303">
            <w:pPr>
              <w:spacing w:line="276" w:lineRule="auto"/>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（2）缺课次数达本学期总授课学时的1/3以上者。</w:t>
            </w:r>
          </w:p>
        </w:tc>
      </w:tr>
    </w:tbl>
    <w:p w14:paraId="79B6CADA">
      <w:pPr>
        <w:spacing w:line="360" w:lineRule="auto"/>
        <w:rPr>
          <w:rFonts w:ascii="Times New Roman" w:hAnsi="Times New Roman" w:eastAsia="宋体" w:cs="Times New Roman"/>
          <w:b/>
          <w:bCs/>
          <w:smallCaps/>
          <w:color w:val="333333"/>
          <w:kern w:val="44"/>
          <w:sz w:val="24"/>
          <w:szCs w:val="24"/>
        </w:rPr>
      </w:pPr>
    </w:p>
    <w:p w14:paraId="10EB6390">
      <w:pPr>
        <w:spacing w:line="360" w:lineRule="auto"/>
        <w:outlineLvl w:val="0"/>
        <w:rPr>
          <w:rFonts w:ascii="Times New Roman" w:hAnsi="Times New Roman" w:eastAsia="宋体" w:cs="Times New Roman"/>
          <w:b/>
          <w:bCs/>
          <w:smallCaps/>
          <w:color w:val="333333"/>
          <w:kern w:val="44"/>
          <w:sz w:val="28"/>
          <w:szCs w:val="28"/>
        </w:rPr>
      </w:pPr>
      <w:bookmarkStart w:id="1626" w:name="_Toc31250"/>
      <w:bookmarkStart w:id="1627" w:name="_Toc29498"/>
      <w:bookmarkStart w:id="1628" w:name="_Toc17973"/>
      <w:bookmarkStart w:id="1629" w:name="_Toc6681"/>
      <w:bookmarkStart w:id="1630" w:name="_Toc22556"/>
      <w:bookmarkStart w:id="1631" w:name="_Toc9723"/>
      <w:bookmarkStart w:id="1632" w:name="_Toc20947"/>
      <w:r>
        <w:rPr>
          <w:rFonts w:ascii="Times New Roman" w:hAnsi="Times New Roman" w:eastAsia="宋体" w:cs="Times New Roman"/>
          <w:b/>
          <w:bCs/>
          <w:smallCaps/>
          <w:color w:val="333333"/>
          <w:kern w:val="44"/>
          <w:sz w:val="28"/>
          <w:szCs w:val="28"/>
        </w:rPr>
        <w:t>五、课程考核</w:t>
      </w:r>
      <w:bookmarkEnd w:id="1626"/>
      <w:bookmarkEnd w:id="1627"/>
      <w:bookmarkEnd w:id="1628"/>
      <w:bookmarkEnd w:id="1629"/>
      <w:bookmarkEnd w:id="1630"/>
      <w:bookmarkEnd w:id="1631"/>
      <w:bookmarkEnd w:id="1632"/>
    </w:p>
    <w:p w14:paraId="743F6B43">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（一）课程考核包括平时成绩和期末考试成绩两部分，期末考试采用闭卷笔试方式。</w:t>
      </w:r>
    </w:p>
    <w:p w14:paraId="1087B15C">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（二）课程总评成绩=平时成绩×50% +期末考试成绩×50%。具体内容和比例如表所示。</w:t>
      </w:r>
    </w:p>
    <w:tbl>
      <w:tblPr>
        <w:tblStyle w:val="10"/>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55"/>
        <w:gridCol w:w="670"/>
        <w:gridCol w:w="4858"/>
        <w:gridCol w:w="1470"/>
      </w:tblGrid>
      <w:tr w14:paraId="6BFE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7D528EBD">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成绩组成</w:t>
            </w:r>
          </w:p>
        </w:tc>
        <w:tc>
          <w:tcPr>
            <w:tcW w:w="1255" w:type="dxa"/>
            <w:tcBorders>
              <w:top w:val="single" w:color="auto" w:sz="4" w:space="0"/>
              <w:left w:val="single" w:color="auto" w:sz="4" w:space="0"/>
              <w:bottom w:val="single" w:color="auto" w:sz="4" w:space="0"/>
              <w:right w:val="single" w:color="auto" w:sz="4" w:space="0"/>
            </w:tcBorders>
            <w:shd w:val="clear" w:color="auto" w:fill="FFFFFF"/>
            <w:vAlign w:val="center"/>
          </w:tcPr>
          <w:p w14:paraId="063AB9F6">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考核/评价环节</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64E00D15">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权重</w:t>
            </w:r>
          </w:p>
        </w:tc>
        <w:tc>
          <w:tcPr>
            <w:tcW w:w="4858" w:type="dxa"/>
            <w:tcBorders>
              <w:top w:val="single" w:color="auto" w:sz="4" w:space="0"/>
              <w:left w:val="single" w:color="auto" w:sz="4" w:space="0"/>
              <w:bottom w:val="single" w:color="auto" w:sz="4" w:space="0"/>
              <w:right w:val="single" w:color="auto" w:sz="4" w:space="0"/>
            </w:tcBorders>
            <w:shd w:val="clear" w:color="auto" w:fill="FFFFFF"/>
            <w:vAlign w:val="center"/>
          </w:tcPr>
          <w:p w14:paraId="321335E6">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考核/评价细则</w:t>
            </w:r>
          </w:p>
        </w:tc>
        <w:tc>
          <w:tcPr>
            <w:tcW w:w="1470" w:type="dxa"/>
            <w:tcBorders>
              <w:top w:val="single" w:color="auto" w:sz="4" w:space="0"/>
              <w:left w:val="single" w:color="auto" w:sz="4" w:space="0"/>
              <w:bottom w:val="single" w:color="auto" w:sz="4" w:space="0"/>
              <w:right w:val="single" w:color="auto" w:sz="4" w:space="0"/>
            </w:tcBorders>
            <w:shd w:val="clear" w:color="auto" w:fill="FFFFFF"/>
            <w:vAlign w:val="center"/>
          </w:tcPr>
          <w:p w14:paraId="28A98437">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对应的毕业要求指标点</w:t>
            </w:r>
          </w:p>
        </w:tc>
      </w:tr>
      <w:tr w14:paraId="0318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Borders>
              <w:top w:val="single" w:color="auto" w:sz="4" w:space="0"/>
              <w:left w:val="single" w:color="auto" w:sz="4" w:space="0"/>
              <w:right w:val="single" w:color="auto" w:sz="4" w:space="0"/>
            </w:tcBorders>
            <w:shd w:val="clear" w:color="auto" w:fill="FFFFFF"/>
            <w:tcMar>
              <w:left w:w="57" w:type="dxa"/>
              <w:right w:w="57" w:type="dxa"/>
            </w:tcMar>
            <w:vAlign w:val="center"/>
          </w:tcPr>
          <w:p w14:paraId="68497243">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平时成绩</w:t>
            </w:r>
          </w:p>
        </w:tc>
        <w:tc>
          <w:tcPr>
            <w:tcW w:w="1255" w:type="dxa"/>
            <w:tcBorders>
              <w:top w:val="single" w:color="auto" w:sz="4" w:space="0"/>
              <w:left w:val="single" w:color="auto" w:sz="4" w:space="0"/>
              <w:bottom w:val="single" w:color="auto" w:sz="4" w:space="0"/>
              <w:right w:val="single" w:color="auto" w:sz="4" w:space="0"/>
            </w:tcBorders>
            <w:shd w:val="clear" w:color="auto" w:fill="FFFFFF"/>
            <w:vAlign w:val="center"/>
          </w:tcPr>
          <w:p w14:paraId="21C36EA0">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课堂提问</w:t>
            </w:r>
          </w:p>
          <w:p w14:paraId="11F49A3C">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平时作业</w:t>
            </w:r>
          </w:p>
          <w:p w14:paraId="268B889B">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考勤</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25D62A57">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50%</w:t>
            </w:r>
          </w:p>
        </w:tc>
        <w:tc>
          <w:tcPr>
            <w:tcW w:w="4858" w:type="dxa"/>
            <w:tcBorders>
              <w:top w:val="single" w:color="auto" w:sz="4" w:space="0"/>
              <w:left w:val="single" w:color="auto" w:sz="4" w:space="0"/>
              <w:bottom w:val="single" w:color="auto" w:sz="4" w:space="0"/>
              <w:right w:val="single" w:color="auto" w:sz="4" w:space="0"/>
            </w:tcBorders>
            <w:shd w:val="clear" w:color="auto" w:fill="FFFFFF"/>
            <w:vAlign w:val="center"/>
          </w:tcPr>
          <w:p w14:paraId="484BCBE0">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课堂提问是培养学生独立思考的能力。平时作业的是拓展学生学术视野、培养学生研究问题的能力。教师根据学生完成作业的质量评定成绩。学生出勤与平时成绩挂钩。平时成绩的评定是取全部平时成绩的平均值。</w:t>
            </w:r>
          </w:p>
        </w:tc>
        <w:tc>
          <w:tcPr>
            <w:tcW w:w="1470" w:type="dxa"/>
            <w:tcBorders>
              <w:top w:val="single" w:color="auto" w:sz="4" w:space="0"/>
              <w:left w:val="single" w:color="auto" w:sz="4" w:space="0"/>
              <w:bottom w:val="single" w:color="auto" w:sz="4" w:space="0"/>
              <w:right w:val="single" w:color="auto" w:sz="4" w:space="0"/>
            </w:tcBorders>
            <w:shd w:val="clear" w:color="auto" w:fill="FFFFFF"/>
            <w:vAlign w:val="center"/>
          </w:tcPr>
          <w:p w14:paraId="621F3782">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w:t>
            </w:r>
            <w:r>
              <w:rPr>
                <w:rFonts w:hint="eastAsia" w:ascii="Times New Roman" w:hAnsi="Times New Roman" w:eastAsia="宋体" w:cs="Times New Roman"/>
                <w:smallCaps/>
                <w:color w:val="333333"/>
                <w:kern w:val="44"/>
                <w:szCs w:val="21"/>
              </w:rPr>
              <w:t>-</w:t>
            </w:r>
            <w:r>
              <w:rPr>
                <w:rFonts w:ascii="Times New Roman" w:hAnsi="Times New Roman" w:eastAsia="宋体" w:cs="Times New Roman"/>
                <w:smallCaps/>
                <w:color w:val="333333"/>
                <w:kern w:val="44"/>
                <w:szCs w:val="21"/>
              </w:rPr>
              <w:t>1</w:t>
            </w:r>
          </w:p>
          <w:p w14:paraId="3CF0E8E2">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3-2</w:t>
            </w:r>
          </w:p>
        </w:tc>
      </w:tr>
      <w:tr w14:paraId="0075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005271E9">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期末考试</w:t>
            </w:r>
          </w:p>
          <w:p w14:paraId="0A8D1E4B">
            <w:pPr>
              <w:spacing w:line="276" w:lineRule="auto"/>
              <w:jc w:val="center"/>
              <w:rPr>
                <w:rFonts w:ascii="Times New Roman" w:hAnsi="Times New Roman" w:eastAsia="宋体" w:cs="Times New Roman"/>
                <w:smallCaps/>
                <w:color w:val="333333"/>
                <w:kern w:val="44"/>
                <w:szCs w:val="21"/>
              </w:rPr>
            </w:pPr>
          </w:p>
        </w:tc>
        <w:tc>
          <w:tcPr>
            <w:tcW w:w="1255" w:type="dxa"/>
            <w:tcBorders>
              <w:top w:val="single" w:color="auto" w:sz="4" w:space="0"/>
              <w:left w:val="single" w:color="auto" w:sz="4" w:space="0"/>
              <w:bottom w:val="single" w:color="auto" w:sz="4" w:space="0"/>
              <w:right w:val="single" w:color="auto" w:sz="4" w:space="0"/>
            </w:tcBorders>
            <w:shd w:val="clear" w:color="auto" w:fill="FFFFFF"/>
            <w:vAlign w:val="center"/>
          </w:tcPr>
          <w:p w14:paraId="1FA61674">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期末考试</w:t>
            </w:r>
          </w:p>
          <w:p w14:paraId="53EB9450">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卷面成绩</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0D97413D">
            <w:pPr>
              <w:spacing w:line="276" w:lineRule="auto"/>
              <w:jc w:val="center"/>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50%</w:t>
            </w:r>
          </w:p>
        </w:tc>
        <w:tc>
          <w:tcPr>
            <w:tcW w:w="4858" w:type="dxa"/>
            <w:tcBorders>
              <w:top w:val="single" w:color="auto" w:sz="4" w:space="0"/>
              <w:left w:val="single" w:color="auto" w:sz="4" w:space="0"/>
              <w:bottom w:val="single" w:color="auto" w:sz="4" w:space="0"/>
              <w:right w:val="single" w:color="auto" w:sz="4" w:space="0"/>
            </w:tcBorders>
            <w:shd w:val="clear" w:color="auto" w:fill="FFFFFF"/>
            <w:vAlign w:val="center"/>
          </w:tcPr>
          <w:p w14:paraId="365BE2FB">
            <w:pPr>
              <w:spacing w:line="276" w:lineRule="auto"/>
              <w:jc w:val="left"/>
              <w:rPr>
                <w:rFonts w:ascii="Times New Roman" w:hAnsi="Times New Roman" w:eastAsia="宋体" w:cs="Times New Roman"/>
                <w:smallCaps/>
                <w:color w:val="333333"/>
                <w:kern w:val="44"/>
                <w:szCs w:val="21"/>
              </w:rPr>
            </w:pPr>
            <w:r>
              <w:rPr>
                <w:rFonts w:ascii="Times New Roman" w:hAnsi="Times New Roman" w:eastAsia="宋体" w:cs="Times New Roman"/>
                <w:smallCaps/>
                <w:color w:val="333333"/>
                <w:kern w:val="44"/>
                <w:szCs w:val="21"/>
              </w:rPr>
              <w:t>试卷题型为填空、名词解释、简答、论述题，主要考核学生对本课程知识的掌握，并考核其分析和解决问题的能力。</w:t>
            </w:r>
          </w:p>
        </w:tc>
        <w:tc>
          <w:tcPr>
            <w:tcW w:w="1470" w:type="dxa"/>
            <w:tcBorders>
              <w:top w:val="single" w:color="auto" w:sz="4" w:space="0"/>
              <w:left w:val="single" w:color="auto" w:sz="4" w:space="0"/>
              <w:bottom w:val="single" w:color="auto" w:sz="4" w:space="0"/>
              <w:right w:val="single" w:color="auto" w:sz="4" w:space="0"/>
            </w:tcBorders>
            <w:shd w:val="clear" w:color="auto" w:fill="FFFFFF"/>
          </w:tcPr>
          <w:p w14:paraId="225435BB">
            <w:pPr>
              <w:spacing w:line="276" w:lineRule="auto"/>
              <w:jc w:val="center"/>
              <w:rPr>
                <w:rFonts w:ascii="Times New Roman" w:hAnsi="Times New Roman" w:eastAsia="楷体" w:cs="Times New Roman"/>
                <w:smallCaps/>
                <w:color w:val="333333"/>
                <w:kern w:val="44"/>
                <w:szCs w:val="21"/>
              </w:rPr>
            </w:pPr>
            <w:r>
              <w:rPr>
                <w:rFonts w:ascii="Times New Roman" w:hAnsi="Times New Roman" w:eastAsia="楷体" w:cs="Times New Roman"/>
                <w:smallCaps/>
                <w:color w:val="333333"/>
                <w:kern w:val="44"/>
                <w:szCs w:val="21"/>
              </w:rPr>
              <w:t>2</w:t>
            </w:r>
            <w:r>
              <w:rPr>
                <w:rFonts w:hint="eastAsia" w:ascii="Times New Roman" w:hAnsi="Times New Roman" w:eastAsia="楷体" w:cs="Times New Roman"/>
                <w:smallCaps/>
                <w:color w:val="333333"/>
                <w:kern w:val="44"/>
                <w:szCs w:val="21"/>
              </w:rPr>
              <w:t>-</w:t>
            </w:r>
            <w:r>
              <w:rPr>
                <w:rFonts w:ascii="Times New Roman" w:hAnsi="Times New Roman" w:eastAsia="楷体" w:cs="Times New Roman"/>
                <w:smallCaps/>
                <w:color w:val="333333"/>
                <w:kern w:val="44"/>
                <w:szCs w:val="21"/>
              </w:rPr>
              <w:t>3</w:t>
            </w:r>
            <w:r>
              <w:rPr>
                <w:rFonts w:hint="eastAsia" w:ascii="Times New Roman" w:hAnsi="Times New Roman" w:eastAsia="楷体" w:cs="Times New Roman"/>
                <w:smallCaps/>
                <w:color w:val="333333"/>
                <w:kern w:val="44"/>
                <w:szCs w:val="21"/>
              </w:rPr>
              <w:t>、</w:t>
            </w:r>
            <w:r>
              <w:rPr>
                <w:rFonts w:ascii="Times New Roman" w:hAnsi="Times New Roman" w:eastAsia="楷体" w:cs="Times New Roman"/>
                <w:smallCaps/>
                <w:color w:val="333333"/>
                <w:kern w:val="44"/>
                <w:szCs w:val="21"/>
              </w:rPr>
              <w:t>3-1</w:t>
            </w:r>
            <w:r>
              <w:rPr>
                <w:rFonts w:hint="eastAsia" w:ascii="Times New Roman" w:hAnsi="Times New Roman" w:eastAsia="楷体" w:cs="Times New Roman"/>
                <w:smallCaps/>
                <w:color w:val="333333"/>
                <w:kern w:val="44"/>
                <w:szCs w:val="21"/>
              </w:rPr>
              <w:t>、</w:t>
            </w:r>
          </w:p>
          <w:p w14:paraId="51F9C094">
            <w:pPr>
              <w:spacing w:line="276" w:lineRule="auto"/>
              <w:jc w:val="center"/>
              <w:rPr>
                <w:rFonts w:ascii="Times New Roman" w:hAnsi="Times New Roman" w:eastAsia="宋体" w:cs="Times New Roman"/>
                <w:smallCaps/>
                <w:color w:val="333333"/>
                <w:kern w:val="44"/>
                <w:szCs w:val="21"/>
              </w:rPr>
            </w:pPr>
            <w:r>
              <w:rPr>
                <w:rFonts w:hint="eastAsia" w:ascii="Times New Roman" w:hAnsi="Times New Roman" w:eastAsia="楷体" w:cs="Times New Roman"/>
                <w:smallCaps/>
                <w:color w:val="333333"/>
                <w:kern w:val="44"/>
                <w:szCs w:val="21"/>
              </w:rPr>
              <w:t>3-</w:t>
            </w:r>
            <w:r>
              <w:rPr>
                <w:rFonts w:ascii="Times New Roman" w:hAnsi="Times New Roman" w:eastAsia="楷体" w:cs="Times New Roman"/>
                <w:smallCaps/>
                <w:color w:val="333333"/>
                <w:kern w:val="44"/>
                <w:szCs w:val="21"/>
              </w:rPr>
              <w:t>2</w:t>
            </w:r>
            <w:r>
              <w:rPr>
                <w:rFonts w:hint="eastAsia" w:ascii="Times New Roman" w:hAnsi="Times New Roman" w:eastAsia="楷体" w:cs="Times New Roman"/>
                <w:smallCaps/>
                <w:color w:val="333333"/>
                <w:kern w:val="44"/>
                <w:szCs w:val="21"/>
              </w:rPr>
              <w:t>、</w:t>
            </w:r>
            <w:r>
              <w:rPr>
                <w:rFonts w:ascii="Times New Roman" w:hAnsi="Times New Roman" w:eastAsia="楷体" w:cs="Times New Roman"/>
                <w:smallCaps/>
                <w:color w:val="333333"/>
                <w:kern w:val="44"/>
                <w:szCs w:val="21"/>
              </w:rPr>
              <w:t>6</w:t>
            </w:r>
            <w:r>
              <w:rPr>
                <w:rFonts w:hint="eastAsia" w:ascii="Times New Roman" w:hAnsi="Times New Roman" w:eastAsia="楷体" w:cs="Times New Roman"/>
                <w:smallCaps/>
                <w:color w:val="333333"/>
                <w:kern w:val="44"/>
                <w:szCs w:val="21"/>
              </w:rPr>
              <w:t>-</w:t>
            </w:r>
            <w:r>
              <w:rPr>
                <w:rFonts w:ascii="Times New Roman" w:hAnsi="Times New Roman" w:eastAsia="楷体" w:cs="Times New Roman"/>
                <w:smallCaps/>
                <w:color w:val="333333"/>
                <w:kern w:val="44"/>
                <w:szCs w:val="21"/>
              </w:rPr>
              <w:t>2</w:t>
            </w:r>
          </w:p>
        </w:tc>
      </w:tr>
    </w:tbl>
    <w:p w14:paraId="20DA6D5C">
      <w:pPr>
        <w:spacing w:line="360" w:lineRule="auto"/>
        <w:rPr>
          <w:rFonts w:ascii="Times New Roman" w:hAnsi="Times New Roman" w:eastAsia="宋体" w:cs="Times New Roman"/>
          <w:b/>
          <w:bCs/>
          <w:smallCaps/>
          <w:color w:val="333333"/>
          <w:kern w:val="44"/>
          <w:sz w:val="24"/>
          <w:szCs w:val="24"/>
        </w:rPr>
      </w:pPr>
    </w:p>
    <w:p w14:paraId="6B25B0A7">
      <w:pPr>
        <w:spacing w:line="360" w:lineRule="auto"/>
        <w:outlineLvl w:val="0"/>
        <w:rPr>
          <w:rFonts w:ascii="Times New Roman" w:hAnsi="Times New Roman" w:eastAsia="宋体" w:cs="Times New Roman"/>
          <w:b/>
          <w:bCs/>
          <w:smallCaps/>
          <w:color w:val="333333"/>
          <w:kern w:val="44"/>
          <w:sz w:val="28"/>
          <w:szCs w:val="28"/>
        </w:rPr>
      </w:pPr>
      <w:bookmarkStart w:id="1633" w:name="_Toc31124"/>
      <w:bookmarkStart w:id="1634" w:name="_Toc15681"/>
      <w:bookmarkStart w:id="1635" w:name="_Toc10857"/>
      <w:bookmarkStart w:id="1636" w:name="_Toc13642"/>
      <w:bookmarkStart w:id="1637" w:name="_Toc5297"/>
      <w:bookmarkStart w:id="1638" w:name="_Toc26269"/>
      <w:bookmarkStart w:id="1639" w:name="_Toc13511"/>
      <w:r>
        <w:rPr>
          <w:rFonts w:ascii="Times New Roman" w:hAnsi="Times New Roman" w:eastAsia="宋体" w:cs="Times New Roman"/>
          <w:b/>
          <w:bCs/>
          <w:smallCaps/>
          <w:color w:val="333333"/>
          <w:kern w:val="44"/>
          <w:sz w:val="28"/>
          <w:szCs w:val="28"/>
        </w:rPr>
        <w:t>六、有关说明</w:t>
      </w:r>
      <w:bookmarkEnd w:id="1633"/>
      <w:bookmarkEnd w:id="1634"/>
      <w:bookmarkEnd w:id="1635"/>
      <w:bookmarkEnd w:id="1636"/>
      <w:bookmarkEnd w:id="1637"/>
      <w:bookmarkEnd w:id="1638"/>
      <w:bookmarkEnd w:id="1639"/>
    </w:p>
    <w:p w14:paraId="7D39C3EF">
      <w:pPr>
        <w:spacing w:line="360" w:lineRule="auto"/>
        <w:outlineLvl w:val="1"/>
        <w:rPr>
          <w:rFonts w:ascii="Times New Roman" w:hAnsi="Times New Roman" w:eastAsia="宋体" w:cs="Times New Roman"/>
          <w:b/>
          <w:bCs/>
          <w:smallCaps/>
          <w:color w:val="333333"/>
          <w:kern w:val="44"/>
          <w:sz w:val="24"/>
          <w:szCs w:val="24"/>
        </w:rPr>
      </w:pPr>
      <w:bookmarkStart w:id="1640" w:name="_Toc1384"/>
      <w:r>
        <w:rPr>
          <w:rFonts w:ascii="Times New Roman" w:hAnsi="Times New Roman" w:eastAsia="宋体" w:cs="Times New Roman"/>
          <w:b/>
          <w:bCs/>
          <w:smallCaps/>
          <w:color w:val="333333"/>
          <w:kern w:val="44"/>
          <w:sz w:val="24"/>
          <w:szCs w:val="24"/>
        </w:rPr>
        <w:t>（一）持续改进</w:t>
      </w:r>
      <w:bookmarkEnd w:id="1640"/>
    </w:p>
    <w:p w14:paraId="7EA040D7">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本课程根据学生作业、课堂讨论情况和学生、教学督导等方面的反馈意见及时对教学中的不足之处进行改进，并在下一轮课程教学中整改完善，确保相应毕业要求指标点达成。</w:t>
      </w:r>
    </w:p>
    <w:p w14:paraId="504D1BF0">
      <w:pPr>
        <w:spacing w:line="360" w:lineRule="auto"/>
        <w:outlineLvl w:val="1"/>
        <w:rPr>
          <w:rFonts w:ascii="Times New Roman" w:hAnsi="Times New Roman" w:eastAsia="宋体" w:cs="Times New Roman"/>
          <w:b/>
          <w:bCs/>
          <w:smallCaps/>
          <w:color w:val="333333"/>
          <w:kern w:val="44"/>
          <w:sz w:val="24"/>
          <w:szCs w:val="24"/>
        </w:rPr>
      </w:pPr>
      <w:bookmarkStart w:id="1641" w:name="_Toc17204"/>
      <w:r>
        <w:rPr>
          <w:rFonts w:ascii="Times New Roman" w:hAnsi="Times New Roman" w:eastAsia="宋体" w:cs="Times New Roman"/>
          <w:b/>
          <w:bCs/>
          <w:smallCaps/>
          <w:color w:val="333333"/>
          <w:kern w:val="44"/>
          <w:sz w:val="24"/>
          <w:szCs w:val="24"/>
        </w:rPr>
        <w:t>（二）参考书目及学习资料</w:t>
      </w:r>
      <w:bookmarkEnd w:id="1641"/>
    </w:p>
    <w:p w14:paraId="307743D2">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1．《古代汉语》，郭锡良主编，天津教育出版社，1996年版。</w:t>
      </w:r>
    </w:p>
    <w:p w14:paraId="04632368">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2．《古代汉语》，许嘉璐主编，高等教育出版社，1992年版。</w:t>
      </w:r>
    </w:p>
    <w:p w14:paraId="4E317FE5">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3．《古代汉语》，刘亦晨主编，华东师范大学出版社，1997年版。</w:t>
      </w:r>
    </w:p>
    <w:p w14:paraId="0837038E">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4．《文字学概要》，裘锡圭，商务印书馆，1999年版。</w:t>
      </w:r>
    </w:p>
    <w:p w14:paraId="466860C4">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5．《汉语音韵学》，王力，中华书局，1987年版。</w:t>
      </w:r>
    </w:p>
    <w:p w14:paraId="3084675E">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6．《诗词格律》，王力，中华书局，1999年版。</w:t>
      </w:r>
    </w:p>
    <w:p w14:paraId="68DDA009">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7．《汉语音韵学常识》，唐作藩，上海教育出版社，1979年版。</w:t>
      </w:r>
    </w:p>
    <w:p w14:paraId="755F03FC">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8．《汉语语法史》，王力，商务印书馆，1989年版。</w:t>
      </w:r>
    </w:p>
    <w:p w14:paraId="7302436F">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 xml:space="preserve">9．《古代汉语虚词词典》，中科院语言研究所古汉语研究室，商务印书馆，2000年版。 </w:t>
      </w:r>
    </w:p>
    <w:p w14:paraId="4F1FD58E">
      <w:pPr>
        <w:adjustRightInd w:val="0"/>
        <w:snapToGrid w:val="0"/>
        <w:spacing w:line="360" w:lineRule="auto"/>
        <w:outlineLvl w:val="1"/>
        <w:rPr>
          <w:rFonts w:ascii="Times New Roman" w:hAnsi="Times New Roman" w:eastAsia="宋体" w:cs="Times New Roman"/>
          <w:b/>
          <w:bCs/>
          <w:smallCaps/>
          <w:color w:val="333333"/>
          <w:kern w:val="44"/>
          <w:sz w:val="24"/>
          <w:szCs w:val="22"/>
        </w:rPr>
      </w:pPr>
      <w:bookmarkStart w:id="1642" w:name="_Toc9460"/>
      <w:r>
        <w:rPr>
          <w:rFonts w:ascii="Times New Roman" w:hAnsi="Times New Roman" w:eastAsia="宋体" w:cs="Times New Roman"/>
          <w:b/>
          <w:bCs/>
          <w:smallCaps/>
          <w:color w:val="333333"/>
          <w:kern w:val="44"/>
          <w:sz w:val="24"/>
          <w:szCs w:val="22"/>
        </w:rPr>
        <w:t>（三）学习网站推荐</w:t>
      </w:r>
      <w:bookmarkEnd w:id="1642"/>
    </w:p>
    <w:p w14:paraId="740773C7">
      <w:pPr>
        <w:adjustRightInd w:val="0"/>
        <w:snapToGrid w:val="0"/>
        <w:spacing w:line="360" w:lineRule="auto"/>
        <w:jc w:val="left"/>
        <w:rPr>
          <w:rFonts w:ascii="Times New Roman" w:hAnsi="Times New Roman" w:eastAsia="宋体" w:cs="Times New Roman"/>
          <w:smallCaps/>
          <w:color w:val="333333"/>
          <w:kern w:val="44"/>
          <w:sz w:val="24"/>
          <w:szCs w:val="22"/>
        </w:rPr>
      </w:pPr>
      <w:r>
        <w:rPr>
          <w:rFonts w:ascii="Times New Roman" w:hAnsi="Times New Roman" w:eastAsia="宋体" w:cs="Times New Roman"/>
          <w:smallCaps/>
          <w:color w:val="333333"/>
          <w:kern w:val="44"/>
          <w:sz w:val="24"/>
          <w:szCs w:val="22"/>
        </w:rPr>
        <w:t xml:space="preserve">  1. 学堂在线-国家精品课程，http://www.xuetangx.com/                       </w:t>
      </w:r>
    </w:p>
    <w:p w14:paraId="17A6712D">
      <w:pPr>
        <w:adjustRightInd w:val="0"/>
        <w:snapToGrid w:val="0"/>
        <w:spacing w:line="360" w:lineRule="auto"/>
        <w:jc w:val="left"/>
        <w:rPr>
          <w:rFonts w:ascii="Times New Roman" w:hAnsi="Times New Roman" w:eastAsia="宋体" w:cs="Times New Roman"/>
          <w:smallCaps/>
          <w:color w:val="333333"/>
          <w:kern w:val="44"/>
          <w:sz w:val="24"/>
          <w:szCs w:val="22"/>
        </w:rPr>
      </w:pPr>
      <w:r>
        <w:rPr>
          <w:rFonts w:ascii="Times New Roman" w:hAnsi="Times New Roman" w:eastAsia="宋体" w:cs="Times New Roman"/>
          <w:smallCaps/>
          <w:color w:val="333333"/>
          <w:kern w:val="44"/>
          <w:sz w:val="24"/>
          <w:szCs w:val="22"/>
        </w:rPr>
        <w:t xml:space="preserve">  2. 爱课程-在线开放课程，http://www.icourses.cn/home/</w:t>
      </w:r>
    </w:p>
    <w:p w14:paraId="5449AB18">
      <w:pPr>
        <w:adjustRightInd w:val="0"/>
        <w:snapToGrid w:val="0"/>
        <w:spacing w:line="360" w:lineRule="auto"/>
        <w:jc w:val="left"/>
        <w:rPr>
          <w:rFonts w:ascii="Times New Roman" w:hAnsi="Times New Roman" w:eastAsia="宋体" w:cs="Times New Roman"/>
          <w:smallCaps/>
          <w:color w:val="333333"/>
          <w:kern w:val="44"/>
          <w:sz w:val="24"/>
          <w:szCs w:val="22"/>
        </w:rPr>
      </w:pPr>
      <w:r>
        <w:rPr>
          <w:rFonts w:ascii="Times New Roman" w:hAnsi="Times New Roman" w:eastAsia="宋体" w:cs="Times New Roman"/>
          <w:smallCaps/>
          <w:color w:val="333333"/>
          <w:kern w:val="44"/>
          <w:sz w:val="24"/>
          <w:szCs w:val="22"/>
        </w:rPr>
        <w:t xml:space="preserve">  3. 网易公开课-中国大学视频公开课，https://open.163.com/</w:t>
      </w:r>
    </w:p>
    <w:p w14:paraId="75F95E58">
      <w:pPr>
        <w:adjustRightInd w:val="0"/>
        <w:snapToGrid w:val="0"/>
        <w:spacing w:line="360" w:lineRule="auto"/>
        <w:jc w:val="left"/>
        <w:rPr>
          <w:rFonts w:ascii="Times New Roman" w:hAnsi="Times New Roman" w:eastAsia="宋体" w:cs="Times New Roman"/>
          <w:smallCaps/>
          <w:color w:val="333333"/>
          <w:kern w:val="44"/>
          <w:sz w:val="24"/>
          <w:szCs w:val="22"/>
        </w:rPr>
      </w:pPr>
      <w:r>
        <w:rPr>
          <w:rFonts w:ascii="Times New Roman" w:hAnsi="Times New Roman" w:eastAsia="宋体" w:cs="Times New Roman"/>
          <w:smallCaps/>
          <w:color w:val="333333"/>
          <w:kern w:val="44"/>
          <w:sz w:val="24"/>
          <w:szCs w:val="22"/>
        </w:rPr>
        <w:t xml:space="preserve">  4. 中国大学MOOC-国家精品在线开放课程，https://www.icourse163.org/ </w:t>
      </w:r>
    </w:p>
    <w:p w14:paraId="30AFA05C">
      <w:pPr>
        <w:adjustRightInd w:val="0"/>
        <w:snapToGrid w:val="0"/>
        <w:spacing w:line="360" w:lineRule="auto"/>
        <w:outlineLvl w:val="1"/>
        <w:rPr>
          <w:rFonts w:ascii="Times New Roman" w:hAnsi="Times New Roman" w:eastAsia="宋体" w:cs="Times New Roman"/>
          <w:b/>
          <w:bCs/>
          <w:smallCaps/>
          <w:color w:val="333333"/>
          <w:kern w:val="44"/>
          <w:sz w:val="24"/>
          <w:szCs w:val="22"/>
        </w:rPr>
      </w:pPr>
      <w:bookmarkStart w:id="1643" w:name="_Toc12601"/>
      <w:r>
        <w:rPr>
          <w:rFonts w:ascii="Times New Roman" w:hAnsi="Times New Roman" w:eastAsia="宋体" w:cs="Times New Roman"/>
          <w:b/>
          <w:bCs/>
          <w:smallCaps/>
          <w:color w:val="333333"/>
          <w:kern w:val="44"/>
          <w:sz w:val="24"/>
          <w:szCs w:val="22"/>
        </w:rPr>
        <w:t>（四）其它</w:t>
      </w:r>
      <w:bookmarkEnd w:id="1643"/>
    </w:p>
    <w:p w14:paraId="1A60C064">
      <w:pPr>
        <w:spacing w:line="360" w:lineRule="auto"/>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2"/>
        </w:rPr>
        <w:t>本课程鼓励学生通过广泛深入的阅读中国文化经典文本，撰写研究性论文、读书报告等，以拓宽学生的知识面，培养学生查阅文献资料和开展学习研究的能力，促使学生了解本课程的发展及最新研究动态。</w:t>
      </w:r>
    </w:p>
    <w:p w14:paraId="2F784E4B">
      <w:pPr>
        <w:spacing w:line="360" w:lineRule="auto"/>
        <w:rPr>
          <w:rFonts w:ascii="Times New Roman" w:hAnsi="Times New Roman" w:eastAsia="宋体" w:cs="Times New Roman"/>
          <w:smallCaps/>
          <w:color w:val="333333"/>
          <w:kern w:val="44"/>
          <w:sz w:val="24"/>
          <w:szCs w:val="24"/>
        </w:rPr>
      </w:pPr>
    </w:p>
    <w:p w14:paraId="0A0D9CE5">
      <w:pPr>
        <w:spacing w:line="360" w:lineRule="auto"/>
        <w:rPr>
          <w:rFonts w:ascii="Times New Roman" w:hAnsi="Times New Roman" w:eastAsia="宋体" w:cs="Times New Roman"/>
          <w:smallCaps/>
          <w:color w:val="333333"/>
          <w:kern w:val="44"/>
          <w:sz w:val="24"/>
          <w:szCs w:val="24"/>
        </w:rPr>
      </w:pPr>
    </w:p>
    <w:p w14:paraId="20904872">
      <w:pPr>
        <w:autoSpaceDE w:val="0"/>
        <w:autoSpaceDN w:val="0"/>
        <w:adjustRightInd w:val="0"/>
        <w:spacing w:line="360" w:lineRule="auto"/>
        <w:jc w:val="center"/>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 xml:space="preserve">                                         执</w:t>
      </w: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笔</w:t>
      </w: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 xml:space="preserve">人：王倩倩 </w:t>
      </w:r>
    </w:p>
    <w:p w14:paraId="48232856">
      <w:pPr>
        <w:autoSpaceDE w:val="0"/>
        <w:autoSpaceDN w:val="0"/>
        <w:adjustRightInd w:val="0"/>
        <w:spacing w:line="360" w:lineRule="auto"/>
        <w:jc w:val="center"/>
        <w:rPr>
          <w:rFonts w:ascii="Times New Roman" w:hAnsi="Times New Roman" w:eastAsia="宋体" w:cs="Times New Roman"/>
          <w:smallCaps/>
          <w:color w:val="333333"/>
          <w:kern w:val="44"/>
          <w:sz w:val="24"/>
          <w:szCs w:val="24"/>
        </w:rPr>
      </w:pPr>
      <w:r>
        <w:rPr>
          <w:rFonts w:ascii="Times New Roman" w:hAnsi="Times New Roman" w:eastAsia="宋体" w:cs="Times New Roman"/>
          <w:smallCaps/>
          <w:color w:val="333333"/>
          <w:kern w:val="44"/>
          <w:sz w:val="24"/>
          <w:szCs w:val="24"/>
        </w:rPr>
        <w:t xml:space="preserve">                                         审</w:t>
      </w: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定</w:t>
      </w: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人：</w:t>
      </w:r>
      <w:r>
        <w:rPr>
          <w:rFonts w:hint="eastAsia" w:ascii="Times New Roman" w:hAnsi="Times New Roman" w:eastAsia="宋体" w:cs="Times New Roman"/>
          <w:smallCaps/>
          <w:color w:val="333333"/>
          <w:kern w:val="44"/>
          <w:sz w:val="24"/>
          <w:szCs w:val="24"/>
        </w:rPr>
        <w:t>王  健</w:t>
      </w:r>
    </w:p>
    <w:p w14:paraId="0167D1C0">
      <w:pPr>
        <w:autoSpaceDE w:val="0"/>
        <w:autoSpaceDN w:val="0"/>
        <w:adjustRightInd w:val="0"/>
        <w:spacing w:line="360" w:lineRule="auto"/>
        <w:jc w:val="center"/>
        <w:rPr>
          <w:rFonts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审</w:t>
      </w: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批</w:t>
      </w: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人：</w:t>
      </w:r>
      <w:r>
        <w:rPr>
          <w:rFonts w:hint="eastAsia" w:ascii="Times New Roman" w:hAnsi="Times New Roman" w:eastAsia="宋体" w:cs="Times New Roman"/>
          <w:smallCaps/>
          <w:color w:val="333333"/>
          <w:kern w:val="44"/>
          <w:sz w:val="24"/>
          <w:szCs w:val="24"/>
        </w:rPr>
        <w:t>张志欣</w:t>
      </w:r>
    </w:p>
    <w:p w14:paraId="2BA615F8">
      <w:pPr>
        <w:spacing w:line="360" w:lineRule="auto"/>
        <w:jc w:val="both"/>
        <w:rPr>
          <w:rFonts w:hint="eastAsia"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 xml:space="preserve">                                                   </w:t>
      </w:r>
      <w:r>
        <w:rPr>
          <w:rFonts w:hint="eastAsia" w:ascii="Times New Roman" w:hAnsi="Times New Roman" w:eastAsia="宋体" w:cs="Times New Roman"/>
          <w:smallCaps/>
          <w:color w:val="333333"/>
          <w:kern w:val="44"/>
          <w:sz w:val="24"/>
          <w:szCs w:val="24"/>
        </w:rPr>
        <w:t xml:space="preserve"> </w:t>
      </w:r>
      <w:r>
        <w:rPr>
          <w:rFonts w:ascii="Times New Roman" w:hAnsi="Times New Roman" w:eastAsia="宋体" w:cs="Times New Roman"/>
          <w:smallCaps/>
          <w:color w:val="333333"/>
          <w:kern w:val="44"/>
          <w:sz w:val="24"/>
          <w:szCs w:val="24"/>
        </w:rPr>
        <w:t xml:space="preserve"> </w:t>
      </w:r>
      <w:r>
        <w:rPr>
          <w:rFonts w:hint="eastAsia" w:ascii="Times New Roman" w:hAnsi="Times New Roman" w:eastAsia="宋体" w:cs="Times New Roman"/>
          <w:smallCaps/>
          <w:color w:val="333333"/>
          <w:kern w:val="44"/>
          <w:sz w:val="24"/>
          <w:szCs w:val="24"/>
        </w:rPr>
        <w:t>批准时间：202</w:t>
      </w:r>
      <w:r>
        <w:rPr>
          <w:rFonts w:hint="eastAsia" w:ascii="Times New Roman" w:hAnsi="Times New Roman" w:eastAsia="宋体" w:cs="Times New Roman"/>
          <w:smallCaps/>
          <w:color w:val="333333"/>
          <w:kern w:val="44"/>
          <w:sz w:val="24"/>
          <w:szCs w:val="24"/>
          <w:lang w:val="en-US" w:eastAsia="zh-CN"/>
        </w:rPr>
        <w:t>4</w:t>
      </w:r>
      <w:r>
        <w:rPr>
          <w:rFonts w:hint="eastAsia" w:ascii="Times New Roman" w:hAnsi="Times New Roman" w:eastAsia="宋体" w:cs="Times New Roman"/>
          <w:smallCaps/>
          <w:color w:val="333333"/>
          <w:kern w:val="44"/>
          <w:sz w:val="24"/>
          <w:szCs w:val="24"/>
        </w:rPr>
        <w:t>年</w:t>
      </w:r>
      <w:r>
        <w:rPr>
          <w:rFonts w:hint="eastAsia" w:ascii="Times New Roman" w:hAnsi="Times New Roman" w:eastAsia="宋体" w:cs="Times New Roman"/>
          <w:smallCaps/>
          <w:color w:val="333333"/>
          <w:kern w:val="44"/>
          <w:sz w:val="24"/>
          <w:szCs w:val="24"/>
          <w:lang w:val="en-US" w:eastAsia="zh-CN"/>
        </w:rPr>
        <w:t>9</w:t>
      </w:r>
      <w:r>
        <w:rPr>
          <w:rFonts w:hint="eastAsia" w:ascii="Times New Roman" w:hAnsi="Times New Roman" w:eastAsia="宋体" w:cs="Times New Roman"/>
          <w:smallCaps/>
          <w:color w:val="333333"/>
          <w:kern w:val="44"/>
          <w:sz w:val="24"/>
          <w:szCs w:val="24"/>
        </w:rPr>
        <w:t>月</w:t>
      </w:r>
      <w:r>
        <w:rPr>
          <w:rFonts w:hint="eastAsia" w:ascii="Times New Roman" w:hAnsi="Times New Roman" w:eastAsia="宋体" w:cs="Times New Roman"/>
          <w:smallCaps/>
          <w:color w:val="333333"/>
          <w:kern w:val="44"/>
          <w:sz w:val="24"/>
          <w:szCs w:val="24"/>
          <w:lang w:val="en-US" w:eastAsia="zh-CN"/>
        </w:rPr>
        <w:t>1</w:t>
      </w:r>
      <w:r>
        <w:rPr>
          <w:rFonts w:hint="eastAsia" w:ascii="Times New Roman" w:hAnsi="Times New Roman" w:eastAsia="宋体" w:cs="Times New Roman"/>
          <w:smallCaps/>
          <w:color w:val="333333"/>
          <w:kern w:val="44"/>
          <w:sz w:val="24"/>
          <w:szCs w:val="24"/>
        </w:rPr>
        <w:t>日</w:t>
      </w:r>
    </w:p>
    <w:p w14:paraId="4E549504">
      <w:pPr>
        <w:rPr>
          <w:rFonts w:hint="eastAsia"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br w:type="page"/>
      </w:r>
    </w:p>
    <w:p w14:paraId="78893635">
      <w:pPr>
        <w:pStyle w:val="2"/>
        <w:bidi w:val="0"/>
        <w:rPr>
          <w:lang w:val="en-US" w:eastAsia="zh-CN"/>
        </w:rPr>
      </w:pPr>
      <w:bookmarkStart w:id="1644" w:name="_Toc11405"/>
      <w:bookmarkStart w:id="1645" w:name="_Toc14609"/>
      <w:bookmarkStart w:id="1646" w:name="_Toc29775"/>
      <w:bookmarkStart w:id="1647" w:name="_Toc12045"/>
      <w:r>
        <w:rPr>
          <w:rFonts w:hint="eastAsia"/>
          <w:lang w:val="en-US" w:eastAsia="zh-CN"/>
        </w:rPr>
        <w:t>《现代汉语》课程教学大纲</w:t>
      </w:r>
      <w:bookmarkEnd w:id="1644"/>
      <w:bookmarkEnd w:id="1645"/>
      <w:bookmarkEnd w:id="1646"/>
      <w:bookmarkEnd w:id="1647"/>
    </w:p>
    <w:p w14:paraId="335C036F">
      <w:pPr>
        <w:pStyle w:val="2"/>
        <w:bidi w:val="0"/>
        <w:rPr>
          <w:rFonts w:ascii="Times New Roman" w:hAnsi="Times New Roman" w:eastAsia="宋体" w:cs="Arial"/>
          <w:b/>
          <w:bCs/>
          <w:kern w:val="2"/>
          <w:szCs w:val="24"/>
          <w:lang w:val="en-US" w:eastAsia="zh-CN" w:bidi="ar-SA"/>
        </w:rPr>
      </w:pPr>
      <w:bookmarkStart w:id="1648" w:name="_Toc486"/>
      <w:bookmarkStart w:id="1649" w:name="_Toc18085"/>
      <w:bookmarkStart w:id="1650" w:name="_Toc3687"/>
      <w:bookmarkStart w:id="1651" w:name="_Toc7061"/>
      <w:bookmarkStart w:id="1652" w:name="_Toc20338"/>
      <w:bookmarkStart w:id="1653" w:name="_Toc26645"/>
      <w:bookmarkStart w:id="1654" w:name="_Toc24941"/>
      <w:r>
        <w:rPr>
          <w:rFonts w:hint="eastAsia"/>
          <w:lang w:val="en-US" w:eastAsia="zh-CN"/>
        </w:rPr>
        <w:t>（</w:t>
      </w:r>
      <w:r>
        <w:rPr>
          <w:lang w:val="en-US" w:eastAsia="zh-CN"/>
        </w:rPr>
        <w:t>Modern Chinese</w:t>
      </w:r>
      <w:r>
        <w:rPr>
          <w:rFonts w:hint="eastAsia"/>
          <w:lang w:val="en-US" w:eastAsia="zh-CN"/>
        </w:rPr>
        <w:t>）</w:t>
      </w:r>
      <w:bookmarkEnd w:id="1648"/>
      <w:bookmarkEnd w:id="1649"/>
      <w:bookmarkEnd w:id="1650"/>
      <w:bookmarkEnd w:id="1651"/>
      <w:bookmarkEnd w:id="1652"/>
      <w:bookmarkEnd w:id="1653"/>
      <w:bookmarkEnd w:id="1654"/>
    </w:p>
    <w:p w14:paraId="45E9EE1C">
      <w:pPr>
        <w:spacing w:line="360" w:lineRule="auto"/>
        <w:ind w:firstLine="562" w:firstLineChars="200"/>
        <w:outlineLvl w:val="0"/>
        <w:rPr>
          <w:rFonts w:ascii="Calibri" w:hAnsi="Calibri" w:eastAsia="宋体" w:cs="Arial"/>
          <w:szCs w:val="22"/>
        </w:rPr>
      </w:pPr>
      <w:bookmarkStart w:id="1655" w:name="_Toc1954"/>
      <w:bookmarkStart w:id="1656" w:name="_Toc17794"/>
      <w:bookmarkStart w:id="1657" w:name="_Toc5664"/>
      <w:bookmarkStart w:id="1658" w:name="_Toc12599"/>
      <w:bookmarkStart w:id="1659" w:name="_Toc344"/>
      <w:bookmarkStart w:id="1660" w:name="_Toc528"/>
      <w:bookmarkStart w:id="1661" w:name="_Toc25791"/>
      <w:r>
        <w:rPr>
          <w:rFonts w:ascii="宋体" w:hAnsi="宋体" w:eastAsia="宋体" w:cs="Times New Roman"/>
          <w:b/>
          <w:bCs/>
          <w:sz w:val="28"/>
          <w:szCs w:val="28"/>
        </w:rPr>
        <w:t>一、课程概况</w:t>
      </w:r>
      <w:bookmarkEnd w:id="1655"/>
      <w:bookmarkEnd w:id="1656"/>
      <w:bookmarkEnd w:id="1657"/>
      <w:bookmarkEnd w:id="1658"/>
      <w:bookmarkEnd w:id="1659"/>
      <w:bookmarkEnd w:id="1660"/>
      <w:bookmarkEnd w:id="1661"/>
    </w:p>
    <w:p w14:paraId="68A9B330">
      <w:pPr>
        <w:spacing w:line="360" w:lineRule="auto"/>
        <w:ind w:firstLine="482" w:firstLineChars="200"/>
        <w:rPr>
          <w:rFonts w:ascii="Calibri" w:hAnsi="Calibri" w:eastAsia="宋体" w:cs="Arial"/>
          <w:szCs w:val="22"/>
        </w:rPr>
      </w:pPr>
      <w:r>
        <w:rPr>
          <w:rFonts w:ascii="宋体" w:hAnsi="宋体" w:eastAsia="宋体" w:cs="Times New Roman"/>
          <w:b/>
          <w:bCs/>
          <w:kern w:val="0"/>
          <w:sz w:val="24"/>
          <w:szCs w:val="24"/>
        </w:rPr>
        <w:t>课程代码：</w:t>
      </w:r>
      <w:r>
        <w:rPr>
          <w:rFonts w:ascii="宋体" w:hAnsi="宋体" w:eastAsia="宋体" w:cs="Times New Roman"/>
          <w:kern w:val="0"/>
          <w:sz w:val="24"/>
          <w:szCs w:val="24"/>
        </w:rPr>
        <w:t>0705027</w:t>
      </w:r>
    </w:p>
    <w:p w14:paraId="32BE581E">
      <w:pPr>
        <w:spacing w:line="360" w:lineRule="auto"/>
        <w:ind w:firstLine="482" w:firstLineChars="200"/>
        <w:rPr>
          <w:rFonts w:ascii="Calibri" w:hAnsi="Calibri" w:eastAsia="宋体" w:cs="Arial"/>
          <w:szCs w:val="22"/>
        </w:rPr>
      </w:pPr>
      <w:r>
        <w:rPr>
          <w:rFonts w:ascii="宋体" w:hAnsi="宋体" w:eastAsia="宋体" w:cs="Times New Roman"/>
          <w:b/>
          <w:bCs/>
          <w:kern w:val="0"/>
          <w:sz w:val="24"/>
          <w:szCs w:val="24"/>
        </w:rPr>
        <w:t>学    分：</w:t>
      </w:r>
      <w:r>
        <w:rPr>
          <w:rFonts w:ascii="宋体" w:hAnsi="宋体" w:eastAsia="宋体" w:cs="Times New Roman"/>
          <w:kern w:val="0"/>
          <w:sz w:val="24"/>
          <w:szCs w:val="24"/>
        </w:rPr>
        <w:t>3</w:t>
      </w:r>
    </w:p>
    <w:p w14:paraId="18821825">
      <w:pPr>
        <w:spacing w:line="360" w:lineRule="auto"/>
        <w:ind w:firstLine="482" w:firstLineChars="200"/>
        <w:rPr>
          <w:rFonts w:ascii="Calibri" w:hAnsi="Calibri" w:eastAsia="宋体" w:cs="Arial"/>
          <w:szCs w:val="22"/>
        </w:rPr>
      </w:pPr>
      <w:r>
        <w:rPr>
          <w:rFonts w:ascii="宋体" w:hAnsi="宋体" w:eastAsia="宋体" w:cs="Times New Roman"/>
          <w:b/>
          <w:bCs/>
          <w:kern w:val="0"/>
          <w:sz w:val="24"/>
          <w:szCs w:val="24"/>
        </w:rPr>
        <w:t>学    时：</w:t>
      </w:r>
      <w:r>
        <w:rPr>
          <w:rFonts w:ascii="宋体" w:hAnsi="宋体" w:eastAsia="宋体" w:cs="Times New Roman"/>
          <w:kern w:val="0"/>
          <w:sz w:val="24"/>
          <w:szCs w:val="24"/>
        </w:rPr>
        <w:t>48 （其中：讲授学时48，实践学时0）</w:t>
      </w:r>
    </w:p>
    <w:p w14:paraId="51AE9E72">
      <w:pPr>
        <w:spacing w:line="360" w:lineRule="auto"/>
        <w:ind w:firstLine="482" w:firstLineChars="200"/>
        <w:jc w:val="left"/>
        <w:rPr>
          <w:rFonts w:ascii="Calibri" w:hAnsi="Calibri" w:eastAsia="宋体" w:cs="Arial"/>
          <w:szCs w:val="22"/>
        </w:rPr>
      </w:pPr>
      <w:r>
        <w:rPr>
          <w:rFonts w:ascii="宋体" w:hAnsi="宋体" w:eastAsia="宋体" w:cs="Calibri"/>
          <w:b/>
          <w:bCs/>
          <w:kern w:val="0"/>
          <w:sz w:val="24"/>
          <w:szCs w:val="24"/>
        </w:rPr>
        <w:t>先修课程：</w:t>
      </w:r>
      <w:r>
        <w:rPr>
          <w:rFonts w:ascii="宋体" w:hAnsi="宋体" w:eastAsia="宋体" w:cs="Calibri"/>
          <w:sz w:val="24"/>
          <w:szCs w:val="24"/>
        </w:rPr>
        <w:t>无</w:t>
      </w:r>
    </w:p>
    <w:p w14:paraId="2C2C144C">
      <w:pPr>
        <w:spacing w:line="360" w:lineRule="auto"/>
        <w:ind w:firstLine="482" w:firstLineChars="200"/>
        <w:rPr>
          <w:rFonts w:ascii="Calibri" w:hAnsi="Calibri" w:eastAsia="宋体" w:cs="Arial"/>
          <w:szCs w:val="22"/>
        </w:rPr>
      </w:pPr>
      <w:r>
        <w:rPr>
          <w:rFonts w:ascii="宋体" w:hAnsi="宋体" w:eastAsia="宋体" w:cs="Times New Roman"/>
          <w:b/>
          <w:bCs/>
          <w:kern w:val="0"/>
          <w:sz w:val="24"/>
          <w:szCs w:val="24"/>
        </w:rPr>
        <w:t>适用专业：</w:t>
      </w:r>
      <w:r>
        <w:rPr>
          <w:rFonts w:ascii="宋体" w:hAnsi="宋体" w:eastAsia="宋体" w:cs="Times New Roman"/>
          <w:kern w:val="0"/>
          <w:sz w:val="24"/>
          <w:szCs w:val="24"/>
        </w:rPr>
        <w:t xml:space="preserve">小学教育（文）                          </w:t>
      </w:r>
    </w:p>
    <w:p w14:paraId="4EC9194C">
      <w:pPr>
        <w:spacing w:line="360" w:lineRule="auto"/>
        <w:ind w:firstLine="482" w:firstLineChars="200"/>
        <w:rPr>
          <w:rFonts w:ascii="Calibri" w:hAnsi="Calibri" w:eastAsia="宋体" w:cs="Arial"/>
          <w:szCs w:val="22"/>
        </w:rPr>
      </w:pPr>
      <w:r>
        <w:rPr>
          <w:rFonts w:ascii="宋体" w:hAnsi="宋体" w:eastAsia="宋体" w:cs="Times New Roman"/>
          <w:b/>
          <w:bCs/>
          <w:kern w:val="0"/>
          <w:sz w:val="24"/>
          <w:szCs w:val="24"/>
        </w:rPr>
        <w:t>建议教材：</w:t>
      </w:r>
      <w:r>
        <w:rPr>
          <w:rFonts w:ascii="宋体" w:hAnsi="宋体" w:eastAsia="宋体" w:cs="Times New Roman"/>
          <w:kern w:val="0"/>
          <w:sz w:val="24"/>
          <w:szCs w:val="24"/>
        </w:rPr>
        <w:t>黄伯荣，廖序东.现代汉语（上册）（下册）.北京：高等教育出版社.2017.6（第六版）。</w:t>
      </w:r>
    </w:p>
    <w:p w14:paraId="7946451A">
      <w:pPr>
        <w:spacing w:line="360" w:lineRule="auto"/>
        <w:ind w:firstLine="482" w:firstLineChars="200"/>
        <w:rPr>
          <w:rFonts w:ascii="Calibri" w:hAnsi="Calibri" w:eastAsia="宋体" w:cs="Arial"/>
          <w:szCs w:val="22"/>
        </w:rPr>
      </w:pPr>
      <w:r>
        <w:rPr>
          <w:rFonts w:ascii="宋体" w:hAnsi="宋体" w:eastAsia="宋体" w:cs="Times New Roman"/>
          <w:b/>
          <w:bCs/>
          <w:kern w:val="0"/>
          <w:sz w:val="24"/>
          <w:szCs w:val="24"/>
        </w:rPr>
        <w:t>课程归口：</w:t>
      </w:r>
      <w:r>
        <w:rPr>
          <w:rFonts w:ascii="宋体" w:hAnsi="宋体" w:eastAsia="宋体" w:cs="Times New Roman"/>
          <w:sz w:val="24"/>
          <w:szCs w:val="24"/>
        </w:rPr>
        <w:t>师范学院</w:t>
      </w:r>
    </w:p>
    <w:p w14:paraId="0F4135F3">
      <w:pPr>
        <w:autoSpaceDE w:val="0"/>
        <w:autoSpaceDN w:val="0"/>
        <w:adjustRightInd w:val="0"/>
        <w:spacing w:line="360" w:lineRule="auto"/>
        <w:ind w:firstLine="482" w:firstLineChars="200"/>
        <w:jc w:val="left"/>
        <w:rPr>
          <w:rFonts w:ascii="Calibri" w:hAnsi="Calibri" w:eastAsia="宋体" w:cs="Arial"/>
          <w:szCs w:val="22"/>
        </w:rPr>
      </w:pPr>
      <w:r>
        <w:rPr>
          <w:rFonts w:ascii="宋体" w:hAnsi="宋体" w:eastAsia="宋体" w:cs="Times New Roman"/>
          <w:b/>
          <w:bCs/>
          <w:kern w:val="0"/>
          <w:sz w:val="24"/>
          <w:szCs w:val="24"/>
        </w:rPr>
        <w:t>课程的性质与任务：</w:t>
      </w:r>
      <w:r>
        <w:rPr>
          <w:rFonts w:ascii="宋体" w:hAnsi="宋体" w:eastAsia="宋体" w:cs="Times New Roman"/>
          <w:kern w:val="0"/>
          <w:sz w:val="24"/>
          <w:szCs w:val="24"/>
        </w:rPr>
        <w:t xml:space="preserve">本课程是小学教育（文）专业的基础必修课。通过本课程的学习，使学生对现代汉语的方言、语音、词汇（构词）、句法、修辞等方面有一个基本的了解，进一步提高学生的语文认知与应用能力。 </w:t>
      </w:r>
    </w:p>
    <w:p w14:paraId="4322EFA1">
      <w:pPr>
        <w:spacing w:line="360" w:lineRule="auto"/>
        <w:ind w:firstLine="551" w:firstLineChars="196"/>
        <w:outlineLvl w:val="0"/>
        <w:rPr>
          <w:rFonts w:hint="eastAsia" w:ascii="宋体" w:hAnsi="宋体" w:eastAsia="宋体" w:cs="宋体"/>
          <w:b/>
          <w:bCs/>
          <w:color w:val="auto"/>
          <w:sz w:val="28"/>
          <w:szCs w:val="28"/>
          <w:lang w:val="en-US" w:eastAsia="zh-CN"/>
        </w:rPr>
      </w:pPr>
      <w:bookmarkStart w:id="1662" w:name="_Toc5716"/>
      <w:bookmarkStart w:id="1663" w:name="_Toc21653"/>
      <w:bookmarkStart w:id="1664" w:name="_Toc28296"/>
      <w:bookmarkStart w:id="1665" w:name="_Toc3343"/>
      <w:bookmarkStart w:id="1666" w:name="_Toc28395"/>
      <w:bookmarkStart w:id="1667" w:name="_Toc7529"/>
      <w:bookmarkStart w:id="1668" w:name="_Toc25026"/>
      <w:r>
        <w:rPr>
          <w:rFonts w:hint="eastAsia" w:ascii="宋体" w:hAnsi="宋体" w:eastAsia="宋体" w:cs="宋体"/>
          <w:b/>
          <w:bCs/>
          <w:color w:val="auto"/>
          <w:sz w:val="28"/>
          <w:szCs w:val="28"/>
        </w:rPr>
        <w:t>课程简介</w:t>
      </w:r>
      <w:bookmarkEnd w:id="1662"/>
      <w:bookmarkEnd w:id="1663"/>
      <w:bookmarkEnd w:id="1664"/>
      <w:bookmarkEnd w:id="1665"/>
      <w:bookmarkEnd w:id="1666"/>
      <w:bookmarkEnd w:id="1667"/>
      <w:bookmarkEnd w:id="1668"/>
    </w:p>
    <w:p w14:paraId="06ED8911">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本</w:t>
      </w:r>
      <w:r>
        <w:rPr>
          <w:rFonts w:hint="eastAsia" w:ascii="宋体" w:hAnsi="宋体" w:eastAsia="宋体" w:cs="宋体"/>
          <w:color w:val="auto"/>
          <w:kern w:val="0"/>
          <w:sz w:val="24"/>
          <w:szCs w:val="24"/>
        </w:rPr>
        <w:t>课程是小学教育（文）专业的基础必修课。本课程的任务是培养和提高学生良好的语言素质和出色的语言能力，以及对现代汉语的理解能力和表达能力、分析能力和思辨能力、创新能力和研究能力，提高学生的普通话表达能力和汉字、词汇的应用能力，为他们将来从事相关工作打好语言基础，也为后续的古代汉语课程及毕业论文写作环节奠定基础。同时，现代汉语课程蕴含着丰富的思想政治元素，包括民族性格、语言特色、家国情怀等，有益于培养学生的文化自信心和民族自豪感，增强学生的专业荣誉感、职业使命感和社会责任感。</w:t>
      </w:r>
    </w:p>
    <w:p w14:paraId="5EFF15F1">
      <w:pPr>
        <w:spacing w:line="360" w:lineRule="auto"/>
        <w:ind w:firstLine="551" w:firstLineChars="196"/>
        <w:outlineLvl w:val="0"/>
        <w:rPr>
          <w:rFonts w:hint="eastAsia" w:ascii="宋体" w:hAnsi="宋体" w:eastAsia="宋体" w:cs="宋体"/>
          <w:b/>
          <w:bCs/>
          <w:color w:val="auto"/>
          <w:sz w:val="28"/>
          <w:szCs w:val="28"/>
        </w:rPr>
      </w:pPr>
      <w:bookmarkStart w:id="1669" w:name="_Toc30379"/>
      <w:bookmarkStart w:id="1670" w:name="_Toc13288"/>
      <w:bookmarkStart w:id="1671" w:name="_Toc20142"/>
      <w:bookmarkStart w:id="1672" w:name="_Toc26729"/>
      <w:bookmarkStart w:id="1673" w:name="_Toc16606"/>
      <w:bookmarkStart w:id="1674" w:name="_Toc1212683318"/>
      <w:bookmarkStart w:id="1675" w:name="_Toc29431"/>
      <w:bookmarkStart w:id="1676" w:name="_Toc15989"/>
      <w:r>
        <w:rPr>
          <w:rFonts w:hint="eastAsia" w:ascii="宋体" w:hAnsi="宋体" w:eastAsia="宋体" w:cs="宋体"/>
          <w:b/>
          <w:bCs/>
          <w:color w:val="auto"/>
          <w:sz w:val="28"/>
          <w:szCs w:val="28"/>
        </w:rPr>
        <w:t>二、课程目标</w:t>
      </w:r>
      <w:bookmarkEnd w:id="1669"/>
      <w:bookmarkEnd w:id="1670"/>
      <w:bookmarkEnd w:id="1671"/>
      <w:bookmarkEnd w:id="1672"/>
      <w:bookmarkEnd w:id="1673"/>
      <w:bookmarkEnd w:id="1674"/>
      <w:bookmarkEnd w:id="1675"/>
      <w:bookmarkEnd w:id="1676"/>
    </w:p>
    <w:p w14:paraId="27DB2431">
      <w:pPr>
        <w:spacing w:line="360" w:lineRule="auto"/>
        <w:ind w:firstLine="482" w:firstLineChars="200"/>
        <w:outlineLvl w:val="1"/>
        <w:rPr>
          <w:rFonts w:hint="eastAsia" w:ascii="宋体" w:hAnsi="宋体" w:eastAsia="宋体" w:cs="宋体"/>
          <w:b/>
          <w:bCs/>
          <w:color w:val="auto"/>
          <w:sz w:val="24"/>
          <w:szCs w:val="24"/>
        </w:rPr>
      </w:pPr>
      <w:bookmarkStart w:id="1677" w:name="_Toc21870"/>
      <w:r>
        <w:rPr>
          <w:rFonts w:hint="eastAsia" w:ascii="宋体" w:hAnsi="宋体" w:eastAsia="宋体" w:cs="宋体"/>
          <w:b/>
          <w:bCs/>
          <w:color w:val="auto"/>
          <w:sz w:val="24"/>
          <w:szCs w:val="24"/>
        </w:rPr>
        <w:t>（一）课程具体目标</w:t>
      </w:r>
      <w:bookmarkEnd w:id="1677"/>
    </w:p>
    <w:p w14:paraId="66528891">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目标1. 使学生了解现代汉语标准语和方言的基本特点，了解中国语言文化的发展历程，树立正确的民族语言观。</w:t>
      </w:r>
    </w:p>
    <w:p w14:paraId="41CC31ED">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目标</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 使学生了解现代汉语的语音结构、文字结构、词汇结构与构词方式，现代汉语的短语以及语法结构。</w:t>
      </w:r>
    </w:p>
    <w:p w14:paraId="6FABEE99">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目标</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 使学生了解现代汉语的修辞类型与特点。领略语言的魅力，学习语言表达的技巧和艺术，为文科的教学工作奠定专业基础。</w:t>
      </w:r>
    </w:p>
    <w:p w14:paraId="58952CD1">
      <w:pPr>
        <w:spacing w:line="360" w:lineRule="auto"/>
        <w:ind w:firstLine="482" w:firstLineChars="200"/>
        <w:outlineLvl w:val="1"/>
        <w:rPr>
          <w:rFonts w:hint="eastAsia" w:ascii="宋体" w:hAnsi="宋体" w:eastAsia="宋体" w:cs="宋体"/>
          <w:b/>
          <w:bCs/>
          <w:color w:val="auto"/>
          <w:sz w:val="24"/>
          <w:szCs w:val="24"/>
        </w:rPr>
      </w:pPr>
      <w:bookmarkStart w:id="1678" w:name="_Toc17305"/>
      <w:r>
        <w:rPr>
          <w:rFonts w:hint="eastAsia" w:ascii="宋体" w:hAnsi="宋体" w:eastAsia="宋体" w:cs="宋体"/>
          <w:b/>
          <w:bCs/>
          <w:color w:val="auto"/>
          <w:sz w:val="24"/>
          <w:szCs w:val="24"/>
        </w:rPr>
        <w:t>（二）课程目标与专业毕业要求的关系</w:t>
      </w:r>
      <w:bookmarkEnd w:id="1678"/>
    </w:p>
    <w:tbl>
      <w:tblPr>
        <w:tblStyle w:val="1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4050"/>
        <w:gridCol w:w="3150"/>
      </w:tblGrid>
      <w:tr w14:paraId="0A14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tcBorders>
              <w:top w:val="single" w:color="auto" w:sz="4" w:space="0"/>
              <w:left w:val="single" w:color="auto" w:sz="4" w:space="0"/>
              <w:bottom w:val="single" w:color="auto" w:sz="4" w:space="0"/>
              <w:right w:val="single" w:color="auto" w:sz="4" w:space="0"/>
            </w:tcBorders>
            <w:noWrap w:val="0"/>
            <w:vAlign w:val="center"/>
          </w:tcPr>
          <w:p w14:paraId="01F7EA81">
            <w:pPr>
              <w:widowControl w:val="0"/>
              <w:spacing w:line="273" w:lineRule="auto"/>
              <w:ind w:firstLine="0" w:firstLineChars="0"/>
              <w:jc w:val="center"/>
              <w:rPr>
                <w:rFonts w:hint="eastAsia" w:ascii="宋体" w:hAnsi="宋体" w:eastAsia="宋体" w:cs="宋体"/>
                <w:b/>
                <w:bCs/>
                <w:color w:val="auto"/>
                <w:kern w:val="2"/>
                <w:sz w:val="21"/>
                <w:szCs w:val="22"/>
                <w:lang w:val="en-US" w:eastAsia="zh-CN" w:bidi="ar-SA"/>
              </w:rPr>
            </w:pPr>
            <w:r>
              <w:rPr>
                <w:rFonts w:hint="eastAsia" w:ascii="宋体" w:hAnsi="宋体" w:eastAsia="宋体" w:cs="宋体"/>
                <w:b/>
                <w:bCs/>
                <w:color w:val="auto"/>
                <w:kern w:val="2"/>
                <w:sz w:val="21"/>
                <w:szCs w:val="22"/>
                <w:lang w:val="en-US" w:eastAsia="zh-CN" w:bidi="ar-SA"/>
              </w:rPr>
              <w:t>支撑的毕业要求</w:t>
            </w:r>
          </w:p>
        </w:tc>
        <w:tc>
          <w:tcPr>
            <w:tcW w:w="4050" w:type="dxa"/>
            <w:tcBorders>
              <w:top w:val="single" w:color="auto" w:sz="4" w:space="0"/>
              <w:left w:val="nil"/>
              <w:bottom w:val="single" w:color="auto" w:sz="4" w:space="0"/>
              <w:right w:val="single" w:color="auto" w:sz="4" w:space="0"/>
            </w:tcBorders>
            <w:noWrap w:val="0"/>
            <w:vAlign w:val="center"/>
          </w:tcPr>
          <w:p w14:paraId="39014C95">
            <w:pPr>
              <w:widowControl w:val="0"/>
              <w:spacing w:line="273" w:lineRule="auto"/>
              <w:ind w:firstLine="0" w:firstLineChars="0"/>
              <w:jc w:val="center"/>
              <w:rPr>
                <w:rFonts w:hint="eastAsia" w:ascii="宋体" w:hAnsi="宋体" w:eastAsia="宋体" w:cs="宋体"/>
                <w:b/>
                <w:bCs/>
                <w:color w:val="auto"/>
                <w:kern w:val="2"/>
                <w:sz w:val="21"/>
                <w:szCs w:val="22"/>
                <w:lang w:val="en-US" w:eastAsia="zh-CN" w:bidi="ar-SA"/>
              </w:rPr>
            </w:pPr>
            <w:r>
              <w:rPr>
                <w:rFonts w:hint="eastAsia" w:ascii="宋体" w:hAnsi="宋体" w:eastAsia="宋体" w:cs="宋体"/>
                <w:b/>
                <w:bCs/>
                <w:color w:val="auto"/>
                <w:kern w:val="2"/>
                <w:sz w:val="21"/>
                <w:szCs w:val="22"/>
                <w:lang w:val="en-US" w:eastAsia="zh-CN" w:bidi="ar-SA"/>
              </w:rPr>
              <w:t>支撑的毕业要求</w:t>
            </w:r>
          </w:p>
        </w:tc>
        <w:tc>
          <w:tcPr>
            <w:tcW w:w="3150" w:type="dxa"/>
            <w:tcBorders>
              <w:top w:val="single" w:color="auto" w:sz="4" w:space="0"/>
              <w:left w:val="nil"/>
              <w:bottom w:val="single" w:color="auto" w:sz="4" w:space="0"/>
              <w:right w:val="single" w:color="auto" w:sz="4" w:space="0"/>
            </w:tcBorders>
            <w:noWrap w:val="0"/>
            <w:vAlign w:val="center"/>
          </w:tcPr>
          <w:p w14:paraId="060D0077">
            <w:pPr>
              <w:widowControl w:val="0"/>
              <w:spacing w:line="273" w:lineRule="auto"/>
              <w:ind w:firstLine="422" w:firstLineChars="200"/>
              <w:jc w:val="center"/>
              <w:rPr>
                <w:rFonts w:hint="eastAsia" w:ascii="宋体" w:hAnsi="宋体" w:eastAsia="宋体" w:cs="宋体"/>
                <w:b/>
                <w:bCs/>
                <w:color w:val="auto"/>
                <w:kern w:val="2"/>
                <w:sz w:val="21"/>
                <w:szCs w:val="22"/>
                <w:lang w:val="en-US" w:eastAsia="zh-CN" w:bidi="ar-SA"/>
              </w:rPr>
            </w:pPr>
            <w:r>
              <w:rPr>
                <w:rFonts w:hint="eastAsia" w:ascii="宋体" w:hAnsi="宋体" w:eastAsia="宋体" w:cs="宋体"/>
                <w:b/>
                <w:bCs/>
                <w:color w:val="auto"/>
                <w:kern w:val="2"/>
                <w:sz w:val="21"/>
                <w:szCs w:val="22"/>
                <w:lang w:val="en-US" w:eastAsia="zh-CN" w:bidi="ar-SA"/>
              </w:rPr>
              <w:t>指标点课程目标</w:t>
            </w:r>
          </w:p>
        </w:tc>
      </w:tr>
      <w:tr w14:paraId="64C0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48" w:type="dxa"/>
            <w:tcBorders>
              <w:top w:val="single" w:color="auto" w:sz="4" w:space="0"/>
              <w:left w:val="single" w:color="auto" w:sz="4" w:space="0"/>
              <w:bottom w:val="single" w:color="auto" w:sz="4" w:space="0"/>
              <w:right w:val="single" w:color="auto" w:sz="4" w:space="0"/>
            </w:tcBorders>
            <w:noWrap w:val="0"/>
            <w:vAlign w:val="center"/>
          </w:tcPr>
          <w:p w14:paraId="32BAAF74">
            <w:pPr>
              <w:widowControl w:val="0"/>
              <w:spacing w:line="273" w:lineRule="auto"/>
              <w:ind w:firstLine="0" w:firstLineChars="0"/>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0"/>
                <w:sz w:val="21"/>
                <w:szCs w:val="22"/>
                <w:lang w:val="en-US" w:eastAsia="zh-CN" w:bidi="ar-SA"/>
              </w:rPr>
              <w:t>毕业要求3.学科素养</w:t>
            </w:r>
          </w:p>
        </w:tc>
        <w:tc>
          <w:tcPr>
            <w:tcW w:w="4050" w:type="dxa"/>
            <w:tcBorders>
              <w:top w:val="single" w:color="auto" w:sz="4" w:space="0"/>
              <w:left w:val="nil"/>
              <w:right w:val="single" w:color="auto" w:sz="4" w:space="0"/>
            </w:tcBorders>
            <w:noWrap w:val="0"/>
            <w:vAlign w:val="center"/>
          </w:tcPr>
          <w:p w14:paraId="2E050F6E">
            <w:pPr>
              <w:keepNext w:val="0"/>
              <w:keepLines w:val="0"/>
              <w:widowControl/>
              <w:suppressLineNumbers w:val="0"/>
              <w:jc w:val="left"/>
              <w:rPr>
                <w:rFonts w:hint="eastAsia" w:ascii="宋体" w:hAnsi="宋体" w:eastAsia="宋体" w:cs="宋体"/>
                <w:color w:val="auto"/>
                <w:kern w:val="0"/>
                <w:sz w:val="19"/>
                <w:szCs w:val="19"/>
                <w:lang w:val="en-US" w:eastAsia="zh-CN" w:bidi="ar"/>
              </w:rPr>
            </w:pPr>
            <w:r>
              <w:rPr>
                <w:rFonts w:hint="eastAsia" w:ascii="宋体" w:hAnsi="宋体" w:eastAsia="宋体" w:cs="宋体"/>
                <w:color w:val="auto"/>
                <w:kern w:val="0"/>
                <w:sz w:val="19"/>
                <w:szCs w:val="19"/>
                <w:lang w:val="en-US" w:eastAsia="zh-CN" w:bidi="ar"/>
              </w:rPr>
              <w:t xml:space="preserve">指标点3-2：【学科知识扎实】具有学科专业能力，牢固掌握小 学语文学科的基本知识、原理和技能。熟悉小学道德与法治学科 的知识体系，掌握小学道德与法治学科的基本知识、原理和技能。 并具备一定的文学学科基本知识，对学习社会科学相关知识有一 定的了解。 </w:t>
            </w:r>
          </w:p>
          <w:p w14:paraId="51C1A8FE">
            <w:pPr>
              <w:widowControl w:val="0"/>
              <w:spacing w:line="273" w:lineRule="auto"/>
              <w:ind w:firstLine="0" w:firstLineChars="0"/>
              <w:jc w:val="both"/>
              <w:rPr>
                <w:rFonts w:hint="eastAsia" w:ascii="宋体" w:hAnsi="宋体" w:eastAsia="宋体" w:cs="宋体"/>
                <w:color w:val="auto"/>
                <w:spacing w:val="2"/>
                <w:kern w:val="0"/>
                <w:sz w:val="21"/>
                <w:szCs w:val="22"/>
                <w:lang w:val="en-US" w:eastAsia="zh-CN" w:bidi="ar-SA"/>
              </w:rPr>
            </w:pPr>
          </w:p>
        </w:tc>
        <w:tc>
          <w:tcPr>
            <w:tcW w:w="3150" w:type="dxa"/>
            <w:tcBorders>
              <w:top w:val="single" w:color="auto" w:sz="4" w:space="0"/>
              <w:left w:val="nil"/>
              <w:right w:val="single" w:color="auto" w:sz="4" w:space="0"/>
            </w:tcBorders>
            <w:noWrap w:val="0"/>
            <w:vAlign w:val="center"/>
          </w:tcPr>
          <w:p w14:paraId="7D9CD841">
            <w:pPr>
              <w:widowControl w:val="0"/>
              <w:shd w:val="clear" w:color="auto" w:fill="FFFFFF"/>
              <w:spacing w:line="273" w:lineRule="auto"/>
              <w:ind w:firstLine="0" w:firstLineChars="0"/>
              <w:jc w:val="left"/>
              <w:rPr>
                <w:rFonts w:hint="eastAsia" w:ascii="宋体" w:hAnsi="宋体" w:eastAsia="宋体" w:cs="宋体"/>
                <w:color w:val="auto"/>
                <w:spacing w:val="2"/>
                <w:kern w:val="0"/>
                <w:sz w:val="21"/>
                <w:szCs w:val="22"/>
                <w:lang w:val="en-US" w:eastAsia="zh-CN" w:bidi="ar-SA"/>
              </w:rPr>
            </w:pPr>
          </w:p>
          <w:p w14:paraId="2308E7BA">
            <w:pPr>
              <w:widowControl w:val="0"/>
              <w:spacing w:line="273" w:lineRule="auto"/>
              <w:ind w:firstLine="0" w:firstLineChars="0"/>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课程目标1</w:t>
            </w:r>
          </w:p>
          <w:p w14:paraId="3E7D0CE7">
            <w:pPr>
              <w:widowControl w:val="0"/>
              <w:spacing w:line="273" w:lineRule="auto"/>
              <w:ind w:firstLine="0" w:firstLineChars="0"/>
              <w:jc w:val="center"/>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课程目标2</w:t>
            </w:r>
          </w:p>
          <w:p w14:paraId="4176A385">
            <w:pPr>
              <w:widowControl w:val="0"/>
              <w:spacing w:line="273" w:lineRule="auto"/>
              <w:ind w:firstLine="0" w:firstLineChars="0"/>
              <w:jc w:val="center"/>
              <w:rPr>
                <w:rFonts w:hint="eastAsia" w:ascii="宋体" w:hAnsi="宋体" w:eastAsia="宋体" w:cs="宋体"/>
                <w:color w:val="auto"/>
                <w:spacing w:val="2"/>
                <w:kern w:val="0"/>
                <w:sz w:val="21"/>
                <w:szCs w:val="22"/>
                <w:lang w:val="en-US" w:eastAsia="zh-CN" w:bidi="ar-SA"/>
              </w:rPr>
            </w:pPr>
            <w:r>
              <w:rPr>
                <w:rFonts w:hint="eastAsia" w:ascii="宋体" w:hAnsi="宋体" w:eastAsia="宋体" w:cs="宋体"/>
                <w:color w:val="auto"/>
                <w:kern w:val="2"/>
                <w:sz w:val="21"/>
                <w:szCs w:val="22"/>
                <w:lang w:val="en-US" w:eastAsia="zh-CN" w:bidi="ar-SA"/>
              </w:rPr>
              <w:t>课程目标3</w:t>
            </w:r>
          </w:p>
        </w:tc>
      </w:tr>
    </w:tbl>
    <w:p w14:paraId="71ECCFA1">
      <w:pPr>
        <w:numPr>
          <w:ilvl w:val="0"/>
          <w:numId w:val="47"/>
        </w:numPr>
        <w:spacing w:line="276" w:lineRule="auto"/>
        <w:outlineLvl w:val="1"/>
        <w:rPr>
          <w:rFonts w:hint="eastAsia" w:ascii="宋体" w:hAnsi="宋体" w:eastAsia="宋体" w:cs="宋体"/>
          <w:b/>
          <w:bCs/>
          <w:color w:val="auto"/>
          <w:sz w:val="28"/>
          <w:szCs w:val="28"/>
        </w:rPr>
      </w:pPr>
      <w:bookmarkStart w:id="1679" w:name="_Toc18896"/>
      <w:r>
        <w:rPr>
          <w:rFonts w:hint="eastAsia" w:ascii="宋体" w:hAnsi="宋体" w:eastAsia="宋体" w:cs="宋体"/>
          <w:b/>
          <w:bCs/>
          <w:color w:val="auto"/>
          <w:sz w:val="28"/>
          <w:szCs w:val="28"/>
        </w:rPr>
        <w:t>课程思政目标</w:t>
      </w:r>
      <w:bookmarkEnd w:id="1679"/>
    </w:p>
    <w:p w14:paraId="67790D59">
      <w:pPr>
        <w:numPr>
          <w:ilvl w:val="0"/>
          <w:numId w:val="0"/>
        </w:numPr>
        <w:spacing w:line="276" w:lineRule="auto"/>
        <w:ind w:firstLine="420" w:firstLineChars="200"/>
        <w:outlineLvl w:val="1"/>
        <w:rPr>
          <w:rFonts w:hint="eastAsia" w:ascii="宋体" w:hAnsi="宋体" w:eastAsia="宋体" w:cs="宋体"/>
          <w:b w:val="0"/>
          <w:bCs w:val="0"/>
          <w:color w:val="auto"/>
          <w:sz w:val="21"/>
          <w:szCs w:val="21"/>
        </w:rPr>
      </w:pPr>
      <w:bookmarkStart w:id="1680" w:name="_Toc10804"/>
      <w:r>
        <w:rPr>
          <w:rFonts w:hint="eastAsia" w:ascii="宋体" w:hAnsi="宋体" w:eastAsia="宋体" w:cs="宋体"/>
          <w:b w:val="0"/>
          <w:bCs w:val="0"/>
          <w:color w:val="auto"/>
          <w:sz w:val="21"/>
          <w:szCs w:val="21"/>
        </w:rPr>
        <w:t>通过系统性知识传授与语言能力培养，潜移默化地引导学生树立爱国爱党、文化自信、汉语自信的价值观念，培养实事求是的科学精神与辩证分析能力，同时激发学生传承中华优秀语言文化的使命感‌。通过汉字演变、经典语料等载体，深化对中华文化底蕴的认知与情感共鸣‌；结合语言政策与实践应用，强化规范使用汉语的责任意识，培育兼具专业素养与家国情怀的新时代人才‌</w:t>
      </w:r>
      <w:bookmarkEnd w:id="1680"/>
    </w:p>
    <w:p w14:paraId="2380FE3E">
      <w:pPr>
        <w:spacing w:line="360" w:lineRule="auto"/>
        <w:jc w:val="left"/>
        <w:outlineLvl w:val="0"/>
        <w:rPr>
          <w:rFonts w:ascii="宋体" w:hAnsi="宋体" w:eastAsia="宋体" w:cs="Times New Roman"/>
          <w:b/>
          <w:color w:val="auto"/>
          <w:sz w:val="24"/>
          <w:szCs w:val="24"/>
        </w:rPr>
      </w:pPr>
      <w:bookmarkStart w:id="1681" w:name="_Toc8657"/>
      <w:bookmarkStart w:id="1682" w:name="_Toc24129"/>
      <w:bookmarkStart w:id="1683" w:name="_Toc16476"/>
      <w:bookmarkStart w:id="1684" w:name="_Toc14629"/>
      <w:bookmarkStart w:id="1685" w:name="_Toc24004"/>
      <w:bookmarkStart w:id="1686" w:name="_Toc5933"/>
      <w:bookmarkStart w:id="1687" w:name="_Toc25470"/>
      <w:r>
        <w:rPr>
          <w:rFonts w:hint="eastAsia" w:ascii="宋体" w:hAnsi="宋体" w:eastAsia="宋体" w:cs="Times New Roman"/>
          <w:b/>
          <w:color w:val="auto"/>
          <w:sz w:val="24"/>
          <w:szCs w:val="24"/>
        </w:rPr>
        <w:t>三、教学内容与预期学习成效</w:t>
      </w:r>
      <w:bookmarkEnd w:id="1681"/>
      <w:bookmarkEnd w:id="1682"/>
      <w:bookmarkEnd w:id="1683"/>
      <w:bookmarkEnd w:id="1684"/>
      <w:bookmarkEnd w:id="1685"/>
      <w:bookmarkEnd w:id="1686"/>
      <w:bookmarkEnd w:id="1687"/>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49"/>
        <w:gridCol w:w="20"/>
        <w:gridCol w:w="1173"/>
        <w:gridCol w:w="18"/>
        <w:gridCol w:w="3010"/>
        <w:gridCol w:w="93"/>
        <w:gridCol w:w="1397"/>
        <w:gridCol w:w="61"/>
        <w:gridCol w:w="438"/>
      </w:tblGrid>
      <w:tr w14:paraId="0509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15C0120E">
            <w:pPr>
              <w:jc w:val="center"/>
              <w:rPr>
                <w:rFonts w:ascii="宋体" w:hAnsi="宋体" w:eastAsia="宋体" w:cs="Times New Roman"/>
                <w:b/>
                <w:color w:val="auto"/>
                <w:szCs w:val="21"/>
              </w:rPr>
            </w:pPr>
            <w:r>
              <w:rPr>
                <w:rFonts w:hint="eastAsia" w:ascii="宋体" w:hAnsi="宋体" w:eastAsia="宋体" w:cs="Times New Roman"/>
                <w:b/>
                <w:color w:val="auto"/>
                <w:szCs w:val="21"/>
              </w:rPr>
              <w:t>知识</w:t>
            </w:r>
          </w:p>
          <w:p w14:paraId="48E34E64">
            <w:pPr>
              <w:jc w:val="center"/>
              <w:rPr>
                <w:rFonts w:ascii="宋体" w:hAnsi="宋体" w:eastAsia="宋体" w:cs="Times New Roman"/>
                <w:b/>
                <w:color w:val="auto"/>
                <w:szCs w:val="21"/>
              </w:rPr>
            </w:pPr>
            <w:r>
              <w:rPr>
                <w:rFonts w:hint="eastAsia" w:ascii="宋体" w:hAnsi="宋体" w:eastAsia="宋体" w:cs="Times New Roman"/>
                <w:b/>
                <w:color w:val="auto"/>
                <w:szCs w:val="21"/>
              </w:rPr>
              <w:t>单元</w:t>
            </w:r>
          </w:p>
        </w:tc>
        <w:tc>
          <w:tcPr>
            <w:tcW w:w="2149" w:type="dxa"/>
            <w:vAlign w:val="center"/>
          </w:tcPr>
          <w:p w14:paraId="1C50F4BB">
            <w:pPr>
              <w:jc w:val="center"/>
              <w:rPr>
                <w:rFonts w:ascii="宋体" w:hAnsi="宋体" w:eastAsia="宋体" w:cs="Times New Roman"/>
                <w:b/>
                <w:color w:val="auto"/>
                <w:szCs w:val="21"/>
              </w:rPr>
            </w:pPr>
            <w:r>
              <w:rPr>
                <w:rFonts w:hint="eastAsia" w:ascii="宋体" w:hAnsi="宋体" w:eastAsia="宋体" w:cs="Times New Roman"/>
                <w:b/>
                <w:color w:val="auto"/>
                <w:szCs w:val="21"/>
              </w:rPr>
              <w:t>知识点</w:t>
            </w:r>
          </w:p>
        </w:tc>
        <w:tc>
          <w:tcPr>
            <w:tcW w:w="1211" w:type="dxa"/>
            <w:gridSpan w:val="3"/>
            <w:vAlign w:val="center"/>
          </w:tcPr>
          <w:p w14:paraId="57E39948">
            <w:pPr>
              <w:jc w:val="center"/>
              <w:rPr>
                <w:rFonts w:ascii="宋体" w:hAnsi="宋体" w:eastAsia="宋体" w:cs="Times New Roman"/>
                <w:b/>
                <w:color w:val="auto"/>
                <w:szCs w:val="21"/>
              </w:rPr>
            </w:pPr>
            <w:r>
              <w:rPr>
                <w:rFonts w:hint="eastAsia" w:ascii="宋体" w:hAnsi="宋体" w:eastAsia="宋体" w:cs="Times New Roman"/>
                <w:b/>
                <w:color w:val="auto"/>
                <w:szCs w:val="21"/>
              </w:rPr>
              <w:t>对应</w:t>
            </w:r>
          </w:p>
          <w:p w14:paraId="1A947827">
            <w:pPr>
              <w:jc w:val="center"/>
              <w:rPr>
                <w:rFonts w:ascii="宋体" w:hAnsi="宋体" w:eastAsia="宋体" w:cs="Times New Roman"/>
                <w:b/>
                <w:color w:val="auto"/>
                <w:szCs w:val="21"/>
              </w:rPr>
            </w:pPr>
            <w:r>
              <w:rPr>
                <w:rFonts w:hint="eastAsia" w:ascii="宋体" w:hAnsi="宋体" w:eastAsia="宋体" w:cs="Times New Roman"/>
                <w:b/>
                <w:color w:val="auto"/>
                <w:szCs w:val="21"/>
              </w:rPr>
              <w:t>课程目标</w:t>
            </w:r>
          </w:p>
        </w:tc>
        <w:tc>
          <w:tcPr>
            <w:tcW w:w="3010" w:type="dxa"/>
            <w:vAlign w:val="center"/>
          </w:tcPr>
          <w:p w14:paraId="509C7D77">
            <w:pPr>
              <w:jc w:val="center"/>
              <w:rPr>
                <w:rFonts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51" w:type="dxa"/>
            <w:gridSpan w:val="3"/>
            <w:vAlign w:val="center"/>
          </w:tcPr>
          <w:p w14:paraId="2F6F6B25">
            <w:pPr>
              <w:jc w:val="center"/>
              <w:rPr>
                <w:rFonts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586F28B3">
            <w:pPr>
              <w:jc w:val="center"/>
              <w:rPr>
                <w:rFonts w:ascii="宋体" w:hAnsi="宋体" w:eastAsia="宋体" w:cs="Times New Roman"/>
                <w:b/>
                <w:color w:val="auto"/>
                <w:szCs w:val="21"/>
              </w:rPr>
            </w:pPr>
            <w:r>
              <w:rPr>
                <w:rFonts w:hint="eastAsia" w:ascii="宋体" w:hAnsi="宋体" w:eastAsia="宋体" w:cs="Times New Roman"/>
                <w:b/>
                <w:color w:val="auto"/>
                <w:szCs w:val="21"/>
              </w:rPr>
              <w:t>学时</w:t>
            </w:r>
          </w:p>
        </w:tc>
      </w:tr>
      <w:tr w14:paraId="3D1C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68387EAF">
            <w:pPr>
              <w:spacing w:line="264"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概论</w:t>
            </w:r>
          </w:p>
        </w:tc>
        <w:tc>
          <w:tcPr>
            <w:tcW w:w="2149" w:type="dxa"/>
            <w:vAlign w:val="center"/>
          </w:tcPr>
          <w:p w14:paraId="50F6BB3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（1）汉语标准语普通话的定义。</w:t>
            </w:r>
          </w:p>
          <w:p w14:paraId="13F1741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（2）现代汉语方言的特点。</w:t>
            </w:r>
          </w:p>
          <w:p w14:paraId="3C09A0A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（3）现代汉语方言的分类（七分法与十分法）。</w:t>
            </w:r>
          </w:p>
        </w:tc>
        <w:tc>
          <w:tcPr>
            <w:tcW w:w="1211" w:type="dxa"/>
            <w:gridSpan w:val="3"/>
            <w:vAlign w:val="center"/>
          </w:tcPr>
          <w:p w14:paraId="5CF43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课程目标1</w:t>
            </w:r>
          </w:p>
        </w:tc>
        <w:tc>
          <w:tcPr>
            <w:tcW w:w="3010" w:type="dxa"/>
            <w:vAlign w:val="center"/>
          </w:tcPr>
          <w:p w14:paraId="3D69816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（1）掌握汉语标准语的定义。</w:t>
            </w:r>
          </w:p>
          <w:p w14:paraId="365EF7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（2）掌握汉语方言的基本语音特点，并能判断自己的家乡话属于哪一个方言。</w:t>
            </w:r>
          </w:p>
        </w:tc>
        <w:tc>
          <w:tcPr>
            <w:tcW w:w="1551" w:type="dxa"/>
            <w:gridSpan w:val="3"/>
            <w:vAlign w:val="center"/>
          </w:tcPr>
          <w:p w14:paraId="799EB11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1.线上学习</w:t>
            </w:r>
          </w:p>
          <w:p w14:paraId="3CCE261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2.多媒体教学3.课堂讨论</w:t>
            </w:r>
          </w:p>
          <w:p w14:paraId="42A7506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Times New Roman"/>
                <w:color w:val="auto"/>
                <w:sz w:val="21"/>
                <w:szCs w:val="21"/>
                <w:lang w:val="en-US" w:eastAsia="zh-CN"/>
              </w:rPr>
            </w:pPr>
          </w:p>
        </w:tc>
        <w:tc>
          <w:tcPr>
            <w:tcW w:w="438" w:type="dxa"/>
            <w:vAlign w:val="center"/>
          </w:tcPr>
          <w:p w14:paraId="0DDF1B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2</w:t>
            </w:r>
          </w:p>
        </w:tc>
      </w:tr>
      <w:tr w14:paraId="53B3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789A645C">
            <w:pPr>
              <w:spacing w:line="264" w:lineRule="auto"/>
              <w:jc w:val="center"/>
              <w:rPr>
                <w:rFonts w:ascii="宋体" w:hAnsi="宋体" w:eastAsia="宋体" w:cs="Times New Roman"/>
                <w:color w:val="auto"/>
                <w:szCs w:val="21"/>
              </w:rPr>
            </w:pPr>
          </w:p>
        </w:tc>
        <w:tc>
          <w:tcPr>
            <w:tcW w:w="8359" w:type="dxa"/>
            <w:gridSpan w:val="9"/>
            <w:vAlign w:val="center"/>
          </w:tcPr>
          <w:p w14:paraId="4918126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课程思政目标：</w:t>
            </w:r>
            <w:r>
              <w:rPr>
                <w:rFonts w:hint="eastAsia" w:ascii="宋体" w:hAnsi="宋体" w:eastAsia="宋体" w:cs="宋体"/>
                <w:color w:val="auto"/>
                <w:sz w:val="21"/>
                <w:szCs w:val="21"/>
                <w:lang w:eastAsia="zh-CN"/>
              </w:rPr>
              <w:t>通过对汉语方言的认识，使学生加强对本民族语言文化的认同感，为继承和发扬本民族文化，坚定走社会主义发展道路奠定基础。</w:t>
            </w:r>
            <w:r>
              <w:rPr>
                <w:rFonts w:hint="default" w:ascii="Times New Roman" w:hAnsi="Times New Roman" w:eastAsia="宋体" w:cs="Times New Roman"/>
                <w:b w:val="0"/>
                <w:bCs/>
                <w:color w:val="auto"/>
                <w:sz w:val="21"/>
                <w:szCs w:val="21"/>
              </w:rPr>
              <w:t>增强语言规范意识，树立国家通用语言认同感</w:t>
            </w:r>
            <w:r>
              <w:rPr>
                <w:rFonts w:hint="eastAsia" w:ascii="Times New Roman" w:hAnsi="Times New Roman" w:eastAsia="宋体" w:cs="Times New Roman"/>
                <w:b w:val="0"/>
                <w:bCs/>
                <w:color w:val="auto"/>
                <w:sz w:val="21"/>
                <w:szCs w:val="21"/>
                <w:lang w:eastAsia="zh-CN"/>
              </w:rPr>
              <w:t>。</w:t>
            </w:r>
          </w:p>
        </w:tc>
      </w:tr>
      <w:tr w14:paraId="734C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696208AF">
            <w:pPr>
              <w:spacing w:line="264"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‌语音</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一</w:t>
            </w:r>
            <w:r>
              <w:rPr>
                <w:rFonts w:hint="eastAsia" w:ascii="宋体" w:hAnsi="宋体" w:eastAsia="宋体" w:cs="Times New Roman"/>
                <w:color w:val="auto"/>
                <w:szCs w:val="21"/>
                <w:lang w:eastAsia="zh-CN"/>
              </w:rPr>
              <w:t>）</w:t>
            </w:r>
          </w:p>
        </w:tc>
        <w:tc>
          <w:tcPr>
            <w:tcW w:w="2149" w:type="dxa"/>
            <w:vAlign w:val="center"/>
          </w:tcPr>
          <w:p w14:paraId="22EC31DA">
            <w:pPr>
              <w:keepNext w:val="0"/>
              <w:keepLines w:val="0"/>
              <w:pageBreakBefore w:val="0"/>
              <w:widowControl w:val="0"/>
              <w:numPr>
                <w:ilvl w:val="0"/>
                <w:numId w:val="48"/>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语音的性质。</w:t>
            </w:r>
          </w:p>
          <w:p w14:paraId="49AE46BA">
            <w:pPr>
              <w:keepNext w:val="0"/>
              <w:keepLines w:val="0"/>
              <w:pageBreakBefore w:val="0"/>
              <w:widowControl w:val="0"/>
              <w:numPr>
                <w:ilvl w:val="0"/>
                <w:numId w:val="48"/>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现代汉语语音结构--声韵调。</w:t>
            </w:r>
          </w:p>
          <w:p w14:paraId="475914C6">
            <w:pPr>
              <w:keepNext w:val="0"/>
              <w:keepLines w:val="0"/>
              <w:pageBreakBefore w:val="0"/>
              <w:widowControl w:val="0"/>
              <w:numPr>
                <w:ilvl w:val="0"/>
                <w:numId w:val="48"/>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国际音标。</w:t>
            </w:r>
          </w:p>
          <w:p w14:paraId="1BD298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（4）汉语拼音与其他拼音系统。</w:t>
            </w:r>
          </w:p>
        </w:tc>
        <w:tc>
          <w:tcPr>
            <w:tcW w:w="1211" w:type="dxa"/>
            <w:gridSpan w:val="3"/>
            <w:vAlign w:val="center"/>
          </w:tcPr>
          <w:p w14:paraId="305A40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课程目标1</w:t>
            </w:r>
          </w:p>
          <w:p w14:paraId="482819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课程目标2</w:t>
            </w:r>
          </w:p>
        </w:tc>
        <w:tc>
          <w:tcPr>
            <w:tcW w:w="3010" w:type="dxa"/>
            <w:vAlign w:val="center"/>
          </w:tcPr>
          <w:p w14:paraId="10A01D6B">
            <w:pPr>
              <w:keepNext w:val="0"/>
              <w:keepLines w:val="0"/>
              <w:pageBreakBefore w:val="0"/>
              <w:widowControl w:val="0"/>
              <w:numPr>
                <w:ilvl w:val="0"/>
                <w:numId w:val="49"/>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对现代汉语的语音系统有初步的了解。</w:t>
            </w:r>
          </w:p>
          <w:p w14:paraId="6FE608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（2）能够用国际音标写出现代汉语的字词。</w:t>
            </w:r>
          </w:p>
          <w:p w14:paraId="7DF25F8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1551" w:type="dxa"/>
            <w:gridSpan w:val="3"/>
            <w:vAlign w:val="center"/>
          </w:tcPr>
          <w:p w14:paraId="223BDB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多媒体教学</w:t>
            </w:r>
          </w:p>
          <w:p w14:paraId="67DE04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课堂讨论</w:t>
            </w:r>
          </w:p>
          <w:p w14:paraId="771A72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3.平时作业</w:t>
            </w:r>
          </w:p>
          <w:p w14:paraId="466BB03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p>
        </w:tc>
        <w:tc>
          <w:tcPr>
            <w:tcW w:w="438" w:type="dxa"/>
            <w:vAlign w:val="center"/>
          </w:tcPr>
          <w:p w14:paraId="2589D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4</w:t>
            </w:r>
          </w:p>
        </w:tc>
      </w:tr>
      <w:tr w14:paraId="46F6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00830753">
            <w:pPr>
              <w:spacing w:line="264" w:lineRule="auto"/>
              <w:jc w:val="center"/>
              <w:rPr>
                <w:rFonts w:ascii="宋体" w:hAnsi="宋体" w:eastAsia="宋体" w:cs="Times New Roman"/>
                <w:color w:val="auto"/>
                <w:szCs w:val="21"/>
              </w:rPr>
            </w:pPr>
          </w:p>
        </w:tc>
        <w:tc>
          <w:tcPr>
            <w:tcW w:w="8359" w:type="dxa"/>
            <w:gridSpan w:val="9"/>
            <w:vAlign w:val="center"/>
          </w:tcPr>
          <w:p w14:paraId="5245AD0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课程思政目标：</w:t>
            </w:r>
            <w:r>
              <w:rPr>
                <w:rFonts w:hint="eastAsia" w:ascii="宋体" w:hAnsi="宋体" w:eastAsia="宋体" w:cs="宋体"/>
                <w:b w:val="0"/>
                <w:bCs w:val="0"/>
                <w:color w:val="auto"/>
                <w:sz w:val="21"/>
                <w:szCs w:val="21"/>
                <w:lang w:eastAsia="zh-CN"/>
              </w:rPr>
              <w:t>通过对现代汉语的语音</w:t>
            </w:r>
            <w:r>
              <w:rPr>
                <w:rFonts w:hint="eastAsia" w:ascii="宋体" w:hAnsi="宋体" w:eastAsia="宋体" w:cs="宋体"/>
                <w:b w:val="0"/>
                <w:bCs w:val="0"/>
                <w:color w:val="auto"/>
                <w:sz w:val="21"/>
                <w:szCs w:val="21"/>
                <w:lang w:val="en-US" w:eastAsia="zh-CN"/>
              </w:rPr>
              <w:t>结构、汉语拼音你</w:t>
            </w:r>
            <w:r>
              <w:rPr>
                <w:rFonts w:hint="eastAsia" w:ascii="宋体" w:hAnsi="宋体" w:eastAsia="宋体" w:cs="宋体"/>
                <w:b w:val="0"/>
                <w:bCs w:val="0"/>
                <w:color w:val="auto"/>
                <w:sz w:val="21"/>
                <w:szCs w:val="21"/>
                <w:lang w:eastAsia="zh-CN"/>
              </w:rPr>
              <w:t>进行</w:t>
            </w:r>
            <w:r>
              <w:rPr>
                <w:rFonts w:hint="eastAsia" w:ascii="宋体" w:hAnsi="宋体" w:eastAsia="宋体" w:cs="宋体"/>
                <w:b w:val="0"/>
                <w:bCs w:val="0"/>
                <w:color w:val="auto"/>
                <w:sz w:val="21"/>
                <w:szCs w:val="21"/>
                <w:lang w:val="en-US" w:eastAsia="zh-CN"/>
              </w:rPr>
              <w:t>深入</w:t>
            </w:r>
            <w:r>
              <w:rPr>
                <w:rFonts w:hint="eastAsia" w:ascii="宋体" w:hAnsi="宋体" w:eastAsia="宋体" w:cs="宋体"/>
                <w:b w:val="0"/>
                <w:bCs w:val="0"/>
                <w:color w:val="auto"/>
                <w:sz w:val="21"/>
                <w:szCs w:val="21"/>
                <w:lang w:eastAsia="zh-CN"/>
              </w:rPr>
              <w:t>了解，提高学生对</w:t>
            </w:r>
            <w:r>
              <w:rPr>
                <w:rFonts w:hint="eastAsia" w:ascii="宋体" w:hAnsi="宋体" w:eastAsia="宋体" w:cs="宋体"/>
                <w:b w:val="0"/>
                <w:bCs w:val="0"/>
                <w:color w:val="auto"/>
                <w:sz w:val="21"/>
                <w:szCs w:val="21"/>
                <w:lang w:val="en-US" w:eastAsia="zh-CN"/>
              </w:rPr>
              <w:t>汉语</w:t>
            </w:r>
            <w:r>
              <w:rPr>
                <w:rFonts w:hint="eastAsia" w:ascii="宋体" w:hAnsi="宋体" w:eastAsia="宋体" w:cs="宋体"/>
                <w:b w:val="0"/>
                <w:bCs w:val="0"/>
                <w:color w:val="auto"/>
                <w:sz w:val="21"/>
                <w:szCs w:val="21"/>
                <w:lang w:eastAsia="zh-CN"/>
              </w:rPr>
              <w:t>的</w:t>
            </w:r>
            <w:r>
              <w:rPr>
                <w:rFonts w:hint="eastAsia" w:ascii="宋体" w:hAnsi="宋体" w:eastAsia="宋体" w:cs="宋体"/>
                <w:b w:val="0"/>
                <w:bCs w:val="0"/>
                <w:color w:val="auto"/>
                <w:sz w:val="21"/>
                <w:szCs w:val="21"/>
                <w:lang w:val="en-US" w:eastAsia="zh-CN"/>
              </w:rPr>
              <w:t>关注度</w:t>
            </w:r>
            <w:r>
              <w:rPr>
                <w:rFonts w:hint="eastAsia" w:ascii="宋体" w:hAnsi="宋体" w:eastAsia="宋体" w:cs="宋体"/>
                <w:b w:val="0"/>
                <w:bCs w:val="0"/>
                <w:color w:val="auto"/>
                <w:sz w:val="21"/>
                <w:szCs w:val="21"/>
                <w:lang w:eastAsia="zh-CN"/>
              </w:rPr>
              <w:t>，增强学生对汉语文化的认同感、自信心和自豪感。</w:t>
            </w:r>
          </w:p>
        </w:tc>
      </w:tr>
      <w:tr w14:paraId="2D2D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03296253">
            <w:pPr>
              <w:spacing w:line="264" w:lineRule="auto"/>
              <w:jc w:val="center"/>
              <w:rPr>
                <w:rFonts w:hint="eastAsia" w:ascii="宋体" w:hAnsi="宋体" w:eastAsia="宋体" w:cs="Times New Roman"/>
                <w:color w:val="auto"/>
                <w:szCs w:val="21"/>
                <w:lang w:val="en-US" w:eastAsia="zh-CN"/>
              </w:rPr>
            </w:pPr>
            <w:r>
              <w:rPr>
                <w:rFonts w:hint="eastAsia" w:ascii="宋体" w:hAnsi="宋体" w:eastAsia="宋体" w:cs="宋体"/>
                <w:b w:val="0"/>
                <w:bCs w:val="0"/>
                <w:color w:val="auto"/>
                <w:sz w:val="24"/>
                <w:szCs w:val="24"/>
              </w:rPr>
              <w:t>语音（二）</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三</w:t>
            </w:r>
            <w:r>
              <w:rPr>
                <w:rFonts w:hint="eastAsia" w:ascii="宋体" w:hAnsi="宋体" w:eastAsia="宋体" w:cs="宋体"/>
                <w:b w:val="0"/>
                <w:bCs w:val="0"/>
                <w:color w:val="auto"/>
                <w:sz w:val="24"/>
                <w:szCs w:val="24"/>
                <w:lang w:eastAsia="zh-CN"/>
              </w:rPr>
              <w:t>）</w:t>
            </w:r>
          </w:p>
        </w:tc>
        <w:tc>
          <w:tcPr>
            <w:tcW w:w="2149" w:type="dxa"/>
            <w:vAlign w:val="center"/>
          </w:tcPr>
          <w:p w14:paraId="685D842F">
            <w:pPr>
              <w:keepNext w:val="0"/>
              <w:keepLines w:val="0"/>
              <w:pageBreakBefore w:val="0"/>
              <w:widowControl w:val="0"/>
              <w:numPr>
                <w:ilvl w:val="0"/>
                <w:numId w:val="5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辅音、</w:t>
            </w:r>
            <w:r>
              <w:rPr>
                <w:rFonts w:hint="eastAsia" w:ascii="宋体" w:hAnsi="宋体" w:eastAsia="宋体" w:cs="宋体"/>
                <w:color w:val="auto"/>
                <w:sz w:val="21"/>
                <w:szCs w:val="21"/>
                <w:lang w:val="en-US" w:eastAsia="zh-CN"/>
              </w:rPr>
              <w:t>元音、声调、音节；</w:t>
            </w:r>
          </w:p>
          <w:p w14:paraId="0E607BB6">
            <w:pPr>
              <w:keepNext w:val="0"/>
              <w:keepLines w:val="0"/>
              <w:pageBreakBefore w:val="0"/>
              <w:widowControl w:val="0"/>
              <w:numPr>
                <w:ilvl w:val="0"/>
                <w:numId w:val="5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音变（变调、轻声、儿化、啊音变）</w:t>
            </w:r>
            <w:r>
              <w:rPr>
                <w:rFonts w:hint="eastAsia" w:ascii="宋体" w:hAnsi="宋体" w:eastAsia="宋体" w:cs="宋体"/>
                <w:color w:val="auto"/>
                <w:sz w:val="21"/>
                <w:szCs w:val="21"/>
                <w:lang w:eastAsia="zh-CN"/>
              </w:rPr>
              <w:t>；</w:t>
            </w:r>
          </w:p>
          <w:p w14:paraId="56A946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（3）音系学：音位与音位变体。</w:t>
            </w:r>
          </w:p>
          <w:p w14:paraId="7B6DC4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default" w:ascii="宋体" w:hAnsi="宋体" w:eastAsia="宋体" w:cs="宋体"/>
                <w:color w:val="auto"/>
                <w:sz w:val="21"/>
                <w:szCs w:val="21"/>
              </w:rPr>
            </w:pPr>
          </w:p>
        </w:tc>
        <w:tc>
          <w:tcPr>
            <w:tcW w:w="1211" w:type="dxa"/>
            <w:gridSpan w:val="3"/>
            <w:vAlign w:val="center"/>
          </w:tcPr>
          <w:p w14:paraId="57FFB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课程目标1课程目标2</w:t>
            </w:r>
          </w:p>
        </w:tc>
        <w:tc>
          <w:tcPr>
            <w:tcW w:w="3010" w:type="dxa"/>
            <w:vAlign w:val="center"/>
          </w:tcPr>
          <w:p w14:paraId="6FCB38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（1）能够对现代汉语的辅音和元音进行描写。</w:t>
            </w:r>
          </w:p>
          <w:p w14:paraId="7E02E0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（2）能用五度标调法对现代汉语的声调进行标注。</w:t>
            </w:r>
          </w:p>
          <w:p w14:paraId="75D100C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）能准确切分现代汉语音节结构。</w:t>
            </w:r>
          </w:p>
          <w:p w14:paraId="4818226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）能够处理常见的现代汉语音变现象。</w:t>
            </w:r>
          </w:p>
          <w:p w14:paraId="41566B2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1551" w:type="dxa"/>
            <w:gridSpan w:val="3"/>
            <w:vAlign w:val="center"/>
          </w:tcPr>
          <w:p w14:paraId="26D93D2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1.线上学习</w:t>
            </w:r>
          </w:p>
          <w:p w14:paraId="44D4895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69EF91A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Times New Roman"/>
                <w:color w:val="auto"/>
                <w:sz w:val="21"/>
                <w:szCs w:val="21"/>
                <w:lang w:val="en-US" w:eastAsia="zh-CN"/>
              </w:rPr>
            </w:pPr>
            <w:r>
              <w:rPr>
                <w:rFonts w:ascii="宋体" w:hAnsi="宋体" w:eastAsia="宋体" w:cs="Times New Roman"/>
                <w:color w:val="auto"/>
                <w:sz w:val="21"/>
                <w:szCs w:val="21"/>
              </w:rPr>
              <w:t>4.</w:t>
            </w:r>
            <w:r>
              <w:rPr>
                <w:rFonts w:hint="eastAsia" w:ascii="宋体" w:hAnsi="宋体" w:eastAsia="宋体" w:cs="Times New Roman"/>
                <w:color w:val="auto"/>
                <w:sz w:val="21"/>
                <w:szCs w:val="21"/>
                <w:lang w:val="en-US" w:eastAsia="zh-CN"/>
              </w:rPr>
              <w:t>平时作业</w:t>
            </w:r>
          </w:p>
        </w:tc>
        <w:tc>
          <w:tcPr>
            <w:tcW w:w="438" w:type="dxa"/>
            <w:vAlign w:val="center"/>
          </w:tcPr>
          <w:p w14:paraId="2B69AD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6</w:t>
            </w:r>
          </w:p>
        </w:tc>
      </w:tr>
      <w:tr w14:paraId="71FE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29A38FE7">
            <w:pPr>
              <w:spacing w:line="264" w:lineRule="auto"/>
              <w:jc w:val="center"/>
              <w:rPr>
                <w:rFonts w:ascii="宋体" w:hAnsi="宋体" w:eastAsia="宋体" w:cs="Times New Roman"/>
                <w:color w:val="auto"/>
                <w:szCs w:val="21"/>
              </w:rPr>
            </w:pPr>
          </w:p>
        </w:tc>
        <w:tc>
          <w:tcPr>
            <w:tcW w:w="8359" w:type="dxa"/>
            <w:gridSpan w:val="9"/>
            <w:vAlign w:val="center"/>
          </w:tcPr>
          <w:p w14:paraId="418914F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课程思政目标：</w:t>
            </w:r>
            <w:r>
              <w:rPr>
                <w:rFonts w:hint="default" w:ascii="Times New Roman" w:hAnsi="Times New Roman" w:eastAsia="Arial" w:cs="Times New Roman"/>
                <w:i w:val="0"/>
                <w:iCs w:val="0"/>
                <w:caps w:val="0"/>
                <w:color w:val="auto"/>
                <w:spacing w:val="0"/>
                <w:sz w:val="21"/>
                <w:szCs w:val="21"/>
                <w:shd w:val="clear" w:fill="FFFFFF"/>
              </w:rPr>
              <w:t>激发汉字文化自信，培养文化遗产保护责任感</w:t>
            </w:r>
          </w:p>
        </w:tc>
      </w:tr>
      <w:tr w14:paraId="19BD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3EC03EA7">
            <w:pPr>
              <w:spacing w:line="276" w:lineRule="auto"/>
              <w:jc w:val="center"/>
              <w:rPr>
                <w:rFonts w:ascii="宋体" w:hAnsi="宋体" w:eastAsia="宋体" w:cs="Times New Roman"/>
                <w:color w:val="auto"/>
                <w:szCs w:val="21"/>
              </w:rPr>
            </w:pPr>
            <w:r>
              <w:rPr>
                <w:rFonts w:hint="eastAsia" w:ascii="宋体" w:hAnsi="宋体" w:eastAsia="宋体" w:cs="宋体"/>
                <w:b w:val="0"/>
                <w:bCs w:val="0"/>
                <w:color w:val="auto"/>
                <w:sz w:val="24"/>
                <w:szCs w:val="24"/>
              </w:rPr>
              <w:t>文字</w:t>
            </w:r>
          </w:p>
        </w:tc>
        <w:tc>
          <w:tcPr>
            <w:tcW w:w="2149" w:type="dxa"/>
            <w:vAlign w:val="center"/>
          </w:tcPr>
          <w:p w14:paraId="4AD11BFA">
            <w:pPr>
              <w:keepNext w:val="0"/>
              <w:keepLines w:val="0"/>
              <w:pageBreakBefore w:val="0"/>
              <w:widowControl w:val="0"/>
              <w:numPr>
                <w:ilvl w:val="0"/>
                <w:numId w:val="51"/>
              </w:numP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Arial" w:cs="Times New Roman"/>
                <w:i w:val="0"/>
                <w:iCs w:val="0"/>
                <w:caps w:val="0"/>
                <w:color w:val="auto"/>
                <w:spacing w:val="0"/>
                <w:sz w:val="21"/>
                <w:szCs w:val="21"/>
                <w:shd w:val="clear" w:fill="FFFFFF"/>
              </w:rPr>
            </w:pPr>
            <w:r>
              <w:rPr>
                <w:rFonts w:hint="eastAsia" w:ascii="Times New Roman" w:hAnsi="Times New Roman" w:eastAsia="Arial" w:cs="Times New Roman"/>
                <w:i w:val="0"/>
                <w:iCs w:val="0"/>
                <w:caps w:val="0"/>
                <w:color w:val="auto"/>
                <w:spacing w:val="0"/>
                <w:sz w:val="21"/>
                <w:szCs w:val="21"/>
                <w:shd w:val="clear" w:fill="FFFFFF"/>
              </w:rPr>
              <w:t>文字的性质。</w:t>
            </w:r>
          </w:p>
          <w:p w14:paraId="2AA8CA03">
            <w:pPr>
              <w:keepNext w:val="0"/>
              <w:keepLines w:val="0"/>
              <w:pageBreakBefore w:val="0"/>
              <w:widowControl w:val="0"/>
              <w:numPr>
                <w:ilvl w:val="0"/>
                <w:numId w:val="5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Arial" w:cs="Times New Roman"/>
                <w:i w:val="0"/>
                <w:iCs w:val="0"/>
                <w:caps w:val="0"/>
                <w:color w:val="auto"/>
                <w:spacing w:val="0"/>
                <w:sz w:val="21"/>
                <w:szCs w:val="21"/>
                <w:shd w:val="clear" w:fill="FFFFFF"/>
              </w:rPr>
            </w:pPr>
            <w:r>
              <w:rPr>
                <w:rFonts w:hint="eastAsia" w:ascii="Times New Roman" w:hAnsi="Times New Roman" w:eastAsia="Arial" w:cs="Times New Roman"/>
                <w:i w:val="0"/>
                <w:iCs w:val="0"/>
                <w:caps w:val="0"/>
                <w:color w:val="auto"/>
                <w:spacing w:val="0"/>
                <w:sz w:val="21"/>
                <w:szCs w:val="21"/>
                <w:shd w:val="clear" w:fill="FFFFFF"/>
              </w:rPr>
              <w:t>汉字的起源。</w:t>
            </w:r>
          </w:p>
          <w:p w14:paraId="17160EC2">
            <w:pPr>
              <w:keepNext w:val="0"/>
              <w:keepLines w:val="0"/>
              <w:pageBreakBefore w:val="0"/>
              <w:widowControl w:val="0"/>
              <w:numPr>
                <w:ilvl w:val="0"/>
                <w:numId w:val="5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Arial" w:cs="Times New Roman"/>
                <w:i w:val="0"/>
                <w:iCs w:val="0"/>
                <w:caps w:val="0"/>
                <w:color w:val="auto"/>
                <w:spacing w:val="0"/>
                <w:sz w:val="21"/>
                <w:szCs w:val="21"/>
                <w:shd w:val="clear" w:fill="FFFFFF"/>
              </w:rPr>
            </w:pPr>
            <w:r>
              <w:rPr>
                <w:rFonts w:hint="eastAsia" w:ascii="Times New Roman" w:hAnsi="Times New Roman" w:eastAsia="Arial" w:cs="Times New Roman"/>
                <w:i w:val="0"/>
                <w:iCs w:val="0"/>
                <w:caps w:val="0"/>
                <w:color w:val="auto"/>
                <w:spacing w:val="0"/>
                <w:sz w:val="21"/>
                <w:szCs w:val="21"/>
                <w:shd w:val="clear" w:fill="FFFFFF"/>
              </w:rPr>
              <w:t>汉字的特点。</w:t>
            </w:r>
          </w:p>
          <w:p w14:paraId="15535A5C">
            <w:pPr>
              <w:keepNext w:val="0"/>
              <w:keepLines w:val="0"/>
              <w:pageBreakBefore w:val="0"/>
              <w:widowControl w:val="0"/>
              <w:numPr>
                <w:ilvl w:val="0"/>
                <w:numId w:val="5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Arial" w:cs="Times New Roman"/>
                <w:i w:val="0"/>
                <w:iCs w:val="0"/>
                <w:caps w:val="0"/>
                <w:color w:val="auto"/>
                <w:spacing w:val="0"/>
                <w:sz w:val="21"/>
                <w:szCs w:val="21"/>
                <w:shd w:val="clear" w:fill="FFFFFF"/>
              </w:rPr>
            </w:pPr>
            <w:r>
              <w:rPr>
                <w:rFonts w:hint="eastAsia" w:ascii="Times New Roman" w:hAnsi="Times New Roman" w:eastAsia="Arial" w:cs="Times New Roman"/>
                <w:i w:val="0"/>
                <w:iCs w:val="0"/>
                <w:caps w:val="0"/>
                <w:color w:val="auto"/>
                <w:spacing w:val="0"/>
                <w:sz w:val="21"/>
                <w:szCs w:val="21"/>
                <w:shd w:val="clear" w:fill="FFFFFF"/>
              </w:rPr>
              <w:t>汉字的作用。</w:t>
            </w:r>
          </w:p>
          <w:p w14:paraId="5FCDD9D0">
            <w:pPr>
              <w:keepNext w:val="0"/>
              <w:keepLines w:val="0"/>
              <w:pageBreakBefore w:val="0"/>
              <w:widowControl w:val="0"/>
              <w:numPr>
                <w:ilvl w:val="0"/>
                <w:numId w:val="5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Arial" w:cs="Times New Roman"/>
                <w:i w:val="0"/>
                <w:iCs w:val="0"/>
                <w:caps w:val="0"/>
                <w:color w:val="auto"/>
                <w:spacing w:val="0"/>
                <w:sz w:val="21"/>
                <w:szCs w:val="21"/>
                <w:shd w:val="clear" w:fill="FFFFFF"/>
              </w:rPr>
            </w:pPr>
            <w:r>
              <w:rPr>
                <w:rFonts w:hint="eastAsia" w:ascii="Times New Roman" w:hAnsi="Times New Roman" w:eastAsia="Arial" w:cs="Times New Roman"/>
                <w:i w:val="0"/>
                <w:iCs w:val="0"/>
                <w:caps w:val="0"/>
                <w:color w:val="auto"/>
                <w:spacing w:val="0"/>
                <w:sz w:val="21"/>
                <w:szCs w:val="21"/>
                <w:shd w:val="clear" w:fill="FFFFFF"/>
              </w:rPr>
              <w:t>汉字的形体。</w:t>
            </w:r>
          </w:p>
          <w:p w14:paraId="0F49B2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Times New Roman" w:hAnsi="Times New Roman" w:eastAsia="Arial" w:cs="Times New Roman"/>
                <w:i w:val="0"/>
                <w:iCs w:val="0"/>
                <w:caps w:val="0"/>
                <w:color w:val="auto"/>
                <w:spacing w:val="0"/>
                <w:sz w:val="21"/>
                <w:szCs w:val="21"/>
                <w:shd w:val="clear" w:fill="FFFFFF"/>
              </w:rPr>
            </w:pPr>
            <w:r>
              <w:rPr>
                <w:rFonts w:hint="eastAsia" w:ascii="Times New Roman" w:hAnsi="Times New Roman" w:eastAsia="Arial" w:cs="Times New Roman"/>
                <w:i w:val="0"/>
                <w:iCs w:val="0"/>
                <w:caps w:val="0"/>
                <w:color w:val="auto"/>
                <w:spacing w:val="0"/>
                <w:sz w:val="21"/>
                <w:szCs w:val="21"/>
                <w:shd w:val="clear" w:fill="FFFFFF"/>
              </w:rPr>
              <w:t>（</w:t>
            </w:r>
            <w:r>
              <w:rPr>
                <w:rFonts w:hint="eastAsia" w:ascii="Times New Roman" w:hAnsi="Times New Roman" w:eastAsia="Arial" w:cs="Times New Roman"/>
                <w:i w:val="0"/>
                <w:iCs w:val="0"/>
                <w:caps w:val="0"/>
                <w:color w:val="auto"/>
                <w:spacing w:val="0"/>
                <w:sz w:val="21"/>
                <w:szCs w:val="21"/>
                <w:shd w:val="clear" w:fill="FFFFFF"/>
                <w:lang w:val="en-US" w:eastAsia="zh-CN"/>
              </w:rPr>
              <w:t>6</w:t>
            </w:r>
            <w:r>
              <w:rPr>
                <w:rFonts w:hint="eastAsia" w:ascii="Times New Roman" w:hAnsi="Times New Roman" w:eastAsia="Arial" w:cs="Times New Roman"/>
                <w:i w:val="0"/>
                <w:iCs w:val="0"/>
                <w:caps w:val="0"/>
                <w:color w:val="auto"/>
                <w:spacing w:val="0"/>
                <w:sz w:val="21"/>
                <w:szCs w:val="21"/>
                <w:shd w:val="clear" w:fill="FFFFFF"/>
              </w:rPr>
              <w:t>）汉字的结构。</w:t>
            </w:r>
          </w:p>
          <w:p w14:paraId="1768F9A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p>
          <w:p w14:paraId="3AB99CE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1211" w:type="dxa"/>
            <w:gridSpan w:val="3"/>
            <w:vAlign w:val="center"/>
          </w:tcPr>
          <w:p w14:paraId="5C30CC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课程目标2</w:t>
            </w:r>
          </w:p>
        </w:tc>
        <w:tc>
          <w:tcPr>
            <w:tcW w:w="3010" w:type="dxa"/>
            <w:vAlign w:val="center"/>
          </w:tcPr>
          <w:p w14:paraId="417EAB45">
            <w:pPr>
              <w:keepNext w:val="0"/>
              <w:keepLines w:val="0"/>
              <w:pageBreakBefore w:val="0"/>
              <w:widowControl w:val="0"/>
              <w:numPr>
                <w:ilvl w:val="0"/>
                <w:numId w:val="52"/>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了解文字、汉字的产生过程</w:t>
            </w:r>
            <w:r>
              <w:rPr>
                <w:rFonts w:hint="eastAsia"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Arial" w:cs="Times New Roman"/>
                <w:i w:val="0"/>
                <w:iCs w:val="0"/>
                <w:caps w:val="0"/>
                <w:color w:val="auto"/>
                <w:spacing w:val="0"/>
                <w:sz w:val="21"/>
                <w:szCs w:val="21"/>
                <w:shd w:val="clear" w:fill="FFFFFF"/>
              </w:rPr>
              <w:t>掌握汉字的特点和作用。</w:t>
            </w:r>
          </w:p>
          <w:p w14:paraId="76C56FD4">
            <w:pPr>
              <w:keepNext w:val="0"/>
              <w:keepLines w:val="0"/>
              <w:pageBreakBefore w:val="0"/>
              <w:widowControl w:val="0"/>
              <w:numPr>
                <w:ilvl w:val="0"/>
                <w:numId w:val="52"/>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了解古代汉字形体的演变过程</w:t>
            </w:r>
            <w:r>
              <w:rPr>
                <w:rFonts w:hint="eastAsia"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Arial" w:cs="Times New Roman"/>
                <w:i w:val="0"/>
                <w:iCs w:val="0"/>
                <w:caps w:val="0"/>
                <w:color w:val="auto"/>
                <w:spacing w:val="0"/>
                <w:sz w:val="21"/>
                <w:szCs w:val="21"/>
                <w:shd w:val="clear" w:fill="FFFFFF"/>
              </w:rPr>
              <w:t>了解现行汉字的形体。</w:t>
            </w:r>
          </w:p>
          <w:p w14:paraId="74E9569E">
            <w:pPr>
              <w:keepNext w:val="0"/>
              <w:keepLines w:val="0"/>
              <w:pageBreakBefore w:val="0"/>
              <w:widowControl w:val="0"/>
              <w:numPr>
                <w:ilvl w:val="0"/>
                <w:numId w:val="52"/>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了解汉字的结构单位以及它们的含义、具体类型和特点。</w:t>
            </w:r>
          </w:p>
          <w:p w14:paraId="460F5F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（4）掌握汉字笔画、部件的组合方式，了解笔顺的含义及基本规则</w:t>
            </w:r>
            <w:r>
              <w:rPr>
                <w:rFonts w:hint="eastAsia"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Arial" w:cs="Times New Roman"/>
                <w:i w:val="0"/>
                <w:iCs w:val="0"/>
                <w:caps w:val="0"/>
                <w:color w:val="auto"/>
                <w:spacing w:val="0"/>
                <w:sz w:val="21"/>
                <w:szCs w:val="21"/>
                <w:shd w:val="clear" w:fill="FFFFFF"/>
              </w:rPr>
              <w:t>掌握汉字造字法的类型以及各种造字法的具体含义、种类。</w:t>
            </w:r>
          </w:p>
        </w:tc>
        <w:tc>
          <w:tcPr>
            <w:tcW w:w="1551" w:type="dxa"/>
            <w:gridSpan w:val="3"/>
            <w:vAlign w:val="center"/>
          </w:tcPr>
          <w:p w14:paraId="6685520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1.线上学习</w:t>
            </w:r>
          </w:p>
          <w:p w14:paraId="2001C8E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77D42E6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18514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8</w:t>
            </w:r>
          </w:p>
        </w:tc>
      </w:tr>
      <w:tr w14:paraId="3EF3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39" w:type="dxa"/>
            <w:vMerge w:val="continue"/>
            <w:vAlign w:val="center"/>
          </w:tcPr>
          <w:p w14:paraId="61FE10B5">
            <w:pPr>
              <w:spacing w:line="276" w:lineRule="auto"/>
              <w:jc w:val="center"/>
              <w:rPr>
                <w:rFonts w:ascii="宋体" w:hAnsi="宋体" w:eastAsia="宋体" w:cs="Times New Roman"/>
                <w:color w:val="auto"/>
                <w:szCs w:val="21"/>
              </w:rPr>
            </w:pPr>
          </w:p>
        </w:tc>
        <w:tc>
          <w:tcPr>
            <w:tcW w:w="8359" w:type="dxa"/>
            <w:gridSpan w:val="9"/>
            <w:vAlign w:val="center"/>
          </w:tcPr>
          <w:p w14:paraId="6A2D491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lang w:eastAsia="zh-CN"/>
              </w:rPr>
            </w:pPr>
            <w:r>
              <w:rPr>
                <w:rFonts w:hint="default" w:ascii="Times New Roman" w:hAnsi="Times New Roman" w:eastAsia="宋体" w:cs="Times New Roman"/>
                <w:b/>
                <w:color w:val="auto"/>
                <w:sz w:val="21"/>
                <w:szCs w:val="21"/>
              </w:rPr>
              <w:t>课程思政目标：</w:t>
            </w:r>
            <w:r>
              <w:rPr>
                <w:rFonts w:hint="eastAsia" w:ascii="宋体" w:hAnsi="宋体" w:eastAsia="宋体" w:cs="宋体"/>
                <w:b w:val="0"/>
                <w:bCs w:val="0"/>
                <w:color w:val="auto"/>
                <w:sz w:val="21"/>
                <w:szCs w:val="21"/>
                <w:lang w:eastAsia="zh-CN"/>
              </w:rPr>
              <w:t>通过对</w:t>
            </w:r>
            <w:r>
              <w:rPr>
                <w:rFonts w:hint="eastAsia" w:ascii="宋体" w:hAnsi="宋体" w:eastAsia="宋体" w:cs="宋体"/>
                <w:b w:val="0"/>
                <w:bCs w:val="0"/>
                <w:color w:val="auto"/>
                <w:sz w:val="21"/>
                <w:szCs w:val="21"/>
                <w:lang w:val="en-US" w:eastAsia="zh-CN"/>
              </w:rPr>
              <w:t>汉字的起源、特点、作用进行系统</w:t>
            </w:r>
            <w:r>
              <w:rPr>
                <w:rFonts w:hint="eastAsia" w:ascii="宋体" w:hAnsi="宋体" w:eastAsia="宋体" w:cs="宋体"/>
                <w:b w:val="0"/>
                <w:bCs w:val="0"/>
                <w:color w:val="auto"/>
                <w:sz w:val="21"/>
                <w:szCs w:val="21"/>
                <w:lang w:eastAsia="zh-CN"/>
              </w:rPr>
              <w:t>了解，</w:t>
            </w:r>
            <w:r>
              <w:rPr>
                <w:rFonts w:hint="eastAsia" w:ascii="宋体" w:hAnsi="宋体" w:eastAsia="宋体" w:cs="宋体"/>
                <w:b w:val="0"/>
                <w:bCs w:val="0"/>
                <w:color w:val="auto"/>
                <w:sz w:val="21"/>
                <w:szCs w:val="21"/>
                <w:lang w:val="en-US" w:eastAsia="zh-CN"/>
              </w:rPr>
              <w:t>让学生体会到汉文化之美，培养学生对汉民族传统文化的热爱。</w:t>
            </w:r>
          </w:p>
          <w:p w14:paraId="0E3BF9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rPr>
            </w:pPr>
            <w:r>
              <w:rPr>
                <w:rFonts w:hint="eastAsia" w:ascii="宋体" w:hAnsi="宋体" w:eastAsia="宋体" w:cs="宋体"/>
                <w:b w:val="0"/>
                <w:bCs w:val="0"/>
                <w:color w:val="auto"/>
                <w:sz w:val="21"/>
                <w:szCs w:val="21"/>
                <w:lang w:eastAsia="zh-CN"/>
              </w:rPr>
              <w:t>通过对</w:t>
            </w:r>
            <w:r>
              <w:rPr>
                <w:rFonts w:hint="eastAsia" w:ascii="宋体" w:hAnsi="宋体" w:eastAsia="宋体" w:cs="宋体"/>
                <w:b w:val="0"/>
                <w:bCs w:val="0"/>
                <w:color w:val="auto"/>
                <w:sz w:val="21"/>
                <w:szCs w:val="21"/>
                <w:lang w:val="en-US" w:eastAsia="zh-CN"/>
              </w:rPr>
              <w:t>汉字的形体结构进行系统</w:t>
            </w:r>
            <w:r>
              <w:rPr>
                <w:rFonts w:hint="eastAsia" w:ascii="宋体" w:hAnsi="宋体" w:eastAsia="宋体" w:cs="宋体"/>
                <w:b w:val="0"/>
                <w:bCs w:val="0"/>
                <w:color w:val="auto"/>
                <w:sz w:val="21"/>
                <w:szCs w:val="21"/>
                <w:lang w:eastAsia="zh-CN"/>
              </w:rPr>
              <w:t>了解，</w:t>
            </w:r>
            <w:r>
              <w:rPr>
                <w:rFonts w:hint="eastAsia" w:ascii="宋体" w:hAnsi="宋体" w:eastAsia="宋体" w:cs="宋体"/>
                <w:b w:val="0"/>
                <w:bCs w:val="0"/>
                <w:color w:val="auto"/>
                <w:sz w:val="21"/>
                <w:szCs w:val="21"/>
                <w:lang w:val="en-US" w:eastAsia="zh-CN"/>
              </w:rPr>
              <w:t>让学生体会到汉字之美美，让学生树立起主动传承中国优秀传统文化的主动性和自觉性。</w:t>
            </w:r>
          </w:p>
        </w:tc>
      </w:tr>
      <w:tr w14:paraId="1AE7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3DC33D81">
            <w:pPr>
              <w:spacing w:line="276"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词汇</w:t>
            </w:r>
          </w:p>
          <w:p w14:paraId="4E57A0A2">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一）</w:t>
            </w:r>
            <w:r>
              <w:rPr>
                <w:rFonts w:hint="eastAsia" w:ascii="宋体" w:hAnsi="宋体" w:eastAsia="宋体" w:cs="Times New Roman"/>
                <w:color w:val="auto"/>
                <w:szCs w:val="21"/>
              </w:rPr>
              <w:t xml:space="preserve">‌ </w:t>
            </w:r>
          </w:p>
        </w:tc>
        <w:tc>
          <w:tcPr>
            <w:tcW w:w="2149" w:type="dxa"/>
            <w:vAlign w:val="center"/>
          </w:tcPr>
          <w:p w14:paraId="49DBAAF6">
            <w:pPr>
              <w:keepNext w:val="0"/>
              <w:keepLines w:val="0"/>
              <w:pageBreakBefore w:val="0"/>
              <w:widowControl w:val="0"/>
              <w:numPr>
                <w:ilvl w:val="0"/>
                <w:numId w:val="53"/>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词汇的性质</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结构类型。</w:t>
            </w:r>
          </w:p>
          <w:p w14:paraId="023EA2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词汇的语义类型。</w:t>
            </w:r>
          </w:p>
          <w:p w14:paraId="409C6D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义项和义素。</w:t>
            </w:r>
          </w:p>
          <w:p w14:paraId="0EE30F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语义场。</w:t>
            </w:r>
          </w:p>
          <w:p w14:paraId="093439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）同义词、反义词。</w:t>
            </w:r>
          </w:p>
        </w:tc>
        <w:tc>
          <w:tcPr>
            <w:tcW w:w="1211" w:type="dxa"/>
            <w:gridSpan w:val="3"/>
            <w:vAlign w:val="center"/>
          </w:tcPr>
          <w:p w14:paraId="6E3C5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课程目标2</w:t>
            </w:r>
          </w:p>
        </w:tc>
        <w:tc>
          <w:tcPr>
            <w:tcW w:w="3010" w:type="dxa"/>
            <w:vAlign w:val="center"/>
          </w:tcPr>
          <w:p w14:paraId="53231A62">
            <w:pPr>
              <w:keepNext w:val="0"/>
              <w:keepLines w:val="0"/>
              <w:pageBreakBefore w:val="0"/>
              <w:widowControl w:val="0"/>
              <w:numPr>
                <w:ilvl w:val="0"/>
                <w:numId w:val="54"/>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了解词汇的含义。</w:t>
            </w:r>
          </w:p>
          <w:p w14:paraId="2639E9C7">
            <w:pPr>
              <w:keepNext w:val="0"/>
              <w:keepLines w:val="0"/>
              <w:pageBreakBefore w:val="0"/>
              <w:widowControl w:val="0"/>
              <w:numPr>
                <w:ilvl w:val="0"/>
                <w:numId w:val="54"/>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掌握词汇的结构类型和语义类型。</w:t>
            </w:r>
          </w:p>
          <w:p w14:paraId="34D855E1">
            <w:pPr>
              <w:keepNext w:val="0"/>
              <w:keepLines w:val="0"/>
              <w:pageBreakBefore w:val="0"/>
              <w:widowControl w:val="0"/>
              <w:numPr>
                <w:ilvl w:val="0"/>
                <w:numId w:val="54"/>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掌握汉语词汇的语义类型。（</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Arial" w:cs="Times New Roman"/>
                <w:i w:val="0"/>
                <w:iCs w:val="0"/>
                <w:caps w:val="0"/>
                <w:color w:val="auto"/>
                <w:spacing w:val="0"/>
                <w:sz w:val="21"/>
                <w:szCs w:val="21"/>
                <w:shd w:val="clear" w:fill="FFFFFF"/>
              </w:rPr>
              <w:t>）对词汇基本要素，包括义素、义项、语义场、同义词、反义词等有基本的认识。</w:t>
            </w:r>
          </w:p>
        </w:tc>
        <w:tc>
          <w:tcPr>
            <w:tcW w:w="1551" w:type="dxa"/>
            <w:gridSpan w:val="3"/>
            <w:vAlign w:val="center"/>
          </w:tcPr>
          <w:p w14:paraId="2973CB3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1.线上学习</w:t>
            </w:r>
          </w:p>
          <w:p w14:paraId="47FE47B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61F130F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61C9F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6</w:t>
            </w:r>
          </w:p>
        </w:tc>
      </w:tr>
      <w:tr w14:paraId="37D7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6D791CB7">
            <w:pPr>
              <w:spacing w:line="276" w:lineRule="auto"/>
              <w:jc w:val="center"/>
              <w:rPr>
                <w:rFonts w:ascii="宋体" w:hAnsi="宋体" w:eastAsia="宋体" w:cs="Times New Roman"/>
                <w:color w:val="auto"/>
                <w:szCs w:val="21"/>
              </w:rPr>
            </w:pPr>
          </w:p>
        </w:tc>
        <w:tc>
          <w:tcPr>
            <w:tcW w:w="8359" w:type="dxa"/>
            <w:gridSpan w:val="9"/>
            <w:vAlign w:val="center"/>
          </w:tcPr>
          <w:p w14:paraId="3359EA1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课程思政目标：</w:t>
            </w:r>
            <w:r>
              <w:rPr>
                <w:rFonts w:hint="eastAsia" w:ascii="宋体" w:hAnsi="宋体" w:eastAsia="宋体" w:cs="宋体"/>
                <w:color w:val="auto"/>
                <w:sz w:val="21"/>
                <w:szCs w:val="21"/>
              </w:rPr>
              <w:t>通过对</w:t>
            </w:r>
            <w:r>
              <w:rPr>
                <w:rFonts w:hint="eastAsia" w:ascii="宋体" w:hAnsi="宋体" w:eastAsia="宋体" w:cs="宋体"/>
                <w:color w:val="auto"/>
                <w:sz w:val="21"/>
                <w:szCs w:val="21"/>
                <w:lang w:val="en-US" w:eastAsia="zh-CN"/>
              </w:rPr>
              <w:t>词汇语义层面相关知识</w:t>
            </w:r>
            <w:r>
              <w:rPr>
                <w:rFonts w:hint="eastAsia" w:ascii="宋体" w:hAnsi="宋体" w:eastAsia="宋体" w:cs="宋体"/>
                <w:color w:val="auto"/>
                <w:sz w:val="21"/>
                <w:szCs w:val="21"/>
              </w:rPr>
              <w:t>进行</w:t>
            </w:r>
            <w:r>
              <w:rPr>
                <w:rFonts w:hint="eastAsia" w:ascii="宋体" w:hAnsi="宋体" w:eastAsia="宋体" w:cs="宋体"/>
                <w:color w:val="auto"/>
                <w:sz w:val="21"/>
                <w:szCs w:val="21"/>
                <w:lang w:val="en-US" w:eastAsia="zh-CN"/>
              </w:rPr>
              <w:t>深入学习</w:t>
            </w:r>
            <w:r>
              <w:rPr>
                <w:rFonts w:hint="eastAsia" w:ascii="宋体" w:hAnsi="宋体" w:eastAsia="宋体" w:cs="宋体"/>
                <w:color w:val="auto"/>
                <w:sz w:val="21"/>
                <w:szCs w:val="21"/>
              </w:rPr>
              <w:t>，提高学生</w:t>
            </w:r>
            <w:r>
              <w:rPr>
                <w:rFonts w:hint="eastAsia" w:ascii="宋体" w:hAnsi="宋体" w:eastAsia="宋体" w:cs="宋体"/>
                <w:color w:val="auto"/>
                <w:sz w:val="21"/>
                <w:szCs w:val="21"/>
                <w:lang w:val="en-US" w:eastAsia="zh-CN"/>
              </w:rPr>
              <w:t>对词义</w:t>
            </w:r>
            <w:r>
              <w:rPr>
                <w:rFonts w:hint="eastAsia" w:ascii="宋体" w:hAnsi="宋体" w:eastAsia="宋体" w:cs="宋体"/>
                <w:color w:val="auto"/>
                <w:sz w:val="21"/>
                <w:szCs w:val="21"/>
              </w:rPr>
              <w:t>的认识程度，理解文化词的含义并能将其应用于语言实践中，传承并正确使用汉语词汇</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加深对优秀传统文化的理解。</w:t>
            </w:r>
          </w:p>
        </w:tc>
      </w:tr>
      <w:tr w14:paraId="60A7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6B54E9BE">
            <w:pPr>
              <w:spacing w:line="276"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词汇</w:t>
            </w:r>
          </w:p>
          <w:p w14:paraId="5C6195B9">
            <w:pPr>
              <w:spacing w:line="276"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（二）</w:t>
            </w:r>
          </w:p>
        </w:tc>
        <w:tc>
          <w:tcPr>
            <w:tcW w:w="2149" w:type="dxa"/>
            <w:vAlign w:val="center"/>
          </w:tcPr>
          <w:p w14:paraId="6DDEEED2">
            <w:pPr>
              <w:keepNext w:val="0"/>
              <w:keepLines w:val="0"/>
              <w:pageBreakBefore w:val="0"/>
              <w:widowControl w:val="0"/>
              <w:numPr>
                <w:ilvl w:val="0"/>
                <w:numId w:val="55"/>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现代汉语的词汇构成。</w:t>
            </w:r>
          </w:p>
          <w:p w14:paraId="6E84F6AD">
            <w:pPr>
              <w:keepNext w:val="0"/>
              <w:keepLines w:val="0"/>
              <w:pageBreakBefore w:val="0"/>
              <w:widowControl w:val="0"/>
              <w:numPr>
                <w:ilvl w:val="0"/>
                <w:numId w:val="55"/>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方言词与外来语。</w:t>
            </w:r>
          </w:p>
          <w:p w14:paraId="7C3D9E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Arial" w:cs="Times New Roman"/>
                <w:i w:val="0"/>
                <w:iCs w:val="0"/>
                <w:caps w:val="0"/>
                <w:color w:val="auto"/>
                <w:spacing w:val="0"/>
                <w:sz w:val="21"/>
                <w:szCs w:val="21"/>
                <w:shd w:val="clear" w:fill="FFFFFF"/>
              </w:rPr>
              <w:t>（3）词汇的发展演变。</w:t>
            </w:r>
          </w:p>
        </w:tc>
        <w:tc>
          <w:tcPr>
            <w:tcW w:w="1211" w:type="dxa"/>
            <w:gridSpan w:val="3"/>
            <w:vAlign w:val="center"/>
          </w:tcPr>
          <w:p w14:paraId="3AF09B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课程目标2</w:t>
            </w:r>
          </w:p>
        </w:tc>
        <w:tc>
          <w:tcPr>
            <w:tcW w:w="3010" w:type="dxa"/>
            <w:vAlign w:val="center"/>
          </w:tcPr>
          <w:p w14:paraId="12871CC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Arial" w:cs="Times New Roman"/>
                <w:i w:val="0"/>
                <w:iCs w:val="0"/>
                <w:caps w:val="0"/>
                <w:color w:val="auto"/>
                <w:spacing w:val="0"/>
                <w:sz w:val="21"/>
                <w:szCs w:val="21"/>
                <w:shd w:val="clear" w:fill="FFFFFF"/>
              </w:rPr>
            </w:pPr>
            <w:r>
              <w:rPr>
                <w:rFonts w:hint="default" w:ascii="Times New Roman" w:hAnsi="Times New Roman" w:eastAsia="Arial" w:cs="Times New Roman"/>
                <w:i w:val="0"/>
                <w:iCs w:val="0"/>
                <w:caps w:val="0"/>
                <w:color w:val="auto"/>
                <w:spacing w:val="0"/>
                <w:sz w:val="21"/>
                <w:szCs w:val="21"/>
                <w:shd w:val="clear" w:fill="FFFFFF"/>
              </w:rPr>
              <w:t>（1）了解汉语词汇系统的构成，对方言词以及外语借词能够有基本的判断。</w:t>
            </w:r>
          </w:p>
          <w:p w14:paraId="42767B7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i w:val="0"/>
                <w:iCs w:val="0"/>
                <w:caps w:val="0"/>
                <w:color w:val="auto"/>
                <w:spacing w:val="0"/>
                <w:sz w:val="21"/>
                <w:szCs w:val="21"/>
                <w:shd w:val="clear" w:fill="FFFFFF"/>
                <w:lang w:eastAsia="zh-CN"/>
              </w:rPr>
            </w:pPr>
            <w:r>
              <w:rPr>
                <w:rFonts w:hint="default" w:ascii="Times New Roman" w:hAnsi="Times New Roman" w:eastAsia="Arial" w:cs="Times New Roman"/>
                <w:i w:val="0"/>
                <w:iCs w:val="0"/>
                <w:caps w:val="0"/>
                <w:color w:val="auto"/>
                <w:spacing w:val="0"/>
                <w:sz w:val="21"/>
                <w:szCs w:val="21"/>
                <w:shd w:val="clear" w:fill="FFFFFF"/>
              </w:rPr>
              <w:t>（2）明确汉语词汇发展的基本脉络。</w:t>
            </w:r>
          </w:p>
        </w:tc>
        <w:tc>
          <w:tcPr>
            <w:tcW w:w="1551" w:type="dxa"/>
            <w:gridSpan w:val="3"/>
            <w:vAlign w:val="center"/>
          </w:tcPr>
          <w:p w14:paraId="7B63484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1.线上学习</w:t>
            </w:r>
          </w:p>
          <w:p w14:paraId="5CAEFB8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3825938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39218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4</w:t>
            </w:r>
          </w:p>
        </w:tc>
      </w:tr>
      <w:tr w14:paraId="3AC0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38818423">
            <w:pPr>
              <w:spacing w:line="276" w:lineRule="auto"/>
              <w:jc w:val="center"/>
              <w:rPr>
                <w:rFonts w:ascii="宋体" w:hAnsi="宋体" w:eastAsia="宋体" w:cs="Times New Roman"/>
                <w:color w:val="auto"/>
                <w:szCs w:val="21"/>
              </w:rPr>
            </w:pPr>
          </w:p>
        </w:tc>
        <w:tc>
          <w:tcPr>
            <w:tcW w:w="8359" w:type="dxa"/>
            <w:gridSpan w:val="9"/>
            <w:vAlign w:val="center"/>
          </w:tcPr>
          <w:p w14:paraId="41DB55F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课程思政目标：</w:t>
            </w:r>
            <w:r>
              <w:rPr>
                <w:rFonts w:hint="eastAsia" w:ascii="宋体" w:hAnsi="宋体" w:eastAsia="宋体" w:cs="宋体"/>
                <w:color w:val="auto"/>
                <w:sz w:val="21"/>
                <w:szCs w:val="21"/>
              </w:rPr>
              <w:t>通过对词汇</w:t>
            </w:r>
            <w:r>
              <w:rPr>
                <w:rFonts w:hint="eastAsia" w:ascii="宋体" w:hAnsi="宋体" w:eastAsia="宋体" w:cs="宋体"/>
                <w:color w:val="auto"/>
                <w:sz w:val="21"/>
                <w:szCs w:val="21"/>
                <w:lang w:val="en-US" w:eastAsia="zh-CN"/>
              </w:rPr>
              <w:t>来源、发展演变情况</w:t>
            </w:r>
            <w:r>
              <w:rPr>
                <w:rFonts w:hint="eastAsia" w:ascii="宋体" w:hAnsi="宋体" w:eastAsia="宋体" w:cs="宋体"/>
                <w:color w:val="auto"/>
                <w:sz w:val="21"/>
                <w:szCs w:val="21"/>
              </w:rPr>
              <w:t>进行了解，引领</w:t>
            </w:r>
            <w:r>
              <w:rPr>
                <w:rFonts w:hint="eastAsia" w:ascii="宋体" w:hAnsi="宋体" w:eastAsia="宋体" w:cs="宋体"/>
                <w:color w:val="auto"/>
                <w:sz w:val="21"/>
                <w:szCs w:val="21"/>
                <w:lang w:val="en-US" w:eastAsia="zh-CN"/>
              </w:rPr>
              <w:t>学生</w:t>
            </w:r>
            <w:r>
              <w:rPr>
                <w:rFonts w:hint="eastAsia" w:ascii="宋体" w:hAnsi="宋体" w:eastAsia="宋体" w:cs="宋体"/>
                <w:color w:val="auto"/>
                <w:sz w:val="21"/>
                <w:szCs w:val="21"/>
              </w:rPr>
              <w:t>感悟文化词中蕴含的优秀传统文化的价值观。</w:t>
            </w:r>
          </w:p>
        </w:tc>
      </w:tr>
      <w:tr w14:paraId="2D35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39CFABD4">
            <w:pPr>
              <w:spacing w:line="264" w:lineRule="auto"/>
              <w:jc w:val="center"/>
              <w:rPr>
                <w:rFonts w:ascii="宋体" w:hAnsi="宋体" w:eastAsia="宋体" w:cs="Times New Roman"/>
                <w:color w:val="auto"/>
                <w:szCs w:val="21"/>
              </w:rPr>
            </w:pPr>
            <w:r>
              <w:rPr>
                <w:rFonts w:hint="eastAsia" w:ascii="宋体" w:hAnsi="宋体" w:eastAsia="宋体" w:cs="宋体"/>
                <w:b w:val="0"/>
                <w:bCs w:val="0"/>
                <w:color w:val="auto"/>
                <w:sz w:val="22"/>
                <w:szCs w:val="22"/>
              </w:rPr>
              <w:t>语法（一）</w:t>
            </w:r>
          </w:p>
        </w:tc>
        <w:tc>
          <w:tcPr>
            <w:tcW w:w="2149" w:type="dxa"/>
            <w:vAlign w:val="center"/>
          </w:tcPr>
          <w:p w14:paraId="4AB2AAA0">
            <w:pPr>
              <w:keepNext w:val="0"/>
              <w:keepLines w:val="0"/>
              <w:pageBreakBefore w:val="0"/>
              <w:widowControl w:val="0"/>
              <w:numPr>
                <w:ilvl w:val="0"/>
                <w:numId w:val="56"/>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语法和语法体系。</w:t>
            </w:r>
          </w:p>
          <w:p w14:paraId="72F8890A">
            <w:pPr>
              <w:keepNext w:val="0"/>
              <w:keepLines w:val="0"/>
              <w:pageBreakBefore w:val="0"/>
              <w:widowControl w:val="0"/>
              <w:numPr>
                <w:ilvl w:val="0"/>
                <w:numId w:val="56"/>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语法的性质</w:t>
            </w:r>
            <w:r>
              <w:rPr>
                <w:rFonts w:hint="eastAsia" w:ascii="宋体" w:hAnsi="宋体" w:eastAsia="宋体" w:cs="宋体"/>
                <w:color w:val="auto"/>
                <w:sz w:val="21"/>
                <w:szCs w:val="21"/>
                <w:lang w:val="en-US" w:eastAsia="zh-CN"/>
              </w:rPr>
              <w:t>与</w:t>
            </w:r>
            <w:r>
              <w:rPr>
                <w:rFonts w:hint="eastAsia" w:ascii="宋体" w:hAnsi="宋体" w:eastAsia="宋体" w:cs="宋体"/>
                <w:color w:val="auto"/>
                <w:sz w:val="21"/>
                <w:szCs w:val="21"/>
              </w:rPr>
              <w:t>语法单位。</w:t>
            </w:r>
          </w:p>
          <w:p w14:paraId="61BD1432">
            <w:pPr>
              <w:keepNext w:val="0"/>
              <w:keepLines w:val="0"/>
              <w:pageBreakBefore w:val="0"/>
              <w:widowControl w:val="0"/>
              <w:numPr>
                <w:ilvl w:val="0"/>
                <w:numId w:val="56"/>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词类。</w:t>
            </w:r>
          </w:p>
          <w:p w14:paraId="1F3896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）句法成分。</w:t>
            </w:r>
          </w:p>
          <w:p w14:paraId="7026655A">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p>
        </w:tc>
        <w:tc>
          <w:tcPr>
            <w:tcW w:w="1211" w:type="dxa"/>
            <w:gridSpan w:val="3"/>
            <w:vAlign w:val="center"/>
          </w:tcPr>
          <w:p w14:paraId="52FF5177">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课程目标2</w:t>
            </w:r>
          </w:p>
        </w:tc>
        <w:tc>
          <w:tcPr>
            <w:tcW w:w="3010" w:type="dxa"/>
            <w:vAlign w:val="center"/>
          </w:tcPr>
          <w:p w14:paraId="3B87BA6D">
            <w:pPr>
              <w:keepNext w:val="0"/>
              <w:keepLines w:val="0"/>
              <w:pageBreakBefore w:val="0"/>
              <w:widowControl w:val="0"/>
              <w:numPr>
                <w:ilvl w:val="0"/>
                <w:numId w:val="57"/>
              </w:numPr>
              <w:kinsoku/>
              <w:wordWrap/>
              <w:overflowPunct/>
              <w:topLinePunct w:val="0"/>
              <w:autoSpaceDE/>
              <w:autoSpaceDN/>
              <w:bidi w:val="0"/>
              <w:adjustRightInd/>
              <w:snapToGrid/>
              <w:spacing w:line="240" w:lineRule="auto"/>
              <w:ind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了解语法的基本面向，认识语法的性质。</w:t>
            </w:r>
          </w:p>
          <w:p w14:paraId="26AF45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（2）分清四级语法单位</w:t>
            </w:r>
          </w:p>
          <w:p w14:paraId="47917330">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）区分现代汉语的词类划分原则。</w:t>
            </w:r>
          </w:p>
          <w:p w14:paraId="121690B7">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）了解句法成分的意义与功能。</w:t>
            </w:r>
          </w:p>
          <w:p w14:paraId="6CC17ADC">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）掌握汉语单句的两类分析方法（中心成分分析法和层次分析法）。</w:t>
            </w:r>
          </w:p>
        </w:tc>
        <w:tc>
          <w:tcPr>
            <w:tcW w:w="1551" w:type="dxa"/>
            <w:gridSpan w:val="3"/>
            <w:vAlign w:val="center"/>
          </w:tcPr>
          <w:p w14:paraId="379505F7">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1.线上学习</w:t>
            </w:r>
          </w:p>
          <w:p w14:paraId="23E1F386">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56576F2A">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1C12024D">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6</w:t>
            </w:r>
          </w:p>
        </w:tc>
      </w:tr>
      <w:tr w14:paraId="1547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72FEA669">
            <w:pPr>
              <w:spacing w:line="264" w:lineRule="auto"/>
              <w:jc w:val="center"/>
              <w:rPr>
                <w:rFonts w:ascii="宋体" w:hAnsi="宋体" w:eastAsia="宋体" w:cs="Times New Roman"/>
                <w:color w:val="auto"/>
                <w:szCs w:val="21"/>
              </w:rPr>
            </w:pPr>
          </w:p>
        </w:tc>
        <w:tc>
          <w:tcPr>
            <w:tcW w:w="8359" w:type="dxa"/>
            <w:gridSpan w:val="9"/>
            <w:vAlign w:val="center"/>
          </w:tcPr>
          <w:p w14:paraId="02BD3660">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课程思政目标：</w:t>
            </w:r>
            <w:r>
              <w:rPr>
                <w:rFonts w:hint="eastAsia" w:ascii="宋体" w:hAnsi="宋体" w:eastAsia="宋体" w:cs="宋体"/>
                <w:color w:val="auto"/>
                <w:sz w:val="21"/>
                <w:szCs w:val="21"/>
              </w:rPr>
              <w:t>通过对汉语语法的学习，使学生了解语法的</w:t>
            </w:r>
            <w:r>
              <w:rPr>
                <w:rFonts w:hint="eastAsia" w:ascii="宋体" w:hAnsi="宋体" w:eastAsia="宋体" w:cs="宋体"/>
                <w:color w:val="auto"/>
                <w:sz w:val="21"/>
                <w:szCs w:val="21"/>
                <w:lang w:val="en-US" w:eastAsia="zh-CN"/>
              </w:rPr>
              <w:t>基本体系</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认识汉语语法的独特性，提升学生对汉语言文化特色的了解程度，热爱并传承汉语文化。</w:t>
            </w:r>
            <w:r>
              <w:rPr>
                <w:rFonts w:hint="eastAsia" w:ascii="宋体" w:hAnsi="宋体" w:eastAsia="宋体" w:cs="宋体"/>
                <w:color w:val="auto"/>
                <w:sz w:val="21"/>
                <w:szCs w:val="21"/>
              </w:rPr>
              <w:t>通过对</w:t>
            </w:r>
            <w:r>
              <w:rPr>
                <w:rFonts w:hint="eastAsia" w:ascii="宋体" w:hAnsi="宋体" w:eastAsia="宋体" w:cs="宋体"/>
                <w:color w:val="auto"/>
                <w:sz w:val="21"/>
                <w:szCs w:val="21"/>
                <w:lang w:val="en-US" w:eastAsia="zh-CN"/>
              </w:rPr>
              <w:t>汉语词类、句法成分</w:t>
            </w:r>
            <w:r>
              <w:rPr>
                <w:rFonts w:hint="eastAsia" w:ascii="宋体" w:hAnsi="宋体" w:eastAsia="宋体" w:cs="宋体"/>
                <w:color w:val="auto"/>
                <w:sz w:val="21"/>
                <w:szCs w:val="21"/>
              </w:rPr>
              <w:t>的学习，使学生了解语法的基本面向，并区分现代汉语的词类划分原则。提高学生的汉语语言水平，落实好习近平总书记文化强国、教育强国、人才强国的要求。</w:t>
            </w:r>
          </w:p>
        </w:tc>
      </w:tr>
      <w:tr w14:paraId="1DF2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0C1CB48E">
            <w:pPr>
              <w:spacing w:line="264"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语法（二）</w:t>
            </w:r>
          </w:p>
        </w:tc>
        <w:tc>
          <w:tcPr>
            <w:tcW w:w="2149" w:type="dxa"/>
            <w:vAlign w:val="center"/>
          </w:tcPr>
          <w:p w14:paraId="66CE1057">
            <w:pPr>
              <w:keepNext w:val="0"/>
              <w:keepLines w:val="0"/>
              <w:pageBreakBefore w:val="0"/>
              <w:widowControl w:val="0"/>
              <w:numPr>
                <w:ilvl w:val="0"/>
                <w:numId w:val="58"/>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单句的句</w:t>
            </w:r>
            <w:r>
              <w:rPr>
                <w:rFonts w:hint="eastAsia" w:ascii="宋体" w:hAnsi="宋体" w:eastAsia="宋体" w:cs="Times New Roman"/>
                <w:color w:val="auto"/>
                <w:sz w:val="21"/>
                <w:szCs w:val="21"/>
                <w:lang w:val="en-US" w:eastAsia="zh-CN"/>
              </w:rPr>
              <w:t>型与</w:t>
            </w:r>
            <w:r>
              <w:rPr>
                <w:rFonts w:hint="eastAsia" w:ascii="宋体" w:hAnsi="宋体" w:eastAsia="宋体" w:cs="Times New Roman"/>
                <w:color w:val="auto"/>
                <w:sz w:val="21"/>
                <w:szCs w:val="21"/>
              </w:rPr>
              <w:t>句式。</w:t>
            </w:r>
          </w:p>
          <w:p w14:paraId="5F2282C3">
            <w:pPr>
              <w:keepNext w:val="0"/>
              <w:keepLines w:val="0"/>
              <w:pageBreakBefore w:val="0"/>
              <w:widowControl w:val="0"/>
              <w:numPr>
                <w:ilvl w:val="0"/>
                <w:numId w:val="58"/>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句式的变换。</w:t>
            </w:r>
          </w:p>
          <w:p w14:paraId="272AC9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3</w:t>
            </w:r>
            <w:r>
              <w:rPr>
                <w:rFonts w:hint="eastAsia" w:ascii="宋体" w:hAnsi="宋体" w:eastAsia="宋体" w:cs="Times New Roman"/>
                <w:color w:val="auto"/>
                <w:sz w:val="21"/>
                <w:szCs w:val="21"/>
              </w:rPr>
              <w:t>）句类。</w:t>
            </w:r>
          </w:p>
          <w:p w14:paraId="09E4291D">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lang w:val="en-US" w:eastAsia="zh-CN"/>
              </w:rPr>
              <w:t>4</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复句。</w:t>
            </w:r>
          </w:p>
          <w:p w14:paraId="29BBA2A0">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5</w:t>
            </w:r>
            <w:r>
              <w:rPr>
                <w:rFonts w:hint="eastAsia" w:ascii="宋体" w:hAnsi="宋体" w:eastAsia="宋体" w:cs="Times New Roman"/>
                <w:color w:val="auto"/>
                <w:sz w:val="21"/>
                <w:szCs w:val="21"/>
              </w:rPr>
              <w:t>）句群。</w:t>
            </w:r>
          </w:p>
        </w:tc>
        <w:tc>
          <w:tcPr>
            <w:tcW w:w="1211" w:type="dxa"/>
            <w:gridSpan w:val="3"/>
            <w:vAlign w:val="center"/>
          </w:tcPr>
          <w:p w14:paraId="14CE68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课程目标2</w:t>
            </w:r>
          </w:p>
        </w:tc>
        <w:tc>
          <w:tcPr>
            <w:tcW w:w="3010" w:type="dxa"/>
            <w:vAlign w:val="center"/>
          </w:tcPr>
          <w:p w14:paraId="52E7C63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rPr>
            </w:pPr>
          </w:p>
          <w:p w14:paraId="0F3E5FEA">
            <w:pPr>
              <w:keepNext w:val="0"/>
              <w:keepLines w:val="0"/>
              <w:pageBreakBefore w:val="0"/>
              <w:widowControl w:val="0"/>
              <w:numPr>
                <w:ilvl w:val="0"/>
                <w:numId w:val="59"/>
              </w:numPr>
              <w:kinsoku/>
              <w:wordWrap/>
              <w:overflowPunct/>
              <w:topLinePunct w:val="0"/>
              <w:autoSpaceDE/>
              <w:autoSpaceDN/>
              <w:bidi w:val="0"/>
              <w:adjustRightInd/>
              <w:snapToGrid/>
              <w:spacing w:line="240" w:lineRule="auto"/>
              <w:ind w:leftChars="0" w:firstLine="0" w:firstLine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了解句型、句式、句类的分类依据</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区分单句的句型、句式、句类。</w:t>
            </w:r>
          </w:p>
          <w:p w14:paraId="403F43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）认识变式句的种类和语用价值</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了解句子变换的方法和作用。</w:t>
            </w:r>
          </w:p>
          <w:p w14:paraId="278CB09E">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default" w:ascii="宋体" w:hAnsi="宋体" w:eastAsia="宋体" w:cs="Times New Roman"/>
                <w:color w:val="auto"/>
                <w:sz w:val="21"/>
                <w:szCs w:val="21"/>
              </w:rPr>
            </w:pPr>
            <w:r>
              <w:rPr>
                <w:rFonts w:hint="default"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3</w:t>
            </w:r>
            <w:r>
              <w:rPr>
                <w:rFonts w:hint="default" w:ascii="宋体" w:hAnsi="宋体" w:eastAsia="宋体" w:cs="Times New Roman"/>
                <w:color w:val="auto"/>
                <w:sz w:val="21"/>
                <w:szCs w:val="21"/>
              </w:rPr>
              <w:t>）了解复句与单句的区别</w:t>
            </w:r>
            <w:r>
              <w:rPr>
                <w:rFonts w:hint="eastAsia" w:ascii="宋体" w:hAnsi="宋体" w:eastAsia="宋体" w:cs="Times New Roman"/>
                <w:color w:val="auto"/>
                <w:sz w:val="21"/>
                <w:szCs w:val="21"/>
                <w:lang w:eastAsia="zh-CN"/>
              </w:rPr>
              <w:t>，</w:t>
            </w:r>
            <w:r>
              <w:rPr>
                <w:rFonts w:hint="default" w:ascii="宋体" w:hAnsi="宋体" w:eastAsia="宋体" w:cs="Times New Roman"/>
                <w:color w:val="auto"/>
                <w:sz w:val="21"/>
                <w:szCs w:val="21"/>
              </w:rPr>
              <w:t>掌握复句的意义类型，学会多重复句的分析方法。</w:t>
            </w:r>
          </w:p>
          <w:p w14:paraId="3C0D84B8">
            <w:pPr>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left"/>
              <w:textAlignment w:val="auto"/>
              <w:rPr>
                <w:rFonts w:hint="default" w:ascii="Times New Roman" w:hAnsi="Times New Roman" w:eastAsia="宋体" w:cs="Times New Roman"/>
                <w:color w:val="auto"/>
                <w:sz w:val="21"/>
                <w:szCs w:val="21"/>
              </w:rPr>
            </w:pPr>
            <w:r>
              <w:rPr>
                <w:rFonts w:hint="default"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4</w:t>
            </w:r>
            <w:r>
              <w:rPr>
                <w:rFonts w:hint="default" w:ascii="宋体" w:hAnsi="宋体" w:eastAsia="宋体" w:cs="Times New Roman"/>
                <w:color w:val="auto"/>
                <w:sz w:val="21"/>
                <w:szCs w:val="21"/>
              </w:rPr>
              <w:t>）了解句群和复句的异同</w:t>
            </w:r>
            <w:r>
              <w:rPr>
                <w:rFonts w:hint="eastAsia" w:ascii="宋体" w:hAnsi="宋体" w:eastAsia="宋体" w:cs="Times New Roman"/>
                <w:color w:val="auto"/>
                <w:sz w:val="21"/>
                <w:szCs w:val="21"/>
                <w:lang w:eastAsia="zh-CN"/>
              </w:rPr>
              <w:t>，</w:t>
            </w:r>
            <w:r>
              <w:rPr>
                <w:rFonts w:hint="default" w:ascii="宋体" w:hAnsi="宋体" w:eastAsia="宋体" w:cs="Times New Roman"/>
                <w:color w:val="auto"/>
                <w:sz w:val="21"/>
                <w:szCs w:val="21"/>
              </w:rPr>
              <w:t>掌握句群中句与句之间的意义关系和句群</w:t>
            </w:r>
            <w:r>
              <w:rPr>
                <w:rFonts w:hint="default" w:ascii="Times New Roman" w:hAnsi="Times New Roman" w:eastAsia="宋体" w:cs="Times New Roman"/>
                <w:color w:val="auto"/>
                <w:sz w:val="21"/>
                <w:szCs w:val="21"/>
              </w:rPr>
              <w:t>的分析方法。</w:t>
            </w:r>
          </w:p>
        </w:tc>
        <w:tc>
          <w:tcPr>
            <w:tcW w:w="1551" w:type="dxa"/>
            <w:gridSpan w:val="3"/>
            <w:vAlign w:val="center"/>
          </w:tcPr>
          <w:p w14:paraId="7405BA5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1.线上学习</w:t>
            </w:r>
          </w:p>
          <w:p w14:paraId="470D84A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19F1E0B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1D515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6</w:t>
            </w:r>
          </w:p>
        </w:tc>
      </w:tr>
      <w:tr w14:paraId="3DEA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047B786E">
            <w:pPr>
              <w:spacing w:line="264" w:lineRule="auto"/>
              <w:jc w:val="center"/>
              <w:rPr>
                <w:rFonts w:ascii="宋体" w:hAnsi="宋体" w:eastAsia="宋体" w:cs="Times New Roman"/>
                <w:color w:val="auto"/>
                <w:szCs w:val="21"/>
              </w:rPr>
            </w:pPr>
          </w:p>
        </w:tc>
        <w:tc>
          <w:tcPr>
            <w:tcW w:w="8359" w:type="dxa"/>
            <w:gridSpan w:val="9"/>
            <w:vAlign w:val="center"/>
          </w:tcPr>
          <w:p w14:paraId="084EF9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宋体"/>
                <w:color w:val="auto"/>
                <w:sz w:val="21"/>
                <w:szCs w:val="21"/>
              </w:rPr>
              <w:t>通过对汉语</w:t>
            </w:r>
            <w:r>
              <w:rPr>
                <w:rFonts w:hint="eastAsia" w:ascii="宋体" w:hAnsi="宋体" w:eastAsia="宋体" w:cs="宋体"/>
                <w:color w:val="auto"/>
                <w:sz w:val="21"/>
                <w:szCs w:val="21"/>
                <w:lang w:val="en-US" w:eastAsia="zh-CN"/>
              </w:rPr>
              <w:t>句型、句式、句类</w:t>
            </w:r>
            <w:r>
              <w:rPr>
                <w:rFonts w:hint="eastAsia" w:ascii="宋体" w:hAnsi="宋体" w:eastAsia="宋体" w:cs="宋体"/>
                <w:color w:val="auto"/>
                <w:sz w:val="21"/>
                <w:szCs w:val="21"/>
              </w:rPr>
              <w:t>的学习，使学生了解</w:t>
            </w:r>
            <w:r>
              <w:rPr>
                <w:rFonts w:hint="eastAsia" w:ascii="宋体" w:hAnsi="宋体" w:eastAsia="宋体" w:cs="宋体"/>
                <w:color w:val="auto"/>
                <w:sz w:val="21"/>
                <w:szCs w:val="21"/>
                <w:lang w:val="en-US" w:eastAsia="zh-CN"/>
              </w:rPr>
              <w:t>汉语句子的独特魅力</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树立汉语汉文化自信</w:t>
            </w:r>
            <w:r>
              <w:rPr>
                <w:rFonts w:hint="eastAsia" w:ascii="宋体" w:hAnsi="宋体" w:eastAsia="宋体" w:cs="宋体"/>
                <w:color w:val="auto"/>
                <w:sz w:val="21"/>
                <w:szCs w:val="21"/>
              </w:rPr>
              <w:t>。通过对汉语</w:t>
            </w:r>
            <w:r>
              <w:rPr>
                <w:rFonts w:hint="eastAsia" w:ascii="宋体" w:hAnsi="宋体" w:eastAsia="宋体" w:cs="宋体"/>
                <w:color w:val="auto"/>
                <w:sz w:val="21"/>
                <w:szCs w:val="21"/>
                <w:lang w:val="en-US" w:eastAsia="zh-CN"/>
              </w:rPr>
              <w:t>单句、复句</w:t>
            </w:r>
            <w:r>
              <w:rPr>
                <w:rFonts w:hint="eastAsia" w:ascii="宋体" w:hAnsi="宋体" w:eastAsia="宋体" w:cs="宋体"/>
                <w:color w:val="auto"/>
                <w:sz w:val="21"/>
                <w:szCs w:val="21"/>
              </w:rPr>
              <w:t>的学习，使学生</w:t>
            </w:r>
            <w:r>
              <w:rPr>
                <w:rFonts w:hint="eastAsia" w:ascii="宋体" w:hAnsi="宋体" w:eastAsia="宋体" w:cs="宋体"/>
                <w:color w:val="auto"/>
                <w:sz w:val="21"/>
                <w:szCs w:val="21"/>
                <w:lang w:val="en-US" w:eastAsia="zh-CN"/>
              </w:rPr>
              <w:t>深入理解汉语语法的潜在表意功能，</w:t>
            </w:r>
            <w:r>
              <w:rPr>
                <w:rFonts w:hint="eastAsia" w:ascii="宋体" w:hAnsi="宋体" w:eastAsia="宋体" w:cs="宋体"/>
                <w:color w:val="auto"/>
                <w:sz w:val="21"/>
                <w:szCs w:val="21"/>
              </w:rPr>
              <w:t>学生的汉语</w:t>
            </w:r>
            <w:r>
              <w:rPr>
                <w:rFonts w:hint="eastAsia" w:ascii="宋体" w:hAnsi="宋体" w:eastAsia="宋体" w:cs="宋体"/>
                <w:color w:val="auto"/>
                <w:sz w:val="21"/>
                <w:szCs w:val="21"/>
                <w:lang w:val="en-US" w:eastAsia="zh-CN"/>
              </w:rPr>
              <w:t>应用</w:t>
            </w:r>
            <w:r>
              <w:rPr>
                <w:rFonts w:hint="eastAsia" w:ascii="宋体" w:hAnsi="宋体" w:eastAsia="宋体" w:cs="宋体"/>
                <w:color w:val="auto"/>
                <w:sz w:val="21"/>
                <w:szCs w:val="21"/>
              </w:rPr>
              <w:t>水平，</w:t>
            </w:r>
            <w:r>
              <w:rPr>
                <w:rFonts w:hint="eastAsia" w:ascii="宋体" w:hAnsi="宋体" w:eastAsia="宋体" w:cs="宋体"/>
                <w:color w:val="auto"/>
                <w:sz w:val="21"/>
                <w:szCs w:val="21"/>
                <w:lang w:val="en-US" w:eastAsia="zh-CN"/>
              </w:rPr>
              <w:t>并能积极主动地将博大精深的汉语言文化传统继承发扬。</w:t>
            </w:r>
          </w:p>
        </w:tc>
      </w:tr>
      <w:tr w14:paraId="5EB7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210EECAB">
            <w:pPr>
              <w:spacing w:line="264" w:lineRule="auto"/>
              <w:jc w:val="center"/>
              <w:rPr>
                <w:rFonts w:ascii="宋体" w:hAnsi="宋体" w:eastAsia="宋体" w:cs="Times New Roman"/>
                <w:color w:val="auto"/>
                <w:szCs w:val="21"/>
              </w:rPr>
            </w:pPr>
            <w:r>
              <w:rPr>
                <w:rFonts w:hint="eastAsia" w:ascii="宋体" w:hAnsi="宋体" w:eastAsia="宋体" w:cs="宋体"/>
                <w:b w:val="0"/>
                <w:bCs w:val="0"/>
                <w:color w:val="auto"/>
                <w:sz w:val="24"/>
                <w:szCs w:val="24"/>
              </w:rPr>
              <w:t>修辞（一）</w:t>
            </w:r>
          </w:p>
        </w:tc>
        <w:tc>
          <w:tcPr>
            <w:tcW w:w="2149" w:type="dxa"/>
            <w:vAlign w:val="center"/>
          </w:tcPr>
          <w:p w14:paraId="1DC549F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rPr>
            </w:pPr>
          </w:p>
          <w:p w14:paraId="3241987F">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修辞概说。</w:t>
            </w:r>
          </w:p>
          <w:p w14:paraId="48BAB284">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词语的锤炼</w:t>
            </w:r>
            <w:r>
              <w:rPr>
                <w:rFonts w:hint="eastAsia" w:ascii="宋体" w:hAnsi="宋体" w:eastAsia="宋体" w:cs="宋体"/>
                <w:color w:val="auto"/>
                <w:sz w:val="21"/>
                <w:szCs w:val="21"/>
                <w:lang w:eastAsia="zh-CN"/>
              </w:rPr>
              <w:t>。</w:t>
            </w:r>
          </w:p>
          <w:p w14:paraId="7E18111C">
            <w:pPr>
              <w:keepNext w:val="0"/>
              <w:keepLines w:val="0"/>
              <w:pageBreakBefore w:val="0"/>
              <w:widowControl w:val="0"/>
              <w:numPr>
                <w:ilvl w:val="0"/>
                <w:numId w:val="6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句式的选择</w:t>
            </w:r>
            <w:r>
              <w:rPr>
                <w:rFonts w:hint="eastAsia" w:ascii="宋体" w:hAnsi="宋体" w:eastAsia="宋体" w:cs="宋体"/>
                <w:color w:val="auto"/>
                <w:sz w:val="21"/>
                <w:szCs w:val="21"/>
                <w:lang w:eastAsia="zh-CN"/>
              </w:rPr>
              <w:t>。</w:t>
            </w:r>
          </w:p>
          <w:p w14:paraId="76E501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left"/>
              <w:textAlignment w:val="auto"/>
              <w:rPr>
                <w:rFonts w:ascii="宋体" w:hAnsi="宋体" w:eastAsia="宋体" w:cs="Times New Roman"/>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Times New Roman"/>
                <w:color w:val="auto"/>
                <w:sz w:val="21"/>
                <w:szCs w:val="21"/>
              </w:rPr>
              <w:t>辞格</w:t>
            </w:r>
          </w:p>
        </w:tc>
        <w:tc>
          <w:tcPr>
            <w:tcW w:w="1211" w:type="dxa"/>
            <w:gridSpan w:val="3"/>
            <w:vAlign w:val="center"/>
          </w:tcPr>
          <w:p w14:paraId="374477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课程目标3</w:t>
            </w:r>
          </w:p>
        </w:tc>
        <w:tc>
          <w:tcPr>
            <w:tcW w:w="3010" w:type="dxa"/>
            <w:vAlign w:val="center"/>
          </w:tcPr>
          <w:p w14:paraId="7C36AAC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（1）掌握修辞的含义、修辞与语境的关系。</w:t>
            </w:r>
          </w:p>
          <w:p w14:paraId="491E41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（2）掌握从意义（内容）和声音（形式）两方面锤炼词语的四种方法。</w:t>
            </w:r>
          </w:p>
          <w:p w14:paraId="1B4967D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（3）理解汉语各类句式的特点和表达作用。</w:t>
            </w:r>
          </w:p>
          <w:p w14:paraId="576F999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）掌握19种常用辞格的定义、特点及表达作用。</w:t>
            </w:r>
          </w:p>
          <w:p w14:paraId="3CD0461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）正确区分19种常用辞格。</w:t>
            </w:r>
          </w:p>
        </w:tc>
        <w:tc>
          <w:tcPr>
            <w:tcW w:w="1551" w:type="dxa"/>
            <w:gridSpan w:val="3"/>
            <w:vAlign w:val="center"/>
          </w:tcPr>
          <w:p w14:paraId="0F8D3E8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1.线上学习</w:t>
            </w:r>
          </w:p>
          <w:p w14:paraId="1689DAC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2.多媒体教学3.课堂讨论</w:t>
            </w:r>
          </w:p>
          <w:p w14:paraId="5153F5E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ascii="宋体" w:hAnsi="宋体" w:eastAsia="宋体" w:cs="Times New Roman"/>
                <w:color w:val="auto"/>
                <w:sz w:val="21"/>
                <w:szCs w:val="21"/>
              </w:rPr>
              <w:t>4.单元测验</w:t>
            </w:r>
          </w:p>
        </w:tc>
        <w:tc>
          <w:tcPr>
            <w:tcW w:w="438" w:type="dxa"/>
            <w:vAlign w:val="center"/>
          </w:tcPr>
          <w:p w14:paraId="7EB825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val="en-US" w:eastAsia="zh-CN"/>
              </w:rPr>
              <w:t>4</w:t>
            </w:r>
          </w:p>
        </w:tc>
      </w:tr>
      <w:tr w14:paraId="1D9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79632F0A">
            <w:pPr>
              <w:spacing w:line="264" w:lineRule="auto"/>
              <w:jc w:val="center"/>
              <w:rPr>
                <w:rFonts w:ascii="宋体" w:hAnsi="宋体" w:eastAsia="宋体" w:cs="Times New Roman"/>
                <w:color w:val="auto"/>
                <w:szCs w:val="21"/>
              </w:rPr>
            </w:pPr>
          </w:p>
        </w:tc>
        <w:tc>
          <w:tcPr>
            <w:tcW w:w="8359" w:type="dxa"/>
            <w:gridSpan w:val="9"/>
            <w:vAlign w:val="center"/>
          </w:tcPr>
          <w:p w14:paraId="116B10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eastAsia="宋体" w:cs="Times New Roman"/>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Times New Roman"/>
                <w:b w:val="0"/>
                <w:bCs/>
                <w:color w:val="auto"/>
                <w:sz w:val="21"/>
                <w:szCs w:val="21"/>
              </w:rPr>
              <w:t>通过对修辞内容的学习，提高学生的汉语表达能力，培育学生的人文情怀，为今后更好地够胜任语文教学及与语言文字关系密切的工作奠定基础。</w:t>
            </w:r>
          </w:p>
        </w:tc>
      </w:tr>
      <w:tr w14:paraId="0317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21923F09">
            <w:pPr>
              <w:spacing w:line="264" w:lineRule="auto"/>
              <w:jc w:val="center"/>
              <w:rPr>
                <w:rFonts w:ascii="宋体" w:hAnsi="宋体" w:eastAsia="宋体" w:cs="Times New Roman"/>
                <w:color w:val="auto"/>
                <w:szCs w:val="21"/>
              </w:rPr>
            </w:pPr>
            <w:r>
              <w:rPr>
                <w:rFonts w:hint="eastAsia" w:ascii="宋体" w:hAnsi="宋体" w:eastAsia="宋体" w:cs="宋体"/>
                <w:b w:val="0"/>
                <w:bCs w:val="0"/>
                <w:color w:val="auto"/>
                <w:sz w:val="24"/>
                <w:szCs w:val="24"/>
              </w:rPr>
              <w:t>修辞（</w:t>
            </w:r>
            <w:r>
              <w:rPr>
                <w:rFonts w:hint="eastAsia" w:ascii="宋体" w:hAnsi="宋体" w:eastAsia="宋体" w:cs="宋体"/>
                <w:b w:val="0"/>
                <w:bCs w:val="0"/>
                <w:color w:val="auto"/>
                <w:sz w:val="24"/>
                <w:szCs w:val="24"/>
                <w:lang w:val="en-US" w:eastAsia="zh-CN"/>
              </w:rPr>
              <w:t>二</w:t>
            </w:r>
            <w:r>
              <w:rPr>
                <w:rFonts w:hint="eastAsia" w:ascii="宋体" w:hAnsi="宋体" w:eastAsia="宋体" w:cs="宋体"/>
                <w:b w:val="0"/>
                <w:bCs w:val="0"/>
                <w:color w:val="auto"/>
                <w:sz w:val="24"/>
                <w:szCs w:val="24"/>
              </w:rPr>
              <w:t>）</w:t>
            </w:r>
          </w:p>
        </w:tc>
        <w:tc>
          <w:tcPr>
            <w:tcW w:w="2169" w:type="dxa"/>
            <w:gridSpan w:val="2"/>
            <w:vAlign w:val="center"/>
          </w:tcPr>
          <w:p w14:paraId="6263F0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（1）公文语体。</w:t>
            </w:r>
          </w:p>
          <w:p w14:paraId="0B88BE0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（2）科技语体。</w:t>
            </w:r>
          </w:p>
          <w:p w14:paraId="2F5523D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（3）政论语体。</w:t>
            </w:r>
          </w:p>
          <w:p w14:paraId="154BAE0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b/>
                <w:color w:val="auto"/>
                <w:sz w:val="21"/>
                <w:szCs w:val="21"/>
              </w:rPr>
            </w:pPr>
            <w:r>
              <w:rPr>
                <w:rFonts w:hint="eastAsia" w:ascii="宋体" w:hAnsi="宋体" w:eastAsia="宋体" w:cs="宋体"/>
                <w:color w:val="auto"/>
                <w:sz w:val="21"/>
                <w:szCs w:val="21"/>
              </w:rPr>
              <w:t>（4）文艺语体。</w:t>
            </w:r>
          </w:p>
        </w:tc>
        <w:tc>
          <w:tcPr>
            <w:tcW w:w="1173" w:type="dxa"/>
            <w:vAlign w:val="center"/>
          </w:tcPr>
          <w:p w14:paraId="7D90EAB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课程目标3</w:t>
            </w:r>
          </w:p>
        </w:tc>
        <w:tc>
          <w:tcPr>
            <w:tcW w:w="3121" w:type="dxa"/>
            <w:gridSpan w:val="3"/>
            <w:vAlign w:val="center"/>
          </w:tcPr>
          <w:p w14:paraId="70F35B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（1）理解语体的概念。</w:t>
            </w:r>
          </w:p>
          <w:p w14:paraId="02859F5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（2）掌握四类语体（公文语体、科技语体、政论语体、文艺语体）的主要特征。</w:t>
            </w:r>
          </w:p>
          <w:p w14:paraId="207E2BF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（3）了解不同语体的使用情景。</w:t>
            </w:r>
          </w:p>
          <w:p w14:paraId="61EAC70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rPr>
            </w:pPr>
          </w:p>
        </w:tc>
        <w:tc>
          <w:tcPr>
            <w:tcW w:w="1397" w:type="dxa"/>
            <w:vAlign w:val="center"/>
          </w:tcPr>
          <w:p w14:paraId="6F92E12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1"/>
                <w:szCs w:val="21"/>
              </w:rPr>
            </w:pPr>
          </w:p>
        </w:tc>
        <w:tc>
          <w:tcPr>
            <w:tcW w:w="499" w:type="dxa"/>
            <w:gridSpan w:val="2"/>
            <w:vAlign w:val="center"/>
          </w:tcPr>
          <w:p w14:paraId="2F06914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14:paraId="5E47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540B3FE5">
            <w:pPr>
              <w:spacing w:line="264" w:lineRule="auto"/>
              <w:jc w:val="center"/>
              <w:rPr>
                <w:rFonts w:ascii="宋体" w:hAnsi="宋体" w:eastAsia="宋体" w:cs="Times New Roman"/>
                <w:color w:val="auto"/>
                <w:szCs w:val="21"/>
              </w:rPr>
            </w:pPr>
          </w:p>
        </w:tc>
        <w:tc>
          <w:tcPr>
            <w:tcW w:w="8359" w:type="dxa"/>
            <w:gridSpan w:val="9"/>
            <w:vAlign w:val="center"/>
          </w:tcPr>
          <w:p w14:paraId="403C3FF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b/>
                <w:color w:val="auto"/>
                <w:sz w:val="21"/>
                <w:szCs w:val="21"/>
              </w:rPr>
            </w:pPr>
            <w:r>
              <w:rPr>
                <w:rFonts w:hint="eastAsia" w:ascii="宋体" w:hAnsi="宋体" w:eastAsia="宋体" w:cs="Times New Roman"/>
                <w:b/>
                <w:color w:val="auto"/>
                <w:sz w:val="21"/>
                <w:szCs w:val="21"/>
              </w:rPr>
              <w:t>课程思政目标：</w:t>
            </w:r>
            <w:r>
              <w:rPr>
                <w:rFonts w:hint="eastAsia" w:ascii="宋体" w:hAnsi="宋体" w:eastAsia="宋体" w:cs="宋体"/>
                <w:bCs/>
                <w:color w:val="auto"/>
                <w:sz w:val="21"/>
                <w:szCs w:val="21"/>
              </w:rPr>
              <w:t>通过对修辞内容的学习，了解不同语体的使用情景</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提高学生的汉语使用效率及汉语应用能力</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培养学生的人文素养及对中国语言文化的热爱，引导学生担负起传播中国优秀传统文化的使命</w:t>
            </w:r>
            <w:r>
              <w:rPr>
                <w:rFonts w:hint="eastAsia" w:ascii="宋体" w:hAnsi="宋体" w:eastAsia="宋体" w:cs="宋体"/>
                <w:bCs/>
                <w:color w:val="auto"/>
                <w:sz w:val="21"/>
                <w:szCs w:val="21"/>
              </w:rPr>
              <w:t>。</w:t>
            </w:r>
          </w:p>
        </w:tc>
      </w:tr>
    </w:tbl>
    <w:p w14:paraId="0384E88C">
      <w:pPr>
        <w:spacing w:line="276" w:lineRule="auto"/>
        <w:outlineLvl w:val="9"/>
        <w:rPr>
          <w:rFonts w:hint="eastAsia" w:ascii="宋体" w:hAnsi="宋体" w:eastAsia="宋体" w:cs="宋体"/>
          <w:b/>
          <w:bCs/>
          <w:color w:val="auto"/>
          <w:sz w:val="28"/>
          <w:szCs w:val="28"/>
        </w:rPr>
      </w:pPr>
    </w:p>
    <w:p w14:paraId="586AAA5D">
      <w:pPr>
        <w:spacing w:line="360" w:lineRule="auto"/>
        <w:jc w:val="left"/>
        <w:outlineLvl w:val="0"/>
        <w:rPr>
          <w:rFonts w:ascii="Times New Roman" w:hAnsi="Times New Roman" w:eastAsia="宋体" w:cs="Times New Roman"/>
          <w:color w:val="auto"/>
          <w:sz w:val="24"/>
          <w:szCs w:val="24"/>
        </w:rPr>
      </w:pPr>
      <w:bookmarkStart w:id="1688" w:name="_Toc26265"/>
      <w:bookmarkStart w:id="1689" w:name="_Toc13001"/>
      <w:bookmarkStart w:id="1690" w:name="_Toc27188"/>
      <w:bookmarkStart w:id="1691" w:name="_Toc28458"/>
      <w:bookmarkStart w:id="1692" w:name="_Toc28932"/>
      <w:bookmarkStart w:id="1693" w:name="_Toc26830"/>
      <w:bookmarkStart w:id="1694" w:name="_Toc19244"/>
      <w:r>
        <w:rPr>
          <w:rFonts w:hint="eastAsia" w:ascii="宋体" w:hAnsi="宋体" w:eastAsia="宋体" w:cs="Times New Roman"/>
          <w:b/>
          <w:color w:val="auto"/>
          <w:sz w:val="24"/>
          <w:szCs w:val="24"/>
        </w:rPr>
        <w:t>四、目标评价与成绩评定</w:t>
      </w:r>
      <w:bookmarkEnd w:id="1688"/>
      <w:bookmarkEnd w:id="1689"/>
      <w:bookmarkEnd w:id="1690"/>
      <w:bookmarkEnd w:id="1691"/>
      <w:bookmarkEnd w:id="1692"/>
      <w:bookmarkEnd w:id="1693"/>
      <w:bookmarkEnd w:id="1694"/>
    </w:p>
    <w:p w14:paraId="652A5687">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根据总体设计，用于评价各课程目标的评价方式如表3</w:t>
      </w:r>
      <w:r>
        <w:rPr>
          <w:rFonts w:ascii="Times New Roman" w:hAnsi="Times New Roman" w:eastAsia="宋体" w:cs="Times New Roman"/>
          <w:color w:val="auto"/>
          <w:szCs w:val="21"/>
        </w:rPr>
        <w:t>所示。</w:t>
      </w:r>
    </w:p>
    <w:p w14:paraId="79F9A1A1">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w:t>
      </w:r>
      <w:r>
        <w:rPr>
          <w:rFonts w:ascii="Times New Roman" w:hAnsi="Times New Roman" w:eastAsia="宋体" w:cs="Times New Roman"/>
          <w:b/>
          <w:bCs/>
          <w:color w:val="auto"/>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603"/>
        <w:gridCol w:w="1612"/>
        <w:gridCol w:w="2118"/>
        <w:gridCol w:w="1828"/>
      </w:tblGrid>
      <w:tr w14:paraId="5A10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61" w:type="dxa"/>
            <w:vMerge w:val="restart"/>
            <w:vAlign w:val="center"/>
          </w:tcPr>
          <w:p w14:paraId="50B82B3F">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w:t>
            </w:r>
          </w:p>
        </w:tc>
        <w:tc>
          <w:tcPr>
            <w:tcW w:w="5333" w:type="dxa"/>
            <w:gridSpan w:val="3"/>
            <w:vAlign w:val="center"/>
          </w:tcPr>
          <w:p w14:paraId="3012689F">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1828" w:type="dxa"/>
            <w:vMerge w:val="restart"/>
            <w:vAlign w:val="center"/>
          </w:tcPr>
          <w:p w14:paraId="6FE6B4B6">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分值</w:t>
            </w:r>
          </w:p>
        </w:tc>
      </w:tr>
      <w:tr w14:paraId="64B9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61" w:type="dxa"/>
            <w:vMerge w:val="continue"/>
            <w:vAlign w:val="center"/>
          </w:tcPr>
          <w:p w14:paraId="3AF91715">
            <w:pPr>
              <w:spacing w:line="360" w:lineRule="auto"/>
              <w:jc w:val="center"/>
              <w:rPr>
                <w:rFonts w:ascii="宋体" w:hAnsi="宋体" w:eastAsia="宋体" w:cs="Times New Roman"/>
                <w:color w:val="auto"/>
                <w:szCs w:val="21"/>
              </w:rPr>
            </w:pPr>
          </w:p>
        </w:tc>
        <w:tc>
          <w:tcPr>
            <w:tcW w:w="1603" w:type="dxa"/>
            <w:vAlign w:val="center"/>
          </w:tcPr>
          <w:p w14:paraId="007F14E3">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平时作业</w:t>
            </w:r>
          </w:p>
        </w:tc>
        <w:tc>
          <w:tcPr>
            <w:tcW w:w="1612" w:type="dxa"/>
            <w:vAlign w:val="center"/>
          </w:tcPr>
          <w:p w14:paraId="3821FB7A">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课堂表现</w:t>
            </w:r>
          </w:p>
        </w:tc>
        <w:tc>
          <w:tcPr>
            <w:tcW w:w="2118" w:type="dxa"/>
            <w:vAlign w:val="center"/>
          </w:tcPr>
          <w:p w14:paraId="25F8ACD2">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期末考试</w:t>
            </w:r>
          </w:p>
        </w:tc>
        <w:tc>
          <w:tcPr>
            <w:tcW w:w="1828" w:type="dxa"/>
            <w:vMerge w:val="continue"/>
            <w:vAlign w:val="center"/>
          </w:tcPr>
          <w:p w14:paraId="0042B714">
            <w:pPr>
              <w:spacing w:line="360" w:lineRule="auto"/>
              <w:jc w:val="center"/>
              <w:rPr>
                <w:rFonts w:ascii="宋体" w:hAnsi="宋体" w:eastAsia="宋体" w:cs="Times New Roman"/>
                <w:color w:val="auto"/>
                <w:szCs w:val="21"/>
              </w:rPr>
            </w:pPr>
          </w:p>
        </w:tc>
      </w:tr>
      <w:tr w14:paraId="5262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61" w:type="dxa"/>
            <w:vAlign w:val="center"/>
          </w:tcPr>
          <w:p w14:paraId="38D6BD08">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课程目标1</w:t>
            </w:r>
          </w:p>
        </w:tc>
        <w:tc>
          <w:tcPr>
            <w:tcW w:w="1603" w:type="dxa"/>
            <w:vAlign w:val="center"/>
          </w:tcPr>
          <w:p w14:paraId="1102B7AD">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612" w:type="dxa"/>
            <w:vAlign w:val="center"/>
          </w:tcPr>
          <w:p w14:paraId="0C0D9545">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2118" w:type="dxa"/>
            <w:vAlign w:val="center"/>
          </w:tcPr>
          <w:p w14:paraId="7EE21A31">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828" w:type="dxa"/>
            <w:vAlign w:val="center"/>
          </w:tcPr>
          <w:p w14:paraId="6EBE05AF">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0</w:t>
            </w:r>
          </w:p>
        </w:tc>
      </w:tr>
      <w:tr w14:paraId="2F1D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61" w:type="dxa"/>
            <w:vAlign w:val="center"/>
          </w:tcPr>
          <w:p w14:paraId="0FFDE2F6">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课程目标2</w:t>
            </w:r>
          </w:p>
        </w:tc>
        <w:tc>
          <w:tcPr>
            <w:tcW w:w="1603" w:type="dxa"/>
            <w:vAlign w:val="center"/>
          </w:tcPr>
          <w:p w14:paraId="44234F16">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612" w:type="dxa"/>
            <w:vAlign w:val="center"/>
          </w:tcPr>
          <w:p w14:paraId="16F4CC61">
            <w:pPr>
              <w:spacing w:line="360" w:lineRule="auto"/>
              <w:jc w:val="center"/>
              <w:rPr>
                <w:rFonts w:ascii="宋体" w:hAnsi="宋体" w:eastAsia="宋体" w:cs="Times New Roman"/>
                <w:color w:val="auto"/>
                <w:szCs w:val="21"/>
              </w:rPr>
            </w:pPr>
            <w:bookmarkStart w:id="1695" w:name="OLE_LINK8"/>
            <w:r>
              <w:rPr>
                <w:rFonts w:ascii="宋体" w:hAnsi="宋体" w:eastAsia="宋体" w:cs="Times New Roman"/>
                <w:color w:val="auto"/>
                <w:szCs w:val="21"/>
              </w:rPr>
              <w:sym w:font="Wingdings 2" w:char="F050"/>
            </w:r>
            <w:bookmarkEnd w:id="1695"/>
          </w:p>
        </w:tc>
        <w:tc>
          <w:tcPr>
            <w:tcW w:w="2118" w:type="dxa"/>
            <w:vAlign w:val="center"/>
          </w:tcPr>
          <w:p w14:paraId="6A381139">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828" w:type="dxa"/>
            <w:vAlign w:val="center"/>
          </w:tcPr>
          <w:p w14:paraId="317781D3">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0</w:t>
            </w:r>
          </w:p>
        </w:tc>
      </w:tr>
      <w:tr w14:paraId="2494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61" w:type="dxa"/>
            <w:vAlign w:val="center"/>
          </w:tcPr>
          <w:p w14:paraId="59257374">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课程目标3</w:t>
            </w:r>
          </w:p>
        </w:tc>
        <w:tc>
          <w:tcPr>
            <w:tcW w:w="1603" w:type="dxa"/>
            <w:vAlign w:val="center"/>
          </w:tcPr>
          <w:p w14:paraId="561A5B39">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612" w:type="dxa"/>
            <w:vAlign w:val="center"/>
          </w:tcPr>
          <w:p w14:paraId="4B1A31B7">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2118" w:type="dxa"/>
            <w:vAlign w:val="center"/>
          </w:tcPr>
          <w:p w14:paraId="2592A4B9">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828" w:type="dxa"/>
            <w:vAlign w:val="center"/>
          </w:tcPr>
          <w:p w14:paraId="1A9410F8">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lang w:val="en-US" w:eastAsia="zh-CN"/>
              </w:rPr>
              <w:t>2</w:t>
            </w:r>
            <w:r>
              <w:rPr>
                <w:rFonts w:hint="eastAsia" w:ascii="宋体" w:hAnsi="宋体" w:eastAsia="宋体" w:cs="Times New Roman"/>
                <w:color w:val="auto"/>
                <w:szCs w:val="21"/>
              </w:rPr>
              <w:t>0</w:t>
            </w:r>
          </w:p>
        </w:tc>
      </w:tr>
      <w:tr w14:paraId="2568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361" w:type="dxa"/>
            <w:vAlign w:val="center"/>
          </w:tcPr>
          <w:p w14:paraId="20265C86">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合计</w:t>
            </w:r>
          </w:p>
        </w:tc>
        <w:tc>
          <w:tcPr>
            <w:tcW w:w="1603" w:type="dxa"/>
            <w:vAlign w:val="center"/>
          </w:tcPr>
          <w:p w14:paraId="1A3842CE">
            <w:pPr>
              <w:spacing w:line="360" w:lineRule="auto"/>
              <w:jc w:val="center"/>
              <w:rPr>
                <w:rFonts w:ascii="宋体" w:hAnsi="宋体" w:eastAsia="宋体" w:cs="Times New Roman"/>
                <w:color w:val="auto"/>
                <w:szCs w:val="21"/>
              </w:rPr>
            </w:pPr>
          </w:p>
        </w:tc>
        <w:tc>
          <w:tcPr>
            <w:tcW w:w="1612" w:type="dxa"/>
            <w:vAlign w:val="center"/>
          </w:tcPr>
          <w:p w14:paraId="068DE2E1">
            <w:pPr>
              <w:spacing w:line="360" w:lineRule="auto"/>
              <w:jc w:val="center"/>
              <w:rPr>
                <w:rFonts w:ascii="宋体" w:hAnsi="宋体" w:eastAsia="宋体" w:cs="Times New Roman"/>
                <w:color w:val="auto"/>
                <w:szCs w:val="21"/>
              </w:rPr>
            </w:pPr>
          </w:p>
        </w:tc>
        <w:tc>
          <w:tcPr>
            <w:tcW w:w="2118" w:type="dxa"/>
            <w:vAlign w:val="center"/>
          </w:tcPr>
          <w:p w14:paraId="7813B37B">
            <w:pPr>
              <w:spacing w:line="360" w:lineRule="auto"/>
              <w:jc w:val="center"/>
              <w:rPr>
                <w:rFonts w:ascii="宋体" w:hAnsi="宋体" w:eastAsia="宋体" w:cs="Times New Roman"/>
                <w:color w:val="auto"/>
                <w:szCs w:val="21"/>
              </w:rPr>
            </w:pPr>
          </w:p>
        </w:tc>
        <w:tc>
          <w:tcPr>
            <w:tcW w:w="1828" w:type="dxa"/>
            <w:vAlign w:val="center"/>
          </w:tcPr>
          <w:p w14:paraId="7B8279B9">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100</w:t>
            </w:r>
          </w:p>
        </w:tc>
      </w:tr>
    </w:tbl>
    <w:p w14:paraId="20CB5B77">
      <w:pPr>
        <w:spacing w:line="360" w:lineRule="auto"/>
        <w:ind w:firstLine="480" w:firstLineChars="200"/>
        <w:rPr>
          <w:rFonts w:hint="eastAsia" w:ascii="宋体" w:hAnsi="宋体" w:eastAsia="宋体" w:cs="宋体"/>
          <w:color w:val="auto"/>
          <w:kern w:val="0"/>
          <w:sz w:val="24"/>
          <w:szCs w:val="24"/>
        </w:rPr>
      </w:pPr>
    </w:p>
    <w:p w14:paraId="3742220E">
      <w:pPr>
        <w:spacing w:line="360" w:lineRule="auto"/>
        <w:outlineLvl w:val="0"/>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     </w:t>
      </w:r>
      <w:bookmarkStart w:id="1696" w:name="_Toc32752"/>
      <w:bookmarkStart w:id="1697" w:name="_Toc27605"/>
      <w:bookmarkStart w:id="1698" w:name="_Toc30119"/>
      <w:bookmarkStart w:id="1699" w:name="_Toc14589"/>
      <w:bookmarkStart w:id="1700" w:name="_Toc929"/>
      <w:bookmarkStart w:id="1701" w:name="_Toc31081"/>
      <w:bookmarkStart w:id="1702" w:name="_Toc19894"/>
      <w:r>
        <w:rPr>
          <w:rFonts w:hint="eastAsia" w:ascii="宋体" w:hAnsi="宋体" w:eastAsia="宋体" w:cs="宋体"/>
          <w:b/>
          <w:bCs/>
          <w:color w:val="auto"/>
          <w:sz w:val="28"/>
          <w:szCs w:val="28"/>
        </w:rPr>
        <w:t>五、课程实施</w:t>
      </w:r>
      <w:bookmarkEnd w:id="1696"/>
      <w:bookmarkEnd w:id="1697"/>
      <w:bookmarkEnd w:id="1698"/>
      <w:bookmarkEnd w:id="1699"/>
      <w:bookmarkEnd w:id="1700"/>
      <w:bookmarkEnd w:id="1701"/>
      <w:bookmarkEnd w:id="1702"/>
    </w:p>
    <w:p w14:paraId="57173E7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一）传统讲授式教学：吸收国内外社会语言学研究的最新成果，在课堂上进行讲授，力求贯彻理论联系实际的原则，逐步提高学生对于社会语言现象的发现和研究能力。学生根据教师提供的参考文献清单，加强课外学习，扩大视野。   </w:t>
      </w:r>
    </w:p>
    <w:p w14:paraId="5C3A737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（二）互动式教学：将理论知识的讲授与经典案例的分析密切结合，采取多媒体教学方式，通过增加教师与学生之间、学生与学生之间的讨论与交流机会，提高教学效果，增强学生的学习兴趣。</w:t>
      </w:r>
    </w:p>
    <w:p w14:paraId="26FF833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（三）研究性教学：通过课程作业，培养学生查阅文献及撰写研究报告、研究综述和论文提纲等方面的能力。</w:t>
      </w:r>
    </w:p>
    <w:p w14:paraId="06DF9176">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主要教学环节的质量要求如表所示：</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1BAB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noWrap w:val="0"/>
            <w:tcMar>
              <w:top w:w="0" w:type="dxa"/>
              <w:left w:w="28" w:type="dxa"/>
              <w:bottom w:w="0" w:type="dxa"/>
              <w:right w:w="28" w:type="dxa"/>
            </w:tcMar>
            <w:vAlign w:val="center"/>
          </w:tcPr>
          <w:p w14:paraId="4052120D">
            <w:pPr>
              <w:spacing w:line="273" w:lineRule="auto"/>
              <w:jc w:val="center"/>
              <w:rPr>
                <w:rFonts w:hint="eastAsia" w:ascii="宋体" w:hAnsi="宋体" w:eastAsia="宋体" w:cs="宋体"/>
                <w:b/>
                <w:bCs/>
                <w:color w:val="auto"/>
                <w:szCs w:val="22"/>
              </w:rPr>
            </w:pPr>
            <w:r>
              <w:rPr>
                <w:rFonts w:hint="eastAsia" w:ascii="宋体" w:hAnsi="宋体" w:eastAsia="宋体" w:cs="宋体"/>
                <w:b/>
                <w:bCs/>
                <w:color w:val="auto"/>
                <w:szCs w:val="22"/>
              </w:rPr>
              <w:t>主要教学环节</w:t>
            </w:r>
          </w:p>
        </w:tc>
        <w:tc>
          <w:tcPr>
            <w:tcW w:w="7525" w:type="dxa"/>
            <w:noWrap w:val="0"/>
            <w:vAlign w:val="center"/>
          </w:tcPr>
          <w:p w14:paraId="247ED62B">
            <w:pPr>
              <w:spacing w:line="273" w:lineRule="auto"/>
              <w:jc w:val="center"/>
              <w:rPr>
                <w:rFonts w:hint="eastAsia" w:ascii="宋体" w:hAnsi="宋体" w:eastAsia="宋体" w:cs="宋体"/>
                <w:b/>
                <w:bCs/>
                <w:color w:val="auto"/>
                <w:szCs w:val="22"/>
              </w:rPr>
            </w:pPr>
            <w:r>
              <w:rPr>
                <w:rFonts w:hint="eastAsia" w:ascii="宋体" w:hAnsi="宋体" w:eastAsia="宋体" w:cs="宋体"/>
                <w:b/>
                <w:bCs/>
                <w:color w:val="auto"/>
                <w:szCs w:val="22"/>
              </w:rPr>
              <w:t>质量要求</w:t>
            </w:r>
          </w:p>
        </w:tc>
      </w:tr>
      <w:tr w14:paraId="4D54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582" w:type="dxa"/>
            <w:noWrap w:val="0"/>
            <w:vAlign w:val="center"/>
          </w:tcPr>
          <w:p w14:paraId="28F59143">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1</w:t>
            </w:r>
          </w:p>
        </w:tc>
        <w:tc>
          <w:tcPr>
            <w:tcW w:w="993" w:type="dxa"/>
            <w:noWrap w:val="0"/>
            <w:tcMar>
              <w:top w:w="0" w:type="dxa"/>
              <w:left w:w="28" w:type="dxa"/>
              <w:bottom w:w="0" w:type="dxa"/>
              <w:right w:w="28" w:type="dxa"/>
            </w:tcMar>
            <w:vAlign w:val="center"/>
          </w:tcPr>
          <w:p w14:paraId="42828A21">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备课</w:t>
            </w:r>
          </w:p>
        </w:tc>
        <w:tc>
          <w:tcPr>
            <w:tcW w:w="7525" w:type="dxa"/>
            <w:noWrap w:val="0"/>
            <w:vAlign w:val="center"/>
          </w:tcPr>
          <w:p w14:paraId="49FFC194">
            <w:pPr>
              <w:spacing w:line="273" w:lineRule="auto"/>
              <w:rPr>
                <w:rFonts w:hint="eastAsia" w:ascii="宋体" w:hAnsi="宋体" w:eastAsia="宋体" w:cs="宋体"/>
                <w:color w:val="auto"/>
                <w:szCs w:val="22"/>
              </w:rPr>
            </w:pPr>
            <w:r>
              <w:rPr>
                <w:rFonts w:hint="eastAsia" w:ascii="宋体" w:hAnsi="宋体" w:eastAsia="宋体" w:cs="宋体"/>
                <w:color w:val="auto"/>
                <w:szCs w:val="22"/>
              </w:rPr>
              <w:t>（1）掌握课程教学大纲内容，严格按照教学大纲要求进行课程教学内容的组织。</w:t>
            </w:r>
          </w:p>
          <w:p w14:paraId="74C1EA0A">
            <w:pPr>
              <w:spacing w:line="273" w:lineRule="auto"/>
              <w:rPr>
                <w:rFonts w:hint="eastAsia" w:ascii="宋体" w:hAnsi="宋体" w:eastAsia="宋体" w:cs="宋体"/>
                <w:color w:val="auto"/>
                <w:szCs w:val="22"/>
              </w:rPr>
            </w:pPr>
            <w:r>
              <w:rPr>
                <w:rFonts w:hint="eastAsia" w:ascii="宋体" w:hAnsi="宋体" w:eastAsia="宋体" w:cs="宋体"/>
                <w:color w:val="auto"/>
                <w:szCs w:val="22"/>
              </w:rPr>
              <w:t>（2）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42A3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trPr>
        <w:tc>
          <w:tcPr>
            <w:tcW w:w="582" w:type="dxa"/>
            <w:noWrap w:val="0"/>
            <w:vAlign w:val="center"/>
          </w:tcPr>
          <w:p w14:paraId="66755F21">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2</w:t>
            </w:r>
          </w:p>
        </w:tc>
        <w:tc>
          <w:tcPr>
            <w:tcW w:w="993" w:type="dxa"/>
            <w:noWrap w:val="0"/>
            <w:tcMar>
              <w:top w:w="0" w:type="dxa"/>
              <w:left w:w="28" w:type="dxa"/>
              <w:bottom w:w="0" w:type="dxa"/>
              <w:right w:w="28" w:type="dxa"/>
            </w:tcMar>
            <w:vAlign w:val="center"/>
          </w:tcPr>
          <w:p w14:paraId="457F6F52">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讲授</w:t>
            </w:r>
          </w:p>
        </w:tc>
        <w:tc>
          <w:tcPr>
            <w:tcW w:w="7525" w:type="dxa"/>
            <w:noWrap w:val="0"/>
            <w:vAlign w:val="center"/>
          </w:tcPr>
          <w:p w14:paraId="249598E7">
            <w:pPr>
              <w:spacing w:line="273" w:lineRule="auto"/>
              <w:rPr>
                <w:rFonts w:hint="eastAsia" w:ascii="宋体" w:hAnsi="宋体" w:eastAsia="宋体" w:cs="宋体"/>
                <w:color w:val="auto"/>
                <w:szCs w:val="22"/>
              </w:rPr>
            </w:pPr>
            <w:r>
              <w:rPr>
                <w:rFonts w:hint="eastAsia" w:ascii="宋体" w:hAnsi="宋体" w:eastAsia="宋体" w:cs="宋体"/>
                <w:color w:val="auto"/>
                <w:szCs w:val="22"/>
              </w:rPr>
              <w:t>（1）教师仪表端庄，情绪情感要饱满；</w:t>
            </w:r>
          </w:p>
          <w:p w14:paraId="1A86F0C6">
            <w:pPr>
              <w:spacing w:line="273" w:lineRule="auto"/>
              <w:rPr>
                <w:rFonts w:hint="eastAsia" w:ascii="宋体" w:hAnsi="宋体" w:eastAsia="宋体" w:cs="宋体"/>
                <w:color w:val="auto"/>
                <w:szCs w:val="22"/>
              </w:rPr>
            </w:pPr>
            <w:r>
              <w:rPr>
                <w:rFonts w:hint="eastAsia" w:ascii="宋体" w:hAnsi="宋体" w:eastAsia="宋体" w:cs="宋体"/>
                <w:color w:val="auto"/>
                <w:szCs w:val="22"/>
              </w:rPr>
              <w:t>（2）教学准备充分，熟悉教学内容；</w:t>
            </w:r>
          </w:p>
          <w:p w14:paraId="77EA5D17">
            <w:pPr>
              <w:spacing w:line="273" w:lineRule="auto"/>
              <w:rPr>
                <w:rFonts w:hint="eastAsia" w:ascii="宋体" w:hAnsi="宋体" w:eastAsia="宋体" w:cs="宋体"/>
                <w:color w:val="auto"/>
                <w:szCs w:val="22"/>
              </w:rPr>
            </w:pPr>
            <w:r>
              <w:rPr>
                <w:rFonts w:hint="eastAsia" w:ascii="宋体" w:hAnsi="宋体" w:eastAsia="宋体" w:cs="宋体"/>
                <w:color w:val="auto"/>
                <w:szCs w:val="22"/>
              </w:rPr>
              <w:t>（3）教学内容充实，不断充实最新研究成果；</w:t>
            </w:r>
          </w:p>
          <w:p w14:paraId="76829626">
            <w:pPr>
              <w:spacing w:line="273" w:lineRule="auto"/>
              <w:rPr>
                <w:rFonts w:hint="eastAsia" w:ascii="宋体" w:hAnsi="宋体" w:eastAsia="宋体" w:cs="宋体"/>
                <w:color w:val="auto"/>
                <w:szCs w:val="22"/>
              </w:rPr>
            </w:pPr>
            <w:r>
              <w:rPr>
                <w:rFonts w:hint="eastAsia" w:ascii="宋体" w:hAnsi="宋体" w:eastAsia="宋体" w:cs="宋体"/>
                <w:color w:val="auto"/>
                <w:szCs w:val="22"/>
              </w:rPr>
              <w:t>（4）严格执行计划，教学进度适宜；</w:t>
            </w:r>
          </w:p>
          <w:p w14:paraId="08AFEDBD">
            <w:pPr>
              <w:spacing w:line="273" w:lineRule="auto"/>
              <w:rPr>
                <w:rFonts w:hint="eastAsia" w:ascii="宋体" w:hAnsi="宋体" w:eastAsia="宋体" w:cs="宋体"/>
                <w:color w:val="auto"/>
                <w:szCs w:val="22"/>
              </w:rPr>
            </w:pPr>
            <w:r>
              <w:rPr>
                <w:rFonts w:hint="eastAsia" w:ascii="宋体" w:hAnsi="宋体" w:eastAsia="宋体" w:cs="宋体"/>
                <w:color w:val="auto"/>
                <w:szCs w:val="22"/>
              </w:rPr>
              <w:t>（5）课堂教学信息充分，注重理论联系实际；</w:t>
            </w:r>
          </w:p>
          <w:p w14:paraId="5D679105">
            <w:pPr>
              <w:spacing w:line="273" w:lineRule="auto"/>
              <w:rPr>
                <w:rFonts w:hint="eastAsia" w:ascii="宋体" w:hAnsi="宋体" w:eastAsia="宋体" w:cs="宋体"/>
                <w:color w:val="auto"/>
                <w:szCs w:val="22"/>
              </w:rPr>
            </w:pPr>
            <w:r>
              <w:rPr>
                <w:rFonts w:hint="eastAsia" w:ascii="宋体" w:hAnsi="宋体" w:eastAsia="宋体" w:cs="宋体"/>
                <w:color w:val="auto"/>
                <w:szCs w:val="22"/>
              </w:rPr>
              <w:t>（6）注重启发学生思维，培养学生的教学能力；</w:t>
            </w:r>
          </w:p>
          <w:p w14:paraId="3DB76857">
            <w:pPr>
              <w:spacing w:line="273" w:lineRule="auto"/>
              <w:rPr>
                <w:rFonts w:hint="eastAsia" w:ascii="宋体" w:hAnsi="宋体" w:eastAsia="宋体" w:cs="宋体"/>
                <w:color w:val="auto"/>
                <w:szCs w:val="22"/>
              </w:rPr>
            </w:pPr>
            <w:r>
              <w:rPr>
                <w:rFonts w:hint="eastAsia" w:ascii="宋体" w:hAnsi="宋体" w:eastAsia="宋体" w:cs="宋体"/>
                <w:color w:val="auto"/>
                <w:szCs w:val="22"/>
              </w:rPr>
              <w:t>（7）面向全体基础上因材施教，灵活运用多种教学方法；</w:t>
            </w:r>
          </w:p>
          <w:p w14:paraId="254DA253">
            <w:pPr>
              <w:spacing w:line="273" w:lineRule="auto"/>
              <w:rPr>
                <w:rFonts w:hint="eastAsia" w:ascii="宋体" w:hAnsi="宋体" w:eastAsia="宋体" w:cs="宋体"/>
                <w:color w:val="auto"/>
                <w:szCs w:val="22"/>
              </w:rPr>
            </w:pPr>
            <w:r>
              <w:rPr>
                <w:rFonts w:hint="eastAsia" w:ascii="宋体" w:hAnsi="宋体" w:eastAsia="宋体" w:cs="宋体"/>
                <w:color w:val="auto"/>
                <w:szCs w:val="22"/>
              </w:rPr>
              <w:t>（8）教学语言规范，为学生教育教学做好表率；</w:t>
            </w:r>
          </w:p>
          <w:p w14:paraId="7B947EEB">
            <w:pPr>
              <w:spacing w:line="273" w:lineRule="auto"/>
              <w:rPr>
                <w:rFonts w:hint="eastAsia" w:ascii="宋体" w:hAnsi="宋体" w:eastAsia="宋体" w:cs="宋体"/>
                <w:color w:val="auto"/>
                <w:szCs w:val="22"/>
              </w:rPr>
            </w:pPr>
            <w:r>
              <w:rPr>
                <w:rFonts w:hint="eastAsia" w:ascii="宋体" w:hAnsi="宋体" w:eastAsia="宋体" w:cs="宋体"/>
                <w:color w:val="auto"/>
                <w:szCs w:val="22"/>
              </w:rPr>
              <w:t>（9）教学条理清楚，教学思路逻辑严密；</w:t>
            </w:r>
          </w:p>
          <w:p w14:paraId="58C7BFD8">
            <w:pPr>
              <w:spacing w:line="273" w:lineRule="auto"/>
              <w:rPr>
                <w:rFonts w:hint="eastAsia" w:ascii="宋体" w:hAnsi="宋体" w:eastAsia="宋体" w:cs="宋体"/>
                <w:color w:val="auto"/>
                <w:szCs w:val="22"/>
              </w:rPr>
            </w:pPr>
            <w:r>
              <w:rPr>
                <w:rFonts w:hint="eastAsia" w:ascii="宋体" w:hAnsi="宋体" w:eastAsia="宋体" w:cs="宋体"/>
                <w:color w:val="auto"/>
                <w:szCs w:val="22"/>
              </w:rPr>
              <w:t>（10）充分运用现代化教学手段，教学技术熟练；</w:t>
            </w:r>
          </w:p>
          <w:p w14:paraId="028F1F4E">
            <w:pPr>
              <w:spacing w:line="273" w:lineRule="auto"/>
              <w:rPr>
                <w:rFonts w:hint="eastAsia" w:ascii="宋体" w:hAnsi="宋体" w:eastAsia="宋体" w:cs="宋体"/>
                <w:color w:val="auto"/>
                <w:szCs w:val="22"/>
              </w:rPr>
            </w:pPr>
            <w:r>
              <w:rPr>
                <w:rFonts w:hint="eastAsia" w:ascii="宋体" w:hAnsi="宋体" w:eastAsia="宋体" w:cs="宋体"/>
                <w:color w:val="auto"/>
                <w:szCs w:val="22"/>
              </w:rPr>
              <w:t>（11）课堂教学要重点突出，难点突破；</w:t>
            </w:r>
          </w:p>
          <w:p w14:paraId="30D21460">
            <w:pPr>
              <w:spacing w:line="273" w:lineRule="auto"/>
              <w:rPr>
                <w:rFonts w:hint="eastAsia" w:ascii="宋体" w:hAnsi="宋体" w:eastAsia="宋体" w:cs="宋体"/>
                <w:color w:val="auto"/>
                <w:szCs w:val="22"/>
              </w:rPr>
            </w:pPr>
            <w:r>
              <w:rPr>
                <w:rFonts w:hint="eastAsia" w:ascii="宋体" w:hAnsi="宋体" w:eastAsia="宋体" w:cs="宋体"/>
                <w:color w:val="auto"/>
                <w:szCs w:val="22"/>
              </w:rPr>
              <w:t>（12）注重师生互动，形成良好的课堂氛围。</w:t>
            </w:r>
          </w:p>
        </w:tc>
      </w:tr>
      <w:tr w14:paraId="30D4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trPr>
        <w:tc>
          <w:tcPr>
            <w:tcW w:w="582" w:type="dxa"/>
            <w:noWrap w:val="0"/>
            <w:vAlign w:val="center"/>
          </w:tcPr>
          <w:p w14:paraId="6D305CE8">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3</w:t>
            </w:r>
          </w:p>
        </w:tc>
        <w:tc>
          <w:tcPr>
            <w:tcW w:w="993" w:type="dxa"/>
            <w:noWrap w:val="0"/>
            <w:tcMar>
              <w:top w:w="0" w:type="dxa"/>
              <w:left w:w="28" w:type="dxa"/>
              <w:bottom w:w="0" w:type="dxa"/>
              <w:right w:w="28" w:type="dxa"/>
            </w:tcMar>
            <w:vAlign w:val="center"/>
          </w:tcPr>
          <w:p w14:paraId="488A6785">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作业布置与批改</w:t>
            </w:r>
          </w:p>
        </w:tc>
        <w:tc>
          <w:tcPr>
            <w:tcW w:w="7525" w:type="dxa"/>
            <w:noWrap w:val="0"/>
            <w:vAlign w:val="center"/>
          </w:tcPr>
          <w:p w14:paraId="72792941">
            <w:pPr>
              <w:spacing w:line="273" w:lineRule="auto"/>
              <w:rPr>
                <w:rFonts w:hint="eastAsia" w:ascii="宋体" w:hAnsi="宋体" w:eastAsia="宋体" w:cs="宋体"/>
                <w:color w:val="auto"/>
                <w:szCs w:val="22"/>
              </w:rPr>
            </w:pPr>
            <w:r>
              <w:rPr>
                <w:rFonts w:hint="eastAsia" w:ascii="宋体" w:hAnsi="宋体" w:eastAsia="宋体" w:cs="宋体"/>
                <w:color w:val="auto"/>
                <w:szCs w:val="22"/>
              </w:rPr>
              <w:t>学生必须完成规定数量的作业，作业必须达到以下基本要求：</w:t>
            </w:r>
          </w:p>
          <w:p w14:paraId="3B20F1D1">
            <w:pPr>
              <w:spacing w:line="273" w:lineRule="auto"/>
              <w:rPr>
                <w:rFonts w:hint="eastAsia" w:ascii="宋体" w:hAnsi="宋体" w:eastAsia="宋体" w:cs="宋体"/>
                <w:color w:val="auto"/>
                <w:szCs w:val="22"/>
              </w:rPr>
            </w:pPr>
            <w:r>
              <w:rPr>
                <w:rFonts w:hint="eastAsia" w:ascii="宋体" w:hAnsi="宋体" w:eastAsia="宋体" w:cs="宋体"/>
                <w:color w:val="auto"/>
                <w:szCs w:val="22"/>
              </w:rPr>
              <w:t>（1）</w:t>
            </w:r>
            <w:r>
              <w:rPr>
                <w:rFonts w:hint="eastAsia" w:ascii="宋体" w:hAnsi="宋体" w:eastAsia="宋体" w:cs="宋体"/>
                <w:color w:val="auto"/>
                <w:szCs w:val="22"/>
                <w:highlight w:val="none"/>
              </w:rPr>
              <w:t>平时作业总次数以</w:t>
            </w:r>
            <w:r>
              <w:rPr>
                <w:rFonts w:hint="eastAsia" w:ascii="宋体" w:hAnsi="宋体" w:eastAsia="宋体" w:cs="宋体"/>
                <w:color w:val="auto"/>
                <w:szCs w:val="22"/>
                <w:highlight w:val="none"/>
                <w:lang w:val="en-US" w:eastAsia="zh-CN"/>
              </w:rPr>
              <w:t>3</w:t>
            </w:r>
            <w:r>
              <w:rPr>
                <w:rFonts w:hint="eastAsia" w:ascii="宋体" w:hAnsi="宋体" w:eastAsia="宋体" w:cs="宋体"/>
                <w:color w:val="auto"/>
                <w:szCs w:val="22"/>
                <w:highlight w:val="none"/>
              </w:rPr>
              <w:t>次为宜。</w:t>
            </w:r>
          </w:p>
          <w:p w14:paraId="08770211">
            <w:pPr>
              <w:spacing w:line="273" w:lineRule="auto"/>
              <w:rPr>
                <w:rFonts w:hint="eastAsia" w:ascii="宋体" w:hAnsi="宋体" w:eastAsia="宋体" w:cs="宋体"/>
                <w:color w:val="auto"/>
                <w:szCs w:val="22"/>
              </w:rPr>
            </w:pPr>
            <w:r>
              <w:rPr>
                <w:rFonts w:hint="eastAsia" w:ascii="宋体" w:hAnsi="宋体" w:eastAsia="宋体" w:cs="宋体"/>
                <w:color w:val="auto"/>
                <w:szCs w:val="22"/>
              </w:rPr>
              <w:t>（2）按时按量完成作业，不缺交，不抄袭。</w:t>
            </w:r>
          </w:p>
          <w:p w14:paraId="5C233BFE">
            <w:pPr>
              <w:spacing w:line="273" w:lineRule="auto"/>
              <w:rPr>
                <w:rFonts w:hint="eastAsia" w:ascii="宋体" w:hAnsi="宋体" w:eastAsia="宋体" w:cs="宋体"/>
                <w:color w:val="auto"/>
                <w:szCs w:val="22"/>
              </w:rPr>
            </w:pPr>
            <w:r>
              <w:rPr>
                <w:rFonts w:hint="eastAsia" w:ascii="宋体" w:hAnsi="宋体" w:eastAsia="宋体" w:cs="宋体"/>
                <w:color w:val="auto"/>
                <w:szCs w:val="22"/>
              </w:rPr>
              <w:t>（3）书写规范、教学设计方案格式规范、清晰。</w:t>
            </w:r>
          </w:p>
          <w:p w14:paraId="094EA8CE">
            <w:pPr>
              <w:spacing w:line="273" w:lineRule="auto"/>
              <w:rPr>
                <w:rFonts w:hint="eastAsia" w:ascii="宋体" w:hAnsi="宋体" w:eastAsia="宋体" w:cs="宋体"/>
                <w:color w:val="auto"/>
                <w:szCs w:val="22"/>
              </w:rPr>
            </w:pPr>
            <w:r>
              <w:rPr>
                <w:rFonts w:hint="eastAsia" w:ascii="宋体" w:hAnsi="宋体" w:eastAsia="宋体" w:cs="宋体"/>
                <w:color w:val="auto"/>
                <w:szCs w:val="22"/>
              </w:rPr>
              <w:t>（4）教学设计理念先进，教学目标适宜，教学方法灵活，教学组织形式多样、教学过程紧凑，教学准备充分。</w:t>
            </w:r>
          </w:p>
          <w:p w14:paraId="243C2123">
            <w:pPr>
              <w:spacing w:line="273" w:lineRule="auto"/>
              <w:rPr>
                <w:rFonts w:hint="eastAsia" w:ascii="宋体" w:hAnsi="宋体" w:eastAsia="宋体" w:cs="宋体"/>
                <w:color w:val="auto"/>
                <w:szCs w:val="22"/>
              </w:rPr>
            </w:pPr>
            <w:r>
              <w:rPr>
                <w:rFonts w:hint="eastAsia" w:ascii="宋体" w:hAnsi="宋体" w:eastAsia="宋体" w:cs="宋体"/>
                <w:color w:val="auto"/>
                <w:szCs w:val="22"/>
              </w:rPr>
              <w:t>教师批改和讲评作业要求如下：</w:t>
            </w:r>
          </w:p>
          <w:p w14:paraId="7080BFE3">
            <w:pPr>
              <w:spacing w:line="273" w:lineRule="auto"/>
              <w:rPr>
                <w:rFonts w:hint="eastAsia" w:ascii="宋体" w:hAnsi="宋体" w:eastAsia="宋体" w:cs="宋体"/>
                <w:color w:val="auto"/>
                <w:szCs w:val="22"/>
              </w:rPr>
            </w:pPr>
            <w:r>
              <w:rPr>
                <w:rFonts w:hint="eastAsia" w:ascii="宋体" w:hAnsi="宋体" w:eastAsia="宋体" w:cs="宋体"/>
                <w:color w:val="auto"/>
                <w:szCs w:val="22"/>
              </w:rPr>
              <w:t>（1）学生的作业要按时全部批改，并及时进行讲评。</w:t>
            </w:r>
          </w:p>
          <w:p w14:paraId="059FF83D">
            <w:pPr>
              <w:spacing w:line="273" w:lineRule="auto"/>
              <w:rPr>
                <w:rFonts w:hint="eastAsia" w:ascii="宋体" w:hAnsi="宋体" w:eastAsia="宋体" w:cs="宋体"/>
                <w:color w:val="auto"/>
                <w:szCs w:val="22"/>
              </w:rPr>
            </w:pPr>
            <w:r>
              <w:rPr>
                <w:rFonts w:hint="eastAsia" w:ascii="宋体" w:hAnsi="宋体" w:eastAsia="宋体" w:cs="宋体"/>
                <w:color w:val="auto"/>
                <w:szCs w:val="22"/>
              </w:rPr>
              <w:t>（2）教师批改和讲评作业要认真、细致，按百分制评定成绩并写明日期。</w:t>
            </w:r>
          </w:p>
          <w:p w14:paraId="4B009BEE">
            <w:pPr>
              <w:spacing w:line="273" w:lineRule="auto"/>
              <w:rPr>
                <w:rFonts w:hint="eastAsia" w:ascii="宋体" w:hAnsi="宋体" w:eastAsia="宋体" w:cs="宋体"/>
                <w:color w:val="auto"/>
                <w:szCs w:val="22"/>
              </w:rPr>
            </w:pPr>
            <w:r>
              <w:rPr>
                <w:rFonts w:hint="eastAsia" w:ascii="宋体" w:hAnsi="宋体" w:eastAsia="宋体" w:cs="宋体"/>
                <w:color w:val="auto"/>
                <w:szCs w:val="22"/>
              </w:rPr>
              <w:t>（3）学生作业平均成绩应作为本课程总评成绩中平时成绩的重要组成部分。</w:t>
            </w:r>
          </w:p>
        </w:tc>
      </w:tr>
      <w:tr w14:paraId="44B1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582" w:type="dxa"/>
            <w:noWrap w:val="0"/>
            <w:vAlign w:val="center"/>
          </w:tcPr>
          <w:p w14:paraId="491267AF">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4</w:t>
            </w:r>
          </w:p>
        </w:tc>
        <w:tc>
          <w:tcPr>
            <w:tcW w:w="993" w:type="dxa"/>
            <w:noWrap w:val="0"/>
            <w:tcMar>
              <w:top w:w="0" w:type="dxa"/>
              <w:left w:w="28" w:type="dxa"/>
              <w:bottom w:w="0" w:type="dxa"/>
              <w:right w:w="28" w:type="dxa"/>
            </w:tcMar>
            <w:vAlign w:val="center"/>
          </w:tcPr>
          <w:p w14:paraId="2CC1AE2C">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课外答疑</w:t>
            </w:r>
          </w:p>
        </w:tc>
        <w:tc>
          <w:tcPr>
            <w:tcW w:w="7525" w:type="dxa"/>
            <w:noWrap w:val="0"/>
            <w:vAlign w:val="center"/>
          </w:tcPr>
          <w:p w14:paraId="572DC746">
            <w:pPr>
              <w:spacing w:line="273" w:lineRule="auto"/>
              <w:rPr>
                <w:rFonts w:hint="eastAsia" w:ascii="宋体" w:hAnsi="宋体" w:eastAsia="宋体" w:cs="宋体"/>
                <w:color w:val="auto"/>
                <w:szCs w:val="22"/>
              </w:rPr>
            </w:pPr>
            <w:r>
              <w:rPr>
                <w:rFonts w:hint="eastAsia" w:ascii="宋体" w:hAnsi="宋体" w:eastAsia="宋体" w:cs="宋体"/>
                <w:color w:val="auto"/>
                <w:szCs w:val="22"/>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1CEA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582" w:type="dxa"/>
            <w:noWrap w:val="0"/>
            <w:vAlign w:val="center"/>
          </w:tcPr>
          <w:p w14:paraId="6E70A8B5">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5</w:t>
            </w:r>
          </w:p>
        </w:tc>
        <w:tc>
          <w:tcPr>
            <w:tcW w:w="993" w:type="dxa"/>
            <w:noWrap w:val="0"/>
            <w:tcMar>
              <w:top w:w="0" w:type="dxa"/>
              <w:left w:w="28" w:type="dxa"/>
              <w:bottom w:w="0" w:type="dxa"/>
              <w:right w:w="28" w:type="dxa"/>
            </w:tcMar>
            <w:vAlign w:val="center"/>
          </w:tcPr>
          <w:p w14:paraId="02352025">
            <w:pPr>
              <w:spacing w:line="273" w:lineRule="auto"/>
              <w:jc w:val="center"/>
              <w:rPr>
                <w:rFonts w:hint="eastAsia" w:ascii="宋体" w:hAnsi="宋体" w:eastAsia="宋体" w:cs="宋体"/>
                <w:color w:val="auto"/>
                <w:szCs w:val="22"/>
              </w:rPr>
            </w:pPr>
            <w:r>
              <w:rPr>
                <w:rFonts w:hint="eastAsia" w:ascii="宋体" w:hAnsi="宋体" w:eastAsia="宋体" w:cs="宋体"/>
                <w:color w:val="auto"/>
                <w:szCs w:val="22"/>
              </w:rPr>
              <w:t>成绩考核</w:t>
            </w:r>
          </w:p>
        </w:tc>
        <w:tc>
          <w:tcPr>
            <w:tcW w:w="7525" w:type="dxa"/>
            <w:noWrap w:val="0"/>
            <w:vAlign w:val="center"/>
          </w:tcPr>
          <w:p w14:paraId="541F145D">
            <w:pPr>
              <w:spacing w:line="273" w:lineRule="auto"/>
              <w:rPr>
                <w:rFonts w:hint="eastAsia" w:ascii="宋体" w:hAnsi="宋体" w:eastAsia="宋体" w:cs="宋体"/>
                <w:color w:val="auto"/>
                <w:szCs w:val="22"/>
              </w:rPr>
            </w:pPr>
            <w:r>
              <w:rPr>
                <w:rFonts w:hint="eastAsia" w:ascii="宋体" w:hAnsi="宋体" w:eastAsia="宋体" w:cs="宋体"/>
                <w:color w:val="auto"/>
                <w:szCs w:val="22"/>
              </w:rPr>
              <w:t>本课程考核的方式为闭卷笔试。有下列情况之一者，总评成绩为不及格：</w:t>
            </w:r>
          </w:p>
          <w:p w14:paraId="46A747DC">
            <w:pPr>
              <w:spacing w:line="273" w:lineRule="auto"/>
              <w:rPr>
                <w:rFonts w:hint="eastAsia" w:ascii="宋体" w:hAnsi="宋体" w:eastAsia="宋体" w:cs="宋体"/>
                <w:color w:val="auto"/>
                <w:szCs w:val="22"/>
              </w:rPr>
            </w:pPr>
            <w:r>
              <w:rPr>
                <w:rFonts w:hint="eastAsia" w:ascii="宋体" w:hAnsi="宋体" w:eastAsia="宋体" w:cs="宋体"/>
                <w:color w:val="auto"/>
                <w:szCs w:val="22"/>
              </w:rPr>
              <w:t>（1）缺交作业次数达1/3以上者。</w:t>
            </w:r>
          </w:p>
          <w:p w14:paraId="515636A9">
            <w:pPr>
              <w:spacing w:line="273" w:lineRule="auto"/>
              <w:rPr>
                <w:rFonts w:hint="eastAsia" w:ascii="宋体" w:hAnsi="宋体" w:eastAsia="宋体" w:cs="宋体"/>
                <w:color w:val="auto"/>
                <w:szCs w:val="22"/>
              </w:rPr>
            </w:pPr>
            <w:r>
              <w:rPr>
                <w:rFonts w:hint="eastAsia" w:ascii="宋体" w:hAnsi="宋体" w:eastAsia="宋体" w:cs="宋体"/>
                <w:color w:val="auto"/>
                <w:szCs w:val="22"/>
              </w:rPr>
              <w:t>（2）缺课次数达本学期总授课学时的1/3以上者。</w:t>
            </w:r>
          </w:p>
        </w:tc>
      </w:tr>
    </w:tbl>
    <w:p w14:paraId="4497429F">
      <w:pPr>
        <w:spacing w:line="360" w:lineRule="auto"/>
        <w:ind w:firstLine="562" w:firstLineChars="200"/>
        <w:outlineLvl w:val="0"/>
        <w:rPr>
          <w:rFonts w:hint="eastAsia" w:ascii="宋体" w:hAnsi="宋体" w:eastAsia="宋体" w:cs="宋体"/>
          <w:b/>
          <w:bCs/>
          <w:color w:val="auto"/>
          <w:sz w:val="28"/>
          <w:szCs w:val="28"/>
        </w:rPr>
      </w:pPr>
      <w:bookmarkStart w:id="1703" w:name="_Toc26086"/>
      <w:bookmarkStart w:id="1704" w:name="_Toc29223"/>
      <w:bookmarkStart w:id="1705" w:name="_Toc3862"/>
      <w:bookmarkStart w:id="1706" w:name="_Toc7450"/>
      <w:bookmarkStart w:id="1707" w:name="_Toc17584"/>
      <w:bookmarkStart w:id="1708" w:name="_Toc6453"/>
      <w:bookmarkStart w:id="1709" w:name="_Toc15749"/>
      <w:r>
        <w:rPr>
          <w:rFonts w:hint="eastAsia" w:ascii="宋体" w:hAnsi="宋体" w:eastAsia="宋体" w:cs="宋体"/>
          <w:b/>
          <w:bCs/>
          <w:color w:val="auto"/>
          <w:sz w:val="28"/>
          <w:szCs w:val="28"/>
        </w:rPr>
        <w:t>六、课程考核</w:t>
      </w:r>
      <w:bookmarkEnd w:id="1703"/>
      <w:bookmarkEnd w:id="1704"/>
      <w:bookmarkEnd w:id="1705"/>
      <w:bookmarkEnd w:id="1706"/>
      <w:bookmarkEnd w:id="1707"/>
      <w:bookmarkEnd w:id="1708"/>
      <w:bookmarkEnd w:id="1709"/>
    </w:p>
    <w:p w14:paraId="1EF4DF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（一）课程考核包括期末考试、平时及作业考核，期末考试采用闭卷笔试方式。</w:t>
      </w:r>
    </w:p>
    <w:p w14:paraId="74DF1D2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（二）课程总评成绩=</w:t>
      </w:r>
      <w:r>
        <w:rPr>
          <w:rFonts w:hint="eastAsia" w:ascii="宋体" w:hAnsi="宋体" w:eastAsia="宋体" w:cs="宋体"/>
          <w:color w:val="auto"/>
          <w:sz w:val="24"/>
          <w:szCs w:val="24"/>
          <w:highlight w:val="none"/>
        </w:rPr>
        <w:t>平时成绩×</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%+期末考试成绩×</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w:t>
      </w:r>
    </w:p>
    <w:p w14:paraId="16455BC1">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）课程目标达成度计算方法</w:t>
      </w:r>
    </w:p>
    <w:p w14:paraId="6CBE15FF">
      <w:pPr>
        <w:spacing w:line="360" w:lineRule="auto"/>
        <w:ind w:firstLine="720" w:firstLineChars="300"/>
        <w:jc w:val="left"/>
        <w:rPr>
          <w:rFonts w:hint="eastAsia" w:ascii="宋体" w:hAnsi="宋体" w:eastAsia="宋体" w:cs="宋体"/>
          <w:color w:val="auto"/>
          <w:sz w:val="24"/>
          <w:szCs w:val="24"/>
        </w:rPr>
      </w:pPr>
      <w:r>
        <w:rPr>
          <w:rFonts w:hint="eastAsia" w:ascii="宋体" w:hAnsi="宋体" w:eastAsia="宋体" w:cs="宋体"/>
          <w:color w:val="auto"/>
          <w:sz w:val="24"/>
          <w:szCs w:val="24"/>
        </w:rPr>
        <w:t>所有课程目标均需大于等于0.6，否则总评成绩不及格，需要补考或重修。每门课程目标总体达成度计算方法如下：</w:t>
      </w:r>
      <w:r>
        <w:rPr>
          <w:rFonts w:ascii="宋体" w:hAnsi="宋体" w:eastAsia="宋体" w:cs="Times New Roman"/>
          <w:color w:val="auto"/>
          <w:szCs w:val="21"/>
        </w:rPr>
        <w:object>
          <v:shape id="_x0000_i1060"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60" DrawAspect="Content" ObjectID="_1468075760" r:id="rId43">
            <o:LockedField>false</o:LockedField>
          </o:OLEObject>
        </w:object>
      </w:r>
    </w:p>
    <w:p w14:paraId="06D732CB">
      <w:pPr>
        <w:spacing w:line="360" w:lineRule="auto"/>
        <w:ind w:firstLine="562" w:firstLineChars="200"/>
        <w:outlineLvl w:val="0"/>
        <w:rPr>
          <w:rFonts w:hint="eastAsia" w:ascii="宋体" w:hAnsi="宋体" w:eastAsia="宋体" w:cs="宋体"/>
          <w:b/>
          <w:bCs/>
          <w:color w:val="auto"/>
          <w:sz w:val="28"/>
          <w:szCs w:val="28"/>
        </w:rPr>
      </w:pPr>
      <w:bookmarkStart w:id="1710" w:name="_Toc11515"/>
      <w:bookmarkStart w:id="1711" w:name="_Toc6159"/>
      <w:bookmarkStart w:id="1712" w:name="_Toc8556"/>
      <w:bookmarkStart w:id="1713" w:name="_Toc8835"/>
      <w:bookmarkStart w:id="1714" w:name="_Toc187"/>
      <w:bookmarkStart w:id="1715" w:name="_Toc24264"/>
      <w:bookmarkStart w:id="1716" w:name="_Toc6723"/>
      <w:r>
        <w:rPr>
          <w:rFonts w:hint="eastAsia" w:ascii="宋体" w:hAnsi="宋体" w:eastAsia="宋体" w:cs="宋体"/>
          <w:b/>
          <w:bCs/>
          <w:color w:val="auto"/>
          <w:sz w:val="28"/>
          <w:szCs w:val="28"/>
        </w:rPr>
        <w:t>七、有关说明</w:t>
      </w:r>
      <w:bookmarkEnd w:id="1710"/>
      <w:bookmarkEnd w:id="1711"/>
      <w:bookmarkEnd w:id="1712"/>
      <w:bookmarkEnd w:id="1713"/>
      <w:bookmarkEnd w:id="1714"/>
      <w:bookmarkEnd w:id="1715"/>
      <w:bookmarkEnd w:id="1716"/>
    </w:p>
    <w:p w14:paraId="42CDDFE5">
      <w:pPr>
        <w:spacing w:line="360" w:lineRule="auto"/>
        <w:ind w:firstLine="482" w:firstLineChars="200"/>
        <w:outlineLvl w:val="0"/>
        <w:rPr>
          <w:rFonts w:hint="eastAsia" w:ascii="宋体" w:hAnsi="宋体" w:eastAsia="宋体" w:cs="宋体"/>
          <w:b/>
          <w:bCs/>
          <w:color w:val="auto"/>
          <w:sz w:val="24"/>
          <w:szCs w:val="24"/>
        </w:rPr>
      </w:pPr>
      <w:bookmarkStart w:id="1717" w:name="_Toc25642"/>
      <w:bookmarkStart w:id="1718" w:name="_Toc12995"/>
      <w:bookmarkStart w:id="1719" w:name="_Toc29042"/>
      <w:bookmarkStart w:id="1720" w:name="_Toc10326"/>
      <w:bookmarkStart w:id="1721" w:name="_Toc12419"/>
      <w:bookmarkStart w:id="1722" w:name="_Toc7616"/>
      <w:bookmarkStart w:id="1723" w:name="_Toc29287"/>
      <w:r>
        <w:rPr>
          <w:rFonts w:hint="eastAsia" w:ascii="宋体" w:hAnsi="宋体" w:eastAsia="宋体" w:cs="宋体"/>
          <w:b/>
          <w:bCs/>
          <w:color w:val="auto"/>
          <w:sz w:val="24"/>
          <w:szCs w:val="24"/>
        </w:rPr>
        <w:t>（一）持续改进</w:t>
      </w:r>
      <w:bookmarkEnd w:id="1717"/>
      <w:bookmarkEnd w:id="1718"/>
      <w:bookmarkEnd w:id="1719"/>
      <w:bookmarkEnd w:id="1720"/>
      <w:bookmarkEnd w:id="1721"/>
      <w:bookmarkEnd w:id="1722"/>
      <w:bookmarkEnd w:id="1723"/>
    </w:p>
    <w:p w14:paraId="50B4AC95">
      <w:pPr>
        <w:spacing w:line="360" w:lineRule="auto"/>
        <w:ind w:firstLine="480" w:firstLineChars="200"/>
        <w:outlineLvl w:val="0"/>
        <w:rPr>
          <w:rFonts w:hint="eastAsia" w:ascii="宋体" w:hAnsi="宋体" w:eastAsia="宋体" w:cs="宋体"/>
          <w:color w:val="auto"/>
          <w:sz w:val="24"/>
          <w:szCs w:val="24"/>
        </w:rPr>
      </w:pPr>
      <w:bookmarkStart w:id="1724" w:name="_Toc5256"/>
      <w:bookmarkStart w:id="1725" w:name="_Toc5469"/>
      <w:bookmarkStart w:id="1726" w:name="_Toc25899"/>
      <w:bookmarkStart w:id="1727" w:name="_Toc18327"/>
      <w:bookmarkStart w:id="1728" w:name="_Toc19731"/>
      <w:bookmarkStart w:id="1729" w:name="_Toc22664"/>
      <w:bookmarkStart w:id="1730" w:name="_Toc3162"/>
      <w:r>
        <w:rPr>
          <w:rFonts w:hint="eastAsia" w:ascii="宋体" w:hAnsi="宋体" w:eastAsia="宋体" w:cs="宋体"/>
          <w:color w:val="auto"/>
          <w:sz w:val="24"/>
          <w:szCs w:val="24"/>
        </w:rPr>
        <w:t>本课程根据学生作业、课堂讨论情况和学生、教学督导等方面的反馈意见及时对教学中的不足之处进行改进，并在下一轮课程教学中整改完善，确保相应毕业要求指标点达成。</w:t>
      </w:r>
      <w:bookmarkEnd w:id="1724"/>
      <w:bookmarkEnd w:id="1725"/>
      <w:bookmarkEnd w:id="1726"/>
      <w:bookmarkEnd w:id="1727"/>
      <w:bookmarkEnd w:id="1728"/>
      <w:bookmarkEnd w:id="1729"/>
      <w:bookmarkEnd w:id="1730"/>
    </w:p>
    <w:p w14:paraId="0E5EA81A">
      <w:pPr>
        <w:spacing w:line="360" w:lineRule="auto"/>
        <w:ind w:right="-168" w:rightChars="-80" w:firstLine="480" w:firstLineChars="200"/>
        <w:outlineLvl w:val="2"/>
        <w:rPr>
          <w:rFonts w:hint="eastAsia" w:ascii="宋体" w:hAnsi="宋体" w:eastAsia="宋体" w:cs="宋体"/>
          <w:color w:val="auto"/>
          <w:sz w:val="24"/>
          <w:szCs w:val="24"/>
        </w:rPr>
      </w:pPr>
      <w:bookmarkStart w:id="1731" w:name="_Toc17197"/>
      <w:r>
        <w:rPr>
          <w:rFonts w:hint="eastAsia" w:ascii="宋体" w:hAnsi="宋体" w:eastAsia="宋体" w:cs="宋体"/>
          <w:color w:val="auto"/>
          <w:sz w:val="24"/>
          <w:szCs w:val="24"/>
        </w:rPr>
        <w:t>（二）教材、参考书目及学习资料</w:t>
      </w:r>
      <w:bookmarkEnd w:id="1731"/>
    </w:p>
    <w:p w14:paraId="2520374E">
      <w:pPr>
        <w:spacing w:line="360" w:lineRule="auto"/>
        <w:ind w:right="-168" w:rightChars="-8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教材：</w:t>
      </w:r>
      <w:r>
        <w:rPr>
          <w:rFonts w:hint="eastAsia" w:ascii="宋体" w:hAnsi="宋体" w:eastAsia="宋体" w:cs="宋体"/>
          <w:color w:val="auto"/>
          <w:sz w:val="24"/>
          <w:szCs w:val="24"/>
          <w:lang w:val="en-US" w:eastAsia="zh-CN"/>
        </w:rPr>
        <w:t>黄伯荣、廖旭东</w:t>
      </w:r>
      <w:r>
        <w:rPr>
          <w:rFonts w:hint="eastAsia" w:ascii="宋体" w:hAnsi="宋体" w:eastAsia="宋体" w:cs="宋体"/>
          <w:color w:val="auto"/>
          <w:sz w:val="24"/>
          <w:szCs w:val="24"/>
        </w:rPr>
        <w:t>主编：《现代汉语》（</w:t>
      </w:r>
      <w:r>
        <w:rPr>
          <w:rFonts w:hint="eastAsia" w:ascii="宋体" w:hAnsi="宋体" w:eastAsia="宋体" w:cs="宋体"/>
          <w:color w:val="auto"/>
          <w:sz w:val="24"/>
          <w:szCs w:val="24"/>
          <w:lang w:val="en-US" w:eastAsia="zh-CN"/>
        </w:rPr>
        <w:t>增订六版</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精简本</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北京</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高等</w:t>
      </w:r>
      <w:r>
        <w:rPr>
          <w:rFonts w:hint="eastAsia" w:ascii="宋体" w:hAnsi="宋体" w:eastAsia="宋体" w:cs="宋体"/>
          <w:color w:val="auto"/>
          <w:sz w:val="24"/>
          <w:szCs w:val="24"/>
        </w:rPr>
        <w:t>教育出版社，201</w:t>
      </w:r>
      <w:r>
        <w:rPr>
          <w:rFonts w:hint="eastAsia" w:ascii="宋体" w:hAnsi="宋体" w:eastAsia="宋体" w:cs="宋体"/>
          <w:color w:val="auto"/>
          <w:sz w:val="24"/>
          <w:szCs w:val="24"/>
          <w:lang w:val="en-US" w:eastAsia="zh-CN"/>
        </w:rPr>
        <w:t>8</w:t>
      </w:r>
    </w:p>
    <w:p w14:paraId="7F9D496B">
      <w:pPr>
        <w:spacing w:line="360" w:lineRule="auto"/>
        <w:ind w:right="-168" w:rightChars="-8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主要参考书目：</w:t>
      </w:r>
    </w:p>
    <w:p w14:paraId="5F511A7E">
      <w:pPr>
        <w:spacing w:line="360" w:lineRule="auto"/>
        <w:ind w:right="-168" w:rightChars="-80" w:firstLine="480" w:firstLineChars="200"/>
        <w:outlineLvl w:val="0"/>
        <w:rPr>
          <w:rFonts w:hint="eastAsia" w:ascii="宋体" w:hAnsi="宋体" w:eastAsia="宋体" w:cs="宋体"/>
          <w:color w:val="auto"/>
          <w:sz w:val="24"/>
          <w:szCs w:val="24"/>
        </w:rPr>
      </w:pPr>
      <w:bookmarkStart w:id="1732" w:name="_Toc400898913"/>
      <w:bookmarkStart w:id="1733" w:name="_Toc11026"/>
      <w:bookmarkStart w:id="1734" w:name="_Toc2163"/>
      <w:bookmarkStart w:id="1735" w:name="_Toc6335"/>
      <w:bookmarkStart w:id="1736" w:name="_Toc4984"/>
      <w:bookmarkStart w:id="1737" w:name="_Toc22170"/>
      <w:bookmarkStart w:id="1738" w:name="_Toc27229"/>
      <w:bookmarkStart w:id="1739" w:name="_Toc27410"/>
      <w:r>
        <w:rPr>
          <w:rFonts w:hint="eastAsia" w:ascii="宋体" w:hAnsi="宋体" w:eastAsia="宋体" w:cs="宋体"/>
          <w:color w:val="auto"/>
          <w:sz w:val="24"/>
          <w:szCs w:val="24"/>
        </w:rPr>
        <w:t xml:space="preserve">[1] </w:t>
      </w:r>
      <w:bookmarkEnd w:id="1732"/>
      <w:bookmarkStart w:id="1740" w:name="_Toc1251830152"/>
      <w:r>
        <w:rPr>
          <w:rFonts w:hint="eastAsia" w:ascii="宋体" w:hAnsi="宋体" w:eastAsia="宋体" w:cs="宋体"/>
          <w:color w:val="auto"/>
          <w:sz w:val="24"/>
          <w:szCs w:val="24"/>
        </w:rPr>
        <w:t>邵敬敏主编：《现代汉语通论》（下册），上海：上海教育出版社，2016</w:t>
      </w:r>
      <w:bookmarkEnd w:id="1733"/>
      <w:bookmarkEnd w:id="1734"/>
      <w:bookmarkEnd w:id="1735"/>
      <w:bookmarkEnd w:id="1736"/>
      <w:bookmarkEnd w:id="1737"/>
      <w:bookmarkEnd w:id="1738"/>
      <w:bookmarkEnd w:id="1739"/>
    </w:p>
    <w:p w14:paraId="6D12342D">
      <w:pPr>
        <w:spacing w:line="360" w:lineRule="auto"/>
        <w:ind w:right="-168" w:rightChars="-80" w:firstLine="480" w:firstLineChars="200"/>
        <w:outlineLvl w:val="0"/>
        <w:rPr>
          <w:rFonts w:hint="eastAsia" w:ascii="宋体" w:hAnsi="宋体" w:eastAsia="宋体" w:cs="宋体"/>
          <w:color w:val="auto"/>
          <w:sz w:val="24"/>
          <w:szCs w:val="24"/>
        </w:rPr>
      </w:pPr>
      <w:bookmarkStart w:id="1741" w:name="_Toc29326"/>
      <w:bookmarkStart w:id="1742" w:name="_Toc28186"/>
      <w:bookmarkStart w:id="1743" w:name="_Toc27074"/>
      <w:bookmarkStart w:id="1744" w:name="_Toc7632"/>
      <w:bookmarkStart w:id="1745" w:name="_Toc25347"/>
      <w:bookmarkStart w:id="1746" w:name="_Toc19481"/>
      <w:bookmarkStart w:id="1747" w:name="_Toc21358"/>
      <w:r>
        <w:rPr>
          <w:rFonts w:hint="eastAsia" w:ascii="宋体" w:hAnsi="宋体" w:eastAsia="宋体" w:cs="宋体"/>
          <w:color w:val="auto"/>
          <w:sz w:val="24"/>
          <w:szCs w:val="24"/>
        </w:rPr>
        <w:t>[2] 张斌主编：《新编现代汉语》上海：复旦大学出版社，2002</w:t>
      </w:r>
      <w:bookmarkEnd w:id="1740"/>
      <w:bookmarkEnd w:id="1741"/>
      <w:bookmarkEnd w:id="1742"/>
      <w:bookmarkEnd w:id="1743"/>
      <w:bookmarkEnd w:id="1744"/>
      <w:bookmarkEnd w:id="1745"/>
      <w:bookmarkEnd w:id="1746"/>
      <w:bookmarkEnd w:id="1747"/>
    </w:p>
    <w:p w14:paraId="4392FBE8">
      <w:pPr>
        <w:spacing w:line="360" w:lineRule="auto"/>
        <w:ind w:right="-168" w:rightChars="-80" w:firstLine="480" w:firstLineChars="200"/>
        <w:outlineLvl w:val="0"/>
        <w:rPr>
          <w:rFonts w:hint="eastAsia" w:ascii="宋体" w:hAnsi="宋体" w:eastAsia="宋体" w:cs="宋体"/>
          <w:color w:val="auto"/>
          <w:sz w:val="24"/>
          <w:szCs w:val="24"/>
        </w:rPr>
      </w:pPr>
      <w:bookmarkStart w:id="1748" w:name="_Toc2694"/>
      <w:bookmarkStart w:id="1749" w:name="_Toc1611"/>
      <w:bookmarkStart w:id="1750" w:name="_Toc30611"/>
      <w:bookmarkStart w:id="1751" w:name="_Toc6354"/>
      <w:bookmarkStart w:id="1752" w:name="_Toc20138"/>
      <w:bookmarkStart w:id="1753" w:name="_Toc612075005"/>
      <w:bookmarkStart w:id="1754" w:name="_Toc18304"/>
      <w:bookmarkStart w:id="1755" w:name="_Toc19018"/>
      <w:r>
        <w:rPr>
          <w:rFonts w:hint="eastAsia" w:ascii="宋体" w:hAnsi="宋体" w:eastAsia="宋体" w:cs="宋体"/>
          <w:color w:val="auto"/>
          <w:sz w:val="24"/>
          <w:szCs w:val="24"/>
        </w:rPr>
        <w:t>[3] 胡裕树主编：《现代汉语》上海：上海教育出版社，2001</w:t>
      </w:r>
      <w:bookmarkEnd w:id="1748"/>
      <w:bookmarkEnd w:id="1749"/>
      <w:bookmarkEnd w:id="1750"/>
      <w:bookmarkEnd w:id="1751"/>
      <w:bookmarkEnd w:id="1752"/>
      <w:bookmarkEnd w:id="1753"/>
      <w:bookmarkEnd w:id="1754"/>
      <w:bookmarkEnd w:id="1755"/>
    </w:p>
    <w:p w14:paraId="0CF9C705">
      <w:pPr>
        <w:spacing w:line="360" w:lineRule="auto"/>
        <w:ind w:right="-168" w:rightChars="-80" w:firstLine="480" w:firstLineChars="200"/>
        <w:outlineLvl w:val="0"/>
        <w:rPr>
          <w:rFonts w:hint="eastAsia" w:ascii="宋体" w:hAnsi="宋体" w:eastAsia="宋体" w:cs="宋体"/>
          <w:color w:val="auto"/>
          <w:sz w:val="24"/>
          <w:szCs w:val="24"/>
        </w:rPr>
      </w:pPr>
      <w:bookmarkStart w:id="1756" w:name="_Toc15334"/>
      <w:bookmarkStart w:id="1757" w:name="_Toc29217"/>
      <w:bookmarkStart w:id="1758" w:name="_Toc21120"/>
      <w:bookmarkStart w:id="1759" w:name="_Toc697939905"/>
      <w:bookmarkStart w:id="1760" w:name="_Toc11723"/>
      <w:bookmarkStart w:id="1761" w:name="_Toc13674"/>
      <w:bookmarkStart w:id="1762" w:name="_Toc153"/>
      <w:bookmarkStart w:id="1763" w:name="_Toc21091"/>
      <w:r>
        <w:rPr>
          <w:rFonts w:hint="eastAsia" w:ascii="宋体" w:hAnsi="宋体" w:eastAsia="宋体" w:cs="宋体"/>
          <w:color w:val="auto"/>
          <w:sz w:val="24"/>
          <w:szCs w:val="24"/>
        </w:rPr>
        <w:t>[4] 钱乃荣主编：《现代汉语》南京：江苏教育出版社，2001</w:t>
      </w:r>
      <w:bookmarkEnd w:id="1756"/>
      <w:bookmarkEnd w:id="1757"/>
      <w:bookmarkEnd w:id="1758"/>
      <w:bookmarkEnd w:id="1759"/>
      <w:bookmarkEnd w:id="1760"/>
      <w:bookmarkEnd w:id="1761"/>
      <w:bookmarkEnd w:id="1762"/>
      <w:bookmarkEnd w:id="1763"/>
    </w:p>
    <w:p w14:paraId="6AF9890E">
      <w:pPr>
        <w:spacing w:line="360" w:lineRule="auto"/>
        <w:ind w:right="-168" w:rightChars="-80" w:firstLine="480" w:firstLineChars="200"/>
        <w:outlineLvl w:val="0"/>
        <w:rPr>
          <w:rFonts w:hint="eastAsia" w:ascii="宋体" w:hAnsi="宋体" w:eastAsia="宋体" w:cs="宋体"/>
          <w:color w:val="auto"/>
          <w:sz w:val="24"/>
          <w:szCs w:val="24"/>
        </w:rPr>
      </w:pPr>
      <w:bookmarkStart w:id="1764" w:name="_Toc720303421"/>
      <w:bookmarkStart w:id="1765" w:name="_Toc31793"/>
      <w:bookmarkStart w:id="1766" w:name="_Toc8477"/>
      <w:bookmarkStart w:id="1767" w:name="_Toc5693"/>
      <w:bookmarkStart w:id="1768" w:name="_Toc8392"/>
      <w:bookmarkStart w:id="1769" w:name="_Toc7316"/>
      <w:bookmarkStart w:id="1770" w:name="_Toc18779"/>
      <w:bookmarkStart w:id="1771" w:name="_Toc26155"/>
      <w:r>
        <w:rPr>
          <w:rFonts w:hint="eastAsia" w:ascii="宋体" w:hAnsi="宋体" w:eastAsia="宋体" w:cs="宋体"/>
          <w:color w:val="auto"/>
          <w:sz w:val="24"/>
          <w:szCs w:val="24"/>
        </w:rPr>
        <w:t>[5] 李如龙著：《汉语方言学》北京：高等教育出版社，2001</w:t>
      </w:r>
      <w:bookmarkEnd w:id="1764"/>
      <w:bookmarkEnd w:id="1765"/>
      <w:bookmarkEnd w:id="1766"/>
      <w:bookmarkEnd w:id="1767"/>
      <w:bookmarkEnd w:id="1768"/>
      <w:bookmarkEnd w:id="1769"/>
      <w:bookmarkEnd w:id="1770"/>
      <w:bookmarkEnd w:id="1771"/>
    </w:p>
    <w:p w14:paraId="18A874C3">
      <w:pPr>
        <w:spacing w:line="360" w:lineRule="auto"/>
        <w:ind w:right="-168" w:rightChars="-80" w:firstLine="480" w:firstLineChars="200"/>
        <w:outlineLvl w:val="0"/>
        <w:rPr>
          <w:rFonts w:hint="eastAsia" w:ascii="宋体" w:hAnsi="宋体" w:eastAsia="宋体" w:cs="宋体"/>
          <w:color w:val="auto"/>
          <w:sz w:val="24"/>
          <w:szCs w:val="24"/>
        </w:rPr>
      </w:pPr>
      <w:bookmarkStart w:id="1772" w:name="_Toc774278608"/>
      <w:bookmarkStart w:id="1773" w:name="_Toc32495"/>
      <w:bookmarkStart w:id="1774" w:name="_Toc10472"/>
      <w:bookmarkStart w:id="1775" w:name="_Toc14574"/>
      <w:bookmarkStart w:id="1776" w:name="_Toc3561"/>
      <w:bookmarkStart w:id="1777" w:name="_Toc29131"/>
      <w:bookmarkStart w:id="1778" w:name="_Toc19301"/>
      <w:bookmarkStart w:id="1779" w:name="_Toc27914"/>
      <w:r>
        <w:rPr>
          <w:rFonts w:hint="eastAsia" w:ascii="宋体" w:hAnsi="宋体" w:eastAsia="宋体" w:cs="宋体"/>
          <w:color w:val="auto"/>
          <w:sz w:val="24"/>
          <w:szCs w:val="24"/>
        </w:rPr>
        <w:t>[6] 林涛、王理嘉著：《语音学教程》北京：北京大学出版社，1992</w:t>
      </w:r>
      <w:bookmarkEnd w:id="1772"/>
      <w:bookmarkEnd w:id="1773"/>
      <w:bookmarkEnd w:id="1774"/>
      <w:bookmarkEnd w:id="1775"/>
      <w:bookmarkEnd w:id="1776"/>
      <w:bookmarkEnd w:id="1777"/>
      <w:bookmarkEnd w:id="1778"/>
      <w:bookmarkEnd w:id="1779"/>
    </w:p>
    <w:p w14:paraId="4DD16234">
      <w:pPr>
        <w:spacing w:line="360" w:lineRule="auto"/>
        <w:ind w:right="-168" w:rightChars="-80" w:firstLine="480" w:firstLineChars="200"/>
        <w:outlineLvl w:val="0"/>
        <w:rPr>
          <w:rFonts w:hint="eastAsia" w:ascii="宋体" w:hAnsi="宋体" w:eastAsia="宋体" w:cs="宋体"/>
          <w:color w:val="auto"/>
          <w:sz w:val="24"/>
          <w:szCs w:val="24"/>
        </w:rPr>
      </w:pPr>
      <w:bookmarkStart w:id="1780" w:name="_Toc23339"/>
      <w:bookmarkStart w:id="1781" w:name="_Toc22816"/>
      <w:bookmarkStart w:id="1782" w:name="_Toc1697147483"/>
      <w:bookmarkStart w:id="1783" w:name="_Toc22841"/>
      <w:bookmarkStart w:id="1784" w:name="_Toc6312"/>
      <w:bookmarkStart w:id="1785" w:name="_Toc10017"/>
      <w:bookmarkStart w:id="1786" w:name="_Toc8066"/>
      <w:bookmarkStart w:id="1787" w:name="_Toc11589"/>
      <w:r>
        <w:rPr>
          <w:rFonts w:hint="eastAsia" w:ascii="宋体" w:hAnsi="宋体" w:eastAsia="宋体" w:cs="宋体"/>
          <w:color w:val="auto"/>
          <w:sz w:val="24"/>
          <w:szCs w:val="24"/>
        </w:rPr>
        <w:t>[7] 苏培成著：《现代汉字学纲要》北京：北京大学出版社，2001</w:t>
      </w:r>
      <w:bookmarkEnd w:id="1780"/>
      <w:bookmarkEnd w:id="1781"/>
      <w:bookmarkEnd w:id="1782"/>
      <w:bookmarkEnd w:id="1783"/>
      <w:bookmarkEnd w:id="1784"/>
      <w:bookmarkEnd w:id="1785"/>
      <w:bookmarkEnd w:id="1786"/>
      <w:bookmarkEnd w:id="1787"/>
    </w:p>
    <w:p w14:paraId="3D54CAE5">
      <w:pPr>
        <w:spacing w:line="360" w:lineRule="auto"/>
        <w:ind w:right="-168" w:rightChars="-80" w:firstLine="480" w:firstLineChars="200"/>
        <w:outlineLvl w:val="0"/>
        <w:rPr>
          <w:rFonts w:hint="eastAsia" w:ascii="宋体" w:hAnsi="宋体" w:eastAsia="宋体" w:cs="宋体"/>
          <w:color w:val="auto"/>
          <w:sz w:val="24"/>
          <w:szCs w:val="24"/>
        </w:rPr>
      </w:pPr>
      <w:bookmarkStart w:id="1788" w:name="_Toc31"/>
      <w:bookmarkStart w:id="1789" w:name="_Toc15767"/>
      <w:bookmarkStart w:id="1790" w:name="_Toc13478"/>
      <w:bookmarkStart w:id="1791" w:name="_Toc23847"/>
      <w:bookmarkStart w:id="1792" w:name="_Toc29613"/>
      <w:bookmarkStart w:id="1793" w:name="_Toc1079947327"/>
      <w:bookmarkStart w:id="1794" w:name="_Toc12322"/>
      <w:bookmarkStart w:id="1795" w:name="_Toc10506"/>
      <w:r>
        <w:rPr>
          <w:rFonts w:hint="eastAsia" w:ascii="宋体" w:hAnsi="宋体" w:eastAsia="宋体" w:cs="宋体"/>
          <w:color w:val="auto"/>
          <w:sz w:val="24"/>
          <w:szCs w:val="24"/>
        </w:rPr>
        <w:t>[8] 符淮青著：《现代汉语词汇》北京：北京大学出版社，2004</w:t>
      </w:r>
      <w:bookmarkEnd w:id="1788"/>
      <w:bookmarkEnd w:id="1789"/>
      <w:bookmarkEnd w:id="1790"/>
      <w:bookmarkEnd w:id="1791"/>
      <w:bookmarkEnd w:id="1792"/>
      <w:bookmarkEnd w:id="1793"/>
      <w:bookmarkEnd w:id="1794"/>
      <w:bookmarkEnd w:id="1795"/>
    </w:p>
    <w:p w14:paraId="22978588">
      <w:pPr>
        <w:spacing w:line="360" w:lineRule="auto"/>
        <w:ind w:right="-168" w:rightChars="-80" w:firstLine="480" w:firstLineChars="200"/>
        <w:outlineLvl w:val="0"/>
        <w:rPr>
          <w:rFonts w:hint="eastAsia" w:ascii="宋体" w:hAnsi="宋体" w:eastAsia="宋体" w:cs="宋体"/>
          <w:color w:val="auto"/>
          <w:sz w:val="24"/>
          <w:szCs w:val="24"/>
        </w:rPr>
      </w:pPr>
      <w:bookmarkStart w:id="1796" w:name="_Toc32348"/>
      <w:bookmarkStart w:id="1797" w:name="_Toc142940445"/>
      <w:bookmarkStart w:id="1798" w:name="_Toc27623"/>
      <w:bookmarkStart w:id="1799" w:name="_Toc9711"/>
      <w:bookmarkStart w:id="1800" w:name="_Toc9964"/>
      <w:bookmarkStart w:id="1801" w:name="_Toc19184"/>
      <w:bookmarkStart w:id="1802" w:name="_Toc30775"/>
      <w:bookmarkStart w:id="1803" w:name="_Toc12785"/>
      <w:r>
        <w:rPr>
          <w:rFonts w:hint="eastAsia" w:ascii="宋体" w:hAnsi="宋体" w:eastAsia="宋体" w:cs="宋体"/>
          <w:color w:val="auto"/>
          <w:sz w:val="24"/>
          <w:szCs w:val="24"/>
        </w:rPr>
        <w:t>[9] 贾彦德著：《汉语语义学》北京：北京大学出版社</w:t>
      </w:r>
      <w:bookmarkEnd w:id="1796"/>
      <w:bookmarkEnd w:id="1797"/>
      <w:bookmarkEnd w:id="1798"/>
      <w:bookmarkEnd w:id="1799"/>
      <w:bookmarkEnd w:id="1800"/>
      <w:bookmarkEnd w:id="1801"/>
      <w:bookmarkEnd w:id="1802"/>
      <w:bookmarkEnd w:id="1803"/>
    </w:p>
    <w:p w14:paraId="7513EA3C">
      <w:pPr>
        <w:spacing w:line="360" w:lineRule="auto"/>
        <w:ind w:right="-168" w:rightChars="-80" w:firstLine="480" w:firstLineChars="200"/>
        <w:outlineLvl w:val="0"/>
        <w:rPr>
          <w:rFonts w:hint="eastAsia" w:ascii="宋体" w:hAnsi="宋体" w:eastAsia="宋体" w:cs="宋体"/>
          <w:color w:val="auto"/>
          <w:sz w:val="24"/>
          <w:szCs w:val="24"/>
        </w:rPr>
      </w:pPr>
      <w:bookmarkStart w:id="1804" w:name="_Toc32543"/>
      <w:bookmarkStart w:id="1805" w:name="_Toc11539"/>
      <w:bookmarkStart w:id="1806" w:name="_Toc11559"/>
      <w:bookmarkStart w:id="1807" w:name="_Toc24262"/>
      <w:bookmarkStart w:id="1808" w:name="_Toc11151"/>
      <w:bookmarkStart w:id="1809" w:name="_Toc1513341769"/>
      <w:bookmarkStart w:id="1810" w:name="_Toc19304"/>
      <w:bookmarkStart w:id="1811" w:name="_Toc30596"/>
      <w:r>
        <w:rPr>
          <w:rFonts w:hint="eastAsia" w:ascii="宋体" w:hAnsi="宋体" w:eastAsia="宋体" w:cs="宋体"/>
          <w:color w:val="auto"/>
          <w:sz w:val="24"/>
          <w:szCs w:val="24"/>
        </w:rPr>
        <w:t>[10] 朱德熙著：《语法讲义》北京：商务印书馆，1982</w:t>
      </w:r>
      <w:bookmarkEnd w:id="1804"/>
      <w:bookmarkEnd w:id="1805"/>
      <w:bookmarkEnd w:id="1806"/>
      <w:bookmarkEnd w:id="1807"/>
      <w:bookmarkEnd w:id="1808"/>
      <w:bookmarkEnd w:id="1809"/>
      <w:bookmarkEnd w:id="1810"/>
      <w:bookmarkEnd w:id="1811"/>
    </w:p>
    <w:p w14:paraId="48D0AA03">
      <w:pPr>
        <w:spacing w:line="360" w:lineRule="auto"/>
        <w:ind w:right="-168" w:rightChars="-80" w:firstLine="480" w:firstLineChars="200"/>
        <w:outlineLvl w:val="0"/>
        <w:rPr>
          <w:rFonts w:hint="eastAsia" w:ascii="宋体" w:hAnsi="宋体" w:eastAsia="宋体" w:cs="宋体"/>
          <w:color w:val="auto"/>
          <w:sz w:val="24"/>
          <w:szCs w:val="24"/>
        </w:rPr>
      </w:pPr>
      <w:bookmarkStart w:id="1812" w:name="_Toc26793"/>
      <w:bookmarkStart w:id="1813" w:name="_Toc17518"/>
      <w:bookmarkStart w:id="1814" w:name="_Toc2086280162"/>
      <w:bookmarkStart w:id="1815" w:name="_Toc24845"/>
      <w:bookmarkStart w:id="1816" w:name="_Toc27871"/>
      <w:bookmarkStart w:id="1817" w:name="_Toc12185"/>
      <w:bookmarkStart w:id="1818" w:name="_Toc6552"/>
      <w:bookmarkStart w:id="1819" w:name="_Toc8044"/>
      <w:r>
        <w:rPr>
          <w:rFonts w:hint="eastAsia" w:ascii="宋体" w:hAnsi="宋体" w:eastAsia="宋体" w:cs="宋体"/>
          <w:color w:val="auto"/>
          <w:sz w:val="24"/>
          <w:szCs w:val="24"/>
        </w:rPr>
        <w:t>[11] 朱德熙著：《语法答问》北京：商务印书馆，1985</w:t>
      </w:r>
      <w:bookmarkEnd w:id="1812"/>
      <w:bookmarkEnd w:id="1813"/>
      <w:bookmarkEnd w:id="1814"/>
      <w:bookmarkEnd w:id="1815"/>
      <w:bookmarkEnd w:id="1816"/>
      <w:bookmarkEnd w:id="1817"/>
      <w:bookmarkEnd w:id="1818"/>
      <w:bookmarkEnd w:id="1819"/>
    </w:p>
    <w:p w14:paraId="23512688">
      <w:pPr>
        <w:spacing w:line="360" w:lineRule="auto"/>
        <w:ind w:right="-168" w:rightChars="-80" w:firstLine="480" w:firstLineChars="200"/>
        <w:outlineLvl w:val="0"/>
        <w:rPr>
          <w:rFonts w:hint="eastAsia" w:ascii="宋体" w:hAnsi="宋体" w:eastAsia="宋体" w:cs="宋体"/>
          <w:color w:val="auto"/>
          <w:sz w:val="24"/>
          <w:szCs w:val="24"/>
        </w:rPr>
      </w:pPr>
      <w:bookmarkStart w:id="1820" w:name="_Toc6233"/>
      <w:bookmarkStart w:id="1821" w:name="_Toc2145178165"/>
      <w:bookmarkStart w:id="1822" w:name="_Toc2919"/>
      <w:bookmarkStart w:id="1823" w:name="_Toc31841"/>
      <w:bookmarkStart w:id="1824" w:name="_Toc32549"/>
      <w:bookmarkStart w:id="1825" w:name="_Toc31909"/>
      <w:bookmarkStart w:id="1826" w:name="_Toc12451"/>
      <w:bookmarkStart w:id="1827" w:name="_Toc12396"/>
      <w:r>
        <w:rPr>
          <w:rFonts w:hint="eastAsia" w:ascii="宋体" w:hAnsi="宋体" w:eastAsia="宋体" w:cs="宋体"/>
          <w:color w:val="auto"/>
          <w:sz w:val="24"/>
          <w:szCs w:val="24"/>
        </w:rPr>
        <w:t>[12] 朱德熙著：《现代汉语语法研究》北京：商务印书馆，1980</w:t>
      </w:r>
      <w:bookmarkEnd w:id="1820"/>
      <w:bookmarkEnd w:id="1821"/>
      <w:bookmarkEnd w:id="1822"/>
      <w:bookmarkEnd w:id="1823"/>
      <w:bookmarkEnd w:id="1824"/>
      <w:bookmarkEnd w:id="1825"/>
      <w:bookmarkEnd w:id="1826"/>
      <w:bookmarkEnd w:id="1827"/>
    </w:p>
    <w:p w14:paraId="46C09ECF">
      <w:pPr>
        <w:spacing w:line="360" w:lineRule="auto"/>
        <w:ind w:right="-168" w:rightChars="-80" w:firstLine="480" w:firstLineChars="200"/>
        <w:outlineLvl w:val="0"/>
        <w:rPr>
          <w:rFonts w:hint="eastAsia" w:ascii="宋体" w:hAnsi="宋体" w:eastAsia="宋体" w:cs="宋体"/>
          <w:color w:val="auto"/>
          <w:sz w:val="24"/>
          <w:szCs w:val="24"/>
        </w:rPr>
      </w:pPr>
      <w:bookmarkStart w:id="1828" w:name="_Toc25351"/>
      <w:bookmarkStart w:id="1829" w:name="_Toc21157"/>
      <w:bookmarkStart w:id="1830" w:name="_Toc12267"/>
      <w:bookmarkStart w:id="1831" w:name="_Toc2985"/>
      <w:bookmarkStart w:id="1832" w:name="_Toc10195"/>
      <w:bookmarkStart w:id="1833" w:name="_Toc1843"/>
      <w:bookmarkStart w:id="1834" w:name="_Toc12975"/>
      <w:bookmarkStart w:id="1835" w:name="_Toc2053953319"/>
      <w:r>
        <w:rPr>
          <w:rFonts w:hint="eastAsia" w:ascii="宋体" w:hAnsi="宋体" w:eastAsia="宋体" w:cs="宋体"/>
          <w:color w:val="auto"/>
          <w:sz w:val="24"/>
          <w:szCs w:val="24"/>
        </w:rPr>
        <w:t>[13] 陆俭明著：《现代汉语语法研究教程》北京：北京大学出版社，2003</w:t>
      </w:r>
      <w:bookmarkEnd w:id="1828"/>
      <w:bookmarkEnd w:id="1829"/>
      <w:bookmarkEnd w:id="1830"/>
      <w:bookmarkEnd w:id="1831"/>
      <w:bookmarkEnd w:id="1832"/>
      <w:bookmarkEnd w:id="1833"/>
      <w:bookmarkEnd w:id="1834"/>
      <w:bookmarkEnd w:id="1835"/>
    </w:p>
    <w:p w14:paraId="58C0AC1D">
      <w:pPr>
        <w:spacing w:line="360" w:lineRule="auto"/>
        <w:ind w:right="-168" w:rightChars="-80" w:firstLine="480" w:firstLineChars="200"/>
        <w:outlineLvl w:val="0"/>
        <w:rPr>
          <w:rFonts w:hint="eastAsia" w:ascii="宋体" w:hAnsi="宋体" w:eastAsia="宋体" w:cs="宋体"/>
          <w:color w:val="auto"/>
          <w:sz w:val="24"/>
          <w:szCs w:val="24"/>
        </w:rPr>
      </w:pPr>
      <w:bookmarkStart w:id="1836" w:name="_Toc14778"/>
      <w:bookmarkStart w:id="1837" w:name="_Toc26141"/>
      <w:bookmarkStart w:id="1838" w:name="_Toc2141290555"/>
      <w:bookmarkStart w:id="1839" w:name="_Toc28560"/>
      <w:bookmarkStart w:id="1840" w:name="_Toc20799"/>
      <w:bookmarkStart w:id="1841" w:name="_Toc13068"/>
      <w:bookmarkStart w:id="1842" w:name="_Toc2948"/>
      <w:bookmarkStart w:id="1843" w:name="_Toc20931"/>
      <w:r>
        <w:rPr>
          <w:rFonts w:hint="eastAsia" w:ascii="宋体" w:hAnsi="宋体" w:eastAsia="宋体" w:cs="宋体"/>
          <w:color w:val="auto"/>
          <w:sz w:val="24"/>
          <w:szCs w:val="24"/>
        </w:rPr>
        <w:t>[14] 邢福义著：《汉语语法三百问》北京：商务印书馆，2001</w:t>
      </w:r>
      <w:bookmarkEnd w:id="1836"/>
      <w:bookmarkEnd w:id="1837"/>
      <w:bookmarkEnd w:id="1838"/>
      <w:bookmarkEnd w:id="1839"/>
      <w:bookmarkEnd w:id="1840"/>
      <w:bookmarkEnd w:id="1841"/>
      <w:bookmarkEnd w:id="1842"/>
      <w:bookmarkEnd w:id="1843"/>
    </w:p>
    <w:p w14:paraId="1BD25CCA">
      <w:pPr>
        <w:keepNext w:val="0"/>
        <w:keepLines w:val="0"/>
        <w:pageBreakBefore w:val="0"/>
        <w:widowControl w:val="0"/>
        <w:kinsoku/>
        <w:wordWrap w:val="0"/>
        <w:overflowPunct/>
        <w:topLinePunct w:val="0"/>
        <w:autoSpaceDE/>
        <w:autoSpaceDN/>
        <w:bidi w:val="0"/>
        <w:adjustRightInd/>
        <w:snapToGrid/>
        <w:spacing w:line="240" w:lineRule="auto"/>
        <w:ind w:right="-168" w:rightChars="-80" w:firstLine="480" w:firstLineChars="200"/>
        <w:jc w:val="right"/>
        <w:textAlignment w:val="auto"/>
        <w:rPr>
          <w:rFonts w:hint="eastAsia" w:ascii="宋体" w:hAnsi="宋体" w:eastAsia="宋体" w:cs="宋体"/>
          <w:color w:val="auto"/>
          <w:sz w:val="24"/>
          <w:szCs w:val="24"/>
        </w:rPr>
      </w:pPr>
    </w:p>
    <w:p w14:paraId="7C5C64C9">
      <w:pPr>
        <w:keepNext w:val="0"/>
        <w:keepLines w:val="0"/>
        <w:pageBreakBefore w:val="0"/>
        <w:widowControl w:val="0"/>
        <w:kinsoku/>
        <w:wordWrap w:val="0"/>
        <w:overflowPunct/>
        <w:topLinePunct w:val="0"/>
        <w:autoSpaceDE/>
        <w:autoSpaceDN/>
        <w:bidi w:val="0"/>
        <w:adjustRightInd/>
        <w:snapToGrid/>
        <w:spacing w:line="240" w:lineRule="auto"/>
        <w:ind w:right="-168" w:rightChars="-80" w:firstLine="480" w:firstLineChars="20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执笔人：</w:t>
      </w:r>
      <w:r>
        <w:rPr>
          <w:rFonts w:hint="eastAsia" w:ascii="宋体" w:hAnsi="宋体" w:eastAsia="宋体" w:cs="宋体"/>
          <w:color w:val="auto"/>
          <w:sz w:val="24"/>
          <w:szCs w:val="24"/>
          <w:lang w:val="en-US" w:eastAsia="zh-CN"/>
        </w:rPr>
        <w:t>曹子男</w:t>
      </w:r>
    </w:p>
    <w:p w14:paraId="05F2566F">
      <w:pPr>
        <w:keepNext w:val="0"/>
        <w:keepLines w:val="0"/>
        <w:pageBreakBefore w:val="0"/>
        <w:widowControl w:val="0"/>
        <w:kinsoku/>
        <w:overflowPunct/>
        <w:topLinePunct w:val="0"/>
        <w:autoSpaceDE/>
        <w:autoSpaceDN/>
        <w:bidi w:val="0"/>
        <w:adjustRightInd/>
        <w:snapToGrid/>
        <w:spacing w:line="240" w:lineRule="auto"/>
        <w:ind w:right="-168" w:rightChars="-80" w:firstLine="480" w:firstLineChars="200"/>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审定人：</w:t>
      </w:r>
      <w:r>
        <w:rPr>
          <w:rFonts w:hint="eastAsia" w:ascii="宋体" w:hAnsi="宋体" w:eastAsia="宋体" w:cs="宋体"/>
          <w:color w:val="auto"/>
          <w:sz w:val="24"/>
          <w:szCs w:val="24"/>
          <w:lang w:val="en-US" w:eastAsia="zh-CN"/>
        </w:rPr>
        <w:t>王  健</w:t>
      </w:r>
    </w:p>
    <w:p w14:paraId="27FFF6B1">
      <w:pPr>
        <w:keepNext w:val="0"/>
        <w:keepLines w:val="0"/>
        <w:pageBreakBefore w:val="0"/>
        <w:widowControl w:val="0"/>
        <w:kinsoku/>
        <w:overflowPunct/>
        <w:topLinePunct w:val="0"/>
        <w:autoSpaceDE/>
        <w:autoSpaceDN/>
        <w:bidi w:val="0"/>
        <w:adjustRightInd/>
        <w:snapToGrid/>
        <w:spacing w:line="240" w:lineRule="auto"/>
        <w:ind w:right="-168" w:rightChars="-80" w:firstLine="480" w:firstLineChars="200"/>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 xml:space="preserve">                                                 批准人：</w:t>
      </w:r>
      <w:r>
        <w:rPr>
          <w:rFonts w:hint="eastAsia" w:ascii="宋体" w:hAnsi="宋体" w:eastAsia="宋体" w:cs="宋体"/>
          <w:color w:val="auto"/>
          <w:sz w:val="24"/>
          <w:szCs w:val="24"/>
          <w:lang w:val="en-US" w:eastAsia="zh-CN"/>
        </w:rPr>
        <w:t>张志欣</w:t>
      </w:r>
    </w:p>
    <w:p w14:paraId="3DCF4AF1">
      <w:pPr>
        <w:keepNext w:val="0"/>
        <w:keepLines w:val="0"/>
        <w:pageBreakBefore w:val="0"/>
        <w:widowControl w:val="0"/>
        <w:kinsoku/>
        <w:overflowPunct/>
        <w:topLinePunct w:val="0"/>
        <w:autoSpaceDE/>
        <w:autoSpaceDN/>
        <w:bidi w:val="0"/>
        <w:adjustRightInd/>
        <w:snapToGrid/>
        <w:spacing w:line="240" w:lineRule="auto"/>
        <w:ind w:right="-168" w:rightChars="-80" w:firstLine="480" w:firstLineChars="200"/>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批准时间：2024年9月</w:t>
      </w:r>
    </w:p>
    <w:p w14:paraId="0F1FB31C">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14:paraId="2C8BD8C7">
      <w:pPr>
        <w:keepNext w:val="0"/>
        <w:keepLines w:val="0"/>
        <w:pageBreakBefore w:val="0"/>
        <w:widowControl w:val="0"/>
        <w:kinsoku/>
        <w:overflowPunct/>
        <w:topLinePunct w:val="0"/>
        <w:autoSpaceDE/>
        <w:autoSpaceDN/>
        <w:bidi w:val="0"/>
        <w:adjustRightInd/>
        <w:snapToGrid/>
        <w:spacing w:line="240" w:lineRule="auto"/>
        <w:ind w:right="-168" w:rightChars="-80" w:firstLine="480" w:firstLineChars="200"/>
        <w:jc w:val="right"/>
        <w:textAlignment w:val="auto"/>
        <w:rPr>
          <w:rFonts w:hint="eastAsia" w:ascii="宋体" w:hAnsi="宋体" w:eastAsia="宋体" w:cs="宋体"/>
          <w:color w:val="auto"/>
          <w:sz w:val="24"/>
          <w:szCs w:val="24"/>
          <w:lang w:val="en-US" w:eastAsia="zh-CN"/>
        </w:rPr>
      </w:pPr>
    </w:p>
    <w:p w14:paraId="5BC9467B">
      <w:pPr>
        <w:pStyle w:val="2"/>
        <w:bidi w:val="0"/>
        <w:rPr>
          <w:lang w:val="en-US" w:eastAsia="zh-CN"/>
        </w:rPr>
      </w:pPr>
      <w:bookmarkStart w:id="1844" w:name="_Toc27187"/>
      <w:bookmarkStart w:id="1845" w:name="_Toc15115"/>
      <w:bookmarkStart w:id="1846" w:name="_Toc16646"/>
      <w:bookmarkStart w:id="1847" w:name="_Toc15613"/>
      <w:r>
        <w:rPr>
          <w:rFonts w:hint="eastAsia"/>
          <w:lang w:val="en-US" w:eastAsia="zh-CN"/>
        </w:rPr>
        <w:t>《中国古代文学》课程教学大纲</w:t>
      </w:r>
      <w:bookmarkEnd w:id="1844"/>
      <w:bookmarkEnd w:id="1845"/>
      <w:bookmarkEnd w:id="1846"/>
      <w:bookmarkEnd w:id="1847"/>
    </w:p>
    <w:p w14:paraId="6840476C">
      <w:pPr>
        <w:pStyle w:val="2"/>
        <w:bidi w:val="0"/>
        <w:rPr>
          <w:lang w:val="en-US" w:eastAsia="zh-CN"/>
        </w:rPr>
      </w:pPr>
      <w:bookmarkStart w:id="1848" w:name="_Toc20354"/>
      <w:bookmarkStart w:id="1849" w:name="_Toc16713"/>
      <w:bookmarkStart w:id="1850" w:name="_Toc9077"/>
      <w:bookmarkStart w:id="1851" w:name="_Toc17452"/>
      <w:bookmarkStart w:id="1852" w:name="_Toc2298"/>
      <w:bookmarkStart w:id="1853" w:name="_Toc6037"/>
      <w:bookmarkStart w:id="1854" w:name="_Toc15544"/>
      <w:r>
        <w:rPr>
          <w:lang w:val="en-US" w:eastAsia="zh-CN"/>
        </w:rPr>
        <w:t>（Classical Chiese literature）</w:t>
      </w:r>
      <w:bookmarkEnd w:id="1848"/>
      <w:bookmarkEnd w:id="1849"/>
      <w:bookmarkEnd w:id="1850"/>
      <w:bookmarkEnd w:id="1851"/>
      <w:bookmarkEnd w:id="1852"/>
      <w:bookmarkEnd w:id="1853"/>
      <w:bookmarkEnd w:id="1854"/>
    </w:p>
    <w:p w14:paraId="753F238C">
      <w:pPr>
        <w:spacing w:line="360" w:lineRule="auto"/>
        <w:jc w:val="center"/>
        <w:rPr>
          <w:rFonts w:ascii="Times New Roman" w:hAnsi="Times New Roman" w:eastAsia="宋体" w:cs="Times New Roman"/>
          <w:bCs/>
          <w:sz w:val="30"/>
          <w:szCs w:val="30"/>
        </w:rPr>
      </w:pPr>
    </w:p>
    <w:p w14:paraId="2325865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课程名称：中国古代文学</w:t>
      </w:r>
    </w:p>
    <w:p w14:paraId="79C43435">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课程代码：24010</w:t>
      </w:r>
      <w:r>
        <w:rPr>
          <w:rFonts w:ascii="Times New Roman" w:hAnsi="Times New Roman" w:eastAsia="宋体" w:cs="Times New Roman"/>
          <w:b/>
          <w:sz w:val="24"/>
          <w:szCs w:val="24"/>
        </w:rPr>
        <w:t>73</w:t>
      </w:r>
    </w:p>
    <w:p w14:paraId="7AAB074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3</w:t>
      </w:r>
    </w:p>
    <w:p w14:paraId="3EFC643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48</w:t>
      </w:r>
    </w:p>
    <w:p w14:paraId="32B34A1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先修课程：无</w:t>
      </w:r>
    </w:p>
    <w:p w14:paraId="08E57DF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3C40B2F8">
      <w:pPr>
        <w:spacing w:line="360" w:lineRule="auto"/>
        <w:jc w:val="left"/>
        <w:rPr>
          <w:rFonts w:ascii="Times New Roman" w:hAnsi="Times New Roman" w:eastAsia="宋体" w:cs="Times New Roman"/>
          <w:b/>
          <w:sz w:val="24"/>
          <w:szCs w:val="24"/>
        </w:rPr>
      </w:pPr>
    </w:p>
    <w:p w14:paraId="1C205285">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633CBC04">
      <w:pPr>
        <w:spacing w:line="360" w:lineRule="exact"/>
        <w:ind w:firstLine="482"/>
        <w:jc w:val="left"/>
        <w:rPr>
          <w:rFonts w:ascii="宋体" w:hAnsi="宋体" w:eastAsia="宋体" w:cs="Times New Roman"/>
          <w:szCs w:val="21"/>
        </w:rPr>
      </w:pPr>
      <w:r>
        <w:rPr>
          <w:rFonts w:hint="eastAsia" w:ascii="宋体" w:hAnsi="宋体" w:eastAsia="宋体" w:cs="Times New Roman"/>
          <w:szCs w:val="21"/>
        </w:rPr>
        <w:t>本课程是小学教育专业课程必修课。课程秉持立德树人的教育理念，将课程思政与专业教学有机结合，尤其注重传播和宣传中华优秀传统文化，将知识传授、能力培养和价值观引领有机统一。</w:t>
      </w:r>
    </w:p>
    <w:p w14:paraId="462B715B">
      <w:pPr>
        <w:spacing w:line="360" w:lineRule="exact"/>
        <w:ind w:firstLine="482"/>
        <w:jc w:val="left"/>
        <w:rPr>
          <w:rFonts w:ascii="宋体" w:hAnsi="宋体" w:eastAsia="宋体" w:cs="Times New Roman"/>
          <w:szCs w:val="21"/>
        </w:rPr>
      </w:pPr>
      <w:r>
        <w:rPr>
          <w:rFonts w:hint="eastAsia" w:ascii="宋体" w:hAnsi="宋体" w:eastAsia="宋体" w:cs="Times New Roman"/>
          <w:szCs w:val="21"/>
        </w:rPr>
        <w:t>本课程旨在使学生通过学习中国古代文学知识以及相关理论，以获得较为全面系统的知识框架，从而更好地传承并弘扬中国文化，进一步坚定文化自信，增强中华民族的向心力和凝聚力。</w:t>
      </w:r>
    </w:p>
    <w:p w14:paraId="6DCC2656">
      <w:pPr>
        <w:spacing w:line="360" w:lineRule="exact"/>
        <w:ind w:firstLine="482"/>
        <w:jc w:val="left"/>
        <w:rPr>
          <w:rFonts w:ascii="宋体" w:hAnsi="宋体" w:eastAsia="宋体" w:cs="Times New Roman"/>
          <w:szCs w:val="21"/>
        </w:rPr>
      </w:pPr>
      <w:r>
        <w:rPr>
          <w:rFonts w:hint="eastAsia" w:ascii="宋体" w:hAnsi="宋体" w:eastAsia="宋体" w:cs="Times New Roman"/>
          <w:szCs w:val="21"/>
        </w:rPr>
        <w:t>通过本课程的学习，学生将对中国古代文学发展演变历程有清晰的了解，对代表性的作家、作品有重点的掌握。在此基础上，培养学生广博的文学知识和初步的分析、鉴赏古代文学名著的能力，提升学生的人文素养。</w:t>
      </w:r>
    </w:p>
    <w:p w14:paraId="74655054">
      <w:pPr>
        <w:spacing w:line="360" w:lineRule="auto"/>
        <w:jc w:val="left"/>
        <w:rPr>
          <w:rFonts w:hint="eastAsia" w:ascii="宋体" w:hAnsi="宋体" w:eastAsia="宋体" w:cs="Times New Roman"/>
          <w:b/>
          <w:color w:val="000000"/>
          <w:szCs w:val="21"/>
        </w:rPr>
      </w:pPr>
    </w:p>
    <w:p w14:paraId="7236C15D">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794F71D">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1DE133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掌握中国古代文学基础理论知识，</w:t>
      </w:r>
      <w:r>
        <w:rPr>
          <w:rFonts w:hint="eastAsia" w:ascii="宋体" w:hAnsi="宋体" w:eastAsia="宋体" w:cs="Times New Roman"/>
          <w:color w:val="000000"/>
          <w:szCs w:val="21"/>
        </w:rPr>
        <w:t>使学生对中国古代文学发展演变历程有清晰的了解并对代表性的作家、作品有重点的掌握</w:t>
      </w:r>
      <w:r>
        <w:rPr>
          <w:rFonts w:hint="eastAsia" w:ascii="Times New Roman" w:hAnsi="Times New Roman" w:eastAsia="宋体" w:cs="Times New Roman"/>
          <w:szCs w:val="21"/>
        </w:rPr>
        <w:t>，形成古代文学相关理论完整的知识结构，初步具备从事小学教育教学实践的能力和不断提升自我专业发展的能力。</w:t>
      </w:r>
    </w:p>
    <w:p w14:paraId="41212623">
      <w:pPr>
        <w:spacing w:line="360" w:lineRule="auto"/>
        <w:ind w:firstLine="422" w:firstLineChars="200"/>
        <w:jc w:val="left"/>
        <w:rPr>
          <w:rFonts w:ascii="宋体" w:hAnsi="宋体" w:eastAsia="宋体" w:cs="Times New Roman"/>
          <w:color w:val="000000"/>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宋体" w:hAnsi="宋体" w:eastAsia="宋体" w:cs="Times New Roman"/>
          <w:color w:val="000000"/>
          <w:szCs w:val="21"/>
        </w:rPr>
        <w:t>培养学生广博的中国古代文学知识和初步的分析、鉴赏中国古代文学名著的能力和初步的学术研究能力。</w:t>
      </w:r>
    </w:p>
    <w:p w14:paraId="4326E0C7">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3D788A20">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6307"/>
        <w:gridCol w:w="1191"/>
      </w:tblGrid>
      <w:tr w14:paraId="3E75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3947AE6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307" w:type="dxa"/>
            <w:vAlign w:val="center"/>
          </w:tcPr>
          <w:p w14:paraId="21468E4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7394E3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382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21F0FC8C">
            <w:pPr>
              <w:spacing w:line="276"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毕业要求1</w:t>
            </w:r>
          </w:p>
          <w:p w14:paraId="78B4359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师德规范</w:t>
            </w:r>
          </w:p>
        </w:tc>
        <w:tc>
          <w:tcPr>
            <w:tcW w:w="6307" w:type="dxa"/>
            <w:vAlign w:val="center"/>
          </w:tcPr>
          <w:p w14:paraId="5464FD1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1EF9566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1A2F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3D9D1B43">
            <w:pPr>
              <w:spacing w:line="276"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毕业要求2</w:t>
            </w:r>
          </w:p>
          <w:p w14:paraId="700554DB">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教育情怀</w:t>
            </w:r>
          </w:p>
        </w:tc>
        <w:tc>
          <w:tcPr>
            <w:tcW w:w="6307" w:type="dxa"/>
            <w:vAlign w:val="center"/>
          </w:tcPr>
          <w:p w14:paraId="72B577B3">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54F1302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5760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2830EE9A">
            <w:pPr>
              <w:spacing w:line="276"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毕业要求3</w:t>
            </w:r>
          </w:p>
          <w:p w14:paraId="1BAC685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学科素养</w:t>
            </w:r>
          </w:p>
        </w:tc>
        <w:tc>
          <w:tcPr>
            <w:tcW w:w="6307" w:type="dxa"/>
            <w:vAlign w:val="center"/>
          </w:tcPr>
          <w:p w14:paraId="43AC7D9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rPr>
              <w:t>古代文学</w:t>
            </w:r>
            <w:r>
              <w:rPr>
                <w:rFonts w:ascii="宋体" w:hAnsi="宋体" w:eastAsia="宋体" w:cs="Times New Roman"/>
                <w:color w:val="000000"/>
                <w:spacing w:val="2"/>
                <w:kern w:val="0"/>
                <w:szCs w:val="21"/>
              </w:rPr>
              <w:t>教学知识牢固】掌握</w:t>
            </w:r>
            <w:r>
              <w:rPr>
                <w:rFonts w:hint="eastAsia" w:ascii="宋体" w:hAnsi="宋体" w:eastAsia="宋体" w:cs="Times New Roman"/>
                <w:color w:val="000000"/>
                <w:spacing w:val="2"/>
                <w:kern w:val="0"/>
                <w:szCs w:val="21"/>
              </w:rPr>
              <w:t>古代文学</w:t>
            </w:r>
            <w:r>
              <w:rPr>
                <w:rFonts w:ascii="宋体" w:hAnsi="宋体" w:eastAsia="宋体" w:cs="Times New Roman"/>
                <w:color w:val="000000"/>
                <w:spacing w:val="2"/>
                <w:kern w:val="0"/>
                <w:szCs w:val="21"/>
              </w:rPr>
              <w:t>教学基本理论知识，熟悉所教学科课程标准和教材、教学内容。在教育教学实践中，具有一定的教材解读能力，具有依据课标进行教学的意识和习惯。</w:t>
            </w:r>
          </w:p>
        </w:tc>
        <w:tc>
          <w:tcPr>
            <w:tcW w:w="1191" w:type="dxa"/>
            <w:vAlign w:val="center"/>
          </w:tcPr>
          <w:p w14:paraId="5E7CBB2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93B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56DDD4A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4</w:t>
            </w:r>
          </w:p>
          <w:p w14:paraId="49C4552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学会反思</w:t>
            </w:r>
          </w:p>
        </w:tc>
        <w:tc>
          <w:tcPr>
            <w:tcW w:w="6307" w:type="dxa"/>
            <w:vAlign w:val="center"/>
          </w:tcPr>
          <w:p w14:paraId="515C48F0">
            <w:pPr>
              <w:spacing w:line="276" w:lineRule="auto"/>
              <w:jc w:val="left"/>
              <w:rPr>
                <w:rFonts w:ascii="宋体" w:hAnsi="宋体" w:eastAsia="宋体" w:cs="Times New Roman"/>
                <w:color w:val="000000"/>
                <w:kern w:val="0"/>
                <w:szCs w:val="21"/>
              </w:rPr>
            </w:pPr>
            <w:r>
              <w:rPr>
                <w:rFonts w:ascii="宋体" w:hAnsi="宋体" w:eastAsia="宋体" w:cs="Times New Roman"/>
                <w:color w:val="000000"/>
                <w:kern w:val="0"/>
                <w:szCs w:val="21"/>
              </w:rPr>
              <w:t>指标点4-1：</w:t>
            </w:r>
            <w:r>
              <w:rPr>
                <w:rFonts w:hint="eastAsia" w:ascii="宋体" w:hAnsi="宋体" w:eastAsia="宋体" w:cs="Times New Roman"/>
                <w:color w:val="000000"/>
                <w:kern w:val="0"/>
                <w:szCs w:val="21"/>
              </w:rPr>
              <w:t>【古代文学视野开阔】积极参加中国古代文学领域的国内外交流，了解国内外古代文学改革发展的动态，具有宽广的教育视野，能够主动适应新时代和教育发展需求。</w:t>
            </w:r>
          </w:p>
          <w:p w14:paraId="2F8226F5">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4-2：【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51BC229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3F018656">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9020DB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A6F4B8A">
      <w:pPr>
        <w:spacing w:line="360" w:lineRule="auto"/>
        <w:jc w:val="left"/>
        <w:rPr>
          <w:rFonts w:ascii="宋体" w:hAnsi="宋体" w:eastAsia="宋体" w:cs="Times New Roman"/>
          <w:b/>
          <w:color w:val="000000"/>
          <w:sz w:val="28"/>
          <w:szCs w:val="28"/>
        </w:rPr>
      </w:pPr>
    </w:p>
    <w:p w14:paraId="68389C38">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A97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1A7FA58">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9ABFFAB">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650AA53">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747AADD9">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AB2085C">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841D152">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5159326">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ACF7876">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3339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4BB41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1.先秦文学</w:t>
            </w:r>
          </w:p>
        </w:tc>
        <w:tc>
          <w:tcPr>
            <w:tcW w:w="1701" w:type="dxa"/>
            <w:vAlign w:val="center"/>
          </w:tcPr>
          <w:p w14:paraId="6D0C62A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（1）《诗经》“六义”，《七月》</w:t>
            </w:r>
          </w:p>
          <w:p w14:paraId="69680F4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（2）历史散文，《左传》叙事艺术</w:t>
            </w:r>
          </w:p>
          <w:p w14:paraId="619217E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（3）诸子散文，《论语》《庄子》</w:t>
            </w:r>
          </w:p>
          <w:p w14:paraId="5CB7F50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（4）屈原与楚辞</w:t>
            </w:r>
          </w:p>
        </w:tc>
        <w:tc>
          <w:tcPr>
            <w:tcW w:w="1134" w:type="dxa"/>
            <w:vAlign w:val="center"/>
          </w:tcPr>
          <w:p w14:paraId="081BA1A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2028643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1.理解</w:t>
            </w:r>
            <w:r>
              <w:rPr>
                <w:rFonts w:hint="eastAsia" w:ascii="宋体" w:hAnsi="宋体" w:eastAsia="宋体" w:cs="Times New Roman"/>
                <w:color w:val="000000"/>
                <w:szCs w:val="21"/>
              </w:rPr>
              <w:t>《诗经》的艺术特色和《七月》内容；</w:t>
            </w:r>
          </w:p>
          <w:p w14:paraId="14ABCD5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了解《左传》的叙事艺术；</w:t>
            </w:r>
          </w:p>
          <w:p w14:paraId="587A33C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3.掌握</w:t>
            </w:r>
            <w:r>
              <w:rPr>
                <w:rFonts w:hint="eastAsia" w:ascii="宋体" w:hAnsi="宋体" w:eastAsia="宋体" w:cs="Times New Roman"/>
                <w:color w:val="000000"/>
                <w:szCs w:val="21"/>
              </w:rPr>
              <w:t>《论语》的艺术特点、《庄子》散文的艺术特点；</w:t>
            </w:r>
          </w:p>
          <w:p w14:paraId="6995F67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掌握屈原的人格精神和《离骚》的特点。</w:t>
            </w:r>
          </w:p>
        </w:tc>
        <w:tc>
          <w:tcPr>
            <w:tcW w:w="1560" w:type="dxa"/>
            <w:vAlign w:val="center"/>
          </w:tcPr>
          <w:p w14:paraId="368B502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4C17456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B6350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0FE4C97E">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6</w:t>
            </w:r>
          </w:p>
        </w:tc>
      </w:tr>
      <w:tr w14:paraId="72C2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4B67AA">
            <w:pPr>
              <w:spacing w:line="264" w:lineRule="auto"/>
              <w:jc w:val="center"/>
              <w:rPr>
                <w:rFonts w:ascii="宋体" w:hAnsi="宋体" w:eastAsia="宋体" w:cs="Times New Roman"/>
                <w:color w:val="000000"/>
                <w:szCs w:val="21"/>
              </w:rPr>
            </w:pPr>
          </w:p>
        </w:tc>
        <w:tc>
          <w:tcPr>
            <w:tcW w:w="8093" w:type="dxa"/>
            <w:gridSpan w:val="5"/>
            <w:vAlign w:val="center"/>
          </w:tcPr>
          <w:p w14:paraId="2D0356D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0977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CD842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2.秦汉文学</w:t>
            </w:r>
          </w:p>
        </w:tc>
        <w:tc>
          <w:tcPr>
            <w:tcW w:w="1701" w:type="dxa"/>
            <w:vAlign w:val="center"/>
          </w:tcPr>
          <w:p w14:paraId="3F0DA73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（1）汉赋</w:t>
            </w:r>
          </w:p>
          <w:p w14:paraId="78E022D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（2）司马迁与《史记》</w:t>
            </w:r>
          </w:p>
          <w:p w14:paraId="32305DA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（3）汉乐府</w:t>
            </w:r>
          </w:p>
          <w:p w14:paraId="28142F3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（4）古诗十九首</w:t>
            </w:r>
          </w:p>
        </w:tc>
        <w:tc>
          <w:tcPr>
            <w:tcW w:w="1134" w:type="dxa"/>
            <w:vAlign w:val="center"/>
          </w:tcPr>
          <w:p w14:paraId="69243E6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5EC1B7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正确理解并掌握</w:t>
            </w:r>
            <w:r>
              <w:rPr>
                <w:rFonts w:hint="eastAsia" w:ascii="宋体" w:hAnsi="宋体" w:eastAsia="宋体" w:cs="Times New Roman"/>
                <w:color w:val="000000"/>
                <w:szCs w:val="21"/>
              </w:rPr>
              <w:t>汉赋</w:t>
            </w:r>
            <w:r>
              <w:rPr>
                <w:rFonts w:ascii="宋体" w:hAnsi="宋体" w:eastAsia="宋体" w:cs="Times New Roman"/>
                <w:color w:val="000000"/>
                <w:szCs w:val="21"/>
              </w:rPr>
              <w:t>的</w:t>
            </w:r>
            <w:r>
              <w:rPr>
                <w:rFonts w:hint="eastAsia" w:ascii="宋体" w:hAnsi="宋体" w:eastAsia="宋体" w:cs="Times New Roman"/>
                <w:color w:val="000000"/>
                <w:szCs w:val="21"/>
              </w:rPr>
              <w:t>概念、发展及其作品；</w:t>
            </w:r>
          </w:p>
          <w:p w14:paraId="733E979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2.掌握司马迁的人格和《史记》的文学成就；</w:t>
            </w:r>
          </w:p>
          <w:p w14:paraId="37484A8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理解</w:t>
            </w:r>
            <w:r>
              <w:rPr>
                <w:rFonts w:hint="eastAsia" w:ascii="宋体" w:hAnsi="宋体" w:eastAsia="宋体" w:cs="Times New Roman"/>
                <w:color w:val="000000"/>
                <w:szCs w:val="21"/>
              </w:rPr>
              <w:t>汉乐府的内容和特点；</w:t>
            </w:r>
          </w:p>
          <w:p w14:paraId="3534534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掌握古诗十九首的艺术特点。</w:t>
            </w:r>
          </w:p>
        </w:tc>
        <w:tc>
          <w:tcPr>
            <w:tcW w:w="1560" w:type="dxa"/>
            <w:vAlign w:val="center"/>
          </w:tcPr>
          <w:p w14:paraId="13B1299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6691C7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CAE82D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23B42C5">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6</w:t>
            </w:r>
          </w:p>
        </w:tc>
      </w:tr>
      <w:tr w14:paraId="4D3D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4464A8F">
            <w:pPr>
              <w:spacing w:line="264" w:lineRule="auto"/>
              <w:jc w:val="center"/>
              <w:rPr>
                <w:rFonts w:ascii="宋体" w:hAnsi="宋体" w:eastAsia="宋体" w:cs="Times New Roman"/>
                <w:color w:val="000000"/>
                <w:szCs w:val="21"/>
              </w:rPr>
            </w:pPr>
          </w:p>
        </w:tc>
        <w:tc>
          <w:tcPr>
            <w:tcW w:w="8093" w:type="dxa"/>
            <w:gridSpan w:val="5"/>
            <w:vAlign w:val="center"/>
          </w:tcPr>
          <w:p w14:paraId="54BC787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明确社会主义教育的本质。把握教育的本质在于培养人，深刻理解习近平曾多次论述的教育要“培养什么人、怎样培养人、为谁培养人”的问题。</w:t>
            </w:r>
          </w:p>
        </w:tc>
      </w:tr>
      <w:tr w14:paraId="7675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9E428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3.魏晋南北朝文学</w:t>
            </w:r>
          </w:p>
        </w:tc>
        <w:tc>
          <w:tcPr>
            <w:tcW w:w="1701" w:type="dxa"/>
            <w:vAlign w:val="center"/>
          </w:tcPr>
          <w:p w14:paraId="6A1DE36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（1）魏晋南北朝文学概述</w:t>
            </w:r>
          </w:p>
          <w:p w14:paraId="760B3CD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（2）建安文学以及曹植</w:t>
            </w:r>
          </w:p>
          <w:p w14:paraId="051A483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（3）陶渊明的田园诗</w:t>
            </w:r>
          </w:p>
          <w:p w14:paraId="4CCFC3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（4）谢灵运的山水诗</w:t>
            </w:r>
          </w:p>
        </w:tc>
        <w:tc>
          <w:tcPr>
            <w:tcW w:w="1134" w:type="dxa"/>
            <w:vAlign w:val="center"/>
          </w:tcPr>
          <w:p w14:paraId="309E78D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2D52A9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1.掌握建安风骨的内容与特点；</w:t>
            </w:r>
          </w:p>
          <w:p w14:paraId="0F9FC52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2.掌握曹植诗歌的艺术风格；</w:t>
            </w:r>
          </w:p>
          <w:p w14:paraId="63D297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3.掌握陶渊明平淡自然的艺术风格；</w:t>
            </w:r>
          </w:p>
          <w:p w14:paraId="11ABA6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谢灵运山水诗的特点。</w:t>
            </w:r>
          </w:p>
        </w:tc>
        <w:tc>
          <w:tcPr>
            <w:tcW w:w="1560" w:type="dxa"/>
            <w:vAlign w:val="center"/>
          </w:tcPr>
          <w:p w14:paraId="228CC17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53F6A4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33F32A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34AF7C6">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6</w:t>
            </w:r>
          </w:p>
        </w:tc>
      </w:tr>
      <w:tr w14:paraId="410A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448B37">
            <w:pPr>
              <w:spacing w:line="264" w:lineRule="auto"/>
              <w:jc w:val="center"/>
              <w:rPr>
                <w:rFonts w:ascii="宋体" w:hAnsi="宋体" w:eastAsia="宋体" w:cs="Times New Roman"/>
                <w:color w:val="000000"/>
                <w:szCs w:val="21"/>
              </w:rPr>
            </w:pPr>
          </w:p>
        </w:tc>
        <w:tc>
          <w:tcPr>
            <w:tcW w:w="8093" w:type="dxa"/>
            <w:gridSpan w:val="5"/>
            <w:vAlign w:val="center"/>
          </w:tcPr>
          <w:p w14:paraId="1B38C66E">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2B8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9FEB38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4.唐代文学</w:t>
            </w:r>
          </w:p>
        </w:tc>
        <w:tc>
          <w:tcPr>
            <w:tcW w:w="1701" w:type="dxa"/>
            <w:vAlign w:val="center"/>
          </w:tcPr>
          <w:p w14:paraId="1FB6E81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（1）唐诗：王维、李白、杜甫、白居易、李商隐、杜牧</w:t>
            </w:r>
          </w:p>
          <w:p w14:paraId="4931023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（2）唐代古文</w:t>
            </w:r>
          </w:p>
          <w:p w14:paraId="4A2CEB5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（3）唐代传奇</w:t>
            </w:r>
          </w:p>
        </w:tc>
        <w:tc>
          <w:tcPr>
            <w:tcW w:w="1134" w:type="dxa"/>
            <w:vAlign w:val="center"/>
          </w:tcPr>
          <w:p w14:paraId="2E89AEF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6205EAD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1.理解并掌握唐诗发展内涵及特征，掌握杜甫诗歌的特点；</w:t>
            </w:r>
          </w:p>
          <w:p w14:paraId="35C7A47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w:t>
            </w:r>
            <w:r>
              <w:rPr>
                <w:rFonts w:hint="eastAsia" w:ascii="宋体" w:hAnsi="宋体" w:eastAsia="宋体" w:cs="Times New Roman"/>
                <w:color w:val="000000"/>
                <w:szCs w:val="21"/>
              </w:rPr>
              <w:t>并掌握唐代古文运动的发展及特征，掌握韩愈散文的特点；</w:t>
            </w:r>
          </w:p>
          <w:p w14:paraId="0FFAA1F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3，掌握唐代传奇的思想内容和艺术特点。</w:t>
            </w:r>
          </w:p>
        </w:tc>
        <w:tc>
          <w:tcPr>
            <w:tcW w:w="1560" w:type="dxa"/>
            <w:vAlign w:val="center"/>
          </w:tcPr>
          <w:p w14:paraId="4AC671E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6FE975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A37F83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5B355A8">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9</w:t>
            </w:r>
          </w:p>
        </w:tc>
      </w:tr>
      <w:tr w14:paraId="1F52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30BA04">
            <w:pPr>
              <w:spacing w:line="276" w:lineRule="auto"/>
              <w:jc w:val="center"/>
              <w:rPr>
                <w:rFonts w:ascii="宋体" w:hAnsi="宋体" w:eastAsia="宋体" w:cs="Times New Roman"/>
                <w:color w:val="000000"/>
                <w:szCs w:val="21"/>
              </w:rPr>
            </w:pPr>
          </w:p>
        </w:tc>
        <w:tc>
          <w:tcPr>
            <w:tcW w:w="8093" w:type="dxa"/>
            <w:gridSpan w:val="5"/>
            <w:vAlign w:val="center"/>
          </w:tcPr>
          <w:p w14:paraId="37C8AD6F">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培养学生热爱教育事业和学生的情感，增强从事教育事业的责任感和使命感。</w:t>
            </w:r>
          </w:p>
        </w:tc>
      </w:tr>
      <w:tr w14:paraId="2484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5AB4A6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5.宋代文学</w:t>
            </w:r>
          </w:p>
        </w:tc>
        <w:tc>
          <w:tcPr>
            <w:tcW w:w="1701" w:type="dxa"/>
            <w:vAlign w:val="center"/>
          </w:tcPr>
          <w:p w14:paraId="104D127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（1）宋代文学概述</w:t>
            </w:r>
          </w:p>
          <w:p w14:paraId="22DFE14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（2）宋词</w:t>
            </w:r>
          </w:p>
          <w:p w14:paraId="76F87F4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（3）宋诗：苏轼诗歌，陆游诗歌</w:t>
            </w:r>
          </w:p>
          <w:p w14:paraId="253689E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（4）宋文</w:t>
            </w:r>
          </w:p>
        </w:tc>
        <w:tc>
          <w:tcPr>
            <w:tcW w:w="1134" w:type="dxa"/>
            <w:vAlign w:val="center"/>
          </w:tcPr>
          <w:p w14:paraId="1F553BC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F18C5C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1.了解宋代文学发展的过程、特点和风格；</w:t>
            </w:r>
          </w:p>
          <w:p w14:paraId="2636597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理解</w:t>
            </w:r>
            <w:r>
              <w:rPr>
                <w:rFonts w:hint="eastAsia" w:ascii="宋体" w:hAnsi="宋体" w:eastAsia="宋体" w:cs="Times New Roman"/>
                <w:color w:val="000000"/>
                <w:szCs w:val="21"/>
              </w:rPr>
              <w:t>宋词</w:t>
            </w:r>
            <w:r>
              <w:rPr>
                <w:rFonts w:ascii="宋体" w:hAnsi="宋体" w:eastAsia="宋体" w:cs="Times New Roman"/>
                <w:color w:val="000000"/>
                <w:szCs w:val="21"/>
              </w:rPr>
              <w:t>内容</w:t>
            </w:r>
            <w:r>
              <w:rPr>
                <w:rFonts w:hint="eastAsia" w:ascii="宋体" w:hAnsi="宋体" w:eastAsia="宋体" w:cs="Times New Roman"/>
                <w:color w:val="000000"/>
                <w:szCs w:val="21"/>
              </w:rPr>
              <w:t>、形式、风格等；</w:t>
            </w:r>
          </w:p>
          <w:p w14:paraId="4AB29A7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3.掌握宋诗的特征以及苏轼诗歌的内容和艺术成就；</w:t>
            </w:r>
          </w:p>
          <w:p w14:paraId="362F129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掌握宋代散文的内容和特点。</w:t>
            </w:r>
          </w:p>
        </w:tc>
        <w:tc>
          <w:tcPr>
            <w:tcW w:w="1560" w:type="dxa"/>
            <w:vAlign w:val="center"/>
          </w:tcPr>
          <w:p w14:paraId="0393AD3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C50A81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E1BE76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B1B0FC2">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6</w:t>
            </w:r>
          </w:p>
        </w:tc>
      </w:tr>
      <w:tr w14:paraId="7D16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648A746">
            <w:pPr>
              <w:spacing w:line="276" w:lineRule="auto"/>
              <w:jc w:val="center"/>
              <w:rPr>
                <w:rFonts w:ascii="宋体" w:hAnsi="宋体" w:eastAsia="宋体" w:cs="Times New Roman"/>
                <w:color w:val="000000"/>
                <w:szCs w:val="21"/>
              </w:rPr>
            </w:pPr>
          </w:p>
        </w:tc>
        <w:tc>
          <w:tcPr>
            <w:tcW w:w="8093" w:type="dxa"/>
            <w:gridSpan w:val="5"/>
            <w:vAlign w:val="center"/>
          </w:tcPr>
          <w:p w14:paraId="562463D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具有社会责任感、创新精神和实践能力，主动践行社会主义核心价值观，在未来的教育实践中能主动推进素质教育，培养创新人才，从而实现中华民族的伟大复兴。</w:t>
            </w:r>
          </w:p>
        </w:tc>
      </w:tr>
      <w:tr w14:paraId="1CB8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853C0F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6.元代文学</w:t>
            </w:r>
          </w:p>
        </w:tc>
        <w:tc>
          <w:tcPr>
            <w:tcW w:w="1701" w:type="dxa"/>
            <w:vAlign w:val="center"/>
          </w:tcPr>
          <w:p w14:paraId="3ABA76F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（1）元代文学概述</w:t>
            </w:r>
          </w:p>
          <w:p w14:paraId="1F0AE92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（2）元曲四大家</w:t>
            </w:r>
          </w:p>
          <w:p w14:paraId="15E20BA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（3）关汉卿的杂剧创作</w:t>
            </w:r>
          </w:p>
          <w:p w14:paraId="0B7D947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（4）王实甫与《西厢记》</w:t>
            </w:r>
          </w:p>
          <w:p w14:paraId="0EC6514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（5）元代诗文</w:t>
            </w:r>
          </w:p>
        </w:tc>
        <w:tc>
          <w:tcPr>
            <w:tcW w:w="1134" w:type="dxa"/>
            <w:vAlign w:val="center"/>
          </w:tcPr>
          <w:p w14:paraId="46B95EA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D931FA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rPr>
              <w:t>元代文学的发展概况；</w:t>
            </w:r>
          </w:p>
          <w:p w14:paraId="46DA9E0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2.掌握关汉卿的杂剧创作；</w:t>
            </w:r>
          </w:p>
          <w:p w14:paraId="11D689E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掌握</w:t>
            </w:r>
            <w:r>
              <w:rPr>
                <w:rFonts w:hint="eastAsia" w:ascii="宋体" w:hAnsi="宋体" w:eastAsia="宋体" w:cs="Times New Roman"/>
                <w:color w:val="000000"/>
                <w:szCs w:val="21"/>
              </w:rPr>
              <w:t>《西厢记》的内容和艺术特色；</w:t>
            </w:r>
          </w:p>
          <w:p w14:paraId="407E65F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元曲四大家的内容。</w:t>
            </w:r>
          </w:p>
        </w:tc>
        <w:tc>
          <w:tcPr>
            <w:tcW w:w="1560" w:type="dxa"/>
            <w:vAlign w:val="center"/>
          </w:tcPr>
          <w:p w14:paraId="6B058B0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E4EDA7D">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50A415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FEEDEA2">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3</w:t>
            </w:r>
          </w:p>
        </w:tc>
      </w:tr>
      <w:tr w14:paraId="202D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A981DFB">
            <w:pPr>
              <w:spacing w:line="276" w:lineRule="auto"/>
              <w:jc w:val="center"/>
              <w:rPr>
                <w:rFonts w:ascii="宋体" w:hAnsi="宋体" w:eastAsia="宋体" w:cs="Times New Roman"/>
                <w:color w:val="000000"/>
                <w:szCs w:val="21"/>
              </w:rPr>
            </w:pPr>
          </w:p>
        </w:tc>
        <w:tc>
          <w:tcPr>
            <w:tcW w:w="8093" w:type="dxa"/>
            <w:gridSpan w:val="5"/>
            <w:vAlign w:val="center"/>
          </w:tcPr>
          <w:p w14:paraId="4FCEA2F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树立全面发展的教育观，确立从教信念。</w:t>
            </w:r>
          </w:p>
        </w:tc>
      </w:tr>
      <w:tr w14:paraId="5A51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21A0B5C">
            <w:pPr>
              <w:spacing w:line="276" w:lineRule="auto"/>
              <w:jc w:val="center"/>
              <w:rPr>
                <w:rFonts w:ascii="宋体" w:hAnsi="宋体" w:eastAsia="宋体" w:cs="Times New Roman"/>
                <w:szCs w:val="21"/>
              </w:rPr>
            </w:pPr>
            <w:r>
              <w:rPr>
                <w:rFonts w:hint="eastAsia" w:ascii="宋体" w:hAnsi="宋体" w:eastAsia="宋体" w:cs="Times New Roman"/>
                <w:szCs w:val="21"/>
              </w:rPr>
              <w:t>7.明代文学</w:t>
            </w:r>
          </w:p>
        </w:tc>
        <w:tc>
          <w:tcPr>
            <w:tcW w:w="1701" w:type="dxa"/>
            <w:vAlign w:val="center"/>
          </w:tcPr>
          <w:p w14:paraId="34575E54">
            <w:pPr>
              <w:spacing w:line="276" w:lineRule="auto"/>
              <w:jc w:val="left"/>
              <w:rPr>
                <w:rFonts w:ascii="宋体" w:hAnsi="宋体" w:eastAsia="宋体" w:cs="Times New Roman"/>
                <w:szCs w:val="21"/>
              </w:rPr>
            </w:pPr>
            <w:r>
              <w:rPr>
                <w:rFonts w:hint="eastAsia" w:ascii="宋体" w:hAnsi="宋体" w:eastAsia="宋体" w:cs="Times New Roman"/>
                <w:szCs w:val="21"/>
              </w:rPr>
              <w:t>（1）明代文学概述</w:t>
            </w:r>
          </w:p>
          <w:p w14:paraId="1A35C600">
            <w:pPr>
              <w:spacing w:line="276" w:lineRule="auto"/>
              <w:jc w:val="left"/>
              <w:rPr>
                <w:rFonts w:ascii="宋体" w:hAnsi="宋体" w:eastAsia="宋体" w:cs="Times New Roman"/>
                <w:szCs w:val="21"/>
              </w:rPr>
            </w:pPr>
            <w:r>
              <w:rPr>
                <w:rFonts w:hint="eastAsia" w:ascii="宋体" w:hAnsi="宋体" w:eastAsia="宋体" w:cs="Times New Roman"/>
                <w:szCs w:val="21"/>
              </w:rPr>
              <w:t>（2）明代小说</w:t>
            </w:r>
          </w:p>
          <w:p w14:paraId="7525DEFC">
            <w:pPr>
              <w:spacing w:line="276" w:lineRule="auto"/>
              <w:jc w:val="left"/>
              <w:rPr>
                <w:rFonts w:ascii="宋体" w:hAnsi="宋体" w:eastAsia="宋体" w:cs="Times New Roman"/>
                <w:szCs w:val="21"/>
              </w:rPr>
            </w:pPr>
            <w:r>
              <w:rPr>
                <w:rFonts w:hint="eastAsia" w:ascii="宋体" w:hAnsi="宋体" w:eastAsia="宋体" w:cs="Times New Roman"/>
                <w:szCs w:val="21"/>
              </w:rPr>
              <w:t>（3）汤显祖《牡丹亭》与明代戏曲</w:t>
            </w:r>
          </w:p>
          <w:p w14:paraId="3DB35B6C">
            <w:pPr>
              <w:spacing w:line="276" w:lineRule="auto"/>
              <w:jc w:val="left"/>
              <w:rPr>
                <w:rFonts w:hint="eastAsia" w:ascii="宋体" w:hAnsi="宋体" w:eastAsia="宋体" w:cs="Times New Roman"/>
                <w:szCs w:val="21"/>
              </w:rPr>
            </w:pPr>
            <w:r>
              <w:rPr>
                <w:rFonts w:hint="eastAsia" w:ascii="宋体" w:hAnsi="宋体" w:eastAsia="宋体" w:cs="Times New Roman"/>
                <w:szCs w:val="21"/>
              </w:rPr>
              <w:t>（4）明代诗文</w:t>
            </w:r>
          </w:p>
        </w:tc>
        <w:tc>
          <w:tcPr>
            <w:tcW w:w="1134" w:type="dxa"/>
            <w:vAlign w:val="center"/>
          </w:tcPr>
          <w:p w14:paraId="30BFE4F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3DD1F0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了解明代文学发展概况；</w:t>
            </w:r>
          </w:p>
          <w:p w14:paraId="1B0BC1D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2）理解</w:t>
            </w:r>
            <w:r>
              <w:rPr>
                <w:rFonts w:hint="eastAsia" w:ascii="宋体" w:hAnsi="宋体" w:eastAsia="宋体" w:cs="Times New Roman"/>
                <w:color w:val="000000"/>
                <w:szCs w:val="21"/>
              </w:rPr>
              <w:t>明代小说的特点以及《三国演义》《水浒传》《西游记》的思想内容和艺术成就；</w:t>
            </w:r>
          </w:p>
          <w:p w14:paraId="76A9B1A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理解《牡丹亭》“至情”的观念和艺术成就；</w:t>
            </w:r>
          </w:p>
          <w:p w14:paraId="3E7BB02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了解明代诗文的特点。</w:t>
            </w:r>
          </w:p>
        </w:tc>
        <w:tc>
          <w:tcPr>
            <w:tcW w:w="1560" w:type="dxa"/>
            <w:vAlign w:val="center"/>
          </w:tcPr>
          <w:p w14:paraId="2940ACA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2A55C9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B50518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9BA6BA5">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6</w:t>
            </w:r>
          </w:p>
        </w:tc>
      </w:tr>
      <w:tr w14:paraId="2358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1985596">
            <w:pPr>
              <w:spacing w:line="276" w:lineRule="auto"/>
              <w:jc w:val="center"/>
              <w:rPr>
                <w:rFonts w:ascii="宋体" w:hAnsi="宋体" w:eastAsia="宋体" w:cs="Times New Roman"/>
                <w:color w:val="000000"/>
                <w:szCs w:val="21"/>
              </w:rPr>
            </w:pPr>
          </w:p>
        </w:tc>
        <w:tc>
          <w:tcPr>
            <w:tcW w:w="8093" w:type="dxa"/>
            <w:gridSpan w:val="5"/>
            <w:vAlign w:val="center"/>
          </w:tcPr>
          <w:p w14:paraId="015058BC">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r w14:paraId="7777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2933A7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8.清代文学</w:t>
            </w:r>
          </w:p>
        </w:tc>
        <w:tc>
          <w:tcPr>
            <w:tcW w:w="1701" w:type="dxa"/>
            <w:vAlign w:val="center"/>
          </w:tcPr>
          <w:p w14:paraId="77F56ECF">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（1）清代文学概述</w:t>
            </w:r>
          </w:p>
          <w:p w14:paraId="3A46FB95">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（2）清代诗文</w:t>
            </w:r>
          </w:p>
          <w:p w14:paraId="1F00F563">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（3）清代戏曲</w:t>
            </w:r>
          </w:p>
          <w:p w14:paraId="010CE9D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（4）《红楼梦》与清代小说</w:t>
            </w:r>
          </w:p>
        </w:tc>
        <w:tc>
          <w:tcPr>
            <w:tcW w:w="1134" w:type="dxa"/>
            <w:vAlign w:val="center"/>
          </w:tcPr>
          <w:p w14:paraId="4F88352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1AA63535">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w:t>
            </w:r>
            <w:r>
              <w:rPr>
                <w:rFonts w:hint="eastAsia" w:ascii="宋体" w:hAnsi="宋体" w:eastAsia="宋体" w:cs="Times New Roman"/>
                <w:color w:val="000000"/>
                <w:szCs w:val="21"/>
              </w:rPr>
              <w:t>清代文学发展与特点；</w:t>
            </w:r>
          </w:p>
          <w:p w14:paraId="194F947E">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2）了解</w:t>
            </w:r>
            <w:r>
              <w:rPr>
                <w:rFonts w:hint="eastAsia" w:ascii="宋体" w:hAnsi="宋体" w:eastAsia="宋体" w:cs="Times New Roman"/>
                <w:color w:val="000000"/>
                <w:szCs w:val="21"/>
              </w:rPr>
              <w:t>清代诗文的发展及诗人的特点；</w:t>
            </w:r>
          </w:p>
          <w:p w14:paraId="786D2177">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掌握《长生殿》《桃花扇》的思想内容和艺术特征；</w:t>
            </w:r>
          </w:p>
          <w:p w14:paraId="2A39082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（4）《红楼梦》的悲剧精神。</w:t>
            </w:r>
          </w:p>
        </w:tc>
        <w:tc>
          <w:tcPr>
            <w:tcW w:w="1560" w:type="dxa"/>
            <w:vAlign w:val="center"/>
          </w:tcPr>
          <w:p w14:paraId="3AD3F39A">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5454B99">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826CFBD">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2DEBD64">
            <w:pPr>
              <w:spacing w:line="264" w:lineRule="auto"/>
              <w:jc w:val="center"/>
              <w:rPr>
                <w:rFonts w:ascii="宋体" w:hAnsi="宋体" w:eastAsia="宋体" w:cs="Times New Roman"/>
                <w:color w:val="000000"/>
                <w:szCs w:val="21"/>
              </w:rPr>
            </w:pPr>
            <w:r>
              <w:rPr>
                <w:rFonts w:ascii="宋体" w:hAnsi="宋体" w:eastAsia="宋体" w:cs="Times New Roman"/>
                <w:color w:val="000000"/>
                <w:szCs w:val="21"/>
              </w:rPr>
              <w:t>6</w:t>
            </w:r>
          </w:p>
        </w:tc>
      </w:tr>
      <w:tr w14:paraId="4B9D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5A8DF84">
            <w:pPr>
              <w:spacing w:line="264" w:lineRule="auto"/>
              <w:jc w:val="center"/>
              <w:rPr>
                <w:rFonts w:ascii="宋体" w:hAnsi="宋体" w:eastAsia="宋体" w:cs="Times New Roman"/>
                <w:color w:val="000000"/>
                <w:szCs w:val="21"/>
              </w:rPr>
            </w:pPr>
          </w:p>
        </w:tc>
        <w:tc>
          <w:tcPr>
            <w:tcW w:w="8093" w:type="dxa"/>
            <w:gridSpan w:val="5"/>
            <w:vAlign w:val="center"/>
          </w:tcPr>
          <w:p w14:paraId="3934B435">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理解新课程的基本价值取向是：为了中华民族的复兴，为了每一个学生的发展，培养教育情怀，确立从教信念。</w:t>
            </w:r>
          </w:p>
        </w:tc>
      </w:tr>
    </w:tbl>
    <w:p w14:paraId="25943899">
      <w:pPr>
        <w:spacing w:line="360" w:lineRule="auto"/>
        <w:jc w:val="left"/>
        <w:rPr>
          <w:rFonts w:ascii="Times New Roman" w:hAnsi="Times New Roman" w:eastAsia="宋体" w:cs="Times New Roman"/>
          <w:sz w:val="24"/>
          <w:szCs w:val="24"/>
        </w:rPr>
      </w:pPr>
    </w:p>
    <w:p w14:paraId="4026D38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C32C43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97B986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6E5D52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2A6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1FC073F">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42ACFEBF">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AE5524E">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5166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68B739B">
            <w:pPr>
              <w:spacing w:line="360" w:lineRule="auto"/>
              <w:jc w:val="center"/>
              <w:rPr>
                <w:rFonts w:ascii="宋体" w:hAnsi="宋体" w:eastAsia="宋体" w:cs="Times New Roman"/>
                <w:szCs w:val="21"/>
              </w:rPr>
            </w:pPr>
          </w:p>
        </w:tc>
        <w:tc>
          <w:tcPr>
            <w:tcW w:w="0" w:type="auto"/>
            <w:vAlign w:val="center"/>
          </w:tcPr>
          <w:p w14:paraId="20737A18">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6AB3D688">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2129DB6A">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553DB0A5">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65759BD0">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38B64AB0">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30B56DB9">
            <w:pPr>
              <w:spacing w:line="360" w:lineRule="auto"/>
              <w:jc w:val="center"/>
              <w:rPr>
                <w:rFonts w:ascii="宋体" w:hAnsi="宋体" w:eastAsia="宋体" w:cs="Times New Roman"/>
                <w:szCs w:val="21"/>
              </w:rPr>
            </w:pPr>
          </w:p>
        </w:tc>
      </w:tr>
      <w:tr w14:paraId="36DA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F9CCFC">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2F9EE37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33F4CE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84F042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88B0809">
            <w:pPr>
              <w:spacing w:line="360" w:lineRule="auto"/>
              <w:jc w:val="center"/>
              <w:rPr>
                <w:rFonts w:ascii="宋体" w:hAnsi="宋体" w:eastAsia="宋体" w:cs="Times New Roman"/>
                <w:szCs w:val="21"/>
              </w:rPr>
            </w:pPr>
          </w:p>
        </w:tc>
        <w:tc>
          <w:tcPr>
            <w:tcW w:w="0" w:type="auto"/>
            <w:vAlign w:val="center"/>
          </w:tcPr>
          <w:p w14:paraId="5F883BD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34AD584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5C353D3">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5C53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97AE08">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24FC83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B42299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EDC6B2E">
            <w:pPr>
              <w:spacing w:line="360" w:lineRule="auto"/>
              <w:jc w:val="center"/>
              <w:rPr>
                <w:rFonts w:ascii="宋体" w:hAnsi="宋体" w:eastAsia="宋体" w:cs="Times New Roman"/>
                <w:szCs w:val="21"/>
              </w:rPr>
            </w:pPr>
          </w:p>
        </w:tc>
        <w:tc>
          <w:tcPr>
            <w:tcW w:w="0" w:type="auto"/>
            <w:vAlign w:val="center"/>
          </w:tcPr>
          <w:p w14:paraId="1AC0E17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E72329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7383E4BD">
            <w:pPr>
              <w:spacing w:line="360" w:lineRule="auto"/>
              <w:jc w:val="center"/>
              <w:rPr>
                <w:rFonts w:ascii="宋体" w:hAnsi="宋体" w:eastAsia="宋体" w:cs="Times New Roman"/>
                <w:szCs w:val="21"/>
              </w:rPr>
            </w:pPr>
          </w:p>
        </w:tc>
        <w:tc>
          <w:tcPr>
            <w:tcW w:w="0" w:type="auto"/>
            <w:vAlign w:val="center"/>
          </w:tcPr>
          <w:p w14:paraId="0B4B69BF">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120F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2B48665">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B44CA0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32658DB">
            <w:pPr>
              <w:spacing w:line="360" w:lineRule="auto"/>
              <w:jc w:val="center"/>
              <w:rPr>
                <w:rFonts w:ascii="宋体" w:hAnsi="宋体" w:eastAsia="宋体" w:cs="Times New Roman"/>
                <w:szCs w:val="21"/>
              </w:rPr>
            </w:pPr>
          </w:p>
        </w:tc>
        <w:tc>
          <w:tcPr>
            <w:tcW w:w="0" w:type="auto"/>
            <w:vAlign w:val="center"/>
          </w:tcPr>
          <w:p w14:paraId="06D11813">
            <w:pPr>
              <w:spacing w:line="360" w:lineRule="auto"/>
              <w:jc w:val="center"/>
              <w:rPr>
                <w:rFonts w:ascii="宋体" w:hAnsi="宋体" w:eastAsia="宋体" w:cs="Times New Roman"/>
                <w:szCs w:val="21"/>
              </w:rPr>
            </w:pPr>
          </w:p>
        </w:tc>
        <w:tc>
          <w:tcPr>
            <w:tcW w:w="0" w:type="auto"/>
            <w:vAlign w:val="center"/>
          </w:tcPr>
          <w:p w14:paraId="12F54F35">
            <w:pPr>
              <w:spacing w:line="360" w:lineRule="auto"/>
              <w:jc w:val="center"/>
              <w:rPr>
                <w:rFonts w:ascii="宋体" w:hAnsi="宋体" w:eastAsia="宋体" w:cs="Times New Roman"/>
                <w:szCs w:val="21"/>
              </w:rPr>
            </w:pPr>
          </w:p>
        </w:tc>
        <w:tc>
          <w:tcPr>
            <w:tcW w:w="0" w:type="auto"/>
            <w:vAlign w:val="center"/>
          </w:tcPr>
          <w:p w14:paraId="205FE80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243E2610">
            <w:pPr>
              <w:spacing w:line="360" w:lineRule="auto"/>
              <w:jc w:val="center"/>
              <w:rPr>
                <w:rFonts w:ascii="宋体" w:hAnsi="宋体" w:eastAsia="宋体" w:cs="Times New Roman"/>
                <w:szCs w:val="21"/>
              </w:rPr>
            </w:pPr>
          </w:p>
        </w:tc>
        <w:tc>
          <w:tcPr>
            <w:tcW w:w="0" w:type="auto"/>
            <w:vAlign w:val="center"/>
          </w:tcPr>
          <w:p w14:paraId="5F7EEF84">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12D5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579161">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A3B6EE0">
            <w:pPr>
              <w:spacing w:line="360" w:lineRule="auto"/>
              <w:jc w:val="center"/>
              <w:rPr>
                <w:rFonts w:ascii="宋体" w:hAnsi="宋体" w:eastAsia="宋体" w:cs="Times New Roman"/>
                <w:szCs w:val="21"/>
              </w:rPr>
            </w:pPr>
          </w:p>
        </w:tc>
        <w:tc>
          <w:tcPr>
            <w:tcW w:w="0" w:type="auto"/>
            <w:vAlign w:val="center"/>
          </w:tcPr>
          <w:p w14:paraId="63E5FBFE">
            <w:pPr>
              <w:spacing w:line="360" w:lineRule="auto"/>
              <w:jc w:val="center"/>
              <w:rPr>
                <w:rFonts w:ascii="宋体" w:hAnsi="宋体" w:eastAsia="宋体" w:cs="Times New Roman"/>
                <w:szCs w:val="21"/>
              </w:rPr>
            </w:pPr>
          </w:p>
        </w:tc>
        <w:tc>
          <w:tcPr>
            <w:tcW w:w="0" w:type="auto"/>
            <w:vAlign w:val="center"/>
          </w:tcPr>
          <w:p w14:paraId="59992BB6">
            <w:pPr>
              <w:spacing w:line="360" w:lineRule="auto"/>
              <w:jc w:val="center"/>
              <w:rPr>
                <w:rFonts w:ascii="宋体" w:hAnsi="宋体" w:eastAsia="宋体" w:cs="Times New Roman"/>
                <w:szCs w:val="21"/>
              </w:rPr>
            </w:pPr>
          </w:p>
        </w:tc>
        <w:tc>
          <w:tcPr>
            <w:tcW w:w="0" w:type="auto"/>
            <w:vAlign w:val="center"/>
          </w:tcPr>
          <w:p w14:paraId="08CF1976">
            <w:pPr>
              <w:spacing w:line="360" w:lineRule="auto"/>
              <w:jc w:val="center"/>
              <w:rPr>
                <w:rFonts w:ascii="宋体" w:hAnsi="宋体" w:eastAsia="宋体" w:cs="Times New Roman"/>
                <w:szCs w:val="21"/>
              </w:rPr>
            </w:pPr>
          </w:p>
        </w:tc>
        <w:tc>
          <w:tcPr>
            <w:tcW w:w="0" w:type="auto"/>
            <w:vAlign w:val="center"/>
          </w:tcPr>
          <w:p w14:paraId="64A81F2F">
            <w:pPr>
              <w:spacing w:line="360" w:lineRule="auto"/>
              <w:jc w:val="center"/>
              <w:rPr>
                <w:rFonts w:ascii="宋体" w:hAnsi="宋体" w:eastAsia="宋体" w:cs="Times New Roman"/>
                <w:szCs w:val="21"/>
              </w:rPr>
            </w:pPr>
          </w:p>
        </w:tc>
        <w:tc>
          <w:tcPr>
            <w:tcW w:w="0" w:type="auto"/>
          </w:tcPr>
          <w:p w14:paraId="49D60B47">
            <w:pPr>
              <w:spacing w:line="360" w:lineRule="auto"/>
              <w:jc w:val="center"/>
              <w:rPr>
                <w:rFonts w:ascii="宋体" w:hAnsi="宋体" w:eastAsia="宋体" w:cs="Times New Roman"/>
                <w:szCs w:val="21"/>
              </w:rPr>
            </w:pPr>
          </w:p>
        </w:tc>
        <w:tc>
          <w:tcPr>
            <w:tcW w:w="0" w:type="auto"/>
            <w:vAlign w:val="center"/>
          </w:tcPr>
          <w:p w14:paraId="79F7287D">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812F34E">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2776CE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671AA3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48A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344EC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111302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0F399E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057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6DCF5FD">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92677C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24F634A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DEB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7447B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B101DA8">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DC18FD9">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7713DFD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072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A60E434">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1222E84D">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0" w:type="auto"/>
            <w:vAlign w:val="center"/>
          </w:tcPr>
          <w:p w14:paraId="1F3D939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C8C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503C9DD">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35F44E3A">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课前5分钟左右，每位同学评说教育时事、教育事件或教育现象等，以学生表达的流程性、逻辑性和分析的深度为评分的主要依据。</w:t>
            </w:r>
          </w:p>
        </w:tc>
        <w:tc>
          <w:tcPr>
            <w:tcW w:w="0" w:type="auto"/>
            <w:vAlign w:val="center"/>
          </w:tcPr>
          <w:p w14:paraId="68052AE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0D6D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B1B4C2">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119B0BE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FABCE2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22F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A503D73">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64B511F">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27A482A7">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CEC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9FE78A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62DE3D1">
            <w:pPr>
              <w:jc w:val="left"/>
              <w:rPr>
                <w:rFonts w:ascii="Times New Roman" w:hAnsi="Times New Roman" w:eastAsia="宋体" w:cs="Times New Roman"/>
                <w:szCs w:val="21"/>
              </w:rPr>
            </w:pPr>
          </w:p>
        </w:tc>
        <w:tc>
          <w:tcPr>
            <w:tcW w:w="0" w:type="auto"/>
            <w:vAlign w:val="center"/>
          </w:tcPr>
          <w:p w14:paraId="7929C81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59A2E5D">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3C07C2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FB3D6AF">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61"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61" DrawAspect="Content" ObjectID="_1468075761" r:id="rId44">
            <o:LockedField>false</o:LockedField>
          </o:OLEObject>
        </w:object>
      </w:r>
    </w:p>
    <w:p w14:paraId="4D7AE6AE">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p>
    <w:p w14:paraId="1328CF5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F87941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8E97B93">
      <w:pPr>
        <w:spacing w:line="360" w:lineRule="auto"/>
        <w:jc w:val="left"/>
        <w:rPr>
          <w:rFonts w:ascii="Times New Roman" w:hAnsi="Times New Roman" w:eastAsia="宋体" w:cs="Times New Roman"/>
          <w:b/>
          <w:szCs w:val="21"/>
        </w:rPr>
      </w:pPr>
    </w:p>
    <w:p w14:paraId="0BF4D2B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455115F">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《中国古代文学史》编写组.</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中国古代文学史，高等教育出版社，2</w:t>
      </w:r>
      <w:r>
        <w:rPr>
          <w:rFonts w:ascii="Times New Roman" w:hAnsi="Times New Roman" w:eastAsia="宋体" w:cs="Times New Roman"/>
          <w:bCs/>
          <w:color w:val="000000"/>
          <w:szCs w:val="21"/>
        </w:rPr>
        <w:t>018</w:t>
      </w:r>
      <w:r>
        <w:rPr>
          <w:rFonts w:hint="eastAsia" w:ascii="Times New Roman" w:hAnsi="Times New Roman" w:eastAsia="宋体" w:cs="Times New Roman"/>
          <w:bCs/>
          <w:color w:val="000000"/>
          <w:szCs w:val="21"/>
        </w:rPr>
        <w:t>.（马克思主义理论研究和建设工程重点教材）</w:t>
      </w:r>
    </w:p>
    <w:p w14:paraId="65CF10D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25DCF568">
      <w:pPr>
        <w:spacing w:line="360" w:lineRule="auto"/>
        <w:ind w:firstLine="420" w:firstLineChars="200"/>
        <w:rPr>
          <w:rFonts w:ascii="宋体" w:hAnsi="宋体" w:eastAsia="宋体" w:cs="Times New Roman"/>
          <w:color w:val="000000"/>
          <w:szCs w:val="21"/>
        </w:rPr>
      </w:pPr>
      <w:r>
        <w:rPr>
          <w:rFonts w:ascii="宋体" w:hAnsi="宋体" w:eastAsia="宋体" w:cs="Times New Roman"/>
          <w:szCs w:val="21"/>
        </w:rPr>
        <w:t>1.</w:t>
      </w:r>
      <w:r>
        <w:rPr>
          <w:rFonts w:hint="eastAsia" w:ascii="宋体" w:hAnsi="宋体" w:eastAsia="宋体" w:cs="Times New Roman"/>
          <w:szCs w:val="21"/>
        </w:rPr>
        <w:t>袁行霈主编：《中国文学史》，高等教育出版社，</w:t>
      </w:r>
      <w:r>
        <w:rPr>
          <w:rFonts w:ascii="宋体" w:hAnsi="宋体" w:eastAsia="宋体" w:cs="Times New Roman"/>
          <w:szCs w:val="21"/>
        </w:rPr>
        <w:t>2005</w:t>
      </w:r>
      <w:r>
        <w:rPr>
          <w:rFonts w:hint="eastAsia" w:ascii="宋体" w:hAnsi="宋体" w:eastAsia="宋体" w:cs="Times New Roman"/>
          <w:szCs w:val="21"/>
        </w:rPr>
        <w:t>年</w:t>
      </w:r>
      <w:r>
        <w:rPr>
          <w:rFonts w:ascii="宋体" w:hAnsi="宋体" w:eastAsia="宋体" w:cs="Times New Roman"/>
          <w:szCs w:val="21"/>
        </w:rPr>
        <w:t>7</w:t>
      </w:r>
      <w:r>
        <w:rPr>
          <w:rFonts w:hint="eastAsia" w:ascii="宋体" w:hAnsi="宋体" w:eastAsia="宋体" w:cs="Times New Roman"/>
          <w:szCs w:val="21"/>
        </w:rPr>
        <w:t>月第</w:t>
      </w:r>
      <w:r>
        <w:rPr>
          <w:rFonts w:ascii="宋体" w:hAnsi="宋体" w:eastAsia="宋体" w:cs="Times New Roman"/>
          <w:szCs w:val="21"/>
        </w:rPr>
        <w:t>2</w:t>
      </w:r>
      <w:r>
        <w:rPr>
          <w:rFonts w:hint="eastAsia" w:ascii="宋体" w:hAnsi="宋体" w:eastAsia="宋体" w:cs="Times New Roman"/>
          <w:szCs w:val="21"/>
        </w:rPr>
        <w:t>版</w:t>
      </w:r>
    </w:p>
    <w:p w14:paraId="35DCB223">
      <w:pPr>
        <w:spacing w:line="360" w:lineRule="auto"/>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游国恩等主编：《中国文学史》，人民文学出版社，</w:t>
      </w:r>
      <w:r>
        <w:rPr>
          <w:rFonts w:ascii="宋体" w:hAnsi="宋体" w:eastAsia="宋体" w:cs="Times New Roman"/>
          <w:szCs w:val="21"/>
        </w:rPr>
        <w:t>1963</w:t>
      </w:r>
      <w:r>
        <w:rPr>
          <w:rFonts w:hint="eastAsia" w:ascii="宋体" w:hAnsi="宋体" w:eastAsia="宋体" w:cs="Times New Roman"/>
          <w:szCs w:val="21"/>
        </w:rPr>
        <w:t>年版</w:t>
      </w:r>
    </w:p>
    <w:p w14:paraId="6B863635">
      <w:pPr>
        <w:spacing w:line="360" w:lineRule="auto"/>
        <w:ind w:firstLine="420" w:firstLineChars="20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社科院文学研究所编：《中国文学史》人民文学出版社，</w:t>
      </w:r>
      <w:r>
        <w:rPr>
          <w:rFonts w:ascii="宋体" w:hAnsi="宋体" w:eastAsia="宋体" w:cs="Times New Roman"/>
          <w:szCs w:val="21"/>
        </w:rPr>
        <w:t>1962</w:t>
      </w:r>
      <w:r>
        <w:rPr>
          <w:rFonts w:hint="eastAsia" w:ascii="宋体" w:hAnsi="宋体" w:eastAsia="宋体" w:cs="Times New Roman"/>
          <w:szCs w:val="21"/>
        </w:rPr>
        <w:t>年版</w:t>
      </w:r>
    </w:p>
    <w:p w14:paraId="2B2BEE88">
      <w:pPr>
        <w:spacing w:line="360" w:lineRule="auto"/>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刘大杰：《中国文学发展史》，上海古籍出版社，</w:t>
      </w:r>
      <w:r>
        <w:rPr>
          <w:rFonts w:ascii="宋体" w:hAnsi="宋体" w:eastAsia="宋体" w:cs="Times New Roman"/>
          <w:szCs w:val="21"/>
        </w:rPr>
        <w:t>1982</w:t>
      </w:r>
      <w:r>
        <w:rPr>
          <w:rFonts w:hint="eastAsia" w:ascii="宋体" w:hAnsi="宋体" w:eastAsia="宋体" w:cs="Times New Roman"/>
          <w:szCs w:val="21"/>
        </w:rPr>
        <w:t>年新</w:t>
      </w:r>
      <w:r>
        <w:rPr>
          <w:rFonts w:ascii="宋体" w:hAnsi="宋体" w:eastAsia="宋体" w:cs="Times New Roman"/>
          <w:szCs w:val="21"/>
        </w:rPr>
        <w:t>1</w:t>
      </w:r>
      <w:r>
        <w:rPr>
          <w:rFonts w:hint="eastAsia" w:ascii="宋体" w:hAnsi="宋体" w:eastAsia="宋体" w:cs="Times New Roman"/>
          <w:szCs w:val="21"/>
        </w:rPr>
        <w:t>版</w:t>
      </w:r>
    </w:p>
    <w:p w14:paraId="24614DB2">
      <w:pPr>
        <w:spacing w:line="360" w:lineRule="auto"/>
        <w:ind w:firstLine="420" w:firstLineChars="200"/>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朱东润主编：《中国历代文学作品选》，</w:t>
      </w:r>
      <w:r>
        <w:rPr>
          <w:rFonts w:ascii="宋体" w:hAnsi="宋体" w:eastAsia="宋体" w:cs="Times New Roman"/>
          <w:szCs w:val="21"/>
        </w:rPr>
        <w:t>1979</w:t>
      </w:r>
      <w:r>
        <w:rPr>
          <w:rFonts w:hint="eastAsia" w:ascii="宋体" w:hAnsi="宋体" w:eastAsia="宋体" w:cs="Times New Roman"/>
          <w:szCs w:val="21"/>
        </w:rPr>
        <w:t>年版</w:t>
      </w:r>
    </w:p>
    <w:p w14:paraId="3CC24F4C">
      <w:pPr>
        <w:spacing w:line="360" w:lineRule="auto"/>
        <w:ind w:firstLine="420" w:firstLineChars="200"/>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1"/>
        </w:rPr>
        <w:t>郭绍虞：《中国文学批评史》，上海古籍出版社，</w:t>
      </w:r>
      <w:r>
        <w:rPr>
          <w:rFonts w:ascii="宋体" w:hAnsi="宋体" w:eastAsia="宋体" w:cs="Times New Roman"/>
          <w:szCs w:val="21"/>
        </w:rPr>
        <w:t>1979</w:t>
      </w:r>
      <w:r>
        <w:rPr>
          <w:rFonts w:hint="eastAsia" w:ascii="宋体" w:hAnsi="宋体" w:eastAsia="宋体" w:cs="Times New Roman"/>
          <w:szCs w:val="21"/>
        </w:rPr>
        <w:t>年新</w:t>
      </w:r>
      <w:r>
        <w:rPr>
          <w:rFonts w:ascii="宋体" w:hAnsi="宋体" w:eastAsia="宋体" w:cs="Times New Roman"/>
          <w:szCs w:val="21"/>
        </w:rPr>
        <w:t>1</w:t>
      </w:r>
      <w:r>
        <w:rPr>
          <w:rFonts w:hint="eastAsia" w:ascii="宋体" w:hAnsi="宋体" w:eastAsia="宋体" w:cs="Times New Roman"/>
          <w:szCs w:val="21"/>
        </w:rPr>
        <w:t>版</w:t>
      </w:r>
    </w:p>
    <w:p w14:paraId="2B83D880">
      <w:pPr>
        <w:spacing w:line="360" w:lineRule="auto"/>
        <w:ind w:firstLine="420" w:firstLineChars="200"/>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陆侃如、冯沅君：《中国诗史》，百花文艺出版社，</w:t>
      </w:r>
      <w:r>
        <w:rPr>
          <w:rFonts w:ascii="宋体" w:hAnsi="宋体" w:eastAsia="宋体" w:cs="Times New Roman"/>
          <w:szCs w:val="21"/>
        </w:rPr>
        <w:t>1999</w:t>
      </w:r>
      <w:r>
        <w:rPr>
          <w:rFonts w:hint="eastAsia" w:ascii="宋体" w:hAnsi="宋体" w:eastAsia="宋体" w:cs="Times New Roman"/>
          <w:szCs w:val="21"/>
        </w:rPr>
        <w:t>年版</w:t>
      </w:r>
    </w:p>
    <w:p w14:paraId="4579B10F">
      <w:pPr>
        <w:spacing w:line="360" w:lineRule="auto"/>
        <w:ind w:firstLine="420" w:firstLineChars="200"/>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郭豫衡：《中国散文史》，上海古籍出版社，</w:t>
      </w:r>
      <w:r>
        <w:rPr>
          <w:rFonts w:ascii="宋体" w:hAnsi="宋体" w:eastAsia="宋体" w:cs="Times New Roman"/>
          <w:szCs w:val="21"/>
        </w:rPr>
        <w:t>1986</w:t>
      </w:r>
      <w:r>
        <w:rPr>
          <w:rFonts w:hint="eastAsia" w:ascii="宋体" w:hAnsi="宋体" w:eastAsia="宋体" w:cs="Times New Roman"/>
          <w:szCs w:val="21"/>
        </w:rPr>
        <w:t>年版</w:t>
      </w:r>
    </w:p>
    <w:p w14:paraId="2BE804AF">
      <w:pPr>
        <w:spacing w:line="360" w:lineRule="auto"/>
        <w:ind w:firstLine="420" w:firstLineChars="200"/>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1"/>
        </w:rPr>
        <w:t>鲁迅：《中国小说史略》，人民文学出版社，</w:t>
      </w:r>
      <w:r>
        <w:rPr>
          <w:rFonts w:ascii="宋体" w:hAnsi="宋体" w:eastAsia="宋体" w:cs="Times New Roman"/>
          <w:szCs w:val="21"/>
        </w:rPr>
        <w:t>1981</w:t>
      </w:r>
      <w:r>
        <w:rPr>
          <w:rFonts w:hint="eastAsia" w:ascii="宋体" w:hAnsi="宋体" w:eastAsia="宋体" w:cs="Times New Roman"/>
          <w:szCs w:val="21"/>
        </w:rPr>
        <w:t>年版</w:t>
      </w:r>
    </w:p>
    <w:p w14:paraId="50D5EF9D">
      <w:pPr>
        <w:rPr>
          <w:rFonts w:ascii="宋体" w:hAnsi="宋体" w:eastAsia="宋体" w:cs="Times New Roman"/>
          <w:szCs w:val="21"/>
        </w:rPr>
      </w:pPr>
    </w:p>
    <w:p w14:paraId="6EF665F7">
      <w:pPr>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                                                  执笔人：</w:t>
      </w:r>
      <w:r>
        <w:rPr>
          <w:rFonts w:hint="eastAsia" w:ascii="Times New Roman" w:hAnsi="Times New Roman" w:eastAsia="宋体" w:cs="Times New Roman"/>
          <w:sz w:val="24"/>
          <w:szCs w:val="24"/>
        </w:rPr>
        <w:t>谭</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坤</w:t>
      </w:r>
    </w:p>
    <w:p w14:paraId="1DF382D9">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 xml:space="preserve">                                                  审定人：</w:t>
      </w:r>
      <w:r>
        <w:rPr>
          <w:rFonts w:hint="eastAsia" w:ascii="Times New Roman" w:hAnsi="Times New Roman" w:eastAsia="宋体" w:cs="Times New Roman"/>
          <w:sz w:val="24"/>
          <w:szCs w:val="24"/>
          <w:lang w:val="en-US" w:eastAsia="zh-CN"/>
        </w:rPr>
        <w:t>王  健</w:t>
      </w:r>
    </w:p>
    <w:p w14:paraId="49353CFC">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 xml:space="preserve">                                                  审批人：</w:t>
      </w:r>
      <w:r>
        <w:rPr>
          <w:rFonts w:hint="eastAsia" w:ascii="Times New Roman" w:hAnsi="Times New Roman" w:eastAsia="宋体" w:cs="Times New Roman"/>
          <w:sz w:val="24"/>
          <w:szCs w:val="24"/>
          <w:lang w:val="en-US" w:eastAsia="zh-CN"/>
        </w:rPr>
        <w:t>张志欣</w:t>
      </w:r>
    </w:p>
    <w:p w14:paraId="769A3853">
      <w:pPr>
        <w:keepNext w:val="0"/>
        <w:keepLines w:val="0"/>
        <w:pageBreakBefore w:val="0"/>
        <w:widowControl w:val="0"/>
        <w:kinsoku/>
        <w:wordWrap/>
        <w:overflowPunct/>
        <w:topLinePunct w:val="0"/>
        <w:autoSpaceDE/>
        <w:autoSpaceDN/>
        <w:bidi w:val="0"/>
        <w:adjustRightInd/>
        <w:snapToGrid/>
        <w:spacing w:line="360" w:lineRule="auto"/>
        <w:ind w:right="0"/>
        <w:jc w:val="righ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7CC9D7F6">
      <w:pPr>
        <w:rPr>
          <w:rFonts w:hint="eastAsia"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br w:type="page"/>
      </w:r>
    </w:p>
    <w:p w14:paraId="5C7882B6">
      <w:pPr>
        <w:pStyle w:val="2"/>
        <w:bidi w:val="0"/>
        <w:rPr>
          <w:rFonts w:hint="eastAsia"/>
          <w:lang w:val="en-US" w:eastAsia="zh-CN"/>
        </w:rPr>
      </w:pPr>
      <w:bookmarkStart w:id="1855" w:name="_Toc7750"/>
      <w:bookmarkStart w:id="1856" w:name="_Toc16140"/>
      <w:bookmarkStart w:id="1857" w:name="_Toc5939"/>
      <w:bookmarkStart w:id="1858" w:name="_Toc3839"/>
      <w:r>
        <w:rPr>
          <w:rFonts w:hint="eastAsia"/>
          <w:lang w:val="en-US" w:eastAsia="zh-CN"/>
        </w:rPr>
        <w:t>《中国现当代文学》课程教学大纲</w:t>
      </w:r>
      <w:bookmarkEnd w:id="1855"/>
      <w:bookmarkEnd w:id="1856"/>
      <w:bookmarkEnd w:id="1857"/>
      <w:bookmarkEnd w:id="1858"/>
    </w:p>
    <w:p w14:paraId="067051EA">
      <w:pPr>
        <w:pStyle w:val="2"/>
        <w:bidi w:val="0"/>
        <w:rPr>
          <w:rFonts w:hint="eastAsia" w:ascii="Times New Roman" w:hAnsi="Times New Roman" w:eastAsia="宋体" w:cs="Arial"/>
          <w:b/>
          <w:bCs/>
          <w:kern w:val="2"/>
          <w:szCs w:val="24"/>
          <w:lang w:val="en-US" w:eastAsia="zh-CN" w:bidi="ar-SA"/>
        </w:rPr>
      </w:pPr>
      <w:bookmarkStart w:id="1859" w:name="_Toc16333"/>
      <w:bookmarkStart w:id="1860" w:name="_Toc17040"/>
      <w:bookmarkStart w:id="1861" w:name="_Toc23647"/>
      <w:bookmarkStart w:id="1862" w:name="_Toc16066"/>
      <w:bookmarkStart w:id="1863" w:name="_Toc12455"/>
      <w:bookmarkStart w:id="1864" w:name="_Toc3895"/>
      <w:bookmarkStart w:id="1865" w:name="_Toc15563"/>
      <w:r>
        <w:rPr>
          <w:rFonts w:hint="eastAsia"/>
          <w:lang w:val="en-US" w:eastAsia="zh-CN"/>
        </w:rPr>
        <w:t>（History of Modern and Contemporary Chinese Literature）</w:t>
      </w:r>
      <w:bookmarkEnd w:id="1859"/>
      <w:bookmarkEnd w:id="1860"/>
      <w:bookmarkEnd w:id="1861"/>
      <w:bookmarkEnd w:id="1862"/>
      <w:bookmarkEnd w:id="1863"/>
      <w:bookmarkEnd w:id="1864"/>
      <w:bookmarkEnd w:id="1865"/>
    </w:p>
    <w:p w14:paraId="59A54D7A">
      <w:pPr>
        <w:spacing w:line="360" w:lineRule="auto"/>
        <w:ind w:firstLine="482" w:firstLineChars="200"/>
        <w:jc w:val="left"/>
        <w:rPr>
          <w:rFonts w:hint="eastAsia" w:ascii="宋体" w:hAnsi="宋体" w:eastAsia="宋体" w:cs="宋体"/>
          <w:b/>
          <w:sz w:val="24"/>
          <w:szCs w:val="24"/>
          <w:lang w:val="en-US" w:eastAsia="zh-CN"/>
        </w:rPr>
      </w:pPr>
      <w:r>
        <w:rPr>
          <w:rFonts w:hint="eastAsia" w:ascii="宋体" w:hAnsi="宋体" w:eastAsia="宋体" w:cs="宋体"/>
          <w:b/>
          <w:sz w:val="24"/>
          <w:szCs w:val="24"/>
        </w:rPr>
        <w:t>课程名称：</w:t>
      </w:r>
      <w:r>
        <w:rPr>
          <w:rFonts w:hint="eastAsia" w:ascii="宋体" w:hAnsi="宋体" w:eastAsia="宋体" w:cs="宋体"/>
          <w:b/>
          <w:sz w:val="24"/>
          <w:szCs w:val="24"/>
          <w:lang w:val="en-US" w:eastAsia="zh-CN"/>
        </w:rPr>
        <w:t>中国现当代文学</w:t>
      </w:r>
    </w:p>
    <w:p w14:paraId="24F8E50B">
      <w:pPr>
        <w:spacing w:line="360" w:lineRule="auto"/>
        <w:ind w:firstLine="482" w:firstLineChars="200"/>
        <w:rPr>
          <w:rFonts w:hint="eastAsia" w:ascii="宋体" w:hAnsi="宋体" w:eastAsia="宋体" w:cs="宋体"/>
          <w:bCs/>
          <w:sz w:val="24"/>
          <w:szCs w:val="24"/>
        </w:rPr>
      </w:pPr>
      <w:r>
        <w:rPr>
          <w:rFonts w:hint="eastAsia" w:ascii="宋体" w:hAnsi="宋体" w:eastAsia="宋体" w:cs="宋体"/>
          <w:b/>
          <w:bCs/>
          <w:kern w:val="0"/>
          <w:sz w:val="24"/>
          <w:szCs w:val="22"/>
        </w:rPr>
        <w:t>课程代码</w:t>
      </w:r>
      <w:r>
        <w:rPr>
          <w:rFonts w:hint="eastAsia" w:ascii="宋体" w:hAnsi="宋体" w:eastAsia="宋体" w:cs="宋体"/>
          <w:b/>
          <w:kern w:val="0"/>
          <w:sz w:val="24"/>
          <w:szCs w:val="22"/>
        </w:rPr>
        <w:t>：</w:t>
      </w:r>
      <w:r>
        <w:rPr>
          <w:rFonts w:hint="eastAsia" w:ascii="宋体" w:hAnsi="宋体" w:eastAsia="宋体" w:cs="宋体"/>
          <w:sz w:val="24"/>
          <w:szCs w:val="24"/>
        </w:rPr>
        <w:t>2401074</w:t>
      </w:r>
    </w:p>
    <w:p w14:paraId="4FA672D3">
      <w:pPr>
        <w:spacing w:line="360" w:lineRule="auto"/>
        <w:ind w:firstLine="482" w:firstLineChars="200"/>
        <w:rPr>
          <w:rFonts w:hint="eastAsia" w:ascii="宋体" w:hAnsi="宋体" w:eastAsia="宋体" w:cs="宋体"/>
          <w:b/>
          <w:kern w:val="0"/>
          <w:sz w:val="24"/>
          <w:szCs w:val="22"/>
        </w:rPr>
      </w:pPr>
      <w:r>
        <w:rPr>
          <w:rFonts w:hint="eastAsia" w:ascii="宋体" w:hAnsi="宋体" w:eastAsia="宋体" w:cs="宋体"/>
          <w:b/>
          <w:kern w:val="0"/>
          <w:sz w:val="24"/>
          <w:szCs w:val="22"/>
        </w:rPr>
        <w:t>学    分</w:t>
      </w:r>
      <w:r>
        <w:rPr>
          <w:rFonts w:hint="eastAsia" w:ascii="宋体" w:hAnsi="宋体" w:eastAsia="宋体" w:cs="宋体"/>
          <w:bCs/>
          <w:kern w:val="0"/>
          <w:sz w:val="24"/>
          <w:szCs w:val="22"/>
        </w:rPr>
        <w:t>：3</w:t>
      </w:r>
    </w:p>
    <w:p w14:paraId="287976E2">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学    时</w:t>
      </w:r>
      <w:r>
        <w:rPr>
          <w:rFonts w:hint="eastAsia" w:ascii="宋体" w:hAnsi="宋体" w:eastAsia="宋体" w:cs="宋体"/>
          <w:b/>
          <w:kern w:val="0"/>
          <w:sz w:val="24"/>
          <w:szCs w:val="22"/>
        </w:rPr>
        <w:t>：48</w:t>
      </w:r>
    </w:p>
    <w:p w14:paraId="5FE9A8DE">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先修课程</w:t>
      </w:r>
      <w:r>
        <w:rPr>
          <w:rFonts w:hint="eastAsia" w:ascii="宋体" w:hAnsi="宋体" w:eastAsia="宋体" w:cs="宋体"/>
          <w:kern w:val="0"/>
          <w:sz w:val="24"/>
          <w:szCs w:val="22"/>
        </w:rPr>
        <w:t>：古代文学、现代汉语</w:t>
      </w:r>
    </w:p>
    <w:p w14:paraId="0CAF8604">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rPr>
        <w:t>适用专业</w:t>
      </w:r>
      <w:r>
        <w:rPr>
          <w:rFonts w:hint="eastAsia" w:ascii="宋体" w:hAnsi="宋体" w:eastAsia="宋体" w:cs="宋体"/>
          <w:b/>
          <w:kern w:val="0"/>
          <w:sz w:val="24"/>
          <w:szCs w:val="22"/>
        </w:rPr>
        <w:t>：</w:t>
      </w:r>
      <w:r>
        <w:rPr>
          <w:rFonts w:hint="eastAsia" w:ascii="宋体" w:hAnsi="宋体" w:eastAsia="宋体" w:cs="宋体"/>
          <w:kern w:val="0"/>
          <w:sz w:val="24"/>
          <w:szCs w:val="22"/>
        </w:rPr>
        <w:t xml:space="preserve">小学教育                       </w:t>
      </w:r>
    </w:p>
    <w:p w14:paraId="21804C78">
      <w:pPr>
        <w:autoSpaceDE w:val="0"/>
        <w:autoSpaceDN w:val="0"/>
        <w:adjustRightInd w:val="0"/>
        <w:spacing w:line="360" w:lineRule="auto"/>
        <w:ind w:firstLine="482" w:firstLineChars="200"/>
        <w:jc w:val="left"/>
        <w:rPr>
          <w:rFonts w:hint="eastAsia" w:ascii="宋体" w:hAnsi="宋体" w:eastAsia="宋体" w:cs="宋体"/>
          <w:b/>
          <w:bCs/>
          <w:kern w:val="0"/>
          <w:sz w:val="24"/>
          <w:szCs w:val="22"/>
        </w:rPr>
      </w:pPr>
    </w:p>
    <w:p w14:paraId="55DA8971">
      <w:pPr>
        <w:autoSpaceDE w:val="0"/>
        <w:autoSpaceDN w:val="0"/>
        <w:adjustRightInd w:val="0"/>
        <w:spacing w:line="360" w:lineRule="auto"/>
        <w:ind w:firstLine="482" w:firstLineChars="200"/>
        <w:jc w:val="left"/>
        <w:rPr>
          <w:rFonts w:hint="eastAsia" w:ascii="宋体" w:hAnsi="宋体" w:eastAsia="宋体" w:cs="宋体"/>
          <w:b/>
          <w:bCs/>
          <w:kern w:val="0"/>
          <w:sz w:val="24"/>
          <w:szCs w:val="22"/>
        </w:rPr>
      </w:pPr>
    </w:p>
    <w:p w14:paraId="4F8CA3DF">
      <w:pPr>
        <w:bidi w:val="0"/>
        <w:rPr>
          <w:rFonts w:hint="eastAsia" w:ascii="宋体" w:hAnsi="宋体" w:eastAsia="宋体" w:cs="宋体"/>
          <w:sz w:val="28"/>
          <w:szCs w:val="28"/>
        </w:rPr>
      </w:pPr>
      <w:r>
        <w:rPr>
          <w:rFonts w:hint="eastAsia" w:ascii="宋体" w:hAnsi="宋体" w:eastAsia="宋体" w:cs="宋体"/>
          <w:b/>
          <w:bCs/>
          <w:kern w:val="0"/>
          <w:sz w:val="28"/>
          <w:szCs w:val="28"/>
          <w:lang w:val="en-US" w:eastAsia="zh-CN"/>
        </w:rPr>
        <w:t>一、课程简介</w:t>
      </w:r>
      <w:r>
        <w:rPr>
          <w:rFonts w:hint="eastAsia" w:ascii="宋体" w:hAnsi="宋体" w:eastAsia="宋体" w:cs="宋体"/>
          <w:b/>
          <w:bCs/>
          <w:kern w:val="0"/>
          <w:sz w:val="24"/>
          <w:szCs w:val="22"/>
        </w:rPr>
        <w:t>：</w:t>
      </w:r>
      <w:r>
        <w:rPr>
          <w:rFonts w:hint="eastAsia" w:ascii="宋体" w:hAnsi="宋体" w:eastAsia="宋体" w:cs="宋体"/>
          <w:kern w:val="0"/>
          <w:sz w:val="24"/>
          <w:szCs w:val="22"/>
        </w:rPr>
        <w:t>本课程任务在于秉持立德树人教育理念，使学生了解中国现当代文学的概况，掌握相关的文学史知识，通过阅读文学史中重要的作家作品，培养学生的审美感悟力和鉴赏力，提升学生人文精神和文化素养，增强对中华文化的理解和认同，自觉传承中华文化，厚植爱国主义精神，树立文化自信和践行社会主义核心价值观。本课程同时也注重对学生进行初步的学术训练，培养学生具备基本的学术研究能力。</w:t>
      </w:r>
    </w:p>
    <w:p w14:paraId="5AA55C8A">
      <w:pPr>
        <w:spacing w:line="360" w:lineRule="auto"/>
        <w:rPr>
          <w:rFonts w:hint="eastAsia" w:ascii="宋体" w:hAnsi="宋体" w:eastAsia="宋体" w:cs="宋体"/>
          <w:b/>
          <w:sz w:val="28"/>
          <w:szCs w:val="28"/>
        </w:rPr>
      </w:pPr>
      <w:r>
        <w:rPr>
          <w:rFonts w:hint="eastAsia" w:ascii="宋体" w:hAnsi="宋体" w:eastAsia="宋体" w:cs="宋体"/>
          <w:b/>
          <w:sz w:val="28"/>
          <w:szCs w:val="28"/>
        </w:rPr>
        <w:t>二、课程目标</w:t>
      </w:r>
    </w:p>
    <w:p w14:paraId="13F2E8E8">
      <w:pPr>
        <w:spacing w:line="360" w:lineRule="auto"/>
        <w:rPr>
          <w:rFonts w:hint="eastAsia" w:ascii="宋体" w:hAnsi="宋体" w:eastAsia="宋体" w:cs="宋体"/>
          <w:b/>
          <w:sz w:val="28"/>
          <w:szCs w:val="28"/>
          <w:lang w:val="en-US" w:eastAsia="zh-CN"/>
        </w:rPr>
      </w:pP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一</w:t>
      </w: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课程具体目标</w:t>
      </w:r>
    </w:p>
    <w:p w14:paraId="636A30C9">
      <w:pPr>
        <w:widowControl/>
        <w:spacing w:line="360" w:lineRule="exact"/>
        <w:ind w:firstLine="482" w:firstLineChars="200"/>
        <w:jc w:val="left"/>
        <w:rPr>
          <w:rFonts w:hint="eastAsia" w:ascii="宋体" w:hAnsi="宋体" w:eastAsia="宋体" w:cs="宋体"/>
          <w:szCs w:val="22"/>
        </w:rPr>
      </w:pPr>
      <w:r>
        <w:rPr>
          <w:rFonts w:hint="eastAsia" w:ascii="宋体" w:hAnsi="宋体" w:eastAsia="宋体" w:cs="宋体"/>
          <w:b/>
          <w:color w:val="000000"/>
          <w:kern w:val="0"/>
          <w:sz w:val="24"/>
          <w:szCs w:val="24"/>
        </w:rPr>
        <w:t xml:space="preserve">目标1. </w:t>
      </w:r>
      <w:r>
        <w:rPr>
          <w:rFonts w:hint="eastAsia" w:ascii="宋体" w:hAnsi="宋体" w:eastAsia="宋体" w:cs="宋体"/>
          <w:color w:val="000000"/>
          <w:sz w:val="24"/>
          <w:szCs w:val="22"/>
        </w:rPr>
        <w:t>阐释</w:t>
      </w:r>
      <w:r>
        <w:rPr>
          <w:rFonts w:hint="eastAsia" w:ascii="宋体" w:hAnsi="宋体" w:eastAsia="宋体" w:cs="宋体"/>
          <w:color w:val="000000"/>
          <w:sz w:val="24"/>
          <w:szCs w:val="24"/>
        </w:rPr>
        <w:t>中国当代文学发展的历史脉络，形成对五四以来现当代文学史中重要的文学现象、文学潮流及作家作品的认知框架；学会分析具体的文学现象与文本。</w:t>
      </w:r>
    </w:p>
    <w:p w14:paraId="4F02580D">
      <w:pPr>
        <w:widowControl/>
        <w:spacing w:line="360" w:lineRule="exact"/>
        <w:ind w:firstLine="482" w:firstLineChars="200"/>
        <w:jc w:val="left"/>
        <w:rPr>
          <w:rFonts w:hint="eastAsia" w:ascii="宋体" w:hAnsi="宋体" w:eastAsia="宋体" w:cs="宋体"/>
          <w:szCs w:val="22"/>
        </w:rPr>
      </w:pPr>
      <w:r>
        <w:rPr>
          <w:rFonts w:hint="eastAsia" w:ascii="宋体" w:hAnsi="宋体" w:eastAsia="宋体" w:cs="宋体"/>
          <w:b/>
          <w:color w:val="000000"/>
          <w:kern w:val="0"/>
          <w:sz w:val="24"/>
          <w:szCs w:val="24"/>
        </w:rPr>
        <w:t xml:space="preserve">目标2. </w:t>
      </w:r>
      <w:r>
        <w:rPr>
          <w:rFonts w:hint="eastAsia" w:ascii="宋体" w:hAnsi="宋体" w:eastAsia="宋体" w:cs="宋体"/>
          <w:color w:val="000000"/>
          <w:sz w:val="24"/>
          <w:szCs w:val="22"/>
        </w:rPr>
        <w:t>尝试应用相关原理、理论，学会对文学作品进行解读、评析，说明文学鉴赏的意见，能够树立基本的文学史眼光，建立较为全面的历史视野，拓展对中国现当代历史文化的理解深度。</w:t>
      </w:r>
    </w:p>
    <w:p w14:paraId="14227121">
      <w:pPr>
        <w:widowControl/>
        <w:spacing w:line="360" w:lineRule="exact"/>
        <w:ind w:firstLine="482" w:firstLineChars="200"/>
        <w:jc w:val="left"/>
        <w:rPr>
          <w:rFonts w:hint="eastAsia" w:ascii="宋体" w:hAnsi="宋体" w:eastAsia="宋体" w:cs="宋体"/>
          <w:color w:val="000000"/>
          <w:sz w:val="24"/>
          <w:szCs w:val="22"/>
        </w:rPr>
      </w:pPr>
      <w:r>
        <w:rPr>
          <w:rFonts w:hint="eastAsia" w:ascii="宋体" w:hAnsi="宋体" w:eastAsia="宋体" w:cs="宋体"/>
          <w:b/>
          <w:color w:val="000000"/>
          <w:kern w:val="0"/>
          <w:sz w:val="24"/>
          <w:szCs w:val="24"/>
        </w:rPr>
        <w:t xml:space="preserve">目标3. </w:t>
      </w:r>
      <w:r>
        <w:rPr>
          <w:rFonts w:hint="eastAsia" w:ascii="宋体" w:hAnsi="宋体" w:eastAsia="宋体" w:cs="宋体"/>
          <w:color w:val="000000"/>
          <w:sz w:val="24"/>
          <w:szCs w:val="22"/>
        </w:rPr>
        <w:t>理解中国社会主义革命发展的历史脉络和情怀，为人民谋幸福，为民族谋复兴，为世界谋大同。由此深刻领会习近平新时代中国特色社会主义思想的时代意义。培养学生对中华文化的热爱和自信，提升学生的文学素养，使学生能够自觉弘扬中华文化，厚植爱国主义情怀，树立和践行社会主义核心价值观。</w:t>
      </w:r>
    </w:p>
    <w:p w14:paraId="22B0704C">
      <w:pPr>
        <w:widowControl/>
        <w:spacing w:line="360" w:lineRule="exact"/>
        <w:ind w:firstLine="482" w:firstLineChars="200"/>
        <w:jc w:val="left"/>
        <w:rPr>
          <w:rFonts w:hint="eastAsia" w:ascii="宋体" w:hAnsi="宋体" w:eastAsia="宋体" w:cs="宋体"/>
          <w:color w:val="000000"/>
          <w:sz w:val="24"/>
          <w:szCs w:val="22"/>
        </w:rPr>
      </w:pPr>
      <w:r>
        <w:rPr>
          <w:rFonts w:hint="eastAsia" w:ascii="宋体" w:hAnsi="宋体" w:eastAsia="宋体" w:cs="宋体"/>
          <w:b/>
          <w:bCs/>
          <w:color w:val="000000"/>
          <w:sz w:val="24"/>
          <w:szCs w:val="22"/>
        </w:rPr>
        <w:t xml:space="preserve">目标4. </w:t>
      </w:r>
      <w:r>
        <w:rPr>
          <w:rFonts w:hint="eastAsia" w:ascii="宋体" w:hAnsi="宋体" w:eastAsia="宋体" w:cs="宋体"/>
          <w:color w:val="000000"/>
          <w:sz w:val="24"/>
          <w:szCs w:val="22"/>
        </w:rPr>
        <w:t>注重吸取新的研究成果与新的理论方法，将文学史基础知识与学术前沿相结合，对学生进行初步的学术训练，培养学生的研究能力。</w:t>
      </w:r>
    </w:p>
    <w:p w14:paraId="0E712DA8">
      <w:pPr>
        <w:widowControl/>
        <w:spacing w:line="360" w:lineRule="exact"/>
        <w:ind w:firstLine="482" w:firstLineChars="200"/>
        <w:jc w:val="left"/>
        <w:rPr>
          <w:rFonts w:hint="eastAsia" w:ascii="宋体" w:hAnsi="宋体" w:eastAsia="宋体" w:cs="宋体"/>
          <w:color w:val="000000"/>
          <w:sz w:val="24"/>
          <w:szCs w:val="22"/>
        </w:rPr>
      </w:pPr>
      <w:r>
        <w:rPr>
          <w:rFonts w:hint="eastAsia" w:ascii="宋体" w:hAnsi="宋体" w:eastAsia="宋体" w:cs="宋体"/>
          <w:b/>
          <w:bCs/>
          <w:color w:val="000000"/>
          <w:sz w:val="24"/>
          <w:szCs w:val="22"/>
        </w:rPr>
        <w:t xml:space="preserve">目标5. </w:t>
      </w:r>
      <w:r>
        <w:rPr>
          <w:rFonts w:hint="eastAsia" w:ascii="宋体" w:hAnsi="宋体" w:eastAsia="宋体" w:cs="宋体"/>
          <w:color w:val="000000"/>
          <w:sz w:val="24"/>
          <w:szCs w:val="22"/>
        </w:rPr>
        <w:t>通过学习，对学生进行健康人格及审美观的培育，提高文化修养。</w:t>
      </w:r>
    </w:p>
    <w:p w14:paraId="37FB7744">
      <w:pPr>
        <w:spacing w:before="156" w:beforeLines="50" w:after="156" w:afterLines="50" w:line="360" w:lineRule="auto"/>
        <w:jc w:val="left"/>
        <w:rPr>
          <w:rFonts w:hint="eastAsia" w:ascii="宋体" w:hAnsi="宋体" w:eastAsia="宋体" w:cs="宋体"/>
          <w:b/>
          <w:bCs/>
          <w:szCs w:val="21"/>
        </w:rPr>
      </w:pPr>
      <w:r>
        <w:rPr>
          <w:rFonts w:hint="eastAsia" w:ascii="宋体" w:hAnsi="宋体" w:eastAsia="宋体" w:cs="宋体"/>
          <w:b/>
          <w:bCs/>
          <w:szCs w:val="21"/>
        </w:rPr>
        <w:t>（二）课程目标及其对毕业要求指标点的支撑</w:t>
      </w:r>
    </w:p>
    <w:p w14:paraId="349C1C1B">
      <w:pPr>
        <w:spacing w:before="156" w:beforeLines="50" w:after="156" w:afterLines="50" w:line="360" w:lineRule="auto"/>
        <w:jc w:val="left"/>
        <w:rPr>
          <w:rFonts w:hint="eastAsia" w:ascii="宋体" w:hAnsi="宋体" w:eastAsia="宋体" w:cs="宋体"/>
          <w:b/>
          <w:bCs/>
          <w:szCs w:val="21"/>
        </w:rPr>
      </w:pP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FDE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D11D12D">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5688" w:type="dxa"/>
            <w:vAlign w:val="center"/>
          </w:tcPr>
          <w:p w14:paraId="1C64A2F4">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191" w:type="dxa"/>
            <w:vAlign w:val="center"/>
          </w:tcPr>
          <w:p w14:paraId="2CF2DD16">
            <w:pPr>
              <w:spacing w:line="360"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5862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B08930E">
            <w:pPr>
              <w:spacing w:line="276"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t>毕业要求1</w:t>
            </w:r>
            <w:r>
              <w:rPr>
                <w:rFonts w:hint="eastAsia" w:ascii="宋体" w:hAnsi="宋体" w:eastAsia="宋体" w:cs="宋体"/>
                <w:sz w:val="21"/>
                <w:szCs w:val="21"/>
                <w:lang w:val="en-US" w:eastAsia="zh-CN"/>
              </w:rPr>
              <w:t>学术规范</w:t>
            </w:r>
          </w:p>
        </w:tc>
        <w:tc>
          <w:tcPr>
            <w:tcW w:w="5688" w:type="dxa"/>
            <w:vAlign w:val="center"/>
          </w:tcPr>
          <w:p w14:paraId="4A34FFE9">
            <w:pPr>
              <w:widowControl/>
              <w:spacing w:line="360" w:lineRule="exact"/>
              <w:jc w:val="left"/>
              <w:rPr>
                <w:rFonts w:hint="eastAsia" w:ascii="宋体" w:hAnsi="宋体" w:eastAsia="宋体" w:cs="宋体"/>
                <w:color w:val="000000"/>
                <w:sz w:val="21"/>
                <w:szCs w:val="21"/>
              </w:rPr>
            </w:pPr>
            <w:r>
              <w:rPr>
                <w:rFonts w:hint="eastAsia" w:ascii="宋体" w:hAnsi="宋体" w:eastAsia="宋体" w:cs="宋体"/>
                <w:sz w:val="21"/>
                <w:szCs w:val="21"/>
              </w:rPr>
              <w:t>指标点1</w:t>
            </w: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学术论文规范</w:t>
            </w:r>
            <w:r>
              <w:rPr>
                <w:rFonts w:hint="eastAsia" w:ascii="宋体" w:hAnsi="宋体" w:eastAsia="宋体" w:cs="宋体"/>
                <w:sz w:val="21"/>
                <w:szCs w:val="21"/>
              </w:rPr>
              <w:t>】</w:t>
            </w:r>
            <w:r>
              <w:rPr>
                <w:rFonts w:hint="eastAsia" w:ascii="宋体" w:hAnsi="宋体" w:eastAsia="宋体" w:cs="宋体"/>
                <w:color w:val="000000"/>
                <w:sz w:val="21"/>
                <w:szCs w:val="21"/>
              </w:rPr>
              <w:t>注重吸取新的研究成果与新的理论方法，将文学史基础知识与学术前沿相结合，对学生进行初步的学术训练，培养学生的研究能力。</w:t>
            </w:r>
          </w:p>
          <w:p w14:paraId="6DBC4EA4">
            <w:pPr>
              <w:spacing w:line="276" w:lineRule="auto"/>
              <w:jc w:val="left"/>
              <w:rPr>
                <w:rFonts w:hint="eastAsia" w:ascii="宋体" w:hAnsi="宋体" w:eastAsia="宋体" w:cs="宋体"/>
                <w:sz w:val="21"/>
                <w:szCs w:val="21"/>
              </w:rPr>
            </w:pPr>
          </w:p>
        </w:tc>
        <w:tc>
          <w:tcPr>
            <w:tcW w:w="1191" w:type="dxa"/>
            <w:vAlign w:val="center"/>
          </w:tcPr>
          <w:p w14:paraId="68A03B34">
            <w:pPr>
              <w:spacing w:line="276"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t>课程目标</w:t>
            </w:r>
            <w:r>
              <w:rPr>
                <w:rFonts w:hint="eastAsia" w:ascii="宋体" w:hAnsi="宋体" w:eastAsia="宋体" w:cs="宋体"/>
                <w:sz w:val="21"/>
                <w:szCs w:val="21"/>
                <w:lang w:val="en-US" w:eastAsia="zh-CN"/>
              </w:rPr>
              <w:t>4</w:t>
            </w:r>
          </w:p>
        </w:tc>
      </w:tr>
      <w:tr w14:paraId="00F8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F244365">
            <w:pPr>
              <w:spacing w:line="276"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t>毕业要求2</w:t>
            </w:r>
            <w:r>
              <w:rPr>
                <w:rFonts w:hint="eastAsia" w:ascii="宋体" w:hAnsi="宋体" w:eastAsia="宋体" w:cs="宋体"/>
                <w:sz w:val="21"/>
                <w:szCs w:val="21"/>
                <w:lang w:val="en-US" w:eastAsia="zh-CN"/>
              </w:rPr>
              <w:t>文化修养</w:t>
            </w:r>
          </w:p>
        </w:tc>
        <w:tc>
          <w:tcPr>
            <w:tcW w:w="5688" w:type="dxa"/>
            <w:vAlign w:val="center"/>
          </w:tcPr>
          <w:p w14:paraId="40850D1C">
            <w:pPr>
              <w:spacing w:line="276" w:lineRule="auto"/>
              <w:jc w:val="left"/>
              <w:rPr>
                <w:rFonts w:hint="eastAsia" w:ascii="宋体" w:hAnsi="宋体" w:eastAsia="宋体" w:cs="宋体"/>
                <w:sz w:val="21"/>
                <w:szCs w:val="21"/>
                <w:lang w:val="en-US"/>
              </w:rPr>
            </w:pPr>
            <w:r>
              <w:rPr>
                <w:rFonts w:hint="eastAsia" w:ascii="宋体" w:hAnsi="宋体" w:eastAsia="宋体" w:cs="宋体"/>
                <w:color w:val="000000"/>
                <w:spacing w:val="2"/>
                <w:kern w:val="0"/>
                <w:sz w:val="21"/>
                <w:szCs w:val="21"/>
              </w:rPr>
              <w:t>指标点2-</w:t>
            </w:r>
            <w:r>
              <w:rPr>
                <w:rFonts w:hint="eastAsia" w:ascii="宋体" w:hAnsi="宋体" w:eastAsia="宋体" w:cs="宋体"/>
                <w:color w:val="000000"/>
                <w:spacing w:val="2"/>
                <w:kern w:val="0"/>
                <w:sz w:val="21"/>
                <w:szCs w:val="21"/>
                <w:lang w:val="en-US" w:eastAsia="zh-CN"/>
              </w:rPr>
              <w:t>3</w:t>
            </w:r>
            <w:r>
              <w:rPr>
                <w:rFonts w:hint="eastAsia" w:ascii="宋体" w:hAnsi="宋体" w:eastAsia="宋体" w:cs="宋体"/>
                <w:color w:val="000000"/>
                <w:spacing w:val="2"/>
                <w:kern w:val="0"/>
                <w:sz w:val="21"/>
                <w:szCs w:val="21"/>
              </w:rPr>
              <w:t>：【</w:t>
            </w:r>
            <w:r>
              <w:rPr>
                <w:rFonts w:hint="eastAsia" w:ascii="宋体" w:hAnsi="宋体" w:eastAsia="宋体" w:cs="宋体"/>
                <w:color w:val="000000"/>
                <w:spacing w:val="2"/>
                <w:kern w:val="0"/>
                <w:sz w:val="21"/>
                <w:szCs w:val="21"/>
                <w:lang w:val="en-US" w:eastAsia="zh-CN"/>
              </w:rPr>
              <w:t>爱国情怀</w:t>
            </w:r>
            <w:r>
              <w:rPr>
                <w:rFonts w:hint="eastAsia" w:ascii="宋体" w:hAnsi="宋体" w:eastAsia="宋体" w:cs="宋体"/>
                <w:color w:val="000000"/>
                <w:spacing w:val="2"/>
                <w:kern w:val="0"/>
                <w:sz w:val="21"/>
                <w:szCs w:val="21"/>
              </w:rPr>
              <w:t>】具有正确的</w:t>
            </w:r>
            <w:r>
              <w:rPr>
                <w:rFonts w:hint="eastAsia" w:ascii="宋体" w:hAnsi="宋体" w:eastAsia="宋体" w:cs="宋体"/>
                <w:color w:val="000000"/>
                <w:spacing w:val="2"/>
                <w:kern w:val="0"/>
                <w:sz w:val="21"/>
                <w:szCs w:val="21"/>
                <w:lang w:val="en-US" w:eastAsia="zh-CN"/>
              </w:rPr>
              <w:t>世界</w:t>
            </w:r>
            <w:r>
              <w:rPr>
                <w:rFonts w:hint="eastAsia" w:ascii="宋体" w:hAnsi="宋体" w:eastAsia="宋体" w:cs="宋体"/>
                <w:color w:val="000000"/>
                <w:spacing w:val="2"/>
                <w:kern w:val="0"/>
                <w:sz w:val="21"/>
                <w:szCs w:val="21"/>
              </w:rPr>
              <w:t>观，</w:t>
            </w:r>
            <w:r>
              <w:rPr>
                <w:rFonts w:hint="eastAsia" w:ascii="宋体" w:hAnsi="宋体" w:eastAsia="宋体" w:cs="宋体"/>
                <w:color w:val="000000"/>
                <w:spacing w:val="2"/>
                <w:kern w:val="0"/>
                <w:sz w:val="21"/>
                <w:szCs w:val="21"/>
                <w:lang w:val="en-US" w:eastAsia="zh-CN"/>
              </w:rPr>
              <w:t>立热爱中华文化，成为传播中国传统文化的引路人。</w:t>
            </w:r>
            <w:r>
              <w:rPr>
                <w:rFonts w:hint="eastAsia" w:ascii="宋体" w:hAnsi="宋体" w:eastAsia="宋体" w:cs="宋体"/>
                <w:color w:val="000000"/>
                <w:sz w:val="21"/>
                <w:szCs w:val="21"/>
              </w:rPr>
              <w:t>培养学生对中华文化的热爱和自信，提升学生的文学素养，使学生能够自觉弘扬中华文化，厚植爱国主义情怀，树立和践行社会主义核心价值观</w:t>
            </w:r>
          </w:p>
        </w:tc>
        <w:tc>
          <w:tcPr>
            <w:tcW w:w="1191" w:type="dxa"/>
            <w:vAlign w:val="center"/>
          </w:tcPr>
          <w:p w14:paraId="15855735">
            <w:pPr>
              <w:spacing w:line="276" w:lineRule="auto"/>
              <w:jc w:val="left"/>
              <w:rPr>
                <w:rFonts w:hint="eastAsia" w:ascii="宋体" w:hAnsi="宋体" w:eastAsia="宋体" w:cs="宋体"/>
                <w:sz w:val="21"/>
                <w:szCs w:val="21"/>
              </w:rPr>
            </w:pPr>
            <w:r>
              <w:rPr>
                <w:rFonts w:hint="eastAsia" w:ascii="宋体" w:hAnsi="宋体" w:eastAsia="宋体" w:cs="宋体"/>
                <w:sz w:val="21"/>
                <w:szCs w:val="21"/>
              </w:rPr>
              <w:t>课程目标3</w:t>
            </w:r>
          </w:p>
        </w:tc>
      </w:tr>
      <w:tr w14:paraId="6C1D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3FEAC12">
            <w:pPr>
              <w:spacing w:line="276" w:lineRule="auto"/>
              <w:jc w:val="left"/>
              <w:rPr>
                <w:rFonts w:hint="eastAsia" w:ascii="宋体" w:hAnsi="宋体" w:eastAsia="宋体" w:cs="宋体"/>
                <w:sz w:val="21"/>
                <w:szCs w:val="21"/>
              </w:rPr>
            </w:pPr>
            <w:r>
              <w:rPr>
                <w:rFonts w:hint="eastAsia" w:ascii="宋体" w:hAnsi="宋体" w:eastAsia="宋体" w:cs="宋体"/>
                <w:sz w:val="21"/>
                <w:szCs w:val="21"/>
              </w:rPr>
              <w:t>毕业要求3学科素养</w:t>
            </w:r>
          </w:p>
        </w:tc>
        <w:tc>
          <w:tcPr>
            <w:tcW w:w="5688" w:type="dxa"/>
            <w:vAlign w:val="center"/>
          </w:tcPr>
          <w:p w14:paraId="0E65FE72">
            <w:pPr>
              <w:spacing w:line="276" w:lineRule="auto"/>
              <w:jc w:val="left"/>
              <w:rPr>
                <w:rFonts w:hint="eastAsia" w:ascii="宋体" w:hAnsi="宋体" w:eastAsia="宋体" w:cs="宋体"/>
                <w:sz w:val="21"/>
                <w:szCs w:val="21"/>
                <w:lang w:eastAsia="zh-CN"/>
              </w:rPr>
            </w:pPr>
            <w:r>
              <w:rPr>
                <w:rFonts w:hint="eastAsia" w:ascii="宋体" w:hAnsi="宋体" w:eastAsia="宋体" w:cs="宋体"/>
                <w:color w:val="000000"/>
                <w:spacing w:val="2"/>
                <w:kern w:val="0"/>
                <w:sz w:val="21"/>
                <w:szCs w:val="21"/>
              </w:rPr>
              <w:t>指标点3-</w:t>
            </w:r>
            <w:r>
              <w:rPr>
                <w:rFonts w:hint="eastAsia" w:ascii="宋体" w:hAnsi="宋体" w:eastAsia="宋体" w:cs="宋体"/>
                <w:color w:val="000000"/>
                <w:spacing w:val="2"/>
                <w:kern w:val="0"/>
                <w:sz w:val="21"/>
                <w:szCs w:val="21"/>
                <w:lang w:val="en-US" w:eastAsia="zh-CN"/>
              </w:rPr>
              <w:t>2</w:t>
            </w:r>
            <w:r>
              <w:rPr>
                <w:rFonts w:hint="eastAsia" w:ascii="宋体" w:hAnsi="宋体" w:eastAsia="宋体" w:cs="宋体"/>
                <w:color w:val="000000"/>
                <w:spacing w:val="2"/>
                <w:kern w:val="0"/>
                <w:sz w:val="21"/>
                <w:szCs w:val="21"/>
              </w:rPr>
              <w:t>：【</w:t>
            </w:r>
            <w:r>
              <w:rPr>
                <w:rFonts w:hint="eastAsia" w:ascii="宋体" w:hAnsi="宋体" w:eastAsia="宋体" w:cs="宋体"/>
                <w:color w:val="000000"/>
                <w:spacing w:val="2"/>
                <w:kern w:val="0"/>
                <w:sz w:val="21"/>
                <w:szCs w:val="21"/>
                <w:lang w:val="en-US" w:eastAsia="zh-CN"/>
              </w:rPr>
              <w:t>中国现当代文学</w:t>
            </w:r>
            <w:r>
              <w:rPr>
                <w:rFonts w:hint="eastAsia" w:ascii="宋体" w:hAnsi="宋体" w:eastAsia="宋体" w:cs="宋体"/>
                <w:color w:val="000000"/>
                <w:spacing w:val="2"/>
                <w:kern w:val="0"/>
                <w:sz w:val="21"/>
                <w:szCs w:val="21"/>
              </w:rPr>
              <w:t>知识牢固】熟悉所教学科</w:t>
            </w:r>
            <w:r>
              <w:rPr>
                <w:rFonts w:hint="eastAsia" w:ascii="宋体" w:hAnsi="宋体" w:eastAsia="宋体" w:cs="宋体"/>
                <w:color w:val="000000"/>
                <w:spacing w:val="2"/>
                <w:kern w:val="0"/>
                <w:sz w:val="21"/>
                <w:szCs w:val="21"/>
                <w:lang w:val="en-US" w:eastAsia="zh-CN"/>
              </w:rPr>
              <w:t>课程的文学作品、作家基本内容</w:t>
            </w:r>
            <w:r>
              <w:rPr>
                <w:rFonts w:hint="eastAsia" w:ascii="宋体" w:hAnsi="宋体" w:eastAsia="宋体" w:cs="宋体"/>
                <w:color w:val="000000"/>
                <w:spacing w:val="2"/>
                <w:kern w:val="0"/>
                <w:sz w:val="21"/>
                <w:szCs w:val="21"/>
              </w:rPr>
              <w:t>。在</w:t>
            </w:r>
            <w:r>
              <w:rPr>
                <w:rFonts w:hint="eastAsia" w:ascii="宋体" w:hAnsi="宋体" w:eastAsia="宋体" w:cs="宋体"/>
                <w:color w:val="000000"/>
                <w:spacing w:val="2"/>
                <w:kern w:val="0"/>
                <w:sz w:val="21"/>
                <w:szCs w:val="21"/>
                <w:lang w:val="en-US" w:eastAsia="zh-CN"/>
              </w:rPr>
              <w:t>文学</w:t>
            </w:r>
            <w:r>
              <w:rPr>
                <w:rFonts w:hint="eastAsia" w:ascii="宋体" w:hAnsi="宋体" w:eastAsia="宋体" w:cs="宋体"/>
                <w:color w:val="000000"/>
                <w:spacing w:val="2"/>
                <w:kern w:val="0"/>
                <w:sz w:val="21"/>
                <w:szCs w:val="21"/>
              </w:rPr>
              <w:t>教学实践中，具有一定的</w:t>
            </w:r>
            <w:r>
              <w:rPr>
                <w:rFonts w:hint="eastAsia" w:ascii="宋体" w:hAnsi="宋体" w:eastAsia="宋体" w:cs="宋体"/>
                <w:color w:val="000000"/>
                <w:spacing w:val="2"/>
                <w:kern w:val="0"/>
                <w:sz w:val="21"/>
                <w:szCs w:val="21"/>
                <w:lang w:val="en-US" w:eastAsia="zh-CN"/>
              </w:rPr>
              <w:t>文学作品分析</w:t>
            </w:r>
            <w:r>
              <w:rPr>
                <w:rFonts w:hint="eastAsia" w:ascii="宋体" w:hAnsi="宋体" w:eastAsia="宋体" w:cs="宋体"/>
                <w:color w:val="000000"/>
                <w:spacing w:val="2"/>
                <w:kern w:val="0"/>
                <w:sz w:val="21"/>
                <w:szCs w:val="21"/>
              </w:rPr>
              <w:t>能力</w:t>
            </w:r>
            <w:r>
              <w:rPr>
                <w:rFonts w:hint="eastAsia" w:ascii="宋体" w:hAnsi="宋体" w:eastAsia="宋体" w:cs="宋体"/>
                <w:color w:val="000000"/>
                <w:spacing w:val="2"/>
                <w:kern w:val="0"/>
                <w:sz w:val="21"/>
                <w:szCs w:val="21"/>
                <w:lang w:eastAsia="zh-CN"/>
              </w:rPr>
              <w:t>。</w:t>
            </w:r>
          </w:p>
        </w:tc>
        <w:tc>
          <w:tcPr>
            <w:tcW w:w="1191" w:type="dxa"/>
            <w:vAlign w:val="center"/>
          </w:tcPr>
          <w:p w14:paraId="4425E7C6">
            <w:pPr>
              <w:spacing w:line="276"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t>课程目标</w:t>
            </w:r>
            <w:r>
              <w:rPr>
                <w:rFonts w:hint="eastAsia" w:ascii="宋体" w:hAnsi="宋体" w:eastAsia="宋体" w:cs="宋体"/>
                <w:sz w:val="21"/>
                <w:szCs w:val="21"/>
                <w:lang w:val="en-US" w:eastAsia="zh-CN"/>
              </w:rPr>
              <w:t>2</w:t>
            </w:r>
          </w:p>
        </w:tc>
      </w:tr>
    </w:tbl>
    <w:p w14:paraId="38A3C1AF">
      <w:pPr>
        <w:widowControl/>
        <w:spacing w:line="360" w:lineRule="exact"/>
        <w:ind w:firstLine="480" w:firstLineChars="200"/>
        <w:jc w:val="left"/>
        <w:rPr>
          <w:rFonts w:hint="eastAsia" w:ascii="宋体" w:hAnsi="宋体" w:eastAsia="宋体" w:cs="宋体"/>
          <w:color w:val="000000"/>
          <w:sz w:val="24"/>
          <w:szCs w:val="22"/>
        </w:rPr>
      </w:pPr>
    </w:p>
    <w:p w14:paraId="33845572">
      <w:pPr>
        <w:spacing w:before="156" w:beforeLines="50" w:line="360" w:lineRule="auto"/>
        <w:jc w:val="left"/>
        <w:rPr>
          <w:rFonts w:hint="eastAsia" w:ascii="宋体" w:hAnsi="宋体" w:eastAsia="宋体" w:cs="宋体"/>
          <w:b/>
          <w:color w:val="000000"/>
          <w:szCs w:val="21"/>
        </w:rPr>
      </w:pPr>
      <w:r>
        <w:rPr>
          <w:rFonts w:hint="eastAsia" w:ascii="宋体" w:hAnsi="宋体" w:eastAsia="宋体" w:cs="宋体"/>
          <w:b/>
          <w:color w:val="000000"/>
          <w:szCs w:val="21"/>
        </w:rPr>
        <w:t>（三）课程思政目标</w:t>
      </w:r>
    </w:p>
    <w:p w14:paraId="0EFDB58F">
      <w:pPr>
        <w:widowControl/>
        <w:spacing w:line="360" w:lineRule="exact"/>
        <w:ind w:firstLine="420" w:firstLineChars="200"/>
        <w:jc w:val="left"/>
        <w:rPr>
          <w:rFonts w:hint="eastAsia" w:ascii="宋体" w:hAnsi="宋体" w:eastAsia="宋体" w:cs="宋体"/>
          <w:color w:val="000000"/>
          <w:sz w:val="21"/>
          <w:szCs w:val="21"/>
        </w:rPr>
      </w:pPr>
      <w:r>
        <w:rPr>
          <w:rFonts w:hint="eastAsia" w:ascii="宋体" w:hAnsi="宋体" w:eastAsia="宋体" w:cs="宋体"/>
          <w:color w:val="000000"/>
          <w:sz w:val="21"/>
          <w:szCs w:val="21"/>
        </w:rPr>
        <w:t>促使学生在扎实掌握学科知识体系、思想与方法的基础上，践行社会主义核心价值观，认同中国特色社会主义，深刻领会习近平新时代中国特色社会主义思想的时代意义。培养学生对中华文化的热爱和自信，提升学生的文学素养，使学生能够自觉弘扬中华文化，厚植爱国主义情怀，树立和践行社会主义核心价值观。</w:t>
      </w:r>
    </w:p>
    <w:p w14:paraId="15423633">
      <w:pPr>
        <w:spacing w:line="360" w:lineRule="auto"/>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679"/>
        <w:gridCol w:w="1105"/>
        <w:gridCol w:w="3164"/>
        <w:gridCol w:w="1506"/>
        <w:gridCol w:w="438"/>
      </w:tblGrid>
      <w:tr w14:paraId="7DF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Align w:val="center"/>
          </w:tcPr>
          <w:p w14:paraId="271730F0">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知识</w:t>
            </w:r>
          </w:p>
          <w:p w14:paraId="3403FFF5">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单元</w:t>
            </w:r>
          </w:p>
        </w:tc>
        <w:tc>
          <w:tcPr>
            <w:tcW w:w="1679" w:type="dxa"/>
            <w:vAlign w:val="center"/>
          </w:tcPr>
          <w:p w14:paraId="46C09D03">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知识点</w:t>
            </w:r>
          </w:p>
        </w:tc>
        <w:tc>
          <w:tcPr>
            <w:tcW w:w="1105" w:type="dxa"/>
            <w:vAlign w:val="center"/>
          </w:tcPr>
          <w:p w14:paraId="1C176158">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对应</w:t>
            </w:r>
          </w:p>
          <w:p w14:paraId="3C51C8A3">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课程目标</w:t>
            </w:r>
          </w:p>
        </w:tc>
        <w:tc>
          <w:tcPr>
            <w:tcW w:w="3164" w:type="dxa"/>
            <w:vAlign w:val="center"/>
          </w:tcPr>
          <w:p w14:paraId="088DBFE1">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预期学习成效</w:t>
            </w:r>
          </w:p>
        </w:tc>
        <w:tc>
          <w:tcPr>
            <w:tcW w:w="1506" w:type="dxa"/>
            <w:vAlign w:val="center"/>
          </w:tcPr>
          <w:p w14:paraId="2FEC75C5">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实现环节</w:t>
            </w:r>
          </w:p>
        </w:tc>
        <w:tc>
          <w:tcPr>
            <w:tcW w:w="438" w:type="dxa"/>
            <w:vAlign w:val="center"/>
          </w:tcPr>
          <w:p w14:paraId="6653B9B9">
            <w:pPr>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学时</w:t>
            </w:r>
          </w:p>
        </w:tc>
      </w:tr>
      <w:tr w14:paraId="16C4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17ED1FAD">
            <w:pPr>
              <w:spacing w:line="360" w:lineRule="auto"/>
              <w:ind w:firstLine="411" w:firstLineChars="196"/>
              <w:rPr>
                <w:rFonts w:hint="eastAsia" w:ascii="宋体" w:hAnsi="宋体" w:eastAsia="宋体" w:cs="宋体"/>
                <w:bCs/>
                <w:sz w:val="21"/>
                <w:szCs w:val="21"/>
              </w:rPr>
            </w:pPr>
            <w:r>
              <w:rPr>
                <w:rFonts w:hint="eastAsia" w:ascii="宋体" w:hAnsi="宋体" w:eastAsia="宋体" w:cs="宋体"/>
                <w:color w:val="000000"/>
                <w:sz w:val="21"/>
                <w:szCs w:val="21"/>
              </w:rPr>
              <w:t>1.</w:t>
            </w:r>
            <w:r>
              <w:rPr>
                <w:rFonts w:hint="eastAsia" w:ascii="宋体" w:hAnsi="宋体" w:eastAsia="宋体" w:cs="宋体"/>
                <w:bCs/>
                <w:sz w:val="21"/>
                <w:szCs w:val="21"/>
              </w:rPr>
              <w:t>文学革命</w:t>
            </w:r>
          </w:p>
          <w:p w14:paraId="62D4DB64">
            <w:pPr>
              <w:spacing w:line="264" w:lineRule="auto"/>
              <w:jc w:val="center"/>
              <w:rPr>
                <w:rFonts w:hint="eastAsia" w:ascii="宋体" w:hAnsi="宋体" w:eastAsia="宋体" w:cs="宋体"/>
                <w:color w:val="000000"/>
                <w:sz w:val="21"/>
                <w:szCs w:val="21"/>
              </w:rPr>
            </w:pPr>
          </w:p>
        </w:tc>
        <w:tc>
          <w:tcPr>
            <w:tcW w:w="1679" w:type="dxa"/>
            <w:vAlign w:val="center"/>
          </w:tcPr>
          <w:p w14:paraId="384D8EBF">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（1）文学革命的发生、性质与意义</w:t>
            </w:r>
          </w:p>
          <w:p w14:paraId="1C97DCB8">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（2）外国文艺思潮的涌入和主要的新文学社团</w:t>
            </w:r>
          </w:p>
          <w:p w14:paraId="64E1673D">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（3）胡适、周作人与新文学初期理论建设</w:t>
            </w:r>
          </w:p>
        </w:tc>
        <w:tc>
          <w:tcPr>
            <w:tcW w:w="1105" w:type="dxa"/>
            <w:vAlign w:val="center"/>
          </w:tcPr>
          <w:p w14:paraId="75811F78">
            <w:pPr>
              <w:spacing w:line="269"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w:t>
            </w:r>
          </w:p>
        </w:tc>
        <w:tc>
          <w:tcPr>
            <w:tcW w:w="3164" w:type="dxa"/>
            <w:vAlign w:val="center"/>
          </w:tcPr>
          <w:p w14:paraId="15873886">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1.理解</w:t>
            </w:r>
            <w:r>
              <w:rPr>
                <w:rFonts w:hint="eastAsia" w:ascii="宋体" w:hAnsi="宋体" w:eastAsia="宋体" w:cs="宋体"/>
                <w:color w:val="000000"/>
                <w:sz w:val="21"/>
                <w:szCs w:val="21"/>
                <w:lang w:val="en-US" w:eastAsia="zh-CN"/>
              </w:rPr>
              <w:t>文学革命</w:t>
            </w:r>
            <w:r>
              <w:rPr>
                <w:rFonts w:hint="eastAsia" w:ascii="宋体" w:hAnsi="宋体" w:eastAsia="宋体" w:cs="宋体"/>
                <w:color w:val="000000"/>
                <w:sz w:val="21"/>
                <w:szCs w:val="21"/>
              </w:rPr>
              <w:t>的概念；</w:t>
            </w:r>
          </w:p>
          <w:p w14:paraId="64592C69">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2.了解</w:t>
            </w:r>
            <w:r>
              <w:rPr>
                <w:rFonts w:hint="eastAsia" w:ascii="宋体" w:hAnsi="宋体" w:eastAsia="宋体" w:cs="宋体"/>
                <w:color w:val="000000"/>
                <w:sz w:val="21"/>
                <w:szCs w:val="21"/>
                <w:lang w:val="en-US" w:eastAsia="zh-CN"/>
              </w:rPr>
              <w:t>文学革命</w:t>
            </w:r>
            <w:r>
              <w:rPr>
                <w:rFonts w:hint="eastAsia" w:ascii="宋体" w:hAnsi="宋体" w:eastAsia="宋体" w:cs="宋体"/>
                <w:color w:val="000000"/>
                <w:sz w:val="21"/>
                <w:szCs w:val="21"/>
              </w:rPr>
              <w:t>的学科性质、发展历史；</w:t>
            </w:r>
          </w:p>
          <w:p w14:paraId="7DBD9C26">
            <w:pPr>
              <w:spacing w:line="269"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3.掌握</w:t>
            </w:r>
            <w:r>
              <w:rPr>
                <w:rFonts w:hint="eastAsia" w:ascii="宋体" w:hAnsi="宋体" w:eastAsia="宋体" w:cs="宋体"/>
                <w:color w:val="000000"/>
                <w:sz w:val="21"/>
                <w:szCs w:val="21"/>
                <w:lang w:val="en-US" w:eastAsia="zh-CN"/>
              </w:rPr>
              <w:t>文学革命的实绩和社团的基本情况</w:t>
            </w:r>
          </w:p>
        </w:tc>
        <w:tc>
          <w:tcPr>
            <w:tcW w:w="1506" w:type="dxa"/>
            <w:vAlign w:val="center"/>
          </w:tcPr>
          <w:p w14:paraId="4AB5BCCB">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2E15A05B">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60A2AB81">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0CC4CA67">
            <w:pPr>
              <w:spacing w:line="269"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r>
      <w:tr w14:paraId="49AB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1DEDEF9D">
            <w:pPr>
              <w:spacing w:line="264" w:lineRule="auto"/>
              <w:jc w:val="center"/>
              <w:rPr>
                <w:rFonts w:hint="eastAsia" w:ascii="宋体" w:hAnsi="宋体" w:eastAsia="宋体" w:cs="宋体"/>
                <w:color w:val="000000"/>
                <w:sz w:val="21"/>
                <w:szCs w:val="21"/>
              </w:rPr>
            </w:pPr>
          </w:p>
        </w:tc>
        <w:tc>
          <w:tcPr>
            <w:tcW w:w="7892" w:type="dxa"/>
            <w:gridSpan w:val="5"/>
            <w:vAlign w:val="center"/>
          </w:tcPr>
          <w:p w14:paraId="52102B5E">
            <w:pPr>
              <w:spacing w:line="269"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b w:val="0"/>
                <w:bCs/>
                <w:color w:val="000000"/>
                <w:sz w:val="21"/>
                <w:szCs w:val="21"/>
              </w:rPr>
              <w:t>通过对新文学发生历程的回顾和新文学社团的介绍,使学生进一步认识艺术源于生活的艺术观念，树立马克思主义文艺观。</w:t>
            </w:r>
          </w:p>
        </w:tc>
      </w:tr>
      <w:tr w14:paraId="1504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30985EAE">
            <w:pPr>
              <w:spacing w:line="360" w:lineRule="auto"/>
              <w:ind w:left="420" w:leftChars="200"/>
              <w:rPr>
                <w:rFonts w:hint="eastAsia" w:ascii="宋体" w:hAnsi="宋体" w:eastAsia="宋体" w:cs="宋体"/>
                <w:bCs/>
                <w:sz w:val="21"/>
                <w:szCs w:val="21"/>
              </w:rPr>
            </w:pPr>
            <w:r>
              <w:rPr>
                <w:rFonts w:hint="eastAsia" w:ascii="宋体" w:hAnsi="宋体" w:eastAsia="宋体" w:cs="宋体"/>
                <w:color w:val="000000"/>
                <w:sz w:val="21"/>
                <w:szCs w:val="21"/>
              </w:rPr>
              <w:t>2.</w:t>
            </w:r>
            <w:r>
              <w:rPr>
                <w:rFonts w:hint="eastAsia" w:ascii="宋体" w:hAnsi="宋体" w:eastAsia="宋体" w:cs="宋体"/>
                <w:bCs/>
                <w:sz w:val="21"/>
                <w:szCs w:val="21"/>
              </w:rPr>
              <w:t>鲁迅</w:t>
            </w:r>
          </w:p>
          <w:p w14:paraId="2528241B">
            <w:pPr>
              <w:spacing w:line="264" w:lineRule="auto"/>
              <w:jc w:val="center"/>
              <w:rPr>
                <w:rFonts w:hint="eastAsia" w:ascii="宋体" w:hAnsi="宋体" w:eastAsia="宋体" w:cs="宋体"/>
                <w:color w:val="000000"/>
                <w:sz w:val="21"/>
                <w:szCs w:val="21"/>
              </w:rPr>
            </w:pPr>
          </w:p>
        </w:tc>
        <w:tc>
          <w:tcPr>
            <w:tcW w:w="1679" w:type="dxa"/>
            <w:vAlign w:val="center"/>
          </w:tcPr>
          <w:p w14:paraId="2C10D67E">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（1）《呐喊》和《彷徨》</w:t>
            </w:r>
          </w:p>
          <w:p w14:paraId="1D4D9A30">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（2）《野草》与《朝花夕拾》</w:t>
            </w:r>
          </w:p>
        </w:tc>
        <w:tc>
          <w:tcPr>
            <w:tcW w:w="1105" w:type="dxa"/>
            <w:vAlign w:val="center"/>
          </w:tcPr>
          <w:p w14:paraId="54A113B1">
            <w:pPr>
              <w:spacing w:line="269" w:lineRule="auto"/>
              <w:jc w:val="both"/>
              <w:rPr>
                <w:rFonts w:hint="eastAsia" w:ascii="宋体" w:hAnsi="宋体" w:eastAsia="宋体" w:cs="宋体"/>
                <w:color w:val="000000"/>
                <w:sz w:val="21"/>
                <w:szCs w:val="21"/>
              </w:rPr>
            </w:pPr>
            <w:r>
              <w:rPr>
                <w:rFonts w:hint="eastAsia" w:ascii="宋体" w:hAnsi="宋体" w:eastAsia="宋体" w:cs="宋体"/>
                <w:color w:val="000000"/>
                <w:sz w:val="21"/>
                <w:szCs w:val="21"/>
              </w:rPr>
              <w:t>课程目标1、3</w:t>
            </w:r>
          </w:p>
        </w:tc>
        <w:tc>
          <w:tcPr>
            <w:tcW w:w="3164" w:type="dxa"/>
            <w:vAlign w:val="center"/>
          </w:tcPr>
          <w:p w14:paraId="3B97253B">
            <w:pPr>
              <w:spacing w:line="360" w:lineRule="auto"/>
              <w:ind w:left="420" w:leftChars="200"/>
              <w:rPr>
                <w:rFonts w:hint="eastAsia" w:ascii="宋体" w:hAnsi="宋体" w:eastAsia="宋体" w:cs="宋体"/>
                <w:bCs/>
                <w:sz w:val="21"/>
                <w:szCs w:val="21"/>
              </w:rPr>
            </w:pPr>
            <w:r>
              <w:rPr>
                <w:rFonts w:hint="eastAsia" w:ascii="宋体" w:hAnsi="宋体" w:eastAsia="宋体" w:cs="宋体"/>
                <w:bCs/>
                <w:sz w:val="21"/>
                <w:szCs w:val="21"/>
              </w:rPr>
              <w:t>（1）理解《呐喊》与《彷徨》对中国小说革命性的贡献</w:t>
            </w:r>
          </w:p>
          <w:p w14:paraId="0B92F350">
            <w:pPr>
              <w:spacing w:line="360" w:lineRule="auto"/>
              <w:ind w:left="420" w:leftChars="200"/>
              <w:rPr>
                <w:rFonts w:hint="eastAsia" w:ascii="宋体" w:hAnsi="宋体" w:eastAsia="宋体" w:cs="宋体"/>
                <w:bCs/>
                <w:sz w:val="21"/>
                <w:szCs w:val="21"/>
              </w:rPr>
            </w:pPr>
            <w:r>
              <w:rPr>
                <w:rFonts w:hint="eastAsia" w:ascii="宋体" w:hAnsi="宋体" w:eastAsia="宋体" w:cs="宋体"/>
                <w:bCs/>
                <w:sz w:val="21"/>
                <w:szCs w:val="21"/>
              </w:rPr>
              <w:t>（2）独特的题材、视角与小说模式</w:t>
            </w:r>
          </w:p>
          <w:p w14:paraId="45B8FBBB">
            <w:pPr>
              <w:spacing w:line="360" w:lineRule="auto"/>
              <w:ind w:left="420" w:leftChars="200"/>
              <w:rPr>
                <w:rFonts w:hint="eastAsia" w:ascii="宋体" w:hAnsi="宋体" w:eastAsia="宋体" w:cs="宋体"/>
                <w:bCs/>
                <w:sz w:val="21"/>
                <w:szCs w:val="21"/>
              </w:rPr>
            </w:pPr>
            <w:r>
              <w:rPr>
                <w:rFonts w:hint="eastAsia" w:ascii="宋体" w:hAnsi="宋体" w:eastAsia="宋体" w:cs="宋体"/>
                <w:bCs/>
                <w:sz w:val="21"/>
                <w:szCs w:val="21"/>
              </w:rPr>
              <w:t>（3）艺术形式方面的创造性与先锋性</w:t>
            </w:r>
          </w:p>
          <w:p w14:paraId="58054A03">
            <w:pPr>
              <w:spacing w:line="269" w:lineRule="auto"/>
              <w:jc w:val="left"/>
              <w:rPr>
                <w:rFonts w:hint="eastAsia" w:ascii="宋体" w:hAnsi="宋体" w:eastAsia="宋体" w:cs="宋体"/>
                <w:color w:val="000000"/>
                <w:sz w:val="21"/>
                <w:szCs w:val="21"/>
              </w:rPr>
            </w:pPr>
          </w:p>
        </w:tc>
        <w:tc>
          <w:tcPr>
            <w:tcW w:w="1506" w:type="dxa"/>
            <w:vAlign w:val="center"/>
          </w:tcPr>
          <w:p w14:paraId="150E5FFC">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58DBC59B">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5CE02779">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682914B6">
            <w:pPr>
              <w:spacing w:line="269"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r>
      <w:tr w14:paraId="4DE5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60A12BA1">
            <w:pPr>
              <w:spacing w:line="264" w:lineRule="auto"/>
              <w:jc w:val="center"/>
              <w:rPr>
                <w:rFonts w:hint="eastAsia" w:ascii="宋体" w:hAnsi="宋体" w:eastAsia="宋体" w:cs="宋体"/>
                <w:color w:val="000000"/>
                <w:sz w:val="21"/>
                <w:szCs w:val="21"/>
              </w:rPr>
            </w:pPr>
          </w:p>
        </w:tc>
        <w:tc>
          <w:tcPr>
            <w:tcW w:w="7892" w:type="dxa"/>
            <w:gridSpan w:val="5"/>
            <w:vAlign w:val="center"/>
          </w:tcPr>
          <w:p w14:paraId="2FC4DAD3">
            <w:pPr>
              <w:spacing w:line="360" w:lineRule="auto"/>
              <w:ind w:left="420" w:leftChars="200"/>
              <w:rPr>
                <w:rFonts w:hint="eastAsia" w:ascii="宋体" w:hAnsi="宋体" w:eastAsia="宋体" w:cs="宋体"/>
                <w:bCs/>
                <w:sz w:val="21"/>
                <w:szCs w:val="21"/>
              </w:rPr>
            </w:pPr>
            <w:r>
              <w:rPr>
                <w:rFonts w:hint="eastAsia" w:ascii="宋体" w:hAnsi="宋体" w:eastAsia="宋体" w:cs="宋体"/>
                <w:b/>
                <w:color w:val="000000"/>
                <w:sz w:val="21"/>
                <w:szCs w:val="21"/>
              </w:rPr>
              <w:t>课程思政目标：</w:t>
            </w:r>
            <w:r>
              <w:rPr>
                <w:rFonts w:hint="eastAsia" w:ascii="宋体" w:hAnsi="宋体" w:eastAsia="宋体" w:cs="宋体"/>
                <w:bCs/>
                <w:sz w:val="21"/>
                <w:szCs w:val="21"/>
              </w:rPr>
              <w:t>让学生充分理解鲁迅关注民众的生活状态和精神面貌，关心人民疾苦的博大胸怀,从而培养学生正确的世界观、人生观与价值观。</w:t>
            </w:r>
          </w:p>
          <w:p w14:paraId="304472EB">
            <w:pPr>
              <w:spacing w:line="269" w:lineRule="auto"/>
              <w:jc w:val="left"/>
              <w:rPr>
                <w:rFonts w:hint="eastAsia" w:ascii="宋体" w:hAnsi="宋体" w:eastAsia="宋体" w:cs="宋体"/>
                <w:b/>
                <w:color w:val="000000"/>
                <w:sz w:val="21"/>
                <w:szCs w:val="21"/>
              </w:rPr>
            </w:pPr>
          </w:p>
        </w:tc>
      </w:tr>
      <w:tr w14:paraId="54F2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6128C3F1">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r>
              <w:rPr>
                <w:rFonts w:hint="eastAsia" w:ascii="宋体" w:hAnsi="宋体" w:eastAsia="宋体" w:cs="宋体"/>
                <w:bCs/>
                <w:sz w:val="21"/>
                <w:szCs w:val="21"/>
              </w:rPr>
              <w:t>自由体诗、新月诗派和象征诗派</w:t>
            </w:r>
          </w:p>
        </w:tc>
        <w:tc>
          <w:tcPr>
            <w:tcW w:w="1679" w:type="dxa"/>
            <w:vAlign w:val="center"/>
          </w:tcPr>
          <w:p w14:paraId="3A6CB655">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⑴《女神》的艺术想象力、形象特征与形式</w:t>
            </w:r>
          </w:p>
          <w:p w14:paraId="464A88BB">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⑵ 前期新月诗派的理论和实践</w:t>
            </w:r>
          </w:p>
          <w:p w14:paraId="4951F398">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⑶ 以李金发为代表的早期象征派诗歌</w:t>
            </w:r>
          </w:p>
        </w:tc>
        <w:tc>
          <w:tcPr>
            <w:tcW w:w="1105" w:type="dxa"/>
            <w:vAlign w:val="center"/>
          </w:tcPr>
          <w:p w14:paraId="41BC7DDD">
            <w:pPr>
              <w:spacing w:line="269"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课程目标2、3</w:t>
            </w:r>
          </w:p>
        </w:tc>
        <w:tc>
          <w:tcPr>
            <w:tcW w:w="3164" w:type="dxa"/>
            <w:vAlign w:val="center"/>
          </w:tcPr>
          <w:p w14:paraId="1DC01AA3">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⑴了解“五四”新诗运动与早期白话诗</w:t>
            </w:r>
          </w:p>
          <w:p w14:paraId="589C5F77">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⑵理解《女神》的艺术想象力、形象特征与形式</w:t>
            </w:r>
          </w:p>
          <w:p w14:paraId="6B5E7A81">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⑶理解闻一多、徐志摩为代表的前期新月派的诗艺探索</w:t>
            </w:r>
          </w:p>
          <w:p w14:paraId="2F25FEDF">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⑷了解以李金发为代表的早期象征派诗歌特征</w:t>
            </w:r>
          </w:p>
        </w:tc>
        <w:tc>
          <w:tcPr>
            <w:tcW w:w="1506" w:type="dxa"/>
            <w:vAlign w:val="center"/>
          </w:tcPr>
          <w:p w14:paraId="7822857E">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3F1C1F5B">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497152AC">
            <w:pPr>
              <w:spacing w:line="269"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053805A7">
            <w:pPr>
              <w:spacing w:line="269"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r>
      <w:tr w14:paraId="16BF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6A2E01B8">
            <w:pPr>
              <w:spacing w:line="264" w:lineRule="auto"/>
              <w:jc w:val="center"/>
              <w:rPr>
                <w:rFonts w:hint="eastAsia" w:ascii="宋体" w:hAnsi="宋体" w:eastAsia="宋体" w:cs="宋体"/>
                <w:color w:val="000000"/>
                <w:sz w:val="21"/>
                <w:szCs w:val="21"/>
              </w:rPr>
            </w:pPr>
          </w:p>
        </w:tc>
        <w:tc>
          <w:tcPr>
            <w:tcW w:w="7892" w:type="dxa"/>
            <w:gridSpan w:val="5"/>
            <w:vAlign w:val="center"/>
          </w:tcPr>
          <w:p w14:paraId="1D567881">
            <w:pPr>
              <w:spacing w:line="360" w:lineRule="auto"/>
              <w:ind w:left="420" w:leftChars="200"/>
              <w:rPr>
                <w:rFonts w:hint="eastAsia" w:ascii="宋体" w:hAnsi="宋体" w:eastAsia="宋体" w:cs="宋体"/>
                <w:bCs/>
                <w:sz w:val="21"/>
                <w:szCs w:val="21"/>
              </w:rPr>
            </w:pPr>
            <w:r>
              <w:rPr>
                <w:rFonts w:hint="eastAsia" w:ascii="宋体" w:hAnsi="宋体" w:eastAsia="宋体" w:cs="宋体"/>
                <w:b/>
                <w:color w:val="000000"/>
                <w:sz w:val="21"/>
                <w:szCs w:val="21"/>
              </w:rPr>
              <w:t>课程思政目标：</w:t>
            </w:r>
            <w:r>
              <w:rPr>
                <w:rFonts w:hint="eastAsia" w:ascii="宋体" w:hAnsi="宋体" w:eastAsia="宋体" w:cs="宋体"/>
                <w:bCs/>
                <w:sz w:val="21"/>
                <w:szCs w:val="21"/>
              </w:rPr>
              <w:t>结合现代诗学理论对诗歌创作进行细致深入的分析，使学生进一步认识艺术源于生活的艺术观念，树立以诗歌反映社会现实的马克思主义诗学观。</w:t>
            </w:r>
          </w:p>
          <w:p w14:paraId="51EF90CB">
            <w:pPr>
              <w:spacing w:line="269" w:lineRule="auto"/>
              <w:jc w:val="left"/>
              <w:rPr>
                <w:rFonts w:hint="eastAsia" w:ascii="宋体" w:hAnsi="宋体" w:eastAsia="宋体" w:cs="宋体"/>
                <w:color w:val="000000"/>
                <w:sz w:val="21"/>
                <w:szCs w:val="21"/>
              </w:rPr>
            </w:pPr>
          </w:p>
        </w:tc>
      </w:tr>
      <w:tr w14:paraId="6939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6ACA009F">
            <w:pPr>
              <w:spacing w:line="360" w:lineRule="auto"/>
              <w:ind w:left="420" w:leftChars="200"/>
              <w:rPr>
                <w:rFonts w:hint="eastAsia" w:ascii="宋体" w:hAnsi="宋体" w:eastAsia="宋体" w:cs="宋体"/>
                <w:bCs/>
                <w:sz w:val="21"/>
                <w:szCs w:val="21"/>
              </w:rPr>
            </w:pPr>
            <w:r>
              <w:rPr>
                <w:rFonts w:hint="eastAsia" w:ascii="宋体" w:hAnsi="宋体" w:eastAsia="宋体" w:cs="宋体"/>
                <w:color w:val="000000"/>
                <w:sz w:val="21"/>
                <w:szCs w:val="21"/>
              </w:rPr>
              <w:t>4</w:t>
            </w:r>
            <w:r>
              <w:rPr>
                <w:rFonts w:hint="eastAsia" w:ascii="宋体" w:hAnsi="宋体" w:eastAsia="宋体" w:cs="宋体"/>
                <w:color w:val="000000"/>
                <w:sz w:val="21"/>
                <w:szCs w:val="21"/>
                <w:lang w:eastAsia="zh-CN"/>
              </w:rPr>
              <w:t>、</w:t>
            </w:r>
            <w:r>
              <w:rPr>
                <w:rFonts w:hint="eastAsia" w:ascii="宋体" w:hAnsi="宋体" w:eastAsia="宋体" w:cs="宋体"/>
                <w:bCs/>
                <w:sz w:val="21"/>
                <w:szCs w:val="21"/>
              </w:rPr>
              <w:t>茅盾、巴金、老舍</w:t>
            </w:r>
          </w:p>
          <w:p w14:paraId="28051055">
            <w:pPr>
              <w:spacing w:line="276" w:lineRule="auto"/>
              <w:jc w:val="center"/>
              <w:rPr>
                <w:rFonts w:hint="eastAsia" w:ascii="宋体" w:hAnsi="宋体" w:eastAsia="宋体" w:cs="宋体"/>
                <w:color w:val="000000"/>
                <w:sz w:val="21"/>
                <w:szCs w:val="21"/>
                <w:lang w:val="en-US" w:eastAsia="zh-CN"/>
              </w:rPr>
            </w:pPr>
          </w:p>
        </w:tc>
        <w:tc>
          <w:tcPr>
            <w:tcW w:w="1679" w:type="dxa"/>
            <w:vAlign w:val="center"/>
          </w:tcPr>
          <w:p w14:paraId="38E3F1BD">
            <w:pPr>
              <w:spacing w:line="360" w:lineRule="auto"/>
              <w:ind w:left="420" w:leftChars="200"/>
              <w:rPr>
                <w:rFonts w:hint="eastAsia" w:ascii="宋体" w:hAnsi="宋体" w:eastAsia="宋体" w:cs="宋体"/>
                <w:bCs/>
                <w:sz w:val="21"/>
                <w:szCs w:val="21"/>
              </w:rPr>
            </w:pPr>
            <w:r>
              <w:rPr>
                <w:rFonts w:hint="eastAsia" w:ascii="宋体" w:hAnsi="宋体" w:eastAsia="宋体" w:cs="宋体"/>
                <w:bCs/>
                <w:sz w:val="21"/>
                <w:szCs w:val="21"/>
              </w:rPr>
              <w:t>（1）茅盾长篇小说艺术成就</w:t>
            </w:r>
          </w:p>
          <w:p w14:paraId="24E7EBAC">
            <w:pPr>
              <w:spacing w:line="30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（2）老舍作品的“京味”与幽默</w:t>
            </w:r>
          </w:p>
          <w:p w14:paraId="0338A817">
            <w:pPr>
              <w:spacing w:line="30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（3）巴金小说创作的前后两个时期</w:t>
            </w:r>
          </w:p>
          <w:p w14:paraId="6A2B7CF7">
            <w:pPr>
              <w:spacing w:line="276" w:lineRule="auto"/>
              <w:jc w:val="left"/>
              <w:rPr>
                <w:rFonts w:hint="eastAsia" w:ascii="宋体" w:hAnsi="宋体" w:eastAsia="宋体" w:cs="宋体"/>
                <w:color w:val="000000"/>
                <w:sz w:val="21"/>
                <w:szCs w:val="21"/>
              </w:rPr>
            </w:pPr>
          </w:p>
        </w:tc>
        <w:tc>
          <w:tcPr>
            <w:tcW w:w="1105" w:type="dxa"/>
            <w:vAlign w:val="center"/>
          </w:tcPr>
          <w:p w14:paraId="47B2C9E0">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64" w:type="dxa"/>
            <w:vAlign w:val="center"/>
          </w:tcPr>
          <w:p w14:paraId="2FB4AEB4">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（1）把握《子夜》的艺术成就：吴荪甫等人物塑造；叙事主旨；结构方式和心理描写</w:t>
            </w:r>
          </w:p>
          <w:p w14:paraId="1A48911B">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（2）把握《骆驼祥子》的艺术成就：小说不同层面的主题意蕴；小说对人性的刻画与道德审视立场</w:t>
            </w:r>
          </w:p>
          <w:p w14:paraId="6B36C744">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（3）掌握《家》的艺术成就：理解《家》的主题和“家”的寓意；理解高老太爷、觉慧、觉新等主要人物形象的意义</w:t>
            </w:r>
          </w:p>
        </w:tc>
        <w:tc>
          <w:tcPr>
            <w:tcW w:w="1506" w:type="dxa"/>
            <w:vAlign w:val="center"/>
          </w:tcPr>
          <w:p w14:paraId="6F3F4813">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7A166313">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4DB9DB2E">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6FBB2820">
            <w:pPr>
              <w:spacing w:line="276"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r>
      <w:tr w14:paraId="31CB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684F6AF0">
            <w:pPr>
              <w:spacing w:line="276" w:lineRule="auto"/>
              <w:jc w:val="center"/>
              <w:rPr>
                <w:rFonts w:hint="eastAsia" w:ascii="宋体" w:hAnsi="宋体" w:eastAsia="宋体" w:cs="宋体"/>
                <w:color w:val="000000"/>
                <w:sz w:val="21"/>
                <w:szCs w:val="21"/>
              </w:rPr>
            </w:pPr>
          </w:p>
        </w:tc>
        <w:tc>
          <w:tcPr>
            <w:tcW w:w="7892" w:type="dxa"/>
            <w:gridSpan w:val="5"/>
            <w:vAlign w:val="center"/>
          </w:tcPr>
          <w:p w14:paraId="66CAA027">
            <w:pPr>
              <w:spacing w:line="276"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b w:val="0"/>
                <w:bCs/>
                <w:color w:val="000000"/>
                <w:sz w:val="21"/>
                <w:szCs w:val="21"/>
              </w:rPr>
              <w:t>将培育和践行社会主义核心价值观贯穿课程始终，从国家意识、法治意识、社会责任意识和个人诚信意识等层面，加强社会公德、职业道德、家庭美德、个人品德教育。让学生充分认识作家对下层平民生活的关心，树立社会主义理想，增强社会主义使命意识和社会责任感。</w:t>
            </w:r>
          </w:p>
        </w:tc>
      </w:tr>
      <w:tr w14:paraId="4CC7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62B51247">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5.50-70年代的文学环境</w:t>
            </w:r>
          </w:p>
        </w:tc>
        <w:tc>
          <w:tcPr>
            <w:tcW w:w="1679" w:type="dxa"/>
            <w:vAlign w:val="center"/>
          </w:tcPr>
          <w:p w14:paraId="12A734BC">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（1）毛泽东的文学思想与“文学新方向”的确立</w:t>
            </w:r>
          </w:p>
          <w:p w14:paraId="61FA27CE">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（2）文学环境与文学规范</w:t>
            </w:r>
          </w:p>
          <w:p w14:paraId="5FA8ABB7">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（3）频繁的文学批判运动</w:t>
            </w:r>
          </w:p>
        </w:tc>
        <w:tc>
          <w:tcPr>
            <w:tcW w:w="1105" w:type="dxa"/>
            <w:vAlign w:val="center"/>
          </w:tcPr>
          <w:p w14:paraId="0DB50089">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64" w:type="dxa"/>
            <w:vAlign w:val="center"/>
          </w:tcPr>
          <w:p w14:paraId="65F1C278">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（1）理解毛泽东的文艺思想</w:t>
            </w:r>
          </w:p>
          <w:p w14:paraId="11DCE717">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（2）理解当代文学建立的文学规范的主要内涵</w:t>
            </w:r>
          </w:p>
          <w:p w14:paraId="65E89CD3">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（3）理解本时期主要文学批判运动的具体内容</w:t>
            </w:r>
          </w:p>
        </w:tc>
        <w:tc>
          <w:tcPr>
            <w:tcW w:w="1506" w:type="dxa"/>
            <w:vAlign w:val="center"/>
          </w:tcPr>
          <w:p w14:paraId="00CA4041">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520EC5FC">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0F5130E2">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6CC142BC">
            <w:pPr>
              <w:spacing w:line="276"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r>
      <w:tr w14:paraId="002E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3B24FC7E">
            <w:pPr>
              <w:spacing w:line="276" w:lineRule="auto"/>
              <w:jc w:val="center"/>
              <w:rPr>
                <w:rFonts w:hint="eastAsia" w:ascii="宋体" w:hAnsi="宋体" w:eastAsia="宋体" w:cs="宋体"/>
                <w:color w:val="000000"/>
                <w:sz w:val="21"/>
                <w:szCs w:val="21"/>
              </w:rPr>
            </w:pPr>
          </w:p>
        </w:tc>
        <w:tc>
          <w:tcPr>
            <w:tcW w:w="7892" w:type="dxa"/>
            <w:gridSpan w:val="5"/>
            <w:vAlign w:val="center"/>
          </w:tcPr>
          <w:p w14:paraId="62BA2521">
            <w:pPr>
              <w:spacing w:line="276"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b w:val="0"/>
                <w:bCs/>
                <w:color w:val="000000"/>
                <w:sz w:val="21"/>
                <w:szCs w:val="21"/>
              </w:rPr>
              <w:t>把马克思主义文学理论融入课程内容，对学生进行理想信念教育，树立健全的唯物史观，坚持“四个自信”。</w:t>
            </w:r>
          </w:p>
        </w:tc>
      </w:tr>
      <w:tr w14:paraId="0EB9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40E946EF">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6.50-70年代的诗歌和散文</w:t>
            </w:r>
          </w:p>
        </w:tc>
        <w:tc>
          <w:tcPr>
            <w:tcW w:w="1679" w:type="dxa"/>
            <w:vAlign w:val="center"/>
          </w:tcPr>
          <w:p w14:paraId="0B5C7F1C">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（1）叙事诗潮流与政治抒情诗</w:t>
            </w:r>
          </w:p>
          <w:p w14:paraId="5E105E0B">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（2）以杨朔、刘白羽、秦牧为代表的散文创作</w:t>
            </w:r>
          </w:p>
          <w:p w14:paraId="728DF588">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（3）邓拓、吴晗、廖沫沙等人的杂文创作</w:t>
            </w:r>
          </w:p>
          <w:p w14:paraId="25796608">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（4）作品解读：郭小川《甘蔗林—青纱帐》；贺敬之《桂林山水歌》；刘白羽《长江三日》；邓拓《一个鸡蛋的家当》</w:t>
            </w:r>
          </w:p>
        </w:tc>
        <w:tc>
          <w:tcPr>
            <w:tcW w:w="1105" w:type="dxa"/>
            <w:vAlign w:val="center"/>
          </w:tcPr>
          <w:p w14:paraId="67A8D0B4">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64" w:type="dxa"/>
            <w:vAlign w:val="center"/>
          </w:tcPr>
          <w:p w14:paraId="73825329">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（1）理解叙事诗与政治抒情诗的创作特征</w:t>
            </w:r>
          </w:p>
          <w:p w14:paraId="793BABAE">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（2）理解50-70年代散文创作的主要特征</w:t>
            </w:r>
          </w:p>
          <w:p w14:paraId="6F22FFA2">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（3）理解50-70年代杂文创作的主要特征</w:t>
            </w:r>
          </w:p>
          <w:p w14:paraId="324C7192">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（4）理解50-70诗歌中的国家意识，培养学生爱国主义情操。</w:t>
            </w:r>
          </w:p>
        </w:tc>
        <w:tc>
          <w:tcPr>
            <w:tcW w:w="1506" w:type="dxa"/>
            <w:vAlign w:val="center"/>
          </w:tcPr>
          <w:p w14:paraId="29834A7F">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158DE8C5">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37E5AE19">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19734784">
            <w:pPr>
              <w:spacing w:line="276"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r>
      <w:tr w14:paraId="0858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5E20D225">
            <w:pPr>
              <w:spacing w:line="276" w:lineRule="auto"/>
              <w:jc w:val="center"/>
              <w:rPr>
                <w:rFonts w:hint="eastAsia" w:ascii="宋体" w:hAnsi="宋体" w:eastAsia="宋体" w:cs="宋体"/>
                <w:color w:val="000000"/>
                <w:sz w:val="21"/>
                <w:szCs w:val="21"/>
              </w:rPr>
            </w:pPr>
          </w:p>
        </w:tc>
        <w:tc>
          <w:tcPr>
            <w:tcW w:w="7892" w:type="dxa"/>
            <w:gridSpan w:val="5"/>
            <w:vAlign w:val="center"/>
          </w:tcPr>
          <w:p w14:paraId="22E4AB20">
            <w:pPr>
              <w:spacing w:line="276"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b w:val="0"/>
                <w:bCs/>
                <w:color w:val="000000"/>
                <w:sz w:val="21"/>
                <w:szCs w:val="21"/>
              </w:rPr>
              <w:t>以马克思主义文学理论解读此阶段的诗文创作，对学生进行理想信念教育，树立健全的唯物史观，坚持文化自信。通过诗文的阅读和欣赏了解中国故事的发展演变。</w:t>
            </w:r>
          </w:p>
        </w:tc>
      </w:tr>
      <w:tr w14:paraId="3311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37C676C5">
            <w:pPr>
              <w:spacing w:line="276" w:lineRule="auto"/>
              <w:jc w:val="center"/>
              <w:rPr>
                <w:rFonts w:hint="eastAsia" w:ascii="宋体" w:hAnsi="宋体" w:eastAsia="宋体" w:cs="宋体"/>
                <w:sz w:val="21"/>
                <w:szCs w:val="21"/>
              </w:rPr>
            </w:pPr>
            <w:r>
              <w:rPr>
                <w:rFonts w:hint="eastAsia" w:ascii="宋体" w:hAnsi="宋体" w:eastAsia="宋体" w:cs="宋体"/>
                <w:sz w:val="21"/>
                <w:szCs w:val="21"/>
              </w:rPr>
              <w:t>7.50-70年代小说：农村题材小说</w:t>
            </w:r>
          </w:p>
        </w:tc>
        <w:tc>
          <w:tcPr>
            <w:tcW w:w="1679" w:type="dxa"/>
            <w:vAlign w:val="center"/>
          </w:tcPr>
          <w:p w14:paraId="0CA818B6">
            <w:pPr>
              <w:spacing w:line="276" w:lineRule="auto"/>
              <w:jc w:val="left"/>
              <w:rPr>
                <w:rFonts w:hint="eastAsia" w:ascii="宋体" w:hAnsi="宋体" w:eastAsia="宋体" w:cs="宋体"/>
                <w:sz w:val="21"/>
                <w:szCs w:val="21"/>
              </w:rPr>
            </w:pPr>
            <w:r>
              <w:rPr>
                <w:rFonts w:hint="eastAsia" w:ascii="宋体" w:hAnsi="宋体" w:eastAsia="宋体" w:cs="宋体"/>
                <w:sz w:val="21"/>
                <w:szCs w:val="21"/>
              </w:rPr>
              <w:t>（1）农村小说的当代形态</w:t>
            </w:r>
          </w:p>
          <w:p w14:paraId="1B9AABA1">
            <w:pPr>
              <w:spacing w:line="276" w:lineRule="auto"/>
              <w:jc w:val="left"/>
              <w:rPr>
                <w:rFonts w:hint="eastAsia" w:ascii="宋体" w:hAnsi="宋体" w:eastAsia="宋体" w:cs="宋体"/>
                <w:sz w:val="21"/>
                <w:szCs w:val="21"/>
              </w:rPr>
            </w:pPr>
            <w:r>
              <w:rPr>
                <w:rFonts w:hint="eastAsia" w:ascii="宋体" w:hAnsi="宋体" w:eastAsia="宋体" w:cs="宋体"/>
                <w:sz w:val="21"/>
                <w:szCs w:val="21"/>
              </w:rPr>
              <w:t xml:space="preserve">     （2）赵树理与赵树理的“评价史”</w:t>
            </w:r>
          </w:p>
          <w:p w14:paraId="699077B6">
            <w:pPr>
              <w:spacing w:line="276" w:lineRule="auto"/>
              <w:jc w:val="left"/>
              <w:rPr>
                <w:rFonts w:hint="eastAsia" w:ascii="宋体" w:hAnsi="宋体" w:eastAsia="宋体" w:cs="宋体"/>
                <w:sz w:val="21"/>
                <w:szCs w:val="21"/>
              </w:rPr>
            </w:pPr>
            <w:r>
              <w:rPr>
                <w:rFonts w:hint="eastAsia" w:ascii="宋体" w:hAnsi="宋体" w:eastAsia="宋体" w:cs="宋体"/>
                <w:sz w:val="21"/>
                <w:szCs w:val="21"/>
              </w:rPr>
              <w:t xml:space="preserve">     （3）柳青的《创作史》</w:t>
            </w:r>
          </w:p>
          <w:p w14:paraId="7679916F">
            <w:pPr>
              <w:spacing w:line="276" w:lineRule="auto"/>
              <w:jc w:val="left"/>
              <w:rPr>
                <w:rFonts w:hint="eastAsia" w:ascii="宋体" w:hAnsi="宋体" w:eastAsia="宋体" w:cs="宋体"/>
                <w:sz w:val="21"/>
                <w:szCs w:val="21"/>
              </w:rPr>
            </w:pPr>
            <w:r>
              <w:rPr>
                <w:rFonts w:hint="eastAsia" w:ascii="宋体" w:hAnsi="宋体" w:eastAsia="宋体" w:cs="宋体"/>
                <w:sz w:val="21"/>
                <w:szCs w:val="21"/>
              </w:rPr>
              <w:t xml:space="preserve">     （4）周立波的《山乡巨变》</w:t>
            </w:r>
          </w:p>
          <w:p w14:paraId="6F5B22B1">
            <w:pPr>
              <w:spacing w:line="276" w:lineRule="auto"/>
              <w:jc w:val="left"/>
              <w:rPr>
                <w:rFonts w:hint="eastAsia" w:ascii="宋体" w:hAnsi="宋体" w:eastAsia="宋体" w:cs="宋体"/>
                <w:sz w:val="21"/>
                <w:szCs w:val="21"/>
              </w:rPr>
            </w:pPr>
            <w:r>
              <w:rPr>
                <w:rFonts w:hint="eastAsia" w:ascii="宋体" w:hAnsi="宋体" w:eastAsia="宋体" w:cs="宋体"/>
                <w:sz w:val="21"/>
                <w:szCs w:val="21"/>
              </w:rPr>
              <w:t xml:space="preserve">     （5）作品选读：赵树理《锻炼锻炼》；柳青《创业史》；周立波《山乡巨变》</w:t>
            </w:r>
          </w:p>
        </w:tc>
        <w:tc>
          <w:tcPr>
            <w:tcW w:w="1105" w:type="dxa"/>
            <w:vAlign w:val="center"/>
          </w:tcPr>
          <w:p w14:paraId="01BD2B41">
            <w:pPr>
              <w:spacing w:line="276"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64" w:type="dxa"/>
            <w:vAlign w:val="center"/>
          </w:tcPr>
          <w:p w14:paraId="4E3EFB65">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（1）理解农村题材小说的创作特征</w:t>
            </w:r>
          </w:p>
          <w:p w14:paraId="45B9B234">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（2）理解赵树理在当代文学中创作特点</w:t>
            </w:r>
          </w:p>
          <w:p w14:paraId="769BE49B">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（3）理解《创业史》的叙事主旨、人物塑造及争论</w:t>
            </w:r>
          </w:p>
          <w:p w14:paraId="65C9007B">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（4）理解</w:t>
            </w:r>
            <w:r>
              <w:rPr>
                <w:rFonts w:hint="eastAsia" w:ascii="宋体" w:hAnsi="宋体" w:eastAsia="宋体" w:cs="宋体"/>
                <w:sz w:val="21"/>
                <w:szCs w:val="21"/>
              </w:rPr>
              <w:t>50-70小说的国家意识和革命文化理念，加强革命文化教育。</w:t>
            </w:r>
          </w:p>
          <w:p w14:paraId="3DD5E19F">
            <w:pPr>
              <w:spacing w:line="276" w:lineRule="auto"/>
              <w:jc w:val="left"/>
              <w:rPr>
                <w:rFonts w:hint="eastAsia" w:ascii="宋体" w:hAnsi="宋体" w:eastAsia="宋体" w:cs="宋体"/>
                <w:color w:val="000000"/>
                <w:sz w:val="21"/>
                <w:szCs w:val="21"/>
                <w:lang w:val="en-US" w:eastAsia="zh-CN"/>
              </w:rPr>
            </w:pPr>
          </w:p>
        </w:tc>
        <w:tc>
          <w:tcPr>
            <w:tcW w:w="1506" w:type="dxa"/>
            <w:vAlign w:val="center"/>
          </w:tcPr>
          <w:p w14:paraId="21E2BAD8">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2761550A">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6D0B4861">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55CF9B41">
            <w:pPr>
              <w:spacing w:line="276"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r>
      <w:tr w14:paraId="1B42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2F7FA4C5">
            <w:pPr>
              <w:spacing w:line="276" w:lineRule="auto"/>
              <w:jc w:val="center"/>
              <w:rPr>
                <w:rFonts w:hint="eastAsia" w:ascii="宋体" w:hAnsi="宋体" w:eastAsia="宋体" w:cs="宋体"/>
                <w:color w:val="000000"/>
                <w:sz w:val="21"/>
                <w:szCs w:val="21"/>
              </w:rPr>
            </w:pPr>
          </w:p>
        </w:tc>
        <w:tc>
          <w:tcPr>
            <w:tcW w:w="7892" w:type="dxa"/>
            <w:gridSpan w:val="5"/>
            <w:vAlign w:val="center"/>
          </w:tcPr>
          <w:p w14:paraId="7CB7762C">
            <w:pPr>
              <w:widowControl w:val="0"/>
              <w:spacing w:line="400" w:lineRule="exact"/>
              <w:ind w:firstLine="422" w:firstLineChars="200"/>
              <w:jc w:val="both"/>
              <w:rPr>
                <w:rFonts w:hint="eastAsia" w:ascii="宋体" w:hAnsi="宋体" w:eastAsia="宋体" w:cs="宋体"/>
                <w:bCs/>
                <w:kern w:val="2"/>
                <w:sz w:val="21"/>
                <w:szCs w:val="21"/>
                <w:lang w:val="en-US" w:eastAsia="zh-CN" w:bidi="ar-SA"/>
              </w:rPr>
            </w:pPr>
            <w:r>
              <w:rPr>
                <w:rFonts w:hint="eastAsia" w:ascii="宋体" w:hAnsi="宋体" w:eastAsia="宋体" w:cs="宋体"/>
                <w:b/>
                <w:color w:val="000000"/>
                <w:kern w:val="2"/>
                <w:sz w:val="21"/>
                <w:szCs w:val="21"/>
                <w:lang w:val="en-US" w:eastAsia="zh-CN" w:bidi="ar-SA"/>
              </w:rPr>
              <w:t>课程思政目标：</w:t>
            </w:r>
            <w:r>
              <w:rPr>
                <w:rFonts w:hint="eastAsia" w:ascii="宋体" w:hAnsi="宋体" w:eastAsia="宋体" w:cs="宋体"/>
                <w:color w:val="000000"/>
                <w:kern w:val="0"/>
                <w:sz w:val="21"/>
                <w:szCs w:val="21"/>
                <w:lang w:val="en-US" w:eastAsia="zh-CN" w:bidi="ar-SA"/>
              </w:rPr>
              <w:t>以马克思主义文学理论解读此阶段的小说创作，了解党的农业农村建设方针政策，了解建国后“三农”问题在文学史中的文学再现。树立健全的唯物史观，坚持文化自信。</w:t>
            </w:r>
          </w:p>
          <w:p w14:paraId="0A27C2E4">
            <w:pPr>
              <w:spacing w:line="276" w:lineRule="auto"/>
              <w:jc w:val="left"/>
              <w:rPr>
                <w:rFonts w:hint="eastAsia" w:ascii="宋体" w:hAnsi="宋体" w:eastAsia="宋体" w:cs="宋体"/>
                <w:color w:val="000000"/>
                <w:sz w:val="21"/>
                <w:szCs w:val="21"/>
              </w:rPr>
            </w:pPr>
          </w:p>
        </w:tc>
      </w:tr>
      <w:tr w14:paraId="0650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53AC2DCA">
            <w:pPr>
              <w:spacing w:line="36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8.50-70年代小说：革命历史小说</w:t>
            </w:r>
          </w:p>
          <w:p w14:paraId="25D5CBE3">
            <w:pPr>
              <w:spacing w:line="264" w:lineRule="auto"/>
              <w:jc w:val="center"/>
              <w:rPr>
                <w:rFonts w:hint="eastAsia" w:ascii="宋体" w:hAnsi="宋体" w:eastAsia="宋体" w:cs="宋体"/>
                <w:color w:val="000000"/>
                <w:sz w:val="21"/>
                <w:szCs w:val="21"/>
              </w:rPr>
            </w:pPr>
          </w:p>
        </w:tc>
        <w:tc>
          <w:tcPr>
            <w:tcW w:w="1679" w:type="dxa"/>
            <w:vAlign w:val="center"/>
          </w:tcPr>
          <w:p w14:paraId="60D7A9F6">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（1）革命历史小说的创作特征</w:t>
            </w:r>
          </w:p>
          <w:p w14:paraId="72858F9F">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（2）吴强的《红日》与梁斌的《红旗谱》</w:t>
            </w:r>
          </w:p>
          <w:p w14:paraId="119FE576">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（3）《红岩》的写作方式</w:t>
            </w:r>
          </w:p>
          <w:p w14:paraId="1ECF2BCE">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（4）杨沫的《青春之歌》</w:t>
            </w:r>
          </w:p>
        </w:tc>
        <w:tc>
          <w:tcPr>
            <w:tcW w:w="1105" w:type="dxa"/>
            <w:vAlign w:val="center"/>
          </w:tcPr>
          <w:p w14:paraId="1D3D1C7C">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64" w:type="dxa"/>
            <w:vAlign w:val="center"/>
          </w:tcPr>
          <w:p w14:paraId="0C4BA251">
            <w:pPr>
              <w:spacing w:line="264" w:lineRule="auto"/>
              <w:ind w:firstLine="344"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（1）理解“革命历史小说”这一概念的基本内涵</w:t>
            </w:r>
          </w:p>
          <w:p w14:paraId="7B996B28">
            <w:pPr>
              <w:spacing w:line="264" w:lineRule="auto"/>
              <w:ind w:firstLine="344"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（2）理解《红日》、《红旗谱》等作品的创作特征</w:t>
            </w:r>
          </w:p>
          <w:p w14:paraId="4CA72B4C">
            <w:pPr>
              <w:spacing w:line="264" w:lineRule="auto"/>
              <w:ind w:firstLine="344"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（3）理解《青春之歌》的创作特点</w:t>
            </w:r>
          </w:p>
          <w:p w14:paraId="5A6B48BE">
            <w:pPr>
              <w:spacing w:line="264" w:lineRule="auto"/>
              <w:ind w:firstLine="344"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（4）理解50-70年代小说的国家意识和革命文化理念，加强革命文化教育。</w:t>
            </w:r>
          </w:p>
        </w:tc>
        <w:tc>
          <w:tcPr>
            <w:tcW w:w="1506" w:type="dxa"/>
            <w:vAlign w:val="center"/>
          </w:tcPr>
          <w:p w14:paraId="31EE51B9">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0AF95227">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3AD9CF06">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0D89CDC4">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r>
      <w:tr w14:paraId="3DFA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4BE1D615">
            <w:pPr>
              <w:spacing w:line="264" w:lineRule="auto"/>
              <w:jc w:val="center"/>
              <w:rPr>
                <w:rFonts w:hint="eastAsia" w:ascii="宋体" w:hAnsi="宋体" w:eastAsia="宋体" w:cs="宋体"/>
                <w:color w:val="000000"/>
                <w:sz w:val="21"/>
                <w:szCs w:val="21"/>
              </w:rPr>
            </w:pPr>
          </w:p>
        </w:tc>
        <w:tc>
          <w:tcPr>
            <w:tcW w:w="7892" w:type="dxa"/>
            <w:gridSpan w:val="5"/>
            <w:vAlign w:val="center"/>
          </w:tcPr>
          <w:p w14:paraId="7C5A1B35">
            <w:pPr>
              <w:spacing w:line="264"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b w:val="0"/>
                <w:bCs/>
                <w:color w:val="000000"/>
                <w:sz w:val="21"/>
                <w:szCs w:val="21"/>
              </w:rPr>
              <w:t>以马克思主义文学理论解读此阶段的小说创作，思考革命小说的发展历程，以唯物史观纵览革命文学以及革命文化事业，培养理性的爱国主义精神。</w:t>
            </w:r>
          </w:p>
        </w:tc>
      </w:tr>
      <w:tr w14:paraId="4310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29BDC9F8">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9.新时期文学：伤痕文学、反思文学与改革文学</w:t>
            </w:r>
          </w:p>
        </w:tc>
        <w:tc>
          <w:tcPr>
            <w:tcW w:w="1679" w:type="dxa"/>
            <w:vAlign w:val="center"/>
          </w:tcPr>
          <w:p w14:paraId="55E99108">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（1）新时期文学的建立与话语资源</w:t>
            </w:r>
          </w:p>
          <w:p w14:paraId="776B9358">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（2）“伤痕文学”“反思文学”和“改革文学”的创作特征</w:t>
            </w:r>
          </w:p>
          <w:p w14:paraId="4474138C">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（3）作品选读：刘心武的《班主任》、卢新华的《伤痕》、高晓声《陈奂生上城》、蒋子龙的《乔厂长上任记》</w:t>
            </w:r>
          </w:p>
        </w:tc>
        <w:tc>
          <w:tcPr>
            <w:tcW w:w="1105" w:type="dxa"/>
            <w:vAlign w:val="center"/>
          </w:tcPr>
          <w:p w14:paraId="2B477AEA">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tc>
        <w:tc>
          <w:tcPr>
            <w:tcW w:w="3164" w:type="dxa"/>
            <w:vAlign w:val="center"/>
          </w:tcPr>
          <w:p w14:paraId="0CADDF83">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（1）理解新时期文学这一概念的内涵</w:t>
            </w:r>
          </w:p>
          <w:p w14:paraId="104754F5">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（2）了解伤痕文学、反思文学和改革文学的概念和特征</w:t>
            </w:r>
          </w:p>
          <w:p w14:paraId="7B795CA2">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（3）理解新时期小说的国家意识和社会责任意识，培育和树立社会主义核心价值观。</w:t>
            </w:r>
          </w:p>
        </w:tc>
        <w:tc>
          <w:tcPr>
            <w:tcW w:w="1506" w:type="dxa"/>
            <w:vAlign w:val="center"/>
          </w:tcPr>
          <w:p w14:paraId="340C3B72">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0CFA8B0D">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51DE78A4">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5CD52D09">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r>
      <w:tr w14:paraId="01E2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4F5A107F">
            <w:pPr>
              <w:spacing w:line="264" w:lineRule="auto"/>
              <w:jc w:val="center"/>
              <w:rPr>
                <w:rFonts w:hint="eastAsia" w:ascii="宋体" w:hAnsi="宋体" w:eastAsia="宋体" w:cs="宋体"/>
                <w:color w:val="000000"/>
                <w:sz w:val="21"/>
                <w:szCs w:val="21"/>
              </w:rPr>
            </w:pPr>
          </w:p>
        </w:tc>
        <w:tc>
          <w:tcPr>
            <w:tcW w:w="7892" w:type="dxa"/>
            <w:gridSpan w:val="5"/>
            <w:vAlign w:val="center"/>
          </w:tcPr>
          <w:p w14:paraId="37A20281">
            <w:pPr>
              <w:spacing w:line="264"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b w:val="0"/>
                <w:bCs/>
                <w:color w:val="000000"/>
                <w:sz w:val="21"/>
                <w:szCs w:val="21"/>
              </w:rPr>
              <w:t>以马克思主义文学理论解读此阶段的文学创作，思考中国当代文学的发展历程，培养理性的爱国主义精神。在文学史的梳理中，培养社会主义核心价值观。</w:t>
            </w:r>
          </w:p>
        </w:tc>
      </w:tr>
      <w:tr w14:paraId="76DB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5ADBD82F">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10.80年代诗歌：“朦胧诗”和“第三代诗”</w:t>
            </w:r>
          </w:p>
        </w:tc>
        <w:tc>
          <w:tcPr>
            <w:tcW w:w="1679" w:type="dxa"/>
            <w:vAlign w:val="center"/>
          </w:tcPr>
          <w:p w14:paraId="2F70FBF7">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（1）“朦胧诗”及其争论</w:t>
            </w:r>
          </w:p>
          <w:p w14:paraId="79058EB6">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（2）“新生代”或“第三代诗”的美学特征</w:t>
            </w:r>
          </w:p>
          <w:p w14:paraId="4B38217F">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（3）作品选读：北岛《回答》、梁小斌《中国，我的钥匙丢了》、舒婷《神女峰》、顾城《远和近》、海子《面朝大海，春暖花开》、韩东《有关大雁塔》、于坚《尚义街六号》</w:t>
            </w:r>
          </w:p>
        </w:tc>
        <w:tc>
          <w:tcPr>
            <w:tcW w:w="1105" w:type="dxa"/>
            <w:vAlign w:val="center"/>
          </w:tcPr>
          <w:p w14:paraId="0E4723B5">
            <w:pPr>
              <w:spacing w:line="264"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课程目标1、2、3</w:t>
            </w:r>
          </w:p>
          <w:p w14:paraId="6548E0A0">
            <w:pPr>
              <w:spacing w:line="264" w:lineRule="auto"/>
              <w:jc w:val="center"/>
              <w:rPr>
                <w:rFonts w:hint="eastAsia" w:ascii="宋体" w:hAnsi="宋体" w:eastAsia="宋体" w:cs="宋体"/>
                <w:color w:val="000000"/>
                <w:sz w:val="21"/>
                <w:szCs w:val="21"/>
              </w:rPr>
            </w:pPr>
          </w:p>
        </w:tc>
        <w:tc>
          <w:tcPr>
            <w:tcW w:w="3164" w:type="dxa"/>
            <w:vAlign w:val="center"/>
          </w:tcPr>
          <w:p w14:paraId="266D7B60">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（1）理解“朦胧诗”的内涵和艺术特征</w:t>
            </w:r>
          </w:p>
          <w:p w14:paraId="08EA9506">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（2）理解“第三代诗”的美学特征</w:t>
            </w:r>
          </w:p>
          <w:p w14:paraId="008DE26D">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（3）理解朦胧诗的人文内涵，培养学生的文学职业素养，践行社会主义核心价值观。</w:t>
            </w:r>
          </w:p>
        </w:tc>
        <w:tc>
          <w:tcPr>
            <w:tcW w:w="1506" w:type="dxa"/>
            <w:vAlign w:val="center"/>
          </w:tcPr>
          <w:p w14:paraId="286F6086">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1.线上学习</w:t>
            </w:r>
          </w:p>
          <w:p w14:paraId="23D566EE">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2.多媒体教学3.课堂讨论</w:t>
            </w:r>
          </w:p>
          <w:p w14:paraId="4B4BEF80">
            <w:pPr>
              <w:spacing w:line="264"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4.单元测验</w:t>
            </w:r>
          </w:p>
        </w:tc>
        <w:tc>
          <w:tcPr>
            <w:tcW w:w="438" w:type="dxa"/>
            <w:vAlign w:val="center"/>
          </w:tcPr>
          <w:p w14:paraId="3995D093">
            <w:pPr>
              <w:spacing w:line="264"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r>
      <w:tr w14:paraId="4D03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6A66447D">
            <w:pPr>
              <w:spacing w:line="264" w:lineRule="auto"/>
              <w:jc w:val="center"/>
              <w:rPr>
                <w:rFonts w:hint="eastAsia" w:ascii="宋体" w:hAnsi="宋体" w:eastAsia="宋体" w:cs="宋体"/>
                <w:color w:val="000000"/>
                <w:sz w:val="21"/>
                <w:szCs w:val="21"/>
              </w:rPr>
            </w:pPr>
          </w:p>
        </w:tc>
        <w:tc>
          <w:tcPr>
            <w:tcW w:w="7892" w:type="dxa"/>
            <w:gridSpan w:val="5"/>
            <w:vAlign w:val="center"/>
          </w:tcPr>
          <w:p w14:paraId="057199FB">
            <w:pPr>
              <w:spacing w:line="264" w:lineRule="auto"/>
              <w:jc w:val="left"/>
              <w:rPr>
                <w:rFonts w:hint="eastAsia" w:ascii="宋体" w:hAnsi="宋体" w:eastAsia="宋体" w:cs="宋体"/>
                <w:color w:val="000000"/>
                <w:sz w:val="21"/>
                <w:szCs w:val="21"/>
              </w:rPr>
            </w:pPr>
            <w:r>
              <w:rPr>
                <w:rFonts w:hint="eastAsia" w:ascii="宋体" w:hAnsi="宋体" w:eastAsia="宋体" w:cs="宋体"/>
                <w:b/>
                <w:color w:val="000000"/>
                <w:sz w:val="21"/>
                <w:szCs w:val="21"/>
              </w:rPr>
              <w:t>课程思政目标：</w:t>
            </w:r>
            <w:r>
              <w:rPr>
                <w:rFonts w:hint="eastAsia" w:ascii="宋体" w:hAnsi="宋体" w:eastAsia="宋体" w:cs="宋体"/>
                <w:b w:val="0"/>
                <w:bCs/>
                <w:color w:val="000000"/>
                <w:sz w:val="21"/>
                <w:szCs w:val="21"/>
              </w:rPr>
              <w:t>以马克思主义文学理论解读此阶段的诗歌创作，启发现代文学的创作创新能力，将歌咏新时代作为中国社会发展的文学主旋律。</w:t>
            </w:r>
          </w:p>
        </w:tc>
      </w:tr>
    </w:tbl>
    <w:p w14:paraId="61910A6B">
      <w:pPr>
        <w:spacing w:line="360" w:lineRule="auto"/>
        <w:jc w:val="left"/>
        <w:rPr>
          <w:rFonts w:hint="eastAsia" w:ascii="宋体" w:hAnsi="宋体" w:eastAsia="宋体" w:cs="宋体"/>
          <w:sz w:val="24"/>
          <w:szCs w:val="24"/>
        </w:rPr>
      </w:pPr>
    </w:p>
    <w:p w14:paraId="7369D0D1">
      <w:pPr>
        <w:spacing w:line="360" w:lineRule="auto"/>
        <w:rPr>
          <w:rFonts w:hint="eastAsia" w:ascii="宋体" w:hAnsi="宋体" w:eastAsia="宋体" w:cs="宋体"/>
          <w:b/>
          <w:sz w:val="28"/>
          <w:szCs w:val="28"/>
        </w:rPr>
      </w:pPr>
    </w:p>
    <w:p w14:paraId="5A4A1AFE">
      <w:pPr>
        <w:spacing w:line="360" w:lineRule="auto"/>
        <w:rPr>
          <w:rFonts w:hint="eastAsia" w:ascii="宋体" w:hAnsi="宋体" w:eastAsia="宋体" w:cs="宋体"/>
          <w:b/>
          <w:sz w:val="28"/>
          <w:szCs w:val="28"/>
        </w:rPr>
      </w:pPr>
    </w:p>
    <w:p w14:paraId="2FA20F6C">
      <w:pPr>
        <w:spacing w:line="360" w:lineRule="auto"/>
        <w:rPr>
          <w:rFonts w:hint="eastAsia" w:ascii="宋体" w:hAnsi="宋体" w:eastAsia="宋体" w:cs="宋体"/>
          <w:b/>
          <w:sz w:val="28"/>
          <w:szCs w:val="28"/>
        </w:rPr>
      </w:pPr>
    </w:p>
    <w:p w14:paraId="20C59E6C">
      <w:pPr>
        <w:spacing w:line="360" w:lineRule="auto"/>
        <w:rPr>
          <w:rFonts w:hint="eastAsia" w:ascii="宋体" w:hAnsi="宋体" w:eastAsia="宋体" w:cs="宋体"/>
          <w:b/>
          <w:sz w:val="28"/>
          <w:szCs w:val="28"/>
        </w:rPr>
      </w:pPr>
    </w:p>
    <w:p w14:paraId="05D78B32">
      <w:pPr>
        <w:spacing w:line="360" w:lineRule="auto"/>
        <w:rPr>
          <w:rFonts w:hint="eastAsia" w:ascii="宋体" w:hAnsi="宋体" w:eastAsia="宋体" w:cs="宋体"/>
          <w:b/>
          <w:sz w:val="28"/>
          <w:szCs w:val="28"/>
        </w:rPr>
      </w:pPr>
    </w:p>
    <w:p w14:paraId="18626A4F">
      <w:pPr>
        <w:spacing w:line="360" w:lineRule="auto"/>
        <w:rPr>
          <w:rFonts w:hint="eastAsia" w:ascii="宋体" w:hAnsi="宋体" w:eastAsia="宋体" w:cs="宋体"/>
          <w:b/>
          <w:sz w:val="28"/>
          <w:szCs w:val="28"/>
        </w:rPr>
      </w:pPr>
    </w:p>
    <w:p w14:paraId="087107C5">
      <w:pPr>
        <w:spacing w:line="360" w:lineRule="auto"/>
        <w:rPr>
          <w:rFonts w:hint="eastAsia" w:ascii="宋体" w:hAnsi="宋体" w:eastAsia="宋体" w:cs="宋体"/>
          <w:b/>
          <w:sz w:val="28"/>
          <w:szCs w:val="28"/>
        </w:rPr>
      </w:pPr>
    </w:p>
    <w:p w14:paraId="5453F08F">
      <w:pPr>
        <w:spacing w:line="360" w:lineRule="auto"/>
        <w:rPr>
          <w:rFonts w:hint="eastAsia" w:ascii="宋体" w:hAnsi="宋体" w:eastAsia="宋体" w:cs="宋体"/>
          <w:b/>
          <w:sz w:val="28"/>
          <w:szCs w:val="28"/>
        </w:rPr>
      </w:pPr>
    </w:p>
    <w:p w14:paraId="6F6AE7E5">
      <w:pPr>
        <w:spacing w:line="360" w:lineRule="auto"/>
        <w:rPr>
          <w:rFonts w:hint="eastAsia" w:ascii="宋体" w:hAnsi="宋体" w:eastAsia="宋体" w:cs="宋体"/>
          <w:b/>
          <w:sz w:val="28"/>
          <w:szCs w:val="28"/>
        </w:rPr>
      </w:pPr>
    </w:p>
    <w:p w14:paraId="099645BF">
      <w:pPr>
        <w:spacing w:line="360" w:lineRule="auto"/>
        <w:jc w:val="left"/>
        <w:rPr>
          <w:rFonts w:hint="eastAsia" w:ascii="宋体" w:hAnsi="宋体" w:eastAsia="宋体" w:cs="宋体"/>
          <w:sz w:val="24"/>
          <w:szCs w:val="24"/>
        </w:rPr>
      </w:pPr>
      <w:r>
        <w:rPr>
          <w:rFonts w:hint="eastAsia" w:ascii="宋体" w:hAnsi="宋体" w:eastAsia="宋体" w:cs="宋体"/>
          <w:b/>
          <w:color w:val="000000"/>
          <w:sz w:val="24"/>
          <w:szCs w:val="24"/>
        </w:rPr>
        <w:t>四、目标评价与成绩评定</w:t>
      </w:r>
    </w:p>
    <w:p w14:paraId="56BD6D90">
      <w:pPr>
        <w:spacing w:line="360" w:lineRule="auto"/>
        <w:jc w:val="left"/>
        <w:rPr>
          <w:rFonts w:hint="eastAsia" w:ascii="宋体" w:hAnsi="宋体" w:eastAsia="宋体" w:cs="宋体"/>
          <w:b/>
          <w:szCs w:val="21"/>
        </w:rPr>
      </w:pPr>
      <w:r>
        <w:rPr>
          <w:rFonts w:hint="eastAsia" w:ascii="宋体" w:hAnsi="宋体" w:eastAsia="宋体" w:cs="宋体"/>
          <w:b/>
          <w:szCs w:val="21"/>
        </w:rPr>
        <w:t>（一）课程目标评价方式</w:t>
      </w:r>
    </w:p>
    <w:p w14:paraId="593D20DE">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根据总体设计，用于评价各课程目标的评价方式如表3所示。</w:t>
      </w:r>
    </w:p>
    <w:p w14:paraId="53EFE4BF">
      <w:pPr>
        <w:spacing w:line="360" w:lineRule="auto"/>
        <w:jc w:val="center"/>
        <w:rPr>
          <w:rFonts w:hint="eastAsia" w:ascii="宋体" w:hAnsi="宋体" w:eastAsia="宋体" w:cs="宋体"/>
          <w:b/>
          <w:bCs/>
          <w:szCs w:val="21"/>
        </w:rPr>
      </w:pPr>
      <w:r>
        <w:rPr>
          <w:rFonts w:hint="eastAsia" w:ascii="宋体" w:hAnsi="宋体" w:eastAsia="宋体" w:cs="宋体"/>
          <w:b/>
          <w:bCs/>
          <w:szCs w:val="21"/>
        </w:rPr>
        <w:t>表3课程教学评价设计总表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0A5B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AF4882C">
            <w:pPr>
              <w:spacing w:line="360" w:lineRule="auto"/>
              <w:jc w:val="center"/>
              <w:rPr>
                <w:rFonts w:hint="eastAsia" w:ascii="宋体" w:hAnsi="宋体" w:eastAsia="宋体" w:cs="宋体"/>
                <w:szCs w:val="21"/>
              </w:rPr>
            </w:pPr>
            <w:r>
              <w:rPr>
                <w:rFonts w:hint="eastAsia" w:ascii="宋体" w:hAnsi="宋体" w:eastAsia="宋体" w:cs="宋体"/>
                <w:szCs w:val="21"/>
              </w:rPr>
              <w:t>课程目标</w:t>
            </w:r>
          </w:p>
        </w:tc>
        <w:tc>
          <w:tcPr>
            <w:tcW w:w="0" w:type="auto"/>
            <w:gridSpan w:val="6"/>
            <w:vAlign w:val="center"/>
          </w:tcPr>
          <w:p w14:paraId="486CC3F1">
            <w:pPr>
              <w:spacing w:line="360"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0" w:type="auto"/>
            <w:vMerge w:val="restart"/>
            <w:vAlign w:val="center"/>
          </w:tcPr>
          <w:p w14:paraId="76AA2909">
            <w:pPr>
              <w:spacing w:line="360" w:lineRule="auto"/>
              <w:jc w:val="center"/>
              <w:rPr>
                <w:rFonts w:hint="eastAsia" w:ascii="宋体" w:hAnsi="宋体" w:eastAsia="宋体" w:cs="宋体"/>
                <w:szCs w:val="21"/>
              </w:rPr>
            </w:pPr>
            <w:r>
              <w:rPr>
                <w:rFonts w:hint="eastAsia" w:ascii="宋体" w:hAnsi="宋体" w:eastAsia="宋体" w:cs="宋体"/>
                <w:szCs w:val="21"/>
              </w:rPr>
              <w:t>分值</w:t>
            </w:r>
          </w:p>
        </w:tc>
      </w:tr>
      <w:tr w14:paraId="784C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BA1D7E4">
            <w:pPr>
              <w:spacing w:line="360" w:lineRule="auto"/>
              <w:jc w:val="center"/>
              <w:rPr>
                <w:rFonts w:hint="eastAsia" w:ascii="宋体" w:hAnsi="宋体" w:eastAsia="宋体" w:cs="宋体"/>
                <w:szCs w:val="21"/>
              </w:rPr>
            </w:pPr>
          </w:p>
        </w:tc>
        <w:tc>
          <w:tcPr>
            <w:tcW w:w="0" w:type="auto"/>
            <w:vAlign w:val="center"/>
          </w:tcPr>
          <w:p w14:paraId="4C43C720">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0" w:type="auto"/>
            <w:vAlign w:val="center"/>
          </w:tcPr>
          <w:p w14:paraId="483FE28E">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0" w:type="auto"/>
            <w:vAlign w:val="center"/>
          </w:tcPr>
          <w:p w14:paraId="56BA14C8">
            <w:pPr>
              <w:spacing w:line="360" w:lineRule="auto"/>
              <w:jc w:val="center"/>
              <w:rPr>
                <w:rFonts w:hint="eastAsia" w:ascii="宋体" w:hAnsi="宋体" w:eastAsia="宋体" w:cs="宋体"/>
                <w:szCs w:val="21"/>
              </w:rPr>
            </w:pPr>
            <w:r>
              <w:rPr>
                <w:rFonts w:hint="eastAsia" w:ascii="宋体" w:hAnsi="宋体" w:eastAsia="宋体" w:cs="宋体"/>
                <w:szCs w:val="21"/>
              </w:rPr>
              <w:t>单元测验</w:t>
            </w:r>
          </w:p>
        </w:tc>
        <w:tc>
          <w:tcPr>
            <w:tcW w:w="0" w:type="auto"/>
            <w:vAlign w:val="center"/>
          </w:tcPr>
          <w:p w14:paraId="7673B13C">
            <w:pPr>
              <w:spacing w:line="360" w:lineRule="auto"/>
              <w:jc w:val="center"/>
              <w:rPr>
                <w:rFonts w:hint="eastAsia" w:ascii="宋体" w:hAnsi="宋体" w:eastAsia="宋体" w:cs="宋体"/>
                <w:szCs w:val="21"/>
              </w:rPr>
            </w:pPr>
            <w:r>
              <w:rPr>
                <w:rFonts w:hint="eastAsia" w:ascii="宋体" w:hAnsi="宋体" w:eastAsia="宋体" w:cs="宋体"/>
                <w:szCs w:val="21"/>
              </w:rPr>
              <w:t>个人展示</w:t>
            </w:r>
          </w:p>
        </w:tc>
        <w:tc>
          <w:tcPr>
            <w:tcW w:w="0" w:type="auto"/>
            <w:vAlign w:val="center"/>
          </w:tcPr>
          <w:p w14:paraId="0C4B45EB">
            <w:pPr>
              <w:spacing w:line="360" w:lineRule="auto"/>
              <w:jc w:val="center"/>
              <w:rPr>
                <w:rFonts w:hint="eastAsia" w:ascii="宋体" w:hAnsi="宋体" w:eastAsia="宋体" w:cs="宋体"/>
                <w:szCs w:val="21"/>
              </w:rPr>
            </w:pPr>
            <w:r>
              <w:rPr>
                <w:rFonts w:hint="eastAsia" w:ascii="宋体" w:hAnsi="宋体" w:eastAsia="宋体" w:cs="宋体"/>
                <w:szCs w:val="21"/>
              </w:rPr>
              <w:t>期末考试</w:t>
            </w:r>
          </w:p>
        </w:tc>
        <w:tc>
          <w:tcPr>
            <w:tcW w:w="0" w:type="auto"/>
          </w:tcPr>
          <w:p w14:paraId="7950AA01">
            <w:pPr>
              <w:spacing w:line="360" w:lineRule="auto"/>
              <w:jc w:val="center"/>
              <w:rPr>
                <w:rFonts w:hint="eastAsia" w:ascii="宋体" w:hAnsi="宋体" w:eastAsia="宋体" w:cs="宋体"/>
                <w:szCs w:val="21"/>
              </w:rPr>
            </w:pPr>
            <w:r>
              <w:rPr>
                <w:rFonts w:hint="eastAsia" w:ascii="宋体" w:hAnsi="宋体" w:eastAsia="宋体" w:cs="宋体"/>
                <w:szCs w:val="21"/>
              </w:rPr>
              <w:t>自主学习</w:t>
            </w:r>
          </w:p>
        </w:tc>
        <w:tc>
          <w:tcPr>
            <w:tcW w:w="0" w:type="auto"/>
            <w:vMerge w:val="continue"/>
            <w:vAlign w:val="center"/>
          </w:tcPr>
          <w:p w14:paraId="6F39EF6D">
            <w:pPr>
              <w:spacing w:line="360" w:lineRule="auto"/>
              <w:jc w:val="center"/>
              <w:rPr>
                <w:rFonts w:hint="eastAsia" w:ascii="宋体" w:hAnsi="宋体" w:eastAsia="宋体" w:cs="宋体"/>
                <w:szCs w:val="21"/>
              </w:rPr>
            </w:pPr>
          </w:p>
        </w:tc>
      </w:tr>
      <w:tr w14:paraId="3EF9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43AB9B8">
            <w:pPr>
              <w:spacing w:line="360" w:lineRule="auto"/>
              <w:jc w:val="center"/>
              <w:rPr>
                <w:rFonts w:hint="eastAsia" w:ascii="宋体" w:hAnsi="宋体" w:eastAsia="宋体" w:cs="宋体"/>
                <w:szCs w:val="21"/>
              </w:rPr>
            </w:pPr>
            <w:r>
              <w:rPr>
                <w:rFonts w:hint="eastAsia" w:ascii="宋体" w:hAnsi="宋体" w:eastAsia="宋体" w:cs="宋体"/>
                <w:szCs w:val="21"/>
              </w:rPr>
              <w:t>课程目标1</w:t>
            </w:r>
          </w:p>
        </w:tc>
        <w:tc>
          <w:tcPr>
            <w:tcW w:w="0" w:type="auto"/>
            <w:vAlign w:val="center"/>
          </w:tcPr>
          <w:p w14:paraId="2FF6A343">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5829EE3C">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4B142FE5">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20962EC1">
            <w:pPr>
              <w:spacing w:line="360" w:lineRule="auto"/>
              <w:jc w:val="center"/>
              <w:rPr>
                <w:rFonts w:hint="eastAsia" w:ascii="宋体" w:hAnsi="宋体" w:eastAsia="宋体" w:cs="宋体"/>
                <w:szCs w:val="21"/>
              </w:rPr>
            </w:pPr>
          </w:p>
        </w:tc>
        <w:tc>
          <w:tcPr>
            <w:tcW w:w="0" w:type="auto"/>
            <w:vAlign w:val="center"/>
          </w:tcPr>
          <w:p w14:paraId="2FC282F7">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50F058F1">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31AFA85E">
            <w:pPr>
              <w:spacing w:line="360" w:lineRule="auto"/>
              <w:jc w:val="center"/>
              <w:rPr>
                <w:rFonts w:hint="eastAsia" w:ascii="宋体" w:hAnsi="宋体" w:eastAsia="宋体" w:cs="宋体"/>
                <w:szCs w:val="21"/>
                <w:lang w:val="en-US" w:eastAsia="zh-CN"/>
              </w:rPr>
            </w:pPr>
            <w:r>
              <w:rPr>
                <w:rFonts w:hint="eastAsia" w:ascii="宋体" w:hAnsi="宋体" w:eastAsia="宋体" w:cs="宋体"/>
                <w:szCs w:val="21"/>
              </w:rPr>
              <w:t>3</w:t>
            </w:r>
            <w:r>
              <w:rPr>
                <w:rFonts w:hint="eastAsia" w:ascii="宋体" w:hAnsi="宋体" w:eastAsia="宋体" w:cs="宋体"/>
                <w:szCs w:val="21"/>
                <w:lang w:val="en-US" w:eastAsia="zh-CN"/>
              </w:rPr>
              <w:t>5</w:t>
            </w:r>
          </w:p>
        </w:tc>
      </w:tr>
      <w:tr w14:paraId="27A1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96C7AAD">
            <w:pPr>
              <w:spacing w:line="360" w:lineRule="auto"/>
              <w:jc w:val="center"/>
              <w:rPr>
                <w:rFonts w:hint="eastAsia" w:ascii="宋体" w:hAnsi="宋体" w:eastAsia="宋体" w:cs="宋体"/>
                <w:szCs w:val="21"/>
              </w:rPr>
            </w:pPr>
            <w:r>
              <w:rPr>
                <w:rFonts w:hint="eastAsia" w:ascii="宋体" w:hAnsi="宋体" w:eastAsia="宋体" w:cs="宋体"/>
                <w:szCs w:val="21"/>
              </w:rPr>
              <w:t>课程目标2</w:t>
            </w:r>
          </w:p>
        </w:tc>
        <w:tc>
          <w:tcPr>
            <w:tcW w:w="0" w:type="auto"/>
            <w:vAlign w:val="center"/>
          </w:tcPr>
          <w:p w14:paraId="3E2091BE">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F28F945">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224076B9">
            <w:pPr>
              <w:spacing w:line="360" w:lineRule="auto"/>
              <w:jc w:val="center"/>
              <w:rPr>
                <w:rFonts w:hint="eastAsia" w:ascii="宋体" w:hAnsi="宋体" w:eastAsia="宋体" w:cs="宋体"/>
                <w:szCs w:val="21"/>
              </w:rPr>
            </w:pPr>
          </w:p>
        </w:tc>
        <w:tc>
          <w:tcPr>
            <w:tcW w:w="0" w:type="auto"/>
            <w:vAlign w:val="center"/>
          </w:tcPr>
          <w:p w14:paraId="7F0276A7">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209B9CCF">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6C49FDC3">
            <w:pPr>
              <w:spacing w:line="360" w:lineRule="auto"/>
              <w:jc w:val="center"/>
              <w:rPr>
                <w:rFonts w:hint="eastAsia" w:ascii="宋体" w:hAnsi="宋体" w:eastAsia="宋体" w:cs="宋体"/>
                <w:szCs w:val="21"/>
              </w:rPr>
            </w:pPr>
          </w:p>
        </w:tc>
        <w:tc>
          <w:tcPr>
            <w:tcW w:w="0" w:type="auto"/>
            <w:vAlign w:val="center"/>
          </w:tcPr>
          <w:p w14:paraId="11EB08FA">
            <w:pPr>
              <w:spacing w:line="36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35</w:t>
            </w:r>
          </w:p>
        </w:tc>
      </w:tr>
      <w:tr w14:paraId="37B4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4549A2">
            <w:pPr>
              <w:spacing w:line="360" w:lineRule="auto"/>
              <w:jc w:val="center"/>
              <w:rPr>
                <w:rFonts w:hint="eastAsia" w:ascii="宋体" w:hAnsi="宋体" w:eastAsia="宋体" w:cs="宋体"/>
                <w:szCs w:val="21"/>
              </w:rPr>
            </w:pPr>
            <w:r>
              <w:rPr>
                <w:rFonts w:hint="eastAsia" w:ascii="宋体" w:hAnsi="宋体" w:eastAsia="宋体" w:cs="宋体"/>
                <w:szCs w:val="21"/>
              </w:rPr>
              <w:t>课程目标3</w:t>
            </w:r>
          </w:p>
        </w:tc>
        <w:tc>
          <w:tcPr>
            <w:tcW w:w="0" w:type="auto"/>
            <w:vAlign w:val="center"/>
          </w:tcPr>
          <w:p w14:paraId="6114C3AF">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9D38B8A">
            <w:pPr>
              <w:spacing w:line="360" w:lineRule="auto"/>
              <w:jc w:val="center"/>
              <w:rPr>
                <w:rFonts w:hint="eastAsia" w:ascii="宋体" w:hAnsi="宋体" w:eastAsia="宋体" w:cs="宋体"/>
                <w:szCs w:val="21"/>
              </w:rPr>
            </w:pPr>
          </w:p>
        </w:tc>
        <w:tc>
          <w:tcPr>
            <w:tcW w:w="0" w:type="auto"/>
            <w:vAlign w:val="center"/>
          </w:tcPr>
          <w:p w14:paraId="0BFAA3FA">
            <w:pPr>
              <w:spacing w:line="360" w:lineRule="auto"/>
              <w:jc w:val="center"/>
              <w:rPr>
                <w:rFonts w:hint="eastAsia" w:ascii="宋体" w:hAnsi="宋体" w:eastAsia="宋体" w:cs="宋体"/>
                <w:szCs w:val="21"/>
              </w:rPr>
            </w:pPr>
          </w:p>
        </w:tc>
        <w:tc>
          <w:tcPr>
            <w:tcW w:w="0" w:type="auto"/>
            <w:vAlign w:val="center"/>
          </w:tcPr>
          <w:p w14:paraId="46360AB2">
            <w:pPr>
              <w:spacing w:line="360" w:lineRule="auto"/>
              <w:jc w:val="center"/>
              <w:rPr>
                <w:rFonts w:hint="eastAsia" w:ascii="宋体" w:hAnsi="宋体" w:eastAsia="宋体" w:cs="宋体"/>
                <w:szCs w:val="21"/>
              </w:rPr>
            </w:pPr>
          </w:p>
        </w:tc>
        <w:tc>
          <w:tcPr>
            <w:tcW w:w="0" w:type="auto"/>
            <w:vAlign w:val="center"/>
          </w:tcPr>
          <w:p w14:paraId="67B7848E">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76AADE6D">
            <w:pPr>
              <w:spacing w:line="360" w:lineRule="auto"/>
              <w:jc w:val="center"/>
              <w:rPr>
                <w:rFonts w:hint="eastAsia" w:ascii="宋体" w:hAnsi="宋体" w:eastAsia="宋体" w:cs="宋体"/>
                <w:szCs w:val="21"/>
              </w:rPr>
            </w:pPr>
          </w:p>
        </w:tc>
        <w:tc>
          <w:tcPr>
            <w:tcW w:w="0" w:type="auto"/>
            <w:vAlign w:val="center"/>
          </w:tcPr>
          <w:p w14:paraId="655E83BD">
            <w:pPr>
              <w:spacing w:line="36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30</w:t>
            </w:r>
          </w:p>
        </w:tc>
      </w:tr>
      <w:tr w14:paraId="6431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80A2B1">
            <w:pPr>
              <w:spacing w:line="360" w:lineRule="auto"/>
              <w:jc w:val="center"/>
              <w:rPr>
                <w:rFonts w:hint="eastAsia" w:ascii="宋体" w:hAnsi="宋体" w:eastAsia="宋体" w:cs="宋体"/>
                <w:szCs w:val="21"/>
              </w:rPr>
            </w:pPr>
            <w:r>
              <w:rPr>
                <w:rFonts w:hint="eastAsia" w:ascii="宋体" w:hAnsi="宋体" w:eastAsia="宋体" w:cs="宋体"/>
                <w:szCs w:val="21"/>
              </w:rPr>
              <w:t>合计</w:t>
            </w:r>
          </w:p>
        </w:tc>
        <w:tc>
          <w:tcPr>
            <w:tcW w:w="0" w:type="auto"/>
            <w:vAlign w:val="center"/>
          </w:tcPr>
          <w:p w14:paraId="7C6D9954">
            <w:pPr>
              <w:spacing w:line="360" w:lineRule="auto"/>
              <w:jc w:val="center"/>
              <w:rPr>
                <w:rFonts w:hint="eastAsia" w:ascii="宋体" w:hAnsi="宋体" w:eastAsia="宋体" w:cs="宋体"/>
                <w:szCs w:val="21"/>
              </w:rPr>
            </w:pPr>
          </w:p>
        </w:tc>
        <w:tc>
          <w:tcPr>
            <w:tcW w:w="0" w:type="auto"/>
            <w:vAlign w:val="center"/>
          </w:tcPr>
          <w:p w14:paraId="2ACAF88A">
            <w:pPr>
              <w:spacing w:line="360" w:lineRule="auto"/>
              <w:jc w:val="center"/>
              <w:rPr>
                <w:rFonts w:hint="eastAsia" w:ascii="宋体" w:hAnsi="宋体" w:eastAsia="宋体" w:cs="宋体"/>
                <w:szCs w:val="21"/>
              </w:rPr>
            </w:pPr>
          </w:p>
        </w:tc>
        <w:tc>
          <w:tcPr>
            <w:tcW w:w="0" w:type="auto"/>
            <w:vAlign w:val="center"/>
          </w:tcPr>
          <w:p w14:paraId="4F0FB8E8">
            <w:pPr>
              <w:spacing w:line="360" w:lineRule="auto"/>
              <w:jc w:val="center"/>
              <w:rPr>
                <w:rFonts w:hint="eastAsia" w:ascii="宋体" w:hAnsi="宋体" w:eastAsia="宋体" w:cs="宋体"/>
                <w:szCs w:val="21"/>
              </w:rPr>
            </w:pPr>
          </w:p>
        </w:tc>
        <w:tc>
          <w:tcPr>
            <w:tcW w:w="0" w:type="auto"/>
            <w:vAlign w:val="center"/>
          </w:tcPr>
          <w:p w14:paraId="18B588C2">
            <w:pPr>
              <w:spacing w:line="360" w:lineRule="auto"/>
              <w:jc w:val="center"/>
              <w:rPr>
                <w:rFonts w:hint="eastAsia" w:ascii="宋体" w:hAnsi="宋体" w:eastAsia="宋体" w:cs="宋体"/>
                <w:szCs w:val="21"/>
              </w:rPr>
            </w:pPr>
          </w:p>
        </w:tc>
        <w:tc>
          <w:tcPr>
            <w:tcW w:w="0" w:type="auto"/>
            <w:vAlign w:val="center"/>
          </w:tcPr>
          <w:p w14:paraId="5678DEC9">
            <w:pPr>
              <w:spacing w:line="360" w:lineRule="auto"/>
              <w:jc w:val="center"/>
              <w:rPr>
                <w:rFonts w:hint="eastAsia" w:ascii="宋体" w:hAnsi="宋体" w:eastAsia="宋体" w:cs="宋体"/>
                <w:szCs w:val="21"/>
              </w:rPr>
            </w:pPr>
          </w:p>
        </w:tc>
        <w:tc>
          <w:tcPr>
            <w:tcW w:w="0" w:type="auto"/>
          </w:tcPr>
          <w:p w14:paraId="26691E68">
            <w:pPr>
              <w:spacing w:line="360" w:lineRule="auto"/>
              <w:jc w:val="center"/>
              <w:rPr>
                <w:rFonts w:hint="eastAsia" w:ascii="宋体" w:hAnsi="宋体" w:eastAsia="宋体" w:cs="宋体"/>
                <w:szCs w:val="21"/>
              </w:rPr>
            </w:pPr>
          </w:p>
        </w:tc>
        <w:tc>
          <w:tcPr>
            <w:tcW w:w="0" w:type="auto"/>
            <w:vAlign w:val="center"/>
          </w:tcPr>
          <w:p w14:paraId="2F29993C">
            <w:pPr>
              <w:spacing w:line="360" w:lineRule="auto"/>
              <w:jc w:val="center"/>
              <w:rPr>
                <w:rFonts w:hint="eastAsia" w:ascii="宋体" w:hAnsi="宋体" w:eastAsia="宋体" w:cs="宋体"/>
                <w:szCs w:val="21"/>
              </w:rPr>
            </w:pPr>
            <w:r>
              <w:rPr>
                <w:rFonts w:hint="eastAsia" w:ascii="宋体" w:hAnsi="宋体" w:eastAsia="宋体" w:cs="宋体"/>
                <w:szCs w:val="21"/>
              </w:rPr>
              <w:t>100</w:t>
            </w:r>
          </w:p>
        </w:tc>
      </w:tr>
    </w:tbl>
    <w:p w14:paraId="5A2D07E0">
      <w:pPr>
        <w:spacing w:before="156" w:beforeLines="50" w:line="360" w:lineRule="auto"/>
        <w:jc w:val="left"/>
        <w:rPr>
          <w:rFonts w:hint="eastAsia" w:ascii="宋体" w:hAnsi="宋体" w:eastAsia="宋体" w:cs="宋体"/>
          <w:b/>
          <w:szCs w:val="21"/>
        </w:rPr>
      </w:pPr>
      <w:r>
        <w:rPr>
          <w:rFonts w:hint="eastAsia" w:ascii="宋体" w:hAnsi="宋体" w:eastAsia="宋体" w:cs="宋体"/>
          <w:b/>
          <w:szCs w:val="21"/>
        </w:rPr>
        <w:t>（二）成绩评定细则</w:t>
      </w:r>
    </w:p>
    <w:p w14:paraId="0CD5BDF8">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各部分的评价方式和成绩评定的细则如表4所示：</w:t>
      </w:r>
    </w:p>
    <w:p w14:paraId="65284B6B">
      <w:pPr>
        <w:jc w:val="center"/>
        <w:rPr>
          <w:rFonts w:hint="eastAsia" w:ascii="宋体" w:hAnsi="宋体" w:eastAsia="宋体" w:cs="宋体"/>
          <w:b/>
          <w:bCs/>
          <w:szCs w:val="21"/>
        </w:rPr>
      </w:pPr>
      <w:r>
        <w:rPr>
          <w:rFonts w:hint="eastAsia" w:ascii="宋体" w:hAnsi="宋体" w:eastAsia="宋体" w:cs="宋体"/>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066F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7C34E8">
            <w:pPr>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41" w:type="dxa"/>
            <w:vAlign w:val="center"/>
          </w:tcPr>
          <w:p w14:paraId="52D74CA6">
            <w:pPr>
              <w:jc w:val="center"/>
              <w:rPr>
                <w:rFonts w:hint="eastAsia" w:ascii="宋体" w:hAnsi="宋体" w:eastAsia="宋体" w:cs="宋体"/>
                <w:b/>
                <w:bCs/>
                <w:szCs w:val="21"/>
              </w:rPr>
            </w:pPr>
            <w:r>
              <w:rPr>
                <w:rFonts w:hint="eastAsia" w:ascii="宋体" w:hAnsi="宋体" w:eastAsia="宋体" w:cs="宋体"/>
                <w:b/>
                <w:bCs/>
                <w:szCs w:val="21"/>
              </w:rPr>
              <w:t>评定细则</w:t>
            </w:r>
          </w:p>
        </w:tc>
        <w:tc>
          <w:tcPr>
            <w:tcW w:w="0" w:type="auto"/>
            <w:vAlign w:val="center"/>
          </w:tcPr>
          <w:p w14:paraId="39D58EEB">
            <w:pPr>
              <w:jc w:val="center"/>
              <w:rPr>
                <w:rFonts w:hint="eastAsia" w:ascii="宋体" w:hAnsi="宋体" w:eastAsia="宋体" w:cs="宋体"/>
                <w:b/>
                <w:bCs/>
                <w:szCs w:val="21"/>
              </w:rPr>
            </w:pPr>
            <w:r>
              <w:rPr>
                <w:rFonts w:hint="eastAsia" w:ascii="宋体" w:hAnsi="宋体" w:eastAsia="宋体" w:cs="宋体"/>
                <w:b/>
                <w:bCs/>
                <w:szCs w:val="21"/>
              </w:rPr>
              <w:t>占比</w:t>
            </w:r>
          </w:p>
        </w:tc>
      </w:tr>
      <w:tr w14:paraId="4878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9F9DC5">
            <w:pPr>
              <w:rPr>
                <w:rFonts w:hint="eastAsia" w:ascii="宋体" w:hAnsi="宋体" w:eastAsia="宋体" w:cs="宋体"/>
                <w:szCs w:val="21"/>
              </w:rPr>
            </w:pPr>
            <w:r>
              <w:rPr>
                <w:rFonts w:hint="eastAsia" w:ascii="宋体" w:hAnsi="宋体" w:eastAsia="宋体" w:cs="宋体"/>
                <w:szCs w:val="21"/>
              </w:rPr>
              <w:t>平时作业</w:t>
            </w:r>
          </w:p>
        </w:tc>
        <w:tc>
          <w:tcPr>
            <w:tcW w:w="7141" w:type="dxa"/>
            <w:vAlign w:val="center"/>
          </w:tcPr>
          <w:p w14:paraId="315099A8">
            <w:pPr>
              <w:spacing w:line="264" w:lineRule="auto"/>
              <w:jc w:val="left"/>
              <w:rPr>
                <w:rFonts w:hint="eastAsia" w:ascii="宋体" w:hAnsi="宋体" w:eastAsia="宋体" w:cs="宋体"/>
                <w:szCs w:val="21"/>
              </w:rPr>
            </w:pPr>
            <w:r>
              <w:rPr>
                <w:rFonts w:hint="eastAsia" w:ascii="宋体" w:hAnsi="宋体" w:eastAsia="宋体" w:cs="宋体"/>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0CE9AD70">
            <w:pPr>
              <w:jc w:val="center"/>
              <w:rPr>
                <w:rFonts w:hint="eastAsia" w:ascii="宋体" w:hAnsi="宋体" w:eastAsia="宋体" w:cs="宋体"/>
                <w:szCs w:val="21"/>
              </w:rPr>
            </w:pPr>
            <w:r>
              <w:rPr>
                <w:rFonts w:hint="eastAsia" w:ascii="宋体" w:hAnsi="宋体" w:eastAsia="宋体" w:cs="宋体"/>
                <w:szCs w:val="21"/>
              </w:rPr>
              <w:t>10%</w:t>
            </w:r>
          </w:p>
        </w:tc>
      </w:tr>
      <w:tr w14:paraId="2CCB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C9E0ACE">
            <w:pPr>
              <w:rPr>
                <w:rFonts w:hint="eastAsia" w:ascii="宋体" w:hAnsi="宋体" w:eastAsia="宋体" w:cs="宋体"/>
                <w:szCs w:val="21"/>
              </w:rPr>
            </w:pPr>
            <w:r>
              <w:rPr>
                <w:rFonts w:hint="eastAsia" w:ascii="宋体" w:hAnsi="宋体" w:eastAsia="宋体" w:cs="宋体"/>
                <w:szCs w:val="21"/>
              </w:rPr>
              <w:t>课堂表现</w:t>
            </w:r>
          </w:p>
        </w:tc>
        <w:tc>
          <w:tcPr>
            <w:tcW w:w="7141" w:type="dxa"/>
            <w:vAlign w:val="center"/>
          </w:tcPr>
          <w:p w14:paraId="29DA6FF0">
            <w:pPr>
              <w:widowControl/>
              <w:spacing w:line="264" w:lineRule="auto"/>
              <w:jc w:val="left"/>
              <w:rPr>
                <w:rFonts w:hint="eastAsia" w:ascii="宋体" w:hAnsi="宋体" w:eastAsia="宋体" w:cs="宋体"/>
                <w:szCs w:val="21"/>
              </w:rPr>
            </w:pPr>
            <w:r>
              <w:rPr>
                <w:rFonts w:hint="eastAsia" w:ascii="宋体" w:hAnsi="宋体" w:eastAsia="宋体" w:cs="宋体"/>
                <w:color w:val="000000"/>
                <w:kern w:val="0"/>
                <w:szCs w:val="21"/>
                <w:lang w:bidi="ar"/>
              </w:rPr>
              <w:t>一是课题考勤情况。</w:t>
            </w:r>
            <w:r>
              <w:rPr>
                <w:rFonts w:hint="eastAsia" w:ascii="宋体" w:hAnsi="宋体" w:eastAsia="宋体" w:cs="宋体"/>
                <w:szCs w:val="21"/>
              </w:rPr>
              <w:t>迟到一次扣2分，无故缺席一次扣5分，累计达3次以上（不含3次）取消课程成绩。</w:t>
            </w:r>
          </w:p>
          <w:p w14:paraId="277A5A08">
            <w:pPr>
              <w:widowControl/>
              <w:spacing w:line="264" w:lineRule="auto"/>
              <w:jc w:val="left"/>
              <w:rPr>
                <w:rFonts w:hint="eastAsia" w:ascii="宋体" w:hAnsi="宋体" w:eastAsia="宋体" w:cs="宋体"/>
                <w:szCs w:val="21"/>
              </w:rPr>
            </w:pPr>
            <w:r>
              <w:rPr>
                <w:rFonts w:hint="eastAsia" w:ascii="宋体" w:hAnsi="宋体" w:eastAsia="宋体" w:cs="宋体"/>
                <w:szCs w:val="21"/>
              </w:rPr>
              <w:t>二是</w:t>
            </w:r>
            <w:r>
              <w:rPr>
                <w:rFonts w:hint="eastAsia" w:ascii="宋体" w:hAnsi="宋体" w:eastAsia="宋体" w:cs="宋体"/>
                <w:color w:val="000000"/>
                <w:kern w:val="0"/>
                <w:szCs w:val="21"/>
                <w:lang w:bidi="ar"/>
              </w:rPr>
              <w:t>课堂参与情况。主要指课上教师随机提问、组织课堂讨论等，观察学生参与程度，表现良好，按照对应的课程目标及权重给予评定。</w:t>
            </w:r>
          </w:p>
        </w:tc>
        <w:tc>
          <w:tcPr>
            <w:tcW w:w="0" w:type="auto"/>
            <w:vAlign w:val="center"/>
          </w:tcPr>
          <w:p w14:paraId="5C3D4618">
            <w:pPr>
              <w:jc w:val="center"/>
              <w:rPr>
                <w:rFonts w:hint="eastAsia" w:ascii="宋体" w:hAnsi="宋体" w:eastAsia="宋体" w:cs="宋体"/>
                <w:szCs w:val="21"/>
              </w:rPr>
            </w:pPr>
            <w:r>
              <w:rPr>
                <w:rFonts w:hint="eastAsia" w:ascii="宋体" w:hAnsi="宋体" w:eastAsia="宋体" w:cs="宋体"/>
                <w:szCs w:val="21"/>
              </w:rPr>
              <w:t>10%</w:t>
            </w:r>
          </w:p>
        </w:tc>
      </w:tr>
      <w:tr w14:paraId="212F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FAEB17">
            <w:pPr>
              <w:rPr>
                <w:rFonts w:hint="eastAsia" w:ascii="宋体" w:hAnsi="宋体" w:eastAsia="宋体" w:cs="宋体"/>
                <w:szCs w:val="21"/>
              </w:rPr>
            </w:pPr>
            <w:r>
              <w:rPr>
                <w:rFonts w:hint="eastAsia" w:ascii="宋体" w:hAnsi="宋体" w:eastAsia="宋体" w:cs="宋体"/>
                <w:szCs w:val="21"/>
              </w:rPr>
              <w:t>单元测验</w:t>
            </w:r>
          </w:p>
        </w:tc>
        <w:tc>
          <w:tcPr>
            <w:tcW w:w="7141" w:type="dxa"/>
            <w:vAlign w:val="center"/>
          </w:tcPr>
          <w:p w14:paraId="3C0BBDC9">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每单元在线上进行测验，主要考查基础知识和基本理论的掌握，以题目的正确率为得分依据。</w:t>
            </w:r>
          </w:p>
        </w:tc>
        <w:tc>
          <w:tcPr>
            <w:tcW w:w="0" w:type="auto"/>
            <w:vAlign w:val="center"/>
          </w:tcPr>
          <w:p w14:paraId="11678CFD">
            <w:pPr>
              <w:jc w:val="center"/>
              <w:rPr>
                <w:rFonts w:hint="eastAsia" w:ascii="宋体" w:hAnsi="宋体" w:eastAsia="宋体" w:cs="宋体"/>
                <w:szCs w:val="21"/>
              </w:rPr>
            </w:pPr>
            <w:r>
              <w:rPr>
                <w:rFonts w:hint="eastAsia" w:ascii="宋体" w:hAnsi="宋体" w:eastAsia="宋体" w:cs="宋体"/>
                <w:szCs w:val="21"/>
              </w:rPr>
              <w:t>10%</w:t>
            </w:r>
          </w:p>
        </w:tc>
      </w:tr>
      <w:tr w14:paraId="2532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CF08C9">
            <w:pPr>
              <w:rPr>
                <w:rFonts w:hint="eastAsia" w:ascii="宋体" w:hAnsi="宋体" w:eastAsia="宋体" w:cs="宋体"/>
                <w:szCs w:val="21"/>
              </w:rPr>
            </w:pPr>
            <w:r>
              <w:rPr>
                <w:rFonts w:hint="eastAsia" w:ascii="宋体" w:hAnsi="宋体" w:eastAsia="宋体" w:cs="宋体"/>
                <w:szCs w:val="21"/>
              </w:rPr>
              <w:t>个人展示</w:t>
            </w:r>
          </w:p>
        </w:tc>
        <w:tc>
          <w:tcPr>
            <w:tcW w:w="7141" w:type="dxa"/>
            <w:vAlign w:val="center"/>
          </w:tcPr>
          <w:p w14:paraId="6223E45A">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课前5分钟左右，每位同学评说</w:t>
            </w:r>
            <w:r>
              <w:rPr>
                <w:rFonts w:hint="eastAsia" w:ascii="宋体" w:hAnsi="宋体" w:eastAsia="宋体" w:cs="宋体"/>
                <w:color w:val="000000"/>
                <w:kern w:val="0"/>
                <w:szCs w:val="21"/>
                <w:lang w:val="en-US" w:eastAsia="zh-CN" w:bidi="ar"/>
              </w:rPr>
              <w:t>文学</w:t>
            </w:r>
            <w:r>
              <w:rPr>
                <w:rFonts w:hint="eastAsia" w:ascii="宋体" w:hAnsi="宋体" w:eastAsia="宋体" w:cs="宋体"/>
                <w:color w:val="000000"/>
                <w:kern w:val="0"/>
                <w:szCs w:val="21"/>
                <w:lang w:bidi="ar"/>
              </w:rPr>
              <w:t>现象等，以学生表达的流程性、逻辑性和分析的深度为评分的主要依据。</w:t>
            </w:r>
          </w:p>
        </w:tc>
        <w:tc>
          <w:tcPr>
            <w:tcW w:w="0" w:type="auto"/>
            <w:vAlign w:val="center"/>
          </w:tcPr>
          <w:p w14:paraId="6CB3E4F0">
            <w:pPr>
              <w:jc w:val="center"/>
              <w:rPr>
                <w:rFonts w:hint="eastAsia" w:ascii="宋体" w:hAnsi="宋体" w:eastAsia="宋体" w:cs="宋体"/>
                <w:szCs w:val="21"/>
              </w:rPr>
            </w:pPr>
            <w:r>
              <w:rPr>
                <w:rFonts w:hint="eastAsia" w:ascii="宋体" w:hAnsi="宋体" w:eastAsia="宋体" w:cs="宋体"/>
                <w:szCs w:val="21"/>
              </w:rPr>
              <w:t>10%</w:t>
            </w:r>
          </w:p>
        </w:tc>
      </w:tr>
      <w:tr w14:paraId="598E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6A1EEA">
            <w:pPr>
              <w:rPr>
                <w:rFonts w:hint="eastAsia" w:ascii="宋体" w:hAnsi="宋体" w:eastAsia="宋体" w:cs="宋体"/>
                <w:szCs w:val="21"/>
              </w:rPr>
            </w:pPr>
            <w:r>
              <w:rPr>
                <w:rFonts w:hint="eastAsia" w:ascii="宋体" w:hAnsi="宋体" w:eastAsia="宋体" w:cs="宋体"/>
                <w:szCs w:val="21"/>
              </w:rPr>
              <w:t>自主学习</w:t>
            </w:r>
          </w:p>
        </w:tc>
        <w:tc>
          <w:tcPr>
            <w:tcW w:w="7141" w:type="dxa"/>
            <w:vAlign w:val="center"/>
          </w:tcPr>
          <w:p w14:paraId="75FB54C9">
            <w:pPr>
              <w:spacing w:line="264" w:lineRule="auto"/>
              <w:jc w:val="left"/>
              <w:rPr>
                <w:rFonts w:hint="eastAsia" w:ascii="宋体" w:hAnsi="宋体" w:eastAsia="宋体" w:cs="宋体"/>
                <w:szCs w:val="21"/>
              </w:rPr>
            </w:pPr>
            <w:r>
              <w:rPr>
                <w:rFonts w:hint="eastAsia" w:ascii="宋体" w:hAnsi="宋体" w:eastAsia="宋体" w:cs="宋体"/>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65889FE">
            <w:pPr>
              <w:jc w:val="center"/>
              <w:rPr>
                <w:rFonts w:hint="eastAsia" w:ascii="宋体" w:hAnsi="宋体" w:eastAsia="宋体" w:cs="宋体"/>
                <w:szCs w:val="21"/>
              </w:rPr>
            </w:pPr>
            <w:r>
              <w:rPr>
                <w:rFonts w:hint="eastAsia" w:ascii="宋体" w:hAnsi="宋体" w:eastAsia="宋体" w:cs="宋体"/>
                <w:szCs w:val="21"/>
              </w:rPr>
              <w:t>10%</w:t>
            </w:r>
          </w:p>
        </w:tc>
      </w:tr>
      <w:tr w14:paraId="620D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F59C313">
            <w:pPr>
              <w:rPr>
                <w:rFonts w:hint="eastAsia" w:ascii="宋体" w:hAnsi="宋体" w:eastAsia="宋体" w:cs="宋体"/>
                <w:szCs w:val="21"/>
              </w:rPr>
            </w:pPr>
            <w:r>
              <w:rPr>
                <w:rFonts w:hint="eastAsia" w:ascii="宋体" w:hAnsi="宋体" w:eastAsia="宋体" w:cs="宋体"/>
                <w:szCs w:val="21"/>
              </w:rPr>
              <w:t>期末考试</w:t>
            </w:r>
          </w:p>
        </w:tc>
        <w:tc>
          <w:tcPr>
            <w:tcW w:w="7141" w:type="dxa"/>
            <w:vAlign w:val="center"/>
          </w:tcPr>
          <w:p w14:paraId="6BF836C7">
            <w:pPr>
              <w:spacing w:line="264" w:lineRule="auto"/>
              <w:jc w:val="left"/>
              <w:rPr>
                <w:rFonts w:hint="eastAsia" w:ascii="宋体" w:hAnsi="宋体" w:eastAsia="宋体" w:cs="宋体"/>
                <w:szCs w:val="21"/>
              </w:rPr>
            </w:pPr>
            <w:r>
              <w:rPr>
                <w:rFonts w:hint="eastAsia" w:ascii="宋体" w:hAnsi="宋体" w:eastAsia="宋体" w:cs="宋体"/>
                <w:color w:val="000000"/>
                <w:szCs w:val="21"/>
              </w:rPr>
              <w:t>试卷题型包括</w:t>
            </w:r>
            <w:r>
              <w:rPr>
                <w:rFonts w:hint="eastAsia" w:ascii="宋体" w:hAnsi="宋体" w:eastAsia="宋体" w:cs="宋体"/>
                <w:color w:val="000000"/>
                <w:szCs w:val="21"/>
                <w:lang w:val="en-US" w:eastAsia="zh-CN"/>
              </w:rPr>
              <w:t>填空题</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名词解释、</w:t>
            </w:r>
            <w:r>
              <w:rPr>
                <w:rFonts w:hint="eastAsia" w:ascii="宋体" w:hAnsi="宋体" w:eastAsia="宋体" w:cs="宋体"/>
                <w:color w:val="000000"/>
                <w:szCs w:val="21"/>
              </w:rPr>
              <w:t>简答题、论述题等，以卷面成绩的50%计入课程总成绩。</w:t>
            </w:r>
          </w:p>
        </w:tc>
        <w:tc>
          <w:tcPr>
            <w:tcW w:w="0" w:type="auto"/>
            <w:vAlign w:val="center"/>
          </w:tcPr>
          <w:p w14:paraId="6EF5DE3B">
            <w:pPr>
              <w:jc w:val="center"/>
              <w:rPr>
                <w:rFonts w:hint="eastAsia" w:ascii="宋体" w:hAnsi="宋体" w:eastAsia="宋体" w:cs="宋体"/>
                <w:szCs w:val="21"/>
              </w:rPr>
            </w:pPr>
            <w:r>
              <w:rPr>
                <w:rFonts w:hint="eastAsia" w:ascii="宋体" w:hAnsi="宋体" w:eastAsia="宋体" w:cs="宋体"/>
                <w:szCs w:val="21"/>
              </w:rPr>
              <w:t>50%</w:t>
            </w:r>
          </w:p>
        </w:tc>
      </w:tr>
      <w:tr w14:paraId="35FE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A8E2C66">
            <w:pPr>
              <w:jc w:val="center"/>
              <w:rPr>
                <w:rFonts w:hint="eastAsia" w:ascii="宋体" w:hAnsi="宋体" w:eastAsia="宋体" w:cs="宋体"/>
                <w:b/>
                <w:bCs/>
                <w:szCs w:val="21"/>
              </w:rPr>
            </w:pPr>
            <w:r>
              <w:rPr>
                <w:rFonts w:hint="eastAsia" w:ascii="宋体" w:hAnsi="宋体" w:eastAsia="宋体" w:cs="宋体"/>
                <w:b/>
                <w:bCs/>
                <w:szCs w:val="21"/>
              </w:rPr>
              <w:t>合计</w:t>
            </w:r>
          </w:p>
        </w:tc>
        <w:tc>
          <w:tcPr>
            <w:tcW w:w="0" w:type="auto"/>
            <w:vAlign w:val="center"/>
          </w:tcPr>
          <w:p w14:paraId="034A6C0D">
            <w:pPr>
              <w:jc w:val="left"/>
              <w:rPr>
                <w:rFonts w:hint="eastAsia" w:ascii="宋体" w:hAnsi="宋体" w:eastAsia="宋体" w:cs="宋体"/>
                <w:szCs w:val="21"/>
              </w:rPr>
            </w:pPr>
          </w:p>
        </w:tc>
        <w:tc>
          <w:tcPr>
            <w:tcW w:w="0" w:type="auto"/>
            <w:vAlign w:val="center"/>
          </w:tcPr>
          <w:p w14:paraId="6FA175D4">
            <w:pPr>
              <w:jc w:val="center"/>
              <w:rPr>
                <w:rFonts w:hint="eastAsia" w:ascii="宋体" w:hAnsi="宋体" w:eastAsia="宋体" w:cs="宋体"/>
                <w:szCs w:val="21"/>
              </w:rPr>
            </w:pPr>
            <w:r>
              <w:rPr>
                <w:rFonts w:hint="eastAsia" w:ascii="宋体" w:hAnsi="宋体" w:eastAsia="宋体" w:cs="宋体"/>
                <w:szCs w:val="21"/>
              </w:rPr>
              <w:t>100%</w:t>
            </w:r>
          </w:p>
        </w:tc>
      </w:tr>
    </w:tbl>
    <w:p w14:paraId="41CCAF1F">
      <w:pPr>
        <w:spacing w:line="360" w:lineRule="auto"/>
        <w:jc w:val="left"/>
        <w:rPr>
          <w:rFonts w:hint="eastAsia" w:ascii="宋体" w:hAnsi="宋体" w:eastAsia="宋体" w:cs="宋体"/>
          <w:b/>
          <w:color w:val="000000"/>
          <w:szCs w:val="21"/>
        </w:rPr>
      </w:pPr>
      <w:r>
        <w:rPr>
          <w:rFonts w:hint="eastAsia" w:ascii="宋体" w:hAnsi="宋体" w:eastAsia="宋体" w:cs="宋体"/>
          <w:b/>
          <w:color w:val="000000"/>
          <w:szCs w:val="21"/>
        </w:rPr>
        <w:t>（三）课程目标达成度计算方法</w:t>
      </w:r>
    </w:p>
    <w:p w14:paraId="11993C9D">
      <w:pPr>
        <w:spacing w:line="360" w:lineRule="auto"/>
        <w:ind w:firstLine="411" w:firstLineChars="196"/>
        <w:jc w:val="left"/>
        <w:rPr>
          <w:rFonts w:hint="eastAsia" w:ascii="宋体" w:hAnsi="宋体" w:eastAsia="宋体" w:cs="宋体"/>
          <w:color w:val="000000"/>
          <w:szCs w:val="21"/>
        </w:rPr>
      </w:pPr>
      <w:r>
        <w:rPr>
          <w:rFonts w:hint="eastAsia" w:ascii="宋体" w:hAnsi="宋体" w:eastAsia="宋体" w:cs="宋体"/>
          <w:color w:val="000000"/>
          <w:szCs w:val="21"/>
        </w:rPr>
        <w:t>所有课程目标均需大于等于0.6，否则总评成绩不及格，需要补考或重修。每门课程目标总体达成度计算方法如下：</w:t>
      </w:r>
    </w:p>
    <w:p w14:paraId="746EFF2F">
      <w:pPr>
        <w:spacing w:before="156" w:beforeLines="50" w:line="360" w:lineRule="auto"/>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object>
          <v:shape id="_x0000_i1062"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62" DrawAspect="Content" ObjectID="_1468075762" r:id="rId45">
            <o:LockedField>false</o:LockedField>
          </o:OLEObject>
        </w:object>
      </w:r>
    </w:p>
    <w:p w14:paraId="518A86F5">
      <w:pPr>
        <w:spacing w:before="156" w:beforeLines="50" w:line="360" w:lineRule="auto"/>
        <w:jc w:val="left"/>
        <w:rPr>
          <w:rFonts w:hint="eastAsia" w:ascii="宋体" w:hAnsi="宋体" w:eastAsia="宋体" w:cs="宋体"/>
          <w:b/>
          <w:sz w:val="24"/>
          <w:szCs w:val="24"/>
        </w:rPr>
      </w:pPr>
      <w:r>
        <w:rPr>
          <w:rFonts w:hint="eastAsia" w:ascii="宋体" w:hAnsi="宋体" w:eastAsia="宋体" w:cs="宋体"/>
          <w:b/>
          <w:color w:val="000000"/>
          <w:sz w:val="24"/>
          <w:szCs w:val="24"/>
        </w:rPr>
        <w:t>五、</w:t>
      </w:r>
      <w:r>
        <w:rPr>
          <w:rFonts w:hint="eastAsia" w:ascii="宋体" w:hAnsi="宋体" w:eastAsia="宋体" w:cs="宋体"/>
          <w:b/>
          <w:sz w:val="24"/>
          <w:szCs w:val="24"/>
        </w:rPr>
        <w:t>课程实践</w:t>
      </w:r>
      <w:r>
        <w:rPr>
          <w:rFonts w:hint="eastAsia" w:ascii="宋体" w:hAnsi="宋体" w:eastAsia="宋体" w:cs="宋体"/>
          <w:bCs/>
          <w:sz w:val="24"/>
          <w:szCs w:val="24"/>
        </w:rPr>
        <w:t>（利用第二课堂，不占总学时）</w:t>
      </w:r>
    </w:p>
    <w:p w14:paraId="3EF5F71C">
      <w:pPr>
        <w:spacing w:after="156" w:afterLines="50" w:line="360" w:lineRule="auto"/>
        <w:ind w:firstLine="420" w:firstLineChars="200"/>
        <w:rPr>
          <w:rFonts w:hint="eastAsia" w:ascii="宋体" w:hAnsi="宋体" w:eastAsia="宋体" w:cs="宋体"/>
          <w:szCs w:val="21"/>
        </w:rPr>
      </w:pPr>
      <w:r>
        <w:rPr>
          <w:rFonts w:hint="eastAsia" w:ascii="宋体" w:hAnsi="宋体" w:eastAsia="宋体" w:cs="宋体"/>
          <w:szCs w:val="21"/>
        </w:rPr>
        <w:t>本课程在系统教学的基础上，以学生为主题，整合各类教育资源，科学设计实践活动，丰富教育教学形式，提升教育教学效果，从而实现思政育人。</w:t>
      </w:r>
    </w:p>
    <w:p w14:paraId="245B34C0">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7602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4F72AC6">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8A9F5E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EF01484">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603A01C">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18F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C965ACB">
            <w:pPr>
              <w:spacing w:line="276"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鲁迅的故事</w:t>
            </w:r>
          </w:p>
        </w:tc>
        <w:tc>
          <w:tcPr>
            <w:tcW w:w="3407" w:type="dxa"/>
            <w:vAlign w:val="center"/>
          </w:tcPr>
          <w:p w14:paraId="3F788A93">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w:t>
            </w:r>
            <w:r>
              <w:rPr>
                <w:rFonts w:hint="eastAsia" w:ascii="宋体" w:hAnsi="宋体" w:eastAsia="宋体" w:cs="宋体"/>
                <w:szCs w:val="21"/>
                <w:lang w:val="en-US" w:eastAsia="zh-CN"/>
              </w:rPr>
              <w:t>鲁迅</w:t>
            </w:r>
            <w:r>
              <w:rPr>
                <w:rFonts w:hint="eastAsia" w:ascii="宋体" w:hAnsi="宋体" w:eastAsia="宋体" w:cs="宋体"/>
                <w:szCs w:val="21"/>
              </w:rPr>
              <w:t>的故事，进行课堂主题讨论，让学生领会</w:t>
            </w:r>
            <w:r>
              <w:rPr>
                <w:rFonts w:hint="eastAsia" w:ascii="宋体" w:hAnsi="宋体" w:eastAsia="宋体" w:cs="宋体"/>
                <w:szCs w:val="21"/>
                <w:lang w:val="en-US" w:eastAsia="zh-CN"/>
              </w:rPr>
              <w:t>鲁迅的艾果</w:t>
            </w:r>
            <w:r>
              <w:rPr>
                <w:rFonts w:hint="eastAsia" w:ascii="宋体" w:hAnsi="宋体" w:eastAsia="宋体" w:cs="宋体"/>
                <w:szCs w:val="21"/>
              </w:rPr>
              <w:t>精神</w:t>
            </w:r>
          </w:p>
        </w:tc>
        <w:tc>
          <w:tcPr>
            <w:tcW w:w="740" w:type="dxa"/>
            <w:vAlign w:val="center"/>
          </w:tcPr>
          <w:p w14:paraId="259A2E61">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1BD820D1">
            <w:pPr>
              <w:spacing w:line="276" w:lineRule="auto"/>
              <w:jc w:val="left"/>
              <w:rPr>
                <w:rFonts w:hint="eastAsia" w:ascii="宋体" w:hAnsi="宋体" w:eastAsia="宋体" w:cs="宋体"/>
                <w:szCs w:val="21"/>
                <w:lang w:val="en-US" w:eastAsia="zh-CN"/>
              </w:rPr>
            </w:pPr>
            <w:r>
              <w:rPr>
                <w:rFonts w:hint="eastAsia" w:ascii="宋体" w:hAnsi="宋体" w:eastAsia="宋体" w:cs="宋体"/>
                <w:szCs w:val="21"/>
              </w:rPr>
              <w:t>通过对</w:t>
            </w:r>
            <w:r>
              <w:rPr>
                <w:rFonts w:hint="eastAsia" w:ascii="宋体" w:hAnsi="宋体" w:eastAsia="宋体" w:cs="宋体"/>
                <w:szCs w:val="21"/>
                <w:lang w:val="en-US" w:eastAsia="zh-CN"/>
              </w:rPr>
              <w:t>鲁迅爱国</w:t>
            </w:r>
            <w:r>
              <w:rPr>
                <w:rFonts w:hint="eastAsia" w:ascii="宋体" w:hAnsi="宋体" w:eastAsia="宋体" w:cs="宋体"/>
                <w:szCs w:val="21"/>
              </w:rPr>
              <w:t>精神的领会，使学立志成为有理想信念、有道德情操、有扎实学识、有仁爱之心的</w:t>
            </w:r>
            <w:r>
              <w:rPr>
                <w:rFonts w:hint="eastAsia" w:ascii="宋体" w:hAnsi="宋体" w:eastAsia="宋体" w:cs="宋体"/>
                <w:szCs w:val="21"/>
                <w:lang w:val="en-US" w:eastAsia="zh-CN"/>
              </w:rPr>
              <w:t>人。</w:t>
            </w:r>
          </w:p>
        </w:tc>
      </w:tr>
      <w:tr w14:paraId="1F68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31DAFEC">
            <w:pPr>
              <w:spacing w:line="276"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文学中的江苏</w:t>
            </w:r>
          </w:p>
        </w:tc>
        <w:tc>
          <w:tcPr>
            <w:tcW w:w="3407" w:type="dxa"/>
            <w:vAlign w:val="center"/>
          </w:tcPr>
          <w:p w14:paraId="3A8E70B6">
            <w:pPr>
              <w:spacing w:line="276" w:lineRule="auto"/>
              <w:jc w:val="left"/>
              <w:rPr>
                <w:rFonts w:hint="eastAsia" w:ascii="宋体" w:hAnsi="宋体" w:eastAsia="宋体" w:cs="宋体"/>
                <w:szCs w:val="21"/>
              </w:rPr>
            </w:pPr>
            <w:r>
              <w:rPr>
                <w:rFonts w:hint="eastAsia" w:ascii="宋体" w:hAnsi="宋体" w:eastAsia="宋体" w:cs="宋体"/>
                <w:szCs w:val="21"/>
              </w:rPr>
              <w:t>利用假期，让学生</w:t>
            </w:r>
            <w:r>
              <w:rPr>
                <w:rFonts w:hint="eastAsia" w:ascii="宋体" w:hAnsi="宋体" w:eastAsia="宋体" w:cs="宋体"/>
                <w:szCs w:val="21"/>
                <w:lang w:val="en-US" w:eastAsia="zh-CN"/>
              </w:rPr>
              <w:t>调查文学作品中对江苏的描写</w:t>
            </w:r>
            <w:r>
              <w:rPr>
                <w:rFonts w:hint="eastAsia" w:ascii="宋体" w:hAnsi="宋体" w:eastAsia="宋体" w:cs="宋体"/>
                <w:szCs w:val="21"/>
              </w:rPr>
              <w:t>。</w:t>
            </w:r>
          </w:p>
        </w:tc>
        <w:tc>
          <w:tcPr>
            <w:tcW w:w="740" w:type="dxa"/>
            <w:vAlign w:val="center"/>
          </w:tcPr>
          <w:p w14:paraId="29C0663F">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6E3D5A04">
            <w:pPr>
              <w:spacing w:line="276" w:lineRule="auto"/>
              <w:jc w:val="left"/>
              <w:rPr>
                <w:rFonts w:hint="eastAsia" w:ascii="宋体" w:hAnsi="宋体" w:eastAsia="宋体" w:cs="宋体"/>
                <w:szCs w:val="21"/>
              </w:rPr>
            </w:pPr>
            <w:r>
              <w:rPr>
                <w:rFonts w:hint="eastAsia" w:ascii="宋体" w:hAnsi="宋体" w:eastAsia="宋体" w:cs="宋体"/>
                <w:szCs w:val="21"/>
              </w:rPr>
              <w:t>提高学生对</w:t>
            </w:r>
            <w:r>
              <w:rPr>
                <w:rFonts w:hint="eastAsia" w:ascii="宋体" w:hAnsi="宋体" w:eastAsia="宋体" w:cs="宋体"/>
                <w:szCs w:val="21"/>
                <w:lang w:val="en-US" w:eastAsia="zh-CN"/>
              </w:rPr>
              <w:t>汉语言基础知识的理解和对故乡的热爱</w:t>
            </w:r>
            <w:r>
              <w:rPr>
                <w:rFonts w:hint="eastAsia" w:ascii="宋体" w:hAnsi="宋体" w:eastAsia="宋体" w:cs="宋体"/>
                <w:szCs w:val="21"/>
              </w:rPr>
              <w:t>。</w:t>
            </w:r>
          </w:p>
        </w:tc>
      </w:tr>
      <w:tr w14:paraId="658D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15810E8F">
            <w:pPr>
              <w:spacing w:line="276" w:lineRule="auto"/>
              <w:jc w:val="left"/>
              <w:rPr>
                <w:rFonts w:hint="eastAsia" w:ascii="宋体" w:hAnsi="宋体" w:eastAsia="宋体" w:cs="宋体"/>
                <w:szCs w:val="21"/>
              </w:rPr>
            </w:pPr>
            <w:r>
              <w:rPr>
                <w:rFonts w:hint="eastAsia" w:ascii="宋体" w:hAnsi="宋体" w:eastAsia="宋体" w:cs="宋体"/>
                <w:szCs w:val="21"/>
                <w:lang w:val="en-US" w:eastAsia="zh-CN"/>
              </w:rPr>
              <w:t>汉语言文学学生</w:t>
            </w:r>
            <w:r>
              <w:rPr>
                <w:rFonts w:hint="eastAsia" w:ascii="宋体" w:hAnsi="宋体" w:eastAsia="宋体" w:cs="宋体"/>
                <w:szCs w:val="21"/>
              </w:rPr>
              <w:t>从教宣誓</w:t>
            </w:r>
          </w:p>
        </w:tc>
        <w:tc>
          <w:tcPr>
            <w:tcW w:w="3407" w:type="dxa"/>
            <w:vAlign w:val="center"/>
          </w:tcPr>
          <w:p w14:paraId="1A3A1664">
            <w:pPr>
              <w:spacing w:line="276" w:lineRule="auto"/>
              <w:jc w:val="left"/>
              <w:rPr>
                <w:rFonts w:hint="eastAsia" w:ascii="宋体" w:hAnsi="宋体" w:eastAsia="宋体" w:cs="宋体"/>
                <w:szCs w:val="21"/>
              </w:rPr>
            </w:pPr>
            <w:r>
              <w:rPr>
                <w:rFonts w:hint="eastAsia" w:ascii="宋体" w:hAnsi="宋体" w:eastAsia="宋体" w:cs="宋体"/>
                <w:szCs w:val="21"/>
              </w:rPr>
              <w:t>学期末，结合课程中的所思、所感、和所得 ，以活动展示的新式进行从教宣誓活动。</w:t>
            </w:r>
          </w:p>
        </w:tc>
        <w:tc>
          <w:tcPr>
            <w:tcW w:w="740" w:type="dxa"/>
            <w:vAlign w:val="center"/>
          </w:tcPr>
          <w:p w14:paraId="2336E496">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6F1E5EF4">
            <w:pPr>
              <w:spacing w:line="276" w:lineRule="auto"/>
              <w:jc w:val="left"/>
              <w:rPr>
                <w:rFonts w:hint="eastAsia" w:ascii="宋体" w:hAnsi="宋体" w:eastAsia="宋体" w:cs="宋体"/>
                <w:szCs w:val="21"/>
              </w:rPr>
            </w:pPr>
            <w:r>
              <w:rPr>
                <w:rFonts w:hint="eastAsia" w:ascii="宋体" w:hAnsi="宋体" w:eastAsia="宋体" w:cs="宋体"/>
                <w:szCs w:val="21"/>
              </w:rPr>
              <w:t>用庄严的意识，增强学生从教的意愿，以及成为人民教师的荣耀感、责任感和使命感。</w:t>
            </w:r>
          </w:p>
        </w:tc>
      </w:tr>
    </w:tbl>
    <w:p w14:paraId="66AE384C">
      <w:pPr>
        <w:spacing w:line="360" w:lineRule="auto"/>
        <w:ind w:firstLine="551" w:firstLineChars="196"/>
        <w:jc w:val="left"/>
        <w:rPr>
          <w:rFonts w:hint="eastAsia" w:ascii="宋体" w:hAnsi="宋体" w:eastAsia="宋体" w:cs="宋体"/>
          <w:b/>
          <w:color w:val="000000"/>
          <w:sz w:val="28"/>
          <w:szCs w:val="28"/>
        </w:rPr>
      </w:pPr>
    </w:p>
    <w:p w14:paraId="46DE776E">
      <w:pPr>
        <w:spacing w:line="360" w:lineRule="auto"/>
        <w:jc w:val="left"/>
        <w:rPr>
          <w:rFonts w:hint="eastAsia" w:ascii="宋体" w:hAnsi="宋体" w:eastAsia="宋体" w:cs="宋体"/>
          <w:b/>
          <w:bCs/>
          <w:sz w:val="24"/>
          <w:szCs w:val="24"/>
        </w:rPr>
      </w:pPr>
      <w:r>
        <w:rPr>
          <w:rFonts w:hint="eastAsia" w:ascii="宋体" w:hAnsi="宋体" w:eastAsia="宋体" w:cs="宋体"/>
          <w:b/>
          <w:color w:val="000000"/>
          <w:sz w:val="24"/>
          <w:szCs w:val="24"/>
        </w:rPr>
        <w:t>六、有关说明</w:t>
      </w:r>
    </w:p>
    <w:p w14:paraId="312D1CAF">
      <w:pPr>
        <w:spacing w:line="360" w:lineRule="auto"/>
        <w:jc w:val="left"/>
        <w:rPr>
          <w:rFonts w:hint="eastAsia" w:ascii="宋体" w:hAnsi="宋体" w:eastAsia="宋体" w:cs="宋体"/>
          <w:b/>
          <w:szCs w:val="21"/>
        </w:rPr>
      </w:pPr>
      <w:r>
        <w:rPr>
          <w:rFonts w:hint="eastAsia" w:ascii="宋体" w:hAnsi="宋体" w:eastAsia="宋体" w:cs="宋体"/>
          <w:b/>
          <w:szCs w:val="21"/>
        </w:rPr>
        <w:t>（一）持续改进</w:t>
      </w:r>
    </w:p>
    <w:p w14:paraId="25E49B52">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本教学环节根据学生在课程设计期间的平时表现、课程设计阶段考核、报告陈述等情况，及时对课程设计中的不足之处进行改进，并在下一轮教学中整改完善，确保相应毕业要求指标点的达成。</w:t>
      </w:r>
    </w:p>
    <w:p w14:paraId="15AB8749">
      <w:pPr>
        <w:spacing w:line="30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1．教学重点：中国现当代文学有六十多年的历史，出现大量的作家作品和复杂的文学现象，教学中不可能追求全面和详尽。本课程的评述对象，主要是重要的作家作品和文学现象。</w:t>
      </w:r>
    </w:p>
    <w:p w14:paraId="1085160E">
      <w:pPr>
        <w:spacing w:line="30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2．教学方法：本课程以讲授为主，适当安排一些讨论，让学生充分地参与。教师应结合教学，开列一些必要的阅读书目和文献资料，指导学生阅读作品，注意培养学生的文学感悟力和文学史眼光。</w:t>
      </w:r>
    </w:p>
    <w:p w14:paraId="2D459E94">
      <w:pPr>
        <w:spacing w:line="30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3．学术性：教学中应尽可能介绍一些前沿性的成果和研究趋向，拓宽视野，有意识地对学生进行初步的学术训练。</w:t>
      </w:r>
    </w:p>
    <w:p w14:paraId="50B4B0E6">
      <w:pPr>
        <w:spacing w:line="30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4．技能掌握：学会从不同视角解读作家作品和文学现象。</w:t>
      </w:r>
    </w:p>
    <w:p w14:paraId="0CBF12EA">
      <w:pPr>
        <w:spacing w:line="30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5．素质培养：提高文学的感悟力，逐步养成审美的能力和文学史眼光。</w:t>
      </w:r>
    </w:p>
    <w:p w14:paraId="1E3BFE6B">
      <w:pPr>
        <w:spacing w:line="360" w:lineRule="auto"/>
        <w:jc w:val="left"/>
        <w:rPr>
          <w:rFonts w:hint="eastAsia" w:ascii="宋体" w:hAnsi="宋体" w:eastAsia="宋体" w:cs="宋体"/>
          <w:b/>
          <w:szCs w:val="21"/>
        </w:rPr>
      </w:pPr>
    </w:p>
    <w:p w14:paraId="0EC11105">
      <w:pPr>
        <w:numPr>
          <w:ilvl w:val="0"/>
          <w:numId w:val="61"/>
        </w:numPr>
        <w:spacing w:line="360" w:lineRule="auto"/>
        <w:jc w:val="left"/>
        <w:rPr>
          <w:rFonts w:hint="eastAsia" w:ascii="宋体" w:hAnsi="宋体" w:eastAsia="宋体" w:cs="宋体"/>
          <w:b/>
          <w:szCs w:val="21"/>
        </w:rPr>
      </w:pPr>
      <w:r>
        <w:rPr>
          <w:rFonts w:hint="eastAsia" w:ascii="宋体" w:hAnsi="宋体" w:eastAsia="宋体" w:cs="宋体"/>
          <w:b/>
          <w:szCs w:val="21"/>
        </w:rPr>
        <w:t>建议教材</w:t>
      </w:r>
    </w:p>
    <w:p w14:paraId="66A7E899">
      <w:pPr>
        <w:spacing w:line="312" w:lineRule="auto"/>
        <w:rPr>
          <w:rFonts w:hint="eastAsia" w:ascii="宋体" w:hAnsi="宋体" w:eastAsia="宋体" w:cs="宋体"/>
          <w:sz w:val="24"/>
          <w:szCs w:val="22"/>
        </w:rPr>
      </w:pPr>
      <w:r>
        <w:rPr>
          <w:rFonts w:hint="eastAsia" w:ascii="宋体" w:hAnsi="宋体" w:eastAsia="宋体" w:cs="宋体"/>
          <w:sz w:val="24"/>
          <w:szCs w:val="22"/>
        </w:rPr>
        <w:t>洪子诚：《中国当代文学史》（修订版），北京大学出版社，2007年版。</w:t>
      </w:r>
    </w:p>
    <w:p w14:paraId="290C791B">
      <w:pPr>
        <w:spacing w:line="312" w:lineRule="auto"/>
        <w:rPr>
          <w:rFonts w:hint="eastAsia" w:ascii="宋体" w:hAnsi="宋体" w:eastAsia="宋体" w:cs="宋体"/>
          <w:sz w:val="24"/>
          <w:szCs w:val="22"/>
        </w:rPr>
      </w:pPr>
      <w:r>
        <w:rPr>
          <w:rFonts w:hint="eastAsia" w:ascii="宋体" w:hAnsi="宋体" w:eastAsia="宋体" w:cs="宋体"/>
          <w:sz w:val="24"/>
          <w:szCs w:val="22"/>
        </w:rPr>
        <w:t>谢冕、洪子诚：《中国当代文学作品精选》（第三版），北京大学出版社，2015年版。</w:t>
      </w:r>
    </w:p>
    <w:p w14:paraId="5CAEEFE8">
      <w:pPr>
        <w:numPr>
          <w:ilvl w:val="0"/>
          <w:numId w:val="0"/>
        </w:numPr>
        <w:spacing w:line="360" w:lineRule="auto"/>
        <w:jc w:val="left"/>
        <w:rPr>
          <w:rFonts w:hint="eastAsia" w:ascii="宋体" w:hAnsi="宋体" w:eastAsia="宋体" w:cs="宋体"/>
          <w:b/>
          <w:szCs w:val="21"/>
        </w:rPr>
      </w:pPr>
    </w:p>
    <w:p w14:paraId="6E8D749B">
      <w:pPr>
        <w:spacing w:line="360" w:lineRule="auto"/>
        <w:jc w:val="left"/>
        <w:rPr>
          <w:rFonts w:hint="eastAsia" w:ascii="宋体" w:hAnsi="宋体" w:eastAsia="宋体" w:cs="宋体"/>
          <w:b/>
          <w:szCs w:val="21"/>
        </w:rPr>
      </w:pPr>
      <w:r>
        <w:rPr>
          <w:rFonts w:hint="eastAsia" w:ascii="宋体" w:hAnsi="宋体" w:eastAsia="宋体" w:cs="宋体"/>
          <w:b/>
          <w:szCs w:val="21"/>
        </w:rPr>
        <w:t>（三）参考书目</w:t>
      </w:r>
    </w:p>
    <w:p w14:paraId="29848D78">
      <w:pPr>
        <w:spacing w:line="312" w:lineRule="auto"/>
        <w:rPr>
          <w:rFonts w:hint="eastAsia" w:ascii="宋体" w:hAnsi="宋体" w:eastAsia="宋体" w:cs="宋体"/>
          <w:sz w:val="24"/>
          <w:szCs w:val="22"/>
        </w:rPr>
      </w:pPr>
      <w:r>
        <w:rPr>
          <w:rFonts w:hint="eastAsia" w:ascii="宋体" w:hAnsi="宋体" w:eastAsia="宋体" w:cs="宋体"/>
          <w:sz w:val="24"/>
          <w:szCs w:val="22"/>
        </w:rPr>
        <w:t>1.陈思和：《中国当代文学史教程》，复旦大学出版，1999年版。</w:t>
      </w:r>
    </w:p>
    <w:p w14:paraId="4DF3214B">
      <w:pPr>
        <w:spacing w:line="312" w:lineRule="auto"/>
        <w:rPr>
          <w:rFonts w:hint="eastAsia" w:ascii="宋体" w:hAnsi="宋体" w:eastAsia="宋体" w:cs="宋体"/>
          <w:sz w:val="24"/>
          <w:szCs w:val="22"/>
        </w:rPr>
      </w:pPr>
      <w:r>
        <w:rPr>
          <w:rFonts w:hint="eastAsia" w:ascii="宋体" w:hAnsi="宋体" w:eastAsia="宋体" w:cs="宋体"/>
          <w:sz w:val="24"/>
          <w:szCs w:val="22"/>
        </w:rPr>
        <w:t>2.王德威：《写实主义小说的虚构：茅盾·老舍·沈从文》，复旦大学出版社，2013年。</w:t>
      </w:r>
    </w:p>
    <w:p w14:paraId="0E5EC034">
      <w:pPr>
        <w:spacing w:line="312" w:lineRule="auto"/>
        <w:rPr>
          <w:rFonts w:hint="eastAsia" w:ascii="宋体" w:hAnsi="宋体" w:eastAsia="宋体" w:cs="宋体"/>
          <w:sz w:val="24"/>
          <w:szCs w:val="22"/>
        </w:rPr>
      </w:pPr>
      <w:r>
        <w:rPr>
          <w:rFonts w:hint="eastAsia" w:ascii="宋体" w:hAnsi="宋体" w:eastAsia="宋体" w:cs="宋体"/>
          <w:sz w:val="24"/>
          <w:szCs w:val="22"/>
        </w:rPr>
        <w:t>3.李欧梵：《中国现代作家浪漫的一代》，新星出版社，2005年版。</w:t>
      </w:r>
    </w:p>
    <w:p w14:paraId="0CA455DF">
      <w:pPr>
        <w:spacing w:line="312" w:lineRule="auto"/>
        <w:rPr>
          <w:rFonts w:hint="eastAsia" w:ascii="宋体" w:hAnsi="宋体" w:eastAsia="宋体" w:cs="宋体"/>
          <w:sz w:val="24"/>
          <w:szCs w:val="22"/>
        </w:rPr>
      </w:pPr>
      <w:r>
        <w:rPr>
          <w:rFonts w:hint="eastAsia" w:ascii="宋体" w:hAnsi="宋体" w:eastAsia="宋体" w:cs="宋体"/>
          <w:sz w:val="24"/>
          <w:szCs w:val="22"/>
        </w:rPr>
        <w:t>4.汪晖：《反抗绝望：鲁迅及其文学世界》，北京三联书店，2008年版。</w:t>
      </w:r>
    </w:p>
    <w:p w14:paraId="5B9C800C">
      <w:pPr>
        <w:spacing w:line="312" w:lineRule="auto"/>
        <w:rPr>
          <w:rFonts w:hint="eastAsia" w:ascii="宋体" w:hAnsi="宋体" w:eastAsia="宋体" w:cs="宋体"/>
          <w:sz w:val="24"/>
          <w:szCs w:val="22"/>
        </w:rPr>
      </w:pPr>
      <w:r>
        <w:rPr>
          <w:rFonts w:hint="eastAsia" w:ascii="宋体" w:hAnsi="宋体" w:eastAsia="宋体" w:cs="宋体"/>
          <w:sz w:val="24"/>
          <w:szCs w:val="22"/>
        </w:rPr>
        <w:t>5.许子东：《张爱玲·郁达夫·香港文学》，人民文学出版社，2011年版。</w:t>
      </w:r>
    </w:p>
    <w:p w14:paraId="2B089809">
      <w:pPr>
        <w:spacing w:line="312" w:lineRule="auto"/>
        <w:rPr>
          <w:rFonts w:hint="eastAsia" w:ascii="宋体" w:hAnsi="宋体" w:eastAsia="宋体" w:cs="宋体"/>
          <w:sz w:val="24"/>
          <w:szCs w:val="22"/>
        </w:rPr>
      </w:pPr>
      <w:r>
        <w:rPr>
          <w:rFonts w:hint="eastAsia" w:ascii="宋体" w:hAnsi="宋体" w:eastAsia="宋体" w:cs="宋体"/>
          <w:sz w:val="24"/>
          <w:szCs w:val="22"/>
        </w:rPr>
        <w:t>6.陈平原：《触摸历史与进入五四》，北京大学出版社，2005年版。</w:t>
      </w:r>
    </w:p>
    <w:p w14:paraId="65BD486E">
      <w:pPr>
        <w:spacing w:line="312" w:lineRule="auto"/>
        <w:rPr>
          <w:rFonts w:hint="eastAsia" w:ascii="宋体" w:hAnsi="宋体" w:eastAsia="宋体" w:cs="宋体"/>
          <w:sz w:val="24"/>
          <w:szCs w:val="22"/>
        </w:rPr>
      </w:pPr>
    </w:p>
    <w:p w14:paraId="32637840">
      <w:pPr>
        <w:rPr>
          <w:rFonts w:hint="eastAsia" w:ascii="宋体" w:hAnsi="宋体" w:eastAsia="宋体" w:cs="宋体"/>
          <w:szCs w:val="22"/>
        </w:rPr>
      </w:pPr>
    </w:p>
    <w:p w14:paraId="395FBC2F">
      <w:pPr>
        <w:rPr>
          <w:rFonts w:hint="eastAsia" w:ascii="宋体" w:hAnsi="宋体" w:eastAsia="宋体" w:cs="宋体"/>
          <w:szCs w:val="22"/>
        </w:rPr>
      </w:pPr>
    </w:p>
    <w:p w14:paraId="1B066ECE">
      <w:pPr>
        <w:spacing w:line="360" w:lineRule="auto"/>
        <w:ind w:right="1920"/>
        <w:jc w:val="right"/>
        <w:rPr>
          <w:rFonts w:hint="eastAsia" w:ascii="宋体" w:hAnsi="宋体" w:eastAsia="宋体" w:cs="宋体"/>
          <w:sz w:val="24"/>
          <w:szCs w:val="24"/>
          <w:lang w:val="en-US" w:eastAsia="zh-CN"/>
        </w:rPr>
      </w:pPr>
      <w:r>
        <w:rPr>
          <w:rFonts w:hint="eastAsia" w:ascii="宋体" w:hAnsi="宋体" w:eastAsia="宋体" w:cs="宋体"/>
          <w:sz w:val="24"/>
          <w:szCs w:val="24"/>
        </w:rPr>
        <w:t xml:space="preserve">执 笔 人： </w:t>
      </w:r>
      <w:r>
        <w:rPr>
          <w:rFonts w:hint="eastAsia" w:ascii="宋体" w:hAnsi="宋体" w:eastAsia="宋体" w:cs="宋体"/>
          <w:sz w:val="24"/>
          <w:szCs w:val="24"/>
          <w:lang w:val="en-US" w:eastAsia="zh-CN"/>
        </w:rPr>
        <w:t>傅燕婷</w:t>
      </w:r>
    </w:p>
    <w:p w14:paraId="74C43514">
      <w:pPr>
        <w:wordWrap w:val="0"/>
        <w:spacing w:line="360" w:lineRule="auto"/>
        <w:ind w:right="1920"/>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审 定 人： </w:t>
      </w:r>
      <w:r>
        <w:rPr>
          <w:rFonts w:hint="eastAsia" w:ascii="宋体" w:hAnsi="宋体" w:eastAsia="宋体" w:cs="宋体"/>
          <w:sz w:val="24"/>
          <w:szCs w:val="24"/>
          <w:lang w:val="en-US" w:eastAsia="zh-CN"/>
        </w:rPr>
        <w:t>王  健</w:t>
      </w:r>
    </w:p>
    <w:p w14:paraId="7ECD9531">
      <w:pPr>
        <w:spacing w:line="360" w:lineRule="auto"/>
        <w:ind w:right="1200" w:firstLine="4320" w:firstLineChars="1800"/>
        <w:jc w:val="both"/>
        <w:rPr>
          <w:rFonts w:hint="eastAsia" w:ascii="宋体" w:hAnsi="宋体" w:eastAsia="宋体" w:cs="宋体"/>
          <w:sz w:val="24"/>
          <w:szCs w:val="24"/>
          <w:lang w:val="en-US" w:eastAsia="zh-CN"/>
        </w:rPr>
      </w:pPr>
      <w:r>
        <w:rPr>
          <w:rFonts w:hint="eastAsia" w:ascii="宋体" w:hAnsi="宋体" w:eastAsia="宋体" w:cs="宋体"/>
          <w:sz w:val="24"/>
          <w:szCs w:val="24"/>
        </w:rPr>
        <w:t xml:space="preserve">审 批 人： </w:t>
      </w:r>
      <w:r>
        <w:rPr>
          <w:rFonts w:hint="eastAsia" w:ascii="宋体" w:hAnsi="宋体" w:eastAsia="宋体" w:cs="宋体"/>
          <w:sz w:val="24"/>
          <w:szCs w:val="24"/>
          <w:lang w:val="en-US" w:eastAsia="zh-CN"/>
        </w:rPr>
        <w:t>张志欣</w:t>
      </w:r>
    </w:p>
    <w:p w14:paraId="636F08D8">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批准时间： </w:t>
      </w:r>
      <w:r>
        <w:rPr>
          <w:rFonts w:hint="eastAsia" w:ascii="宋体" w:hAnsi="宋体" w:eastAsia="宋体" w:cs="宋体"/>
          <w:sz w:val="24"/>
          <w:szCs w:val="24"/>
          <w:lang w:val="en-US" w:eastAsia="zh-CN"/>
        </w:rPr>
        <w:t>2024年9月1日</w:t>
      </w:r>
    </w:p>
    <w:p w14:paraId="2894776D">
      <w:pPr>
        <w:rPr>
          <w:rFonts w:hint="eastAsia"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br w:type="page"/>
      </w:r>
    </w:p>
    <w:p w14:paraId="53576747">
      <w:pPr>
        <w:pStyle w:val="2"/>
        <w:bidi w:val="0"/>
        <w:rPr>
          <w:lang w:val="en-US" w:eastAsia="zh-CN"/>
        </w:rPr>
      </w:pPr>
      <w:bookmarkStart w:id="1866" w:name="_Toc22449"/>
      <w:bookmarkStart w:id="1867" w:name="_Toc3712"/>
      <w:bookmarkStart w:id="1868" w:name="_Toc27667"/>
      <w:bookmarkStart w:id="1869" w:name="_Toc3921"/>
      <w:r>
        <w:rPr>
          <w:rFonts w:hint="eastAsia"/>
          <w:lang w:val="en-US" w:eastAsia="zh-CN"/>
        </w:rPr>
        <w:t>《文学概论》课程</w:t>
      </w:r>
      <w:r>
        <w:rPr>
          <w:lang w:val="en-US" w:eastAsia="zh-CN"/>
        </w:rPr>
        <w:t>教学大纲</w:t>
      </w:r>
      <w:bookmarkEnd w:id="1866"/>
      <w:bookmarkEnd w:id="1867"/>
      <w:bookmarkEnd w:id="1868"/>
      <w:bookmarkEnd w:id="1869"/>
    </w:p>
    <w:p w14:paraId="154BC43B">
      <w:pPr>
        <w:pStyle w:val="2"/>
        <w:bidi w:val="0"/>
        <w:rPr>
          <w:rFonts w:ascii="Times New Roman" w:hAnsi="Times New Roman" w:eastAsia="宋体" w:cs="Arial"/>
          <w:b/>
          <w:bCs/>
          <w:kern w:val="2"/>
          <w:szCs w:val="24"/>
          <w:lang w:val="en-US" w:eastAsia="zh-CN" w:bidi="ar-SA"/>
        </w:rPr>
      </w:pPr>
      <w:bookmarkStart w:id="1870" w:name="_Toc2133"/>
      <w:bookmarkStart w:id="1871" w:name="_Toc14076"/>
      <w:bookmarkStart w:id="1872" w:name="_Toc23155"/>
      <w:bookmarkStart w:id="1873" w:name="_Toc131"/>
      <w:bookmarkStart w:id="1874" w:name="_Toc10555"/>
      <w:bookmarkStart w:id="1875" w:name="_Toc7515"/>
      <w:bookmarkStart w:id="1876" w:name="_Toc24341"/>
      <w:r>
        <w:rPr>
          <w:lang w:val="en-US" w:eastAsia="zh-CN"/>
        </w:rPr>
        <w:t>（Introduction to Literature）</w:t>
      </w:r>
      <w:bookmarkEnd w:id="1870"/>
      <w:bookmarkEnd w:id="1871"/>
      <w:bookmarkEnd w:id="1872"/>
      <w:bookmarkEnd w:id="1873"/>
      <w:bookmarkEnd w:id="1874"/>
      <w:bookmarkEnd w:id="1875"/>
      <w:bookmarkEnd w:id="1876"/>
    </w:p>
    <w:p w14:paraId="00B37406">
      <w:pPr>
        <w:spacing w:line="440" w:lineRule="exact"/>
        <w:jc w:val="center"/>
        <w:rPr>
          <w:rFonts w:ascii="等线" w:hAnsi="等线" w:eastAsia="等线" w:cs="Times New Roman"/>
          <w:sz w:val="24"/>
          <w:szCs w:val="22"/>
        </w:rPr>
      </w:pPr>
    </w:p>
    <w:p w14:paraId="4885AC0A">
      <w:pPr>
        <w:spacing w:line="360" w:lineRule="auto"/>
        <w:ind w:firstLine="480" w:firstLineChars="200"/>
        <w:rPr>
          <w:rFonts w:ascii="等线" w:hAnsi="等线" w:eastAsia="等线" w:cs="Times New Roman"/>
          <w:b/>
          <w:bCs/>
          <w:kern w:val="0"/>
          <w:sz w:val="24"/>
          <w:szCs w:val="22"/>
        </w:rPr>
      </w:pPr>
      <w:r>
        <w:rPr>
          <w:rFonts w:hint="eastAsia" w:ascii="等线" w:hAnsi="等线" w:eastAsia="等线" w:cs="Times New Roman"/>
          <w:b/>
          <w:bCs/>
          <w:kern w:val="0"/>
          <w:sz w:val="24"/>
          <w:szCs w:val="22"/>
        </w:rPr>
        <w:t>课程名称：文学概论</w:t>
      </w:r>
    </w:p>
    <w:p w14:paraId="419E9203">
      <w:pPr>
        <w:spacing w:line="360" w:lineRule="auto"/>
        <w:ind w:firstLine="480" w:firstLineChars="200"/>
        <w:rPr>
          <w:rFonts w:ascii="等线" w:hAnsi="等线" w:eastAsia="等线" w:cs="Times New Roman"/>
          <w:b/>
          <w:sz w:val="28"/>
          <w:szCs w:val="28"/>
        </w:rPr>
      </w:pPr>
      <w:r>
        <w:rPr>
          <w:rFonts w:ascii="等线" w:hAnsi="等线" w:eastAsia="等线" w:cs="Times New Roman"/>
          <w:b/>
          <w:bCs/>
          <w:kern w:val="0"/>
          <w:sz w:val="24"/>
          <w:szCs w:val="22"/>
        </w:rPr>
        <w:t>课程代码</w:t>
      </w:r>
      <w:r>
        <w:rPr>
          <w:rFonts w:ascii="等线" w:hAnsi="等线" w:eastAsia="等线" w:cs="Times New Roman"/>
          <w:b/>
          <w:kern w:val="0"/>
          <w:sz w:val="24"/>
          <w:szCs w:val="22"/>
        </w:rPr>
        <w:t>：</w:t>
      </w:r>
      <w:r>
        <w:rPr>
          <w:rFonts w:hint="eastAsia" w:ascii="宋体" w:hAnsi="宋体" w:eastAsia="等线" w:cs="Times New Roman"/>
          <w:bCs/>
          <w:kern w:val="0"/>
          <w:sz w:val="24"/>
          <w:szCs w:val="22"/>
        </w:rPr>
        <w:t>070</w:t>
      </w:r>
      <w:r>
        <w:rPr>
          <w:rFonts w:ascii="宋体" w:hAnsi="宋体" w:eastAsia="等线" w:cs="Times New Roman"/>
          <w:bCs/>
          <w:kern w:val="0"/>
          <w:sz w:val="24"/>
          <w:szCs w:val="22"/>
        </w:rPr>
        <w:t>5028</w:t>
      </w:r>
    </w:p>
    <w:p w14:paraId="0BE5DD30">
      <w:pPr>
        <w:spacing w:line="360" w:lineRule="auto"/>
        <w:ind w:firstLine="480" w:firstLineChars="200"/>
        <w:rPr>
          <w:rFonts w:hint="eastAsia" w:ascii="等线" w:hAnsi="等线" w:eastAsia="等线" w:cs="Times New Roman"/>
          <w:kern w:val="0"/>
          <w:sz w:val="24"/>
          <w:szCs w:val="22"/>
        </w:rPr>
      </w:pPr>
      <w:r>
        <w:rPr>
          <w:rFonts w:ascii="等线" w:hAnsi="等线" w:eastAsia="等线" w:cs="Times New Roman"/>
          <w:b/>
          <w:bCs/>
          <w:kern w:val="0"/>
          <w:sz w:val="24"/>
          <w:szCs w:val="22"/>
        </w:rPr>
        <w:t>学    分：</w:t>
      </w:r>
      <w:r>
        <w:rPr>
          <w:rFonts w:hint="eastAsia" w:ascii="等线" w:hAnsi="等线" w:eastAsia="等线" w:cs="Times New Roman"/>
          <w:kern w:val="0"/>
          <w:sz w:val="24"/>
          <w:szCs w:val="22"/>
        </w:rPr>
        <w:t>3</w:t>
      </w:r>
    </w:p>
    <w:p w14:paraId="40CBC255">
      <w:pPr>
        <w:spacing w:line="360" w:lineRule="auto"/>
        <w:ind w:firstLine="480" w:firstLineChars="200"/>
        <w:rPr>
          <w:rFonts w:hint="eastAsia" w:ascii="等线" w:hAnsi="等线" w:eastAsia="等线" w:cs="Times New Roman"/>
          <w:kern w:val="0"/>
          <w:sz w:val="24"/>
          <w:szCs w:val="22"/>
        </w:rPr>
      </w:pPr>
      <w:r>
        <w:rPr>
          <w:rFonts w:ascii="等线" w:hAnsi="等线" w:eastAsia="等线" w:cs="Times New Roman"/>
          <w:b/>
          <w:bCs/>
          <w:kern w:val="0"/>
          <w:sz w:val="24"/>
          <w:szCs w:val="22"/>
        </w:rPr>
        <w:t>学    时：</w:t>
      </w:r>
      <w:r>
        <w:rPr>
          <w:rFonts w:hint="eastAsia" w:ascii="等线" w:hAnsi="等线" w:eastAsia="等线" w:cs="Times New Roman"/>
          <w:kern w:val="0"/>
          <w:sz w:val="24"/>
          <w:szCs w:val="22"/>
        </w:rPr>
        <w:t>48</w:t>
      </w:r>
    </w:p>
    <w:p w14:paraId="19FEB7C9">
      <w:pPr>
        <w:spacing w:line="360" w:lineRule="auto"/>
        <w:ind w:firstLine="480" w:firstLineChars="200"/>
        <w:rPr>
          <w:rFonts w:ascii="等线" w:hAnsi="等线" w:eastAsia="等线" w:cs="Times New Roman"/>
          <w:bCs/>
          <w:kern w:val="0"/>
          <w:sz w:val="24"/>
          <w:szCs w:val="22"/>
        </w:rPr>
      </w:pPr>
      <w:r>
        <w:rPr>
          <w:rFonts w:ascii="等线" w:hAnsi="等线" w:eastAsia="等线" w:cs="Times New Roman"/>
          <w:b/>
          <w:bCs/>
          <w:kern w:val="0"/>
          <w:sz w:val="24"/>
          <w:szCs w:val="22"/>
        </w:rPr>
        <w:t>先修课程：</w:t>
      </w:r>
      <w:r>
        <w:rPr>
          <w:rFonts w:ascii="等线" w:hAnsi="等线" w:eastAsia="等线" w:cs="Times New Roman"/>
          <w:sz w:val="24"/>
          <w:szCs w:val="22"/>
        </w:rPr>
        <w:t>中国古代文学</w:t>
      </w:r>
      <w:r>
        <w:rPr>
          <w:rFonts w:hint="eastAsia" w:ascii="等线" w:hAnsi="等线" w:eastAsia="等线" w:cs="Times New Roman"/>
          <w:sz w:val="24"/>
          <w:szCs w:val="22"/>
        </w:rPr>
        <w:t>I</w:t>
      </w:r>
      <w:r>
        <w:rPr>
          <w:rFonts w:ascii="等线" w:hAnsi="等线" w:eastAsia="等线" w:cs="Times New Roman"/>
          <w:sz w:val="24"/>
          <w:szCs w:val="22"/>
        </w:rPr>
        <w:t>、</w:t>
      </w:r>
      <w:r>
        <w:rPr>
          <w:rFonts w:hint="eastAsia" w:ascii="等线" w:hAnsi="等线" w:eastAsia="等线" w:cs="Times New Roman"/>
          <w:sz w:val="24"/>
          <w:szCs w:val="22"/>
        </w:rPr>
        <w:t>中国古代文学II、中国现当代文学、现代汉语、古代汉语</w:t>
      </w:r>
      <w:r>
        <w:rPr>
          <w:rFonts w:ascii="等线" w:hAnsi="等线" w:eastAsia="等线" w:cs="Times New Roman"/>
          <w:sz w:val="24"/>
          <w:szCs w:val="22"/>
        </w:rPr>
        <w:t>等。</w:t>
      </w:r>
    </w:p>
    <w:p w14:paraId="5D527B1A">
      <w:pPr>
        <w:spacing w:line="360" w:lineRule="auto"/>
        <w:ind w:firstLine="480" w:firstLineChars="200"/>
        <w:rPr>
          <w:rFonts w:ascii="等线" w:hAnsi="等线" w:eastAsia="等线" w:cs="Times New Roman"/>
          <w:sz w:val="24"/>
          <w:szCs w:val="22"/>
        </w:rPr>
      </w:pPr>
      <w:r>
        <w:rPr>
          <w:rFonts w:ascii="等线" w:hAnsi="等线" w:eastAsia="等线" w:cs="Times New Roman"/>
          <w:b/>
          <w:bCs/>
          <w:kern w:val="0"/>
          <w:sz w:val="24"/>
          <w:szCs w:val="22"/>
        </w:rPr>
        <w:t>适用专业：</w:t>
      </w:r>
      <w:r>
        <w:rPr>
          <w:rFonts w:hint="eastAsia" w:ascii="等线" w:hAnsi="等线" w:eastAsia="等线" w:cs="Times New Roman"/>
          <w:sz w:val="24"/>
          <w:szCs w:val="22"/>
        </w:rPr>
        <w:t>小学教育</w:t>
      </w:r>
    </w:p>
    <w:p w14:paraId="483AD07C">
      <w:pPr>
        <w:spacing w:line="360" w:lineRule="auto"/>
        <w:ind w:firstLine="480" w:firstLineChars="200"/>
        <w:rPr>
          <w:rFonts w:ascii="等线" w:hAnsi="等线" w:eastAsia="等线" w:cs="Times New Roman"/>
          <w:kern w:val="0"/>
          <w:sz w:val="24"/>
          <w:szCs w:val="22"/>
        </w:rPr>
      </w:pPr>
      <w:r>
        <w:rPr>
          <w:rFonts w:ascii="等线" w:hAnsi="等线" w:eastAsia="等线" w:cs="Times New Roman"/>
          <w:kern w:val="0"/>
          <w:sz w:val="24"/>
          <w:szCs w:val="22"/>
        </w:rPr>
        <w:t xml:space="preserve">                          </w:t>
      </w:r>
    </w:p>
    <w:p w14:paraId="1EA82AAE">
      <w:pPr>
        <w:numPr>
          <w:ilvl w:val="0"/>
          <w:numId w:val="62"/>
        </w:numPr>
        <w:spacing w:line="360" w:lineRule="auto"/>
        <w:ind w:left="500" w:hanging="500"/>
        <w:outlineLvl w:val="0"/>
        <w:rPr>
          <w:rFonts w:ascii="等线" w:hAnsi="等线" w:eastAsia="等线" w:cs="Times New Roman"/>
          <w:b/>
          <w:bCs/>
          <w:kern w:val="0"/>
          <w:sz w:val="24"/>
          <w:szCs w:val="22"/>
        </w:rPr>
      </w:pPr>
      <w:bookmarkStart w:id="1877" w:name="_Toc16346"/>
      <w:bookmarkStart w:id="1878" w:name="_Toc29129"/>
      <w:bookmarkStart w:id="1879" w:name="_Toc24544"/>
      <w:bookmarkStart w:id="1880" w:name="_Toc26777"/>
      <w:bookmarkStart w:id="1881" w:name="_Toc32421"/>
      <w:bookmarkStart w:id="1882" w:name="_Toc20267"/>
      <w:bookmarkStart w:id="1883" w:name="_Toc29312"/>
      <w:r>
        <w:rPr>
          <w:rFonts w:ascii="等线" w:hAnsi="等线" w:eastAsia="等线" w:cs="Times New Roman"/>
          <w:b/>
          <w:bCs/>
          <w:kern w:val="0"/>
          <w:sz w:val="24"/>
          <w:szCs w:val="22"/>
        </w:rPr>
        <w:t>课程</w:t>
      </w:r>
      <w:r>
        <w:rPr>
          <w:rFonts w:hint="eastAsia" w:ascii="等线" w:hAnsi="等线" w:eastAsia="等线" w:cs="Times New Roman"/>
          <w:b/>
          <w:bCs/>
          <w:kern w:val="0"/>
          <w:sz w:val="24"/>
          <w:szCs w:val="22"/>
        </w:rPr>
        <w:t>简介：</w:t>
      </w:r>
      <w:bookmarkEnd w:id="1877"/>
      <w:bookmarkEnd w:id="1878"/>
      <w:bookmarkEnd w:id="1879"/>
      <w:bookmarkEnd w:id="1880"/>
      <w:bookmarkEnd w:id="1881"/>
      <w:bookmarkEnd w:id="1882"/>
      <w:bookmarkEnd w:id="1883"/>
    </w:p>
    <w:p w14:paraId="6AFB6B4E">
      <w:pPr>
        <w:spacing w:line="360" w:lineRule="auto"/>
        <w:ind w:firstLine="480" w:firstLineChars="200"/>
        <w:rPr>
          <w:rFonts w:hint="eastAsia" w:ascii="等线" w:hAnsi="等线" w:eastAsia="等线" w:cs="Times New Roman"/>
          <w:bCs/>
          <w:kern w:val="0"/>
          <w:sz w:val="24"/>
          <w:szCs w:val="22"/>
        </w:rPr>
      </w:pPr>
      <w:r>
        <w:rPr>
          <w:rFonts w:hint="eastAsia" w:ascii="等线" w:hAnsi="等线" w:eastAsia="等线" w:cs="Times New Roman"/>
          <w:bCs/>
          <w:kern w:val="0"/>
          <w:sz w:val="24"/>
          <w:szCs w:val="22"/>
        </w:rPr>
        <w:t>本课程是小学教育专业的专业基础必修课。通过本课程的学习，首先，使学生系统地学习和掌握文学的基础知识和基本理论，帮助学生树立马克思主义的科学文艺观；其次，进一步提高学生阅读、鉴赏、分析、评论文学作品和辨析文艺思潮、文艺现象的能力；最后，为提升审美意识打下必要的理论基础，将所学理论知识和文学阅读结合起来，增强分析和解决实际问题的能力。</w:t>
      </w:r>
    </w:p>
    <w:p w14:paraId="2B1E6E00">
      <w:pPr>
        <w:numPr>
          <w:ilvl w:val="0"/>
          <w:numId w:val="62"/>
        </w:numPr>
        <w:spacing w:line="360" w:lineRule="auto"/>
        <w:ind w:left="500" w:hanging="500"/>
        <w:outlineLvl w:val="0"/>
        <w:rPr>
          <w:rFonts w:ascii="等线" w:hAnsi="等线" w:eastAsia="等线" w:cs="Times New Roman"/>
          <w:b/>
          <w:sz w:val="24"/>
          <w:szCs w:val="22"/>
        </w:rPr>
      </w:pPr>
      <w:bookmarkStart w:id="1884" w:name="_Toc690"/>
      <w:bookmarkStart w:id="1885" w:name="_Toc13975"/>
      <w:bookmarkStart w:id="1886" w:name="_Toc6641"/>
      <w:bookmarkStart w:id="1887" w:name="_Toc5723"/>
      <w:bookmarkStart w:id="1888" w:name="_Toc7826"/>
      <w:bookmarkStart w:id="1889" w:name="_Toc6945"/>
      <w:bookmarkStart w:id="1890" w:name="_Toc21368"/>
      <w:r>
        <w:rPr>
          <w:rFonts w:ascii="等线" w:hAnsi="等线" w:eastAsia="等线" w:cs="Times New Roman"/>
          <w:b/>
          <w:sz w:val="24"/>
          <w:szCs w:val="22"/>
        </w:rPr>
        <w:t>课程目标</w:t>
      </w:r>
      <w:bookmarkEnd w:id="1884"/>
      <w:bookmarkEnd w:id="1885"/>
      <w:bookmarkEnd w:id="1886"/>
      <w:bookmarkEnd w:id="1887"/>
      <w:bookmarkEnd w:id="1888"/>
      <w:bookmarkEnd w:id="1889"/>
      <w:bookmarkEnd w:id="1890"/>
    </w:p>
    <w:p w14:paraId="298CF379">
      <w:pPr>
        <w:spacing w:line="360" w:lineRule="auto"/>
        <w:ind w:left="500"/>
        <w:outlineLvl w:val="1"/>
        <w:rPr>
          <w:rFonts w:hint="eastAsia" w:ascii="宋体" w:hAnsi="宋体" w:eastAsia="等线" w:cs="Times New Roman"/>
          <w:b/>
          <w:szCs w:val="21"/>
        </w:rPr>
      </w:pPr>
      <w:bookmarkStart w:id="1891" w:name="_Toc22261"/>
      <w:r>
        <w:rPr>
          <w:rFonts w:hint="eastAsia" w:ascii="宋体" w:hAnsi="宋体" w:eastAsia="等线" w:cs="Times New Roman"/>
          <w:b/>
          <w:szCs w:val="21"/>
        </w:rPr>
        <w:t>（一）课程具体目标</w:t>
      </w:r>
      <w:bookmarkEnd w:id="1891"/>
    </w:p>
    <w:p w14:paraId="2793FEC4">
      <w:pPr>
        <w:spacing w:line="360" w:lineRule="auto"/>
        <w:ind w:firstLine="420" w:firstLineChars="200"/>
        <w:jc w:val="left"/>
        <w:rPr>
          <w:rFonts w:ascii="宋体" w:hAnsi="宋体" w:eastAsia="等线" w:cs="Times New Roman"/>
          <w:szCs w:val="21"/>
        </w:rPr>
      </w:pPr>
      <w:r>
        <w:rPr>
          <w:rFonts w:hint="eastAsia" w:ascii="宋体" w:hAnsi="宋体" w:eastAsia="等线" w:cs="Times New Roman"/>
          <w:b/>
          <w:bCs/>
          <w:szCs w:val="21"/>
        </w:rPr>
        <w:t>目标</w:t>
      </w:r>
      <w:r>
        <w:rPr>
          <w:rFonts w:ascii="宋体" w:hAnsi="宋体" w:eastAsia="等线" w:cs="Times New Roman"/>
          <w:b/>
          <w:bCs/>
          <w:szCs w:val="21"/>
        </w:rPr>
        <w:t>1.</w:t>
      </w:r>
      <w:r>
        <w:rPr>
          <w:rFonts w:ascii="宋体" w:hAnsi="宋体" w:eastAsia="等线" w:cs="Times New Roman"/>
          <w:szCs w:val="21"/>
        </w:rPr>
        <w:t xml:space="preserve"> </w:t>
      </w:r>
      <w:r>
        <w:rPr>
          <w:rFonts w:hint="eastAsia" w:ascii="宋体" w:hAnsi="宋体" w:eastAsia="等线" w:cs="Times New Roman"/>
          <w:szCs w:val="21"/>
        </w:rPr>
        <w:t>系统学习和</w:t>
      </w:r>
      <w:r>
        <w:rPr>
          <w:rFonts w:ascii="宋体" w:hAnsi="宋体" w:eastAsia="等线" w:cs="Times New Roman"/>
          <w:szCs w:val="21"/>
        </w:rPr>
        <w:t>理解马克思主义文学理论产生的历史条件和思想来源，</w:t>
      </w:r>
      <w:r>
        <w:rPr>
          <w:rFonts w:hint="eastAsia" w:ascii="宋体" w:hAnsi="宋体" w:eastAsia="等线" w:cs="Times New Roman"/>
          <w:szCs w:val="21"/>
        </w:rPr>
        <w:t>培养良好的学科专业能力，把握</w:t>
      </w:r>
      <w:r>
        <w:rPr>
          <w:rFonts w:ascii="宋体" w:hAnsi="宋体" w:eastAsia="等线" w:cs="Times New Roman"/>
          <w:szCs w:val="21"/>
        </w:rPr>
        <w:t>文学作为一种审美意识形态的基本性质，理解文学的审美意识形态性的具体表现</w:t>
      </w:r>
      <w:r>
        <w:rPr>
          <w:rFonts w:hint="eastAsia" w:ascii="宋体" w:hAnsi="宋体" w:eastAsia="等线" w:cs="Times New Roman"/>
          <w:szCs w:val="21"/>
        </w:rPr>
        <w:t>。</w:t>
      </w:r>
    </w:p>
    <w:p w14:paraId="6F166477">
      <w:pPr>
        <w:spacing w:line="360" w:lineRule="auto"/>
        <w:ind w:firstLine="420" w:firstLineChars="200"/>
        <w:jc w:val="left"/>
        <w:rPr>
          <w:rFonts w:ascii="宋体" w:hAnsi="宋体" w:eastAsia="等线" w:cs="Times New Roman"/>
          <w:szCs w:val="21"/>
        </w:rPr>
      </w:pPr>
      <w:r>
        <w:rPr>
          <w:rFonts w:hint="eastAsia" w:ascii="宋体" w:hAnsi="宋体" w:eastAsia="等线" w:cs="Times New Roman"/>
          <w:b/>
          <w:bCs/>
          <w:szCs w:val="21"/>
        </w:rPr>
        <w:t>目标2</w:t>
      </w:r>
      <w:r>
        <w:rPr>
          <w:rFonts w:ascii="宋体" w:hAnsi="宋体" w:eastAsia="等线" w:cs="Times New Roman"/>
          <w:b/>
          <w:bCs/>
          <w:szCs w:val="21"/>
        </w:rPr>
        <w:t>.</w:t>
      </w:r>
      <w:r>
        <w:rPr>
          <w:rFonts w:ascii="宋体" w:hAnsi="宋体" w:eastAsia="等线" w:cs="Times New Roman"/>
          <w:szCs w:val="21"/>
        </w:rPr>
        <w:t xml:space="preserve"> </w:t>
      </w:r>
      <w:r>
        <w:rPr>
          <w:rFonts w:hint="eastAsia" w:ascii="宋体" w:hAnsi="宋体" w:eastAsia="等线" w:cs="Times New Roman"/>
          <w:szCs w:val="21"/>
        </w:rPr>
        <w:t>提高阅读、鉴赏、分析文学作品与文学现象的能力，掌握各种文学体裁的特征和发展过程，实践文学理论对具体作品的批评指导。具有较好的人文素养与艺术底蕴，人格健全，心理健康，情感丰富，为人师表。</w:t>
      </w:r>
    </w:p>
    <w:p w14:paraId="3E6EFA35">
      <w:pPr>
        <w:adjustRightInd w:val="0"/>
        <w:snapToGrid w:val="0"/>
        <w:spacing w:line="360" w:lineRule="auto"/>
        <w:ind w:firstLine="420" w:firstLineChars="200"/>
        <w:outlineLvl w:val="1"/>
        <w:rPr>
          <w:rFonts w:ascii="宋体" w:hAnsi="宋体" w:eastAsia="等线" w:cs="Times New Roman"/>
          <w:b/>
          <w:szCs w:val="21"/>
        </w:rPr>
      </w:pPr>
      <w:bookmarkStart w:id="1892" w:name="_Toc30335"/>
      <w:r>
        <w:rPr>
          <w:rFonts w:hint="eastAsia" w:ascii="宋体" w:hAnsi="宋体" w:eastAsia="等线" w:cs="Times New Roman"/>
          <w:b/>
          <w:szCs w:val="21"/>
        </w:rPr>
        <w:t>（二）课程目标与专业毕业要求的关系</w:t>
      </w:r>
      <w:bookmarkEnd w:id="1892"/>
    </w:p>
    <w:tbl>
      <w:tblPr>
        <w:tblStyle w:val="10"/>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97F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7DE50858">
            <w:pPr>
              <w:spacing w:line="360" w:lineRule="auto"/>
              <w:jc w:val="center"/>
              <w:rPr>
                <w:rFonts w:ascii="等线" w:hAnsi="等线" w:eastAsia="等线" w:cs="Times New Roman"/>
                <w:b/>
                <w:bCs/>
                <w:szCs w:val="21"/>
              </w:rPr>
            </w:pPr>
            <w:r>
              <w:rPr>
                <w:rFonts w:hint="eastAsia" w:ascii="等线" w:hAnsi="等线" w:eastAsia="等线" w:cs="Times New Roman"/>
                <w:b/>
                <w:bCs/>
                <w:szCs w:val="21"/>
              </w:rPr>
              <w:t>毕业要求</w:t>
            </w:r>
          </w:p>
        </w:tc>
        <w:tc>
          <w:tcPr>
            <w:tcW w:w="5688" w:type="dxa"/>
            <w:noWrap w:val="0"/>
            <w:vAlign w:val="center"/>
          </w:tcPr>
          <w:p w14:paraId="7DC02007">
            <w:pPr>
              <w:spacing w:line="360" w:lineRule="auto"/>
              <w:jc w:val="center"/>
              <w:rPr>
                <w:rFonts w:ascii="等线" w:hAnsi="等线" w:eastAsia="等线" w:cs="Times New Roman"/>
                <w:b/>
                <w:bCs/>
                <w:szCs w:val="21"/>
              </w:rPr>
            </w:pPr>
            <w:r>
              <w:rPr>
                <w:rFonts w:hint="eastAsia" w:ascii="等线" w:hAnsi="等线" w:eastAsia="等线" w:cs="Times New Roman"/>
                <w:b/>
                <w:bCs/>
                <w:szCs w:val="21"/>
              </w:rPr>
              <w:t>毕业要求指标点</w:t>
            </w:r>
          </w:p>
        </w:tc>
        <w:tc>
          <w:tcPr>
            <w:tcW w:w="1191" w:type="dxa"/>
            <w:noWrap w:val="0"/>
            <w:vAlign w:val="center"/>
          </w:tcPr>
          <w:p w14:paraId="3CF6DA65">
            <w:pPr>
              <w:spacing w:line="360" w:lineRule="auto"/>
              <w:jc w:val="center"/>
              <w:rPr>
                <w:rFonts w:ascii="等线" w:hAnsi="等线" w:eastAsia="等线" w:cs="Times New Roman"/>
                <w:b/>
                <w:bCs/>
                <w:szCs w:val="21"/>
              </w:rPr>
            </w:pPr>
            <w:r>
              <w:rPr>
                <w:rFonts w:hint="eastAsia" w:ascii="等线" w:hAnsi="等线" w:eastAsia="等线" w:cs="Times New Roman"/>
                <w:b/>
                <w:bCs/>
                <w:szCs w:val="21"/>
              </w:rPr>
              <w:t>课程目标</w:t>
            </w:r>
          </w:p>
        </w:tc>
      </w:tr>
      <w:tr w14:paraId="0CB3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527AC4A9">
            <w:pPr>
              <w:spacing w:line="276" w:lineRule="auto"/>
              <w:jc w:val="left"/>
              <w:rPr>
                <w:rFonts w:ascii="等线" w:hAnsi="等线" w:eastAsia="等线" w:cs="Times New Roman"/>
                <w:szCs w:val="21"/>
              </w:rPr>
            </w:pPr>
            <w:r>
              <w:rPr>
                <w:rFonts w:hint="eastAsia" w:ascii="等线" w:hAnsi="等线" w:eastAsia="等线" w:cs="Times New Roman"/>
                <w:szCs w:val="21"/>
              </w:rPr>
              <w:t>毕业要求1师德规范</w:t>
            </w:r>
          </w:p>
        </w:tc>
        <w:tc>
          <w:tcPr>
            <w:tcW w:w="5688" w:type="dxa"/>
            <w:noWrap w:val="0"/>
            <w:vAlign w:val="center"/>
          </w:tcPr>
          <w:p w14:paraId="4F8E41AF">
            <w:pPr>
              <w:spacing w:line="276" w:lineRule="auto"/>
              <w:jc w:val="left"/>
              <w:rPr>
                <w:rFonts w:ascii="等线" w:hAnsi="等线" w:eastAsia="等线" w:cs="Times New Roman"/>
                <w:szCs w:val="21"/>
              </w:rPr>
            </w:pPr>
            <w:r>
              <w:rPr>
                <w:rFonts w:hint="eastAsia" w:ascii="等线" w:hAnsi="等线" w:eastAsia="等线" w:cs="Times New Roman"/>
                <w:szCs w:val="21"/>
              </w:rPr>
              <w:t>指标点</w:t>
            </w:r>
            <w:r>
              <w:rPr>
                <w:rFonts w:ascii="等线" w:hAnsi="等线" w:eastAsia="等线" w:cs="Times New Roman"/>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noWrap w:val="0"/>
            <w:vAlign w:val="center"/>
          </w:tcPr>
          <w:p w14:paraId="1D06EE33">
            <w:pPr>
              <w:spacing w:line="276" w:lineRule="auto"/>
              <w:jc w:val="left"/>
              <w:rPr>
                <w:rFonts w:ascii="等线" w:hAnsi="等线" w:eastAsia="等线" w:cs="Times New Roman"/>
                <w:szCs w:val="21"/>
              </w:rPr>
            </w:pPr>
            <w:r>
              <w:rPr>
                <w:rFonts w:hint="eastAsia" w:ascii="等线" w:hAnsi="等线" w:eastAsia="等线" w:cs="Times New Roman"/>
                <w:szCs w:val="21"/>
              </w:rPr>
              <w:t>课程目标1</w:t>
            </w:r>
          </w:p>
        </w:tc>
      </w:tr>
      <w:tr w14:paraId="45F2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152D3EA0">
            <w:pPr>
              <w:spacing w:line="276" w:lineRule="auto"/>
              <w:jc w:val="left"/>
              <w:rPr>
                <w:rFonts w:ascii="等线" w:hAnsi="等线" w:eastAsia="等线" w:cs="Times New Roman"/>
                <w:szCs w:val="21"/>
              </w:rPr>
            </w:pPr>
            <w:r>
              <w:rPr>
                <w:rFonts w:hint="eastAsia" w:ascii="等线" w:hAnsi="等线" w:eastAsia="等线" w:cs="Times New Roman"/>
                <w:szCs w:val="21"/>
              </w:rPr>
              <w:t>毕业要求3学科素养</w:t>
            </w:r>
          </w:p>
        </w:tc>
        <w:tc>
          <w:tcPr>
            <w:tcW w:w="5688" w:type="dxa"/>
            <w:noWrap w:val="0"/>
            <w:vAlign w:val="center"/>
          </w:tcPr>
          <w:p w14:paraId="3DE27AF0">
            <w:pPr>
              <w:spacing w:line="276" w:lineRule="auto"/>
              <w:jc w:val="left"/>
              <w:rPr>
                <w:rFonts w:ascii="等线" w:hAnsi="等线" w:eastAsia="等线" w:cs="Times New Roman"/>
                <w:szCs w:val="21"/>
              </w:rPr>
            </w:pPr>
            <w:r>
              <w:rPr>
                <w:rFonts w:hint="eastAsia" w:ascii="宋体" w:hAnsi="宋体" w:eastAsia="等线" w:cs="Times New Roman"/>
                <w:color w:val="000000"/>
                <w:spacing w:val="2"/>
                <w:kern w:val="0"/>
                <w:szCs w:val="21"/>
              </w:rPr>
              <w:t>指标点</w:t>
            </w:r>
            <w:r>
              <w:rPr>
                <w:rFonts w:ascii="宋体" w:hAnsi="宋体" w:eastAsia="等线" w:cs="Times New Roman"/>
                <w:color w:val="000000"/>
                <w:spacing w:val="2"/>
                <w:kern w:val="0"/>
                <w:szCs w:val="21"/>
              </w:rPr>
              <w:t>3-3：【教育教学知识牢固】掌握教育教学基本理论知识，熟悉所教学科课程标准和教材、教学内容。在教育教学实践中，具有一定的教材解读能力，具有依据课标进行教学的意识和习惯。</w:t>
            </w:r>
          </w:p>
        </w:tc>
        <w:tc>
          <w:tcPr>
            <w:tcW w:w="1191" w:type="dxa"/>
            <w:noWrap w:val="0"/>
            <w:vAlign w:val="center"/>
          </w:tcPr>
          <w:p w14:paraId="66E19405">
            <w:pPr>
              <w:spacing w:line="276" w:lineRule="auto"/>
              <w:jc w:val="left"/>
              <w:rPr>
                <w:rFonts w:ascii="等线" w:hAnsi="等线" w:eastAsia="等线" w:cs="Times New Roman"/>
                <w:szCs w:val="21"/>
              </w:rPr>
            </w:pPr>
            <w:r>
              <w:rPr>
                <w:rFonts w:hint="eastAsia" w:ascii="等线" w:hAnsi="等线" w:eastAsia="等线" w:cs="Times New Roman"/>
                <w:szCs w:val="21"/>
              </w:rPr>
              <w:t>课程目标2</w:t>
            </w:r>
          </w:p>
        </w:tc>
      </w:tr>
      <w:tr w14:paraId="703D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noWrap w:val="0"/>
            <w:vAlign w:val="center"/>
          </w:tcPr>
          <w:p w14:paraId="2CD9F9D5">
            <w:pPr>
              <w:spacing w:line="276" w:lineRule="auto"/>
              <w:jc w:val="left"/>
              <w:rPr>
                <w:rFonts w:ascii="等线" w:hAnsi="等线" w:eastAsia="等线" w:cs="Times New Roman"/>
                <w:szCs w:val="21"/>
              </w:rPr>
            </w:pPr>
            <w:r>
              <w:rPr>
                <w:rFonts w:hint="eastAsia" w:ascii="等线" w:hAnsi="等线" w:eastAsia="等线" w:cs="Times New Roman"/>
                <w:szCs w:val="21"/>
              </w:rPr>
              <w:t>毕业要求7学会反思</w:t>
            </w:r>
          </w:p>
        </w:tc>
        <w:tc>
          <w:tcPr>
            <w:tcW w:w="5688" w:type="dxa"/>
            <w:noWrap w:val="0"/>
            <w:vAlign w:val="center"/>
          </w:tcPr>
          <w:p w14:paraId="5B18D78F">
            <w:pPr>
              <w:spacing w:line="276" w:lineRule="auto"/>
              <w:jc w:val="left"/>
              <w:rPr>
                <w:rFonts w:ascii="等线" w:hAnsi="等线" w:eastAsia="等线" w:cs="Times New Roman"/>
                <w:szCs w:val="21"/>
              </w:rPr>
            </w:pPr>
            <w:r>
              <w:rPr>
                <w:rFonts w:hint="eastAsia" w:ascii="宋体" w:hAnsi="宋体" w:eastAsia="等线" w:cs="Times New Roman"/>
                <w:color w:val="000000"/>
                <w:kern w:val="0"/>
                <w:szCs w:val="21"/>
              </w:rPr>
              <w:t>指标点</w:t>
            </w:r>
            <w:r>
              <w:rPr>
                <w:rFonts w:ascii="宋体" w:hAnsi="宋体" w:eastAsia="等线" w:cs="Times New Roman"/>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noWrap w:val="0"/>
            <w:vAlign w:val="center"/>
          </w:tcPr>
          <w:p w14:paraId="45246891">
            <w:pPr>
              <w:spacing w:line="276" w:lineRule="auto"/>
              <w:jc w:val="left"/>
              <w:rPr>
                <w:rFonts w:ascii="等线" w:hAnsi="等线" w:eastAsia="等线" w:cs="Times New Roman"/>
                <w:szCs w:val="21"/>
              </w:rPr>
            </w:pPr>
            <w:r>
              <w:rPr>
                <w:rFonts w:hint="eastAsia" w:ascii="等线" w:hAnsi="等线" w:eastAsia="等线" w:cs="Times New Roman"/>
                <w:szCs w:val="21"/>
              </w:rPr>
              <w:t>课程目标2</w:t>
            </w:r>
          </w:p>
        </w:tc>
      </w:tr>
    </w:tbl>
    <w:p w14:paraId="69471AB1">
      <w:pPr>
        <w:spacing w:before="156" w:beforeLines="50" w:line="360" w:lineRule="auto"/>
        <w:ind w:firstLine="420" w:firstLineChars="200"/>
        <w:jc w:val="left"/>
        <w:outlineLvl w:val="1"/>
        <w:rPr>
          <w:rFonts w:hint="eastAsia" w:ascii="宋体" w:hAnsi="宋体" w:eastAsia="等线" w:cs="Times New Roman"/>
          <w:b/>
          <w:color w:val="000000"/>
          <w:szCs w:val="21"/>
        </w:rPr>
      </w:pPr>
      <w:bookmarkStart w:id="1893" w:name="_Toc594"/>
      <w:r>
        <w:rPr>
          <w:rFonts w:hint="eastAsia" w:ascii="宋体" w:hAnsi="宋体" w:eastAsia="等线" w:cs="Times New Roman"/>
          <w:b/>
          <w:color w:val="000000"/>
          <w:szCs w:val="21"/>
        </w:rPr>
        <w:t>（三）课程思政目标</w:t>
      </w:r>
      <w:bookmarkEnd w:id="1893"/>
    </w:p>
    <w:p w14:paraId="2E7BCECB">
      <w:pPr>
        <w:spacing w:line="360" w:lineRule="auto"/>
        <w:ind w:firstLine="411" w:firstLineChars="196"/>
        <w:jc w:val="left"/>
        <w:rPr>
          <w:rFonts w:hint="eastAsia" w:ascii="宋体" w:hAnsi="宋体" w:eastAsia="等线" w:cs="Times New Roman"/>
          <w:color w:val="000000"/>
          <w:szCs w:val="21"/>
        </w:rPr>
      </w:pPr>
      <w:r>
        <w:rPr>
          <w:rFonts w:hint="eastAsia" w:ascii="宋体" w:hAnsi="宋体" w:eastAsia="等线" w:cs="Times New Roman"/>
          <w:color w:val="000000"/>
          <w:szCs w:val="21"/>
        </w:rPr>
        <w:t>促使学生在扎实掌握学科知识体系、思想与方法的基础上，践行社会主义核心价值观，认同中国特色社会主义，贯彻党的教育方针，以立德树人为己任，遵守小学教师职业道德规范。具有良好的学科专业能力，具有较好的人文素养与艺术底蕴，人格健全，心理健康，情感丰富，为人师表。立志成为有理想信念、有道德情操、有扎实学习、有仁爱之心的新时代大国良师。</w:t>
      </w:r>
    </w:p>
    <w:p w14:paraId="6788E1F5">
      <w:pPr>
        <w:spacing w:line="360" w:lineRule="auto"/>
        <w:jc w:val="left"/>
        <w:outlineLvl w:val="0"/>
        <w:rPr>
          <w:rFonts w:hint="eastAsia" w:ascii="宋体" w:hAnsi="宋体" w:eastAsia="等线" w:cs="Times New Roman"/>
          <w:b/>
          <w:color w:val="000000"/>
          <w:sz w:val="24"/>
          <w:szCs w:val="22"/>
        </w:rPr>
      </w:pPr>
      <w:bookmarkStart w:id="1894" w:name="_Toc29659"/>
      <w:bookmarkStart w:id="1895" w:name="_Toc9779"/>
      <w:bookmarkStart w:id="1896" w:name="_Toc6617"/>
      <w:bookmarkStart w:id="1897" w:name="_Toc18317"/>
      <w:bookmarkStart w:id="1898" w:name="_Toc18419"/>
      <w:bookmarkStart w:id="1899" w:name="_Toc30354"/>
      <w:bookmarkStart w:id="1900" w:name="_Toc8290"/>
      <w:r>
        <w:rPr>
          <w:rFonts w:hint="eastAsia" w:ascii="宋体" w:hAnsi="宋体" w:eastAsia="等线" w:cs="Times New Roman"/>
          <w:b/>
          <w:color w:val="000000"/>
          <w:sz w:val="24"/>
          <w:szCs w:val="22"/>
        </w:rPr>
        <w:t>三、教学内容与预期学习成效</w:t>
      </w:r>
      <w:bookmarkEnd w:id="1894"/>
      <w:bookmarkEnd w:id="1895"/>
      <w:bookmarkEnd w:id="1896"/>
      <w:bookmarkEnd w:id="1897"/>
      <w:bookmarkEnd w:id="1898"/>
      <w:bookmarkEnd w:id="1899"/>
      <w:bookmarkEnd w:id="1900"/>
    </w:p>
    <w:tbl>
      <w:tblPr>
        <w:tblStyle w:val="10"/>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6DC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noWrap w:val="0"/>
            <w:vAlign w:val="center"/>
          </w:tcPr>
          <w:p w14:paraId="2C3BAC4E">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知识</w:t>
            </w:r>
          </w:p>
          <w:p w14:paraId="79AF95CA">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单元</w:t>
            </w:r>
          </w:p>
        </w:tc>
        <w:tc>
          <w:tcPr>
            <w:tcW w:w="1701" w:type="dxa"/>
            <w:noWrap w:val="0"/>
            <w:vAlign w:val="center"/>
          </w:tcPr>
          <w:p w14:paraId="2AF0116D">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知识点</w:t>
            </w:r>
          </w:p>
        </w:tc>
        <w:tc>
          <w:tcPr>
            <w:tcW w:w="1134" w:type="dxa"/>
            <w:noWrap w:val="0"/>
            <w:vAlign w:val="center"/>
          </w:tcPr>
          <w:p w14:paraId="335D5BB6">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对应</w:t>
            </w:r>
          </w:p>
          <w:p w14:paraId="76BED7C2">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课程目标</w:t>
            </w:r>
          </w:p>
        </w:tc>
        <w:tc>
          <w:tcPr>
            <w:tcW w:w="3260" w:type="dxa"/>
            <w:noWrap w:val="0"/>
            <w:vAlign w:val="center"/>
          </w:tcPr>
          <w:p w14:paraId="33222889">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预期学习成效</w:t>
            </w:r>
          </w:p>
        </w:tc>
        <w:tc>
          <w:tcPr>
            <w:tcW w:w="1560" w:type="dxa"/>
            <w:noWrap w:val="0"/>
            <w:vAlign w:val="center"/>
          </w:tcPr>
          <w:p w14:paraId="6B910E1C">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实现环节</w:t>
            </w:r>
          </w:p>
        </w:tc>
        <w:tc>
          <w:tcPr>
            <w:tcW w:w="438" w:type="dxa"/>
            <w:noWrap w:val="0"/>
            <w:vAlign w:val="center"/>
          </w:tcPr>
          <w:p w14:paraId="0AA0D6D8">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学时</w:t>
            </w:r>
          </w:p>
        </w:tc>
      </w:tr>
      <w:tr w14:paraId="4AE1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259528E1">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1.马克思主义与文学理论</w:t>
            </w:r>
          </w:p>
        </w:tc>
        <w:tc>
          <w:tcPr>
            <w:tcW w:w="1701" w:type="dxa"/>
            <w:noWrap w:val="0"/>
            <w:vAlign w:val="center"/>
          </w:tcPr>
          <w:p w14:paraId="06C3D16F">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（1）文学概论内涵及其研究对象</w:t>
            </w:r>
          </w:p>
          <w:p w14:paraId="1A0F8509">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（2）马克思文学理论的性质、任务和形态。</w:t>
            </w:r>
          </w:p>
          <w:p w14:paraId="25F60241">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（3）完整认识马克思恩格斯对文学理论的发展作出的划时代贡献。</w:t>
            </w:r>
          </w:p>
          <w:p w14:paraId="1BE8A367">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（4）马克思主义文学理论在中国的发展与建设。</w:t>
            </w:r>
          </w:p>
        </w:tc>
        <w:tc>
          <w:tcPr>
            <w:tcW w:w="1134" w:type="dxa"/>
            <w:noWrap w:val="0"/>
            <w:vAlign w:val="center"/>
          </w:tcPr>
          <w:p w14:paraId="67BAB2B3">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w:t>
            </w:r>
          </w:p>
        </w:tc>
        <w:tc>
          <w:tcPr>
            <w:tcW w:w="3260" w:type="dxa"/>
            <w:noWrap w:val="0"/>
            <w:vAlign w:val="center"/>
          </w:tcPr>
          <w:p w14:paraId="730C64B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1.了解文学理论的性质、形态；理解文学理论的任务与意义。</w:t>
            </w:r>
          </w:p>
          <w:p w14:paraId="42E88D0F">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2．理解文学理论研究方法与研究分支。</w:t>
            </w:r>
          </w:p>
          <w:p w14:paraId="3CCFE0E9">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3．理解马克思主义理论与中国当代文学理论的关系。</w:t>
            </w:r>
          </w:p>
          <w:p w14:paraId="43F87EB5">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4．初步学习中国特色社会主义理论体系中的文艺思想</w:t>
            </w:r>
          </w:p>
          <w:p w14:paraId="162D11AC">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5.认识教材的基本逻辑框架</w:t>
            </w:r>
          </w:p>
        </w:tc>
        <w:tc>
          <w:tcPr>
            <w:tcW w:w="1560" w:type="dxa"/>
            <w:noWrap w:val="0"/>
            <w:vAlign w:val="center"/>
          </w:tcPr>
          <w:p w14:paraId="61BD1D11">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1.线上学习</w:t>
            </w:r>
          </w:p>
          <w:p w14:paraId="47DE73F9">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2.多媒体教学3.课堂讨论</w:t>
            </w:r>
          </w:p>
          <w:p w14:paraId="24C623D4">
            <w:pPr>
              <w:spacing w:line="269" w:lineRule="auto"/>
              <w:jc w:val="left"/>
              <w:rPr>
                <w:rFonts w:hint="eastAsia" w:ascii="宋体" w:hAnsi="宋体" w:eastAsia="等线" w:cs="Times New Roman"/>
                <w:color w:val="000000"/>
                <w:szCs w:val="21"/>
              </w:rPr>
            </w:pPr>
          </w:p>
        </w:tc>
        <w:tc>
          <w:tcPr>
            <w:tcW w:w="438" w:type="dxa"/>
            <w:noWrap w:val="0"/>
            <w:vAlign w:val="center"/>
          </w:tcPr>
          <w:p w14:paraId="373F01E1">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6</w:t>
            </w:r>
          </w:p>
        </w:tc>
      </w:tr>
      <w:tr w14:paraId="5176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0ED6684E">
            <w:pPr>
              <w:spacing w:line="264" w:lineRule="auto"/>
              <w:jc w:val="center"/>
              <w:rPr>
                <w:rFonts w:hint="eastAsia" w:ascii="宋体" w:hAnsi="宋体" w:eastAsia="等线" w:cs="Times New Roman"/>
                <w:color w:val="000000"/>
                <w:szCs w:val="21"/>
              </w:rPr>
            </w:pPr>
          </w:p>
        </w:tc>
        <w:tc>
          <w:tcPr>
            <w:tcW w:w="8093" w:type="dxa"/>
            <w:gridSpan w:val="5"/>
            <w:noWrap w:val="0"/>
            <w:vAlign w:val="center"/>
          </w:tcPr>
          <w:p w14:paraId="2EABDA95">
            <w:pPr>
              <w:spacing w:line="269"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 xml:space="preserve">在马克思主义思想指导下学习和研究文学性质与规律，运用辩证唯物主义和历史唯物主义的思想方法，结合中国文学发展的具体实践，与时俱进，开拓创新，培养学生坚定的马克思主义信仰，读懂、读透马克思主义文学的基本原理，做到真学、真懂、真信。真正夯实、树牢“四个意识”，坚定“四个自信”，坚决做到“两个维护”。 </w:t>
            </w:r>
          </w:p>
        </w:tc>
      </w:tr>
      <w:tr w14:paraId="00C8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771D38A8">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2.文学活动</w:t>
            </w:r>
          </w:p>
        </w:tc>
        <w:tc>
          <w:tcPr>
            <w:tcW w:w="1701" w:type="dxa"/>
            <w:noWrap w:val="0"/>
            <w:vAlign w:val="center"/>
          </w:tcPr>
          <w:p w14:paraId="3E55C2E3">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（1）文学活动的产生与发展。</w:t>
            </w:r>
          </w:p>
          <w:p w14:paraId="378C0D6E">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（2）文学活动的四要素及其相互关系</w:t>
            </w:r>
          </w:p>
          <w:p w14:paraId="67DD4BC8">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（3）文学活动的审美意识形态性质。</w:t>
            </w:r>
          </w:p>
          <w:p w14:paraId="572EB34D">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（4）文学活动的当代新趋势。</w:t>
            </w:r>
          </w:p>
          <w:p w14:paraId="4E14F17B">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（5）文学活动的价值与功能</w:t>
            </w:r>
          </w:p>
        </w:tc>
        <w:tc>
          <w:tcPr>
            <w:tcW w:w="1134" w:type="dxa"/>
            <w:noWrap w:val="0"/>
            <w:vAlign w:val="center"/>
          </w:tcPr>
          <w:p w14:paraId="7968F0C0">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课程目标1、2</w:t>
            </w:r>
          </w:p>
        </w:tc>
        <w:tc>
          <w:tcPr>
            <w:tcW w:w="3260" w:type="dxa"/>
            <w:noWrap w:val="0"/>
            <w:vAlign w:val="center"/>
          </w:tcPr>
          <w:p w14:paraId="4856A180">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1．理解和掌握文学活动的构成、美学意义及其发生、发展；</w:t>
            </w:r>
          </w:p>
          <w:p w14:paraId="25F23845">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2.了解文学活动发展的基本环节及每个环节的内涵、特点，在文学体系中的占有的位置与作用。</w:t>
            </w:r>
          </w:p>
          <w:p w14:paraId="4F889D8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3.理解文学是审美的艺术又是一种社会意识形态</w:t>
            </w:r>
          </w:p>
          <w:p w14:paraId="0AC0A306">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4.了解现代传媒、全球化语境下的文学活动。</w:t>
            </w:r>
          </w:p>
        </w:tc>
        <w:tc>
          <w:tcPr>
            <w:tcW w:w="1560" w:type="dxa"/>
            <w:noWrap w:val="0"/>
            <w:vAlign w:val="center"/>
          </w:tcPr>
          <w:p w14:paraId="175F5E63">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1.线上学习</w:t>
            </w:r>
          </w:p>
          <w:p w14:paraId="4DA54021">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2.多媒体教学3.课堂讨论</w:t>
            </w:r>
          </w:p>
          <w:p w14:paraId="3E6686A6">
            <w:pPr>
              <w:spacing w:line="269" w:lineRule="auto"/>
              <w:jc w:val="left"/>
              <w:rPr>
                <w:rFonts w:hint="eastAsia" w:ascii="宋体" w:hAnsi="宋体" w:eastAsia="等线" w:cs="Times New Roman"/>
                <w:color w:val="000000"/>
                <w:szCs w:val="21"/>
              </w:rPr>
            </w:pPr>
          </w:p>
        </w:tc>
        <w:tc>
          <w:tcPr>
            <w:tcW w:w="438" w:type="dxa"/>
            <w:noWrap w:val="0"/>
            <w:vAlign w:val="center"/>
          </w:tcPr>
          <w:p w14:paraId="16FC6E84">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6</w:t>
            </w:r>
          </w:p>
        </w:tc>
      </w:tr>
      <w:tr w14:paraId="0C0B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19A718AA">
            <w:pPr>
              <w:spacing w:line="264" w:lineRule="auto"/>
              <w:jc w:val="center"/>
              <w:rPr>
                <w:rFonts w:hint="eastAsia" w:ascii="宋体" w:hAnsi="宋体" w:eastAsia="等线" w:cs="Times New Roman"/>
                <w:color w:val="000000"/>
                <w:szCs w:val="21"/>
              </w:rPr>
            </w:pPr>
          </w:p>
        </w:tc>
        <w:tc>
          <w:tcPr>
            <w:tcW w:w="8093" w:type="dxa"/>
            <w:gridSpan w:val="5"/>
            <w:noWrap w:val="0"/>
            <w:vAlign w:val="center"/>
          </w:tcPr>
          <w:p w14:paraId="005787DD">
            <w:pPr>
              <w:spacing w:line="269"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使学生形成对文学活动与社会意识形态关系的正确认知，明确文学活动的本质。理解文学活动的意识形态性，即其立场和倾向性。培养学生把握时代发展的主流，积极践行中国特色的社会主义文学活动。</w:t>
            </w:r>
          </w:p>
        </w:tc>
      </w:tr>
      <w:tr w14:paraId="3B57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439AB1F6">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3.文学创作</w:t>
            </w:r>
          </w:p>
        </w:tc>
        <w:tc>
          <w:tcPr>
            <w:tcW w:w="1701" w:type="dxa"/>
            <w:noWrap w:val="0"/>
            <w:vAlign w:val="center"/>
          </w:tcPr>
          <w:p w14:paraId="0A39D13F">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（1）文学创造作为特殊的精神生产。</w:t>
            </w:r>
          </w:p>
          <w:p w14:paraId="5F63F2B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（2）文学创作过程。</w:t>
            </w:r>
          </w:p>
          <w:p w14:paraId="1182457D">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（3）文学创造原则。</w:t>
            </w:r>
          </w:p>
          <w:p w14:paraId="39105728">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（4）文学创作的审美心理机制</w:t>
            </w:r>
          </w:p>
          <w:p w14:paraId="7957487F">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（5）文学创作的主体条件与追求</w:t>
            </w:r>
          </w:p>
        </w:tc>
        <w:tc>
          <w:tcPr>
            <w:tcW w:w="1134" w:type="dxa"/>
            <w:noWrap w:val="0"/>
            <w:vAlign w:val="center"/>
          </w:tcPr>
          <w:p w14:paraId="72B02AE4">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课程目标1、2</w:t>
            </w:r>
          </w:p>
        </w:tc>
        <w:tc>
          <w:tcPr>
            <w:tcW w:w="3260" w:type="dxa"/>
            <w:noWrap w:val="0"/>
            <w:vAlign w:val="center"/>
          </w:tcPr>
          <w:p w14:paraId="0D45336B">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1.理解文学作为特殊的精神生产与物质生产的区别及与其他精神生产的区别。</w:t>
            </w:r>
          </w:p>
          <w:p w14:paraId="409E6DD0">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2.把握文学创作的三个阶段：发生阶段、构思阶段、物化阶段。</w:t>
            </w:r>
          </w:p>
          <w:p w14:paraId="7C70BACA">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3.</w:t>
            </w:r>
            <w:r>
              <w:rPr>
                <w:rFonts w:hint="eastAsia" w:ascii="等线" w:hAnsi="等线" w:eastAsia="等线" w:cs="Times New Roman"/>
                <w:szCs w:val="22"/>
              </w:rPr>
              <w:t>了解</w:t>
            </w:r>
            <w:r>
              <w:rPr>
                <w:rFonts w:hint="eastAsia" w:ascii="宋体" w:hAnsi="宋体" w:eastAsia="等线" w:cs="Times New Roman"/>
                <w:color w:val="000000"/>
                <w:szCs w:val="21"/>
              </w:rPr>
              <w:t>文学创作的基本过程</w:t>
            </w:r>
          </w:p>
          <w:p w14:paraId="3B93B32F">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4.理解文学创作中的审美心理活动</w:t>
            </w:r>
          </w:p>
          <w:p w14:paraId="4090199A">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5.重点体会文学想象与文学情感在创作中重要作用。</w:t>
            </w:r>
          </w:p>
          <w:p w14:paraId="09DCCC89">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6.了解文学创作中作家的移情能力</w:t>
            </w:r>
          </w:p>
          <w:p w14:paraId="0CDBBCE7">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7.正确认识文学创作中的灵感问题</w:t>
            </w:r>
          </w:p>
        </w:tc>
        <w:tc>
          <w:tcPr>
            <w:tcW w:w="1560" w:type="dxa"/>
            <w:noWrap w:val="0"/>
            <w:vAlign w:val="center"/>
          </w:tcPr>
          <w:p w14:paraId="3F206F9E">
            <w:pPr>
              <w:spacing w:line="269"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2CB8B4C7">
            <w:pPr>
              <w:spacing w:line="269"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4B69D58B">
            <w:pPr>
              <w:spacing w:line="269" w:lineRule="auto"/>
              <w:jc w:val="left"/>
              <w:rPr>
                <w:rFonts w:hint="eastAsia" w:ascii="宋体" w:hAnsi="宋体" w:eastAsia="等线" w:cs="Times New Roman"/>
                <w:color w:val="000000"/>
                <w:szCs w:val="21"/>
              </w:rPr>
            </w:pPr>
          </w:p>
        </w:tc>
        <w:tc>
          <w:tcPr>
            <w:tcW w:w="438" w:type="dxa"/>
            <w:noWrap w:val="0"/>
            <w:vAlign w:val="center"/>
          </w:tcPr>
          <w:p w14:paraId="62FDEBA7">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9</w:t>
            </w:r>
          </w:p>
        </w:tc>
      </w:tr>
      <w:tr w14:paraId="746E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093979CA">
            <w:pPr>
              <w:spacing w:line="264" w:lineRule="auto"/>
              <w:jc w:val="center"/>
              <w:rPr>
                <w:rFonts w:hint="eastAsia" w:ascii="宋体" w:hAnsi="宋体" w:eastAsia="等线" w:cs="Times New Roman"/>
                <w:color w:val="000000"/>
                <w:szCs w:val="21"/>
              </w:rPr>
            </w:pPr>
          </w:p>
        </w:tc>
        <w:tc>
          <w:tcPr>
            <w:tcW w:w="8093" w:type="dxa"/>
            <w:gridSpan w:val="5"/>
            <w:noWrap w:val="0"/>
            <w:vAlign w:val="center"/>
          </w:tcPr>
          <w:p w14:paraId="0D25ACF1">
            <w:pPr>
              <w:spacing w:line="269"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bCs/>
                <w:color w:val="000000"/>
                <w:szCs w:val="21"/>
              </w:rPr>
              <w:t>理解文学创作的特殊精神性生产，与社会现实的复杂紧密联系，而不仅仅是个人的需要和才能。从辩证思维的角度掌握文学与社会政治、经济等的关系，树立以人民为中心的创作导向，创作出有正能量、有感染力、无愧于时代的优秀作品。</w:t>
            </w:r>
            <w:r>
              <w:rPr>
                <w:rFonts w:hint="eastAsia" w:ascii="宋体" w:hAnsi="宋体" w:eastAsia="等线" w:cs="Times New Roman"/>
                <w:color w:val="000000"/>
                <w:szCs w:val="21"/>
              </w:rPr>
              <w:t>树立制度自信和文化自信。</w:t>
            </w:r>
          </w:p>
        </w:tc>
      </w:tr>
      <w:tr w14:paraId="63D3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09165EBC">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4.文学作品</w:t>
            </w:r>
          </w:p>
        </w:tc>
        <w:tc>
          <w:tcPr>
            <w:tcW w:w="1701" w:type="dxa"/>
            <w:noWrap w:val="0"/>
            <w:vAlign w:val="center"/>
          </w:tcPr>
          <w:p w14:paraId="7783DD65">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（1）文学作品体裁的发展与分类。</w:t>
            </w:r>
          </w:p>
          <w:p w14:paraId="6894191D">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（2）文学体裁的融合与新变</w:t>
            </w:r>
          </w:p>
          <w:p w14:paraId="0CE9258B">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（3）文学作品的语言特点，及其与日常语言之间的联系与区别</w:t>
            </w:r>
          </w:p>
          <w:p w14:paraId="2D48510D">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（4）文学形象的一般形态特征与理想形态。</w:t>
            </w:r>
          </w:p>
          <w:p w14:paraId="57837B4F">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（5）文学作品的深层意蕴</w:t>
            </w:r>
          </w:p>
          <w:p w14:paraId="0095A6C7">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（6）文学作品的风格、流派与思潮</w:t>
            </w:r>
          </w:p>
        </w:tc>
        <w:tc>
          <w:tcPr>
            <w:tcW w:w="1134" w:type="dxa"/>
            <w:noWrap w:val="0"/>
            <w:vAlign w:val="center"/>
          </w:tcPr>
          <w:p w14:paraId="1E286743">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课程目标1、2</w:t>
            </w:r>
          </w:p>
        </w:tc>
        <w:tc>
          <w:tcPr>
            <w:tcW w:w="3260" w:type="dxa"/>
            <w:noWrap w:val="0"/>
            <w:vAlign w:val="center"/>
          </w:tcPr>
          <w:p w14:paraId="3532203D">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1.掌握文学作品的类型和体裁，理解文学作品的各个类型、各种体裁的特点。</w:t>
            </w:r>
          </w:p>
          <w:p w14:paraId="3980E955">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2.重点理解小说、诗歌、剧本的艺术特点</w:t>
            </w:r>
          </w:p>
          <w:p w14:paraId="33BF4F6F">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3.了解当前文学创作的新趋势，带来文体文类的跨界融合。比如小说的情节淡化、诗化散文化的小说，及其非虚构写作等。</w:t>
            </w:r>
          </w:p>
          <w:p w14:paraId="02701934">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4.理解文学语言的基本性质与特征，与日常语言的区别与联系。</w:t>
            </w:r>
          </w:p>
          <w:p w14:paraId="763608B2">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5.了解结构主义语言学的基本理论观念，对于解读文学语言带来的创新认识。</w:t>
            </w:r>
          </w:p>
          <w:p w14:paraId="50A68252">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6.理解文学风格的形态、理解风格的时代性、民族性、地域性。</w:t>
            </w:r>
          </w:p>
          <w:p w14:paraId="3B81C2D7">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7.理解文学作品形象的基本特点与主要文学形象，包括文学象征、文学典型、文学意境的内涵。</w:t>
            </w:r>
          </w:p>
          <w:p w14:paraId="738C6AB2">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8.认识作品意蕴的层次，包括审美、历史与哲理等层面。</w:t>
            </w:r>
          </w:p>
          <w:p w14:paraId="26FC5063">
            <w:pPr>
              <w:spacing w:line="276" w:lineRule="auto"/>
              <w:jc w:val="left"/>
              <w:rPr>
                <w:rFonts w:hint="eastAsia" w:ascii="宋体" w:hAnsi="宋体" w:eastAsia="等线" w:cs="Times New Roman"/>
                <w:color w:val="000000"/>
                <w:szCs w:val="21"/>
              </w:rPr>
            </w:pPr>
          </w:p>
        </w:tc>
        <w:tc>
          <w:tcPr>
            <w:tcW w:w="1560" w:type="dxa"/>
            <w:noWrap w:val="0"/>
            <w:vAlign w:val="center"/>
          </w:tcPr>
          <w:p w14:paraId="0FAC0941">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1C0BD5BF">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56FF4F28">
            <w:pPr>
              <w:spacing w:line="276" w:lineRule="auto"/>
              <w:jc w:val="left"/>
              <w:rPr>
                <w:rFonts w:hint="eastAsia" w:ascii="宋体" w:hAnsi="宋体" w:eastAsia="等线" w:cs="Times New Roman"/>
                <w:color w:val="000000"/>
                <w:szCs w:val="21"/>
              </w:rPr>
            </w:pPr>
          </w:p>
        </w:tc>
        <w:tc>
          <w:tcPr>
            <w:tcW w:w="438" w:type="dxa"/>
            <w:noWrap w:val="0"/>
            <w:vAlign w:val="center"/>
          </w:tcPr>
          <w:p w14:paraId="76C737B5">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13</w:t>
            </w:r>
          </w:p>
        </w:tc>
      </w:tr>
      <w:tr w14:paraId="4444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188CBE62">
            <w:pPr>
              <w:spacing w:line="276" w:lineRule="auto"/>
              <w:jc w:val="center"/>
              <w:rPr>
                <w:rFonts w:hint="eastAsia" w:ascii="宋体" w:hAnsi="宋体" w:eastAsia="等线" w:cs="Times New Roman"/>
                <w:color w:val="000000"/>
                <w:szCs w:val="21"/>
              </w:rPr>
            </w:pPr>
          </w:p>
        </w:tc>
        <w:tc>
          <w:tcPr>
            <w:tcW w:w="8093" w:type="dxa"/>
            <w:gridSpan w:val="5"/>
            <w:noWrap w:val="0"/>
            <w:vAlign w:val="center"/>
          </w:tcPr>
          <w:p w14:paraId="707F812E">
            <w:pPr>
              <w:spacing w:line="276"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了解文学作品的各方面问题，提升对作品复杂性的认识与体会，增强对于具体文学作品的分析鉴赏能力。培养学生理解领悟文艺作品的一切创新归根到底都来源于生活和实践。文学作品要扎根人民、扎根生活，紧跟时代潮流，讴歌奋斗，刻画最美人物，讲好中国故事。</w:t>
            </w:r>
          </w:p>
        </w:tc>
      </w:tr>
      <w:tr w14:paraId="1F6D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noWrap w:val="0"/>
            <w:vAlign w:val="center"/>
          </w:tcPr>
          <w:p w14:paraId="2C12F6A4">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5.文学接受与批评</w:t>
            </w:r>
          </w:p>
        </w:tc>
        <w:tc>
          <w:tcPr>
            <w:tcW w:w="1701" w:type="dxa"/>
            <w:noWrap w:val="0"/>
            <w:vAlign w:val="center"/>
          </w:tcPr>
          <w:p w14:paraId="4918568B">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（1）文学接受的构成与作用</w:t>
            </w:r>
          </w:p>
          <w:p w14:paraId="477E064C">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（2）文学接受的过程</w:t>
            </w:r>
          </w:p>
          <w:p w14:paraId="7EDC3839">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（3）文学接受的创造性与文学经典</w:t>
            </w:r>
          </w:p>
          <w:p w14:paraId="2015945C">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（4）文学批评的性质、原则与功能</w:t>
            </w:r>
          </w:p>
          <w:p w14:paraId="5B51DA49">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（5）文学批评的类型与方法</w:t>
            </w:r>
          </w:p>
          <w:p w14:paraId="6CA0547B">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（6）文学批评的主体条件与追求</w:t>
            </w:r>
          </w:p>
          <w:p w14:paraId="268559E2">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（7）文学批评写作的基本规范</w:t>
            </w:r>
          </w:p>
        </w:tc>
        <w:tc>
          <w:tcPr>
            <w:tcW w:w="1134" w:type="dxa"/>
            <w:noWrap w:val="0"/>
            <w:vAlign w:val="center"/>
          </w:tcPr>
          <w:p w14:paraId="040DFA8C">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课程目标1、2</w:t>
            </w:r>
          </w:p>
        </w:tc>
        <w:tc>
          <w:tcPr>
            <w:tcW w:w="3260" w:type="dxa"/>
            <w:noWrap w:val="0"/>
            <w:vAlign w:val="center"/>
          </w:tcPr>
          <w:p w14:paraId="7565B1FE">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1.了解文学生产、传播与消费的形态。</w:t>
            </w:r>
          </w:p>
          <w:p w14:paraId="0958A534">
            <w:pPr>
              <w:spacing w:line="276" w:lineRule="auto"/>
              <w:jc w:val="left"/>
              <w:rPr>
                <w:rFonts w:ascii="宋体" w:hAnsi="宋体" w:eastAsia="等线" w:cs="Times New Roman"/>
                <w:color w:val="000000"/>
                <w:szCs w:val="21"/>
              </w:rPr>
            </w:pPr>
            <w:r>
              <w:rPr>
                <w:rFonts w:hint="eastAsia" w:ascii="宋体" w:hAnsi="宋体" w:eastAsia="等线" w:cs="Times New Roman"/>
                <w:color w:val="000000"/>
                <w:szCs w:val="21"/>
              </w:rPr>
              <w:t>2.理解和掌握文学接受的发生、发展与接受的过程。</w:t>
            </w:r>
          </w:p>
          <w:p w14:paraId="7792E7C5">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3.认识文学经典的形成与二度创作。</w:t>
            </w:r>
          </w:p>
          <w:p w14:paraId="4BA6402B">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4.理解文学批评的多样性和文学批评的标准。</w:t>
            </w:r>
          </w:p>
          <w:p w14:paraId="4E1DA0A2">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5.重点把握当前文学批评主要方法，如结构主义、后结构主义、精神分析、文化意识形态批评、后殖民主义、女性主义批评等的基本观念与不足之处。</w:t>
            </w:r>
          </w:p>
          <w:p w14:paraId="1214FD54">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6.把握论文式批评写作的基本要求与学术规范。</w:t>
            </w:r>
          </w:p>
        </w:tc>
        <w:tc>
          <w:tcPr>
            <w:tcW w:w="1560" w:type="dxa"/>
            <w:noWrap w:val="0"/>
            <w:vAlign w:val="center"/>
          </w:tcPr>
          <w:p w14:paraId="22E04699">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34A7D90B">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47F43E29">
            <w:pPr>
              <w:spacing w:line="276" w:lineRule="auto"/>
              <w:jc w:val="left"/>
              <w:rPr>
                <w:rFonts w:hint="eastAsia" w:ascii="宋体" w:hAnsi="宋体" w:eastAsia="等线" w:cs="Times New Roman"/>
                <w:color w:val="000000"/>
                <w:szCs w:val="21"/>
              </w:rPr>
            </w:pPr>
          </w:p>
        </w:tc>
        <w:tc>
          <w:tcPr>
            <w:tcW w:w="438" w:type="dxa"/>
            <w:noWrap w:val="0"/>
            <w:vAlign w:val="center"/>
          </w:tcPr>
          <w:p w14:paraId="010DD87A">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14</w:t>
            </w:r>
          </w:p>
        </w:tc>
      </w:tr>
      <w:tr w14:paraId="2964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noWrap w:val="0"/>
            <w:vAlign w:val="center"/>
          </w:tcPr>
          <w:p w14:paraId="1202E6DC">
            <w:pPr>
              <w:spacing w:line="276" w:lineRule="auto"/>
              <w:jc w:val="center"/>
              <w:rPr>
                <w:rFonts w:hint="eastAsia" w:ascii="宋体" w:hAnsi="宋体" w:eastAsia="等线" w:cs="Times New Roman"/>
                <w:color w:val="000000"/>
                <w:szCs w:val="21"/>
              </w:rPr>
            </w:pPr>
          </w:p>
        </w:tc>
        <w:tc>
          <w:tcPr>
            <w:tcW w:w="8093" w:type="dxa"/>
            <w:gridSpan w:val="5"/>
            <w:noWrap w:val="0"/>
            <w:vAlign w:val="center"/>
          </w:tcPr>
          <w:p w14:paraId="10B5A23B">
            <w:pPr>
              <w:spacing w:line="276"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对我国教育目的的认识和理解，能够具有社会责任感、创新精神和实践能力，主动践行社会主义核心价值观，文学批评活动要与社会生活实际与社会关怀紧密联系在一起，培养学生运用马克思主义基本原理分析解读文学文本及相关现象的能力，树立中国精神是社会主义文艺的灵魂的批评立场与原则。。</w:t>
            </w:r>
          </w:p>
        </w:tc>
      </w:tr>
    </w:tbl>
    <w:p w14:paraId="5E0A19B7">
      <w:pPr>
        <w:spacing w:line="360" w:lineRule="auto"/>
        <w:jc w:val="left"/>
        <w:rPr>
          <w:rFonts w:ascii="宋体" w:hAnsi="宋体" w:eastAsia="等线" w:cs="Times New Roman"/>
          <w:b/>
          <w:color w:val="000000"/>
          <w:sz w:val="24"/>
          <w:szCs w:val="22"/>
        </w:rPr>
      </w:pPr>
    </w:p>
    <w:p w14:paraId="083836C6">
      <w:pPr>
        <w:spacing w:line="360" w:lineRule="auto"/>
        <w:jc w:val="left"/>
        <w:outlineLvl w:val="0"/>
        <w:rPr>
          <w:rFonts w:ascii="等线" w:hAnsi="等线" w:eastAsia="等线" w:cs="Times New Roman"/>
          <w:sz w:val="24"/>
          <w:szCs w:val="22"/>
        </w:rPr>
      </w:pPr>
      <w:bookmarkStart w:id="1901" w:name="_Toc28629"/>
      <w:bookmarkStart w:id="1902" w:name="_Toc18748"/>
      <w:bookmarkStart w:id="1903" w:name="_Toc7363"/>
      <w:bookmarkStart w:id="1904" w:name="_Toc7331"/>
      <w:bookmarkStart w:id="1905" w:name="_Toc31611"/>
      <w:bookmarkStart w:id="1906" w:name="_Toc4210"/>
      <w:bookmarkStart w:id="1907" w:name="_Toc17167"/>
      <w:r>
        <w:rPr>
          <w:rFonts w:hint="eastAsia" w:ascii="宋体" w:hAnsi="宋体" w:eastAsia="等线" w:cs="Times New Roman"/>
          <w:b/>
          <w:color w:val="000000"/>
          <w:sz w:val="24"/>
          <w:szCs w:val="22"/>
        </w:rPr>
        <w:t>四、目标评价与成绩评定</w:t>
      </w:r>
      <w:bookmarkEnd w:id="1901"/>
      <w:bookmarkEnd w:id="1902"/>
      <w:bookmarkEnd w:id="1903"/>
      <w:bookmarkEnd w:id="1904"/>
      <w:bookmarkEnd w:id="1905"/>
      <w:bookmarkEnd w:id="1906"/>
      <w:bookmarkEnd w:id="1907"/>
    </w:p>
    <w:p w14:paraId="5F5B7608">
      <w:pPr>
        <w:spacing w:line="360" w:lineRule="auto"/>
        <w:jc w:val="left"/>
        <w:outlineLvl w:val="1"/>
        <w:rPr>
          <w:rFonts w:ascii="等线" w:hAnsi="等线" w:eastAsia="等线" w:cs="Times New Roman"/>
          <w:b/>
          <w:szCs w:val="21"/>
        </w:rPr>
      </w:pPr>
      <w:bookmarkStart w:id="1908" w:name="_Toc3136"/>
      <w:r>
        <w:rPr>
          <w:rFonts w:hint="eastAsia" w:ascii="等线" w:hAnsi="等线" w:eastAsia="等线" w:cs="Times New Roman"/>
          <w:b/>
          <w:szCs w:val="21"/>
        </w:rPr>
        <w:t>（一）课程目标评价方式</w:t>
      </w:r>
      <w:bookmarkEnd w:id="1908"/>
    </w:p>
    <w:p w14:paraId="3AD6385E">
      <w:pPr>
        <w:spacing w:line="360" w:lineRule="auto"/>
        <w:ind w:firstLine="420" w:firstLineChars="200"/>
        <w:jc w:val="left"/>
        <w:rPr>
          <w:rFonts w:ascii="等线" w:hAnsi="等线" w:eastAsia="等线" w:cs="Times New Roman"/>
          <w:szCs w:val="21"/>
        </w:rPr>
      </w:pPr>
      <w:r>
        <w:rPr>
          <w:rFonts w:hint="eastAsia" w:ascii="等线" w:hAnsi="等线" w:eastAsia="等线" w:cs="Times New Roman"/>
          <w:szCs w:val="21"/>
        </w:rPr>
        <w:t>根据总体设计，用于评价各课程目标的评价方式如表3</w:t>
      </w:r>
      <w:r>
        <w:rPr>
          <w:rFonts w:ascii="等线" w:hAnsi="等线" w:eastAsia="等线" w:cs="Times New Roman"/>
          <w:szCs w:val="21"/>
        </w:rPr>
        <w:t>所示。</w:t>
      </w:r>
    </w:p>
    <w:p w14:paraId="2C8497A0">
      <w:pPr>
        <w:spacing w:line="360" w:lineRule="auto"/>
        <w:jc w:val="center"/>
        <w:rPr>
          <w:rFonts w:ascii="等线" w:hAnsi="等线" w:eastAsia="等线" w:cs="Times New Roman"/>
          <w:b/>
          <w:bCs/>
          <w:szCs w:val="21"/>
        </w:rPr>
      </w:pPr>
      <w:r>
        <w:rPr>
          <w:rFonts w:hint="eastAsia" w:ascii="等线" w:hAnsi="等线" w:eastAsia="等线" w:cs="Times New Roman"/>
          <w:b/>
          <w:bCs/>
          <w:szCs w:val="21"/>
        </w:rPr>
        <w:t>表3</w:t>
      </w:r>
      <w:r>
        <w:rPr>
          <w:rFonts w:ascii="等线" w:hAnsi="等线" w:eastAsia="等线" w:cs="Times New Roman"/>
          <w:b/>
          <w:bCs/>
          <w:szCs w:val="21"/>
        </w:rPr>
        <w:t>课程教学评价设计总表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E59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4D072A2E">
            <w:pPr>
              <w:spacing w:line="360" w:lineRule="auto"/>
              <w:jc w:val="center"/>
              <w:rPr>
                <w:rFonts w:hint="eastAsia" w:ascii="宋体" w:hAnsi="宋体" w:eastAsia="等线" w:cs="Times New Roman"/>
                <w:szCs w:val="21"/>
              </w:rPr>
            </w:pPr>
            <w:r>
              <w:rPr>
                <w:rFonts w:hint="eastAsia" w:ascii="宋体" w:hAnsi="宋体" w:eastAsia="等线" w:cs="Times New Roman"/>
                <w:szCs w:val="21"/>
              </w:rPr>
              <w:t>课程目标</w:t>
            </w:r>
          </w:p>
        </w:tc>
        <w:tc>
          <w:tcPr>
            <w:tcW w:w="0" w:type="auto"/>
            <w:gridSpan w:val="6"/>
            <w:noWrap w:val="0"/>
            <w:vAlign w:val="center"/>
          </w:tcPr>
          <w:p w14:paraId="740217D4">
            <w:pPr>
              <w:spacing w:line="360" w:lineRule="auto"/>
              <w:jc w:val="center"/>
              <w:rPr>
                <w:rFonts w:hint="eastAsia" w:ascii="宋体" w:hAnsi="宋体" w:eastAsia="等线" w:cs="Times New Roman"/>
                <w:szCs w:val="21"/>
              </w:rPr>
            </w:pPr>
            <w:r>
              <w:rPr>
                <w:rFonts w:hint="eastAsia" w:ascii="宋体" w:hAnsi="宋体" w:eastAsia="等线" w:cs="Times New Roman"/>
                <w:szCs w:val="21"/>
              </w:rPr>
              <w:t>评价与成绩评定方法</w:t>
            </w:r>
          </w:p>
        </w:tc>
        <w:tc>
          <w:tcPr>
            <w:tcW w:w="0" w:type="auto"/>
            <w:vMerge w:val="restart"/>
            <w:noWrap w:val="0"/>
            <w:vAlign w:val="center"/>
          </w:tcPr>
          <w:p w14:paraId="35E9A217">
            <w:pPr>
              <w:spacing w:line="360" w:lineRule="auto"/>
              <w:jc w:val="center"/>
              <w:rPr>
                <w:rFonts w:hint="eastAsia" w:ascii="宋体" w:hAnsi="宋体" w:eastAsia="等线" w:cs="Times New Roman"/>
                <w:szCs w:val="21"/>
              </w:rPr>
            </w:pPr>
            <w:r>
              <w:rPr>
                <w:rFonts w:hint="eastAsia" w:ascii="宋体" w:hAnsi="宋体" w:eastAsia="等线" w:cs="Times New Roman"/>
                <w:szCs w:val="21"/>
              </w:rPr>
              <w:t>分值</w:t>
            </w:r>
          </w:p>
        </w:tc>
      </w:tr>
      <w:tr w14:paraId="4FF0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14:paraId="680AEAD3">
            <w:pPr>
              <w:spacing w:line="360" w:lineRule="auto"/>
              <w:jc w:val="center"/>
              <w:rPr>
                <w:rFonts w:hint="eastAsia" w:ascii="宋体" w:hAnsi="宋体" w:eastAsia="等线" w:cs="Times New Roman"/>
                <w:szCs w:val="21"/>
              </w:rPr>
            </w:pPr>
          </w:p>
        </w:tc>
        <w:tc>
          <w:tcPr>
            <w:tcW w:w="0" w:type="auto"/>
            <w:noWrap w:val="0"/>
            <w:vAlign w:val="center"/>
          </w:tcPr>
          <w:p w14:paraId="13F78439">
            <w:pPr>
              <w:spacing w:line="360" w:lineRule="auto"/>
              <w:jc w:val="center"/>
              <w:rPr>
                <w:rFonts w:hint="eastAsia" w:ascii="宋体" w:hAnsi="宋体" w:eastAsia="等线" w:cs="Times New Roman"/>
                <w:szCs w:val="21"/>
              </w:rPr>
            </w:pPr>
            <w:r>
              <w:rPr>
                <w:rFonts w:hint="eastAsia" w:ascii="宋体" w:hAnsi="宋体" w:eastAsia="等线" w:cs="Times New Roman"/>
                <w:szCs w:val="21"/>
              </w:rPr>
              <w:t>平时作业</w:t>
            </w:r>
          </w:p>
        </w:tc>
        <w:tc>
          <w:tcPr>
            <w:tcW w:w="0" w:type="auto"/>
            <w:noWrap w:val="0"/>
            <w:vAlign w:val="center"/>
          </w:tcPr>
          <w:p w14:paraId="06C48EBD">
            <w:pPr>
              <w:spacing w:line="360" w:lineRule="auto"/>
              <w:jc w:val="center"/>
              <w:rPr>
                <w:rFonts w:hint="eastAsia" w:ascii="宋体" w:hAnsi="宋体" w:eastAsia="等线" w:cs="Times New Roman"/>
                <w:szCs w:val="21"/>
              </w:rPr>
            </w:pPr>
            <w:r>
              <w:rPr>
                <w:rFonts w:hint="eastAsia" w:ascii="宋体" w:hAnsi="宋体" w:eastAsia="等线" w:cs="Times New Roman"/>
                <w:szCs w:val="21"/>
              </w:rPr>
              <w:t>课堂表现</w:t>
            </w:r>
          </w:p>
        </w:tc>
        <w:tc>
          <w:tcPr>
            <w:tcW w:w="0" w:type="auto"/>
            <w:noWrap w:val="0"/>
            <w:vAlign w:val="center"/>
          </w:tcPr>
          <w:p w14:paraId="6B39FB26">
            <w:pPr>
              <w:spacing w:line="360" w:lineRule="auto"/>
              <w:jc w:val="center"/>
              <w:rPr>
                <w:rFonts w:hint="eastAsia" w:ascii="宋体" w:hAnsi="宋体" w:eastAsia="等线" w:cs="Times New Roman"/>
                <w:szCs w:val="21"/>
              </w:rPr>
            </w:pPr>
            <w:r>
              <w:rPr>
                <w:rFonts w:hint="eastAsia" w:ascii="宋体" w:hAnsi="宋体" w:eastAsia="等线" w:cs="Times New Roman"/>
                <w:szCs w:val="21"/>
              </w:rPr>
              <w:t>单元测验</w:t>
            </w:r>
          </w:p>
        </w:tc>
        <w:tc>
          <w:tcPr>
            <w:tcW w:w="0" w:type="auto"/>
            <w:noWrap w:val="0"/>
            <w:vAlign w:val="center"/>
          </w:tcPr>
          <w:p w14:paraId="1AD0C97A">
            <w:pPr>
              <w:spacing w:line="360" w:lineRule="auto"/>
              <w:jc w:val="center"/>
              <w:rPr>
                <w:rFonts w:hint="eastAsia" w:ascii="宋体" w:hAnsi="宋体" w:eastAsia="等线" w:cs="Times New Roman"/>
                <w:szCs w:val="21"/>
              </w:rPr>
            </w:pPr>
            <w:r>
              <w:rPr>
                <w:rFonts w:hint="eastAsia" w:ascii="宋体" w:hAnsi="宋体" w:eastAsia="等线" w:cs="Times New Roman"/>
                <w:szCs w:val="21"/>
              </w:rPr>
              <w:t>个人展示</w:t>
            </w:r>
          </w:p>
        </w:tc>
        <w:tc>
          <w:tcPr>
            <w:tcW w:w="0" w:type="auto"/>
            <w:noWrap w:val="0"/>
            <w:vAlign w:val="center"/>
          </w:tcPr>
          <w:p w14:paraId="048DAF05">
            <w:pPr>
              <w:spacing w:line="360" w:lineRule="auto"/>
              <w:jc w:val="center"/>
              <w:rPr>
                <w:rFonts w:hint="eastAsia" w:ascii="宋体" w:hAnsi="宋体" w:eastAsia="等线" w:cs="Times New Roman"/>
                <w:szCs w:val="21"/>
              </w:rPr>
            </w:pPr>
            <w:r>
              <w:rPr>
                <w:rFonts w:hint="eastAsia" w:ascii="宋体" w:hAnsi="宋体" w:eastAsia="等线" w:cs="Times New Roman"/>
                <w:szCs w:val="21"/>
              </w:rPr>
              <w:t>期末考试</w:t>
            </w:r>
          </w:p>
        </w:tc>
        <w:tc>
          <w:tcPr>
            <w:tcW w:w="0" w:type="auto"/>
            <w:noWrap w:val="0"/>
            <w:vAlign w:val="top"/>
          </w:tcPr>
          <w:p w14:paraId="05CFF03B">
            <w:pPr>
              <w:spacing w:line="360" w:lineRule="auto"/>
              <w:jc w:val="center"/>
              <w:rPr>
                <w:rFonts w:hint="eastAsia" w:ascii="宋体" w:hAnsi="宋体" w:eastAsia="等线" w:cs="Times New Roman"/>
                <w:szCs w:val="21"/>
              </w:rPr>
            </w:pPr>
            <w:r>
              <w:rPr>
                <w:rFonts w:hint="eastAsia" w:ascii="宋体" w:hAnsi="宋体" w:eastAsia="等线" w:cs="Times New Roman"/>
                <w:szCs w:val="21"/>
              </w:rPr>
              <w:t>自主学习</w:t>
            </w:r>
          </w:p>
        </w:tc>
        <w:tc>
          <w:tcPr>
            <w:tcW w:w="0" w:type="auto"/>
            <w:vMerge w:val="continue"/>
            <w:noWrap w:val="0"/>
            <w:vAlign w:val="center"/>
          </w:tcPr>
          <w:p w14:paraId="30FB98C3">
            <w:pPr>
              <w:spacing w:line="360" w:lineRule="auto"/>
              <w:jc w:val="center"/>
              <w:rPr>
                <w:rFonts w:hint="eastAsia" w:ascii="宋体" w:hAnsi="宋体" w:eastAsia="等线" w:cs="Times New Roman"/>
                <w:szCs w:val="21"/>
              </w:rPr>
            </w:pPr>
          </w:p>
        </w:tc>
      </w:tr>
      <w:tr w14:paraId="218C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E9D6E40">
            <w:pPr>
              <w:spacing w:line="360" w:lineRule="auto"/>
              <w:jc w:val="center"/>
              <w:rPr>
                <w:rFonts w:hint="eastAsia" w:ascii="宋体" w:hAnsi="宋体" w:eastAsia="等线" w:cs="Times New Roman"/>
                <w:szCs w:val="21"/>
              </w:rPr>
            </w:pPr>
            <w:r>
              <w:rPr>
                <w:rFonts w:hint="eastAsia" w:ascii="宋体" w:hAnsi="宋体" w:eastAsia="等线" w:cs="Times New Roman"/>
                <w:szCs w:val="21"/>
              </w:rPr>
              <w:t>课程目标1</w:t>
            </w:r>
          </w:p>
        </w:tc>
        <w:tc>
          <w:tcPr>
            <w:tcW w:w="0" w:type="auto"/>
            <w:noWrap w:val="0"/>
            <w:vAlign w:val="center"/>
          </w:tcPr>
          <w:p w14:paraId="50781226">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noWrap w:val="0"/>
            <w:vAlign w:val="center"/>
          </w:tcPr>
          <w:p w14:paraId="55B5705C">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noWrap w:val="0"/>
            <w:vAlign w:val="center"/>
          </w:tcPr>
          <w:p w14:paraId="4F25E90C">
            <w:pPr>
              <w:spacing w:line="360" w:lineRule="auto"/>
              <w:jc w:val="center"/>
              <w:rPr>
                <w:rFonts w:hint="eastAsia" w:ascii="宋体" w:hAnsi="宋体" w:eastAsia="等线" w:cs="Times New Roman"/>
                <w:szCs w:val="21"/>
              </w:rPr>
            </w:pPr>
          </w:p>
        </w:tc>
        <w:tc>
          <w:tcPr>
            <w:tcW w:w="0" w:type="auto"/>
            <w:noWrap w:val="0"/>
            <w:vAlign w:val="center"/>
          </w:tcPr>
          <w:p w14:paraId="2E17E73F">
            <w:pPr>
              <w:spacing w:line="360" w:lineRule="auto"/>
              <w:jc w:val="center"/>
              <w:rPr>
                <w:rFonts w:hint="eastAsia" w:ascii="宋体" w:hAnsi="宋体" w:eastAsia="等线" w:cs="Times New Roman"/>
                <w:szCs w:val="21"/>
              </w:rPr>
            </w:pPr>
          </w:p>
        </w:tc>
        <w:tc>
          <w:tcPr>
            <w:tcW w:w="0" w:type="auto"/>
            <w:noWrap w:val="0"/>
            <w:vAlign w:val="center"/>
          </w:tcPr>
          <w:p w14:paraId="3E0FD9E8">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noWrap w:val="0"/>
            <w:vAlign w:val="top"/>
          </w:tcPr>
          <w:p w14:paraId="5248B4E0">
            <w:pPr>
              <w:spacing w:line="360" w:lineRule="auto"/>
              <w:jc w:val="center"/>
              <w:rPr>
                <w:rFonts w:hint="eastAsia" w:ascii="宋体" w:hAnsi="宋体" w:eastAsia="等线" w:cs="Times New Roman"/>
                <w:szCs w:val="21"/>
              </w:rPr>
            </w:pPr>
          </w:p>
        </w:tc>
        <w:tc>
          <w:tcPr>
            <w:tcW w:w="0" w:type="auto"/>
            <w:noWrap w:val="0"/>
            <w:vAlign w:val="center"/>
          </w:tcPr>
          <w:p w14:paraId="3C2EA501">
            <w:pPr>
              <w:spacing w:line="360" w:lineRule="auto"/>
              <w:jc w:val="center"/>
              <w:rPr>
                <w:rFonts w:hint="eastAsia" w:ascii="宋体" w:hAnsi="宋体" w:eastAsia="等线" w:cs="Times New Roman"/>
                <w:szCs w:val="21"/>
              </w:rPr>
            </w:pPr>
            <w:r>
              <w:rPr>
                <w:rFonts w:hint="eastAsia" w:ascii="宋体" w:hAnsi="宋体" w:eastAsia="等线" w:cs="Times New Roman"/>
                <w:szCs w:val="21"/>
              </w:rPr>
              <w:t>40</w:t>
            </w:r>
          </w:p>
        </w:tc>
      </w:tr>
      <w:tr w14:paraId="17F5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1661F3D0">
            <w:pPr>
              <w:spacing w:line="360" w:lineRule="auto"/>
              <w:jc w:val="center"/>
              <w:rPr>
                <w:rFonts w:hint="eastAsia" w:ascii="宋体" w:hAnsi="宋体" w:eastAsia="等线" w:cs="Times New Roman"/>
                <w:szCs w:val="21"/>
              </w:rPr>
            </w:pPr>
            <w:r>
              <w:rPr>
                <w:rFonts w:hint="eastAsia" w:ascii="宋体" w:hAnsi="宋体" w:eastAsia="等线" w:cs="Times New Roman"/>
                <w:szCs w:val="21"/>
              </w:rPr>
              <w:t>课程目标2</w:t>
            </w:r>
          </w:p>
        </w:tc>
        <w:tc>
          <w:tcPr>
            <w:tcW w:w="0" w:type="auto"/>
            <w:noWrap w:val="0"/>
            <w:vAlign w:val="center"/>
          </w:tcPr>
          <w:p w14:paraId="793E01EF">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noWrap w:val="0"/>
            <w:vAlign w:val="center"/>
          </w:tcPr>
          <w:p w14:paraId="7C72C81F">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noWrap w:val="0"/>
            <w:vAlign w:val="center"/>
          </w:tcPr>
          <w:p w14:paraId="68596281">
            <w:pPr>
              <w:spacing w:line="360" w:lineRule="auto"/>
              <w:jc w:val="center"/>
              <w:rPr>
                <w:rFonts w:hint="eastAsia" w:ascii="宋体" w:hAnsi="宋体" w:eastAsia="等线" w:cs="Times New Roman"/>
                <w:szCs w:val="21"/>
              </w:rPr>
            </w:pPr>
          </w:p>
        </w:tc>
        <w:tc>
          <w:tcPr>
            <w:tcW w:w="0" w:type="auto"/>
            <w:noWrap w:val="0"/>
            <w:vAlign w:val="center"/>
          </w:tcPr>
          <w:p w14:paraId="70A0E435">
            <w:pPr>
              <w:spacing w:line="360" w:lineRule="auto"/>
              <w:jc w:val="center"/>
              <w:rPr>
                <w:rFonts w:hint="eastAsia" w:ascii="宋体" w:hAnsi="宋体" w:eastAsia="等线" w:cs="Times New Roman"/>
                <w:szCs w:val="21"/>
              </w:rPr>
            </w:pPr>
          </w:p>
        </w:tc>
        <w:tc>
          <w:tcPr>
            <w:tcW w:w="0" w:type="auto"/>
            <w:noWrap w:val="0"/>
            <w:vAlign w:val="center"/>
          </w:tcPr>
          <w:p w14:paraId="6D48DD41">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noWrap w:val="0"/>
            <w:vAlign w:val="top"/>
          </w:tcPr>
          <w:p w14:paraId="451A8BFB">
            <w:pPr>
              <w:spacing w:line="360" w:lineRule="auto"/>
              <w:jc w:val="center"/>
              <w:rPr>
                <w:rFonts w:hint="eastAsia" w:ascii="宋体" w:hAnsi="宋体" w:eastAsia="等线" w:cs="Times New Roman"/>
                <w:szCs w:val="21"/>
              </w:rPr>
            </w:pPr>
          </w:p>
        </w:tc>
        <w:tc>
          <w:tcPr>
            <w:tcW w:w="0" w:type="auto"/>
            <w:noWrap w:val="0"/>
            <w:vAlign w:val="center"/>
          </w:tcPr>
          <w:p w14:paraId="532D97FD">
            <w:pPr>
              <w:spacing w:line="360" w:lineRule="auto"/>
              <w:jc w:val="center"/>
              <w:rPr>
                <w:rFonts w:hint="eastAsia" w:ascii="宋体" w:hAnsi="宋体" w:eastAsia="等线" w:cs="Times New Roman"/>
                <w:szCs w:val="21"/>
              </w:rPr>
            </w:pPr>
            <w:r>
              <w:rPr>
                <w:rFonts w:hint="eastAsia" w:ascii="宋体" w:hAnsi="宋体" w:eastAsia="等线" w:cs="Times New Roman"/>
                <w:szCs w:val="21"/>
              </w:rPr>
              <w:t>60</w:t>
            </w:r>
          </w:p>
        </w:tc>
      </w:tr>
      <w:tr w14:paraId="61A1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DE7AE29">
            <w:pPr>
              <w:spacing w:line="360" w:lineRule="auto"/>
              <w:jc w:val="center"/>
              <w:rPr>
                <w:rFonts w:hint="eastAsia" w:ascii="宋体" w:hAnsi="宋体" w:eastAsia="等线" w:cs="Times New Roman"/>
                <w:szCs w:val="21"/>
              </w:rPr>
            </w:pPr>
            <w:r>
              <w:rPr>
                <w:rFonts w:hint="eastAsia" w:ascii="宋体" w:hAnsi="宋体" w:eastAsia="等线" w:cs="Times New Roman"/>
                <w:szCs w:val="21"/>
              </w:rPr>
              <w:t>合计</w:t>
            </w:r>
          </w:p>
        </w:tc>
        <w:tc>
          <w:tcPr>
            <w:tcW w:w="0" w:type="auto"/>
            <w:noWrap w:val="0"/>
            <w:vAlign w:val="center"/>
          </w:tcPr>
          <w:p w14:paraId="32CDA82A">
            <w:pPr>
              <w:spacing w:line="360" w:lineRule="auto"/>
              <w:jc w:val="center"/>
              <w:rPr>
                <w:rFonts w:hint="eastAsia" w:ascii="宋体" w:hAnsi="宋体" w:eastAsia="等线" w:cs="Times New Roman"/>
                <w:szCs w:val="21"/>
              </w:rPr>
            </w:pPr>
          </w:p>
        </w:tc>
        <w:tc>
          <w:tcPr>
            <w:tcW w:w="0" w:type="auto"/>
            <w:noWrap w:val="0"/>
            <w:vAlign w:val="center"/>
          </w:tcPr>
          <w:p w14:paraId="239B4066">
            <w:pPr>
              <w:spacing w:line="360" w:lineRule="auto"/>
              <w:jc w:val="center"/>
              <w:rPr>
                <w:rFonts w:hint="eastAsia" w:ascii="宋体" w:hAnsi="宋体" w:eastAsia="等线" w:cs="Times New Roman"/>
                <w:szCs w:val="21"/>
              </w:rPr>
            </w:pPr>
          </w:p>
        </w:tc>
        <w:tc>
          <w:tcPr>
            <w:tcW w:w="0" w:type="auto"/>
            <w:noWrap w:val="0"/>
            <w:vAlign w:val="center"/>
          </w:tcPr>
          <w:p w14:paraId="6B3F98EA">
            <w:pPr>
              <w:spacing w:line="360" w:lineRule="auto"/>
              <w:jc w:val="center"/>
              <w:rPr>
                <w:rFonts w:hint="eastAsia" w:ascii="宋体" w:hAnsi="宋体" w:eastAsia="等线" w:cs="Times New Roman"/>
                <w:szCs w:val="21"/>
              </w:rPr>
            </w:pPr>
          </w:p>
        </w:tc>
        <w:tc>
          <w:tcPr>
            <w:tcW w:w="0" w:type="auto"/>
            <w:noWrap w:val="0"/>
            <w:vAlign w:val="center"/>
          </w:tcPr>
          <w:p w14:paraId="2F062FB0">
            <w:pPr>
              <w:spacing w:line="360" w:lineRule="auto"/>
              <w:jc w:val="center"/>
              <w:rPr>
                <w:rFonts w:hint="eastAsia" w:ascii="宋体" w:hAnsi="宋体" w:eastAsia="等线" w:cs="Times New Roman"/>
                <w:szCs w:val="21"/>
              </w:rPr>
            </w:pPr>
          </w:p>
        </w:tc>
        <w:tc>
          <w:tcPr>
            <w:tcW w:w="0" w:type="auto"/>
            <w:noWrap w:val="0"/>
            <w:vAlign w:val="center"/>
          </w:tcPr>
          <w:p w14:paraId="27F45736">
            <w:pPr>
              <w:spacing w:line="360" w:lineRule="auto"/>
              <w:jc w:val="center"/>
              <w:rPr>
                <w:rFonts w:hint="eastAsia" w:ascii="宋体" w:hAnsi="宋体" w:eastAsia="等线" w:cs="Times New Roman"/>
                <w:szCs w:val="21"/>
              </w:rPr>
            </w:pPr>
          </w:p>
        </w:tc>
        <w:tc>
          <w:tcPr>
            <w:tcW w:w="0" w:type="auto"/>
            <w:noWrap w:val="0"/>
            <w:vAlign w:val="top"/>
          </w:tcPr>
          <w:p w14:paraId="30C52251">
            <w:pPr>
              <w:spacing w:line="360" w:lineRule="auto"/>
              <w:jc w:val="center"/>
              <w:rPr>
                <w:rFonts w:hint="eastAsia" w:ascii="宋体" w:hAnsi="宋体" w:eastAsia="等线" w:cs="Times New Roman"/>
                <w:szCs w:val="21"/>
              </w:rPr>
            </w:pPr>
          </w:p>
        </w:tc>
        <w:tc>
          <w:tcPr>
            <w:tcW w:w="0" w:type="auto"/>
            <w:noWrap w:val="0"/>
            <w:vAlign w:val="center"/>
          </w:tcPr>
          <w:p w14:paraId="37B94572">
            <w:pPr>
              <w:spacing w:line="360" w:lineRule="auto"/>
              <w:jc w:val="center"/>
              <w:rPr>
                <w:rFonts w:hint="eastAsia" w:ascii="宋体" w:hAnsi="宋体" w:eastAsia="等线" w:cs="Times New Roman"/>
                <w:szCs w:val="21"/>
              </w:rPr>
            </w:pPr>
            <w:r>
              <w:rPr>
                <w:rFonts w:hint="eastAsia" w:ascii="宋体" w:hAnsi="宋体" w:eastAsia="等线" w:cs="Times New Roman"/>
                <w:szCs w:val="21"/>
              </w:rPr>
              <w:t>100</w:t>
            </w:r>
          </w:p>
        </w:tc>
      </w:tr>
    </w:tbl>
    <w:p w14:paraId="65108CE5">
      <w:pPr>
        <w:spacing w:before="156" w:beforeLines="50" w:line="360" w:lineRule="auto"/>
        <w:jc w:val="left"/>
        <w:outlineLvl w:val="1"/>
        <w:rPr>
          <w:rFonts w:ascii="等线" w:hAnsi="等线" w:eastAsia="等线" w:cs="Times New Roman"/>
          <w:b/>
          <w:szCs w:val="21"/>
        </w:rPr>
      </w:pPr>
      <w:bookmarkStart w:id="1909" w:name="_Toc29860"/>
      <w:r>
        <w:rPr>
          <w:rFonts w:hint="eastAsia" w:ascii="等线" w:hAnsi="等线" w:eastAsia="等线" w:cs="Times New Roman"/>
          <w:b/>
          <w:szCs w:val="21"/>
        </w:rPr>
        <w:t>（二）成绩评定细则</w:t>
      </w:r>
      <w:bookmarkEnd w:id="1909"/>
    </w:p>
    <w:p w14:paraId="05BF08B2">
      <w:pPr>
        <w:spacing w:line="360" w:lineRule="auto"/>
        <w:ind w:firstLine="420" w:firstLineChars="200"/>
        <w:jc w:val="left"/>
        <w:rPr>
          <w:rFonts w:ascii="等线" w:hAnsi="等线" w:eastAsia="等线" w:cs="Times New Roman"/>
          <w:szCs w:val="21"/>
        </w:rPr>
      </w:pPr>
      <w:r>
        <w:rPr>
          <w:rFonts w:hint="eastAsia" w:ascii="等线" w:hAnsi="等线" w:eastAsia="等线" w:cs="Times New Roman"/>
          <w:szCs w:val="21"/>
        </w:rPr>
        <w:t>各部分的评价方式和成绩评定的细则如表4所示：</w:t>
      </w:r>
    </w:p>
    <w:p w14:paraId="5F672814">
      <w:pPr>
        <w:jc w:val="center"/>
        <w:rPr>
          <w:rFonts w:ascii="等线" w:hAnsi="等线" w:eastAsia="等线" w:cs="Times New Roman"/>
          <w:b/>
          <w:bCs/>
          <w:szCs w:val="21"/>
        </w:rPr>
      </w:pPr>
      <w:r>
        <w:rPr>
          <w:rFonts w:hint="eastAsia" w:ascii="等线" w:hAnsi="等线" w:eastAsia="等线" w:cs="Times New Roman"/>
          <w:b/>
          <w:bCs/>
          <w:szCs w:val="21"/>
        </w:rPr>
        <w:t>表4 各部分的评价方式和成绩评定的细则</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53"/>
      </w:tblGrid>
      <w:tr w14:paraId="559F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2A4EF5F4">
            <w:pPr>
              <w:jc w:val="center"/>
              <w:rPr>
                <w:rFonts w:ascii="等线" w:hAnsi="等线" w:eastAsia="等线" w:cs="Times New Roman"/>
                <w:b/>
                <w:bCs/>
                <w:szCs w:val="21"/>
              </w:rPr>
            </w:pPr>
            <w:r>
              <w:rPr>
                <w:rFonts w:hint="eastAsia" w:ascii="等线" w:hAnsi="等线" w:eastAsia="等线" w:cs="Times New Roman"/>
                <w:b/>
                <w:bCs/>
                <w:szCs w:val="21"/>
              </w:rPr>
              <w:t>评价方式</w:t>
            </w:r>
          </w:p>
        </w:tc>
        <w:tc>
          <w:tcPr>
            <w:tcW w:w="7141" w:type="dxa"/>
            <w:noWrap w:val="0"/>
            <w:vAlign w:val="center"/>
          </w:tcPr>
          <w:p w14:paraId="7EEBD5A8">
            <w:pPr>
              <w:jc w:val="center"/>
              <w:rPr>
                <w:rFonts w:ascii="等线" w:hAnsi="等线" w:eastAsia="等线" w:cs="Times New Roman"/>
                <w:b/>
                <w:bCs/>
                <w:szCs w:val="21"/>
              </w:rPr>
            </w:pPr>
            <w:r>
              <w:rPr>
                <w:rFonts w:hint="eastAsia" w:ascii="等线" w:hAnsi="等线" w:eastAsia="等线" w:cs="Times New Roman"/>
                <w:b/>
                <w:bCs/>
                <w:szCs w:val="21"/>
              </w:rPr>
              <w:t>评定细则</w:t>
            </w:r>
          </w:p>
        </w:tc>
        <w:tc>
          <w:tcPr>
            <w:tcW w:w="0" w:type="auto"/>
            <w:noWrap w:val="0"/>
            <w:vAlign w:val="center"/>
          </w:tcPr>
          <w:p w14:paraId="37A02B7C">
            <w:pPr>
              <w:jc w:val="center"/>
              <w:rPr>
                <w:rFonts w:ascii="等线" w:hAnsi="等线" w:eastAsia="等线" w:cs="Times New Roman"/>
                <w:b/>
                <w:bCs/>
                <w:szCs w:val="21"/>
              </w:rPr>
            </w:pPr>
            <w:r>
              <w:rPr>
                <w:rFonts w:hint="eastAsia" w:ascii="等线" w:hAnsi="等线" w:eastAsia="等线" w:cs="Times New Roman"/>
                <w:b/>
                <w:bCs/>
                <w:szCs w:val="21"/>
              </w:rPr>
              <w:t>占比</w:t>
            </w:r>
          </w:p>
        </w:tc>
      </w:tr>
      <w:tr w14:paraId="65B8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54716E29">
            <w:pPr>
              <w:rPr>
                <w:rFonts w:ascii="等线" w:hAnsi="等线" w:eastAsia="等线" w:cs="Times New Roman"/>
                <w:szCs w:val="21"/>
              </w:rPr>
            </w:pPr>
            <w:r>
              <w:rPr>
                <w:rFonts w:hint="eastAsia" w:ascii="等线" w:hAnsi="等线" w:eastAsia="等线" w:cs="Times New Roman"/>
                <w:szCs w:val="21"/>
              </w:rPr>
              <w:t>平时作业</w:t>
            </w:r>
          </w:p>
        </w:tc>
        <w:tc>
          <w:tcPr>
            <w:tcW w:w="7141" w:type="dxa"/>
            <w:noWrap w:val="0"/>
            <w:vAlign w:val="center"/>
          </w:tcPr>
          <w:p w14:paraId="46EEBC09">
            <w:pPr>
              <w:spacing w:line="264" w:lineRule="auto"/>
              <w:jc w:val="left"/>
              <w:rPr>
                <w:rFonts w:ascii="等线" w:hAnsi="等线" w:eastAsia="等线" w:cs="Times New Roman"/>
                <w:szCs w:val="21"/>
              </w:rPr>
            </w:pPr>
            <w:r>
              <w:rPr>
                <w:rFonts w:hint="eastAsia" w:ascii="等线" w:hAnsi="等线" w:eastAsia="等线" w:cs="Times New Roman"/>
                <w:szCs w:val="21"/>
              </w:rPr>
              <w:t>平时作业共5次，一为三次论述题，以对话题阐述的规范性、逻辑性、创新性及整洁性为评分的主要依据。二为小组汇报，以汇报内容的充实具体，汇报者现场展示的效果为主要依据。三为思维导图，系统梳理本课程相关知识点与结构关系。</w:t>
            </w:r>
          </w:p>
        </w:tc>
        <w:tc>
          <w:tcPr>
            <w:tcW w:w="0" w:type="auto"/>
            <w:noWrap w:val="0"/>
            <w:vAlign w:val="center"/>
          </w:tcPr>
          <w:p w14:paraId="3AE9F98D">
            <w:pPr>
              <w:jc w:val="center"/>
              <w:rPr>
                <w:rFonts w:ascii="等线" w:hAnsi="等线" w:eastAsia="等线" w:cs="Times New Roman"/>
                <w:szCs w:val="21"/>
              </w:rPr>
            </w:pPr>
            <w:r>
              <w:rPr>
                <w:rFonts w:hint="eastAsia" w:ascii="等线" w:hAnsi="等线" w:eastAsia="等线" w:cs="Times New Roman"/>
                <w:szCs w:val="21"/>
              </w:rPr>
              <w:t>40%</w:t>
            </w:r>
          </w:p>
        </w:tc>
      </w:tr>
      <w:tr w14:paraId="7741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23AAA637">
            <w:pPr>
              <w:rPr>
                <w:rFonts w:ascii="等线" w:hAnsi="等线" w:eastAsia="等线" w:cs="Times New Roman"/>
                <w:szCs w:val="21"/>
              </w:rPr>
            </w:pPr>
            <w:r>
              <w:rPr>
                <w:rFonts w:hint="eastAsia" w:ascii="等线" w:hAnsi="等线" w:eastAsia="等线" w:cs="Times New Roman"/>
                <w:szCs w:val="21"/>
              </w:rPr>
              <w:t>课堂表现</w:t>
            </w:r>
          </w:p>
        </w:tc>
        <w:tc>
          <w:tcPr>
            <w:tcW w:w="7141" w:type="dxa"/>
            <w:noWrap w:val="0"/>
            <w:vAlign w:val="center"/>
          </w:tcPr>
          <w:p w14:paraId="37616D05">
            <w:pPr>
              <w:widowControl/>
              <w:spacing w:line="264" w:lineRule="auto"/>
              <w:jc w:val="left"/>
              <w:rPr>
                <w:rFonts w:ascii="等线" w:hAnsi="等线" w:eastAsia="等线" w:cs="Times New Roman"/>
                <w:szCs w:val="21"/>
              </w:rPr>
            </w:pPr>
            <w:r>
              <w:rPr>
                <w:rFonts w:hint="eastAsia" w:ascii="宋体" w:hAnsi="宋体" w:eastAsia="等线" w:cs="宋体"/>
                <w:color w:val="000000"/>
                <w:kern w:val="0"/>
                <w:szCs w:val="21"/>
                <w:lang w:bidi="ar"/>
              </w:rPr>
              <w:t>一是课题考勤情况</w:t>
            </w:r>
            <w:r>
              <w:rPr>
                <w:rFonts w:ascii="宋体" w:hAnsi="宋体" w:eastAsia="等线" w:cs="宋体"/>
                <w:color w:val="000000"/>
                <w:kern w:val="0"/>
                <w:szCs w:val="21"/>
                <w:lang w:bidi="ar"/>
              </w:rPr>
              <w:t>。</w:t>
            </w:r>
            <w:r>
              <w:rPr>
                <w:rFonts w:hint="eastAsia" w:ascii="等线" w:hAnsi="等线" w:eastAsia="等线" w:cs="Times New Roman"/>
                <w:szCs w:val="21"/>
              </w:rPr>
              <w:t>迟到一次扣2分，无故缺席一次扣5分，累计达</w:t>
            </w:r>
            <w:r>
              <w:rPr>
                <w:rFonts w:ascii="等线" w:hAnsi="等线" w:eastAsia="等线" w:cs="Times New Roman"/>
                <w:szCs w:val="21"/>
              </w:rPr>
              <w:t>3</w:t>
            </w:r>
            <w:r>
              <w:rPr>
                <w:rFonts w:hint="eastAsia" w:ascii="等线" w:hAnsi="等线" w:eastAsia="等线" w:cs="Times New Roman"/>
                <w:szCs w:val="21"/>
              </w:rPr>
              <w:t>次以上（不含</w:t>
            </w:r>
            <w:r>
              <w:rPr>
                <w:rFonts w:ascii="等线" w:hAnsi="等线" w:eastAsia="等线" w:cs="Times New Roman"/>
                <w:szCs w:val="21"/>
              </w:rPr>
              <w:t>3</w:t>
            </w:r>
            <w:r>
              <w:rPr>
                <w:rFonts w:hint="eastAsia" w:ascii="等线" w:hAnsi="等线" w:eastAsia="等线" w:cs="Times New Roman"/>
                <w:szCs w:val="21"/>
              </w:rPr>
              <w:t>次）取消课程成绩。</w:t>
            </w:r>
          </w:p>
          <w:p w14:paraId="132C6F28">
            <w:pPr>
              <w:widowControl/>
              <w:spacing w:line="264" w:lineRule="auto"/>
              <w:jc w:val="left"/>
              <w:rPr>
                <w:rFonts w:ascii="等线" w:hAnsi="等线" w:eastAsia="等线" w:cs="Times New Roman"/>
                <w:szCs w:val="21"/>
              </w:rPr>
            </w:pPr>
            <w:r>
              <w:rPr>
                <w:rFonts w:hint="eastAsia" w:ascii="等线" w:hAnsi="等线" w:eastAsia="等线" w:cs="Times New Roman"/>
                <w:szCs w:val="21"/>
              </w:rPr>
              <w:t>二是</w:t>
            </w:r>
            <w:r>
              <w:rPr>
                <w:rFonts w:ascii="宋体" w:hAnsi="宋体" w:eastAsia="等线" w:cs="宋体"/>
                <w:color w:val="000000"/>
                <w:kern w:val="0"/>
                <w:szCs w:val="21"/>
                <w:lang w:bidi="ar"/>
              </w:rPr>
              <w:t>课堂参与</w:t>
            </w:r>
            <w:r>
              <w:rPr>
                <w:rFonts w:hint="eastAsia" w:ascii="宋体" w:hAnsi="宋体" w:eastAsia="等线" w:cs="宋体"/>
                <w:color w:val="000000"/>
                <w:kern w:val="0"/>
                <w:szCs w:val="21"/>
                <w:lang w:bidi="ar"/>
              </w:rPr>
              <w:t>情况。</w:t>
            </w:r>
            <w:r>
              <w:rPr>
                <w:rFonts w:ascii="宋体" w:hAnsi="宋体" w:eastAsia="等线" w:cs="宋体"/>
                <w:color w:val="000000"/>
                <w:kern w:val="0"/>
                <w:szCs w:val="21"/>
                <w:lang w:bidi="ar"/>
              </w:rPr>
              <w:t>主要指课上教师随机提问、组织课堂讨论等，观察学生参与程度</w:t>
            </w:r>
            <w:r>
              <w:rPr>
                <w:rFonts w:hint="eastAsia" w:ascii="宋体" w:hAnsi="宋体" w:eastAsia="等线" w:cs="宋体"/>
                <w:color w:val="000000"/>
                <w:kern w:val="0"/>
                <w:szCs w:val="21"/>
                <w:lang w:bidi="ar"/>
              </w:rPr>
              <w:t>，</w:t>
            </w:r>
            <w:r>
              <w:rPr>
                <w:rFonts w:ascii="宋体" w:hAnsi="宋体" w:eastAsia="等线" w:cs="宋体"/>
                <w:color w:val="000000"/>
                <w:kern w:val="0"/>
                <w:szCs w:val="21"/>
                <w:lang w:bidi="ar"/>
              </w:rPr>
              <w:t>表现良好，按照对应的课程目标及权重给予评定</w:t>
            </w:r>
            <w:r>
              <w:rPr>
                <w:rFonts w:hint="eastAsia" w:ascii="宋体" w:hAnsi="宋体" w:eastAsia="等线" w:cs="宋体"/>
                <w:color w:val="000000"/>
                <w:kern w:val="0"/>
                <w:szCs w:val="21"/>
                <w:lang w:bidi="ar"/>
              </w:rPr>
              <w:t>。</w:t>
            </w:r>
          </w:p>
        </w:tc>
        <w:tc>
          <w:tcPr>
            <w:tcW w:w="0" w:type="auto"/>
            <w:noWrap w:val="0"/>
            <w:vAlign w:val="center"/>
          </w:tcPr>
          <w:p w14:paraId="5BFFCDA5">
            <w:pPr>
              <w:jc w:val="center"/>
              <w:rPr>
                <w:rFonts w:ascii="等线" w:hAnsi="等线" w:eastAsia="等线" w:cs="Times New Roman"/>
                <w:szCs w:val="21"/>
              </w:rPr>
            </w:pPr>
            <w:r>
              <w:rPr>
                <w:rFonts w:hint="eastAsia" w:ascii="等线" w:hAnsi="等线" w:eastAsia="等线" w:cs="Times New Roman"/>
                <w:szCs w:val="21"/>
              </w:rPr>
              <w:t>10%</w:t>
            </w:r>
          </w:p>
        </w:tc>
      </w:tr>
      <w:tr w14:paraId="1953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14:paraId="0B34CED9">
            <w:pPr>
              <w:rPr>
                <w:rFonts w:ascii="等线" w:hAnsi="等线" w:eastAsia="等线" w:cs="Times New Roman"/>
                <w:szCs w:val="21"/>
              </w:rPr>
            </w:pPr>
            <w:r>
              <w:rPr>
                <w:rFonts w:hint="eastAsia" w:ascii="等线" w:hAnsi="等线" w:eastAsia="等线" w:cs="Times New Roman"/>
                <w:szCs w:val="21"/>
              </w:rPr>
              <w:t>期末考试</w:t>
            </w:r>
          </w:p>
        </w:tc>
        <w:tc>
          <w:tcPr>
            <w:tcW w:w="7141" w:type="dxa"/>
            <w:noWrap w:val="0"/>
            <w:vAlign w:val="center"/>
          </w:tcPr>
          <w:p w14:paraId="5F487869">
            <w:pPr>
              <w:spacing w:line="264" w:lineRule="auto"/>
              <w:jc w:val="left"/>
              <w:rPr>
                <w:rFonts w:ascii="等线" w:hAnsi="等线" w:eastAsia="等线" w:cs="Times New Roman"/>
                <w:szCs w:val="21"/>
              </w:rPr>
            </w:pPr>
            <w:r>
              <w:rPr>
                <w:rFonts w:ascii="等线" w:hAnsi="等线" w:eastAsia="等线" w:cs="Times New Roman"/>
                <w:color w:val="000000"/>
                <w:szCs w:val="21"/>
              </w:rPr>
              <w:t>试卷题型包括</w:t>
            </w:r>
            <w:r>
              <w:rPr>
                <w:rFonts w:hint="eastAsia" w:ascii="等线" w:hAnsi="等线" w:eastAsia="等线" w:cs="Times New Roman"/>
                <w:color w:val="000000"/>
                <w:szCs w:val="21"/>
              </w:rPr>
              <w:t>填空题</w:t>
            </w:r>
            <w:r>
              <w:rPr>
                <w:rFonts w:ascii="等线" w:hAnsi="等线" w:eastAsia="等线" w:cs="Times New Roman"/>
                <w:color w:val="000000"/>
                <w:szCs w:val="21"/>
              </w:rPr>
              <w:t>、</w:t>
            </w:r>
            <w:r>
              <w:rPr>
                <w:rFonts w:hint="eastAsia" w:ascii="等线" w:hAnsi="等线" w:eastAsia="等线" w:cs="Times New Roman"/>
                <w:color w:val="000000"/>
                <w:szCs w:val="21"/>
              </w:rPr>
              <w:t>选择题</w:t>
            </w:r>
            <w:r>
              <w:rPr>
                <w:rFonts w:ascii="等线" w:hAnsi="等线" w:eastAsia="等线" w:cs="Times New Roman"/>
                <w:color w:val="000000"/>
                <w:szCs w:val="21"/>
              </w:rPr>
              <w:t>、</w:t>
            </w:r>
            <w:r>
              <w:rPr>
                <w:rFonts w:hint="eastAsia" w:ascii="等线" w:hAnsi="等线" w:eastAsia="等线" w:cs="Times New Roman"/>
                <w:color w:val="000000"/>
                <w:szCs w:val="21"/>
              </w:rPr>
              <w:t>简答题、论述题</w:t>
            </w:r>
            <w:r>
              <w:rPr>
                <w:rFonts w:ascii="等线" w:hAnsi="等线" w:eastAsia="等线" w:cs="Times New Roman"/>
                <w:color w:val="000000"/>
                <w:szCs w:val="21"/>
              </w:rPr>
              <w:t>等，以卷面成绩的50%计入课程总成绩。其中考核</w:t>
            </w:r>
            <w:r>
              <w:rPr>
                <w:rFonts w:hint="eastAsia" w:ascii="等线" w:hAnsi="等线" w:eastAsia="等线" w:cs="Times New Roman"/>
                <w:color w:val="000000"/>
                <w:szCs w:val="21"/>
              </w:rPr>
              <w:t>文学基本理论和知识型题目占5</w:t>
            </w:r>
            <w:r>
              <w:rPr>
                <w:rFonts w:ascii="等线" w:hAnsi="等线" w:eastAsia="等线" w:cs="Times New Roman"/>
                <w:color w:val="000000"/>
                <w:szCs w:val="21"/>
              </w:rPr>
              <w:t>0</w:t>
            </w:r>
            <w:r>
              <w:rPr>
                <w:rFonts w:hint="eastAsia" w:ascii="等线" w:hAnsi="等线" w:eastAsia="等线" w:cs="Times New Roman"/>
                <w:color w:val="000000"/>
                <w:szCs w:val="21"/>
              </w:rPr>
              <w:t>%；考核学生运用基本理论知识进行分析能力的题型占4</w:t>
            </w:r>
            <w:r>
              <w:rPr>
                <w:rFonts w:ascii="等线" w:hAnsi="等线" w:eastAsia="等线" w:cs="Times New Roman"/>
                <w:color w:val="000000"/>
                <w:szCs w:val="21"/>
              </w:rPr>
              <w:t>0</w:t>
            </w:r>
            <w:r>
              <w:rPr>
                <w:rFonts w:hint="eastAsia" w:ascii="等线" w:hAnsi="等线" w:eastAsia="等线" w:cs="Times New Roman"/>
                <w:color w:val="000000"/>
                <w:szCs w:val="21"/>
              </w:rPr>
              <w:t>%；考核学生初步研究能力的题型占1</w:t>
            </w:r>
            <w:r>
              <w:rPr>
                <w:rFonts w:ascii="等线" w:hAnsi="等线" w:eastAsia="等线" w:cs="Times New Roman"/>
                <w:color w:val="000000"/>
                <w:szCs w:val="21"/>
              </w:rPr>
              <w:t>0</w:t>
            </w:r>
            <w:r>
              <w:rPr>
                <w:rFonts w:hint="eastAsia" w:ascii="等线" w:hAnsi="等线" w:eastAsia="等线" w:cs="Times New Roman"/>
                <w:color w:val="000000"/>
                <w:szCs w:val="21"/>
              </w:rPr>
              <w:t>%。</w:t>
            </w:r>
          </w:p>
        </w:tc>
        <w:tc>
          <w:tcPr>
            <w:tcW w:w="0" w:type="auto"/>
            <w:noWrap w:val="0"/>
            <w:vAlign w:val="center"/>
          </w:tcPr>
          <w:p w14:paraId="1F80758C">
            <w:pPr>
              <w:jc w:val="center"/>
              <w:rPr>
                <w:rFonts w:ascii="等线" w:hAnsi="等线" w:eastAsia="等线" w:cs="Times New Roman"/>
                <w:szCs w:val="21"/>
              </w:rPr>
            </w:pPr>
            <w:r>
              <w:rPr>
                <w:rFonts w:hint="eastAsia" w:ascii="等线" w:hAnsi="等线" w:eastAsia="等线" w:cs="Times New Roman"/>
                <w:szCs w:val="21"/>
              </w:rPr>
              <w:t>50%</w:t>
            </w:r>
          </w:p>
        </w:tc>
      </w:tr>
      <w:tr w14:paraId="60FD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noWrap w:val="0"/>
            <w:vAlign w:val="center"/>
          </w:tcPr>
          <w:p w14:paraId="1BCF0884">
            <w:pPr>
              <w:jc w:val="center"/>
              <w:rPr>
                <w:rFonts w:ascii="等线" w:hAnsi="等线" w:eastAsia="等线" w:cs="Times New Roman"/>
                <w:b/>
                <w:bCs/>
                <w:szCs w:val="21"/>
              </w:rPr>
            </w:pPr>
            <w:r>
              <w:rPr>
                <w:rFonts w:hint="eastAsia" w:ascii="等线" w:hAnsi="等线" w:eastAsia="等线" w:cs="Times New Roman"/>
                <w:b/>
                <w:bCs/>
                <w:szCs w:val="21"/>
              </w:rPr>
              <w:t>合计</w:t>
            </w:r>
          </w:p>
        </w:tc>
        <w:tc>
          <w:tcPr>
            <w:tcW w:w="0" w:type="auto"/>
            <w:noWrap w:val="0"/>
            <w:vAlign w:val="center"/>
          </w:tcPr>
          <w:p w14:paraId="4C54554E">
            <w:pPr>
              <w:jc w:val="left"/>
              <w:rPr>
                <w:rFonts w:ascii="等线" w:hAnsi="等线" w:eastAsia="等线" w:cs="Times New Roman"/>
                <w:szCs w:val="21"/>
              </w:rPr>
            </w:pPr>
          </w:p>
        </w:tc>
        <w:tc>
          <w:tcPr>
            <w:tcW w:w="0" w:type="auto"/>
            <w:noWrap w:val="0"/>
            <w:vAlign w:val="center"/>
          </w:tcPr>
          <w:p w14:paraId="7ED0310A">
            <w:pPr>
              <w:jc w:val="center"/>
              <w:rPr>
                <w:rFonts w:ascii="等线" w:hAnsi="等线" w:eastAsia="等线" w:cs="Times New Roman"/>
                <w:szCs w:val="21"/>
              </w:rPr>
            </w:pPr>
            <w:r>
              <w:rPr>
                <w:rFonts w:hint="eastAsia" w:ascii="等线" w:hAnsi="等线" w:eastAsia="等线" w:cs="Times New Roman"/>
                <w:szCs w:val="21"/>
              </w:rPr>
              <w:t>100%</w:t>
            </w:r>
          </w:p>
        </w:tc>
      </w:tr>
    </w:tbl>
    <w:p w14:paraId="219EFAB3">
      <w:pPr>
        <w:spacing w:line="360" w:lineRule="auto"/>
        <w:jc w:val="left"/>
        <w:outlineLvl w:val="1"/>
        <w:rPr>
          <w:rFonts w:hint="eastAsia" w:ascii="宋体" w:hAnsi="宋体" w:eastAsia="等线" w:cs="Times New Roman"/>
          <w:b/>
          <w:color w:val="000000"/>
          <w:szCs w:val="21"/>
        </w:rPr>
      </w:pPr>
      <w:bookmarkStart w:id="1910" w:name="_Toc17861"/>
      <w:r>
        <w:rPr>
          <w:rFonts w:hint="eastAsia" w:ascii="宋体" w:hAnsi="宋体" w:eastAsia="等线" w:cs="Times New Roman"/>
          <w:b/>
          <w:color w:val="000000"/>
          <w:szCs w:val="21"/>
        </w:rPr>
        <w:t>（三）课程目标达成度计算方法</w:t>
      </w:r>
      <w:bookmarkEnd w:id="1910"/>
    </w:p>
    <w:p w14:paraId="0D31973C">
      <w:pPr>
        <w:spacing w:line="360" w:lineRule="auto"/>
        <w:ind w:firstLine="411" w:firstLineChars="196"/>
        <w:jc w:val="left"/>
        <w:rPr>
          <w:rFonts w:hint="eastAsia" w:ascii="宋体" w:hAnsi="宋体" w:eastAsia="等线" w:cs="Times New Roman"/>
          <w:color w:val="000000"/>
          <w:szCs w:val="21"/>
        </w:rPr>
      </w:pPr>
      <w:r>
        <w:rPr>
          <w:rFonts w:hint="eastAsia" w:ascii="宋体" w:hAnsi="宋体" w:eastAsia="等线" w:cs="Times New Roman"/>
          <w:color w:val="000000"/>
          <w:szCs w:val="21"/>
        </w:rPr>
        <w:t>所有课程目标均需大于等于</w:t>
      </w:r>
      <w:r>
        <w:rPr>
          <w:rFonts w:ascii="宋体" w:hAnsi="宋体" w:eastAsia="等线" w:cs="Times New Roman"/>
          <w:color w:val="000000"/>
          <w:szCs w:val="21"/>
        </w:rPr>
        <w:t>0.6，否则总评成绩不及格，需要补考或重修。每门课程目标总体达成度计算方法如下：</w:t>
      </w:r>
    </w:p>
    <w:p w14:paraId="741D24B9">
      <w:pPr>
        <w:adjustRightInd w:val="0"/>
        <w:snapToGrid w:val="0"/>
        <w:spacing w:line="360" w:lineRule="auto"/>
        <w:ind w:firstLine="420" w:firstLineChars="200"/>
        <w:rPr>
          <w:rFonts w:ascii="宋体" w:hAnsi="宋体" w:eastAsia="等线" w:cs="Times New Roman"/>
          <w:b/>
          <w:szCs w:val="21"/>
        </w:rPr>
      </w:pPr>
      <w:r>
        <w:rPr>
          <w:rFonts w:ascii="宋体" w:hAnsi="宋体" w:eastAsia="等线" w:cs="Times New Roman"/>
          <w:color w:val="000000"/>
          <w:szCs w:val="21"/>
        </w:rPr>
        <w:object>
          <v:shape id="_x0000_i1063" o:spt="75" type="#_x0000_t75" style="height:25.05pt;width:404.65pt;" o:ole="t" filled="f" o:preferrelative="t" stroked="f" coordsize="21600,21600">
            <v:path/>
            <v:fill on="f" focussize="0,0"/>
            <v:stroke on="f"/>
            <v:imagedata r:id="rId5" o:title=""/>
            <o:lock v:ext="edit" aspectratio="t"/>
            <w10:wrap type="none"/>
            <w10:anchorlock/>
          </v:shape>
          <o:OLEObject Type="Embed" ProgID="Equation.3" ShapeID="_x0000_i1063" DrawAspect="Content" ObjectID="_1468075763" r:id="rId46">
            <o:LockedField>false</o:LockedField>
          </o:OLEObject>
        </w:object>
      </w:r>
    </w:p>
    <w:p w14:paraId="7E0B73FF">
      <w:pPr>
        <w:spacing w:line="360" w:lineRule="auto"/>
        <w:jc w:val="left"/>
        <w:outlineLvl w:val="0"/>
        <w:rPr>
          <w:rFonts w:ascii="等线" w:hAnsi="等线" w:eastAsia="等线" w:cs="Times New Roman"/>
          <w:b/>
          <w:bCs/>
          <w:sz w:val="24"/>
          <w:szCs w:val="22"/>
        </w:rPr>
      </w:pPr>
      <w:bookmarkStart w:id="1911" w:name="_Toc31042"/>
      <w:bookmarkStart w:id="1912" w:name="_Toc4878"/>
      <w:bookmarkStart w:id="1913" w:name="_Toc20066"/>
      <w:bookmarkStart w:id="1914" w:name="_Toc2773"/>
      <w:bookmarkStart w:id="1915" w:name="_Toc6762"/>
      <w:bookmarkStart w:id="1916" w:name="_Toc4318"/>
      <w:bookmarkStart w:id="1917" w:name="_Toc21509"/>
      <w:r>
        <w:rPr>
          <w:rFonts w:hint="eastAsia" w:ascii="宋体" w:hAnsi="宋体" w:eastAsia="等线" w:cs="Times New Roman"/>
          <w:b/>
          <w:color w:val="000000"/>
          <w:sz w:val="24"/>
          <w:szCs w:val="22"/>
        </w:rPr>
        <w:t>六、有关说明</w:t>
      </w:r>
      <w:bookmarkEnd w:id="1911"/>
      <w:bookmarkEnd w:id="1912"/>
      <w:bookmarkEnd w:id="1913"/>
      <w:bookmarkEnd w:id="1914"/>
      <w:bookmarkEnd w:id="1915"/>
      <w:bookmarkEnd w:id="1916"/>
      <w:bookmarkEnd w:id="1917"/>
    </w:p>
    <w:p w14:paraId="707D302F">
      <w:pPr>
        <w:spacing w:line="360" w:lineRule="auto"/>
        <w:jc w:val="left"/>
        <w:outlineLvl w:val="1"/>
        <w:rPr>
          <w:rFonts w:ascii="等线" w:hAnsi="等线" w:eastAsia="等线" w:cs="Times New Roman"/>
          <w:b/>
          <w:szCs w:val="21"/>
        </w:rPr>
      </w:pPr>
      <w:bookmarkStart w:id="1918" w:name="_Toc20369"/>
      <w:r>
        <w:rPr>
          <w:rFonts w:hint="eastAsia" w:ascii="等线" w:hAnsi="等线" w:eastAsia="等线" w:cs="Times New Roman"/>
          <w:b/>
          <w:szCs w:val="21"/>
        </w:rPr>
        <w:t>（一）持续改进</w:t>
      </w:r>
      <w:bookmarkEnd w:id="1918"/>
    </w:p>
    <w:p w14:paraId="5100B97B">
      <w:pPr>
        <w:adjustRightInd w:val="0"/>
        <w:snapToGrid w:val="0"/>
        <w:spacing w:line="360" w:lineRule="auto"/>
        <w:ind w:firstLine="420" w:firstLineChars="200"/>
        <w:rPr>
          <w:rFonts w:hint="eastAsia" w:ascii="宋体" w:hAnsi="宋体" w:eastAsia="等线" w:cs="Times New Roman"/>
          <w:bCs/>
          <w:szCs w:val="21"/>
        </w:rPr>
      </w:pPr>
      <w:r>
        <w:rPr>
          <w:rFonts w:hint="eastAsia" w:ascii="等线" w:hAnsi="等线" w:eastAsia="等线" w:cs="Times New Roman"/>
          <w:szCs w:val="21"/>
        </w:rPr>
        <w:t>根据学生课堂教学中的反应、课后反馈、作业质量、答卷情况，以及领导、督导、教师同行等的听课情况，及时发现和改进教学中的不足之处，确保相应毕业要求指标点达成。</w:t>
      </w:r>
    </w:p>
    <w:p w14:paraId="5F38339C">
      <w:pPr>
        <w:adjustRightInd w:val="0"/>
        <w:snapToGrid w:val="0"/>
        <w:spacing w:line="360" w:lineRule="auto"/>
        <w:ind w:firstLine="420" w:firstLineChars="200"/>
        <w:rPr>
          <w:rFonts w:hint="eastAsia" w:ascii="宋体" w:hAnsi="宋体" w:eastAsia="等线" w:cs="Times New Roman"/>
          <w:bCs/>
          <w:szCs w:val="21"/>
        </w:rPr>
      </w:pPr>
      <w:r>
        <w:rPr>
          <w:rFonts w:hint="eastAsia" w:ascii="宋体" w:hAnsi="宋体" w:eastAsia="等线" w:cs="Times New Roman"/>
          <w:bCs/>
          <w:szCs w:val="21"/>
        </w:rPr>
        <w:t>1.以马克思主义的世界观与方法论为指导，继承我国优秀的文学理论传统，吸取世界上其他民族文艺学的养分，通过本课程的教学与研究实践，逐步建立并完善适合中国国情的文艺学教学体系。</w:t>
      </w:r>
    </w:p>
    <w:p w14:paraId="56C5D5C6">
      <w:pPr>
        <w:adjustRightInd w:val="0"/>
        <w:snapToGrid w:val="0"/>
        <w:spacing w:line="360" w:lineRule="auto"/>
        <w:ind w:firstLine="420" w:firstLineChars="200"/>
        <w:rPr>
          <w:rFonts w:hint="eastAsia" w:ascii="宋体" w:hAnsi="宋体" w:eastAsia="等线" w:cs="Times New Roman"/>
          <w:bCs/>
          <w:szCs w:val="21"/>
        </w:rPr>
      </w:pPr>
      <w:r>
        <w:rPr>
          <w:rFonts w:hint="eastAsia" w:ascii="宋体" w:hAnsi="宋体" w:eastAsia="等线" w:cs="Times New Roman"/>
          <w:bCs/>
          <w:szCs w:val="21"/>
        </w:rPr>
        <w:t>2.贯彻理论联系实际的原则，在系统讲述基础理论的同时，及时联系文学创作与鉴赏的实际，引导学生关注我国文艺现状，广泛涉猎文学作品和文学理论文章，独立思考，大胆探索。</w:t>
      </w:r>
    </w:p>
    <w:p w14:paraId="21725C40">
      <w:pPr>
        <w:adjustRightInd w:val="0"/>
        <w:snapToGrid w:val="0"/>
        <w:spacing w:line="360" w:lineRule="auto"/>
        <w:ind w:firstLine="420" w:firstLineChars="200"/>
        <w:rPr>
          <w:rFonts w:hint="eastAsia" w:ascii="宋体" w:hAnsi="宋体" w:eastAsia="等线" w:cs="Times New Roman"/>
          <w:bCs/>
          <w:szCs w:val="21"/>
        </w:rPr>
      </w:pPr>
      <w:r>
        <w:rPr>
          <w:rFonts w:hint="eastAsia" w:ascii="宋体" w:hAnsi="宋体" w:eastAsia="等线" w:cs="Times New Roman"/>
          <w:bCs/>
          <w:szCs w:val="21"/>
        </w:rPr>
        <w:t>3.面向学生实际，注重教学方法适当压缩教师讲课时数，多调动学生的积极性，开展专题讨论，进行研究性学习，可运用影视录像、幻灯等电化教学手段辅助教学。加强课外指导，可邀请作家和文艺理论家来校作报告，指导学生的文学社团活动。</w:t>
      </w:r>
    </w:p>
    <w:p w14:paraId="3CCDF669">
      <w:pPr>
        <w:spacing w:line="360" w:lineRule="auto"/>
        <w:jc w:val="left"/>
        <w:outlineLvl w:val="1"/>
        <w:rPr>
          <w:rFonts w:ascii="等线" w:hAnsi="等线" w:eastAsia="等线" w:cs="Times New Roman"/>
          <w:b/>
          <w:szCs w:val="21"/>
        </w:rPr>
      </w:pPr>
      <w:bookmarkStart w:id="1919" w:name="_Toc13645"/>
      <w:r>
        <w:rPr>
          <w:rFonts w:hint="eastAsia" w:ascii="等线" w:hAnsi="等线" w:eastAsia="等线" w:cs="Times New Roman"/>
          <w:b/>
          <w:szCs w:val="21"/>
        </w:rPr>
        <w:t>（二）建议教材</w:t>
      </w:r>
      <w:bookmarkEnd w:id="1919"/>
    </w:p>
    <w:p w14:paraId="24929F11">
      <w:pPr>
        <w:adjustRightInd w:val="0"/>
        <w:snapToGrid w:val="0"/>
        <w:spacing w:line="360" w:lineRule="auto"/>
        <w:ind w:firstLine="420" w:firstLineChars="200"/>
        <w:rPr>
          <w:rFonts w:ascii="宋体" w:hAnsi="宋体" w:eastAsia="等线" w:cs="Times New Roman"/>
          <w:szCs w:val="21"/>
        </w:rPr>
      </w:pPr>
      <w:r>
        <w:rPr>
          <w:rFonts w:hint="eastAsia" w:ascii="宋体" w:hAnsi="宋体" w:eastAsia="等线" w:cs="Times New Roman"/>
          <w:szCs w:val="21"/>
        </w:rPr>
        <w:t>《文学理论》，《文学理论》编写组，高等教育出版社，2015.12.</w:t>
      </w:r>
      <w:r>
        <w:rPr>
          <w:rFonts w:hint="eastAsia" w:ascii="等线" w:hAnsi="等线" w:eastAsia="等线" w:cs="Times New Roman"/>
          <w:bCs/>
          <w:color w:val="000000"/>
          <w:szCs w:val="21"/>
        </w:rPr>
        <w:t>（马克思主义理论研究和建设工程重点教材）</w:t>
      </w:r>
    </w:p>
    <w:p w14:paraId="10BBD14D">
      <w:pPr>
        <w:spacing w:line="360" w:lineRule="auto"/>
        <w:jc w:val="left"/>
        <w:outlineLvl w:val="1"/>
        <w:rPr>
          <w:rFonts w:ascii="等线" w:hAnsi="等线" w:eastAsia="等线" w:cs="Times New Roman"/>
          <w:b/>
          <w:szCs w:val="21"/>
        </w:rPr>
      </w:pPr>
      <w:bookmarkStart w:id="1920" w:name="_Toc22835"/>
      <w:r>
        <w:rPr>
          <w:rFonts w:hint="eastAsia" w:ascii="等线" w:hAnsi="等线" w:eastAsia="等线" w:cs="Times New Roman"/>
          <w:b/>
          <w:szCs w:val="21"/>
        </w:rPr>
        <w:t>（三）参考书目</w:t>
      </w:r>
      <w:bookmarkEnd w:id="1920"/>
    </w:p>
    <w:p w14:paraId="5E12739F">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[1]马克思：《1844年经济学－哲学手稿》，人民出版社1979年（《马恩全集》第42卷）。</w:t>
      </w:r>
    </w:p>
    <w:p w14:paraId="32ECAC69">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[2] 柏拉图：《文艺对话集》，人民文学出版社2009年。</w:t>
      </w:r>
    </w:p>
    <w:p w14:paraId="160BF2FD">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[3] 亚里士多德、贺拉斯：《诗学•诗艺》，人民文学出版社2005年。</w:t>
      </w:r>
    </w:p>
    <w:p w14:paraId="0BF03362">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[4] 刘勰：《文心雕龙》，上海古籍出版社2008年。</w:t>
      </w:r>
    </w:p>
    <w:p w14:paraId="52BDE226">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[5]［英］威廉斯：《文化与社会》，北京大学出版社1991年</w:t>
      </w:r>
    </w:p>
    <w:p w14:paraId="3C12E04E">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[6]［美］詹姆逊：《政治无意识》，中国社会科学出版社1999年。</w:t>
      </w:r>
    </w:p>
    <w:p w14:paraId="42B6AFD7">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[7]［美］马尔赫恩编：《当代马克思主义文学批评》，北京大学出版社2002年。</w:t>
      </w:r>
    </w:p>
    <w:p w14:paraId="2890DDEE">
      <w:pPr>
        <w:adjustRightInd w:val="0"/>
        <w:snapToGrid w:val="0"/>
        <w:spacing w:line="360" w:lineRule="auto"/>
        <w:ind w:firstLine="420" w:firstLineChars="200"/>
        <w:rPr>
          <w:rFonts w:hint="eastAsia" w:ascii="宋体" w:hAnsi="宋体" w:eastAsia="等线" w:cs="Times New Roman"/>
          <w:szCs w:val="21"/>
        </w:rPr>
      </w:pPr>
      <w:r>
        <w:rPr>
          <w:rFonts w:hint="eastAsia" w:ascii="宋体" w:hAnsi="宋体" w:eastAsia="等线" w:cs="Times New Roman"/>
          <w:szCs w:val="21"/>
        </w:rPr>
        <w:t>[8]张少康《中国文学理论批评史》，北京：北京大学出版社2005年。</w:t>
      </w:r>
    </w:p>
    <w:p w14:paraId="12A39B72">
      <w:pPr>
        <w:spacing w:line="360" w:lineRule="auto"/>
        <w:ind w:firstLine="480" w:firstLineChars="200"/>
        <w:rPr>
          <w:rFonts w:ascii="等线" w:hAnsi="等线" w:eastAsia="等线" w:cs="Times New Roman"/>
          <w:color w:val="000000"/>
          <w:sz w:val="24"/>
          <w:szCs w:val="22"/>
        </w:rPr>
      </w:pPr>
    </w:p>
    <w:p w14:paraId="2ED01263">
      <w:pPr>
        <w:spacing w:line="360" w:lineRule="auto"/>
        <w:ind w:firstLine="480" w:firstLineChars="200"/>
        <w:rPr>
          <w:rFonts w:ascii="等线" w:hAnsi="等线" w:eastAsia="等线" w:cs="Times New Roman"/>
          <w:color w:val="000000"/>
          <w:sz w:val="24"/>
          <w:szCs w:val="22"/>
        </w:rPr>
      </w:pPr>
    </w:p>
    <w:p w14:paraId="2F572301">
      <w:pPr>
        <w:autoSpaceDE w:val="0"/>
        <w:autoSpaceDN w:val="0"/>
        <w:adjustRightInd w:val="0"/>
        <w:spacing w:line="360" w:lineRule="auto"/>
        <w:ind w:firstLine="5760" w:firstLineChars="2400"/>
        <w:jc w:val="left"/>
        <w:rPr>
          <w:rFonts w:ascii="等线" w:hAnsi="等线" w:eastAsia="等线" w:cs="Times New Roman"/>
          <w:kern w:val="0"/>
          <w:sz w:val="24"/>
          <w:szCs w:val="21"/>
        </w:rPr>
      </w:pPr>
      <w:r>
        <w:rPr>
          <w:rFonts w:ascii="等线" w:hAnsi="等线" w:eastAsia="等线" w:cs="Times New Roman"/>
          <w:kern w:val="0"/>
          <w:sz w:val="24"/>
          <w:szCs w:val="21"/>
        </w:rPr>
        <w:t>执笔人： 张晓婉</w:t>
      </w:r>
    </w:p>
    <w:p w14:paraId="5DEBA80A">
      <w:pPr>
        <w:autoSpaceDE w:val="0"/>
        <w:autoSpaceDN w:val="0"/>
        <w:adjustRightInd w:val="0"/>
        <w:spacing w:line="360" w:lineRule="auto"/>
        <w:ind w:firstLine="5760" w:firstLineChars="2400"/>
        <w:jc w:val="left"/>
        <w:rPr>
          <w:rFonts w:hint="default" w:ascii="等线" w:hAnsi="等线" w:eastAsia="宋体" w:cs="Times New Roman"/>
          <w:kern w:val="0"/>
          <w:sz w:val="24"/>
          <w:szCs w:val="21"/>
          <w:lang w:val="en-US" w:eastAsia="zh-CN"/>
        </w:rPr>
      </w:pPr>
      <w:r>
        <w:rPr>
          <w:rFonts w:ascii="等线" w:hAnsi="等线" w:eastAsia="等线" w:cs="Times New Roman"/>
          <w:kern w:val="0"/>
          <w:sz w:val="24"/>
          <w:szCs w:val="21"/>
        </w:rPr>
        <w:t xml:space="preserve">审定人： </w:t>
      </w:r>
      <w:r>
        <w:rPr>
          <w:rFonts w:hint="eastAsia" w:ascii="等线" w:hAnsi="等线" w:eastAsia="等线" w:cs="Times New Roman"/>
          <w:kern w:val="0"/>
          <w:sz w:val="24"/>
          <w:szCs w:val="21"/>
          <w:lang w:val="en-US" w:eastAsia="zh-CN"/>
        </w:rPr>
        <w:t>王  健</w:t>
      </w:r>
    </w:p>
    <w:p w14:paraId="20493E8A">
      <w:pPr>
        <w:spacing w:line="312" w:lineRule="auto"/>
        <w:ind w:firstLine="5760" w:firstLineChars="2400"/>
        <w:rPr>
          <w:rFonts w:hint="default" w:ascii="等线" w:hAnsi="等线" w:eastAsia="宋体" w:cs="Times New Roman"/>
          <w:kern w:val="0"/>
          <w:sz w:val="24"/>
          <w:szCs w:val="21"/>
          <w:lang w:val="en-US" w:eastAsia="zh-CN"/>
        </w:rPr>
      </w:pPr>
      <w:r>
        <w:rPr>
          <w:rFonts w:hint="eastAsia" w:ascii="等线" w:hAnsi="等线" w:eastAsia="等线" w:cs="Times New Roman"/>
          <w:kern w:val="0"/>
          <w:sz w:val="24"/>
          <w:szCs w:val="21"/>
        </w:rPr>
        <w:t>审批</w:t>
      </w:r>
      <w:r>
        <w:rPr>
          <w:rFonts w:ascii="等线" w:hAnsi="等线" w:eastAsia="等线" w:cs="Times New Roman"/>
          <w:kern w:val="0"/>
          <w:sz w:val="24"/>
          <w:szCs w:val="21"/>
        </w:rPr>
        <w:t>人：</w:t>
      </w:r>
      <w:r>
        <w:rPr>
          <w:rFonts w:hint="eastAsia" w:ascii="等线" w:hAnsi="等线" w:eastAsia="等线" w:cs="Times New Roman"/>
          <w:kern w:val="0"/>
          <w:sz w:val="24"/>
          <w:szCs w:val="21"/>
        </w:rPr>
        <w:t xml:space="preserve"> </w:t>
      </w:r>
      <w:r>
        <w:rPr>
          <w:rFonts w:hint="eastAsia" w:ascii="等线" w:hAnsi="等线" w:eastAsia="等线" w:cs="Times New Roman"/>
          <w:kern w:val="0"/>
          <w:sz w:val="24"/>
          <w:szCs w:val="21"/>
          <w:lang w:val="en-US" w:eastAsia="zh-CN"/>
        </w:rPr>
        <w:t>张志欣</w:t>
      </w:r>
    </w:p>
    <w:p w14:paraId="33617452">
      <w:pPr>
        <w:spacing w:line="360" w:lineRule="auto"/>
        <w:ind w:right="240"/>
        <w:jc w:val="right"/>
        <w:rPr>
          <w:rFonts w:ascii="等线" w:hAnsi="等线" w:eastAsia="等线" w:cs="Times New Roman"/>
          <w:sz w:val="24"/>
          <w:szCs w:val="22"/>
        </w:rPr>
      </w:pPr>
      <w:r>
        <w:rPr>
          <w:rFonts w:hint="eastAsia" w:ascii="等线" w:hAnsi="等线" w:eastAsia="等线" w:cs="Times New Roman"/>
          <w:sz w:val="24"/>
          <w:szCs w:val="22"/>
        </w:rPr>
        <w:t>批准时间： 2024</w:t>
      </w:r>
      <w:r>
        <w:rPr>
          <w:rFonts w:ascii="等线" w:hAnsi="等线" w:eastAsia="等线" w:cs="Times New Roman"/>
          <w:sz w:val="24"/>
          <w:szCs w:val="22"/>
        </w:rPr>
        <w:t>年</w:t>
      </w:r>
      <w:r>
        <w:rPr>
          <w:rFonts w:hint="eastAsia" w:ascii="等线" w:hAnsi="等线" w:eastAsia="等线" w:cs="Times New Roman"/>
          <w:sz w:val="24"/>
          <w:szCs w:val="22"/>
        </w:rPr>
        <w:t xml:space="preserve"> 9</w:t>
      </w:r>
      <w:r>
        <w:rPr>
          <w:rFonts w:ascii="等线" w:hAnsi="等线" w:eastAsia="等线" w:cs="Times New Roman"/>
          <w:sz w:val="24"/>
          <w:szCs w:val="22"/>
        </w:rPr>
        <w:t>月</w:t>
      </w:r>
      <w:r>
        <w:rPr>
          <w:rFonts w:hint="eastAsia" w:ascii="等线" w:hAnsi="等线" w:eastAsia="等线" w:cs="Times New Roman"/>
          <w:sz w:val="24"/>
          <w:szCs w:val="22"/>
        </w:rPr>
        <w:t xml:space="preserve">1 </w:t>
      </w:r>
      <w:r>
        <w:rPr>
          <w:rFonts w:ascii="等线" w:hAnsi="等线" w:eastAsia="等线" w:cs="Times New Roman"/>
          <w:sz w:val="24"/>
          <w:szCs w:val="22"/>
        </w:rPr>
        <w:t>日</w:t>
      </w:r>
    </w:p>
    <w:p w14:paraId="20A18F90">
      <w:pPr>
        <w:rPr>
          <w:rFonts w:hint="eastAsia" w:ascii="Times New Roman" w:hAnsi="Times New Roman" w:eastAsia="宋体" w:cs="Times New Roman"/>
          <w:smallCaps/>
          <w:color w:val="333333"/>
          <w:kern w:val="44"/>
          <w:sz w:val="24"/>
          <w:szCs w:val="24"/>
        </w:rPr>
      </w:pPr>
      <w:r>
        <w:rPr>
          <w:rFonts w:hint="eastAsia" w:ascii="Times New Roman" w:hAnsi="Times New Roman" w:eastAsia="宋体" w:cs="Times New Roman"/>
          <w:smallCaps/>
          <w:color w:val="333333"/>
          <w:kern w:val="44"/>
          <w:sz w:val="24"/>
          <w:szCs w:val="24"/>
        </w:rPr>
        <w:br w:type="page"/>
      </w:r>
    </w:p>
    <w:p w14:paraId="0FDAEE51">
      <w:pPr>
        <w:pStyle w:val="2"/>
        <w:bidi w:val="0"/>
        <w:rPr>
          <w:lang w:val="en-US" w:eastAsia="zh-CN"/>
        </w:rPr>
      </w:pPr>
      <w:bookmarkStart w:id="1921" w:name="_Toc2394"/>
      <w:bookmarkStart w:id="1922" w:name="_Toc28757"/>
      <w:bookmarkStart w:id="1923" w:name="_Toc16469"/>
      <w:bookmarkStart w:id="1924" w:name="_Toc19580"/>
      <w:bookmarkStart w:id="1925" w:name="_Toc399584725"/>
      <w:bookmarkStart w:id="1926" w:name="_Toc29101"/>
      <w:r>
        <w:rPr>
          <w:rFonts w:hint="eastAsia"/>
          <w:lang w:val="en-US" w:eastAsia="zh-CN"/>
        </w:rPr>
        <w:t>《儿童文学》</w:t>
      </w:r>
      <w:r>
        <w:rPr>
          <w:lang w:val="en-US" w:eastAsia="zh-CN"/>
        </w:rPr>
        <w:t>课程教学大纲</w:t>
      </w:r>
      <w:bookmarkEnd w:id="1921"/>
      <w:bookmarkEnd w:id="1922"/>
      <w:bookmarkEnd w:id="1923"/>
      <w:bookmarkEnd w:id="1924"/>
      <w:bookmarkEnd w:id="1925"/>
      <w:bookmarkEnd w:id="1926"/>
    </w:p>
    <w:p w14:paraId="04A081F7">
      <w:pPr>
        <w:pStyle w:val="2"/>
        <w:bidi w:val="0"/>
        <w:rPr>
          <w:lang w:val="en-US" w:eastAsia="zh-CN"/>
        </w:rPr>
      </w:pPr>
      <w:bookmarkStart w:id="1927" w:name="_Toc11859"/>
      <w:bookmarkStart w:id="1928" w:name="_Toc16213"/>
      <w:bookmarkStart w:id="1929" w:name="_Toc18114"/>
      <w:bookmarkStart w:id="1930" w:name="_Toc3211"/>
      <w:bookmarkStart w:id="1931" w:name="_Toc19464"/>
      <w:bookmarkStart w:id="1932" w:name="_Toc19736"/>
      <w:bookmarkStart w:id="1933" w:name="_Toc9594"/>
      <w:r>
        <w:rPr>
          <w:lang w:val="en-US" w:eastAsia="zh-CN"/>
        </w:rPr>
        <w:t>（</w:t>
      </w:r>
      <w:r>
        <w:rPr>
          <w:rFonts w:hint="eastAsia"/>
          <w:lang w:val="en-US" w:eastAsia="zh-CN"/>
        </w:rPr>
        <w:t>Child literature</w:t>
      </w:r>
      <w:r>
        <w:rPr>
          <w:lang w:val="en-US" w:eastAsia="zh-CN"/>
        </w:rPr>
        <w:t>）</w:t>
      </w:r>
      <w:bookmarkEnd w:id="1927"/>
      <w:bookmarkEnd w:id="1928"/>
      <w:bookmarkEnd w:id="1929"/>
      <w:bookmarkEnd w:id="1930"/>
      <w:bookmarkEnd w:id="1931"/>
      <w:bookmarkEnd w:id="1932"/>
      <w:bookmarkEnd w:id="1933"/>
    </w:p>
    <w:p w14:paraId="6BED369B">
      <w:pPr>
        <w:adjustRightInd w:val="0"/>
        <w:snapToGrid w:val="0"/>
        <w:spacing w:line="360" w:lineRule="auto"/>
        <w:ind w:firstLine="482" w:firstLineChars="200"/>
        <w:rPr>
          <w:rFonts w:ascii="宋体" w:hAnsi="宋体" w:eastAsia="宋体" w:cs="Times New Roman"/>
          <w:b/>
          <w:kern w:val="0"/>
          <w:sz w:val="24"/>
          <w:szCs w:val="22"/>
        </w:rPr>
      </w:pPr>
      <w:r>
        <w:rPr>
          <w:rFonts w:ascii="宋体" w:hAnsi="宋体" w:eastAsia="宋体" w:cs="Times New Roman"/>
          <w:b/>
          <w:kern w:val="0"/>
          <w:sz w:val="24"/>
          <w:szCs w:val="22"/>
        </w:rPr>
        <w:t>课程名称</w:t>
      </w:r>
      <w:r>
        <w:rPr>
          <w:rFonts w:hint="eastAsia" w:ascii="宋体" w:hAnsi="宋体" w:eastAsia="宋体" w:cs="Times New Roman"/>
          <w:b/>
          <w:kern w:val="0"/>
          <w:sz w:val="24"/>
          <w:szCs w:val="22"/>
        </w:rPr>
        <w:t>：儿童文学</w:t>
      </w:r>
    </w:p>
    <w:p w14:paraId="63626E36">
      <w:pPr>
        <w:adjustRightInd w:val="0"/>
        <w:snapToGrid w:val="0"/>
        <w:spacing w:line="360" w:lineRule="auto"/>
        <w:ind w:firstLine="482" w:firstLineChars="200"/>
        <w:rPr>
          <w:rFonts w:ascii="宋体" w:hAnsi="宋体" w:eastAsia="宋体" w:cs="Times New Roman"/>
          <w:b/>
          <w:kern w:val="0"/>
          <w:sz w:val="24"/>
          <w:szCs w:val="22"/>
        </w:rPr>
      </w:pPr>
      <w:r>
        <w:rPr>
          <w:rFonts w:ascii="宋体" w:hAnsi="宋体" w:eastAsia="宋体" w:cs="Times New Roman"/>
          <w:b/>
          <w:kern w:val="0"/>
          <w:sz w:val="24"/>
          <w:szCs w:val="22"/>
        </w:rPr>
        <w:t>课程代码：</w:t>
      </w:r>
      <w:r>
        <w:rPr>
          <w:rFonts w:hint="eastAsia" w:ascii="宋体" w:hAnsi="宋体" w:eastAsia="宋体" w:cs="Times New Roman"/>
          <w:b/>
          <w:kern w:val="0"/>
          <w:sz w:val="24"/>
          <w:szCs w:val="22"/>
        </w:rPr>
        <w:t xml:space="preserve">0701011   </w:t>
      </w:r>
    </w:p>
    <w:p w14:paraId="3BCCFA80">
      <w:pPr>
        <w:adjustRightInd w:val="0"/>
        <w:snapToGrid w:val="0"/>
        <w:spacing w:line="360" w:lineRule="auto"/>
        <w:ind w:firstLine="482" w:firstLineChars="200"/>
        <w:rPr>
          <w:rFonts w:ascii="宋体" w:hAnsi="宋体" w:eastAsia="宋体" w:cs="Times New Roman"/>
          <w:b/>
          <w:kern w:val="0"/>
          <w:sz w:val="24"/>
          <w:szCs w:val="22"/>
        </w:rPr>
      </w:pPr>
      <w:r>
        <w:rPr>
          <w:rFonts w:ascii="宋体" w:hAnsi="宋体" w:eastAsia="宋体" w:cs="Times New Roman"/>
          <w:b/>
          <w:kern w:val="0"/>
          <w:sz w:val="24"/>
          <w:szCs w:val="22"/>
        </w:rPr>
        <w:t>学    分：</w:t>
      </w:r>
      <w:r>
        <w:rPr>
          <w:rFonts w:hint="eastAsia" w:ascii="宋体" w:hAnsi="宋体" w:eastAsia="宋体" w:cs="Times New Roman"/>
          <w:b/>
          <w:kern w:val="0"/>
          <w:sz w:val="24"/>
          <w:szCs w:val="22"/>
        </w:rPr>
        <w:t>3</w:t>
      </w:r>
    </w:p>
    <w:p w14:paraId="3AB8B466">
      <w:pPr>
        <w:adjustRightInd w:val="0"/>
        <w:snapToGrid w:val="0"/>
        <w:spacing w:line="360" w:lineRule="auto"/>
        <w:ind w:firstLine="482" w:firstLineChars="200"/>
        <w:rPr>
          <w:rFonts w:ascii="宋体" w:hAnsi="宋体" w:eastAsia="宋体" w:cs="Times New Roman"/>
          <w:b/>
          <w:kern w:val="0"/>
          <w:sz w:val="24"/>
          <w:szCs w:val="22"/>
        </w:rPr>
      </w:pPr>
      <w:r>
        <w:rPr>
          <w:rFonts w:ascii="宋体" w:hAnsi="宋体" w:eastAsia="宋体" w:cs="Times New Roman"/>
          <w:b/>
          <w:kern w:val="0"/>
          <w:sz w:val="24"/>
          <w:szCs w:val="22"/>
        </w:rPr>
        <w:t>学    时：</w:t>
      </w:r>
      <w:r>
        <w:rPr>
          <w:rFonts w:hint="eastAsia" w:ascii="宋体" w:hAnsi="宋体" w:eastAsia="宋体" w:cs="Times New Roman"/>
          <w:b/>
          <w:kern w:val="0"/>
          <w:sz w:val="24"/>
          <w:szCs w:val="22"/>
        </w:rPr>
        <w:t>48 （其中：讲授学时32， 实践学时16）</w:t>
      </w:r>
    </w:p>
    <w:p w14:paraId="256C0E0C">
      <w:pPr>
        <w:adjustRightInd w:val="0"/>
        <w:snapToGrid w:val="0"/>
        <w:spacing w:line="360" w:lineRule="auto"/>
        <w:ind w:firstLine="482" w:firstLineChars="200"/>
        <w:rPr>
          <w:rFonts w:ascii="宋体" w:hAnsi="宋体" w:eastAsia="宋体" w:cs="Times New Roman"/>
          <w:b/>
          <w:bCs/>
          <w:kern w:val="0"/>
          <w:sz w:val="24"/>
          <w:szCs w:val="22"/>
        </w:rPr>
      </w:pPr>
      <w:r>
        <w:rPr>
          <w:rFonts w:ascii="宋体" w:hAnsi="宋体" w:eastAsia="宋体" w:cs="Times New Roman"/>
          <w:b/>
          <w:kern w:val="0"/>
          <w:sz w:val="24"/>
          <w:szCs w:val="22"/>
        </w:rPr>
        <w:t>先修课程：</w:t>
      </w:r>
      <w:r>
        <w:rPr>
          <w:rFonts w:hint="eastAsia" w:ascii="宋体" w:hAnsi="宋体" w:eastAsia="宋体" w:cs="Times New Roman"/>
          <w:b/>
          <w:kern w:val="0"/>
          <w:sz w:val="24"/>
          <w:szCs w:val="22"/>
        </w:rPr>
        <w:t>无</w:t>
      </w:r>
    </w:p>
    <w:p w14:paraId="20CA34AD">
      <w:pPr>
        <w:adjustRightInd w:val="0"/>
        <w:snapToGrid w:val="0"/>
        <w:spacing w:line="360" w:lineRule="auto"/>
        <w:ind w:firstLine="482" w:firstLineChars="200"/>
        <w:rPr>
          <w:rFonts w:ascii="宋体" w:hAnsi="宋体" w:eastAsia="宋体" w:cs="Times New Roman"/>
          <w:b/>
          <w:kern w:val="0"/>
          <w:sz w:val="24"/>
          <w:szCs w:val="22"/>
        </w:rPr>
      </w:pPr>
      <w:r>
        <w:rPr>
          <w:rFonts w:ascii="宋体" w:hAnsi="宋体" w:eastAsia="宋体" w:cs="Times New Roman"/>
          <w:b/>
          <w:kern w:val="0"/>
          <w:sz w:val="24"/>
          <w:szCs w:val="22"/>
        </w:rPr>
        <w:t>适用专业：</w:t>
      </w:r>
      <w:r>
        <w:rPr>
          <w:rFonts w:hint="eastAsia" w:ascii="宋体" w:hAnsi="宋体" w:eastAsia="宋体" w:cs="Times New Roman"/>
          <w:b/>
          <w:kern w:val="0"/>
          <w:sz w:val="24"/>
          <w:szCs w:val="22"/>
        </w:rPr>
        <w:t>小学教育</w:t>
      </w:r>
    </w:p>
    <w:p w14:paraId="378FCB39">
      <w:pPr>
        <w:adjustRightInd w:val="0"/>
        <w:snapToGrid w:val="0"/>
        <w:spacing w:line="360" w:lineRule="auto"/>
        <w:ind w:firstLine="472" w:firstLineChars="196"/>
        <w:rPr>
          <w:rFonts w:ascii="Times New Roman" w:hAnsi="Times New Roman" w:eastAsia="宋体" w:cs="Times New Roman"/>
          <w:b/>
          <w:kern w:val="0"/>
          <w:sz w:val="24"/>
          <w:szCs w:val="22"/>
        </w:rPr>
      </w:pPr>
    </w:p>
    <w:p w14:paraId="690D0AA8">
      <w:pPr>
        <w:adjustRightInd w:val="0"/>
        <w:snapToGrid w:val="0"/>
        <w:spacing w:line="360" w:lineRule="auto"/>
        <w:ind w:firstLine="472" w:firstLineChars="196"/>
        <w:outlineLvl w:val="0"/>
        <w:rPr>
          <w:rFonts w:ascii="Times New Roman" w:hAnsi="Times New Roman" w:eastAsia="宋体" w:cs="Times New Roman"/>
          <w:b/>
          <w:sz w:val="24"/>
          <w:szCs w:val="22"/>
        </w:rPr>
      </w:pPr>
      <w:bookmarkStart w:id="1934" w:name="_Toc23667"/>
      <w:bookmarkStart w:id="1935" w:name="_Toc31584"/>
      <w:bookmarkStart w:id="1936" w:name="_Toc25694"/>
      <w:bookmarkStart w:id="1937" w:name="_Toc5606"/>
      <w:bookmarkStart w:id="1938" w:name="_Toc16938"/>
      <w:bookmarkStart w:id="1939" w:name="_Toc12124"/>
      <w:bookmarkStart w:id="1940" w:name="_Toc7431"/>
      <w:r>
        <w:rPr>
          <w:rFonts w:ascii="Times New Roman" w:hAnsi="Times New Roman" w:eastAsia="宋体" w:cs="Times New Roman"/>
          <w:b/>
          <w:sz w:val="24"/>
          <w:szCs w:val="22"/>
        </w:rPr>
        <w:t>一、课程</w:t>
      </w:r>
      <w:r>
        <w:rPr>
          <w:rFonts w:hint="eastAsia" w:ascii="Times New Roman" w:hAnsi="Times New Roman" w:eastAsia="宋体" w:cs="Times New Roman"/>
          <w:b/>
          <w:sz w:val="24"/>
          <w:szCs w:val="22"/>
        </w:rPr>
        <w:t>简介</w:t>
      </w:r>
      <w:bookmarkEnd w:id="1934"/>
      <w:bookmarkEnd w:id="1935"/>
      <w:bookmarkEnd w:id="1936"/>
      <w:bookmarkEnd w:id="1937"/>
      <w:bookmarkEnd w:id="1938"/>
      <w:bookmarkEnd w:id="1939"/>
      <w:bookmarkEnd w:id="1940"/>
    </w:p>
    <w:p w14:paraId="6F9E1191">
      <w:pPr>
        <w:adjustRightInd w:val="0"/>
        <w:snapToGrid w:val="0"/>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本课程是小学教育专业的专业基础必修课程，主要阐述有关儿童文学的一些基本原理，着眼于提高学生分析儿童文学作品的能力，并训练学生学习创编一般的儿童读物。通过学习，了解儿童文学的基本特点，扩大儿童文学的知识面和阅读面，提高儿童文学修养，进而更加热爱儿童，关注生命；重点培养分析和鉴赏当代中外儿童文学作品的能力，掌握独立分析中短篇作品（儿童诗、故事、小说、童话、寓言、散文等）的思想内容和艺术特色的基本方法，能针对作品内容形式的特点，撰写简单的儿童文学评论；初步学会创编儿歌、儿童诗、儿童故事和童话等。</w:t>
      </w:r>
    </w:p>
    <w:p w14:paraId="6E1A0CA5">
      <w:pPr>
        <w:adjustRightInd w:val="0"/>
        <w:snapToGrid w:val="0"/>
        <w:spacing w:line="360" w:lineRule="auto"/>
        <w:ind w:firstLine="562" w:firstLineChars="200"/>
        <w:outlineLvl w:val="0"/>
        <w:rPr>
          <w:rFonts w:ascii="Times New Roman" w:hAnsi="Times New Roman" w:eastAsia="宋体" w:cs="Times New Roman"/>
          <w:b/>
          <w:bCs/>
          <w:sz w:val="28"/>
          <w:szCs w:val="28"/>
        </w:rPr>
      </w:pPr>
      <w:bookmarkStart w:id="1941" w:name="_Toc4229"/>
      <w:bookmarkStart w:id="1942" w:name="_Toc25671"/>
      <w:bookmarkStart w:id="1943" w:name="_Toc21034"/>
      <w:bookmarkStart w:id="1944" w:name="_Toc22673"/>
      <w:bookmarkStart w:id="1945" w:name="_Toc7377"/>
      <w:bookmarkStart w:id="1946" w:name="_Toc6761"/>
      <w:bookmarkStart w:id="1947" w:name="_Toc2657"/>
      <w:r>
        <w:rPr>
          <w:rFonts w:ascii="Times New Roman" w:hAnsi="Times New Roman" w:eastAsia="宋体" w:cs="Times New Roman"/>
          <w:b/>
          <w:bCs/>
          <w:sz w:val="28"/>
          <w:szCs w:val="28"/>
        </w:rPr>
        <w:t>二、课程目标</w:t>
      </w:r>
      <w:bookmarkEnd w:id="1941"/>
      <w:bookmarkEnd w:id="1942"/>
      <w:bookmarkEnd w:id="1943"/>
      <w:bookmarkEnd w:id="1944"/>
      <w:bookmarkEnd w:id="1945"/>
      <w:bookmarkEnd w:id="1946"/>
      <w:bookmarkEnd w:id="1947"/>
    </w:p>
    <w:p w14:paraId="269765EB">
      <w:pPr>
        <w:spacing w:line="360" w:lineRule="auto"/>
        <w:ind w:firstLine="275" w:firstLineChars="98"/>
        <w:outlineLvl w:val="1"/>
        <w:rPr>
          <w:rFonts w:ascii="宋体" w:hAnsi="宋体" w:eastAsia="等线" w:cs="Times New Roman"/>
          <w:b/>
          <w:sz w:val="28"/>
          <w:szCs w:val="28"/>
        </w:rPr>
      </w:pPr>
      <w:bookmarkStart w:id="1948" w:name="_Toc372"/>
      <w:r>
        <w:rPr>
          <w:rFonts w:hint="eastAsia" w:ascii="宋体" w:hAnsi="宋体" w:eastAsia="等线" w:cs="Times New Roman"/>
          <w:b/>
          <w:sz w:val="28"/>
          <w:szCs w:val="28"/>
        </w:rPr>
        <w:t>（一）课程具体目标</w:t>
      </w:r>
      <w:bookmarkEnd w:id="1948"/>
    </w:p>
    <w:p w14:paraId="3CEE7323">
      <w:pPr>
        <w:autoSpaceDE w:val="0"/>
        <w:autoSpaceDN w:val="0"/>
        <w:adjustRightInd w:val="0"/>
        <w:snapToGrid w:val="0"/>
        <w:spacing w:line="360" w:lineRule="auto"/>
        <w:ind w:firstLine="480" w:firstLineChars="200"/>
        <w:jc w:val="left"/>
        <w:rPr>
          <w:rFonts w:ascii="Times New Roman" w:hAnsi="Times New Roman" w:eastAsia="等线" w:cs="Times New Roman"/>
          <w:kern w:val="0"/>
          <w:sz w:val="24"/>
          <w:szCs w:val="22"/>
        </w:rPr>
      </w:pPr>
      <w:r>
        <w:rPr>
          <w:rFonts w:ascii="Times New Roman" w:hAnsi="Times New Roman" w:eastAsia="等线" w:cs="Times New Roman"/>
          <w:kern w:val="0"/>
          <w:sz w:val="24"/>
          <w:szCs w:val="22"/>
        </w:rPr>
        <w:t>目标</w:t>
      </w:r>
      <w:r>
        <w:rPr>
          <w:rFonts w:ascii="宋体" w:hAnsi="宋体" w:eastAsia="等线" w:cs="Times New Roman"/>
          <w:kern w:val="0"/>
          <w:sz w:val="24"/>
          <w:szCs w:val="22"/>
        </w:rPr>
        <w:t>1.</w:t>
      </w:r>
      <w:r>
        <w:rPr>
          <w:rFonts w:hint="eastAsia" w:ascii="Times New Roman" w:hAnsi="Times New Roman" w:eastAsia="等线" w:cs="Times New Roman"/>
          <w:kern w:val="0"/>
          <w:sz w:val="24"/>
          <w:szCs w:val="22"/>
        </w:rPr>
        <w:t>了解儿童文学的基本原理，掌握儿童文学各体裁的含义、艺术特征及种类。</w:t>
      </w:r>
    </w:p>
    <w:p w14:paraId="3DB05963">
      <w:pPr>
        <w:autoSpaceDE w:val="0"/>
        <w:autoSpaceDN w:val="0"/>
        <w:adjustRightInd w:val="0"/>
        <w:snapToGrid w:val="0"/>
        <w:spacing w:line="360" w:lineRule="auto"/>
        <w:ind w:firstLine="480" w:firstLineChars="200"/>
        <w:jc w:val="left"/>
        <w:rPr>
          <w:rFonts w:ascii="宋体" w:hAnsi="宋体" w:eastAsia="等线" w:cs="Times New Roman"/>
          <w:kern w:val="0"/>
          <w:sz w:val="24"/>
          <w:szCs w:val="22"/>
        </w:rPr>
      </w:pPr>
      <w:r>
        <w:rPr>
          <w:rFonts w:ascii="Times New Roman" w:hAnsi="Times New Roman" w:eastAsia="等线" w:cs="Times New Roman"/>
          <w:kern w:val="0"/>
          <w:sz w:val="24"/>
          <w:szCs w:val="22"/>
        </w:rPr>
        <w:t>目标</w:t>
      </w:r>
      <w:r>
        <w:rPr>
          <w:rFonts w:ascii="宋体" w:hAnsi="宋体" w:eastAsia="等线" w:cs="Times New Roman"/>
          <w:kern w:val="0"/>
          <w:sz w:val="24"/>
          <w:szCs w:val="22"/>
        </w:rPr>
        <w:t>2.</w:t>
      </w:r>
      <w:r>
        <w:rPr>
          <w:rFonts w:ascii="Times New Roman" w:hAnsi="Times New Roman" w:eastAsia="等线" w:cs="Times New Roman"/>
          <w:kern w:val="0"/>
          <w:sz w:val="24"/>
          <w:szCs w:val="22"/>
        </w:rPr>
        <w:t xml:space="preserve"> </w:t>
      </w:r>
      <w:r>
        <w:rPr>
          <w:rFonts w:hint="eastAsia" w:ascii="Times New Roman" w:hAnsi="Times New Roman" w:eastAsia="等线" w:cs="Times New Roman"/>
          <w:kern w:val="0"/>
          <w:sz w:val="24"/>
          <w:szCs w:val="22"/>
        </w:rPr>
        <w:t>能够根据儿童文学各体裁的特点，独立分析和鉴赏中外儿童文学作品的思想内容和艺术</w:t>
      </w:r>
      <w:r>
        <w:rPr>
          <w:rFonts w:hint="eastAsia" w:ascii="宋体" w:hAnsi="宋体" w:eastAsia="等线" w:cs="Times New Roman"/>
          <w:kern w:val="0"/>
          <w:sz w:val="24"/>
          <w:szCs w:val="22"/>
        </w:rPr>
        <w:t>特色；</w:t>
      </w:r>
      <w:r>
        <w:rPr>
          <w:rFonts w:ascii="宋体" w:hAnsi="宋体" w:eastAsia="等线" w:cs="Times New Roman"/>
          <w:kern w:val="0"/>
          <w:sz w:val="24"/>
          <w:szCs w:val="22"/>
        </w:rPr>
        <w:t>能</w:t>
      </w:r>
      <w:r>
        <w:rPr>
          <w:rFonts w:hint="eastAsia" w:ascii="宋体" w:hAnsi="宋体" w:eastAsia="等线" w:cs="Times New Roman"/>
          <w:kern w:val="0"/>
          <w:sz w:val="24"/>
          <w:szCs w:val="22"/>
        </w:rPr>
        <w:t>结合儿童文学的基础知识和基本理论，尝试创编儿歌、儿童诗、儿童故事和童话等作品。</w:t>
      </w:r>
    </w:p>
    <w:p w14:paraId="6ED2BA86">
      <w:pPr>
        <w:autoSpaceDE w:val="0"/>
        <w:autoSpaceDN w:val="0"/>
        <w:adjustRightInd w:val="0"/>
        <w:snapToGrid w:val="0"/>
        <w:spacing w:line="360" w:lineRule="auto"/>
        <w:ind w:firstLine="480" w:firstLineChars="200"/>
        <w:jc w:val="left"/>
        <w:rPr>
          <w:rFonts w:ascii="宋体" w:hAnsi="宋体" w:eastAsia="等线" w:cs="Times New Roman"/>
          <w:kern w:val="0"/>
          <w:sz w:val="24"/>
          <w:szCs w:val="22"/>
        </w:rPr>
      </w:pPr>
      <w:r>
        <w:rPr>
          <w:rFonts w:ascii="宋体" w:hAnsi="宋体" w:eastAsia="等线" w:cs="Times New Roman"/>
          <w:kern w:val="0"/>
          <w:sz w:val="24"/>
          <w:szCs w:val="22"/>
        </w:rPr>
        <w:t>目标3. 能</w:t>
      </w:r>
      <w:r>
        <w:rPr>
          <w:rFonts w:hint="eastAsia" w:ascii="宋体" w:hAnsi="宋体" w:eastAsia="等线" w:cs="Times New Roman"/>
          <w:kern w:val="0"/>
          <w:sz w:val="24"/>
          <w:szCs w:val="22"/>
        </w:rPr>
        <w:t>站在未来民族复兴的高度来关注儿童和儿童文学事业，形成准确的儿童观，热爱儿童，理解儿童的精神哲学，关注儿童生命的成长过程，养成较高的儿童文学素养。</w:t>
      </w:r>
    </w:p>
    <w:p w14:paraId="197A48D5">
      <w:pPr>
        <w:autoSpaceDE w:val="0"/>
        <w:autoSpaceDN w:val="0"/>
        <w:adjustRightInd w:val="0"/>
        <w:snapToGrid w:val="0"/>
        <w:spacing w:line="360" w:lineRule="auto"/>
        <w:ind w:firstLine="480" w:firstLineChars="200"/>
        <w:jc w:val="left"/>
        <w:outlineLvl w:val="1"/>
        <w:rPr>
          <w:rFonts w:ascii="Times New Roman" w:hAnsi="Times New Roman" w:eastAsia="等线" w:cs="Times New Roman"/>
          <w:b/>
          <w:kern w:val="0"/>
          <w:sz w:val="24"/>
          <w:szCs w:val="22"/>
        </w:rPr>
      </w:pPr>
      <w:bookmarkStart w:id="1949" w:name="_Toc4218"/>
      <w:r>
        <w:rPr>
          <w:rFonts w:hint="eastAsia" w:ascii="Times New Roman" w:hAnsi="Times New Roman" w:eastAsia="等线" w:cs="Times New Roman"/>
          <w:b/>
          <w:kern w:val="0"/>
          <w:sz w:val="24"/>
          <w:szCs w:val="22"/>
        </w:rPr>
        <w:t>（二）课程目标及其对毕业要求指标点的支撑</w:t>
      </w:r>
      <w:bookmarkEnd w:id="1949"/>
    </w:p>
    <w:tbl>
      <w:tblPr>
        <w:tblStyle w:val="10"/>
        <w:tblpPr w:leftFromText="180" w:rightFromText="180" w:vertAnchor="page" w:horzAnchor="page" w:tblpX="1649" w:tblpY="1627"/>
        <w:tblOverlap w:val="never"/>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928"/>
        <w:gridCol w:w="1593"/>
      </w:tblGrid>
      <w:tr w14:paraId="4D67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268" w:type="dxa"/>
            <w:vAlign w:val="center"/>
          </w:tcPr>
          <w:p w14:paraId="08DF30D5">
            <w:pPr>
              <w:widowControl w:val="0"/>
              <w:spacing w:line="276" w:lineRule="auto"/>
              <w:ind w:firstLine="0" w:firstLineChars="0"/>
              <w:jc w:val="center"/>
              <w:rPr>
                <w:rFonts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毕业要求</w:t>
            </w:r>
          </w:p>
        </w:tc>
        <w:tc>
          <w:tcPr>
            <w:tcW w:w="4928" w:type="dxa"/>
            <w:vAlign w:val="center"/>
          </w:tcPr>
          <w:p w14:paraId="745CD121">
            <w:pPr>
              <w:widowControl w:val="0"/>
              <w:spacing w:line="276" w:lineRule="auto"/>
              <w:ind w:firstLine="422" w:firstLineChars="200"/>
              <w:jc w:val="center"/>
              <w:rPr>
                <w:rFonts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毕业要求指标点</w:t>
            </w:r>
          </w:p>
        </w:tc>
        <w:tc>
          <w:tcPr>
            <w:tcW w:w="1593" w:type="dxa"/>
            <w:vAlign w:val="center"/>
          </w:tcPr>
          <w:p w14:paraId="2C287915">
            <w:pPr>
              <w:widowControl w:val="0"/>
              <w:spacing w:line="276" w:lineRule="auto"/>
              <w:ind w:firstLine="0" w:firstLineChars="0"/>
              <w:jc w:val="center"/>
              <w:rPr>
                <w:rFonts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课程目标</w:t>
            </w:r>
          </w:p>
        </w:tc>
      </w:tr>
      <w:tr w14:paraId="15E6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268" w:type="dxa"/>
            <w:vAlign w:val="center"/>
          </w:tcPr>
          <w:p w14:paraId="6EA1539B">
            <w:pPr>
              <w:widowControl w:val="0"/>
              <w:spacing w:line="276" w:lineRule="auto"/>
              <w:ind w:firstLine="0" w:firstLineChars="0"/>
              <w:jc w:val="both"/>
              <w:rPr>
                <w:rFonts w:ascii="Calibri" w:hAnsi="宋体" w:eastAsia="宋体" w:cs="Times New Roman"/>
                <w:kern w:val="0"/>
                <w:sz w:val="21"/>
                <w:szCs w:val="21"/>
                <w:lang w:val="en-US" w:eastAsia="zh-CN" w:bidi="ar-SA"/>
              </w:rPr>
            </w:pPr>
            <w:r>
              <w:rPr>
                <w:rFonts w:ascii="Calibri" w:hAnsi="宋体" w:eastAsia="宋体" w:cs="Times New Roman"/>
                <w:kern w:val="0"/>
                <w:sz w:val="21"/>
                <w:szCs w:val="21"/>
                <w:lang w:val="en-US" w:eastAsia="zh-CN" w:bidi="ar-SA"/>
              </w:rPr>
              <w:t>毕业要求</w:t>
            </w:r>
            <w:r>
              <w:rPr>
                <w:rFonts w:hint="eastAsia" w:ascii="Calibri" w:hAnsi="Calibri" w:eastAsia="宋体" w:cs="Times New Roman"/>
                <w:kern w:val="0"/>
                <w:sz w:val="21"/>
                <w:szCs w:val="21"/>
                <w:lang w:val="en-US" w:eastAsia="zh-CN" w:bidi="ar-SA"/>
              </w:rPr>
              <w:t>1师德规范</w:t>
            </w:r>
          </w:p>
        </w:tc>
        <w:tc>
          <w:tcPr>
            <w:tcW w:w="4928" w:type="dxa"/>
            <w:vAlign w:val="center"/>
          </w:tcPr>
          <w:p w14:paraId="41F188DA">
            <w:pPr>
              <w:adjustRightInd w:val="0"/>
              <w:snapToGrid w:val="0"/>
              <w:spacing w:line="360" w:lineRule="auto"/>
              <w:rPr>
                <w:rFonts w:ascii="宋体" w:hAnsi="宋体" w:eastAsia="等线" w:cs="Times New Roman"/>
                <w:kern w:val="0"/>
                <w:sz w:val="18"/>
                <w:szCs w:val="18"/>
              </w:rPr>
            </w:pPr>
            <w:r>
              <w:rPr>
                <w:rFonts w:hint="eastAsia" w:ascii="宋体" w:hAnsi="宋体" w:eastAsia="等线" w:cs="Times New Roman"/>
                <w:kern w:val="0"/>
                <w:szCs w:val="21"/>
              </w:rPr>
              <w:t>指标点1-1: 【理想信念坚定】具有投身小学教育事业的责任感、使命感；师德高尚、理想信念坚定；热爱儿童，践行科学正确的儿童观。</w:t>
            </w:r>
            <w:r>
              <w:rPr>
                <w:rFonts w:ascii="宋体" w:hAnsi="宋体" w:eastAsia="等线" w:cs="Times New Roman"/>
                <w:kern w:val="0"/>
                <w:sz w:val="18"/>
                <w:szCs w:val="18"/>
              </w:rPr>
              <w:t xml:space="preserve"> </w:t>
            </w:r>
          </w:p>
        </w:tc>
        <w:tc>
          <w:tcPr>
            <w:tcW w:w="1593" w:type="dxa"/>
            <w:vAlign w:val="center"/>
          </w:tcPr>
          <w:p w14:paraId="0D1EE8DC">
            <w:pPr>
              <w:widowControl w:val="0"/>
              <w:spacing w:line="276" w:lineRule="auto"/>
              <w:ind w:firstLine="0" w:firstLineChars="0"/>
              <w:jc w:val="center"/>
              <w:rPr>
                <w:rFonts w:ascii="宋体" w:hAnsi="宋体" w:eastAsia="宋体" w:cs="宋体"/>
                <w:bCs/>
                <w:kern w:val="2"/>
                <w:sz w:val="21"/>
                <w:szCs w:val="21"/>
                <w:lang w:val="en-US" w:eastAsia="zh-CN" w:bidi="ar-SA"/>
              </w:rPr>
            </w:pPr>
            <w:r>
              <w:rPr>
                <w:rFonts w:hint="eastAsia" w:ascii="宋体" w:hAnsi="宋体" w:eastAsia="宋体" w:cs="宋体"/>
                <w:bCs/>
                <w:kern w:val="2"/>
                <w:sz w:val="21"/>
                <w:szCs w:val="21"/>
                <w:lang w:val="en-US" w:eastAsia="zh-CN" w:bidi="ar-SA"/>
              </w:rPr>
              <w:t>课程目标3</w:t>
            </w:r>
          </w:p>
        </w:tc>
      </w:tr>
      <w:tr w14:paraId="09DF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268" w:type="dxa"/>
            <w:vAlign w:val="center"/>
          </w:tcPr>
          <w:p w14:paraId="55129C88">
            <w:pPr>
              <w:widowControl w:val="0"/>
              <w:spacing w:line="276" w:lineRule="auto"/>
              <w:ind w:firstLine="0" w:firstLineChars="0"/>
              <w:jc w:val="both"/>
              <w:rPr>
                <w:rFonts w:ascii="宋体" w:hAnsi="宋体" w:eastAsia="宋体" w:cs="Times New Roman"/>
                <w:kern w:val="0"/>
                <w:sz w:val="18"/>
                <w:szCs w:val="18"/>
                <w:lang w:val="en-US" w:eastAsia="zh-CN" w:bidi="ar-SA"/>
              </w:rPr>
            </w:pPr>
            <w:r>
              <w:rPr>
                <w:rFonts w:ascii="Calibri" w:hAnsi="宋体" w:eastAsia="宋体" w:cs="Times New Roman"/>
                <w:kern w:val="0"/>
                <w:sz w:val="21"/>
                <w:szCs w:val="21"/>
                <w:lang w:val="en-US" w:eastAsia="zh-CN" w:bidi="ar-SA"/>
              </w:rPr>
              <w:t>毕业要求</w:t>
            </w:r>
            <w:r>
              <w:rPr>
                <w:rFonts w:hint="eastAsia" w:ascii="Calibri" w:hAnsi="Calibri" w:eastAsia="宋体" w:cs="Times New Roman"/>
                <w:kern w:val="0"/>
                <w:sz w:val="21"/>
                <w:szCs w:val="21"/>
                <w:lang w:val="en-US" w:eastAsia="zh-CN" w:bidi="ar-SA"/>
              </w:rPr>
              <w:t>2</w:t>
            </w:r>
            <w:r>
              <w:rPr>
                <w:rFonts w:hint="eastAsia" w:ascii="Calibri" w:hAnsi="宋体" w:eastAsia="宋体" w:cs="Times New Roman"/>
                <w:kern w:val="0"/>
                <w:sz w:val="21"/>
                <w:szCs w:val="21"/>
                <w:lang w:val="en-US" w:eastAsia="zh-CN" w:bidi="ar-SA"/>
              </w:rPr>
              <w:t>教育情怀</w:t>
            </w:r>
          </w:p>
        </w:tc>
        <w:tc>
          <w:tcPr>
            <w:tcW w:w="4928" w:type="dxa"/>
            <w:vAlign w:val="center"/>
          </w:tcPr>
          <w:p w14:paraId="74E5731D">
            <w:pPr>
              <w:widowControl w:val="0"/>
              <w:spacing w:line="276" w:lineRule="auto"/>
              <w:ind w:firstLine="0" w:firstLineChars="0"/>
              <w:jc w:val="left"/>
              <w:rPr>
                <w:rFonts w:ascii="宋体" w:hAnsi="宋体" w:eastAsia="宋体" w:cs="Times New Roman"/>
                <w:kern w:val="0"/>
                <w:sz w:val="18"/>
                <w:szCs w:val="18"/>
                <w:lang w:val="en-US" w:eastAsia="zh-CN" w:bidi="ar-SA"/>
              </w:rPr>
            </w:pPr>
            <w:r>
              <w:rPr>
                <w:rFonts w:hint="eastAsia" w:ascii="宋体" w:hAnsi="宋体" w:eastAsia="宋体" w:cs="Times New Roman"/>
                <w:kern w:val="0"/>
                <w:sz w:val="21"/>
                <w:szCs w:val="21"/>
                <w:lang w:val="en-US" w:eastAsia="zh-CN" w:bidi="ar-SA"/>
              </w:rPr>
              <w:t>指标点2-2：【仁爱之心深厚】关心爱护学生、理解尊重学生，富有爱心、责任心、事业心，工作细心、耐心，做学生锤炼品格、学习知识、创新思维、奉献祖国的引路人。</w:t>
            </w:r>
          </w:p>
        </w:tc>
        <w:tc>
          <w:tcPr>
            <w:tcW w:w="1593" w:type="dxa"/>
            <w:vAlign w:val="center"/>
          </w:tcPr>
          <w:p w14:paraId="1D0AD163">
            <w:pPr>
              <w:widowControl w:val="0"/>
              <w:spacing w:line="276" w:lineRule="auto"/>
              <w:ind w:firstLine="0" w:firstLineChars="0"/>
              <w:jc w:val="center"/>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课程目标</w:t>
            </w:r>
            <w:r>
              <w:rPr>
                <w:rFonts w:hint="eastAsia" w:ascii="宋体" w:hAnsi="宋体" w:eastAsia="宋体" w:cs="宋体"/>
                <w:kern w:val="2"/>
                <w:sz w:val="21"/>
                <w:szCs w:val="21"/>
                <w:lang w:val="en-US" w:eastAsia="zh-CN" w:bidi="ar-SA"/>
              </w:rPr>
              <w:t>3</w:t>
            </w:r>
          </w:p>
        </w:tc>
      </w:tr>
      <w:tr w14:paraId="303A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2268" w:type="dxa"/>
            <w:vAlign w:val="center"/>
          </w:tcPr>
          <w:p w14:paraId="4B0C9842">
            <w:pPr>
              <w:widowControl w:val="0"/>
              <w:spacing w:line="276" w:lineRule="auto"/>
              <w:ind w:firstLine="0" w:firstLineChars="0"/>
              <w:jc w:val="both"/>
              <w:rPr>
                <w:rFonts w:ascii="宋体" w:hAnsi="宋体" w:eastAsia="宋体" w:cs="Times New Roman"/>
                <w:spacing w:val="2"/>
                <w:kern w:val="0"/>
                <w:sz w:val="21"/>
                <w:szCs w:val="21"/>
                <w:lang w:val="en-US" w:eastAsia="zh-CN" w:bidi="ar-SA"/>
              </w:rPr>
            </w:pPr>
            <w:r>
              <w:rPr>
                <w:rFonts w:ascii="宋体" w:hAnsi="宋体" w:eastAsia="宋体" w:cs="Times New Roman"/>
                <w:kern w:val="0"/>
                <w:sz w:val="21"/>
                <w:szCs w:val="21"/>
                <w:lang w:val="en-US" w:eastAsia="zh-CN" w:bidi="ar-SA"/>
              </w:rPr>
              <w:t>毕业要求</w:t>
            </w:r>
            <w:r>
              <w:rPr>
                <w:rFonts w:hint="eastAsia" w:ascii="宋体" w:hAnsi="宋体" w:eastAsia="宋体" w:cs="Times New Roman"/>
                <w:spacing w:val="2"/>
                <w:kern w:val="0"/>
                <w:sz w:val="21"/>
                <w:szCs w:val="21"/>
                <w:lang w:val="en-US" w:eastAsia="zh-CN" w:bidi="ar-SA"/>
              </w:rPr>
              <w:t>3学科素养</w:t>
            </w:r>
          </w:p>
        </w:tc>
        <w:tc>
          <w:tcPr>
            <w:tcW w:w="4928" w:type="dxa"/>
            <w:vAlign w:val="center"/>
          </w:tcPr>
          <w:p w14:paraId="2FFF17BB">
            <w:pPr>
              <w:widowControl w:val="0"/>
              <w:shd w:val="clear" w:color="auto" w:fill="FFFFFF"/>
              <w:spacing w:line="276" w:lineRule="auto"/>
              <w:ind w:firstLine="0" w:firstLineChars="0"/>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指标点3-3:</w:t>
            </w:r>
            <w:r>
              <w:rPr>
                <w:rFonts w:ascii="宋体" w:hAnsi="宋体" w:eastAsia="宋体" w:cs="Times New Roman"/>
                <w:kern w:val="0"/>
                <w:sz w:val="21"/>
                <w:szCs w:val="21"/>
                <w:lang w:val="en-US" w:eastAsia="zh-CN" w:bidi="ar-SA"/>
              </w:rPr>
              <w:t xml:space="preserve"> </w:t>
            </w:r>
            <w:r>
              <w:rPr>
                <w:rFonts w:hint="eastAsia" w:ascii="宋体" w:hAnsi="宋体" w:eastAsia="宋体" w:cs="Times New Roman"/>
                <w:kern w:val="0"/>
                <w:sz w:val="21"/>
                <w:szCs w:val="21"/>
                <w:lang w:val="en-US" w:eastAsia="zh-CN" w:bidi="ar-SA"/>
              </w:rPr>
              <w:t>【人文、社会和科学素养】具备知识整合的意识和能力，养成跨学科的思维方式，了解学科整合在小学教育中的价值，了解所教学科与其他学科、社会实践和小学生活实践的联系。</w:t>
            </w:r>
          </w:p>
        </w:tc>
        <w:tc>
          <w:tcPr>
            <w:tcW w:w="1593" w:type="dxa"/>
            <w:vAlign w:val="center"/>
          </w:tcPr>
          <w:p w14:paraId="4FDEDB92">
            <w:pPr>
              <w:widowControl w:val="0"/>
              <w:spacing w:line="276" w:lineRule="auto"/>
              <w:ind w:firstLine="0" w:firstLineChars="0"/>
              <w:jc w:val="center"/>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课程目标1、2</w:t>
            </w:r>
          </w:p>
        </w:tc>
      </w:tr>
      <w:tr w14:paraId="4061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2268" w:type="dxa"/>
            <w:vAlign w:val="center"/>
          </w:tcPr>
          <w:p w14:paraId="103181EB">
            <w:pPr>
              <w:widowControl w:val="0"/>
              <w:spacing w:line="276" w:lineRule="auto"/>
              <w:ind w:firstLine="0" w:firstLineChars="0"/>
              <w:jc w:val="both"/>
              <w:rPr>
                <w:rFonts w:ascii="宋体" w:hAnsi="宋体" w:eastAsia="宋体" w:cs="Times New Roman"/>
                <w:spacing w:val="2"/>
                <w:kern w:val="0"/>
                <w:sz w:val="21"/>
                <w:szCs w:val="21"/>
                <w:lang w:val="en-US" w:eastAsia="zh-CN" w:bidi="ar-SA"/>
              </w:rPr>
            </w:pPr>
            <w:r>
              <w:rPr>
                <w:rFonts w:hint="eastAsia" w:ascii="宋体" w:hAnsi="宋体" w:eastAsia="宋体" w:cs="Times New Roman"/>
                <w:kern w:val="0"/>
                <w:sz w:val="21"/>
                <w:szCs w:val="21"/>
                <w:lang w:val="en-US" w:eastAsia="zh-CN" w:bidi="ar-SA"/>
              </w:rPr>
              <w:t>毕业要求6. 综合育人</w:t>
            </w:r>
          </w:p>
        </w:tc>
        <w:tc>
          <w:tcPr>
            <w:tcW w:w="4928" w:type="dxa"/>
            <w:vAlign w:val="center"/>
          </w:tcPr>
          <w:p w14:paraId="5F6FE664">
            <w:pPr>
              <w:widowControl w:val="0"/>
              <w:shd w:val="clear" w:color="auto" w:fill="FFFFFF"/>
              <w:spacing w:line="276" w:lineRule="auto"/>
              <w:ind w:firstLine="0" w:firstLineChars="0"/>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593" w:type="dxa"/>
          </w:tcPr>
          <w:p w14:paraId="3FF06A84">
            <w:pPr>
              <w:widowControl w:val="0"/>
              <w:spacing w:line="276" w:lineRule="auto"/>
              <w:ind w:firstLine="0" w:firstLineChars="0"/>
              <w:jc w:val="center"/>
              <w:rPr>
                <w:rFonts w:hint="eastAsia" w:ascii="宋体" w:hAnsi="宋体" w:eastAsia="宋体" w:cs="宋体"/>
                <w:kern w:val="2"/>
                <w:sz w:val="21"/>
                <w:szCs w:val="21"/>
                <w:lang w:val="en-US" w:eastAsia="zh-CN" w:bidi="ar-SA"/>
              </w:rPr>
            </w:pPr>
          </w:p>
          <w:p w14:paraId="7B101E12">
            <w:pPr>
              <w:widowControl w:val="0"/>
              <w:spacing w:line="276" w:lineRule="auto"/>
              <w:ind w:firstLine="0" w:firstLineChars="0"/>
              <w:jc w:val="center"/>
              <w:rPr>
                <w:rFonts w:hint="eastAsia" w:ascii="宋体" w:hAnsi="宋体" w:eastAsia="宋体" w:cs="宋体"/>
                <w:kern w:val="2"/>
                <w:sz w:val="21"/>
                <w:szCs w:val="21"/>
                <w:lang w:val="en-US" w:eastAsia="zh-CN" w:bidi="ar-SA"/>
              </w:rPr>
            </w:pPr>
          </w:p>
          <w:p w14:paraId="0136F34E">
            <w:pPr>
              <w:widowControl w:val="0"/>
              <w:spacing w:line="276"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课程目标 2、3</w:t>
            </w:r>
          </w:p>
        </w:tc>
      </w:tr>
    </w:tbl>
    <w:p w14:paraId="2C0231BE">
      <w:pPr>
        <w:adjustRightInd w:val="0"/>
        <w:snapToGrid w:val="0"/>
        <w:spacing w:line="360" w:lineRule="auto"/>
        <w:ind w:firstLine="281" w:firstLineChars="100"/>
        <w:outlineLvl w:val="1"/>
        <w:rPr>
          <w:rFonts w:hint="eastAsia" w:ascii="Times New Roman" w:hAnsi="Times New Roman" w:eastAsia="宋体" w:cs="Times New Roman"/>
          <w:b/>
          <w:bCs/>
          <w:sz w:val="28"/>
          <w:szCs w:val="28"/>
        </w:rPr>
      </w:pPr>
      <w:bookmarkStart w:id="1950" w:name="_Toc8393"/>
      <w:r>
        <w:rPr>
          <w:rFonts w:hint="eastAsia" w:ascii="Times New Roman" w:hAnsi="Times New Roman" w:eastAsia="宋体" w:cs="Times New Roman"/>
          <w:b/>
          <w:bCs/>
          <w:sz w:val="28"/>
          <w:szCs w:val="28"/>
        </w:rPr>
        <w:t>（三）课程思政目标</w:t>
      </w:r>
      <w:bookmarkEnd w:id="1950"/>
    </w:p>
    <w:p w14:paraId="41D01130">
      <w:pPr>
        <w:widowControl w:val="0"/>
        <w:shd w:val="clear" w:color="auto" w:fill="FFFFFF"/>
        <w:spacing w:line="276" w:lineRule="auto"/>
        <w:ind w:firstLine="420" w:firstLineChars="200"/>
        <w:jc w:val="left"/>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引导学生关注社会主义文艺中以人民为中心的优秀儿童文艺，积极传播、导读那些思想精深、艺术精湛、制作精良的讴歌党、讴歌祖国、讴歌人民、讴歌英雄的儿童文学精品力作。做先进儿童文化的引领者，自觉倡导讲品味、讲格调、讲责任，自觉抵制低俗、庸俗、媚俗的儿童文艺，培养学生高雅的文学趣味和高尚的文学品味。引导学生准确把握儿童文学鉴赏和批评的价值标准，着力关注作品是否反映了儿童真实的社会生活，是否有利于少儿知识面的拓宽和求知欲的激发，是否有利于少儿美好道德情操的养成，是否有利于把儿童培养成为德智体美劳全面发展的社会主义建设者和接班人。</w:t>
      </w:r>
    </w:p>
    <w:p w14:paraId="01582B9D">
      <w:pPr>
        <w:widowControl w:val="0"/>
        <w:shd w:val="clear" w:color="auto" w:fill="FFFFFF"/>
        <w:spacing w:line="276" w:lineRule="auto"/>
        <w:ind w:firstLine="420" w:firstLineChars="200"/>
        <w:jc w:val="left"/>
        <w:rPr>
          <w:rFonts w:hint="eastAsia" w:ascii="宋体" w:hAnsi="宋体" w:eastAsia="宋体" w:cs="Times New Roman"/>
          <w:kern w:val="0"/>
          <w:sz w:val="21"/>
          <w:szCs w:val="21"/>
          <w:lang w:val="en-US" w:eastAsia="zh-CN" w:bidi="ar-SA"/>
        </w:rPr>
      </w:pPr>
    </w:p>
    <w:p w14:paraId="37C91BF7">
      <w:pPr>
        <w:adjustRightInd w:val="0"/>
        <w:snapToGrid w:val="0"/>
        <w:spacing w:line="360" w:lineRule="auto"/>
        <w:ind w:firstLine="281" w:firstLineChars="100"/>
        <w:outlineLvl w:val="0"/>
        <w:rPr>
          <w:rFonts w:ascii="Times New Roman" w:hAnsi="Times New Roman" w:eastAsia="宋体" w:cs="Times New Roman"/>
          <w:b/>
          <w:bCs/>
          <w:sz w:val="28"/>
          <w:szCs w:val="28"/>
        </w:rPr>
      </w:pPr>
      <w:bookmarkStart w:id="1951" w:name="_Toc6950"/>
      <w:bookmarkStart w:id="1952" w:name="_Toc25241"/>
      <w:bookmarkStart w:id="1953" w:name="_Toc30989"/>
      <w:bookmarkStart w:id="1954" w:name="_Toc12845"/>
      <w:bookmarkStart w:id="1955" w:name="_Toc2539"/>
      <w:bookmarkStart w:id="1956" w:name="_Toc22066"/>
      <w:bookmarkStart w:id="1957" w:name="_Toc1199"/>
      <w:r>
        <w:rPr>
          <w:rFonts w:ascii="Times New Roman" w:hAnsi="Times New Roman" w:eastAsia="宋体" w:cs="Times New Roman"/>
          <w:b/>
          <w:bCs/>
          <w:sz w:val="28"/>
          <w:szCs w:val="28"/>
        </w:rPr>
        <w:t>三、教学内容</w:t>
      </w:r>
      <w:r>
        <w:rPr>
          <w:rFonts w:hint="eastAsia" w:ascii="Times New Roman" w:hAnsi="Times New Roman" w:eastAsia="宋体" w:cs="Times New Roman"/>
          <w:b/>
          <w:bCs/>
          <w:sz w:val="28"/>
          <w:szCs w:val="28"/>
        </w:rPr>
        <w:t>与</w:t>
      </w:r>
      <w:r>
        <w:rPr>
          <w:rFonts w:ascii="Times New Roman" w:hAnsi="Times New Roman" w:eastAsia="宋体" w:cs="Times New Roman"/>
          <w:b/>
          <w:bCs/>
          <w:sz w:val="28"/>
          <w:szCs w:val="28"/>
        </w:rPr>
        <w:t>预期学习成效</w:t>
      </w:r>
      <w:bookmarkEnd w:id="1951"/>
      <w:bookmarkEnd w:id="1952"/>
      <w:bookmarkEnd w:id="1953"/>
      <w:bookmarkEnd w:id="1954"/>
      <w:bookmarkEnd w:id="1955"/>
      <w:bookmarkEnd w:id="1956"/>
      <w:bookmarkEnd w:id="1957"/>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1E3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873BC35">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8ACC9D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04749611">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3C0CE8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50BED3B">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10924A4">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F5958AD">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6D18B22">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3E60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2CD10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1.儿童文学的概念与特征</w:t>
            </w:r>
          </w:p>
        </w:tc>
        <w:tc>
          <w:tcPr>
            <w:tcW w:w="1701" w:type="dxa"/>
            <w:vAlign w:val="center"/>
          </w:tcPr>
          <w:p w14:paraId="755ACEA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（1）儿童文学的概念与内容构成</w:t>
            </w:r>
          </w:p>
          <w:p w14:paraId="2D06491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（2）儿童文学的最大特征在于富有儿童情趣</w:t>
            </w:r>
          </w:p>
          <w:p w14:paraId="028D4DB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（3）儿童文学区别于成人文学的文体特征和美学特质</w:t>
            </w:r>
          </w:p>
          <w:p w14:paraId="426DE5A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（4）儿童文学与小学教育</w:t>
            </w:r>
          </w:p>
        </w:tc>
        <w:tc>
          <w:tcPr>
            <w:tcW w:w="1134" w:type="dxa"/>
            <w:vAlign w:val="center"/>
          </w:tcPr>
          <w:p w14:paraId="371F600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55599A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1.理解</w:t>
            </w:r>
            <w:r>
              <w:rPr>
                <w:rFonts w:hint="eastAsia" w:ascii="宋体" w:hAnsi="宋体" w:eastAsia="宋体" w:cs="Times New Roman"/>
                <w:color w:val="000000"/>
                <w:szCs w:val="21"/>
              </w:rPr>
              <w:t>儿童文学</w:t>
            </w:r>
            <w:r>
              <w:rPr>
                <w:rFonts w:ascii="宋体" w:hAnsi="宋体" w:eastAsia="宋体" w:cs="Times New Roman"/>
                <w:color w:val="000000"/>
                <w:szCs w:val="21"/>
              </w:rPr>
              <w:t>的概念</w:t>
            </w:r>
            <w:r>
              <w:rPr>
                <w:rFonts w:hint="eastAsia" w:ascii="宋体" w:hAnsi="宋体" w:eastAsia="宋体" w:cs="Times New Roman"/>
                <w:color w:val="000000"/>
                <w:szCs w:val="21"/>
              </w:rPr>
              <w:t>、</w:t>
            </w:r>
            <w:r>
              <w:rPr>
                <w:rFonts w:ascii="宋体" w:hAnsi="宋体" w:eastAsia="宋体" w:cs="Times New Roman"/>
                <w:color w:val="000000"/>
                <w:szCs w:val="21"/>
              </w:rPr>
              <w:t>儿童文学的主要内容构成</w:t>
            </w:r>
            <w:r>
              <w:rPr>
                <w:rFonts w:hint="eastAsia" w:ascii="宋体" w:hAnsi="宋体" w:eastAsia="宋体" w:cs="Times New Roman"/>
                <w:color w:val="000000"/>
                <w:szCs w:val="21"/>
              </w:rPr>
              <w:t>；</w:t>
            </w:r>
          </w:p>
          <w:p w14:paraId="23A98A4B">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2.了解</w:t>
            </w:r>
            <w:r>
              <w:rPr>
                <w:rFonts w:hint="eastAsia" w:ascii="宋体" w:hAnsi="宋体" w:eastAsia="宋体" w:cs="Times New Roman"/>
                <w:color w:val="000000"/>
                <w:szCs w:val="21"/>
              </w:rPr>
              <w:t>儿童文学</w:t>
            </w:r>
            <w:r>
              <w:rPr>
                <w:rFonts w:ascii="宋体" w:hAnsi="宋体" w:eastAsia="宋体" w:cs="Times New Roman"/>
                <w:color w:val="000000"/>
                <w:szCs w:val="21"/>
              </w:rPr>
              <w:t>的学科</w:t>
            </w:r>
            <w:r>
              <w:rPr>
                <w:rFonts w:hint="eastAsia" w:ascii="宋体" w:hAnsi="宋体" w:eastAsia="宋体" w:cs="Times New Roman"/>
                <w:color w:val="000000"/>
                <w:szCs w:val="21"/>
              </w:rPr>
              <w:t>特点和最大的特征；</w:t>
            </w:r>
          </w:p>
          <w:p w14:paraId="5B013B0A">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理解</w:t>
            </w:r>
            <w:r>
              <w:rPr>
                <w:rFonts w:ascii="宋体" w:hAnsi="宋体" w:eastAsia="宋体" w:cs="Times New Roman"/>
                <w:color w:val="000000"/>
                <w:szCs w:val="21"/>
              </w:rPr>
              <w:t>儿童文学区别于成人文学的</w:t>
            </w:r>
            <w:r>
              <w:rPr>
                <w:rFonts w:hint="eastAsia" w:ascii="宋体" w:hAnsi="宋体" w:eastAsia="宋体" w:cs="Times New Roman"/>
                <w:color w:val="000000"/>
                <w:szCs w:val="21"/>
              </w:rPr>
              <w:t>文体</w:t>
            </w:r>
            <w:r>
              <w:rPr>
                <w:rFonts w:ascii="宋体" w:hAnsi="宋体" w:eastAsia="宋体" w:cs="Times New Roman"/>
                <w:color w:val="000000"/>
                <w:szCs w:val="21"/>
              </w:rPr>
              <w:t>特征</w:t>
            </w:r>
            <w:r>
              <w:rPr>
                <w:rFonts w:hint="eastAsia" w:ascii="宋体" w:hAnsi="宋体" w:eastAsia="宋体" w:cs="Times New Roman"/>
                <w:color w:val="000000"/>
                <w:szCs w:val="21"/>
              </w:rPr>
              <w:t>（韵文性、直观性、幻想性、叙事性）</w:t>
            </w:r>
            <w:r>
              <w:rPr>
                <w:rFonts w:ascii="宋体" w:hAnsi="宋体" w:eastAsia="宋体" w:cs="Times New Roman"/>
                <w:color w:val="000000"/>
                <w:szCs w:val="21"/>
              </w:rPr>
              <w:t>和美学特质</w:t>
            </w:r>
            <w:r>
              <w:rPr>
                <w:rFonts w:hint="eastAsia" w:ascii="宋体" w:hAnsi="宋体" w:eastAsia="宋体" w:cs="Times New Roman"/>
                <w:color w:val="000000"/>
                <w:szCs w:val="21"/>
              </w:rPr>
              <w:t>（纯真、稚拙、欢愉、变幻、质朴）；</w:t>
            </w:r>
          </w:p>
          <w:p w14:paraId="3D6A5D6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4.认识儿童文学对提高小学生素养，促进其审美心理结构不断完善和心理素质全面优化的重要作用。</w:t>
            </w:r>
          </w:p>
        </w:tc>
        <w:tc>
          <w:tcPr>
            <w:tcW w:w="1560" w:type="dxa"/>
            <w:vAlign w:val="center"/>
          </w:tcPr>
          <w:p w14:paraId="75B566B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D8EADC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FDF3EA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7C3DF5F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663D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FEC051D">
            <w:pPr>
              <w:spacing w:line="264" w:lineRule="auto"/>
              <w:jc w:val="center"/>
              <w:rPr>
                <w:rFonts w:ascii="宋体" w:hAnsi="宋体" w:eastAsia="宋体" w:cs="Times New Roman"/>
                <w:color w:val="000000"/>
                <w:szCs w:val="21"/>
              </w:rPr>
            </w:pPr>
          </w:p>
        </w:tc>
        <w:tc>
          <w:tcPr>
            <w:tcW w:w="8093" w:type="dxa"/>
            <w:gridSpan w:val="5"/>
            <w:vAlign w:val="center"/>
          </w:tcPr>
          <w:p w14:paraId="53AB8B1A">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引导学生热爱儿童文学，培育童心，关注社会主义文艺中以人民为中心的优秀儿童文艺，积极传播、导读那些思想精深、艺术精湛、制作精良的讴歌党、讴歌祖国、讴歌人民、讴歌英雄的儿童文学精品力作。</w:t>
            </w:r>
          </w:p>
        </w:tc>
      </w:tr>
      <w:tr w14:paraId="509B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4A6C6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2.儿童文学的发生与发展</w:t>
            </w:r>
          </w:p>
        </w:tc>
        <w:tc>
          <w:tcPr>
            <w:tcW w:w="1701" w:type="dxa"/>
            <w:vAlign w:val="center"/>
          </w:tcPr>
          <w:p w14:paraId="18EDBC9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（1）儿童文学的发生及其历史流变</w:t>
            </w:r>
          </w:p>
          <w:p w14:paraId="1E4A2C7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（2）中外儿童文学发展简史</w:t>
            </w:r>
          </w:p>
          <w:p w14:paraId="6418354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（3）儿童文学发展的当代形态及语境</w:t>
            </w:r>
          </w:p>
        </w:tc>
        <w:tc>
          <w:tcPr>
            <w:tcW w:w="1134" w:type="dxa"/>
            <w:vAlign w:val="center"/>
          </w:tcPr>
          <w:p w14:paraId="34FD02D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28990F4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1.了解</w:t>
            </w:r>
            <w:r>
              <w:rPr>
                <w:rFonts w:ascii="宋体" w:hAnsi="宋体" w:eastAsia="宋体" w:cs="Times New Roman"/>
                <w:color w:val="000000"/>
                <w:szCs w:val="21"/>
              </w:rPr>
              <w:t>儿童文学</w:t>
            </w:r>
            <w:r>
              <w:rPr>
                <w:rFonts w:hint="eastAsia" w:ascii="宋体" w:hAnsi="宋体" w:eastAsia="宋体" w:cs="Times New Roman"/>
                <w:color w:val="000000"/>
                <w:szCs w:val="21"/>
              </w:rPr>
              <w:t>孕育于</w:t>
            </w:r>
            <w:r>
              <w:rPr>
                <w:rFonts w:ascii="宋体" w:hAnsi="宋体" w:eastAsia="宋体" w:cs="Times New Roman"/>
                <w:color w:val="000000"/>
                <w:szCs w:val="21"/>
              </w:rPr>
              <w:t>早期民间文学</w:t>
            </w:r>
            <w:r>
              <w:rPr>
                <w:rFonts w:hint="eastAsia" w:ascii="宋体" w:hAnsi="宋体" w:eastAsia="宋体" w:cs="Times New Roman"/>
                <w:color w:val="000000"/>
                <w:szCs w:val="21"/>
              </w:rPr>
              <w:t>，后经历了对民间文学的记录与改编，再发展到文人的独立创作</w:t>
            </w:r>
          </w:p>
          <w:p w14:paraId="4763DB6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2.了解中外</w:t>
            </w:r>
            <w:r>
              <w:rPr>
                <w:rFonts w:ascii="宋体" w:hAnsi="宋体" w:eastAsia="宋体" w:cs="Times New Roman"/>
                <w:color w:val="000000"/>
                <w:szCs w:val="21"/>
              </w:rPr>
              <w:t>儿童文学发展概况及重要作家作品</w:t>
            </w:r>
          </w:p>
          <w:p w14:paraId="5AF5845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3.理解当代商业文化、消费文化和新媒介文化语境下儿童文学发展所面临的挑战与机遇</w:t>
            </w:r>
          </w:p>
        </w:tc>
        <w:tc>
          <w:tcPr>
            <w:tcW w:w="1560" w:type="dxa"/>
            <w:vAlign w:val="center"/>
          </w:tcPr>
          <w:p w14:paraId="5EF76C2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59E0591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6A52F1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3BCDF7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24F6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AF7A13D">
            <w:pPr>
              <w:spacing w:line="264" w:lineRule="auto"/>
              <w:jc w:val="center"/>
              <w:rPr>
                <w:rFonts w:ascii="宋体" w:hAnsi="宋体" w:eastAsia="宋体" w:cs="Times New Roman"/>
                <w:color w:val="000000"/>
                <w:szCs w:val="21"/>
              </w:rPr>
            </w:pPr>
          </w:p>
        </w:tc>
        <w:tc>
          <w:tcPr>
            <w:tcW w:w="8093" w:type="dxa"/>
            <w:gridSpan w:val="5"/>
            <w:vAlign w:val="center"/>
          </w:tcPr>
          <w:p w14:paraId="0D95DBD2">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心儿童文学的年龄特点，做先进儿童文化的引领者，自觉倡导讲品味、讲格调、讲责任，自觉抵制低俗、庸俗、媚俗的儿童文艺。引导学生用更宽阔的艺术视野来评估古今中外的优秀儿童文化产品，准确把握其艺术精髓。</w:t>
            </w:r>
          </w:p>
        </w:tc>
      </w:tr>
      <w:tr w14:paraId="154D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D2859C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3.儿童文学作家论、读者论</w:t>
            </w:r>
          </w:p>
          <w:p w14:paraId="4316F81A">
            <w:pPr>
              <w:spacing w:line="264" w:lineRule="auto"/>
              <w:jc w:val="center"/>
              <w:rPr>
                <w:rFonts w:ascii="宋体" w:hAnsi="宋体" w:eastAsia="宋体" w:cs="Times New Roman"/>
                <w:color w:val="000000"/>
                <w:szCs w:val="21"/>
              </w:rPr>
            </w:pPr>
          </w:p>
        </w:tc>
        <w:tc>
          <w:tcPr>
            <w:tcW w:w="1701" w:type="dxa"/>
            <w:vAlign w:val="center"/>
          </w:tcPr>
          <w:p w14:paraId="0E5780A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（1）儿童文学创作的特殊性</w:t>
            </w:r>
          </w:p>
          <w:p w14:paraId="6431C70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（2）儿童文学的双重读者</w:t>
            </w:r>
          </w:p>
          <w:p w14:paraId="3683310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（3）儿童的审美能力及与成人审美的区别</w:t>
            </w:r>
          </w:p>
        </w:tc>
        <w:tc>
          <w:tcPr>
            <w:tcW w:w="1134" w:type="dxa"/>
            <w:vAlign w:val="center"/>
          </w:tcPr>
          <w:p w14:paraId="4CDBE3F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2CD9A6A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全面认识</w:t>
            </w:r>
            <w:r>
              <w:rPr>
                <w:rFonts w:hint="eastAsia" w:ascii="宋体" w:hAnsi="宋体" w:eastAsia="宋体" w:cs="Times New Roman"/>
                <w:color w:val="000000"/>
                <w:szCs w:val="21"/>
              </w:rPr>
              <w:t>儿童文学</w:t>
            </w:r>
            <w:r>
              <w:rPr>
                <w:rFonts w:ascii="宋体" w:hAnsi="宋体" w:eastAsia="宋体" w:cs="Times New Roman"/>
                <w:color w:val="000000"/>
                <w:szCs w:val="21"/>
              </w:rPr>
              <w:t>也是一种特殊的</w:t>
            </w:r>
            <w:r>
              <w:rPr>
                <w:rFonts w:hint="eastAsia" w:ascii="宋体" w:hAnsi="宋体" w:eastAsia="宋体" w:cs="Times New Roman"/>
                <w:color w:val="000000"/>
                <w:szCs w:val="21"/>
              </w:rPr>
              <w:t>“自我表现”；</w:t>
            </w:r>
          </w:p>
          <w:p w14:paraId="0B36899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科学地认识</w:t>
            </w:r>
            <w:r>
              <w:rPr>
                <w:rFonts w:hint="eastAsia" w:ascii="宋体" w:hAnsi="宋体" w:eastAsia="宋体" w:cs="Times New Roman"/>
                <w:color w:val="000000"/>
                <w:szCs w:val="21"/>
              </w:rPr>
              <w:t>儿童文学</w:t>
            </w:r>
            <w:r>
              <w:rPr>
                <w:rFonts w:ascii="宋体" w:hAnsi="宋体" w:eastAsia="宋体" w:cs="Times New Roman"/>
                <w:color w:val="000000"/>
                <w:szCs w:val="21"/>
              </w:rPr>
              <w:t>作家要有儿童的心性</w:t>
            </w:r>
            <w:r>
              <w:rPr>
                <w:rFonts w:hint="eastAsia" w:ascii="宋体" w:hAnsi="宋体" w:eastAsia="宋体" w:cs="Times New Roman"/>
                <w:color w:val="000000"/>
                <w:szCs w:val="21"/>
              </w:rPr>
              <w:t>、</w:t>
            </w:r>
            <w:r>
              <w:rPr>
                <w:rFonts w:ascii="宋体" w:hAnsi="宋体" w:eastAsia="宋体" w:cs="Times New Roman"/>
                <w:color w:val="000000"/>
                <w:szCs w:val="21"/>
              </w:rPr>
              <w:t>对儿童文学有特殊精神需求</w:t>
            </w:r>
            <w:r>
              <w:rPr>
                <w:rFonts w:hint="eastAsia" w:ascii="宋体" w:hAnsi="宋体" w:eastAsia="宋体" w:cs="Times New Roman"/>
                <w:color w:val="000000"/>
                <w:szCs w:val="21"/>
              </w:rPr>
              <w:t>、</w:t>
            </w:r>
            <w:r>
              <w:rPr>
                <w:rFonts w:ascii="宋体" w:hAnsi="宋体" w:eastAsia="宋体" w:cs="Times New Roman"/>
                <w:color w:val="000000"/>
                <w:szCs w:val="21"/>
              </w:rPr>
              <w:t>喜好简化的艺术形式</w:t>
            </w:r>
            <w:r>
              <w:rPr>
                <w:rFonts w:hint="eastAsia" w:ascii="宋体" w:hAnsi="宋体" w:eastAsia="宋体" w:cs="Times New Roman"/>
                <w:color w:val="000000"/>
                <w:szCs w:val="21"/>
              </w:rPr>
              <w:t>，</w:t>
            </w:r>
            <w:r>
              <w:rPr>
                <w:rFonts w:ascii="宋体" w:hAnsi="宋体" w:eastAsia="宋体" w:cs="Times New Roman"/>
                <w:color w:val="000000"/>
                <w:szCs w:val="21"/>
              </w:rPr>
              <w:t>具备面向并贴近儿童生活的感受力</w:t>
            </w:r>
            <w:r>
              <w:rPr>
                <w:rFonts w:hint="eastAsia" w:ascii="宋体" w:hAnsi="宋体" w:eastAsia="宋体" w:cs="Times New Roman"/>
                <w:color w:val="000000"/>
                <w:szCs w:val="21"/>
              </w:rPr>
              <w:t>和</w:t>
            </w:r>
            <w:r>
              <w:rPr>
                <w:rFonts w:ascii="宋体" w:hAnsi="宋体" w:eastAsia="宋体" w:cs="Times New Roman"/>
                <w:color w:val="000000"/>
                <w:szCs w:val="21"/>
              </w:rPr>
              <w:t>表现力</w:t>
            </w:r>
            <w:r>
              <w:rPr>
                <w:rFonts w:hint="eastAsia" w:ascii="宋体" w:hAnsi="宋体" w:eastAsia="宋体" w:cs="Times New Roman"/>
                <w:color w:val="000000"/>
                <w:szCs w:val="21"/>
              </w:rPr>
              <w:t>；</w:t>
            </w:r>
          </w:p>
          <w:p w14:paraId="2918549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3.了解儿童文学读者的双重性特点及其对儿童文学创作的影响；</w:t>
            </w:r>
          </w:p>
          <w:p w14:paraId="2EDC908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4.掌握儿童读者</w:t>
            </w:r>
            <w:r>
              <w:rPr>
                <w:rFonts w:ascii="宋体" w:hAnsi="宋体" w:eastAsia="宋体" w:cs="Times New Roman"/>
                <w:color w:val="000000"/>
                <w:szCs w:val="21"/>
              </w:rPr>
              <w:t>的年龄阶段性特点及</w:t>
            </w:r>
            <w:r>
              <w:rPr>
                <w:rFonts w:hint="eastAsia" w:ascii="宋体" w:hAnsi="宋体" w:eastAsia="宋体" w:cs="Times New Roman"/>
                <w:color w:val="000000"/>
                <w:szCs w:val="21"/>
              </w:rPr>
              <w:t>儿童</w:t>
            </w:r>
            <w:r>
              <w:rPr>
                <w:rFonts w:ascii="宋体" w:hAnsi="宋体" w:eastAsia="宋体" w:cs="Times New Roman"/>
                <w:color w:val="000000"/>
                <w:szCs w:val="21"/>
              </w:rPr>
              <w:t>读者超理念审美</w:t>
            </w:r>
            <w:r>
              <w:rPr>
                <w:rFonts w:hint="eastAsia" w:ascii="宋体" w:hAnsi="宋体" w:eastAsia="宋体" w:cs="Times New Roman"/>
                <w:color w:val="000000"/>
                <w:szCs w:val="21"/>
              </w:rPr>
              <w:t>、</w:t>
            </w:r>
            <w:r>
              <w:rPr>
                <w:rFonts w:ascii="宋体" w:hAnsi="宋体" w:eastAsia="宋体" w:cs="Times New Roman"/>
                <w:color w:val="000000"/>
                <w:szCs w:val="21"/>
              </w:rPr>
              <w:t>远距离审美的特性</w:t>
            </w:r>
            <w:r>
              <w:rPr>
                <w:rFonts w:hint="eastAsia" w:ascii="宋体" w:hAnsi="宋体" w:eastAsia="宋体" w:cs="Times New Roman"/>
                <w:color w:val="000000"/>
                <w:szCs w:val="21"/>
              </w:rPr>
              <w:t>。</w:t>
            </w:r>
          </w:p>
        </w:tc>
        <w:tc>
          <w:tcPr>
            <w:tcW w:w="1560" w:type="dxa"/>
            <w:vAlign w:val="center"/>
          </w:tcPr>
          <w:p w14:paraId="4429D16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D000D2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F3B550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B10C4F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5247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0CA792">
            <w:pPr>
              <w:spacing w:line="264" w:lineRule="auto"/>
              <w:jc w:val="center"/>
              <w:rPr>
                <w:rFonts w:ascii="宋体" w:hAnsi="宋体" w:eastAsia="宋体" w:cs="Times New Roman"/>
                <w:color w:val="000000"/>
                <w:szCs w:val="21"/>
              </w:rPr>
            </w:pPr>
          </w:p>
        </w:tc>
        <w:tc>
          <w:tcPr>
            <w:tcW w:w="8093" w:type="dxa"/>
            <w:gridSpan w:val="5"/>
            <w:vAlign w:val="center"/>
          </w:tcPr>
          <w:p w14:paraId="1C81EA0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引导学生关注儿童文艺创作中德艺双馨的名家大师们的作品，自觉向儿童读者推广那些深入生活、扎根人民而创作出来的无愧于时代的儿童文艺精品力作。</w:t>
            </w:r>
          </w:p>
        </w:tc>
      </w:tr>
      <w:tr w14:paraId="6BD6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78A2F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4.儿童文学与儿童文化、哲学、教育学</w:t>
            </w:r>
          </w:p>
        </w:tc>
        <w:tc>
          <w:tcPr>
            <w:tcW w:w="1701" w:type="dxa"/>
            <w:vAlign w:val="center"/>
          </w:tcPr>
          <w:p w14:paraId="4481044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（1）儿童文学与儿童观、儿童文化</w:t>
            </w:r>
          </w:p>
          <w:p w14:paraId="10A5592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（2）儿童文学与哲学、教育学</w:t>
            </w:r>
          </w:p>
        </w:tc>
        <w:tc>
          <w:tcPr>
            <w:tcW w:w="1134" w:type="dxa"/>
            <w:vAlign w:val="center"/>
          </w:tcPr>
          <w:p w14:paraId="0AF3A97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3BEA4C4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1.理解并掌握儿童观的发展带来的儿童文化变迁及对儿童文学书写的影响</w:t>
            </w:r>
          </w:p>
          <w:p w14:paraId="10AE933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2.了解儿童文学中蕴含的哲学精神、教育性和伦理困境</w:t>
            </w:r>
          </w:p>
        </w:tc>
        <w:tc>
          <w:tcPr>
            <w:tcW w:w="1560" w:type="dxa"/>
            <w:vAlign w:val="center"/>
          </w:tcPr>
          <w:p w14:paraId="31E53D3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1C54BB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A8E4CF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0FE5F2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66B4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79B39C">
            <w:pPr>
              <w:spacing w:line="276" w:lineRule="auto"/>
              <w:jc w:val="center"/>
              <w:rPr>
                <w:rFonts w:ascii="宋体" w:hAnsi="宋体" w:eastAsia="宋体" w:cs="Times New Roman"/>
                <w:color w:val="000000"/>
                <w:szCs w:val="21"/>
              </w:rPr>
            </w:pPr>
          </w:p>
        </w:tc>
        <w:tc>
          <w:tcPr>
            <w:tcW w:w="8093" w:type="dxa"/>
            <w:gridSpan w:val="5"/>
            <w:vAlign w:val="center"/>
          </w:tcPr>
          <w:p w14:paraId="7957CFEC">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引导学生关注并重视儿童文学中的哲学智慧和教育功能，增强运用儿童文学悄无声息地进入孩子的精神世界，撒下智慧的种子，助力孩子身心健康成长的意识和能力。</w:t>
            </w:r>
          </w:p>
        </w:tc>
      </w:tr>
      <w:tr w14:paraId="53D7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8C769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5.儿童文学的艺术：韵律、游戏、幽默、荒诞</w:t>
            </w:r>
          </w:p>
        </w:tc>
        <w:tc>
          <w:tcPr>
            <w:tcW w:w="1701" w:type="dxa"/>
            <w:vAlign w:val="center"/>
          </w:tcPr>
          <w:p w14:paraId="60137D0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（1）儿童文学的韵律艺术</w:t>
            </w:r>
          </w:p>
          <w:p w14:paraId="61AD098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（2）儿童文学的游戏艺术</w:t>
            </w:r>
          </w:p>
          <w:p w14:paraId="3BC656E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（3）儿童文学的幽默艺术</w:t>
            </w:r>
          </w:p>
          <w:p w14:paraId="00657D4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（4）儿童文学的荒诞艺术</w:t>
            </w:r>
          </w:p>
        </w:tc>
        <w:tc>
          <w:tcPr>
            <w:tcW w:w="1134" w:type="dxa"/>
            <w:vAlign w:val="center"/>
          </w:tcPr>
          <w:p w14:paraId="6551C2E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260" w:type="dxa"/>
            <w:vAlign w:val="center"/>
          </w:tcPr>
          <w:p w14:paraId="6607A76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1.熟悉</w:t>
            </w:r>
            <w:r>
              <w:rPr>
                <w:rFonts w:ascii="宋体" w:hAnsi="宋体" w:eastAsia="宋体" w:cs="Times New Roman"/>
                <w:color w:val="000000"/>
                <w:szCs w:val="21"/>
              </w:rPr>
              <w:t>儿童与韵律的关系</w:t>
            </w:r>
            <w:r>
              <w:rPr>
                <w:rFonts w:hint="eastAsia" w:ascii="宋体" w:hAnsi="宋体" w:eastAsia="宋体" w:cs="Times New Roman"/>
                <w:color w:val="000000"/>
                <w:szCs w:val="21"/>
              </w:rPr>
              <w:t>，了解</w:t>
            </w:r>
            <w:r>
              <w:rPr>
                <w:rFonts w:ascii="宋体" w:hAnsi="宋体" w:eastAsia="宋体" w:cs="Times New Roman"/>
                <w:color w:val="000000"/>
                <w:szCs w:val="21"/>
              </w:rPr>
              <w:t>把握儿童文学的语言韵律与故事韵律</w:t>
            </w:r>
            <w:r>
              <w:rPr>
                <w:rFonts w:hint="eastAsia" w:ascii="宋体" w:hAnsi="宋体" w:eastAsia="宋体" w:cs="Times New Roman"/>
                <w:color w:val="000000"/>
                <w:szCs w:val="21"/>
              </w:rPr>
              <w:t>；</w:t>
            </w:r>
          </w:p>
          <w:p w14:paraId="42059A2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2.熟悉儿童与游戏的关系，</w:t>
            </w:r>
            <w:r>
              <w:rPr>
                <w:rFonts w:ascii="宋体" w:hAnsi="宋体" w:eastAsia="宋体" w:cs="Times New Roman"/>
                <w:color w:val="000000"/>
                <w:szCs w:val="21"/>
              </w:rPr>
              <w:t>理解</w:t>
            </w:r>
            <w:r>
              <w:rPr>
                <w:rFonts w:hint="eastAsia" w:ascii="宋体" w:hAnsi="宋体" w:eastAsia="宋体" w:cs="Times New Roman"/>
                <w:color w:val="000000"/>
                <w:szCs w:val="21"/>
              </w:rPr>
              <w:t>儿童文学</w:t>
            </w:r>
            <w:r>
              <w:rPr>
                <w:rFonts w:ascii="宋体" w:hAnsi="宋体" w:eastAsia="宋体" w:cs="Times New Roman"/>
                <w:color w:val="000000"/>
                <w:szCs w:val="21"/>
              </w:rPr>
              <w:t>的游戏性</w:t>
            </w:r>
            <w:r>
              <w:rPr>
                <w:rFonts w:hint="eastAsia" w:ascii="宋体" w:hAnsi="宋体" w:eastAsia="宋体" w:cs="Times New Roman"/>
                <w:color w:val="000000"/>
                <w:szCs w:val="21"/>
              </w:rPr>
              <w:t>，把握</w:t>
            </w:r>
            <w:r>
              <w:rPr>
                <w:rFonts w:ascii="宋体" w:hAnsi="宋体" w:eastAsia="宋体" w:cs="Times New Roman"/>
                <w:color w:val="000000"/>
                <w:szCs w:val="21"/>
              </w:rPr>
              <w:t>儿童文学中的游戏精神</w:t>
            </w:r>
            <w:r>
              <w:rPr>
                <w:rFonts w:hint="eastAsia" w:ascii="宋体" w:hAnsi="宋体" w:eastAsia="宋体" w:cs="Times New Roman"/>
                <w:color w:val="000000"/>
                <w:szCs w:val="21"/>
              </w:rPr>
              <w:t>；</w:t>
            </w:r>
          </w:p>
          <w:p w14:paraId="30B5DB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了解</w:t>
            </w:r>
            <w:r>
              <w:rPr>
                <w:rFonts w:hint="eastAsia" w:ascii="宋体" w:hAnsi="宋体" w:eastAsia="宋体" w:cs="Times New Roman"/>
                <w:color w:val="000000"/>
                <w:szCs w:val="21"/>
              </w:rPr>
              <w:t>儿童文学</w:t>
            </w:r>
            <w:r>
              <w:rPr>
                <w:rFonts w:ascii="宋体" w:hAnsi="宋体" w:eastAsia="宋体" w:cs="Times New Roman"/>
                <w:color w:val="000000"/>
                <w:szCs w:val="21"/>
              </w:rPr>
              <w:t>的幽默传统</w:t>
            </w:r>
            <w:r>
              <w:rPr>
                <w:rFonts w:hint="eastAsia" w:ascii="宋体" w:hAnsi="宋体" w:eastAsia="宋体" w:cs="Times New Roman"/>
                <w:color w:val="000000"/>
                <w:szCs w:val="21"/>
              </w:rPr>
              <w:t>及其手法，理解儿童文学的幽默品格</w:t>
            </w:r>
          </w:p>
          <w:p w14:paraId="65C8BB9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4.了解荒诞及其意义，理解童年荒诞艺术的特征</w:t>
            </w:r>
          </w:p>
        </w:tc>
        <w:tc>
          <w:tcPr>
            <w:tcW w:w="1560" w:type="dxa"/>
            <w:vAlign w:val="center"/>
          </w:tcPr>
          <w:p w14:paraId="0B72AF1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4AB288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00FD28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74F7C24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5FCC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88115DD">
            <w:pPr>
              <w:spacing w:line="276" w:lineRule="auto"/>
              <w:jc w:val="center"/>
              <w:rPr>
                <w:rFonts w:ascii="宋体" w:hAnsi="宋体" w:eastAsia="宋体" w:cs="Times New Roman"/>
                <w:color w:val="000000"/>
                <w:szCs w:val="21"/>
              </w:rPr>
            </w:pPr>
          </w:p>
        </w:tc>
        <w:tc>
          <w:tcPr>
            <w:tcW w:w="8093" w:type="dxa"/>
            <w:gridSpan w:val="5"/>
            <w:vAlign w:val="center"/>
          </w:tcPr>
          <w:p w14:paraId="06AD96A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引导学生既要尊重当代西方艺术中的各种手法，又要重视我国传统文学的价值，坚守在继承中求创新，在创新中求发展的基本方向。</w:t>
            </w:r>
          </w:p>
        </w:tc>
      </w:tr>
      <w:tr w14:paraId="3633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A3D76F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6.儿童文学的基本文体</w:t>
            </w:r>
          </w:p>
          <w:p w14:paraId="24745E3D">
            <w:pPr>
              <w:spacing w:line="276" w:lineRule="auto"/>
              <w:jc w:val="center"/>
              <w:rPr>
                <w:rFonts w:ascii="宋体" w:hAnsi="宋体" w:eastAsia="宋体" w:cs="Times New Roman"/>
                <w:color w:val="000000"/>
                <w:szCs w:val="21"/>
              </w:rPr>
            </w:pPr>
          </w:p>
        </w:tc>
        <w:tc>
          <w:tcPr>
            <w:tcW w:w="1701" w:type="dxa"/>
            <w:vAlign w:val="center"/>
          </w:tcPr>
          <w:p w14:paraId="06E75AA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（1）儿歌、儿童诗</w:t>
            </w:r>
          </w:p>
          <w:p w14:paraId="069A409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（2）童话、寓言</w:t>
            </w:r>
          </w:p>
          <w:p w14:paraId="6610CE2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（3）儿童故事、儿童小说</w:t>
            </w:r>
          </w:p>
          <w:p w14:paraId="3BC113B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（4）儿童散文、儿童报告文学</w:t>
            </w:r>
          </w:p>
          <w:p w14:paraId="104FA3F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（5）儿童科学文艺</w:t>
            </w:r>
          </w:p>
          <w:p w14:paraId="0743AAA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（6）图画书</w:t>
            </w:r>
          </w:p>
          <w:p w14:paraId="42B2FD4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（7）儿童戏剧文学、儿童影视文学</w:t>
            </w:r>
          </w:p>
        </w:tc>
        <w:tc>
          <w:tcPr>
            <w:tcW w:w="1134" w:type="dxa"/>
            <w:vAlign w:val="center"/>
          </w:tcPr>
          <w:p w14:paraId="5E57796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1C687E4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1.儿歌</w:t>
            </w:r>
            <w:r>
              <w:rPr>
                <w:rFonts w:ascii="宋体" w:hAnsi="宋体" w:eastAsia="宋体" w:cs="Times New Roman"/>
                <w:color w:val="000000"/>
                <w:szCs w:val="21"/>
              </w:rPr>
              <w:t>儿童诗的含义</w:t>
            </w:r>
            <w:r>
              <w:rPr>
                <w:rFonts w:hint="eastAsia" w:ascii="宋体" w:hAnsi="宋体" w:eastAsia="宋体" w:cs="Times New Roman"/>
                <w:color w:val="000000"/>
                <w:szCs w:val="21"/>
              </w:rPr>
              <w:t>、艺术</w:t>
            </w:r>
            <w:r>
              <w:rPr>
                <w:rFonts w:ascii="宋体" w:hAnsi="宋体" w:eastAsia="宋体" w:cs="Times New Roman"/>
                <w:color w:val="000000"/>
                <w:szCs w:val="21"/>
              </w:rPr>
              <w:t>特征</w:t>
            </w:r>
            <w:r>
              <w:rPr>
                <w:rFonts w:hint="eastAsia" w:ascii="宋体" w:hAnsi="宋体" w:eastAsia="宋体" w:cs="Times New Roman"/>
                <w:color w:val="000000"/>
                <w:szCs w:val="21"/>
              </w:rPr>
              <w:t>及类型；</w:t>
            </w:r>
          </w:p>
          <w:p w14:paraId="296BF8A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2.童话寓言的含义、起源与发展、特征、类型；</w:t>
            </w:r>
          </w:p>
          <w:p w14:paraId="10E3127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等线" w:hAnsi="等线" w:eastAsia="等线" w:cs="Times New Roman"/>
                <w:szCs w:val="22"/>
              </w:rPr>
              <w:t xml:space="preserve"> </w:t>
            </w:r>
            <w:r>
              <w:rPr>
                <w:rFonts w:hint="eastAsia" w:ascii="宋体" w:hAnsi="宋体" w:eastAsia="宋体" w:cs="Times New Roman"/>
                <w:color w:val="000000"/>
                <w:szCs w:val="21"/>
              </w:rPr>
              <w:t>儿童故事、儿童小说的含义、特征、类型；</w:t>
            </w:r>
          </w:p>
          <w:p w14:paraId="1D592DC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等线" w:hAnsi="等线" w:eastAsia="等线" w:cs="Times New Roman"/>
                <w:szCs w:val="22"/>
              </w:rPr>
              <w:t xml:space="preserve"> </w:t>
            </w:r>
            <w:r>
              <w:rPr>
                <w:rFonts w:hint="eastAsia" w:ascii="宋体" w:hAnsi="宋体" w:eastAsia="宋体" w:cs="Times New Roman"/>
                <w:color w:val="000000"/>
                <w:szCs w:val="21"/>
              </w:rPr>
              <w:t>儿童散文、儿童报告文学的含义、特征、类型；</w:t>
            </w:r>
          </w:p>
          <w:p w14:paraId="55021B9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hint="eastAsia" w:ascii="等线" w:hAnsi="等线" w:eastAsia="等线" w:cs="Times New Roman"/>
                <w:szCs w:val="22"/>
              </w:rPr>
              <w:t xml:space="preserve"> </w:t>
            </w:r>
            <w:r>
              <w:rPr>
                <w:rFonts w:hint="eastAsia" w:ascii="宋体" w:hAnsi="宋体" w:eastAsia="宋体" w:cs="Times New Roman"/>
                <w:color w:val="000000"/>
                <w:szCs w:val="21"/>
              </w:rPr>
              <w:t>儿童科学文艺的含义、特征、类型；</w:t>
            </w:r>
          </w:p>
          <w:p w14:paraId="2A9AD21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hint="eastAsia" w:ascii="等线" w:hAnsi="等线" w:eastAsia="等线" w:cs="Times New Roman"/>
                <w:szCs w:val="22"/>
              </w:rPr>
              <w:t xml:space="preserve"> 图画书</w:t>
            </w:r>
            <w:r>
              <w:rPr>
                <w:rFonts w:hint="eastAsia" w:ascii="宋体" w:hAnsi="宋体" w:eastAsia="宋体" w:cs="Times New Roman"/>
                <w:color w:val="000000"/>
                <w:szCs w:val="21"/>
              </w:rPr>
              <w:t>的含义、价值、发展、结构、特征、类型；</w:t>
            </w:r>
          </w:p>
          <w:p w14:paraId="728ECA8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7.</w:t>
            </w:r>
            <w:r>
              <w:rPr>
                <w:rFonts w:hint="eastAsia" w:ascii="等线" w:hAnsi="等线" w:eastAsia="等线" w:cs="Times New Roman"/>
                <w:szCs w:val="22"/>
              </w:rPr>
              <w:t xml:space="preserve"> </w:t>
            </w:r>
            <w:r>
              <w:rPr>
                <w:rFonts w:hint="eastAsia" w:ascii="宋体" w:hAnsi="宋体" w:eastAsia="宋体" w:cs="Times New Roman"/>
                <w:color w:val="000000"/>
                <w:szCs w:val="21"/>
              </w:rPr>
              <w:t>儿童戏剧文学、儿童影视文学的含义、舞台或银屏呈现、类型及价值</w:t>
            </w:r>
          </w:p>
        </w:tc>
        <w:tc>
          <w:tcPr>
            <w:tcW w:w="1560" w:type="dxa"/>
            <w:vAlign w:val="center"/>
          </w:tcPr>
          <w:p w14:paraId="71404537">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B87B71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B92837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42C92F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24</w:t>
            </w:r>
          </w:p>
        </w:tc>
      </w:tr>
      <w:tr w14:paraId="2C2C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E539E6">
            <w:pPr>
              <w:spacing w:line="276" w:lineRule="auto"/>
              <w:jc w:val="center"/>
              <w:rPr>
                <w:rFonts w:ascii="宋体" w:hAnsi="宋体" w:eastAsia="宋体" w:cs="Times New Roman"/>
                <w:color w:val="000000"/>
                <w:szCs w:val="21"/>
              </w:rPr>
            </w:pPr>
          </w:p>
        </w:tc>
        <w:tc>
          <w:tcPr>
            <w:tcW w:w="8093" w:type="dxa"/>
            <w:gridSpan w:val="5"/>
            <w:vAlign w:val="center"/>
          </w:tcPr>
          <w:p w14:paraId="5CF6BD5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引导学生关注儿童文艺中的精品力作，自觉向广大儿童读者推广介绍各种体裁的中外优秀少儿文艺，培养高雅的文学趣味和高尚的文学品味。</w:t>
            </w:r>
          </w:p>
        </w:tc>
      </w:tr>
      <w:tr w14:paraId="6BFD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0C1FB11">
            <w:pPr>
              <w:spacing w:line="276" w:lineRule="auto"/>
              <w:jc w:val="center"/>
              <w:rPr>
                <w:rFonts w:ascii="宋体" w:hAnsi="宋体" w:eastAsia="宋体" w:cs="Times New Roman"/>
                <w:szCs w:val="21"/>
              </w:rPr>
            </w:pPr>
            <w:r>
              <w:rPr>
                <w:rFonts w:hint="eastAsia" w:ascii="宋体" w:hAnsi="宋体" w:eastAsia="宋体" w:cs="Times New Roman"/>
                <w:szCs w:val="21"/>
              </w:rPr>
              <w:t>7.儿童文学的教学应用</w:t>
            </w:r>
          </w:p>
        </w:tc>
        <w:tc>
          <w:tcPr>
            <w:tcW w:w="1701" w:type="dxa"/>
            <w:vAlign w:val="center"/>
          </w:tcPr>
          <w:p w14:paraId="3BDBBCDC">
            <w:pPr>
              <w:spacing w:line="276" w:lineRule="auto"/>
              <w:jc w:val="left"/>
              <w:rPr>
                <w:rFonts w:ascii="宋体" w:hAnsi="宋体" w:eastAsia="宋体" w:cs="Times New Roman"/>
                <w:szCs w:val="21"/>
              </w:rPr>
            </w:pPr>
            <w:r>
              <w:rPr>
                <w:rFonts w:hint="eastAsia" w:ascii="宋体" w:hAnsi="宋体" w:eastAsia="宋体" w:cs="Times New Roman"/>
                <w:szCs w:val="21"/>
              </w:rPr>
              <w:t>（1）儿童文学的改编与创作</w:t>
            </w:r>
          </w:p>
          <w:p w14:paraId="73A9F45A">
            <w:pPr>
              <w:spacing w:line="276" w:lineRule="auto"/>
              <w:jc w:val="left"/>
              <w:rPr>
                <w:rFonts w:ascii="宋体" w:hAnsi="宋体" w:eastAsia="宋体" w:cs="Times New Roman"/>
                <w:szCs w:val="21"/>
              </w:rPr>
            </w:pPr>
            <w:r>
              <w:rPr>
                <w:rFonts w:hint="eastAsia" w:ascii="宋体" w:hAnsi="宋体" w:eastAsia="宋体" w:cs="Times New Roman"/>
                <w:szCs w:val="21"/>
              </w:rPr>
              <w:t>（2）儿童文学的阅读指导</w:t>
            </w:r>
          </w:p>
          <w:p w14:paraId="632EC076">
            <w:pPr>
              <w:spacing w:line="276" w:lineRule="auto"/>
              <w:jc w:val="left"/>
              <w:rPr>
                <w:rFonts w:ascii="宋体" w:hAnsi="宋体" w:eastAsia="宋体" w:cs="Times New Roman"/>
                <w:szCs w:val="21"/>
              </w:rPr>
            </w:pPr>
            <w:r>
              <w:rPr>
                <w:rFonts w:hint="eastAsia" w:ascii="宋体" w:hAnsi="宋体" w:eastAsia="宋体" w:cs="Times New Roman"/>
                <w:szCs w:val="21"/>
              </w:rPr>
              <w:t>（3）儿童文学与小学习作教学</w:t>
            </w:r>
          </w:p>
        </w:tc>
        <w:tc>
          <w:tcPr>
            <w:tcW w:w="1134" w:type="dxa"/>
            <w:vAlign w:val="center"/>
          </w:tcPr>
          <w:p w14:paraId="0D9AE3C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 xml:space="preserve">课程目标2 </w:t>
            </w:r>
          </w:p>
        </w:tc>
        <w:tc>
          <w:tcPr>
            <w:tcW w:w="3260" w:type="dxa"/>
            <w:vAlign w:val="center"/>
          </w:tcPr>
          <w:p w14:paraId="2D75279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w:t>
            </w:r>
            <w:r>
              <w:rPr>
                <w:rFonts w:ascii="宋体" w:hAnsi="宋体" w:eastAsia="宋体" w:cs="Times New Roman"/>
                <w:color w:val="000000"/>
                <w:szCs w:val="21"/>
              </w:rPr>
              <w:t>儿童文学改编与创作的基本方法</w:t>
            </w:r>
            <w:r>
              <w:rPr>
                <w:rFonts w:hint="eastAsia" w:ascii="宋体" w:hAnsi="宋体" w:eastAsia="宋体" w:cs="Times New Roman"/>
                <w:color w:val="000000"/>
                <w:szCs w:val="21"/>
              </w:rPr>
              <w:t>；</w:t>
            </w:r>
          </w:p>
          <w:p w14:paraId="1236020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理解</w:t>
            </w:r>
            <w:r>
              <w:rPr>
                <w:rFonts w:ascii="宋体" w:hAnsi="宋体" w:eastAsia="宋体" w:cs="Times New Roman"/>
                <w:color w:val="000000"/>
                <w:szCs w:val="21"/>
              </w:rPr>
              <w:t>儿童文学阅读指导的要领与策略</w:t>
            </w:r>
            <w:r>
              <w:rPr>
                <w:rFonts w:hint="eastAsia" w:ascii="宋体" w:hAnsi="宋体" w:eastAsia="宋体" w:cs="Times New Roman"/>
                <w:color w:val="000000"/>
                <w:szCs w:val="21"/>
              </w:rPr>
              <w:t>，</w:t>
            </w:r>
            <w:r>
              <w:rPr>
                <w:rFonts w:ascii="宋体" w:hAnsi="宋体" w:eastAsia="宋体" w:cs="Times New Roman"/>
                <w:color w:val="000000"/>
                <w:szCs w:val="21"/>
              </w:rPr>
              <w:t>把握阅读指导的方法</w:t>
            </w:r>
            <w:r>
              <w:rPr>
                <w:rFonts w:hint="eastAsia" w:ascii="宋体" w:hAnsi="宋体" w:eastAsia="宋体" w:cs="Times New Roman"/>
                <w:color w:val="000000"/>
                <w:szCs w:val="21"/>
              </w:rPr>
              <w:t>；</w:t>
            </w:r>
          </w:p>
          <w:p w14:paraId="2EF477C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3）了解小学习作教学概况</w:t>
            </w:r>
            <w:r>
              <w:rPr>
                <w:rFonts w:hint="eastAsia" w:ascii="宋体" w:hAnsi="宋体" w:eastAsia="宋体" w:cs="Times New Roman"/>
                <w:color w:val="000000"/>
                <w:szCs w:val="21"/>
              </w:rPr>
              <w:t>，</w:t>
            </w:r>
            <w:r>
              <w:rPr>
                <w:rFonts w:ascii="宋体" w:hAnsi="宋体" w:eastAsia="宋体" w:cs="Times New Roman"/>
                <w:color w:val="000000"/>
                <w:szCs w:val="21"/>
              </w:rPr>
              <w:t>掌握以儿童文学作品为范本的小学习作教学的基本方法</w:t>
            </w:r>
            <w:r>
              <w:rPr>
                <w:rFonts w:hint="eastAsia" w:ascii="宋体" w:hAnsi="宋体" w:eastAsia="宋体" w:cs="Times New Roman"/>
                <w:color w:val="000000"/>
                <w:szCs w:val="21"/>
              </w:rPr>
              <w:t>。</w:t>
            </w:r>
          </w:p>
        </w:tc>
        <w:tc>
          <w:tcPr>
            <w:tcW w:w="1560" w:type="dxa"/>
            <w:vAlign w:val="center"/>
          </w:tcPr>
          <w:p w14:paraId="035D831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229ADA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B7A749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1CAF00C">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9</w:t>
            </w:r>
          </w:p>
        </w:tc>
      </w:tr>
      <w:tr w14:paraId="1F89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D44257">
            <w:pPr>
              <w:spacing w:line="264" w:lineRule="auto"/>
              <w:jc w:val="center"/>
              <w:rPr>
                <w:rFonts w:ascii="宋体" w:hAnsi="宋体" w:eastAsia="宋体" w:cs="Times New Roman"/>
                <w:color w:val="000000"/>
                <w:szCs w:val="21"/>
              </w:rPr>
            </w:pPr>
          </w:p>
        </w:tc>
        <w:tc>
          <w:tcPr>
            <w:tcW w:w="8093" w:type="dxa"/>
            <w:gridSpan w:val="5"/>
            <w:vAlign w:val="center"/>
          </w:tcPr>
          <w:p w14:paraId="0E50429B">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国家和民族的未来，热爱祖国的儿童文学事业，永葆一颗纯真的童心，积极投身我国儿童文学的阅读推广、宣传指导等社会公益事业中去。引导学生准确把握儿童文学鉴赏和批评的价值标准，着力关注作品的思想性和艺术性。</w:t>
            </w:r>
          </w:p>
        </w:tc>
      </w:tr>
    </w:tbl>
    <w:p w14:paraId="6904C547">
      <w:pPr>
        <w:spacing w:line="360" w:lineRule="auto"/>
        <w:ind w:firstLine="482" w:firstLineChars="200"/>
        <w:outlineLvl w:val="9"/>
        <w:rPr>
          <w:rFonts w:hint="eastAsia" w:ascii="Times New Roman" w:hAnsi="Times New Roman" w:eastAsia="宋体" w:cs="Times New Roman"/>
          <w:b/>
          <w:bCs/>
          <w:kern w:val="0"/>
          <w:sz w:val="24"/>
          <w:szCs w:val="22"/>
        </w:rPr>
      </w:pPr>
    </w:p>
    <w:p w14:paraId="0292A21A">
      <w:pPr>
        <w:spacing w:line="360" w:lineRule="auto"/>
        <w:ind w:firstLine="482" w:firstLineChars="200"/>
        <w:jc w:val="left"/>
        <w:outlineLvl w:val="0"/>
        <w:rPr>
          <w:rFonts w:ascii="Times New Roman" w:hAnsi="Times New Roman" w:eastAsia="宋体" w:cs="Times New Roman"/>
          <w:sz w:val="24"/>
          <w:szCs w:val="22"/>
        </w:rPr>
      </w:pPr>
      <w:bookmarkStart w:id="1958" w:name="_Toc9341"/>
      <w:bookmarkStart w:id="1959" w:name="_Toc1465"/>
      <w:bookmarkStart w:id="1960" w:name="_Toc4394"/>
      <w:bookmarkStart w:id="1961" w:name="_Toc16355"/>
      <w:bookmarkStart w:id="1962" w:name="_Toc19512"/>
      <w:bookmarkStart w:id="1963" w:name="_Toc25736"/>
      <w:bookmarkStart w:id="1964" w:name="_Toc15199"/>
      <w:r>
        <w:rPr>
          <w:rFonts w:hint="eastAsia" w:ascii="宋体" w:hAnsi="宋体" w:eastAsia="宋体" w:cs="Times New Roman"/>
          <w:b/>
          <w:color w:val="000000"/>
          <w:sz w:val="24"/>
          <w:szCs w:val="22"/>
        </w:rPr>
        <w:t>四、目标评价与成绩评定</w:t>
      </w:r>
      <w:bookmarkEnd w:id="1958"/>
      <w:bookmarkEnd w:id="1959"/>
      <w:bookmarkEnd w:id="1960"/>
      <w:bookmarkEnd w:id="1961"/>
      <w:bookmarkEnd w:id="1962"/>
      <w:bookmarkEnd w:id="1963"/>
      <w:bookmarkEnd w:id="1964"/>
    </w:p>
    <w:p w14:paraId="0E4E4DDF">
      <w:pPr>
        <w:spacing w:line="360" w:lineRule="auto"/>
        <w:ind w:firstLine="422" w:firstLineChars="200"/>
        <w:jc w:val="left"/>
        <w:outlineLvl w:val="1"/>
        <w:rPr>
          <w:rFonts w:ascii="Times New Roman" w:hAnsi="Times New Roman" w:eastAsia="宋体" w:cs="Times New Roman"/>
          <w:b/>
          <w:szCs w:val="21"/>
        </w:rPr>
      </w:pPr>
      <w:bookmarkStart w:id="1965" w:name="_Toc3633"/>
      <w:r>
        <w:rPr>
          <w:rFonts w:hint="eastAsia" w:ascii="Times New Roman" w:hAnsi="Times New Roman" w:eastAsia="宋体" w:cs="Times New Roman"/>
          <w:b/>
          <w:szCs w:val="21"/>
        </w:rPr>
        <w:t>（一）课程目标评价方式</w:t>
      </w:r>
      <w:bookmarkEnd w:id="1965"/>
    </w:p>
    <w:p w14:paraId="7F8EA91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106606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161"/>
        <w:gridCol w:w="1056"/>
        <w:gridCol w:w="1056"/>
        <w:gridCol w:w="1056"/>
        <w:gridCol w:w="1056"/>
        <w:gridCol w:w="1269"/>
      </w:tblGrid>
      <w:tr w14:paraId="4E7F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6E7000F">
            <w:pPr>
              <w:spacing w:line="360" w:lineRule="auto"/>
              <w:jc w:val="center"/>
              <w:rPr>
                <w:rFonts w:ascii="宋体" w:hAnsi="宋体" w:eastAsia="宋体" w:cs="Times New Roman"/>
                <w:szCs w:val="21"/>
              </w:rPr>
            </w:pPr>
            <w:bookmarkStart w:id="1966" w:name="OLE_LINK4"/>
            <w:r>
              <w:rPr>
                <w:rFonts w:hint="eastAsia" w:ascii="宋体" w:hAnsi="宋体" w:eastAsia="宋体" w:cs="Times New Roman"/>
                <w:szCs w:val="21"/>
              </w:rPr>
              <w:t>课程目标</w:t>
            </w:r>
          </w:p>
        </w:tc>
        <w:tc>
          <w:tcPr>
            <w:tcW w:w="5280" w:type="dxa"/>
            <w:gridSpan w:val="5"/>
            <w:vAlign w:val="center"/>
          </w:tcPr>
          <w:p w14:paraId="0F84E018">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269" w:type="dxa"/>
            <w:vAlign w:val="center"/>
          </w:tcPr>
          <w:p w14:paraId="240DA534">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2F5F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362E021">
            <w:pPr>
              <w:spacing w:line="360" w:lineRule="auto"/>
              <w:jc w:val="center"/>
              <w:rPr>
                <w:rFonts w:ascii="宋体" w:hAnsi="宋体" w:eastAsia="宋体" w:cs="Times New Roman"/>
                <w:szCs w:val="21"/>
              </w:rPr>
            </w:pPr>
          </w:p>
        </w:tc>
        <w:tc>
          <w:tcPr>
            <w:tcW w:w="0" w:type="auto"/>
            <w:vAlign w:val="center"/>
          </w:tcPr>
          <w:p w14:paraId="70D69B7F">
            <w:pPr>
              <w:spacing w:line="360" w:lineRule="auto"/>
              <w:jc w:val="center"/>
              <w:rPr>
                <w:rFonts w:ascii="宋体" w:hAnsi="宋体" w:eastAsia="宋体" w:cs="Times New Roman"/>
                <w:szCs w:val="21"/>
              </w:rPr>
            </w:pPr>
            <w:r>
              <w:rPr>
                <w:rFonts w:hint="eastAsia" w:ascii="宋体" w:hAnsi="宋体" w:eastAsia="宋体" w:cs="Times New Roman"/>
                <w:szCs w:val="21"/>
              </w:rPr>
              <w:t>作业+考勤</w:t>
            </w:r>
          </w:p>
        </w:tc>
        <w:tc>
          <w:tcPr>
            <w:tcW w:w="0" w:type="auto"/>
            <w:vAlign w:val="center"/>
          </w:tcPr>
          <w:p w14:paraId="3D705351">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0BCAE3AC">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6A80FB48">
            <w:pPr>
              <w:spacing w:line="360" w:lineRule="auto"/>
              <w:jc w:val="center"/>
              <w:rPr>
                <w:rFonts w:ascii="宋体" w:hAnsi="宋体" w:eastAsia="宋体" w:cs="Times New Roman"/>
                <w:szCs w:val="21"/>
              </w:rPr>
            </w:pPr>
            <w:r>
              <w:rPr>
                <w:rFonts w:hint="eastAsia" w:ascii="宋体" w:hAnsi="宋体" w:eastAsia="宋体" w:cs="Times New Roman"/>
                <w:szCs w:val="21"/>
              </w:rPr>
              <w:t>课内实践</w:t>
            </w:r>
          </w:p>
        </w:tc>
        <w:tc>
          <w:tcPr>
            <w:tcW w:w="0" w:type="auto"/>
          </w:tcPr>
          <w:p w14:paraId="2B8F336A">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269" w:type="dxa"/>
            <w:vAlign w:val="center"/>
          </w:tcPr>
          <w:p w14:paraId="11122787">
            <w:pPr>
              <w:spacing w:line="360" w:lineRule="auto"/>
              <w:jc w:val="center"/>
              <w:rPr>
                <w:rFonts w:ascii="宋体" w:hAnsi="宋体" w:eastAsia="宋体" w:cs="Times New Roman"/>
                <w:szCs w:val="21"/>
              </w:rPr>
            </w:pPr>
          </w:p>
        </w:tc>
      </w:tr>
      <w:tr w14:paraId="577C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D720F0">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78B49C8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AECBD3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D3B560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8D7F69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14A0F9F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69" w:type="dxa"/>
            <w:vAlign w:val="center"/>
          </w:tcPr>
          <w:p w14:paraId="1BE72877">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40BA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8367158">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CB9062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34A9CC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35D79B7">
            <w:pPr>
              <w:spacing w:line="360" w:lineRule="auto"/>
              <w:jc w:val="center"/>
              <w:rPr>
                <w:rFonts w:ascii="宋体" w:hAnsi="宋体" w:eastAsia="宋体" w:cs="Times New Roman"/>
                <w:szCs w:val="21"/>
              </w:rPr>
            </w:pPr>
            <w:r>
              <w:rPr>
                <w:rFonts w:ascii="宋体" w:hAnsi="宋体" w:eastAsia="宋体" w:cs="Times New Roman"/>
                <w:szCs w:val="21"/>
              </w:rPr>
              <w:t></w:t>
            </w:r>
            <w:r>
              <w:rPr>
                <w:rFonts w:ascii="宋体" w:hAnsi="宋体" w:eastAsia="宋体" w:cs="Times New Roman"/>
                <w:szCs w:val="21"/>
              </w:rPr>
              <w:sym w:font="Wingdings 2" w:char="F050"/>
            </w:r>
          </w:p>
        </w:tc>
        <w:tc>
          <w:tcPr>
            <w:tcW w:w="0" w:type="auto"/>
            <w:vAlign w:val="center"/>
          </w:tcPr>
          <w:p w14:paraId="70B2F44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0A280191">
            <w:pPr>
              <w:spacing w:line="360" w:lineRule="auto"/>
              <w:jc w:val="center"/>
              <w:rPr>
                <w:rFonts w:ascii="宋体" w:hAnsi="宋体" w:eastAsia="宋体" w:cs="Times New Roman"/>
                <w:szCs w:val="21"/>
              </w:rPr>
            </w:pPr>
            <w:r>
              <w:rPr>
                <w:rFonts w:ascii="宋体" w:hAnsi="宋体" w:eastAsia="宋体" w:cs="Times New Roman"/>
                <w:szCs w:val="21"/>
              </w:rPr>
              <w:t></w:t>
            </w:r>
            <w:r>
              <w:rPr>
                <w:rFonts w:ascii="宋体" w:hAnsi="宋体" w:eastAsia="宋体" w:cs="Times New Roman"/>
                <w:szCs w:val="21"/>
              </w:rPr>
              <w:sym w:font="Wingdings 2" w:char="F050"/>
            </w:r>
          </w:p>
        </w:tc>
        <w:tc>
          <w:tcPr>
            <w:tcW w:w="1269" w:type="dxa"/>
            <w:vAlign w:val="center"/>
          </w:tcPr>
          <w:p w14:paraId="55CAB9A2">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09EC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CD90561">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4A03A96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9ACEA9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079A05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95DC85C">
            <w:pPr>
              <w:spacing w:line="360" w:lineRule="auto"/>
              <w:jc w:val="center"/>
              <w:rPr>
                <w:rFonts w:ascii="宋体" w:hAnsi="宋体" w:eastAsia="宋体" w:cs="Times New Roman"/>
                <w:szCs w:val="21"/>
              </w:rPr>
            </w:pPr>
          </w:p>
        </w:tc>
        <w:tc>
          <w:tcPr>
            <w:tcW w:w="0" w:type="auto"/>
          </w:tcPr>
          <w:p w14:paraId="62BFB12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69" w:type="dxa"/>
            <w:vAlign w:val="center"/>
          </w:tcPr>
          <w:p w14:paraId="3B0749E1">
            <w:pPr>
              <w:spacing w:line="360" w:lineRule="auto"/>
              <w:jc w:val="center"/>
              <w:rPr>
                <w:rFonts w:ascii="宋体" w:hAnsi="宋体" w:eastAsia="宋体" w:cs="Times New Roman"/>
                <w:szCs w:val="21"/>
              </w:rPr>
            </w:pPr>
            <w:r>
              <w:rPr>
                <w:rFonts w:hint="eastAsia" w:ascii="宋体" w:hAnsi="宋体" w:eastAsia="宋体" w:cs="Times New Roman"/>
                <w:szCs w:val="21"/>
              </w:rPr>
              <w:t>20</w:t>
            </w:r>
          </w:p>
        </w:tc>
      </w:tr>
      <w:tr w14:paraId="487A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9EA46D">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482C14DC">
            <w:pPr>
              <w:spacing w:line="360" w:lineRule="auto"/>
              <w:jc w:val="center"/>
              <w:rPr>
                <w:rFonts w:ascii="宋体" w:hAnsi="宋体" w:eastAsia="宋体" w:cs="Times New Roman"/>
                <w:szCs w:val="21"/>
              </w:rPr>
            </w:pPr>
            <w:r>
              <w:rPr>
                <w:rFonts w:hint="eastAsia" w:ascii="宋体" w:hAnsi="宋体" w:eastAsia="宋体" w:cs="Times New Roman"/>
                <w:szCs w:val="21"/>
              </w:rPr>
              <w:t>10</w:t>
            </w:r>
          </w:p>
        </w:tc>
        <w:tc>
          <w:tcPr>
            <w:tcW w:w="0" w:type="auto"/>
            <w:vAlign w:val="center"/>
          </w:tcPr>
          <w:p w14:paraId="0E67D0AF">
            <w:pPr>
              <w:spacing w:line="360" w:lineRule="auto"/>
              <w:jc w:val="center"/>
              <w:rPr>
                <w:rFonts w:ascii="宋体" w:hAnsi="宋体" w:eastAsia="宋体" w:cs="Times New Roman"/>
                <w:szCs w:val="21"/>
              </w:rPr>
            </w:pPr>
            <w:r>
              <w:rPr>
                <w:rFonts w:hint="eastAsia" w:ascii="宋体" w:hAnsi="宋体" w:eastAsia="宋体" w:cs="Times New Roman"/>
                <w:szCs w:val="21"/>
              </w:rPr>
              <w:t>10</w:t>
            </w:r>
          </w:p>
        </w:tc>
        <w:tc>
          <w:tcPr>
            <w:tcW w:w="0" w:type="auto"/>
            <w:vAlign w:val="center"/>
          </w:tcPr>
          <w:p w14:paraId="2B03EC8F">
            <w:pPr>
              <w:spacing w:line="360" w:lineRule="auto"/>
              <w:jc w:val="center"/>
              <w:rPr>
                <w:rFonts w:ascii="宋体" w:hAnsi="宋体" w:eastAsia="宋体" w:cs="Times New Roman"/>
                <w:szCs w:val="21"/>
              </w:rPr>
            </w:pPr>
            <w:r>
              <w:rPr>
                <w:rFonts w:hint="eastAsia" w:ascii="宋体" w:hAnsi="宋体" w:eastAsia="宋体" w:cs="Times New Roman"/>
                <w:szCs w:val="21"/>
              </w:rPr>
              <w:t>10</w:t>
            </w:r>
          </w:p>
        </w:tc>
        <w:tc>
          <w:tcPr>
            <w:tcW w:w="0" w:type="auto"/>
            <w:vAlign w:val="center"/>
          </w:tcPr>
          <w:p w14:paraId="3167E339">
            <w:pPr>
              <w:spacing w:line="360" w:lineRule="auto"/>
              <w:jc w:val="center"/>
              <w:rPr>
                <w:rFonts w:ascii="宋体" w:hAnsi="宋体" w:eastAsia="宋体" w:cs="Times New Roman"/>
                <w:szCs w:val="21"/>
              </w:rPr>
            </w:pPr>
            <w:r>
              <w:rPr>
                <w:rFonts w:hint="eastAsia" w:ascii="宋体" w:hAnsi="宋体" w:eastAsia="宋体" w:cs="Times New Roman"/>
                <w:szCs w:val="21"/>
              </w:rPr>
              <w:t>20</w:t>
            </w:r>
          </w:p>
        </w:tc>
        <w:tc>
          <w:tcPr>
            <w:tcW w:w="0" w:type="auto"/>
          </w:tcPr>
          <w:p w14:paraId="743ECCDD">
            <w:pPr>
              <w:spacing w:line="360" w:lineRule="auto"/>
              <w:jc w:val="center"/>
              <w:rPr>
                <w:rFonts w:ascii="宋体" w:hAnsi="宋体" w:eastAsia="宋体" w:cs="Times New Roman"/>
                <w:szCs w:val="21"/>
              </w:rPr>
            </w:pPr>
            <w:r>
              <w:rPr>
                <w:rFonts w:hint="eastAsia" w:ascii="宋体" w:hAnsi="宋体" w:eastAsia="宋体" w:cs="Times New Roman"/>
                <w:szCs w:val="21"/>
              </w:rPr>
              <w:t>50</w:t>
            </w:r>
          </w:p>
        </w:tc>
        <w:tc>
          <w:tcPr>
            <w:tcW w:w="1269" w:type="dxa"/>
            <w:vAlign w:val="center"/>
          </w:tcPr>
          <w:p w14:paraId="22A116D1">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bookmarkEnd w:id="1966"/>
    </w:tbl>
    <w:p w14:paraId="400BBF0D">
      <w:pPr>
        <w:spacing w:before="156" w:beforeLines="50" w:line="360" w:lineRule="auto"/>
        <w:jc w:val="left"/>
        <w:outlineLvl w:val="1"/>
        <w:rPr>
          <w:rFonts w:ascii="Times New Roman" w:hAnsi="Times New Roman" w:eastAsia="宋体" w:cs="Times New Roman"/>
          <w:b/>
          <w:szCs w:val="21"/>
        </w:rPr>
      </w:pPr>
      <w:bookmarkStart w:id="1967" w:name="_Toc12051"/>
      <w:r>
        <w:rPr>
          <w:rFonts w:hint="eastAsia" w:ascii="Times New Roman" w:hAnsi="Times New Roman" w:eastAsia="宋体" w:cs="Times New Roman"/>
          <w:b/>
          <w:szCs w:val="21"/>
        </w:rPr>
        <w:t>（二）成绩评定细则</w:t>
      </w:r>
      <w:bookmarkEnd w:id="1967"/>
    </w:p>
    <w:p w14:paraId="7984375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445AF5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AE0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5C289D">
            <w:pPr>
              <w:jc w:val="center"/>
              <w:rPr>
                <w:rFonts w:ascii="Times New Roman" w:hAnsi="Times New Roman" w:eastAsia="宋体" w:cs="Times New Roman"/>
                <w:b/>
                <w:bCs/>
                <w:szCs w:val="21"/>
              </w:rPr>
            </w:pPr>
            <w:bookmarkStart w:id="1968" w:name="OLE_LINK5"/>
            <w:r>
              <w:rPr>
                <w:rFonts w:hint="eastAsia" w:ascii="Times New Roman" w:hAnsi="Times New Roman" w:eastAsia="宋体" w:cs="Times New Roman"/>
                <w:b/>
                <w:bCs/>
                <w:szCs w:val="21"/>
              </w:rPr>
              <w:t>评价方式</w:t>
            </w:r>
          </w:p>
        </w:tc>
        <w:tc>
          <w:tcPr>
            <w:tcW w:w="7141" w:type="dxa"/>
            <w:vAlign w:val="center"/>
          </w:tcPr>
          <w:p w14:paraId="4AF3F97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446BBB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FF0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F3F3EA">
            <w:pPr>
              <w:rPr>
                <w:rFonts w:ascii="Times New Roman" w:hAnsi="Times New Roman" w:eastAsia="宋体" w:cs="Times New Roman"/>
                <w:szCs w:val="21"/>
              </w:rPr>
            </w:pPr>
            <w:r>
              <w:rPr>
                <w:rFonts w:hint="eastAsia" w:ascii="Times New Roman" w:hAnsi="Times New Roman" w:eastAsia="宋体" w:cs="Times New Roman"/>
                <w:szCs w:val="21"/>
              </w:rPr>
              <w:t>作业+考勤</w:t>
            </w:r>
          </w:p>
        </w:tc>
        <w:tc>
          <w:tcPr>
            <w:tcW w:w="7141" w:type="dxa"/>
            <w:vAlign w:val="center"/>
          </w:tcPr>
          <w:p w14:paraId="32D7AC2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平时总评=作业平均—考勤扣分，旷课1次扣5分，事假一次扣2分，迟到1次扣1分，病假不扣分（但病假次数达本学期总授课学时的1/3以上者不得参加考核）</w:t>
            </w:r>
          </w:p>
        </w:tc>
        <w:tc>
          <w:tcPr>
            <w:tcW w:w="0" w:type="auto"/>
            <w:vAlign w:val="center"/>
          </w:tcPr>
          <w:p w14:paraId="09C33F8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ADE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FB4762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3451E87">
            <w:pPr>
              <w:widowControl/>
              <w:spacing w:line="264" w:lineRule="auto"/>
              <w:jc w:val="left"/>
              <w:rPr>
                <w:rFonts w:ascii="Times New Roman" w:hAnsi="Times New Roman" w:eastAsia="宋体" w:cs="Times New Roman"/>
                <w:szCs w:val="21"/>
              </w:rPr>
            </w:pPr>
            <w:r>
              <w:rPr>
                <w:rFonts w:ascii="宋体" w:hAnsi="宋体" w:eastAsia="宋体" w:cs="宋体"/>
                <w:color w:val="000000"/>
                <w:kern w:val="0"/>
                <w:szCs w:val="21"/>
                <w:lang w:bidi="ar"/>
              </w:rPr>
              <w:t>课堂</w:t>
            </w:r>
            <w:r>
              <w:rPr>
                <w:rFonts w:hint="eastAsia" w:ascii="宋体" w:hAnsi="宋体" w:eastAsia="宋体" w:cs="宋体"/>
                <w:color w:val="000000"/>
                <w:kern w:val="0"/>
                <w:szCs w:val="21"/>
                <w:lang w:bidi="ar"/>
              </w:rPr>
              <w:t>表现</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CABD77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88E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558B4D">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7141" w:type="dxa"/>
            <w:vAlign w:val="center"/>
          </w:tcPr>
          <w:p w14:paraId="4924BB93">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认真完成4个项目的课内实践，提交相应体裁的作品创作成果，提交儿童文学作品鉴赏、评论小论文；开展儿童文学作品的教材分析和教学方案设计，开展模拟教学并进行组内互评与教师评价相结合的方式。4个项目成绩取平均分作为课内实践分。</w:t>
            </w:r>
          </w:p>
        </w:tc>
        <w:tc>
          <w:tcPr>
            <w:tcW w:w="0" w:type="auto"/>
            <w:vAlign w:val="center"/>
          </w:tcPr>
          <w:p w14:paraId="68A8BA4E">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1DFE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3CB597">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532B4DD3">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课前5分钟左右，每位同学评说分享自己近期阅读的儿童文学作家作品或相关儿童文学现象等，以学生表达的流程性、逻辑性和分析的深度为评分的主要依据。</w:t>
            </w:r>
          </w:p>
        </w:tc>
        <w:tc>
          <w:tcPr>
            <w:tcW w:w="0" w:type="auto"/>
            <w:vAlign w:val="center"/>
          </w:tcPr>
          <w:p w14:paraId="25BF946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186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EA2B4D">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4D62506">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试卷题型包括填空题</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简答题、论述题、创编或鉴赏题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04CCD628">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CEB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C0AD89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AFDAC0A">
            <w:pPr>
              <w:jc w:val="left"/>
              <w:rPr>
                <w:rFonts w:ascii="Times New Roman" w:hAnsi="Times New Roman" w:eastAsia="宋体" w:cs="Times New Roman"/>
                <w:szCs w:val="21"/>
              </w:rPr>
            </w:pPr>
          </w:p>
        </w:tc>
        <w:tc>
          <w:tcPr>
            <w:tcW w:w="0" w:type="auto"/>
            <w:vAlign w:val="center"/>
          </w:tcPr>
          <w:p w14:paraId="58DCF6E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bookmarkEnd w:id="1968"/>
    </w:tbl>
    <w:p w14:paraId="13F4AC58">
      <w:pPr>
        <w:spacing w:line="360" w:lineRule="auto"/>
        <w:jc w:val="left"/>
        <w:outlineLvl w:val="1"/>
        <w:rPr>
          <w:rFonts w:ascii="宋体" w:hAnsi="宋体" w:eastAsia="宋体" w:cs="Times New Roman"/>
          <w:b/>
          <w:color w:val="000000"/>
          <w:szCs w:val="21"/>
        </w:rPr>
      </w:pPr>
      <w:bookmarkStart w:id="1969" w:name="_Toc1262"/>
      <w:r>
        <w:rPr>
          <w:rFonts w:hint="eastAsia" w:ascii="宋体" w:hAnsi="宋体" w:eastAsia="宋体" w:cs="Times New Roman"/>
          <w:b/>
          <w:color w:val="000000"/>
          <w:szCs w:val="21"/>
        </w:rPr>
        <w:t>（三）课程目标达成度计算方法</w:t>
      </w:r>
      <w:bookmarkEnd w:id="1969"/>
    </w:p>
    <w:p w14:paraId="3E6E9562">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1C309F3">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64" o:spt="75" type="#_x0000_t75" style="height:24.75pt;width:404.25pt;" o:ole="t" filled="f" o:preferrelative="t" stroked="f" coordsize="21600,21600">
            <v:path/>
            <v:fill on="f" focussize="0,0"/>
            <v:stroke on="f" joinstyle="miter"/>
            <v:imagedata r:id="rId5" o:title=""/>
            <o:lock v:ext="edit" aspectratio="t"/>
            <w10:wrap type="none"/>
            <w10:anchorlock/>
          </v:shape>
          <o:OLEObject Type="Embed" ProgID="Equation.3" ShapeID="_x0000_i1064" DrawAspect="Content" ObjectID="_1468075764" r:id="rId47">
            <o:LockedField>false</o:LockedField>
          </o:OLEObject>
        </w:object>
      </w:r>
    </w:p>
    <w:p w14:paraId="2834515A">
      <w:pPr>
        <w:spacing w:before="156" w:beforeLines="50" w:line="360" w:lineRule="auto"/>
        <w:jc w:val="left"/>
        <w:outlineLvl w:val="0"/>
        <w:rPr>
          <w:rFonts w:ascii="Times New Roman" w:hAnsi="Times New Roman" w:eastAsia="宋体" w:cs="Times New Roman"/>
          <w:b/>
          <w:sz w:val="24"/>
          <w:szCs w:val="22"/>
        </w:rPr>
      </w:pPr>
      <w:bookmarkStart w:id="1970" w:name="_Toc969"/>
      <w:bookmarkStart w:id="1971" w:name="_Toc31378"/>
      <w:bookmarkStart w:id="1972" w:name="_Toc12049"/>
      <w:bookmarkStart w:id="1973" w:name="_Toc16074"/>
      <w:bookmarkStart w:id="1974" w:name="_Toc4723"/>
      <w:bookmarkStart w:id="1975" w:name="_Toc21683"/>
      <w:bookmarkStart w:id="1976" w:name="_Toc11499"/>
      <w:r>
        <w:rPr>
          <w:rFonts w:hint="eastAsia" w:ascii="宋体" w:hAnsi="宋体" w:eastAsia="宋体" w:cs="Times New Roman"/>
          <w:b/>
          <w:color w:val="000000"/>
          <w:sz w:val="24"/>
          <w:szCs w:val="22"/>
        </w:rPr>
        <w:t>五、</w:t>
      </w:r>
      <w:r>
        <w:rPr>
          <w:rFonts w:hint="eastAsia" w:ascii="Times New Roman" w:hAnsi="Times New Roman" w:eastAsia="宋体" w:cs="Times New Roman"/>
          <w:b/>
          <w:sz w:val="24"/>
          <w:szCs w:val="22"/>
        </w:rPr>
        <w:t>课内实践</w:t>
      </w:r>
      <w:bookmarkEnd w:id="1970"/>
      <w:bookmarkEnd w:id="1971"/>
      <w:bookmarkEnd w:id="1972"/>
      <w:bookmarkEnd w:id="1973"/>
      <w:bookmarkEnd w:id="1974"/>
      <w:bookmarkEnd w:id="1975"/>
      <w:bookmarkEnd w:id="1976"/>
      <w:r>
        <w:rPr>
          <w:rFonts w:hint="eastAsia" w:ascii="Times New Roman" w:hAnsi="Times New Roman" w:eastAsia="宋体" w:cs="Times New Roman"/>
          <w:bCs/>
          <w:sz w:val="24"/>
          <w:szCs w:val="22"/>
        </w:rPr>
        <w:t xml:space="preserve"> </w:t>
      </w:r>
    </w:p>
    <w:p w14:paraId="0D3D25B8">
      <w:pPr>
        <w:spacing w:line="276"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本课程在理论教学的基础上，安排了4个课内实践项目（共16学时），体现了理论与实践的结合，强化对学生的课程思政。</w:t>
      </w:r>
    </w:p>
    <w:p w14:paraId="54D7391D">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2431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C2825D1">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11B78FC">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0524711">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512705E">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99C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1FAC28C">
            <w:pPr>
              <w:spacing w:line="276" w:lineRule="auto"/>
              <w:jc w:val="left"/>
              <w:rPr>
                <w:rFonts w:ascii="宋体" w:hAnsi="宋体" w:eastAsia="宋体" w:cs="宋体"/>
                <w:szCs w:val="21"/>
              </w:rPr>
            </w:pPr>
            <w:r>
              <w:rPr>
                <w:rFonts w:hint="eastAsia" w:ascii="宋体" w:hAnsi="宋体" w:eastAsia="宋体" w:cs="宋体"/>
                <w:szCs w:val="21"/>
              </w:rPr>
              <w:t>儿歌儿童诗写作实践</w:t>
            </w:r>
          </w:p>
        </w:tc>
        <w:tc>
          <w:tcPr>
            <w:tcW w:w="3407" w:type="dxa"/>
            <w:vAlign w:val="center"/>
          </w:tcPr>
          <w:p w14:paraId="5A313DD7">
            <w:pPr>
              <w:spacing w:line="276" w:lineRule="auto"/>
              <w:jc w:val="left"/>
              <w:rPr>
                <w:rFonts w:ascii="宋体" w:hAnsi="宋体" w:eastAsia="宋体" w:cs="宋体"/>
                <w:szCs w:val="21"/>
              </w:rPr>
            </w:pPr>
            <w:r>
              <w:rPr>
                <w:rFonts w:hint="eastAsia" w:ascii="宋体" w:hAnsi="宋体" w:eastAsia="宋体" w:cs="宋体"/>
                <w:szCs w:val="21"/>
              </w:rPr>
              <w:t>确定一个主题或规定一类题材，进行课堂创作，提交作品，开展交流和讨论</w:t>
            </w:r>
          </w:p>
        </w:tc>
        <w:tc>
          <w:tcPr>
            <w:tcW w:w="740" w:type="dxa"/>
            <w:vAlign w:val="center"/>
          </w:tcPr>
          <w:p w14:paraId="3B85D094">
            <w:pPr>
              <w:spacing w:line="276" w:lineRule="auto"/>
              <w:jc w:val="center"/>
              <w:rPr>
                <w:rFonts w:ascii="宋体" w:hAnsi="宋体" w:eastAsia="宋体" w:cs="宋体"/>
                <w:szCs w:val="21"/>
              </w:rPr>
            </w:pPr>
            <w:r>
              <w:rPr>
                <w:rFonts w:hint="eastAsia" w:ascii="宋体" w:hAnsi="宋体" w:eastAsia="宋体" w:cs="宋体"/>
                <w:szCs w:val="21"/>
              </w:rPr>
              <w:t>创编交流</w:t>
            </w:r>
          </w:p>
        </w:tc>
        <w:tc>
          <w:tcPr>
            <w:tcW w:w="3160" w:type="dxa"/>
            <w:vAlign w:val="center"/>
          </w:tcPr>
          <w:p w14:paraId="192449FC">
            <w:pPr>
              <w:spacing w:line="276" w:lineRule="auto"/>
              <w:jc w:val="left"/>
              <w:rPr>
                <w:rFonts w:ascii="宋体" w:hAnsi="宋体" w:eastAsia="宋体" w:cs="宋体"/>
                <w:szCs w:val="21"/>
              </w:rPr>
            </w:pPr>
            <w:r>
              <w:rPr>
                <w:rFonts w:hint="eastAsia" w:ascii="宋体" w:hAnsi="宋体" w:eastAsia="宋体" w:cs="宋体"/>
                <w:szCs w:val="21"/>
              </w:rPr>
              <w:t>体验儿童情趣，培养童心意识，爱上儿童和儿童文学事业。</w:t>
            </w:r>
          </w:p>
        </w:tc>
      </w:tr>
      <w:tr w14:paraId="015A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1C36996">
            <w:pPr>
              <w:spacing w:line="276" w:lineRule="auto"/>
              <w:jc w:val="left"/>
              <w:rPr>
                <w:rFonts w:ascii="宋体" w:hAnsi="宋体" w:eastAsia="宋体" w:cs="宋体"/>
                <w:szCs w:val="21"/>
              </w:rPr>
            </w:pPr>
            <w:r>
              <w:rPr>
                <w:rFonts w:hint="eastAsia" w:ascii="宋体" w:hAnsi="宋体" w:eastAsia="宋体" w:cs="宋体"/>
                <w:szCs w:val="21"/>
              </w:rPr>
              <w:t>童话寓言或儿童生活故事或儿童回忆散文创作</w:t>
            </w:r>
          </w:p>
        </w:tc>
        <w:tc>
          <w:tcPr>
            <w:tcW w:w="3407" w:type="dxa"/>
            <w:vAlign w:val="center"/>
          </w:tcPr>
          <w:p w14:paraId="761256B8">
            <w:pPr>
              <w:spacing w:line="276" w:lineRule="auto"/>
              <w:jc w:val="left"/>
              <w:rPr>
                <w:rFonts w:ascii="宋体" w:hAnsi="宋体" w:eastAsia="宋体" w:cs="宋体"/>
                <w:szCs w:val="21"/>
              </w:rPr>
            </w:pPr>
            <w:r>
              <w:rPr>
                <w:rFonts w:hint="eastAsia" w:ascii="宋体" w:hAnsi="宋体" w:eastAsia="宋体" w:cs="宋体"/>
                <w:szCs w:val="21"/>
              </w:rPr>
              <w:t>任选一种体裁，确定一个主题或题材，进行课堂创作，提交作品，开展交流和讨论</w:t>
            </w:r>
          </w:p>
        </w:tc>
        <w:tc>
          <w:tcPr>
            <w:tcW w:w="740" w:type="dxa"/>
            <w:vAlign w:val="center"/>
          </w:tcPr>
          <w:p w14:paraId="6E6F21DD">
            <w:pPr>
              <w:spacing w:line="276" w:lineRule="auto"/>
              <w:jc w:val="center"/>
              <w:rPr>
                <w:rFonts w:ascii="宋体" w:hAnsi="宋体" w:eastAsia="宋体" w:cs="宋体"/>
                <w:szCs w:val="21"/>
              </w:rPr>
            </w:pPr>
            <w:r>
              <w:rPr>
                <w:rFonts w:hint="eastAsia" w:ascii="宋体" w:hAnsi="宋体" w:eastAsia="宋体" w:cs="宋体"/>
                <w:szCs w:val="21"/>
              </w:rPr>
              <w:t>创编交流</w:t>
            </w:r>
          </w:p>
        </w:tc>
        <w:tc>
          <w:tcPr>
            <w:tcW w:w="3160" w:type="dxa"/>
            <w:vAlign w:val="center"/>
          </w:tcPr>
          <w:p w14:paraId="4A2A37C8">
            <w:pPr>
              <w:spacing w:line="276" w:lineRule="auto"/>
              <w:jc w:val="left"/>
              <w:rPr>
                <w:rFonts w:ascii="宋体" w:hAnsi="宋体" w:eastAsia="宋体" w:cs="宋体"/>
                <w:szCs w:val="21"/>
              </w:rPr>
            </w:pPr>
            <w:r>
              <w:rPr>
                <w:rFonts w:hint="eastAsia" w:ascii="宋体" w:hAnsi="宋体" w:eastAsia="宋体" w:cs="宋体"/>
                <w:szCs w:val="21"/>
              </w:rPr>
              <w:t>引导学生关注儿童文艺中的精品力作，自觉向广大儿童读者推广介绍各种体裁的中外优秀少儿文艺，培养高雅的文学趣味和高尚的文学品味。</w:t>
            </w:r>
          </w:p>
        </w:tc>
      </w:tr>
      <w:tr w14:paraId="3C06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A7462BD">
            <w:pPr>
              <w:spacing w:line="276" w:lineRule="auto"/>
              <w:jc w:val="left"/>
              <w:rPr>
                <w:rFonts w:ascii="宋体" w:hAnsi="宋体" w:eastAsia="宋体" w:cs="宋体"/>
                <w:szCs w:val="21"/>
              </w:rPr>
            </w:pPr>
            <w:r>
              <w:rPr>
                <w:rFonts w:hint="eastAsia" w:ascii="宋体" w:hAnsi="宋体" w:eastAsia="宋体" w:cs="宋体"/>
                <w:szCs w:val="21"/>
              </w:rPr>
              <w:t>儿童文学名家名篇鉴赏与批评</w:t>
            </w:r>
          </w:p>
        </w:tc>
        <w:tc>
          <w:tcPr>
            <w:tcW w:w="3407" w:type="dxa"/>
            <w:vAlign w:val="center"/>
          </w:tcPr>
          <w:p w14:paraId="7DDE2DA8">
            <w:pPr>
              <w:spacing w:line="276" w:lineRule="auto"/>
              <w:jc w:val="left"/>
              <w:rPr>
                <w:rFonts w:ascii="宋体" w:hAnsi="宋体" w:eastAsia="宋体" w:cs="宋体"/>
                <w:szCs w:val="21"/>
              </w:rPr>
            </w:pPr>
            <w:r>
              <w:rPr>
                <w:rFonts w:hint="eastAsia" w:ascii="宋体" w:hAnsi="宋体" w:eastAsia="宋体" w:cs="宋体"/>
                <w:szCs w:val="21"/>
              </w:rPr>
              <w:t>选择一个中外儿童文学名著或由名著改变的而儿童影视片，深入研读，认真体验，撰写一篇读后感/观后感/文学评论</w:t>
            </w:r>
          </w:p>
        </w:tc>
        <w:tc>
          <w:tcPr>
            <w:tcW w:w="740" w:type="dxa"/>
            <w:vAlign w:val="center"/>
          </w:tcPr>
          <w:p w14:paraId="469FBEDD">
            <w:pPr>
              <w:spacing w:line="276" w:lineRule="auto"/>
              <w:jc w:val="center"/>
              <w:rPr>
                <w:rFonts w:hint="eastAsia" w:ascii="宋体" w:hAnsi="宋体" w:eastAsia="宋体" w:cs="宋体"/>
                <w:szCs w:val="21"/>
              </w:rPr>
            </w:pPr>
            <w:r>
              <w:rPr>
                <w:rFonts w:hint="eastAsia" w:ascii="宋体" w:hAnsi="宋体" w:eastAsia="宋体" w:cs="宋体"/>
                <w:szCs w:val="21"/>
              </w:rPr>
              <w:t>撰写</w:t>
            </w:r>
          </w:p>
          <w:p w14:paraId="60CBBF8F">
            <w:pPr>
              <w:spacing w:line="276" w:lineRule="auto"/>
              <w:jc w:val="center"/>
              <w:rPr>
                <w:rFonts w:ascii="宋体" w:hAnsi="宋体" w:eastAsia="宋体" w:cs="宋体"/>
                <w:szCs w:val="21"/>
              </w:rPr>
            </w:pPr>
            <w:r>
              <w:rPr>
                <w:rFonts w:hint="eastAsia" w:ascii="宋体" w:hAnsi="宋体" w:eastAsia="宋体" w:cs="宋体"/>
                <w:szCs w:val="21"/>
              </w:rPr>
              <w:t>讨论</w:t>
            </w:r>
          </w:p>
        </w:tc>
        <w:tc>
          <w:tcPr>
            <w:tcW w:w="3160" w:type="dxa"/>
            <w:vAlign w:val="center"/>
          </w:tcPr>
          <w:p w14:paraId="7853059B">
            <w:pPr>
              <w:spacing w:line="276" w:lineRule="auto"/>
              <w:jc w:val="left"/>
              <w:rPr>
                <w:rFonts w:ascii="宋体" w:hAnsi="宋体" w:eastAsia="宋体" w:cs="宋体"/>
                <w:szCs w:val="21"/>
              </w:rPr>
            </w:pPr>
            <w:r>
              <w:rPr>
                <w:rFonts w:hint="eastAsia" w:ascii="宋体" w:hAnsi="宋体" w:eastAsia="宋体" w:cs="宋体"/>
                <w:szCs w:val="21"/>
              </w:rPr>
              <w:t>引导学生准确把握儿童文学鉴赏和批评的价值标准，提升文学审美品味，培养学术规范意识和创新精神。</w:t>
            </w:r>
            <w:r>
              <w:rPr>
                <w:rFonts w:ascii="宋体" w:hAnsi="宋体" w:eastAsia="宋体" w:cs="宋体"/>
                <w:szCs w:val="21"/>
              </w:rPr>
              <w:t xml:space="preserve"> </w:t>
            </w:r>
          </w:p>
        </w:tc>
      </w:tr>
      <w:tr w14:paraId="5371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1127F9D0">
            <w:pPr>
              <w:spacing w:line="276" w:lineRule="auto"/>
              <w:jc w:val="left"/>
              <w:rPr>
                <w:rFonts w:ascii="宋体" w:hAnsi="宋体" w:eastAsia="宋体" w:cs="宋体"/>
                <w:szCs w:val="21"/>
              </w:rPr>
            </w:pPr>
            <w:r>
              <w:rPr>
                <w:rFonts w:hint="eastAsia" w:ascii="宋体" w:hAnsi="宋体" w:eastAsia="宋体" w:cs="宋体"/>
                <w:szCs w:val="21"/>
              </w:rPr>
              <w:t>儿童文学作品教学</w:t>
            </w:r>
          </w:p>
        </w:tc>
        <w:tc>
          <w:tcPr>
            <w:tcW w:w="3407" w:type="dxa"/>
            <w:vAlign w:val="center"/>
          </w:tcPr>
          <w:p w14:paraId="160C9DD3">
            <w:pPr>
              <w:spacing w:line="276" w:lineRule="auto"/>
              <w:jc w:val="left"/>
              <w:rPr>
                <w:rFonts w:ascii="宋体" w:hAnsi="宋体" w:eastAsia="宋体" w:cs="宋体"/>
                <w:szCs w:val="21"/>
              </w:rPr>
            </w:pPr>
            <w:r>
              <w:rPr>
                <w:rFonts w:hint="eastAsia" w:ascii="宋体" w:hAnsi="宋体" w:eastAsia="宋体" w:cs="宋体"/>
                <w:szCs w:val="21"/>
              </w:rPr>
              <w:t xml:space="preserve">选择一篇儿童文学作品，深入专研作品内容与艺术，设计一份教学方案，交流分享 </w:t>
            </w:r>
          </w:p>
        </w:tc>
        <w:tc>
          <w:tcPr>
            <w:tcW w:w="740" w:type="dxa"/>
            <w:vAlign w:val="center"/>
          </w:tcPr>
          <w:p w14:paraId="40219F92">
            <w:pPr>
              <w:spacing w:line="276" w:lineRule="auto"/>
              <w:jc w:val="center"/>
              <w:rPr>
                <w:rFonts w:ascii="宋体" w:hAnsi="宋体" w:eastAsia="宋体" w:cs="宋体"/>
                <w:szCs w:val="21"/>
              </w:rPr>
            </w:pPr>
            <w:r>
              <w:rPr>
                <w:rFonts w:hint="eastAsia" w:ascii="宋体" w:hAnsi="宋体" w:eastAsia="宋体" w:cs="宋体"/>
                <w:szCs w:val="21"/>
              </w:rPr>
              <w:t>设计交流</w:t>
            </w:r>
          </w:p>
        </w:tc>
        <w:tc>
          <w:tcPr>
            <w:tcW w:w="3160" w:type="dxa"/>
            <w:vAlign w:val="center"/>
          </w:tcPr>
          <w:p w14:paraId="15F73431">
            <w:pPr>
              <w:spacing w:line="276" w:lineRule="auto"/>
              <w:jc w:val="left"/>
              <w:rPr>
                <w:rFonts w:ascii="宋体" w:hAnsi="宋体" w:eastAsia="宋体" w:cs="宋体"/>
                <w:szCs w:val="21"/>
              </w:rPr>
            </w:pPr>
            <w:r>
              <w:rPr>
                <w:rFonts w:ascii="宋体" w:hAnsi="宋体" w:eastAsia="宋体" w:cs="宋体"/>
                <w:szCs w:val="21"/>
              </w:rPr>
              <w:t>深入领悟优秀儿童文学作品中蕴含的思想意蕴和艺术成就</w:t>
            </w:r>
            <w:r>
              <w:rPr>
                <w:rFonts w:hint="eastAsia" w:ascii="宋体" w:hAnsi="宋体" w:eastAsia="宋体" w:cs="宋体"/>
                <w:szCs w:val="21"/>
              </w:rPr>
              <w:t>，</w:t>
            </w:r>
            <w:r>
              <w:rPr>
                <w:rFonts w:ascii="宋体" w:hAnsi="宋体" w:eastAsia="宋体" w:cs="宋体"/>
                <w:szCs w:val="21"/>
              </w:rPr>
              <w:t>培养</w:t>
            </w:r>
            <w:r>
              <w:rPr>
                <w:rFonts w:hint="eastAsia" w:ascii="宋体" w:hAnsi="宋体" w:eastAsia="宋体" w:cs="宋体"/>
                <w:szCs w:val="21"/>
              </w:rPr>
              <w:t>教学</w:t>
            </w:r>
            <w:r>
              <w:rPr>
                <w:rFonts w:ascii="宋体" w:hAnsi="宋体" w:eastAsia="宋体" w:cs="宋体"/>
                <w:szCs w:val="21"/>
              </w:rPr>
              <w:t>实践过程中的创新精神</w:t>
            </w:r>
            <w:r>
              <w:rPr>
                <w:rFonts w:hint="eastAsia" w:ascii="宋体" w:hAnsi="宋体" w:eastAsia="宋体" w:cs="宋体"/>
                <w:szCs w:val="21"/>
              </w:rPr>
              <w:t>。</w:t>
            </w:r>
          </w:p>
        </w:tc>
      </w:tr>
    </w:tbl>
    <w:p w14:paraId="0770A287">
      <w:pPr>
        <w:tabs>
          <w:tab w:val="left" w:pos="720"/>
          <w:tab w:val="left" w:pos="1080"/>
        </w:tabs>
        <w:spacing w:line="276" w:lineRule="auto"/>
        <w:rPr>
          <w:rFonts w:ascii="Times New Roman" w:hAnsi="Times New Roman" w:eastAsia="宋体" w:cs="Times New Roman"/>
          <w:sz w:val="24"/>
          <w:szCs w:val="22"/>
        </w:rPr>
      </w:pPr>
    </w:p>
    <w:p w14:paraId="4AF459FD">
      <w:pPr>
        <w:adjustRightInd w:val="0"/>
        <w:snapToGrid w:val="0"/>
        <w:spacing w:line="360" w:lineRule="auto"/>
        <w:ind w:firstLine="482" w:firstLineChars="200"/>
        <w:outlineLvl w:val="0"/>
        <w:rPr>
          <w:rFonts w:ascii="Times New Roman" w:hAnsi="Times New Roman" w:eastAsia="宋体" w:cs="Times New Roman"/>
          <w:b/>
          <w:bCs/>
          <w:sz w:val="24"/>
          <w:szCs w:val="22"/>
        </w:rPr>
      </w:pPr>
      <w:bookmarkStart w:id="1977" w:name="_Toc831"/>
      <w:bookmarkStart w:id="1978" w:name="_Toc309"/>
      <w:bookmarkStart w:id="1979" w:name="_Toc2371"/>
      <w:bookmarkStart w:id="1980" w:name="_Toc24859"/>
      <w:bookmarkStart w:id="1981" w:name="_Toc18472"/>
      <w:bookmarkStart w:id="1982" w:name="_Toc5877"/>
      <w:bookmarkStart w:id="1983" w:name="_Toc18158"/>
      <w:r>
        <w:rPr>
          <w:rFonts w:ascii="Times New Roman" w:hAnsi="Times New Roman" w:eastAsia="宋体" w:cs="Times New Roman"/>
          <w:b/>
          <w:bCs/>
          <w:sz w:val="24"/>
          <w:szCs w:val="22"/>
        </w:rPr>
        <w:t>六、有关说明</w:t>
      </w:r>
      <w:bookmarkEnd w:id="1977"/>
      <w:bookmarkEnd w:id="1978"/>
      <w:bookmarkEnd w:id="1979"/>
      <w:bookmarkEnd w:id="1980"/>
      <w:bookmarkEnd w:id="1981"/>
      <w:bookmarkEnd w:id="1982"/>
      <w:bookmarkEnd w:id="1983"/>
    </w:p>
    <w:p w14:paraId="5D2D61BF">
      <w:pPr>
        <w:adjustRightInd w:val="0"/>
        <w:snapToGrid w:val="0"/>
        <w:spacing w:line="360" w:lineRule="auto"/>
        <w:ind w:firstLine="482" w:firstLineChars="200"/>
        <w:outlineLvl w:val="1"/>
        <w:rPr>
          <w:rFonts w:ascii="Times New Roman" w:hAnsi="Times New Roman" w:eastAsia="宋体" w:cs="Times New Roman"/>
          <w:b/>
          <w:sz w:val="24"/>
          <w:szCs w:val="22"/>
        </w:rPr>
      </w:pPr>
      <w:bookmarkStart w:id="1984" w:name="_Toc12716"/>
      <w:r>
        <w:rPr>
          <w:rFonts w:ascii="Times New Roman" w:hAnsi="Times New Roman" w:eastAsia="宋体" w:cs="Times New Roman"/>
          <w:b/>
          <w:sz w:val="24"/>
          <w:szCs w:val="22"/>
        </w:rPr>
        <w:t>（一）持续改进</w:t>
      </w:r>
      <w:bookmarkEnd w:id="1984"/>
    </w:p>
    <w:p w14:paraId="251F7881">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根据学生课堂教学中的反应、课后反馈、作业质量、答卷情况，以及领导、督导、教师同行等的听课情况，及时发现和改进教学中的不足之处，确保相应毕业要求指标点达成。</w:t>
      </w:r>
    </w:p>
    <w:p w14:paraId="70E2B16D">
      <w:pPr>
        <w:adjustRightInd w:val="0"/>
        <w:snapToGrid w:val="0"/>
        <w:spacing w:line="360" w:lineRule="auto"/>
        <w:ind w:firstLine="482" w:firstLineChars="200"/>
        <w:outlineLvl w:val="1"/>
        <w:rPr>
          <w:rFonts w:ascii="Times New Roman" w:hAnsi="Times New Roman" w:eastAsia="宋体" w:cs="Times New Roman"/>
          <w:b/>
          <w:bCs/>
          <w:sz w:val="24"/>
          <w:szCs w:val="22"/>
        </w:rPr>
      </w:pPr>
      <w:bookmarkStart w:id="1985" w:name="_Toc9452"/>
      <w:r>
        <w:rPr>
          <w:rFonts w:hint="eastAsia" w:ascii="Times New Roman" w:hAnsi="Times New Roman" w:eastAsia="宋体" w:cs="Times New Roman"/>
          <w:b/>
          <w:bCs/>
          <w:sz w:val="24"/>
          <w:szCs w:val="22"/>
        </w:rPr>
        <w:t>（二）建议教材</w:t>
      </w:r>
      <w:bookmarkEnd w:id="1985"/>
    </w:p>
    <w:p w14:paraId="0294FB97">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等线" w:cs="Times New Roman"/>
          <w:sz w:val="24"/>
          <w:szCs w:val="22"/>
        </w:rPr>
        <w:t>方卫平、王昆建</w:t>
      </w:r>
      <w:r>
        <w:rPr>
          <w:rFonts w:ascii="Times New Roman" w:hAnsi="Times New Roman" w:eastAsia="宋体" w:cs="Times New Roman"/>
          <w:sz w:val="24"/>
          <w:szCs w:val="22"/>
        </w:rPr>
        <w:t>：《</w:t>
      </w:r>
      <w:r>
        <w:rPr>
          <w:rFonts w:hint="eastAsia" w:ascii="Times New Roman" w:hAnsi="Times New Roman" w:eastAsia="等线" w:cs="Times New Roman"/>
          <w:sz w:val="24"/>
          <w:szCs w:val="22"/>
        </w:rPr>
        <w:t>儿童文学教程</w:t>
      </w:r>
      <w:r>
        <w:rPr>
          <w:rFonts w:ascii="Times New Roman" w:hAnsi="Times New Roman" w:eastAsia="宋体" w:cs="Times New Roman"/>
          <w:sz w:val="24"/>
          <w:szCs w:val="22"/>
        </w:rPr>
        <w:t>》</w:t>
      </w:r>
      <w:r>
        <w:rPr>
          <w:rFonts w:hint="eastAsia" w:ascii="Times New Roman" w:hAnsi="Times New Roman" w:eastAsia="宋体" w:cs="Times New Roman"/>
          <w:sz w:val="24"/>
          <w:szCs w:val="22"/>
        </w:rPr>
        <w:t>（第4版）</w:t>
      </w:r>
      <w:r>
        <w:rPr>
          <w:rFonts w:ascii="Times New Roman" w:hAnsi="Times New Roman" w:eastAsia="宋体" w:cs="Times New Roman"/>
          <w:sz w:val="24"/>
          <w:szCs w:val="22"/>
        </w:rPr>
        <w:t>，北京：</w:t>
      </w:r>
      <w:r>
        <w:rPr>
          <w:rFonts w:hint="eastAsia" w:ascii="Times New Roman" w:hAnsi="Times New Roman" w:eastAsia="等线" w:cs="Times New Roman"/>
          <w:sz w:val="24"/>
          <w:szCs w:val="22"/>
        </w:rPr>
        <w:t>高等教育</w:t>
      </w:r>
      <w:r>
        <w:rPr>
          <w:rFonts w:ascii="Times New Roman" w:hAnsi="Times New Roman" w:eastAsia="宋体" w:cs="Times New Roman"/>
          <w:sz w:val="24"/>
          <w:szCs w:val="22"/>
        </w:rPr>
        <w:t>出版社，20</w:t>
      </w:r>
      <w:r>
        <w:rPr>
          <w:rFonts w:hint="eastAsia" w:ascii="Times New Roman" w:hAnsi="Times New Roman" w:eastAsia="宋体" w:cs="Times New Roman"/>
          <w:sz w:val="24"/>
          <w:szCs w:val="22"/>
        </w:rPr>
        <w:t>22</w:t>
      </w:r>
      <w:r>
        <w:rPr>
          <w:rFonts w:ascii="Times New Roman" w:hAnsi="Times New Roman" w:eastAsia="宋体" w:cs="Times New Roman"/>
          <w:sz w:val="24"/>
          <w:szCs w:val="22"/>
        </w:rPr>
        <w:t>.8</w:t>
      </w:r>
    </w:p>
    <w:p w14:paraId="76E52AC7">
      <w:pPr>
        <w:adjustRightInd w:val="0"/>
        <w:snapToGrid w:val="0"/>
        <w:spacing w:line="360" w:lineRule="auto"/>
        <w:ind w:firstLine="482" w:firstLineChars="200"/>
        <w:outlineLvl w:val="1"/>
        <w:rPr>
          <w:rFonts w:ascii="Times New Roman" w:hAnsi="Times New Roman" w:eastAsia="宋体" w:cs="Times New Roman"/>
          <w:b/>
          <w:sz w:val="24"/>
          <w:szCs w:val="22"/>
        </w:rPr>
      </w:pPr>
      <w:bookmarkStart w:id="1986" w:name="_Toc183"/>
      <w:r>
        <w:rPr>
          <w:rFonts w:ascii="Times New Roman" w:hAnsi="Times New Roman" w:eastAsia="宋体" w:cs="Times New Roman"/>
          <w:b/>
          <w:sz w:val="24"/>
          <w:szCs w:val="22"/>
        </w:rPr>
        <w:t>（</w:t>
      </w:r>
      <w:r>
        <w:rPr>
          <w:rFonts w:hint="eastAsia" w:ascii="Times New Roman" w:hAnsi="Times New Roman" w:eastAsia="宋体" w:cs="Times New Roman"/>
          <w:b/>
          <w:sz w:val="24"/>
          <w:szCs w:val="22"/>
        </w:rPr>
        <w:t>三</w:t>
      </w:r>
      <w:r>
        <w:rPr>
          <w:rFonts w:ascii="Times New Roman" w:hAnsi="Times New Roman" w:eastAsia="宋体" w:cs="Times New Roman"/>
          <w:b/>
          <w:sz w:val="24"/>
          <w:szCs w:val="22"/>
        </w:rPr>
        <w:t>）参考书目及学习资料</w:t>
      </w:r>
      <w:bookmarkEnd w:id="1986"/>
    </w:p>
    <w:p w14:paraId="38D7223B">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1.方卫平.儿童文学教程.上海：复旦大学出版社，2015.</w:t>
      </w:r>
    </w:p>
    <w:p w14:paraId="5E9642ED">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2.朱自强.儿童文学概论.北京：高等教育出版社，2009.</w:t>
      </w:r>
    </w:p>
    <w:p w14:paraId="7ABDC3AC">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3.王泉根.儿童文学教程.北京：北京师范大学出版社，2017.</w:t>
      </w:r>
    </w:p>
    <w:p w14:paraId="44C57E7A">
      <w:pPr>
        <w:adjustRightInd w:val="0"/>
        <w:snapToGrid w:val="0"/>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4.谭旭东.儿童文学概论.北京：中国人民大学出版社，2016.</w:t>
      </w:r>
    </w:p>
    <w:p w14:paraId="46D42323">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5.黄云生.儿童文学教程.杭州：浙江大学出版社，2018.</w:t>
      </w:r>
    </w:p>
    <w:p w14:paraId="0D3E115B">
      <w:pPr>
        <w:adjustRightInd w:val="0"/>
        <w:snapToGrid w:val="0"/>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6.吴其南.儿童文学.上海：华东师范大学出版社，2013.</w:t>
      </w:r>
    </w:p>
    <w:p w14:paraId="33D80C9B">
      <w:pPr>
        <w:adjustRightInd w:val="0"/>
        <w:snapToGrid w:val="0"/>
        <w:spacing w:line="360" w:lineRule="auto"/>
        <w:ind w:firstLine="6480" w:firstLineChars="2700"/>
        <w:jc w:val="left"/>
        <w:rPr>
          <w:rFonts w:ascii="Times New Roman" w:hAnsi="Times New Roman" w:eastAsia="宋体" w:cs="Times New Roman"/>
          <w:sz w:val="24"/>
          <w:szCs w:val="22"/>
        </w:rPr>
      </w:pPr>
    </w:p>
    <w:p w14:paraId="19FAA98E">
      <w:pPr>
        <w:adjustRightInd w:val="0"/>
        <w:snapToGrid w:val="0"/>
        <w:spacing w:line="360" w:lineRule="auto"/>
        <w:ind w:firstLine="6480" w:firstLineChars="2700"/>
        <w:jc w:val="left"/>
        <w:rPr>
          <w:rFonts w:ascii="Times New Roman" w:hAnsi="Times New Roman" w:eastAsia="宋体" w:cs="Times New Roman"/>
          <w:sz w:val="24"/>
          <w:szCs w:val="22"/>
        </w:rPr>
      </w:pPr>
      <w:r>
        <w:rPr>
          <w:rFonts w:ascii="Times New Roman" w:hAnsi="Times New Roman" w:eastAsia="宋体" w:cs="Times New Roman"/>
          <w:sz w:val="24"/>
          <w:szCs w:val="22"/>
        </w:rPr>
        <w:t xml:space="preserve">  执笔人：</w:t>
      </w:r>
      <w:r>
        <w:rPr>
          <w:rFonts w:hint="eastAsia" w:ascii="Times New Roman" w:hAnsi="Times New Roman" w:eastAsia="等线" w:cs="Times New Roman"/>
          <w:sz w:val="24"/>
          <w:szCs w:val="22"/>
        </w:rPr>
        <w:t>杨建生</w:t>
      </w:r>
    </w:p>
    <w:p w14:paraId="3A805732">
      <w:pPr>
        <w:adjustRightInd w:val="0"/>
        <w:snapToGrid w:val="0"/>
        <w:spacing w:line="360" w:lineRule="auto"/>
        <w:ind w:firstLine="6480" w:firstLineChars="270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  审定人：王  健</w:t>
      </w:r>
      <w:r>
        <w:rPr>
          <w:rFonts w:hint="eastAsia" w:ascii="宋体" w:hAnsi="宋体" w:eastAsia="等线" w:cs="Times New Roman"/>
          <w:kern w:val="0"/>
          <w:sz w:val="24"/>
          <w:szCs w:val="21"/>
        </w:rPr>
        <w:t xml:space="preserve"> </w:t>
      </w:r>
    </w:p>
    <w:p w14:paraId="2B3F79A6">
      <w:pPr>
        <w:ind w:firstLine="6720" w:firstLineChars="2800"/>
        <w:rPr>
          <w:rFonts w:ascii="宋体" w:hAnsi="宋体" w:eastAsia="等线" w:cs="Times New Roman"/>
          <w:kern w:val="0"/>
          <w:sz w:val="24"/>
          <w:szCs w:val="21"/>
        </w:rPr>
      </w:pPr>
      <w:r>
        <w:rPr>
          <w:rFonts w:ascii="Times New Roman" w:hAnsi="Times New Roman" w:eastAsia="宋体" w:cs="Times New Roman"/>
          <w:sz w:val="24"/>
          <w:szCs w:val="22"/>
        </w:rPr>
        <w:t>审批人：</w:t>
      </w:r>
      <w:r>
        <w:rPr>
          <w:rFonts w:hint="eastAsia" w:ascii="宋体" w:hAnsi="宋体" w:eastAsia="等线" w:cs="Times New Roman"/>
          <w:kern w:val="0"/>
          <w:sz w:val="24"/>
          <w:szCs w:val="21"/>
        </w:rPr>
        <w:t>张志欣</w:t>
      </w:r>
    </w:p>
    <w:p w14:paraId="28F3F302">
      <w:pPr>
        <w:ind w:firstLine="5280" w:firstLineChars="2200"/>
        <w:rPr>
          <w:rFonts w:hint="eastAsia" w:ascii="宋体" w:hAnsi="宋体" w:eastAsia="等线" w:cs="Times New Roman"/>
          <w:kern w:val="0"/>
          <w:sz w:val="24"/>
          <w:szCs w:val="21"/>
        </w:rPr>
      </w:pPr>
      <w:r>
        <w:rPr>
          <w:rFonts w:hint="eastAsia" w:ascii="宋体" w:hAnsi="宋体" w:eastAsia="等线" w:cs="Times New Roman"/>
          <w:kern w:val="0"/>
          <w:sz w:val="24"/>
          <w:szCs w:val="21"/>
          <w:lang w:val="en-US" w:eastAsia="zh-CN"/>
        </w:rPr>
        <w:t>批准</w:t>
      </w:r>
      <w:r>
        <w:rPr>
          <w:rFonts w:hint="eastAsia" w:ascii="宋体" w:hAnsi="宋体" w:eastAsia="等线" w:cs="Times New Roman"/>
          <w:kern w:val="0"/>
          <w:sz w:val="24"/>
          <w:szCs w:val="21"/>
        </w:rPr>
        <w:t>时间：2024年9月1日</w:t>
      </w:r>
    </w:p>
    <w:p w14:paraId="20E16DF3">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5608A3BB">
      <w:pPr>
        <w:pStyle w:val="2"/>
        <w:bidi w:val="0"/>
        <w:rPr>
          <w:lang w:val="en-US" w:eastAsia="zh-CN"/>
        </w:rPr>
      </w:pPr>
      <w:bookmarkStart w:id="1987" w:name="_Toc278"/>
      <w:bookmarkStart w:id="1988" w:name="_Toc11355"/>
      <w:bookmarkStart w:id="1989" w:name="_Toc22048"/>
      <w:bookmarkStart w:id="1990" w:name="_Toc24245"/>
      <w:r>
        <w:rPr>
          <w:rFonts w:hint="eastAsia"/>
          <w:lang w:val="en-US" w:eastAsia="zh-CN"/>
        </w:rPr>
        <w:t>《外国文学》课程教学大纲</w:t>
      </w:r>
      <w:bookmarkEnd w:id="1987"/>
      <w:bookmarkEnd w:id="1988"/>
      <w:bookmarkEnd w:id="1989"/>
      <w:bookmarkEnd w:id="1990"/>
    </w:p>
    <w:p w14:paraId="057435BF">
      <w:pPr>
        <w:pStyle w:val="2"/>
        <w:bidi w:val="0"/>
        <w:rPr>
          <w:lang w:val="en-US" w:eastAsia="zh-CN"/>
        </w:rPr>
      </w:pPr>
      <w:bookmarkStart w:id="1991" w:name="_Toc14250"/>
      <w:bookmarkStart w:id="1992" w:name="_Toc8754"/>
      <w:bookmarkStart w:id="1993" w:name="_Toc16891"/>
      <w:bookmarkStart w:id="1994" w:name="_Toc32345"/>
      <w:bookmarkStart w:id="1995" w:name="_Toc25199"/>
      <w:bookmarkStart w:id="1996" w:name="_Toc10746"/>
      <w:bookmarkStart w:id="1997" w:name="_Toc26605"/>
      <w:r>
        <w:rPr>
          <w:lang w:val="en-US" w:eastAsia="zh-CN"/>
        </w:rPr>
        <w:t>（</w:t>
      </w:r>
      <w:r>
        <w:rPr>
          <w:rFonts w:hint="eastAsia"/>
          <w:lang w:val="en-US" w:eastAsia="zh-CN"/>
        </w:rPr>
        <w:t>Foreign Literature</w:t>
      </w:r>
      <w:r>
        <w:rPr>
          <w:lang w:val="en-US" w:eastAsia="zh-CN"/>
        </w:rPr>
        <w:t>）</w:t>
      </w:r>
      <w:bookmarkEnd w:id="1991"/>
      <w:bookmarkEnd w:id="1992"/>
      <w:bookmarkEnd w:id="1993"/>
      <w:bookmarkEnd w:id="1994"/>
      <w:bookmarkEnd w:id="1995"/>
      <w:bookmarkEnd w:id="1996"/>
      <w:bookmarkEnd w:id="1997"/>
    </w:p>
    <w:p w14:paraId="494C10CB">
      <w:pPr>
        <w:spacing w:line="360" w:lineRule="auto"/>
        <w:jc w:val="center"/>
        <w:rPr>
          <w:rFonts w:ascii="Times New Roman" w:hAnsi="Times New Roman" w:eastAsia="宋体" w:cs="Times New Roman"/>
          <w:bCs/>
          <w:sz w:val="30"/>
          <w:szCs w:val="30"/>
        </w:rPr>
      </w:pPr>
    </w:p>
    <w:p w14:paraId="1E9C7B59">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外国文学</w:t>
      </w:r>
    </w:p>
    <w:p w14:paraId="600CB4C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课程代码：0705073</w:t>
      </w:r>
    </w:p>
    <w:p w14:paraId="4C9B865A">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3</w:t>
      </w:r>
    </w:p>
    <w:p w14:paraId="50D2B9EB">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48</w:t>
      </w:r>
    </w:p>
    <w:p w14:paraId="5580A45C">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无</w:t>
      </w:r>
    </w:p>
    <w:p w14:paraId="5C08586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73E3EEDC">
      <w:pPr>
        <w:spacing w:line="360" w:lineRule="auto"/>
        <w:jc w:val="left"/>
        <w:rPr>
          <w:rFonts w:ascii="Times New Roman" w:hAnsi="Times New Roman" w:eastAsia="宋体" w:cs="Times New Roman"/>
          <w:b/>
          <w:sz w:val="24"/>
          <w:szCs w:val="24"/>
        </w:rPr>
      </w:pPr>
    </w:p>
    <w:p w14:paraId="08835C2A">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F4CFEA1">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系统学习，学生能够掌握外国文学发展的基本脉络、各个时期代表性的文学思潮及代表作家作品，并能够运用马克思主义文艺观、美学观等文学理论对文学文本进行阐释分析。同时，也让学生更好地了解世界文学与文化，激发学生对人类文化的关注与思考，加深学生对世界文化的多样性、东西方文学的影响与交融现象、人类命运共同体与审美共同体的理解，并且可以潜移默化地对大学生起到情感熏陶、思想教育和道德陶冶的作用。</w:t>
      </w:r>
    </w:p>
    <w:p w14:paraId="32162ED0">
      <w:pPr>
        <w:spacing w:line="360" w:lineRule="auto"/>
        <w:jc w:val="left"/>
        <w:rPr>
          <w:rFonts w:ascii="宋体" w:hAnsi="宋体" w:eastAsia="宋体" w:cs="Times New Roman"/>
          <w:b/>
          <w:color w:val="000000"/>
          <w:szCs w:val="21"/>
        </w:rPr>
      </w:pPr>
    </w:p>
    <w:p w14:paraId="0202DBF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D245E6D">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1E2459D">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了解外国文学发展的基本历程和脉络，掌握外国文学史上的重要文学现象、文学思潮、文学流派、代表作家作品。感受世界文学的多样性，认识东西方文学的影响与交融现象。</w:t>
      </w:r>
    </w:p>
    <w:p w14:paraId="6E788E42">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能阅读、欣赏、评析外国文学作品，理解作品的思想内容和艺术特色，能辩证地认识外国文学的思想价值和伦理价值，能运用多种批评方法阅读和阐释文学作品，开展初步的学术研究。</w:t>
      </w:r>
    </w:p>
    <w:p w14:paraId="2DC36728">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培养学生对真、善、美的追求和对知识的探索，培养和健全学生的人文精神，使学生形成正确的审美趣味和品格，让学生拥有开放的胸怀和国际化的视野，在比较视域中理解中国文化的特质，坚定文化自信。</w:t>
      </w:r>
    </w:p>
    <w:p w14:paraId="5883310B">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607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D4D33F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063B2F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B3C80A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F8E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2098" w:type="dxa"/>
            <w:vAlign w:val="center"/>
          </w:tcPr>
          <w:p w14:paraId="53B3651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57BF2603">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w:t>
            </w:r>
            <w:r>
              <w:rPr>
                <w:rFonts w:hint="eastAsia" w:ascii="宋体" w:hAnsi="宋体" w:eastAsia="宋体" w:cs="Times New Roman"/>
                <w:color w:val="000000"/>
                <w:spacing w:val="2"/>
                <w:kern w:val="0"/>
                <w:szCs w:val="21"/>
                <w:lang w:val="en-US" w:eastAsia="zh-CN"/>
              </w:rPr>
              <w:t>3</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自身修养良好</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具有较好的人文底蕴与科学精神，</w:t>
            </w:r>
            <w:r>
              <w:rPr>
                <w:rFonts w:hint="eastAsia" w:ascii="宋体" w:hAnsi="宋体" w:eastAsia="宋体" w:cs="Times New Roman"/>
                <w:color w:val="000000"/>
                <w:spacing w:val="2"/>
                <w:kern w:val="0"/>
                <w:szCs w:val="21"/>
                <w:lang w:val="en-US" w:eastAsia="zh-CN"/>
              </w:rPr>
              <w:t>言行举止符合教师职业标准，情感积极，人格健全，身心健康</w:t>
            </w:r>
            <w:r>
              <w:rPr>
                <w:rFonts w:ascii="宋体" w:hAnsi="宋体" w:eastAsia="宋体" w:cs="Times New Roman"/>
                <w:color w:val="000000"/>
                <w:spacing w:val="2"/>
                <w:kern w:val="0"/>
                <w:szCs w:val="21"/>
              </w:rPr>
              <w:t>。</w:t>
            </w:r>
          </w:p>
        </w:tc>
        <w:tc>
          <w:tcPr>
            <w:tcW w:w="1191" w:type="dxa"/>
            <w:vAlign w:val="center"/>
          </w:tcPr>
          <w:p w14:paraId="19D8DB4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619D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2098" w:type="dxa"/>
            <w:vAlign w:val="center"/>
          </w:tcPr>
          <w:p w14:paraId="6B555A5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313B1779">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lang w:val="en-US" w:eastAsia="zh-CN"/>
              </w:rPr>
              <w:t>2</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学科知识扎实</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r>
              <w:rPr>
                <w:rFonts w:ascii="宋体" w:hAnsi="宋体" w:eastAsia="宋体" w:cs="Times New Roman"/>
                <w:color w:val="000000"/>
                <w:spacing w:val="2"/>
                <w:kern w:val="0"/>
                <w:szCs w:val="21"/>
              </w:rPr>
              <w:t>。</w:t>
            </w:r>
          </w:p>
        </w:tc>
        <w:tc>
          <w:tcPr>
            <w:tcW w:w="1191" w:type="dxa"/>
            <w:vAlign w:val="center"/>
          </w:tcPr>
          <w:p w14:paraId="0A522EB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727C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098" w:type="dxa"/>
            <w:vAlign w:val="center"/>
          </w:tcPr>
          <w:p w14:paraId="00C205D1">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4教学能力</w:t>
            </w:r>
          </w:p>
        </w:tc>
        <w:tc>
          <w:tcPr>
            <w:tcW w:w="5688" w:type="dxa"/>
            <w:vAlign w:val="center"/>
          </w:tcPr>
          <w:p w14:paraId="5FC8D8B3">
            <w:pPr>
              <w:spacing w:line="276" w:lineRule="auto"/>
              <w:jc w:val="left"/>
              <w:rPr>
                <w:rFonts w:ascii="Times New Roman" w:hAnsi="Times New Roman" w:eastAsia="宋体" w:cs="Times New Roman"/>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lang w:val="en-US" w:eastAsia="zh-CN"/>
              </w:rPr>
              <w:t>4</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52FAE61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2974F7D7">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6C3E5DDB">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促使学生在扎实掌握外国文学发展的基本历程和脉络，外国文学史上的重要文学现象、文学思潮、文学流派、代表作家作品</w:t>
      </w:r>
      <w:r>
        <w:rPr>
          <w:rFonts w:hint="eastAsia" w:ascii="宋体" w:hAnsi="宋体" w:eastAsia="宋体" w:cs="Times New Roman"/>
          <w:color w:val="000000"/>
          <w:szCs w:val="21"/>
          <w:lang w:val="en-US" w:eastAsia="zh-CN"/>
        </w:rPr>
        <w:t>基础上</w:t>
      </w:r>
      <w:r>
        <w:rPr>
          <w:rFonts w:hint="eastAsia" w:ascii="宋体" w:hAnsi="宋体" w:eastAsia="宋体" w:cs="Times New Roman"/>
          <w:color w:val="000000"/>
          <w:szCs w:val="21"/>
        </w:rPr>
        <w:t>，能够运用马克思主义文艺观、美学观等文学理论对文学文本进行阐释分析</w:t>
      </w:r>
      <w:r>
        <w:rPr>
          <w:rFonts w:hint="eastAsia" w:ascii="宋体" w:hAnsi="宋体" w:eastAsia="宋体" w:cs="Times New Roman"/>
          <w:color w:val="000000"/>
          <w:szCs w:val="21"/>
          <w:lang w:eastAsia="zh-CN"/>
        </w:rPr>
        <w:t>，培养学生对真、善、美的追求和对知识的探索，培养和健全学生的人文精神，使学生形成正确的审美趣味和品格</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能够</w:t>
      </w:r>
      <w:r>
        <w:rPr>
          <w:rFonts w:hint="eastAsia" w:ascii="宋体" w:hAnsi="宋体" w:eastAsia="宋体" w:cs="Times New Roman"/>
          <w:color w:val="000000"/>
          <w:szCs w:val="21"/>
        </w:rPr>
        <w:t>借鉴和吸收外来优秀文化，拥有广阔的学术胸襟和比较视野，增强民族文化自信，促进民族文学的发展。</w:t>
      </w:r>
    </w:p>
    <w:p w14:paraId="7EF8D648">
      <w:pPr>
        <w:spacing w:line="360" w:lineRule="auto"/>
        <w:jc w:val="left"/>
        <w:rPr>
          <w:rFonts w:ascii="宋体" w:hAnsi="宋体" w:eastAsia="宋体" w:cs="Times New Roman"/>
          <w:b/>
          <w:color w:val="000000"/>
          <w:sz w:val="28"/>
          <w:szCs w:val="28"/>
        </w:rPr>
      </w:pPr>
    </w:p>
    <w:p w14:paraId="6B1628BE">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701"/>
        <w:gridCol w:w="1134"/>
        <w:gridCol w:w="225"/>
        <w:gridCol w:w="2582"/>
        <w:gridCol w:w="453"/>
        <w:gridCol w:w="1560"/>
        <w:gridCol w:w="97"/>
        <w:gridCol w:w="341"/>
      </w:tblGrid>
      <w:tr w14:paraId="1C33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3B871DF">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4082794">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0E96EE8E">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C5A64B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1E475DCD">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gridSpan w:val="3"/>
            <w:vAlign w:val="center"/>
          </w:tcPr>
          <w:p w14:paraId="46CAA9B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AFABAA4">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gridSpan w:val="2"/>
            <w:vAlign w:val="center"/>
          </w:tcPr>
          <w:p w14:paraId="462D3DAA">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C1C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DC6CC6">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外国文学绪论</w:t>
            </w:r>
          </w:p>
        </w:tc>
        <w:tc>
          <w:tcPr>
            <w:tcW w:w="1701" w:type="dxa"/>
            <w:vAlign w:val="center"/>
          </w:tcPr>
          <w:p w14:paraId="507A74D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（1）什么是外国文学</w:t>
            </w:r>
          </w:p>
          <w:p w14:paraId="1626AA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（2）外国文学的历史与现实价值</w:t>
            </w:r>
          </w:p>
          <w:p w14:paraId="16E6B59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（3）外国文学的特征</w:t>
            </w:r>
          </w:p>
          <w:p w14:paraId="225912F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（4）为什么要学习外国文学</w:t>
            </w:r>
          </w:p>
        </w:tc>
        <w:tc>
          <w:tcPr>
            <w:tcW w:w="1134" w:type="dxa"/>
            <w:vAlign w:val="center"/>
          </w:tcPr>
          <w:p w14:paraId="78D03CBD">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3260" w:type="dxa"/>
            <w:gridSpan w:val="3"/>
            <w:vAlign w:val="center"/>
          </w:tcPr>
          <w:p w14:paraId="631DBDB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让学生初步了解外国文学的发展概况，明确学习外国文学的意义和方法</w:t>
            </w:r>
          </w:p>
          <w:p w14:paraId="66C608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让学生从整体上掌握外国文学发展的基本线索</w:t>
            </w:r>
          </w:p>
          <w:p w14:paraId="3D48AA3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了解外国文学发展的阶段性、文学思潮产生的社会历史背景，辩证地认识与思考外国文学的历史局限性与现实意义</w:t>
            </w:r>
          </w:p>
        </w:tc>
        <w:tc>
          <w:tcPr>
            <w:tcW w:w="1560" w:type="dxa"/>
            <w:vAlign w:val="center"/>
          </w:tcPr>
          <w:p w14:paraId="123A90C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.多媒体教学</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.课堂讨论</w:t>
            </w:r>
          </w:p>
          <w:p w14:paraId="6EA74506">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3.课后作业</w:t>
            </w:r>
          </w:p>
        </w:tc>
        <w:tc>
          <w:tcPr>
            <w:tcW w:w="438" w:type="dxa"/>
            <w:gridSpan w:val="2"/>
            <w:vAlign w:val="center"/>
          </w:tcPr>
          <w:p w14:paraId="6123B8CD">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p>
        </w:tc>
      </w:tr>
      <w:tr w14:paraId="6A88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51E613">
            <w:pPr>
              <w:spacing w:line="264" w:lineRule="auto"/>
              <w:jc w:val="center"/>
              <w:rPr>
                <w:rFonts w:ascii="宋体" w:hAnsi="宋体" w:eastAsia="宋体" w:cs="Times New Roman"/>
                <w:color w:val="000000"/>
                <w:szCs w:val="21"/>
              </w:rPr>
            </w:pPr>
          </w:p>
        </w:tc>
        <w:tc>
          <w:tcPr>
            <w:tcW w:w="8093" w:type="dxa"/>
            <w:gridSpan w:val="8"/>
            <w:vAlign w:val="center"/>
          </w:tcPr>
          <w:p w14:paraId="75E3B94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外国文学的内涵、历史与特征，引导学生认识不同国家和民族文化的多样性与独特性，增强跨文化理解能力，培养尊重和包容多元文化的意识，引导学生对比中外文学的异同，认识到中国文学的独特魅力和价值</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辩证地看待外国文学的历史局限性与现实意义，学会用批判性思维分析文学作品中的思想内涵，培养理性思考的能力，树立正确的文化观和价值观。</w:t>
            </w:r>
          </w:p>
        </w:tc>
      </w:tr>
      <w:tr w14:paraId="7910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B97500">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古希腊神话与《荷马史诗》</w:t>
            </w:r>
          </w:p>
        </w:tc>
        <w:tc>
          <w:tcPr>
            <w:tcW w:w="1701" w:type="dxa"/>
            <w:vAlign w:val="center"/>
          </w:tcPr>
          <w:p w14:paraId="30D689F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）古希腊文明的发展进程与文学发展概况</w:t>
            </w:r>
          </w:p>
          <w:p w14:paraId="360ED35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）古希腊神话的产生、特点及意义</w:t>
            </w:r>
          </w:p>
          <w:p w14:paraId="057BC29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）荷马史诗的形成、主要内容和文学价值</w:t>
            </w:r>
          </w:p>
          <w:p w14:paraId="6CCE470D">
            <w:pPr>
              <w:spacing w:line="269" w:lineRule="auto"/>
              <w:jc w:val="left"/>
              <w:rPr>
                <w:rFonts w:hint="eastAsia" w:ascii="宋体" w:hAnsi="宋体" w:eastAsia="宋体" w:cs="Times New Roman"/>
                <w:color w:val="000000"/>
                <w:szCs w:val="21"/>
              </w:rPr>
            </w:pPr>
          </w:p>
        </w:tc>
        <w:tc>
          <w:tcPr>
            <w:tcW w:w="1134" w:type="dxa"/>
            <w:vAlign w:val="center"/>
          </w:tcPr>
          <w:p w14:paraId="77C6C19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3</w:t>
            </w:r>
          </w:p>
        </w:tc>
        <w:tc>
          <w:tcPr>
            <w:tcW w:w="3260" w:type="dxa"/>
            <w:gridSpan w:val="3"/>
            <w:vAlign w:val="center"/>
          </w:tcPr>
          <w:p w14:paraId="7005EA2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了解古希腊罗马文学的主要内容</w:t>
            </w:r>
          </w:p>
          <w:p w14:paraId="692ECDB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掌握古希腊文化的特征以及对西方文化的影响</w:t>
            </w:r>
          </w:p>
          <w:p w14:paraId="2580CC9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能用比较的视野看待中国上古神话与古希腊神话的异同</w:t>
            </w:r>
          </w:p>
        </w:tc>
        <w:tc>
          <w:tcPr>
            <w:tcW w:w="1560" w:type="dxa"/>
            <w:vAlign w:val="center"/>
          </w:tcPr>
          <w:p w14:paraId="7EFD413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.多媒体教学</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.课堂讨论</w:t>
            </w:r>
          </w:p>
          <w:p w14:paraId="4B778C8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3.课后作业</w:t>
            </w:r>
          </w:p>
        </w:tc>
        <w:tc>
          <w:tcPr>
            <w:tcW w:w="438" w:type="dxa"/>
            <w:gridSpan w:val="2"/>
            <w:vAlign w:val="center"/>
          </w:tcPr>
          <w:p w14:paraId="165C85E8">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7237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205" w:type="dxa"/>
            <w:vMerge w:val="continue"/>
            <w:vAlign w:val="center"/>
          </w:tcPr>
          <w:p w14:paraId="5CAFEE0E">
            <w:pPr>
              <w:spacing w:line="264" w:lineRule="auto"/>
              <w:jc w:val="center"/>
              <w:rPr>
                <w:rFonts w:ascii="宋体" w:hAnsi="宋体" w:eastAsia="宋体" w:cs="Times New Roman"/>
                <w:color w:val="000000"/>
                <w:szCs w:val="21"/>
              </w:rPr>
            </w:pPr>
          </w:p>
        </w:tc>
        <w:tc>
          <w:tcPr>
            <w:tcW w:w="8093" w:type="dxa"/>
            <w:gridSpan w:val="8"/>
            <w:vAlign w:val="center"/>
          </w:tcPr>
          <w:p w14:paraId="57FDE49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引导学生深入思考古希腊文学中人本主义思想的价值和意义，理解其对西方文学传统和人文精神的深远影响。同时，帮助学生辩证地认识西方文学和文化中个人主义思想的复杂性。</w:t>
            </w:r>
          </w:p>
        </w:tc>
      </w:tr>
      <w:tr w14:paraId="0890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DAE71B">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古希腊悲剧与《俄狄浦斯王》</w:t>
            </w:r>
          </w:p>
        </w:tc>
        <w:tc>
          <w:tcPr>
            <w:tcW w:w="1701" w:type="dxa"/>
            <w:vAlign w:val="center"/>
          </w:tcPr>
          <w:p w14:paraId="66053EC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）古希腊三大悲剧作家及其代表作品</w:t>
            </w:r>
          </w:p>
          <w:p w14:paraId="6893D81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）《俄狄浦斯王》</w:t>
            </w:r>
            <w:r>
              <w:rPr>
                <w:rFonts w:hint="eastAsia" w:ascii="宋体" w:hAnsi="宋体" w:eastAsia="宋体" w:cs="Times New Roman"/>
                <w:color w:val="000000"/>
                <w:szCs w:val="21"/>
                <w:lang w:val="en-US" w:eastAsia="zh-CN"/>
              </w:rPr>
              <w:t>的戏剧技巧与命运主题</w:t>
            </w:r>
          </w:p>
        </w:tc>
        <w:tc>
          <w:tcPr>
            <w:tcW w:w="1134" w:type="dxa"/>
            <w:vAlign w:val="center"/>
          </w:tcPr>
          <w:p w14:paraId="01E0D20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p>
        </w:tc>
        <w:tc>
          <w:tcPr>
            <w:tcW w:w="3260" w:type="dxa"/>
            <w:gridSpan w:val="3"/>
            <w:vAlign w:val="center"/>
          </w:tcPr>
          <w:p w14:paraId="7767765B">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1.掌握古希腊三大悲剧作家及其代表作品</w:t>
            </w:r>
          </w:p>
          <w:p w14:paraId="09A598B5">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2.理解《俄狄浦斯王》的戏剧技巧</w:t>
            </w:r>
          </w:p>
          <w:p w14:paraId="2BD7E14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能够</w:t>
            </w:r>
            <w:r>
              <w:rPr>
                <w:rFonts w:hint="eastAsia" w:ascii="宋体" w:hAnsi="宋体" w:eastAsia="宋体" w:cs="Times New Roman"/>
                <w:color w:val="000000"/>
                <w:szCs w:val="21"/>
              </w:rPr>
              <w:t>分析《俄狄浦斯王》中的命运主题</w:t>
            </w:r>
          </w:p>
        </w:tc>
        <w:tc>
          <w:tcPr>
            <w:tcW w:w="1560" w:type="dxa"/>
            <w:vAlign w:val="center"/>
          </w:tcPr>
          <w:p w14:paraId="39CCDF9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358F6B6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3D45E15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46F3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C44A07B">
            <w:pPr>
              <w:spacing w:line="264" w:lineRule="auto"/>
              <w:jc w:val="center"/>
              <w:rPr>
                <w:rFonts w:ascii="宋体" w:hAnsi="宋体" w:eastAsia="宋体" w:cs="Times New Roman"/>
                <w:color w:val="000000"/>
                <w:szCs w:val="21"/>
              </w:rPr>
            </w:pPr>
          </w:p>
        </w:tc>
        <w:tc>
          <w:tcPr>
            <w:tcW w:w="8093" w:type="dxa"/>
            <w:gridSpan w:val="8"/>
            <w:vAlign w:val="center"/>
          </w:tcPr>
          <w:p w14:paraId="2F659D8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通过学习古希腊三大悲剧作家及其代表作品，引导学生深入了解西方古典文学的精髓，提升对经典文学作品的鉴赏能力，培养学生的人文素养和审美情趣。</w:t>
            </w:r>
          </w:p>
          <w:p w14:paraId="16F6EB53">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增强辩证思维与理性分析能力。引导学生辩证地看待人与命运的关系，理解个体在命运面前的抗争精神，同时认识到命运的不可抗拒性，从而树立正确的人生观和价值观，增强面对生活挑战的勇气和韧性</w:t>
            </w:r>
            <w:r>
              <w:rPr>
                <w:rFonts w:hint="eastAsia" w:ascii="宋体" w:hAnsi="宋体" w:eastAsia="宋体" w:cs="Times New Roman"/>
                <w:color w:val="000000"/>
                <w:szCs w:val="21"/>
                <w:lang w:eastAsia="zh-CN"/>
              </w:rPr>
              <w:t>。</w:t>
            </w:r>
          </w:p>
        </w:tc>
      </w:tr>
      <w:tr w14:paraId="78E1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5525C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中古文学与《神曲》</w:t>
            </w:r>
          </w:p>
        </w:tc>
        <w:tc>
          <w:tcPr>
            <w:tcW w:w="1701" w:type="dxa"/>
            <w:vAlign w:val="center"/>
          </w:tcPr>
          <w:p w14:paraId="431D561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（1）欧洲中世纪文学的主要类型和特征</w:t>
            </w:r>
          </w:p>
          <w:p w14:paraId="14DED04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（2）《一千零一夜》的故事来源、思想内容及艺术特色</w:t>
            </w:r>
          </w:p>
          <w:p w14:paraId="58D9A08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（3）《神曲》的基本内容、思想意义和艺术特征</w:t>
            </w:r>
          </w:p>
        </w:tc>
        <w:tc>
          <w:tcPr>
            <w:tcW w:w="1134" w:type="dxa"/>
            <w:vAlign w:val="center"/>
          </w:tcPr>
          <w:p w14:paraId="31225A0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3"/>
            <w:vAlign w:val="center"/>
          </w:tcPr>
          <w:p w14:paraId="53B3156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了解中世纪文学的基本类型，掌握欧洲民族史诗的情节和文学史意义</w:t>
            </w:r>
          </w:p>
          <w:p w14:paraId="6D1F4D0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体会《神曲》在中世纪和文艺复兴两个时代的承上启下的意义</w:t>
            </w:r>
          </w:p>
        </w:tc>
        <w:tc>
          <w:tcPr>
            <w:tcW w:w="1560" w:type="dxa"/>
            <w:vAlign w:val="center"/>
          </w:tcPr>
          <w:p w14:paraId="0902B56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2B1E3A7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2331614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3109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205" w:type="dxa"/>
            <w:vMerge w:val="continue"/>
            <w:vAlign w:val="center"/>
          </w:tcPr>
          <w:p w14:paraId="6752B666">
            <w:pPr>
              <w:spacing w:line="276" w:lineRule="auto"/>
              <w:jc w:val="center"/>
              <w:rPr>
                <w:rFonts w:ascii="宋体" w:hAnsi="宋体" w:eastAsia="宋体" w:cs="Times New Roman"/>
                <w:color w:val="000000"/>
                <w:szCs w:val="21"/>
              </w:rPr>
            </w:pPr>
          </w:p>
        </w:tc>
        <w:tc>
          <w:tcPr>
            <w:tcW w:w="8093" w:type="dxa"/>
            <w:gridSpan w:val="8"/>
            <w:vAlign w:val="center"/>
          </w:tcPr>
          <w:p w14:paraId="3D2DEF59">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一千零一夜》中传达的抑恶扬善的思想观念、以善为本的世界观、凭借智慧与勇气追求财富和幸福生活的人生观、以及对劳动人民的优秀品质和美好精神的歌颂，引导学生树立正确的世界观、人生观和价值观。引导学生学习但丁的《神曲》中对真善美的追求，理解作品中体现出的作家对现实问题的关切，增强学生在现实生活中与问题共存的勇气。</w:t>
            </w:r>
          </w:p>
        </w:tc>
      </w:tr>
      <w:tr w14:paraId="00F5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91EBA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文艺复兴时期</w:t>
            </w:r>
            <w:r>
              <w:rPr>
                <w:rFonts w:hint="eastAsia" w:ascii="宋体" w:hAnsi="宋体" w:eastAsia="宋体" w:cs="Times New Roman"/>
                <w:color w:val="000000"/>
                <w:szCs w:val="21"/>
              </w:rPr>
              <w:t>文学</w:t>
            </w:r>
            <w:r>
              <w:rPr>
                <w:rFonts w:hint="eastAsia" w:ascii="宋体" w:hAnsi="宋体" w:eastAsia="宋体" w:cs="Times New Roman"/>
                <w:color w:val="000000"/>
                <w:szCs w:val="21"/>
                <w:lang w:val="en-US" w:eastAsia="zh-CN"/>
              </w:rPr>
              <w:t>概述与《堂吉诃德》</w:t>
            </w:r>
          </w:p>
        </w:tc>
        <w:tc>
          <w:tcPr>
            <w:tcW w:w="1701" w:type="dxa"/>
            <w:vAlign w:val="center"/>
          </w:tcPr>
          <w:p w14:paraId="5932540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（1）文艺复兴时期文学概述</w:t>
            </w:r>
          </w:p>
          <w:p w14:paraId="47E99B9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（2）各国人文主义文学的代表作家和作品</w:t>
            </w:r>
          </w:p>
          <w:p w14:paraId="7B1B8EB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（3）堂吉诃德形象的矛盾性和复杂性</w:t>
            </w:r>
          </w:p>
        </w:tc>
        <w:tc>
          <w:tcPr>
            <w:tcW w:w="1134" w:type="dxa"/>
            <w:vAlign w:val="center"/>
          </w:tcPr>
          <w:p w14:paraId="2353C74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3"/>
            <w:vAlign w:val="center"/>
          </w:tcPr>
          <w:p w14:paraId="0914822C">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1.了解14-16世纪欧洲社会文化概况和文艺复兴运动</w:t>
            </w:r>
          </w:p>
          <w:p w14:paraId="710B7E6A">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2.理解文艺复兴运动的实质，掌握人文主义的特征</w:t>
            </w:r>
          </w:p>
          <w:p w14:paraId="6C1AB23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3.理解堂吉诃德的人物形象复杂性和作品的艺术成就</w:t>
            </w:r>
          </w:p>
        </w:tc>
        <w:tc>
          <w:tcPr>
            <w:tcW w:w="1560" w:type="dxa"/>
            <w:vAlign w:val="center"/>
          </w:tcPr>
          <w:p w14:paraId="7EBE5F7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202F753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482DB65A">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547D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1205" w:type="dxa"/>
            <w:vMerge w:val="continue"/>
            <w:vAlign w:val="center"/>
          </w:tcPr>
          <w:p w14:paraId="430E52F3">
            <w:pPr>
              <w:spacing w:line="276" w:lineRule="auto"/>
              <w:jc w:val="center"/>
              <w:rPr>
                <w:rFonts w:ascii="宋体" w:hAnsi="宋体" w:eastAsia="宋体" w:cs="Times New Roman"/>
                <w:color w:val="000000"/>
                <w:szCs w:val="21"/>
              </w:rPr>
            </w:pPr>
          </w:p>
        </w:tc>
        <w:tc>
          <w:tcPr>
            <w:tcW w:w="8093" w:type="dxa"/>
            <w:gridSpan w:val="8"/>
            <w:vAlign w:val="center"/>
          </w:tcPr>
          <w:p w14:paraId="6B36999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文艺复兴运动和这一时期各国代表作家作品的学习，了解文艺复兴运动产生和发展的社会历史条件，辩证地看待作品中所表现出的人文主义精神。通过堂吉诃德的人物形象的矛盾性和复杂性，让学生理解人文主义理想与现实的矛盾。</w:t>
            </w:r>
          </w:p>
        </w:tc>
      </w:tr>
      <w:tr w14:paraId="4951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55B198">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en-US" w:eastAsia="zh-CN"/>
              </w:rPr>
              <w:t>莎士比亚</w:t>
            </w:r>
          </w:p>
        </w:tc>
        <w:tc>
          <w:tcPr>
            <w:tcW w:w="1701" w:type="dxa"/>
            <w:vAlign w:val="center"/>
          </w:tcPr>
          <w:p w14:paraId="0DD103E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）莎士比亚的</w:t>
            </w:r>
            <w:r>
              <w:rPr>
                <w:rFonts w:hint="eastAsia" w:ascii="宋体" w:hAnsi="宋体" w:eastAsia="宋体" w:cs="Times New Roman"/>
                <w:color w:val="000000"/>
                <w:szCs w:val="21"/>
                <w:lang w:val="en-US" w:eastAsia="zh-CN"/>
              </w:rPr>
              <w:t>生平与创作</w:t>
            </w:r>
          </w:p>
          <w:p w14:paraId="5E2B4B5B">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（2）《威尼斯商人》</w:t>
            </w:r>
          </w:p>
          <w:p w14:paraId="0C2A452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）哈姆莱特形象的复杂性和深刻性</w:t>
            </w:r>
          </w:p>
        </w:tc>
        <w:tc>
          <w:tcPr>
            <w:tcW w:w="1134" w:type="dxa"/>
            <w:vAlign w:val="center"/>
          </w:tcPr>
          <w:p w14:paraId="4085993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3"/>
            <w:vAlign w:val="center"/>
          </w:tcPr>
          <w:p w14:paraId="432E1FC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rPr>
              <w:t>莎士比亚的创作</w:t>
            </w:r>
            <w:r>
              <w:rPr>
                <w:rFonts w:hint="eastAsia" w:ascii="宋体" w:hAnsi="宋体" w:eastAsia="宋体" w:cs="Times New Roman"/>
                <w:color w:val="000000"/>
                <w:szCs w:val="21"/>
                <w:lang w:eastAsia="zh-CN"/>
              </w:rPr>
              <w:t>的</w:t>
            </w:r>
            <w:r>
              <w:rPr>
                <w:rFonts w:hint="eastAsia" w:ascii="宋体" w:hAnsi="宋体" w:eastAsia="宋体" w:cs="Times New Roman"/>
                <w:color w:val="000000"/>
                <w:szCs w:val="21"/>
                <w:lang w:val="en-US" w:eastAsia="zh-CN"/>
              </w:rPr>
              <w:t>分期及代表作品</w:t>
            </w:r>
          </w:p>
          <w:p w14:paraId="69E39F5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ascii="宋体" w:hAnsi="宋体" w:eastAsia="宋体" w:cs="Times New Roman"/>
                <w:color w:val="000000"/>
                <w:szCs w:val="21"/>
              </w:rPr>
              <w:t>理解</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威尼斯商人</w:t>
            </w:r>
            <w:r>
              <w:rPr>
                <w:rFonts w:hint="eastAsia" w:ascii="宋体" w:hAnsi="宋体" w:eastAsia="宋体" w:cs="Times New Roman"/>
                <w:color w:val="000000"/>
                <w:szCs w:val="21"/>
                <w:lang w:eastAsia="zh-CN"/>
              </w:rPr>
              <w:t>》的</w:t>
            </w:r>
            <w:r>
              <w:rPr>
                <w:rFonts w:hint="eastAsia" w:ascii="宋体" w:hAnsi="宋体" w:eastAsia="宋体" w:cs="Times New Roman"/>
                <w:color w:val="000000"/>
                <w:szCs w:val="21"/>
                <w:lang w:val="en-US" w:eastAsia="zh-CN"/>
              </w:rPr>
              <w:t>戏剧冲突及人文主义理想</w:t>
            </w:r>
          </w:p>
          <w:p w14:paraId="2FB94EE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掌握</w:t>
            </w:r>
            <w:r>
              <w:rPr>
                <w:rFonts w:hint="eastAsia" w:ascii="宋体" w:hAnsi="宋体" w:eastAsia="宋体" w:cs="Times New Roman"/>
                <w:color w:val="000000"/>
                <w:szCs w:val="21"/>
              </w:rPr>
              <w:t>哈姆莱特</w:t>
            </w:r>
            <w:r>
              <w:rPr>
                <w:rFonts w:hint="eastAsia" w:ascii="宋体" w:hAnsi="宋体" w:eastAsia="宋体" w:cs="Times New Roman"/>
                <w:color w:val="000000"/>
                <w:szCs w:val="21"/>
                <w:lang w:val="en-US" w:eastAsia="zh-CN"/>
              </w:rPr>
              <w:t>探索的核心性格特征</w:t>
            </w:r>
          </w:p>
        </w:tc>
        <w:tc>
          <w:tcPr>
            <w:tcW w:w="1560" w:type="dxa"/>
            <w:vAlign w:val="center"/>
          </w:tcPr>
          <w:p w14:paraId="5D35BC5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34E05C1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62E6EE1F">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5366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E14901">
            <w:pPr>
              <w:spacing w:line="276" w:lineRule="auto"/>
              <w:jc w:val="center"/>
              <w:rPr>
                <w:rFonts w:ascii="宋体" w:hAnsi="宋体" w:eastAsia="宋体" w:cs="Times New Roman"/>
                <w:color w:val="000000"/>
                <w:szCs w:val="21"/>
              </w:rPr>
            </w:pPr>
          </w:p>
        </w:tc>
        <w:tc>
          <w:tcPr>
            <w:tcW w:w="8093" w:type="dxa"/>
            <w:gridSpan w:val="8"/>
            <w:vAlign w:val="center"/>
          </w:tcPr>
          <w:p w14:paraId="396A595B">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通过通过学习莎士比亚的生平与创作，引导学生深入了解文艺复兴时期的人文主义思想，感受莎士比亚作品中对人性、爱情、友谊和正义的深刻探讨，提升学生的人文素养和审美情趣</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结合</w:t>
            </w:r>
            <w:r>
              <w:rPr>
                <w:rFonts w:hint="eastAsia" w:ascii="宋体" w:hAnsi="宋体" w:eastAsia="宋体" w:cs="Times New Roman"/>
                <w:color w:val="000000"/>
                <w:szCs w:val="21"/>
              </w:rPr>
              <w:t>莎士比亚作品中人物形象的矛盾性和复杂性，让学生理解人文主义理想与现实的矛盾</w:t>
            </w:r>
            <w:r>
              <w:rPr>
                <w:rFonts w:hint="eastAsia" w:ascii="宋体" w:hAnsi="宋体" w:eastAsia="宋体" w:cs="Times New Roman"/>
                <w:color w:val="000000"/>
                <w:szCs w:val="21"/>
                <w:lang w:eastAsia="zh-CN"/>
              </w:rPr>
              <w:t>。</w:t>
            </w:r>
          </w:p>
        </w:tc>
      </w:tr>
      <w:tr w14:paraId="75D3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7A1876">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7.</w:t>
            </w:r>
            <w:r>
              <w:rPr>
                <w:rFonts w:hint="eastAsia" w:ascii="宋体" w:hAnsi="宋体" w:eastAsia="宋体" w:cs="Times New Roman"/>
                <w:szCs w:val="21"/>
                <w:lang w:val="en-US" w:eastAsia="zh-CN"/>
              </w:rPr>
              <w:t>17世纪文学</w:t>
            </w:r>
          </w:p>
        </w:tc>
        <w:tc>
          <w:tcPr>
            <w:tcW w:w="1701" w:type="dxa"/>
            <w:vAlign w:val="center"/>
          </w:tcPr>
          <w:p w14:paraId="245B2CD5">
            <w:pPr>
              <w:spacing w:line="276" w:lineRule="auto"/>
              <w:jc w:val="left"/>
              <w:rPr>
                <w:rFonts w:hint="eastAsia" w:ascii="宋体" w:hAnsi="宋体" w:eastAsia="宋体" w:cs="Times New Roman"/>
                <w:szCs w:val="21"/>
              </w:rPr>
            </w:pPr>
            <w:r>
              <w:rPr>
                <w:rFonts w:hint="eastAsia" w:ascii="宋体" w:hAnsi="宋体" w:eastAsia="宋体" w:cs="Times New Roman"/>
                <w:szCs w:val="21"/>
              </w:rPr>
              <w:t>（1）17世纪欧洲社会历史概况与文学思潮</w:t>
            </w:r>
          </w:p>
          <w:p w14:paraId="3962A1EF">
            <w:pPr>
              <w:spacing w:line="276" w:lineRule="auto"/>
              <w:jc w:val="left"/>
              <w:rPr>
                <w:rFonts w:hint="eastAsia" w:ascii="宋体" w:hAnsi="宋体" w:eastAsia="宋体" w:cs="Times New Roman"/>
                <w:szCs w:val="21"/>
              </w:rPr>
            </w:pPr>
            <w:r>
              <w:rPr>
                <w:rFonts w:hint="eastAsia" w:ascii="宋体" w:hAnsi="宋体" w:eastAsia="宋体" w:cs="Times New Roman"/>
                <w:szCs w:val="21"/>
              </w:rPr>
              <w:t>（2）古典主义文学的代表作家及作品</w:t>
            </w:r>
          </w:p>
          <w:p w14:paraId="62E034B2">
            <w:pPr>
              <w:spacing w:line="276" w:lineRule="auto"/>
              <w:jc w:val="left"/>
              <w:rPr>
                <w:rFonts w:ascii="宋体" w:hAnsi="宋体" w:eastAsia="宋体" w:cs="Times New Roman"/>
                <w:szCs w:val="21"/>
              </w:rPr>
            </w:pPr>
            <w:r>
              <w:rPr>
                <w:rFonts w:hint="eastAsia" w:ascii="宋体" w:hAnsi="宋体" w:eastAsia="宋体" w:cs="Times New Roman"/>
                <w:szCs w:val="21"/>
              </w:rPr>
              <w:t>（3）莫里哀与《伪君子》</w:t>
            </w:r>
          </w:p>
        </w:tc>
        <w:tc>
          <w:tcPr>
            <w:tcW w:w="1134" w:type="dxa"/>
            <w:vAlign w:val="center"/>
          </w:tcPr>
          <w:p w14:paraId="24E013C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3"/>
            <w:vAlign w:val="center"/>
          </w:tcPr>
          <w:p w14:paraId="008A45D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了解古典主义文学与巴洛克文学的特征</w:t>
            </w:r>
          </w:p>
          <w:p w14:paraId="0C994C0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掌握古典主义戏剧的创作原则</w:t>
            </w:r>
          </w:p>
          <w:p w14:paraId="7591C23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掌握莫里哀的代表作品及创作特色</w:t>
            </w:r>
          </w:p>
        </w:tc>
        <w:tc>
          <w:tcPr>
            <w:tcW w:w="1560" w:type="dxa"/>
            <w:vAlign w:val="center"/>
          </w:tcPr>
          <w:p w14:paraId="117E21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1B62B2E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2A0D05D0">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1ABE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05" w:type="dxa"/>
            <w:vMerge w:val="continue"/>
            <w:vAlign w:val="center"/>
          </w:tcPr>
          <w:p w14:paraId="667D6A56">
            <w:pPr>
              <w:spacing w:line="276" w:lineRule="auto"/>
              <w:jc w:val="center"/>
              <w:rPr>
                <w:rFonts w:ascii="宋体" w:hAnsi="宋体" w:eastAsia="宋体" w:cs="Times New Roman"/>
                <w:color w:val="000000"/>
                <w:szCs w:val="21"/>
              </w:rPr>
            </w:pPr>
          </w:p>
        </w:tc>
        <w:tc>
          <w:tcPr>
            <w:tcW w:w="8093" w:type="dxa"/>
            <w:gridSpan w:val="8"/>
            <w:vAlign w:val="center"/>
          </w:tcPr>
          <w:p w14:paraId="4A24153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让学生了解古典主义文艺思潮产生和发展的社会历史条件，关注文学与现实生活的密切联系，同时学习西方文学中的理性精神。</w:t>
            </w:r>
          </w:p>
        </w:tc>
      </w:tr>
      <w:tr w14:paraId="3A97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C4C1A7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8.</w:t>
            </w:r>
            <w:r>
              <w:rPr>
                <w:rFonts w:hint="eastAsia" w:ascii="宋体" w:hAnsi="宋体" w:eastAsia="宋体" w:cs="Times New Roman"/>
                <w:color w:val="000000"/>
                <w:szCs w:val="21"/>
                <w:lang w:val="en-US" w:eastAsia="zh-CN"/>
              </w:rPr>
              <w:t>18世纪文学概述</w:t>
            </w:r>
          </w:p>
        </w:tc>
        <w:tc>
          <w:tcPr>
            <w:tcW w:w="1701" w:type="dxa"/>
            <w:vAlign w:val="center"/>
          </w:tcPr>
          <w:p w14:paraId="3E9AB2B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（1）启蒙运动的思想核心“理性崇拜”</w:t>
            </w:r>
          </w:p>
          <w:p w14:paraId="208D2008">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（2）启蒙主义文学在欧洲各国的发展及代表作家作品</w:t>
            </w:r>
          </w:p>
          <w:p w14:paraId="36004E2D">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（3）启蒙文学的基本特征</w:t>
            </w:r>
          </w:p>
        </w:tc>
        <w:tc>
          <w:tcPr>
            <w:tcW w:w="1134" w:type="dxa"/>
            <w:vAlign w:val="center"/>
          </w:tcPr>
          <w:p w14:paraId="4AEBE2C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3"/>
            <w:vAlign w:val="center"/>
          </w:tcPr>
          <w:p w14:paraId="1D8A160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了解启蒙主义文学在欧洲各国的发展</w:t>
            </w:r>
          </w:p>
          <w:p w14:paraId="7D6800C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理解启蒙主义文学的政论性、哲理性和民主性</w:t>
            </w:r>
          </w:p>
          <w:p w14:paraId="1A28BFEC">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掌握启蒙主义思想在各国文学作品中的体现</w:t>
            </w:r>
          </w:p>
        </w:tc>
        <w:tc>
          <w:tcPr>
            <w:tcW w:w="1560" w:type="dxa"/>
            <w:vAlign w:val="center"/>
          </w:tcPr>
          <w:p w14:paraId="1BAD55D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1792C960">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19A53C4C">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3888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205" w:type="dxa"/>
            <w:vMerge w:val="continue"/>
            <w:vAlign w:val="center"/>
          </w:tcPr>
          <w:p w14:paraId="4FF964DF">
            <w:pPr>
              <w:spacing w:line="264" w:lineRule="auto"/>
              <w:jc w:val="center"/>
              <w:rPr>
                <w:rFonts w:ascii="宋体" w:hAnsi="宋体" w:eastAsia="宋体" w:cs="Times New Roman"/>
                <w:color w:val="000000"/>
                <w:szCs w:val="21"/>
              </w:rPr>
            </w:pPr>
          </w:p>
        </w:tc>
        <w:tc>
          <w:tcPr>
            <w:tcW w:w="8093" w:type="dxa"/>
            <w:gridSpan w:val="8"/>
            <w:vAlign w:val="center"/>
          </w:tcPr>
          <w:p w14:paraId="3BAEA4C0">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通过学习启蒙运动的思想核心“理性崇拜”，引导学生理解理性在推动社会进步和思想解放中的重要作用，培养学生的理性思维能力，鼓励学生用批判性的眼光审视社会现象和传统观念。</w:t>
            </w:r>
          </w:p>
        </w:tc>
      </w:tr>
      <w:tr w14:paraId="2CFC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1205" w:type="dxa"/>
            <w:vMerge w:val="restart"/>
            <w:vAlign w:val="center"/>
          </w:tcPr>
          <w:p w14:paraId="447B17D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9.</w:t>
            </w:r>
            <w:r>
              <w:rPr>
                <w:rFonts w:hint="eastAsia" w:ascii="宋体" w:hAnsi="宋体" w:eastAsia="宋体" w:cs="Times New Roman"/>
                <w:color w:val="000000"/>
                <w:szCs w:val="21"/>
                <w:lang w:val="en-US" w:eastAsia="zh-CN"/>
              </w:rPr>
              <w:t>歌德与《浮士德》</w:t>
            </w:r>
          </w:p>
        </w:tc>
        <w:tc>
          <w:tcPr>
            <w:tcW w:w="1701" w:type="dxa"/>
            <w:vAlign w:val="center"/>
          </w:tcPr>
          <w:p w14:paraId="03D9A9A4">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歌德的生平与创作</w:t>
            </w:r>
          </w:p>
          <w:p w14:paraId="4CDDCDC6">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浮士德</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的题材来源与内容分析</w:t>
            </w:r>
          </w:p>
          <w:p w14:paraId="5ED03519">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浮士德精神</w:t>
            </w:r>
          </w:p>
        </w:tc>
        <w:tc>
          <w:tcPr>
            <w:tcW w:w="1134" w:type="dxa"/>
            <w:vAlign w:val="center"/>
          </w:tcPr>
          <w:p w14:paraId="35280CF0">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gridSpan w:val="3"/>
            <w:vAlign w:val="center"/>
          </w:tcPr>
          <w:p w14:paraId="492E15FE">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了解</w:t>
            </w:r>
            <w:r>
              <w:rPr>
                <w:rFonts w:hint="eastAsia" w:ascii="宋体" w:hAnsi="宋体" w:eastAsia="宋体" w:cs="Times New Roman"/>
                <w:color w:val="000000"/>
                <w:szCs w:val="21"/>
              </w:rPr>
              <w:t>歌德的生平与创作</w:t>
            </w:r>
            <w:r>
              <w:rPr>
                <w:rFonts w:hint="eastAsia" w:ascii="宋体" w:hAnsi="宋体" w:eastAsia="宋体" w:cs="Times New Roman"/>
                <w:color w:val="000000"/>
                <w:szCs w:val="21"/>
                <w:lang w:val="en-US" w:eastAsia="zh-CN"/>
              </w:rPr>
              <w:t>以及文学主张</w:t>
            </w:r>
          </w:p>
          <w:p w14:paraId="4CE3929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ascii="宋体" w:hAnsi="宋体" w:eastAsia="宋体" w:cs="Times New Roman"/>
                <w:color w:val="000000"/>
                <w:szCs w:val="21"/>
              </w:rPr>
              <w:t>理解</w:t>
            </w:r>
            <w:r>
              <w:rPr>
                <w:rFonts w:hint="eastAsia" w:ascii="宋体" w:hAnsi="宋体" w:eastAsia="宋体" w:cs="Times New Roman"/>
                <w:color w:val="000000"/>
                <w:szCs w:val="21"/>
                <w:lang w:val="en-US" w:eastAsia="zh-CN"/>
              </w:rPr>
              <w:t>浮士德形象在不同历史时期的发展演变</w:t>
            </w:r>
          </w:p>
          <w:p w14:paraId="7E49FBF4">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理解</w:t>
            </w:r>
            <w:r>
              <w:rPr>
                <w:rFonts w:hint="eastAsia" w:ascii="宋体" w:hAnsi="宋体" w:eastAsia="宋体" w:cs="Times New Roman"/>
                <w:color w:val="000000"/>
                <w:szCs w:val="21"/>
                <w:lang w:val="en-US" w:eastAsia="zh-CN"/>
              </w:rPr>
              <w:t>浮士德精神以及作品的艺术成就</w:t>
            </w:r>
          </w:p>
        </w:tc>
        <w:tc>
          <w:tcPr>
            <w:tcW w:w="1560" w:type="dxa"/>
            <w:vAlign w:val="center"/>
          </w:tcPr>
          <w:p w14:paraId="6D63996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00105A7B">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172AC2F5">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0E89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1205" w:type="dxa"/>
            <w:vMerge w:val="continue"/>
            <w:vAlign w:val="center"/>
          </w:tcPr>
          <w:p w14:paraId="429878FC">
            <w:pPr>
              <w:spacing w:line="264" w:lineRule="auto"/>
              <w:jc w:val="center"/>
              <w:rPr>
                <w:rFonts w:ascii="宋体" w:hAnsi="宋体" w:eastAsia="宋体" w:cs="Times New Roman"/>
                <w:color w:val="000000"/>
                <w:szCs w:val="21"/>
              </w:rPr>
            </w:pPr>
          </w:p>
        </w:tc>
        <w:tc>
          <w:tcPr>
            <w:tcW w:w="8093" w:type="dxa"/>
            <w:gridSpan w:val="8"/>
            <w:vAlign w:val="center"/>
          </w:tcPr>
          <w:p w14:paraId="76002FDD">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歌德的生平与创作，引导学生了解歌德如何将启蒙时代的理性主义与古希腊的感性主义相结合，培养学生在追求知识和真理的过程中，既能运用理性思维，又能关注感性体验。引导学生理解浮士德精神的核心不断追求、勇于探索、永不满足，激励学生在学习和生活中积极进取，勇于面对挑战</w:t>
            </w:r>
            <w:r>
              <w:rPr>
                <w:rFonts w:hint="eastAsia" w:ascii="宋体" w:hAnsi="宋体" w:eastAsia="宋体" w:cs="Times New Roman"/>
                <w:color w:val="000000"/>
                <w:szCs w:val="21"/>
                <w:lang w:eastAsia="zh-CN"/>
              </w:rPr>
              <w:t>。</w:t>
            </w:r>
          </w:p>
        </w:tc>
      </w:tr>
      <w:tr w14:paraId="31A6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1FE14E">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10.</w:t>
            </w:r>
            <w:r>
              <w:rPr>
                <w:rFonts w:hint="eastAsia" w:ascii="宋体" w:hAnsi="宋体" w:eastAsia="宋体" w:cs="Times New Roman"/>
                <w:color w:val="000000"/>
                <w:szCs w:val="21"/>
                <w:lang w:val="en-US" w:eastAsia="zh-CN"/>
              </w:rPr>
              <w:t>19世纪（上）文学概述</w:t>
            </w:r>
          </w:p>
        </w:tc>
        <w:tc>
          <w:tcPr>
            <w:tcW w:w="1701" w:type="dxa"/>
            <w:vAlign w:val="center"/>
          </w:tcPr>
          <w:p w14:paraId="6E1FADE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（1）19世纪早期文学的思想与艺术特征</w:t>
            </w:r>
          </w:p>
          <w:p w14:paraId="2B574D3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（2）各国19世纪早期文学的主要代表作家和作品</w:t>
            </w:r>
          </w:p>
          <w:p w14:paraId="58D6805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湖畔派三诗人</w:t>
            </w:r>
          </w:p>
        </w:tc>
        <w:tc>
          <w:tcPr>
            <w:tcW w:w="1134" w:type="dxa"/>
            <w:vAlign w:val="center"/>
          </w:tcPr>
          <w:p w14:paraId="0A909C5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445E3AAE">
            <w:pPr>
              <w:spacing w:line="264" w:lineRule="auto"/>
              <w:jc w:val="center"/>
              <w:rPr>
                <w:rFonts w:ascii="宋体" w:hAnsi="宋体" w:eastAsia="宋体" w:cs="Times New Roman"/>
                <w:color w:val="000000"/>
                <w:szCs w:val="21"/>
              </w:rPr>
            </w:pPr>
          </w:p>
        </w:tc>
        <w:tc>
          <w:tcPr>
            <w:tcW w:w="3260" w:type="dxa"/>
            <w:gridSpan w:val="3"/>
            <w:vAlign w:val="center"/>
          </w:tcPr>
          <w:p w14:paraId="21ED908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了解19世纪早期的社会历史文化背景及浪漫主义文学在各国的发展</w:t>
            </w:r>
          </w:p>
          <w:p w14:paraId="2EEBC247">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理解浪漫主义文学的基本特征</w:t>
            </w:r>
          </w:p>
          <w:p w14:paraId="7A4A98B4">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3.掌握华兹华斯诗歌的艺术特色</w:t>
            </w:r>
          </w:p>
        </w:tc>
        <w:tc>
          <w:tcPr>
            <w:tcW w:w="1560" w:type="dxa"/>
            <w:vAlign w:val="center"/>
          </w:tcPr>
          <w:p w14:paraId="0B19DFB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4BA2F84A">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4C82F782">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55CD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360AAFF1">
            <w:pPr>
              <w:spacing w:line="264" w:lineRule="auto"/>
              <w:jc w:val="center"/>
              <w:rPr>
                <w:rFonts w:ascii="宋体" w:hAnsi="宋体" w:eastAsia="宋体" w:cs="Times New Roman"/>
                <w:color w:val="000000"/>
                <w:szCs w:val="21"/>
              </w:rPr>
            </w:pPr>
          </w:p>
        </w:tc>
        <w:tc>
          <w:tcPr>
            <w:tcW w:w="8093" w:type="dxa"/>
            <w:gridSpan w:val="8"/>
            <w:vAlign w:val="center"/>
          </w:tcPr>
          <w:p w14:paraId="207F7E3A">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通过学习“湖畔派”诗人的作品，引导学生理解“人与自然是生命共同体”，体会文学与生态环境的关系，树立生态环境保护意识。</w:t>
            </w:r>
          </w:p>
        </w:tc>
      </w:tr>
      <w:tr w14:paraId="6B95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9D8225">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雨果与《巴黎圣母院》</w:t>
            </w:r>
          </w:p>
        </w:tc>
        <w:tc>
          <w:tcPr>
            <w:tcW w:w="1701" w:type="dxa"/>
            <w:vAlign w:val="center"/>
          </w:tcPr>
          <w:p w14:paraId="1FE32CA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雨果的生平及创作</w:t>
            </w:r>
          </w:p>
          <w:p w14:paraId="2A7D4004">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美丑对照原则</w:t>
            </w:r>
          </w:p>
          <w:p w14:paraId="6D06FD1F">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巴黎圣母院</w:t>
            </w:r>
            <w:r>
              <w:rPr>
                <w:rFonts w:hint="eastAsia" w:ascii="宋体" w:hAnsi="宋体" w:eastAsia="宋体" w:cs="Times New Roman"/>
                <w:color w:val="000000"/>
                <w:szCs w:val="21"/>
                <w:lang w:eastAsia="zh-CN"/>
              </w:rPr>
              <w:t>》</w:t>
            </w:r>
          </w:p>
        </w:tc>
        <w:tc>
          <w:tcPr>
            <w:tcW w:w="1134" w:type="dxa"/>
            <w:vAlign w:val="center"/>
          </w:tcPr>
          <w:p w14:paraId="7BF2D86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3F5EF3A3">
            <w:pPr>
              <w:spacing w:line="264" w:lineRule="auto"/>
              <w:jc w:val="center"/>
              <w:rPr>
                <w:rFonts w:ascii="宋体" w:hAnsi="宋体" w:eastAsia="宋体" w:cs="Times New Roman"/>
                <w:color w:val="000000"/>
                <w:szCs w:val="21"/>
              </w:rPr>
            </w:pPr>
          </w:p>
        </w:tc>
        <w:tc>
          <w:tcPr>
            <w:tcW w:w="3260" w:type="dxa"/>
            <w:gridSpan w:val="3"/>
            <w:vAlign w:val="center"/>
          </w:tcPr>
          <w:p w14:paraId="238F5DB1">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lang w:val="en-US" w:eastAsia="zh-CN"/>
              </w:rPr>
              <w:t>雨果的生平及代表作</w:t>
            </w:r>
          </w:p>
          <w:p w14:paraId="1875B9D7">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ascii="宋体" w:hAnsi="宋体" w:eastAsia="宋体" w:cs="Times New Roman"/>
                <w:color w:val="000000"/>
                <w:szCs w:val="21"/>
              </w:rPr>
              <w:t>理解</w:t>
            </w:r>
            <w:r>
              <w:rPr>
                <w:rFonts w:hint="eastAsia" w:ascii="宋体" w:hAnsi="宋体" w:eastAsia="宋体" w:cs="Times New Roman"/>
                <w:color w:val="000000"/>
                <w:szCs w:val="21"/>
                <w:lang w:val="en-US" w:eastAsia="zh-CN"/>
              </w:rPr>
              <w:t>雨果的美丑对照原则在文学作品中的运用</w:t>
            </w:r>
          </w:p>
          <w:p w14:paraId="7830874F">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掌握《巴黎圣母院》思想内容与艺术特色</w:t>
            </w:r>
            <w:r>
              <w:rPr>
                <w:rFonts w:hint="eastAsia" w:ascii="宋体" w:hAnsi="宋体" w:eastAsia="宋体" w:cs="Times New Roman"/>
                <w:color w:val="000000"/>
                <w:szCs w:val="21"/>
              </w:rPr>
              <w:t>。</w:t>
            </w:r>
          </w:p>
        </w:tc>
        <w:tc>
          <w:tcPr>
            <w:tcW w:w="1657" w:type="dxa"/>
            <w:gridSpan w:val="2"/>
            <w:vAlign w:val="center"/>
          </w:tcPr>
          <w:p w14:paraId="1DD27F7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38AE3228">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60564859">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50A7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6028A5D">
            <w:pPr>
              <w:spacing w:line="264" w:lineRule="auto"/>
              <w:jc w:val="center"/>
              <w:rPr>
                <w:rFonts w:ascii="宋体" w:hAnsi="宋体" w:eastAsia="宋体" w:cs="Times New Roman"/>
                <w:color w:val="000000"/>
                <w:szCs w:val="21"/>
              </w:rPr>
            </w:pPr>
          </w:p>
        </w:tc>
        <w:tc>
          <w:tcPr>
            <w:tcW w:w="8093" w:type="dxa"/>
            <w:gridSpan w:val="8"/>
            <w:vAlign w:val="center"/>
          </w:tcPr>
          <w:p w14:paraId="132DD943">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雨果的生平及创作，引导学生了解雨果如何通过作品反映社会底层人民的苦难，批判社会不公，培养学生的人文关怀和社会责任感。通过对“美丑对照原则”的学习，引导学生理解美与丑的辩证关系，认识到真正的美是多元的、复杂的，培养学生对美的深刻理解和正确的审美观念</w:t>
            </w:r>
            <w:r>
              <w:rPr>
                <w:rFonts w:hint="eastAsia" w:ascii="宋体" w:hAnsi="宋体" w:eastAsia="宋体" w:cs="Times New Roman"/>
                <w:color w:val="000000"/>
                <w:szCs w:val="21"/>
                <w:lang w:eastAsia="zh-CN"/>
              </w:rPr>
              <w:t>。</w:t>
            </w:r>
          </w:p>
        </w:tc>
      </w:tr>
      <w:tr w14:paraId="6F76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jc w:val="center"/>
        </w:trPr>
        <w:tc>
          <w:tcPr>
            <w:tcW w:w="1205" w:type="dxa"/>
            <w:vMerge w:val="restart"/>
            <w:vAlign w:val="center"/>
          </w:tcPr>
          <w:p w14:paraId="1E423464">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19世纪（中）文学概述</w:t>
            </w:r>
          </w:p>
        </w:tc>
        <w:tc>
          <w:tcPr>
            <w:tcW w:w="1701" w:type="dxa"/>
            <w:vAlign w:val="center"/>
          </w:tcPr>
          <w:p w14:paraId="0CA9616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（1）19世纪中期的社会历史背景和文学思潮</w:t>
            </w:r>
          </w:p>
          <w:p w14:paraId="622D77F0">
            <w:pPr>
              <w:numPr>
                <w:ilvl w:val="0"/>
                <w:numId w:val="0"/>
              </w:num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（2）法国现实主义文学</w:t>
            </w:r>
          </w:p>
          <w:p w14:paraId="7A965C66">
            <w:pPr>
              <w:numPr>
                <w:ilvl w:val="0"/>
                <w:numId w:val="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斯丹达尔与《红与黑》</w:t>
            </w:r>
          </w:p>
        </w:tc>
        <w:tc>
          <w:tcPr>
            <w:tcW w:w="1134" w:type="dxa"/>
            <w:vAlign w:val="center"/>
          </w:tcPr>
          <w:p w14:paraId="0156CFF0">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019CB530">
            <w:pPr>
              <w:spacing w:line="264" w:lineRule="auto"/>
              <w:jc w:val="center"/>
              <w:rPr>
                <w:rFonts w:ascii="宋体" w:hAnsi="宋体" w:eastAsia="宋体" w:cs="Times New Roman"/>
                <w:color w:val="000000"/>
                <w:szCs w:val="21"/>
              </w:rPr>
            </w:pPr>
          </w:p>
        </w:tc>
        <w:tc>
          <w:tcPr>
            <w:tcW w:w="3260" w:type="dxa"/>
            <w:gridSpan w:val="3"/>
            <w:vAlign w:val="center"/>
          </w:tcPr>
          <w:p w14:paraId="10DB32C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了解19世纪</w:t>
            </w:r>
            <w:r>
              <w:rPr>
                <w:rFonts w:hint="eastAsia" w:ascii="宋体" w:hAnsi="宋体" w:eastAsia="宋体" w:cs="Times New Roman"/>
                <w:color w:val="000000"/>
                <w:szCs w:val="21"/>
                <w:lang w:val="en-US" w:eastAsia="zh-CN"/>
              </w:rPr>
              <w:t>中</w:t>
            </w:r>
            <w:r>
              <w:rPr>
                <w:rFonts w:hint="eastAsia" w:ascii="宋体" w:hAnsi="宋体" w:eastAsia="宋体" w:cs="Times New Roman"/>
                <w:color w:val="000000"/>
                <w:szCs w:val="21"/>
              </w:rPr>
              <w:t>期的社会历史文化背景及</w:t>
            </w:r>
            <w:r>
              <w:rPr>
                <w:rFonts w:hint="eastAsia" w:ascii="宋体" w:hAnsi="宋体" w:eastAsia="宋体" w:cs="Times New Roman"/>
                <w:color w:val="000000"/>
                <w:szCs w:val="21"/>
                <w:lang w:val="en-US" w:eastAsia="zh-CN"/>
              </w:rPr>
              <w:t>现实</w:t>
            </w:r>
            <w:r>
              <w:rPr>
                <w:rFonts w:hint="eastAsia" w:ascii="宋体" w:hAnsi="宋体" w:eastAsia="宋体" w:cs="Times New Roman"/>
                <w:color w:val="000000"/>
                <w:szCs w:val="21"/>
              </w:rPr>
              <w:t>主义文学在各国的发展</w:t>
            </w:r>
          </w:p>
          <w:p w14:paraId="6703E9A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w:t>
            </w:r>
            <w:r>
              <w:rPr>
                <w:rFonts w:hint="eastAsia" w:ascii="宋体" w:hAnsi="宋体" w:eastAsia="宋体" w:cs="Times New Roman"/>
                <w:color w:val="000000"/>
                <w:szCs w:val="21"/>
                <w:lang w:val="en-US" w:eastAsia="zh-CN"/>
              </w:rPr>
              <w:t>现实</w:t>
            </w:r>
            <w:r>
              <w:rPr>
                <w:rFonts w:hint="eastAsia" w:ascii="宋体" w:hAnsi="宋体" w:eastAsia="宋体" w:cs="Times New Roman"/>
                <w:color w:val="000000"/>
                <w:szCs w:val="21"/>
              </w:rPr>
              <w:t>主义文学的基本特征</w:t>
            </w:r>
          </w:p>
          <w:p w14:paraId="437DFB65">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3.掌握《红与黑》的思想内容与艺术特色</w:t>
            </w:r>
          </w:p>
        </w:tc>
        <w:tc>
          <w:tcPr>
            <w:tcW w:w="1657" w:type="dxa"/>
            <w:gridSpan w:val="2"/>
            <w:vAlign w:val="center"/>
          </w:tcPr>
          <w:p w14:paraId="0501F5B9">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2E4B86DB">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3C83A7F9">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5B2B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205" w:type="dxa"/>
            <w:vMerge w:val="continue"/>
            <w:vAlign w:val="center"/>
          </w:tcPr>
          <w:p w14:paraId="5D0FBEC4">
            <w:pPr>
              <w:spacing w:line="264" w:lineRule="auto"/>
              <w:jc w:val="center"/>
              <w:rPr>
                <w:rFonts w:ascii="宋体" w:hAnsi="宋体" w:eastAsia="宋体" w:cs="Times New Roman"/>
                <w:color w:val="000000"/>
                <w:szCs w:val="21"/>
              </w:rPr>
            </w:pPr>
          </w:p>
        </w:tc>
        <w:tc>
          <w:tcPr>
            <w:tcW w:w="8093" w:type="dxa"/>
            <w:gridSpan w:val="8"/>
            <w:vAlign w:val="center"/>
          </w:tcPr>
          <w:p w14:paraId="25D81726">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通过分析《红与黑》中主人公于连的奋斗历程和悲剧命运，引导学生认识到个人奋斗必须建立在正确价值观的基础上</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让</w:t>
            </w:r>
            <w:r>
              <w:rPr>
                <w:rFonts w:hint="eastAsia" w:ascii="宋体" w:hAnsi="宋体" w:eastAsia="宋体" w:cs="Times New Roman"/>
                <w:color w:val="000000"/>
                <w:szCs w:val="21"/>
                <w:lang w:eastAsia="zh-CN"/>
              </w:rPr>
              <w:t>学生理解人性的多面性和复杂性，学会在复杂的社会环境中保持清醒的头脑，做出正确的判断</w:t>
            </w:r>
            <w:r>
              <w:rPr>
                <w:rFonts w:hint="eastAsia" w:ascii="宋体" w:hAnsi="宋体" w:eastAsia="宋体" w:cs="Times New Roman"/>
                <w:color w:val="000000"/>
                <w:szCs w:val="21"/>
              </w:rPr>
              <w:t>。</w:t>
            </w:r>
          </w:p>
        </w:tc>
      </w:tr>
      <w:tr w14:paraId="77DE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F78C25">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巴尔扎克与狄更斯</w:t>
            </w:r>
          </w:p>
        </w:tc>
        <w:tc>
          <w:tcPr>
            <w:tcW w:w="1701" w:type="dxa"/>
            <w:vAlign w:val="center"/>
          </w:tcPr>
          <w:p w14:paraId="248ADF94">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巴尔扎克的上平与创作</w:t>
            </w:r>
          </w:p>
          <w:p w14:paraId="367FA96B">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人间喜剧</w:t>
            </w:r>
            <w:r>
              <w:rPr>
                <w:rFonts w:hint="eastAsia" w:ascii="宋体" w:hAnsi="宋体" w:eastAsia="宋体" w:cs="Times New Roman"/>
                <w:color w:val="000000"/>
                <w:szCs w:val="21"/>
                <w:lang w:eastAsia="zh-CN"/>
              </w:rPr>
              <w:t>》</w:t>
            </w:r>
          </w:p>
          <w:p w14:paraId="12C7B842">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狄更斯的生平与创作</w:t>
            </w:r>
          </w:p>
          <w:p w14:paraId="2D323C2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（4）代表作品鉴赏</w:t>
            </w:r>
          </w:p>
        </w:tc>
        <w:tc>
          <w:tcPr>
            <w:tcW w:w="1134" w:type="dxa"/>
            <w:vAlign w:val="center"/>
          </w:tcPr>
          <w:p w14:paraId="1E6BC17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7E838A93">
            <w:pPr>
              <w:spacing w:line="264" w:lineRule="auto"/>
              <w:jc w:val="center"/>
              <w:rPr>
                <w:rFonts w:ascii="宋体" w:hAnsi="宋体" w:eastAsia="宋体" w:cs="Times New Roman"/>
                <w:color w:val="000000"/>
                <w:szCs w:val="21"/>
              </w:rPr>
            </w:pPr>
          </w:p>
        </w:tc>
        <w:tc>
          <w:tcPr>
            <w:tcW w:w="3260" w:type="dxa"/>
            <w:gridSpan w:val="3"/>
            <w:vAlign w:val="center"/>
          </w:tcPr>
          <w:p w14:paraId="1B159477">
            <w:pPr>
              <w:numPr>
                <w:ilvl w:val="0"/>
                <w:numId w:val="0"/>
              </w:num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巴尔扎克和狄更斯的生平与创作</w:t>
            </w:r>
          </w:p>
          <w:p w14:paraId="4C4E2102">
            <w:pPr>
              <w:numPr>
                <w:ilvl w:val="0"/>
                <w:numId w:val="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人间喜剧</w:t>
            </w:r>
            <w:r>
              <w:rPr>
                <w:rFonts w:hint="eastAsia" w:ascii="宋体" w:hAnsi="宋体" w:eastAsia="宋体" w:cs="Times New Roman"/>
                <w:color w:val="000000"/>
                <w:szCs w:val="21"/>
                <w:lang w:eastAsia="zh-CN"/>
              </w:rPr>
              <w:t>》的</w:t>
            </w:r>
            <w:r>
              <w:rPr>
                <w:rFonts w:hint="eastAsia" w:ascii="宋体" w:hAnsi="宋体" w:eastAsia="宋体" w:cs="Times New Roman"/>
                <w:color w:val="000000"/>
                <w:szCs w:val="21"/>
                <w:lang w:val="en-US" w:eastAsia="zh-CN"/>
              </w:rPr>
              <w:t>主题和艺术特色</w:t>
            </w:r>
          </w:p>
          <w:p w14:paraId="01E320C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3.掌握《高老头》《艰难时世》等批判现实主义作品的鉴赏方法</w:t>
            </w:r>
          </w:p>
        </w:tc>
        <w:tc>
          <w:tcPr>
            <w:tcW w:w="1657" w:type="dxa"/>
            <w:gridSpan w:val="2"/>
            <w:vAlign w:val="center"/>
          </w:tcPr>
          <w:p w14:paraId="32ECF36B">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5534F867">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691E17C7">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7269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1317FC82">
            <w:pPr>
              <w:spacing w:line="264" w:lineRule="auto"/>
              <w:jc w:val="center"/>
              <w:rPr>
                <w:rFonts w:ascii="宋体" w:hAnsi="宋体" w:eastAsia="宋体" w:cs="Times New Roman"/>
                <w:color w:val="000000"/>
                <w:szCs w:val="21"/>
              </w:rPr>
            </w:pPr>
          </w:p>
        </w:tc>
        <w:tc>
          <w:tcPr>
            <w:tcW w:w="8093" w:type="dxa"/>
            <w:gridSpan w:val="8"/>
            <w:vAlign w:val="center"/>
          </w:tcPr>
          <w:p w14:paraId="4A709920">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通过学习巴尔扎克和狄更斯的生平与创作，引导学生了解19世纪中期社会的复杂性与矛盾性</w:t>
            </w:r>
            <w:r>
              <w:rPr>
                <w:rFonts w:hint="eastAsia" w:ascii="宋体" w:hAnsi="宋体" w:eastAsia="宋体" w:cs="Times New Roman"/>
                <w:color w:val="000000"/>
                <w:szCs w:val="21"/>
                <w:lang w:eastAsia="zh-CN"/>
              </w:rPr>
              <w:t>。巴尔扎克和狄更斯分别代表了19世纪法国和英国的文学高峰，通过学习他们的作品，引导学生了解不同文化背景下的文学创作和社会思想，培养跨文化理解能力和全球视野。</w:t>
            </w:r>
          </w:p>
        </w:tc>
      </w:tr>
      <w:tr w14:paraId="6B1C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1205" w:type="dxa"/>
            <w:vMerge w:val="restart"/>
            <w:vAlign w:val="center"/>
          </w:tcPr>
          <w:p w14:paraId="7626F2C9">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19世纪（下）文学概述</w:t>
            </w:r>
          </w:p>
        </w:tc>
        <w:tc>
          <w:tcPr>
            <w:tcW w:w="1701" w:type="dxa"/>
            <w:vAlign w:val="center"/>
          </w:tcPr>
          <w:p w14:paraId="7D6B3699">
            <w:pPr>
              <w:spacing w:line="264" w:lineRule="auto"/>
              <w:jc w:val="left"/>
              <w:rPr>
                <w:rFonts w:hint="eastAsia" w:ascii="宋体" w:hAnsi="宋体" w:eastAsia="宋体" w:cs="Times New Roman"/>
                <w:color w:val="000000"/>
                <w:szCs w:val="21"/>
              </w:rPr>
            </w:pPr>
          </w:p>
          <w:p w14:paraId="299F972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（1）19世纪</w:t>
            </w:r>
            <w:r>
              <w:rPr>
                <w:rFonts w:hint="eastAsia" w:ascii="宋体" w:hAnsi="宋体" w:eastAsia="宋体" w:cs="Times New Roman"/>
                <w:color w:val="000000"/>
                <w:szCs w:val="21"/>
                <w:lang w:val="en-US" w:eastAsia="zh-CN"/>
              </w:rPr>
              <w:t>晚</w:t>
            </w:r>
            <w:r>
              <w:rPr>
                <w:rFonts w:hint="eastAsia" w:ascii="宋体" w:hAnsi="宋体" w:eastAsia="宋体" w:cs="Times New Roman"/>
                <w:color w:val="000000"/>
                <w:szCs w:val="21"/>
              </w:rPr>
              <w:t>期文学的思想与艺术特征</w:t>
            </w:r>
          </w:p>
          <w:p w14:paraId="2E14B7DD">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（2）各国19世纪</w:t>
            </w:r>
            <w:r>
              <w:rPr>
                <w:rFonts w:hint="eastAsia" w:ascii="宋体" w:hAnsi="宋体" w:eastAsia="宋体" w:cs="Times New Roman"/>
                <w:color w:val="000000"/>
                <w:szCs w:val="21"/>
                <w:lang w:val="en-US" w:eastAsia="zh-CN"/>
              </w:rPr>
              <w:t>晚</w:t>
            </w:r>
            <w:r>
              <w:rPr>
                <w:rFonts w:hint="eastAsia" w:ascii="宋体" w:hAnsi="宋体" w:eastAsia="宋体" w:cs="Times New Roman"/>
                <w:color w:val="000000"/>
                <w:szCs w:val="21"/>
              </w:rPr>
              <w:t>期文学的主要代表作家和作品</w:t>
            </w:r>
          </w:p>
          <w:p w14:paraId="24F70AEE">
            <w:pPr>
              <w:spacing w:line="264" w:lineRule="auto"/>
              <w:jc w:val="left"/>
              <w:rPr>
                <w:rFonts w:hint="default" w:ascii="宋体" w:hAnsi="宋体" w:eastAsia="宋体" w:cs="Times New Roman"/>
                <w:color w:val="000000"/>
                <w:szCs w:val="21"/>
                <w:lang w:val="en-US" w:eastAsia="zh-CN"/>
              </w:rPr>
            </w:pPr>
          </w:p>
        </w:tc>
        <w:tc>
          <w:tcPr>
            <w:tcW w:w="1134" w:type="dxa"/>
            <w:vAlign w:val="center"/>
          </w:tcPr>
          <w:p w14:paraId="7FAAADB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455F716E">
            <w:pPr>
              <w:spacing w:line="264" w:lineRule="auto"/>
              <w:jc w:val="center"/>
              <w:rPr>
                <w:rFonts w:ascii="宋体" w:hAnsi="宋体" w:eastAsia="宋体" w:cs="Times New Roman"/>
                <w:color w:val="000000"/>
                <w:szCs w:val="21"/>
              </w:rPr>
            </w:pPr>
          </w:p>
        </w:tc>
        <w:tc>
          <w:tcPr>
            <w:tcW w:w="3260" w:type="dxa"/>
            <w:gridSpan w:val="3"/>
            <w:vAlign w:val="center"/>
          </w:tcPr>
          <w:p w14:paraId="41088D0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了解19世纪</w:t>
            </w:r>
            <w:r>
              <w:rPr>
                <w:rFonts w:hint="eastAsia" w:ascii="宋体" w:hAnsi="宋体" w:eastAsia="宋体" w:cs="Times New Roman"/>
                <w:color w:val="000000"/>
                <w:szCs w:val="21"/>
                <w:lang w:val="en-US" w:eastAsia="zh-CN"/>
              </w:rPr>
              <w:t>晚</w:t>
            </w:r>
            <w:r>
              <w:rPr>
                <w:rFonts w:hint="eastAsia" w:ascii="宋体" w:hAnsi="宋体" w:eastAsia="宋体" w:cs="Times New Roman"/>
                <w:color w:val="000000"/>
                <w:szCs w:val="21"/>
              </w:rPr>
              <w:t>期的社会历史文化背景及在各国的发展</w:t>
            </w:r>
          </w:p>
          <w:p w14:paraId="7A124F60">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2.掌握各国19世纪晚期文学的主要代表作家和作品</w:t>
            </w:r>
          </w:p>
        </w:tc>
        <w:tc>
          <w:tcPr>
            <w:tcW w:w="1657" w:type="dxa"/>
            <w:gridSpan w:val="2"/>
            <w:vAlign w:val="center"/>
          </w:tcPr>
          <w:p w14:paraId="04406A02">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63CEB529">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7D7022D7">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3438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532D0566">
            <w:pPr>
              <w:spacing w:line="264" w:lineRule="auto"/>
              <w:jc w:val="center"/>
              <w:rPr>
                <w:rFonts w:ascii="宋体" w:hAnsi="宋体" w:eastAsia="宋体" w:cs="Times New Roman"/>
                <w:color w:val="000000"/>
                <w:szCs w:val="21"/>
              </w:rPr>
            </w:pPr>
          </w:p>
        </w:tc>
        <w:tc>
          <w:tcPr>
            <w:tcW w:w="8093" w:type="dxa"/>
            <w:gridSpan w:val="8"/>
            <w:vAlign w:val="center"/>
          </w:tcPr>
          <w:p w14:paraId="58CA6A30">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通过对这一时期文学的学习，引导学生关注社会现实问题，培养批判精神和社会责任感，鼓励学生为社会的公平与正义发声</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同时引导学生理解人性的复杂性和多样性，学会在复杂的社会环境中保持清醒的头脑，做出正确的判断</w:t>
            </w:r>
            <w:r>
              <w:rPr>
                <w:rFonts w:hint="eastAsia" w:ascii="宋体" w:hAnsi="宋体" w:eastAsia="宋体" w:cs="Times New Roman"/>
                <w:color w:val="000000"/>
                <w:szCs w:val="21"/>
              </w:rPr>
              <w:t>。</w:t>
            </w:r>
          </w:p>
        </w:tc>
      </w:tr>
      <w:tr w14:paraId="5ABB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1205" w:type="dxa"/>
            <w:vMerge w:val="restart"/>
            <w:vAlign w:val="center"/>
          </w:tcPr>
          <w:p w14:paraId="27DC69B7">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哈代与列夫·托尔斯泰</w:t>
            </w:r>
          </w:p>
        </w:tc>
        <w:tc>
          <w:tcPr>
            <w:tcW w:w="1701" w:type="dxa"/>
            <w:vAlign w:val="center"/>
          </w:tcPr>
          <w:p w14:paraId="1A5C9280">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哈代的生平与创作</w:t>
            </w:r>
          </w:p>
          <w:p w14:paraId="1EEED16A">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还乡</w:t>
            </w:r>
            <w:r>
              <w:rPr>
                <w:rFonts w:hint="eastAsia" w:ascii="宋体" w:hAnsi="宋体" w:eastAsia="宋体" w:cs="Times New Roman"/>
                <w:color w:val="000000"/>
                <w:szCs w:val="21"/>
                <w:lang w:eastAsia="zh-CN"/>
              </w:rPr>
              <w:t>》</w:t>
            </w:r>
          </w:p>
          <w:p w14:paraId="1BCE5328">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列夫·托尔斯泰的生平与创作</w:t>
            </w:r>
          </w:p>
          <w:p w14:paraId="77B8B862">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（4）《安娜·卡列尼娜》</w:t>
            </w:r>
          </w:p>
        </w:tc>
        <w:tc>
          <w:tcPr>
            <w:tcW w:w="1359" w:type="dxa"/>
            <w:gridSpan w:val="2"/>
            <w:vAlign w:val="center"/>
          </w:tcPr>
          <w:p w14:paraId="231E224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0C518173">
            <w:pPr>
              <w:spacing w:line="264" w:lineRule="auto"/>
              <w:jc w:val="center"/>
              <w:rPr>
                <w:rFonts w:ascii="宋体" w:hAnsi="宋体" w:eastAsia="宋体" w:cs="Times New Roman"/>
                <w:color w:val="000000"/>
                <w:szCs w:val="21"/>
              </w:rPr>
            </w:pPr>
          </w:p>
        </w:tc>
        <w:tc>
          <w:tcPr>
            <w:tcW w:w="2582" w:type="dxa"/>
            <w:vAlign w:val="center"/>
          </w:tcPr>
          <w:p w14:paraId="6A4D7E0E">
            <w:pPr>
              <w:numPr>
                <w:ilvl w:val="0"/>
                <w:numId w:val="0"/>
              </w:num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1.了解</w:t>
            </w:r>
            <w:r>
              <w:rPr>
                <w:rFonts w:hint="eastAsia" w:ascii="宋体" w:hAnsi="宋体" w:eastAsia="宋体" w:cs="Times New Roman"/>
                <w:color w:val="000000"/>
                <w:szCs w:val="21"/>
              </w:rPr>
              <w:t>哈代与列夫·托尔斯泰</w:t>
            </w:r>
            <w:r>
              <w:rPr>
                <w:rFonts w:hint="eastAsia" w:ascii="宋体" w:hAnsi="宋体" w:eastAsia="宋体" w:cs="Times New Roman"/>
                <w:color w:val="000000"/>
                <w:szCs w:val="21"/>
                <w:lang w:eastAsia="zh-CN"/>
              </w:rPr>
              <w:t>的</w:t>
            </w:r>
            <w:r>
              <w:rPr>
                <w:rFonts w:hint="eastAsia" w:ascii="宋体" w:hAnsi="宋体" w:eastAsia="宋体" w:cs="Times New Roman"/>
                <w:color w:val="000000"/>
                <w:szCs w:val="21"/>
                <w:lang w:val="en-US" w:eastAsia="zh-CN"/>
              </w:rPr>
              <w:t>生平及创作</w:t>
            </w:r>
          </w:p>
          <w:p w14:paraId="0289085D">
            <w:pPr>
              <w:numPr>
                <w:ilvl w:val="0"/>
                <w:numId w:val="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2.能够结合19世纪晚期的社会背景分析《还乡》与</w:t>
            </w:r>
          </w:p>
          <w:p w14:paraId="32505F1F">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《安娜·卡列尼娜》</w:t>
            </w:r>
          </w:p>
        </w:tc>
        <w:tc>
          <w:tcPr>
            <w:tcW w:w="2110" w:type="dxa"/>
            <w:gridSpan w:val="3"/>
            <w:vAlign w:val="center"/>
          </w:tcPr>
          <w:p w14:paraId="33EE6FB1">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0D3586E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73C0367">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6B55A790">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30C8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1205" w:type="dxa"/>
            <w:vMerge w:val="continue"/>
            <w:vAlign w:val="center"/>
          </w:tcPr>
          <w:p w14:paraId="385F0A49">
            <w:pPr>
              <w:spacing w:line="264" w:lineRule="auto"/>
              <w:jc w:val="center"/>
              <w:rPr>
                <w:rFonts w:ascii="宋体" w:hAnsi="宋体" w:eastAsia="宋体" w:cs="Times New Roman"/>
                <w:color w:val="000000"/>
                <w:szCs w:val="21"/>
              </w:rPr>
            </w:pPr>
          </w:p>
        </w:tc>
        <w:tc>
          <w:tcPr>
            <w:tcW w:w="8093" w:type="dxa"/>
            <w:gridSpan w:val="8"/>
            <w:vAlign w:val="center"/>
          </w:tcPr>
          <w:p w14:paraId="604D0247">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哈代生平与创作的了解，以及对《还乡》中人物命运的分析，引导学生关注社会底层人民的困境，培养对社会不公的批判意识和社会责任感。通过对《安娜·卡列尼娜》中人物命运的探讨，引导学生理解社会环境对个人命运的影响，培养对社会问题的敏感度和批判精神</w:t>
            </w:r>
            <w:r>
              <w:rPr>
                <w:rFonts w:hint="eastAsia" w:ascii="宋体" w:hAnsi="宋体" w:eastAsia="宋体" w:cs="Times New Roman"/>
                <w:color w:val="000000"/>
                <w:szCs w:val="21"/>
                <w:lang w:eastAsia="zh-CN"/>
              </w:rPr>
              <w:t>。</w:t>
            </w:r>
          </w:p>
        </w:tc>
      </w:tr>
      <w:tr w14:paraId="7CA1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05FB2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20世纪文学（上）</w:t>
            </w:r>
          </w:p>
        </w:tc>
        <w:tc>
          <w:tcPr>
            <w:tcW w:w="1701" w:type="dxa"/>
            <w:vAlign w:val="center"/>
          </w:tcPr>
          <w:p w14:paraId="16FFE297">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（1）20世纪上半期各国文学的发展概况</w:t>
            </w:r>
          </w:p>
          <w:p w14:paraId="3276861C">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）卡夫卡与《变形记》</w:t>
            </w:r>
          </w:p>
          <w:p w14:paraId="1CA5F4D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）海明威与《老人与海》</w:t>
            </w:r>
          </w:p>
        </w:tc>
        <w:tc>
          <w:tcPr>
            <w:tcW w:w="1359" w:type="dxa"/>
            <w:gridSpan w:val="2"/>
            <w:vAlign w:val="center"/>
          </w:tcPr>
          <w:p w14:paraId="11C35A6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173C0121">
            <w:pPr>
              <w:spacing w:line="264" w:lineRule="auto"/>
              <w:jc w:val="center"/>
              <w:rPr>
                <w:rFonts w:ascii="宋体" w:hAnsi="宋体" w:eastAsia="宋体" w:cs="Times New Roman"/>
                <w:color w:val="000000"/>
                <w:szCs w:val="21"/>
              </w:rPr>
            </w:pPr>
          </w:p>
        </w:tc>
        <w:tc>
          <w:tcPr>
            <w:tcW w:w="2582" w:type="dxa"/>
            <w:vAlign w:val="center"/>
          </w:tcPr>
          <w:p w14:paraId="2604AF3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了解120世纪上半期各国文学的发展概况</w:t>
            </w:r>
          </w:p>
          <w:p w14:paraId="6640108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理解《变形记》</w:t>
            </w:r>
            <w:r>
              <w:rPr>
                <w:rFonts w:hint="eastAsia" w:ascii="宋体" w:hAnsi="宋体" w:eastAsia="宋体" w:cs="Times New Roman"/>
                <w:color w:val="000000"/>
                <w:szCs w:val="21"/>
                <w:lang w:val="en-US" w:eastAsia="zh-CN"/>
              </w:rPr>
              <w:t>的艺术</w:t>
            </w:r>
            <w:r>
              <w:rPr>
                <w:rFonts w:hint="eastAsia" w:ascii="宋体" w:hAnsi="宋体" w:eastAsia="宋体" w:cs="Times New Roman"/>
                <w:color w:val="000000"/>
                <w:szCs w:val="21"/>
              </w:rPr>
              <w:t>特征</w:t>
            </w:r>
          </w:p>
          <w:p w14:paraId="78B86AF9">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3.掌握《老人与海》的思想内容与艺术特色</w:t>
            </w:r>
          </w:p>
        </w:tc>
        <w:tc>
          <w:tcPr>
            <w:tcW w:w="2110" w:type="dxa"/>
            <w:gridSpan w:val="3"/>
            <w:vAlign w:val="center"/>
          </w:tcPr>
          <w:p w14:paraId="5BFC1283">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4C77D4A">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6ACB4F98">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62E56F8B">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6BBF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13737B5D">
            <w:pPr>
              <w:spacing w:line="264" w:lineRule="auto"/>
              <w:jc w:val="center"/>
              <w:rPr>
                <w:rFonts w:ascii="宋体" w:hAnsi="宋体" w:eastAsia="宋体" w:cs="Times New Roman"/>
                <w:color w:val="000000"/>
                <w:szCs w:val="21"/>
              </w:rPr>
            </w:pPr>
          </w:p>
        </w:tc>
        <w:tc>
          <w:tcPr>
            <w:tcW w:w="8093" w:type="dxa"/>
            <w:gridSpan w:val="8"/>
            <w:vAlign w:val="center"/>
          </w:tcPr>
          <w:p w14:paraId="7BD31AE4">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20世纪上半期各国文学反映了社会变革和人性困境等重大主题</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通过对这一时期文学的了解，引导学生关注社会现实问题，培养批判性思维和社会责任感。</w:t>
            </w:r>
          </w:p>
        </w:tc>
      </w:tr>
      <w:tr w14:paraId="4C1A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jc w:val="center"/>
        </w:trPr>
        <w:tc>
          <w:tcPr>
            <w:tcW w:w="1205" w:type="dxa"/>
            <w:vMerge w:val="restart"/>
            <w:vAlign w:val="center"/>
          </w:tcPr>
          <w:p w14:paraId="44784D44">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20世纪文学（下）</w:t>
            </w:r>
          </w:p>
        </w:tc>
        <w:tc>
          <w:tcPr>
            <w:tcW w:w="1701" w:type="dxa"/>
            <w:vAlign w:val="center"/>
          </w:tcPr>
          <w:p w14:paraId="2A1C1D60">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（1）20世纪下半期各国文学的发展概况</w:t>
            </w:r>
          </w:p>
          <w:p w14:paraId="16F01287">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（2）萨特的生平创作与存在主义文学</w:t>
            </w:r>
          </w:p>
          <w:p w14:paraId="4F800C75">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（3）贝克特与《等待戈多》</w:t>
            </w:r>
          </w:p>
          <w:p w14:paraId="17499BBF">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（4）马尔克斯与《百年孤独》</w:t>
            </w:r>
          </w:p>
        </w:tc>
        <w:tc>
          <w:tcPr>
            <w:tcW w:w="1134" w:type="dxa"/>
            <w:vAlign w:val="center"/>
          </w:tcPr>
          <w:p w14:paraId="10ADFA8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25938F18">
            <w:pPr>
              <w:spacing w:line="264" w:lineRule="auto"/>
              <w:jc w:val="center"/>
              <w:rPr>
                <w:rFonts w:ascii="宋体" w:hAnsi="宋体" w:eastAsia="宋体" w:cs="Times New Roman"/>
                <w:color w:val="000000"/>
                <w:szCs w:val="21"/>
              </w:rPr>
            </w:pPr>
          </w:p>
        </w:tc>
        <w:tc>
          <w:tcPr>
            <w:tcW w:w="3260" w:type="dxa"/>
            <w:gridSpan w:val="3"/>
            <w:vAlign w:val="center"/>
          </w:tcPr>
          <w:p w14:paraId="680DF94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了解20世纪下半期各国文学的发展概况</w:t>
            </w:r>
          </w:p>
          <w:p w14:paraId="08254796">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理解存在主义文学的基本特征</w:t>
            </w:r>
          </w:p>
          <w:p w14:paraId="1F06CA1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3.掌握</w:t>
            </w:r>
            <w:r>
              <w:rPr>
                <w:rFonts w:hint="eastAsia" w:ascii="宋体" w:hAnsi="宋体" w:eastAsia="宋体" w:cs="Times New Roman"/>
                <w:color w:val="000000"/>
                <w:szCs w:val="21"/>
              </w:rPr>
              <w:t>《等待戈多》《百年孤独》</w:t>
            </w:r>
            <w:r>
              <w:rPr>
                <w:rFonts w:hint="eastAsia" w:ascii="宋体" w:hAnsi="宋体" w:eastAsia="宋体" w:cs="Times New Roman"/>
                <w:color w:val="000000"/>
                <w:szCs w:val="21"/>
                <w:lang w:val="en-US" w:eastAsia="zh-CN"/>
              </w:rPr>
              <w:t>的的思想内容与艺术特色</w:t>
            </w:r>
          </w:p>
        </w:tc>
        <w:tc>
          <w:tcPr>
            <w:tcW w:w="1657" w:type="dxa"/>
            <w:gridSpan w:val="2"/>
            <w:vAlign w:val="center"/>
          </w:tcPr>
          <w:p w14:paraId="4FF3684F">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1.多媒体教学2.课堂讨论</w:t>
            </w:r>
          </w:p>
          <w:p w14:paraId="134F87D9">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09DB2741">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1499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1205" w:type="dxa"/>
            <w:vMerge w:val="continue"/>
            <w:vAlign w:val="center"/>
          </w:tcPr>
          <w:p w14:paraId="3D4F0643">
            <w:pPr>
              <w:spacing w:line="264" w:lineRule="auto"/>
              <w:jc w:val="center"/>
              <w:rPr>
                <w:rFonts w:ascii="宋体" w:hAnsi="宋体" w:eastAsia="宋体" w:cs="Times New Roman"/>
                <w:color w:val="000000"/>
                <w:szCs w:val="21"/>
              </w:rPr>
            </w:pPr>
          </w:p>
        </w:tc>
        <w:tc>
          <w:tcPr>
            <w:tcW w:w="8093" w:type="dxa"/>
            <w:gridSpan w:val="8"/>
            <w:vAlign w:val="center"/>
          </w:tcPr>
          <w:p w14:paraId="47E50EF7">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20世纪下半期文学呈现出多元化的特征，涵盖了存在主义、荒诞派戏剧、魔幻现实主义等多种流派。通过对不同国家文学作品的学习，引导学生了解不同文化背景下的文学创作和社会思想</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理解不同文学流派的艺术特点和价值</w:t>
            </w:r>
            <w:r>
              <w:rPr>
                <w:rFonts w:hint="eastAsia" w:ascii="宋体" w:hAnsi="宋体" w:eastAsia="宋体" w:cs="Times New Roman"/>
                <w:color w:val="000000"/>
                <w:szCs w:val="21"/>
                <w:lang w:eastAsia="zh-CN"/>
              </w:rPr>
              <w:t>，提升审美能力和文学素养，培养跨文化理解能力和全球视野。</w:t>
            </w:r>
          </w:p>
        </w:tc>
      </w:tr>
    </w:tbl>
    <w:p w14:paraId="2C146AB6">
      <w:pPr>
        <w:spacing w:line="360" w:lineRule="auto"/>
        <w:jc w:val="left"/>
        <w:rPr>
          <w:rFonts w:ascii="Times New Roman" w:hAnsi="Times New Roman" w:eastAsia="宋体" w:cs="Times New Roman"/>
          <w:sz w:val="24"/>
          <w:szCs w:val="24"/>
        </w:rPr>
      </w:pPr>
    </w:p>
    <w:p w14:paraId="53A8AF95">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543864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174C3C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FD888F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1289"/>
        <w:gridCol w:w="1244"/>
        <w:gridCol w:w="1056"/>
        <w:gridCol w:w="1504"/>
      </w:tblGrid>
      <w:tr w14:paraId="31BA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Merge w:val="restart"/>
            <w:vAlign w:val="center"/>
          </w:tcPr>
          <w:p w14:paraId="65F356DE">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589" w:type="dxa"/>
            <w:gridSpan w:val="3"/>
            <w:vAlign w:val="center"/>
          </w:tcPr>
          <w:p w14:paraId="05221C8A">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504" w:type="dxa"/>
            <w:vMerge w:val="restart"/>
            <w:vAlign w:val="center"/>
          </w:tcPr>
          <w:p w14:paraId="00DAC8BA">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4D49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Merge w:val="continue"/>
            <w:vAlign w:val="center"/>
          </w:tcPr>
          <w:p w14:paraId="6E77E5F0">
            <w:pPr>
              <w:spacing w:line="360" w:lineRule="auto"/>
              <w:jc w:val="center"/>
              <w:rPr>
                <w:rFonts w:ascii="宋体" w:hAnsi="宋体" w:eastAsia="宋体" w:cs="Times New Roman"/>
                <w:szCs w:val="21"/>
              </w:rPr>
            </w:pPr>
          </w:p>
        </w:tc>
        <w:tc>
          <w:tcPr>
            <w:tcW w:w="1289" w:type="dxa"/>
            <w:vAlign w:val="center"/>
          </w:tcPr>
          <w:p w14:paraId="524AAAC6">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244" w:type="dxa"/>
            <w:vAlign w:val="center"/>
          </w:tcPr>
          <w:p w14:paraId="448D31A9">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778D758A">
            <w:pPr>
              <w:spacing w:line="360" w:lineRule="auto"/>
              <w:jc w:val="center"/>
              <w:rPr>
                <w:rFonts w:ascii="宋体" w:hAnsi="宋体" w:eastAsia="宋体" w:cs="Times New Roman"/>
                <w:szCs w:val="21"/>
              </w:rPr>
            </w:pPr>
            <w:r>
              <w:rPr>
                <w:rFonts w:hint="eastAsia" w:ascii="宋体" w:hAnsi="宋体" w:eastAsia="宋体" w:cs="Times New Roman"/>
                <w:szCs w:val="21"/>
              </w:rPr>
              <w:t>期末</w:t>
            </w:r>
            <w:r>
              <w:rPr>
                <w:rFonts w:hint="eastAsia" w:ascii="宋体" w:hAnsi="宋体" w:eastAsia="宋体" w:cs="Times New Roman"/>
                <w:szCs w:val="21"/>
                <w:lang w:val="en-US" w:eastAsia="zh-CN"/>
              </w:rPr>
              <w:t>论文</w:t>
            </w:r>
          </w:p>
        </w:tc>
        <w:tc>
          <w:tcPr>
            <w:tcW w:w="1504" w:type="dxa"/>
            <w:vMerge w:val="continue"/>
            <w:vAlign w:val="center"/>
          </w:tcPr>
          <w:p w14:paraId="135C80E6">
            <w:pPr>
              <w:spacing w:line="360" w:lineRule="auto"/>
              <w:jc w:val="center"/>
              <w:rPr>
                <w:rFonts w:ascii="宋体" w:hAnsi="宋体" w:eastAsia="宋体" w:cs="Times New Roman"/>
                <w:szCs w:val="21"/>
              </w:rPr>
            </w:pPr>
          </w:p>
        </w:tc>
      </w:tr>
      <w:tr w14:paraId="361E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7B9B5D67">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289" w:type="dxa"/>
            <w:vAlign w:val="center"/>
          </w:tcPr>
          <w:p w14:paraId="08C6F2F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4" w:type="dxa"/>
            <w:vAlign w:val="center"/>
          </w:tcPr>
          <w:p w14:paraId="35F16D9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F92734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04" w:type="dxa"/>
            <w:vAlign w:val="center"/>
          </w:tcPr>
          <w:p w14:paraId="5BB62EC9">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1A8E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224CA8D9">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289" w:type="dxa"/>
            <w:vAlign w:val="center"/>
          </w:tcPr>
          <w:p w14:paraId="1823C29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4" w:type="dxa"/>
            <w:vAlign w:val="center"/>
          </w:tcPr>
          <w:p w14:paraId="35942A2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3FA433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04" w:type="dxa"/>
            <w:vAlign w:val="center"/>
          </w:tcPr>
          <w:p w14:paraId="5B6A5766">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0</w:t>
            </w:r>
          </w:p>
        </w:tc>
      </w:tr>
      <w:tr w14:paraId="31D2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60D73019">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289" w:type="dxa"/>
            <w:vAlign w:val="center"/>
          </w:tcPr>
          <w:p w14:paraId="6B9059F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4" w:type="dxa"/>
            <w:vAlign w:val="center"/>
          </w:tcPr>
          <w:p w14:paraId="403C672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F292B3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504" w:type="dxa"/>
            <w:vAlign w:val="center"/>
          </w:tcPr>
          <w:p w14:paraId="1FC0634F">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4</w:t>
            </w:r>
            <w:r>
              <w:rPr>
                <w:rFonts w:hint="eastAsia" w:ascii="宋体" w:hAnsi="宋体" w:eastAsia="宋体" w:cs="Times New Roman"/>
                <w:szCs w:val="21"/>
              </w:rPr>
              <w:t>0</w:t>
            </w:r>
          </w:p>
        </w:tc>
      </w:tr>
      <w:tr w14:paraId="6957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73D5D9E6">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289" w:type="dxa"/>
            <w:vAlign w:val="center"/>
          </w:tcPr>
          <w:p w14:paraId="3F6F418D">
            <w:pPr>
              <w:spacing w:line="360" w:lineRule="auto"/>
              <w:jc w:val="center"/>
              <w:rPr>
                <w:rFonts w:ascii="宋体" w:hAnsi="宋体" w:eastAsia="宋体" w:cs="Times New Roman"/>
                <w:szCs w:val="21"/>
              </w:rPr>
            </w:pPr>
          </w:p>
        </w:tc>
        <w:tc>
          <w:tcPr>
            <w:tcW w:w="1244" w:type="dxa"/>
            <w:vAlign w:val="center"/>
          </w:tcPr>
          <w:p w14:paraId="1EC52F26">
            <w:pPr>
              <w:spacing w:line="360" w:lineRule="auto"/>
              <w:jc w:val="center"/>
              <w:rPr>
                <w:rFonts w:ascii="宋体" w:hAnsi="宋体" w:eastAsia="宋体" w:cs="Times New Roman"/>
                <w:szCs w:val="21"/>
              </w:rPr>
            </w:pPr>
          </w:p>
        </w:tc>
        <w:tc>
          <w:tcPr>
            <w:tcW w:w="1056" w:type="dxa"/>
            <w:vAlign w:val="center"/>
          </w:tcPr>
          <w:p w14:paraId="76D44351">
            <w:pPr>
              <w:spacing w:line="360" w:lineRule="auto"/>
              <w:jc w:val="center"/>
              <w:rPr>
                <w:rFonts w:ascii="宋体" w:hAnsi="宋体" w:eastAsia="宋体" w:cs="Times New Roman"/>
                <w:szCs w:val="21"/>
              </w:rPr>
            </w:pPr>
          </w:p>
        </w:tc>
        <w:tc>
          <w:tcPr>
            <w:tcW w:w="1504" w:type="dxa"/>
            <w:vAlign w:val="center"/>
          </w:tcPr>
          <w:p w14:paraId="56915254">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16991AA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C88787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7A03D0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C0A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75" w:type="dxa"/>
            <w:vAlign w:val="center"/>
          </w:tcPr>
          <w:p w14:paraId="2A2AA18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061434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B7DBA6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AAA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675" w:type="dxa"/>
            <w:vAlign w:val="center"/>
          </w:tcPr>
          <w:p w14:paraId="2DE10BFD">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2C0595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w:t>
            </w:r>
            <w:r>
              <w:rPr>
                <w:rFonts w:hint="eastAsia" w:ascii="Times New Roman" w:hAnsi="Times New Roman" w:eastAsia="宋体" w:cs="Times New Roman"/>
                <w:szCs w:val="21"/>
                <w:lang w:val="en-US" w:eastAsia="zh-CN"/>
              </w:rPr>
              <w:t>或者读后感</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需选择外国文学经典</w:t>
            </w:r>
            <w:r>
              <w:rPr>
                <w:rFonts w:hint="eastAsia" w:ascii="Times New Roman" w:hAnsi="Times New Roman" w:eastAsia="宋体" w:cs="Times New Roman"/>
                <w:szCs w:val="21"/>
              </w:rPr>
              <w:t>书目，要求每位学生</w:t>
            </w:r>
            <w:r>
              <w:rPr>
                <w:rFonts w:hint="eastAsia" w:ascii="Times New Roman" w:hAnsi="Times New Roman" w:eastAsia="宋体" w:cs="Times New Roman"/>
                <w:szCs w:val="21"/>
                <w:lang w:val="en-US" w:eastAsia="zh-CN"/>
              </w:rPr>
              <w:t>完成一篇</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需有自己的阅读感悟</w:t>
            </w:r>
            <w:r>
              <w:rPr>
                <w:rFonts w:hint="eastAsia" w:ascii="Times New Roman" w:hAnsi="Times New Roman" w:eastAsia="宋体" w:cs="Times New Roman"/>
                <w:szCs w:val="21"/>
              </w:rPr>
              <w:t>。二为</w:t>
            </w:r>
            <w:r>
              <w:rPr>
                <w:rFonts w:hint="eastAsia" w:ascii="Times New Roman" w:hAnsi="Times New Roman" w:eastAsia="宋体" w:cs="Times New Roman"/>
                <w:szCs w:val="21"/>
                <w:lang w:val="en-US" w:eastAsia="zh-CN"/>
              </w:rPr>
              <w:t>文献综述</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要求学生以文学作品中具体的问题为核心，展开文献综述的撰写，为期末的结课论文做准备。三为结合读后感和文献综述的课堂展示，要求展示内容有明确的问题意识，思路清晰，课件美观，语言流畅</w:t>
            </w:r>
            <w:r>
              <w:rPr>
                <w:rFonts w:hint="eastAsia" w:ascii="Times New Roman" w:hAnsi="Times New Roman" w:eastAsia="宋体" w:cs="Times New Roman"/>
                <w:szCs w:val="21"/>
              </w:rPr>
              <w:t>。</w:t>
            </w:r>
          </w:p>
        </w:tc>
        <w:tc>
          <w:tcPr>
            <w:tcW w:w="0" w:type="auto"/>
            <w:vAlign w:val="center"/>
          </w:tcPr>
          <w:p w14:paraId="23910E8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4CD9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75" w:type="dxa"/>
            <w:vAlign w:val="center"/>
          </w:tcPr>
          <w:p w14:paraId="7F606C29">
            <w:pP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课堂</w:t>
            </w:r>
            <w:r>
              <w:rPr>
                <w:rFonts w:hint="eastAsia" w:ascii="Times New Roman" w:hAnsi="Times New Roman" w:eastAsia="宋体" w:cs="Times New Roman"/>
                <w:szCs w:val="21"/>
                <w:lang w:val="en-US" w:eastAsia="zh-CN"/>
              </w:rPr>
              <w:t>考勤</w:t>
            </w:r>
          </w:p>
        </w:tc>
        <w:tc>
          <w:tcPr>
            <w:tcW w:w="7141" w:type="dxa"/>
            <w:vAlign w:val="center"/>
          </w:tcPr>
          <w:p w14:paraId="0335326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迟到一次扣2分，</w:t>
            </w:r>
            <w:r>
              <w:rPr>
                <w:rFonts w:hint="eastAsia" w:ascii="Times New Roman" w:hAnsi="Times New Roman" w:eastAsia="宋体" w:cs="Times New Roman"/>
                <w:szCs w:val="21"/>
                <w:lang w:val="en-US" w:eastAsia="zh-CN"/>
              </w:rPr>
              <w:t>事假扣2分，病假扣1分。</w:t>
            </w:r>
            <w:r>
              <w:rPr>
                <w:rFonts w:hint="eastAsia" w:ascii="Times New Roman" w:hAnsi="Times New Roman" w:eastAsia="宋体" w:cs="Times New Roman"/>
                <w:szCs w:val="21"/>
              </w:rPr>
              <w:t>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tc>
        <w:tc>
          <w:tcPr>
            <w:tcW w:w="0" w:type="auto"/>
            <w:vAlign w:val="center"/>
          </w:tcPr>
          <w:p w14:paraId="2ED651B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9C6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675" w:type="dxa"/>
            <w:vAlign w:val="center"/>
          </w:tcPr>
          <w:p w14:paraId="55AD7941">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课堂表现</w:t>
            </w:r>
          </w:p>
        </w:tc>
        <w:tc>
          <w:tcPr>
            <w:tcW w:w="7141" w:type="dxa"/>
            <w:vAlign w:val="center"/>
          </w:tcPr>
          <w:p w14:paraId="45A5B583">
            <w:pPr>
              <w:widowControl/>
              <w:spacing w:line="264" w:lineRule="auto"/>
              <w:jc w:val="left"/>
              <w:rPr>
                <w:rFonts w:ascii="宋体" w:hAnsi="宋体" w:eastAsia="宋体" w:cs="宋体"/>
                <w:color w:val="000000"/>
                <w:kern w:val="0"/>
                <w:szCs w:val="21"/>
                <w:lang w:bidi="ar"/>
              </w:rPr>
            </w:pP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D0B637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099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675" w:type="dxa"/>
            <w:vAlign w:val="center"/>
          </w:tcPr>
          <w:p w14:paraId="5B54A6FF">
            <w:pP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期末</w:t>
            </w:r>
            <w:r>
              <w:rPr>
                <w:rFonts w:hint="eastAsia" w:ascii="Times New Roman" w:hAnsi="Times New Roman" w:eastAsia="宋体" w:cs="Times New Roman"/>
                <w:szCs w:val="21"/>
                <w:lang w:val="en-US" w:eastAsia="zh-CN"/>
              </w:rPr>
              <w:t>论文</w:t>
            </w:r>
          </w:p>
        </w:tc>
        <w:tc>
          <w:tcPr>
            <w:tcW w:w="7141" w:type="dxa"/>
            <w:vAlign w:val="center"/>
          </w:tcPr>
          <w:p w14:paraId="38FAE83E">
            <w:pPr>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color w:val="000000"/>
                <w:szCs w:val="21"/>
              </w:rPr>
              <w:t>论文选题应与本学期所学的外国文学内容紧密相关，能够体现对课程知识的理解和运用</w:t>
            </w:r>
            <w:r>
              <w:rPr>
                <w:rFonts w:hint="eastAsia" w:ascii="Times New Roman" w:hAnsi="Times New Roman" w:eastAsia="宋体" w:cs="Times New Roman"/>
                <w:color w:val="000000"/>
                <w:szCs w:val="21"/>
                <w:lang w:eastAsia="zh-CN"/>
              </w:rPr>
              <w:t>，</w:t>
            </w:r>
            <w:r>
              <w:rPr>
                <w:rFonts w:hint="eastAsia" w:ascii="Times New Roman" w:hAnsi="Times New Roman" w:eastAsia="宋体" w:cs="Times New Roman"/>
                <w:color w:val="000000"/>
                <w:szCs w:val="21"/>
              </w:rPr>
              <w:t>主题需聚焦于外国文学领域，涵盖某一作家、作品、文学流派、文学思潮或文学现象等</w:t>
            </w:r>
            <w:r>
              <w:rPr>
                <w:rFonts w:hint="eastAsia" w:ascii="Times New Roman" w:hAnsi="Times New Roman" w:eastAsia="宋体" w:cs="Times New Roman"/>
                <w:color w:val="000000"/>
                <w:szCs w:val="21"/>
                <w:lang w:eastAsia="zh-CN"/>
              </w:rPr>
              <w:t>，</w:t>
            </w:r>
            <w:r>
              <w:rPr>
                <w:rFonts w:hint="eastAsia" w:ascii="Times New Roman" w:hAnsi="Times New Roman" w:eastAsia="宋体" w:cs="Times New Roman"/>
                <w:color w:val="000000"/>
                <w:szCs w:val="21"/>
              </w:rPr>
              <w:t>具有一定的创新性和研究价值，避免过于宽泛或陈旧</w:t>
            </w:r>
            <w:r>
              <w:rPr>
                <w:rFonts w:hint="eastAsia" w:ascii="Times New Roman" w:hAnsi="Times New Roman" w:eastAsia="宋体" w:cs="Times New Roman"/>
                <w:color w:val="000000"/>
                <w:szCs w:val="21"/>
                <w:lang w:eastAsia="zh-CN"/>
              </w:rPr>
              <w:t>。</w:t>
            </w:r>
            <w:r>
              <w:rPr>
                <w:rFonts w:hint="eastAsia" w:ascii="Times New Roman" w:hAnsi="Times New Roman" w:eastAsia="宋体" w:cs="Times New Roman"/>
                <w:color w:val="000000"/>
                <w:szCs w:val="21"/>
                <w:lang w:val="en-US" w:eastAsia="zh-CN"/>
              </w:rPr>
              <w:t>在具体的行文过程中，需按照学术论文的标准格式撰写，要有原文的引用以及阐释，逻辑清晰，语言流畅，</w:t>
            </w:r>
            <w:r>
              <w:rPr>
                <w:rFonts w:hint="eastAsia" w:ascii="Times New Roman" w:hAnsi="Times New Roman" w:eastAsia="宋体" w:cs="Times New Roman"/>
                <w:color w:val="000000"/>
                <w:szCs w:val="21"/>
                <w:lang w:eastAsia="zh-CN"/>
              </w:rPr>
              <w:t>应体现批判性思维，能够辩证地看待文学作品或文学现象，避免片面或绝对化的观点。</w:t>
            </w:r>
          </w:p>
        </w:tc>
        <w:tc>
          <w:tcPr>
            <w:tcW w:w="0" w:type="auto"/>
            <w:vAlign w:val="center"/>
          </w:tcPr>
          <w:p w14:paraId="5F1DBA0A">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3E2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12FAC1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556D337">
            <w:pPr>
              <w:jc w:val="left"/>
              <w:rPr>
                <w:rFonts w:ascii="Times New Roman" w:hAnsi="Times New Roman" w:eastAsia="宋体" w:cs="Times New Roman"/>
                <w:szCs w:val="21"/>
              </w:rPr>
            </w:pPr>
          </w:p>
        </w:tc>
        <w:tc>
          <w:tcPr>
            <w:tcW w:w="0" w:type="auto"/>
            <w:vAlign w:val="center"/>
          </w:tcPr>
          <w:p w14:paraId="3A644A72">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0F03D87">
      <w:pPr>
        <w:spacing w:line="360" w:lineRule="auto"/>
        <w:jc w:val="left"/>
        <w:rPr>
          <w:rFonts w:hint="eastAsia" w:ascii="宋体" w:hAnsi="宋体" w:eastAsia="宋体" w:cs="Times New Roman"/>
          <w:b/>
          <w:color w:val="000000"/>
          <w:szCs w:val="21"/>
        </w:rPr>
      </w:pPr>
    </w:p>
    <w:p w14:paraId="5AC54C30">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371438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CCA4DF2">
      <w:pPr>
        <w:spacing w:before="156" w:beforeLines="50" w:line="360" w:lineRule="auto"/>
        <w:ind w:firstLine="420" w:firstLineChars="200"/>
        <w:jc w:val="left"/>
        <w:rPr>
          <w:rFonts w:ascii="Times New Roman" w:hAnsi="Times New Roman" w:eastAsia="宋体" w:cs="Times New Roman"/>
          <w:b/>
          <w:bCs/>
          <w:sz w:val="24"/>
          <w:szCs w:val="24"/>
        </w:rPr>
      </w:pPr>
      <w:r>
        <w:rPr>
          <w:rFonts w:ascii="宋体" w:hAnsi="宋体" w:eastAsia="宋体" w:cs="Times New Roman"/>
          <w:color w:val="000000"/>
          <w:szCs w:val="21"/>
        </w:rPr>
        <w:object>
          <v:shape id="_x0000_i1065"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65" DrawAspect="Content" ObjectID="_1468075765" r:id="rId48">
            <o:LockedField>false</o:LockedField>
          </o:OLEObject>
        </w:object>
      </w:r>
      <w:r>
        <w:rPr>
          <w:rFonts w:hint="eastAsia" w:ascii="宋体" w:hAnsi="宋体" w:eastAsia="宋体" w:cs="Times New Roman"/>
          <w:b/>
          <w:color w:val="000000"/>
          <w:sz w:val="24"/>
          <w:szCs w:val="24"/>
        </w:rPr>
        <w:t>六、有关说明</w:t>
      </w:r>
    </w:p>
    <w:p w14:paraId="0BA11DA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ABCAFBD">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6C49C4D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1BB7E156">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w:t>
      </w:r>
      <w:r>
        <w:rPr>
          <w:rFonts w:hint="eastAsia" w:ascii="Times New Roman" w:hAnsi="Times New Roman" w:eastAsia="宋体" w:cs="Times New Roman"/>
          <w:bCs/>
          <w:color w:val="000000"/>
          <w:szCs w:val="21"/>
          <w:lang w:val="en-US" w:eastAsia="zh-CN"/>
        </w:rPr>
        <w:t>外国文学史</w:t>
      </w:r>
      <w:r>
        <w:rPr>
          <w:rFonts w:hint="eastAsia" w:ascii="Times New Roman" w:hAnsi="Times New Roman" w:eastAsia="宋体" w:cs="Times New Roman"/>
          <w:bCs/>
          <w:color w:val="000000"/>
          <w:szCs w:val="21"/>
        </w:rPr>
        <w:t>》编写组.</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lang w:val="en-US" w:eastAsia="zh-CN"/>
        </w:rPr>
        <w:t>外国文学史（上下）</w:t>
      </w:r>
      <w:r>
        <w:rPr>
          <w:rFonts w:hint="eastAsia" w:ascii="Times New Roman" w:hAnsi="Times New Roman" w:eastAsia="宋体" w:cs="Times New Roman"/>
          <w:bCs/>
          <w:color w:val="000000"/>
          <w:szCs w:val="21"/>
        </w:rPr>
        <w:t>，高等教育出版社，2</w:t>
      </w:r>
      <w:r>
        <w:rPr>
          <w:rFonts w:ascii="Times New Roman" w:hAnsi="Times New Roman" w:eastAsia="宋体" w:cs="Times New Roman"/>
          <w:bCs/>
          <w:color w:val="000000"/>
          <w:szCs w:val="21"/>
        </w:rPr>
        <w:t>0</w:t>
      </w:r>
      <w:r>
        <w:rPr>
          <w:rFonts w:hint="eastAsia" w:ascii="Times New Roman" w:hAnsi="Times New Roman" w:eastAsia="宋体" w:cs="Times New Roman"/>
          <w:bCs/>
          <w:color w:val="000000"/>
          <w:szCs w:val="21"/>
          <w:lang w:val="en-US" w:eastAsia="zh-CN"/>
        </w:rPr>
        <w:t>23</w:t>
      </w:r>
      <w:r>
        <w:rPr>
          <w:rFonts w:hint="eastAsia" w:ascii="Times New Roman" w:hAnsi="Times New Roman" w:eastAsia="宋体" w:cs="Times New Roman"/>
          <w:bCs/>
          <w:color w:val="000000"/>
          <w:szCs w:val="21"/>
        </w:rPr>
        <w:t>.（马克思主义理论研究和建设工程重点教材）</w:t>
      </w:r>
    </w:p>
    <w:p w14:paraId="7BC8FD25">
      <w:pPr>
        <w:spacing w:line="360" w:lineRule="auto"/>
        <w:jc w:val="left"/>
        <w:rPr>
          <w:rFonts w:ascii="等线" w:hAnsi="等线" w:eastAsia="等线" w:cs="Times New Roman"/>
          <w:szCs w:val="22"/>
        </w:rPr>
      </w:pPr>
      <w:r>
        <w:rPr>
          <w:rFonts w:hint="eastAsia" w:ascii="Times New Roman" w:hAnsi="Times New Roman" w:eastAsia="宋体" w:cs="Times New Roman"/>
          <w:b/>
          <w:szCs w:val="21"/>
        </w:rPr>
        <w:t>（三）参考书目</w:t>
      </w:r>
    </w:p>
    <w:p w14:paraId="24E14515">
      <w:pPr>
        <w:adjustRightInd w:val="0"/>
        <w:snapToGrid w:val="0"/>
        <w:spacing w:line="360" w:lineRule="auto"/>
        <w:ind w:firstLine="420" w:firstLineChars="200"/>
        <w:rPr>
          <w:rFonts w:ascii="Times New Roman" w:hAnsi="Times New Roman" w:eastAsia="宋体" w:cs="Times New Roman"/>
          <w:smallCaps/>
          <w:color w:val="auto"/>
          <w:kern w:val="44"/>
          <w:sz w:val="21"/>
          <w:szCs w:val="21"/>
        </w:rPr>
      </w:pPr>
      <w:r>
        <w:rPr>
          <w:rFonts w:ascii="Times New Roman" w:hAnsi="Times New Roman" w:eastAsia="宋体" w:cs="Times New Roman"/>
          <w:smallCaps/>
          <w:color w:val="auto"/>
          <w:kern w:val="44"/>
          <w:sz w:val="21"/>
          <w:szCs w:val="21"/>
        </w:rPr>
        <w:t>1.</w:t>
      </w:r>
      <w:r>
        <w:rPr>
          <w:rFonts w:hint="eastAsia" w:ascii="Times New Roman" w:hAnsi="Times New Roman" w:eastAsia="宋体" w:cs="Times New Roman"/>
          <w:smallCaps/>
          <w:color w:val="auto"/>
          <w:kern w:val="44"/>
          <w:sz w:val="21"/>
          <w:szCs w:val="21"/>
          <w:lang w:val="en-US" w:eastAsia="zh-CN"/>
        </w:rPr>
        <w:t>聂珍钊等:</w:t>
      </w:r>
      <w:r>
        <w:rPr>
          <w:rFonts w:ascii="Times New Roman" w:hAnsi="Times New Roman" w:eastAsia="宋体" w:cs="Times New Roman"/>
          <w:smallCaps/>
          <w:color w:val="auto"/>
          <w:kern w:val="44"/>
          <w:sz w:val="21"/>
          <w:szCs w:val="21"/>
        </w:rPr>
        <w:t>《外国文学作品选》</w:t>
      </w:r>
      <w:r>
        <w:rPr>
          <w:rFonts w:hint="eastAsia" w:ascii="Times New Roman" w:hAnsi="Times New Roman" w:eastAsia="宋体" w:cs="Times New Roman"/>
          <w:smallCaps/>
          <w:color w:val="auto"/>
          <w:kern w:val="44"/>
          <w:sz w:val="21"/>
          <w:szCs w:val="21"/>
        </w:rPr>
        <w:t>（</w:t>
      </w:r>
      <w:r>
        <w:rPr>
          <w:rFonts w:ascii="Times New Roman" w:hAnsi="Times New Roman" w:eastAsia="宋体" w:cs="Times New Roman"/>
          <w:smallCaps/>
          <w:color w:val="auto"/>
          <w:kern w:val="44"/>
          <w:sz w:val="21"/>
          <w:szCs w:val="21"/>
        </w:rPr>
        <w:t>上下</w:t>
      </w:r>
      <w:r>
        <w:rPr>
          <w:rFonts w:hint="eastAsia" w:ascii="Times New Roman" w:hAnsi="Times New Roman" w:eastAsia="宋体" w:cs="Times New Roman"/>
          <w:smallCaps/>
          <w:color w:val="auto"/>
          <w:kern w:val="44"/>
          <w:sz w:val="21"/>
          <w:szCs w:val="21"/>
        </w:rPr>
        <w:t>）</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高等教育出版社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w:t>
      </w:r>
      <w:r>
        <w:rPr>
          <w:rFonts w:hint="eastAsia" w:ascii="Times New Roman" w:hAnsi="Times New Roman" w:eastAsia="宋体" w:cs="Times New Roman"/>
          <w:smallCaps/>
          <w:color w:val="auto"/>
          <w:kern w:val="44"/>
          <w:sz w:val="21"/>
          <w:szCs w:val="21"/>
          <w:lang w:val="en-US" w:eastAsia="zh-CN"/>
        </w:rPr>
        <w:t>17</w:t>
      </w:r>
      <w:r>
        <w:rPr>
          <w:rFonts w:ascii="Times New Roman" w:hAnsi="Times New Roman" w:eastAsia="宋体" w:cs="Times New Roman"/>
          <w:smallCaps/>
          <w:color w:val="auto"/>
          <w:kern w:val="44"/>
          <w:sz w:val="21"/>
          <w:szCs w:val="21"/>
        </w:rPr>
        <w:t>.</w:t>
      </w:r>
      <w:r>
        <w:rPr>
          <w:rFonts w:hint="eastAsia" w:ascii="Times New Roman" w:hAnsi="Times New Roman" w:eastAsia="宋体" w:cs="Times New Roman"/>
          <w:smallCaps/>
          <w:color w:val="auto"/>
          <w:kern w:val="44"/>
          <w:sz w:val="21"/>
          <w:szCs w:val="21"/>
          <w:lang w:val="en-US" w:eastAsia="zh-CN"/>
        </w:rPr>
        <w:t>9.</w:t>
      </w:r>
      <w:r>
        <w:rPr>
          <w:rFonts w:ascii="Times New Roman" w:hAnsi="Times New Roman" w:eastAsia="宋体" w:cs="Times New Roman"/>
          <w:smallCaps/>
          <w:color w:val="auto"/>
          <w:kern w:val="44"/>
          <w:sz w:val="21"/>
          <w:szCs w:val="21"/>
        </w:rPr>
        <w:t xml:space="preserve"> </w:t>
      </w:r>
    </w:p>
    <w:p w14:paraId="134EAB0D">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ascii="Times New Roman" w:hAnsi="Times New Roman" w:eastAsia="宋体" w:cs="Times New Roman"/>
          <w:smallCaps/>
          <w:color w:val="auto"/>
          <w:kern w:val="44"/>
          <w:sz w:val="21"/>
          <w:szCs w:val="21"/>
        </w:rPr>
        <w:t>2.徐葆耕</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西方文学十五讲</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北京大学出版社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2012.7</w:t>
      </w:r>
      <w:r>
        <w:rPr>
          <w:rFonts w:hint="eastAsia" w:ascii="Times New Roman" w:hAnsi="Times New Roman" w:eastAsia="宋体" w:cs="Times New Roman"/>
          <w:smallCaps/>
          <w:color w:val="auto"/>
          <w:kern w:val="44"/>
          <w:sz w:val="21"/>
          <w:szCs w:val="21"/>
          <w:lang w:val="en-US" w:eastAsia="zh-CN"/>
        </w:rPr>
        <w:t>.</w:t>
      </w:r>
    </w:p>
    <w:p w14:paraId="7714E7E6">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ascii="Times New Roman" w:hAnsi="Times New Roman" w:eastAsia="宋体" w:cs="Times New Roman"/>
          <w:smallCaps/>
          <w:color w:val="auto"/>
          <w:kern w:val="44"/>
          <w:sz w:val="21"/>
          <w:szCs w:val="21"/>
        </w:rPr>
        <w:t>3.郑克鲁</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《二十世纪欧美文学史》</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北京大学出版社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2014.1</w:t>
      </w:r>
      <w:r>
        <w:rPr>
          <w:rFonts w:hint="eastAsia" w:ascii="Times New Roman" w:hAnsi="Times New Roman" w:eastAsia="宋体" w:cs="Times New Roman"/>
          <w:smallCaps/>
          <w:color w:val="auto"/>
          <w:kern w:val="44"/>
          <w:sz w:val="21"/>
          <w:szCs w:val="21"/>
          <w:lang w:val="en-US" w:eastAsia="zh-CN"/>
        </w:rPr>
        <w:t>.</w:t>
      </w:r>
    </w:p>
    <w:p w14:paraId="75ECE6A2">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ascii="Times New Roman" w:hAnsi="Times New Roman" w:eastAsia="宋体" w:cs="Times New Roman"/>
          <w:smallCaps/>
          <w:color w:val="auto"/>
          <w:kern w:val="44"/>
          <w:sz w:val="21"/>
          <w:szCs w:val="21"/>
        </w:rPr>
        <w:t>4</w:t>
      </w:r>
      <w:r>
        <w:rPr>
          <w:rFonts w:hint="eastAsia" w:ascii="Times New Roman" w:hAnsi="Times New Roman" w:eastAsia="宋体" w:cs="Times New Roman"/>
          <w:smallCaps/>
          <w:color w:val="auto"/>
          <w:kern w:val="44"/>
          <w:sz w:val="21"/>
          <w:szCs w:val="21"/>
          <w:lang w:val="en-US" w:eastAsia="zh-CN"/>
        </w:rPr>
        <w:t>.</w:t>
      </w:r>
      <w:r>
        <w:rPr>
          <w:rFonts w:ascii="Times New Roman" w:hAnsi="Times New Roman" w:eastAsia="宋体" w:cs="Times New Roman"/>
          <w:smallCaps/>
          <w:color w:val="auto"/>
          <w:kern w:val="44"/>
          <w:sz w:val="21"/>
          <w:szCs w:val="21"/>
        </w:rPr>
        <w:t>朱维之等</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《外国文学史》</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天津</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南开大学出版社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2015.1</w:t>
      </w:r>
      <w:r>
        <w:rPr>
          <w:rFonts w:hint="eastAsia" w:ascii="Times New Roman" w:hAnsi="Times New Roman" w:eastAsia="宋体" w:cs="Times New Roman"/>
          <w:smallCaps/>
          <w:color w:val="auto"/>
          <w:kern w:val="44"/>
          <w:sz w:val="21"/>
          <w:szCs w:val="21"/>
          <w:lang w:val="en-US" w:eastAsia="zh-CN"/>
        </w:rPr>
        <w:t>.</w:t>
      </w:r>
    </w:p>
    <w:p w14:paraId="2A6C502B">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ascii="Times New Roman" w:hAnsi="Times New Roman" w:eastAsia="宋体" w:cs="Times New Roman"/>
          <w:smallCaps/>
          <w:color w:val="auto"/>
          <w:kern w:val="44"/>
          <w:sz w:val="21"/>
          <w:szCs w:val="21"/>
        </w:rPr>
        <w:t>5.郑克鲁等</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《外国文学史》</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高等教育出版社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2015.5</w:t>
      </w:r>
      <w:r>
        <w:rPr>
          <w:rFonts w:hint="eastAsia" w:ascii="Times New Roman" w:hAnsi="Times New Roman" w:eastAsia="宋体" w:cs="Times New Roman"/>
          <w:smallCaps/>
          <w:color w:val="auto"/>
          <w:kern w:val="44"/>
          <w:sz w:val="21"/>
          <w:szCs w:val="21"/>
          <w:lang w:val="en-US" w:eastAsia="zh-CN"/>
        </w:rPr>
        <w:t>.</w:t>
      </w:r>
    </w:p>
    <w:p w14:paraId="24C0ADC2">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ascii="Times New Roman" w:hAnsi="Times New Roman" w:eastAsia="宋体" w:cs="Times New Roman"/>
          <w:smallCaps/>
          <w:color w:val="auto"/>
          <w:kern w:val="44"/>
          <w:sz w:val="21"/>
          <w:szCs w:val="21"/>
        </w:rPr>
        <w:t>6.</w:t>
      </w:r>
      <w:r>
        <w:rPr>
          <w:rFonts w:ascii="Times New Roman" w:hAnsi="Times New Roman" w:eastAsia="宋体" w:cs="Times New Roman"/>
          <w:color w:val="auto"/>
          <w:sz w:val="21"/>
          <w:szCs w:val="21"/>
        </w:rPr>
        <w:fldChar w:fldCharType="begin"/>
      </w:r>
      <w:r>
        <w:rPr>
          <w:rFonts w:ascii="Times New Roman" w:hAnsi="Times New Roman" w:eastAsia="宋体" w:cs="Times New Roman"/>
          <w:color w:val="auto"/>
          <w:sz w:val="21"/>
          <w:szCs w:val="21"/>
        </w:rPr>
        <w:instrText xml:space="preserve"> HYPERLINK "https://book.jd.com/writer/%E9%83%81%E9%BE%99%E4%BD%99_1.html" \t "https://item.jd.com/_blank" </w:instrText>
      </w:r>
      <w:r>
        <w:rPr>
          <w:rFonts w:ascii="Times New Roman" w:hAnsi="Times New Roman" w:eastAsia="宋体" w:cs="Times New Roman"/>
          <w:color w:val="auto"/>
          <w:sz w:val="21"/>
          <w:szCs w:val="21"/>
        </w:rPr>
        <w:fldChar w:fldCharType="separate"/>
      </w:r>
      <w:r>
        <w:rPr>
          <w:rFonts w:ascii="Times New Roman" w:hAnsi="Times New Roman" w:eastAsia="宋体" w:cs="Times New Roman"/>
          <w:smallCaps/>
          <w:color w:val="auto"/>
          <w:kern w:val="44"/>
          <w:sz w:val="21"/>
          <w:szCs w:val="21"/>
        </w:rPr>
        <w:t>郁龙余</w:t>
      </w:r>
      <w:r>
        <w:rPr>
          <w:rFonts w:ascii="Times New Roman" w:hAnsi="Times New Roman" w:eastAsia="宋体" w:cs="Times New Roman"/>
          <w:smallCaps/>
          <w:color w:val="auto"/>
          <w:kern w:val="44"/>
          <w:sz w:val="21"/>
          <w:szCs w:val="21"/>
        </w:rPr>
        <w:fldChar w:fldCharType="end"/>
      </w:r>
      <w:r>
        <w:rPr>
          <w:rFonts w:hint="eastAsia" w:ascii="Times New Roman" w:hAnsi="Times New Roman" w:eastAsia="宋体" w:cs="Times New Roman"/>
          <w:smallCaps/>
          <w:color w:val="auto"/>
          <w:kern w:val="44"/>
          <w:sz w:val="21"/>
          <w:szCs w:val="21"/>
          <w:lang w:val="en-US" w:eastAsia="zh-CN"/>
        </w:rPr>
        <w:t>:</w:t>
      </w:r>
      <w:r>
        <w:rPr>
          <w:rFonts w:ascii="Times New Roman" w:hAnsi="Times New Roman" w:eastAsia="宋体" w:cs="Times New Roman"/>
          <w:smallCaps/>
          <w:color w:val="auto"/>
          <w:kern w:val="44"/>
          <w:sz w:val="21"/>
          <w:szCs w:val="21"/>
        </w:rPr>
        <w:t>《东方文学</w:t>
      </w:r>
      <w:r>
        <w:rPr>
          <w:rFonts w:hint="eastAsia" w:ascii="Times New Roman" w:hAnsi="Times New Roman" w:eastAsia="宋体" w:cs="Times New Roman"/>
          <w:smallCaps/>
          <w:color w:val="auto"/>
          <w:kern w:val="44"/>
          <w:sz w:val="21"/>
          <w:szCs w:val="21"/>
        </w:rPr>
        <w:t>史</w:t>
      </w:r>
      <w:r>
        <w:rPr>
          <w:rFonts w:ascii="Times New Roman" w:hAnsi="Times New Roman" w:eastAsia="宋体" w:cs="Times New Roman"/>
          <w:smallCaps/>
          <w:color w:val="auto"/>
          <w:kern w:val="44"/>
          <w:sz w:val="21"/>
          <w:szCs w:val="21"/>
        </w:rPr>
        <w:t>》（第二版）</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北京大学出版社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2015.7</w:t>
      </w:r>
      <w:r>
        <w:rPr>
          <w:rFonts w:hint="eastAsia" w:ascii="Times New Roman" w:hAnsi="Times New Roman" w:eastAsia="宋体" w:cs="Times New Roman"/>
          <w:smallCaps/>
          <w:color w:val="auto"/>
          <w:kern w:val="44"/>
          <w:sz w:val="21"/>
          <w:szCs w:val="21"/>
          <w:lang w:val="en-US" w:eastAsia="zh-CN"/>
        </w:rPr>
        <w:t>.</w:t>
      </w:r>
    </w:p>
    <w:p w14:paraId="49D4B2CD">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hint="eastAsia" w:ascii="Times New Roman" w:hAnsi="Times New Roman" w:eastAsia="宋体" w:cs="Times New Roman"/>
          <w:smallCaps/>
          <w:color w:val="auto"/>
          <w:kern w:val="44"/>
          <w:sz w:val="21"/>
          <w:szCs w:val="21"/>
          <w:lang w:val="en-US" w:eastAsia="zh-CN"/>
        </w:rPr>
        <w:t>7</w:t>
      </w:r>
      <w:r>
        <w:rPr>
          <w:rFonts w:ascii="Times New Roman" w:hAnsi="Times New Roman" w:eastAsia="宋体" w:cs="Times New Roman"/>
          <w:smallCaps/>
          <w:color w:val="auto"/>
          <w:kern w:val="44"/>
          <w:sz w:val="21"/>
          <w:szCs w:val="21"/>
        </w:rPr>
        <w:t>.</w:t>
      </w:r>
      <w:r>
        <w:rPr>
          <w:rFonts w:ascii="Times New Roman" w:hAnsi="Times New Roman" w:eastAsia="宋体" w:cs="Times New Roman"/>
          <w:color w:val="auto"/>
          <w:sz w:val="21"/>
          <w:szCs w:val="21"/>
        </w:rPr>
        <w:fldChar w:fldCharType="begin"/>
      </w:r>
      <w:r>
        <w:rPr>
          <w:rFonts w:ascii="Times New Roman" w:hAnsi="Times New Roman" w:eastAsia="宋体" w:cs="Times New Roman"/>
          <w:color w:val="auto"/>
          <w:sz w:val="21"/>
          <w:szCs w:val="21"/>
        </w:rPr>
        <w:instrText xml:space="preserve"> HYPERLINK "https://book.jd.com/writer/%E5%8B%83%E5%85%B0%E5%85%91%E6%96%AF_1.html" \t "https://item.jd.com/_blank" </w:instrText>
      </w:r>
      <w:r>
        <w:rPr>
          <w:rFonts w:ascii="Times New Roman" w:hAnsi="Times New Roman" w:eastAsia="宋体" w:cs="Times New Roman"/>
          <w:color w:val="auto"/>
          <w:sz w:val="21"/>
          <w:szCs w:val="21"/>
        </w:rPr>
        <w:fldChar w:fldCharType="separate"/>
      </w:r>
      <w:r>
        <w:rPr>
          <w:rFonts w:ascii="Times New Roman" w:hAnsi="Times New Roman" w:eastAsia="宋体" w:cs="Times New Roman"/>
          <w:smallCaps/>
          <w:color w:val="auto"/>
          <w:kern w:val="44"/>
          <w:sz w:val="21"/>
          <w:szCs w:val="21"/>
        </w:rPr>
        <w:t>勃兰兑斯</w:t>
      </w:r>
      <w:r>
        <w:rPr>
          <w:rFonts w:ascii="Times New Roman" w:hAnsi="Times New Roman" w:eastAsia="宋体" w:cs="Times New Roman"/>
          <w:smallCaps/>
          <w:color w:val="auto"/>
          <w:kern w:val="44"/>
          <w:sz w:val="21"/>
          <w:szCs w:val="21"/>
        </w:rPr>
        <w:fldChar w:fldCharType="end"/>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color w:val="auto"/>
          <w:sz w:val="21"/>
          <w:szCs w:val="21"/>
        </w:rPr>
        <w:fldChar w:fldCharType="begin"/>
      </w:r>
      <w:r>
        <w:rPr>
          <w:rFonts w:ascii="Times New Roman" w:hAnsi="Times New Roman" w:eastAsia="宋体" w:cs="Times New Roman"/>
          <w:color w:val="auto"/>
          <w:sz w:val="21"/>
          <w:szCs w:val="21"/>
        </w:rPr>
        <w:instrText xml:space="preserve"> HYPERLINK "https://book.jd.com/writer/%E5%BC%A0%E9%81%93%E7%9C%9F_1.html" \t "https://item.jd.com/_blank" </w:instrText>
      </w:r>
      <w:r>
        <w:rPr>
          <w:rFonts w:ascii="Times New Roman" w:hAnsi="Times New Roman" w:eastAsia="宋体" w:cs="Times New Roman"/>
          <w:color w:val="auto"/>
          <w:sz w:val="21"/>
          <w:szCs w:val="21"/>
        </w:rPr>
        <w:fldChar w:fldCharType="separate"/>
      </w:r>
      <w:r>
        <w:rPr>
          <w:rFonts w:ascii="Times New Roman" w:hAnsi="Times New Roman" w:eastAsia="宋体" w:cs="Times New Roman"/>
          <w:smallCaps/>
          <w:color w:val="auto"/>
          <w:kern w:val="44"/>
          <w:sz w:val="21"/>
          <w:szCs w:val="21"/>
        </w:rPr>
        <w:t>张道真</w:t>
      </w:r>
      <w:r>
        <w:rPr>
          <w:rFonts w:ascii="Times New Roman" w:hAnsi="Times New Roman" w:eastAsia="宋体" w:cs="Times New Roman"/>
          <w:smallCaps/>
          <w:color w:val="auto"/>
          <w:kern w:val="44"/>
          <w:sz w:val="21"/>
          <w:szCs w:val="21"/>
        </w:rPr>
        <w:fldChar w:fldCharType="end"/>
      </w:r>
      <w:r>
        <w:rPr>
          <w:rFonts w:ascii="Times New Roman" w:hAnsi="Times New Roman" w:eastAsia="宋体" w:cs="Times New Roman"/>
          <w:smallCaps/>
          <w:color w:val="auto"/>
          <w:kern w:val="44"/>
          <w:sz w:val="21"/>
          <w:szCs w:val="21"/>
        </w:rPr>
        <w:t>等译</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《十九世纪文学主流》</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人民文学出版社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2018.2</w:t>
      </w:r>
      <w:r>
        <w:rPr>
          <w:rFonts w:hint="eastAsia" w:ascii="Times New Roman" w:hAnsi="Times New Roman" w:eastAsia="宋体" w:cs="Times New Roman"/>
          <w:smallCaps/>
          <w:color w:val="auto"/>
          <w:kern w:val="44"/>
          <w:sz w:val="21"/>
          <w:szCs w:val="21"/>
          <w:lang w:val="en-US" w:eastAsia="zh-CN"/>
        </w:rPr>
        <w:t>.</w:t>
      </w:r>
    </w:p>
    <w:p w14:paraId="00C52B43">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hint="eastAsia" w:ascii="Times New Roman" w:hAnsi="Times New Roman" w:eastAsia="宋体" w:cs="Times New Roman"/>
          <w:smallCaps/>
          <w:color w:val="auto"/>
          <w:kern w:val="44"/>
          <w:sz w:val="21"/>
          <w:szCs w:val="21"/>
          <w:lang w:val="en-US" w:eastAsia="zh-CN"/>
        </w:rPr>
        <w:t>8</w:t>
      </w:r>
      <w:r>
        <w:rPr>
          <w:rFonts w:ascii="Times New Roman" w:hAnsi="Times New Roman" w:eastAsia="宋体" w:cs="Times New Roman"/>
          <w:smallCaps/>
          <w:color w:val="auto"/>
          <w:kern w:val="44"/>
          <w:sz w:val="21"/>
          <w:szCs w:val="21"/>
        </w:rPr>
        <w:t>.吴晓东</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《废墟的忧伤：西方现代文学漫读》</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北京大学出版社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2018.5</w:t>
      </w:r>
      <w:r>
        <w:rPr>
          <w:rFonts w:hint="eastAsia" w:ascii="Times New Roman" w:hAnsi="Times New Roman" w:eastAsia="宋体" w:cs="Times New Roman"/>
          <w:smallCaps/>
          <w:color w:val="auto"/>
          <w:kern w:val="44"/>
          <w:sz w:val="21"/>
          <w:szCs w:val="21"/>
          <w:lang w:val="en-US" w:eastAsia="zh-CN"/>
        </w:rPr>
        <w:t>.</w:t>
      </w:r>
    </w:p>
    <w:p w14:paraId="20347BE5">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hint="eastAsia" w:ascii="Times New Roman" w:hAnsi="Times New Roman" w:eastAsia="宋体" w:cs="Times New Roman"/>
          <w:smallCaps/>
          <w:color w:val="auto"/>
          <w:kern w:val="44"/>
          <w:sz w:val="21"/>
          <w:szCs w:val="21"/>
          <w:lang w:val="en-US" w:eastAsia="zh-CN"/>
        </w:rPr>
        <w:t>9</w:t>
      </w:r>
      <w:r>
        <w:rPr>
          <w:rFonts w:ascii="Times New Roman" w:hAnsi="Times New Roman" w:eastAsia="宋体" w:cs="Times New Roman"/>
          <w:smallCaps/>
          <w:color w:val="auto"/>
          <w:kern w:val="44"/>
          <w:sz w:val="21"/>
          <w:szCs w:val="21"/>
        </w:rPr>
        <w:t>.张德明</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《世界文学史》</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北京大学出版社</w:t>
      </w:r>
      <w:r>
        <w:rPr>
          <w:rFonts w:hint="eastAsia" w:ascii="Times New Roman" w:hAnsi="Times New Roman" w:eastAsia="宋体" w:cs="Times New Roman"/>
          <w:smallCaps/>
          <w:color w:val="auto"/>
          <w:kern w:val="44"/>
          <w:sz w:val="21"/>
          <w:szCs w:val="21"/>
          <w:lang w:val="en-US" w:eastAsia="zh-CN"/>
        </w:rPr>
        <w:t xml:space="preserve">, </w:t>
      </w:r>
      <w:r>
        <w:rPr>
          <w:rFonts w:ascii="Times New Roman" w:hAnsi="Times New Roman" w:eastAsia="宋体" w:cs="Times New Roman"/>
          <w:smallCaps/>
          <w:color w:val="auto"/>
          <w:kern w:val="44"/>
          <w:sz w:val="21"/>
          <w:szCs w:val="21"/>
        </w:rPr>
        <w:t>2018.5</w:t>
      </w:r>
      <w:r>
        <w:rPr>
          <w:rFonts w:hint="eastAsia" w:ascii="Times New Roman" w:hAnsi="Times New Roman" w:eastAsia="宋体" w:cs="Times New Roman"/>
          <w:smallCaps/>
          <w:color w:val="auto"/>
          <w:kern w:val="44"/>
          <w:sz w:val="21"/>
          <w:szCs w:val="21"/>
          <w:lang w:val="en-US" w:eastAsia="zh-CN"/>
        </w:rPr>
        <w:t>.</w:t>
      </w:r>
    </w:p>
    <w:p w14:paraId="3AEBB91B">
      <w:pPr>
        <w:rPr>
          <w:rFonts w:ascii="等线" w:hAnsi="等线" w:eastAsia="等线" w:cs="Times New Roman"/>
          <w:szCs w:val="22"/>
        </w:rPr>
      </w:pPr>
    </w:p>
    <w:p w14:paraId="5A6ACA9D">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执笔人：</w:t>
      </w:r>
      <w:r>
        <w:rPr>
          <w:rFonts w:hint="eastAsia" w:ascii="Times New Roman" w:hAnsi="Times New Roman" w:eastAsia="宋体" w:cs="Times New Roman"/>
          <w:sz w:val="24"/>
          <w:szCs w:val="24"/>
          <w:lang w:val="en-US" w:eastAsia="zh-CN"/>
        </w:rPr>
        <w:t>李  玲</w:t>
      </w:r>
      <w:r>
        <w:rPr>
          <w:rFonts w:ascii="Times New Roman" w:hAnsi="Times New Roman" w:eastAsia="宋体" w:cs="Times New Roman"/>
          <w:sz w:val="24"/>
          <w:szCs w:val="24"/>
        </w:rPr>
        <w:t xml:space="preserve"> </w:t>
      </w:r>
    </w:p>
    <w:p w14:paraId="134E1224">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审定人：</w:t>
      </w:r>
      <w:r>
        <w:rPr>
          <w:rFonts w:hint="eastAsia" w:ascii="Times New Roman" w:hAnsi="Times New Roman" w:eastAsia="宋体" w:cs="Times New Roman"/>
          <w:sz w:val="24"/>
          <w:szCs w:val="24"/>
          <w:lang w:val="en-US" w:eastAsia="zh-CN"/>
        </w:rPr>
        <w:t>王  健</w:t>
      </w:r>
      <w:r>
        <w:rPr>
          <w:rFonts w:ascii="Times New Roman" w:hAnsi="Times New Roman" w:eastAsia="宋体" w:cs="Times New Roman"/>
          <w:sz w:val="24"/>
          <w:szCs w:val="24"/>
        </w:rPr>
        <w:t xml:space="preserve"> </w:t>
      </w:r>
    </w:p>
    <w:p w14:paraId="559D4AC8">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审批人：</w:t>
      </w:r>
      <w:r>
        <w:rPr>
          <w:rFonts w:hint="eastAsia" w:ascii="Times New Roman" w:hAnsi="Times New Roman" w:eastAsia="宋体" w:cs="Times New Roman"/>
          <w:sz w:val="24"/>
          <w:szCs w:val="24"/>
          <w:lang w:val="en-US" w:eastAsia="zh-CN"/>
        </w:rPr>
        <w:t>张志欣</w:t>
      </w:r>
      <w:r>
        <w:rPr>
          <w:rFonts w:ascii="Times New Roman" w:hAnsi="Times New Roman" w:eastAsia="宋体" w:cs="Times New Roman"/>
          <w:sz w:val="24"/>
          <w:szCs w:val="24"/>
        </w:rPr>
        <w:t xml:space="preserve"> </w:t>
      </w:r>
    </w:p>
    <w:p w14:paraId="246811D1">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批准时间：</w:t>
      </w:r>
      <w:r>
        <w:rPr>
          <w:rFonts w:hint="eastAsia" w:ascii="Times New Roman" w:hAnsi="Times New Roman" w:eastAsia="宋体" w:cs="Times New Roman"/>
          <w:sz w:val="24"/>
          <w:szCs w:val="24"/>
          <w:lang w:val="en-US" w:eastAsia="zh-CN"/>
        </w:rPr>
        <w:t>2024年9月1日</w:t>
      </w:r>
    </w:p>
    <w:p w14:paraId="6C2EA894">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3B7D1C79">
      <w:pPr>
        <w:pStyle w:val="2"/>
        <w:bidi w:val="0"/>
        <w:rPr>
          <w:lang w:val="en-US" w:eastAsia="zh-CN"/>
        </w:rPr>
      </w:pPr>
      <w:bookmarkStart w:id="1998" w:name="_Toc25051"/>
      <w:bookmarkStart w:id="1999" w:name="_Toc1252"/>
      <w:bookmarkStart w:id="2000" w:name="_Toc18126"/>
      <w:bookmarkStart w:id="2001" w:name="_Toc12256"/>
      <w:r>
        <w:rPr>
          <w:rFonts w:hint="eastAsia"/>
          <w:lang w:val="en-US" w:eastAsia="zh-CN"/>
        </w:rPr>
        <w:t>《写作》课程教学大纲</w:t>
      </w:r>
      <w:bookmarkEnd w:id="1998"/>
      <w:bookmarkEnd w:id="1999"/>
      <w:bookmarkEnd w:id="2000"/>
      <w:bookmarkEnd w:id="2001"/>
    </w:p>
    <w:p w14:paraId="3D69EC0A">
      <w:pPr>
        <w:pStyle w:val="2"/>
        <w:bidi w:val="0"/>
        <w:rPr>
          <w:lang w:val="en-US" w:eastAsia="zh-CN"/>
        </w:rPr>
      </w:pPr>
      <w:bookmarkStart w:id="2002" w:name="_Toc27366"/>
      <w:bookmarkStart w:id="2003" w:name="_Toc20071"/>
      <w:bookmarkStart w:id="2004" w:name="_Toc9374"/>
      <w:bookmarkStart w:id="2005" w:name="_Toc7322"/>
      <w:bookmarkStart w:id="2006" w:name="_Toc13824"/>
      <w:bookmarkStart w:id="2007" w:name="_Toc31162"/>
      <w:bookmarkStart w:id="2008" w:name="_Toc27054"/>
      <w:r>
        <w:rPr>
          <w:lang w:val="en-US" w:eastAsia="zh-CN"/>
        </w:rPr>
        <w:t>（</w:t>
      </w:r>
      <w:r>
        <w:rPr>
          <w:rFonts w:hint="eastAsia"/>
          <w:lang w:val="en-US" w:eastAsia="zh-CN"/>
        </w:rPr>
        <w:t>Writing</w:t>
      </w:r>
      <w:r>
        <w:rPr>
          <w:lang w:val="en-US" w:eastAsia="zh-CN"/>
        </w:rPr>
        <w:t>）</w:t>
      </w:r>
      <w:bookmarkEnd w:id="2002"/>
      <w:bookmarkEnd w:id="2003"/>
      <w:bookmarkEnd w:id="2004"/>
      <w:bookmarkEnd w:id="2005"/>
      <w:bookmarkEnd w:id="2006"/>
      <w:bookmarkEnd w:id="2007"/>
      <w:bookmarkEnd w:id="2008"/>
    </w:p>
    <w:p w14:paraId="1BC5052E">
      <w:pPr>
        <w:spacing w:line="360" w:lineRule="auto"/>
        <w:jc w:val="center"/>
        <w:rPr>
          <w:rFonts w:ascii="Times New Roman" w:hAnsi="Times New Roman" w:eastAsia="宋体" w:cs="Times New Roman"/>
          <w:bCs/>
          <w:sz w:val="30"/>
          <w:szCs w:val="30"/>
        </w:rPr>
      </w:pPr>
    </w:p>
    <w:p w14:paraId="25884E78">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写作</w:t>
      </w:r>
    </w:p>
    <w:p w14:paraId="0201184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sz w:val="24"/>
          <w:szCs w:val="24"/>
          <w:lang w:val="en-US" w:eastAsia="zh-CN"/>
        </w:rPr>
        <w:t>0701012</w:t>
      </w:r>
    </w:p>
    <w:p w14:paraId="3D1ACF7B">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3</w:t>
      </w:r>
    </w:p>
    <w:p w14:paraId="564D7BDB">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48</w:t>
      </w:r>
    </w:p>
    <w:p w14:paraId="3B2A967C">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无</w:t>
      </w:r>
    </w:p>
    <w:p w14:paraId="1C8A36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6BC62C80">
      <w:pPr>
        <w:spacing w:line="360" w:lineRule="auto"/>
        <w:jc w:val="left"/>
        <w:rPr>
          <w:rFonts w:ascii="Times New Roman" w:hAnsi="Times New Roman" w:eastAsia="宋体" w:cs="Times New Roman"/>
          <w:b/>
          <w:sz w:val="24"/>
          <w:szCs w:val="24"/>
        </w:rPr>
      </w:pPr>
    </w:p>
    <w:p w14:paraId="2B2A86AF">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68CBC3C3">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本课程是小学教育专业的专业基础</w:t>
      </w:r>
      <w:r>
        <w:rPr>
          <w:rFonts w:hint="eastAsia" w:ascii="Times New Roman" w:hAnsi="Times New Roman" w:eastAsia="宋体" w:cs="Times New Roman"/>
          <w:szCs w:val="21"/>
          <w:lang w:val="en-US" w:eastAsia="zh-CN"/>
        </w:rPr>
        <w:t>课程</w:t>
      </w:r>
      <w:r>
        <w:rPr>
          <w:rFonts w:hint="eastAsia" w:ascii="Times New Roman" w:hAnsi="Times New Roman" w:eastAsia="宋体" w:cs="Times New Roman"/>
          <w:szCs w:val="21"/>
        </w:rPr>
        <w:t>。通过本课程的系统学习，学生能够掌握写作学相关的基础理论和知识，同时培养出扎实的写作技能和良好的语言表达能力。在课程学习过程中，学生不仅能够深入理解写作的基本规律和方法，还能通过大量的写作实践，提升逻辑思维能力、语言组织能力和创新表达能力。此外，写作课程还注重对学生思辨能力的培养，引导学生学会从多角度分析问题，提出独到的见解。通过系统的写作训练，学生能够在不同类型的写作任务中灵活运用所学知识，无论是学术论文、应用文写作，还是文学创作，都能展现出较高的写作水平。同时，写作课程还融入了课程思政元素，帮助学生在写作中树立正确的价值观和文化观，增强社会责任感和文化自信，为学生未来的学习、工作和生活奠定坚实的基础。</w:t>
      </w:r>
    </w:p>
    <w:p w14:paraId="4FCFEEC2">
      <w:pPr>
        <w:spacing w:line="360" w:lineRule="auto"/>
        <w:jc w:val="left"/>
        <w:rPr>
          <w:rFonts w:ascii="宋体" w:hAnsi="宋体" w:eastAsia="宋体" w:cs="Times New Roman"/>
          <w:b/>
          <w:color w:val="000000"/>
          <w:szCs w:val="21"/>
        </w:rPr>
      </w:pPr>
    </w:p>
    <w:p w14:paraId="7EF3FF5A">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00E834D">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2B4AC24">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学生通过对写作课程的学习，能够掌握写作学相关的基础理论和知识，深入理解写作的基本规律和方法。在课程学习过程中，学生将系统学习不同类型写作的特点和技巧，包括文学创作</w:t>
      </w:r>
      <w:r>
        <w:rPr>
          <w:rFonts w:hint="eastAsia" w:ascii="Times New Roman" w:hAnsi="Times New Roman" w:eastAsia="宋体" w:cs="Times New Roman"/>
          <w:szCs w:val="21"/>
          <w:lang w:val="en-US" w:eastAsia="zh-CN"/>
        </w:rPr>
        <w:t>和</w:t>
      </w:r>
      <w:r>
        <w:rPr>
          <w:rFonts w:hint="eastAsia" w:ascii="Times New Roman" w:hAnsi="Times New Roman" w:eastAsia="宋体" w:cs="Times New Roman"/>
          <w:szCs w:val="21"/>
        </w:rPr>
        <w:t>各种评论文，为应对多样化的写作任务奠定坚实的理论基础。</w:t>
      </w:r>
    </w:p>
    <w:p w14:paraId="0D8FE32E">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通过写作</w:t>
      </w:r>
      <w:r>
        <w:rPr>
          <w:rFonts w:hint="eastAsia" w:ascii="Times New Roman" w:hAnsi="Times New Roman" w:eastAsia="宋体" w:cs="Times New Roman"/>
          <w:szCs w:val="21"/>
          <w:lang w:val="en-US" w:eastAsia="zh-CN"/>
        </w:rPr>
        <w:t>理论的学习和大量的写作</w:t>
      </w:r>
      <w:r>
        <w:rPr>
          <w:rFonts w:hint="eastAsia" w:ascii="Times New Roman" w:hAnsi="Times New Roman" w:eastAsia="宋体" w:cs="Times New Roman"/>
          <w:szCs w:val="21"/>
        </w:rPr>
        <w:t>实践，学生将不断提升逻辑思维能力、语言组织能力和创新表达能力</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学会从多角度分析问题，提出独到的见解</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并</w:t>
      </w:r>
      <w:r>
        <w:rPr>
          <w:rFonts w:hint="eastAsia" w:ascii="Times New Roman" w:hAnsi="Times New Roman" w:eastAsia="宋体" w:cs="Times New Roman"/>
          <w:szCs w:val="21"/>
        </w:rPr>
        <w:t>能够在不同类型的写作任务中灵活运用所学知识，展现出较高的写作水平。</w:t>
      </w:r>
    </w:p>
    <w:p w14:paraId="4BEA1778">
      <w:pPr>
        <w:spacing w:line="360" w:lineRule="auto"/>
        <w:ind w:firstLine="422" w:firstLineChars="200"/>
        <w:jc w:val="left"/>
        <w:rPr>
          <w:rFonts w:hint="eastAsia"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通过写作实践，帮助学生在写作中树立正确的价值观和文化观，学生能够更好地理解国家发展和社会进步，关注社会热点问题，并在写作中表达对社会现象的思考和见解。这不仅有助于提升学生的写作能力，还能引导学生在思想上与国家和社会的发展同频共振，为学生未来的学习、工作和生活奠定坚实的思想基础。</w:t>
      </w:r>
    </w:p>
    <w:p w14:paraId="40B63735">
      <w:pPr>
        <w:spacing w:line="360" w:lineRule="auto"/>
        <w:ind w:firstLine="420" w:firstLineChars="200"/>
        <w:jc w:val="left"/>
        <w:rPr>
          <w:rFonts w:hint="eastAsia" w:ascii="Times New Roman" w:hAnsi="Times New Roman" w:eastAsia="宋体" w:cs="Times New Roman"/>
          <w:szCs w:val="21"/>
        </w:rPr>
      </w:pPr>
    </w:p>
    <w:p w14:paraId="2816509B">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EA8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869882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5549BD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180754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0A7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2098" w:type="dxa"/>
            <w:vAlign w:val="center"/>
          </w:tcPr>
          <w:p w14:paraId="5966151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60673D8D">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w:t>
            </w:r>
            <w:r>
              <w:rPr>
                <w:rFonts w:hint="eastAsia" w:ascii="宋体" w:hAnsi="宋体" w:eastAsia="宋体" w:cs="Times New Roman"/>
                <w:color w:val="000000"/>
                <w:spacing w:val="2"/>
                <w:kern w:val="0"/>
                <w:szCs w:val="21"/>
                <w:lang w:val="en-US" w:eastAsia="zh-CN"/>
              </w:rPr>
              <w:t>3</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自身修养良好</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具有较好的人文底蕴与科学精神，</w:t>
            </w:r>
            <w:r>
              <w:rPr>
                <w:rFonts w:hint="eastAsia" w:ascii="宋体" w:hAnsi="宋体" w:eastAsia="宋体" w:cs="Times New Roman"/>
                <w:color w:val="000000"/>
                <w:spacing w:val="2"/>
                <w:kern w:val="0"/>
                <w:szCs w:val="21"/>
                <w:lang w:val="en-US" w:eastAsia="zh-CN"/>
              </w:rPr>
              <w:t>言行举止符合教师职业标准，情感积极，人格健全，身心健康</w:t>
            </w:r>
            <w:r>
              <w:rPr>
                <w:rFonts w:ascii="宋体" w:hAnsi="宋体" w:eastAsia="宋体" w:cs="Times New Roman"/>
                <w:color w:val="000000"/>
                <w:spacing w:val="2"/>
                <w:kern w:val="0"/>
                <w:szCs w:val="21"/>
              </w:rPr>
              <w:t>。</w:t>
            </w:r>
          </w:p>
        </w:tc>
        <w:tc>
          <w:tcPr>
            <w:tcW w:w="1191" w:type="dxa"/>
            <w:vAlign w:val="center"/>
          </w:tcPr>
          <w:p w14:paraId="7BB7A05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489F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2098" w:type="dxa"/>
            <w:vAlign w:val="center"/>
          </w:tcPr>
          <w:p w14:paraId="54EB4A4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3DC60AE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lang w:val="en-US" w:eastAsia="zh-CN"/>
              </w:rPr>
              <w:t>2</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学科知识扎实</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r>
              <w:rPr>
                <w:rFonts w:ascii="宋体" w:hAnsi="宋体" w:eastAsia="宋体" w:cs="Times New Roman"/>
                <w:color w:val="000000"/>
                <w:spacing w:val="2"/>
                <w:kern w:val="0"/>
                <w:szCs w:val="21"/>
              </w:rPr>
              <w:t>。</w:t>
            </w:r>
          </w:p>
        </w:tc>
        <w:tc>
          <w:tcPr>
            <w:tcW w:w="1191" w:type="dxa"/>
            <w:vAlign w:val="center"/>
          </w:tcPr>
          <w:p w14:paraId="34BAF12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335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098" w:type="dxa"/>
            <w:vAlign w:val="center"/>
          </w:tcPr>
          <w:p w14:paraId="42D13240">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4教学能力</w:t>
            </w:r>
          </w:p>
        </w:tc>
        <w:tc>
          <w:tcPr>
            <w:tcW w:w="5688" w:type="dxa"/>
            <w:vAlign w:val="center"/>
          </w:tcPr>
          <w:p w14:paraId="52A6CC4E">
            <w:pPr>
              <w:spacing w:line="276" w:lineRule="auto"/>
              <w:jc w:val="left"/>
              <w:rPr>
                <w:rFonts w:ascii="Times New Roman" w:hAnsi="Times New Roman" w:eastAsia="宋体" w:cs="Times New Roman"/>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lang w:val="en-US" w:eastAsia="zh-CN"/>
              </w:rPr>
              <w:t>4</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6E1E388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040484B2">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485E234">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通过写作实践，学生能够深入关注社会发展的热点与难点问题，帮助学生在写作中树立正确的价值观和文化观，引导学生在文本中体现家国情怀，让他们学会从个人的成长经历出发，思考个人与国家、社会的关系，表达对国家发展的自豪感、对民族未来的使命感以及对社会和谐的追求。学生能够更好地理解国家发展和社会进步，关注社会热点问题，并在写作中表达对社会现象的思考和见解，成为具有社会责任感和使命感的优秀人才。</w:t>
      </w:r>
    </w:p>
    <w:p w14:paraId="52D70379">
      <w:pPr>
        <w:spacing w:line="360" w:lineRule="auto"/>
        <w:jc w:val="left"/>
        <w:rPr>
          <w:rFonts w:ascii="宋体" w:hAnsi="宋体" w:eastAsia="宋体" w:cs="Times New Roman"/>
          <w:b/>
          <w:color w:val="000000"/>
          <w:sz w:val="28"/>
          <w:szCs w:val="28"/>
        </w:rPr>
      </w:pPr>
    </w:p>
    <w:p w14:paraId="5DDBBF8C">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701"/>
        <w:gridCol w:w="1134"/>
        <w:gridCol w:w="3260"/>
        <w:gridCol w:w="1560"/>
        <w:gridCol w:w="97"/>
        <w:gridCol w:w="341"/>
      </w:tblGrid>
      <w:tr w14:paraId="7A3C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AABC921">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7DD7107">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ED40312">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77E53D29">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1ABD22C">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DF008DC">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2777FB6">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gridSpan w:val="2"/>
            <w:vAlign w:val="center"/>
          </w:tcPr>
          <w:p w14:paraId="5694AD90">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05F9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4F4CFB">
            <w:pPr>
              <w:numPr>
                <w:ilvl w:val="0"/>
                <w:numId w:val="0"/>
              </w:numPr>
              <w:spacing w:line="264"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1.写作绪论</w:t>
            </w:r>
          </w:p>
        </w:tc>
        <w:tc>
          <w:tcPr>
            <w:tcW w:w="1701" w:type="dxa"/>
            <w:vAlign w:val="center"/>
          </w:tcPr>
          <w:p w14:paraId="30D4F65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写作内涵辨析</w:t>
            </w:r>
          </w:p>
          <w:p w14:paraId="4ECF746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写作活动的特点</w:t>
            </w:r>
          </w:p>
          <w:p w14:paraId="723F842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写作在高科技时代的价值</w:t>
            </w:r>
          </w:p>
          <w:p w14:paraId="71F14D4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自由写作练习</w:t>
            </w:r>
          </w:p>
        </w:tc>
        <w:tc>
          <w:tcPr>
            <w:tcW w:w="1134" w:type="dxa"/>
            <w:vAlign w:val="center"/>
          </w:tcPr>
          <w:p w14:paraId="2CB2CC2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3260" w:type="dxa"/>
            <w:vAlign w:val="center"/>
          </w:tcPr>
          <w:p w14:paraId="25714B6F">
            <w:pPr>
              <w:numPr>
                <w:ilvl w:val="0"/>
                <w:numId w:val="0"/>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让学生了解</w:t>
            </w:r>
            <w:r>
              <w:rPr>
                <w:rFonts w:hint="eastAsia" w:ascii="宋体" w:hAnsi="宋体" w:eastAsia="宋体" w:cs="Times New Roman"/>
                <w:color w:val="000000"/>
                <w:szCs w:val="21"/>
                <w:lang w:val="en-US" w:eastAsia="zh-CN"/>
              </w:rPr>
              <w:t>写作的内涵和特点</w:t>
            </w:r>
          </w:p>
          <w:p w14:paraId="7159A591">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让学生</w:t>
            </w:r>
            <w:r>
              <w:rPr>
                <w:rFonts w:hint="eastAsia" w:ascii="宋体" w:hAnsi="宋体" w:eastAsia="宋体" w:cs="Times New Roman"/>
                <w:color w:val="000000"/>
                <w:szCs w:val="21"/>
                <w:lang w:val="en-US" w:eastAsia="zh-CN"/>
              </w:rPr>
              <w:t>明确</w:t>
            </w:r>
            <w:r>
              <w:rPr>
                <w:rFonts w:hint="eastAsia" w:ascii="宋体" w:hAnsi="宋体" w:eastAsia="宋体" w:cs="Times New Roman"/>
                <w:color w:val="000000"/>
                <w:szCs w:val="21"/>
              </w:rPr>
              <w:t>写作在高科技时代的价值</w:t>
            </w:r>
          </w:p>
          <w:p w14:paraId="7C1D427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3.通过自由写作练习，充分释放学生的想象力和创造力，自由表达内心的想法与情感，激发他们对语言文字的热爱和探索欲望。</w:t>
            </w:r>
          </w:p>
        </w:tc>
        <w:tc>
          <w:tcPr>
            <w:tcW w:w="1560" w:type="dxa"/>
            <w:vAlign w:val="center"/>
          </w:tcPr>
          <w:p w14:paraId="5866DB9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.多媒体教学</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.课堂讨论</w:t>
            </w:r>
          </w:p>
          <w:p w14:paraId="138A7E43">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3.课堂自由写作练习</w:t>
            </w:r>
          </w:p>
        </w:tc>
        <w:tc>
          <w:tcPr>
            <w:tcW w:w="438" w:type="dxa"/>
            <w:gridSpan w:val="2"/>
            <w:vAlign w:val="center"/>
          </w:tcPr>
          <w:p w14:paraId="02F210A0">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4FFD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1205" w:type="dxa"/>
            <w:vMerge w:val="continue"/>
            <w:vAlign w:val="center"/>
          </w:tcPr>
          <w:p w14:paraId="1BCEB1BE">
            <w:pPr>
              <w:spacing w:line="264" w:lineRule="auto"/>
              <w:jc w:val="center"/>
              <w:rPr>
                <w:rFonts w:ascii="宋体" w:hAnsi="宋体" w:eastAsia="宋体" w:cs="Times New Roman"/>
                <w:color w:val="000000"/>
                <w:szCs w:val="21"/>
              </w:rPr>
            </w:pPr>
          </w:p>
        </w:tc>
        <w:tc>
          <w:tcPr>
            <w:tcW w:w="8093" w:type="dxa"/>
            <w:gridSpan w:val="6"/>
            <w:vAlign w:val="center"/>
          </w:tcPr>
          <w:p w14:paraId="4DFD8AC9">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通过对写作内涵的辨析</w:t>
            </w:r>
            <w:r>
              <w:rPr>
                <w:rFonts w:hint="eastAsia" w:ascii="宋体" w:hAnsi="宋体" w:eastAsia="宋体" w:cs="Times New Roman"/>
                <w:color w:val="000000"/>
                <w:szCs w:val="21"/>
                <w:lang w:eastAsia="zh-CN"/>
              </w:rPr>
              <w:t>、写作在高科技时代的价值</w:t>
            </w:r>
            <w:r>
              <w:rPr>
                <w:rFonts w:hint="eastAsia" w:ascii="宋体" w:hAnsi="宋体" w:eastAsia="宋体" w:cs="Times New Roman"/>
                <w:color w:val="000000"/>
                <w:szCs w:val="21"/>
                <w:lang w:val="en-US" w:eastAsia="zh-CN"/>
              </w:rPr>
              <w:t>以及自由写作的练习</w:t>
            </w:r>
            <w:r>
              <w:rPr>
                <w:rFonts w:hint="eastAsia" w:ascii="宋体" w:hAnsi="宋体" w:eastAsia="宋体" w:cs="Times New Roman"/>
                <w:color w:val="000000"/>
                <w:szCs w:val="21"/>
              </w:rPr>
              <w:t>，引导学生理解写作不仅是文字的表达，更是思想和价值观的传递。帮助学生树立正确的世界观、人生观和价值观，增强对国家和社会的责任感。培养学生敢于质疑、勇于表达自己观点的批判精神，引导学生从多角度思考问题，提升思辨能力。</w:t>
            </w:r>
          </w:p>
        </w:tc>
      </w:tr>
      <w:tr w14:paraId="7699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24C47B6">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写作活动中的主体因素</w:t>
            </w:r>
          </w:p>
        </w:tc>
        <w:tc>
          <w:tcPr>
            <w:tcW w:w="1701" w:type="dxa"/>
            <w:vAlign w:val="center"/>
          </w:tcPr>
          <w:p w14:paraId="6C798B65">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写作活动的缘起</w:t>
            </w:r>
          </w:p>
          <w:p w14:paraId="3BC6C09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写作主体需要的素质和能力</w:t>
            </w:r>
          </w:p>
          <w:p w14:paraId="48098E5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影响写作活动的重要主体因素</w:t>
            </w:r>
          </w:p>
          <w:p w14:paraId="731AD6FA">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）写一篇短文，描述你眼中的自己作为写作主体的优势和不足</w:t>
            </w:r>
          </w:p>
          <w:p w14:paraId="7AA9D17A">
            <w:pPr>
              <w:spacing w:line="269" w:lineRule="auto"/>
              <w:jc w:val="left"/>
              <w:rPr>
                <w:rFonts w:hint="eastAsia" w:ascii="宋体" w:hAnsi="宋体" w:eastAsia="宋体" w:cs="Times New Roman"/>
                <w:color w:val="000000"/>
                <w:szCs w:val="21"/>
              </w:rPr>
            </w:pPr>
          </w:p>
        </w:tc>
        <w:tc>
          <w:tcPr>
            <w:tcW w:w="1134" w:type="dxa"/>
            <w:vAlign w:val="center"/>
          </w:tcPr>
          <w:p w14:paraId="601B57A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3</w:t>
            </w:r>
          </w:p>
        </w:tc>
        <w:tc>
          <w:tcPr>
            <w:tcW w:w="3260" w:type="dxa"/>
            <w:vAlign w:val="center"/>
          </w:tcPr>
          <w:p w14:paraId="4C175ED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1.了解</w:t>
            </w:r>
            <w:r>
              <w:rPr>
                <w:rFonts w:hint="eastAsia" w:ascii="宋体" w:hAnsi="宋体" w:eastAsia="宋体" w:cs="Times New Roman"/>
                <w:color w:val="000000"/>
                <w:szCs w:val="21"/>
              </w:rPr>
              <w:t>写作活动的缘起</w:t>
            </w:r>
          </w:p>
          <w:p w14:paraId="4116558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2.掌握</w:t>
            </w:r>
            <w:r>
              <w:rPr>
                <w:rFonts w:hint="eastAsia" w:ascii="宋体" w:hAnsi="宋体" w:eastAsia="宋体" w:cs="Times New Roman"/>
                <w:color w:val="000000"/>
                <w:szCs w:val="21"/>
              </w:rPr>
              <w:t>写作主体所需要的素质和能力</w:t>
            </w:r>
          </w:p>
          <w:p w14:paraId="3231C52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3.理解</w:t>
            </w:r>
            <w:r>
              <w:rPr>
                <w:rFonts w:hint="eastAsia" w:ascii="宋体" w:hAnsi="宋体" w:eastAsia="宋体" w:cs="Times New Roman"/>
                <w:color w:val="000000"/>
                <w:szCs w:val="21"/>
              </w:rPr>
              <w:t>影响写作活动的重要主体因素</w:t>
            </w:r>
          </w:p>
          <w:p w14:paraId="249B327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4.对写作主体有较强的自我认知</w:t>
            </w:r>
          </w:p>
        </w:tc>
        <w:tc>
          <w:tcPr>
            <w:tcW w:w="1560" w:type="dxa"/>
            <w:vAlign w:val="center"/>
          </w:tcPr>
          <w:p w14:paraId="09233A48">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.多媒体教学</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.课堂讨论</w:t>
            </w:r>
            <w:r>
              <w:rPr>
                <w:rFonts w:hint="eastAsia" w:ascii="宋体" w:hAnsi="宋体" w:eastAsia="宋体" w:cs="Times New Roman"/>
                <w:color w:val="000000"/>
                <w:szCs w:val="21"/>
                <w:lang w:val="en-US" w:eastAsia="zh-CN"/>
              </w:rPr>
              <w:t>与练习</w:t>
            </w:r>
          </w:p>
          <w:p w14:paraId="677EF86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3.课后作业</w:t>
            </w:r>
          </w:p>
        </w:tc>
        <w:tc>
          <w:tcPr>
            <w:tcW w:w="438" w:type="dxa"/>
            <w:gridSpan w:val="2"/>
            <w:vAlign w:val="center"/>
          </w:tcPr>
          <w:p w14:paraId="1E02F58F">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3EFD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205" w:type="dxa"/>
            <w:vMerge w:val="continue"/>
            <w:vAlign w:val="center"/>
          </w:tcPr>
          <w:p w14:paraId="6C8E4515">
            <w:pPr>
              <w:spacing w:line="264" w:lineRule="auto"/>
              <w:jc w:val="center"/>
              <w:rPr>
                <w:rFonts w:ascii="宋体" w:hAnsi="宋体" w:eastAsia="宋体" w:cs="Times New Roman"/>
                <w:color w:val="000000"/>
                <w:szCs w:val="21"/>
              </w:rPr>
            </w:pPr>
          </w:p>
        </w:tc>
        <w:tc>
          <w:tcPr>
            <w:tcW w:w="8093" w:type="dxa"/>
            <w:gridSpan w:val="6"/>
            <w:vAlign w:val="center"/>
          </w:tcPr>
          <w:p w14:paraId="08FF7DC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在探讨影响写作活动的重要主体因素时，培养学生敢于质疑、勇于表达自己观点的批判精神，引导学生从多角度思考问题，提升思辨能力。</w:t>
            </w:r>
          </w:p>
        </w:tc>
      </w:tr>
      <w:tr w14:paraId="254E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2" w:hRule="atLeast"/>
          <w:jc w:val="center"/>
        </w:trPr>
        <w:tc>
          <w:tcPr>
            <w:tcW w:w="1205" w:type="dxa"/>
            <w:vMerge w:val="restart"/>
            <w:vAlign w:val="center"/>
          </w:tcPr>
          <w:p w14:paraId="2B8D7F72">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写作活动中的客体因素</w:t>
            </w:r>
          </w:p>
        </w:tc>
        <w:tc>
          <w:tcPr>
            <w:tcW w:w="1701" w:type="dxa"/>
            <w:vAlign w:val="center"/>
          </w:tcPr>
          <w:p w14:paraId="724E50B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）写作客体的含义与作用</w:t>
            </w:r>
          </w:p>
          <w:p w14:paraId="6C20203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对象化、多样化的写作客体</w:t>
            </w:r>
          </w:p>
          <w:p w14:paraId="3879D7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对写作客体的选择与开掘</w:t>
            </w:r>
          </w:p>
          <w:p w14:paraId="318B881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）选择一个你经历过或观察到的感人事件，写篇短文，表达你的情感和思考。</w:t>
            </w:r>
          </w:p>
        </w:tc>
        <w:tc>
          <w:tcPr>
            <w:tcW w:w="1134" w:type="dxa"/>
            <w:vAlign w:val="center"/>
          </w:tcPr>
          <w:p w14:paraId="657B35E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p>
        </w:tc>
        <w:tc>
          <w:tcPr>
            <w:tcW w:w="3260" w:type="dxa"/>
            <w:vAlign w:val="center"/>
          </w:tcPr>
          <w:p w14:paraId="76FD1F20">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掌握写作客体的含义与作用</w:t>
            </w:r>
          </w:p>
          <w:p w14:paraId="4E30A21E">
            <w:pPr>
              <w:numPr>
                <w:ilvl w:val="0"/>
                <w:numId w:val="0"/>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能够多方位认识写作客体</w:t>
            </w:r>
          </w:p>
          <w:p w14:paraId="54D7C15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掌握对写作客体的选择与开掘的方法</w:t>
            </w:r>
          </w:p>
          <w:p w14:paraId="328B023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4.掌握对写作客体的情感表达</w:t>
            </w:r>
          </w:p>
        </w:tc>
        <w:tc>
          <w:tcPr>
            <w:tcW w:w="1560" w:type="dxa"/>
            <w:vAlign w:val="center"/>
          </w:tcPr>
          <w:p w14:paraId="70E9BD1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6A021C6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5D65378D">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10AD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1205" w:type="dxa"/>
            <w:vMerge w:val="continue"/>
            <w:vAlign w:val="center"/>
          </w:tcPr>
          <w:p w14:paraId="6044FB64">
            <w:pPr>
              <w:spacing w:line="264" w:lineRule="auto"/>
              <w:jc w:val="center"/>
              <w:rPr>
                <w:rFonts w:ascii="宋体" w:hAnsi="宋体" w:eastAsia="宋体" w:cs="Times New Roman"/>
                <w:color w:val="000000"/>
                <w:szCs w:val="21"/>
              </w:rPr>
            </w:pPr>
          </w:p>
        </w:tc>
        <w:tc>
          <w:tcPr>
            <w:tcW w:w="8093" w:type="dxa"/>
            <w:gridSpan w:val="6"/>
            <w:vAlign w:val="center"/>
          </w:tcPr>
          <w:p w14:paraId="745EA806">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写作客体的含义与作用、对象化与多样化的写作客体，以及对写作客体的选择与开掘，学生能够提升对写作内容的深度理解和表达能力，同时培养敏锐的观察力和批判性思维。在此基础上，通过写作练习表达对感人事件的情感和思考，进一步增强学生的社会责任感、人文关怀精神以及对社会现实的关注度，引导学生在写作中传递正能量，弘扬社会主义核心价值观。</w:t>
            </w:r>
          </w:p>
        </w:tc>
      </w:tr>
      <w:tr w14:paraId="2963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5" w:hRule="atLeast"/>
          <w:jc w:val="center"/>
        </w:trPr>
        <w:tc>
          <w:tcPr>
            <w:tcW w:w="1205" w:type="dxa"/>
            <w:vMerge w:val="restart"/>
            <w:vAlign w:val="center"/>
          </w:tcPr>
          <w:p w14:paraId="40A1BDA8">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写作活动中的受体因素</w:t>
            </w:r>
          </w:p>
        </w:tc>
        <w:tc>
          <w:tcPr>
            <w:tcW w:w="1701" w:type="dxa"/>
            <w:vAlign w:val="center"/>
          </w:tcPr>
          <w:p w14:paraId="027EDEDB">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写作主体的受体意识</w:t>
            </w:r>
          </w:p>
          <w:p w14:paraId="628B8C8F">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受体的心理特征</w:t>
            </w:r>
          </w:p>
          <w:p w14:paraId="0BEEDCED">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受体对写作活动的影响</w:t>
            </w:r>
          </w:p>
          <w:p w14:paraId="6C718BF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（4）假设你写了一篇关于环保的文章，写一篇短文，描述你如何根据不同受体的反馈进行改进。</w:t>
            </w:r>
          </w:p>
        </w:tc>
        <w:tc>
          <w:tcPr>
            <w:tcW w:w="1134" w:type="dxa"/>
            <w:vAlign w:val="center"/>
          </w:tcPr>
          <w:p w14:paraId="1E7A398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64506DB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了解写作主体的受体意识</w:t>
            </w:r>
          </w:p>
          <w:p w14:paraId="37EF30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2.掌握</w:t>
            </w:r>
            <w:r>
              <w:rPr>
                <w:rFonts w:hint="eastAsia" w:ascii="宋体" w:hAnsi="宋体" w:eastAsia="宋体" w:cs="Times New Roman"/>
                <w:color w:val="000000"/>
                <w:szCs w:val="21"/>
              </w:rPr>
              <w:t>受体的心理特征</w:t>
            </w:r>
          </w:p>
          <w:p w14:paraId="313EA27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3.理解受体对写作活动的影响</w:t>
            </w:r>
          </w:p>
          <w:p w14:paraId="290349D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4.掌握写作受体的反馈与改进</w:t>
            </w:r>
          </w:p>
        </w:tc>
        <w:tc>
          <w:tcPr>
            <w:tcW w:w="1560" w:type="dxa"/>
            <w:vAlign w:val="center"/>
          </w:tcPr>
          <w:p w14:paraId="43E0F67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6F05CBB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3718BD62">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3DD1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1205" w:type="dxa"/>
            <w:vMerge w:val="continue"/>
            <w:vAlign w:val="center"/>
          </w:tcPr>
          <w:p w14:paraId="63BCF147">
            <w:pPr>
              <w:spacing w:line="276" w:lineRule="auto"/>
              <w:jc w:val="center"/>
              <w:rPr>
                <w:rFonts w:ascii="宋体" w:hAnsi="宋体" w:eastAsia="宋体" w:cs="Times New Roman"/>
                <w:color w:val="000000"/>
                <w:szCs w:val="21"/>
              </w:rPr>
            </w:pPr>
          </w:p>
        </w:tc>
        <w:tc>
          <w:tcPr>
            <w:tcW w:w="8093" w:type="dxa"/>
            <w:gridSpan w:val="6"/>
            <w:vAlign w:val="center"/>
          </w:tcPr>
          <w:p w14:paraId="3A63696C">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生能够增强社会责任感与服务意识，培养对不同群体的包容与同理心，树立正确的写作价值观，提升沟通能力与社会参与度，为成为有担当的公民奠定基础。同时，引导学生关注社会需求，弘扬社会主义核心价值观，促进社会和谐发展，推动个人成长与社会进步的有机结合。</w:t>
            </w:r>
          </w:p>
        </w:tc>
      </w:tr>
      <w:tr w14:paraId="2FC4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1" w:hRule="atLeast"/>
          <w:jc w:val="center"/>
        </w:trPr>
        <w:tc>
          <w:tcPr>
            <w:tcW w:w="1205" w:type="dxa"/>
            <w:vMerge w:val="restart"/>
            <w:vAlign w:val="center"/>
          </w:tcPr>
          <w:p w14:paraId="2547AD4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写作活动中的载体因素</w:t>
            </w:r>
          </w:p>
        </w:tc>
        <w:tc>
          <w:tcPr>
            <w:tcW w:w="1701" w:type="dxa"/>
            <w:vAlign w:val="center"/>
          </w:tcPr>
          <w:p w14:paraId="1C81E224">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文章体式</w:t>
            </w:r>
          </w:p>
          <w:p w14:paraId="0E69C2DB">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表达方式</w:t>
            </w:r>
          </w:p>
          <w:p w14:paraId="65A3E89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语体特征</w:t>
            </w:r>
          </w:p>
          <w:p w14:paraId="3F88E56D">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（4）选择一个你熟悉的汉字或词语，写一篇短文，探讨其在写作中的意义和作用。</w:t>
            </w:r>
          </w:p>
        </w:tc>
        <w:tc>
          <w:tcPr>
            <w:tcW w:w="1134" w:type="dxa"/>
            <w:vAlign w:val="center"/>
          </w:tcPr>
          <w:p w14:paraId="35ECC57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EE8297E">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1.掌握常见文章体式</w:t>
            </w:r>
          </w:p>
          <w:p w14:paraId="575233E7">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2.理解表达方式的综合运用</w:t>
            </w:r>
          </w:p>
          <w:p w14:paraId="2FFBCC2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3.掌握常见语体特征</w:t>
            </w:r>
            <w:r>
              <w:rPr>
                <w:rFonts w:hint="eastAsia" w:ascii="宋体" w:hAnsi="宋体" w:eastAsia="宋体" w:cs="Times New Roman"/>
                <w:color w:val="000000"/>
                <w:szCs w:val="21"/>
                <w:lang w:val="en-US" w:eastAsia="zh-CN"/>
              </w:rPr>
              <w:t>并能够分析经典语体作品</w:t>
            </w:r>
          </w:p>
        </w:tc>
        <w:tc>
          <w:tcPr>
            <w:tcW w:w="1560" w:type="dxa"/>
            <w:vAlign w:val="center"/>
          </w:tcPr>
          <w:p w14:paraId="43B1EA68">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002E06A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31A250F5">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3C38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jc w:val="center"/>
        </w:trPr>
        <w:tc>
          <w:tcPr>
            <w:tcW w:w="1205" w:type="dxa"/>
            <w:vMerge w:val="continue"/>
            <w:vAlign w:val="center"/>
          </w:tcPr>
          <w:p w14:paraId="63DB5E20">
            <w:pPr>
              <w:spacing w:line="276" w:lineRule="auto"/>
              <w:jc w:val="center"/>
              <w:rPr>
                <w:rFonts w:ascii="宋体" w:hAnsi="宋体" w:eastAsia="宋体" w:cs="Times New Roman"/>
                <w:color w:val="000000"/>
                <w:szCs w:val="21"/>
              </w:rPr>
            </w:pPr>
          </w:p>
        </w:tc>
        <w:tc>
          <w:tcPr>
            <w:tcW w:w="8093" w:type="dxa"/>
            <w:gridSpan w:val="6"/>
            <w:vAlign w:val="center"/>
          </w:tcPr>
          <w:p w14:paraId="0EDD832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生能够系统掌握写作的基本规范与技巧，提升语言表达能力和文化素养，同时增强对中华优秀传统文化的认同感和自豪感。结合汉字或词语的写作练习，培养学生对语言文字的敬畏之心，引导他们在写作中传递正能量，弘扬社会主义核心价值观，增强文化自信和社会责任感。</w:t>
            </w:r>
          </w:p>
        </w:tc>
      </w:tr>
      <w:tr w14:paraId="3BFA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C86177">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en-US" w:eastAsia="zh-CN"/>
              </w:rPr>
              <w:t>写作过程</w:t>
            </w:r>
          </w:p>
        </w:tc>
        <w:tc>
          <w:tcPr>
            <w:tcW w:w="1701" w:type="dxa"/>
            <w:vAlign w:val="center"/>
          </w:tcPr>
          <w:p w14:paraId="5A14AED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采撷、积累</w:t>
            </w:r>
          </w:p>
          <w:p w14:paraId="6665C66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（2）回忆、体验</w:t>
            </w:r>
          </w:p>
          <w:p w14:paraId="1482217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想象、整合</w:t>
            </w:r>
          </w:p>
          <w:p w14:paraId="3E093439">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（4）立意、选材</w:t>
            </w:r>
          </w:p>
          <w:p w14:paraId="72ECDC29">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（5）构思、赋形</w:t>
            </w:r>
          </w:p>
          <w:p w14:paraId="2969C99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（6）表达、修改</w:t>
            </w:r>
          </w:p>
          <w:p w14:paraId="5DC0500F">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（7）</w:t>
            </w:r>
            <w:r>
              <w:rPr>
                <w:rFonts w:hint="default" w:ascii="宋体" w:hAnsi="宋体" w:eastAsia="宋体" w:cs="Times New Roman"/>
                <w:color w:val="000000"/>
                <w:szCs w:val="21"/>
                <w:lang w:val="en-US" w:eastAsia="zh-CN"/>
              </w:rPr>
              <w:t>记录你本周观察到的校园中的一个有趣场景或事件，写一篇观察笔记。</w:t>
            </w:r>
          </w:p>
        </w:tc>
        <w:tc>
          <w:tcPr>
            <w:tcW w:w="1134" w:type="dxa"/>
            <w:vAlign w:val="center"/>
          </w:tcPr>
          <w:p w14:paraId="30F00AC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9A8FA5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掌握</w:t>
            </w:r>
            <w:r>
              <w:rPr>
                <w:rFonts w:hint="eastAsia" w:ascii="宋体" w:hAnsi="宋体" w:eastAsia="宋体" w:cs="Times New Roman"/>
                <w:color w:val="000000"/>
                <w:szCs w:val="21"/>
              </w:rPr>
              <w:t>素材的获取与整理</w:t>
            </w:r>
            <w:r>
              <w:rPr>
                <w:rFonts w:hint="eastAsia" w:ascii="宋体" w:hAnsi="宋体" w:eastAsia="宋体" w:cs="Times New Roman"/>
                <w:color w:val="000000"/>
                <w:szCs w:val="21"/>
                <w:lang w:val="en-US" w:eastAsia="zh-CN"/>
              </w:rPr>
              <w:t>方法</w:t>
            </w:r>
          </w:p>
          <w:p w14:paraId="12A3048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学会内容的构思与组织</w:t>
            </w:r>
          </w:p>
          <w:p w14:paraId="7F5D1C3F">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理解写作的表达与完善</w:t>
            </w:r>
          </w:p>
          <w:p w14:paraId="643330B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4.学会详细描述场景或事件，注意细节描写</w:t>
            </w:r>
          </w:p>
        </w:tc>
        <w:tc>
          <w:tcPr>
            <w:tcW w:w="1560" w:type="dxa"/>
            <w:vAlign w:val="center"/>
          </w:tcPr>
          <w:p w14:paraId="0E4E7C1F">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0521876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0652B19F">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2964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F53FC8">
            <w:pPr>
              <w:spacing w:line="276" w:lineRule="auto"/>
              <w:jc w:val="center"/>
              <w:rPr>
                <w:rFonts w:ascii="宋体" w:hAnsi="宋体" w:eastAsia="宋体" w:cs="Times New Roman"/>
                <w:color w:val="000000"/>
                <w:szCs w:val="21"/>
              </w:rPr>
            </w:pPr>
          </w:p>
        </w:tc>
        <w:tc>
          <w:tcPr>
            <w:tcW w:w="8093" w:type="dxa"/>
            <w:gridSpan w:val="6"/>
            <w:vAlign w:val="center"/>
          </w:tcPr>
          <w:p w14:paraId="2E24D1BF">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掌握素材获取与整理、内容构思与组织、写作表达与完善以及详细描述场景或事件的方法，培养学生严谨的治学态度、批判性思维、社会责任感和人文关怀精神。这些写作技能的提升过程，有助于引导学生树立正确的价值观、世界观和人生观，增强其信息素养、沟通能力和团队协作意识，使其成为具有社会责任感和创新精神的高素质人才</w:t>
            </w:r>
            <w:r>
              <w:rPr>
                <w:rFonts w:hint="eastAsia" w:ascii="宋体" w:hAnsi="宋体" w:eastAsia="宋体" w:cs="Times New Roman"/>
                <w:color w:val="000000"/>
                <w:szCs w:val="21"/>
                <w:lang w:eastAsia="zh-CN"/>
              </w:rPr>
              <w:t>。</w:t>
            </w:r>
          </w:p>
        </w:tc>
      </w:tr>
      <w:tr w14:paraId="5678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13D4A53">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7.</w:t>
            </w:r>
            <w:r>
              <w:rPr>
                <w:rFonts w:hint="eastAsia" w:ascii="宋体" w:hAnsi="宋体" w:eastAsia="宋体" w:cs="Times New Roman"/>
                <w:szCs w:val="21"/>
                <w:lang w:val="en-US" w:eastAsia="zh-CN"/>
              </w:rPr>
              <w:t>散文</w:t>
            </w:r>
          </w:p>
        </w:tc>
        <w:tc>
          <w:tcPr>
            <w:tcW w:w="1701" w:type="dxa"/>
            <w:vAlign w:val="center"/>
          </w:tcPr>
          <w:p w14:paraId="22C6B966">
            <w:pPr>
              <w:spacing w:line="276" w:lineRule="auto"/>
              <w:jc w:val="left"/>
              <w:rPr>
                <w:rFonts w:hint="eastAsia" w:ascii="宋体" w:hAnsi="宋体" w:eastAsia="宋体" w:cs="Times New Roman"/>
                <w:szCs w:val="21"/>
              </w:rPr>
            </w:pPr>
            <w:r>
              <w:rPr>
                <w:rFonts w:hint="eastAsia" w:ascii="宋体" w:hAnsi="宋体" w:eastAsia="宋体" w:cs="Times New Roman"/>
                <w:szCs w:val="21"/>
              </w:rPr>
              <w:t>（1）散文的概念</w:t>
            </w:r>
          </w:p>
          <w:p w14:paraId="4399E1A1">
            <w:pPr>
              <w:spacing w:line="276" w:lineRule="auto"/>
              <w:jc w:val="left"/>
              <w:rPr>
                <w:rFonts w:hint="eastAsia" w:ascii="宋体" w:hAnsi="宋体" w:eastAsia="宋体" w:cs="Times New Roman"/>
                <w:szCs w:val="21"/>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2</w:t>
            </w:r>
            <w:r>
              <w:rPr>
                <w:rFonts w:hint="eastAsia" w:ascii="宋体" w:hAnsi="宋体" w:eastAsia="宋体" w:cs="Times New Roman"/>
                <w:szCs w:val="21"/>
                <w:lang w:eastAsia="zh-CN"/>
              </w:rPr>
              <w:t>）</w:t>
            </w:r>
            <w:r>
              <w:rPr>
                <w:rFonts w:hint="eastAsia" w:ascii="宋体" w:hAnsi="宋体" w:eastAsia="宋体" w:cs="Times New Roman"/>
                <w:szCs w:val="21"/>
              </w:rPr>
              <w:t>散文的特点</w:t>
            </w:r>
          </w:p>
          <w:p w14:paraId="11A41D14">
            <w:pPr>
              <w:spacing w:line="276" w:lineRule="auto"/>
              <w:jc w:val="left"/>
              <w:rPr>
                <w:rFonts w:hint="eastAsia" w:ascii="宋体" w:hAnsi="宋体" w:eastAsia="宋体" w:cs="Times New Roman"/>
                <w:szCs w:val="21"/>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3</w:t>
            </w:r>
            <w:r>
              <w:rPr>
                <w:rFonts w:hint="eastAsia" w:ascii="宋体" w:hAnsi="宋体" w:eastAsia="宋体" w:cs="Times New Roman"/>
                <w:szCs w:val="21"/>
                <w:lang w:eastAsia="zh-CN"/>
              </w:rPr>
              <w:t>）</w:t>
            </w:r>
            <w:r>
              <w:rPr>
                <w:rFonts w:hint="eastAsia" w:ascii="宋体" w:hAnsi="宋体" w:eastAsia="宋体" w:cs="Times New Roman"/>
                <w:szCs w:val="21"/>
              </w:rPr>
              <w:t>散文的写作方法和技巧</w:t>
            </w:r>
          </w:p>
          <w:p w14:paraId="30C313D0">
            <w:pPr>
              <w:spacing w:line="276" w:lineRule="auto"/>
              <w:jc w:val="left"/>
              <w:rPr>
                <w:rFonts w:hint="eastAsia" w:ascii="宋体" w:hAnsi="宋体" w:eastAsia="宋体" w:cs="Times New Roman"/>
                <w:szCs w:val="21"/>
                <w:lang w:eastAsia="zh-CN"/>
              </w:rPr>
            </w:pPr>
            <w:r>
              <w:rPr>
                <w:rFonts w:hint="eastAsia" w:ascii="宋体" w:hAnsi="宋体" w:eastAsia="宋体" w:cs="Times New Roman"/>
                <w:szCs w:val="21"/>
                <w:lang w:eastAsia="zh-CN"/>
              </w:rPr>
              <w:t>（</w:t>
            </w:r>
            <w:r>
              <w:rPr>
                <w:rFonts w:hint="eastAsia" w:ascii="宋体" w:hAnsi="宋体" w:eastAsia="宋体" w:cs="Times New Roman"/>
                <w:szCs w:val="21"/>
                <w:lang w:val="en-US" w:eastAsia="zh-CN"/>
              </w:rPr>
              <w:t>4</w:t>
            </w:r>
            <w:r>
              <w:rPr>
                <w:rFonts w:hint="eastAsia" w:ascii="宋体" w:hAnsi="宋体" w:eastAsia="宋体" w:cs="Times New Roman"/>
                <w:szCs w:val="21"/>
                <w:lang w:eastAsia="zh-CN"/>
              </w:rPr>
              <w:t>）写一段文字，讲述时光给你带来的礼物。可以是一件物品、一段经历或者一种感悟，通过叙事和抒情相结合的方式，表达你对时光的感激和珍惜。</w:t>
            </w:r>
          </w:p>
        </w:tc>
        <w:tc>
          <w:tcPr>
            <w:tcW w:w="1134" w:type="dxa"/>
            <w:vAlign w:val="center"/>
          </w:tcPr>
          <w:p w14:paraId="709D41E8">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77A40A1">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1.掌握散文的概念与特点</w:t>
            </w:r>
          </w:p>
          <w:p w14:paraId="2D8CA4A9">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2.学会散文的写作方法与技巧</w:t>
            </w:r>
          </w:p>
          <w:p w14:paraId="148BC70F">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3.提升叙事能力和细节描写能力</w:t>
            </w:r>
          </w:p>
        </w:tc>
        <w:tc>
          <w:tcPr>
            <w:tcW w:w="1560" w:type="dxa"/>
            <w:vAlign w:val="center"/>
          </w:tcPr>
          <w:p w14:paraId="0A82B3BB">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1350BF5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484ED66D">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0AC0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05" w:type="dxa"/>
            <w:vMerge w:val="continue"/>
            <w:vAlign w:val="center"/>
          </w:tcPr>
          <w:p w14:paraId="7182961C">
            <w:pPr>
              <w:spacing w:line="276" w:lineRule="auto"/>
              <w:jc w:val="center"/>
              <w:rPr>
                <w:rFonts w:ascii="宋体" w:hAnsi="宋体" w:eastAsia="宋体" w:cs="Times New Roman"/>
                <w:color w:val="000000"/>
                <w:szCs w:val="21"/>
              </w:rPr>
            </w:pPr>
          </w:p>
        </w:tc>
        <w:tc>
          <w:tcPr>
            <w:tcW w:w="8093" w:type="dxa"/>
            <w:gridSpan w:val="6"/>
            <w:vAlign w:val="center"/>
          </w:tcPr>
          <w:p w14:paraId="748E379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通过学习散文的概念、特点、写作方法和技巧，培养学生对文学的热爱与审美能力，引导学生在写作中感悟生活、表达情感，提升人文素养和语言表达能力。</w:t>
            </w:r>
          </w:p>
        </w:tc>
      </w:tr>
      <w:tr w14:paraId="4CA6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F4E3B3">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8.</w:t>
            </w:r>
            <w:r>
              <w:rPr>
                <w:rFonts w:hint="eastAsia" w:ascii="宋体" w:hAnsi="宋体" w:eastAsia="宋体" w:cs="Times New Roman"/>
                <w:color w:val="000000"/>
                <w:szCs w:val="21"/>
                <w:lang w:val="en-US" w:eastAsia="zh-CN"/>
              </w:rPr>
              <w:t>小说</w:t>
            </w:r>
          </w:p>
        </w:tc>
        <w:tc>
          <w:tcPr>
            <w:tcW w:w="1701" w:type="dxa"/>
            <w:vAlign w:val="center"/>
          </w:tcPr>
          <w:p w14:paraId="51B4F9E4">
            <w:p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（1）小说的基本结构</w:t>
            </w:r>
          </w:p>
          <w:p w14:paraId="238BD7F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小说的开篇与结尾</w:t>
            </w:r>
          </w:p>
          <w:p w14:paraId="65017853">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小说的人物形象与场景</w:t>
            </w:r>
          </w:p>
          <w:p w14:paraId="5601B3C3">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（4）片段练习：主角在搬家时，发现了一把旧钥匙，这把钥匙似乎与他/她过去的某个重要事件有关。</w:t>
            </w:r>
          </w:p>
        </w:tc>
        <w:tc>
          <w:tcPr>
            <w:tcW w:w="1134" w:type="dxa"/>
            <w:vAlign w:val="center"/>
          </w:tcPr>
          <w:p w14:paraId="51B8C72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C87D476">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1.掌握小说的基本结构</w:t>
            </w:r>
          </w:p>
          <w:p w14:paraId="205FEFA6">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w:t>
            </w:r>
            <w:r>
              <w:rPr>
                <w:rFonts w:hint="eastAsia" w:ascii="宋体" w:hAnsi="宋体" w:eastAsia="宋体" w:cs="Times New Roman"/>
                <w:color w:val="000000"/>
                <w:szCs w:val="21"/>
                <w:lang w:val="en-US" w:eastAsia="zh-CN"/>
              </w:rPr>
              <w:t>小说的开篇与结尾的写作特点及重要性</w:t>
            </w:r>
          </w:p>
          <w:p w14:paraId="6B4DC629">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w:t>
            </w:r>
            <w:r>
              <w:rPr>
                <w:rFonts w:hint="eastAsia" w:ascii="宋体" w:hAnsi="宋体" w:eastAsia="宋体" w:cs="Times New Roman"/>
                <w:color w:val="000000"/>
                <w:szCs w:val="21"/>
                <w:lang w:val="en-US" w:eastAsia="zh-CN"/>
              </w:rPr>
              <w:t>人物形象塑造和场景营造的基本方法</w:t>
            </w:r>
          </w:p>
        </w:tc>
        <w:tc>
          <w:tcPr>
            <w:tcW w:w="1560" w:type="dxa"/>
            <w:vAlign w:val="center"/>
          </w:tcPr>
          <w:p w14:paraId="57144FA0">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22CC12F3">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053EB3E5">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2F57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205" w:type="dxa"/>
            <w:vMerge w:val="continue"/>
            <w:vAlign w:val="center"/>
          </w:tcPr>
          <w:p w14:paraId="66D0C68C">
            <w:pPr>
              <w:spacing w:line="264" w:lineRule="auto"/>
              <w:jc w:val="center"/>
              <w:rPr>
                <w:rFonts w:ascii="宋体" w:hAnsi="宋体" w:eastAsia="宋体" w:cs="Times New Roman"/>
                <w:color w:val="000000"/>
                <w:szCs w:val="21"/>
              </w:rPr>
            </w:pPr>
          </w:p>
        </w:tc>
        <w:tc>
          <w:tcPr>
            <w:tcW w:w="8093" w:type="dxa"/>
            <w:gridSpan w:val="6"/>
            <w:vAlign w:val="center"/>
          </w:tcPr>
          <w:p w14:paraId="42159B37">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通过学习小说的基本结构、开篇与结尾的技巧，以及人物形象与场景的塑造，培养学生严谨的逻辑思维能力、丰富的想象力和扎实的写作能力，引导学生在创作中体会生活、感悟人性，提升文学素养和审美情趣。</w:t>
            </w:r>
          </w:p>
        </w:tc>
      </w:tr>
      <w:tr w14:paraId="28AD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1205" w:type="dxa"/>
            <w:vMerge w:val="restart"/>
            <w:vAlign w:val="center"/>
          </w:tcPr>
          <w:p w14:paraId="238C857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9.</w:t>
            </w:r>
            <w:r>
              <w:rPr>
                <w:rFonts w:hint="eastAsia" w:ascii="宋体" w:hAnsi="宋体" w:eastAsia="宋体" w:cs="Times New Roman"/>
                <w:color w:val="000000"/>
                <w:szCs w:val="21"/>
                <w:lang w:val="en-US" w:eastAsia="zh-CN"/>
              </w:rPr>
              <w:t>戏剧</w:t>
            </w:r>
          </w:p>
        </w:tc>
        <w:tc>
          <w:tcPr>
            <w:tcW w:w="1701" w:type="dxa"/>
            <w:vAlign w:val="center"/>
          </w:tcPr>
          <w:p w14:paraId="3D74D139">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戏剧的基本结构</w:t>
            </w:r>
          </w:p>
          <w:p w14:paraId="68B9A24C">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戏剧的语言与人物形象</w:t>
            </w:r>
          </w:p>
          <w:p w14:paraId="7B2DCAC9">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戏剧冲突与场景</w:t>
            </w:r>
          </w:p>
          <w:p w14:paraId="4206FA6E">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（4）对话与冲突的写作练习</w:t>
            </w:r>
          </w:p>
        </w:tc>
        <w:tc>
          <w:tcPr>
            <w:tcW w:w="1134" w:type="dxa"/>
            <w:vAlign w:val="center"/>
          </w:tcPr>
          <w:p w14:paraId="0DC06BA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10AA5BD3">
            <w:pPr>
              <w:numPr>
                <w:ilvl w:val="0"/>
                <w:numId w:val="0"/>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1.了解</w:t>
            </w:r>
            <w:r>
              <w:rPr>
                <w:rFonts w:hint="eastAsia" w:ascii="宋体" w:hAnsi="宋体" w:eastAsia="宋体" w:cs="Times New Roman"/>
                <w:color w:val="000000"/>
                <w:szCs w:val="21"/>
              </w:rPr>
              <w:t>戏剧的基本结构</w:t>
            </w:r>
          </w:p>
          <w:p w14:paraId="5D545575">
            <w:pPr>
              <w:numPr>
                <w:ilvl w:val="0"/>
                <w:numId w:val="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掌握戏剧的语言特色与人物塑造方法</w:t>
            </w:r>
          </w:p>
          <w:p w14:paraId="6CE7EDF6">
            <w:pPr>
              <w:spacing w:line="264"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rPr>
              <w:t>3.</w:t>
            </w:r>
            <w:r>
              <w:rPr>
                <w:rFonts w:ascii="宋体" w:hAnsi="宋体" w:eastAsia="宋体" w:cs="Times New Roman"/>
                <w:color w:val="000000"/>
                <w:szCs w:val="21"/>
              </w:rPr>
              <w:t>理解</w:t>
            </w:r>
            <w:r>
              <w:rPr>
                <w:rFonts w:hint="eastAsia" w:ascii="宋体" w:hAnsi="宋体" w:eastAsia="宋体" w:cs="Times New Roman"/>
                <w:color w:val="000000"/>
                <w:szCs w:val="21"/>
                <w:lang w:val="en-US" w:eastAsia="zh-CN"/>
              </w:rPr>
              <w:t>戏剧冲突的重要性</w:t>
            </w:r>
          </w:p>
        </w:tc>
        <w:tc>
          <w:tcPr>
            <w:tcW w:w="1560" w:type="dxa"/>
            <w:vAlign w:val="center"/>
          </w:tcPr>
          <w:p w14:paraId="6E2DD47B">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7AD038D5">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0A021668">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70EC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1205" w:type="dxa"/>
            <w:vMerge w:val="continue"/>
            <w:vAlign w:val="center"/>
          </w:tcPr>
          <w:p w14:paraId="395C3545">
            <w:pPr>
              <w:spacing w:line="264" w:lineRule="auto"/>
              <w:jc w:val="center"/>
              <w:rPr>
                <w:rFonts w:ascii="宋体" w:hAnsi="宋体" w:eastAsia="宋体" w:cs="Times New Roman"/>
                <w:color w:val="000000"/>
                <w:szCs w:val="21"/>
              </w:rPr>
            </w:pPr>
          </w:p>
        </w:tc>
        <w:tc>
          <w:tcPr>
            <w:tcW w:w="8093" w:type="dxa"/>
            <w:gridSpan w:val="6"/>
            <w:vAlign w:val="center"/>
          </w:tcPr>
          <w:p w14:paraId="5EAEC46C">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戏剧的基本结构、语言与人物形象塑造、冲突与场景设计，培养学生严谨的逻辑思维、丰富的想象力和扎实的写作能力，引导学生在创作中感悟人性、理解社会关系，提升文学素养和审美情趣，培养学生的社会责任感和人文关怀。</w:t>
            </w:r>
          </w:p>
        </w:tc>
      </w:tr>
      <w:tr w14:paraId="39FA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BEF9E7F">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10.</w:t>
            </w:r>
            <w:r>
              <w:rPr>
                <w:rFonts w:hint="eastAsia" w:ascii="宋体" w:hAnsi="宋体" w:eastAsia="宋体" w:cs="Times New Roman"/>
                <w:color w:val="000000"/>
                <w:szCs w:val="21"/>
                <w:lang w:val="en-US" w:eastAsia="zh-CN"/>
              </w:rPr>
              <w:t>科普文</w:t>
            </w:r>
          </w:p>
        </w:tc>
        <w:tc>
          <w:tcPr>
            <w:tcW w:w="1701" w:type="dxa"/>
            <w:vAlign w:val="center"/>
          </w:tcPr>
          <w:p w14:paraId="3A3F2042">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科普文的含义与作用</w:t>
            </w:r>
          </w:p>
          <w:p w14:paraId="27BC0773">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科普文写作的主要特点与不同境界</w:t>
            </w:r>
          </w:p>
          <w:p w14:paraId="208F7E19">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科普文写作的基本要求与语言特点</w:t>
            </w:r>
          </w:p>
          <w:p w14:paraId="7BB24017">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（4）人工智能已深入人们的日常生活，但很多人并不清楚它具体是如何工作的。请你写一段科普文，向读者介绍人工智能在日常生活中的应用。</w:t>
            </w:r>
          </w:p>
        </w:tc>
        <w:tc>
          <w:tcPr>
            <w:tcW w:w="1134" w:type="dxa"/>
            <w:vAlign w:val="center"/>
          </w:tcPr>
          <w:p w14:paraId="0563FD1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30238A21">
            <w:pPr>
              <w:spacing w:line="264" w:lineRule="auto"/>
              <w:jc w:val="center"/>
              <w:rPr>
                <w:rFonts w:ascii="宋体" w:hAnsi="宋体" w:eastAsia="宋体" w:cs="Times New Roman"/>
                <w:color w:val="000000"/>
                <w:szCs w:val="21"/>
              </w:rPr>
            </w:pPr>
          </w:p>
        </w:tc>
        <w:tc>
          <w:tcPr>
            <w:tcW w:w="3260" w:type="dxa"/>
            <w:vAlign w:val="center"/>
          </w:tcPr>
          <w:p w14:paraId="1CCC40A9">
            <w:pPr>
              <w:numPr>
                <w:ilvl w:val="0"/>
                <w:numId w:val="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1.掌握科普文的含义及特征</w:t>
            </w:r>
          </w:p>
          <w:p w14:paraId="20FE3A81">
            <w:pPr>
              <w:numPr>
                <w:ilvl w:val="0"/>
                <w:numId w:val="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w:t>
            </w:r>
            <w:r>
              <w:rPr>
                <w:rFonts w:hint="eastAsia" w:ascii="宋体" w:hAnsi="宋体" w:eastAsia="宋体" w:cs="Times New Roman"/>
                <w:color w:val="000000"/>
                <w:szCs w:val="21"/>
                <w:lang w:val="en-US" w:eastAsia="zh-CN"/>
              </w:rPr>
              <w:t>科普文写作的基本要求</w:t>
            </w:r>
          </w:p>
          <w:p w14:paraId="44E66A69">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3.掌握科普文的语言规范</w:t>
            </w:r>
          </w:p>
        </w:tc>
        <w:tc>
          <w:tcPr>
            <w:tcW w:w="1560" w:type="dxa"/>
            <w:vAlign w:val="center"/>
          </w:tcPr>
          <w:p w14:paraId="23CD394E">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0B2D4B49">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438" w:type="dxa"/>
            <w:gridSpan w:val="2"/>
            <w:vAlign w:val="center"/>
          </w:tcPr>
          <w:p w14:paraId="4F98A115">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7289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1205" w:type="dxa"/>
            <w:vMerge w:val="continue"/>
            <w:vAlign w:val="center"/>
          </w:tcPr>
          <w:p w14:paraId="11CBFD0A">
            <w:pPr>
              <w:spacing w:line="264" w:lineRule="auto"/>
              <w:jc w:val="center"/>
              <w:rPr>
                <w:rFonts w:ascii="宋体" w:hAnsi="宋体" w:eastAsia="宋体" w:cs="Times New Roman"/>
                <w:color w:val="000000"/>
                <w:szCs w:val="21"/>
              </w:rPr>
            </w:pPr>
          </w:p>
        </w:tc>
        <w:tc>
          <w:tcPr>
            <w:tcW w:w="8093" w:type="dxa"/>
            <w:gridSpan w:val="6"/>
            <w:vAlign w:val="center"/>
          </w:tcPr>
          <w:p w14:paraId="6FB6B09A">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科普文的含义、作用、写作特点及基本要求，培养学生严谨的科学态度和扎实的写作能力，引导学生在介绍人工智能等前沿科技时，树立正确的科技观和价值观，激发学生对科技创新的兴趣和责任感，培养其科学精神与社会责任感，促进学生全面发展。</w:t>
            </w:r>
          </w:p>
        </w:tc>
      </w:tr>
      <w:tr w14:paraId="4E55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1205" w:type="dxa"/>
            <w:vMerge w:val="restart"/>
            <w:vAlign w:val="center"/>
          </w:tcPr>
          <w:p w14:paraId="312F66C8">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评论文</w:t>
            </w:r>
          </w:p>
        </w:tc>
        <w:tc>
          <w:tcPr>
            <w:tcW w:w="1701" w:type="dxa"/>
            <w:vAlign w:val="center"/>
          </w:tcPr>
          <w:p w14:paraId="673CAA5A">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社会短评</w:t>
            </w:r>
          </w:p>
          <w:p w14:paraId="4415630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文艺短评</w:t>
            </w:r>
          </w:p>
          <w:p w14:paraId="48FE5172">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学术短评</w:t>
            </w:r>
          </w:p>
          <w:p w14:paraId="26370D5C">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（4）选择一个当前的社会现象，写一则短评。</w:t>
            </w:r>
          </w:p>
        </w:tc>
        <w:tc>
          <w:tcPr>
            <w:tcW w:w="1134" w:type="dxa"/>
            <w:vAlign w:val="center"/>
          </w:tcPr>
          <w:p w14:paraId="5FFCC86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62B4E721">
            <w:pPr>
              <w:spacing w:line="264" w:lineRule="auto"/>
              <w:jc w:val="center"/>
              <w:rPr>
                <w:rFonts w:ascii="宋体" w:hAnsi="宋体" w:eastAsia="宋体" w:cs="Times New Roman"/>
                <w:color w:val="000000"/>
                <w:szCs w:val="21"/>
              </w:rPr>
            </w:pPr>
          </w:p>
        </w:tc>
        <w:tc>
          <w:tcPr>
            <w:tcW w:w="3260" w:type="dxa"/>
            <w:vAlign w:val="center"/>
          </w:tcPr>
          <w:p w14:paraId="141BD8ED">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eastAsia="宋体" w:cs="Times New Roman"/>
                <w:color w:val="000000"/>
                <w:szCs w:val="21"/>
                <w:lang w:val="en-US" w:eastAsia="zh-CN"/>
              </w:rPr>
              <w:t>不同评论文体的性质特点</w:t>
            </w:r>
          </w:p>
          <w:p w14:paraId="1439D22A">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理解获取评论对象的一般途径</w:t>
            </w:r>
          </w:p>
          <w:p w14:paraId="5FC65131">
            <w:pPr>
              <w:spacing w:line="264"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掌握评论文的主要写作方法</w:t>
            </w:r>
          </w:p>
        </w:tc>
        <w:tc>
          <w:tcPr>
            <w:tcW w:w="1657" w:type="dxa"/>
            <w:gridSpan w:val="2"/>
            <w:vAlign w:val="center"/>
          </w:tcPr>
          <w:p w14:paraId="54DA82EF">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1.多媒体教学2.课堂讨论</w:t>
            </w:r>
            <w:r>
              <w:rPr>
                <w:rFonts w:hint="eastAsia" w:ascii="宋体" w:hAnsi="宋体" w:eastAsia="宋体" w:cs="Times New Roman"/>
                <w:color w:val="000000"/>
                <w:szCs w:val="21"/>
                <w:lang w:val="en-US" w:eastAsia="zh-CN"/>
              </w:rPr>
              <w:t>与练习</w:t>
            </w:r>
          </w:p>
          <w:p w14:paraId="30976E38">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3.课后作业</w:t>
            </w:r>
          </w:p>
        </w:tc>
        <w:tc>
          <w:tcPr>
            <w:tcW w:w="341" w:type="dxa"/>
            <w:vAlign w:val="center"/>
          </w:tcPr>
          <w:p w14:paraId="7449D6F0">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166C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205" w:type="dxa"/>
            <w:vMerge w:val="continue"/>
            <w:vAlign w:val="center"/>
          </w:tcPr>
          <w:p w14:paraId="066A24E5">
            <w:pPr>
              <w:spacing w:line="264" w:lineRule="auto"/>
              <w:jc w:val="center"/>
              <w:rPr>
                <w:rFonts w:ascii="宋体" w:hAnsi="宋体" w:eastAsia="宋体" w:cs="Times New Roman"/>
                <w:color w:val="000000"/>
                <w:szCs w:val="21"/>
              </w:rPr>
            </w:pPr>
          </w:p>
        </w:tc>
        <w:tc>
          <w:tcPr>
            <w:tcW w:w="8093" w:type="dxa"/>
            <w:gridSpan w:val="6"/>
            <w:vAlign w:val="center"/>
          </w:tcPr>
          <w:p w14:paraId="42C66EA6">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社会短评、文艺短评和学术短评的写作方法，培养学生敏锐的社会观察力、批判性思维和理性表达能力，引导学生在评论写作中树立正确的价值观，增强社会责任感和时代使命感，促进学生在思想和行动上的全面发展。</w:t>
            </w:r>
          </w:p>
        </w:tc>
      </w:tr>
    </w:tbl>
    <w:p w14:paraId="44047467">
      <w:pPr>
        <w:spacing w:line="360" w:lineRule="auto"/>
        <w:jc w:val="left"/>
        <w:rPr>
          <w:rFonts w:ascii="Times New Roman" w:hAnsi="Times New Roman" w:eastAsia="宋体" w:cs="Times New Roman"/>
          <w:sz w:val="24"/>
          <w:szCs w:val="24"/>
        </w:rPr>
      </w:pPr>
    </w:p>
    <w:p w14:paraId="544B6CDD">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9474B3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869A57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A0D819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636"/>
      </w:tblGrid>
      <w:tr w14:paraId="6F97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4A799B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7C5A150C">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BAFEB60">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2DF7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671567F">
            <w:pPr>
              <w:spacing w:line="360" w:lineRule="auto"/>
              <w:jc w:val="center"/>
              <w:rPr>
                <w:rFonts w:ascii="宋体" w:hAnsi="宋体" w:eastAsia="宋体" w:cs="Times New Roman"/>
                <w:szCs w:val="21"/>
              </w:rPr>
            </w:pPr>
          </w:p>
        </w:tc>
        <w:tc>
          <w:tcPr>
            <w:tcW w:w="0" w:type="auto"/>
            <w:vAlign w:val="center"/>
          </w:tcPr>
          <w:p w14:paraId="25CB2F55">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1C9AE181">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2EA5DA47">
            <w:pPr>
              <w:spacing w:line="360" w:lineRule="auto"/>
              <w:jc w:val="center"/>
              <w:rPr>
                <w:rFonts w:ascii="宋体" w:hAnsi="宋体" w:eastAsia="宋体" w:cs="Times New Roman"/>
                <w:szCs w:val="21"/>
              </w:rPr>
            </w:pPr>
            <w:r>
              <w:rPr>
                <w:rFonts w:hint="eastAsia" w:ascii="宋体" w:hAnsi="宋体" w:eastAsia="宋体" w:cs="Times New Roman"/>
                <w:szCs w:val="21"/>
              </w:rPr>
              <w:t>期末</w:t>
            </w:r>
            <w:r>
              <w:rPr>
                <w:rFonts w:hint="eastAsia" w:ascii="宋体" w:hAnsi="宋体" w:eastAsia="宋体" w:cs="Times New Roman"/>
                <w:szCs w:val="21"/>
                <w:lang w:val="en-US" w:eastAsia="zh-CN"/>
              </w:rPr>
              <w:t>考试</w:t>
            </w:r>
          </w:p>
        </w:tc>
        <w:tc>
          <w:tcPr>
            <w:tcW w:w="0" w:type="auto"/>
            <w:vMerge w:val="continue"/>
            <w:vAlign w:val="center"/>
          </w:tcPr>
          <w:p w14:paraId="2512B017">
            <w:pPr>
              <w:spacing w:line="360" w:lineRule="auto"/>
              <w:jc w:val="center"/>
              <w:rPr>
                <w:rFonts w:ascii="宋体" w:hAnsi="宋体" w:eastAsia="宋体" w:cs="Times New Roman"/>
                <w:szCs w:val="21"/>
              </w:rPr>
            </w:pPr>
          </w:p>
        </w:tc>
      </w:tr>
      <w:tr w14:paraId="32C2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2D7584">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0F3B4DD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738C35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572E9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FBDB1EF">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734F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A22EEC">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322D0C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303CBA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FEE62F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CD54806">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0</w:t>
            </w:r>
          </w:p>
        </w:tc>
      </w:tr>
      <w:tr w14:paraId="1541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B553DE">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A221F4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86ABF5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C9F3C0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69B6362">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4</w:t>
            </w:r>
            <w:r>
              <w:rPr>
                <w:rFonts w:hint="eastAsia" w:ascii="宋体" w:hAnsi="宋体" w:eastAsia="宋体" w:cs="Times New Roman"/>
                <w:szCs w:val="21"/>
              </w:rPr>
              <w:t>0</w:t>
            </w:r>
          </w:p>
        </w:tc>
      </w:tr>
      <w:tr w14:paraId="1FAF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64CBB04">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59E8CF1">
            <w:pPr>
              <w:spacing w:line="360" w:lineRule="auto"/>
              <w:jc w:val="center"/>
              <w:rPr>
                <w:rFonts w:ascii="宋体" w:hAnsi="宋体" w:eastAsia="宋体" w:cs="Times New Roman"/>
                <w:szCs w:val="21"/>
              </w:rPr>
            </w:pPr>
          </w:p>
        </w:tc>
        <w:tc>
          <w:tcPr>
            <w:tcW w:w="0" w:type="auto"/>
            <w:vAlign w:val="center"/>
          </w:tcPr>
          <w:p w14:paraId="284BBA3A">
            <w:pPr>
              <w:spacing w:line="360" w:lineRule="auto"/>
              <w:jc w:val="center"/>
              <w:rPr>
                <w:rFonts w:ascii="宋体" w:hAnsi="宋体" w:eastAsia="宋体" w:cs="Times New Roman"/>
                <w:szCs w:val="21"/>
              </w:rPr>
            </w:pPr>
          </w:p>
        </w:tc>
        <w:tc>
          <w:tcPr>
            <w:tcW w:w="0" w:type="auto"/>
            <w:vAlign w:val="center"/>
          </w:tcPr>
          <w:p w14:paraId="358DDD28">
            <w:pPr>
              <w:spacing w:line="360" w:lineRule="auto"/>
              <w:jc w:val="center"/>
              <w:rPr>
                <w:rFonts w:ascii="宋体" w:hAnsi="宋体" w:eastAsia="宋体" w:cs="Times New Roman"/>
                <w:szCs w:val="21"/>
              </w:rPr>
            </w:pPr>
          </w:p>
        </w:tc>
        <w:tc>
          <w:tcPr>
            <w:tcW w:w="0" w:type="auto"/>
            <w:vAlign w:val="center"/>
          </w:tcPr>
          <w:p w14:paraId="1D848430">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14F4F94E">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6B729B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9BEE14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CA6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75" w:type="dxa"/>
            <w:vAlign w:val="center"/>
          </w:tcPr>
          <w:p w14:paraId="152D39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ECD6C7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5C8259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A44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675" w:type="dxa"/>
            <w:vAlign w:val="center"/>
          </w:tcPr>
          <w:p w14:paraId="5B84ADDB">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40DBC2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w:t>
            </w:r>
            <w:r>
              <w:rPr>
                <w:rFonts w:hint="eastAsia" w:ascii="Times New Roman" w:hAnsi="Times New Roman" w:eastAsia="宋体" w:cs="Times New Roman"/>
                <w:szCs w:val="21"/>
                <w:lang w:val="en-US" w:eastAsia="zh-CN"/>
              </w:rPr>
              <w:t>自由写作练习以及对关键词句的扩展</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考查学生在无写作提示限制下的写作能力以及对细节的把握和情感的表达能力</w:t>
            </w:r>
            <w:r>
              <w:rPr>
                <w:rFonts w:hint="eastAsia" w:ascii="Times New Roman" w:hAnsi="Times New Roman" w:eastAsia="宋体" w:cs="Times New Roman"/>
                <w:szCs w:val="21"/>
              </w:rPr>
              <w:t>。二为</w:t>
            </w:r>
            <w:r>
              <w:rPr>
                <w:rFonts w:hint="eastAsia" w:ascii="Times New Roman" w:hAnsi="Times New Roman" w:eastAsia="宋体" w:cs="Times New Roman"/>
                <w:szCs w:val="21"/>
                <w:lang w:val="en-US" w:eastAsia="zh-CN"/>
              </w:rPr>
              <w:t>写作提示训练，要求文章内容表达真实感受，通过具体的细节描写增强文章的生动性和感染力。三为情感与细节的深化训练，要求更加注重情感的表达、细节的描写以及写作手法的综合运用。通过深化情感、丰富细节和运用多种写作技巧，使文章更具感染力和表现力</w:t>
            </w:r>
            <w:r>
              <w:rPr>
                <w:rFonts w:hint="eastAsia" w:ascii="Times New Roman" w:hAnsi="Times New Roman" w:eastAsia="宋体" w:cs="Times New Roman"/>
                <w:szCs w:val="21"/>
              </w:rPr>
              <w:t>。</w:t>
            </w:r>
          </w:p>
        </w:tc>
        <w:tc>
          <w:tcPr>
            <w:tcW w:w="0" w:type="auto"/>
            <w:vAlign w:val="center"/>
          </w:tcPr>
          <w:p w14:paraId="1201E906">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50B5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75" w:type="dxa"/>
            <w:vAlign w:val="center"/>
          </w:tcPr>
          <w:p w14:paraId="05F45FE6">
            <w:pP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课堂</w:t>
            </w:r>
            <w:r>
              <w:rPr>
                <w:rFonts w:hint="eastAsia" w:ascii="Times New Roman" w:hAnsi="Times New Roman" w:eastAsia="宋体" w:cs="Times New Roman"/>
                <w:szCs w:val="21"/>
                <w:lang w:val="en-US" w:eastAsia="zh-CN"/>
              </w:rPr>
              <w:t>考勤</w:t>
            </w:r>
          </w:p>
        </w:tc>
        <w:tc>
          <w:tcPr>
            <w:tcW w:w="7141" w:type="dxa"/>
            <w:vAlign w:val="center"/>
          </w:tcPr>
          <w:p w14:paraId="414C77E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迟到一次扣2分，</w:t>
            </w:r>
            <w:r>
              <w:rPr>
                <w:rFonts w:hint="eastAsia" w:ascii="Times New Roman" w:hAnsi="Times New Roman" w:eastAsia="宋体" w:cs="Times New Roman"/>
                <w:szCs w:val="21"/>
                <w:lang w:val="en-US" w:eastAsia="zh-CN"/>
              </w:rPr>
              <w:t>事假扣2分，病假扣1分。</w:t>
            </w:r>
            <w:r>
              <w:rPr>
                <w:rFonts w:hint="eastAsia" w:ascii="Times New Roman" w:hAnsi="Times New Roman" w:eastAsia="宋体" w:cs="Times New Roman"/>
                <w:szCs w:val="21"/>
              </w:rPr>
              <w:t>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tc>
        <w:tc>
          <w:tcPr>
            <w:tcW w:w="0" w:type="auto"/>
            <w:vAlign w:val="center"/>
          </w:tcPr>
          <w:p w14:paraId="2FABA95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FE8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675" w:type="dxa"/>
            <w:vAlign w:val="center"/>
          </w:tcPr>
          <w:p w14:paraId="70DEF201">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课堂表现</w:t>
            </w:r>
          </w:p>
        </w:tc>
        <w:tc>
          <w:tcPr>
            <w:tcW w:w="7141" w:type="dxa"/>
            <w:vAlign w:val="center"/>
          </w:tcPr>
          <w:p w14:paraId="3F896799">
            <w:pPr>
              <w:widowControl/>
              <w:spacing w:line="264" w:lineRule="auto"/>
              <w:jc w:val="left"/>
              <w:rPr>
                <w:rFonts w:ascii="宋体" w:hAnsi="宋体" w:eastAsia="宋体" w:cs="宋体"/>
                <w:color w:val="000000"/>
                <w:kern w:val="0"/>
                <w:szCs w:val="21"/>
                <w:lang w:bidi="ar"/>
              </w:rPr>
            </w:pP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8A5FE7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012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675" w:type="dxa"/>
            <w:vAlign w:val="center"/>
          </w:tcPr>
          <w:p w14:paraId="4B2B9770">
            <w:pP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期末</w:t>
            </w:r>
            <w:r>
              <w:rPr>
                <w:rFonts w:hint="eastAsia" w:ascii="Times New Roman" w:hAnsi="Times New Roman" w:eastAsia="宋体" w:cs="Times New Roman"/>
                <w:szCs w:val="21"/>
                <w:lang w:val="en-US" w:eastAsia="zh-CN"/>
              </w:rPr>
              <w:t>考试</w:t>
            </w:r>
          </w:p>
        </w:tc>
        <w:tc>
          <w:tcPr>
            <w:tcW w:w="7141" w:type="dxa"/>
            <w:vAlign w:val="center"/>
          </w:tcPr>
          <w:p w14:paraId="56F2E94B">
            <w:pPr>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color w:val="000000"/>
                <w:szCs w:val="21"/>
              </w:rPr>
              <w:t>试卷题型包括填空、判断、简答和写作，重点考察学生对写作基本理论的掌握，深入考察学生对具体文本写作技巧的分析能力、创意写作能力以及综合写作能力。这种多元的考核能有效促进学生系统学习写作知识，提升写作实践能力，培养创新思维，为学生今后的写作学习和实际应用奠定坚实基础。</w:t>
            </w:r>
          </w:p>
        </w:tc>
        <w:tc>
          <w:tcPr>
            <w:tcW w:w="0" w:type="auto"/>
            <w:vAlign w:val="center"/>
          </w:tcPr>
          <w:p w14:paraId="2D98718D">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10C0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32CFBB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CC5CBFB">
            <w:pPr>
              <w:jc w:val="left"/>
              <w:rPr>
                <w:rFonts w:ascii="Times New Roman" w:hAnsi="Times New Roman" w:eastAsia="宋体" w:cs="Times New Roman"/>
                <w:szCs w:val="21"/>
              </w:rPr>
            </w:pPr>
          </w:p>
        </w:tc>
        <w:tc>
          <w:tcPr>
            <w:tcW w:w="0" w:type="auto"/>
            <w:vAlign w:val="center"/>
          </w:tcPr>
          <w:p w14:paraId="0E091D7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368D6BF">
      <w:pPr>
        <w:spacing w:line="360" w:lineRule="auto"/>
        <w:jc w:val="left"/>
        <w:rPr>
          <w:rFonts w:hint="eastAsia" w:ascii="宋体" w:hAnsi="宋体" w:eastAsia="宋体" w:cs="Times New Roman"/>
          <w:b/>
          <w:color w:val="000000"/>
          <w:szCs w:val="21"/>
        </w:rPr>
      </w:pPr>
    </w:p>
    <w:p w14:paraId="23C78D6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4D0FE8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7FD9104">
      <w:pPr>
        <w:spacing w:before="156" w:beforeLines="50" w:line="360" w:lineRule="auto"/>
        <w:ind w:firstLine="420" w:firstLineChars="200"/>
        <w:jc w:val="left"/>
        <w:rPr>
          <w:rFonts w:ascii="Times New Roman" w:hAnsi="Times New Roman" w:eastAsia="宋体" w:cs="Times New Roman"/>
          <w:b/>
          <w:bCs/>
          <w:sz w:val="24"/>
          <w:szCs w:val="24"/>
        </w:rPr>
      </w:pPr>
      <w:r>
        <w:rPr>
          <w:rFonts w:ascii="宋体" w:hAnsi="宋体" w:eastAsia="宋体" w:cs="Times New Roman"/>
          <w:color w:val="000000"/>
          <w:szCs w:val="21"/>
        </w:rPr>
        <w:object>
          <v:shape id="_x0000_i1066"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66" DrawAspect="Content" ObjectID="_1468075766" r:id="rId49">
            <o:LockedField>false</o:LockedField>
          </o:OLEObject>
        </w:object>
      </w:r>
      <w:r>
        <w:rPr>
          <w:rFonts w:hint="eastAsia" w:ascii="宋体" w:hAnsi="宋体" w:eastAsia="宋体" w:cs="Times New Roman"/>
          <w:b/>
          <w:color w:val="000000"/>
          <w:sz w:val="24"/>
          <w:szCs w:val="24"/>
        </w:rPr>
        <w:t>六、有关说明</w:t>
      </w:r>
    </w:p>
    <w:p w14:paraId="12280B9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F872712">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31BD83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5C7E966">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lang w:val="en-US" w:eastAsia="zh-CN"/>
        </w:rPr>
        <w:t>柳宏主编</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lang w:val="en-US" w:eastAsia="zh-CN"/>
        </w:rPr>
        <w:t>文本写作教程</w:t>
      </w:r>
      <w:r>
        <w:rPr>
          <w:rFonts w:hint="eastAsia" w:ascii="Times New Roman" w:hAnsi="Times New Roman" w:eastAsia="宋体" w:cs="Times New Roman"/>
          <w:smallCaps/>
          <w:color w:val="auto"/>
          <w:kern w:val="44"/>
          <w:sz w:val="21"/>
          <w:szCs w:val="21"/>
          <w:lang w:val="en-US" w:eastAsia="zh-CN"/>
        </w:rPr>
        <w:t xml:space="preserve">,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bCs/>
          <w:color w:val="000000"/>
          <w:szCs w:val="21"/>
        </w:rPr>
        <w:t>高等教育出版社，2</w:t>
      </w:r>
      <w:r>
        <w:rPr>
          <w:rFonts w:ascii="Times New Roman" w:hAnsi="Times New Roman" w:eastAsia="宋体" w:cs="Times New Roman"/>
          <w:bCs/>
          <w:color w:val="000000"/>
          <w:szCs w:val="21"/>
        </w:rPr>
        <w:t>0</w:t>
      </w:r>
      <w:r>
        <w:rPr>
          <w:rFonts w:hint="eastAsia" w:ascii="Times New Roman" w:hAnsi="Times New Roman" w:eastAsia="宋体" w:cs="Times New Roman"/>
          <w:bCs/>
          <w:color w:val="000000"/>
          <w:szCs w:val="21"/>
          <w:lang w:val="en-US" w:eastAsia="zh-CN"/>
        </w:rPr>
        <w:t>21</w:t>
      </w:r>
      <w:r>
        <w:rPr>
          <w:rFonts w:hint="eastAsia" w:ascii="Times New Roman" w:hAnsi="Times New Roman" w:eastAsia="宋体" w:cs="Times New Roman"/>
          <w:bCs/>
          <w:color w:val="000000"/>
          <w:szCs w:val="21"/>
        </w:rPr>
        <w:t>.</w:t>
      </w:r>
    </w:p>
    <w:p w14:paraId="0AA0C552">
      <w:pPr>
        <w:spacing w:line="360" w:lineRule="auto"/>
        <w:jc w:val="left"/>
        <w:rPr>
          <w:rFonts w:ascii="等线" w:hAnsi="等线" w:eastAsia="等线" w:cs="Times New Roman"/>
          <w:szCs w:val="22"/>
        </w:rPr>
      </w:pPr>
      <w:r>
        <w:rPr>
          <w:rFonts w:hint="eastAsia" w:ascii="Times New Roman" w:hAnsi="Times New Roman" w:eastAsia="宋体" w:cs="Times New Roman"/>
          <w:b/>
          <w:szCs w:val="21"/>
        </w:rPr>
        <w:t>（三）参考书目</w:t>
      </w:r>
    </w:p>
    <w:p w14:paraId="147FE66D">
      <w:pPr>
        <w:spacing w:line="336" w:lineRule="auto"/>
        <w:ind w:firstLine="420" w:firstLineChars="200"/>
        <w:rPr>
          <w:rFonts w:ascii="Times New Roman" w:hAnsi="Times New Roman" w:eastAsia="宋体" w:cs="Times New Roman"/>
          <w:szCs w:val="21"/>
        </w:rPr>
      </w:pPr>
      <w:r>
        <w:rPr>
          <w:rFonts w:ascii="Times New Roman" w:hAnsi="Times New Roman" w:eastAsia="宋体" w:cs="Times New Roman"/>
          <w:smallCaps/>
          <w:color w:val="auto"/>
          <w:kern w:val="44"/>
          <w:sz w:val="21"/>
          <w:szCs w:val="21"/>
        </w:rPr>
        <w:t>1.</w:t>
      </w:r>
      <w:r>
        <w:rPr>
          <w:rFonts w:hint="eastAsia" w:ascii="Times New Roman" w:hAnsi="Times New Roman" w:eastAsia="宋体" w:cs="Times New Roman"/>
          <w:bCs/>
          <w:color w:val="000000"/>
          <w:szCs w:val="21"/>
          <w:lang w:val="en-US" w:eastAsia="zh-CN"/>
        </w:rPr>
        <w:t>尉天骄主编</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lang w:val="en-US" w:eastAsia="zh-CN"/>
        </w:rPr>
        <w:t>基础写作教程（第三版）</w:t>
      </w:r>
      <w:r>
        <w:rPr>
          <w:rFonts w:hint="eastAsia" w:ascii="Times New Roman" w:hAnsi="Times New Roman" w:eastAsia="宋体" w:cs="Times New Roman"/>
          <w:smallCaps/>
          <w:color w:val="auto"/>
          <w:kern w:val="44"/>
          <w:sz w:val="21"/>
          <w:szCs w:val="21"/>
          <w:lang w:val="en-US" w:eastAsia="zh-CN"/>
        </w:rPr>
        <w:t xml:space="preserve">,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bCs/>
          <w:color w:val="000000"/>
          <w:szCs w:val="21"/>
        </w:rPr>
        <w:t>高等教育出版社，2</w:t>
      </w:r>
      <w:r>
        <w:rPr>
          <w:rFonts w:ascii="Times New Roman" w:hAnsi="Times New Roman" w:eastAsia="宋体" w:cs="Times New Roman"/>
          <w:bCs/>
          <w:color w:val="000000"/>
          <w:szCs w:val="21"/>
        </w:rPr>
        <w:t>0</w:t>
      </w:r>
      <w:r>
        <w:rPr>
          <w:rFonts w:hint="eastAsia" w:ascii="Times New Roman" w:hAnsi="Times New Roman" w:eastAsia="宋体" w:cs="Times New Roman"/>
          <w:bCs/>
          <w:color w:val="000000"/>
          <w:szCs w:val="21"/>
          <w:lang w:val="en-US" w:eastAsia="zh-CN"/>
        </w:rPr>
        <w:t>20</w:t>
      </w:r>
      <w:r>
        <w:rPr>
          <w:rFonts w:hint="eastAsia" w:ascii="Times New Roman" w:hAnsi="Times New Roman" w:eastAsia="宋体" w:cs="Times New Roman"/>
          <w:bCs/>
          <w:color w:val="000000"/>
          <w:szCs w:val="21"/>
        </w:rPr>
        <w:t>.</w:t>
      </w:r>
    </w:p>
    <w:p w14:paraId="77882BA4">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rPr>
      </w:pPr>
      <w:r>
        <w:rPr>
          <w:rFonts w:hint="eastAsia" w:ascii="Times New Roman" w:hAnsi="Times New Roman" w:eastAsia="宋体" w:cs="Times New Roman"/>
          <w:smallCaps/>
          <w:color w:val="auto"/>
          <w:kern w:val="44"/>
          <w:sz w:val="21"/>
          <w:szCs w:val="21"/>
          <w:lang w:val="en-US" w:eastAsia="zh-CN"/>
        </w:rPr>
        <w:t>2.</w:t>
      </w:r>
      <w:r>
        <w:rPr>
          <w:rFonts w:hint="eastAsia" w:ascii="Times New Roman" w:hAnsi="Times New Roman" w:eastAsia="宋体" w:cs="Times New Roman"/>
          <w:smallCaps/>
          <w:color w:val="auto"/>
          <w:kern w:val="44"/>
          <w:sz w:val="21"/>
          <w:szCs w:val="21"/>
        </w:rPr>
        <w:t>马正平主编</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smallCaps/>
          <w:color w:val="auto"/>
          <w:kern w:val="44"/>
          <w:sz w:val="21"/>
          <w:szCs w:val="21"/>
        </w:rPr>
        <w:t>《高等写作学导论》</w:t>
      </w:r>
      <w:r>
        <w:rPr>
          <w:rFonts w:hint="eastAsia" w:ascii="Times New Roman" w:hAnsi="Times New Roman" w:eastAsia="宋体" w:cs="Times New Roman"/>
          <w:smallCaps/>
          <w:color w:val="auto"/>
          <w:kern w:val="44"/>
          <w:sz w:val="21"/>
          <w:szCs w:val="21"/>
          <w:lang w:val="en-US" w:eastAsia="zh-CN"/>
        </w:rPr>
        <w:t xml:space="preserve">,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smallCaps/>
          <w:color w:val="auto"/>
          <w:kern w:val="44"/>
          <w:sz w:val="21"/>
          <w:szCs w:val="21"/>
        </w:rPr>
        <w:t>中国人民大学出版社，2002.</w:t>
      </w:r>
    </w:p>
    <w:p w14:paraId="2D4183CA">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rPr>
      </w:pPr>
      <w:r>
        <w:rPr>
          <w:rFonts w:hint="eastAsia" w:ascii="Times New Roman" w:hAnsi="Times New Roman" w:eastAsia="宋体" w:cs="Times New Roman"/>
          <w:smallCaps/>
          <w:color w:val="auto"/>
          <w:kern w:val="44"/>
          <w:sz w:val="21"/>
          <w:szCs w:val="21"/>
          <w:lang w:val="en-US" w:eastAsia="zh-CN"/>
        </w:rPr>
        <w:t>3.</w:t>
      </w:r>
      <w:r>
        <w:rPr>
          <w:rFonts w:hint="eastAsia" w:ascii="Times New Roman" w:hAnsi="Times New Roman" w:eastAsia="宋体" w:cs="Times New Roman"/>
          <w:smallCaps/>
          <w:color w:val="auto"/>
          <w:kern w:val="44"/>
          <w:sz w:val="21"/>
          <w:szCs w:val="21"/>
        </w:rPr>
        <w:t>马正平主编</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smallCaps/>
          <w:color w:val="auto"/>
          <w:kern w:val="44"/>
          <w:sz w:val="21"/>
          <w:szCs w:val="21"/>
        </w:rPr>
        <w:t>《高等写作思维训练教程》</w:t>
      </w:r>
      <w:r>
        <w:rPr>
          <w:rFonts w:hint="eastAsia" w:ascii="Times New Roman" w:hAnsi="Times New Roman" w:eastAsia="宋体" w:cs="Times New Roman"/>
          <w:smallCaps/>
          <w:color w:val="auto"/>
          <w:kern w:val="44"/>
          <w:sz w:val="21"/>
          <w:szCs w:val="21"/>
          <w:lang w:val="en-US" w:eastAsia="zh-CN"/>
        </w:rPr>
        <w:t xml:space="preserve">,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smallCaps/>
          <w:color w:val="auto"/>
          <w:kern w:val="44"/>
          <w:sz w:val="21"/>
          <w:szCs w:val="21"/>
        </w:rPr>
        <w:t>中国人民大学出版社，2002.</w:t>
      </w:r>
    </w:p>
    <w:p w14:paraId="7E81530A">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rPr>
      </w:pPr>
      <w:r>
        <w:rPr>
          <w:rFonts w:hint="eastAsia" w:ascii="Times New Roman" w:hAnsi="Times New Roman" w:eastAsia="宋体" w:cs="Times New Roman"/>
          <w:smallCaps/>
          <w:color w:val="auto"/>
          <w:kern w:val="44"/>
          <w:sz w:val="21"/>
          <w:szCs w:val="21"/>
          <w:lang w:val="en-US" w:eastAsia="zh-CN"/>
        </w:rPr>
        <w:t>4.</w:t>
      </w:r>
      <w:r>
        <w:rPr>
          <w:rFonts w:hint="eastAsia" w:ascii="Times New Roman" w:hAnsi="Times New Roman" w:eastAsia="宋体" w:cs="Times New Roman"/>
          <w:smallCaps/>
          <w:color w:val="auto"/>
          <w:kern w:val="44"/>
          <w:sz w:val="21"/>
          <w:szCs w:val="21"/>
        </w:rPr>
        <w:t>马正平主编</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smallCaps/>
          <w:color w:val="auto"/>
          <w:kern w:val="44"/>
          <w:sz w:val="21"/>
          <w:szCs w:val="21"/>
        </w:rPr>
        <w:t>《高等文体写作训练教程》</w:t>
      </w:r>
      <w:r>
        <w:rPr>
          <w:rFonts w:hint="eastAsia" w:ascii="Times New Roman" w:hAnsi="Times New Roman" w:eastAsia="宋体" w:cs="Times New Roman"/>
          <w:smallCaps/>
          <w:color w:val="auto"/>
          <w:kern w:val="44"/>
          <w:sz w:val="21"/>
          <w:szCs w:val="21"/>
          <w:lang w:val="en-US" w:eastAsia="zh-CN"/>
        </w:rPr>
        <w:t xml:space="preserve">,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smallCaps/>
          <w:color w:val="auto"/>
          <w:kern w:val="44"/>
          <w:sz w:val="21"/>
          <w:szCs w:val="21"/>
        </w:rPr>
        <w:t>中国人民大学出版社，2002.</w:t>
      </w:r>
    </w:p>
    <w:p w14:paraId="2066F142">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rPr>
      </w:pPr>
      <w:r>
        <w:rPr>
          <w:rFonts w:hint="eastAsia" w:ascii="Times New Roman" w:hAnsi="Times New Roman" w:eastAsia="宋体" w:cs="Times New Roman"/>
          <w:smallCaps/>
          <w:color w:val="auto"/>
          <w:kern w:val="44"/>
          <w:sz w:val="21"/>
          <w:szCs w:val="21"/>
          <w:lang w:val="en-US" w:eastAsia="zh-CN"/>
        </w:rPr>
        <w:t>5.</w:t>
      </w:r>
      <w:r>
        <w:rPr>
          <w:rFonts w:hint="eastAsia" w:ascii="Times New Roman" w:hAnsi="Times New Roman" w:eastAsia="宋体" w:cs="Times New Roman"/>
          <w:smallCaps/>
          <w:color w:val="auto"/>
          <w:kern w:val="44"/>
          <w:sz w:val="21"/>
          <w:szCs w:val="21"/>
        </w:rPr>
        <w:t>董小玉主编</w:t>
      </w:r>
      <w:r>
        <w:rPr>
          <w:rFonts w:hint="eastAsia" w:ascii="Times New Roman" w:hAnsi="Times New Roman" w:eastAsia="宋体" w:cs="Times New Roman"/>
          <w:bCs/>
          <w:color w:val="000000"/>
          <w:szCs w:val="21"/>
        </w:rPr>
        <w:t>.</w:t>
      </w:r>
      <w:r>
        <w:rPr>
          <w:rFonts w:ascii="Times New Roman" w:hAnsi="Times New Roman" w:eastAsia="宋体" w:cs="Times New Roman"/>
          <w:bCs/>
          <w:color w:val="000000"/>
          <w:szCs w:val="21"/>
        </w:rPr>
        <w:t xml:space="preserve"> </w:t>
      </w:r>
      <w:r>
        <w:rPr>
          <w:rFonts w:hint="eastAsia" w:ascii="Times New Roman" w:hAnsi="Times New Roman" w:eastAsia="宋体" w:cs="Times New Roman"/>
          <w:smallCaps/>
          <w:color w:val="auto"/>
          <w:kern w:val="44"/>
          <w:sz w:val="21"/>
          <w:szCs w:val="21"/>
        </w:rPr>
        <w:t>《现代写作教程》</w:t>
      </w:r>
      <w:r>
        <w:rPr>
          <w:rFonts w:hint="eastAsia" w:ascii="Times New Roman" w:hAnsi="Times New Roman" w:eastAsia="宋体" w:cs="Times New Roman"/>
          <w:smallCaps/>
          <w:color w:val="auto"/>
          <w:kern w:val="44"/>
          <w:sz w:val="21"/>
          <w:szCs w:val="21"/>
          <w:lang w:val="en-US" w:eastAsia="zh-CN"/>
        </w:rPr>
        <w:t xml:space="preserve">,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smallCaps/>
          <w:color w:val="auto"/>
          <w:kern w:val="44"/>
          <w:sz w:val="21"/>
          <w:szCs w:val="21"/>
        </w:rPr>
        <w:t>高等教育出版社</w:t>
      </w:r>
      <w:r>
        <w:rPr>
          <w:rFonts w:hint="eastAsia" w:ascii="Times New Roman" w:hAnsi="Times New Roman" w:eastAsia="宋体" w:cs="Times New Roman"/>
          <w:smallCaps/>
          <w:color w:val="auto"/>
          <w:kern w:val="44"/>
          <w:sz w:val="21"/>
          <w:szCs w:val="21"/>
          <w:lang w:val="en-US" w:eastAsia="zh-CN"/>
        </w:rPr>
        <w:t xml:space="preserve">, </w:t>
      </w:r>
      <w:r>
        <w:rPr>
          <w:rFonts w:hint="eastAsia" w:ascii="Times New Roman" w:hAnsi="Times New Roman" w:eastAsia="宋体" w:cs="Times New Roman"/>
          <w:smallCaps/>
          <w:color w:val="auto"/>
          <w:kern w:val="44"/>
          <w:sz w:val="21"/>
          <w:szCs w:val="21"/>
        </w:rPr>
        <w:t>2002.</w:t>
      </w:r>
    </w:p>
    <w:p w14:paraId="5121741E">
      <w:pPr>
        <w:adjustRightInd w:val="0"/>
        <w:snapToGrid w:val="0"/>
        <w:spacing w:line="360" w:lineRule="auto"/>
        <w:ind w:firstLine="420" w:firstLineChars="200"/>
        <w:rPr>
          <w:rFonts w:hint="eastAsia" w:ascii="Times New Roman" w:hAnsi="Times New Roman" w:eastAsia="宋体" w:cs="Times New Roman"/>
          <w:smallCaps/>
          <w:color w:val="auto"/>
          <w:kern w:val="44"/>
          <w:sz w:val="21"/>
          <w:szCs w:val="21"/>
          <w:lang w:val="en-US" w:eastAsia="zh-CN"/>
        </w:rPr>
      </w:pPr>
      <w:r>
        <w:rPr>
          <w:rFonts w:hint="eastAsia" w:ascii="Times New Roman" w:hAnsi="Times New Roman" w:eastAsia="宋体" w:cs="Times New Roman"/>
          <w:smallCaps/>
          <w:color w:val="auto"/>
          <w:kern w:val="44"/>
          <w:sz w:val="21"/>
          <w:szCs w:val="21"/>
          <w:lang w:val="en-US" w:eastAsia="zh-CN"/>
        </w:rPr>
        <w:t xml:space="preserve">6.叶圣陶, 夏丏尊. 《文心：写作的诀窍与练习》,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smallCaps/>
          <w:color w:val="auto"/>
          <w:kern w:val="44"/>
          <w:sz w:val="21"/>
          <w:szCs w:val="21"/>
          <w:lang w:val="en-US" w:eastAsia="zh-CN"/>
        </w:rPr>
        <w:t>生活·读书·新知三联书店, 2019.</w:t>
      </w:r>
    </w:p>
    <w:p w14:paraId="6D664E1B">
      <w:pPr>
        <w:adjustRightInd w:val="0"/>
        <w:snapToGrid w:val="0"/>
        <w:spacing w:line="360" w:lineRule="auto"/>
        <w:ind w:firstLine="420" w:firstLineChars="200"/>
        <w:rPr>
          <w:rFonts w:hint="default" w:ascii="Times New Roman" w:hAnsi="Times New Roman" w:eastAsia="宋体" w:cs="Times New Roman"/>
          <w:smallCaps/>
          <w:color w:val="auto"/>
          <w:kern w:val="44"/>
          <w:sz w:val="21"/>
          <w:szCs w:val="21"/>
          <w:lang w:val="en-US" w:eastAsia="zh-CN"/>
        </w:rPr>
      </w:pPr>
      <w:r>
        <w:rPr>
          <w:rFonts w:hint="eastAsia" w:ascii="Times New Roman" w:hAnsi="Times New Roman" w:eastAsia="宋体" w:cs="Times New Roman"/>
          <w:smallCaps/>
          <w:color w:val="auto"/>
          <w:kern w:val="44"/>
          <w:sz w:val="21"/>
          <w:szCs w:val="21"/>
          <w:lang w:val="en-US" w:eastAsia="zh-CN"/>
        </w:rPr>
        <w:t xml:space="preserve">7.汪曾祺. 《汪曾祺谈写作：小说创作十二讲》, </w:t>
      </w:r>
      <w:r>
        <w:rPr>
          <w:rFonts w:hint="eastAsia" w:ascii="Times New Roman" w:hAnsi="Times New Roman" w:eastAsia="宋体" w:cs="Times New Roman"/>
          <w:bCs/>
          <w:color w:val="000000"/>
          <w:szCs w:val="21"/>
          <w:lang w:val="en-US" w:eastAsia="zh-CN"/>
        </w:rPr>
        <w:t xml:space="preserve">北京: </w:t>
      </w:r>
      <w:r>
        <w:rPr>
          <w:rFonts w:hint="eastAsia" w:ascii="Times New Roman" w:hAnsi="Times New Roman" w:eastAsia="宋体" w:cs="Times New Roman"/>
          <w:smallCaps/>
          <w:color w:val="auto"/>
          <w:kern w:val="44"/>
          <w:sz w:val="21"/>
          <w:szCs w:val="21"/>
          <w:lang w:val="en-US" w:eastAsia="zh-CN"/>
        </w:rPr>
        <w:t>作家出版社, 2021.</w:t>
      </w:r>
    </w:p>
    <w:p w14:paraId="67624182">
      <w:pPr>
        <w:spacing w:line="360" w:lineRule="auto"/>
        <w:ind w:right="1920"/>
        <w:jc w:val="left"/>
        <w:rPr>
          <w:rFonts w:ascii="Times New Roman" w:hAnsi="Times New Roman" w:eastAsia="宋体" w:cs="Times New Roman"/>
          <w:sz w:val="24"/>
          <w:szCs w:val="24"/>
        </w:rPr>
      </w:pPr>
    </w:p>
    <w:p w14:paraId="0EE09209">
      <w:pPr>
        <w:spacing w:line="360" w:lineRule="auto"/>
        <w:jc w:val="right"/>
        <w:rPr>
          <w:rFonts w:ascii="宋体" w:hAnsi="宋体" w:eastAsia="宋体" w:cs="Times New Roman"/>
          <w:sz w:val="24"/>
          <w:szCs w:val="24"/>
        </w:rPr>
      </w:pPr>
      <w:r>
        <w:rPr>
          <w:rFonts w:hint="eastAsia" w:ascii="宋体" w:hAnsi="宋体" w:eastAsia="宋体" w:cs="Times New Roman"/>
          <w:sz w:val="24"/>
          <w:szCs w:val="24"/>
        </w:rPr>
        <w:t>执笔人：</w:t>
      </w:r>
      <w:r>
        <w:rPr>
          <w:rFonts w:hint="eastAsia" w:ascii="Times New Roman" w:hAnsi="Times New Roman" w:eastAsia="宋体" w:cs="Times New Roman"/>
          <w:sz w:val="24"/>
          <w:szCs w:val="24"/>
          <w:lang w:val="en-US" w:eastAsia="zh-CN"/>
        </w:rPr>
        <w:t>李  玲</w:t>
      </w:r>
    </w:p>
    <w:p w14:paraId="301F9995">
      <w:pPr>
        <w:wordWrap w:val="0"/>
        <w:spacing w:line="360" w:lineRule="auto"/>
        <w:jc w:val="right"/>
        <w:rPr>
          <w:rFonts w:ascii="宋体" w:hAnsi="宋体" w:eastAsia="宋体" w:cs="Times New Roman"/>
          <w:color w:val="000000"/>
          <w:sz w:val="24"/>
          <w:szCs w:val="24"/>
        </w:rPr>
      </w:pPr>
      <w:r>
        <w:rPr>
          <w:rFonts w:hint="eastAsia" w:ascii="宋体" w:hAnsi="宋体" w:eastAsia="宋体" w:cs="Times New Roman"/>
          <w:sz w:val="24"/>
          <w:szCs w:val="24"/>
        </w:rPr>
        <w:t xml:space="preserve">                                           审</w:t>
      </w:r>
      <w:r>
        <w:rPr>
          <w:rFonts w:hint="eastAsia" w:ascii="宋体" w:hAnsi="宋体" w:eastAsia="宋体" w:cs="Times New Roman"/>
          <w:color w:val="000000"/>
          <w:sz w:val="24"/>
          <w:szCs w:val="24"/>
        </w:rPr>
        <w:t>核人：王  健</w:t>
      </w:r>
    </w:p>
    <w:p w14:paraId="3DA56BA2">
      <w:pPr>
        <w:spacing w:line="360" w:lineRule="auto"/>
        <w:jc w:val="right"/>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批准人：张志欣</w:t>
      </w:r>
    </w:p>
    <w:p w14:paraId="53756E93">
      <w:pPr>
        <w:spacing w:line="360" w:lineRule="auto"/>
        <w:jc w:val="right"/>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批准时间：2023年</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月</w:t>
      </w:r>
      <w:r>
        <w:rPr>
          <w:rFonts w:hint="eastAsia" w:ascii="宋体" w:hAnsi="宋体" w:eastAsia="宋体" w:cs="Times New Roman"/>
          <w:color w:val="000000"/>
          <w:sz w:val="24"/>
          <w:szCs w:val="24"/>
          <w:lang w:val="en-US" w:eastAsia="zh-CN"/>
        </w:rPr>
        <w:t>1日</w:t>
      </w:r>
    </w:p>
    <w:p w14:paraId="67E0DE55">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32B97372">
      <w:pPr>
        <w:pStyle w:val="2"/>
        <w:bidi w:val="0"/>
        <w:rPr>
          <w:rFonts w:hint="eastAsia"/>
          <w:lang w:val="en-US" w:eastAsia="zh-CN"/>
        </w:rPr>
      </w:pPr>
      <w:bookmarkStart w:id="2009" w:name="_Toc14947"/>
      <w:bookmarkStart w:id="2010" w:name="_Toc4755"/>
      <w:bookmarkStart w:id="2011" w:name="_Toc57017193"/>
      <w:bookmarkStart w:id="2012" w:name="_Toc19957"/>
      <w:bookmarkStart w:id="2013" w:name="_Toc15985"/>
      <w:bookmarkStart w:id="2014" w:name="_Toc19730872"/>
      <w:bookmarkStart w:id="2015" w:name="_Toc19729669"/>
      <w:r>
        <w:rPr>
          <w:rFonts w:hint="eastAsia"/>
          <w:lang w:val="en-US" w:eastAsia="zh-CN"/>
        </w:rPr>
        <w:t>《小学语文课程标准与教材分析》课程教学大纲</w:t>
      </w:r>
      <w:bookmarkEnd w:id="2009"/>
      <w:bookmarkEnd w:id="2010"/>
      <w:bookmarkEnd w:id="2011"/>
      <w:bookmarkEnd w:id="2012"/>
      <w:bookmarkEnd w:id="2013"/>
      <w:bookmarkEnd w:id="2014"/>
      <w:bookmarkEnd w:id="2015"/>
    </w:p>
    <w:p w14:paraId="247F75B2">
      <w:pPr>
        <w:pStyle w:val="2"/>
        <w:bidi w:val="0"/>
        <w:rPr>
          <w:rFonts w:hint="default" w:ascii="Times New Roman" w:hAnsi="Times New Roman" w:eastAsia="宋体" w:cs="Arial"/>
          <w:b/>
          <w:bCs/>
          <w:kern w:val="2"/>
          <w:szCs w:val="24"/>
          <w:lang w:val="en-US" w:eastAsia="zh-CN" w:bidi="ar-SA"/>
        </w:rPr>
      </w:pPr>
      <w:bookmarkStart w:id="2016" w:name="_Toc8855"/>
      <w:bookmarkStart w:id="2017" w:name="_Toc21840"/>
      <w:bookmarkStart w:id="2018" w:name="_Toc20679"/>
      <w:bookmarkStart w:id="2019" w:name="_Toc8617"/>
      <w:bookmarkStart w:id="2020" w:name="_Toc11066"/>
      <w:bookmarkStart w:id="2021" w:name="_Toc10764"/>
      <w:bookmarkStart w:id="2022" w:name="_Toc32525"/>
      <w:r>
        <w:rPr>
          <w:rFonts w:hint="eastAsia"/>
          <w:lang w:val="en-US" w:eastAsia="zh-CN"/>
        </w:rPr>
        <w:t>（Analysis on Chinese Curriculum Standard and Textbook in Primary School）</w:t>
      </w:r>
      <w:bookmarkEnd w:id="2016"/>
      <w:bookmarkEnd w:id="2017"/>
      <w:bookmarkEnd w:id="2018"/>
      <w:bookmarkEnd w:id="2019"/>
      <w:bookmarkEnd w:id="2020"/>
      <w:bookmarkEnd w:id="2021"/>
      <w:bookmarkEnd w:id="2022"/>
    </w:p>
    <w:p w14:paraId="71AE03CF">
      <w:pPr>
        <w:spacing w:line="360" w:lineRule="auto"/>
        <w:ind w:firstLine="482" w:firstLineChars="200"/>
        <w:jc w:val="left"/>
        <w:rPr>
          <w:rFonts w:hint="eastAsia" w:ascii="Times New Roman" w:hAnsi="Times New Roman" w:eastAsia="宋体" w:cs="Times New Roman"/>
          <w:b/>
          <w:sz w:val="24"/>
          <w:szCs w:val="24"/>
        </w:rPr>
      </w:pPr>
    </w:p>
    <w:p w14:paraId="7F4A23A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hint="eastAsia" w:ascii="宋体" w:hAnsi="宋体" w:eastAsia="宋体" w:cs="Times New Roman"/>
          <w:kern w:val="0"/>
          <w:sz w:val="24"/>
          <w:szCs w:val="22"/>
        </w:rPr>
        <w:t>小学语文课程标准与教材分析</w:t>
      </w:r>
    </w:p>
    <w:p w14:paraId="5CBCEDD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宋体" w:hAnsi="宋体" w:eastAsia="等线" w:cs="Times New Roman"/>
          <w:kern w:val="0"/>
          <w:sz w:val="24"/>
          <w:szCs w:val="22"/>
        </w:rPr>
        <w:t>2401028</w:t>
      </w:r>
    </w:p>
    <w:p w14:paraId="7449C81C">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宋体" w:hAnsi="宋体" w:eastAsia="宋体" w:cs="Times New Roman"/>
          <w:kern w:val="0"/>
          <w:sz w:val="24"/>
          <w:szCs w:val="22"/>
          <w:lang w:val="en-US" w:eastAsia="zh-CN"/>
        </w:rPr>
        <w:t>2</w:t>
      </w:r>
    </w:p>
    <w:p w14:paraId="157A88A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宋体" w:hAnsi="宋体" w:eastAsia="等线" w:cs="Times New Roman"/>
          <w:kern w:val="0"/>
          <w:sz w:val="24"/>
          <w:szCs w:val="24"/>
        </w:rPr>
        <w:t>32 （其中：讲授学时24， 实践学时8）</w:t>
      </w:r>
    </w:p>
    <w:p w14:paraId="622B592A">
      <w:pPr>
        <w:spacing w:beforeLines="0" w:afterLines="0"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宋体" w:hAnsi="宋体" w:eastAsia="等线" w:cs="Calibri"/>
          <w:kern w:val="0"/>
          <w:sz w:val="24"/>
          <w:szCs w:val="21"/>
        </w:rPr>
        <w:t>教育原理、中国教育史、外国教育史、课程与教学论、教育心理学、现代教育技术、古代汉语、现代汉语、文学概论、中国古代文学、中国现当代文学、儿童文学</w:t>
      </w:r>
    </w:p>
    <w:p w14:paraId="43DAF3D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18E405A9">
      <w:pPr>
        <w:spacing w:line="360" w:lineRule="auto"/>
        <w:ind w:firstLine="482" w:firstLineChars="200"/>
        <w:jc w:val="left"/>
        <w:outlineLvl w:val="0"/>
        <w:rPr>
          <w:rFonts w:ascii="Times New Roman" w:hAnsi="Times New Roman" w:eastAsia="宋体" w:cs="Times New Roman"/>
          <w:sz w:val="24"/>
          <w:szCs w:val="24"/>
        </w:rPr>
      </w:pPr>
      <w:bookmarkStart w:id="2023" w:name="_Toc5447"/>
      <w:bookmarkStart w:id="2024" w:name="_Toc16106"/>
      <w:bookmarkStart w:id="2025" w:name="_Toc6246"/>
      <w:bookmarkStart w:id="2026" w:name="_Toc11104"/>
      <w:bookmarkStart w:id="2027" w:name="_Toc10508"/>
      <w:bookmarkStart w:id="2028" w:name="_Toc4021"/>
      <w:bookmarkStart w:id="2029" w:name="_Toc30333"/>
      <w:r>
        <w:rPr>
          <w:rFonts w:hint="eastAsia" w:ascii="Times New Roman" w:hAnsi="Times New Roman" w:eastAsia="宋体" w:cs="Times New Roman"/>
          <w:b/>
          <w:sz w:val="24"/>
          <w:szCs w:val="24"/>
        </w:rPr>
        <w:t>一、课程简介</w:t>
      </w:r>
      <w:bookmarkEnd w:id="2023"/>
      <w:bookmarkEnd w:id="2024"/>
      <w:bookmarkEnd w:id="2025"/>
      <w:bookmarkEnd w:id="2026"/>
      <w:bookmarkEnd w:id="2027"/>
      <w:bookmarkEnd w:id="2028"/>
      <w:bookmarkEnd w:id="2029"/>
    </w:p>
    <w:p w14:paraId="7E08E435">
      <w:pPr>
        <w:autoSpaceDE w:val="0"/>
        <w:autoSpaceDN w:val="0"/>
        <w:adjustRightInd w:val="0"/>
        <w:spacing w:beforeLines="0" w:afterLines="0" w:line="360" w:lineRule="auto"/>
        <w:ind w:firstLine="480" w:firstLineChars="200"/>
        <w:jc w:val="left"/>
        <w:rPr>
          <w:rFonts w:hint="eastAsia" w:ascii="宋体" w:hAnsi="宋体" w:eastAsia="等线" w:cs="Times New Roman"/>
          <w:kern w:val="0"/>
          <w:sz w:val="24"/>
          <w:szCs w:val="22"/>
        </w:rPr>
      </w:pPr>
      <w:r>
        <w:rPr>
          <w:rFonts w:hint="eastAsia" w:ascii="宋体" w:hAnsi="宋体" w:eastAsia="等线" w:cs="Times New Roman"/>
          <w:kern w:val="0"/>
          <w:sz w:val="24"/>
          <w:szCs w:val="22"/>
          <w:lang w:eastAsia="zh-CN"/>
        </w:rPr>
        <w:t>本课程作为小学教育专业的核心必修课程，旨在培养学生解读小学语文课程标准的能力，并能深入分析小学语文教材。学生将学会如何依据小学语文课程标准的要求，结合教材的内在结构和关键要素，进行理论阐述和案例分析。通过这些学习活动，学生将为未来的语文教学设计、实施、模拟教学以及教育实习等环节打下坚实的基础。</w:t>
      </w:r>
    </w:p>
    <w:p w14:paraId="421842E4">
      <w:pPr>
        <w:spacing w:line="360" w:lineRule="auto"/>
        <w:ind w:firstLine="482" w:firstLineChars="200"/>
        <w:jc w:val="left"/>
        <w:outlineLvl w:val="0"/>
        <w:rPr>
          <w:rFonts w:ascii="Times New Roman" w:hAnsi="Times New Roman" w:eastAsia="宋体" w:cs="Times New Roman"/>
          <w:sz w:val="24"/>
          <w:szCs w:val="24"/>
        </w:rPr>
      </w:pPr>
      <w:bookmarkStart w:id="2030" w:name="_Toc22709"/>
      <w:bookmarkStart w:id="2031" w:name="_Toc31515"/>
      <w:bookmarkStart w:id="2032" w:name="_Toc5548"/>
      <w:bookmarkStart w:id="2033" w:name="_Toc18042"/>
      <w:bookmarkStart w:id="2034" w:name="_Toc22098"/>
      <w:bookmarkStart w:id="2035" w:name="_Toc5056"/>
      <w:bookmarkStart w:id="2036" w:name="_Toc29328"/>
      <w:bookmarkStart w:id="2037" w:name="_Toc19729671"/>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030"/>
      <w:bookmarkEnd w:id="2031"/>
      <w:bookmarkEnd w:id="2032"/>
      <w:bookmarkEnd w:id="2033"/>
      <w:bookmarkEnd w:id="2034"/>
      <w:bookmarkEnd w:id="2035"/>
      <w:bookmarkEnd w:id="2036"/>
    </w:p>
    <w:p w14:paraId="36B7BE8C">
      <w:pPr>
        <w:spacing w:beforeLines="0" w:afterLines="0" w:line="360" w:lineRule="auto"/>
        <w:ind w:firstLine="480" w:firstLineChars="200"/>
        <w:outlineLvl w:val="1"/>
        <w:rPr>
          <w:rFonts w:hint="eastAsia" w:ascii="宋体" w:hAnsi="宋体" w:eastAsia="等线" w:cs="Times New Roman"/>
          <w:b/>
          <w:sz w:val="24"/>
          <w:szCs w:val="28"/>
        </w:rPr>
      </w:pPr>
      <w:bookmarkStart w:id="2038" w:name="_Toc26784"/>
      <w:r>
        <w:rPr>
          <w:rFonts w:hint="eastAsia" w:ascii="宋体" w:hAnsi="宋体" w:eastAsia="等线" w:cs="Times New Roman"/>
          <w:b/>
          <w:sz w:val="24"/>
          <w:szCs w:val="28"/>
        </w:rPr>
        <w:t>（一）课程具体目标</w:t>
      </w:r>
      <w:bookmarkEnd w:id="2038"/>
    </w:p>
    <w:p w14:paraId="44FBB95A">
      <w:pPr>
        <w:spacing w:beforeLines="0" w:afterLines="0" w:line="360" w:lineRule="auto"/>
        <w:ind w:firstLine="480" w:firstLineChars="200"/>
        <w:rPr>
          <w:rFonts w:hint="eastAsia" w:ascii="宋体" w:hAnsi="宋体" w:eastAsia="宋体" w:cs="Times New Roman"/>
          <w:kern w:val="0"/>
          <w:sz w:val="24"/>
          <w:szCs w:val="22"/>
          <w:lang w:eastAsia="zh-CN"/>
        </w:rPr>
      </w:pPr>
      <w:r>
        <w:rPr>
          <w:rFonts w:hint="eastAsia" w:ascii="宋体" w:hAnsi="宋体" w:eastAsia="等线" w:cs="Times New Roman"/>
          <w:kern w:val="0"/>
          <w:sz w:val="24"/>
          <w:szCs w:val="22"/>
          <w:lang w:eastAsia="zh-CN"/>
        </w:rPr>
        <w:t>目标1.确定小学语文课程标准的核心特征与结构体系，阐释语文课程的核心理念，并掌握分析小学语文课程总体目标与各阶段目标的方法。明确小学语文课程标准与教材研究之间的联系，自觉地以课程标准为指导进行小学语文教材的研究工作，确立正确的课程观、教材观、学生观和教学观。</w:t>
      </w:r>
    </w:p>
    <w:p w14:paraId="376324DB">
      <w:pPr>
        <w:spacing w:beforeLines="0" w:afterLines="0" w:line="360" w:lineRule="auto"/>
        <w:ind w:firstLine="480" w:firstLineChars="200"/>
        <w:rPr>
          <w:rFonts w:hint="eastAsia" w:ascii="宋体" w:hAnsi="宋体" w:eastAsia="宋体" w:cs="Times New Roman"/>
          <w:kern w:val="0"/>
          <w:sz w:val="24"/>
          <w:szCs w:val="22"/>
          <w:lang w:eastAsia="zh-CN"/>
        </w:rPr>
      </w:pPr>
      <w:r>
        <w:rPr>
          <w:rFonts w:hint="eastAsia" w:ascii="宋体" w:hAnsi="宋体" w:eastAsia="等线" w:cs="Times New Roman"/>
          <w:kern w:val="0"/>
          <w:sz w:val="24"/>
          <w:szCs w:val="22"/>
          <w:lang w:eastAsia="zh-CN"/>
        </w:rPr>
        <w:t>目标2</w:t>
      </w:r>
      <w:r>
        <w:rPr>
          <w:rFonts w:hint="eastAsia" w:ascii="宋体" w:hAnsi="宋体" w:eastAsia="等线" w:cs="Times New Roman"/>
          <w:kern w:val="0"/>
          <w:sz w:val="24"/>
          <w:szCs w:val="22"/>
          <w:lang w:val="en-US" w:eastAsia="zh-CN"/>
        </w:rPr>
        <w:t>.</w:t>
      </w:r>
      <w:r>
        <w:rPr>
          <w:rFonts w:hint="eastAsia" w:ascii="宋体" w:hAnsi="宋体" w:eastAsia="等线" w:cs="Times New Roman"/>
          <w:kern w:val="0"/>
          <w:sz w:val="24"/>
          <w:szCs w:val="22"/>
          <w:lang w:eastAsia="zh-CN"/>
        </w:rPr>
        <w:t>深入理解小学语文教材的功能与价值，掌握我国小学语文教材的发展历程及其各个阶段的主要特征；熟悉现行统编小学语文教材的核心特点和教学内容体系结构，探索教材研究的基础理论和普遍规律。</w:t>
      </w:r>
    </w:p>
    <w:p w14:paraId="7CD492CE">
      <w:pPr>
        <w:spacing w:beforeLines="0" w:afterLines="0" w:line="360" w:lineRule="auto"/>
        <w:ind w:firstLine="480" w:firstLineChars="200"/>
        <w:rPr>
          <w:rFonts w:hint="eastAsia" w:ascii="宋体" w:hAnsi="宋体" w:eastAsia="宋体" w:cs="Times New Roman"/>
          <w:kern w:val="0"/>
          <w:sz w:val="24"/>
          <w:szCs w:val="22"/>
          <w:lang w:eastAsia="zh-CN"/>
        </w:rPr>
      </w:pPr>
      <w:r>
        <w:rPr>
          <w:rFonts w:hint="eastAsia" w:ascii="宋体" w:hAnsi="宋体" w:eastAsia="等线" w:cs="Times New Roman"/>
          <w:kern w:val="0"/>
          <w:sz w:val="24"/>
          <w:szCs w:val="22"/>
          <w:lang w:eastAsia="zh-CN"/>
        </w:rPr>
        <w:t>目标3.掌握识字与写字、阅读、写话与习作、口语交际、</w:t>
      </w:r>
      <w:r>
        <w:rPr>
          <w:rFonts w:hint="eastAsia" w:ascii="宋体" w:hAnsi="宋体" w:eastAsia="等线" w:cs="Times New Roman"/>
          <w:kern w:val="0"/>
          <w:sz w:val="24"/>
          <w:szCs w:val="22"/>
          <w:lang w:val="en-US" w:eastAsia="zh-CN"/>
        </w:rPr>
        <w:t>跨学科</w:t>
      </w:r>
      <w:r>
        <w:rPr>
          <w:rFonts w:hint="eastAsia" w:ascii="宋体" w:hAnsi="宋体" w:eastAsia="等线" w:cs="Times New Roman"/>
          <w:kern w:val="0"/>
          <w:sz w:val="24"/>
          <w:szCs w:val="22"/>
          <w:lang w:eastAsia="zh-CN"/>
        </w:rPr>
        <w:t>学习五大领域的教学总目标和分学段目标，深入分析各学段目标的重点及其相互关联；详细阐释统编版教材在识字与写字教学、阅读教学、写话与习作教学、口语交际教学、</w:t>
      </w:r>
      <w:r>
        <w:rPr>
          <w:rFonts w:hint="eastAsia" w:ascii="宋体" w:hAnsi="宋体" w:eastAsia="等线" w:cs="Times New Roman"/>
          <w:kern w:val="0"/>
          <w:sz w:val="24"/>
          <w:szCs w:val="22"/>
          <w:lang w:val="en-US" w:eastAsia="zh-CN"/>
        </w:rPr>
        <w:t>跨学科</w:t>
      </w:r>
      <w:r>
        <w:rPr>
          <w:rFonts w:hint="eastAsia" w:ascii="宋体" w:hAnsi="宋体" w:eastAsia="等线" w:cs="Times New Roman"/>
          <w:kern w:val="0"/>
          <w:sz w:val="24"/>
          <w:szCs w:val="22"/>
          <w:lang w:eastAsia="zh-CN"/>
        </w:rPr>
        <w:t>学习五大内容板块的编排特色和教学建议，初步掌握五大领域教材教学解读的策略和方法，提升研究教材的能力。</w:t>
      </w:r>
    </w:p>
    <w:p w14:paraId="26695563">
      <w:pPr>
        <w:spacing w:before="156" w:beforeLines="50" w:after="156" w:afterLines="50" w:line="360" w:lineRule="auto"/>
        <w:ind w:firstLine="482" w:firstLineChars="200"/>
        <w:jc w:val="left"/>
        <w:outlineLvl w:val="1"/>
        <w:rPr>
          <w:rFonts w:ascii="Times New Roman" w:hAnsi="Times New Roman" w:eastAsia="宋体" w:cs="Times New Roman"/>
          <w:b/>
          <w:bCs/>
          <w:szCs w:val="21"/>
        </w:rPr>
      </w:pPr>
      <w:bookmarkStart w:id="2039" w:name="_Toc23351"/>
      <w:r>
        <w:rPr>
          <w:rFonts w:hint="eastAsia" w:ascii="宋体" w:hAnsi="宋体" w:eastAsia="宋体" w:cs="Times New Roman"/>
          <w:b/>
          <w:sz w:val="24"/>
          <w:szCs w:val="28"/>
        </w:rPr>
        <w:t>（二）课程目标及其对毕业要求指标点的支撑</w:t>
      </w:r>
      <w:bookmarkEnd w:id="2039"/>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5111"/>
        <w:gridCol w:w="1191"/>
      </w:tblGrid>
      <w:tr w14:paraId="68A2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14:paraId="5E506EF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111" w:type="dxa"/>
            <w:vAlign w:val="center"/>
          </w:tcPr>
          <w:p w14:paraId="5B1EAA5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50D2D9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F88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14:paraId="0FF96122">
            <w:pPr>
              <w:spacing w:beforeLines="0" w:afterLines="0" w:line="276" w:lineRule="auto"/>
              <w:rPr>
                <w:rFonts w:ascii="Times New Roman" w:hAnsi="Times New Roman" w:eastAsia="宋体" w:cs="Times New Roman"/>
                <w:szCs w:val="21"/>
              </w:rPr>
            </w:pPr>
            <w:r>
              <w:rPr>
                <w:rFonts w:hint="eastAsia" w:ascii="宋体" w:hAnsi="宋体" w:eastAsia="等线" w:cs="Times New Roman"/>
                <w:color w:val="000000"/>
                <w:kern w:val="0"/>
                <w:sz w:val="21"/>
                <w:szCs w:val="21"/>
              </w:rPr>
              <w:t>毕业要求4.形成基本教学能力</w:t>
            </w:r>
          </w:p>
        </w:tc>
        <w:tc>
          <w:tcPr>
            <w:tcW w:w="5111" w:type="dxa"/>
            <w:vAlign w:val="center"/>
          </w:tcPr>
          <w:p w14:paraId="0525FDF4">
            <w:pPr>
              <w:spacing w:line="276" w:lineRule="auto"/>
              <w:jc w:val="left"/>
              <w:rPr>
                <w:rFonts w:hint="eastAsia" w:ascii="宋体" w:hAnsi="宋体" w:eastAsia="等线" w:cs="Times New Roman"/>
                <w:sz w:val="21"/>
                <w:szCs w:val="21"/>
              </w:rPr>
            </w:pPr>
            <w:r>
              <w:rPr>
                <w:rFonts w:hint="eastAsia" w:ascii="宋体" w:hAnsi="宋体" w:eastAsia="等线" w:cs="Times New Roman"/>
                <w:sz w:val="21"/>
                <w:szCs w:val="21"/>
              </w:rPr>
              <w:t>4-1：</w:t>
            </w:r>
            <w:r>
              <w:rPr>
                <w:rFonts w:hint="eastAsia" w:ascii="宋体" w:hAnsi="宋体" w:eastAsia="等线" w:cs="宋体"/>
                <w:sz w:val="20"/>
                <w:szCs w:val="20"/>
              </w:rPr>
              <w:t>掌握教育教学基本理论知识，熟悉所教学科课程标准和教材、教学内容。掌握教师教育知识、学科教学知识和现代信息技术，具有主动适应信息化、人工智能等新技术变革积极有效开展教育教学的意识。</w:t>
            </w:r>
          </w:p>
          <w:p w14:paraId="57223BC6">
            <w:pPr>
              <w:spacing w:line="276" w:lineRule="auto"/>
              <w:jc w:val="left"/>
              <w:rPr>
                <w:rFonts w:hint="eastAsia" w:ascii="宋体" w:hAnsi="宋体" w:eastAsia="等线" w:cs="Times New Roman"/>
                <w:sz w:val="21"/>
                <w:szCs w:val="21"/>
              </w:rPr>
            </w:pPr>
            <w:r>
              <w:rPr>
                <w:rFonts w:hint="eastAsia" w:ascii="宋体" w:hAnsi="宋体" w:eastAsia="等线" w:cs="Times New Roman"/>
                <w:sz w:val="21"/>
                <w:szCs w:val="21"/>
              </w:rPr>
              <w:t>4-2：</w:t>
            </w:r>
            <w:r>
              <w:rPr>
                <w:rFonts w:hint="eastAsia" w:ascii="宋体" w:hAnsi="宋体" w:eastAsia="等线" w:cs="宋体"/>
                <w:sz w:val="20"/>
                <w:szCs w:val="20"/>
              </w:rPr>
              <w:t>能针对小学生已有的知识水平、学习经验和兴趣特点，依据课标确定恰当的学习目标和学习重点，设计学习活动。</w:t>
            </w:r>
            <w:r>
              <w:rPr>
                <w:rFonts w:hint="eastAsia" w:ascii="等线" w:hAnsi="等线" w:eastAsia="等线" w:cs="Times New Roman"/>
                <w:sz w:val="20"/>
                <w:szCs w:val="20"/>
              </w:rPr>
              <w:t>能依据单元内容进行整体设计，科学合理地依据教学目标及内容设计作业。</w:t>
            </w:r>
          </w:p>
        </w:tc>
        <w:tc>
          <w:tcPr>
            <w:tcW w:w="1191" w:type="dxa"/>
            <w:vAlign w:val="center"/>
          </w:tcPr>
          <w:p w14:paraId="210BD52D">
            <w:pPr>
              <w:spacing w:line="276" w:lineRule="auto"/>
              <w:jc w:val="left"/>
              <w:rPr>
                <w:rFonts w:hint="eastAsia" w:ascii="宋体" w:hAnsi="宋体" w:eastAsia="等线" w:cs="宋体"/>
                <w:color w:val="000000"/>
                <w:sz w:val="21"/>
                <w:szCs w:val="21"/>
              </w:rPr>
            </w:pPr>
            <w:r>
              <w:rPr>
                <w:rFonts w:hint="eastAsia" w:ascii="宋体" w:hAnsi="宋体" w:eastAsia="等线" w:cs="宋体"/>
                <w:color w:val="000000"/>
                <w:sz w:val="21"/>
                <w:szCs w:val="21"/>
              </w:rPr>
              <w:t>课程目标1</w:t>
            </w:r>
          </w:p>
          <w:p w14:paraId="46FF0CB5">
            <w:pPr>
              <w:spacing w:line="276" w:lineRule="auto"/>
              <w:jc w:val="left"/>
              <w:rPr>
                <w:rFonts w:hint="eastAsia" w:ascii="宋体" w:hAnsi="宋体" w:eastAsia="等线" w:cs="宋体"/>
                <w:color w:val="000000"/>
                <w:sz w:val="21"/>
                <w:szCs w:val="21"/>
              </w:rPr>
            </w:pPr>
            <w:r>
              <w:rPr>
                <w:rFonts w:hint="eastAsia" w:ascii="宋体" w:hAnsi="宋体" w:eastAsia="等线" w:cs="宋体"/>
                <w:color w:val="000000"/>
                <w:sz w:val="21"/>
                <w:szCs w:val="21"/>
              </w:rPr>
              <w:t>课程目标2</w:t>
            </w:r>
          </w:p>
          <w:p w14:paraId="3CF9F029">
            <w:pPr>
              <w:spacing w:line="276" w:lineRule="auto"/>
              <w:jc w:val="left"/>
              <w:rPr>
                <w:rFonts w:hint="eastAsia" w:ascii="宋体" w:hAnsi="宋体" w:eastAsia="等线" w:cs="宋体"/>
                <w:color w:val="000000"/>
                <w:sz w:val="21"/>
                <w:szCs w:val="21"/>
              </w:rPr>
            </w:pPr>
            <w:r>
              <w:rPr>
                <w:rFonts w:hint="eastAsia" w:ascii="宋体" w:hAnsi="宋体" w:eastAsia="等线" w:cs="宋体"/>
                <w:color w:val="000000"/>
                <w:sz w:val="21"/>
                <w:szCs w:val="21"/>
              </w:rPr>
              <w:t>课程目标</w:t>
            </w:r>
            <w:r>
              <w:rPr>
                <w:rFonts w:hint="eastAsia" w:ascii="宋体" w:hAnsi="宋体" w:eastAsia="等线" w:cs="宋体"/>
                <w:color w:val="000000"/>
                <w:sz w:val="21"/>
                <w:szCs w:val="21"/>
                <w:lang w:val="en-US" w:eastAsia="zh-CN"/>
              </w:rPr>
              <w:t>3</w:t>
            </w:r>
          </w:p>
        </w:tc>
      </w:tr>
      <w:tr w14:paraId="4082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14:paraId="47D70B34">
            <w:pPr>
              <w:spacing w:line="276" w:lineRule="auto"/>
              <w:jc w:val="left"/>
              <w:rPr>
                <w:rFonts w:ascii="Times New Roman" w:hAnsi="Times New Roman" w:eastAsia="宋体" w:cs="Times New Roman"/>
                <w:szCs w:val="21"/>
              </w:rPr>
            </w:pPr>
            <w:r>
              <w:rPr>
                <w:rFonts w:hint="eastAsia" w:ascii="宋体" w:hAnsi="宋体" w:eastAsia="等线" w:cs="Times New Roman"/>
                <w:color w:val="000000"/>
                <w:kern w:val="0"/>
                <w:sz w:val="21"/>
                <w:szCs w:val="21"/>
              </w:rPr>
              <w:t>毕业要求6.综合育人</w:t>
            </w:r>
          </w:p>
        </w:tc>
        <w:tc>
          <w:tcPr>
            <w:tcW w:w="5111" w:type="dxa"/>
            <w:vAlign w:val="center"/>
          </w:tcPr>
          <w:p w14:paraId="6EBFE7AE">
            <w:pPr>
              <w:spacing w:line="276" w:lineRule="auto"/>
              <w:jc w:val="left"/>
              <w:rPr>
                <w:rFonts w:ascii="Times New Roman" w:hAnsi="Times New Roman" w:eastAsia="宋体" w:cs="Times New Roman"/>
                <w:szCs w:val="21"/>
              </w:rPr>
            </w:pPr>
            <w:r>
              <w:rPr>
                <w:rFonts w:hint="eastAsia" w:ascii="宋体" w:hAnsi="宋体" w:eastAsia="等线" w:cs="Times New Roman"/>
                <w:sz w:val="21"/>
                <w:szCs w:val="21"/>
              </w:rPr>
              <w:t>6-2：</w:t>
            </w:r>
            <w:r>
              <w:rPr>
                <w:rFonts w:hint="eastAsia" w:ascii="宋体" w:hAnsi="宋体" w:eastAsia="等线" w:cs="宋体"/>
                <w:sz w:val="20"/>
                <w:szCs w:val="20"/>
              </w:rPr>
              <w:t>具有教书育人的意识，理解学科核心素养和拟任教学科课程独特的育人功能，在教育教学实践中，能够</w:t>
            </w:r>
            <w:r>
              <w:rPr>
                <w:rFonts w:hint="eastAsia" w:ascii="宋体" w:hAnsi="宋体" w:eastAsia="等线" w:cs="宋体"/>
                <w:bCs/>
                <w:kern w:val="0"/>
                <w:sz w:val="20"/>
                <w:szCs w:val="20"/>
              </w:rPr>
              <w:t>结合课程内容与特点，挖掘课程的育人要素与资源，合理设计育人目标、主题、内容和活动，将知识学习、能力发展与品德养成有机结合。</w:t>
            </w:r>
          </w:p>
        </w:tc>
        <w:tc>
          <w:tcPr>
            <w:tcW w:w="1191" w:type="dxa"/>
            <w:vAlign w:val="center"/>
          </w:tcPr>
          <w:p w14:paraId="6C070B37">
            <w:pPr>
              <w:spacing w:line="276" w:lineRule="auto"/>
              <w:jc w:val="left"/>
              <w:rPr>
                <w:rFonts w:hint="eastAsia" w:ascii="宋体" w:hAnsi="宋体" w:eastAsia="等线" w:cs="宋体"/>
                <w:color w:val="000000"/>
                <w:sz w:val="21"/>
                <w:szCs w:val="21"/>
              </w:rPr>
            </w:pPr>
            <w:r>
              <w:rPr>
                <w:rFonts w:hint="eastAsia" w:ascii="宋体" w:hAnsi="宋体" w:eastAsia="等线" w:cs="宋体"/>
                <w:color w:val="000000"/>
                <w:sz w:val="21"/>
                <w:szCs w:val="21"/>
              </w:rPr>
              <w:t>课程目标1</w:t>
            </w:r>
          </w:p>
          <w:p w14:paraId="2FA15F83">
            <w:pPr>
              <w:spacing w:line="276" w:lineRule="auto"/>
              <w:jc w:val="left"/>
              <w:rPr>
                <w:rFonts w:hint="eastAsia" w:ascii="宋体" w:hAnsi="宋体" w:eastAsia="等线" w:cs="宋体"/>
                <w:color w:val="000000"/>
                <w:sz w:val="21"/>
                <w:szCs w:val="21"/>
              </w:rPr>
            </w:pPr>
            <w:r>
              <w:rPr>
                <w:rFonts w:hint="eastAsia" w:ascii="宋体" w:hAnsi="宋体" w:eastAsia="等线" w:cs="宋体"/>
                <w:color w:val="000000"/>
                <w:sz w:val="21"/>
                <w:szCs w:val="21"/>
              </w:rPr>
              <w:t>课程目标2</w:t>
            </w:r>
          </w:p>
          <w:p w14:paraId="78CEF6FA">
            <w:pPr>
              <w:spacing w:line="276" w:lineRule="auto"/>
              <w:jc w:val="left"/>
              <w:rPr>
                <w:rFonts w:ascii="Times New Roman" w:hAnsi="Times New Roman" w:eastAsia="宋体" w:cs="Times New Roman"/>
                <w:szCs w:val="21"/>
              </w:rPr>
            </w:pPr>
            <w:r>
              <w:rPr>
                <w:rFonts w:hint="eastAsia" w:ascii="宋体" w:hAnsi="宋体" w:eastAsia="等线" w:cs="宋体"/>
                <w:color w:val="000000"/>
                <w:sz w:val="21"/>
                <w:szCs w:val="21"/>
              </w:rPr>
              <w:t>课程目标</w:t>
            </w:r>
            <w:r>
              <w:rPr>
                <w:rFonts w:hint="eastAsia" w:ascii="宋体" w:hAnsi="宋体" w:eastAsia="等线" w:cs="宋体"/>
                <w:color w:val="000000"/>
                <w:sz w:val="21"/>
                <w:szCs w:val="21"/>
                <w:lang w:val="en-US" w:eastAsia="zh-CN"/>
              </w:rPr>
              <w:t>3</w:t>
            </w:r>
          </w:p>
        </w:tc>
      </w:tr>
    </w:tbl>
    <w:p w14:paraId="4DF75969">
      <w:pPr>
        <w:numPr>
          <w:ilvl w:val="0"/>
          <w:numId w:val="63"/>
        </w:numPr>
        <w:spacing w:before="156" w:beforeLines="50" w:after="156" w:afterLines="50" w:line="360" w:lineRule="auto"/>
        <w:ind w:firstLine="482" w:firstLineChars="200"/>
        <w:jc w:val="left"/>
        <w:outlineLvl w:val="1"/>
        <w:rPr>
          <w:rFonts w:hint="eastAsia" w:ascii="宋体" w:hAnsi="宋体" w:eastAsia="宋体" w:cs="Times New Roman"/>
          <w:b/>
          <w:sz w:val="24"/>
          <w:szCs w:val="28"/>
        </w:rPr>
      </w:pPr>
      <w:bookmarkStart w:id="2040" w:name="_Toc24398"/>
      <w:r>
        <w:rPr>
          <w:rFonts w:hint="eastAsia" w:ascii="宋体" w:hAnsi="宋体" w:eastAsia="宋体" w:cs="Times New Roman"/>
          <w:b/>
          <w:sz w:val="24"/>
          <w:szCs w:val="28"/>
        </w:rPr>
        <w:t>课程思政目标</w:t>
      </w:r>
      <w:bookmarkEnd w:id="2040"/>
    </w:p>
    <w:p w14:paraId="0C64CC24">
      <w:pPr>
        <w:spacing w:beforeLines="0" w:afterLines="0" w:line="360" w:lineRule="auto"/>
        <w:ind w:firstLine="480" w:firstLineChars="200"/>
        <w:rPr>
          <w:rFonts w:hint="eastAsia" w:ascii="宋体" w:hAnsi="宋体" w:eastAsia="宋体" w:cs="Times New Roman"/>
          <w:kern w:val="0"/>
          <w:sz w:val="24"/>
          <w:szCs w:val="22"/>
          <w:lang w:val="en-US" w:eastAsia="zh-CN"/>
        </w:rPr>
      </w:pPr>
      <w:r>
        <w:rPr>
          <w:rFonts w:hint="eastAsia" w:ascii="宋体" w:hAnsi="宋体" w:eastAsia="宋体" w:cs="Times New Roman"/>
          <w:kern w:val="0"/>
          <w:sz w:val="24"/>
          <w:szCs w:val="22"/>
          <w:lang w:val="en-US" w:eastAsia="zh-CN"/>
        </w:rPr>
        <w:t>《小学语文教学课程标准与教材分析》课程旨在通过识字与写字、阅读、写话与习作、口语交际、跨学科学习等内容课标与教材的深入分析，引导学生深刻理解和认同中华优秀传统文化，掌握语文课程标准与教材分析的知识与技能，树立正确的世界观、人生观和价值观；通过教育家精神的引领，树立立德树人的意识，提升社会责任感、家国情怀和道德修养，尝试在课程标准和教材分析的过程中，挖掘育人元素。</w:t>
      </w:r>
    </w:p>
    <w:p w14:paraId="51CB318C">
      <w:pPr>
        <w:spacing w:line="360" w:lineRule="auto"/>
        <w:jc w:val="left"/>
        <w:outlineLvl w:val="0"/>
        <w:rPr>
          <w:rFonts w:hint="eastAsia" w:ascii="宋体" w:hAnsi="宋体" w:eastAsia="宋体" w:cs="Times New Roman"/>
          <w:b/>
          <w:color w:val="000000"/>
          <w:sz w:val="24"/>
          <w:szCs w:val="24"/>
        </w:rPr>
      </w:pPr>
      <w:r>
        <w:rPr>
          <w:rFonts w:hint="eastAsia" w:ascii="宋体" w:hAnsi="宋体" w:eastAsia="宋体" w:cs="Times New Roman"/>
          <w:b/>
          <w:sz w:val="24"/>
          <w:szCs w:val="28"/>
          <w:lang w:val="en-US" w:eastAsia="zh-CN"/>
        </w:rPr>
        <w:t xml:space="preserve">    </w:t>
      </w:r>
      <w:bookmarkStart w:id="2041" w:name="_Toc24751"/>
      <w:bookmarkStart w:id="2042" w:name="_Toc14776"/>
      <w:bookmarkStart w:id="2043" w:name="_Toc28735"/>
      <w:bookmarkStart w:id="2044" w:name="_Toc9449"/>
      <w:bookmarkStart w:id="2045" w:name="_Toc7486"/>
      <w:bookmarkStart w:id="2046" w:name="_Toc9141"/>
      <w:bookmarkStart w:id="2047" w:name="_Toc31795"/>
      <w:r>
        <w:rPr>
          <w:rFonts w:hint="eastAsia" w:ascii="宋体" w:hAnsi="宋体" w:eastAsia="宋体" w:cs="Times New Roman"/>
          <w:b/>
          <w:color w:val="000000"/>
          <w:sz w:val="24"/>
          <w:szCs w:val="24"/>
        </w:rPr>
        <w:t>三、教学内容与预期学习成效</w:t>
      </w:r>
      <w:bookmarkEnd w:id="2041"/>
      <w:bookmarkEnd w:id="2042"/>
      <w:bookmarkEnd w:id="2043"/>
      <w:bookmarkEnd w:id="2044"/>
      <w:bookmarkEnd w:id="2045"/>
      <w:bookmarkEnd w:id="2046"/>
      <w:bookmarkEnd w:id="2047"/>
    </w:p>
    <w:tbl>
      <w:tblPr>
        <w:tblStyle w:val="11"/>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273"/>
        <w:gridCol w:w="1119"/>
        <w:gridCol w:w="3110"/>
        <w:gridCol w:w="1277"/>
        <w:gridCol w:w="700"/>
      </w:tblGrid>
      <w:tr w14:paraId="7EB6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14:paraId="229DC31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597DB4A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273" w:type="dxa"/>
            <w:vAlign w:val="center"/>
          </w:tcPr>
          <w:p w14:paraId="63A4E5C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19" w:type="dxa"/>
            <w:vAlign w:val="center"/>
          </w:tcPr>
          <w:p w14:paraId="58BFB43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49973B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10" w:type="dxa"/>
            <w:vAlign w:val="center"/>
          </w:tcPr>
          <w:p w14:paraId="41CCC7E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77" w:type="dxa"/>
            <w:vAlign w:val="center"/>
          </w:tcPr>
          <w:p w14:paraId="4A8D611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00" w:type="dxa"/>
            <w:vAlign w:val="center"/>
          </w:tcPr>
          <w:p w14:paraId="3F29954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E9A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14:paraId="1931607D">
            <w:pPr>
              <w:spacing w:line="264" w:lineRule="auto"/>
              <w:jc w:val="center"/>
              <w:rPr>
                <w:rFonts w:ascii="宋体" w:hAnsi="宋体" w:eastAsia="宋体" w:cs="Times New Roman"/>
                <w:color w:val="000000"/>
                <w:szCs w:val="21"/>
              </w:rPr>
            </w:pPr>
          </w:p>
          <w:p w14:paraId="12A90E72">
            <w:pPr>
              <w:spacing w:line="264" w:lineRule="auto"/>
              <w:jc w:val="center"/>
              <w:rPr>
                <w:rFonts w:hint="eastAsia" w:ascii="宋体" w:hAnsi="宋体" w:eastAsia="宋体" w:cs="Times New Roman"/>
                <w:color w:val="000000"/>
                <w:szCs w:val="21"/>
              </w:rPr>
            </w:pPr>
            <w:r>
              <w:rPr>
                <w:rFonts w:hint="eastAsia" w:ascii="宋体" w:hAnsi="宋体" w:eastAsia="宋体" w:cs="Times New Roman"/>
                <w:kern w:val="0"/>
                <w:szCs w:val="21"/>
                <w:lang w:val="en-US" w:eastAsia="zh-CN"/>
              </w:rPr>
              <w:t>第一章 语文课程标准研究</w:t>
            </w:r>
          </w:p>
        </w:tc>
        <w:tc>
          <w:tcPr>
            <w:tcW w:w="2273" w:type="dxa"/>
            <w:vAlign w:val="center"/>
          </w:tcPr>
          <w:p w14:paraId="3D0166AC">
            <w:pPr>
              <w:spacing w:line="264" w:lineRule="auto"/>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1.语文课程课程标</w:t>
            </w:r>
          </w:p>
          <w:p w14:paraId="0ADF2B98">
            <w:pPr>
              <w:spacing w:line="264" w:lineRule="auto"/>
              <w:jc w:val="both"/>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准的历史嬗变</w:t>
            </w:r>
          </w:p>
          <w:p w14:paraId="4CD27F0A">
            <w:pPr>
              <w:spacing w:line="264" w:lineRule="auto"/>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2.语文课程的性质、</w:t>
            </w:r>
          </w:p>
          <w:p w14:paraId="60C2904C">
            <w:pPr>
              <w:spacing w:line="264" w:lineRule="auto"/>
              <w:jc w:val="both"/>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基本特点、理念</w:t>
            </w:r>
          </w:p>
          <w:p w14:paraId="0EBF5110">
            <w:pPr>
              <w:spacing w:line="264" w:lineRule="auto"/>
              <w:jc w:val="both"/>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3.现行小学语文课程的目标和内容</w:t>
            </w:r>
          </w:p>
          <w:p w14:paraId="7E8148C2">
            <w:pPr>
              <w:spacing w:line="264" w:lineRule="auto"/>
              <w:jc w:val="both"/>
              <w:rPr>
                <w:rFonts w:hint="eastAsia" w:ascii="宋体" w:hAnsi="宋体" w:eastAsia="宋体" w:cs="Times New Roman"/>
                <w:color w:val="000000"/>
                <w:szCs w:val="21"/>
              </w:rPr>
            </w:pPr>
            <w:r>
              <w:rPr>
                <w:rFonts w:hint="eastAsia" w:ascii="宋体" w:hAnsi="宋体" w:eastAsia="宋体" w:cs="Times New Roman"/>
                <w:kern w:val="0"/>
                <w:szCs w:val="21"/>
                <w:lang w:val="en-US" w:eastAsia="zh-CN"/>
              </w:rPr>
              <w:t>4.语文课程的实施建议</w:t>
            </w:r>
          </w:p>
        </w:tc>
        <w:tc>
          <w:tcPr>
            <w:tcW w:w="1119" w:type="dxa"/>
            <w:vAlign w:val="center"/>
          </w:tcPr>
          <w:p w14:paraId="06A511DC">
            <w:pPr>
              <w:spacing w:line="269" w:lineRule="auto"/>
              <w:jc w:val="center"/>
              <w:rPr>
                <w:rFonts w:hint="eastAsia" w:ascii="宋体" w:hAnsi="宋体" w:eastAsia="宋体" w:cs="Times New Roman"/>
                <w:color w:val="000000"/>
                <w:szCs w:val="21"/>
              </w:rPr>
            </w:pPr>
          </w:p>
          <w:p w14:paraId="5A533357">
            <w:pPr>
              <w:spacing w:line="269" w:lineRule="auto"/>
              <w:jc w:val="both"/>
              <w:rPr>
                <w:rFonts w:hint="eastAsia" w:ascii="宋体" w:hAnsi="宋体" w:eastAsia="宋体" w:cs="Times New Roman"/>
                <w:color w:val="000000"/>
                <w:szCs w:val="21"/>
              </w:rPr>
            </w:pPr>
          </w:p>
          <w:p w14:paraId="3D33F76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110" w:type="dxa"/>
            <w:vAlign w:val="center"/>
          </w:tcPr>
          <w:p w14:paraId="047EBD2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通过本课程的学习，</w:t>
            </w:r>
            <w:r>
              <w:rPr>
                <w:rFonts w:hint="eastAsia" w:ascii="宋体" w:hAnsi="宋体" w:eastAsia="宋体" w:cs="Times New Roman"/>
                <w:color w:val="000000"/>
                <w:szCs w:val="21"/>
                <w:lang w:val="en-US" w:eastAsia="zh-CN"/>
              </w:rPr>
              <w:t>学生</w:t>
            </w:r>
            <w:r>
              <w:rPr>
                <w:rFonts w:hint="eastAsia" w:ascii="宋体" w:hAnsi="宋体" w:eastAsia="宋体" w:cs="Times New Roman"/>
                <w:color w:val="000000"/>
                <w:szCs w:val="21"/>
              </w:rPr>
              <w:t>将能够准确</w:t>
            </w:r>
            <w:r>
              <w:rPr>
                <w:rFonts w:hint="eastAsia" w:ascii="宋体" w:hAnsi="宋体" w:eastAsia="宋体" w:cs="Times New Roman"/>
                <w:color w:val="000000"/>
                <w:szCs w:val="21"/>
                <w:lang w:val="en-US" w:eastAsia="zh-CN"/>
              </w:rPr>
              <w:t>阐述</w:t>
            </w:r>
            <w:r>
              <w:rPr>
                <w:rFonts w:hint="eastAsia" w:ascii="宋体" w:hAnsi="宋体" w:eastAsia="宋体" w:cs="Times New Roman"/>
                <w:color w:val="000000"/>
                <w:szCs w:val="21"/>
              </w:rPr>
              <w:t>小学语文课程标准的历史演变；理解语文课程的性质、基本特点和基本理念；应用对现行小学语文课程目标和内容的理解，</w:t>
            </w:r>
            <w:r>
              <w:rPr>
                <w:rFonts w:hint="eastAsia" w:ascii="宋体" w:hAnsi="宋体" w:eastAsia="宋体" w:cs="Times New Roman"/>
                <w:color w:val="000000"/>
                <w:szCs w:val="21"/>
                <w:lang w:val="en-US" w:eastAsia="zh-CN"/>
              </w:rPr>
              <w:t>制作学习任务群思维导图</w:t>
            </w:r>
            <w:r>
              <w:rPr>
                <w:rFonts w:hint="eastAsia" w:ascii="宋体" w:hAnsi="宋体" w:eastAsia="宋体" w:cs="Times New Roman"/>
                <w:color w:val="000000"/>
                <w:szCs w:val="21"/>
              </w:rPr>
              <w:t>；分析并评价语文课程的实施建议。</w:t>
            </w:r>
          </w:p>
        </w:tc>
        <w:tc>
          <w:tcPr>
            <w:tcW w:w="1277" w:type="dxa"/>
            <w:vAlign w:val="center"/>
          </w:tcPr>
          <w:p w14:paraId="29B890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03E2018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小组学习</w:t>
            </w:r>
          </w:p>
          <w:p w14:paraId="403A89F8">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3.课内实践</w:t>
            </w:r>
          </w:p>
        </w:tc>
        <w:tc>
          <w:tcPr>
            <w:tcW w:w="700" w:type="dxa"/>
            <w:vAlign w:val="center"/>
          </w:tcPr>
          <w:p w14:paraId="03EED348">
            <w:pPr>
              <w:spacing w:line="269" w:lineRule="auto"/>
              <w:jc w:val="center"/>
              <w:rPr>
                <w:rFonts w:hint="eastAsia" w:ascii="宋体" w:hAnsi="宋体" w:eastAsia="宋体" w:cs="Times New Roman"/>
                <w:color w:val="000000"/>
                <w:szCs w:val="21"/>
                <w:lang w:val="en-US" w:eastAsia="zh-CN"/>
              </w:rPr>
            </w:pPr>
          </w:p>
          <w:p w14:paraId="6FD33DCA">
            <w:pPr>
              <w:spacing w:line="269" w:lineRule="auto"/>
              <w:jc w:val="center"/>
              <w:rPr>
                <w:rFonts w:hint="eastAsia" w:ascii="宋体" w:hAnsi="宋体" w:eastAsia="宋体" w:cs="Times New Roman"/>
                <w:color w:val="000000"/>
                <w:szCs w:val="21"/>
                <w:lang w:val="en-US" w:eastAsia="zh-CN"/>
              </w:rPr>
            </w:pPr>
          </w:p>
          <w:p w14:paraId="78158FC4">
            <w:pPr>
              <w:spacing w:line="269" w:lineRule="auto"/>
              <w:jc w:val="center"/>
              <w:rPr>
                <w:rFonts w:hint="eastAsia" w:ascii="宋体" w:hAnsi="宋体" w:eastAsia="宋体" w:cs="Times New Roman"/>
                <w:color w:val="000000"/>
                <w:szCs w:val="21"/>
                <w:lang w:val="en-US" w:eastAsia="zh-CN"/>
              </w:rPr>
            </w:pPr>
          </w:p>
          <w:p w14:paraId="1E0D2634">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08BF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3C06E46D">
            <w:pPr>
              <w:spacing w:line="264" w:lineRule="auto"/>
              <w:jc w:val="center"/>
              <w:rPr>
                <w:rFonts w:hint="eastAsia" w:ascii="宋体" w:hAnsi="宋体" w:eastAsia="宋体" w:cs="Times New Roman"/>
                <w:color w:val="000000"/>
                <w:szCs w:val="21"/>
              </w:rPr>
            </w:pPr>
          </w:p>
        </w:tc>
        <w:tc>
          <w:tcPr>
            <w:tcW w:w="8479" w:type="dxa"/>
            <w:gridSpan w:val="5"/>
            <w:vAlign w:val="center"/>
          </w:tcPr>
          <w:p w14:paraId="17B10C7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kern w:val="0"/>
                <w:szCs w:val="21"/>
                <w:lang w:val="en-US" w:eastAsia="zh-CN"/>
              </w:rPr>
              <w:t>形成对中华优秀传统文化的深厚感情和文化自信，同时增强学生的国家意识和社会责任感。通过对小学语文教材的历史演变和统编版教材的编写背景及特点的分析，形成正确的价值观和育人意识，提升批判性思维和独立思考能力。</w:t>
            </w:r>
          </w:p>
        </w:tc>
      </w:tr>
      <w:tr w14:paraId="2639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14:paraId="46AC8527">
            <w:pPr>
              <w:spacing w:line="264" w:lineRule="auto"/>
              <w:jc w:val="center"/>
              <w:rPr>
                <w:rFonts w:ascii="宋体" w:hAnsi="宋体" w:eastAsia="宋体" w:cs="Times New Roman"/>
                <w:color w:val="000000"/>
                <w:szCs w:val="21"/>
              </w:rPr>
            </w:pPr>
          </w:p>
          <w:p w14:paraId="3B10182E">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第二章</w:t>
            </w:r>
          </w:p>
          <w:p w14:paraId="4EF71CCD">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小学语文教材研究</w:t>
            </w:r>
          </w:p>
        </w:tc>
        <w:tc>
          <w:tcPr>
            <w:tcW w:w="2273" w:type="dxa"/>
            <w:vAlign w:val="center"/>
          </w:tcPr>
          <w:p w14:paraId="33747FD6">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1.小学语文教材的历史回顾</w:t>
            </w:r>
          </w:p>
          <w:p w14:paraId="2C3B88DC">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2.统编本小学语文教材的主要特点</w:t>
            </w:r>
          </w:p>
          <w:p w14:paraId="2057AC37">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3.统编本小学语文教材的教学内容</w:t>
            </w:r>
          </w:p>
          <w:p w14:paraId="4E4A3498">
            <w:pPr>
              <w:spacing w:line="264"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4.小学语文教材的习题设计</w:t>
            </w:r>
          </w:p>
        </w:tc>
        <w:tc>
          <w:tcPr>
            <w:tcW w:w="1119" w:type="dxa"/>
            <w:vAlign w:val="center"/>
          </w:tcPr>
          <w:p w14:paraId="21FCF74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课程目标2</w:t>
            </w:r>
          </w:p>
        </w:tc>
        <w:tc>
          <w:tcPr>
            <w:tcW w:w="3110" w:type="dxa"/>
            <w:vAlign w:val="center"/>
          </w:tcPr>
          <w:p w14:paraId="65BF0B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通过深入学习小学语文教材的历史、统编本教材的特点、内容及习题设计，全面了解教材的演变历程，掌握教材的编排理念和主要特点，并概括统编版教材习题设计的特点。</w:t>
            </w:r>
          </w:p>
        </w:tc>
        <w:tc>
          <w:tcPr>
            <w:tcW w:w="1277" w:type="dxa"/>
            <w:shd w:val="clear" w:color="auto" w:fill="auto"/>
            <w:vAlign w:val="center"/>
          </w:tcPr>
          <w:p w14:paraId="0D6BCEF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44EAE8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课堂讨论</w:t>
            </w:r>
          </w:p>
          <w:p w14:paraId="242D5686">
            <w:pPr>
              <w:spacing w:line="269" w:lineRule="auto"/>
              <w:jc w:val="left"/>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3.案例教学</w:t>
            </w:r>
          </w:p>
        </w:tc>
        <w:tc>
          <w:tcPr>
            <w:tcW w:w="700" w:type="dxa"/>
            <w:vAlign w:val="center"/>
          </w:tcPr>
          <w:p w14:paraId="1E2CE124">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034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023C3E61">
            <w:pPr>
              <w:spacing w:line="264" w:lineRule="auto"/>
              <w:jc w:val="center"/>
              <w:rPr>
                <w:rFonts w:hint="eastAsia" w:ascii="宋体" w:hAnsi="宋体" w:eastAsia="宋体" w:cs="Times New Roman"/>
                <w:color w:val="000000"/>
                <w:szCs w:val="21"/>
              </w:rPr>
            </w:pPr>
          </w:p>
        </w:tc>
        <w:tc>
          <w:tcPr>
            <w:tcW w:w="8479" w:type="dxa"/>
            <w:gridSpan w:val="5"/>
            <w:vAlign w:val="center"/>
          </w:tcPr>
          <w:p w14:paraId="7AAF715E">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 xml:space="preserve"> 形成对中华优秀传统文化的深厚感情和文化自信，同时增强国家意识和社会责任感。通过对小学语文教材的历史演变和统编版教材的编写背景及特点的分析，形成正确的价值观和育人意识，提升批判性思维和独立思考能力。</w:t>
            </w:r>
          </w:p>
        </w:tc>
      </w:tr>
      <w:tr w14:paraId="1021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1" w:hRule="atLeast"/>
          <w:jc w:val="center"/>
        </w:trPr>
        <w:tc>
          <w:tcPr>
            <w:tcW w:w="1006" w:type="dxa"/>
            <w:vMerge w:val="restart"/>
            <w:vAlign w:val="center"/>
          </w:tcPr>
          <w:p w14:paraId="1853AE9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第三章</w:t>
            </w:r>
          </w:p>
          <w:p w14:paraId="731E8BC8">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汉语拼音、识字、写字教学目标与教材研究</w:t>
            </w:r>
          </w:p>
          <w:p w14:paraId="280D69D8">
            <w:pPr>
              <w:spacing w:line="264" w:lineRule="auto"/>
              <w:jc w:val="center"/>
              <w:rPr>
                <w:rFonts w:ascii="宋体" w:hAnsi="宋体" w:eastAsia="宋体" w:cs="Times New Roman"/>
                <w:color w:val="000000"/>
                <w:szCs w:val="21"/>
              </w:rPr>
            </w:pPr>
          </w:p>
          <w:p w14:paraId="0D142649">
            <w:pPr>
              <w:spacing w:line="264" w:lineRule="auto"/>
              <w:jc w:val="center"/>
              <w:rPr>
                <w:rFonts w:ascii="宋体" w:hAnsi="宋体" w:eastAsia="宋体" w:cs="Times New Roman"/>
                <w:color w:val="000000"/>
                <w:szCs w:val="21"/>
              </w:rPr>
            </w:pPr>
          </w:p>
          <w:p w14:paraId="34049F00">
            <w:pPr>
              <w:spacing w:line="264" w:lineRule="auto"/>
              <w:jc w:val="center"/>
              <w:rPr>
                <w:rFonts w:hint="eastAsia" w:ascii="宋体" w:hAnsi="宋体" w:eastAsia="宋体" w:cs="Times New Roman"/>
                <w:color w:val="000000"/>
                <w:szCs w:val="21"/>
              </w:rPr>
            </w:pPr>
          </w:p>
        </w:tc>
        <w:tc>
          <w:tcPr>
            <w:tcW w:w="2273" w:type="dxa"/>
            <w:vAlign w:val="center"/>
          </w:tcPr>
          <w:p w14:paraId="389FA2F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1.汉语拼音、识字、写字各学段课程目标与内容</w:t>
            </w:r>
          </w:p>
          <w:p w14:paraId="65588F4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2.汉语拼音教材的教学解读</w:t>
            </w:r>
          </w:p>
          <w:p w14:paraId="3938213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3.识字教材的教学解读</w:t>
            </w:r>
          </w:p>
          <w:p w14:paraId="1480435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4.写字教材的教学解读</w:t>
            </w:r>
          </w:p>
          <w:p w14:paraId="5E81F95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5.汉语拼音、识字、写字教材教学解读案例研究</w:t>
            </w:r>
          </w:p>
        </w:tc>
        <w:tc>
          <w:tcPr>
            <w:tcW w:w="1119" w:type="dxa"/>
            <w:vAlign w:val="center"/>
          </w:tcPr>
          <w:p w14:paraId="7E50842A">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课程目标3</w:t>
            </w:r>
          </w:p>
        </w:tc>
        <w:tc>
          <w:tcPr>
            <w:tcW w:w="3110" w:type="dxa"/>
            <w:vAlign w:val="center"/>
          </w:tcPr>
          <w:p w14:paraId="7568DD5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通过学习汉语拼音、识字、写字的课程目标与内容，学习者将掌握拼音基础知识，理解识字与写字教学目标，设计有效教学活动。学习教材解读，学习者能分析教材编排特点，运用多样教学方法提高识字写字能力。通过案例研究，学习者能分析教学策略，提升教学效果。预期成效是学习者能全面提高学生的语文素养和书写技能。</w:t>
            </w:r>
          </w:p>
        </w:tc>
        <w:tc>
          <w:tcPr>
            <w:tcW w:w="1277" w:type="dxa"/>
            <w:vAlign w:val="center"/>
          </w:tcPr>
          <w:p w14:paraId="6206F6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6F99E52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课内实践</w:t>
            </w:r>
          </w:p>
          <w:p w14:paraId="0F17A16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3.案例教学</w:t>
            </w:r>
          </w:p>
        </w:tc>
        <w:tc>
          <w:tcPr>
            <w:tcW w:w="700" w:type="dxa"/>
            <w:vAlign w:val="center"/>
          </w:tcPr>
          <w:p w14:paraId="66136063">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D81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006" w:type="dxa"/>
            <w:vMerge w:val="continue"/>
            <w:vAlign w:val="center"/>
          </w:tcPr>
          <w:p w14:paraId="2F38827E">
            <w:pPr>
              <w:spacing w:line="264" w:lineRule="auto"/>
              <w:jc w:val="center"/>
              <w:rPr>
                <w:rFonts w:hint="eastAsia" w:ascii="宋体" w:hAnsi="宋体" w:eastAsia="宋体" w:cs="Times New Roman"/>
                <w:color w:val="000000"/>
                <w:szCs w:val="21"/>
              </w:rPr>
            </w:pPr>
          </w:p>
        </w:tc>
        <w:tc>
          <w:tcPr>
            <w:tcW w:w="8479" w:type="dxa"/>
            <w:gridSpan w:val="5"/>
            <w:vAlign w:val="center"/>
          </w:tcPr>
          <w:p w14:paraId="1B4365DC">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通过汉语拼音、识字、写字的教材分析，培养学生对国家通用语言文字的热爱和尊重，增强学生的文化自信和民族自豪感。</w:t>
            </w:r>
          </w:p>
        </w:tc>
      </w:tr>
      <w:tr w14:paraId="4F72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14:paraId="4D81C59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第四章阅读教学目标与教材研究</w:t>
            </w:r>
          </w:p>
        </w:tc>
        <w:tc>
          <w:tcPr>
            <w:tcW w:w="2273" w:type="dxa"/>
            <w:vAlign w:val="center"/>
          </w:tcPr>
          <w:p w14:paraId="151A43E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1.各学段阅读教学目标</w:t>
            </w:r>
          </w:p>
          <w:p w14:paraId="1129B93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2.单元语文要素研究</w:t>
            </w:r>
          </w:p>
          <w:p w14:paraId="36C0B14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3.阅读策略单元的教学解读</w:t>
            </w:r>
          </w:p>
          <w:p w14:paraId="0D640FA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4.阅读教材的教学解读</w:t>
            </w:r>
          </w:p>
          <w:p w14:paraId="5D3DD5A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5.“整本书阅读”教材研究</w:t>
            </w:r>
          </w:p>
          <w:p w14:paraId="64ABDA7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6.阅读教材解读案例研究</w:t>
            </w:r>
          </w:p>
        </w:tc>
        <w:tc>
          <w:tcPr>
            <w:tcW w:w="1119" w:type="dxa"/>
            <w:vAlign w:val="center"/>
          </w:tcPr>
          <w:p w14:paraId="076633B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课程目标3</w:t>
            </w:r>
          </w:p>
        </w:tc>
        <w:tc>
          <w:tcPr>
            <w:tcW w:w="3110" w:type="dxa"/>
            <w:vAlign w:val="center"/>
          </w:tcPr>
          <w:p w14:paraId="22CCDF65">
            <w:pPr>
              <w:spacing w:line="276"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通过深入学习汉语拼音、识字、写字的课程目标与内容，学习者将能够熟练掌握拼音规则，理解并应用识字与写字的教学策略。对教材的细致解读将使学习者能够设计出符合学生认知发展的教学活动，有效提升学生的语文基础能力。案例研究将进一步增强学习者分析和应用教学方法的能力，使其能够在实际教学中灵活运用，提高教学效果。</w:t>
            </w:r>
          </w:p>
        </w:tc>
        <w:tc>
          <w:tcPr>
            <w:tcW w:w="1277" w:type="dxa"/>
            <w:vAlign w:val="center"/>
          </w:tcPr>
          <w:p w14:paraId="6A0A9BD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7FD2B513">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课内实践</w:t>
            </w:r>
          </w:p>
          <w:p w14:paraId="11A70B0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3.案例教学</w:t>
            </w:r>
          </w:p>
        </w:tc>
        <w:tc>
          <w:tcPr>
            <w:tcW w:w="700" w:type="dxa"/>
            <w:vAlign w:val="center"/>
          </w:tcPr>
          <w:p w14:paraId="1CDCD473">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tc>
      </w:tr>
      <w:tr w14:paraId="6DBB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35344A54">
            <w:pPr>
              <w:spacing w:line="276" w:lineRule="auto"/>
              <w:jc w:val="center"/>
              <w:rPr>
                <w:rFonts w:hint="eastAsia" w:ascii="宋体" w:hAnsi="宋体" w:eastAsia="宋体" w:cs="Times New Roman"/>
                <w:color w:val="000000"/>
                <w:szCs w:val="21"/>
              </w:rPr>
            </w:pPr>
          </w:p>
        </w:tc>
        <w:tc>
          <w:tcPr>
            <w:tcW w:w="8479" w:type="dxa"/>
            <w:gridSpan w:val="5"/>
            <w:vAlign w:val="center"/>
          </w:tcPr>
          <w:p w14:paraId="338348A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引导学生深入挖掘单元语文要素，通过阅读策略单元的教学解读，培养批判性思维和创新能力，使其能够在未来的教育实践中，有效地将语文知识与思政教育相结合。</w:t>
            </w:r>
          </w:p>
        </w:tc>
      </w:tr>
      <w:tr w14:paraId="2BD6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1006" w:type="dxa"/>
            <w:vMerge w:val="restart"/>
            <w:vAlign w:val="center"/>
          </w:tcPr>
          <w:p w14:paraId="6B9F7BFF">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第五章</w:t>
            </w:r>
          </w:p>
          <w:p w14:paraId="182FC36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写话、习作教学目标与教材研究</w:t>
            </w:r>
          </w:p>
        </w:tc>
        <w:tc>
          <w:tcPr>
            <w:tcW w:w="2273" w:type="dxa"/>
            <w:vAlign w:val="center"/>
          </w:tcPr>
          <w:p w14:paraId="310166B5">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1.写话、习作教学目标</w:t>
            </w:r>
          </w:p>
          <w:p w14:paraId="60906903">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2.统编本写话、习作教材分析</w:t>
            </w:r>
          </w:p>
          <w:p w14:paraId="7905BE55">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3.写话、习作教材解读</w:t>
            </w:r>
          </w:p>
          <w:p w14:paraId="4F057E1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4.习作教材教学解读案例研究</w:t>
            </w:r>
          </w:p>
        </w:tc>
        <w:tc>
          <w:tcPr>
            <w:tcW w:w="1119" w:type="dxa"/>
            <w:vAlign w:val="center"/>
          </w:tcPr>
          <w:p w14:paraId="441B2E1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课程目标3</w:t>
            </w:r>
          </w:p>
        </w:tc>
        <w:tc>
          <w:tcPr>
            <w:tcW w:w="3110" w:type="dxa"/>
            <w:vAlign w:val="center"/>
          </w:tcPr>
          <w:p w14:paraId="48944F40">
            <w:pPr>
              <w:spacing w:line="276"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通过系统学习汉语拼音、识字、写字的课程目标与内容，学习者将深入理解各学段教学要求，掌握拼音、识字、写字的教学方法。教材解读能力将得到提升，能够准确把握教材编排逻辑，设计适宜教学活动。案例研究将增强学习者分析教学实践、提炼有效策略的能力。最终，学习者能针对不同学生特点，灵活运用教学技巧，有效提升学生的汉语拼音、识字、写字能力，为语文学习奠定坚实基础。</w:t>
            </w:r>
          </w:p>
        </w:tc>
        <w:tc>
          <w:tcPr>
            <w:tcW w:w="1277" w:type="dxa"/>
            <w:vAlign w:val="center"/>
          </w:tcPr>
          <w:p w14:paraId="6485B38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6236CF1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课内实践</w:t>
            </w:r>
          </w:p>
          <w:p w14:paraId="58C4F7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3.案例教学</w:t>
            </w:r>
          </w:p>
        </w:tc>
        <w:tc>
          <w:tcPr>
            <w:tcW w:w="700" w:type="dxa"/>
            <w:vAlign w:val="center"/>
          </w:tcPr>
          <w:p w14:paraId="7D21127D">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7E72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083B884F">
            <w:pPr>
              <w:spacing w:line="276" w:lineRule="auto"/>
              <w:jc w:val="center"/>
              <w:rPr>
                <w:rFonts w:hint="eastAsia" w:ascii="宋体" w:hAnsi="宋体" w:eastAsia="宋体" w:cs="Times New Roman"/>
                <w:color w:val="000000"/>
                <w:szCs w:val="21"/>
              </w:rPr>
            </w:pPr>
          </w:p>
        </w:tc>
        <w:tc>
          <w:tcPr>
            <w:tcW w:w="8479" w:type="dxa"/>
            <w:gridSpan w:val="5"/>
            <w:vAlign w:val="center"/>
          </w:tcPr>
          <w:p w14:paraId="0752DB0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通过对各学段写话与习作教学课标和教材的深入分析，提升写话与习作教材分析能力，树立正确的价值观和人生观。挖掘写话与习作教材的育人元素。</w:t>
            </w:r>
          </w:p>
        </w:tc>
      </w:tr>
      <w:tr w14:paraId="30CD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006" w:type="dxa"/>
            <w:vMerge w:val="restart"/>
            <w:vAlign w:val="center"/>
          </w:tcPr>
          <w:p w14:paraId="5AB9A942">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第六章</w:t>
            </w:r>
          </w:p>
          <w:p w14:paraId="6039F98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口语交际教学目标与教材研究</w:t>
            </w:r>
          </w:p>
        </w:tc>
        <w:tc>
          <w:tcPr>
            <w:tcW w:w="2273" w:type="dxa"/>
            <w:vAlign w:val="center"/>
          </w:tcPr>
          <w:p w14:paraId="5F5C5177">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1.口语交际教学的课程目标</w:t>
            </w:r>
          </w:p>
          <w:p w14:paraId="7D52A07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2.口语交际教材的教学内容</w:t>
            </w:r>
          </w:p>
          <w:p w14:paraId="77F23DC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3.口语交际教材的教学解读</w:t>
            </w:r>
          </w:p>
          <w:p w14:paraId="49D0BAC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4.口语交际教学解读案例研究</w:t>
            </w:r>
          </w:p>
        </w:tc>
        <w:tc>
          <w:tcPr>
            <w:tcW w:w="1119" w:type="dxa"/>
            <w:vAlign w:val="center"/>
          </w:tcPr>
          <w:p w14:paraId="3B48957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课程目标3</w:t>
            </w:r>
          </w:p>
        </w:tc>
        <w:tc>
          <w:tcPr>
            <w:tcW w:w="3110" w:type="dxa"/>
            <w:vAlign w:val="center"/>
          </w:tcPr>
          <w:p w14:paraId="6FD3D74E">
            <w:pPr>
              <w:spacing w:line="276"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通过深入学习口语交际教学的课程目标、教材内容、教学解读以及课程资源的开发与利用，学习者将能够明确各阶段教学目标，掌握并分析教材内容，能通过案例研究提炼出有效的教学策略，全面提升口语交际教学的实践能力，有效促进学生交际能力的发展。</w:t>
            </w:r>
          </w:p>
        </w:tc>
        <w:tc>
          <w:tcPr>
            <w:tcW w:w="1277" w:type="dxa"/>
            <w:vAlign w:val="center"/>
          </w:tcPr>
          <w:p w14:paraId="36B5049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43A350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课内实践</w:t>
            </w:r>
          </w:p>
          <w:p w14:paraId="1F82AA1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3.案例教学</w:t>
            </w:r>
          </w:p>
        </w:tc>
        <w:tc>
          <w:tcPr>
            <w:tcW w:w="700" w:type="dxa"/>
            <w:vAlign w:val="center"/>
          </w:tcPr>
          <w:p w14:paraId="532C00ED">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2DFB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4D8C3383">
            <w:pPr>
              <w:spacing w:line="276" w:lineRule="auto"/>
              <w:jc w:val="center"/>
              <w:rPr>
                <w:rFonts w:hint="eastAsia" w:ascii="宋体" w:hAnsi="宋体" w:eastAsia="宋体" w:cs="Times New Roman"/>
                <w:color w:val="000000"/>
                <w:szCs w:val="21"/>
              </w:rPr>
            </w:pPr>
          </w:p>
        </w:tc>
        <w:tc>
          <w:tcPr>
            <w:tcW w:w="8479" w:type="dxa"/>
            <w:gridSpan w:val="5"/>
            <w:vAlign w:val="center"/>
          </w:tcPr>
          <w:p w14:paraId="252F7701">
            <w:pPr>
              <w:spacing w:beforeLines="0" w:afterLines="0"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融入教育家精神强化口语交际教学中的理想信念教育，能够</w:t>
            </w:r>
            <w:r>
              <w:rPr>
                <w:rFonts w:hint="eastAsia" w:ascii="宋体" w:hAnsi="宋体" w:eastAsia="宋体" w:cs="Times New Roman"/>
                <w:color w:val="000000"/>
                <w:szCs w:val="21"/>
                <w:lang w:val="en-US" w:eastAsia="zh-CN"/>
              </w:rPr>
              <w:t>理解口语交际</w:t>
            </w:r>
            <w:r>
              <w:rPr>
                <w:rFonts w:hint="eastAsia" w:ascii="宋体" w:hAnsi="宋体" w:eastAsia="宋体" w:cs="Times New Roman"/>
                <w:color w:val="000000"/>
                <w:szCs w:val="21"/>
              </w:rPr>
              <w:t>中</w:t>
            </w:r>
            <w:r>
              <w:rPr>
                <w:rFonts w:hint="eastAsia" w:ascii="宋体" w:hAnsi="宋体" w:eastAsia="宋体" w:cs="Times New Roman"/>
                <w:color w:val="000000"/>
                <w:szCs w:val="21"/>
                <w:lang w:val="en-US" w:eastAsia="zh-CN"/>
              </w:rPr>
              <w:t>教材中蕴含对</w:t>
            </w:r>
            <w:r>
              <w:rPr>
                <w:rFonts w:hint="eastAsia" w:ascii="宋体" w:hAnsi="宋体" w:eastAsia="宋体" w:cs="Times New Roman"/>
                <w:color w:val="000000"/>
                <w:szCs w:val="21"/>
              </w:rPr>
              <w:t>国家和民族的深厚情感，以及对社会主义核心价值观的坚定认同</w:t>
            </w:r>
            <w:r>
              <w:rPr>
                <w:rFonts w:hint="default" w:ascii="宋体" w:hAnsi="宋体" w:eastAsia="宋体" w:cs="Times New Roman"/>
                <w:color w:val="000000"/>
                <w:szCs w:val="21"/>
              </w:rPr>
              <w:t>。在口语交际中更好地理解和尊重多元文化，培养开放包容的心态和国际视野。在口语交际中积极弘扬中华优秀传统文化，</w:t>
            </w:r>
            <w:r>
              <w:rPr>
                <w:rFonts w:hint="eastAsia" w:ascii="宋体" w:hAnsi="宋体" w:eastAsia="宋体" w:cs="Times New Roman"/>
                <w:color w:val="000000"/>
                <w:szCs w:val="21"/>
                <w:lang w:val="en-US" w:eastAsia="zh-CN"/>
              </w:rPr>
              <w:t>知晓</w:t>
            </w:r>
            <w:r>
              <w:rPr>
                <w:rFonts w:hint="default" w:ascii="宋体" w:hAnsi="宋体" w:eastAsia="宋体" w:cs="Times New Roman"/>
                <w:color w:val="000000"/>
                <w:szCs w:val="21"/>
              </w:rPr>
              <w:t>通过言语交流</w:t>
            </w:r>
            <w:r>
              <w:rPr>
                <w:rFonts w:hint="eastAsia" w:ascii="宋体" w:hAnsi="宋体" w:eastAsia="宋体" w:cs="Times New Roman"/>
                <w:color w:val="000000"/>
                <w:szCs w:val="21"/>
                <w:lang w:val="en-US" w:eastAsia="zh-CN"/>
              </w:rPr>
              <w:t>能够</w:t>
            </w:r>
            <w:r>
              <w:rPr>
                <w:rFonts w:hint="default" w:ascii="宋体" w:hAnsi="宋体" w:eastAsia="宋体" w:cs="Times New Roman"/>
                <w:color w:val="000000"/>
                <w:szCs w:val="21"/>
              </w:rPr>
              <w:t>传递正能量</w:t>
            </w:r>
            <w:r>
              <w:rPr>
                <w:rFonts w:hint="eastAsia" w:ascii="宋体" w:hAnsi="宋体" w:eastAsia="宋体" w:cs="Times New Roman"/>
                <w:color w:val="000000"/>
                <w:szCs w:val="21"/>
                <w:lang w:val="en-US" w:eastAsia="zh-CN"/>
              </w:rPr>
              <w:t>形成</w:t>
            </w:r>
            <w:r>
              <w:rPr>
                <w:rFonts w:hint="default" w:ascii="宋体" w:hAnsi="宋体" w:eastAsia="宋体" w:cs="Times New Roman"/>
                <w:color w:val="000000"/>
                <w:szCs w:val="21"/>
              </w:rPr>
              <w:t>社会责任感和历史使命感，从而在口语交际教学中实现立德树人的根本任务。</w:t>
            </w:r>
          </w:p>
        </w:tc>
      </w:tr>
      <w:tr w14:paraId="4EB0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1006" w:type="dxa"/>
            <w:vMerge w:val="restart"/>
            <w:vAlign w:val="center"/>
          </w:tcPr>
          <w:p w14:paraId="0AC65EDB">
            <w:pPr>
              <w:spacing w:line="276" w:lineRule="auto"/>
              <w:jc w:val="center"/>
              <w:rPr>
                <w:rFonts w:hint="eastAsia" w:ascii="宋体" w:hAnsi="宋体" w:eastAsia="宋体" w:cs="Times New Roman"/>
                <w:szCs w:val="21"/>
              </w:rPr>
            </w:pPr>
            <w:r>
              <w:rPr>
                <w:rFonts w:hint="eastAsia" w:ascii="宋体" w:hAnsi="宋体" w:eastAsia="宋体" w:cs="Times New Roman"/>
                <w:color w:val="000000"/>
                <w:szCs w:val="21"/>
                <w:lang w:val="en-US" w:eastAsia="zh-CN"/>
              </w:rPr>
              <w:t>第七章</w:t>
            </w:r>
            <w:r>
              <w:rPr>
                <w:rFonts w:hint="eastAsia" w:ascii="宋体" w:hAnsi="宋体" w:eastAsia="宋体" w:cs="Times New Roman"/>
                <w:color w:val="000000"/>
                <w:szCs w:val="21"/>
              </w:rPr>
              <w:t>综合性学习教学目标与教材研究</w:t>
            </w:r>
          </w:p>
        </w:tc>
        <w:tc>
          <w:tcPr>
            <w:tcW w:w="2273" w:type="dxa"/>
            <w:vAlign w:val="center"/>
          </w:tcPr>
          <w:p w14:paraId="777B9EA7">
            <w:pPr>
              <w:spacing w:beforeLines="0" w:afterLines="0" w:line="360" w:lineRule="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综合性学习的意义与分学段目标</w:t>
            </w:r>
          </w:p>
          <w:p w14:paraId="0B10F09F">
            <w:pPr>
              <w:spacing w:beforeLines="0" w:afterLines="0" w:line="360" w:lineRule="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综合性学习的特点、类型、过程和评价</w:t>
            </w:r>
          </w:p>
          <w:p w14:paraId="7D055CBA">
            <w:pPr>
              <w:spacing w:beforeLines="0" w:afterLines="0" w:line="360" w:lineRule="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综合性学习教材内容分析</w:t>
            </w:r>
          </w:p>
          <w:p w14:paraId="55CD1DDD">
            <w:pPr>
              <w:spacing w:beforeLines="0" w:afterLines="0" w:line="360" w:lineRule="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综合性学习教学建议</w:t>
            </w:r>
          </w:p>
          <w:p w14:paraId="7008E6A2">
            <w:pPr>
              <w:spacing w:beforeLines="0" w:afterLines="0" w:line="360" w:lineRule="auto"/>
              <w:rPr>
                <w:rFonts w:hint="eastAsia" w:ascii="宋体" w:hAnsi="宋体" w:eastAsia="宋体" w:cs="Times New Roman"/>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综合性学习教材教学解读案例研究</w:t>
            </w:r>
          </w:p>
        </w:tc>
        <w:tc>
          <w:tcPr>
            <w:tcW w:w="1119" w:type="dxa"/>
            <w:vAlign w:val="center"/>
          </w:tcPr>
          <w:p w14:paraId="23AAF9F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课程目标3</w:t>
            </w:r>
          </w:p>
        </w:tc>
        <w:tc>
          <w:tcPr>
            <w:tcW w:w="3110" w:type="dxa"/>
            <w:vAlign w:val="center"/>
          </w:tcPr>
          <w:p w14:paraId="014D8976">
            <w:pPr>
              <w:spacing w:line="276"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通过学习综合性学习的意义与分学段目标，学习者将能够“理解”综合性学习在促进学生全面发展中的作用，并“设定”适宜的阶段性学习目标。掌握综合性学习的特点、类型、过程和评价方法，使学习者能“识别”不同学习活动类型，有效“规划”和“实施”教学过程，并“评价”学习成效。教材内容分析能力的提升，将使学习者能“分析”教材结构，挖掘教学资源。教学建议的掌握，将帮助学习者“设计”创新教学活动，提高教学效果。案例研究将使学习者“提炼”有效教学策略，增强教学实践的适应性和创新性。</w:t>
            </w:r>
          </w:p>
        </w:tc>
        <w:tc>
          <w:tcPr>
            <w:tcW w:w="1277" w:type="dxa"/>
            <w:vAlign w:val="center"/>
          </w:tcPr>
          <w:p w14:paraId="1B7E554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81703B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课内实践</w:t>
            </w:r>
          </w:p>
          <w:p w14:paraId="26FA67E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3.案例教学</w:t>
            </w:r>
          </w:p>
        </w:tc>
        <w:tc>
          <w:tcPr>
            <w:tcW w:w="700" w:type="dxa"/>
            <w:vAlign w:val="center"/>
          </w:tcPr>
          <w:p w14:paraId="4CA20DD8">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5F71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458D317C">
            <w:pPr>
              <w:spacing w:line="276" w:lineRule="auto"/>
              <w:jc w:val="center"/>
              <w:rPr>
                <w:rFonts w:hint="eastAsia" w:ascii="宋体" w:hAnsi="宋体" w:eastAsia="宋体" w:cs="Times New Roman"/>
                <w:color w:val="000000"/>
                <w:szCs w:val="21"/>
              </w:rPr>
            </w:pPr>
          </w:p>
        </w:tc>
        <w:tc>
          <w:tcPr>
            <w:tcW w:w="8479" w:type="dxa"/>
            <w:gridSpan w:val="5"/>
            <w:vAlign w:val="center"/>
          </w:tcPr>
          <w:p w14:paraId="5C6C19B5">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分析综合性学习的育人元素，形成学科综合育人的意识。</w:t>
            </w:r>
          </w:p>
        </w:tc>
      </w:tr>
      <w:bookmarkEnd w:id="2037"/>
    </w:tbl>
    <w:p w14:paraId="08E96C22">
      <w:pPr>
        <w:spacing w:beforeLines="0" w:afterLines="0" w:line="360" w:lineRule="auto"/>
        <w:rPr>
          <w:rFonts w:hint="eastAsia" w:ascii="宋体" w:hAnsi="宋体" w:eastAsia="等线" w:cs="Times New Roman"/>
          <w:b/>
          <w:kern w:val="0"/>
          <w:sz w:val="24"/>
          <w:szCs w:val="22"/>
        </w:rPr>
      </w:pPr>
    </w:p>
    <w:p w14:paraId="1CF88A8C">
      <w:pPr>
        <w:spacing w:line="360" w:lineRule="auto"/>
        <w:ind w:firstLine="482" w:firstLineChars="200"/>
        <w:jc w:val="left"/>
        <w:outlineLvl w:val="0"/>
        <w:rPr>
          <w:rFonts w:ascii="Times New Roman" w:hAnsi="Times New Roman" w:eastAsia="宋体" w:cs="Times New Roman"/>
          <w:sz w:val="24"/>
          <w:szCs w:val="24"/>
        </w:rPr>
      </w:pPr>
      <w:bookmarkStart w:id="2048" w:name="_Toc15510"/>
      <w:bookmarkStart w:id="2049" w:name="_Toc25043"/>
      <w:bookmarkStart w:id="2050" w:name="_Toc17563"/>
      <w:bookmarkStart w:id="2051" w:name="_Toc5531"/>
      <w:bookmarkStart w:id="2052" w:name="_Toc28197"/>
      <w:bookmarkStart w:id="2053" w:name="_Toc6929"/>
      <w:bookmarkStart w:id="2054" w:name="_Toc21209"/>
      <w:r>
        <w:rPr>
          <w:rFonts w:hint="eastAsia" w:ascii="宋体" w:hAnsi="宋体" w:eastAsia="宋体" w:cs="Times New Roman"/>
          <w:b/>
          <w:color w:val="000000"/>
          <w:sz w:val="24"/>
          <w:szCs w:val="24"/>
        </w:rPr>
        <w:t>四、目标评价与成绩评定</w:t>
      </w:r>
      <w:bookmarkEnd w:id="2048"/>
      <w:bookmarkEnd w:id="2049"/>
      <w:bookmarkEnd w:id="2050"/>
      <w:bookmarkEnd w:id="2051"/>
      <w:bookmarkEnd w:id="2052"/>
      <w:bookmarkEnd w:id="2053"/>
      <w:bookmarkEnd w:id="2054"/>
    </w:p>
    <w:p w14:paraId="57B8FDE1">
      <w:pPr>
        <w:spacing w:line="360" w:lineRule="auto"/>
        <w:ind w:firstLine="422" w:firstLineChars="200"/>
        <w:jc w:val="left"/>
        <w:outlineLvl w:val="1"/>
        <w:rPr>
          <w:rFonts w:ascii="Times New Roman" w:hAnsi="Times New Roman" w:eastAsia="宋体" w:cs="Times New Roman"/>
          <w:b/>
          <w:szCs w:val="21"/>
        </w:rPr>
      </w:pPr>
      <w:bookmarkStart w:id="2055" w:name="_Toc21811"/>
      <w:r>
        <w:rPr>
          <w:rFonts w:hint="eastAsia" w:ascii="Times New Roman" w:hAnsi="Times New Roman" w:eastAsia="宋体" w:cs="Times New Roman"/>
          <w:b/>
          <w:szCs w:val="21"/>
        </w:rPr>
        <w:t>（一）课程目标评价方式</w:t>
      </w:r>
      <w:bookmarkEnd w:id="2055"/>
    </w:p>
    <w:p w14:paraId="20EEE75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35374EE">
      <w:pPr>
        <w:spacing w:line="360" w:lineRule="auto"/>
        <w:ind w:firstLine="420" w:firstLineChars="200"/>
        <w:jc w:val="left"/>
        <w:rPr>
          <w:rFonts w:hint="eastAsia" w:ascii="Times New Roman" w:hAnsi="Times New Roman" w:eastAsia="宋体" w:cs="Times New Roman"/>
          <w:szCs w:val="21"/>
        </w:rPr>
      </w:pPr>
    </w:p>
    <w:p w14:paraId="59DCBD6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275"/>
        <w:gridCol w:w="1363"/>
        <w:gridCol w:w="1568"/>
        <w:gridCol w:w="1967"/>
        <w:gridCol w:w="1363"/>
      </w:tblGrid>
      <w:tr w14:paraId="74E2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restart"/>
            <w:vAlign w:val="center"/>
          </w:tcPr>
          <w:p w14:paraId="1B56A55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173" w:type="dxa"/>
            <w:gridSpan w:val="4"/>
            <w:vAlign w:val="center"/>
          </w:tcPr>
          <w:p w14:paraId="575A3A8E">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363" w:type="dxa"/>
            <w:vMerge w:val="restart"/>
            <w:vAlign w:val="center"/>
          </w:tcPr>
          <w:p w14:paraId="51EA579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7A5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14:paraId="3C48A8F3">
            <w:pPr>
              <w:spacing w:line="360" w:lineRule="auto"/>
              <w:jc w:val="center"/>
              <w:rPr>
                <w:rFonts w:hint="eastAsia" w:ascii="宋体" w:hAnsi="宋体" w:eastAsia="宋体" w:cs="Times New Roman"/>
                <w:szCs w:val="21"/>
              </w:rPr>
            </w:pPr>
          </w:p>
        </w:tc>
        <w:tc>
          <w:tcPr>
            <w:tcW w:w="1275" w:type="dxa"/>
            <w:vAlign w:val="center"/>
          </w:tcPr>
          <w:p w14:paraId="5DE77543">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363" w:type="dxa"/>
            <w:vAlign w:val="center"/>
          </w:tcPr>
          <w:p w14:paraId="535F7102">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568" w:type="dxa"/>
            <w:vAlign w:val="center"/>
          </w:tcPr>
          <w:p w14:paraId="49B228A5">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课内实践</w:t>
            </w:r>
          </w:p>
        </w:tc>
        <w:tc>
          <w:tcPr>
            <w:tcW w:w="1967" w:type="dxa"/>
            <w:vAlign w:val="center"/>
          </w:tcPr>
          <w:p w14:paraId="7D817523">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363" w:type="dxa"/>
            <w:vMerge w:val="continue"/>
            <w:vAlign w:val="center"/>
          </w:tcPr>
          <w:p w14:paraId="3A1A663A">
            <w:pPr>
              <w:spacing w:line="360" w:lineRule="auto"/>
              <w:jc w:val="center"/>
              <w:rPr>
                <w:rFonts w:hint="eastAsia" w:ascii="宋体" w:hAnsi="宋体" w:eastAsia="宋体" w:cs="Times New Roman"/>
                <w:szCs w:val="21"/>
              </w:rPr>
            </w:pPr>
          </w:p>
        </w:tc>
      </w:tr>
      <w:tr w14:paraId="08DF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04C7096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75" w:type="dxa"/>
            <w:vAlign w:val="center"/>
          </w:tcPr>
          <w:p w14:paraId="432BFA6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356A5F4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8" w:type="dxa"/>
            <w:vAlign w:val="center"/>
          </w:tcPr>
          <w:p w14:paraId="43F01553">
            <w:pPr>
              <w:spacing w:line="360" w:lineRule="auto"/>
              <w:jc w:val="center"/>
              <w:rPr>
                <w:rFonts w:hint="eastAsia"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967" w:type="dxa"/>
            <w:vAlign w:val="center"/>
          </w:tcPr>
          <w:p w14:paraId="06DC7E0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25D926E1">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4B4D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7249027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75" w:type="dxa"/>
            <w:vAlign w:val="center"/>
          </w:tcPr>
          <w:p w14:paraId="4564368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63F4923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8" w:type="dxa"/>
            <w:vAlign w:val="center"/>
          </w:tcPr>
          <w:p w14:paraId="55957699">
            <w:pPr>
              <w:spacing w:line="360" w:lineRule="auto"/>
              <w:jc w:val="center"/>
              <w:rPr>
                <w:rFonts w:hint="eastAsia"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967" w:type="dxa"/>
            <w:vAlign w:val="center"/>
          </w:tcPr>
          <w:p w14:paraId="0A36AC3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1534C2B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265C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20" w:type="dxa"/>
            <w:vAlign w:val="center"/>
          </w:tcPr>
          <w:p w14:paraId="0756A9B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75" w:type="dxa"/>
            <w:vAlign w:val="center"/>
          </w:tcPr>
          <w:p w14:paraId="63DD65E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1E712CC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8" w:type="dxa"/>
            <w:vAlign w:val="center"/>
          </w:tcPr>
          <w:p w14:paraId="504C5B00">
            <w:pPr>
              <w:spacing w:line="360" w:lineRule="auto"/>
              <w:jc w:val="center"/>
              <w:rPr>
                <w:rFonts w:hint="eastAsia"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967" w:type="dxa"/>
            <w:vAlign w:val="center"/>
          </w:tcPr>
          <w:p w14:paraId="16C0BA3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59CEC3E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40</w:t>
            </w:r>
          </w:p>
        </w:tc>
      </w:tr>
      <w:tr w14:paraId="4B2A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7AFC942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75" w:type="dxa"/>
            <w:vAlign w:val="center"/>
          </w:tcPr>
          <w:p w14:paraId="4F3FD2A2">
            <w:pPr>
              <w:spacing w:line="360" w:lineRule="auto"/>
              <w:jc w:val="center"/>
              <w:rPr>
                <w:rFonts w:hint="eastAsia" w:ascii="宋体" w:hAnsi="宋体" w:eastAsia="宋体" w:cs="Times New Roman"/>
                <w:szCs w:val="21"/>
              </w:rPr>
            </w:pPr>
          </w:p>
        </w:tc>
        <w:tc>
          <w:tcPr>
            <w:tcW w:w="1363" w:type="dxa"/>
            <w:vAlign w:val="center"/>
          </w:tcPr>
          <w:p w14:paraId="361C93F7">
            <w:pPr>
              <w:spacing w:line="360" w:lineRule="auto"/>
              <w:jc w:val="center"/>
              <w:rPr>
                <w:rFonts w:hint="eastAsia" w:ascii="宋体" w:hAnsi="宋体" w:eastAsia="宋体" w:cs="Times New Roman"/>
                <w:szCs w:val="21"/>
              </w:rPr>
            </w:pPr>
          </w:p>
        </w:tc>
        <w:tc>
          <w:tcPr>
            <w:tcW w:w="1568" w:type="dxa"/>
            <w:vAlign w:val="center"/>
          </w:tcPr>
          <w:p w14:paraId="14F261E0">
            <w:pPr>
              <w:spacing w:line="360" w:lineRule="auto"/>
              <w:jc w:val="center"/>
              <w:rPr>
                <w:rFonts w:hint="eastAsia" w:ascii="宋体" w:hAnsi="宋体" w:eastAsia="宋体" w:cs="Times New Roman"/>
                <w:szCs w:val="21"/>
              </w:rPr>
            </w:pPr>
          </w:p>
        </w:tc>
        <w:tc>
          <w:tcPr>
            <w:tcW w:w="1967" w:type="dxa"/>
            <w:vAlign w:val="center"/>
          </w:tcPr>
          <w:p w14:paraId="43B3F21C">
            <w:pPr>
              <w:spacing w:line="360" w:lineRule="auto"/>
              <w:jc w:val="center"/>
              <w:rPr>
                <w:rFonts w:hint="eastAsia" w:ascii="宋体" w:hAnsi="宋体" w:eastAsia="宋体" w:cs="Times New Roman"/>
                <w:szCs w:val="21"/>
              </w:rPr>
            </w:pPr>
          </w:p>
        </w:tc>
        <w:tc>
          <w:tcPr>
            <w:tcW w:w="1363" w:type="dxa"/>
            <w:vAlign w:val="center"/>
          </w:tcPr>
          <w:p w14:paraId="136D63D8">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E7171B8">
      <w:pPr>
        <w:spacing w:before="156" w:beforeLines="50" w:line="360" w:lineRule="auto"/>
        <w:ind w:firstLine="211" w:firstLineChars="100"/>
        <w:jc w:val="left"/>
        <w:outlineLvl w:val="1"/>
        <w:rPr>
          <w:rFonts w:ascii="Times New Roman" w:hAnsi="Times New Roman" w:eastAsia="宋体" w:cs="Times New Roman"/>
          <w:b/>
          <w:szCs w:val="21"/>
        </w:rPr>
      </w:pPr>
      <w:bookmarkStart w:id="2056" w:name="_Toc25844"/>
      <w:r>
        <w:rPr>
          <w:rFonts w:hint="eastAsia" w:ascii="Times New Roman" w:hAnsi="Times New Roman" w:eastAsia="宋体" w:cs="Times New Roman"/>
          <w:b/>
          <w:szCs w:val="21"/>
        </w:rPr>
        <w:t>（二）成绩评定细则</w:t>
      </w:r>
      <w:bookmarkEnd w:id="2056"/>
    </w:p>
    <w:p w14:paraId="1002B2C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F39B48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9CF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158856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A88B67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11B4EB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CE0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2326F1">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平时作业</w:t>
            </w:r>
          </w:p>
        </w:tc>
        <w:tc>
          <w:tcPr>
            <w:tcW w:w="7141" w:type="dxa"/>
            <w:vAlign w:val="center"/>
          </w:tcPr>
          <w:p w14:paraId="46A12A5F">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平时作业共</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次，</w:t>
            </w:r>
            <w:r>
              <w:rPr>
                <w:rFonts w:hint="eastAsia" w:ascii="Times New Roman" w:hAnsi="Times New Roman" w:eastAsia="宋体" w:cs="Times New Roman"/>
                <w:szCs w:val="21"/>
                <w:lang w:val="en-US" w:eastAsia="zh-CN"/>
              </w:rPr>
              <w:t>包括《义务教育语文课程标准（2022）》中学习任务群概念解释和思维导图1个，识字与写字教材分析1篇，阅读教材分析1篇。</w:t>
            </w:r>
          </w:p>
          <w:p w14:paraId="0F076DDB">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评分细则：</w:t>
            </w:r>
          </w:p>
          <w:p w14:paraId="5845F7AE">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1.学习任务群概念解释和思维导图</w:t>
            </w:r>
            <w:r>
              <w:rPr>
                <w:rFonts w:hint="default" w:ascii="Times New Roman" w:hAnsi="Times New Roman" w:eastAsia="宋体" w:cs="Times New Roman"/>
                <w:szCs w:val="21"/>
                <w:lang w:val="en-US" w:eastAsia="zh-CN"/>
              </w:rPr>
              <w:t>：作业需准确解释学习任务群的概念，</w:t>
            </w:r>
            <w:r>
              <w:rPr>
                <w:rFonts w:hint="eastAsia" w:ascii="Times New Roman" w:hAnsi="Times New Roman" w:eastAsia="宋体" w:cs="Times New Roman"/>
                <w:szCs w:val="21"/>
                <w:lang w:val="en-US" w:eastAsia="zh-CN"/>
              </w:rPr>
              <w:t>并结合实际解释</w:t>
            </w:r>
            <w:r>
              <w:rPr>
                <w:rFonts w:hint="default" w:ascii="Times New Roman" w:hAnsi="Times New Roman" w:eastAsia="宋体" w:cs="Times New Roman"/>
                <w:szCs w:val="21"/>
                <w:lang w:val="en-US" w:eastAsia="zh-CN"/>
              </w:rPr>
              <w:t>情境性、实践性、综合性</w:t>
            </w:r>
            <w:r>
              <w:rPr>
                <w:rFonts w:hint="eastAsia" w:ascii="Times New Roman" w:hAnsi="Times New Roman" w:eastAsia="宋体" w:cs="Times New Roman"/>
                <w:szCs w:val="21"/>
                <w:lang w:val="en-US" w:eastAsia="zh-CN"/>
              </w:rPr>
              <w:t>的内涵</w:t>
            </w:r>
            <w:r>
              <w:rPr>
                <w:rFonts w:hint="default" w:ascii="Times New Roman" w:hAnsi="Times New Roman" w:eastAsia="宋体" w:cs="Times New Roman"/>
                <w:szCs w:val="21"/>
                <w:lang w:val="en-US" w:eastAsia="zh-CN"/>
              </w:rPr>
              <w:t>。思维导图应清晰展示</w:t>
            </w:r>
            <w:r>
              <w:rPr>
                <w:rFonts w:hint="eastAsia" w:ascii="Times New Roman" w:hAnsi="Times New Roman" w:eastAsia="宋体" w:cs="Times New Roman"/>
                <w:szCs w:val="21"/>
                <w:lang w:val="en-US" w:eastAsia="zh-CN"/>
              </w:rPr>
              <w:t>学习任务群的三个层次六大任务群</w:t>
            </w:r>
            <w:r>
              <w:rPr>
                <w:rFonts w:hint="default" w:ascii="Times New Roman" w:hAnsi="Times New Roman" w:eastAsia="宋体" w:cs="Times New Roman"/>
                <w:szCs w:val="21"/>
                <w:lang w:val="en-US" w:eastAsia="zh-CN"/>
              </w:rPr>
              <w:t>的结构</w:t>
            </w:r>
            <w:r>
              <w:rPr>
                <w:rFonts w:hint="eastAsia" w:ascii="Times New Roman" w:hAnsi="Times New Roman" w:eastAsia="宋体" w:cs="Times New Roman"/>
                <w:szCs w:val="21"/>
                <w:lang w:val="en-US" w:eastAsia="zh-CN"/>
              </w:rPr>
              <w:t>及核心内容</w:t>
            </w:r>
            <w:r>
              <w:rPr>
                <w:rFonts w:hint="default" w:ascii="Times New Roman" w:hAnsi="Times New Roman" w:eastAsia="宋体" w:cs="Times New Roman"/>
                <w:szCs w:val="21"/>
                <w:lang w:val="en-US" w:eastAsia="zh-CN"/>
              </w:rPr>
              <w:t>。</w:t>
            </w:r>
          </w:p>
          <w:p w14:paraId="1727C4AB">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识字与写字教材分析：作业应深入分析识字与写字教材内容，</w:t>
            </w:r>
            <w:r>
              <w:rPr>
                <w:rFonts w:hint="eastAsia" w:ascii="Times New Roman" w:hAnsi="Times New Roman" w:eastAsia="宋体" w:cs="Times New Roman"/>
                <w:szCs w:val="21"/>
                <w:lang w:val="en-US" w:eastAsia="zh-CN"/>
              </w:rPr>
              <w:t>清晰、准确阐述识字单元和随课文识字的教材分析结构、内容和方法。</w:t>
            </w:r>
          </w:p>
          <w:p w14:paraId="653E7D1E">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阅读教材分析：作业需对阅读教材进行细致分析，</w:t>
            </w:r>
            <w:r>
              <w:rPr>
                <w:rFonts w:hint="eastAsia" w:ascii="Times New Roman" w:hAnsi="Times New Roman" w:eastAsia="宋体" w:cs="Times New Roman"/>
                <w:szCs w:val="21"/>
                <w:lang w:val="en-US" w:eastAsia="zh-CN"/>
              </w:rPr>
              <w:t>包括立足单元、立足文本、立足学情的分析。能够清晰、准确阐述阅读教材的文学性解读和教学性解读的内容和方法。</w:t>
            </w:r>
          </w:p>
          <w:p w14:paraId="63EE52ED">
            <w:pPr>
              <w:spacing w:line="264"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结合</w:t>
            </w:r>
            <w:r>
              <w:rPr>
                <w:rFonts w:hint="default" w:ascii="Times New Roman" w:hAnsi="Times New Roman" w:eastAsia="宋体" w:cs="Times New Roman"/>
                <w:szCs w:val="21"/>
                <w:lang w:val="en-US" w:eastAsia="zh-CN"/>
              </w:rPr>
              <w:t>作业的完成度、知识掌握的深度、创造性思考以及与实际教学的结合度</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优秀作业应全面反映知识点，逻辑清晰，有创造性思考。良好作业应较好地反映所学知识点，陈述较清晰。中等作业应基本反映知识点，陈述基本清楚。及格作业应与所学知识点有一些关系。不及格作业则不能按时完成，或与知识点没有关系，观点错误</w:t>
            </w:r>
            <w:r>
              <w:rPr>
                <w:rFonts w:hint="eastAsia" w:ascii="Times New Roman" w:hAnsi="Times New Roman" w:eastAsia="宋体" w:cs="Times New Roman"/>
                <w:szCs w:val="21"/>
                <w:lang w:val="en-US" w:eastAsia="zh-CN"/>
              </w:rPr>
              <w:t>。</w:t>
            </w:r>
          </w:p>
        </w:tc>
        <w:tc>
          <w:tcPr>
            <w:tcW w:w="0" w:type="auto"/>
            <w:vAlign w:val="center"/>
          </w:tcPr>
          <w:p w14:paraId="3C5E163A">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r>
      <w:tr w14:paraId="485D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6241293">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课堂表现</w:t>
            </w:r>
          </w:p>
        </w:tc>
        <w:tc>
          <w:tcPr>
            <w:tcW w:w="7141" w:type="dxa"/>
            <w:vAlign w:val="center"/>
          </w:tcPr>
          <w:p w14:paraId="2BE789FF">
            <w:pPr>
              <w:widowControl/>
              <w:numPr>
                <w:ilvl w:val="0"/>
                <w:numId w:val="64"/>
              </w:num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出勤与准时</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20分</w:t>
            </w:r>
            <w:r>
              <w:rPr>
                <w:rFonts w:hint="eastAsia" w:ascii="Times New Roman" w:hAnsi="Times New Roman" w:eastAsia="宋体" w:cs="Times New Roman"/>
                <w:szCs w:val="21"/>
                <w:lang w:eastAsia="zh-CN"/>
              </w:rPr>
              <w:t>）</w:t>
            </w:r>
          </w:p>
          <w:p w14:paraId="67BD5D40">
            <w:pPr>
              <w:widowControl/>
              <w:numPr>
                <w:ilvl w:val="0"/>
                <w:numId w:val="0"/>
              </w:num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出勤率</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按时上课，无迟到、早退现象，缺勤次数。</w:t>
            </w:r>
          </w:p>
          <w:p w14:paraId="567AC83C">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准时性</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能够准时到达教室，准备上课。</w:t>
            </w:r>
          </w:p>
          <w:p w14:paraId="26D9C8A4">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课堂参与</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30分</w:t>
            </w:r>
            <w:r>
              <w:rPr>
                <w:rFonts w:hint="eastAsia" w:ascii="Times New Roman" w:hAnsi="Times New Roman" w:eastAsia="宋体" w:cs="Times New Roman"/>
                <w:szCs w:val="21"/>
                <w:lang w:eastAsia="zh-CN"/>
              </w:rPr>
              <w:t>）</w:t>
            </w:r>
          </w:p>
          <w:p w14:paraId="5CA05AF9">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积极参与</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主动参与课堂讨论，积极回答问题。</w:t>
            </w:r>
          </w:p>
          <w:p w14:paraId="1AD6CFC6">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互动交流</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与同学和教师有效互动，包括提问、讨论和反馈。</w:t>
            </w:r>
          </w:p>
          <w:p w14:paraId="11883A21">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学习态度</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在课堂上专注，认真听讲和做笔记。</w:t>
            </w:r>
          </w:p>
          <w:p w14:paraId="00E67F97">
            <w:pPr>
              <w:widowControl/>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理解与应用</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20分</w:t>
            </w:r>
            <w:r>
              <w:rPr>
                <w:rFonts w:hint="eastAsia" w:ascii="Times New Roman" w:hAnsi="Times New Roman" w:eastAsia="宋体" w:cs="Times New Roman"/>
                <w:szCs w:val="21"/>
                <w:lang w:eastAsia="zh-CN"/>
              </w:rPr>
              <w:t>）</w:t>
            </w:r>
          </w:p>
          <w:p w14:paraId="791EC843">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理解深度（10分）</w:t>
            </w:r>
            <w:r>
              <w:rPr>
                <w:rFonts w:hint="eastAsia" w:ascii="Times New Roman" w:hAnsi="Times New Roman" w:eastAsia="宋体" w:cs="Times New Roman"/>
                <w:szCs w:val="21"/>
              </w:rPr>
              <w:t>准确理解教学内容，对复杂概念有深刻见解。</w:t>
            </w:r>
          </w:p>
          <w:p w14:paraId="7AFAAB08">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应用能力</w:t>
            </w:r>
            <w:r>
              <w:rPr>
                <w:rFonts w:hint="eastAsia" w:ascii="Times New Roman" w:hAnsi="Times New Roman" w:eastAsia="宋体" w:cs="Times New Roman"/>
                <w:szCs w:val="21"/>
                <w:lang w:val="en-US" w:eastAsia="zh-CN"/>
              </w:rPr>
              <w:t>（10分）</w:t>
            </w:r>
            <w:r>
              <w:rPr>
                <w:rFonts w:hint="eastAsia" w:ascii="Times New Roman" w:hAnsi="Times New Roman" w:eastAsia="宋体" w:cs="Times New Roman"/>
                <w:szCs w:val="21"/>
              </w:rPr>
              <w:t>能够将所学知识应用到实际教学设计中，解决实际问题。</w:t>
            </w:r>
          </w:p>
          <w:p w14:paraId="56A10F87">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4.反思与创新（30分）</w:t>
            </w:r>
          </w:p>
          <w:p w14:paraId="2F6EDA39">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（1）能够对自己的学习过程和结果进行反思，提出改进意见。（15分）</w:t>
            </w:r>
          </w:p>
          <w:p w14:paraId="4EA942D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（2）能够提出创新的教学设计想法，对现有教学方法进行批判性思考。（15分）</w:t>
            </w:r>
          </w:p>
        </w:tc>
        <w:tc>
          <w:tcPr>
            <w:tcW w:w="0" w:type="auto"/>
            <w:vAlign w:val="center"/>
          </w:tcPr>
          <w:p w14:paraId="7D0F9584">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3453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8F053F">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课内实践</w:t>
            </w:r>
          </w:p>
        </w:tc>
        <w:tc>
          <w:tcPr>
            <w:tcW w:w="7141" w:type="dxa"/>
            <w:vAlign w:val="center"/>
          </w:tcPr>
          <w:p w14:paraId="55549910">
            <w:pPr>
              <w:widowControl/>
              <w:spacing w:line="264" w:lineRule="auto"/>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2次课内实践：课标分析1次，识字教材分析1次、阅读教材分析1次。</w:t>
            </w:r>
          </w:p>
          <w:p w14:paraId="2971CF00">
            <w:pPr>
              <w:widowControl/>
              <w:spacing w:line="264" w:lineRule="auto"/>
              <w:jc w:val="left"/>
              <w:rPr>
                <w:rFonts w:hint="eastAsia" w:ascii="Times New Roman" w:hAnsi="Times New Roman" w:eastAsia="宋体" w:cs="Times New Roman"/>
                <w:szCs w:val="21"/>
                <w:lang w:eastAsia="zh-CN"/>
              </w:rPr>
            </w:pPr>
            <w:r>
              <w:rPr>
                <w:rFonts w:hint="eastAsia" w:ascii="宋体" w:hAnsi="宋体" w:eastAsia="宋体" w:cs="宋体"/>
                <w:color w:val="000000"/>
                <w:kern w:val="0"/>
                <w:szCs w:val="21"/>
                <w:lang w:val="en-US" w:eastAsia="zh-CN" w:bidi="ar"/>
              </w:rPr>
              <w:t>评分细则：</w:t>
            </w:r>
          </w:p>
          <w:p w14:paraId="09EC86D0">
            <w:pPr>
              <w:widowControl/>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1.《义务教育语文课程标准（2022）》小组研读</w:t>
            </w:r>
            <w:r>
              <w:rPr>
                <w:rFonts w:hint="default" w:ascii="Times New Roman" w:hAnsi="Times New Roman" w:eastAsia="宋体" w:cs="Times New Roman"/>
                <w:szCs w:val="21"/>
                <w:lang w:eastAsia="zh-CN"/>
              </w:rPr>
              <w:t>：</w:t>
            </w:r>
          </w:p>
          <w:p w14:paraId="528B27E3">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理解与掌握：小组成员需准确理解“学习任务群”的概念，包括其情境性、实践性、综合性，并能在讨论中清晰表达。（20分）</w:t>
            </w:r>
          </w:p>
          <w:p w14:paraId="7879EAF6">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分析与应用：成员应能分析识字与写字、阅读、写话与习作等教材内容如何支持学习任务群的实施，并提出具体的教学应用建议。（20分）</w:t>
            </w:r>
          </w:p>
          <w:p w14:paraId="4FC7BE8E">
            <w:pPr>
              <w:widowControl/>
              <w:spacing w:line="264" w:lineRule="auto"/>
              <w:jc w:val="left"/>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创新与实践：鼓励小组提出创新的教学方法或活动，以促进学生核心素养的发展，如跨学科项目、真实情境模拟等。（20分）</w:t>
            </w:r>
          </w:p>
          <w:p w14:paraId="1184898A">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合作与交流：小组成员在研读过程中应展现良好的合作精神，有效沟通，共同完成分析报告，并在汇报中清晰表达小组观点。（20分）</w:t>
            </w:r>
          </w:p>
          <w:p w14:paraId="6207364D">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批判性思维：小组能够批判性地分析教材内容与课程标准之间的关联，提出建设性的改进建议，体现深度思考。（20分）</w:t>
            </w:r>
          </w:p>
          <w:p w14:paraId="694BB73C">
            <w:pPr>
              <w:widowControl/>
              <w:spacing w:line="264" w:lineRule="auto"/>
              <w:ind w:firstLine="420" w:firstLineChars="200"/>
              <w:jc w:val="left"/>
              <w:rPr>
                <w:rFonts w:hint="eastAsia" w:ascii="Times New Roman" w:hAnsi="Times New Roman" w:eastAsia="宋体" w:cs="Times New Roman"/>
                <w:szCs w:val="21"/>
                <w:lang w:eastAsia="zh-CN"/>
              </w:rPr>
            </w:pPr>
            <w:r>
              <w:rPr>
                <w:rFonts w:hint="default" w:ascii="Times New Roman" w:hAnsi="Times New Roman" w:eastAsia="宋体" w:cs="Times New Roman"/>
                <w:szCs w:val="21"/>
                <w:lang w:eastAsia="zh-CN"/>
              </w:rPr>
              <w:t>每个关键点的评分将基于小组成员在讨论、分析、报告撰写和汇报中的表现。优秀的表现将获得该项满分，良好表现获得一半以上分数，而表现不佳则分数较低。最终得分将综合所有小组成员的个人贡献和小组整体表现。</w:t>
            </w:r>
          </w:p>
          <w:p w14:paraId="73F7A1DE">
            <w:pPr>
              <w:widowControl/>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eastAsia="zh-CN"/>
              </w:rPr>
              <w:t>识字与写字教材分析：</w:t>
            </w:r>
          </w:p>
          <w:p w14:paraId="4A510F79">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（1）准确性（40分）：评估学生对汉字笔画、笔顺和偏旁部首的正确掌握程度。每个错误扣除5分，直到该项分数扣完。</w:t>
            </w:r>
          </w:p>
          <w:p w14:paraId="6A4351F9">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（2）完整性（30分）：评价学生分析教材时是否全面覆盖了识字教学的关键点，包括教材内容的组织、教学方法的应用以及对学生识字能力提升的效果。</w:t>
            </w:r>
          </w:p>
          <w:p w14:paraId="24143E86">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（3）逻辑性（20分）：考察学生在分析教材时逻辑是否清晰，是否能够条理清楚地阐述教材分析的各个部分，以及它们之间的联系。</w:t>
            </w:r>
          </w:p>
          <w:p w14:paraId="066AF29E">
            <w:pPr>
              <w:widowControl/>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（4）创新性（10分）：鼓励学生在教材分析中提出创新的教学方法或对现有教材内容的改进建议，体现学生的创造性思考。</w:t>
            </w:r>
          </w:p>
          <w:p w14:paraId="1D43C3B3">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eastAsia="zh-CN"/>
              </w:rPr>
              <w:t>阅读教材分析：</w:t>
            </w:r>
          </w:p>
          <w:p w14:paraId="2AFFD0E9">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结构分析（20分）：能够清晰地分析课文的结构布局，包括篇章构造、段落安排以及句子间的逻辑关系。要求学生展现出对课文组织逻辑的深刻理解。</w:t>
            </w:r>
          </w:p>
          <w:p w14:paraId="45404502">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文学性解读（30分）：考察学生对课文文学价值的把握，包括主题思想、艺术特色、语言风格等。学生需要展现出对作者创作意图和文本审美特点的深入分析。</w:t>
            </w:r>
          </w:p>
          <w:p w14:paraId="7E10F52B">
            <w:pPr>
              <w:widowControl/>
              <w:spacing w:line="264" w:lineRule="auto"/>
              <w:jc w:val="left"/>
              <w:rPr>
                <w:rFonts w:hint="default"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教学性解读（30分）：</w:t>
            </w:r>
            <w:r>
              <w:rPr>
                <w:rFonts w:hint="eastAsia" w:ascii="Times New Roman" w:hAnsi="Times New Roman" w:eastAsia="宋体" w:cs="Times New Roman"/>
                <w:szCs w:val="21"/>
                <w:lang w:val="en-US" w:eastAsia="zh-CN"/>
              </w:rPr>
              <w:t>准确解读教辅文本，</w:t>
            </w:r>
            <w:r>
              <w:rPr>
                <w:rFonts w:hint="default" w:ascii="Times New Roman" w:hAnsi="Times New Roman" w:eastAsia="宋体" w:cs="Times New Roman"/>
                <w:szCs w:val="21"/>
                <w:lang w:eastAsia="zh-CN"/>
              </w:rPr>
              <w:t>转化为教学实践，包括教学目标的设定、教学方法的选择以及学生学习活动的规划。</w:t>
            </w:r>
          </w:p>
          <w:p w14:paraId="5003441F">
            <w:pPr>
              <w:widowControl/>
              <w:spacing w:line="264" w:lineRule="auto"/>
              <w:jc w:val="left"/>
              <w:rPr>
                <w:rFonts w:hint="default" w:ascii="宋体" w:hAnsi="宋体" w:eastAsia="宋体" w:cs="宋体"/>
                <w:color w:val="000000"/>
                <w:kern w:val="0"/>
                <w:szCs w:val="21"/>
                <w:lang w:val="en-US" w:eastAsia="zh-CN" w:bidi="ar"/>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lang w:eastAsia="zh-CN"/>
              </w:rPr>
              <w:t>方法</w:t>
            </w:r>
            <w:r>
              <w:rPr>
                <w:rFonts w:hint="eastAsia" w:ascii="Times New Roman" w:hAnsi="Times New Roman" w:eastAsia="宋体" w:cs="Times New Roman"/>
                <w:szCs w:val="21"/>
                <w:lang w:val="en-US" w:eastAsia="zh-CN"/>
              </w:rPr>
              <w:t>适当</w:t>
            </w:r>
            <w:r>
              <w:rPr>
                <w:rFonts w:hint="default" w:ascii="Times New Roman" w:hAnsi="Times New Roman" w:eastAsia="宋体" w:cs="Times New Roman"/>
                <w:szCs w:val="21"/>
                <w:lang w:eastAsia="zh-CN"/>
              </w:rPr>
              <w:t>（20分）：</w:t>
            </w:r>
            <w:r>
              <w:rPr>
                <w:rFonts w:hint="eastAsia" w:ascii="Times New Roman" w:hAnsi="Times New Roman" w:eastAsia="宋体" w:cs="Times New Roman"/>
                <w:szCs w:val="21"/>
                <w:lang w:val="en-US" w:eastAsia="zh-CN"/>
              </w:rPr>
              <w:t>恰当运用分析方法，准确解读阅读文本。</w:t>
            </w:r>
          </w:p>
        </w:tc>
        <w:tc>
          <w:tcPr>
            <w:tcW w:w="0" w:type="auto"/>
            <w:vAlign w:val="center"/>
          </w:tcPr>
          <w:p w14:paraId="1C1C19AE">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3058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7F4AC3">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期末考试</w:t>
            </w:r>
          </w:p>
        </w:tc>
        <w:tc>
          <w:tcPr>
            <w:tcW w:w="7141" w:type="dxa"/>
            <w:vAlign w:val="center"/>
          </w:tcPr>
          <w:p w14:paraId="1DFD60D1">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期末考试为笔试，包括四种题型：填空题、简答题、论述题、文本解读。以下为试卷评分标准。（具体见每学期试卷评分标准）</w:t>
            </w:r>
          </w:p>
          <w:p w14:paraId="17491F87">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内容准确性：</w:t>
            </w:r>
            <w:r>
              <w:rPr>
                <w:rFonts w:hint="default" w:ascii="宋体" w:hAnsi="宋体" w:eastAsia="宋体" w:cs="宋体"/>
                <w:color w:val="000000"/>
                <w:kern w:val="0"/>
                <w:szCs w:val="21"/>
                <w:lang w:val="en-US" w:eastAsia="zh-CN" w:bidi="ar"/>
              </w:rPr>
              <w:t>（</w:t>
            </w:r>
            <w:r>
              <w:rPr>
                <w:rFonts w:hint="eastAsia" w:ascii="宋体" w:hAnsi="宋体" w:eastAsia="宋体" w:cs="宋体"/>
                <w:color w:val="000000"/>
                <w:kern w:val="0"/>
                <w:szCs w:val="21"/>
                <w:lang w:val="en-US" w:eastAsia="zh-CN" w:bidi="ar"/>
              </w:rPr>
              <w:t>2</w:t>
            </w:r>
            <w:r>
              <w:rPr>
                <w:rFonts w:hint="default" w:ascii="宋体" w:hAnsi="宋体" w:eastAsia="宋体" w:cs="宋体"/>
                <w:color w:val="000000"/>
                <w:kern w:val="0"/>
                <w:szCs w:val="21"/>
                <w:lang w:val="en-US" w:eastAsia="zh-CN" w:bidi="ar"/>
              </w:rPr>
              <w:t>0分）</w:t>
            </w:r>
          </w:p>
          <w:p w14:paraId="625818EE">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2.逻辑性和条理性：（20分）</w:t>
            </w:r>
          </w:p>
          <w:p w14:paraId="6BF68E7C">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3.深度和广度：（10分）</w:t>
            </w:r>
          </w:p>
          <w:p w14:paraId="770B2D95">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创新性和创造性：</w:t>
            </w:r>
            <w:r>
              <w:rPr>
                <w:rFonts w:hint="eastAsia" w:ascii="Times New Roman" w:hAnsi="Times New Roman" w:eastAsia="宋体" w:cs="Times New Roman"/>
                <w:szCs w:val="21"/>
                <w:lang w:val="en-US" w:eastAsia="zh-CN"/>
              </w:rPr>
              <w:t>（10分）</w:t>
            </w:r>
          </w:p>
          <w:p w14:paraId="1AA8842D">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5.语言</w:t>
            </w:r>
            <w:r>
              <w:rPr>
                <w:rFonts w:hint="default" w:ascii="Times New Roman" w:hAnsi="Times New Roman" w:eastAsia="宋体" w:cs="Times New Roman"/>
                <w:szCs w:val="21"/>
                <w:lang w:val="en-US" w:eastAsia="zh-CN"/>
              </w:rPr>
              <w:t>表达：</w:t>
            </w:r>
            <w:r>
              <w:rPr>
                <w:rFonts w:hint="eastAsia" w:ascii="Times New Roman" w:hAnsi="Times New Roman" w:eastAsia="宋体" w:cs="Times New Roman"/>
                <w:szCs w:val="21"/>
                <w:lang w:val="en-US" w:eastAsia="zh-CN"/>
              </w:rPr>
              <w:t>（10分）</w:t>
            </w:r>
          </w:p>
          <w:p w14:paraId="1B89E6B7">
            <w:pPr>
              <w:widowControl/>
              <w:spacing w:line="264" w:lineRule="auto"/>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lang w:val="en-US" w:eastAsia="zh-CN"/>
              </w:rPr>
              <w:t>6.文本解读（因课文具体篇目不同，详见试卷评分标准）（30分）</w:t>
            </w:r>
          </w:p>
        </w:tc>
        <w:tc>
          <w:tcPr>
            <w:tcW w:w="0" w:type="auto"/>
            <w:vAlign w:val="center"/>
          </w:tcPr>
          <w:p w14:paraId="41C353D9">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w:t>
            </w:r>
          </w:p>
        </w:tc>
      </w:tr>
      <w:tr w14:paraId="61DF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D290EB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E6C219A">
            <w:pPr>
              <w:jc w:val="left"/>
              <w:rPr>
                <w:rFonts w:ascii="Times New Roman" w:hAnsi="Times New Roman" w:eastAsia="宋体" w:cs="Times New Roman"/>
                <w:szCs w:val="21"/>
              </w:rPr>
            </w:pPr>
          </w:p>
        </w:tc>
        <w:tc>
          <w:tcPr>
            <w:tcW w:w="0" w:type="auto"/>
            <w:vAlign w:val="center"/>
          </w:tcPr>
          <w:p w14:paraId="6A484CF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7A22257">
      <w:pPr>
        <w:spacing w:line="360" w:lineRule="auto"/>
        <w:ind w:firstLine="211" w:firstLineChars="100"/>
        <w:jc w:val="left"/>
        <w:outlineLvl w:val="1"/>
        <w:rPr>
          <w:rFonts w:hint="eastAsia" w:ascii="宋体" w:hAnsi="宋体" w:eastAsia="宋体" w:cs="Times New Roman"/>
          <w:b/>
          <w:color w:val="000000"/>
          <w:szCs w:val="21"/>
        </w:rPr>
      </w:pPr>
      <w:bookmarkStart w:id="2057" w:name="_Toc32608"/>
      <w:r>
        <w:rPr>
          <w:rFonts w:hint="eastAsia" w:ascii="宋体" w:hAnsi="宋体" w:eastAsia="宋体" w:cs="Times New Roman"/>
          <w:b/>
          <w:color w:val="000000"/>
          <w:szCs w:val="21"/>
        </w:rPr>
        <w:t>（三）课程目标达成度计算方法</w:t>
      </w:r>
      <w:bookmarkEnd w:id="2057"/>
    </w:p>
    <w:p w14:paraId="11632DC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D3E80CA">
      <w:pPr>
        <w:spacing w:beforeLines="0" w:afterLines="0"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7"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67" DrawAspect="Content" ObjectID="_1468075767" r:id="rId50">
            <o:LockedField>false</o:LockedField>
          </o:OLEObject>
        </w:object>
      </w:r>
    </w:p>
    <w:p w14:paraId="2A9CD668">
      <w:pPr>
        <w:spacing w:beforeLines="0" w:afterLines="0" w:line="360" w:lineRule="auto"/>
        <w:ind w:firstLine="482" w:firstLineChars="200"/>
        <w:outlineLvl w:val="0"/>
        <w:rPr>
          <w:rFonts w:ascii="Times New Roman" w:hAnsi="Times New Roman" w:eastAsia="宋体" w:cs="Times New Roman"/>
          <w:b/>
          <w:sz w:val="24"/>
          <w:szCs w:val="24"/>
        </w:rPr>
      </w:pPr>
      <w:bookmarkStart w:id="2058" w:name="_Toc16037"/>
      <w:bookmarkStart w:id="2059" w:name="_Toc20828"/>
      <w:bookmarkStart w:id="2060" w:name="_Toc7021"/>
      <w:bookmarkStart w:id="2061" w:name="_Toc27572"/>
      <w:bookmarkStart w:id="2062" w:name="_Toc18884"/>
      <w:bookmarkStart w:id="2063" w:name="_Toc19218"/>
      <w:bookmarkStart w:id="2064" w:name="_Toc2914"/>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bookmarkEnd w:id="2058"/>
      <w:bookmarkEnd w:id="2059"/>
      <w:bookmarkEnd w:id="2060"/>
      <w:bookmarkEnd w:id="2061"/>
      <w:bookmarkEnd w:id="2062"/>
      <w:bookmarkEnd w:id="2063"/>
      <w:bookmarkEnd w:id="2064"/>
    </w:p>
    <w:p w14:paraId="52699163">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24AA4F1A">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3197"/>
        <w:gridCol w:w="772"/>
        <w:gridCol w:w="3160"/>
      </w:tblGrid>
      <w:tr w14:paraId="3216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25" w:type="dxa"/>
            <w:vAlign w:val="center"/>
          </w:tcPr>
          <w:p w14:paraId="7FDED85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197" w:type="dxa"/>
            <w:vAlign w:val="center"/>
          </w:tcPr>
          <w:p w14:paraId="4E710A7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72" w:type="dxa"/>
            <w:vAlign w:val="center"/>
          </w:tcPr>
          <w:p w14:paraId="29C7A64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1ABE35B">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59A6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25" w:type="dxa"/>
            <w:vAlign w:val="center"/>
          </w:tcPr>
          <w:p w14:paraId="73143635">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课标研读</w:t>
            </w:r>
          </w:p>
        </w:tc>
        <w:tc>
          <w:tcPr>
            <w:tcW w:w="3197" w:type="dxa"/>
            <w:vAlign w:val="center"/>
          </w:tcPr>
          <w:p w14:paraId="49161140">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小组分工合作研读《义务教育语文课程标准（2022）》</w:t>
            </w:r>
          </w:p>
        </w:tc>
        <w:tc>
          <w:tcPr>
            <w:tcW w:w="772" w:type="dxa"/>
            <w:vAlign w:val="center"/>
          </w:tcPr>
          <w:p w14:paraId="69A1CC09">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小组汇报</w:t>
            </w:r>
          </w:p>
        </w:tc>
        <w:tc>
          <w:tcPr>
            <w:tcW w:w="3160" w:type="dxa"/>
            <w:vAlign w:val="center"/>
          </w:tcPr>
          <w:p w14:paraId="0A0E99EB">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准确把握小学语文课程性质、理念，理解语文课程在立德树人过程中的独特作用；熟悉核心素养的具体内涵及在课程目标、课程内容、学业质量标准、课程实施等内容中的具体表现，初步形成以文化人的责任感。</w:t>
            </w:r>
          </w:p>
        </w:tc>
      </w:tr>
      <w:tr w14:paraId="794D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525" w:type="dxa"/>
            <w:vAlign w:val="center"/>
          </w:tcPr>
          <w:p w14:paraId="2DDF8DDB">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识字教材分析（选做）</w:t>
            </w:r>
          </w:p>
        </w:tc>
        <w:tc>
          <w:tcPr>
            <w:tcW w:w="3197" w:type="dxa"/>
            <w:vAlign w:val="center"/>
          </w:tcPr>
          <w:p w14:paraId="1FAB609F">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识字单元和阅读单元的文本解读</w:t>
            </w:r>
          </w:p>
        </w:tc>
        <w:tc>
          <w:tcPr>
            <w:tcW w:w="772" w:type="dxa"/>
            <w:vAlign w:val="center"/>
          </w:tcPr>
          <w:p w14:paraId="2E5D1DB3">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小组讨论</w:t>
            </w:r>
          </w:p>
        </w:tc>
        <w:tc>
          <w:tcPr>
            <w:tcW w:w="3160" w:type="dxa"/>
            <w:vAlign w:val="center"/>
          </w:tcPr>
          <w:p w14:paraId="7BDC4534">
            <w:pPr>
              <w:spacing w:line="276" w:lineRule="auto"/>
              <w:jc w:val="left"/>
              <w:rPr>
                <w:rFonts w:hint="default" w:ascii="宋体" w:hAnsi="宋体" w:eastAsia="宋体" w:cs="宋体"/>
                <w:szCs w:val="21"/>
                <w:lang w:val="en-US"/>
              </w:rPr>
            </w:pPr>
            <w:r>
              <w:rPr>
                <w:rFonts w:hint="eastAsia" w:ascii="宋体" w:hAnsi="宋体" w:eastAsia="宋体" w:cs="宋体"/>
                <w:szCs w:val="21"/>
              </w:rPr>
              <w:t>通过识字</w:t>
            </w:r>
            <w:r>
              <w:rPr>
                <w:rFonts w:hint="eastAsia" w:ascii="宋体" w:hAnsi="宋体" w:eastAsia="宋体" w:cs="宋体"/>
                <w:szCs w:val="21"/>
                <w:lang w:val="en-US" w:eastAsia="zh-CN"/>
              </w:rPr>
              <w:t>教材解读案例</w:t>
            </w:r>
            <w:r>
              <w:rPr>
                <w:rFonts w:hint="eastAsia" w:ascii="宋体" w:hAnsi="宋体" w:eastAsia="宋体" w:cs="宋体"/>
                <w:szCs w:val="21"/>
              </w:rPr>
              <w:t>，了解</w:t>
            </w:r>
            <w:r>
              <w:rPr>
                <w:rFonts w:hint="eastAsia" w:ascii="宋体" w:hAnsi="宋体" w:eastAsia="宋体" w:cs="宋体"/>
                <w:szCs w:val="21"/>
                <w:lang w:val="en-US" w:eastAsia="zh-CN"/>
              </w:rPr>
              <w:t>识字与写字教学中蕴含的中华优秀传统文化，形成文化自信。</w:t>
            </w:r>
          </w:p>
        </w:tc>
      </w:tr>
      <w:tr w14:paraId="1EA9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5" w:type="dxa"/>
            <w:vAlign w:val="center"/>
          </w:tcPr>
          <w:p w14:paraId="20A812B3">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阅读教材分析</w:t>
            </w:r>
          </w:p>
        </w:tc>
        <w:tc>
          <w:tcPr>
            <w:tcW w:w="3197" w:type="dxa"/>
            <w:vAlign w:val="center"/>
          </w:tcPr>
          <w:p w14:paraId="69CCF87D">
            <w:pPr>
              <w:adjustRightInd w:val="0"/>
              <w:snapToGrid w:val="0"/>
              <w:spacing w:line="276" w:lineRule="auto"/>
              <w:rPr>
                <w:rFonts w:hint="default" w:ascii="宋体" w:hAnsi="宋体" w:eastAsia="宋体" w:cs="宋体"/>
                <w:szCs w:val="21"/>
                <w:lang w:val="en-US" w:eastAsia="zh-CN"/>
              </w:rPr>
            </w:pPr>
            <w:r>
              <w:rPr>
                <w:rFonts w:hint="eastAsia" w:ascii="宋体" w:hAnsi="宋体" w:eastAsia="宋体" w:cs="宋体"/>
                <w:szCs w:val="21"/>
                <w:lang w:val="en-US" w:eastAsia="zh-CN"/>
              </w:rPr>
              <w:t>低中高段阅读教材文本解读</w:t>
            </w:r>
          </w:p>
        </w:tc>
        <w:tc>
          <w:tcPr>
            <w:tcW w:w="772" w:type="dxa"/>
            <w:vAlign w:val="center"/>
          </w:tcPr>
          <w:p w14:paraId="53E6DF71">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案例分析</w:t>
            </w:r>
          </w:p>
        </w:tc>
        <w:tc>
          <w:tcPr>
            <w:tcW w:w="3160" w:type="dxa"/>
            <w:vAlign w:val="center"/>
          </w:tcPr>
          <w:p w14:paraId="642C2F13">
            <w:pPr>
              <w:spacing w:line="276" w:lineRule="auto"/>
              <w:jc w:val="left"/>
              <w:rPr>
                <w:rFonts w:hint="eastAsia" w:ascii="宋体" w:hAnsi="宋体" w:eastAsia="宋体" w:cs="宋体"/>
                <w:szCs w:val="21"/>
              </w:rPr>
            </w:pPr>
            <w:r>
              <w:rPr>
                <w:rFonts w:hint="eastAsia" w:ascii="宋体" w:hAnsi="宋体" w:eastAsia="宋体" w:cs="宋体"/>
                <w:szCs w:val="21"/>
              </w:rPr>
              <w:t>通过不同</w:t>
            </w:r>
            <w:r>
              <w:rPr>
                <w:rFonts w:hint="eastAsia" w:ascii="宋体" w:hAnsi="宋体" w:eastAsia="宋体" w:cs="宋体"/>
                <w:szCs w:val="21"/>
                <w:lang w:val="en-US" w:eastAsia="zh-CN"/>
              </w:rPr>
              <w:t>学段</w:t>
            </w:r>
            <w:r>
              <w:rPr>
                <w:rFonts w:hint="eastAsia" w:ascii="宋体" w:hAnsi="宋体" w:eastAsia="宋体" w:cs="宋体"/>
                <w:szCs w:val="21"/>
              </w:rPr>
              <w:t>的</w:t>
            </w:r>
            <w:r>
              <w:rPr>
                <w:rFonts w:hint="eastAsia" w:ascii="宋体" w:hAnsi="宋体" w:eastAsia="宋体" w:cs="宋体"/>
                <w:szCs w:val="21"/>
                <w:lang w:val="en-US" w:eastAsia="zh-CN"/>
              </w:rPr>
              <w:t>阅读教材分析</w:t>
            </w:r>
            <w:r>
              <w:rPr>
                <w:rFonts w:hint="eastAsia" w:ascii="宋体" w:hAnsi="宋体" w:eastAsia="宋体" w:cs="宋体"/>
                <w:szCs w:val="21"/>
              </w:rPr>
              <w:t>，了解和欣赏中华文化的多样性和丰富性，增强对民族文化的自信和传承意识。</w:t>
            </w:r>
          </w:p>
        </w:tc>
      </w:tr>
      <w:tr w14:paraId="2DD1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25" w:type="dxa"/>
            <w:vAlign w:val="center"/>
          </w:tcPr>
          <w:p w14:paraId="35BF9826">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写话与习作教材分析（选做）</w:t>
            </w:r>
          </w:p>
        </w:tc>
        <w:tc>
          <w:tcPr>
            <w:tcW w:w="3197" w:type="dxa"/>
            <w:vAlign w:val="center"/>
          </w:tcPr>
          <w:p w14:paraId="4B69F44F">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写话、习作文本解读</w:t>
            </w:r>
          </w:p>
        </w:tc>
        <w:tc>
          <w:tcPr>
            <w:tcW w:w="772" w:type="dxa"/>
            <w:vAlign w:val="center"/>
          </w:tcPr>
          <w:p w14:paraId="0AD80579">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案例分析</w:t>
            </w:r>
          </w:p>
        </w:tc>
        <w:tc>
          <w:tcPr>
            <w:tcW w:w="3160" w:type="dxa"/>
            <w:vAlign w:val="center"/>
          </w:tcPr>
          <w:p w14:paraId="76468DC2">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通过写话与习作教材育人元素的分析，形成立德树人意识。</w:t>
            </w:r>
          </w:p>
        </w:tc>
      </w:tr>
    </w:tbl>
    <w:p w14:paraId="3DB75E39">
      <w:pPr>
        <w:spacing w:line="360" w:lineRule="auto"/>
        <w:ind w:firstLine="482" w:firstLineChars="200"/>
        <w:jc w:val="left"/>
        <w:outlineLvl w:val="0"/>
        <w:rPr>
          <w:rFonts w:ascii="Times New Roman" w:hAnsi="Times New Roman" w:eastAsia="宋体" w:cs="Times New Roman"/>
          <w:b/>
          <w:bCs/>
          <w:sz w:val="24"/>
          <w:szCs w:val="24"/>
        </w:rPr>
      </w:pPr>
      <w:bookmarkStart w:id="2065" w:name="_Toc13576"/>
      <w:bookmarkStart w:id="2066" w:name="_Toc32594"/>
      <w:bookmarkStart w:id="2067" w:name="_Toc11274"/>
      <w:bookmarkStart w:id="2068" w:name="_Toc27947"/>
      <w:bookmarkStart w:id="2069" w:name="_Toc7118"/>
      <w:bookmarkStart w:id="2070" w:name="_Toc31125"/>
      <w:bookmarkStart w:id="2071" w:name="_Toc40"/>
      <w:r>
        <w:rPr>
          <w:rFonts w:hint="eastAsia" w:ascii="宋体" w:hAnsi="宋体" w:eastAsia="宋体" w:cs="Times New Roman"/>
          <w:b/>
          <w:color w:val="000000"/>
          <w:sz w:val="24"/>
          <w:szCs w:val="24"/>
        </w:rPr>
        <w:t>六、有关说明</w:t>
      </w:r>
      <w:bookmarkEnd w:id="2065"/>
      <w:bookmarkEnd w:id="2066"/>
      <w:bookmarkEnd w:id="2067"/>
      <w:bookmarkEnd w:id="2068"/>
      <w:bookmarkEnd w:id="2069"/>
      <w:bookmarkEnd w:id="2070"/>
      <w:bookmarkEnd w:id="2071"/>
    </w:p>
    <w:p w14:paraId="64A1024A">
      <w:pPr>
        <w:spacing w:line="360" w:lineRule="auto"/>
        <w:ind w:firstLine="422" w:firstLineChars="200"/>
        <w:jc w:val="left"/>
        <w:outlineLvl w:val="1"/>
        <w:rPr>
          <w:rFonts w:ascii="Times New Roman" w:hAnsi="Times New Roman" w:eastAsia="宋体" w:cs="Times New Roman"/>
          <w:b/>
          <w:szCs w:val="21"/>
        </w:rPr>
      </w:pPr>
      <w:bookmarkStart w:id="2072" w:name="_Toc26970"/>
      <w:r>
        <w:rPr>
          <w:rFonts w:hint="eastAsia" w:ascii="Times New Roman" w:hAnsi="Times New Roman" w:eastAsia="宋体" w:cs="Times New Roman"/>
          <w:b/>
          <w:szCs w:val="21"/>
        </w:rPr>
        <w:t>（一）持续改进</w:t>
      </w:r>
      <w:bookmarkEnd w:id="2072"/>
    </w:p>
    <w:p w14:paraId="471C6C3E">
      <w:pPr>
        <w:spacing w:line="276"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本课程根据学生作业、课堂讨论、模拟教学、说课、平时考核情况和学生、教学督导等的反馈，及时对教学中的不足之处进行改进，并在下一轮课程教学中整改完善，确保相应毕业要求指标点达成。</w:t>
      </w:r>
    </w:p>
    <w:p w14:paraId="2273760F">
      <w:pPr>
        <w:spacing w:line="360" w:lineRule="auto"/>
        <w:ind w:firstLine="422" w:firstLineChars="200"/>
        <w:jc w:val="left"/>
        <w:outlineLvl w:val="1"/>
        <w:rPr>
          <w:rFonts w:ascii="Times New Roman" w:hAnsi="Times New Roman" w:eastAsia="宋体" w:cs="Times New Roman"/>
          <w:b/>
          <w:szCs w:val="21"/>
        </w:rPr>
      </w:pPr>
      <w:bookmarkStart w:id="2073" w:name="_Toc22481"/>
      <w:r>
        <w:rPr>
          <w:rFonts w:hint="eastAsia" w:ascii="Times New Roman" w:hAnsi="Times New Roman" w:eastAsia="宋体" w:cs="Times New Roman"/>
          <w:b/>
          <w:szCs w:val="21"/>
        </w:rPr>
        <w:t>（二）建议教材</w:t>
      </w:r>
      <w:bookmarkEnd w:id="2073"/>
    </w:p>
    <w:p w14:paraId="434B6A67">
      <w:pPr>
        <w:spacing w:line="360" w:lineRule="auto"/>
        <w:ind w:firstLine="420" w:firstLineChars="200"/>
        <w:jc w:val="left"/>
        <w:rPr>
          <w:rFonts w:hint="eastAsia" w:ascii="宋体" w:hAnsi="宋体" w:eastAsia="宋体" w:cs="宋体"/>
          <w:szCs w:val="21"/>
          <w:lang w:val="en-US" w:eastAsia="zh-CN"/>
        </w:rPr>
      </w:pPr>
      <w:r>
        <w:rPr>
          <w:rFonts w:hint="eastAsia" w:ascii="Times New Roman" w:hAnsi="Times New Roman" w:eastAsia="宋体" w:cs="Times New Roman"/>
          <w:bCs/>
          <w:color w:val="000000"/>
          <w:szCs w:val="21"/>
        </w:rPr>
        <w:t>1.</w:t>
      </w:r>
      <w:r>
        <w:rPr>
          <w:rFonts w:hint="eastAsia" w:ascii="宋体" w:hAnsi="宋体" w:eastAsia="宋体" w:cs="宋体"/>
          <w:szCs w:val="21"/>
          <w:lang w:val="en-US" w:eastAsia="zh-CN"/>
        </w:rPr>
        <w:t>吴忠豪.小学语文课程标准与教材研究.中国人民大学出版社，2023.</w:t>
      </w:r>
    </w:p>
    <w:p w14:paraId="0F9FC099">
      <w:pPr>
        <w:spacing w:line="360" w:lineRule="auto"/>
        <w:ind w:firstLine="422" w:firstLineChars="200"/>
        <w:jc w:val="left"/>
        <w:outlineLvl w:val="1"/>
        <w:rPr>
          <w:rFonts w:ascii="Times New Roman" w:hAnsi="Times New Roman" w:eastAsia="宋体" w:cs="Times New Roman"/>
          <w:b/>
          <w:szCs w:val="21"/>
        </w:rPr>
      </w:pPr>
      <w:bookmarkStart w:id="2074" w:name="_Toc24773"/>
      <w:r>
        <w:rPr>
          <w:rFonts w:hint="eastAsia" w:ascii="Times New Roman" w:hAnsi="Times New Roman" w:eastAsia="宋体" w:cs="Times New Roman"/>
          <w:b/>
          <w:szCs w:val="21"/>
        </w:rPr>
        <w:t>（三）参考书目</w:t>
      </w:r>
      <w:bookmarkEnd w:id="2074"/>
    </w:p>
    <w:p w14:paraId="0AB18529">
      <w:pPr>
        <w:spacing w:line="360" w:lineRule="auto"/>
        <w:ind w:firstLine="420" w:firstLineChars="200"/>
        <w:jc w:val="left"/>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1</w:t>
      </w:r>
      <w:r>
        <w:rPr>
          <w:rFonts w:hint="eastAsia" w:ascii="Times New Roman" w:hAnsi="Times New Roman" w:eastAsia="宋体" w:cs="Times New Roman"/>
          <w:bCs/>
          <w:color w:val="000000"/>
          <w:szCs w:val="21"/>
        </w:rPr>
        <w:t>.夏家发.小学语文教学设计与案例研究.北京：科学出版社，2018.</w:t>
      </w:r>
    </w:p>
    <w:p w14:paraId="51ED6984">
      <w:pPr>
        <w:ind w:firstLine="420" w:firstLineChars="200"/>
        <w:rPr>
          <w:rFonts w:hint="default" w:ascii="等线" w:hAnsi="等线" w:eastAsia="等线" w:cs="Times New Roman"/>
          <w:szCs w:val="22"/>
          <w:lang w:val="en-US" w:eastAsia="zh-CN"/>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.汪潮.小学语文部编版教材文本解读及学习设计.福山：福建教育出版社，2017.</w:t>
      </w:r>
    </w:p>
    <w:p w14:paraId="6AABBA76">
      <w:pPr>
        <w:rPr>
          <w:rFonts w:hint="eastAsia" w:ascii="等线" w:hAnsi="等线" w:eastAsia="等线" w:cs="Times New Roman"/>
          <w:szCs w:val="22"/>
        </w:rPr>
      </w:pPr>
    </w:p>
    <w:p w14:paraId="41F24A20">
      <w:pPr>
        <w:spacing w:line="240" w:lineRule="auto"/>
        <w:ind w:right="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周冬梅</w:t>
      </w:r>
    </w:p>
    <w:p w14:paraId="705E47F6">
      <w:pPr>
        <w:wordWrap/>
        <w:spacing w:line="240" w:lineRule="auto"/>
        <w:ind w:right="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王健</w:t>
      </w:r>
    </w:p>
    <w:p w14:paraId="23E21425">
      <w:pPr>
        <w:spacing w:line="240" w:lineRule="auto"/>
        <w:ind w:right="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张志欣</w:t>
      </w:r>
    </w:p>
    <w:p w14:paraId="3A41A2E1">
      <w:pPr>
        <w:spacing w:line="24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288550D1">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15CE53D2">
      <w:pPr>
        <w:pStyle w:val="2"/>
        <w:bidi w:val="0"/>
        <w:rPr>
          <w:lang w:val="en-US" w:eastAsia="zh-CN"/>
        </w:rPr>
      </w:pPr>
      <w:bookmarkStart w:id="2075" w:name="_Toc18734"/>
      <w:bookmarkStart w:id="2076" w:name="_Toc11750"/>
      <w:bookmarkStart w:id="2077" w:name="_Toc312156114"/>
      <w:bookmarkStart w:id="2078" w:name="_Toc5820"/>
      <w:bookmarkStart w:id="2079" w:name="_Toc32227"/>
      <w:r>
        <w:rPr>
          <w:rFonts w:hint="eastAsia"/>
          <w:lang w:val="en-US" w:eastAsia="zh-CN"/>
        </w:rPr>
        <w:t>《小学道德与法治课程与教学论》课程教学大纲</w:t>
      </w:r>
      <w:bookmarkEnd w:id="2075"/>
      <w:bookmarkEnd w:id="2076"/>
      <w:bookmarkEnd w:id="2077"/>
      <w:bookmarkEnd w:id="2078"/>
      <w:bookmarkEnd w:id="2079"/>
    </w:p>
    <w:p w14:paraId="0DD5522A">
      <w:pPr>
        <w:pStyle w:val="2"/>
        <w:bidi w:val="0"/>
        <w:rPr>
          <w:lang w:val="en-US" w:eastAsia="zh-CN"/>
        </w:rPr>
      </w:pPr>
      <w:bookmarkStart w:id="2080" w:name="_Toc32672"/>
      <w:bookmarkStart w:id="2081" w:name="_Toc16735"/>
      <w:bookmarkStart w:id="2082" w:name="_Toc10281"/>
      <w:bookmarkStart w:id="2083" w:name="_Toc8134"/>
      <w:bookmarkStart w:id="2084" w:name="_Toc30053"/>
      <w:bookmarkStart w:id="2085" w:name="_Toc20018"/>
      <w:bookmarkStart w:id="2086" w:name="_Toc6839"/>
      <w:r>
        <w:rPr>
          <w:rFonts w:hint="eastAsia"/>
          <w:lang w:val="en-US" w:eastAsia="zh-CN"/>
        </w:rPr>
        <w:t>（</w:t>
      </w:r>
      <w:r>
        <w:rPr>
          <w:lang w:val="en-US" w:eastAsia="zh-CN"/>
        </w:rPr>
        <w:t>The Theory of Curriculum and Instruction in Primary School Morality and Law</w:t>
      </w:r>
      <w:r>
        <w:rPr>
          <w:rFonts w:hint="eastAsia"/>
          <w:lang w:val="en-US" w:eastAsia="zh-CN"/>
        </w:rPr>
        <w:t>）</w:t>
      </w:r>
      <w:bookmarkEnd w:id="2080"/>
      <w:bookmarkEnd w:id="2081"/>
      <w:bookmarkEnd w:id="2082"/>
      <w:bookmarkEnd w:id="2083"/>
      <w:bookmarkEnd w:id="2084"/>
      <w:bookmarkEnd w:id="2085"/>
      <w:bookmarkEnd w:id="2086"/>
    </w:p>
    <w:p w14:paraId="1E302AFE">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课程名称：小学道德与法治课程</w:t>
      </w:r>
      <w:r>
        <w:rPr>
          <w:rFonts w:hint="eastAsia" w:ascii="Cambria" w:hAnsi="Cambria" w:eastAsia="宋体" w:cs="Cambria"/>
          <w:b/>
          <w:bCs/>
          <w:kern w:val="0"/>
          <w:sz w:val="24"/>
          <w:szCs w:val="22"/>
        </w:rPr>
        <w:t>与</w:t>
      </w:r>
      <w:r>
        <w:rPr>
          <w:rFonts w:hint="eastAsia" w:ascii="Times New Roman" w:hAnsi="Times New Roman" w:eastAsia="宋体" w:cs="Times New Roman"/>
          <w:b/>
          <w:bCs/>
          <w:kern w:val="0"/>
          <w:sz w:val="24"/>
          <w:szCs w:val="22"/>
        </w:rPr>
        <w:t>教学论</w:t>
      </w:r>
    </w:p>
    <w:p w14:paraId="3587165F">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课程代码：</w:t>
      </w:r>
      <w:r>
        <w:rPr>
          <w:rFonts w:ascii="Times New Roman" w:hAnsi="Times New Roman" w:eastAsia="宋体" w:cs="Times New Roman"/>
          <w:b/>
          <w:bCs/>
          <w:kern w:val="0"/>
          <w:sz w:val="24"/>
          <w:szCs w:val="22"/>
        </w:rPr>
        <w:t>2401040</w:t>
      </w:r>
    </w:p>
    <w:p w14:paraId="6AA3CF2A">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学  分：2</w:t>
      </w:r>
    </w:p>
    <w:p w14:paraId="574FC99E">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学  时：32（其中：讲授学时1</w:t>
      </w:r>
      <w:r>
        <w:rPr>
          <w:rFonts w:ascii="Times New Roman" w:hAnsi="Times New Roman" w:eastAsia="宋体" w:cs="Times New Roman"/>
          <w:b/>
          <w:bCs/>
          <w:kern w:val="0"/>
          <w:sz w:val="24"/>
          <w:szCs w:val="22"/>
        </w:rPr>
        <w:t>6</w:t>
      </w:r>
      <w:r>
        <w:rPr>
          <w:rFonts w:hint="eastAsia" w:ascii="Times New Roman" w:hAnsi="Times New Roman" w:eastAsia="宋体" w:cs="Times New Roman"/>
          <w:b/>
          <w:bCs/>
          <w:kern w:val="0"/>
          <w:sz w:val="24"/>
          <w:szCs w:val="22"/>
        </w:rPr>
        <w:t>，课内实践1</w:t>
      </w:r>
      <w:r>
        <w:rPr>
          <w:rFonts w:ascii="Times New Roman" w:hAnsi="Times New Roman" w:eastAsia="宋体" w:cs="Times New Roman"/>
          <w:b/>
          <w:bCs/>
          <w:kern w:val="0"/>
          <w:sz w:val="24"/>
          <w:szCs w:val="22"/>
        </w:rPr>
        <w:t>6</w:t>
      </w:r>
      <w:r>
        <w:rPr>
          <w:rFonts w:hint="eastAsia" w:ascii="Times New Roman" w:hAnsi="Times New Roman" w:eastAsia="宋体" w:cs="Times New Roman"/>
          <w:b/>
          <w:bCs/>
          <w:kern w:val="0"/>
          <w:sz w:val="24"/>
          <w:szCs w:val="22"/>
        </w:rPr>
        <w:t>）</w:t>
      </w:r>
    </w:p>
    <w:p w14:paraId="1626B5D6">
      <w:pPr>
        <w:spacing w:line="360" w:lineRule="auto"/>
        <w:ind w:firstLine="482" w:firstLineChars="200"/>
        <w:rPr>
          <w:rFonts w:hint="eastAsia"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先修课程：课程与教学论、教育原理、小学心理学</w:t>
      </w:r>
    </w:p>
    <w:p w14:paraId="78EEDF40">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适用专业：小学教育（文）</w:t>
      </w:r>
    </w:p>
    <w:p w14:paraId="709C06EB">
      <w:pPr>
        <w:spacing w:line="360" w:lineRule="auto"/>
        <w:ind w:firstLine="482" w:firstLineChars="200"/>
        <w:rPr>
          <w:rFonts w:ascii="Times New Roman" w:hAnsi="Times New Roman" w:eastAsia="宋体" w:cs="Times New Roman"/>
          <w:b/>
          <w:bCs/>
          <w:kern w:val="0"/>
          <w:sz w:val="24"/>
          <w:szCs w:val="22"/>
        </w:rPr>
      </w:pPr>
    </w:p>
    <w:p w14:paraId="294E8B73">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一、课程简介</w:t>
      </w:r>
    </w:p>
    <w:p w14:paraId="19CC1C8D">
      <w:pPr>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小学道德与法治课程与教学论是小学教育专业的必修课程。该课程是以研究小学道德与法治课程的发展、教学目标、课程结构与教材、教学过程与常用方法以及课程评价等为主要内容，旨在培养师范生的道德与法治教育教学能力，实现培养专业化的小学道德与法治课程教师为教育目标。</w:t>
      </w:r>
    </w:p>
    <w:p w14:paraId="65CBB272">
      <w:pPr>
        <w:spacing w:line="360" w:lineRule="auto"/>
        <w:ind w:firstLine="482" w:firstLineChars="200"/>
        <w:rPr>
          <w:rFonts w:ascii="Times New Roman" w:hAnsi="Times New Roman" w:eastAsia="宋体" w:cs="Times New Roman"/>
          <w:b/>
          <w:sz w:val="24"/>
          <w:szCs w:val="22"/>
        </w:rPr>
      </w:pPr>
      <w:r>
        <w:rPr>
          <w:rFonts w:hint="eastAsia" w:ascii="Times New Roman" w:hAnsi="Times New Roman" w:eastAsia="宋体" w:cs="Times New Roman"/>
          <w:b/>
          <w:sz w:val="24"/>
          <w:szCs w:val="22"/>
        </w:rPr>
        <w:t>二、课程目标</w:t>
      </w:r>
    </w:p>
    <w:p w14:paraId="69BED816">
      <w:pPr>
        <w:spacing w:line="360" w:lineRule="auto"/>
        <w:ind w:firstLine="482" w:firstLineChars="200"/>
        <w:rPr>
          <w:rFonts w:ascii="Times New Roman" w:hAnsi="Times New Roman" w:eastAsia="宋体" w:cs="Times New Roman"/>
          <w:b/>
          <w:kern w:val="0"/>
          <w:sz w:val="24"/>
          <w:szCs w:val="22"/>
        </w:rPr>
      </w:pPr>
      <w:r>
        <w:rPr>
          <w:rFonts w:hint="eastAsia" w:ascii="Times New Roman" w:hAnsi="Times New Roman" w:eastAsia="宋体" w:cs="Times New Roman"/>
          <w:b/>
          <w:kern w:val="0"/>
          <w:sz w:val="24"/>
          <w:szCs w:val="22"/>
        </w:rPr>
        <w:t>（一）课程具体目标</w:t>
      </w:r>
    </w:p>
    <w:p w14:paraId="0DFDD259">
      <w:pPr>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目标1.了解道德与法治课程的综合性，理解当前道德与法治课程的最新教育理念，对道德与法治教学理念的变迁有较好的理解。</w:t>
      </w:r>
    </w:p>
    <w:p w14:paraId="0DFB504A">
      <w:pPr>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目标</w:t>
      </w:r>
      <w:r>
        <w:rPr>
          <w:rFonts w:ascii="Times New Roman" w:hAnsi="Times New Roman" w:eastAsia="宋体" w:cs="Times New Roman"/>
          <w:kern w:val="0"/>
          <w:sz w:val="24"/>
          <w:szCs w:val="22"/>
        </w:rPr>
        <w:t>2</w:t>
      </w:r>
      <w:r>
        <w:rPr>
          <w:rFonts w:hint="eastAsia" w:ascii="Times New Roman" w:hAnsi="Times New Roman" w:eastAsia="宋体" w:cs="Times New Roman"/>
          <w:kern w:val="0"/>
          <w:sz w:val="24"/>
          <w:szCs w:val="22"/>
        </w:rPr>
        <w:t>.熟悉小学道德与法治的课程标准、教材体系、教学内容，掌握小学道德与法治课程设计的基本原理、模式和设计原则，能进行运用。</w:t>
      </w:r>
    </w:p>
    <w:p w14:paraId="666873FD">
      <w:pPr>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目标</w:t>
      </w:r>
      <w:r>
        <w:rPr>
          <w:rFonts w:ascii="Times New Roman" w:hAnsi="Times New Roman" w:eastAsia="宋体" w:cs="Times New Roman"/>
          <w:kern w:val="0"/>
          <w:sz w:val="24"/>
          <w:szCs w:val="22"/>
        </w:rPr>
        <w:t>3</w:t>
      </w:r>
      <w:r>
        <w:rPr>
          <w:rFonts w:hint="eastAsia" w:ascii="Times New Roman" w:hAnsi="Times New Roman" w:eastAsia="宋体" w:cs="Times New Roman"/>
          <w:kern w:val="0"/>
          <w:sz w:val="24"/>
          <w:szCs w:val="22"/>
        </w:rPr>
        <w:t>.能反思学生学习方式与道德与法治课程的适洽性，将学生的品德学习与社会生活紧密相连，主动探索合作学习、探究学习等多样化的道德学习方式，探索开发丰富的教学资源。</w:t>
      </w:r>
    </w:p>
    <w:p w14:paraId="1F71447E">
      <w:pPr>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目标</w:t>
      </w:r>
      <w:r>
        <w:rPr>
          <w:rFonts w:ascii="Times New Roman" w:hAnsi="Times New Roman" w:eastAsia="宋体" w:cs="Times New Roman"/>
          <w:kern w:val="0"/>
          <w:sz w:val="24"/>
          <w:szCs w:val="22"/>
        </w:rPr>
        <w:t>4</w:t>
      </w:r>
      <w:r>
        <w:rPr>
          <w:rFonts w:hint="eastAsia" w:ascii="Times New Roman" w:hAnsi="Times New Roman" w:eastAsia="宋体" w:cs="Times New Roman"/>
          <w:kern w:val="0"/>
          <w:sz w:val="24"/>
          <w:szCs w:val="22"/>
        </w:rPr>
        <w:t>.能综合采用多种评价方式测量学生的品德发展状况，认同“以评价促发展”的教育观念。</w:t>
      </w:r>
    </w:p>
    <w:p w14:paraId="29811EC2">
      <w:pPr>
        <w:spacing w:line="360" w:lineRule="auto"/>
        <w:ind w:firstLine="480" w:firstLineChars="200"/>
        <w:rPr>
          <w:rFonts w:ascii="Times New Roman" w:hAnsi="Times New Roman" w:eastAsia="宋体" w:cs="Times New Roman"/>
          <w:kern w:val="0"/>
          <w:sz w:val="24"/>
          <w:szCs w:val="22"/>
        </w:rPr>
      </w:pPr>
      <w:r>
        <w:rPr>
          <w:rFonts w:hint="eastAsia" w:ascii="Times New Roman" w:hAnsi="Times New Roman" w:eastAsia="宋体" w:cs="Times New Roman"/>
          <w:kern w:val="0"/>
          <w:sz w:val="24"/>
          <w:szCs w:val="22"/>
        </w:rPr>
        <w:t>目标</w:t>
      </w:r>
      <w:r>
        <w:rPr>
          <w:rFonts w:ascii="Times New Roman" w:hAnsi="Times New Roman" w:eastAsia="宋体" w:cs="Times New Roman"/>
          <w:kern w:val="0"/>
          <w:sz w:val="24"/>
          <w:szCs w:val="22"/>
        </w:rPr>
        <w:t>5</w:t>
      </w:r>
      <w:r>
        <w:rPr>
          <w:rFonts w:hint="eastAsia" w:ascii="Times New Roman" w:hAnsi="Times New Roman" w:eastAsia="宋体" w:cs="Times New Roman"/>
          <w:kern w:val="0"/>
          <w:sz w:val="24"/>
          <w:szCs w:val="22"/>
        </w:rPr>
        <w:t>.认识小学道德与法治课教师的专业化发展趋势，掌握小学道德与法治教师必备的专业素养与教学技能。</w:t>
      </w:r>
    </w:p>
    <w:p w14:paraId="0E2A90F8">
      <w:pPr>
        <w:spacing w:line="360" w:lineRule="auto"/>
        <w:ind w:firstLine="482" w:firstLineChars="200"/>
        <w:rPr>
          <w:rFonts w:hint="eastAsia" w:ascii="Times New Roman" w:hAnsi="Times New Roman" w:eastAsia="宋体" w:cs="Times New Roman"/>
          <w:b/>
          <w:kern w:val="0"/>
          <w:sz w:val="24"/>
          <w:szCs w:val="22"/>
        </w:rPr>
      </w:pPr>
      <w:r>
        <w:rPr>
          <w:rFonts w:hint="eastAsia" w:ascii="Times New Roman" w:hAnsi="Times New Roman" w:eastAsia="宋体" w:cs="Times New Roman"/>
          <w:b/>
          <w:kern w:val="0"/>
          <w:sz w:val="24"/>
          <w:szCs w:val="22"/>
        </w:rPr>
        <w:t>（二）课程目标与专业毕业要求的关系</w:t>
      </w:r>
    </w:p>
    <w:tbl>
      <w:tblPr>
        <w:tblStyle w:val="11"/>
        <w:tblW w:w="8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5134"/>
        <w:gridCol w:w="1520"/>
      </w:tblGrid>
      <w:tr w14:paraId="3198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949" w:type="dxa"/>
            <w:vAlign w:val="center"/>
          </w:tcPr>
          <w:p w14:paraId="135500B7">
            <w:pPr>
              <w:adjustRightInd w:val="0"/>
              <w:snapToGrid w:val="0"/>
              <w:jc w:val="center"/>
              <w:rPr>
                <w:rFonts w:ascii="等线" w:hAnsi="等线" w:eastAsia="等线" w:cs="Times New Roman"/>
                <w:b/>
                <w:kern w:val="0"/>
                <w:szCs w:val="21"/>
              </w:rPr>
            </w:pPr>
            <w:r>
              <w:rPr>
                <w:rFonts w:hint="eastAsia" w:ascii="等线" w:hAnsi="等线" w:eastAsia="等线" w:cs="Times New Roman"/>
                <w:b/>
                <w:kern w:val="0"/>
                <w:szCs w:val="21"/>
              </w:rPr>
              <w:t>毕业要求</w:t>
            </w:r>
          </w:p>
        </w:tc>
        <w:tc>
          <w:tcPr>
            <w:tcW w:w="5134" w:type="dxa"/>
            <w:vAlign w:val="center"/>
          </w:tcPr>
          <w:p w14:paraId="333A65B2">
            <w:pPr>
              <w:adjustRightInd w:val="0"/>
              <w:snapToGrid w:val="0"/>
              <w:jc w:val="center"/>
              <w:rPr>
                <w:rFonts w:ascii="等线" w:hAnsi="等线" w:eastAsia="等线" w:cs="Times New Roman"/>
                <w:b/>
                <w:kern w:val="0"/>
                <w:szCs w:val="21"/>
              </w:rPr>
            </w:pPr>
            <w:r>
              <w:rPr>
                <w:rFonts w:hint="eastAsia" w:ascii="等线" w:hAnsi="等线" w:eastAsia="等线" w:cs="Times New Roman"/>
                <w:b/>
                <w:kern w:val="0"/>
                <w:szCs w:val="21"/>
              </w:rPr>
              <w:t>毕业要求指标点</w:t>
            </w:r>
          </w:p>
        </w:tc>
        <w:tc>
          <w:tcPr>
            <w:tcW w:w="1520" w:type="dxa"/>
          </w:tcPr>
          <w:p w14:paraId="00685B75">
            <w:pPr>
              <w:adjustRightInd w:val="0"/>
              <w:snapToGrid w:val="0"/>
              <w:jc w:val="center"/>
              <w:rPr>
                <w:rFonts w:hint="eastAsia" w:ascii="等线" w:hAnsi="等线" w:eastAsia="等线" w:cs="Times New Roman"/>
                <w:b/>
                <w:kern w:val="0"/>
                <w:szCs w:val="21"/>
              </w:rPr>
            </w:pPr>
            <w:r>
              <w:rPr>
                <w:rFonts w:hint="eastAsia" w:ascii="等线" w:hAnsi="等线" w:eastAsia="等线" w:cs="Times New Roman"/>
                <w:b/>
                <w:kern w:val="0"/>
                <w:szCs w:val="21"/>
              </w:rPr>
              <w:t>课程目标</w:t>
            </w:r>
          </w:p>
        </w:tc>
      </w:tr>
      <w:tr w14:paraId="6DB6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949" w:type="dxa"/>
            <w:vMerge w:val="restart"/>
            <w:vAlign w:val="center"/>
          </w:tcPr>
          <w:p w14:paraId="7E5AB501">
            <w:pPr>
              <w:adjustRightInd w:val="0"/>
              <w:snapToGrid w:val="0"/>
              <w:jc w:val="center"/>
              <w:rPr>
                <w:rFonts w:ascii="等线" w:hAnsi="等线" w:eastAsia="等线" w:cs="Times New Roman"/>
                <w:kern w:val="0"/>
                <w:szCs w:val="21"/>
              </w:rPr>
            </w:pPr>
            <w:r>
              <w:rPr>
                <w:rFonts w:hint="eastAsia" w:ascii="等线" w:hAnsi="等线" w:eastAsia="等线" w:cs="Times New Roman"/>
                <w:kern w:val="0"/>
                <w:szCs w:val="21"/>
              </w:rPr>
              <w:t>毕业要求4</w:t>
            </w:r>
            <w:r>
              <w:rPr>
                <w:rFonts w:ascii="等线" w:hAnsi="等线" w:eastAsia="等线" w:cs="Times New Roman"/>
                <w:kern w:val="0"/>
                <w:szCs w:val="21"/>
              </w:rPr>
              <w:t>:</w:t>
            </w:r>
          </w:p>
          <w:p w14:paraId="3FF77679">
            <w:pPr>
              <w:adjustRightInd w:val="0"/>
              <w:snapToGrid w:val="0"/>
              <w:jc w:val="center"/>
              <w:rPr>
                <w:rFonts w:ascii="等线" w:hAnsi="等线" w:eastAsia="等线" w:cs="Times New Roman"/>
                <w:kern w:val="0"/>
                <w:szCs w:val="21"/>
              </w:rPr>
            </w:pPr>
            <w:r>
              <w:rPr>
                <w:rFonts w:hint="eastAsia" w:ascii="等线" w:hAnsi="等线" w:eastAsia="等线" w:cs="Times New Roman"/>
                <w:kern w:val="0"/>
                <w:szCs w:val="21"/>
              </w:rPr>
              <w:t>教学能力</w:t>
            </w:r>
          </w:p>
        </w:tc>
        <w:tc>
          <w:tcPr>
            <w:tcW w:w="5134" w:type="dxa"/>
            <w:vAlign w:val="center"/>
          </w:tcPr>
          <w:p w14:paraId="01F7FA68">
            <w:pPr>
              <w:widowControl/>
              <w:spacing w:before="100" w:beforeAutospacing="1" w:after="100" w:afterAutospacing="1"/>
              <w:jc w:val="left"/>
              <w:rPr>
                <w:rFonts w:ascii="宋体" w:hAnsi="宋体" w:eastAsia="宋体" w:cs="宋体"/>
                <w:kern w:val="0"/>
                <w:sz w:val="21"/>
                <w:szCs w:val="21"/>
                <w:lang w:val="en-US" w:eastAsia="zh-CN" w:bidi="ar-SA"/>
              </w:rPr>
            </w:pPr>
            <w:r>
              <w:rPr>
                <w:rFonts w:hint="eastAsia" w:ascii="等线" w:hAnsi="等线" w:eastAsia="宋体" w:cs="Times New Roman"/>
                <w:kern w:val="0"/>
                <w:sz w:val="21"/>
                <w:szCs w:val="21"/>
                <w:lang w:val="en-US" w:eastAsia="zh-CN" w:bidi="ar-SA"/>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520" w:type="dxa"/>
          </w:tcPr>
          <w:p w14:paraId="18F1358F">
            <w:pPr>
              <w:adjustRightInd w:val="0"/>
              <w:snapToGrid w:val="0"/>
              <w:jc w:val="center"/>
              <w:rPr>
                <w:rFonts w:ascii="等线" w:hAnsi="等线" w:eastAsia="等线" w:cs="Times New Roman"/>
                <w:kern w:val="0"/>
                <w:szCs w:val="21"/>
              </w:rPr>
            </w:pPr>
            <w:r>
              <w:rPr>
                <w:rFonts w:hint="eastAsia" w:ascii="等线" w:hAnsi="等线" w:eastAsia="等线" w:cs="Times New Roman"/>
                <w:kern w:val="0"/>
                <w:szCs w:val="21"/>
              </w:rPr>
              <w:t>课程目标1</w:t>
            </w:r>
          </w:p>
          <w:p w14:paraId="66E73126">
            <w:pPr>
              <w:adjustRightInd w:val="0"/>
              <w:snapToGrid w:val="0"/>
              <w:jc w:val="center"/>
              <w:rPr>
                <w:rFonts w:hint="eastAsia" w:ascii="等线" w:hAnsi="等线" w:eastAsia="等线" w:cs="Times New Roman"/>
                <w:kern w:val="0"/>
                <w:szCs w:val="21"/>
              </w:rPr>
            </w:pPr>
            <w:r>
              <w:rPr>
                <w:rFonts w:hint="eastAsia" w:ascii="等线" w:hAnsi="等线" w:eastAsia="等线" w:cs="Times New Roman"/>
                <w:kern w:val="0"/>
                <w:szCs w:val="21"/>
              </w:rPr>
              <w:t>课程目标2</w:t>
            </w:r>
          </w:p>
        </w:tc>
      </w:tr>
      <w:tr w14:paraId="6D51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1949" w:type="dxa"/>
            <w:vMerge w:val="continue"/>
            <w:vAlign w:val="center"/>
          </w:tcPr>
          <w:p w14:paraId="5704DD43">
            <w:pPr>
              <w:adjustRightInd w:val="0"/>
              <w:snapToGrid w:val="0"/>
              <w:jc w:val="center"/>
              <w:rPr>
                <w:rFonts w:ascii="等线" w:hAnsi="等线" w:eastAsia="等线" w:cs="Times New Roman"/>
                <w:kern w:val="0"/>
                <w:szCs w:val="21"/>
              </w:rPr>
            </w:pPr>
          </w:p>
        </w:tc>
        <w:tc>
          <w:tcPr>
            <w:tcW w:w="5134" w:type="dxa"/>
            <w:vAlign w:val="center"/>
          </w:tcPr>
          <w:p w14:paraId="13B8873F">
            <w:pPr>
              <w:adjustRightInd w:val="0"/>
              <w:snapToGrid w:val="0"/>
              <w:rPr>
                <w:rFonts w:ascii="等线" w:hAnsi="等线" w:eastAsia="等线" w:cs="Times New Roman"/>
                <w:kern w:val="0"/>
                <w:szCs w:val="21"/>
              </w:rPr>
            </w:pPr>
            <w:r>
              <w:rPr>
                <w:rFonts w:hint="eastAsia" w:ascii="等线" w:hAnsi="等线" w:eastAsia="宋体" w:cs="Times New Roman"/>
                <w:kern w:val="0"/>
                <w:szCs w:val="21"/>
              </w:rPr>
              <w:t>指标点4-3：【教学实施与评价科学】掌握小学教师基本功技能，包括书写技能、沟通与表达技能、信息技术运用技能等。获得全 面的小学教学体验，掌握学科教学的基本方法与策略，能独立进 行教学实施和评价。</w:t>
            </w:r>
          </w:p>
        </w:tc>
        <w:tc>
          <w:tcPr>
            <w:tcW w:w="1520" w:type="dxa"/>
          </w:tcPr>
          <w:p w14:paraId="272E1AC3">
            <w:pPr>
              <w:adjustRightInd w:val="0"/>
              <w:snapToGrid w:val="0"/>
              <w:jc w:val="center"/>
              <w:rPr>
                <w:rFonts w:ascii="等线" w:hAnsi="等线" w:eastAsia="等线" w:cs="Times New Roman"/>
                <w:kern w:val="0"/>
                <w:szCs w:val="21"/>
              </w:rPr>
            </w:pPr>
            <w:r>
              <w:rPr>
                <w:rFonts w:hint="eastAsia" w:ascii="等线" w:hAnsi="等线" w:eastAsia="等线" w:cs="Times New Roman"/>
                <w:kern w:val="0"/>
                <w:szCs w:val="21"/>
              </w:rPr>
              <w:t>课程目标2</w:t>
            </w:r>
          </w:p>
          <w:p w14:paraId="3088AE4A">
            <w:pPr>
              <w:adjustRightInd w:val="0"/>
              <w:snapToGrid w:val="0"/>
              <w:jc w:val="center"/>
              <w:rPr>
                <w:rFonts w:hint="eastAsia" w:ascii="等线" w:hAnsi="等线" w:eastAsia="等线" w:cs="Times New Roman"/>
                <w:kern w:val="0"/>
                <w:szCs w:val="21"/>
              </w:rPr>
            </w:pPr>
            <w:r>
              <w:rPr>
                <w:rFonts w:hint="eastAsia" w:ascii="等线" w:hAnsi="等线" w:eastAsia="等线" w:cs="Times New Roman"/>
                <w:kern w:val="0"/>
                <w:szCs w:val="21"/>
              </w:rPr>
              <w:t>课程目标3</w:t>
            </w:r>
          </w:p>
        </w:tc>
      </w:tr>
      <w:tr w14:paraId="7C3B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949" w:type="dxa"/>
            <w:vAlign w:val="center"/>
          </w:tcPr>
          <w:p w14:paraId="6380292D">
            <w:pPr>
              <w:adjustRightInd w:val="0"/>
              <w:snapToGrid w:val="0"/>
              <w:jc w:val="center"/>
              <w:rPr>
                <w:rFonts w:ascii="等线" w:hAnsi="等线" w:eastAsia="等线" w:cs="Times New Roman"/>
                <w:kern w:val="0"/>
                <w:szCs w:val="21"/>
              </w:rPr>
            </w:pPr>
            <w:r>
              <w:rPr>
                <w:rFonts w:hint="eastAsia" w:ascii="等线" w:hAnsi="等线" w:eastAsia="等线" w:cs="Times New Roman"/>
                <w:kern w:val="0"/>
                <w:szCs w:val="21"/>
              </w:rPr>
              <w:t>毕业要求6</w:t>
            </w:r>
            <w:r>
              <w:rPr>
                <w:rFonts w:ascii="等线" w:hAnsi="等线" w:eastAsia="等线" w:cs="Times New Roman"/>
                <w:kern w:val="0"/>
                <w:szCs w:val="21"/>
              </w:rPr>
              <w:t>:</w:t>
            </w:r>
          </w:p>
          <w:p w14:paraId="79F72DCD">
            <w:pPr>
              <w:adjustRightInd w:val="0"/>
              <w:snapToGrid w:val="0"/>
              <w:jc w:val="center"/>
              <w:rPr>
                <w:rFonts w:ascii="等线" w:hAnsi="等线" w:eastAsia="等线" w:cs="Times New Roman"/>
                <w:kern w:val="0"/>
                <w:szCs w:val="21"/>
              </w:rPr>
            </w:pPr>
            <w:r>
              <w:rPr>
                <w:rFonts w:hint="eastAsia" w:ascii="等线" w:hAnsi="等线" w:eastAsia="等线" w:cs="Times New Roman"/>
                <w:kern w:val="0"/>
                <w:szCs w:val="21"/>
              </w:rPr>
              <w:t>综合育人</w:t>
            </w:r>
          </w:p>
        </w:tc>
        <w:tc>
          <w:tcPr>
            <w:tcW w:w="5134" w:type="dxa"/>
            <w:vAlign w:val="center"/>
          </w:tcPr>
          <w:p w14:paraId="64E4E60C">
            <w:pPr>
              <w:adjustRightInd w:val="0"/>
              <w:snapToGrid w:val="0"/>
              <w:rPr>
                <w:rFonts w:ascii="等线" w:hAnsi="等线" w:eastAsia="等线" w:cs="Times New Roman"/>
                <w:kern w:val="0"/>
                <w:szCs w:val="21"/>
              </w:rPr>
            </w:pPr>
            <w:r>
              <w:rPr>
                <w:rFonts w:hint="eastAsia" w:ascii="等线" w:hAnsi="等线" w:eastAsia="等线" w:cs="Times New Roman"/>
                <w:kern w:val="0"/>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520" w:type="dxa"/>
          </w:tcPr>
          <w:p w14:paraId="2ACA6FA0">
            <w:pPr>
              <w:adjustRightInd w:val="0"/>
              <w:snapToGrid w:val="0"/>
              <w:jc w:val="center"/>
              <w:rPr>
                <w:rFonts w:ascii="等线" w:hAnsi="等线" w:eastAsia="等线" w:cs="Times New Roman"/>
                <w:kern w:val="0"/>
                <w:szCs w:val="21"/>
              </w:rPr>
            </w:pPr>
            <w:r>
              <w:rPr>
                <w:rFonts w:hint="eastAsia" w:ascii="等线" w:hAnsi="等线" w:eastAsia="等线" w:cs="Times New Roman"/>
                <w:kern w:val="0"/>
                <w:szCs w:val="21"/>
              </w:rPr>
              <w:t>课程目标4</w:t>
            </w:r>
          </w:p>
          <w:p w14:paraId="54D554E1">
            <w:pPr>
              <w:adjustRightInd w:val="0"/>
              <w:snapToGrid w:val="0"/>
              <w:jc w:val="center"/>
              <w:rPr>
                <w:rFonts w:hint="eastAsia" w:ascii="等线" w:hAnsi="等线" w:eastAsia="等线" w:cs="Times New Roman"/>
                <w:kern w:val="0"/>
                <w:szCs w:val="21"/>
              </w:rPr>
            </w:pPr>
            <w:r>
              <w:rPr>
                <w:rFonts w:hint="eastAsia" w:ascii="等线" w:hAnsi="等线" w:eastAsia="等线" w:cs="Times New Roman"/>
                <w:kern w:val="0"/>
                <w:szCs w:val="21"/>
              </w:rPr>
              <w:t>课程目标5</w:t>
            </w:r>
          </w:p>
        </w:tc>
      </w:tr>
    </w:tbl>
    <w:p w14:paraId="6BC11757">
      <w:pPr>
        <w:spacing w:line="360" w:lineRule="auto"/>
        <w:ind w:firstLine="480" w:firstLineChars="200"/>
        <w:rPr>
          <w:rFonts w:ascii="等线" w:hAnsi="等线" w:eastAsia="等线" w:cs="Times New Roman"/>
          <w:b/>
          <w:sz w:val="24"/>
          <w:szCs w:val="22"/>
        </w:rPr>
      </w:pPr>
      <w:r>
        <w:rPr>
          <w:rFonts w:hint="eastAsia" w:ascii="等线" w:hAnsi="等线" w:eastAsia="等线" w:cs="Times New Roman"/>
          <w:b/>
          <w:sz w:val="24"/>
          <w:szCs w:val="22"/>
        </w:rPr>
        <w:t>（三）课程思政目标</w:t>
      </w:r>
    </w:p>
    <w:p w14:paraId="261BE310">
      <w:pPr>
        <w:adjustRightInd w:val="0"/>
        <w:snapToGrid w:val="0"/>
        <w:spacing w:line="360" w:lineRule="auto"/>
        <w:ind w:firstLine="480" w:firstLineChars="200"/>
        <w:rPr>
          <w:rFonts w:ascii="宋体" w:hAnsi="宋体" w:eastAsia="宋体" w:cs="Times New Roman"/>
          <w:bCs/>
          <w:color w:val="000000"/>
          <w:sz w:val="24"/>
          <w:szCs w:val="22"/>
        </w:rPr>
      </w:pPr>
      <w:r>
        <w:rPr>
          <w:rFonts w:hint="eastAsia" w:ascii="宋体" w:hAnsi="宋体" w:eastAsia="宋体" w:cs="Times New Roman"/>
          <w:bCs/>
          <w:color w:val="000000"/>
          <w:sz w:val="24"/>
          <w:szCs w:val="22"/>
        </w:rPr>
        <w:t>加深对儿童道德发展规律的认识，学会科学开展教育教学工作，巩固专业思想，增强社会责任感和教育情怀，在更高的知识层面上理解教育的本质。</w:t>
      </w:r>
    </w:p>
    <w:p w14:paraId="020C83D3">
      <w:pPr>
        <w:adjustRightInd w:val="0"/>
        <w:snapToGrid w:val="0"/>
        <w:spacing w:line="360" w:lineRule="auto"/>
        <w:ind w:firstLine="482" w:firstLineChars="200"/>
        <w:rPr>
          <w:rFonts w:ascii="宋体" w:hAnsi="等线" w:eastAsia="宋体" w:cs="Times New Roman"/>
          <w:b/>
          <w:color w:val="000000"/>
          <w:sz w:val="24"/>
          <w:szCs w:val="22"/>
        </w:rPr>
      </w:pPr>
      <w:r>
        <w:rPr>
          <w:rFonts w:hint="eastAsia" w:ascii="宋体" w:hAnsi="宋体" w:eastAsia="宋体" w:cs="Times New Roman"/>
          <w:b/>
          <w:color w:val="000000"/>
          <w:sz w:val="24"/>
          <w:szCs w:val="22"/>
        </w:rPr>
        <w:t>三、教学内容与预期学习成效</w:t>
      </w:r>
    </w:p>
    <w:tbl>
      <w:tblPr>
        <w:tblStyle w:val="11"/>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126"/>
        <w:gridCol w:w="1559"/>
        <w:gridCol w:w="1985"/>
        <w:gridCol w:w="1559"/>
        <w:gridCol w:w="709"/>
      </w:tblGrid>
      <w:tr w14:paraId="1615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413" w:type="dxa"/>
            <w:vAlign w:val="center"/>
          </w:tcPr>
          <w:p w14:paraId="0F7176EA">
            <w:pPr>
              <w:adjustRightInd w:val="0"/>
              <w:snapToGrid w:val="0"/>
              <w:spacing w:line="276" w:lineRule="auto"/>
              <w:jc w:val="center"/>
              <w:rPr>
                <w:rFonts w:ascii="宋体" w:hAnsi="宋体" w:eastAsia="等线" w:cs="Times New Roman"/>
                <w:b/>
                <w:color w:val="000000"/>
                <w:szCs w:val="21"/>
              </w:rPr>
            </w:pPr>
            <w:r>
              <w:rPr>
                <w:rFonts w:hint="eastAsia" w:ascii="宋体" w:hAnsi="宋体" w:eastAsia="等线" w:cs="Times New Roman"/>
                <w:b/>
                <w:color w:val="000000"/>
                <w:szCs w:val="21"/>
              </w:rPr>
              <w:t>知识单元</w:t>
            </w:r>
          </w:p>
        </w:tc>
        <w:tc>
          <w:tcPr>
            <w:tcW w:w="2126" w:type="dxa"/>
            <w:vAlign w:val="center"/>
          </w:tcPr>
          <w:p w14:paraId="3F561F5E">
            <w:pPr>
              <w:adjustRightInd w:val="0"/>
              <w:snapToGrid w:val="0"/>
              <w:spacing w:line="276" w:lineRule="auto"/>
              <w:jc w:val="center"/>
              <w:rPr>
                <w:rFonts w:ascii="宋体" w:hAnsi="宋体" w:eastAsia="等线" w:cs="Times New Roman"/>
                <w:b/>
                <w:color w:val="000000"/>
                <w:szCs w:val="21"/>
              </w:rPr>
            </w:pPr>
            <w:r>
              <w:rPr>
                <w:rFonts w:hint="eastAsia" w:ascii="宋体" w:hAnsi="宋体" w:eastAsia="等线" w:cs="Times New Roman"/>
                <w:b/>
                <w:color w:val="000000"/>
                <w:szCs w:val="21"/>
              </w:rPr>
              <w:t>知识点</w:t>
            </w:r>
          </w:p>
        </w:tc>
        <w:tc>
          <w:tcPr>
            <w:tcW w:w="1559" w:type="dxa"/>
            <w:vAlign w:val="center"/>
          </w:tcPr>
          <w:p w14:paraId="44DB24E6">
            <w:pPr>
              <w:adjustRightInd w:val="0"/>
              <w:snapToGrid w:val="0"/>
              <w:spacing w:line="276" w:lineRule="auto"/>
              <w:jc w:val="center"/>
              <w:rPr>
                <w:rFonts w:ascii="宋体" w:hAnsi="宋体" w:eastAsia="等线" w:cs="Times New Roman"/>
                <w:b/>
                <w:color w:val="000000"/>
                <w:szCs w:val="21"/>
              </w:rPr>
            </w:pPr>
            <w:r>
              <w:rPr>
                <w:rFonts w:hint="eastAsia" w:ascii="宋体" w:hAnsi="宋体" w:eastAsia="等线" w:cs="Times New Roman"/>
                <w:b/>
                <w:color w:val="000000"/>
                <w:szCs w:val="21"/>
              </w:rPr>
              <w:t>对应课程目标</w:t>
            </w:r>
          </w:p>
        </w:tc>
        <w:tc>
          <w:tcPr>
            <w:tcW w:w="1985" w:type="dxa"/>
            <w:vAlign w:val="center"/>
          </w:tcPr>
          <w:p w14:paraId="62F73EE3">
            <w:pPr>
              <w:adjustRightInd w:val="0"/>
              <w:snapToGrid w:val="0"/>
              <w:spacing w:line="276" w:lineRule="auto"/>
              <w:jc w:val="center"/>
              <w:rPr>
                <w:rFonts w:ascii="宋体" w:hAnsi="宋体" w:eastAsia="等线" w:cs="Times New Roman"/>
                <w:b/>
                <w:color w:val="000000"/>
                <w:szCs w:val="21"/>
              </w:rPr>
            </w:pPr>
            <w:r>
              <w:rPr>
                <w:rFonts w:hint="eastAsia" w:ascii="宋体" w:hAnsi="宋体" w:eastAsia="等线" w:cs="Times New Roman"/>
                <w:b/>
                <w:color w:val="000000"/>
                <w:szCs w:val="21"/>
              </w:rPr>
              <w:t>预期学习成效</w:t>
            </w:r>
          </w:p>
        </w:tc>
        <w:tc>
          <w:tcPr>
            <w:tcW w:w="1559" w:type="dxa"/>
            <w:vAlign w:val="center"/>
          </w:tcPr>
          <w:p w14:paraId="250F0C97">
            <w:pPr>
              <w:adjustRightInd w:val="0"/>
              <w:snapToGrid w:val="0"/>
              <w:spacing w:line="276" w:lineRule="auto"/>
              <w:jc w:val="center"/>
              <w:rPr>
                <w:rFonts w:ascii="宋体" w:hAnsi="宋体" w:eastAsia="等线" w:cs="Times New Roman"/>
                <w:b/>
                <w:color w:val="000000"/>
                <w:szCs w:val="21"/>
              </w:rPr>
            </w:pPr>
            <w:r>
              <w:rPr>
                <w:rFonts w:hint="eastAsia" w:ascii="宋体" w:hAnsi="宋体" w:eastAsia="等线" w:cs="Times New Roman"/>
                <w:b/>
                <w:color w:val="000000"/>
                <w:szCs w:val="21"/>
              </w:rPr>
              <w:t>实现环节</w:t>
            </w:r>
          </w:p>
        </w:tc>
        <w:tc>
          <w:tcPr>
            <w:tcW w:w="709" w:type="dxa"/>
            <w:vAlign w:val="center"/>
          </w:tcPr>
          <w:p w14:paraId="4887A32D">
            <w:pPr>
              <w:adjustRightInd w:val="0"/>
              <w:snapToGrid w:val="0"/>
              <w:spacing w:line="276" w:lineRule="auto"/>
              <w:jc w:val="center"/>
              <w:rPr>
                <w:rFonts w:ascii="宋体" w:hAnsi="宋体" w:eastAsia="等线" w:cs="Times New Roman"/>
                <w:b/>
                <w:color w:val="000000"/>
                <w:szCs w:val="21"/>
              </w:rPr>
            </w:pPr>
            <w:r>
              <w:rPr>
                <w:rFonts w:hint="eastAsia" w:ascii="宋体" w:hAnsi="宋体" w:eastAsia="等线" w:cs="Times New Roman"/>
                <w:b/>
                <w:color w:val="000000"/>
                <w:szCs w:val="21"/>
              </w:rPr>
              <w:t>学时</w:t>
            </w:r>
          </w:p>
        </w:tc>
      </w:tr>
      <w:tr w14:paraId="0E22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2A2F5F4C">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第一章</w:t>
            </w:r>
          </w:p>
          <w:p w14:paraId="512AC6D9">
            <w:pPr>
              <w:adjustRightInd w:val="0"/>
              <w:snapToGrid w:val="0"/>
              <w:spacing w:line="276" w:lineRule="auto"/>
              <w:rPr>
                <w:rFonts w:hint="eastAsia" w:ascii="宋体" w:hAnsi="宋体" w:eastAsia="等线" w:cs="Times New Roman"/>
                <w:bCs/>
                <w:color w:val="000000"/>
                <w:szCs w:val="21"/>
              </w:rPr>
            </w:pPr>
            <w:r>
              <w:rPr>
                <w:rFonts w:ascii="宋体" w:hAnsi="宋体" w:eastAsia="等线" w:cs="Times New Roman"/>
                <w:bCs/>
                <w:color w:val="000000"/>
                <w:szCs w:val="21"/>
              </w:rPr>
              <w:t>小学道德与法治</w:t>
            </w:r>
            <w:r>
              <w:rPr>
                <w:rFonts w:hint="eastAsia" w:ascii="宋体" w:hAnsi="宋体" w:eastAsia="等线" w:cs="Times New Roman"/>
                <w:bCs/>
                <w:color w:val="000000"/>
                <w:szCs w:val="21"/>
              </w:rPr>
              <w:t>课程概述</w:t>
            </w:r>
          </w:p>
        </w:tc>
        <w:tc>
          <w:tcPr>
            <w:tcW w:w="2126" w:type="dxa"/>
          </w:tcPr>
          <w:p w14:paraId="41EBAC73">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1</w:t>
            </w:r>
            <w:r>
              <w:rPr>
                <w:rFonts w:ascii="宋体" w:hAnsi="宋体" w:eastAsia="等线" w:cs="Times New Roman"/>
                <w:bCs/>
                <w:color w:val="000000"/>
                <w:szCs w:val="21"/>
              </w:rPr>
              <w:t>.</w:t>
            </w:r>
            <w:r>
              <w:rPr>
                <w:rFonts w:hint="eastAsia" w:ascii="等线" w:hAnsi="等线" w:eastAsia="等线" w:cs="Times New Roman"/>
                <w:szCs w:val="22"/>
              </w:rPr>
              <w:t xml:space="preserve"> </w:t>
            </w:r>
            <w:r>
              <w:rPr>
                <w:rFonts w:hint="eastAsia" w:ascii="宋体" w:hAnsi="宋体" w:eastAsia="等线" w:cs="Times New Roman"/>
                <w:bCs/>
                <w:color w:val="000000"/>
                <w:szCs w:val="21"/>
              </w:rPr>
              <w:t>我国小学德育课程的发展史</w:t>
            </w:r>
          </w:p>
          <w:p w14:paraId="78AF8454">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2</w:t>
            </w:r>
            <w:r>
              <w:rPr>
                <w:rFonts w:ascii="宋体" w:hAnsi="宋体" w:eastAsia="等线" w:cs="Times New Roman"/>
                <w:bCs/>
                <w:color w:val="000000"/>
                <w:szCs w:val="21"/>
              </w:rPr>
              <w:t>.</w:t>
            </w:r>
            <w:r>
              <w:rPr>
                <w:rFonts w:hint="eastAsia" w:ascii="宋体" w:hAnsi="宋体" w:eastAsia="等线" w:cs="Times New Roman"/>
                <w:bCs/>
                <w:color w:val="000000"/>
                <w:szCs w:val="21"/>
              </w:rPr>
              <w:t>小学道德与法治课程的性质与基本理念</w:t>
            </w:r>
          </w:p>
          <w:p w14:paraId="2A97D4D3">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3</w:t>
            </w:r>
            <w:r>
              <w:rPr>
                <w:rFonts w:ascii="宋体" w:hAnsi="宋体" w:eastAsia="等线" w:cs="Times New Roman"/>
                <w:bCs/>
                <w:color w:val="000000"/>
                <w:szCs w:val="21"/>
              </w:rPr>
              <w:t>.</w:t>
            </w:r>
            <w:r>
              <w:rPr>
                <w:rFonts w:hint="eastAsia" w:ascii="宋体" w:hAnsi="宋体" w:eastAsia="等线" w:cs="Times New Roman"/>
                <w:bCs/>
                <w:color w:val="000000"/>
                <w:szCs w:val="21"/>
              </w:rPr>
              <w:t>小学道德与法治课程的教学设计要求</w:t>
            </w:r>
          </w:p>
        </w:tc>
        <w:tc>
          <w:tcPr>
            <w:tcW w:w="1559" w:type="dxa"/>
            <w:vAlign w:val="center"/>
          </w:tcPr>
          <w:p w14:paraId="7A8E2015">
            <w:pPr>
              <w:adjustRightInd w:val="0"/>
              <w:snapToGrid w:val="0"/>
              <w:spacing w:line="276" w:lineRule="auto"/>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课程目标1</w:t>
            </w:r>
          </w:p>
        </w:tc>
        <w:tc>
          <w:tcPr>
            <w:tcW w:w="1985" w:type="dxa"/>
          </w:tcPr>
          <w:p w14:paraId="108CB114">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了解道德与法治课程的发展历史，理解道德与法治课程性质与基本理念，初步掌握道德与法治课教学设计的要素。</w:t>
            </w:r>
          </w:p>
        </w:tc>
        <w:tc>
          <w:tcPr>
            <w:tcW w:w="1559" w:type="dxa"/>
          </w:tcPr>
          <w:p w14:paraId="2C0FA03A">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40D68690">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3009DB5A">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案例分析</w:t>
            </w:r>
          </w:p>
        </w:tc>
        <w:tc>
          <w:tcPr>
            <w:tcW w:w="709" w:type="dxa"/>
            <w:vAlign w:val="center"/>
          </w:tcPr>
          <w:p w14:paraId="57EA48BC">
            <w:pPr>
              <w:adjustRightInd w:val="0"/>
              <w:snapToGrid w:val="0"/>
              <w:spacing w:line="360" w:lineRule="auto"/>
              <w:jc w:val="center"/>
              <w:rPr>
                <w:rFonts w:ascii="宋体" w:hAnsi="宋体" w:eastAsia="等线" w:cs="Times New Roman"/>
                <w:bCs/>
                <w:color w:val="000000"/>
                <w:szCs w:val="21"/>
              </w:rPr>
            </w:pPr>
            <w:r>
              <w:rPr>
                <w:rFonts w:hint="eastAsia" w:ascii="宋体" w:hAnsi="宋体" w:eastAsia="等线" w:cs="Times New Roman"/>
                <w:bCs/>
                <w:color w:val="000000"/>
                <w:szCs w:val="21"/>
              </w:rPr>
              <w:t>2</w:t>
            </w:r>
          </w:p>
        </w:tc>
      </w:tr>
      <w:tr w14:paraId="421B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0C352D72">
            <w:pPr>
              <w:adjustRightInd w:val="0"/>
              <w:snapToGrid w:val="0"/>
              <w:spacing w:line="276" w:lineRule="auto"/>
              <w:rPr>
                <w:rFonts w:hint="eastAsia" w:ascii="宋体" w:hAnsi="宋体" w:eastAsia="等线" w:cs="Times New Roman"/>
                <w:bCs/>
                <w:color w:val="000000"/>
                <w:szCs w:val="21"/>
              </w:rPr>
            </w:pPr>
          </w:p>
        </w:tc>
        <w:tc>
          <w:tcPr>
            <w:tcW w:w="7938" w:type="dxa"/>
            <w:gridSpan w:val="5"/>
          </w:tcPr>
          <w:p w14:paraId="6ADFB067">
            <w:pPr>
              <w:adjustRightInd w:val="0"/>
              <w:snapToGrid w:val="0"/>
              <w:spacing w:line="276" w:lineRule="auto"/>
              <w:jc w:val="left"/>
              <w:rPr>
                <w:rFonts w:hint="eastAsia" w:ascii="宋体" w:hAnsi="宋体" w:eastAsia="等线" w:cs="宋体"/>
                <w:b/>
                <w:kern w:val="0"/>
                <w:szCs w:val="21"/>
              </w:rPr>
            </w:pPr>
            <w:r>
              <w:rPr>
                <w:rFonts w:hint="eastAsia" w:ascii="宋体" w:hAnsi="宋体" w:eastAsia="等线" w:cs="宋体"/>
                <w:b/>
                <w:kern w:val="0"/>
                <w:szCs w:val="21"/>
              </w:rPr>
              <w:t>课程思政目标：</w:t>
            </w:r>
            <w:r>
              <w:rPr>
                <w:rFonts w:hint="eastAsia" w:ascii="宋体" w:hAnsi="宋体" w:eastAsia="等线" w:cs="宋体"/>
                <w:kern w:val="0"/>
                <w:szCs w:val="21"/>
              </w:rPr>
              <w:t>认识道德与法治课对于学生思想教育的意义，把马克思主义经典理论和习近平新时代中国特色社会主义思想等马克思主义中国化的最新理论成果融入课程内容，将培育和践行社会主义核心价值观贯穿课程教学始终。</w:t>
            </w:r>
          </w:p>
        </w:tc>
      </w:tr>
      <w:tr w14:paraId="78D6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307EB40F">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第二章</w:t>
            </w:r>
          </w:p>
          <w:p w14:paraId="22AE6A16">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小学道德与法治课程结构的分析</w:t>
            </w:r>
          </w:p>
        </w:tc>
        <w:tc>
          <w:tcPr>
            <w:tcW w:w="2126" w:type="dxa"/>
          </w:tcPr>
          <w:p w14:paraId="5050FDD9">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（1）道德与法治课程设置的理念与思路</w:t>
            </w:r>
          </w:p>
          <w:p w14:paraId="0389DCAD">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（2）道德与法治低年段课程基本架构解析</w:t>
            </w:r>
          </w:p>
          <w:p w14:paraId="0415728F">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（3）道德与法治中高年段课程基本架构解析</w:t>
            </w:r>
          </w:p>
        </w:tc>
        <w:tc>
          <w:tcPr>
            <w:tcW w:w="1559" w:type="dxa"/>
            <w:vAlign w:val="center"/>
          </w:tcPr>
          <w:p w14:paraId="3A215892">
            <w:pPr>
              <w:adjustRightInd w:val="0"/>
              <w:snapToGrid w:val="0"/>
              <w:spacing w:line="276"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课程目标2</w:t>
            </w:r>
          </w:p>
        </w:tc>
        <w:tc>
          <w:tcPr>
            <w:tcW w:w="1985" w:type="dxa"/>
          </w:tcPr>
          <w:p w14:paraId="6DF8443C">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了解我国小学道德与法治课程设置的基本理念与总体逻辑，认识并掌握我国小学道德与法治课程的总体框架结构，熟悉不同年段道德与法治课程的基本架构。</w:t>
            </w:r>
          </w:p>
        </w:tc>
        <w:tc>
          <w:tcPr>
            <w:tcW w:w="1559" w:type="dxa"/>
          </w:tcPr>
          <w:p w14:paraId="08F04CDC">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72207444">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2BB50240">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课例研究</w:t>
            </w:r>
          </w:p>
        </w:tc>
        <w:tc>
          <w:tcPr>
            <w:tcW w:w="709" w:type="dxa"/>
            <w:vAlign w:val="center"/>
          </w:tcPr>
          <w:p w14:paraId="187BFF86">
            <w:pPr>
              <w:adjustRightInd w:val="0"/>
              <w:snapToGrid w:val="0"/>
              <w:spacing w:line="360"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2</w:t>
            </w:r>
          </w:p>
        </w:tc>
      </w:tr>
      <w:tr w14:paraId="7DC0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70C48658">
            <w:pPr>
              <w:adjustRightInd w:val="0"/>
              <w:snapToGrid w:val="0"/>
              <w:spacing w:line="276" w:lineRule="auto"/>
              <w:rPr>
                <w:rFonts w:hint="eastAsia" w:ascii="宋体" w:hAnsi="宋体" w:eastAsia="等线" w:cs="Times New Roman"/>
                <w:bCs/>
                <w:color w:val="000000"/>
                <w:szCs w:val="21"/>
              </w:rPr>
            </w:pPr>
          </w:p>
        </w:tc>
        <w:tc>
          <w:tcPr>
            <w:tcW w:w="7938" w:type="dxa"/>
            <w:gridSpan w:val="5"/>
          </w:tcPr>
          <w:p w14:paraId="4034CC24">
            <w:pPr>
              <w:adjustRightInd w:val="0"/>
              <w:snapToGrid w:val="0"/>
              <w:spacing w:line="276" w:lineRule="auto"/>
              <w:jc w:val="left"/>
              <w:rPr>
                <w:rFonts w:hint="eastAsia" w:ascii="宋体" w:hAnsi="宋体" w:eastAsia="等线" w:cs="Times New Roman"/>
                <w:bCs/>
                <w:color w:val="000000"/>
                <w:szCs w:val="21"/>
              </w:rPr>
            </w:pPr>
            <w:r>
              <w:rPr>
                <w:rFonts w:hint="eastAsia" w:ascii="宋体" w:hAnsi="宋体" w:eastAsia="等线" w:cs="Times New Roman"/>
                <w:b/>
                <w:bCs/>
                <w:color w:val="000000"/>
                <w:szCs w:val="21"/>
              </w:rPr>
              <w:t>课程思政目标：</w:t>
            </w:r>
            <w:r>
              <w:rPr>
                <w:rFonts w:hint="eastAsia" w:ascii="宋体" w:hAnsi="宋体" w:eastAsia="等线" w:cs="Times New Roman"/>
                <w:bCs/>
                <w:color w:val="000000"/>
                <w:szCs w:val="21"/>
              </w:rPr>
              <w:t>辩证认识不同年段课程目标的差异，把马克思主义经典理论和习近平新时代中国特色社会主义思想等马克思主义中国化的最新理论成果融入课程内容。</w:t>
            </w:r>
          </w:p>
        </w:tc>
      </w:tr>
      <w:tr w14:paraId="03E8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11ECD84F">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第三章</w:t>
            </w:r>
          </w:p>
          <w:p w14:paraId="58C02F9F">
            <w:pPr>
              <w:adjustRightInd w:val="0"/>
              <w:snapToGrid w:val="0"/>
              <w:spacing w:line="276" w:lineRule="auto"/>
              <w:rPr>
                <w:rFonts w:hint="eastAsia" w:ascii="宋体" w:hAnsi="宋体" w:eastAsia="等线" w:cs="Times New Roman"/>
                <w:color w:val="000000"/>
                <w:szCs w:val="21"/>
              </w:rPr>
            </w:pPr>
            <w:r>
              <w:rPr>
                <w:rFonts w:hint="eastAsia" w:ascii="宋体" w:hAnsi="宋体" w:eastAsia="等线" w:cs="Times New Roman"/>
                <w:color w:val="000000"/>
                <w:szCs w:val="21"/>
              </w:rPr>
              <w:t>小学道德与法治教学目标的制定</w:t>
            </w:r>
          </w:p>
        </w:tc>
        <w:tc>
          <w:tcPr>
            <w:tcW w:w="2126" w:type="dxa"/>
          </w:tcPr>
          <w:p w14:paraId="0F0013E2">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1</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道德与法治课程的教育总任务</w:t>
            </w:r>
          </w:p>
          <w:p w14:paraId="3A3EC52B">
            <w:pPr>
              <w:adjustRightInd w:val="0"/>
              <w:snapToGrid w:val="0"/>
              <w:spacing w:line="276" w:lineRule="auto"/>
              <w:rPr>
                <w:rFonts w:hint="eastAsia" w:ascii="宋体" w:hAnsi="宋体" w:eastAsia="等线" w:cs="Times New Roman"/>
                <w:bCs/>
                <w:color w:val="000000"/>
                <w:szCs w:val="21"/>
              </w:rPr>
            </w:pPr>
            <w:r>
              <w:rPr>
                <w:rFonts w:ascii="宋体" w:hAnsi="宋体" w:eastAsia="等线" w:cs="Times New Roman"/>
                <w:bCs/>
                <w:color w:val="000000"/>
                <w:szCs w:val="21"/>
              </w:rPr>
              <w:t>2.</w:t>
            </w:r>
            <w:r>
              <w:rPr>
                <w:rFonts w:hint="eastAsia" w:ascii="宋体" w:hAnsi="宋体" w:eastAsia="等线" w:cs="Times New Roman"/>
                <w:bCs/>
                <w:color w:val="000000"/>
                <w:szCs w:val="21"/>
              </w:rPr>
              <w:t>道德与法治课程分年段教育目标</w:t>
            </w:r>
          </w:p>
          <w:p w14:paraId="530A6126">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3</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道德与法治课程教学目标制定的原则与方法</w:t>
            </w:r>
          </w:p>
        </w:tc>
        <w:tc>
          <w:tcPr>
            <w:tcW w:w="1559" w:type="dxa"/>
            <w:vAlign w:val="center"/>
          </w:tcPr>
          <w:p w14:paraId="30F10851">
            <w:pPr>
              <w:adjustRightInd w:val="0"/>
              <w:snapToGrid w:val="0"/>
              <w:spacing w:line="276" w:lineRule="auto"/>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课程目标2</w:t>
            </w:r>
          </w:p>
          <w:p w14:paraId="3FB1140A">
            <w:pPr>
              <w:adjustRightInd w:val="0"/>
              <w:snapToGrid w:val="0"/>
              <w:spacing w:line="276"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课程目标3</w:t>
            </w:r>
          </w:p>
        </w:tc>
        <w:tc>
          <w:tcPr>
            <w:tcW w:w="1985" w:type="dxa"/>
          </w:tcPr>
          <w:p w14:paraId="6E2E1C50">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了解道德与法治课程的教育教学目标，掌握制定道德与法治课程的三维目标原则与方法。</w:t>
            </w:r>
          </w:p>
        </w:tc>
        <w:tc>
          <w:tcPr>
            <w:tcW w:w="1559" w:type="dxa"/>
          </w:tcPr>
          <w:p w14:paraId="15196ED5">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2FD493B5">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36D79F4F">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课例研究</w:t>
            </w:r>
          </w:p>
        </w:tc>
        <w:tc>
          <w:tcPr>
            <w:tcW w:w="709" w:type="dxa"/>
            <w:vAlign w:val="center"/>
          </w:tcPr>
          <w:p w14:paraId="738355A6">
            <w:pPr>
              <w:adjustRightInd w:val="0"/>
              <w:snapToGrid w:val="0"/>
              <w:spacing w:line="360"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6</w:t>
            </w:r>
          </w:p>
        </w:tc>
      </w:tr>
      <w:tr w14:paraId="6655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6CD8892C">
            <w:pPr>
              <w:adjustRightInd w:val="0"/>
              <w:snapToGrid w:val="0"/>
              <w:spacing w:line="276" w:lineRule="auto"/>
              <w:rPr>
                <w:rFonts w:hint="eastAsia" w:ascii="宋体" w:hAnsi="宋体" w:eastAsia="等线" w:cs="Times New Roman"/>
                <w:bCs/>
                <w:color w:val="000000"/>
                <w:szCs w:val="21"/>
              </w:rPr>
            </w:pPr>
          </w:p>
        </w:tc>
        <w:tc>
          <w:tcPr>
            <w:tcW w:w="7938" w:type="dxa"/>
            <w:gridSpan w:val="5"/>
          </w:tcPr>
          <w:p w14:paraId="408068DA">
            <w:pPr>
              <w:adjustRightInd w:val="0"/>
              <w:snapToGrid w:val="0"/>
              <w:spacing w:line="276" w:lineRule="auto"/>
              <w:jc w:val="left"/>
              <w:rPr>
                <w:rFonts w:hint="eastAsia" w:ascii="宋体" w:hAnsi="宋体" w:eastAsia="等线" w:cs="Times New Roman"/>
                <w:bCs/>
                <w:color w:val="000000"/>
                <w:szCs w:val="21"/>
              </w:rPr>
            </w:pPr>
            <w:r>
              <w:rPr>
                <w:rFonts w:hint="eastAsia" w:ascii="宋体" w:hAnsi="宋体" w:eastAsia="等线" w:cs="宋体"/>
                <w:b/>
                <w:kern w:val="0"/>
                <w:szCs w:val="21"/>
              </w:rPr>
              <w:t>课程思政目标：</w:t>
            </w:r>
            <w:r>
              <w:rPr>
                <w:rFonts w:hint="eastAsia" w:ascii="宋体" w:hAnsi="宋体" w:eastAsia="等线" w:cs="宋体"/>
                <w:kern w:val="0"/>
                <w:szCs w:val="21"/>
              </w:rPr>
              <w:t>充分认识教书育人与社会发展之间的紧密联系，对学生加强课程思政目标的教育，把习近平总书记倡导的“中国共产党是为中国人民谋幸福的党，也是为人类进步事业而奋斗的党”理念融入课堂教学，培养学生树立正确的世界观、价值观和人生观。</w:t>
            </w:r>
          </w:p>
        </w:tc>
      </w:tr>
      <w:tr w14:paraId="30A0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77EBD21C">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第四章</w:t>
            </w:r>
          </w:p>
          <w:p w14:paraId="2DA22C79">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小学道德与法治教学内容的解读</w:t>
            </w:r>
          </w:p>
        </w:tc>
        <w:tc>
          <w:tcPr>
            <w:tcW w:w="2126" w:type="dxa"/>
          </w:tcPr>
          <w:p w14:paraId="2C43F098">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1</w:t>
            </w:r>
            <w:r>
              <w:rPr>
                <w:rFonts w:ascii="宋体" w:hAnsi="宋体" w:eastAsia="等线" w:cs="Times New Roman"/>
                <w:bCs/>
                <w:color w:val="000000"/>
                <w:szCs w:val="21"/>
              </w:rPr>
              <w:t>.</w:t>
            </w:r>
            <w:r>
              <w:rPr>
                <w:rFonts w:hint="eastAsia" w:ascii="等线" w:hAnsi="等线" w:eastAsia="等线" w:cs="Times New Roman"/>
                <w:szCs w:val="22"/>
              </w:rPr>
              <w:t xml:space="preserve"> </w:t>
            </w:r>
            <w:r>
              <w:rPr>
                <w:rFonts w:hint="eastAsia" w:ascii="宋体" w:hAnsi="宋体" w:eastAsia="等线" w:cs="Times New Roman"/>
                <w:bCs/>
                <w:color w:val="000000"/>
                <w:szCs w:val="21"/>
              </w:rPr>
              <w:t>德育教材解读的基本理论</w:t>
            </w:r>
          </w:p>
          <w:p w14:paraId="361E8297">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2</w:t>
            </w:r>
            <w:r>
              <w:rPr>
                <w:rFonts w:ascii="宋体" w:hAnsi="宋体" w:eastAsia="等线" w:cs="Times New Roman"/>
                <w:bCs/>
                <w:color w:val="000000"/>
                <w:szCs w:val="21"/>
              </w:rPr>
              <w:t>.</w:t>
            </w:r>
            <w:r>
              <w:rPr>
                <w:rFonts w:hint="eastAsia" w:ascii="宋体" w:hAnsi="宋体" w:eastAsia="等线" w:cs="Times New Roman"/>
                <w:bCs/>
                <w:color w:val="000000"/>
                <w:szCs w:val="21"/>
              </w:rPr>
              <w:t>小学道德与法治教材解读的思路与方式</w:t>
            </w:r>
          </w:p>
          <w:p w14:paraId="387CFF93">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3</w:t>
            </w:r>
            <w:r>
              <w:rPr>
                <w:rFonts w:ascii="宋体" w:hAnsi="宋体" w:eastAsia="等线" w:cs="Times New Roman"/>
                <w:bCs/>
                <w:color w:val="000000"/>
                <w:szCs w:val="21"/>
              </w:rPr>
              <w:t>.</w:t>
            </w:r>
            <w:r>
              <w:rPr>
                <w:rFonts w:hint="eastAsia" w:ascii="宋体" w:hAnsi="宋体" w:eastAsia="等线" w:cs="Times New Roman"/>
                <w:bCs/>
                <w:color w:val="000000"/>
                <w:szCs w:val="21"/>
              </w:rPr>
              <w:t>绘本教学元素的解读策略</w:t>
            </w:r>
          </w:p>
        </w:tc>
        <w:tc>
          <w:tcPr>
            <w:tcW w:w="1559" w:type="dxa"/>
            <w:vAlign w:val="center"/>
          </w:tcPr>
          <w:p w14:paraId="6A40DE97">
            <w:pPr>
              <w:adjustRightInd w:val="0"/>
              <w:snapToGrid w:val="0"/>
              <w:spacing w:line="276" w:lineRule="auto"/>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课程目标2</w:t>
            </w:r>
          </w:p>
          <w:p w14:paraId="024B5DFB">
            <w:pPr>
              <w:adjustRightInd w:val="0"/>
              <w:snapToGrid w:val="0"/>
              <w:spacing w:line="276"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课程目标3</w:t>
            </w:r>
          </w:p>
        </w:tc>
        <w:tc>
          <w:tcPr>
            <w:tcW w:w="1985" w:type="dxa"/>
          </w:tcPr>
          <w:p w14:paraId="5FBD9544">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了解我国小学道德与法治教科书的编写及各版本特点，认识道德与法治教材的内容体系和结构形式，熟悉并掌握部编版《道德与法治》教材分年段具体内容。</w:t>
            </w:r>
          </w:p>
        </w:tc>
        <w:tc>
          <w:tcPr>
            <w:tcW w:w="1559" w:type="dxa"/>
          </w:tcPr>
          <w:p w14:paraId="0FD1286D">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3206083A">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325224AB">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课例研究</w:t>
            </w:r>
          </w:p>
        </w:tc>
        <w:tc>
          <w:tcPr>
            <w:tcW w:w="709" w:type="dxa"/>
            <w:vAlign w:val="center"/>
          </w:tcPr>
          <w:p w14:paraId="217BDB55">
            <w:pPr>
              <w:adjustRightInd w:val="0"/>
              <w:snapToGrid w:val="0"/>
              <w:spacing w:line="360"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6</w:t>
            </w:r>
          </w:p>
        </w:tc>
      </w:tr>
      <w:tr w14:paraId="5D29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4C9ED7B2">
            <w:pPr>
              <w:adjustRightInd w:val="0"/>
              <w:snapToGrid w:val="0"/>
              <w:spacing w:line="276" w:lineRule="auto"/>
              <w:rPr>
                <w:rFonts w:hint="eastAsia" w:ascii="宋体" w:hAnsi="宋体" w:eastAsia="等线" w:cs="Times New Roman"/>
                <w:bCs/>
                <w:color w:val="000000"/>
                <w:szCs w:val="21"/>
              </w:rPr>
            </w:pPr>
          </w:p>
        </w:tc>
        <w:tc>
          <w:tcPr>
            <w:tcW w:w="7938" w:type="dxa"/>
            <w:gridSpan w:val="5"/>
          </w:tcPr>
          <w:p w14:paraId="0642A74A">
            <w:pPr>
              <w:adjustRightInd w:val="0"/>
              <w:snapToGrid w:val="0"/>
              <w:spacing w:line="276" w:lineRule="auto"/>
              <w:jc w:val="left"/>
              <w:rPr>
                <w:rFonts w:hint="eastAsia" w:ascii="宋体" w:hAnsi="宋体" w:eastAsia="等线" w:cs="Times New Roman"/>
                <w:bCs/>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bCs/>
                <w:color w:val="000000"/>
                <w:szCs w:val="21"/>
              </w:rPr>
              <w:t>辩证认识教材解读与思政教育之间的紧密联系，把马克思主义经典理论和习近平新时代中国特色社会主义思想等马克思主义中国化的最新理论成果融入教材解读过程中，有意识地培育学生正确的课程观与教材观。</w:t>
            </w:r>
          </w:p>
        </w:tc>
      </w:tr>
      <w:tr w14:paraId="24A7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649B99F9">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第五章</w:t>
            </w:r>
          </w:p>
          <w:p w14:paraId="7E7EE1F7">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小学道德与法治课的教学设计</w:t>
            </w:r>
          </w:p>
        </w:tc>
        <w:tc>
          <w:tcPr>
            <w:tcW w:w="2126" w:type="dxa"/>
          </w:tcPr>
          <w:p w14:paraId="130FEED1">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1</w:t>
            </w:r>
            <w:r>
              <w:rPr>
                <w:rFonts w:ascii="宋体" w:hAnsi="宋体" w:eastAsia="等线" w:cs="Times New Roman"/>
                <w:bCs/>
                <w:color w:val="000000"/>
                <w:szCs w:val="21"/>
              </w:rPr>
              <w:t>.</w:t>
            </w:r>
            <w:r>
              <w:rPr>
                <w:rFonts w:hint="eastAsia" w:ascii="宋体" w:hAnsi="宋体" w:eastAsia="等线" w:cs="Times New Roman"/>
                <w:bCs/>
                <w:color w:val="000000"/>
                <w:szCs w:val="21"/>
              </w:rPr>
              <w:t>小学道德与法治的一般教学过程</w:t>
            </w:r>
          </w:p>
          <w:p w14:paraId="3CC537BE">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2</w:t>
            </w:r>
            <w:r>
              <w:rPr>
                <w:rFonts w:ascii="宋体" w:hAnsi="宋体" w:eastAsia="等线" w:cs="Times New Roman"/>
                <w:bCs/>
                <w:color w:val="000000"/>
                <w:szCs w:val="21"/>
              </w:rPr>
              <w:t>.</w:t>
            </w:r>
            <w:r>
              <w:rPr>
                <w:rFonts w:hint="eastAsia" w:ascii="宋体" w:hAnsi="宋体" w:eastAsia="等线" w:cs="Times New Roman"/>
                <w:bCs/>
                <w:color w:val="000000"/>
                <w:szCs w:val="21"/>
              </w:rPr>
              <w:t>小学道德与法治教学内容的选择</w:t>
            </w:r>
          </w:p>
          <w:p w14:paraId="5644D39C">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3</w:t>
            </w:r>
            <w:r>
              <w:rPr>
                <w:rFonts w:ascii="宋体" w:hAnsi="宋体" w:eastAsia="等线" w:cs="Times New Roman"/>
                <w:bCs/>
                <w:color w:val="000000"/>
                <w:szCs w:val="21"/>
              </w:rPr>
              <w:t>.</w:t>
            </w:r>
            <w:r>
              <w:rPr>
                <w:rFonts w:hint="eastAsia" w:ascii="宋体" w:hAnsi="宋体" w:eastAsia="等线" w:cs="Times New Roman"/>
                <w:bCs/>
                <w:color w:val="000000"/>
                <w:szCs w:val="21"/>
              </w:rPr>
              <w:t>主题式教学设计指导</w:t>
            </w:r>
          </w:p>
        </w:tc>
        <w:tc>
          <w:tcPr>
            <w:tcW w:w="1559" w:type="dxa"/>
            <w:vAlign w:val="center"/>
          </w:tcPr>
          <w:p w14:paraId="6F355823">
            <w:pPr>
              <w:adjustRightInd w:val="0"/>
              <w:snapToGrid w:val="0"/>
              <w:spacing w:line="276" w:lineRule="auto"/>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课程目标2</w:t>
            </w:r>
          </w:p>
          <w:p w14:paraId="7D37FA11">
            <w:pPr>
              <w:adjustRightInd w:val="0"/>
              <w:snapToGrid w:val="0"/>
              <w:spacing w:line="276"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课程目标3</w:t>
            </w:r>
          </w:p>
        </w:tc>
        <w:tc>
          <w:tcPr>
            <w:tcW w:w="1985" w:type="dxa"/>
          </w:tcPr>
          <w:p w14:paraId="4E7729CF">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了解小学道德与法治课程教学的过程，理解道德与法治教学的基本要素与内容选择，掌握并能灵活运用探究式教学、体验式教学和接受式教学过程。</w:t>
            </w:r>
          </w:p>
        </w:tc>
        <w:tc>
          <w:tcPr>
            <w:tcW w:w="1559" w:type="dxa"/>
          </w:tcPr>
          <w:p w14:paraId="0E407CD3">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46D05E5F">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63832F0A">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教学观摩</w:t>
            </w:r>
          </w:p>
        </w:tc>
        <w:tc>
          <w:tcPr>
            <w:tcW w:w="709" w:type="dxa"/>
            <w:vAlign w:val="center"/>
          </w:tcPr>
          <w:p w14:paraId="2BA0B867">
            <w:pPr>
              <w:adjustRightInd w:val="0"/>
              <w:snapToGrid w:val="0"/>
              <w:spacing w:line="360"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6</w:t>
            </w:r>
          </w:p>
        </w:tc>
      </w:tr>
      <w:tr w14:paraId="6197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7593E908">
            <w:pPr>
              <w:adjustRightInd w:val="0"/>
              <w:snapToGrid w:val="0"/>
              <w:spacing w:line="276" w:lineRule="auto"/>
              <w:rPr>
                <w:rFonts w:hint="eastAsia" w:ascii="宋体" w:hAnsi="宋体" w:eastAsia="等线" w:cs="Times New Roman"/>
                <w:bCs/>
                <w:color w:val="000000"/>
                <w:szCs w:val="21"/>
              </w:rPr>
            </w:pPr>
          </w:p>
        </w:tc>
        <w:tc>
          <w:tcPr>
            <w:tcW w:w="7938" w:type="dxa"/>
            <w:gridSpan w:val="5"/>
          </w:tcPr>
          <w:p w14:paraId="6901E789">
            <w:pPr>
              <w:adjustRightInd w:val="0"/>
              <w:snapToGrid w:val="0"/>
              <w:spacing w:line="276" w:lineRule="auto"/>
              <w:jc w:val="left"/>
              <w:rPr>
                <w:rFonts w:hint="eastAsia" w:ascii="宋体" w:hAnsi="宋体" w:eastAsia="等线" w:cs="Times New Roman"/>
                <w:bCs/>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bCs/>
                <w:color w:val="000000"/>
                <w:szCs w:val="21"/>
              </w:rPr>
              <w:t>：辩证认识课程教学的原则与阶段，把马克思主义经典理论和习近平新时代中国特色社会主义思想等马克思主义中国化的最新理论成果融入教学设计过程中，有意识地培育学生正确的教学观，锻炼学生设计教学能力。</w:t>
            </w:r>
          </w:p>
        </w:tc>
      </w:tr>
      <w:tr w14:paraId="7762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0E9CAF98">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第六章</w:t>
            </w:r>
          </w:p>
          <w:p w14:paraId="15BB2BAA">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小学道德与法治教学的基本方法</w:t>
            </w:r>
          </w:p>
        </w:tc>
        <w:tc>
          <w:tcPr>
            <w:tcW w:w="2126" w:type="dxa"/>
          </w:tcPr>
          <w:p w14:paraId="599BB21F">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1</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道德与法治教学的常用方法</w:t>
            </w:r>
          </w:p>
          <w:p w14:paraId="60DA4E05">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2</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道德与法治教学的常用模式</w:t>
            </w:r>
          </w:p>
          <w:p w14:paraId="7448C8F9">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3</w:t>
            </w:r>
            <w:r>
              <w:rPr>
                <w:rFonts w:ascii="宋体" w:hAnsi="宋体" w:eastAsia="等线" w:cs="Times New Roman"/>
                <w:bCs/>
                <w:color w:val="000000"/>
                <w:szCs w:val="21"/>
              </w:rPr>
              <w:t>.</w:t>
            </w:r>
            <w:r>
              <w:rPr>
                <w:rFonts w:hint="eastAsia" w:ascii="宋体" w:hAnsi="宋体" w:eastAsia="等线" w:cs="Times New Roman"/>
                <w:bCs/>
                <w:color w:val="000000"/>
                <w:szCs w:val="21"/>
              </w:rPr>
              <w:t>几种典型的道德与法治教学类型</w:t>
            </w:r>
          </w:p>
        </w:tc>
        <w:tc>
          <w:tcPr>
            <w:tcW w:w="1559" w:type="dxa"/>
            <w:vAlign w:val="center"/>
          </w:tcPr>
          <w:p w14:paraId="3EDEF10F">
            <w:pPr>
              <w:adjustRightInd w:val="0"/>
              <w:snapToGrid w:val="0"/>
              <w:spacing w:line="276"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课程目标3</w:t>
            </w:r>
          </w:p>
        </w:tc>
        <w:tc>
          <w:tcPr>
            <w:tcW w:w="1985" w:type="dxa"/>
          </w:tcPr>
          <w:p w14:paraId="6448F087">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了解道德与法治课程教学的几种常用方法，理解接受教学模式和探究教学模式，掌握模拟游戏、角色扮演、情感体验、合作学习等几种教学类型</w:t>
            </w:r>
          </w:p>
        </w:tc>
        <w:tc>
          <w:tcPr>
            <w:tcW w:w="1559" w:type="dxa"/>
          </w:tcPr>
          <w:p w14:paraId="67705202">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6CE3C149">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144C1EC8">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教学观摩</w:t>
            </w:r>
          </w:p>
        </w:tc>
        <w:tc>
          <w:tcPr>
            <w:tcW w:w="709" w:type="dxa"/>
            <w:vAlign w:val="center"/>
          </w:tcPr>
          <w:p w14:paraId="52225E94">
            <w:pPr>
              <w:adjustRightInd w:val="0"/>
              <w:snapToGrid w:val="0"/>
              <w:spacing w:line="360"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2</w:t>
            </w:r>
          </w:p>
        </w:tc>
      </w:tr>
      <w:tr w14:paraId="7A35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37A8AF88">
            <w:pPr>
              <w:adjustRightInd w:val="0"/>
              <w:snapToGrid w:val="0"/>
              <w:spacing w:line="276" w:lineRule="auto"/>
              <w:rPr>
                <w:rFonts w:hint="eastAsia" w:ascii="宋体" w:hAnsi="宋体" w:eastAsia="等线" w:cs="Times New Roman"/>
                <w:bCs/>
                <w:color w:val="000000"/>
                <w:szCs w:val="21"/>
              </w:rPr>
            </w:pPr>
          </w:p>
        </w:tc>
        <w:tc>
          <w:tcPr>
            <w:tcW w:w="7938" w:type="dxa"/>
            <w:gridSpan w:val="5"/>
          </w:tcPr>
          <w:p w14:paraId="1E87D7BA">
            <w:pPr>
              <w:adjustRightInd w:val="0"/>
              <w:snapToGrid w:val="0"/>
              <w:spacing w:line="276" w:lineRule="auto"/>
              <w:jc w:val="left"/>
              <w:rPr>
                <w:rFonts w:hint="eastAsia" w:ascii="宋体" w:hAnsi="宋体" w:eastAsia="等线" w:cs="Times New Roman"/>
                <w:bCs/>
                <w:color w:val="000000"/>
                <w:szCs w:val="21"/>
              </w:rPr>
            </w:pPr>
            <w:r>
              <w:rPr>
                <w:rFonts w:hint="eastAsia" w:ascii="宋体" w:hAnsi="宋体" w:eastAsia="等线" w:cs="宋体"/>
                <w:b/>
                <w:kern w:val="0"/>
                <w:szCs w:val="21"/>
              </w:rPr>
              <w:t>课程思政目标：</w:t>
            </w:r>
            <w:r>
              <w:rPr>
                <w:rFonts w:hint="eastAsia" w:ascii="宋体" w:hAnsi="宋体" w:eastAsia="等线" w:cs="宋体"/>
                <w:kern w:val="0"/>
                <w:szCs w:val="21"/>
              </w:rPr>
              <w:t>辩证认识方法的工具性与人文性，把马克思主义经典理论和习近平新时代中国特色社会主义思想等马克思主义中国化的最新理论成果融入教学设计过程中，通过多样的方法，有效的进行思政教育。</w:t>
            </w:r>
          </w:p>
        </w:tc>
      </w:tr>
      <w:tr w14:paraId="3AC4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3324FEF2">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第七章</w:t>
            </w:r>
          </w:p>
          <w:p w14:paraId="0C97BD0C">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小学道德与法治课程的评价原则与方式</w:t>
            </w:r>
          </w:p>
        </w:tc>
        <w:tc>
          <w:tcPr>
            <w:tcW w:w="2126" w:type="dxa"/>
          </w:tcPr>
          <w:p w14:paraId="1AD1AE86">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1</w:t>
            </w:r>
            <w:r>
              <w:rPr>
                <w:rFonts w:ascii="宋体" w:hAnsi="宋体" w:eastAsia="等线" w:cs="Times New Roman"/>
                <w:bCs/>
                <w:color w:val="000000"/>
                <w:szCs w:val="21"/>
              </w:rPr>
              <w:t>.</w:t>
            </w:r>
            <w:r>
              <w:rPr>
                <w:rFonts w:hint="eastAsia" w:ascii="宋体" w:hAnsi="宋体" w:eastAsia="等线" w:cs="Times New Roman"/>
                <w:bCs/>
                <w:color w:val="000000"/>
                <w:szCs w:val="21"/>
              </w:rPr>
              <w:t>儿童道德评价的教育理念</w:t>
            </w:r>
          </w:p>
          <w:p w14:paraId="3EBBC8C2">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2</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道德与法治课程中教学评价的基本原则与方法</w:t>
            </w:r>
          </w:p>
          <w:p w14:paraId="6CE9DFF1">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3</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道德与法治课程中学习评价的原则与方法</w:t>
            </w:r>
          </w:p>
        </w:tc>
        <w:tc>
          <w:tcPr>
            <w:tcW w:w="1559" w:type="dxa"/>
            <w:vAlign w:val="center"/>
          </w:tcPr>
          <w:p w14:paraId="62101A98">
            <w:pPr>
              <w:adjustRightInd w:val="0"/>
              <w:snapToGrid w:val="0"/>
              <w:spacing w:line="276"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课程目标4</w:t>
            </w:r>
          </w:p>
        </w:tc>
        <w:tc>
          <w:tcPr>
            <w:tcW w:w="1985" w:type="dxa"/>
          </w:tcPr>
          <w:p w14:paraId="043C7B2A">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了解小学道德与法治课程标准中课程评价的要求，理解在道德与法治课程中进行评价的教育目的，掌握道德与法治课程中教学评价和学习评价的基本原则和方法。</w:t>
            </w:r>
          </w:p>
        </w:tc>
        <w:tc>
          <w:tcPr>
            <w:tcW w:w="1559" w:type="dxa"/>
          </w:tcPr>
          <w:p w14:paraId="306EAFD5">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65696A89">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1F4F8DC2">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教学观摩</w:t>
            </w:r>
          </w:p>
        </w:tc>
        <w:tc>
          <w:tcPr>
            <w:tcW w:w="709" w:type="dxa"/>
            <w:vAlign w:val="center"/>
          </w:tcPr>
          <w:p w14:paraId="1A9E9F62">
            <w:pPr>
              <w:adjustRightInd w:val="0"/>
              <w:snapToGrid w:val="0"/>
              <w:spacing w:line="360"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6</w:t>
            </w:r>
          </w:p>
        </w:tc>
      </w:tr>
      <w:tr w14:paraId="66CD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446501E3">
            <w:pPr>
              <w:adjustRightInd w:val="0"/>
              <w:snapToGrid w:val="0"/>
              <w:spacing w:line="276" w:lineRule="auto"/>
              <w:rPr>
                <w:rFonts w:hint="eastAsia" w:ascii="宋体" w:hAnsi="宋体" w:eastAsia="等线" w:cs="Times New Roman"/>
                <w:bCs/>
                <w:color w:val="000000"/>
                <w:szCs w:val="21"/>
              </w:rPr>
            </w:pPr>
          </w:p>
        </w:tc>
        <w:tc>
          <w:tcPr>
            <w:tcW w:w="7938" w:type="dxa"/>
            <w:gridSpan w:val="5"/>
          </w:tcPr>
          <w:p w14:paraId="0F05CC0C">
            <w:pPr>
              <w:adjustRightInd w:val="0"/>
              <w:snapToGrid w:val="0"/>
              <w:spacing w:line="276" w:lineRule="auto"/>
              <w:jc w:val="left"/>
              <w:rPr>
                <w:rFonts w:hint="eastAsia" w:ascii="宋体" w:hAnsi="宋体" w:eastAsia="等线" w:cs="Times New Roman"/>
                <w:bCs/>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bCs/>
                <w:color w:val="000000"/>
                <w:szCs w:val="21"/>
              </w:rPr>
              <w:t>辩证认识教育评价的工具性与人文性，把马克思主义经典理论和习近平新时代中国特色社会主义思想等马克思主义中国化的最新理论成果融入教学评价过程中，通过评价促进教学。</w:t>
            </w:r>
          </w:p>
        </w:tc>
      </w:tr>
      <w:tr w14:paraId="597E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1F8C97D7">
            <w:pPr>
              <w:adjustRightInd w:val="0"/>
              <w:snapToGrid w:val="0"/>
              <w:spacing w:line="276" w:lineRule="auto"/>
              <w:rPr>
                <w:rFonts w:ascii="宋体" w:hAnsi="宋体" w:eastAsia="等线" w:cs="Times New Roman"/>
                <w:bCs/>
                <w:color w:val="000000"/>
                <w:szCs w:val="21"/>
              </w:rPr>
            </w:pPr>
            <w:r>
              <w:rPr>
                <w:rFonts w:hint="eastAsia" w:ascii="宋体" w:hAnsi="宋体" w:eastAsia="等线" w:cs="Times New Roman"/>
                <w:bCs/>
                <w:color w:val="000000"/>
                <w:szCs w:val="21"/>
              </w:rPr>
              <w:t>第八章</w:t>
            </w:r>
          </w:p>
          <w:p w14:paraId="65500233">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小学德育教师专业发展</w:t>
            </w:r>
          </w:p>
        </w:tc>
        <w:tc>
          <w:tcPr>
            <w:tcW w:w="2126" w:type="dxa"/>
          </w:tcPr>
          <w:p w14:paraId="7F3065D5">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1</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道德与法治课教师的角色和行为</w:t>
            </w:r>
          </w:p>
          <w:p w14:paraId="77EF1115">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2</w:t>
            </w:r>
            <w:r>
              <w:rPr>
                <w:rFonts w:ascii="宋体" w:hAnsi="宋体" w:eastAsia="等线" w:cs="Times New Roman"/>
                <w:bCs/>
                <w:color w:val="000000"/>
                <w:szCs w:val="21"/>
              </w:rPr>
              <w:t>.</w:t>
            </w:r>
            <w:r>
              <w:rPr>
                <w:rFonts w:hint="eastAsia" w:ascii="宋体" w:hAnsi="宋体" w:eastAsia="等线" w:cs="Times New Roman"/>
                <w:bCs/>
                <w:color w:val="000000"/>
                <w:szCs w:val="21"/>
              </w:rPr>
              <w:t>道德与法治课教师的基本素质和专业化发展路径</w:t>
            </w:r>
          </w:p>
        </w:tc>
        <w:tc>
          <w:tcPr>
            <w:tcW w:w="1559" w:type="dxa"/>
            <w:vAlign w:val="center"/>
          </w:tcPr>
          <w:p w14:paraId="3222E876">
            <w:pPr>
              <w:adjustRightInd w:val="0"/>
              <w:snapToGrid w:val="0"/>
              <w:spacing w:line="276"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课程目标5</w:t>
            </w:r>
          </w:p>
        </w:tc>
        <w:tc>
          <w:tcPr>
            <w:tcW w:w="1985" w:type="dxa"/>
          </w:tcPr>
          <w:p w14:paraId="1F1BD7B3">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Cs/>
                <w:color w:val="000000"/>
                <w:szCs w:val="21"/>
              </w:rPr>
              <w:t>了解小学道德与法治教师的专业发展趋势，掌握道德与法治教师的专业角色与基本素养要求。</w:t>
            </w:r>
          </w:p>
        </w:tc>
        <w:tc>
          <w:tcPr>
            <w:tcW w:w="1559" w:type="dxa"/>
          </w:tcPr>
          <w:p w14:paraId="42B09574">
            <w:pPr>
              <w:spacing w:line="276" w:lineRule="auto"/>
              <w:jc w:val="left"/>
              <w:rPr>
                <w:rFonts w:ascii="宋体" w:hAnsi="宋体" w:eastAsia="等线" w:cs="Times New Roman"/>
                <w:szCs w:val="21"/>
              </w:rPr>
            </w:pPr>
            <w:r>
              <w:rPr>
                <w:rFonts w:hint="eastAsia" w:ascii="宋体" w:hAnsi="宋体" w:eastAsia="等线" w:cs="Times New Roman"/>
                <w:szCs w:val="21"/>
              </w:rPr>
              <w:t>1.多媒体教学</w:t>
            </w:r>
          </w:p>
          <w:p w14:paraId="0C7D9E06">
            <w:pPr>
              <w:spacing w:line="276" w:lineRule="auto"/>
              <w:jc w:val="left"/>
              <w:rPr>
                <w:rFonts w:ascii="宋体" w:hAnsi="宋体" w:eastAsia="等线" w:cs="Times New Roman"/>
                <w:szCs w:val="21"/>
              </w:rPr>
            </w:pPr>
            <w:r>
              <w:rPr>
                <w:rFonts w:hint="eastAsia" w:ascii="宋体" w:hAnsi="宋体" w:eastAsia="等线" w:cs="Times New Roman"/>
                <w:szCs w:val="21"/>
              </w:rPr>
              <w:t>2.课堂讨论</w:t>
            </w:r>
          </w:p>
          <w:p w14:paraId="367A0DF9">
            <w:pPr>
              <w:spacing w:line="276" w:lineRule="auto"/>
              <w:jc w:val="left"/>
              <w:rPr>
                <w:rFonts w:hint="eastAsia" w:ascii="宋体" w:hAnsi="宋体" w:eastAsia="等线" w:cs="Times New Roman"/>
                <w:szCs w:val="21"/>
              </w:rPr>
            </w:pPr>
            <w:r>
              <w:rPr>
                <w:rFonts w:hint="eastAsia" w:ascii="宋体" w:hAnsi="宋体" w:eastAsia="等线" w:cs="Times New Roman"/>
                <w:szCs w:val="21"/>
              </w:rPr>
              <w:t>3</w:t>
            </w:r>
            <w:r>
              <w:rPr>
                <w:rFonts w:ascii="宋体" w:hAnsi="宋体" w:eastAsia="等线" w:cs="Times New Roman"/>
                <w:szCs w:val="21"/>
              </w:rPr>
              <w:t>.</w:t>
            </w:r>
            <w:r>
              <w:rPr>
                <w:rFonts w:hint="eastAsia" w:ascii="宋体" w:hAnsi="宋体" w:eastAsia="等线" w:cs="Times New Roman"/>
                <w:szCs w:val="21"/>
              </w:rPr>
              <w:t>案例分析</w:t>
            </w:r>
          </w:p>
        </w:tc>
        <w:tc>
          <w:tcPr>
            <w:tcW w:w="709" w:type="dxa"/>
            <w:vAlign w:val="center"/>
          </w:tcPr>
          <w:p w14:paraId="5796BFBB">
            <w:pPr>
              <w:adjustRightInd w:val="0"/>
              <w:snapToGrid w:val="0"/>
              <w:spacing w:line="360" w:lineRule="auto"/>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2</w:t>
            </w:r>
          </w:p>
        </w:tc>
      </w:tr>
      <w:tr w14:paraId="479B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47278F62">
            <w:pPr>
              <w:adjustRightInd w:val="0"/>
              <w:snapToGrid w:val="0"/>
              <w:spacing w:line="276" w:lineRule="auto"/>
              <w:rPr>
                <w:rFonts w:hint="eastAsia" w:ascii="宋体" w:hAnsi="宋体" w:eastAsia="等线" w:cs="Times New Roman"/>
                <w:bCs/>
                <w:color w:val="000000"/>
                <w:szCs w:val="21"/>
              </w:rPr>
            </w:pPr>
          </w:p>
        </w:tc>
        <w:tc>
          <w:tcPr>
            <w:tcW w:w="7938" w:type="dxa"/>
            <w:gridSpan w:val="5"/>
            <w:vAlign w:val="center"/>
          </w:tcPr>
          <w:p w14:paraId="672FBD82">
            <w:pPr>
              <w:adjustRightInd w:val="0"/>
              <w:snapToGrid w:val="0"/>
              <w:spacing w:line="276" w:lineRule="auto"/>
              <w:rPr>
                <w:rFonts w:hint="eastAsia" w:ascii="宋体" w:hAnsi="宋体" w:eastAsia="等线" w:cs="Times New Roman"/>
                <w:bCs/>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bCs/>
                <w:color w:val="000000"/>
                <w:szCs w:val="21"/>
              </w:rPr>
              <w:t>辩证认识德育教师的角色与行为，把马克思主义经典理论和习近平新时代中国特色社会主义思想等马克思主义中国化的最新理论成果融入对德育工作的分析中，自觉促进专业发展。</w:t>
            </w:r>
          </w:p>
        </w:tc>
      </w:tr>
    </w:tbl>
    <w:p w14:paraId="45F42649">
      <w:pPr>
        <w:adjustRightInd w:val="0"/>
        <w:snapToGrid w:val="0"/>
        <w:spacing w:line="360" w:lineRule="auto"/>
        <w:ind w:firstLine="422" w:firstLineChars="200"/>
        <w:rPr>
          <w:rFonts w:ascii="宋体" w:hAnsi="宋体" w:eastAsia="宋体" w:cs="Times New Roman"/>
          <w:b/>
          <w:szCs w:val="22"/>
        </w:rPr>
      </w:pPr>
    </w:p>
    <w:p w14:paraId="15A9719B">
      <w:pPr>
        <w:adjustRightInd w:val="0"/>
        <w:snapToGrid w:val="0"/>
        <w:spacing w:line="360" w:lineRule="auto"/>
        <w:ind w:firstLine="422" w:firstLineChars="200"/>
        <w:rPr>
          <w:rFonts w:ascii="宋体" w:hAnsi="宋体" w:eastAsia="宋体" w:cs="Times New Roman"/>
          <w:b/>
          <w:szCs w:val="22"/>
        </w:rPr>
      </w:pPr>
      <w:r>
        <w:rPr>
          <w:rFonts w:hint="eastAsia" w:ascii="宋体" w:hAnsi="宋体" w:eastAsia="宋体" w:cs="Times New Roman"/>
          <w:b/>
          <w:szCs w:val="22"/>
        </w:rPr>
        <w:t>四、目标评价与成绩评定</w:t>
      </w:r>
    </w:p>
    <w:p w14:paraId="0B3E9386">
      <w:pPr>
        <w:adjustRightInd w:val="0"/>
        <w:snapToGrid w:val="0"/>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3123AA9">
      <w:pPr>
        <w:adjustRightInd w:val="0"/>
        <w:snapToGri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EB33E77">
      <w:pPr>
        <w:adjustRightInd w:val="0"/>
        <w:snapToGrid w:val="0"/>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551A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0FC3D16D">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课程目标</w:t>
            </w:r>
          </w:p>
        </w:tc>
        <w:tc>
          <w:tcPr>
            <w:tcW w:w="5670" w:type="dxa"/>
            <w:gridSpan w:val="4"/>
          </w:tcPr>
          <w:p w14:paraId="63F41473">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评价与成绩评定方法</w:t>
            </w:r>
          </w:p>
        </w:tc>
        <w:tc>
          <w:tcPr>
            <w:tcW w:w="1355" w:type="dxa"/>
            <w:vMerge w:val="restart"/>
            <w:vAlign w:val="center"/>
          </w:tcPr>
          <w:p w14:paraId="52D2B208">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分值</w:t>
            </w:r>
          </w:p>
        </w:tc>
      </w:tr>
      <w:tr w14:paraId="26B9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3C498739">
            <w:pPr>
              <w:adjustRightInd w:val="0"/>
              <w:snapToGrid w:val="0"/>
              <w:spacing w:line="276" w:lineRule="auto"/>
              <w:jc w:val="center"/>
              <w:rPr>
                <w:rFonts w:ascii="宋体" w:hAnsi="宋体" w:eastAsia="等线" w:cs="Times New Roman"/>
                <w:szCs w:val="21"/>
              </w:rPr>
            </w:pPr>
          </w:p>
        </w:tc>
        <w:tc>
          <w:tcPr>
            <w:tcW w:w="1559" w:type="dxa"/>
            <w:vAlign w:val="center"/>
          </w:tcPr>
          <w:p w14:paraId="780B2EEF">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课堂发言</w:t>
            </w:r>
          </w:p>
        </w:tc>
        <w:tc>
          <w:tcPr>
            <w:tcW w:w="1418" w:type="dxa"/>
            <w:vAlign w:val="center"/>
          </w:tcPr>
          <w:p w14:paraId="63232E29">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平时作业</w:t>
            </w:r>
          </w:p>
        </w:tc>
        <w:tc>
          <w:tcPr>
            <w:tcW w:w="1276" w:type="dxa"/>
            <w:vAlign w:val="center"/>
          </w:tcPr>
          <w:p w14:paraId="32687D28">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课内实践</w:t>
            </w:r>
          </w:p>
        </w:tc>
        <w:tc>
          <w:tcPr>
            <w:tcW w:w="1417" w:type="dxa"/>
            <w:vAlign w:val="center"/>
          </w:tcPr>
          <w:p w14:paraId="336B68CA">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期末考试</w:t>
            </w:r>
          </w:p>
        </w:tc>
        <w:tc>
          <w:tcPr>
            <w:tcW w:w="1355" w:type="dxa"/>
            <w:vMerge w:val="continue"/>
            <w:vAlign w:val="center"/>
          </w:tcPr>
          <w:p w14:paraId="4C489FAF">
            <w:pPr>
              <w:adjustRightInd w:val="0"/>
              <w:snapToGrid w:val="0"/>
              <w:spacing w:line="276" w:lineRule="auto"/>
              <w:jc w:val="center"/>
              <w:rPr>
                <w:rFonts w:ascii="宋体" w:hAnsi="宋体" w:eastAsia="等线" w:cs="Times New Roman"/>
                <w:szCs w:val="21"/>
              </w:rPr>
            </w:pPr>
          </w:p>
        </w:tc>
      </w:tr>
      <w:tr w14:paraId="7CDC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18F3692C">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课程目标1</w:t>
            </w:r>
          </w:p>
        </w:tc>
        <w:tc>
          <w:tcPr>
            <w:tcW w:w="1559" w:type="dxa"/>
            <w:vAlign w:val="center"/>
          </w:tcPr>
          <w:p w14:paraId="23396C44">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8" w:type="dxa"/>
            <w:vAlign w:val="center"/>
          </w:tcPr>
          <w:p w14:paraId="681E7038">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276" w:type="dxa"/>
            <w:vAlign w:val="center"/>
          </w:tcPr>
          <w:p w14:paraId="2F0338BF">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7" w:type="dxa"/>
            <w:vAlign w:val="center"/>
          </w:tcPr>
          <w:p w14:paraId="091CB67A">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355" w:type="dxa"/>
            <w:vAlign w:val="center"/>
          </w:tcPr>
          <w:p w14:paraId="34219311">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t>20</w:t>
            </w:r>
          </w:p>
        </w:tc>
      </w:tr>
      <w:tr w14:paraId="35FF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91E4EEC">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课程目标2</w:t>
            </w:r>
          </w:p>
        </w:tc>
        <w:tc>
          <w:tcPr>
            <w:tcW w:w="1559" w:type="dxa"/>
            <w:vAlign w:val="center"/>
          </w:tcPr>
          <w:p w14:paraId="5DD381A3">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8" w:type="dxa"/>
            <w:vAlign w:val="center"/>
          </w:tcPr>
          <w:p w14:paraId="6750D346">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276" w:type="dxa"/>
            <w:vAlign w:val="center"/>
          </w:tcPr>
          <w:p w14:paraId="601B9057">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7" w:type="dxa"/>
            <w:vAlign w:val="center"/>
          </w:tcPr>
          <w:p w14:paraId="40D096B1">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355" w:type="dxa"/>
            <w:vAlign w:val="center"/>
          </w:tcPr>
          <w:p w14:paraId="0E61904E">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t>30</w:t>
            </w:r>
          </w:p>
        </w:tc>
      </w:tr>
      <w:tr w14:paraId="7D41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4E6016F">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课程目标3</w:t>
            </w:r>
          </w:p>
        </w:tc>
        <w:tc>
          <w:tcPr>
            <w:tcW w:w="1559" w:type="dxa"/>
            <w:vAlign w:val="center"/>
          </w:tcPr>
          <w:p w14:paraId="2BCEBA0F">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8" w:type="dxa"/>
            <w:vAlign w:val="center"/>
          </w:tcPr>
          <w:p w14:paraId="4B99E6E2">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276" w:type="dxa"/>
            <w:vAlign w:val="center"/>
          </w:tcPr>
          <w:p w14:paraId="710C0D95">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7" w:type="dxa"/>
            <w:vAlign w:val="center"/>
          </w:tcPr>
          <w:p w14:paraId="49699399">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355" w:type="dxa"/>
            <w:vAlign w:val="center"/>
          </w:tcPr>
          <w:p w14:paraId="18DBC84E">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t>30</w:t>
            </w:r>
          </w:p>
        </w:tc>
      </w:tr>
      <w:tr w14:paraId="005F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1" w:type="dxa"/>
            <w:vAlign w:val="center"/>
          </w:tcPr>
          <w:p w14:paraId="67BC7A4E">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课程目标4</w:t>
            </w:r>
          </w:p>
        </w:tc>
        <w:tc>
          <w:tcPr>
            <w:tcW w:w="1559" w:type="dxa"/>
          </w:tcPr>
          <w:p w14:paraId="47273570">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8" w:type="dxa"/>
          </w:tcPr>
          <w:p w14:paraId="77B2F95C">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276" w:type="dxa"/>
          </w:tcPr>
          <w:p w14:paraId="4F94C500">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417" w:type="dxa"/>
          </w:tcPr>
          <w:p w14:paraId="6FFD1E78">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sym w:font="Wingdings 2" w:char="F050"/>
            </w:r>
          </w:p>
        </w:tc>
        <w:tc>
          <w:tcPr>
            <w:tcW w:w="1355" w:type="dxa"/>
            <w:vAlign w:val="center"/>
          </w:tcPr>
          <w:p w14:paraId="1631E207">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t>20</w:t>
            </w:r>
          </w:p>
        </w:tc>
      </w:tr>
      <w:tr w14:paraId="5C50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804CEBF">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合计</w:t>
            </w:r>
          </w:p>
        </w:tc>
        <w:tc>
          <w:tcPr>
            <w:tcW w:w="1559" w:type="dxa"/>
            <w:vAlign w:val="center"/>
          </w:tcPr>
          <w:p w14:paraId="46555CD9">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1</w:t>
            </w:r>
            <w:r>
              <w:rPr>
                <w:rFonts w:ascii="宋体" w:hAnsi="宋体" w:eastAsia="等线" w:cs="Times New Roman"/>
                <w:szCs w:val="21"/>
              </w:rPr>
              <w:t>0</w:t>
            </w:r>
          </w:p>
        </w:tc>
        <w:tc>
          <w:tcPr>
            <w:tcW w:w="1418" w:type="dxa"/>
            <w:vAlign w:val="center"/>
          </w:tcPr>
          <w:p w14:paraId="03A70F9A">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t>20</w:t>
            </w:r>
          </w:p>
        </w:tc>
        <w:tc>
          <w:tcPr>
            <w:tcW w:w="1276" w:type="dxa"/>
            <w:vAlign w:val="center"/>
          </w:tcPr>
          <w:p w14:paraId="5EB9DA06">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2</w:t>
            </w:r>
            <w:r>
              <w:rPr>
                <w:rFonts w:ascii="宋体" w:hAnsi="宋体" w:eastAsia="等线" w:cs="Times New Roman"/>
                <w:szCs w:val="21"/>
              </w:rPr>
              <w:t>0</w:t>
            </w:r>
          </w:p>
        </w:tc>
        <w:tc>
          <w:tcPr>
            <w:tcW w:w="1417" w:type="dxa"/>
            <w:vAlign w:val="center"/>
          </w:tcPr>
          <w:p w14:paraId="6FF12886">
            <w:pPr>
              <w:adjustRightInd w:val="0"/>
              <w:snapToGrid w:val="0"/>
              <w:spacing w:line="276" w:lineRule="auto"/>
              <w:jc w:val="center"/>
              <w:rPr>
                <w:rFonts w:ascii="宋体" w:hAnsi="宋体" w:eastAsia="等线" w:cs="Times New Roman"/>
                <w:szCs w:val="21"/>
              </w:rPr>
            </w:pPr>
            <w:r>
              <w:rPr>
                <w:rFonts w:ascii="宋体" w:hAnsi="宋体" w:eastAsia="等线" w:cs="Times New Roman"/>
                <w:szCs w:val="21"/>
              </w:rPr>
              <w:t>50</w:t>
            </w:r>
          </w:p>
        </w:tc>
        <w:tc>
          <w:tcPr>
            <w:tcW w:w="1355" w:type="dxa"/>
            <w:vAlign w:val="center"/>
          </w:tcPr>
          <w:p w14:paraId="094315B1">
            <w:pPr>
              <w:adjustRightInd w:val="0"/>
              <w:snapToGrid w:val="0"/>
              <w:spacing w:line="276" w:lineRule="auto"/>
              <w:jc w:val="center"/>
              <w:rPr>
                <w:rFonts w:ascii="宋体" w:hAnsi="宋体" w:eastAsia="等线" w:cs="Times New Roman"/>
                <w:szCs w:val="21"/>
              </w:rPr>
            </w:pPr>
            <w:r>
              <w:rPr>
                <w:rFonts w:hint="eastAsia" w:ascii="宋体" w:hAnsi="宋体" w:eastAsia="等线" w:cs="Times New Roman"/>
                <w:szCs w:val="21"/>
              </w:rPr>
              <w:t>100</w:t>
            </w:r>
          </w:p>
        </w:tc>
      </w:tr>
    </w:tbl>
    <w:p w14:paraId="6AFDEBF0">
      <w:pPr>
        <w:spacing w:before="156" w:beforeLines="50" w:line="360" w:lineRule="auto"/>
        <w:ind w:firstLine="422" w:firstLineChars="200"/>
        <w:jc w:val="left"/>
        <w:rPr>
          <w:rFonts w:ascii="Times New Roman" w:hAnsi="Times New Roman" w:eastAsia="宋体" w:cs="Times New Roman"/>
          <w:b/>
          <w:szCs w:val="21"/>
        </w:rPr>
      </w:pPr>
      <w:r>
        <w:rPr>
          <w:rFonts w:hint="eastAsia" w:ascii="宋体" w:hAnsi="宋体" w:eastAsia="宋体" w:cs="Times New Roman"/>
          <w:b/>
          <w:szCs w:val="22"/>
        </w:rPr>
        <w:t>（二）</w:t>
      </w:r>
      <w:r>
        <w:rPr>
          <w:rFonts w:hint="eastAsia" w:ascii="Times New Roman" w:hAnsi="Times New Roman" w:eastAsia="宋体" w:cs="Times New Roman"/>
          <w:b/>
          <w:szCs w:val="21"/>
        </w:rPr>
        <w:t>成绩评定细则</w:t>
      </w:r>
    </w:p>
    <w:p w14:paraId="59562AE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9F773D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6064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3BEFDB17">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509" w:type="dxa"/>
            <w:vAlign w:val="center"/>
          </w:tcPr>
          <w:p w14:paraId="0A4AB6BB">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9D4DC36">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D89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5E984C2F">
            <w:pPr>
              <w:snapToGrid w:val="0"/>
              <w:spacing w:line="276" w:lineRule="auto"/>
              <w:rPr>
                <w:rFonts w:ascii="宋体" w:hAnsi="宋体" w:eastAsia="宋体" w:cs="Times New Roman"/>
                <w:szCs w:val="21"/>
              </w:rPr>
            </w:pPr>
            <w:r>
              <w:rPr>
                <w:rFonts w:hint="eastAsia" w:ascii="宋体" w:hAnsi="宋体" w:eastAsia="宋体" w:cs="Times New Roman"/>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50BDAA7A">
            <w:pPr>
              <w:snapToGrid w:val="0"/>
              <w:spacing w:line="276" w:lineRule="auto"/>
              <w:rPr>
                <w:rFonts w:ascii="宋体" w:hAnsi="宋体" w:eastAsia="宋体" w:cs="Times New Roman"/>
                <w:szCs w:val="21"/>
              </w:rPr>
            </w:pPr>
            <w:r>
              <w:rPr>
                <w:rFonts w:hint="eastAsia" w:ascii="宋体" w:hAnsi="宋体" w:eastAsia="宋体" w:cs="Times New Roman"/>
                <w:szCs w:val="21"/>
              </w:rPr>
              <w:t>根据学生课堂发言情况、学习</w:t>
            </w:r>
            <w:r>
              <w:rPr>
                <w:rFonts w:ascii="宋体" w:hAnsi="宋体" w:eastAsia="宋体" w:cs="Times New Roman"/>
                <w:szCs w:val="21"/>
              </w:rPr>
              <w:t>态度</w:t>
            </w:r>
            <w:r>
              <w:rPr>
                <w:rFonts w:hint="eastAsia" w:ascii="宋体" w:hAnsi="宋体" w:eastAsia="宋体" w:cs="Times New Roman"/>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2D0A028D">
            <w:pPr>
              <w:snapToGrid w:val="0"/>
              <w:spacing w:line="276" w:lineRule="auto"/>
              <w:rPr>
                <w:rFonts w:ascii="宋体" w:hAnsi="宋体" w:eastAsia="宋体" w:cs="Times New Roman"/>
                <w:szCs w:val="21"/>
              </w:rPr>
            </w:pPr>
            <w:r>
              <w:rPr>
                <w:rFonts w:ascii="宋体" w:hAnsi="宋体" w:eastAsia="宋体" w:cs="Times New Roman"/>
                <w:szCs w:val="21"/>
              </w:rPr>
              <w:t>10%</w:t>
            </w:r>
          </w:p>
        </w:tc>
      </w:tr>
      <w:tr w14:paraId="408E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69EAEB3C">
            <w:pPr>
              <w:snapToGrid w:val="0"/>
              <w:spacing w:line="276" w:lineRule="auto"/>
              <w:rPr>
                <w:rFonts w:ascii="宋体" w:hAnsi="宋体" w:eastAsia="宋体" w:cs="Times New Roman"/>
                <w:szCs w:val="21"/>
              </w:rPr>
            </w:pPr>
            <w:r>
              <w:rPr>
                <w:rFonts w:hint="eastAsia" w:ascii="宋体" w:hAnsi="宋体" w:eastAsia="宋体" w:cs="Times New Roman"/>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0B5F06C4">
            <w:pPr>
              <w:snapToGrid w:val="0"/>
              <w:spacing w:line="276" w:lineRule="auto"/>
              <w:rPr>
                <w:rFonts w:ascii="宋体" w:hAnsi="宋体" w:eastAsia="宋体" w:cs="Times New Roman"/>
                <w:szCs w:val="21"/>
              </w:rPr>
            </w:pPr>
            <w:r>
              <w:rPr>
                <w:rFonts w:ascii="宋体" w:hAnsi="宋体" w:eastAsia="宋体" w:cs="Times New Roman"/>
                <w:color w:val="000000"/>
                <w:szCs w:val="22"/>
              </w:rPr>
              <w:t>考核学生对</w:t>
            </w:r>
            <w:r>
              <w:rPr>
                <w:rFonts w:hint="eastAsia" w:ascii="宋体" w:hAnsi="宋体" w:eastAsia="宋体" w:cs="Times New Roman"/>
                <w:color w:val="000000"/>
                <w:szCs w:val="22"/>
              </w:rPr>
              <w:t>各章节重要</w:t>
            </w:r>
            <w:r>
              <w:rPr>
                <w:rFonts w:ascii="宋体" w:hAnsi="宋体" w:eastAsia="宋体" w:cs="Times New Roman"/>
                <w:color w:val="000000"/>
                <w:szCs w:val="22"/>
              </w:rPr>
              <w:t>知识点的理解和掌握</w:t>
            </w:r>
            <w:r>
              <w:rPr>
                <w:rFonts w:hint="eastAsia" w:ascii="宋体" w:hAnsi="宋体" w:eastAsia="宋体" w:cs="Times New Roman"/>
                <w:color w:val="000000"/>
                <w:szCs w:val="22"/>
              </w:rPr>
              <w:t>情况</w:t>
            </w:r>
            <w:r>
              <w:rPr>
                <w:rFonts w:ascii="宋体" w:hAnsi="宋体" w:eastAsia="宋体" w:cs="Times New Roman"/>
                <w:color w:val="000000"/>
                <w:szCs w:val="22"/>
              </w:rPr>
              <w:t>，</w:t>
            </w:r>
            <w:r>
              <w:rPr>
                <w:rFonts w:hint="eastAsia" w:ascii="宋体" w:hAnsi="宋体" w:eastAsia="宋体" w:cs="Times New Roman"/>
                <w:color w:val="000000"/>
                <w:szCs w:val="22"/>
              </w:rPr>
              <w:t>作业次数不少于3次，安排在课后，教师批改反馈并进行讲解。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356BB70D">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3676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3C622DFA">
            <w:pPr>
              <w:snapToGrid w:val="0"/>
              <w:spacing w:line="276" w:lineRule="auto"/>
              <w:rPr>
                <w:rFonts w:ascii="宋体" w:hAnsi="宋体" w:eastAsia="宋体" w:cs="Times New Roman"/>
                <w:szCs w:val="21"/>
              </w:rPr>
            </w:pPr>
            <w:r>
              <w:rPr>
                <w:rFonts w:hint="eastAsia" w:ascii="宋体" w:hAnsi="宋体" w:eastAsia="宋体" w:cs="Times New Roman"/>
                <w:szCs w:val="21"/>
              </w:rPr>
              <w:t>课内实践</w:t>
            </w:r>
          </w:p>
        </w:tc>
        <w:tc>
          <w:tcPr>
            <w:tcW w:w="7509" w:type="dxa"/>
            <w:tcBorders>
              <w:top w:val="single" w:color="auto" w:sz="4" w:space="0"/>
              <w:left w:val="single" w:color="auto" w:sz="4" w:space="0"/>
              <w:bottom w:val="single" w:color="auto" w:sz="4" w:space="0"/>
              <w:right w:val="single" w:color="auto" w:sz="4" w:space="0"/>
            </w:tcBorders>
            <w:vAlign w:val="center"/>
          </w:tcPr>
          <w:p w14:paraId="326E6CE5">
            <w:pPr>
              <w:snapToGrid w:val="0"/>
              <w:spacing w:line="276" w:lineRule="auto"/>
              <w:rPr>
                <w:rFonts w:ascii="宋体" w:hAnsi="宋体" w:eastAsia="宋体" w:cs="Times New Roman"/>
                <w:szCs w:val="21"/>
              </w:rPr>
            </w:pPr>
            <w:r>
              <w:rPr>
                <w:rFonts w:hint="eastAsia" w:ascii="宋体" w:hAnsi="宋体" w:eastAsia="宋体" w:cs="Times New Roman"/>
                <w:color w:val="000000"/>
                <w:szCs w:val="22"/>
              </w:rPr>
              <w:t>按照实践主题要求，准备相应的实践内容，并进行汇报。部分主题需要小组合作。</w:t>
            </w:r>
            <w:r>
              <w:rPr>
                <w:rFonts w:ascii="宋体" w:hAnsi="宋体" w:eastAsia="宋体" w:cs="宋体"/>
                <w:color w:val="000000"/>
                <w:kern w:val="0"/>
                <w:szCs w:val="21"/>
              </w:rPr>
              <w:t>主要考核学生应用</w:t>
            </w:r>
            <w:r>
              <w:rPr>
                <w:rFonts w:hint="eastAsia" w:ascii="宋体" w:hAnsi="宋体" w:eastAsia="宋体" w:cs="宋体"/>
                <w:color w:val="000000"/>
                <w:kern w:val="0"/>
                <w:szCs w:val="21"/>
              </w:rPr>
              <w:t>小学道德与法治教学理论进行课程分析、设计</w:t>
            </w:r>
            <w:r>
              <w:rPr>
                <w:rFonts w:ascii="宋体" w:hAnsi="宋体" w:eastAsia="宋体" w:cs="宋体"/>
                <w:color w:val="000000"/>
                <w:kern w:val="0"/>
                <w:szCs w:val="21"/>
              </w:rPr>
              <w:t>与评价</w:t>
            </w:r>
            <w:r>
              <w:rPr>
                <w:rFonts w:hint="eastAsia" w:ascii="宋体" w:hAnsi="宋体" w:eastAsia="宋体" w:cs="宋体"/>
                <w:color w:val="000000"/>
                <w:kern w:val="0"/>
                <w:szCs w:val="21"/>
              </w:rPr>
              <w:t>的</w:t>
            </w:r>
            <w:r>
              <w:rPr>
                <w:rFonts w:ascii="宋体" w:hAnsi="宋体" w:eastAsia="宋体" w:cs="宋体"/>
                <w:color w:val="000000"/>
                <w:kern w:val="0"/>
                <w:szCs w:val="21"/>
              </w:rPr>
              <w:t>能力</w:t>
            </w:r>
            <w:r>
              <w:rPr>
                <w:rFonts w:hint="eastAsia" w:ascii="宋体" w:hAnsi="宋体" w:eastAsia="宋体" w:cs="宋体"/>
                <w:color w:val="000000"/>
                <w:kern w:val="0"/>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2D301069">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1F69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12C2B582">
            <w:pPr>
              <w:snapToGrid w:val="0"/>
              <w:spacing w:line="276" w:lineRule="auto"/>
              <w:rPr>
                <w:rFonts w:ascii="宋体" w:hAnsi="宋体" w:eastAsia="宋体" w:cs="Times New Roman"/>
                <w:szCs w:val="21"/>
              </w:rPr>
            </w:pPr>
            <w:r>
              <w:rPr>
                <w:rFonts w:hint="eastAsia" w:ascii="宋体" w:hAnsi="宋体" w:eastAsia="宋体" w:cs="Times New Roman"/>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5A0E6F40">
            <w:pPr>
              <w:snapToGrid w:val="0"/>
              <w:spacing w:line="276" w:lineRule="auto"/>
              <w:rPr>
                <w:rFonts w:ascii="宋体" w:hAnsi="宋体" w:eastAsia="宋体" w:cs="Times New Roman"/>
                <w:szCs w:val="21"/>
              </w:rPr>
            </w:pPr>
            <w:r>
              <w:rPr>
                <w:rFonts w:hint="eastAsia" w:ascii="宋体" w:hAnsi="宋体" w:eastAsia="宋体" w:cs="Times New Roman"/>
                <w:szCs w:val="21"/>
              </w:rPr>
              <w:t>考试形式由教师确定，</w:t>
            </w:r>
            <w:r>
              <w:rPr>
                <w:rFonts w:ascii="等线" w:hAnsi="等线" w:eastAsia="宋体" w:cs="Times New Roman"/>
                <w:color w:val="000000"/>
                <w:szCs w:val="21"/>
              </w:rPr>
              <w:t>试卷题型包括填空题、简答题、</w:t>
            </w:r>
            <w:r>
              <w:rPr>
                <w:rFonts w:hint="eastAsia" w:ascii="等线" w:hAnsi="等线" w:eastAsia="宋体" w:cs="Times New Roman"/>
                <w:color w:val="000000"/>
                <w:szCs w:val="21"/>
              </w:rPr>
              <w:t>论述</w:t>
            </w:r>
            <w:r>
              <w:rPr>
                <w:rFonts w:ascii="等线" w:hAnsi="等线" w:eastAsia="宋体" w:cs="Times New Roman"/>
                <w:color w:val="000000"/>
                <w:szCs w:val="21"/>
              </w:rPr>
              <w:t>题和</w:t>
            </w:r>
            <w:r>
              <w:rPr>
                <w:rFonts w:hint="eastAsia" w:ascii="等线" w:hAnsi="等线" w:eastAsia="宋体" w:cs="Times New Roman"/>
                <w:color w:val="000000"/>
                <w:szCs w:val="21"/>
              </w:rPr>
              <w:t>教学设计</w:t>
            </w:r>
            <w:r>
              <w:rPr>
                <w:rFonts w:ascii="等线" w:hAnsi="等线" w:eastAsia="宋体" w:cs="Times New Roman"/>
                <w:color w:val="000000"/>
                <w:szCs w:val="21"/>
              </w:rPr>
              <w:t>题等</w:t>
            </w:r>
            <w:r>
              <w:rPr>
                <w:rFonts w:hint="eastAsia" w:ascii="等线" w:hAnsi="等线" w:eastAsia="宋体" w:cs="Times New Roman"/>
                <w:color w:val="000000"/>
                <w:szCs w:val="21"/>
              </w:rPr>
              <w:t>。</w:t>
            </w:r>
            <w:r>
              <w:rPr>
                <w:rFonts w:ascii="宋体" w:hAnsi="宋体" w:eastAsia="宋体" w:cs="Times New Roman"/>
                <w:color w:val="000000"/>
                <w:szCs w:val="21"/>
              </w:rPr>
              <w:t>其中</w:t>
            </w:r>
            <w:r>
              <w:rPr>
                <w:rFonts w:hint="eastAsia" w:ascii="宋体" w:hAnsi="宋体" w:eastAsia="宋体" w:cs="Times New Roman"/>
                <w:color w:val="000000"/>
                <w:szCs w:val="21"/>
              </w:rPr>
              <w:t>：</w:t>
            </w:r>
            <w:r>
              <w:rPr>
                <w:rFonts w:ascii="宋体" w:hAnsi="宋体" w:eastAsia="宋体" w:cs="Times New Roman"/>
                <w:color w:val="000000"/>
                <w:szCs w:val="21"/>
              </w:rPr>
              <w:t>考核</w:t>
            </w:r>
            <w:r>
              <w:rPr>
                <w:rFonts w:hint="eastAsia" w:ascii="宋体" w:hAnsi="宋体" w:eastAsia="宋体" w:cs="Times New Roman"/>
                <w:color w:val="000000"/>
                <w:szCs w:val="21"/>
              </w:rPr>
              <w:t>基本概念</w:t>
            </w:r>
            <w:r>
              <w:rPr>
                <w:rFonts w:ascii="宋体" w:hAnsi="宋体" w:eastAsia="宋体" w:cs="Times New Roman"/>
                <w:color w:val="000000"/>
                <w:szCs w:val="21"/>
              </w:rPr>
              <w:t>知识型题目占30%；</w:t>
            </w:r>
            <w:r>
              <w:rPr>
                <w:rFonts w:hint="eastAsia" w:ascii="宋体" w:hAnsi="宋体" w:eastAsia="宋体" w:cs="Times New Roman"/>
                <w:color w:val="000000"/>
                <w:szCs w:val="21"/>
              </w:rPr>
              <w:t>考核道德与法治学习方式占30%；考核教材分析与教学设计占40%。</w:t>
            </w:r>
          </w:p>
        </w:tc>
        <w:tc>
          <w:tcPr>
            <w:tcW w:w="0" w:type="auto"/>
            <w:tcBorders>
              <w:top w:val="single" w:color="auto" w:sz="4" w:space="0"/>
              <w:left w:val="single" w:color="auto" w:sz="4" w:space="0"/>
              <w:bottom w:val="single" w:color="auto" w:sz="4" w:space="0"/>
              <w:right w:val="single" w:color="auto" w:sz="4" w:space="0"/>
            </w:tcBorders>
            <w:vAlign w:val="center"/>
          </w:tcPr>
          <w:p w14:paraId="29FDA077">
            <w:pPr>
              <w:snapToGrid w:val="0"/>
              <w:spacing w:line="276" w:lineRule="auto"/>
              <w:rPr>
                <w:rFonts w:ascii="宋体" w:hAnsi="宋体" w:eastAsia="宋体" w:cs="Times New Roman"/>
                <w:szCs w:val="21"/>
              </w:rPr>
            </w:pPr>
            <w:r>
              <w:rPr>
                <w:rFonts w:ascii="宋体" w:hAnsi="宋体" w:eastAsia="宋体" w:cs="Times New Roman"/>
                <w:szCs w:val="21"/>
              </w:rPr>
              <w:t>50%</w:t>
            </w:r>
          </w:p>
        </w:tc>
      </w:tr>
      <w:tr w14:paraId="242F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764DF1C6">
            <w:pPr>
              <w:snapToGrid w:val="0"/>
              <w:spacing w:line="276"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7FDDA171">
            <w:pPr>
              <w:snapToGrid w:val="0"/>
              <w:spacing w:line="276" w:lineRule="auto"/>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00%</w:t>
            </w:r>
          </w:p>
        </w:tc>
      </w:tr>
    </w:tbl>
    <w:p w14:paraId="037C73FC">
      <w:pPr>
        <w:spacing w:line="276" w:lineRule="auto"/>
        <w:ind w:firstLine="316" w:firstLineChars="150"/>
        <w:rPr>
          <w:rFonts w:ascii="宋体" w:hAnsi="宋体" w:eastAsia="宋体" w:cs="Times New Roman"/>
          <w:b/>
          <w:szCs w:val="22"/>
        </w:rPr>
      </w:pPr>
    </w:p>
    <w:p w14:paraId="1902217F">
      <w:pPr>
        <w:spacing w:line="276" w:lineRule="auto"/>
        <w:ind w:firstLine="316" w:firstLineChars="150"/>
        <w:rPr>
          <w:rFonts w:ascii="宋体" w:hAnsi="宋体" w:eastAsia="宋体" w:cs="Times New Roman"/>
          <w:b/>
          <w:szCs w:val="22"/>
        </w:rPr>
      </w:pPr>
      <w:r>
        <w:rPr>
          <w:rFonts w:hint="eastAsia" w:ascii="宋体" w:hAnsi="宋体" w:eastAsia="宋体" w:cs="Times New Roman"/>
          <w:b/>
          <w:szCs w:val="22"/>
        </w:rPr>
        <w:t>（三）</w:t>
      </w:r>
      <w:r>
        <w:rPr>
          <w:rFonts w:hint="eastAsia" w:ascii="宋体" w:hAnsi="宋体" w:eastAsia="宋体" w:cs="Times New Roman"/>
          <w:b/>
          <w:bCs/>
          <w:szCs w:val="22"/>
        </w:rPr>
        <w:t>课程目标达成度计算方法</w:t>
      </w:r>
    </w:p>
    <w:p w14:paraId="653AFD6D">
      <w:pPr>
        <w:spacing w:line="276" w:lineRule="auto"/>
        <w:ind w:firstLine="420" w:firstLineChars="200"/>
        <w:rPr>
          <w:rFonts w:ascii="Calibri" w:hAnsi="Calibri" w:eastAsia="宋体" w:cs="Times New Roman"/>
          <w:szCs w:val="22"/>
        </w:rPr>
      </w:pPr>
      <w:r>
        <w:rPr>
          <w:rFonts w:hint="eastAsia" w:ascii="Calibri" w:hAnsi="Calibri" w:eastAsia="宋体" w:cs="Times New Roman"/>
          <w:szCs w:val="22"/>
        </w:rPr>
        <w:t>所有课程目标均需大于等</w:t>
      </w:r>
      <w:r>
        <w:rPr>
          <w:rFonts w:hint="eastAsia" w:ascii="宋体" w:hAnsi="宋体" w:eastAsia="宋体" w:cs="Times New Roman"/>
          <w:szCs w:val="22"/>
        </w:rPr>
        <w:t>于</w:t>
      </w:r>
      <w:r>
        <w:rPr>
          <w:rFonts w:hint="eastAsia" w:ascii="宋体" w:hAnsi="宋体" w:eastAsia="宋体" w:cs="Times New Roman"/>
          <w:szCs w:val="21"/>
        </w:rPr>
        <w:t>0</w:t>
      </w:r>
      <w:r>
        <w:rPr>
          <w:rFonts w:ascii="宋体" w:hAnsi="宋体" w:eastAsia="宋体" w:cs="Times New Roman"/>
          <w:szCs w:val="21"/>
        </w:rPr>
        <w:t>.6</w:t>
      </w:r>
      <w:r>
        <w:rPr>
          <w:rFonts w:hint="eastAsia" w:ascii="Calibri" w:hAnsi="Calibri" w:eastAsia="宋体" w:cs="Times New Roman"/>
          <w:szCs w:val="22"/>
        </w:rPr>
        <w:t>，否则总评成绩不及格，需要补考或重修。每门课程目标总体达成度计算方法如下：</w:t>
      </w:r>
    </w:p>
    <w:p w14:paraId="5B6AAACE">
      <w:pPr>
        <w:spacing w:line="276"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1B0DFEA8">
      <w:pPr>
        <w:spacing w:line="276" w:lineRule="auto"/>
        <w:ind w:firstLine="422" w:firstLineChars="200"/>
        <w:rPr>
          <w:rFonts w:ascii="Calibri" w:hAnsi="Calibri" w:eastAsia="宋体" w:cs="Times New Roman"/>
          <w:b/>
          <w:szCs w:val="22"/>
        </w:rPr>
      </w:pPr>
      <w:r>
        <w:rPr>
          <w:rFonts w:hint="eastAsia" w:ascii="Calibri" w:hAnsi="Calibri" w:eastAsia="宋体" w:cs="Times New Roman"/>
          <w:b/>
          <w:szCs w:val="22"/>
        </w:rPr>
        <w:t>五、课内实践</w:t>
      </w:r>
    </w:p>
    <w:p w14:paraId="19698962">
      <w:pPr>
        <w:spacing w:line="276" w:lineRule="auto"/>
        <w:ind w:firstLine="420" w:firstLineChars="200"/>
        <w:rPr>
          <w:rFonts w:hint="eastAsia" w:ascii="Calibri" w:hAnsi="Calibri" w:eastAsia="宋体" w:cs="Times New Roman"/>
          <w:bCs/>
          <w:szCs w:val="22"/>
        </w:rPr>
      </w:pPr>
      <w:r>
        <w:rPr>
          <w:rFonts w:hint="eastAsia" w:ascii="Calibri" w:hAnsi="Calibri" w:eastAsia="宋体" w:cs="Times New Roman"/>
          <w:bCs/>
          <w:szCs w:val="22"/>
        </w:rPr>
        <w:t>本课程共有1</w:t>
      </w:r>
      <w:r>
        <w:rPr>
          <w:rFonts w:ascii="Calibri" w:hAnsi="Calibri" w:eastAsia="宋体" w:cs="Times New Roman"/>
          <w:bCs/>
          <w:szCs w:val="22"/>
        </w:rPr>
        <w:t>6</w:t>
      </w:r>
      <w:r>
        <w:rPr>
          <w:rFonts w:hint="eastAsia" w:ascii="Calibri" w:hAnsi="Calibri" w:eastAsia="宋体" w:cs="Times New Roman"/>
          <w:bCs/>
          <w:szCs w:val="22"/>
        </w:rPr>
        <w:t>课时的课内实践学时，根据教学内容的安排，分别进行四次实践项目。具体项目内容及要求如下。</w:t>
      </w:r>
    </w:p>
    <w:tbl>
      <w:tblPr>
        <w:tblStyle w:val="10"/>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73"/>
        <w:gridCol w:w="3947"/>
        <w:gridCol w:w="777"/>
        <w:gridCol w:w="1399"/>
      </w:tblGrid>
      <w:tr w14:paraId="76C7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90" w:type="dxa"/>
            <w:shd w:val="clear" w:color="auto" w:fill="FFFFFF"/>
            <w:vAlign w:val="center"/>
          </w:tcPr>
          <w:p w14:paraId="1C77E563">
            <w:pPr>
              <w:adjustRightInd w:val="0"/>
              <w:snapToGrid w:val="0"/>
              <w:jc w:val="center"/>
              <w:rPr>
                <w:rFonts w:ascii="宋体" w:hAnsi="宋体" w:eastAsia="等线" w:cs="Times New Roman"/>
                <w:b/>
                <w:bCs/>
                <w:color w:val="000000"/>
                <w:spacing w:val="-20"/>
                <w:szCs w:val="21"/>
              </w:rPr>
            </w:pPr>
            <w:r>
              <w:rPr>
                <w:rFonts w:ascii="宋体" w:hAnsi="宋体" w:eastAsia="等线" w:cs="Times New Roman"/>
                <w:b/>
                <w:bCs/>
                <w:color w:val="000000"/>
                <w:spacing w:val="-20"/>
                <w:szCs w:val="21"/>
              </w:rPr>
              <w:t>序号</w:t>
            </w:r>
          </w:p>
        </w:tc>
        <w:tc>
          <w:tcPr>
            <w:tcW w:w="1573" w:type="dxa"/>
            <w:shd w:val="clear" w:color="auto" w:fill="FFFFFF"/>
            <w:vAlign w:val="center"/>
          </w:tcPr>
          <w:p w14:paraId="5BE7AEDE">
            <w:pPr>
              <w:adjustRightInd w:val="0"/>
              <w:snapToGrid w:val="0"/>
              <w:jc w:val="center"/>
              <w:rPr>
                <w:rFonts w:ascii="宋体" w:hAnsi="宋体" w:eastAsia="等线" w:cs="Times New Roman"/>
                <w:b/>
                <w:bCs/>
                <w:color w:val="000000"/>
                <w:szCs w:val="21"/>
              </w:rPr>
            </w:pPr>
            <w:r>
              <w:rPr>
                <w:rFonts w:hint="eastAsia" w:ascii="宋体" w:hAnsi="宋体" w:eastAsia="等线" w:cs="Times New Roman"/>
                <w:b/>
                <w:bCs/>
                <w:color w:val="000000"/>
                <w:szCs w:val="21"/>
              </w:rPr>
              <w:t>实践</w:t>
            </w:r>
            <w:r>
              <w:rPr>
                <w:rFonts w:ascii="宋体" w:hAnsi="宋体" w:eastAsia="等线" w:cs="Times New Roman"/>
                <w:b/>
                <w:bCs/>
                <w:color w:val="000000"/>
                <w:szCs w:val="21"/>
              </w:rPr>
              <w:t>项目名称</w:t>
            </w:r>
          </w:p>
        </w:tc>
        <w:tc>
          <w:tcPr>
            <w:tcW w:w="3947" w:type="dxa"/>
            <w:shd w:val="clear" w:color="auto" w:fill="FFFFFF"/>
            <w:vAlign w:val="center"/>
          </w:tcPr>
          <w:p w14:paraId="1C6116F8">
            <w:pPr>
              <w:adjustRightInd w:val="0"/>
              <w:snapToGrid w:val="0"/>
              <w:jc w:val="center"/>
              <w:rPr>
                <w:rFonts w:ascii="宋体" w:hAnsi="宋体" w:eastAsia="等线" w:cs="Times New Roman"/>
                <w:b/>
                <w:bCs/>
                <w:color w:val="000000"/>
                <w:szCs w:val="21"/>
              </w:rPr>
            </w:pPr>
            <w:r>
              <w:rPr>
                <w:rFonts w:hint="eastAsia" w:ascii="宋体" w:hAnsi="宋体" w:eastAsia="等线" w:cs="Times New Roman"/>
                <w:b/>
                <w:bCs/>
                <w:color w:val="000000"/>
                <w:szCs w:val="21"/>
              </w:rPr>
              <w:t>实践</w:t>
            </w:r>
            <w:r>
              <w:rPr>
                <w:rFonts w:ascii="宋体" w:hAnsi="宋体" w:eastAsia="等线" w:cs="Times New Roman"/>
                <w:b/>
                <w:bCs/>
                <w:color w:val="000000"/>
                <w:szCs w:val="21"/>
              </w:rPr>
              <w:t>内容</w:t>
            </w:r>
            <w:r>
              <w:rPr>
                <w:rFonts w:hint="eastAsia" w:ascii="宋体" w:hAnsi="宋体" w:eastAsia="等线" w:cs="Times New Roman"/>
                <w:b/>
                <w:bCs/>
                <w:color w:val="000000"/>
                <w:szCs w:val="21"/>
              </w:rPr>
              <w:t>及要求</w:t>
            </w:r>
          </w:p>
        </w:tc>
        <w:tc>
          <w:tcPr>
            <w:tcW w:w="777" w:type="dxa"/>
            <w:shd w:val="clear" w:color="auto" w:fill="FFFFFF"/>
            <w:vAlign w:val="center"/>
          </w:tcPr>
          <w:p w14:paraId="59112F7D">
            <w:pPr>
              <w:adjustRightInd w:val="0"/>
              <w:snapToGrid w:val="0"/>
              <w:jc w:val="center"/>
              <w:rPr>
                <w:rFonts w:ascii="宋体" w:hAnsi="宋体" w:eastAsia="等线" w:cs="Times New Roman"/>
                <w:b/>
                <w:bCs/>
                <w:color w:val="000000"/>
                <w:szCs w:val="21"/>
              </w:rPr>
            </w:pPr>
            <w:r>
              <w:rPr>
                <w:rFonts w:ascii="宋体" w:hAnsi="宋体" w:eastAsia="等线" w:cs="Times New Roman"/>
                <w:b/>
                <w:bCs/>
                <w:color w:val="000000"/>
                <w:szCs w:val="21"/>
              </w:rPr>
              <w:t>学时</w:t>
            </w:r>
          </w:p>
        </w:tc>
        <w:tc>
          <w:tcPr>
            <w:tcW w:w="1399" w:type="dxa"/>
            <w:shd w:val="clear" w:color="auto" w:fill="FFFFFF"/>
            <w:vAlign w:val="center"/>
          </w:tcPr>
          <w:p w14:paraId="42D64949">
            <w:pPr>
              <w:adjustRightInd w:val="0"/>
              <w:snapToGrid w:val="0"/>
              <w:jc w:val="center"/>
              <w:rPr>
                <w:rFonts w:hint="eastAsia" w:ascii="宋体" w:hAnsi="宋体" w:eastAsia="等线" w:cs="Times New Roman"/>
                <w:b/>
                <w:bCs/>
                <w:color w:val="000000"/>
                <w:szCs w:val="21"/>
              </w:rPr>
            </w:pPr>
            <w:r>
              <w:rPr>
                <w:rFonts w:ascii="宋体" w:hAnsi="宋体" w:eastAsia="等线" w:cs="Times New Roman"/>
                <w:b/>
                <w:bCs/>
                <w:color w:val="000000"/>
                <w:szCs w:val="21"/>
              </w:rPr>
              <w:t>对</w:t>
            </w:r>
            <w:r>
              <w:rPr>
                <w:rFonts w:hint="eastAsia" w:ascii="宋体" w:hAnsi="宋体" w:eastAsia="等线" w:cs="Times New Roman"/>
                <w:b/>
                <w:bCs/>
                <w:color w:val="000000"/>
                <w:szCs w:val="21"/>
              </w:rPr>
              <w:t>应课程目标</w:t>
            </w:r>
          </w:p>
        </w:tc>
      </w:tr>
      <w:tr w14:paraId="65D8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90" w:type="dxa"/>
            <w:vAlign w:val="center"/>
          </w:tcPr>
          <w:p w14:paraId="10506293">
            <w:pPr>
              <w:adjustRightInd w:val="0"/>
              <w:snapToGrid w:val="0"/>
              <w:jc w:val="center"/>
              <w:rPr>
                <w:rFonts w:ascii="宋体" w:hAnsi="宋体" w:eastAsia="等线" w:cs="Times New Roman"/>
                <w:bCs/>
                <w:color w:val="000000"/>
                <w:szCs w:val="21"/>
              </w:rPr>
            </w:pPr>
            <w:r>
              <w:rPr>
                <w:rFonts w:ascii="宋体" w:hAnsi="宋体" w:eastAsia="等线" w:cs="Times New Roman"/>
                <w:bCs/>
                <w:color w:val="000000"/>
                <w:szCs w:val="21"/>
              </w:rPr>
              <w:t>1</w:t>
            </w:r>
          </w:p>
        </w:tc>
        <w:tc>
          <w:tcPr>
            <w:tcW w:w="1573" w:type="dxa"/>
            <w:vAlign w:val="center"/>
          </w:tcPr>
          <w:p w14:paraId="06D2BB46">
            <w:pPr>
              <w:adjustRightInd w:val="0"/>
              <w:snapToGrid w:val="0"/>
              <w:rPr>
                <w:rFonts w:ascii="宋体" w:hAnsi="宋体" w:eastAsia="等线" w:cs="宋体"/>
                <w:color w:val="000000"/>
                <w:kern w:val="0"/>
                <w:szCs w:val="21"/>
              </w:rPr>
            </w:pPr>
            <w:r>
              <w:rPr>
                <w:rFonts w:hint="eastAsia" w:ascii="宋体" w:hAnsi="宋体" w:eastAsia="等线" w:cs="宋体"/>
                <w:color w:val="000000"/>
                <w:kern w:val="0"/>
                <w:szCs w:val="21"/>
              </w:rPr>
              <w:t>小学道德与法治教学目标设计</w:t>
            </w:r>
          </w:p>
        </w:tc>
        <w:tc>
          <w:tcPr>
            <w:tcW w:w="3947" w:type="dxa"/>
            <w:vAlign w:val="center"/>
          </w:tcPr>
          <w:p w14:paraId="6ADBAD81">
            <w:pPr>
              <w:adjustRightInd w:val="0"/>
              <w:snapToGrid w:val="0"/>
              <w:rPr>
                <w:rFonts w:ascii="宋体" w:hAnsi="宋体" w:eastAsia="等线" w:cs="Times New Roman"/>
                <w:b/>
                <w:bCs/>
                <w:color w:val="000000"/>
                <w:szCs w:val="21"/>
              </w:rPr>
            </w:pPr>
            <w:r>
              <w:rPr>
                <w:rFonts w:hint="eastAsia" w:ascii="宋体" w:hAnsi="宋体" w:eastAsia="等线" w:cs="Times New Roman"/>
                <w:b/>
                <w:bCs/>
                <w:color w:val="000000"/>
                <w:szCs w:val="21"/>
              </w:rPr>
              <w:t>实践</w:t>
            </w:r>
            <w:r>
              <w:rPr>
                <w:rFonts w:ascii="宋体" w:hAnsi="宋体" w:eastAsia="等线" w:cs="Times New Roman"/>
                <w:b/>
                <w:bCs/>
                <w:color w:val="000000"/>
                <w:szCs w:val="21"/>
              </w:rPr>
              <w:t>内容</w:t>
            </w:r>
            <w:r>
              <w:rPr>
                <w:rFonts w:hint="eastAsia" w:ascii="宋体" w:hAnsi="宋体" w:eastAsia="等线" w:cs="Times New Roman"/>
                <w:b/>
                <w:bCs/>
                <w:color w:val="000000"/>
                <w:szCs w:val="21"/>
              </w:rPr>
              <w:t>：</w:t>
            </w:r>
            <w:r>
              <w:rPr>
                <w:rFonts w:hint="eastAsia" w:ascii="宋体" w:hAnsi="宋体" w:eastAsia="等线" w:cs="Times New Roman"/>
                <w:color w:val="000000"/>
                <w:szCs w:val="21"/>
              </w:rPr>
              <w:t>对照课标，选定课例，每人设计一课时的教学目标，书写设计理由。</w:t>
            </w:r>
          </w:p>
          <w:p w14:paraId="78BF30B0">
            <w:pPr>
              <w:adjustRightInd w:val="0"/>
              <w:snapToGrid w:val="0"/>
              <w:rPr>
                <w:rFonts w:ascii="宋体" w:hAnsi="宋体" w:eastAsia="等线" w:cs="Times New Roman"/>
                <w:b/>
                <w:bCs/>
                <w:color w:val="000000"/>
                <w:szCs w:val="21"/>
              </w:rPr>
            </w:pPr>
            <w:r>
              <w:rPr>
                <w:rFonts w:hint="eastAsia" w:ascii="宋体" w:hAnsi="宋体" w:eastAsia="等线" w:cs="Times New Roman"/>
                <w:b/>
                <w:bCs/>
                <w:color w:val="000000"/>
                <w:szCs w:val="21"/>
              </w:rPr>
              <w:t>实践要求：</w:t>
            </w:r>
            <w:r>
              <w:rPr>
                <w:rFonts w:hint="eastAsia" w:ascii="宋体" w:hAnsi="宋体" w:eastAsia="等线" w:cs="Times New Roman"/>
                <w:bCs/>
                <w:color w:val="000000"/>
                <w:szCs w:val="21"/>
              </w:rPr>
              <w:t>小组内对组员设计的教学目标进行评价、修订</w:t>
            </w:r>
            <w:r>
              <w:rPr>
                <w:rFonts w:hint="eastAsia" w:ascii="宋体" w:hAnsi="宋体" w:eastAsia="等线" w:cs="Times New Roman"/>
                <w:color w:val="000000"/>
                <w:szCs w:val="21"/>
              </w:rPr>
              <w:t>，形成教学目标定稿。</w:t>
            </w:r>
          </w:p>
        </w:tc>
        <w:tc>
          <w:tcPr>
            <w:tcW w:w="777" w:type="dxa"/>
            <w:vAlign w:val="center"/>
          </w:tcPr>
          <w:p w14:paraId="73A1CC99">
            <w:pPr>
              <w:adjustRightInd w:val="0"/>
              <w:snapToGrid w:val="0"/>
              <w:jc w:val="center"/>
              <w:rPr>
                <w:rFonts w:ascii="宋体" w:hAnsi="宋体" w:eastAsia="等线" w:cs="Times New Roman"/>
                <w:bCs/>
                <w:color w:val="000000"/>
                <w:szCs w:val="21"/>
              </w:rPr>
            </w:pPr>
            <w:r>
              <w:rPr>
                <w:rFonts w:ascii="宋体" w:hAnsi="宋体" w:eastAsia="等线" w:cs="Times New Roman"/>
                <w:bCs/>
                <w:color w:val="000000"/>
                <w:szCs w:val="21"/>
              </w:rPr>
              <w:t>4</w:t>
            </w:r>
          </w:p>
        </w:tc>
        <w:tc>
          <w:tcPr>
            <w:tcW w:w="1399" w:type="dxa"/>
            <w:vAlign w:val="center"/>
          </w:tcPr>
          <w:p w14:paraId="1250D8CC">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课程目标2</w:t>
            </w:r>
          </w:p>
          <w:p w14:paraId="145850A3">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课程目标3</w:t>
            </w:r>
          </w:p>
          <w:p w14:paraId="5D26BD71">
            <w:pPr>
              <w:adjustRightInd w:val="0"/>
              <w:snapToGrid w:val="0"/>
              <w:jc w:val="center"/>
              <w:rPr>
                <w:rFonts w:hint="eastAsia" w:ascii="宋体" w:hAnsi="宋体" w:eastAsia="等线" w:cs="Times New Roman"/>
                <w:bCs/>
                <w:color w:val="000000"/>
                <w:szCs w:val="21"/>
              </w:rPr>
            </w:pPr>
            <w:r>
              <w:rPr>
                <w:rFonts w:hint="eastAsia" w:ascii="宋体" w:hAnsi="宋体" w:eastAsia="等线" w:cs="Times New Roman"/>
                <w:bCs/>
                <w:color w:val="000000"/>
                <w:szCs w:val="21"/>
              </w:rPr>
              <w:t>课程目标4</w:t>
            </w:r>
          </w:p>
        </w:tc>
      </w:tr>
      <w:tr w14:paraId="6A20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90" w:type="dxa"/>
            <w:vAlign w:val="center"/>
          </w:tcPr>
          <w:p w14:paraId="0B90FEEA">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2</w:t>
            </w:r>
          </w:p>
        </w:tc>
        <w:tc>
          <w:tcPr>
            <w:tcW w:w="1573" w:type="dxa"/>
            <w:vAlign w:val="center"/>
          </w:tcPr>
          <w:p w14:paraId="0D95CA47">
            <w:pPr>
              <w:adjustRightInd w:val="0"/>
              <w:snapToGrid w:val="0"/>
              <w:rPr>
                <w:rFonts w:ascii="宋体" w:hAnsi="宋体" w:eastAsia="等线" w:cs="宋体"/>
                <w:color w:val="000000"/>
                <w:kern w:val="0"/>
                <w:szCs w:val="21"/>
              </w:rPr>
            </w:pPr>
            <w:r>
              <w:rPr>
                <w:rFonts w:hint="eastAsia" w:ascii="宋体" w:hAnsi="宋体" w:eastAsia="等线" w:cs="宋体"/>
                <w:color w:val="000000"/>
                <w:kern w:val="0"/>
                <w:szCs w:val="21"/>
              </w:rPr>
              <w:t>小学道德与法治教材解读</w:t>
            </w:r>
          </w:p>
        </w:tc>
        <w:tc>
          <w:tcPr>
            <w:tcW w:w="3947" w:type="dxa"/>
            <w:vAlign w:val="center"/>
          </w:tcPr>
          <w:p w14:paraId="05BB94AD">
            <w:pPr>
              <w:adjustRightInd w:val="0"/>
              <w:snapToGrid w:val="0"/>
              <w:rPr>
                <w:rFonts w:ascii="宋体" w:hAnsi="宋体" w:eastAsia="等线" w:cs="Times New Roman"/>
                <w:color w:val="000000"/>
                <w:szCs w:val="21"/>
              </w:rPr>
            </w:pPr>
            <w:r>
              <w:rPr>
                <w:rFonts w:hint="eastAsia" w:ascii="宋体" w:hAnsi="宋体" w:eastAsia="等线" w:cs="Times New Roman"/>
                <w:b/>
                <w:bCs/>
                <w:color w:val="000000"/>
                <w:szCs w:val="21"/>
              </w:rPr>
              <w:t>实践</w:t>
            </w:r>
            <w:r>
              <w:rPr>
                <w:rFonts w:ascii="宋体" w:hAnsi="宋体" w:eastAsia="等线" w:cs="Times New Roman"/>
                <w:b/>
                <w:bCs/>
                <w:color w:val="000000"/>
                <w:szCs w:val="21"/>
              </w:rPr>
              <w:t>内容</w:t>
            </w:r>
            <w:r>
              <w:rPr>
                <w:rFonts w:hint="eastAsia" w:ascii="宋体" w:hAnsi="宋体" w:eastAsia="等线" w:cs="Times New Roman"/>
                <w:b/>
                <w:bCs/>
                <w:color w:val="000000"/>
                <w:szCs w:val="21"/>
              </w:rPr>
              <w:t>：</w:t>
            </w:r>
            <w:r>
              <w:rPr>
                <w:rFonts w:hint="eastAsia" w:ascii="宋体" w:hAnsi="宋体" w:eastAsia="等线" w:cs="Times New Roman"/>
                <w:bCs/>
                <w:color w:val="000000"/>
                <w:szCs w:val="21"/>
              </w:rPr>
              <w:t>观看道德与法治新教材网络培训视频，</w:t>
            </w:r>
            <w:r>
              <w:rPr>
                <w:rFonts w:ascii="宋体" w:hAnsi="宋体" w:eastAsia="等线" w:cs="Times New Roman"/>
                <w:color w:val="000000"/>
                <w:szCs w:val="21"/>
              </w:rPr>
              <w:t>小组</w:t>
            </w:r>
            <w:r>
              <w:rPr>
                <w:rFonts w:hint="eastAsia" w:ascii="宋体" w:hAnsi="宋体" w:eastAsia="等线" w:cs="Times New Roman"/>
                <w:color w:val="000000"/>
                <w:szCs w:val="21"/>
              </w:rPr>
              <w:t>选择一个模块或单元，进行教材内容解读报告。</w:t>
            </w:r>
          </w:p>
          <w:p w14:paraId="33F08DF4">
            <w:pPr>
              <w:adjustRightInd w:val="0"/>
              <w:snapToGrid w:val="0"/>
              <w:rPr>
                <w:rFonts w:ascii="宋体" w:hAnsi="宋体" w:eastAsia="等线" w:cs="宋体"/>
                <w:color w:val="000000"/>
                <w:kern w:val="0"/>
                <w:szCs w:val="21"/>
              </w:rPr>
            </w:pPr>
            <w:r>
              <w:rPr>
                <w:rFonts w:hint="eastAsia" w:ascii="宋体" w:hAnsi="宋体" w:eastAsia="等线" w:cs="Times New Roman"/>
                <w:b/>
                <w:bCs/>
                <w:color w:val="000000"/>
                <w:szCs w:val="21"/>
              </w:rPr>
              <w:t>实践要求：</w:t>
            </w:r>
            <w:r>
              <w:rPr>
                <w:rFonts w:hint="eastAsia" w:ascii="宋体" w:hAnsi="宋体" w:eastAsia="等线" w:cs="Times New Roman"/>
                <w:color w:val="000000"/>
                <w:szCs w:val="21"/>
              </w:rPr>
              <w:t>小组合作，完成教材研读报告，并汇报交流</w:t>
            </w:r>
            <w:r>
              <w:rPr>
                <w:rFonts w:ascii="宋体" w:hAnsi="宋体" w:eastAsia="等线" w:cs="宋体"/>
                <w:color w:val="000000"/>
                <w:kern w:val="0"/>
                <w:szCs w:val="21"/>
              </w:rPr>
              <w:t>。</w:t>
            </w:r>
          </w:p>
        </w:tc>
        <w:tc>
          <w:tcPr>
            <w:tcW w:w="777" w:type="dxa"/>
            <w:vAlign w:val="center"/>
          </w:tcPr>
          <w:p w14:paraId="060799A9">
            <w:pPr>
              <w:adjustRightInd w:val="0"/>
              <w:snapToGrid w:val="0"/>
              <w:jc w:val="center"/>
              <w:rPr>
                <w:rFonts w:ascii="宋体" w:hAnsi="宋体" w:eastAsia="等线" w:cs="Times New Roman"/>
                <w:bCs/>
                <w:color w:val="000000"/>
                <w:szCs w:val="21"/>
              </w:rPr>
            </w:pPr>
            <w:r>
              <w:rPr>
                <w:rFonts w:ascii="宋体" w:hAnsi="宋体" w:eastAsia="等线" w:cs="Times New Roman"/>
                <w:bCs/>
                <w:color w:val="000000"/>
                <w:szCs w:val="21"/>
              </w:rPr>
              <w:t>4</w:t>
            </w:r>
          </w:p>
        </w:tc>
        <w:tc>
          <w:tcPr>
            <w:tcW w:w="1399" w:type="dxa"/>
            <w:vAlign w:val="center"/>
          </w:tcPr>
          <w:p w14:paraId="32404910">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课程目标2</w:t>
            </w:r>
          </w:p>
          <w:p w14:paraId="48063612">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课程目标3</w:t>
            </w:r>
          </w:p>
          <w:p w14:paraId="1E18B9A0">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课程目标4</w:t>
            </w:r>
          </w:p>
        </w:tc>
      </w:tr>
      <w:tr w14:paraId="5A63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90" w:type="dxa"/>
            <w:vAlign w:val="center"/>
          </w:tcPr>
          <w:p w14:paraId="281368A8">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3</w:t>
            </w:r>
          </w:p>
        </w:tc>
        <w:tc>
          <w:tcPr>
            <w:tcW w:w="1573" w:type="dxa"/>
            <w:vAlign w:val="center"/>
          </w:tcPr>
          <w:p w14:paraId="04BAED65">
            <w:pPr>
              <w:adjustRightInd w:val="0"/>
              <w:snapToGrid w:val="0"/>
              <w:rPr>
                <w:rFonts w:ascii="宋体" w:hAnsi="宋体" w:eastAsia="等线" w:cs="宋体"/>
                <w:color w:val="000000"/>
                <w:kern w:val="0"/>
                <w:szCs w:val="21"/>
              </w:rPr>
            </w:pPr>
            <w:r>
              <w:rPr>
                <w:rFonts w:hint="eastAsia" w:ascii="宋体" w:hAnsi="宋体" w:eastAsia="等线" w:cs="宋体"/>
                <w:color w:val="000000"/>
                <w:kern w:val="0"/>
                <w:szCs w:val="21"/>
              </w:rPr>
              <w:t>小学道德与法治教案设计</w:t>
            </w:r>
          </w:p>
        </w:tc>
        <w:tc>
          <w:tcPr>
            <w:tcW w:w="3947" w:type="dxa"/>
            <w:vAlign w:val="center"/>
          </w:tcPr>
          <w:p w14:paraId="33775DCE">
            <w:pPr>
              <w:adjustRightInd w:val="0"/>
              <w:snapToGrid w:val="0"/>
              <w:rPr>
                <w:rFonts w:ascii="宋体" w:hAnsi="宋体" w:eastAsia="等线" w:cs="Times New Roman"/>
                <w:color w:val="000000"/>
                <w:szCs w:val="21"/>
              </w:rPr>
            </w:pPr>
            <w:r>
              <w:rPr>
                <w:rFonts w:hint="eastAsia" w:ascii="宋体" w:hAnsi="宋体" w:eastAsia="等线" w:cs="Times New Roman"/>
                <w:b/>
                <w:bCs/>
                <w:color w:val="000000"/>
                <w:szCs w:val="21"/>
              </w:rPr>
              <w:t>实践</w:t>
            </w:r>
            <w:r>
              <w:rPr>
                <w:rFonts w:ascii="宋体" w:hAnsi="宋体" w:eastAsia="等线" w:cs="Times New Roman"/>
                <w:b/>
                <w:bCs/>
                <w:color w:val="000000"/>
                <w:szCs w:val="21"/>
              </w:rPr>
              <w:t>内容</w:t>
            </w:r>
            <w:r>
              <w:rPr>
                <w:rFonts w:hint="eastAsia" w:ascii="宋体" w:hAnsi="宋体" w:eastAsia="等线" w:cs="Times New Roman"/>
                <w:b/>
                <w:bCs/>
                <w:color w:val="000000"/>
                <w:szCs w:val="21"/>
              </w:rPr>
              <w:t>：</w:t>
            </w:r>
            <w:r>
              <w:rPr>
                <w:rFonts w:hint="eastAsia" w:ascii="宋体" w:hAnsi="宋体" w:eastAsia="等线" w:cs="宋体"/>
                <w:color w:val="000000"/>
                <w:kern w:val="0"/>
                <w:szCs w:val="21"/>
              </w:rPr>
              <w:t>观看全国优质课视频，分析教学流程与教学特色。</w:t>
            </w:r>
            <w:r>
              <w:rPr>
                <w:rFonts w:hint="eastAsia" w:ascii="宋体" w:hAnsi="宋体" w:eastAsia="等线" w:cs="Times New Roman"/>
                <w:color w:val="000000"/>
                <w:szCs w:val="21"/>
              </w:rPr>
              <w:t>每个同学选择一课时的内容，撰写教学设计初步方案。</w:t>
            </w:r>
          </w:p>
          <w:p w14:paraId="78E8B44B">
            <w:pPr>
              <w:adjustRightInd w:val="0"/>
              <w:snapToGrid w:val="0"/>
              <w:rPr>
                <w:rFonts w:ascii="宋体" w:hAnsi="宋体" w:eastAsia="等线" w:cs="宋体"/>
                <w:color w:val="000000"/>
                <w:kern w:val="0"/>
                <w:szCs w:val="21"/>
              </w:rPr>
            </w:pPr>
            <w:r>
              <w:rPr>
                <w:rFonts w:hint="eastAsia" w:ascii="宋体" w:hAnsi="宋体" w:eastAsia="等线" w:cs="Times New Roman"/>
                <w:b/>
                <w:bCs/>
                <w:color w:val="000000"/>
                <w:szCs w:val="21"/>
              </w:rPr>
              <w:t>实践要求：</w:t>
            </w:r>
            <w:r>
              <w:rPr>
                <w:rFonts w:hint="eastAsia" w:ascii="宋体" w:hAnsi="宋体" w:eastAsia="等线" w:cs="Times New Roman"/>
                <w:color w:val="000000"/>
                <w:szCs w:val="21"/>
              </w:rPr>
              <w:t>小组内对教案进行相互评价，总结教案书写中的共性问题，课堂交流，在此基础上，完善教案，形成教案定稿。</w:t>
            </w:r>
          </w:p>
        </w:tc>
        <w:tc>
          <w:tcPr>
            <w:tcW w:w="777" w:type="dxa"/>
            <w:vAlign w:val="center"/>
          </w:tcPr>
          <w:p w14:paraId="48E73EDC">
            <w:pPr>
              <w:adjustRightInd w:val="0"/>
              <w:snapToGrid w:val="0"/>
              <w:jc w:val="center"/>
              <w:rPr>
                <w:rFonts w:ascii="宋体" w:hAnsi="宋体" w:eastAsia="等线" w:cs="Times New Roman"/>
                <w:bCs/>
                <w:color w:val="000000"/>
                <w:szCs w:val="21"/>
              </w:rPr>
            </w:pPr>
            <w:r>
              <w:rPr>
                <w:rFonts w:ascii="宋体" w:hAnsi="宋体" w:eastAsia="等线" w:cs="Times New Roman"/>
                <w:bCs/>
                <w:color w:val="000000"/>
                <w:szCs w:val="21"/>
              </w:rPr>
              <w:t>4</w:t>
            </w:r>
          </w:p>
        </w:tc>
        <w:tc>
          <w:tcPr>
            <w:tcW w:w="1399" w:type="dxa"/>
            <w:vAlign w:val="center"/>
          </w:tcPr>
          <w:p w14:paraId="4BFA4327">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程目标2</w:t>
            </w:r>
          </w:p>
          <w:p w14:paraId="2BDFE811">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课程目标3</w:t>
            </w:r>
          </w:p>
          <w:p w14:paraId="05DF0286">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课程目标4</w:t>
            </w:r>
          </w:p>
        </w:tc>
      </w:tr>
      <w:tr w14:paraId="202B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690" w:type="dxa"/>
            <w:vAlign w:val="center"/>
          </w:tcPr>
          <w:p w14:paraId="0A8148B3">
            <w:pPr>
              <w:adjustRightInd w:val="0"/>
              <w:snapToGrid w:val="0"/>
              <w:jc w:val="center"/>
              <w:rPr>
                <w:rFonts w:ascii="宋体" w:hAnsi="宋体" w:eastAsia="等线" w:cs="Times New Roman"/>
                <w:bCs/>
                <w:color w:val="000000"/>
                <w:szCs w:val="21"/>
              </w:rPr>
            </w:pPr>
            <w:r>
              <w:rPr>
                <w:rFonts w:hint="eastAsia" w:ascii="宋体" w:hAnsi="宋体" w:eastAsia="等线" w:cs="Times New Roman"/>
                <w:bCs/>
                <w:color w:val="000000"/>
                <w:szCs w:val="21"/>
              </w:rPr>
              <w:t>4</w:t>
            </w:r>
          </w:p>
        </w:tc>
        <w:tc>
          <w:tcPr>
            <w:tcW w:w="1573" w:type="dxa"/>
            <w:vAlign w:val="center"/>
          </w:tcPr>
          <w:p w14:paraId="6430B2D1">
            <w:pPr>
              <w:adjustRightInd w:val="0"/>
              <w:snapToGrid w:val="0"/>
              <w:rPr>
                <w:rFonts w:ascii="宋体" w:hAnsi="宋体" w:eastAsia="等线" w:cs="宋体"/>
                <w:color w:val="000000"/>
                <w:kern w:val="0"/>
                <w:szCs w:val="21"/>
              </w:rPr>
            </w:pPr>
            <w:r>
              <w:rPr>
                <w:rFonts w:hint="eastAsia" w:ascii="宋体" w:hAnsi="宋体" w:eastAsia="等线" w:cs="宋体"/>
                <w:color w:val="000000"/>
                <w:kern w:val="0"/>
                <w:szCs w:val="21"/>
              </w:rPr>
              <w:t>小学道德与法治课堂教学评价</w:t>
            </w:r>
          </w:p>
        </w:tc>
        <w:tc>
          <w:tcPr>
            <w:tcW w:w="3947" w:type="dxa"/>
            <w:vAlign w:val="center"/>
          </w:tcPr>
          <w:p w14:paraId="497D502E">
            <w:pPr>
              <w:adjustRightInd w:val="0"/>
              <w:snapToGrid w:val="0"/>
              <w:ind w:firstLine="420" w:firstLineChars="200"/>
              <w:rPr>
                <w:rFonts w:ascii="宋体" w:hAnsi="宋体" w:eastAsia="等线" w:cs="Times New Roman"/>
                <w:b/>
                <w:bCs/>
                <w:color w:val="000000"/>
                <w:szCs w:val="21"/>
              </w:rPr>
            </w:pPr>
            <w:r>
              <w:rPr>
                <w:rFonts w:hint="eastAsia" w:ascii="宋体" w:hAnsi="宋体" w:eastAsia="等线" w:cs="Times New Roman"/>
                <w:b/>
                <w:bCs/>
                <w:color w:val="000000"/>
                <w:szCs w:val="21"/>
              </w:rPr>
              <w:t>实践</w:t>
            </w:r>
            <w:r>
              <w:rPr>
                <w:rFonts w:ascii="宋体" w:hAnsi="宋体" w:eastAsia="等线" w:cs="Times New Roman"/>
                <w:b/>
                <w:bCs/>
                <w:color w:val="000000"/>
                <w:szCs w:val="21"/>
              </w:rPr>
              <w:t>内容</w:t>
            </w:r>
            <w:r>
              <w:rPr>
                <w:rFonts w:hint="eastAsia" w:ascii="宋体" w:hAnsi="宋体" w:eastAsia="等线" w:cs="Times New Roman"/>
                <w:b/>
                <w:bCs/>
                <w:color w:val="000000"/>
                <w:szCs w:val="21"/>
              </w:rPr>
              <w:t>：</w:t>
            </w:r>
            <w:r>
              <w:rPr>
                <w:rFonts w:hint="eastAsia" w:ascii="宋体" w:hAnsi="宋体" w:eastAsia="等线" w:cs="Times New Roman"/>
                <w:color w:val="000000"/>
                <w:szCs w:val="21"/>
              </w:rPr>
              <w:t>课堂上观摩小学道德与法治课教学视频，借助所学评价理论进行教学评价。</w:t>
            </w:r>
          </w:p>
          <w:p w14:paraId="7970717C">
            <w:pPr>
              <w:adjustRightInd w:val="0"/>
              <w:snapToGrid w:val="0"/>
              <w:ind w:firstLine="420" w:firstLineChars="200"/>
              <w:rPr>
                <w:rFonts w:ascii="宋体" w:hAnsi="宋体" w:eastAsia="等线" w:cs="宋体"/>
                <w:color w:val="000000"/>
                <w:kern w:val="0"/>
                <w:szCs w:val="21"/>
              </w:rPr>
            </w:pPr>
            <w:r>
              <w:rPr>
                <w:rFonts w:hint="eastAsia" w:ascii="宋体" w:hAnsi="宋体" w:eastAsia="等线" w:cs="Times New Roman"/>
                <w:b/>
                <w:bCs/>
                <w:color w:val="000000"/>
                <w:szCs w:val="21"/>
              </w:rPr>
              <w:t>实践要求：</w:t>
            </w:r>
            <w:r>
              <w:rPr>
                <w:rFonts w:hint="eastAsia" w:ascii="宋体" w:hAnsi="宋体" w:eastAsia="等线" w:cs="Times New Roman"/>
                <w:bCs/>
                <w:color w:val="000000"/>
                <w:szCs w:val="21"/>
              </w:rPr>
              <w:t>组内合作，形成点评思路和点评内容，进行课堂交流。</w:t>
            </w:r>
          </w:p>
        </w:tc>
        <w:tc>
          <w:tcPr>
            <w:tcW w:w="777" w:type="dxa"/>
            <w:vAlign w:val="center"/>
          </w:tcPr>
          <w:p w14:paraId="2CACAA38">
            <w:pPr>
              <w:adjustRightInd w:val="0"/>
              <w:snapToGrid w:val="0"/>
              <w:jc w:val="center"/>
              <w:rPr>
                <w:rFonts w:ascii="宋体" w:hAnsi="宋体" w:eastAsia="等线" w:cs="Times New Roman"/>
                <w:bCs/>
                <w:color w:val="000000"/>
                <w:szCs w:val="21"/>
              </w:rPr>
            </w:pPr>
            <w:r>
              <w:rPr>
                <w:rFonts w:ascii="宋体" w:hAnsi="宋体" w:eastAsia="等线" w:cs="Times New Roman"/>
                <w:bCs/>
                <w:color w:val="000000"/>
                <w:szCs w:val="21"/>
              </w:rPr>
              <w:t>4</w:t>
            </w:r>
          </w:p>
        </w:tc>
        <w:tc>
          <w:tcPr>
            <w:tcW w:w="1399" w:type="dxa"/>
            <w:vAlign w:val="center"/>
          </w:tcPr>
          <w:p w14:paraId="25D72DB4">
            <w:pPr>
              <w:adjustRightInd w:val="0"/>
              <w:snapToGrid w:val="0"/>
              <w:jc w:val="center"/>
              <w:rPr>
                <w:rFonts w:ascii="宋体" w:hAnsi="宋体" w:eastAsia="等线" w:cs="Times New Roman"/>
                <w:bCs/>
                <w:color w:val="000000"/>
                <w:szCs w:val="21"/>
              </w:rPr>
            </w:pPr>
          </w:p>
        </w:tc>
      </w:tr>
    </w:tbl>
    <w:p w14:paraId="1CE7C9B5">
      <w:pPr>
        <w:spacing w:line="360" w:lineRule="auto"/>
        <w:rPr>
          <w:rFonts w:ascii="等线" w:hAnsi="等线" w:eastAsia="等线" w:cs="Times New Roman"/>
          <w:b/>
          <w:sz w:val="28"/>
          <w:szCs w:val="28"/>
        </w:rPr>
      </w:pPr>
    </w:p>
    <w:p w14:paraId="19AB3746">
      <w:pPr>
        <w:spacing w:line="360" w:lineRule="auto"/>
        <w:ind w:firstLine="480" w:firstLineChars="200"/>
        <w:rPr>
          <w:rFonts w:ascii="等线" w:hAnsi="等线" w:eastAsia="等线" w:cs="Times New Roman"/>
          <w:b/>
          <w:sz w:val="24"/>
          <w:szCs w:val="22"/>
        </w:rPr>
      </w:pPr>
      <w:r>
        <w:rPr>
          <w:rFonts w:hint="eastAsia" w:ascii="等线" w:hAnsi="等线" w:eastAsia="等线" w:cs="Times New Roman"/>
          <w:b/>
          <w:sz w:val="24"/>
          <w:szCs w:val="22"/>
        </w:rPr>
        <w:t>六、有关说明</w:t>
      </w:r>
    </w:p>
    <w:p w14:paraId="2F753D7F">
      <w:pPr>
        <w:spacing w:line="360" w:lineRule="auto"/>
        <w:ind w:firstLine="480" w:firstLineChars="200"/>
        <w:rPr>
          <w:rFonts w:ascii="等线" w:hAnsi="等线" w:eastAsia="等线" w:cs="Times New Roman"/>
          <w:b/>
          <w:color w:val="000000"/>
          <w:sz w:val="24"/>
          <w:szCs w:val="22"/>
        </w:rPr>
      </w:pPr>
      <w:r>
        <w:rPr>
          <w:rFonts w:hint="eastAsia" w:ascii="等线" w:hAnsi="等线" w:eastAsia="等线" w:cs="Times New Roman"/>
          <w:b/>
          <w:color w:val="000000"/>
          <w:sz w:val="24"/>
          <w:szCs w:val="22"/>
        </w:rPr>
        <w:t>（一）持续改进</w:t>
      </w:r>
    </w:p>
    <w:p w14:paraId="5036232E">
      <w:pPr>
        <w:spacing w:line="360" w:lineRule="auto"/>
        <w:ind w:firstLine="480" w:firstLineChars="200"/>
        <w:rPr>
          <w:rFonts w:ascii="等线" w:hAnsi="等线" w:eastAsia="等线" w:cs="Times New Roman"/>
          <w:sz w:val="24"/>
          <w:szCs w:val="22"/>
        </w:rPr>
      </w:pPr>
      <w:r>
        <w:rPr>
          <w:rFonts w:ascii="等线" w:hAnsi="等线" w:eastAsia="等线" w:cs="Times New Roman"/>
          <w:sz w:val="24"/>
          <w:szCs w:val="22"/>
        </w:rPr>
        <w:t>本课程根据学生作业、课堂讨论、</w:t>
      </w:r>
      <w:r>
        <w:rPr>
          <w:rFonts w:hint="eastAsia" w:ascii="等线" w:hAnsi="等线" w:eastAsia="等线" w:cs="Times New Roman"/>
          <w:sz w:val="24"/>
          <w:szCs w:val="22"/>
        </w:rPr>
        <w:t>教学</w:t>
      </w:r>
      <w:r>
        <w:rPr>
          <w:rFonts w:ascii="等线" w:hAnsi="等线" w:eastAsia="等线" w:cs="Times New Roman"/>
          <w:sz w:val="24"/>
          <w:szCs w:val="22"/>
        </w:rPr>
        <w:t>环节、平时考核情况和学生、教学督导等</w:t>
      </w:r>
      <w:r>
        <w:rPr>
          <w:rFonts w:hint="eastAsia" w:ascii="等线" w:hAnsi="等线" w:eastAsia="等线" w:cs="Times New Roman"/>
          <w:sz w:val="24"/>
          <w:szCs w:val="22"/>
        </w:rPr>
        <w:t>的</w:t>
      </w:r>
      <w:r>
        <w:rPr>
          <w:rFonts w:ascii="等线" w:hAnsi="等线" w:eastAsia="等线" w:cs="Times New Roman"/>
          <w:sz w:val="24"/>
          <w:szCs w:val="22"/>
        </w:rPr>
        <w:t>反馈，及时对教学中</w:t>
      </w:r>
      <w:r>
        <w:rPr>
          <w:rFonts w:hint="eastAsia" w:ascii="等线" w:hAnsi="等线" w:eastAsia="等线" w:cs="Times New Roman"/>
          <w:sz w:val="24"/>
          <w:szCs w:val="22"/>
        </w:rPr>
        <w:t>的</w:t>
      </w:r>
      <w:r>
        <w:rPr>
          <w:rFonts w:ascii="等线" w:hAnsi="等线" w:eastAsia="等线" w:cs="Times New Roman"/>
          <w:sz w:val="24"/>
          <w:szCs w:val="22"/>
        </w:rPr>
        <w:t>不足之处进行改进，并在下一轮课程教学中</w:t>
      </w:r>
      <w:r>
        <w:rPr>
          <w:rFonts w:hint="eastAsia" w:ascii="等线" w:hAnsi="等线" w:eastAsia="等线" w:cs="Times New Roman"/>
          <w:sz w:val="24"/>
          <w:szCs w:val="22"/>
        </w:rPr>
        <w:t>整改完善</w:t>
      </w:r>
      <w:r>
        <w:rPr>
          <w:rFonts w:ascii="等线" w:hAnsi="等线" w:eastAsia="等线" w:cs="Times New Roman"/>
          <w:sz w:val="24"/>
          <w:szCs w:val="22"/>
        </w:rPr>
        <w:t>，确保相应毕业要求指标点达成。</w:t>
      </w:r>
    </w:p>
    <w:p w14:paraId="4479F93E">
      <w:pPr>
        <w:spacing w:line="360" w:lineRule="auto"/>
        <w:ind w:firstLine="480" w:firstLineChars="200"/>
        <w:rPr>
          <w:rFonts w:ascii="等线" w:hAnsi="等线" w:eastAsia="等线" w:cs="Times New Roman"/>
          <w:b/>
          <w:color w:val="000000"/>
          <w:sz w:val="24"/>
          <w:szCs w:val="22"/>
        </w:rPr>
      </w:pPr>
      <w:r>
        <w:rPr>
          <w:rFonts w:hint="eastAsia" w:ascii="等线" w:hAnsi="等线" w:eastAsia="等线" w:cs="Times New Roman"/>
          <w:b/>
          <w:color w:val="000000"/>
          <w:sz w:val="24"/>
          <w:szCs w:val="22"/>
        </w:rPr>
        <w:t>（二）建议教材</w:t>
      </w:r>
    </w:p>
    <w:p w14:paraId="272CFADB">
      <w:pPr>
        <w:spacing w:line="360" w:lineRule="auto"/>
        <w:ind w:firstLine="480" w:firstLineChars="200"/>
        <w:rPr>
          <w:rFonts w:ascii="宋体" w:hAnsi="宋体" w:eastAsia="宋体" w:cs="Times New Roman"/>
          <w:sz w:val="24"/>
          <w:szCs w:val="22"/>
        </w:rPr>
      </w:pPr>
      <w:r>
        <w:rPr>
          <w:rFonts w:hint="eastAsia" w:ascii="Times New Roman" w:hAnsi="Times New Roman" w:eastAsia="宋体" w:cs="Times New Roman"/>
          <w:kern w:val="0"/>
          <w:sz w:val="24"/>
          <w:szCs w:val="22"/>
        </w:rPr>
        <w:t>刘慧</w:t>
      </w:r>
      <w:r>
        <w:rPr>
          <w:rFonts w:ascii="Times New Roman" w:hAnsi="Times New Roman" w:eastAsia="宋体" w:cs="Times New Roman"/>
          <w:kern w:val="0"/>
          <w:sz w:val="24"/>
          <w:szCs w:val="22"/>
        </w:rPr>
        <w:t>.</w:t>
      </w:r>
      <w:r>
        <w:rPr>
          <w:rFonts w:hint="eastAsia" w:ascii="Times New Roman" w:hAnsi="Times New Roman" w:eastAsia="宋体" w:cs="Times New Roman"/>
          <w:kern w:val="0"/>
          <w:sz w:val="24"/>
          <w:szCs w:val="22"/>
        </w:rPr>
        <w:t>《小学道德与法治课程与教学》，西南师范大学</w:t>
      </w:r>
      <w:r>
        <w:rPr>
          <w:rFonts w:hint="eastAsia" w:ascii="等线" w:hAnsi="等线" w:eastAsia="等线" w:cs="Times New Roman"/>
          <w:kern w:val="0"/>
          <w:sz w:val="24"/>
          <w:szCs w:val="22"/>
        </w:rPr>
        <w:t>出版社</w:t>
      </w:r>
      <w:r>
        <w:rPr>
          <w:rFonts w:ascii="等线" w:hAnsi="等线" w:eastAsia="等线" w:cs="Times New Roman"/>
          <w:kern w:val="0"/>
          <w:sz w:val="24"/>
          <w:szCs w:val="22"/>
        </w:rPr>
        <w:t>.</w:t>
      </w:r>
      <w:r>
        <w:rPr>
          <w:rFonts w:hint="eastAsia" w:ascii="等线" w:hAnsi="等线" w:eastAsia="等线" w:cs="Times New Roman"/>
          <w:kern w:val="0"/>
          <w:sz w:val="24"/>
          <w:szCs w:val="22"/>
        </w:rPr>
        <w:t>20</w:t>
      </w:r>
      <w:r>
        <w:rPr>
          <w:rFonts w:ascii="等线" w:hAnsi="等线" w:eastAsia="等线" w:cs="Times New Roman"/>
          <w:kern w:val="0"/>
          <w:sz w:val="24"/>
          <w:szCs w:val="22"/>
        </w:rPr>
        <w:t>21</w:t>
      </w:r>
      <w:r>
        <w:rPr>
          <w:rFonts w:hint="eastAsia" w:ascii="等线" w:hAnsi="等线" w:eastAsia="等线" w:cs="Times New Roman"/>
          <w:kern w:val="0"/>
          <w:sz w:val="24"/>
          <w:szCs w:val="22"/>
        </w:rPr>
        <w:t>.</w:t>
      </w:r>
    </w:p>
    <w:p w14:paraId="5163BB1D">
      <w:pPr>
        <w:spacing w:line="360" w:lineRule="auto"/>
        <w:ind w:firstLine="482" w:firstLineChars="200"/>
        <w:rPr>
          <w:rFonts w:ascii="宋体" w:hAnsi="宋体" w:eastAsia="宋体" w:cs="Times New Roman"/>
          <w:b/>
          <w:bCs/>
          <w:sz w:val="24"/>
          <w:szCs w:val="22"/>
        </w:rPr>
      </w:pPr>
      <w:r>
        <w:rPr>
          <w:rFonts w:hint="eastAsia" w:ascii="宋体" w:hAnsi="宋体" w:eastAsia="宋体" w:cs="Times New Roman"/>
          <w:b/>
          <w:bCs/>
          <w:sz w:val="24"/>
          <w:szCs w:val="22"/>
        </w:rPr>
        <w:t>（三）参考书目</w:t>
      </w:r>
    </w:p>
    <w:p w14:paraId="630D1483">
      <w:pPr>
        <w:spacing w:line="360" w:lineRule="auto"/>
        <w:ind w:firstLine="480" w:firstLineChars="200"/>
        <w:rPr>
          <w:rFonts w:ascii="宋体" w:hAnsi="宋体" w:eastAsia="宋体" w:cs="宋体"/>
          <w:color w:val="000000"/>
          <w:kern w:val="0"/>
          <w:szCs w:val="21"/>
        </w:rPr>
      </w:pPr>
      <w:r>
        <w:rPr>
          <w:rFonts w:hint="eastAsia" w:ascii="宋体" w:hAnsi="宋体" w:eastAsia="宋体" w:cs="Times New Roman"/>
          <w:sz w:val="24"/>
          <w:szCs w:val="22"/>
        </w:rPr>
        <w:t>1</w:t>
      </w:r>
      <w:r>
        <w:rPr>
          <w:rFonts w:ascii="宋体" w:hAnsi="宋体" w:eastAsia="宋体" w:cs="Times New Roman"/>
          <w:sz w:val="24"/>
          <w:szCs w:val="22"/>
        </w:rPr>
        <w:t>.</w:t>
      </w:r>
      <w:r>
        <w:rPr>
          <w:rFonts w:hint="eastAsia" w:ascii="宋体" w:hAnsi="宋体" w:eastAsia="宋体" w:cs="Times New Roman"/>
          <w:sz w:val="24"/>
          <w:szCs w:val="22"/>
        </w:rPr>
        <w:t>教育部编.义务教育小学品德与生活、品德与社会课程标准.2011.</w:t>
      </w:r>
    </w:p>
    <w:p w14:paraId="0DF3E9C3">
      <w:pPr>
        <w:spacing w:line="360" w:lineRule="auto"/>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张茂聪.儿童品德发展与道德教育.济南：山东人民出版社.2012.</w:t>
      </w:r>
    </w:p>
    <w:p w14:paraId="3113BB8C">
      <w:pPr>
        <w:spacing w:line="360" w:lineRule="auto"/>
        <w:ind w:firstLine="480" w:firstLineChars="200"/>
        <w:rPr>
          <w:rFonts w:ascii="宋体" w:hAnsi="宋体" w:eastAsia="宋体" w:cs="Times New Roman"/>
          <w:sz w:val="24"/>
          <w:szCs w:val="22"/>
        </w:rPr>
      </w:pPr>
      <w:r>
        <w:rPr>
          <w:rFonts w:hint="eastAsia" w:ascii="宋体" w:hAnsi="宋体" w:eastAsia="宋体" w:cs="Times New Roman"/>
          <w:sz w:val="24"/>
          <w:szCs w:val="22"/>
        </w:rPr>
        <w:t>3</w:t>
      </w:r>
      <w:r>
        <w:rPr>
          <w:rFonts w:ascii="宋体" w:hAnsi="宋体" w:eastAsia="宋体" w:cs="Times New Roman"/>
          <w:sz w:val="24"/>
          <w:szCs w:val="22"/>
        </w:rPr>
        <w:t>.</w:t>
      </w:r>
      <w:r>
        <w:rPr>
          <w:rFonts w:hint="eastAsia" w:ascii="宋体" w:hAnsi="宋体" w:eastAsia="宋体" w:cs="Times New Roman"/>
          <w:sz w:val="24"/>
          <w:szCs w:val="22"/>
        </w:rPr>
        <w:t>沈</w:t>
      </w:r>
      <w:r>
        <w:rPr>
          <w:rFonts w:hint="eastAsia" w:ascii="等线" w:hAnsi="等线" w:eastAsia="等线" w:cs="Times New Roman"/>
          <w:sz w:val="24"/>
          <w:szCs w:val="22"/>
        </w:rPr>
        <w:t>晓敏.小学品德与社会（生活）课程研究.上海：华东师</w:t>
      </w:r>
      <w:r>
        <w:rPr>
          <w:rFonts w:hint="eastAsia" w:ascii="宋体" w:hAnsi="宋体" w:eastAsia="宋体" w:cs="Times New Roman"/>
          <w:sz w:val="24"/>
          <w:szCs w:val="22"/>
        </w:rPr>
        <w:t>范大学出版社.2016.</w:t>
      </w:r>
    </w:p>
    <w:p w14:paraId="0A03EC3D">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4</w:t>
      </w:r>
      <w:r>
        <w:rPr>
          <w:rFonts w:ascii="宋体" w:hAnsi="宋体" w:eastAsia="宋体" w:cs="Times New Roman"/>
          <w:sz w:val="24"/>
          <w:szCs w:val="22"/>
        </w:rPr>
        <w:t>.</w:t>
      </w:r>
      <w:r>
        <w:rPr>
          <w:rFonts w:hint="eastAsia" w:ascii="宋体" w:hAnsi="宋体" w:eastAsia="宋体" w:cs="Times New Roman"/>
          <w:sz w:val="24"/>
          <w:szCs w:val="22"/>
        </w:rPr>
        <w:t>中小学德育工作指南，2</w:t>
      </w:r>
      <w:r>
        <w:rPr>
          <w:rFonts w:ascii="宋体" w:hAnsi="宋体" w:eastAsia="宋体" w:cs="Times New Roman"/>
          <w:sz w:val="24"/>
          <w:szCs w:val="22"/>
        </w:rPr>
        <w:t>017</w:t>
      </w:r>
      <w:r>
        <w:rPr>
          <w:rFonts w:hint="eastAsia" w:ascii="宋体" w:hAnsi="宋体" w:eastAsia="宋体" w:cs="Times New Roman"/>
          <w:sz w:val="24"/>
          <w:szCs w:val="22"/>
        </w:rPr>
        <w:t>年版。</w:t>
      </w:r>
    </w:p>
    <w:p w14:paraId="7E444CAC">
      <w:pPr>
        <w:spacing w:line="360" w:lineRule="auto"/>
        <w:ind w:firstLine="480" w:firstLineChars="200"/>
        <w:rPr>
          <w:rFonts w:hint="eastAsia" w:ascii="宋体" w:hAnsi="宋体" w:eastAsia="宋体" w:cs="Times New Roman"/>
          <w:sz w:val="24"/>
          <w:szCs w:val="22"/>
        </w:rPr>
      </w:pPr>
      <w:r>
        <w:rPr>
          <w:rFonts w:ascii="宋体" w:hAnsi="宋体" w:eastAsia="宋体" w:cs="Times New Roman"/>
          <w:sz w:val="24"/>
          <w:szCs w:val="22"/>
        </w:rPr>
        <w:t>5.</w:t>
      </w:r>
      <w:r>
        <w:rPr>
          <w:rFonts w:hint="eastAsia" w:ascii="宋体" w:hAnsi="宋体" w:eastAsia="宋体" w:cs="Times New Roman"/>
          <w:sz w:val="24"/>
          <w:szCs w:val="22"/>
        </w:rPr>
        <w:t>刘慧.小学道德与法治课程标准与教材研究</w:t>
      </w:r>
      <w:r>
        <w:rPr>
          <w:rFonts w:ascii="宋体" w:hAnsi="宋体" w:eastAsia="宋体" w:cs="Times New Roman"/>
          <w:sz w:val="24"/>
          <w:szCs w:val="22"/>
        </w:rPr>
        <w:t>.</w:t>
      </w:r>
      <w:r>
        <w:rPr>
          <w:rFonts w:hint="eastAsia" w:ascii="宋体" w:hAnsi="宋体" w:eastAsia="宋体" w:cs="Times New Roman"/>
          <w:sz w:val="24"/>
          <w:szCs w:val="22"/>
        </w:rPr>
        <w:t>北京：中国人民大学出版社，2</w:t>
      </w:r>
      <w:r>
        <w:rPr>
          <w:rFonts w:ascii="宋体" w:hAnsi="宋体" w:eastAsia="宋体" w:cs="Times New Roman"/>
          <w:sz w:val="24"/>
          <w:szCs w:val="22"/>
        </w:rPr>
        <w:t>024</w:t>
      </w:r>
      <w:r>
        <w:rPr>
          <w:rFonts w:hint="eastAsia" w:ascii="宋体" w:hAnsi="宋体" w:eastAsia="宋体" w:cs="Times New Roman"/>
          <w:sz w:val="24"/>
          <w:szCs w:val="22"/>
        </w:rPr>
        <w:t>年。</w:t>
      </w:r>
    </w:p>
    <w:p w14:paraId="71564FAB">
      <w:pPr>
        <w:autoSpaceDE w:val="0"/>
        <w:autoSpaceDN w:val="0"/>
        <w:adjustRightInd w:val="0"/>
        <w:spacing w:line="360" w:lineRule="auto"/>
        <w:jc w:val="left"/>
        <w:rPr>
          <w:rFonts w:ascii="宋体" w:hAnsi="宋体" w:eastAsia="宋体" w:cs="Times New Roman"/>
          <w:kern w:val="0"/>
          <w:sz w:val="24"/>
          <w:szCs w:val="21"/>
        </w:rPr>
      </w:pPr>
    </w:p>
    <w:p w14:paraId="7F8A0A63">
      <w:pPr>
        <w:autoSpaceDE w:val="0"/>
        <w:autoSpaceDN w:val="0"/>
        <w:adjustRightInd w:val="0"/>
        <w:spacing w:line="360" w:lineRule="auto"/>
        <w:ind w:right="1440"/>
        <w:jc w:val="right"/>
        <w:rPr>
          <w:rFonts w:ascii="等线" w:hAnsi="等线" w:eastAsia="等线" w:cs="Times New Roman"/>
          <w:kern w:val="0"/>
          <w:sz w:val="24"/>
          <w:szCs w:val="21"/>
        </w:rPr>
      </w:pPr>
      <w:r>
        <w:rPr>
          <w:rFonts w:ascii="等线" w:hAnsi="等线" w:eastAsia="等线" w:cs="Times New Roman"/>
          <w:kern w:val="0"/>
          <w:sz w:val="24"/>
          <w:szCs w:val="21"/>
        </w:rPr>
        <w:t>执笔人：</w:t>
      </w:r>
      <w:r>
        <w:rPr>
          <w:rFonts w:hint="eastAsia" w:ascii="等线" w:hAnsi="等线" w:eastAsia="等线" w:cs="Times New Roman"/>
          <w:kern w:val="0"/>
          <w:sz w:val="24"/>
          <w:szCs w:val="21"/>
        </w:rPr>
        <w:t>王雅丽</w:t>
      </w:r>
      <w:r>
        <w:rPr>
          <w:rFonts w:ascii="等线" w:hAnsi="等线" w:eastAsia="等线" w:cs="Times New Roman"/>
          <w:kern w:val="0"/>
          <w:sz w:val="24"/>
          <w:szCs w:val="21"/>
        </w:rPr>
        <w:t xml:space="preserve"> </w:t>
      </w:r>
    </w:p>
    <w:p w14:paraId="686FD572">
      <w:pPr>
        <w:autoSpaceDE w:val="0"/>
        <w:autoSpaceDN w:val="0"/>
        <w:adjustRightInd w:val="0"/>
        <w:spacing w:line="360" w:lineRule="auto"/>
        <w:ind w:right="1680"/>
        <w:jc w:val="right"/>
        <w:rPr>
          <w:rFonts w:ascii="等线" w:hAnsi="等线" w:eastAsia="等线" w:cs="Times New Roman"/>
          <w:kern w:val="0"/>
          <w:sz w:val="24"/>
          <w:szCs w:val="21"/>
        </w:rPr>
      </w:pPr>
      <w:r>
        <w:rPr>
          <w:rFonts w:ascii="等线" w:hAnsi="等线" w:eastAsia="等线" w:cs="Times New Roman"/>
          <w:kern w:val="0"/>
          <w:sz w:val="24"/>
          <w:szCs w:val="21"/>
        </w:rPr>
        <w:t>审定人：</w:t>
      </w:r>
      <w:r>
        <w:rPr>
          <w:rFonts w:hint="eastAsia" w:ascii="等线" w:hAnsi="等线" w:eastAsia="等线" w:cs="Times New Roman"/>
          <w:kern w:val="0"/>
          <w:sz w:val="24"/>
          <w:szCs w:val="21"/>
        </w:rPr>
        <w:t>王健</w:t>
      </w:r>
    </w:p>
    <w:p w14:paraId="69858CAC">
      <w:pPr>
        <w:autoSpaceDE w:val="0"/>
        <w:autoSpaceDN w:val="0"/>
        <w:adjustRightInd w:val="0"/>
        <w:spacing w:line="360" w:lineRule="auto"/>
        <w:ind w:right="1440"/>
        <w:jc w:val="right"/>
        <w:rPr>
          <w:rFonts w:ascii="等线" w:hAnsi="等线" w:eastAsia="等线" w:cs="Times New Roman"/>
          <w:kern w:val="0"/>
          <w:sz w:val="24"/>
          <w:szCs w:val="21"/>
        </w:rPr>
      </w:pPr>
      <w:r>
        <w:rPr>
          <w:rFonts w:hint="eastAsia" w:ascii="等线" w:hAnsi="等线" w:eastAsia="等线" w:cs="Times New Roman"/>
          <w:kern w:val="0"/>
          <w:sz w:val="24"/>
          <w:szCs w:val="21"/>
        </w:rPr>
        <w:t>审批</w:t>
      </w:r>
      <w:r>
        <w:rPr>
          <w:rFonts w:ascii="等线" w:hAnsi="等线" w:eastAsia="等线" w:cs="Times New Roman"/>
          <w:kern w:val="0"/>
          <w:sz w:val="24"/>
          <w:szCs w:val="21"/>
        </w:rPr>
        <w:t>人：</w:t>
      </w:r>
      <w:r>
        <w:rPr>
          <w:rFonts w:hint="eastAsia" w:ascii="等线" w:hAnsi="等线" w:eastAsia="等线" w:cs="Times New Roman"/>
          <w:kern w:val="0"/>
          <w:sz w:val="24"/>
          <w:szCs w:val="21"/>
        </w:rPr>
        <w:t>张志欣</w:t>
      </w:r>
    </w:p>
    <w:p w14:paraId="5A17CAA6">
      <w:pPr>
        <w:ind w:right="480"/>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w:t>
      </w:r>
      <w:r>
        <w:rPr>
          <w:rFonts w:ascii="宋体" w:hAnsi="宋体" w:eastAsia="宋体" w:cs="Times New Roman"/>
          <w:kern w:val="0"/>
          <w:sz w:val="24"/>
          <w:szCs w:val="21"/>
        </w:rPr>
        <w:t>024</w:t>
      </w:r>
      <w:r>
        <w:rPr>
          <w:rFonts w:hint="eastAsia" w:ascii="宋体" w:hAnsi="宋体" w:eastAsia="宋体" w:cs="Times New Roman"/>
          <w:kern w:val="0"/>
          <w:sz w:val="24"/>
          <w:szCs w:val="21"/>
        </w:rPr>
        <w:t>年</w:t>
      </w:r>
      <w:r>
        <w:rPr>
          <w:rFonts w:ascii="宋体" w:hAnsi="宋体" w:eastAsia="宋体" w:cs="Times New Roman"/>
          <w:kern w:val="0"/>
          <w:sz w:val="24"/>
          <w:szCs w:val="21"/>
        </w:rPr>
        <w:t>9</w:t>
      </w:r>
      <w:r>
        <w:rPr>
          <w:rFonts w:hint="eastAsia" w:ascii="宋体" w:hAnsi="宋体" w:eastAsia="宋体" w:cs="Times New Roman"/>
          <w:kern w:val="0"/>
          <w:sz w:val="24"/>
          <w:szCs w:val="21"/>
        </w:rPr>
        <w:t>月1日</w:t>
      </w:r>
    </w:p>
    <w:p w14:paraId="31BD3020">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3A987EA1">
      <w:pPr>
        <w:ind w:right="480"/>
        <w:jc w:val="right"/>
        <w:rPr>
          <w:rFonts w:hint="eastAsia" w:ascii="宋体" w:hAnsi="宋体" w:eastAsia="宋体" w:cs="Times New Roman"/>
          <w:kern w:val="0"/>
          <w:sz w:val="24"/>
          <w:szCs w:val="21"/>
        </w:rPr>
      </w:pPr>
    </w:p>
    <w:p w14:paraId="16E561D2">
      <w:pPr>
        <w:pStyle w:val="2"/>
        <w:bidi w:val="0"/>
        <w:rPr>
          <w:lang w:val="en-US" w:eastAsia="zh-CN"/>
        </w:rPr>
      </w:pPr>
      <w:bookmarkStart w:id="2087" w:name="_Toc12261"/>
      <w:bookmarkStart w:id="2088" w:name="_Toc30866"/>
      <w:bookmarkStart w:id="2089" w:name="_Toc24526"/>
      <w:bookmarkStart w:id="2090" w:name="_Toc32192"/>
      <w:r>
        <w:rPr>
          <w:rFonts w:hint="eastAsia"/>
          <w:lang w:val="en-US" w:eastAsia="zh-CN"/>
        </w:rPr>
        <w:t>《小学语文教学设计与实施》课程教学大纲</w:t>
      </w:r>
      <w:bookmarkEnd w:id="2087"/>
      <w:bookmarkEnd w:id="2088"/>
      <w:bookmarkEnd w:id="2089"/>
      <w:bookmarkEnd w:id="2090"/>
    </w:p>
    <w:p w14:paraId="149E4895">
      <w:pPr>
        <w:pStyle w:val="2"/>
        <w:bidi w:val="0"/>
        <w:rPr>
          <w:lang w:val="en-US" w:eastAsia="zh-CN"/>
        </w:rPr>
      </w:pPr>
      <w:bookmarkStart w:id="2091" w:name="_Toc22373"/>
      <w:bookmarkStart w:id="2092" w:name="_Toc15723"/>
      <w:bookmarkStart w:id="2093" w:name="_Toc7599"/>
      <w:bookmarkStart w:id="2094" w:name="_Toc29340"/>
      <w:bookmarkStart w:id="2095" w:name="_Toc32205"/>
      <w:bookmarkStart w:id="2096" w:name="_Toc4150"/>
      <w:bookmarkStart w:id="2097" w:name="_Toc18809"/>
      <w:r>
        <w:rPr>
          <w:lang w:val="en-US" w:eastAsia="zh-CN"/>
        </w:rPr>
        <w:t>（Design and Implementation of Chinese Teaching in Primary School）</w:t>
      </w:r>
      <w:bookmarkEnd w:id="2091"/>
      <w:bookmarkEnd w:id="2092"/>
      <w:bookmarkEnd w:id="2093"/>
      <w:bookmarkEnd w:id="2094"/>
      <w:bookmarkEnd w:id="2095"/>
      <w:bookmarkEnd w:id="2096"/>
      <w:bookmarkEnd w:id="2097"/>
    </w:p>
    <w:p w14:paraId="458CB8E4">
      <w:pPr>
        <w:pStyle w:val="2"/>
        <w:bidi w:val="0"/>
      </w:pPr>
    </w:p>
    <w:p w14:paraId="173883FC">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ascii="Times New Roman" w:hAnsi="Times New Roman" w:eastAsia="宋体" w:cs="Times New Roman"/>
          <w:b/>
          <w:sz w:val="24"/>
          <w:szCs w:val="24"/>
        </w:rPr>
        <w:t xml:space="preserve"> </w:t>
      </w:r>
    </w:p>
    <w:p w14:paraId="70B0C8C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宋体" w:hAnsi="宋体" w:eastAsia="宋体" w:cs="Times New Roman"/>
          <w:kern w:val="0"/>
          <w:sz w:val="24"/>
          <w:szCs w:val="22"/>
        </w:rPr>
        <w:t>2401029</w:t>
      </w:r>
    </w:p>
    <w:p w14:paraId="432C2E4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宋体" w:hAnsi="宋体" w:eastAsia="宋体" w:cs="Times New Roman"/>
          <w:kern w:val="0"/>
          <w:sz w:val="24"/>
          <w:szCs w:val="22"/>
        </w:rPr>
        <w:t>3</w:t>
      </w:r>
    </w:p>
    <w:p w14:paraId="724B4F2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宋体" w:hAnsi="宋体" w:eastAsia="宋体" w:cs="Times New Roman"/>
          <w:kern w:val="0"/>
          <w:sz w:val="24"/>
          <w:szCs w:val="24"/>
        </w:rPr>
        <w:t>48</w:t>
      </w:r>
      <w:r>
        <w:rPr>
          <w:rFonts w:ascii="宋体" w:hAnsi="宋体" w:eastAsia="宋体" w:cs="Times New Roman"/>
          <w:kern w:val="0"/>
          <w:sz w:val="24"/>
          <w:szCs w:val="24"/>
        </w:rPr>
        <w:t xml:space="preserve"> （其中：讲授学时</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实践学时</w:t>
      </w:r>
      <w:r>
        <w:rPr>
          <w:rFonts w:hint="eastAsia" w:ascii="宋体" w:hAnsi="宋体" w:eastAsia="宋体" w:cs="Times New Roman"/>
          <w:kern w:val="0"/>
          <w:sz w:val="24"/>
          <w:szCs w:val="24"/>
        </w:rPr>
        <w:t>16</w:t>
      </w:r>
      <w:r>
        <w:rPr>
          <w:rFonts w:ascii="宋体" w:hAnsi="宋体" w:eastAsia="宋体" w:cs="Times New Roman"/>
          <w:kern w:val="0"/>
          <w:sz w:val="24"/>
          <w:szCs w:val="24"/>
        </w:rPr>
        <w:t>）</w:t>
      </w:r>
    </w:p>
    <w:p w14:paraId="0056CE5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ascii="宋体" w:hAnsi="宋体" w:eastAsia="宋体" w:cs="Calibri"/>
          <w:kern w:val="0"/>
          <w:sz w:val="24"/>
          <w:szCs w:val="21"/>
        </w:rPr>
        <w:t>课程与教学论</w:t>
      </w:r>
      <w:r>
        <w:rPr>
          <w:rFonts w:hint="eastAsia" w:ascii="宋体" w:hAnsi="宋体" w:eastAsia="宋体" w:cs="Calibri"/>
          <w:kern w:val="0"/>
          <w:sz w:val="24"/>
          <w:szCs w:val="21"/>
        </w:rPr>
        <w:t>、教育心理学、现代教育技术、古代汉语、现代汉语、文学概论、中国古代文学、中国现当代文学、儿童文学、小学语文课程标准与教材分析</w:t>
      </w:r>
    </w:p>
    <w:p w14:paraId="75A8FC48">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3F3659ED">
      <w:pPr>
        <w:spacing w:line="360" w:lineRule="auto"/>
        <w:ind w:firstLine="482" w:firstLineChars="200"/>
        <w:jc w:val="left"/>
        <w:rPr>
          <w:rFonts w:hint="eastAsia" w:ascii="Times New Roman" w:hAnsi="Times New Roman" w:eastAsia="宋体" w:cs="Times New Roman"/>
          <w:b/>
          <w:sz w:val="24"/>
          <w:szCs w:val="24"/>
        </w:rPr>
      </w:pPr>
    </w:p>
    <w:p w14:paraId="5A01862C">
      <w:pPr>
        <w:spacing w:line="360" w:lineRule="auto"/>
        <w:jc w:val="left"/>
        <w:outlineLvl w:val="0"/>
        <w:rPr>
          <w:rFonts w:ascii="Times New Roman" w:hAnsi="Times New Roman" w:eastAsia="宋体" w:cs="Times New Roman"/>
          <w:sz w:val="24"/>
          <w:szCs w:val="24"/>
        </w:rPr>
      </w:pPr>
      <w:bookmarkStart w:id="2098" w:name="_Toc17279"/>
      <w:bookmarkStart w:id="2099" w:name="_Toc9498"/>
      <w:bookmarkStart w:id="2100" w:name="_Toc25626"/>
      <w:bookmarkStart w:id="2101" w:name="_Toc16655"/>
      <w:bookmarkStart w:id="2102" w:name="_Toc17643"/>
      <w:bookmarkStart w:id="2103" w:name="_Toc7655"/>
      <w:bookmarkStart w:id="2104" w:name="_Toc17014"/>
      <w:r>
        <w:rPr>
          <w:rFonts w:hint="eastAsia" w:ascii="Times New Roman" w:hAnsi="Times New Roman" w:eastAsia="宋体" w:cs="Times New Roman"/>
          <w:b/>
          <w:sz w:val="24"/>
          <w:szCs w:val="24"/>
        </w:rPr>
        <w:t>一、课程简介</w:t>
      </w:r>
      <w:bookmarkEnd w:id="2098"/>
      <w:bookmarkEnd w:id="2099"/>
      <w:bookmarkEnd w:id="2100"/>
      <w:bookmarkEnd w:id="2101"/>
      <w:bookmarkEnd w:id="2102"/>
      <w:bookmarkEnd w:id="2103"/>
      <w:bookmarkEnd w:id="2104"/>
    </w:p>
    <w:p w14:paraId="30C20A6D">
      <w:pPr>
        <w:spacing w:line="360" w:lineRule="auto"/>
        <w:ind w:firstLine="480" w:firstLineChars="200"/>
        <w:jc w:val="left"/>
        <w:rPr>
          <w:rFonts w:ascii="Times New Roman" w:hAnsi="Times New Roman" w:eastAsia="宋体" w:cs="Times New Roman"/>
          <w:szCs w:val="21"/>
        </w:rPr>
      </w:pPr>
      <w:r>
        <w:rPr>
          <w:rFonts w:hint="eastAsia" w:ascii="宋体" w:hAnsi="宋体" w:eastAsia="宋体" w:cs="Times New Roman"/>
          <w:kern w:val="0"/>
          <w:sz w:val="24"/>
          <w:szCs w:val="22"/>
        </w:rPr>
        <w:t>本</w:t>
      </w:r>
      <w:r>
        <w:rPr>
          <w:rFonts w:hint="eastAsia" w:ascii="宋体" w:hAnsi="宋体" w:eastAsia="宋体" w:cs="Times New Roman"/>
          <w:kern w:val="0"/>
          <w:sz w:val="24"/>
          <w:szCs w:val="24"/>
        </w:rPr>
        <w:t>课程</w:t>
      </w:r>
      <w:r>
        <w:rPr>
          <w:rFonts w:ascii="宋体" w:hAnsi="宋体" w:eastAsia="宋体" w:cs="Times New Roman"/>
          <w:kern w:val="0"/>
          <w:sz w:val="24"/>
          <w:szCs w:val="24"/>
        </w:rPr>
        <w:t>是</w:t>
      </w:r>
      <w:r>
        <w:rPr>
          <w:rFonts w:hint="eastAsia" w:ascii="宋体" w:hAnsi="宋体" w:eastAsia="宋体" w:cs="Times New Roman"/>
          <w:bCs/>
          <w:kern w:val="0"/>
          <w:sz w:val="24"/>
          <w:szCs w:val="24"/>
        </w:rPr>
        <w:t>小学教育</w:t>
      </w:r>
      <w:r>
        <w:rPr>
          <w:rFonts w:ascii="宋体" w:hAnsi="宋体" w:eastAsia="宋体" w:cs="Times New Roman"/>
          <w:kern w:val="0"/>
          <w:sz w:val="24"/>
          <w:szCs w:val="24"/>
        </w:rPr>
        <w:t>专业的一门</w:t>
      </w:r>
      <w:r>
        <w:rPr>
          <w:rFonts w:hint="eastAsia" w:ascii="宋体" w:hAnsi="宋体" w:eastAsia="宋体" w:cs="Times New Roman"/>
          <w:kern w:val="0"/>
          <w:sz w:val="24"/>
          <w:szCs w:val="24"/>
        </w:rPr>
        <w:t>专业必修</w:t>
      </w:r>
      <w:r>
        <w:rPr>
          <w:rFonts w:ascii="宋体" w:hAnsi="宋体" w:eastAsia="宋体" w:cs="Times New Roman"/>
          <w:kern w:val="0"/>
          <w:sz w:val="24"/>
          <w:szCs w:val="24"/>
        </w:rPr>
        <w:t>课程</w:t>
      </w:r>
      <w:r>
        <w:rPr>
          <w:rFonts w:hint="eastAsia" w:ascii="宋体" w:hAnsi="宋体" w:eastAsia="宋体" w:cs="Times New Roman"/>
          <w:kern w:val="0"/>
          <w:sz w:val="24"/>
          <w:szCs w:val="22"/>
        </w:rPr>
        <w:t>。通过本课程的学习，学生能够全面了解小学语文教学设计与实施的先进理念和技术，能够掌握小学语文教学</w:t>
      </w:r>
      <w:r>
        <w:rPr>
          <w:rFonts w:ascii="宋体" w:hAnsi="宋体" w:eastAsia="宋体" w:cs="Times New Roman"/>
          <w:sz w:val="24"/>
          <w:szCs w:val="22"/>
        </w:rPr>
        <w:t>微观知识与技能</w:t>
      </w:r>
      <w:r>
        <w:rPr>
          <w:rFonts w:hint="eastAsia" w:ascii="宋体" w:hAnsi="宋体" w:eastAsia="宋体" w:cs="Times New Roman"/>
          <w:sz w:val="24"/>
          <w:szCs w:val="22"/>
        </w:rPr>
        <w:t>，形成</w:t>
      </w:r>
      <w:r>
        <w:rPr>
          <w:rFonts w:ascii="宋体" w:hAnsi="宋体" w:eastAsia="宋体" w:cs="Times New Roman"/>
          <w:sz w:val="24"/>
          <w:szCs w:val="22"/>
        </w:rPr>
        <w:t>单篇课文</w:t>
      </w:r>
      <w:r>
        <w:rPr>
          <w:rFonts w:hint="eastAsia" w:ascii="宋体" w:hAnsi="宋体" w:eastAsia="宋体" w:cs="Times New Roman"/>
          <w:sz w:val="24"/>
          <w:szCs w:val="22"/>
        </w:rPr>
        <w:t>和</w:t>
      </w:r>
      <w:r>
        <w:rPr>
          <w:rFonts w:ascii="宋体" w:hAnsi="宋体" w:eastAsia="宋体" w:cs="Times New Roman"/>
          <w:sz w:val="24"/>
          <w:szCs w:val="22"/>
        </w:rPr>
        <w:t>单元整组课文（含综合能力）的教学设计、实施与评价技能</w:t>
      </w:r>
      <w:r>
        <w:rPr>
          <w:rFonts w:hint="eastAsia" w:ascii="宋体" w:hAnsi="宋体" w:eastAsia="宋体" w:cs="Times New Roman"/>
          <w:kern w:val="0"/>
          <w:sz w:val="24"/>
          <w:szCs w:val="24"/>
        </w:rPr>
        <w:t>，为后续的教育实习及就业奠定基础。</w:t>
      </w:r>
    </w:p>
    <w:p w14:paraId="36B6717D">
      <w:pPr>
        <w:spacing w:line="360" w:lineRule="auto"/>
        <w:jc w:val="left"/>
        <w:outlineLvl w:val="0"/>
        <w:rPr>
          <w:rFonts w:ascii="Times New Roman" w:hAnsi="Times New Roman" w:eastAsia="宋体" w:cs="Times New Roman"/>
          <w:sz w:val="24"/>
          <w:szCs w:val="24"/>
        </w:rPr>
      </w:pPr>
      <w:bookmarkStart w:id="2105" w:name="_Toc24851"/>
      <w:bookmarkStart w:id="2106" w:name="_Toc21756"/>
      <w:bookmarkStart w:id="2107" w:name="_Toc5864"/>
      <w:bookmarkStart w:id="2108" w:name="_Toc10674"/>
      <w:bookmarkStart w:id="2109" w:name="_Toc13285"/>
      <w:bookmarkStart w:id="2110" w:name="_Toc10861"/>
      <w:bookmarkStart w:id="2111" w:name="_Toc30386"/>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105"/>
      <w:bookmarkEnd w:id="2106"/>
      <w:bookmarkEnd w:id="2107"/>
      <w:bookmarkEnd w:id="2108"/>
      <w:bookmarkEnd w:id="2109"/>
      <w:bookmarkEnd w:id="2110"/>
      <w:bookmarkEnd w:id="2111"/>
    </w:p>
    <w:p w14:paraId="2A44E0FC">
      <w:pPr>
        <w:spacing w:line="360" w:lineRule="auto"/>
        <w:ind w:firstLine="422" w:firstLineChars="200"/>
        <w:outlineLvl w:val="1"/>
        <w:rPr>
          <w:rFonts w:hint="eastAsia" w:ascii="宋体" w:hAnsi="宋体" w:eastAsia="宋体" w:cs="Times New Roman"/>
          <w:b/>
          <w:color w:val="000000"/>
          <w:szCs w:val="21"/>
        </w:rPr>
      </w:pPr>
      <w:bookmarkStart w:id="2112" w:name="_Toc13463"/>
      <w:r>
        <w:rPr>
          <w:rFonts w:hint="eastAsia" w:ascii="宋体" w:hAnsi="宋体" w:eastAsia="宋体" w:cs="Times New Roman"/>
          <w:b/>
          <w:color w:val="000000"/>
          <w:szCs w:val="21"/>
        </w:rPr>
        <w:t>（一）课程具体目标</w:t>
      </w:r>
      <w:bookmarkEnd w:id="2112"/>
    </w:p>
    <w:p w14:paraId="03220EDF">
      <w:pPr>
        <w:spacing w:line="360" w:lineRule="auto"/>
        <w:ind w:firstLine="482"/>
        <w:jc w:val="left"/>
        <w:rPr>
          <w:rFonts w:hint="eastAsia" w:ascii="宋体" w:hAnsi="宋体" w:eastAsia="宋体" w:cs="Times New Roman"/>
          <w:kern w:val="0"/>
          <w:sz w:val="24"/>
          <w:szCs w:val="22"/>
          <w:lang w:val="en-US" w:eastAsia="zh-CN"/>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宋体" w:hAnsi="宋体" w:eastAsia="宋体" w:cs="Times New Roman"/>
          <w:kern w:val="0"/>
          <w:sz w:val="24"/>
          <w:szCs w:val="22"/>
          <w:lang w:val="en-US" w:eastAsia="zh-CN"/>
        </w:rPr>
        <w:t>在透彻理解《义务教育语文课程标准（2022版）》和解读小学语文教材的基础上设计教学，树立“基于标准的语文教学”信念，能自觉贯彻《义务教育语文课程标准（2022版）》的课程理念、教学理念和教学评价的理念；</w:t>
      </w:r>
    </w:p>
    <w:p w14:paraId="731D0A9D">
      <w:pPr>
        <w:spacing w:line="360" w:lineRule="auto"/>
        <w:ind w:firstLine="482"/>
        <w:jc w:val="left"/>
        <w:rPr>
          <w:rFonts w:hint="eastAsia" w:ascii="宋体" w:hAnsi="宋体" w:eastAsia="宋体" w:cs="Times New Roman"/>
          <w:kern w:val="0"/>
          <w:sz w:val="24"/>
          <w:szCs w:val="22"/>
          <w:lang w:val="en-US" w:eastAsia="zh-CN"/>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hint="eastAsia" w:ascii="宋体" w:hAnsi="宋体" w:eastAsia="宋体" w:cs="Times New Roman"/>
          <w:kern w:val="0"/>
          <w:sz w:val="24"/>
          <w:szCs w:val="22"/>
          <w:lang w:val="en-US" w:eastAsia="zh-CN"/>
        </w:rPr>
        <w:t>掌握小学语文教学设计的基本知识、原理与方法，并转化为自己的语文教学能力；能依据语文课程标准和小学生的需要，确定恰当的教学目标，选择合宜的教学内容和教学方法，完成不同学习领域的教学设计并实施教学；能运用特定的教学评估工具反思教学设计情况，并据此改进教学设计。</w:t>
      </w:r>
    </w:p>
    <w:p w14:paraId="5535E9B0">
      <w:pPr>
        <w:spacing w:line="360" w:lineRule="auto"/>
        <w:ind w:firstLine="482"/>
        <w:jc w:val="left"/>
        <w:rPr>
          <w:rFonts w:hint="eastAsia" w:ascii="宋体" w:hAnsi="宋体" w:eastAsia="宋体" w:cs="Times New Roman"/>
          <w:kern w:val="0"/>
          <w:sz w:val="24"/>
          <w:szCs w:val="22"/>
          <w:lang w:val="en-US" w:eastAsia="zh-CN"/>
        </w:rPr>
      </w:pPr>
      <w:r>
        <w:rPr>
          <w:rFonts w:hint="eastAsia" w:ascii="Times New Roman" w:hAnsi="Times New Roman" w:eastAsia="宋体" w:cs="Times New Roman"/>
          <w:b/>
          <w:szCs w:val="21"/>
          <w:lang w:val="en-US" w:eastAsia="zh-CN"/>
        </w:rPr>
        <w:t>目标3.</w:t>
      </w:r>
      <w:r>
        <w:rPr>
          <w:rFonts w:hint="eastAsia" w:ascii="宋体" w:hAnsi="宋体" w:eastAsia="宋体" w:cs="Times New Roman"/>
          <w:kern w:val="0"/>
          <w:sz w:val="24"/>
          <w:szCs w:val="22"/>
          <w:lang w:val="en-US" w:eastAsia="zh-CN"/>
        </w:rPr>
        <w:t>能够深入挖掘小学语文课程的育人价值，设计并实施促进学生全面发展的教学活动，以实现语文教学工具性与人文性的有机统一。</w:t>
      </w:r>
    </w:p>
    <w:p w14:paraId="5C11F672">
      <w:pPr>
        <w:spacing w:before="156" w:beforeLines="50" w:after="156" w:afterLines="50" w:line="360" w:lineRule="auto"/>
        <w:jc w:val="left"/>
        <w:outlineLvl w:val="1"/>
        <w:rPr>
          <w:rFonts w:ascii="Times New Roman" w:hAnsi="Times New Roman" w:eastAsia="宋体" w:cs="Times New Roman"/>
          <w:b/>
          <w:bCs/>
          <w:szCs w:val="21"/>
        </w:rPr>
      </w:pPr>
      <w:bookmarkStart w:id="2113" w:name="_Toc25197"/>
      <w:r>
        <w:rPr>
          <w:rFonts w:hint="eastAsia" w:ascii="Times New Roman" w:hAnsi="Times New Roman" w:eastAsia="宋体" w:cs="Times New Roman"/>
          <w:b/>
          <w:bCs/>
          <w:szCs w:val="21"/>
        </w:rPr>
        <w:t>（二）课程目标及其对毕业要求指标点的支撑</w:t>
      </w:r>
      <w:bookmarkEnd w:id="2113"/>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8"/>
        <w:gridCol w:w="5458"/>
        <w:gridCol w:w="1191"/>
      </w:tblGrid>
      <w:tr w14:paraId="1217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vAlign w:val="center"/>
          </w:tcPr>
          <w:p w14:paraId="705344B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458" w:type="dxa"/>
            <w:vAlign w:val="center"/>
          </w:tcPr>
          <w:p w14:paraId="09D44ED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13338E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A69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vMerge w:val="restart"/>
            <w:shd w:val="clear" w:color="auto" w:fill="auto"/>
            <w:vAlign w:val="center"/>
          </w:tcPr>
          <w:p w14:paraId="3B5560A3">
            <w:pPr>
              <w:spacing w:line="276" w:lineRule="auto"/>
              <w:rPr>
                <w:rFonts w:hint="eastAsia" w:ascii="宋体" w:hAnsi="宋体" w:eastAsia="宋体" w:cs="Times New Roman"/>
                <w:color w:val="000000"/>
                <w:kern w:val="0"/>
                <w:sz w:val="21"/>
                <w:szCs w:val="21"/>
                <w:lang w:val="en-US" w:eastAsia="zh-CN" w:bidi="ar-SA"/>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4.教学能力</w:t>
            </w:r>
          </w:p>
        </w:tc>
        <w:tc>
          <w:tcPr>
            <w:tcW w:w="5458" w:type="dxa"/>
            <w:vAlign w:val="center"/>
          </w:tcPr>
          <w:p w14:paraId="5AFD5E4B">
            <w:pPr>
              <w:spacing w:line="276" w:lineRule="auto"/>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kern w:val="0"/>
                <w:szCs w:val="21"/>
              </w:rPr>
              <w:t>指标点4-2：【教学设计恰当】能针对小学生已有的知识水平、学习经验和兴趣特点，依据课标确定恰当的学习目标和学习重点，设计学习活动。能依据单元内容进行整体设计，科学合理地依据教学目标及内容设计作业。</w:t>
            </w:r>
          </w:p>
        </w:tc>
        <w:tc>
          <w:tcPr>
            <w:tcW w:w="1191" w:type="dxa"/>
            <w:vAlign w:val="center"/>
          </w:tcPr>
          <w:p w14:paraId="6836C1C5">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课程目标1</w:t>
            </w:r>
          </w:p>
        </w:tc>
      </w:tr>
      <w:tr w14:paraId="5C3C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vMerge w:val="continue"/>
            <w:shd w:val="clear" w:color="auto" w:fill="auto"/>
            <w:vAlign w:val="center"/>
          </w:tcPr>
          <w:p w14:paraId="6732AE67">
            <w:pPr>
              <w:spacing w:line="276" w:lineRule="auto"/>
              <w:rPr>
                <w:rFonts w:ascii="宋体" w:hAnsi="宋体" w:eastAsia="宋体" w:cs="Times New Roman"/>
                <w:color w:val="000000"/>
                <w:kern w:val="0"/>
                <w:sz w:val="18"/>
                <w:szCs w:val="18"/>
                <w:lang w:val="en-US" w:eastAsia="zh-CN" w:bidi="ar-SA"/>
              </w:rPr>
            </w:pPr>
          </w:p>
        </w:tc>
        <w:tc>
          <w:tcPr>
            <w:tcW w:w="5458" w:type="dxa"/>
            <w:vAlign w:val="center"/>
          </w:tcPr>
          <w:p w14:paraId="472237E8">
            <w:pPr>
              <w:spacing w:line="276" w:lineRule="auto"/>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kern w:val="0"/>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107E3F1F">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课程目标2</w:t>
            </w:r>
          </w:p>
        </w:tc>
      </w:tr>
      <w:tr w14:paraId="6743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shd w:val="clear" w:color="auto" w:fill="auto"/>
            <w:vAlign w:val="center"/>
          </w:tcPr>
          <w:p w14:paraId="260E6BF8">
            <w:pPr>
              <w:spacing w:line="276" w:lineRule="auto"/>
              <w:rPr>
                <w:rFonts w:hint="default"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Cs w:val="21"/>
              </w:rPr>
              <w:t>毕业要求</w:t>
            </w:r>
            <w:r>
              <w:rPr>
                <w:rFonts w:hint="eastAsia" w:ascii="宋体" w:hAnsi="宋体" w:eastAsia="宋体" w:cs="Times New Roman"/>
                <w:color w:val="000000"/>
                <w:spacing w:val="2"/>
                <w:kern w:val="0"/>
                <w:szCs w:val="21"/>
                <w:lang w:val="en-US" w:eastAsia="zh-CN"/>
              </w:rPr>
              <w:t>6</w:t>
            </w:r>
            <w:r>
              <w:rPr>
                <w:rFonts w:hint="eastAsia"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lang w:val="en-US" w:eastAsia="zh-CN"/>
              </w:rPr>
              <w:t>综合育人</w:t>
            </w:r>
          </w:p>
        </w:tc>
        <w:tc>
          <w:tcPr>
            <w:tcW w:w="5458" w:type="dxa"/>
            <w:vAlign w:val="center"/>
          </w:tcPr>
          <w:p w14:paraId="13A655A6">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4BB635B4">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课程目标3</w:t>
            </w:r>
          </w:p>
        </w:tc>
      </w:tr>
    </w:tbl>
    <w:p w14:paraId="53A8BA02">
      <w:pPr>
        <w:spacing w:before="156" w:beforeLines="50" w:line="360" w:lineRule="auto"/>
        <w:jc w:val="left"/>
        <w:outlineLvl w:val="1"/>
        <w:rPr>
          <w:rFonts w:hint="eastAsia" w:ascii="宋体" w:hAnsi="宋体" w:eastAsia="宋体" w:cs="Times New Roman"/>
          <w:b/>
          <w:color w:val="000000"/>
          <w:szCs w:val="21"/>
        </w:rPr>
      </w:pPr>
      <w:bookmarkStart w:id="2114" w:name="_Toc16075"/>
      <w:r>
        <w:rPr>
          <w:rFonts w:hint="eastAsia" w:ascii="宋体" w:hAnsi="宋体" w:eastAsia="宋体" w:cs="Times New Roman"/>
          <w:b/>
          <w:color w:val="000000"/>
          <w:szCs w:val="21"/>
        </w:rPr>
        <w:t>（三）课程思政目标</w:t>
      </w:r>
      <w:bookmarkEnd w:id="2114"/>
    </w:p>
    <w:p w14:paraId="5F914FD8">
      <w:pPr>
        <w:spacing w:line="360" w:lineRule="auto"/>
        <w:ind w:firstLine="482"/>
        <w:jc w:val="left"/>
        <w:rPr>
          <w:rFonts w:hint="eastAsia" w:ascii="宋体" w:hAnsi="宋体" w:eastAsia="宋体" w:cs="Times New Roman"/>
          <w:kern w:val="0"/>
          <w:sz w:val="24"/>
          <w:szCs w:val="22"/>
          <w:lang w:val="en-US" w:eastAsia="zh-CN"/>
        </w:rPr>
      </w:pPr>
      <w:r>
        <w:rPr>
          <w:rFonts w:hint="eastAsia" w:ascii="宋体" w:hAnsi="宋体" w:eastAsia="宋体" w:cs="Times New Roman"/>
          <w:kern w:val="0"/>
          <w:sz w:val="24"/>
          <w:szCs w:val="22"/>
          <w:lang w:val="en-US" w:eastAsia="zh-CN"/>
        </w:rPr>
        <w:t>1.培养学生的社会责任感和奉献精神，使学生能够理解和践行教育家精神中的“心有大我、至诚报国”的理想信念，以及“言为士则、行为世范”的道德情操，从而在语文教学实践中践行立德树人的根本任务。</w:t>
      </w:r>
    </w:p>
    <w:p w14:paraId="32C4272B">
      <w:pPr>
        <w:spacing w:line="360" w:lineRule="auto"/>
        <w:ind w:firstLine="482"/>
        <w:jc w:val="left"/>
        <w:rPr>
          <w:rFonts w:hint="eastAsia" w:ascii="宋体" w:hAnsi="宋体" w:eastAsia="宋体" w:cs="Times New Roman"/>
          <w:kern w:val="0"/>
          <w:sz w:val="24"/>
          <w:szCs w:val="22"/>
          <w:lang w:val="en-US" w:eastAsia="zh-CN"/>
        </w:rPr>
      </w:pPr>
      <w:r>
        <w:rPr>
          <w:rFonts w:hint="eastAsia" w:ascii="宋体" w:hAnsi="宋体" w:eastAsia="宋体" w:cs="Times New Roman"/>
          <w:kern w:val="0"/>
          <w:sz w:val="24"/>
          <w:szCs w:val="22"/>
          <w:lang w:val="en-US" w:eastAsia="zh-CN"/>
        </w:rPr>
        <w:t>2.通过对小学语文教学设计深化对中华优秀传统文化、革命文化和社会主义先进文化的认识，通过对小学语文教材中的文学作品和文化经典的分析和解读，培育学生的文化自信和民族自豪感。</w:t>
      </w:r>
    </w:p>
    <w:p w14:paraId="567F098A">
      <w:pPr>
        <w:spacing w:line="360" w:lineRule="auto"/>
        <w:ind w:firstLine="482"/>
        <w:jc w:val="left"/>
        <w:rPr>
          <w:rFonts w:hint="eastAsia" w:ascii="宋体" w:hAnsi="宋体" w:eastAsia="宋体" w:cs="Times New Roman"/>
          <w:kern w:val="0"/>
          <w:sz w:val="24"/>
          <w:szCs w:val="22"/>
          <w:lang w:val="en-US" w:eastAsia="zh-CN"/>
        </w:rPr>
      </w:pPr>
      <w:r>
        <w:rPr>
          <w:rFonts w:hint="eastAsia" w:ascii="宋体" w:hAnsi="宋体" w:eastAsia="宋体" w:cs="Times New Roman"/>
          <w:kern w:val="0"/>
          <w:sz w:val="24"/>
          <w:szCs w:val="22"/>
          <w:lang w:val="en-US" w:eastAsia="zh-CN"/>
        </w:rPr>
        <w:t>3.激发学生的职业情怀和教育理想，鼓励他们以教育家为榜样，树立终身学习、不断探索和创新的教育理念，为将来成为一名有理想信念、有道德情操、有扎实学识、有仁爱之心的优秀教师打下坚实的基础。</w:t>
      </w:r>
    </w:p>
    <w:p w14:paraId="6128817A">
      <w:pPr>
        <w:spacing w:line="360" w:lineRule="auto"/>
        <w:jc w:val="left"/>
        <w:outlineLvl w:val="0"/>
        <w:rPr>
          <w:rFonts w:hint="eastAsia" w:ascii="宋体" w:hAnsi="宋体" w:eastAsia="宋体" w:cs="Times New Roman"/>
          <w:b/>
          <w:color w:val="000000"/>
          <w:sz w:val="24"/>
          <w:szCs w:val="24"/>
        </w:rPr>
      </w:pPr>
      <w:bookmarkStart w:id="2115" w:name="_Toc18504"/>
      <w:bookmarkStart w:id="2116" w:name="_Toc29655"/>
      <w:bookmarkStart w:id="2117" w:name="_Toc13345"/>
      <w:bookmarkStart w:id="2118" w:name="_Toc17579"/>
      <w:bookmarkStart w:id="2119" w:name="_Toc17023"/>
      <w:bookmarkStart w:id="2120" w:name="_Toc1336"/>
      <w:bookmarkStart w:id="2121" w:name="_Toc17347"/>
      <w:r>
        <w:rPr>
          <w:rFonts w:hint="eastAsia" w:ascii="宋体" w:hAnsi="宋体" w:eastAsia="宋体" w:cs="Times New Roman"/>
          <w:b/>
          <w:color w:val="000000"/>
          <w:sz w:val="24"/>
          <w:szCs w:val="24"/>
        </w:rPr>
        <w:t>三、教学内容与预期学习成效</w:t>
      </w:r>
      <w:bookmarkEnd w:id="2115"/>
      <w:bookmarkEnd w:id="2116"/>
      <w:bookmarkEnd w:id="2117"/>
      <w:bookmarkEnd w:id="2118"/>
      <w:bookmarkEnd w:id="2119"/>
      <w:bookmarkEnd w:id="2120"/>
      <w:bookmarkEnd w:id="2121"/>
    </w:p>
    <w:tbl>
      <w:tblPr>
        <w:tblStyle w:val="11"/>
        <w:tblW w:w="9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210"/>
        <w:gridCol w:w="1148"/>
        <w:gridCol w:w="2988"/>
        <w:gridCol w:w="1506"/>
        <w:gridCol w:w="519"/>
      </w:tblGrid>
      <w:tr w14:paraId="075C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14:paraId="4E90415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AD185F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210" w:type="dxa"/>
            <w:vAlign w:val="center"/>
          </w:tcPr>
          <w:p w14:paraId="4066463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48" w:type="dxa"/>
            <w:vAlign w:val="center"/>
          </w:tcPr>
          <w:p w14:paraId="1C85C1E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95681A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88" w:type="dxa"/>
            <w:vAlign w:val="center"/>
          </w:tcPr>
          <w:p w14:paraId="4CCDB5A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06" w:type="dxa"/>
            <w:vAlign w:val="center"/>
          </w:tcPr>
          <w:p w14:paraId="0BC7C44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519" w:type="dxa"/>
            <w:vAlign w:val="center"/>
          </w:tcPr>
          <w:p w14:paraId="0A9979D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01D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765F20C7">
            <w:pPr>
              <w:spacing w:line="264" w:lineRule="auto"/>
              <w:jc w:val="center"/>
              <w:rPr>
                <w:rFonts w:ascii="宋体" w:hAnsi="宋体" w:eastAsia="宋体" w:cs="Times New Roman"/>
                <w:color w:val="000000"/>
                <w:szCs w:val="21"/>
              </w:rPr>
            </w:pPr>
          </w:p>
          <w:p w14:paraId="5B0C1A45">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1.小学语文教学设计概述</w:t>
            </w:r>
          </w:p>
        </w:tc>
        <w:tc>
          <w:tcPr>
            <w:tcW w:w="2210" w:type="dxa"/>
            <w:vAlign w:val="center"/>
          </w:tcPr>
          <w:p w14:paraId="2DFF76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（1）小学语文教学设计的关键问题</w:t>
            </w:r>
          </w:p>
          <w:p w14:paraId="07DB303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（2）小学语文教学目标设计</w:t>
            </w:r>
          </w:p>
          <w:p w14:paraId="29168CC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（3）小学语文教学过程设计</w:t>
            </w:r>
          </w:p>
          <w:p w14:paraId="3A528DA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（4）小学语文教学方法设计</w:t>
            </w:r>
          </w:p>
          <w:p w14:paraId="08AE386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（5）小学语文教学媒体设计</w:t>
            </w:r>
          </w:p>
        </w:tc>
        <w:tc>
          <w:tcPr>
            <w:tcW w:w="1148" w:type="dxa"/>
            <w:vAlign w:val="center"/>
          </w:tcPr>
          <w:p w14:paraId="6A89E0B5">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2988" w:type="dxa"/>
            <w:vAlign w:val="center"/>
          </w:tcPr>
          <w:p w14:paraId="3F91CDB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识别并解决教学设计中的关键问题，提升问题解决能力。</w:t>
            </w:r>
          </w:p>
          <w:p w14:paraId="3A792E4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设计符合学生实际的教学目标，确保教学的有效性。</w:t>
            </w:r>
          </w:p>
          <w:p w14:paraId="474AE9D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制定合理的教学流程，增强教学的连贯性和实效性。</w:t>
            </w:r>
          </w:p>
          <w:p w14:paraId="45F2A59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灵活运用多种教学方法，满足不同教学场景和学生需求。</w:t>
            </w:r>
          </w:p>
          <w:p w14:paraId="6260A39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合理利用教学媒体，提高教学互动性和学生的学习兴趣。</w:t>
            </w:r>
          </w:p>
        </w:tc>
        <w:tc>
          <w:tcPr>
            <w:tcW w:w="1506" w:type="dxa"/>
            <w:vAlign w:val="center"/>
          </w:tcPr>
          <w:p w14:paraId="343959E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261680E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.课堂讨论</w:t>
            </w:r>
          </w:p>
          <w:p w14:paraId="4C421A8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3.案例教学</w:t>
            </w:r>
          </w:p>
        </w:tc>
        <w:tc>
          <w:tcPr>
            <w:tcW w:w="519" w:type="dxa"/>
            <w:vAlign w:val="center"/>
          </w:tcPr>
          <w:p w14:paraId="3038DAD1">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p>
        </w:tc>
      </w:tr>
      <w:tr w14:paraId="19D5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59B79A48">
            <w:pPr>
              <w:spacing w:line="264" w:lineRule="auto"/>
              <w:jc w:val="center"/>
              <w:rPr>
                <w:rFonts w:hint="eastAsia" w:ascii="宋体" w:hAnsi="宋体" w:eastAsia="宋体" w:cs="Times New Roman"/>
                <w:color w:val="000000"/>
                <w:szCs w:val="21"/>
              </w:rPr>
            </w:pPr>
          </w:p>
        </w:tc>
        <w:tc>
          <w:tcPr>
            <w:tcW w:w="8371" w:type="dxa"/>
            <w:gridSpan w:val="5"/>
            <w:vAlign w:val="center"/>
          </w:tcPr>
          <w:p w14:paraId="5B71395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初步形成</w:t>
            </w:r>
            <w:r>
              <w:rPr>
                <w:rFonts w:hint="eastAsia" w:ascii="宋体" w:hAnsi="宋体" w:eastAsia="宋体" w:cs="Times New Roman"/>
                <w:color w:val="000000"/>
                <w:szCs w:val="21"/>
              </w:rPr>
              <w:t>对教育事业的责任感和使命感，在教学设计的关键问题、目标设定、过程规划、方法选择和媒体运用中，始终坚持立德树人的根本任务，弘扬社会主义核心价值观，增强文化自信，提升道德修养，激发创新思维。</w:t>
            </w:r>
          </w:p>
        </w:tc>
      </w:tr>
      <w:tr w14:paraId="4CAC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2B31DDFA">
            <w:pPr>
              <w:spacing w:line="264" w:lineRule="auto"/>
              <w:jc w:val="center"/>
              <w:rPr>
                <w:rFonts w:ascii="宋体" w:hAnsi="宋体" w:eastAsia="宋体" w:cs="Times New Roman"/>
                <w:color w:val="000000"/>
                <w:szCs w:val="21"/>
              </w:rPr>
            </w:pPr>
          </w:p>
          <w:p w14:paraId="2BF6EB1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识字</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写字教学设计与实施</w:t>
            </w:r>
          </w:p>
          <w:p w14:paraId="2C1978F6">
            <w:pPr>
              <w:spacing w:line="264" w:lineRule="auto"/>
              <w:jc w:val="center"/>
              <w:rPr>
                <w:rFonts w:ascii="宋体" w:hAnsi="宋体" w:eastAsia="宋体" w:cs="Times New Roman"/>
                <w:color w:val="000000"/>
                <w:szCs w:val="21"/>
              </w:rPr>
            </w:pPr>
          </w:p>
          <w:p w14:paraId="48347A17">
            <w:pPr>
              <w:spacing w:line="264" w:lineRule="auto"/>
              <w:jc w:val="center"/>
              <w:rPr>
                <w:rFonts w:hint="eastAsia" w:ascii="宋体" w:hAnsi="宋体" w:eastAsia="宋体" w:cs="Times New Roman"/>
                <w:color w:val="000000"/>
                <w:szCs w:val="21"/>
              </w:rPr>
            </w:pPr>
          </w:p>
        </w:tc>
        <w:tc>
          <w:tcPr>
            <w:tcW w:w="2210" w:type="dxa"/>
            <w:vAlign w:val="center"/>
          </w:tcPr>
          <w:p w14:paraId="1CDFB76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（1）识字写字教学设计的关键问题</w:t>
            </w:r>
          </w:p>
          <w:p w14:paraId="47F6C2E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（2）汉语拼音教学设计</w:t>
            </w:r>
          </w:p>
          <w:p w14:paraId="70453D5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（3）识字写字教学设计</w:t>
            </w:r>
          </w:p>
          <w:p w14:paraId="62DEFF5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（4）拼音、识字、写字教学设计实践</w:t>
            </w:r>
          </w:p>
        </w:tc>
        <w:tc>
          <w:tcPr>
            <w:tcW w:w="1148" w:type="dxa"/>
            <w:vAlign w:val="center"/>
          </w:tcPr>
          <w:p w14:paraId="70E2B4E5">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课程目标2、3</w:t>
            </w:r>
          </w:p>
        </w:tc>
        <w:tc>
          <w:tcPr>
            <w:tcW w:w="2988" w:type="dxa"/>
            <w:vAlign w:val="center"/>
          </w:tcPr>
          <w:p w14:paraId="44BDA99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能够识别并分析识字写字教学中的关键问题，如学生的认知特点、教学资源的合理利用等，并提出创新的解决方案。</w:t>
            </w:r>
          </w:p>
          <w:p w14:paraId="48D07D7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能够根据小学生的年龄特征和学习需求，设计科学合理的</w:t>
            </w:r>
            <w:r>
              <w:rPr>
                <w:rFonts w:hint="eastAsia" w:ascii="宋体" w:hAnsi="宋体" w:eastAsia="宋体" w:cs="Times New Roman"/>
                <w:color w:val="000000"/>
                <w:szCs w:val="21"/>
                <w:lang w:val="en-US" w:eastAsia="zh-CN"/>
              </w:rPr>
              <w:t>汉语拼音、</w:t>
            </w:r>
            <w:r>
              <w:rPr>
                <w:rFonts w:hint="eastAsia" w:ascii="宋体" w:hAnsi="宋体" w:eastAsia="宋体" w:cs="Times New Roman"/>
                <w:color w:val="000000"/>
                <w:szCs w:val="21"/>
              </w:rPr>
              <w:t>识字</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写字教学</w:t>
            </w:r>
            <w:r>
              <w:rPr>
                <w:rFonts w:hint="eastAsia" w:ascii="宋体" w:hAnsi="宋体" w:eastAsia="宋体" w:cs="Times New Roman"/>
                <w:color w:val="000000"/>
                <w:szCs w:val="21"/>
                <w:lang w:val="en-US" w:eastAsia="zh-CN"/>
              </w:rPr>
              <w:t>方案</w:t>
            </w:r>
            <w:r>
              <w:rPr>
                <w:rFonts w:hint="eastAsia" w:ascii="宋体" w:hAnsi="宋体" w:eastAsia="宋体" w:cs="Times New Roman"/>
                <w:color w:val="000000"/>
                <w:szCs w:val="21"/>
              </w:rPr>
              <w:t>。</w:t>
            </w:r>
          </w:p>
          <w:p w14:paraId="579638D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能够将理论知识应用于实际教学中，通过实践活动掌握拼音、识字、写字教学的组织和实施技巧，提高教学的互动性和实效性。</w:t>
            </w:r>
          </w:p>
        </w:tc>
        <w:tc>
          <w:tcPr>
            <w:tcW w:w="1506" w:type="dxa"/>
            <w:vAlign w:val="center"/>
          </w:tcPr>
          <w:p w14:paraId="7033777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1.案例分析</w:t>
            </w:r>
          </w:p>
          <w:p w14:paraId="6109FB9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2.实践训练</w:t>
            </w:r>
          </w:p>
          <w:p w14:paraId="71F2981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3.研究性学习</w:t>
            </w:r>
          </w:p>
          <w:p w14:paraId="70F65FB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4.观摩体验</w:t>
            </w:r>
          </w:p>
          <w:p w14:paraId="2BE6D7EA">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5.多媒体</w:t>
            </w:r>
            <w:r>
              <w:rPr>
                <w:rFonts w:hint="eastAsia" w:ascii="宋体" w:hAnsi="宋体" w:eastAsia="宋体" w:cs="Times New Roman"/>
                <w:color w:val="000000"/>
                <w:szCs w:val="21"/>
              </w:rPr>
              <w:t>教学</w:t>
            </w:r>
          </w:p>
          <w:p w14:paraId="377F5648">
            <w:pPr>
              <w:spacing w:line="269" w:lineRule="auto"/>
              <w:jc w:val="left"/>
              <w:rPr>
                <w:rFonts w:hint="default" w:ascii="宋体" w:hAnsi="宋体" w:eastAsia="宋体" w:cs="Times New Roman"/>
                <w:color w:val="000000"/>
                <w:szCs w:val="21"/>
                <w:lang w:val="en-US" w:eastAsia="zh-CN"/>
              </w:rPr>
            </w:pPr>
          </w:p>
        </w:tc>
        <w:tc>
          <w:tcPr>
            <w:tcW w:w="519" w:type="dxa"/>
            <w:vAlign w:val="center"/>
          </w:tcPr>
          <w:p w14:paraId="1AB0137F">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366D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52948195">
            <w:pPr>
              <w:spacing w:line="264" w:lineRule="auto"/>
              <w:jc w:val="center"/>
              <w:rPr>
                <w:rFonts w:hint="eastAsia" w:ascii="宋体" w:hAnsi="宋体" w:eastAsia="宋体" w:cs="Times New Roman"/>
                <w:color w:val="000000"/>
                <w:szCs w:val="21"/>
              </w:rPr>
            </w:pPr>
          </w:p>
        </w:tc>
        <w:tc>
          <w:tcPr>
            <w:tcW w:w="8371" w:type="dxa"/>
            <w:gridSpan w:val="5"/>
            <w:vAlign w:val="center"/>
          </w:tcPr>
          <w:p w14:paraId="1CEA262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通过对识字与写字教学目标、内容与方法设计分析，提升师范生文化认同和文化自信，增强从事小学语文教育的责任感和使命感。</w:t>
            </w:r>
          </w:p>
        </w:tc>
      </w:tr>
      <w:tr w14:paraId="2DA7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7E1A38F2">
            <w:pPr>
              <w:spacing w:line="264" w:lineRule="auto"/>
              <w:jc w:val="center"/>
              <w:rPr>
                <w:rFonts w:ascii="宋体" w:hAnsi="宋体" w:eastAsia="宋体" w:cs="Times New Roman"/>
                <w:color w:val="000000"/>
                <w:szCs w:val="21"/>
              </w:rPr>
            </w:pPr>
          </w:p>
          <w:p w14:paraId="7768FAC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阅读教学设计与实施</w:t>
            </w:r>
          </w:p>
          <w:p w14:paraId="09C7E19E">
            <w:pPr>
              <w:spacing w:line="264" w:lineRule="auto"/>
              <w:jc w:val="center"/>
              <w:rPr>
                <w:rFonts w:ascii="宋体" w:hAnsi="宋体" w:eastAsia="宋体" w:cs="Times New Roman"/>
                <w:color w:val="000000"/>
                <w:szCs w:val="21"/>
              </w:rPr>
            </w:pPr>
          </w:p>
          <w:p w14:paraId="336E4904">
            <w:pPr>
              <w:spacing w:line="264" w:lineRule="auto"/>
              <w:jc w:val="center"/>
              <w:rPr>
                <w:rFonts w:hint="eastAsia" w:ascii="宋体" w:hAnsi="宋体" w:eastAsia="宋体" w:cs="Times New Roman"/>
                <w:color w:val="000000"/>
                <w:szCs w:val="21"/>
              </w:rPr>
            </w:pPr>
          </w:p>
        </w:tc>
        <w:tc>
          <w:tcPr>
            <w:tcW w:w="2210" w:type="dxa"/>
            <w:vAlign w:val="center"/>
          </w:tcPr>
          <w:p w14:paraId="3EB5C0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（1）阅读教学的关键问题</w:t>
            </w:r>
          </w:p>
          <w:p w14:paraId="4106E5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（2）阅读教学设计评述</w:t>
            </w:r>
          </w:p>
          <w:p w14:paraId="1247998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（3）不同年段阅读教学设计</w:t>
            </w:r>
          </w:p>
          <w:p w14:paraId="2A6DE79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（4）不同文体阅读教学设计</w:t>
            </w:r>
          </w:p>
          <w:p w14:paraId="7E27F58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（5）阅读策略单元教学设计</w:t>
            </w:r>
          </w:p>
          <w:p w14:paraId="22F56B0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（6）阅读教学设计的实践</w:t>
            </w:r>
          </w:p>
          <w:p w14:paraId="026769F0">
            <w:pPr>
              <w:spacing w:line="269" w:lineRule="auto"/>
              <w:jc w:val="left"/>
              <w:rPr>
                <w:rFonts w:ascii="宋体" w:hAnsi="宋体" w:eastAsia="宋体" w:cs="Times New Roman"/>
                <w:color w:val="000000"/>
                <w:szCs w:val="21"/>
              </w:rPr>
            </w:pPr>
          </w:p>
          <w:p w14:paraId="2D0628AA">
            <w:pPr>
              <w:spacing w:line="269" w:lineRule="auto"/>
              <w:jc w:val="left"/>
              <w:rPr>
                <w:rFonts w:hint="eastAsia" w:ascii="宋体" w:hAnsi="宋体" w:eastAsia="宋体" w:cs="Times New Roman"/>
                <w:color w:val="000000"/>
                <w:szCs w:val="21"/>
              </w:rPr>
            </w:pPr>
          </w:p>
        </w:tc>
        <w:tc>
          <w:tcPr>
            <w:tcW w:w="1148" w:type="dxa"/>
            <w:vAlign w:val="center"/>
          </w:tcPr>
          <w:p w14:paraId="0C301E3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课程目标2、3</w:t>
            </w:r>
          </w:p>
        </w:tc>
        <w:tc>
          <w:tcPr>
            <w:tcW w:w="2988" w:type="dxa"/>
            <w:vAlign w:val="center"/>
          </w:tcPr>
          <w:p w14:paraId="5534346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能够识别并分析阅读教学中的关键问题，包括学生阅读兴趣的激发、阅读习惯的培养</w:t>
            </w:r>
            <w:r>
              <w:rPr>
                <w:rFonts w:hint="eastAsia" w:ascii="宋体" w:hAnsi="宋体" w:eastAsia="宋体" w:cs="Times New Roman"/>
                <w:color w:val="000000"/>
                <w:szCs w:val="21"/>
                <w:lang w:val="en-US" w:eastAsia="zh-CN"/>
              </w:rPr>
              <w:t>等</w:t>
            </w:r>
            <w:r>
              <w:rPr>
                <w:rFonts w:hint="eastAsia" w:ascii="宋体" w:hAnsi="宋体" w:eastAsia="宋体" w:cs="Times New Roman"/>
                <w:color w:val="000000"/>
                <w:szCs w:val="21"/>
              </w:rPr>
              <w:t>。</w:t>
            </w:r>
          </w:p>
          <w:p w14:paraId="7D9E5E3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能够评述不同阅读教学设计的理论基础和实践效果，理解各种教学设计的优劣和适用场景。</w:t>
            </w:r>
          </w:p>
          <w:p w14:paraId="4454F71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掌握针对不同年段学生的阅读教学设计方法</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能够根据不同文体（如叙事、说明、</w:t>
            </w:r>
            <w:r>
              <w:rPr>
                <w:rFonts w:hint="eastAsia" w:ascii="宋体" w:hAnsi="宋体" w:eastAsia="宋体" w:cs="Times New Roman"/>
                <w:color w:val="000000"/>
                <w:szCs w:val="21"/>
                <w:lang w:val="en-US" w:eastAsia="zh-CN"/>
              </w:rPr>
              <w:t>诗歌</w:t>
            </w:r>
            <w:r>
              <w:rPr>
                <w:rFonts w:hint="eastAsia" w:ascii="宋体" w:hAnsi="宋体" w:eastAsia="宋体" w:cs="Times New Roman"/>
                <w:color w:val="000000"/>
                <w:szCs w:val="21"/>
              </w:rPr>
              <w:t>等）设计有效的阅读教学活动。</w:t>
            </w:r>
          </w:p>
          <w:p w14:paraId="6C23332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能够设计以阅读策略为核心的单元教学，</w:t>
            </w:r>
            <w:r>
              <w:rPr>
                <w:rFonts w:hint="eastAsia" w:ascii="宋体" w:hAnsi="宋体" w:eastAsia="宋体" w:cs="Times New Roman"/>
                <w:color w:val="000000"/>
                <w:szCs w:val="21"/>
                <w:lang w:val="en-US" w:eastAsia="zh-CN"/>
              </w:rPr>
              <w:t>掌握</w:t>
            </w:r>
            <w:r>
              <w:rPr>
                <w:rFonts w:hint="eastAsia" w:ascii="宋体" w:hAnsi="宋体" w:eastAsia="宋体" w:cs="Times New Roman"/>
                <w:color w:val="000000"/>
                <w:szCs w:val="21"/>
              </w:rPr>
              <w:t>预测、提问等阅读策略</w:t>
            </w:r>
            <w:r>
              <w:rPr>
                <w:rFonts w:hint="eastAsia" w:ascii="宋体" w:hAnsi="宋体" w:eastAsia="宋体" w:cs="Times New Roman"/>
                <w:color w:val="000000"/>
                <w:szCs w:val="21"/>
                <w:lang w:val="en-US" w:eastAsia="zh-CN"/>
              </w:rPr>
              <w:t>教学设计技巧</w:t>
            </w:r>
            <w:r>
              <w:rPr>
                <w:rFonts w:hint="eastAsia" w:ascii="宋体" w:hAnsi="宋体" w:eastAsia="宋体" w:cs="Times New Roman"/>
                <w:color w:val="000000"/>
                <w:szCs w:val="21"/>
              </w:rPr>
              <w:t>。</w:t>
            </w:r>
          </w:p>
        </w:tc>
        <w:tc>
          <w:tcPr>
            <w:tcW w:w="1506" w:type="dxa"/>
            <w:vAlign w:val="center"/>
          </w:tcPr>
          <w:p w14:paraId="043F43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案例分析</w:t>
            </w:r>
          </w:p>
          <w:p w14:paraId="3E3F662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2.实践训练</w:t>
            </w:r>
          </w:p>
          <w:p w14:paraId="582BDE3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3.研究性学习</w:t>
            </w:r>
          </w:p>
          <w:p w14:paraId="588926B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4.观摩体验</w:t>
            </w:r>
          </w:p>
          <w:p w14:paraId="4A3D37A6">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5.多媒体</w:t>
            </w:r>
            <w:r>
              <w:rPr>
                <w:rFonts w:hint="eastAsia" w:ascii="宋体" w:hAnsi="宋体" w:eastAsia="宋体" w:cs="Times New Roman"/>
                <w:color w:val="000000"/>
                <w:szCs w:val="21"/>
              </w:rPr>
              <w:t>教学</w:t>
            </w:r>
          </w:p>
        </w:tc>
        <w:tc>
          <w:tcPr>
            <w:tcW w:w="519" w:type="dxa"/>
            <w:vAlign w:val="center"/>
          </w:tcPr>
          <w:p w14:paraId="0E4DF98A">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12</w:t>
            </w:r>
          </w:p>
        </w:tc>
      </w:tr>
      <w:tr w14:paraId="62BF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2D7EBFBA">
            <w:pPr>
              <w:spacing w:line="264" w:lineRule="auto"/>
              <w:jc w:val="center"/>
              <w:rPr>
                <w:rFonts w:hint="eastAsia" w:ascii="宋体" w:hAnsi="宋体" w:eastAsia="宋体" w:cs="Times New Roman"/>
                <w:color w:val="000000"/>
                <w:szCs w:val="21"/>
              </w:rPr>
            </w:pPr>
          </w:p>
        </w:tc>
        <w:tc>
          <w:tcPr>
            <w:tcW w:w="8371" w:type="dxa"/>
            <w:gridSpan w:val="5"/>
            <w:vAlign w:val="center"/>
          </w:tcPr>
          <w:p w14:paraId="4A2A378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认识统编本教材中阅读教学的育人价值和丰富的思政元素。将思政目标融入阅读教学设计，传承和创新中华优秀传统文化，培养学生的文化自信和社会责任感。</w:t>
            </w:r>
          </w:p>
        </w:tc>
      </w:tr>
      <w:tr w14:paraId="5B33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7F26BAD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4.整本书阅读教学设计</w:t>
            </w:r>
          </w:p>
        </w:tc>
        <w:tc>
          <w:tcPr>
            <w:tcW w:w="2210" w:type="dxa"/>
            <w:vAlign w:val="center"/>
          </w:tcPr>
          <w:p w14:paraId="7137EF3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（1）整本书阅读教学设计的关键问题</w:t>
            </w:r>
          </w:p>
          <w:p w14:paraId="1A22A16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（2）整本书阅读教学设计述评</w:t>
            </w:r>
          </w:p>
          <w:p w14:paraId="2ECD121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（3）整本书阅读教学设计实践</w:t>
            </w:r>
          </w:p>
        </w:tc>
        <w:tc>
          <w:tcPr>
            <w:tcW w:w="1148" w:type="dxa"/>
            <w:vAlign w:val="center"/>
          </w:tcPr>
          <w:p w14:paraId="7A109F4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课程目标2、3</w:t>
            </w:r>
          </w:p>
        </w:tc>
        <w:tc>
          <w:tcPr>
            <w:tcW w:w="2988" w:type="dxa"/>
            <w:vAlign w:val="center"/>
          </w:tcPr>
          <w:p w14:paraId="677F7622">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能够识别并分析整本书阅读教学设计中的关键问题</w:t>
            </w:r>
            <w:r>
              <w:rPr>
                <w:rFonts w:hint="eastAsia" w:ascii="宋体" w:hAnsi="宋体" w:eastAsia="宋体" w:cs="Times New Roman"/>
                <w:color w:val="000000"/>
                <w:szCs w:val="21"/>
                <w:lang w:eastAsia="zh-CN"/>
              </w:rPr>
              <w:t>。</w:t>
            </w:r>
          </w:p>
          <w:p w14:paraId="0AA982F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对现有的整本书阅读教学设计进行述评，包括评价其教学理念、方法和实施效果，并提出改进建议。</w:t>
            </w:r>
          </w:p>
          <w:p w14:paraId="1379997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通过实践掌握整本书阅读教学设计的技巧，能够独立设计并实施整本书阅读教学活动，促进学生的深度阅读和批判性思维能力的发展。</w:t>
            </w:r>
          </w:p>
        </w:tc>
        <w:tc>
          <w:tcPr>
            <w:tcW w:w="1506" w:type="dxa"/>
            <w:vAlign w:val="center"/>
          </w:tcPr>
          <w:p w14:paraId="1D2382C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案例分析</w:t>
            </w:r>
          </w:p>
          <w:p w14:paraId="7401908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2.实践训练</w:t>
            </w:r>
          </w:p>
          <w:p w14:paraId="2BD115B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3.观摩体验</w:t>
            </w:r>
          </w:p>
          <w:p w14:paraId="232F821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4.多媒体</w:t>
            </w:r>
            <w:r>
              <w:rPr>
                <w:rFonts w:hint="eastAsia" w:ascii="宋体" w:hAnsi="宋体" w:eastAsia="宋体" w:cs="Times New Roman"/>
                <w:color w:val="000000"/>
                <w:szCs w:val="21"/>
              </w:rPr>
              <w:t>教学</w:t>
            </w:r>
          </w:p>
        </w:tc>
        <w:tc>
          <w:tcPr>
            <w:tcW w:w="519" w:type="dxa"/>
            <w:vAlign w:val="center"/>
          </w:tcPr>
          <w:p w14:paraId="2CFBF2D9">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p>
        </w:tc>
      </w:tr>
      <w:tr w14:paraId="6559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37452976">
            <w:pPr>
              <w:spacing w:line="276" w:lineRule="auto"/>
              <w:jc w:val="center"/>
              <w:rPr>
                <w:rFonts w:hint="eastAsia" w:ascii="宋体" w:hAnsi="宋体" w:eastAsia="宋体" w:cs="Times New Roman"/>
                <w:color w:val="000000"/>
                <w:szCs w:val="21"/>
              </w:rPr>
            </w:pPr>
          </w:p>
        </w:tc>
        <w:tc>
          <w:tcPr>
            <w:tcW w:w="8371" w:type="dxa"/>
            <w:gridSpan w:val="5"/>
            <w:vAlign w:val="center"/>
          </w:tcPr>
          <w:p w14:paraId="74A4D38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挖掘统编本教材中阅读教学的育人价值和丰富的思政元素；将思政目标融入阅读教学设计，传承和创新中华优秀传统文化，坚定文化自信；在阅读教学中涵养“启智润心、因材施教”的育人智慧。</w:t>
            </w:r>
          </w:p>
        </w:tc>
      </w:tr>
      <w:tr w14:paraId="11F9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13027BA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写话和习作教学设计与实施</w:t>
            </w:r>
          </w:p>
        </w:tc>
        <w:tc>
          <w:tcPr>
            <w:tcW w:w="2210" w:type="dxa"/>
            <w:vAlign w:val="center"/>
          </w:tcPr>
          <w:p w14:paraId="6B53814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（1）写话与习作教学的关键问题</w:t>
            </w:r>
          </w:p>
          <w:p w14:paraId="5DF148C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（2）写话与习作教学设计的策略</w:t>
            </w:r>
          </w:p>
          <w:p w14:paraId="300DC54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（3）写话与习作教学设计</w:t>
            </w:r>
          </w:p>
        </w:tc>
        <w:tc>
          <w:tcPr>
            <w:tcW w:w="1148" w:type="dxa"/>
            <w:vAlign w:val="center"/>
          </w:tcPr>
          <w:p w14:paraId="3C8A096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课程目标2、3</w:t>
            </w:r>
          </w:p>
        </w:tc>
        <w:tc>
          <w:tcPr>
            <w:tcW w:w="2988" w:type="dxa"/>
            <w:vAlign w:val="center"/>
          </w:tcPr>
          <w:p w14:paraId="66D9733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能够识别写话与习作教学中的关键问题，包括写作兴趣的激发、写作技能的提升以及创造性思维的培养。</w:t>
            </w:r>
          </w:p>
          <w:p w14:paraId="4372FF4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掌握写话与习作教学设计的策略，能够根据不同教学目标和学生特点选择合适的教学方法和活动。</w:t>
            </w:r>
          </w:p>
          <w:p w14:paraId="01D81E4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独立设计并实施写话与习作教学活动。</w:t>
            </w:r>
          </w:p>
        </w:tc>
        <w:tc>
          <w:tcPr>
            <w:tcW w:w="1506" w:type="dxa"/>
            <w:vAlign w:val="center"/>
          </w:tcPr>
          <w:p w14:paraId="1210F0D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案例分析</w:t>
            </w:r>
          </w:p>
          <w:p w14:paraId="24A08B0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2.实践训练</w:t>
            </w:r>
          </w:p>
          <w:p w14:paraId="23B5F0C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3.观摩体验</w:t>
            </w:r>
          </w:p>
          <w:p w14:paraId="5242889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4.多媒体</w:t>
            </w:r>
            <w:r>
              <w:rPr>
                <w:rFonts w:hint="eastAsia" w:ascii="宋体" w:hAnsi="宋体" w:eastAsia="宋体" w:cs="Times New Roman"/>
                <w:color w:val="000000"/>
                <w:szCs w:val="21"/>
              </w:rPr>
              <w:t>教学</w:t>
            </w:r>
          </w:p>
        </w:tc>
        <w:tc>
          <w:tcPr>
            <w:tcW w:w="519" w:type="dxa"/>
            <w:vAlign w:val="center"/>
          </w:tcPr>
          <w:p w14:paraId="057BAB41">
            <w:pPr>
              <w:spacing w:line="276" w:lineRule="auto"/>
              <w:jc w:val="center"/>
              <w:rPr>
                <w:rFonts w:hint="eastAsia" w:ascii="宋体" w:hAnsi="宋体" w:eastAsia="宋体" w:cs="Times New Roman"/>
                <w:color w:val="000000"/>
                <w:szCs w:val="21"/>
              </w:rPr>
            </w:pPr>
          </w:p>
        </w:tc>
      </w:tr>
      <w:tr w14:paraId="5F3B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078C68E8">
            <w:pPr>
              <w:spacing w:line="276" w:lineRule="auto"/>
              <w:jc w:val="center"/>
              <w:rPr>
                <w:rFonts w:hint="eastAsia" w:ascii="宋体" w:hAnsi="宋体" w:eastAsia="宋体" w:cs="Times New Roman"/>
                <w:color w:val="000000"/>
                <w:szCs w:val="21"/>
              </w:rPr>
            </w:pPr>
          </w:p>
        </w:tc>
        <w:tc>
          <w:tcPr>
            <w:tcW w:w="8371" w:type="dxa"/>
            <w:gridSpan w:val="5"/>
            <w:vAlign w:val="center"/>
          </w:tcPr>
          <w:p w14:paraId="24C80D8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val="en-US" w:eastAsia="zh-CN"/>
              </w:rPr>
              <w:t>1.</w:t>
            </w:r>
            <w:r>
              <w:rPr>
                <w:rFonts w:hint="eastAsia" w:ascii="宋体" w:hAnsi="宋体" w:eastAsia="宋体" w:cs="Times New Roman"/>
                <w:color w:val="000000"/>
                <w:szCs w:val="21"/>
              </w:rPr>
              <w:t>通过写话与习作教学设计，培养社会责任感和集体荣誉感，鼓励学生关注社会热点问题，表达个人见解和主张。</w:t>
            </w:r>
          </w:p>
          <w:p w14:paraId="70B00052">
            <w:pPr>
              <w:spacing w:line="276"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学会在</w:t>
            </w:r>
            <w:r>
              <w:rPr>
                <w:rFonts w:hint="eastAsia" w:ascii="宋体" w:hAnsi="宋体" w:eastAsia="宋体" w:cs="Times New Roman"/>
                <w:color w:val="000000"/>
                <w:szCs w:val="21"/>
                <w:lang w:val="en-US" w:eastAsia="zh-CN"/>
              </w:rPr>
              <w:t>写话与习作教学设计</w:t>
            </w:r>
            <w:r>
              <w:rPr>
                <w:rFonts w:hint="eastAsia" w:ascii="宋体" w:hAnsi="宋体" w:eastAsia="宋体" w:cs="Times New Roman"/>
                <w:color w:val="000000"/>
                <w:szCs w:val="21"/>
              </w:rPr>
              <w:t>中传承和弘扬中华优秀传统文化，提升文化自信，增强对民族文化的认同和尊重。</w:t>
            </w:r>
          </w:p>
          <w:p w14:paraId="676B408E">
            <w:pPr>
              <w:spacing w:line="276"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3.形成</w:t>
            </w:r>
            <w:r>
              <w:rPr>
                <w:rFonts w:hint="eastAsia" w:ascii="宋体" w:hAnsi="宋体" w:eastAsia="宋体" w:cs="Times New Roman"/>
                <w:color w:val="000000"/>
                <w:szCs w:val="21"/>
              </w:rPr>
              <w:t>批判性思维和创新意识，</w:t>
            </w:r>
            <w:r>
              <w:rPr>
                <w:rFonts w:hint="eastAsia" w:ascii="宋体" w:hAnsi="宋体" w:eastAsia="宋体" w:cs="Times New Roman"/>
                <w:color w:val="000000"/>
                <w:szCs w:val="21"/>
                <w:lang w:val="en-US" w:eastAsia="zh-CN"/>
              </w:rPr>
              <w:t>将思政目标融入教学实践，以文化人</w:t>
            </w:r>
            <w:r>
              <w:rPr>
                <w:rFonts w:hint="eastAsia" w:ascii="宋体" w:hAnsi="宋体" w:eastAsia="宋体" w:cs="Times New Roman"/>
                <w:color w:val="000000"/>
                <w:szCs w:val="21"/>
              </w:rPr>
              <w:t>。</w:t>
            </w:r>
          </w:p>
        </w:tc>
      </w:tr>
      <w:tr w14:paraId="775E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0195B6B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口语交际教学设计与实施</w:t>
            </w:r>
          </w:p>
        </w:tc>
        <w:tc>
          <w:tcPr>
            <w:tcW w:w="2210" w:type="dxa"/>
            <w:vAlign w:val="center"/>
          </w:tcPr>
          <w:p w14:paraId="3802811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（1）口语交际教学概述</w:t>
            </w:r>
          </w:p>
          <w:p w14:paraId="6703BD7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（2）口语交际教学的目标与理念</w:t>
            </w:r>
          </w:p>
          <w:p w14:paraId="2B98742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（3）口语交际教学的内容与方法设计</w:t>
            </w:r>
          </w:p>
        </w:tc>
        <w:tc>
          <w:tcPr>
            <w:tcW w:w="1148" w:type="dxa"/>
            <w:vAlign w:val="center"/>
          </w:tcPr>
          <w:p w14:paraId="74378D5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课程目标2、3</w:t>
            </w:r>
          </w:p>
        </w:tc>
        <w:tc>
          <w:tcPr>
            <w:tcW w:w="2988" w:type="dxa"/>
            <w:vAlign w:val="center"/>
          </w:tcPr>
          <w:p w14:paraId="6BD5770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理解口语交际教学的重要性，并掌握其基本概念和教学流程。</w:t>
            </w:r>
          </w:p>
          <w:p w14:paraId="157E29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根据新课标的要求，明确口语交际教学的目标，并能够设计符合学生发展需求的教学理念。</w:t>
            </w:r>
          </w:p>
          <w:p w14:paraId="5C5D6D9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能够设计出多样化的口语交际教学内容和方法，包括讨论、辩论、角色扮演等。</w:t>
            </w:r>
          </w:p>
        </w:tc>
        <w:tc>
          <w:tcPr>
            <w:tcW w:w="1506" w:type="dxa"/>
            <w:vAlign w:val="center"/>
          </w:tcPr>
          <w:p w14:paraId="391AD67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案例分析</w:t>
            </w:r>
          </w:p>
          <w:p w14:paraId="1FE9536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2.实践训练</w:t>
            </w:r>
          </w:p>
          <w:p w14:paraId="4F2BC64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3.观摩体验</w:t>
            </w:r>
          </w:p>
          <w:p w14:paraId="340A777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4.多媒体</w:t>
            </w:r>
            <w:r>
              <w:rPr>
                <w:rFonts w:hint="eastAsia" w:ascii="宋体" w:hAnsi="宋体" w:eastAsia="宋体" w:cs="Times New Roman"/>
                <w:color w:val="000000"/>
                <w:szCs w:val="21"/>
              </w:rPr>
              <w:t>教学</w:t>
            </w:r>
          </w:p>
        </w:tc>
        <w:tc>
          <w:tcPr>
            <w:tcW w:w="519" w:type="dxa"/>
            <w:vAlign w:val="center"/>
          </w:tcPr>
          <w:p w14:paraId="5DBD84E7">
            <w:pPr>
              <w:spacing w:line="276" w:lineRule="auto"/>
              <w:jc w:val="center"/>
              <w:rPr>
                <w:rFonts w:hint="eastAsia" w:ascii="宋体" w:hAnsi="宋体" w:eastAsia="宋体" w:cs="Times New Roman"/>
                <w:color w:val="000000"/>
                <w:szCs w:val="21"/>
              </w:rPr>
            </w:pPr>
          </w:p>
        </w:tc>
      </w:tr>
      <w:tr w14:paraId="7EFA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43F191A3">
            <w:pPr>
              <w:spacing w:line="276" w:lineRule="auto"/>
              <w:jc w:val="center"/>
              <w:rPr>
                <w:rFonts w:hint="eastAsia" w:ascii="宋体" w:hAnsi="宋体" w:eastAsia="宋体" w:cs="Times New Roman"/>
                <w:color w:val="000000"/>
                <w:szCs w:val="21"/>
              </w:rPr>
            </w:pPr>
          </w:p>
        </w:tc>
        <w:tc>
          <w:tcPr>
            <w:tcW w:w="8371" w:type="dxa"/>
            <w:gridSpan w:val="5"/>
            <w:vAlign w:val="center"/>
          </w:tcPr>
          <w:p w14:paraId="0D17613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依据语文课标理念和统编教材的编写特色，设计口语交际、交流与讨论活动，深刻理解和传承倾听与表达中蕴含的中华优秀传统文化，进而强化民族自豪感与文化认同感。</w:t>
            </w:r>
          </w:p>
        </w:tc>
      </w:tr>
      <w:tr w14:paraId="50B7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435C7740">
            <w:pPr>
              <w:spacing w:line="276"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单元学习任务设计</w:t>
            </w:r>
          </w:p>
        </w:tc>
        <w:tc>
          <w:tcPr>
            <w:tcW w:w="2210" w:type="dxa"/>
            <w:vAlign w:val="center"/>
          </w:tcPr>
          <w:p w14:paraId="3F369F6B">
            <w:pPr>
              <w:spacing w:line="276" w:lineRule="auto"/>
              <w:jc w:val="left"/>
              <w:rPr>
                <w:rFonts w:hint="eastAsia" w:ascii="宋体" w:hAnsi="宋体" w:eastAsia="宋体" w:cs="Times New Roman"/>
                <w:szCs w:val="21"/>
              </w:rPr>
            </w:pPr>
            <w:r>
              <w:rPr>
                <w:rFonts w:hint="eastAsia" w:ascii="宋体" w:hAnsi="宋体" w:eastAsia="宋体" w:cs="Times New Roman"/>
                <w:szCs w:val="21"/>
              </w:rPr>
              <w:t>（1）单元学习任务设计的关键问题</w:t>
            </w:r>
          </w:p>
          <w:p w14:paraId="65145F58">
            <w:pPr>
              <w:spacing w:line="276" w:lineRule="auto"/>
              <w:jc w:val="left"/>
              <w:rPr>
                <w:rFonts w:hint="eastAsia" w:ascii="宋体" w:hAnsi="宋体" w:eastAsia="宋体" w:cs="Times New Roman"/>
                <w:szCs w:val="21"/>
              </w:rPr>
            </w:pPr>
            <w:r>
              <w:rPr>
                <w:rFonts w:hint="eastAsia" w:ascii="宋体" w:hAnsi="宋体" w:eastAsia="宋体" w:cs="Times New Roman"/>
                <w:szCs w:val="21"/>
              </w:rPr>
              <w:t>（2）单元学习任务设计评述</w:t>
            </w:r>
          </w:p>
          <w:p w14:paraId="5A40727B">
            <w:pPr>
              <w:spacing w:line="276" w:lineRule="auto"/>
              <w:jc w:val="left"/>
              <w:rPr>
                <w:rFonts w:hint="eastAsia" w:ascii="宋体" w:hAnsi="宋体" w:eastAsia="宋体" w:cs="Times New Roman"/>
                <w:szCs w:val="21"/>
              </w:rPr>
            </w:pPr>
            <w:r>
              <w:rPr>
                <w:rFonts w:hint="eastAsia" w:ascii="宋体" w:hAnsi="宋体" w:eastAsia="宋体" w:cs="Times New Roman"/>
                <w:szCs w:val="21"/>
              </w:rPr>
              <w:t>（3）单元学习任务设计实践</w:t>
            </w:r>
          </w:p>
        </w:tc>
        <w:tc>
          <w:tcPr>
            <w:tcW w:w="1148" w:type="dxa"/>
            <w:vAlign w:val="center"/>
          </w:tcPr>
          <w:p w14:paraId="016E4F8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课程目标2、3</w:t>
            </w:r>
          </w:p>
        </w:tc>
        <w:tc>
          <w:tcPr>
            <w:tcW w:w="2988" w:type="dxa"/>
            <w:vAlign w:val="center"/>
          </w:tcPr>
          <w:p w14:paraId="69AA22C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（1）了解学习任务群和单元学习任务之间的关系，理解学习任务设计的整合性要求。</w:t>
            </w:r>
          </w:p>
          <w:p w14:paraId="29F32B9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能够</w:t>
            </w:r>
            <w:r>
              <w:rPr>
                <w:rFonts w:hint="eastAsia" w:ascii="宋体" w:hAnsi="宋体" w:eastAsia="宋体" w:cs="Times New Roman"/>
                <w:color w:val="000000"/>
                <w:szCs w:val="21"/>
              </w:rPr>
              <w:t>进行为单元学习任务设计赋能的单元整体解读。</w:t>
            </w:r>
          </w:p>
          <w:p w14:paraId="783CEA8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能够依据单元教学目标创设学习情境任务。</w:t>
            </w:r>
          </w:p>
          <w:p w14:paraId="00A15024">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依据</w:t>
            </w:r>
            <w:r>
              <w:rPr>
                <w:rFonts w:hint="eastAsia" w:ascii="宋体" w:hAnsi="宋体" w:eastAsia="宋体" w:cs="Times New Roman"/>
                <w:color w:val="000000"/>
                <w:szCs w:val="21"/>
              </w:rPr>
              <w:t>单元学习任务</w:t>
            </w:r>
            <w:r>
              <w:rPr>
                <w:rFonts w:hint="eastAsia" w:ascii="宋体" w:hAnsi="宋体" w:eastAsia="宋体" w:cs="Times New Roman"/>
                <w:color w:val="000000"/>
                <w:szCs w:val="21"/>
                <w:lang w:val="en-US" w:eastAsia="zh-CN"/>
              </w:rPr>
              <w:t>设计</w:t>
            </w:r>
            <w:r>
              <w:rPr>
                <w:rFonts w:hint="eastAsia" w:ascii="宋体" w:hAnsi="宋体" w:eastAsia="宋体" w:cs="Times New Roman"/>
                <w:color w:val="000000"/>
                <w:szCs w:val="21"/>
              </w:rPr>
              <w:t>基本原则</w:t>
            </w:r>
            <w:r>
              <w:rPr>
                <w:rFonts w:hint="eastAsia" w:ascii="宋体" w:hAnsi="宋体" w:eastAsia="宋体" w:cs="Times New Roman"/>
                <w:color w:val="000000"/>
                <w:szCs w:val="21"/>
                <w:lang w:val="en-US" w:eastAsia="zh-CN"/>
              </w:rPr>
              <w:t>和步骤</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设计单元学习任务和评价标准</w:t>
            </w:r>
          </w:p>
        </w:tc>
        <w:tc>
          <w:tcPr>
            <w:tcW w:w="1506" w:type="dxa"/>
            <w:vAlign w:val="center"/>
          </w:tcPr>
          <w:p w14:paraId="4FCD1BB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案例分析</w:t>
            </w:r>
          </w:p>
          <w:p w14:paraId="14A5FA2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2.实践训练</w:t>
            </w:r>
          </w:p>
          <w:p w14:paraId="05FD359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3.观摩体验</w:t>
            </w:r>
          </w:p>
          <w:p w14:paraId="5CF5E6B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4.多媒体</w:t>
            </w:r>
            <w:r>
              <w:rPr>
                <w:rFonts w:hint="eastAsia" w:ascii="宋体" w:hAnsi="宋体" w:eastAsia="宋体" w:cs="Times New Roman"/>
                <w:color w:val="000000"/>
                <w:szCs w:val="21"/>
              </w:rPr>
              <w:t>教学</w:t>
            </w:r>
          </w:p>
        </w:tc>
        <w:tc>
          <w:tcPr>
            <w:tcW w:w="519" w:type="dxa"/>
            <w:vAlign w:val="center"/>
          </w:tcPr>
          <w:p w14:paraId="6E6C6228">
            <w:pPr>
              <w:spacing w:line="276" w:lineRule="auto"/>
              <w:jc w:val="center"/>
              <w:rPr>
                <w:rFonts w:hint="eastAsia" w:ascii="宋体" w:hAnsi="宋体" w:eastAsia="宋体" w:cs="Times New Roman"/>
                <w:color w:val="000000"/>
                <w:szCs w:val="21"/>
              </w:rPr>
            </w:pPr>
          </w:p>
        </w:tc>
      </w:tr>
      <w:tr w14:paraId="542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1F6C1E56">
            <w:pPr>
              <w:spacing w:line="276" w:lineRule="auto"/>
              <w:jc w:val="center"/>
              <w:rPr>
                <w:rFonts w:hint="eastAsia" w:ascii="宋体" w:hAnsi="宋体" w:eastAsia="宋体" w:cs="Times New Roman"/>
                <w:color w:val="000000"/>
                <w:szCs w:val="21"/>
              </w:rPr>
            </w:pPr>
          </w:p>
        </w:tc>
        <w:tc>
          <w:tcPr>
            <w:tcW w:w="8371" w:type="dxa"/>
            <w:gridSpan w:val="5"/>
            <w:vAlign w:val="center"/>
          </w:tcPr>
          <w:p w14:paraId="34DFE4A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师范生深刻认识单元整体教学在培养小学生基本道德观念和价值观中的作用，领悟语文核心素养所蕴含的育人价值；形成传承中华优秀传统文化、革命文化、社会主义先进文化的责任意识；立志肩负起民族复兴的时代重任。</w:t>
            </w:r>
          </w:p>
        </w:tc>
      </w:tr>
    </w:tbl>
    <w:p w14:paraId="45BA9E99">
      <w:pPr>
        <w:spacing w:line="360" w:lineRule="auto"/>
        <w:jc w:val="left"/>
        <w:rPr>
          <w:rFonts w:ascii="Times New Roman" w:hAnsi="Times New Roman" w:eastAsia="宋体" w:cs="Times New Roman"/>
          <w:sz w:val="24"/>
          <w:szCs w:val="24"/>
        </w:rPr>
      </w:pPr>
    </w:p>
    <w:p w14:paraId="24E14D46">
      <w:pPr>
        <w:spacing w:line="360" w:lineRule="auto"/>
        <w:jc w:val="left"/>
        <w:outlineLvl w:val="0"/>
        <w:rPr>
          <w:rFonts w:ascii="Times New Roman" w:hAnsi="Times New Roman" w:eastAsia="宋体" w:cs="Times New Roman"/>
          <w:sz w:val="24"/>
          <w:szCs w:val="24"/>
        </w:rPr>
      </w:pPr>
      <w:bookmarkStart w:id="2122" w:name="_Toc4197"/>
      <w:bookmarkStart w:id="2123" w:name="_Toc18587"/>
      <w:bookmarkStart w:id="2124" w:name="_Toc31996"/>
      <w:bookmarkStart w:id="2125" w:name="_Toc21557"/>
      <w:bookmarkStart w:id="2126" w:name="_Toc13012"/>
      <w:bookmarkStart w:id="2127" w:name="_Toc17299"/>
      <w:bookmarkStart w:id="2128" w:name="_Toc13400"/>
      <w:r>
        <w:rPr>
          <w:rFonts w:hint="eastAsia" w:ascii="宋体" w:hAnsi="宋体" w:eastAsia="宋体" w:cs="Times New Roman"/>
          <w:b/>
          <w:color w:val="000000"/>
          <w:sz w:val="24"/>
          <w:szCs w:val="24"/>
        </w:rPr>
        <w:t>四、目标评价与成绩评定</w:t>
      </w:r>
      <w:bookmarkEnd w:id="2122"/>
      <w:bookmarkEnd w:id="2123"/>
      <w:bookmarkEnd w:id="2124"/>
      <w:bookmarkEnd w:id="2125"/>
      <w:bookmarkEnd w:id="2126"/>
      <w:bookmarkEnd w:id="2127"/>
      <w:bookmarkEnd w:id="2128"/>
    </w:p>
    <w:p w14:paraId="567D9FA2">
      <w:pPr>
        <w:spacing w:line="360" w:lineRule="auto"/>
        <w:jc w:val="left"/>
        <w:outlineLvl w:val="1"/>
        <w:rPr>
          <w:rFonts w:ascii="Times New Roman" w:hAnsi="Times New Roman" w:eastAsia="宋体" w:cs="Times New Roman"/>
          <w:b/>
          <w:szCs w:val="21"/>
        </w:rPr>
      </w:pPr>
      <w:bookmarkStart w:id="2129" w:name="_Toc16683"/>
      <w:r>
        <w:rPr>
          <w:rFonts w:hint="eastAsia" w:ascii="Times New Roman" w:hAnsi="Times New Roman" w:eastAsia="宋体" w:cs="Times New Roman"/>
          <w:b/>
          <w:szCs w:val="21"/>
        </w:rPr>
        <w:t>（一）课程目标评价方式</w:t>
      </w:r>
      <w:bookmarkEnd w:id="2129"/>
    </w:p>
    <w:p w14:paraId="6E5650E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F1050B3">
      <w:pPr>
        <w:spacing w:line="360" w:lineRule="auto"/>
        <w:ind w:firstLine="420" w:firstLineChars="200"/>
        <w:jc w:val="left"/>
        <w:rPr>
          <w:rFonts w:hint="eastAsia" w:ascii="Times New Roman" w:hAnsi="Times New Roman" w:eastAsia="宋体" w:cs="Times New Roman"/>
          <w:szCs w:val="21"/>
        </w:rPr>
      </w:pPr>
    </w:p>
    <w:p w14:paraId="04E04D7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290"/>
        <w:gridCol w:w="1379"/>
        <w:gridCol w:w="1333"/>
        <w:gridCol w:w="1500"/>
        <w:gridCol w:w="1615"/>
      </w:tblGrid>
      <w:tr w14:paraId="7A65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Merge w:val="restart"/>
            <w:vAlign w:val="center"/>
          </w:tcPr>
          <w:p w14:paraId="0D7634C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502" w:type="dxa"/>
            <w:gridSpan w:val="4"/>
            <w:vAlign w:val="center"/>
          </w:tcPr>
          <w:p w14:paraId="3002F04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615" w:type="dxa"/>
            <w:vMerge w:val="restart"/>
            <w:vAlign w:val="center"/>
          </w:tcPr>
          <w:p w14:paraId="54EEF0F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B52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Merge w:val="continue"/>
            <w:vAlign w:val="center"/>
          </w:tcPr>
          <w:p w14:paraId="70AEC08F">
            <w:pPr>
              <w:spacing w:line="360" w:lineRule="auto"/>
              <w:jc w:val="center"/>
              <w:rPr>
                <w:rFonts w:hint="eastAsia" w:ascii="宋体" w:hAnsi="宋体" w:eastAsia="宋体" w:cs="Times New Roman"/>
                <w:szCs w:val="21"/>
              </w:rPr>
            </w:pPr>
          </w:p>
        </w:tc>
        <w:tc>
          <w:tcPr>
            <w:tcW w:w="1290" w:type="dxa"/>
            <w:vAlign w:val="center"/>
          </w:tcPr>
          <w:p w14:paraId="0FA3F312">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379" w:type="dxa"/>
            <w:vAlign w:val="center"/>
          </w:tcPr>
          <w:p w14:paraId="7528F04F">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333" w:type="dxa"/>
            <w:vAlign w:val="center"/>
          </w:tcPr>
          <w:p w14:paraId="682A83E5">
            <w:pPr>
              <w:spacing w:line="360" w:lineRule="auto"/>
              <w:jc w:val="center"/>
              <w:rPr>
                <w:rFonts w:hint="eastAsia" w:ascii="宋体" w:hAnsi="宋体" w:eastAsia="宋体" w:cs="Times New Roman"/>
                <w:szCs w:val="21"/>
                <w:lang w:eastAsia="zh-CN"/>
              </w:rPr>
            </w:pPr>
            <w:r>
              <w:rPr>
                <w:rFonts w:hint="eastAsia" w:ascii="宋体" w:hAnsi="宋体" w:eastAsia="宋体" w:cs="Times New Roman"/>
                <w:szCs w:val="21"/>
                <w:lang w:val="en-US" w:eastAsia="zh-CN"/>
              </w:rPr>
              <w:t>课内实践</w:t>
            </w:r>
          </w:p>
        </w:tc>
        <w:tc>
          <w:tcPr>
            <w:tcW w:w="1500" w:type="dxa"/>
            <w:shd w:val="clear" w:color="auto" w:fill="auto"/>
            <w:vAlign w:val="center"/>
          </w:tcPr>
          <w:p w14:paraId="6DA00E8F">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615" w:type="dxa"/>
            <w:vMerge w:val="continue"/>
            <w:vAlign w:val="center"/>
          </w:tcPr>
          <w:p w14:paraId="14506CDA">
            <w:pPr>
              <w:spacing w:line="360" w:lineRule="auto"/>
              <w:jc w:val="center"/>
              <w:rPr>
                <w:rFonts w:hint="eastAsia" w:ascii="宋体" w:hAnsi="宋体" w:eastAsia="宋体" w:cs="Times New Roman"/>
                <w:szCs w:val="21"/>
              </w:rPr>
            </w:pPr>
          </w:p>
        </w:tc>
      </w:tr>
      <w:tr w14:paraId="3E39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Align w:val="center"/>
          </w:tcPr>
          <w:p w14:paraId="33C3F49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90" w:type="dxa"/>
            <w:vAlign w:val="center"/>
          </w:tcPr>
          <w:p w14:paraId="167FD16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9" w:type="dxa"/>
            <w:vAlign w:val="center"/>
          </w:tcPr>
          <w:p w14:paraId="63E4101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3" w:type="dxa"/>
            <w:vAlign w:val="center"/>
          </w:tcPr>
          <w:p w14:paraId="74FDE69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0" w:type="dxa"/>
            <w:shd w:val="clear" w:color="auto" w:fill="auto"/>
            <w:vAlign w:val="center"/>
          </w:tcPr>
          <w:p w14:paraId="3E90274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56D9EFAD">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7CD8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Align w:val="center"/>
          </w:tcPr>
          <w:p w14:paraId="666654C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90" w:type="dxa"/>
            <w:vAlign w:val="center"/>
          </w:tcPr>
          <w:p w14:paraId="7F459A3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9" w:type="dxa"/>
            <w:vAlign w:val="center"/>
          </w:tcPr>
          <w:p w14:paraId="263AEC9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3" w:type="dxa"/>
            <w:vAlign w:val="center"/>
          </w:tcPr>
          <w:p w14:paraId="0BD56B8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0" w:type="dxa"/>
            <w:shd w:val="clear" w:color="auto" w:fill="auto"/>
            <w:vAlign w:val="center"/>
          </w:tcPr>
          <w:p w14:paraId="0CB4767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2D5256D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40</w:t>
            </w:r>
          </w:p>
        </w:tc>
      </w:tr>
      <w:tr w14:paraId="74CC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Align w:val="center"/>
          </w:tcPr>
          <w:p w14:paraId="5E9A035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90" w:type="dxa"/>
            <w:vAlign w:val="center"/>
          </w:tcPr>
          <w:p w14:paraId="53063BE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9" w:type="dxa"/>
            <w:vAlign w:val="center"/>
          </w:tcPr>
          <w:p w14:paraId="4BA5430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3" w:type="dxa"/>
            <w:vAlign w:val="center"/>
          </w:tcPr>
          <w:p w14:paraId="4DA263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0" w:type="dxa"/>
            <w:shd w:val="clear" w:color="auto" w:fill="auto"/>
            <w:vAlign w:val="center"/>
          </w:tcPr>
          <w:p w14:paraId="5D48859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444B94F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0DA2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0" w:type="auto"/>
            <w:vAlign w:val="center"/>
          </w:tcPr>
          <w:p w14:paraId="6269BA7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90" w:type="dxa"/>
            <w:vAlign w:val="center"/>
          </w:tcPr>
          <w:p w14:paraId="0DBE77BB">
            <w:pPr>
              <w:spacing w:line="360" w:lineRule="auto"/>
              <w:jc w:val="center"/>
              <w:rPr>
                <w:rFonts w:hint="eastAsia" w:ascii="宋体" w:hAnsi="宋体" w:eastAsia="宋体" w:cs="Times New Roman"/>
                <w:szCs w:val="21"/>
              </w:rPr>
            </w:pPr>
          </w:p>
        </w:tc>
        <w:tc>
          <w:tcPr>
            <w:tcW w:w="1379" w:type="dxa"/>
            <w:vAlign w:val="center"/>
          </w:tcPr>
          <w:p w14:paraId="59FA5135">
            <w:pPr>
              <w:spacing w:line="360" w:lineRule="auto"/>
              <w:jc w:val="center"/>
              <w:rPr>
                <w:rFonts w:hint="eastAsia" w:ascii="宋体" w:hAnsi="宋体" w:eastAsia="宋体" w:cs="Times New Roman"/>
                <w:szCs w:val="21"/>
              </w:rPr>
            </w:pPr>
          </w:p>
        </w:tc>
        <w:tc>
          <w:tcPr>
            <w:tcW w:w="1333" w:type="dxa"/>
            <w:vAlign w:val="center"/>
          </w:tcPr>
          <w:p w14:paraId="121C3A1D">
            <w:pPr>
              <w:spacing w:line="360" w:lineRule="auto"/>
              <w:jc w:val="center"/>
              <w:rPr>
                <w:rFonts w:hint="eastAsia" w:ascii="宋体" w:hAnsi="宋体" w:eastAsia="宋体" w:cs="Times New Roman"/>
                <w:szCs w:val="21"/>
              </w:rPr>
            </w:pPr>
          </w:p>
        </w:tc>
        <w:tc>
          <w:tcPr>
            <w:tcW w:w="1500" w:type="dxa"/>
            <w:shd w:val="clear" w:color="auto" w:fill="auto"/>
            <w:vAlign w:val="center"/>
          </w:tcPr>
          <w:p w14:paraId="1B2640D8">
            <w:pPr>
              <w:spacing w:line="360" w:lineRule="auto"/>
              <w:jc w:val="center"/>
              <w:rPr>
                <w:rFonts w:hint="eastAsia" w:ascii="宋体" w:hAnsi="宋体" w:eastAsia="宋体" w:cs="Times New Roman"/>
                <w:szCs w:val="21"/>
              </w:rPr>
            </w:pPr>
          </w:p>
        </w:tc>
        <w:tc>
          <w:tcPr>
            <w:tcW w:w="1615" w:type="dxa"/>
            <w:vAlign w:val="center"/>
          </w:tcPr>
          <w:p w14:paraId="0DA2AAB9">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3561B15">
      <w:pPr>
        <w:spacing w:before="156" w:beforeLines="50" w:line="360" w:lineRule="auto"/>
        <w:jc w:val="left"/>
        <w:outlineLvl w:val="1"/>
        <w:rPr>
          <w:rFonts w:ascii="Times New Roman" w:hAnsi="Times New Roman" w:eastAsia="宋体" w:cs="Times New Roman"/>
          <w:b/>
          <w:szCs w:val="21"/>
        </w:rPr>
      </w:pPr>
      <w:bookmarkStart w:id="2130" w:name="_Toc5568"/>
      <w:r>
        <w:rPr>
          <w:rFonts w:hint="eastAsia" w:ascii="Times New Roman" w:hAnsi="Times New Roman" w:eastAsia="宋体" w:cs="Times New Roman"/>
          <w:b/>
          <w:szCs w:val="21"/>
        </w:rPr>
        <w:t>（二）成绩评定细则</w:t>
      </w:r>
      <w:bookmarkEnd w:id="2130"/>
    </w:p>
    <w:p w14:paraId="1CA07328">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918C60B">
      <w:pPr>
        <w:spacing w:line="360" w:lineRule="auto"/>
        <w:ind w:firstLine="420" w:firstLineChars="200"/>
        <w:jc w:val="left"/>
        <w:rPr>
          <w:rFonts w:hint="eastAsia" w:ascii="Times New Roman" w:hAnsi="Times New Roman" w:eastAsia="宋体" w:cs="Times New Roman"/>
          <w:szCs w:val="21"/>
        </w:rPr>
      </w:pPr>
    </w:p>
    <w:p w14:paraId="120AA94C">
      <w:pPr>
        <w:spacing w:line="360" w:lineRule="auto"/>
        <w:ind w:firstLine="420" w:firstLineChars="200"/>
        <w:jc w:val="left"/>
        <w:rPr>
          <w:rFonts w:hint="eastAsia" w:ascii="Times New Roman" w:hAnsi="Times New Roman" w:eastAsia="宋体" w:cs="Times New Roman"/>
          <w:szCs w:val="21"/>
        </w:rPr>
      </w:pPr>
    </w:p>
    <w:p w14:paraId="0E917CF2">
      <w:pPr>
        <w:spacing w:line="360" w:lineRule="auto"/>
        <w:ind w:firstLine="420" w:firstLineChars="200"/>
        <w:jc w:val="left"/>
        <w:rPr>
          <w:rFonts w:hint="eastAsia" w:ascii="Times New Roman" w:hAnsi="Times New Roman" w:eastAsia="宋体" w:cs="Times New Roman"/>
          <w:szCs w:val="21"/>
        </w:rPr>
      </w:pPr>
    </w:p>
    <w:p w14:paraId="06F7F93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7C4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F9259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C77231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FBF15D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649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A90499">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FD32B43">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平时作业共</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rPr>
              <w:t>次，</w:t>
            </w:r>
            <w:r>
              <w:rPr>
                <w:rFonts w:hint="eastAsia" w:ascii="Times New Roman" w:hAnsi="Times New Roman" w:eastAsia="宋体" w:cs="Times New Roman"/>
                <w:szCs w:val="21"/>
                <w:lang w:val="en-US" w:eastAsia="zh-CN"/>
              </w:rPr>
              <w:t>包括识字与写字教学设计1篇，阅读教学设计2篇，写话与习作教学设计1篇，单元统整教学设计1篇</w:t>
            </w:r>
            <w:r>
              <w:rPr>
                <w:rFonts w:hint="eastAsia" w:ascii="Times New Roman" w:hAnsi="Times New Roman" w:eastAsia="宋体" w:cs="Times New Roman"/>
                <w:szCs w:val="21"/>
              </w:rPr>
              <w:t>。</w:t>
            </w:r>
          </w:p>
          <w:p w14:paraId="5CA16E5A">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评分细则：</w:t>
            </w:r>
          </w:p>
          <w:p w14:paraId="55640B52">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1.教学目标（10分）</w:t>
            </w:r>
          </w:p>
          <w:p w14:paraId="31031E1A">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（1）明确性（3分）：教学目标明确、具体，符合小学生的实际水平。</w:t>
            </w:r>
          </w:p>
          <w:p w14:paraId="1B759286">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（2）全面性（3分）：教学目标指向核心素养的各方面。</w:t>
            </w:r>
          </w:p>
          <w:p w14:paraId="1CE97E71">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（3）可达成性（2分）：教学目标具有可操作性和可测量性，学生能够通过教学活动达成目标。</w:t>
            </w:r>
          </w:p>
          <w:p w14:paraId="5EECB2E8">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（4）相关性（2分）：教学目标与课程标准和教学内容紧密相关。</w:t>
            </w:r>
          </w:p>
          <w:p w14:paraId="40F359AB">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2.教学方法（20分）</w:t>
            </w:r>
          </w:p>
          <w:p w14:paraId="01257BFF">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创新性（5分）：教学方法新颖，激发学生的学习兴趣。</w:t>
            </w:r>
          </w:p>
          <w:p w14:paraId="768BDEA3">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多样性（5分）：采用了多种教学方法，如讲授、讨论、合作学习等。</w:t>
            </w:r>
          </w:p>
          <w:p w14:paraId="0C9F4F15">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适应性（5分）：教学方法适合学生的学习风格和需求。</w:t>
            </w:r>
          </w:p>
          <w:p w14:paraId="2556D5F9">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互动性（5分）：教学过程中师生、生生之间有有效的互动。</w:t>
            </w:r>
          </w:p>
          <w:p w14:paraId="4555B859">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3.教学过程（40分）</w:t>
            </w:r>
          </w:p>
          <w:p w14:paraId="2789185E">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（1）导入（5分）：导入环节是否能够吸引学生注意力，为后续学习做好铺垫。</w:t>
            </w:r>
          </w:p>
          <w:p w14:paraId="2F34BCCF">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（2）呈现（10分）：教学内容的呈现清晰、有序，有助于学生理解。</w:t>
            </w:r>
          </w:p>
          <w:p w14:paraId="4F6AC478">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（3）作业（10分）：设计了有效的练习活动，帮助学生巩固和应用所学知识。</w:t>
            </w:r>
          </w:p>
          <w:p w14:paraId="4FC4358B">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（4）总结（5分）：课堂总结是否能够概括重点，强化学生的记忆。</w:t>
            </w:r>
          </w:p>
          <w:p w14:paraId="6CB4FA1D">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（5）过渡（5分）：教学环节之间的过渡自然流畅，有助于学生思维的连贯性。</w:t>
            </w:r>
          </w:p>
          <w:p w14:paraId="7584181D">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（6）时间管理（5分）：教学时间分配合理，确保了每个环节都有足够的时间。</w:t>
            </w:r>
          </w:p>
          <w:p w14:paraId="118EE7EF">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教学评价</w:t>
            </w:r>
            <w:r>
              <w:rPr>
                <w:rFonts w:hint="eastAsia" w:ascii="Times New Roman" w:hAnsi="Times New Roman" w:eastAsia="宋体" w:cs="Times New Roman"/>
                <w:szCs w:val="21"/>
                <w:lang w:val="en-US" w:eastAsia="zh-CN"/>
              </w:rPr>
              <w:t>与反思</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0分）</w:t>
            </w:r>
          </w:p>
          <w:p w14:paraId="211AB4B9">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评价方式（5分）：评价方式多样，包括了形成性评价和总结性评价。</w:t>
            </w:r>
          </w:p>
          <w:p w14:paraId="73DCEC0A">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评价标准（5分）：评价标准明确、公正，能够全面反映学生的学习情况。</w:t>
            </w:r>
          </w:p>
          <w:p w14:paraId="15C44E6C">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反馈及时性（5分）：能够及时给予学生反馈，帮助他们了解自己的学习进度和存在的问题。</w:t>
            </w:r>
          </w:p>
          <w:p w14:paraId="0F1A56A9">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评价效果（5分）：评价能够促进学生的学习，有助于学生自我反思和自我改进。</w:t>
            </w:r>
          </w:p>
          <w:p w14:paraId="7690A392">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lang w:val="en-US" w:eastAsia="zh-CN"/>
              </w:rPr>
              <w:t>反思深度（5分）：能够深入反思教学过程中的得与失。</w:t>
            </w:r>
          </w:p>
          <w:p w14:paraId="690A7284">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r>
              <w:rPr>
                <w:rFonts w:hint="default" w:ascii="Times New Roman" w:hAnsi="Times New Roman" w:eastAsia="宋体" w:cs="Times New Roman"/>
                <w:szCs w:val="21"/>
                <w:lang w:val="en-US" w:eastAsia="zh-CN"/>
              </w:rPr>
              <w:t>改进措施（5分）：提出了具体的改进措施，以优化未来的教学。</w:t>
            </w:r>
          </w:p>
        </w:tc>
        <w:tc>
          <w:tcPr>
            <w:tcW w:w="0" w:type="auto"/>
            <w:vAlign w:val="center"/>
          </w:tcPr>
          <w:p w14:paraId="556D5930">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r>
      <w:tr w14:paraId="3F45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A16B7C">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课堂表现</w:t>
            </w:r>
          </w:p>
        </w:tc>
        <w:tc>
          <w:tcPr>
            <w:tcW w:w="7141" w:type="dxa"/>
            <w:vAlign w:val="center"/>
          </w:tcPr>
          <w:p w14:paraId="71F4D782">
            <w:pPr>
              <w:widowControl/>
              <w:numPr>
                <w:ilvl w:val="0"/>
                <w:numId w:val="64"/>
              </w:num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出勤与准时</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20分</w:t>
            </w:r>
            <w:r>
              <w:rPr>
                <w:rFonts w:hint="eastAsia" w:ascii="Times New Roman" w:hAnsi="Times New Roman" w:eastAsia="宋体" w:cs="Times New Roman"/>
                <w:szCs w:val="21"/>
                <w:lang w:eastAsia="zh-CN"/>
              </w:rPr>
              <w:t>）</w:t>
            </w:r>
          </w:p>
          <w:p w14:paraId="09AFDB92">
            <w:pPr>
              <w:widowControl/>
              <w:numPr>
                <w:ilvl w:val="0"/>
                <w:numId w:val="0"/>
              </w:num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出勤率</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按时上课，无迟到、早退现象，缺勤次数。</w:t>
            </w:r>
          </w:p>
          <w:p w14:paraId="35E22F87">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准时性</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能够准时到达教室，准备上课。</w:t>
            </w:r>
          </w:p>
          <w:p w14:paraId="1F65F919">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课堂参与</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30分</w:t>
            </w:r>
            <w:r>
              <w:rPr>
                <w:rFonts w:hint="eastAsia" w:ascii="Times New Roman" w:hAnsi="Times New Roman" w:eastAsia="宋体" w:cs="Times New Roman"/>
                <w:szCs w:val="21"/>
                <w:lang w:eastAsia="zh-CN"/>
              </w:rPr>
              <w:t>）</w:t>
            </w:r>
          </w:p>
          <w:p w14:paraId="1BE2A19C">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积极参与</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主动参与课堂讨论，积极回答问题。</w:t>
            </w:r>
          </w:p>
          <w:p w14:paraId="1D29F903">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互动交流</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与同学和教师有效互动，包括提问、讨论和反馈。</w:t>
            </w:r>
          </w:p>
          <w:p w14:paraId="570388FB">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学习态度</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在课堂上专注，认真听讲和做笔记。</w:t>
            </w:r>
          </w:p>
          <w:p w14:paraId="2127E04B">
            <w:pPr>
              <w:widowControl/>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理解与应用</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20分</w:t>
            </w:r>
            <w:r>
              <w:rPr>
                <w:rFonts w:hint="eastAsia" w:ascii="Times New Roman" w:hAnsi="Times New Roman" w:eastAsia="宋体" w:cs="Times New Roman"/>
                <w:szCs w:val="21"/>
                <w:lang w:eastAsia="zh-CN"/>
              </w:rPr>
              <w:t>）</w:t>
            </w:r>
          </w:p>
          <w:p w14:paraId="4FFE98AE">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理解深度（10分）</w:t>
            </w:r>
            <w:r>
              <w:rPr>
                <w:rFonts w:hint="eastAsia" w:ascii="Times New Roman" w:hAnsi="Times New Roman" w:eastAsia="宋体" w:cs="Times New Roman"/>
                <w:szCs w:val="21"/>
              </w:rPr>
              <w:t>准确理解教学内容，对复杂概念有深刻见解。</w:t>
            </w:r>
          </w:p>
          <w:p w14:paraId="73ED00A3">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应用能力</w:t>
            </w:r>
            <w:r>
              <w:rPr>
                <w:rFonts w:hint="eastAsia" w:ascii="Times New Roman" w:hAnsi="Times New Roman" w:eastAsia="宋体" w:cs="Times New Roman"/>
                <w:szCs w:val="21"/>
                <w:lang w:val="en-US" w:eastAsia="zh-CN"/>
              </w:rPr>
              <w:t>（10分）</w:t>
            </w:r>
            <w:r>
              <w:rPr>
                <w:rFonts w:hint="eastAsia" w:ascii="Times New Roman" w:hAnsi="Times New Roman" w:eastAsia="宋体" w:cs="Times New Roman"/>
                <w:szCs w:val="21"/>
              </w:rPr>
              <w:t>能够将所学知识应用到实际教学设计中，解决实际问题。</w:t>
            </w:r>
          </w:p>
          <w:p w14:paraId="13E7921E">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4.反思与创新（30分）</w:t>
            </w:r>
          </w:p>
          <w:p w14:paraId="27EA2BFB">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（1）能够对自己的学习过程和结果进行反思，提出改进意见。（15分）</w:t>
            </w:r>
          </w:p>
          <w:p w14:paraId="73BC4C3C">
            <w:pPr>
              <w:widowControl/>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（2）能够提出创新的教学设计想法，对现有教学方法进行批判性思考。（15分）</w:t>
            </w:r>
          </w:p>
        </w:tc>
        <w:tc>
          <w:tcPr>
            <w:tcW w:w="0" w:type="auto"/>
            <w:vAlign w:val="center"/>
          </w:tcPr>
          <w:p w14:paraId="55021851">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r>
      <w:tr w14:paraId="3B1D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3B18D35">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课内实践</w:t>
            </w:r>
          </w:p>
        </w:tc>
        <w:tc>
          <w:tcPr>
            <w:tcW w:w="7141" w:type="dxa"/>
            <w:vAlign w:val="center"/>
          </w:tcPr>
          <w:p w14:paraId="47791DD2">
            <w:pPr>
              <w:widowControl/>
              <w:spacing w:line="264" w:lineRule="auto"/>
              <w:jc w:val="left"/>
              <w:rPr>
                <w:rFonts w:hint="eastAsia" w:ascii="宋体" w:hAnsi="宋体" w:eastAsia="宋体" w:cs="宋体"/>
                <w:color w:val="000000"/>
                <w:kern w:val="0"/>
                <w:szCs w:val="21"/>
                <w:lang w:eastAsia="zh-CN" w:bidi="ar"/>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小组研讨教学设计</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50分</w:t>
            </w:r>
            <w:r>
              <w:rPr>
                <w:rFonts w:hint="eastAsia" w:ascii="宋体" w:hAnsi="宋体" w:eastAsia="宋体" w:cs="宋体"/>
                <w:color w:val="000000"/>
                <w:kern w:val="0"/>
                <w:szCs w:val="21"/>
                <w:lang w:eastAsia="zh-CN" w:bidi="ar"/>
              </w:rPr>
              <w:t>）</w:t>
            </w:r>
          </w:p>
          <w:p w14:paraId="32DF7E91">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参与度（</w:t>
            </w: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r>
              <w:rPr>
                <w:rFonts w:hint="eastAsia" w:ascii="宋体" w:hAnsi="宋体" w:eastAsia="宋体" w:cs="宋体"/>
                <w:color w:val="000000"/>
                <w:kern w:val="0"/>
                <w:szCs w:val="21"/>
                <w:lang w:val="en-US" w:eastAsia="zh-CN" w:bidi="ar"/>
              </w:rPr>
              <w:t>分</w:t>
            </w:r>
            <w:r>
              <w:rPr>
                <w:rFonts w:hint="eastAsia" w:ascii="宋体" w:hAnsi="宋体" w:eastAsia="宋体" w:cs="宋体"/>
                <w:color w:val="000000"/>
                <w:kern w:val="0"/>
                <w:szCs w:val="21"/>
                <w:lang w:bidi="ar"/>
              </w:rPr>
              <w:t>）：在研讨中的积极程度和主动性，包括发言次数和质量、合作与协调能力。</w:t>
            </w:r>
          </w:p>
          <w:p w14:paraId="168F4A27">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2</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问题分析与解决能力（</w:t>
            </w: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r>
              <w:rPr>
                <w:rFonts w:hint="eastAsia" w:ascii="宋体" w:hAnsi="宋体" w:eastAsia="宋体" w:cs="宋体"/>
                <w:color w:val="000000"/>
                <w:kern w:val="0"/>
                <w:szCs w:val="21"/>
                <w:lang w:val="en-US" w:eastAsia="zh-CN" w:bidi="ar"/>
              </w:rPr>
              <w:t>分</w:t>
            </w:r>
            <w:r>
              <w:rPr>
                <w:rFonts w:hint="eastAsia" w:ascii="宋体" w:hAnsi="宋体" w:eastAsia="宋体" w:cs="宋体"/>
                <w:color w:val="000000"/>
                <w:kern w:val="0"/>
                <w:szCs w:val="21"/>
                <w:lang w:bidi="ar"/>
              </w:rPr>
              <w:t>）：对问题的理解和分析能力，包括问题理解、论证能力和创新思维。</w:t>
            </w:r>
          </w:p>
          <w:p w14:paraId="37903477">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3</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团队合作（</w:t>
            </w: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r>
              <w:rPr>
                <w:rFonts w:hint="eastAsia" w:ascii="宋体" w:hAnsi="宋体" w:eastAsia="宋体" w:cs="宋体"/>
                <w:color w:val="000000"/>
                <w:kern w:val="0"/>
                <w:szCs w:val="21"/>
                <w:lang w:val="en-US" w:eastAsia="zh-CN" w:bidi="ar"/>
              </w:rPr>
              <w:t>分</w:t>
            </w:r>
            <w:r>
              <w:rPr>
                <w:rFonts w:hint="eastAsia" w:ascii="宋体" w:hAnsi="宋体" w:eastAsia="宋体" w:cs="宋体"/>
                <w:color w:val="000000"/>
                <w:kern w:val="0"/>
                <w:szCs w:val="21"/>
                <w:lang w:bidi="ar"/>
              </w:rPr>
              <w:t>）：在小组中的角色分工、沟通与协调能力。</w:t>
            </w:r>
          </w:p>
          <w:p w14:paraId="4FD012EF">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总结与反思（1</w:t>
            </w:r>
            <w:r>
              <w:rPr>
                <w:rFonts w:hint="eastAsia" w:ascii="宋体" w:hAnsi="宋体" w:eastAsia="宋体" w:cs="宋体"/>
                <w:color w:val="000000"/>
                <w:kern w:val="0"/>
                <w:szCs w:val="21"/>
                <w:lang w:val="en-US" w:eastAsia="zh-CN" w:bidi="ar"/>
              </w:rPr>
              <w:t>0分</w:t>
            </w:r>
            <w:r>
              <w:rPr>
                <w:rFonts w:hint="eastAsia" w:ascii="宋体" w:hAnsi="宋体" w:eastAsia="宋体" w:cs="宋体"/>
                <w:color w:val="000000"/>
                <w:kern w:val="0"/>
                <w:szCs w:val="21"/>
                <w:lang w:bidi="ar"/>
              </w:rPr>
              <w:t>）：考察学生对研讨过程的总结和反思能力。</w:t>
            </w:r>
          </w:p>
          <w:p w14:paraId="74324CA4">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5</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bidi="ar"/>
              </w:rPr>
              <w:t>教学设计创意与实用性（1</w:t>
            </w:r>
            <w:r>
              <w:rPr>
                <w:rFonts w:hint="eastAsia" w:ascii="宋体" w:hAnsi="宋体" w:eastAsia="宋体" w:cs="宋体"/>
                <w:color w:val="000000"/>
                <w:kern w:val="0"/>
                <w:szCs w:val="21"/>
                <w:lang w:val="en-US" w:eastAsia="zh-CN" w:bidi="ar"/>
              </w:rPr>
              <w:t>0分</w:t>
            </w:r>
            <w:r>
              <w:rPr>
                <w:rFonts w:hint="eastAsia" w:ascii="宋体" w:hAnsi="宋体" w:eastAsia="宋体" w:cs="宋体"/>
                <w:color w:val="000000"/>
                <w:kern w:val="0"/>
                <w:szCs w:val="21"/>
                <w:lang w:bidi="ar"/>
              </w:rPr>
              <w:t>）：评价教学设计方案的创新性和在实际教学中的可行性。</w:t>
            </w:r>
          </w:p>
          <w:p w14:paraId="61C30E50">
            <w:pPr>
              <w:widowControl/>
              <w:spacing w:line="264" w:lineRule="auto"/>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2.教学设计与实施</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50分</w:t>
            </w:r>
            <w:r>
              <w:rPr>
                <w:rFonts w:hint="eastAsia" w:ascii="宋体" w:hAnsi="宋体" w:eastAsia="宋体" w:cs="宋体"/>
                <w:color w:val="000000"/>
                <w:kern w:val="0"/>
                <w:szCs w:val="21"/>
                <w:lang w:eastAsia="zh-CN" w:bidi="ar"/>
              </w:rPr>
              <w:t>）</w:t>
            </w:r>
          </w:p>
          <w:p w14:paraId="1CBC11B2">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w:t>
            </w:r>
            <w:r>
              <w:rPr>
                <w:rFonts w:hint="default" w:ascii="宋体" w:hAnsi="宋体" w:eastAsia="宋体" w:cs="宋体"/>
                <w:color w:val="000000"/>
                <w:kern w:val="0"/>
                <w:szCs w:val="21"/>
                <w:lang w:val="en-US" w:eastAsia="zh-CN" w:bidi="ar"/>
              </w:rPr>
              <w:t>根据《义务教育语文课程标准》和小学生</w:t>
            </w:r>
            <w:r>
              <w:rPr>
                <w:rFonts w:hint="eastAsia" w:ascii="宋体" w:hAnsi="宋体" w:eastAsia="宋体" w:cs="宋体"/>
                <w:color w:val="000000"/>
                <w:kern w:val="0"/>
                <w:szCs w:val="21"/>
                <w:lang w:val="en-US" w:eastAsia="zh-CN" w:bidi="ar"/>
              </w:rPr>
              <w:t>学情</w:t>
            </w:r>
            <w:r>
              <w:rPr>
                <w:rFonts w:hint="default" w:ascii="宋体" w:hAnsi="宋体" w:eastAsia="宋体" w:cs="宋体"/>
                <w:color w:val="000000"/>
                <w:kern w:val="0"/>
                <w:szCs w:val="21"/>
                <w:lang w:val="en-US" w:eastAsia="zh-CN" w:bidi="ar"/>
              </w:rPr>
              <w:t>，确定恰当的教学目标（10分）</w:t>
            </w:r>
          </w:p>
          <w:p w14:paraId="29DD1FF2">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（2）</w:t>
            </w:r>
            <w:r>
              <w:rPr>
                <w:rFonts w:hint="default" w:ascii="宋体" w:hAnsi="宋体" w:eastAsia="宋体" w:cs="宋体"/>
                <w:color w:val="000000"/>
                <w:kern w:val="0"/>
                <w:szCs w:val="21"/>
                <w:lang w:val="en-US" w:eastAsia="zh-CN" w:bidi="ar"/>
              </w:rPr>
              <w:t>选择合适的教学内容和方法，完成教学设计。（10分）</w:t>
            </w:r>
          </w:p>
          <w:p w14:paraId="62EFFEF9">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（3）</w:t>
            </w:r>
            <w:r>
              <w:rPr>
                <w:rFonts w:hint="default" w:ascii="宋体" w:hAnsi="宋体" w:eastAsia="宋体" w:cs="宋体"/>
                <w:color w:val="000000"/>
                <w:kern w:val="0"/>
                <w:szCs w:val="21"/>
                <w:lang w:val="en-US" w:eastAsia="zh-CN" w:bidi="ar"/>
              </w:rPr>
              <w:t>能够将设计的教学方案有效地实施在课堂上，包括课堂管理、学生互动、教学资源的运用等。（</w:t>
            </w:r>
            <w:r>
              <w:rPr>
                <w:rFonts w:hint="eastAsia" w:ascii="宋体" w:hAnsi="宋体" w:eastAsia="宋体" w:cs="宋体"/>
                <w:color w:val="000000"/>
                <w:kern w:val="0"/>
                <w:szCs w:val="21"/>
                <w:lang w:val="en-US" w:eastAsia="zh-CN" w:bidi="ar"/>
              </w:rPr>
              <w:t>3</w:t>
            </w:r>
            <w:r>
              <w:rPr>
                <w:rFonts w:hint="default" w:ascii="宋体" w:hAnsi="宋体" w:eastAsia="宋体" w:cs="宋体"/>
                <w:color w:val="000000"/>
                <w:kern w:val="0"/>
                <w:szCs w:val="21"/>
                <w:lang w:val="en-US" w:eastAsia="zh-CN" w:bidi="ar"/>
              </w:rPr>
              <w:t>0分）</w:t>
            </w:r>
          </w:p>
        </w:tc>
        <w:tc>
          <w:tcPr>
            <w:tcW w:w="0" w:type="auto"/>
            <w:vAlign w:val="center"/>
          </w:tcPr>
          <w:p w14:paraId="13864E2E">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0FC6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D3D7A0">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期末考试</w:t>
            </w:r>
          </w:p>
        </w:tc>
        <w:tc>
          <w:tcPr>
            <w:tcW w:w="7141" w:type="dxa"/>
            <w:vAlign w:val="center"/>
          </w:tcPr>
          <w:p w14:paraId="4233A8B9">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期末考试为笔试，包括四种题型：简答题、案例分析、论述题、教学设计。以下为试卷评分标准。（具体见每学期试卷评分标准）</w:t>
            </w:r>
          </w:p>
          <w:p w14:paraId="2C40578A">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内容准确性：</w:t>
            </w:r>
            <w:r>
              <w:rPr>
                <w:rFonts w:hint="default" w:ascii="宋体" w:hAnsi="宋体" w:eastAsia="宋体" w:cs="宋体"/>
                <w:color w:val="000000"/>
                <w:kern w:val="0"/>
                <w:szCs w:val="21"/>
                <w:lang w:val="en-US" w:eastAsia="zh-CN" w:bidi="ar"/>
              </w:rPr>
              <w:t>（</w:t>
            </w:r>
            <w:r>
              <w:rPr>
                <w:rFonts w:hint="eastAsia" w:ascii="宋体" w:hAnsi="宋体" w:eastAsia="宋体" w:cs="宋体"/>
                <w:color w:val="000000"/>
                <w:kern w:val="0"/>
                <w:szCs w:val="21"/>
                <w:lang w:val="en-US" w:eastAsia="zh-CN" w:bidi="ar"/>
              </w:rPr>
              <w:t>2</w:t>
            </w:r>
            <w:r>
              <w:rPr>
                <w:rFonts w:hint="default" w:ascii="宋体" w:hAnsi="宋体" w:eastAsia="宋体" w:cs="宋体"/>
                <w:color w:val="000000"/>
                <w:kern w:val="0"/>
                <w:szCs w:val="21"/>
                <w:lang w:val="en-US" w:eastAsia="zh-CN" w:bidi="ar"/>
              </w:rPr>
              <w:t>0分）</w:t>
            </w:r>
          </w:p>
          <w:p w14:paraId="22F69569">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简答题：回答是否准确无误，是否涵盖了问题的关键点。</w:t>
            </w:r>
          </w:p>
          <w:p w14:paraId="33D94CC1">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案例分析：分析是否准确，是否正确识别和应用相关理论或概念。</w:t>
            </w:r>
          </w:p>
          <w:p w14:paraId="17EFD66A">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论述题：论点是否准确，论据是否充分且相关。</w:t>
            </w:r>
          </w:p>
          <w:p w14:paraId="298AE1EC">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教学设计：设计是否符合教学理论，是否适合教学目标和学生需求。</w:t>
            </w:r>
          </w:p>
          <w:p w14:paraId="32FAE69C">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2.逻辑性和条理性：（20分）</w:t>
            </w:r>
          </w:p>
          <w:p w14:paraId="1692CA71">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简答题：回答是否有逻辑，条理是否清晰。</w:t>
            </w:r>
          </w:p>
          <w:p w14:paraId="662F5322">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案例分析：分析是否有条理，论证是否逻辑严密。</w:t>
            </w:r>
          </w:p>
          <w:p w14:paraId="2BD23862">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论述题：论述是否条理清晰，逻辑性强，是否有良好的组织结构。</w:t>
            </w:r>
          </w:p>
          <w:p w14:paraId="3D75D18F">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教学设计：设计是否有逻辑性，步骤是否清晰有序。</w:t>
            </w:r>
          </w:p>
          <w:p w14:paraId="598E9737">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3.深度和广度：（10分）</w:t>
            </w:r>
          </w:p>
          <w:p w14:paraId="6A805AC0">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简答题：是否展现了对问题的深入理解。</w:t>
            </w:r>
          </w:p>
          <w:p w14:paraId="6EFF4B74">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案例分析：是否深入分析案例，是否考虑了多角度或多层次的因素。</w:t>
            </w:r>
          </w:p>
          <w:p w14:paraId="166AB35D">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论述题：论述是否深入，是否有广度，是否涉及了相关问题的多个方面。</w:t>
            </w:r>
          </w:p>
          <w:p w14:paraId="2251DE41">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教学设计：设计是否全面，是否考虑了教学的各个方面。</w:t>
            </w:r>
          </w:p>
          <w:p w14:paraId="29AD0E00">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创新性和创造性：</w:t>
            </w:r>
            <w:r>
              <w:rPr>
                <w:rFonts w:hint="eastAsia" w:ascii="Times New Roman" w:hAnsi="Times New Roman" w:eastAsia="宋体" w:cs="Times New Roman"/>
                <w:szCs w:val="21"/>
                <w:lang w:val="en-US" w:eastAsia="zh-CN"/>
              </w:rPr>
              <w:t>（10分）</w:t>
            </w:r>
          </w:p>
          <w:p w14:paraId="141EB980">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论述题：是否有独到的见解或创新的观点。</w:t>
            </w:r>
          </w:p>
          <w:p w14:paraId="5CBE4508">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教学设计：是否有创新的教学方法或活动设计。</w:t>
            </w:r>
          </w:p>
          <w:p w14:paraId="727280CF">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5.语言</w:t>
            </w:r>
            <w:r>
              <w:rPr>
                <w:rFonts w:hint="default" w:ascii="Times New Roman" w:hAnsi="Times New Roman" w:eastAsia="宋体" w:cs="Times New Roman"/>
                <w:szCs w:val="21"/>
                <w:lang w:val="en-US" w:eastAsia="zh-CN"/>
              </w:rPr>
              <w:t>表达：</w:t>
            </w:r>
            <w:r>
              <w:rPr>
                <w:rFonts w:hint="eastAsia" w:ascii="Times New Roman" w:hAnsi="Times New Roman" w:eastAsia="宋体" w:cs="Times New Roman"/>
                <w:szCs w:val="21"/>
                <w:lang w:val="en-US" w:eastAsia="zh-CN"/>
              </w:rPr>
              <w:t>（10分）</w:t>
            </w:r>
            <w:r>
              <w:rPr>
                <w:rFonts w:hint="default" w:ascii="Times New Roman" w:hAnsi="Times New Roman" w:eastAsia="宋体" w:cs="Times New Roman"/>
                <w:szCs w:val="21"/>
                <w:lang w:val="en-US" w:eastAsia="zh-CN"/>
              </w:rPr>
              <w:t>语言是否清晰、准确，是否具有良好的书面表达能力。</w:t>
            </w:r>
          </w:p>
          <w:p w14:paraId="496AB4BC">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r>
              <w:rPr>
                <w:rFonts w:hint="default" w:ascii="Times New Roman" w:hAnsi="Times New Roman" w:eastAsia="宋体" w:cs="Times New Roman"/>
                <w:szCs w:val="21"/>
                <w:lang w:val="en-US" w:eastAsia="zh-CN"/>
              </w:rPr>
              <w:t>教学设计的特定标准</w:t>
            </w:r>
            <w:r>
              <w:rPr>
                <w:rFonts w:hint="eastAsia" w:ascii="Times New Roman" w:hAnsi="Times New Roman" w:eastAsia="宋体" w:cs="Times New Roman"/>
                <w:szCs w:val="21"/>
                <w:lang w:val="en-US" w:eastAsia="zh-CN"/>
              </w:rPr>
              <w:t>（因课文具体篇目不同，详见试卷评分标准）（30分）</w:t>
            </w:r>
          </w:p>
        </w:tc>
        <w:tc>
          <w:tcPr>
            <w:tcW w:w="0" w:type="auto"/>
            <w:vAlign w:val="center"/>
          </w:tcPr>
          <w:p w14:paraId="222E7A97">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40%</w:t>
            </w:r>
          </w:p>
        </w:tc>
      </w:tr>
      <w:tr w14:paraId="495D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D6D767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68B756D">
            <w:pPr>
              <w:jc w:val="left"/>
              <w:rPr>
                <w:rFonts w:ascii="Times New Roman" w:hAnsi="Times New Roman" w:eastAsia="宋体" w:cs="Times New Roman"/>
                <w:szCs w:val="21"/>
              </w:rPr>
            </w:pPr>
          </w:p>
        </w:tc>
        <w:tc>
          <w:tcPr>
            <w:tcW w:w="0" w:type="auto"/>
            <w:vAlign w:val="center"/>
          </w:tcPr>
          <w:p w14:paraId="498657B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1F46225">
      <w:pPr>
        <w:spacing w:line="360" w:lineRule="auto"/>
        <w:jc w:val="left"/>
        <w:outlineLvl w:val="1"/>
        <w:rPr>
          <w:rFonts w:hint="eastAsia" w:ascii="宋体" w:hAnsi="宋体" w:eastAsia="宋体" w:cs="Times New Roman"/>
          <w:b/>
          <w:color w:val="000000"/>
          <w:szCs w:val="21"/>
        </w:rPr>
      </w:pPr>
      <w:bookmarkStart w:id="2131" w:name="_Toc8858"/>
      <w:r>
        <w:rPr>
          <w:rFonts w:hint="eastAsia" w:ascii="宋体" w:hAnsi="宋体" w:eastAsia="宋体" w:cs="Times New Roman"/>
          <w:b/>
          <w:color w:val="000000"/>
          <w:szCs w:val="21"/>
        </w:rPr>
        <w:t>（三）课程目标达成度计算方法</w:t>
      </w:r>
      <w:bookmarkEnd w:id="2131"/>
    </w:p>
    <w:p w14:paraId="2A21962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A54221D">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68"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68" DrawAspect="Content" ObjectID="_1468075768" r:id="rId51">
            <o:LockedField>false</o:LockedField>
          </o:OLEObject>
        </w:object>
      </w:r>
    </w:p>
    <w:p w14:paraId="7EF38D35">
      <w:pPr>
        <w:spacing w:before="156" w:beforeLines="50" w:line="360" w:lineRule="auto"/>
        <w:jc w:val="left"/>
        <w:outlineLvl w:val="0"/>
        <w:rPr>
          <w:rFonts w:ascii="Times New Roman" w:hAnsi="Times New Roman" w:eastAsia="宋体" w:cs="Times New Roman"/>
          <w:b/>
          <w:sz w:val="24"/>
          <w:szCs w:val="24"/>
        </w:rPr>
      </w:pPr>
      <w:bookmarkStart w:id="2132" w:name="_Toc6023"/>
      <w:bookmarkStart w:id="2133" w:name="_Toc11164"/>
      <w:bookmarkStart w:id="2134" w:name="_Toc25362"/>
      <w:bookmarkStart w:id="2135" w:name="_Toc22533"/>
      <w:bookmarkStart w:id="2136" w:name="_Toc4705"/>
      <w:bookmarkStart w:id="2137" w:name="_Toc17455"/>
      <w:bookmarkStart w:id="2138" w:name="_Toc17070"/>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2132"/>
      <w:bookmarkEnd w:id="2133"/>
      <w:bookmarkEnd w:id="2134"/>
      <w:bookmarkEnd w:id="2135"/>
      <w:bookmarkEnd w:id="2136"/>
      <w:bookmarkEnd w:id="2137"/>
      <w:bookmarkEnd w:id="2138"/>
    </w:p>
    <w:p w14:paraId="07854E5B">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7FD65BD7">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3197"/>
        <w:gridCol w:w="772"/>
        <w:gridCol w:w="3160"/>
      </w:tblGrid>
      <w:tr w14:paraId="1433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25" w:type="dxa"/>
            <w:vAlign w:val="center"/>
          </w:tcPr>
          <w:p w14:paraId="02489FD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197" w:type="dxa"/>
            <w:vAlign w:val="center"/>
          </w:tcPr>
          <w:p w14:paraId="0D7ED71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72" w:type="dxa"/>
            <w:vAlign w:val="center"/>
          </w:tcPr>
          <w:p w14:paraId="6D4EFFD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0EA3075">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6AA9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525" w:type="dxa"/>
            <w:vAlign w:val="center"/>
          </w:tcPr>
          <w:p w14:paraId="0E84B33A">
            <w:pPr>
              <w:spacing w:line="276"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汉字启蒙：</w:t>
            </w:r>
          </w:p>
          <w:p w14:paraId="56B2DC18">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名师识字课堂观摩与研讨</w:t>
            </w:r>
          </w:p>
        </w:tc>
        <w:tc>
          <w:tcPr>
            <w:tcW w:w="3197" w:type="dxa"/>
            <w:vAlign w:val="center"/>
          </w:tcPr>
          <w:p w14:paraId="67232148">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通过课余时间</w:t>
            </w:r>
            <w:r>
              <w:rPr>
                <w:rFonts w:hint="eastAsia" w:ascii="宋体" w:hAnsi="宋体" w:eastAsia="宋体" w:cs="宋体"/>
                <w:szCs w:val="21"/>
              </w:rPr>
              <w:t>观摩</w:t>
            </w:r>
            <w:r>
              <w:rPr>
                <w:rFonts w:hint="eastAsia" w:ascii="宋体" w:hAnsi="宋体" w:eastAsia="宋体" w:cs="宋体"/>
                <w:szCs w:val="21"/>
                <w:lang w:val="en-US" w:eastAsia="zh-CN"/>
              </w:rPr>
              <w:t>小学语文名师</w:t>
            </w:r>
            <w:r>
              <w:rPr>
                <w:rFonts w:hint="eastAsia" w:ascii="宋体" w:hAnsi="宋体" w:eastAsia="宋体" w:cs="宋体"/>
                <w:szCs w:val="21"/>
              </w:rPr>
              <w:t>低年段识字</w:t>
            </w:r>
            <w:r>
              <w:rPr>
                <w:rFonts w:hint="eastAsia" w:ascii="宋体" w:hAnsi="宋体" w:eastAsia="宋体" w:cs="宋体"/>
                <w:szCs w:val="21"/>
                <w:lang w:val="en-US" w:eastAsia="zh-CN"/>
              </w:rPr>
              <w:t>课。（推荐许嫣娜、史春妍等名师教学视频）</w:t>
            </w:r>
          </w:p>
        </w:tc>
        <w:tc>
          <w:tcPr>
            <w:tcW w:w="772" w:type="dxa"/>
            <w:vAlign w:val="center"/>
          </w:tcPr>
          <w:p w14:paraId="304373E0">
            <w:pPr>
              <w:spacing w:line="276" w:lineRule="auto"/>
              <w:jc w:val="center"/>
              <w:rPr>
                <w:rFonts w:hint="default" w:ascii="宋体" w:hAnsi="宋体" w:eastAsia="宋体" w:cs="宋体"/>
                <w:szCs w:val="21"/>
                <w:lang w:val="en-US"/>
              </w:rPr>
            </w:pPr>
            <w:r>
              <w:rPr>
                <w:rFonts w:hint="eastAsia" w:ascii="宋体" w:hAnsi="宋体" w:eastAsia="宋体" w:cs="宋体"/>
                <w:szCs w:val="21"/>
                <w:lang w:val="en-US" w:eastAsia="zh-CN"/>
              </w:rPr>
              <w:t>观摩报告</w:t>
            </w:r>
          </w:p>
        </w:tc>
        <w:tc>
          <w:tcPr>
            <w:tcW w:w="3160" w:type="dxa"/>
            <w:vAlign w:val="center"/>
          </w:tcPr>
          <w:p w14:paraId="7AC84071">
            <w:pPr>
              <w:spacing w:line="276" w:lineRule="auto"/>
              <w:jc w:val="left"/>
              <w:rPr>
                <w:rFonts w:hint="eastAsia" w:ascii="宋体" w:hAnsi="宋体" w:eastAsia="宋体" w:cs="宋体"/>
                <w:szCs w:val="21"/>
              </w:rPr>
            </w:pPr>
            <w:r>
              <w:rPr>
                <w:rFonts w:hint="eastAsia" w:ascii="宋体" w:hAnsi="宋体" w:eastAsia="宋体" w:cs="宋体"/>
                <w:szCs w:val="21"/>
              </w:rPr>
              <w:t>通过识字教学</w:t>
            </w:r>
            <w:r>
              <w:rPr>
                <w:rFonts w:hint="eastAsia" w:ascii="宋体" w:hAnsi="宋体" w:eastAsia="宋体" w:cs="宋体"/>
                <w:szCs w:val="21"/>
                <w:lang w:val="en-US" w:eastAsia="zh-CN"/>
              </w:rPr>
              <w:t>案例</w:t>
            </w:r>
            <w:r>
              <w:rPr>
                <w:rFonts w:hint="eastAsia" w:ascii="宋体" w:hAnsi="宋体" w:eastAsia="宋体" w:cs="宋体"/>
                <w:szCs w:val="21"/>
              </w:rPr>
              <w:t>，了解汉字的演变历程，感受汉字的</w:t>
            </w:r>
            <w:r>
              <w:rPr>
                <w:rFonts w:hint="eastAsia" w:ascii="宋体" w:hAnsi="宋体" w:eastAsia="宋体" w:cs="宋体"/>
                <w:szCs w:val="21"/>
                <w:lang w:val="en-US" w:eastAsia="zh-CN"/>
              </w:rPr>
              <w:t>审美</w:t>
            </w:r>
            <w:r>
              <w:rPr>
                <w:rFonts w:hint="eastAsia" w:ascii="宋体" w:hAnsi="宋体" w:eastAsia="宋体" w:cs="宋体"/>
                <w:szCs w:val="21"/>
              </w:rPr>
              <w:t>特征，从而培养学生对中华文化的认同感和自豪感。将</w:t>
            </w:r>
            <w:r>
              <w:rPr>
                <w:rFonts w:hint="eastAsia" w:ascii="宋体" w:hAnsi="宋体" w:eastAsia="宋体" w:cs="宋体"/>
                <w:szCs w:val="21"/>
                <w:lang w:val="en-US" w:eastAsia="zh-CN"/>
              </w:rPr>
              <w:t>立德树人</w:t>
            </w:r>
            <w:r>
              <w:rPr>
                <w:rFonts w:hint="eastAsia" w:ascii="宋体" w:hAnsi="宋体" w:eastAsia="宋体" w:cs="宋体"/>
                <w:szCs w:val="21"/>
              </w:rPr>
              <w:t>自然融入小学语文低年段的识字课堂，提高语文</w:t>
            </w:r>
            <w:r>
              <w:rPr>
                <w:rFonts w:hint="eastAsia" w:ascii="宋体" w:hAnsi="宋体" w:eastAsia="宋体" w:cs="宋体"/>
                <w:szCs w:val="21"/>
                <w:lang w:val="en-US" w:eastAsia="zh-CN"/>
              </w:rPr>
              <w:t>教学</w:t>
            </w:r>
            <w:r>
              <w:rPr>
                <w:rFonts w:hint="eastAsia" w:ascii="宋体" w:hAnsi="宋体" w:eastAsia="宋体" w:cs="宋体"/>
                <w:szCs w:val="21"/>
              </w:rPr>
              <w:t>素养，播下</w:t>
            </w:r>
            <w:r>
              <w:rPr>
                <w:rFonts w:hint="eastAsia" w:ascii="宋体" w:hAnsi="宋体" w:eastAsia="宋体" w:cs="宋体"/>
                <w:szCs w:val="21"/>
                <w:lang w:val="en-US" w:eastAsia="zh-CN"/>
              </w:rPr>
              <w:t>教育家精神</w:t>
            </w:r>
            <w:r>
              <w:rPr>
                <w:rFonts w:hint="eastAsia" w:ascii="宋体" w:hAnsi="宋体" w:eastAsia="宋体" w:cs="宋体"/>
                <w:szCs w:val="21"/>
              </w:rPr>
              <w:t>的种子。</w:t>
            </w:r>
          </w:p>
        </w:tc>
      </w:tr>
      <w:tr w14:paraId="7824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5" w:type="dxa"/>
            <w:vAlign w:val="center"/>
          </w:tcPr>
          <w:p w14:paraId="1A01EC75">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文海泛舟：</w:t>
            </w:r>
          </w:p>
          <w:p w14:paraId="12E979A5">
            <w:pPr>
              <w:spacing w:line="276" w:lineRule="auto"/>
              <w:jc w:val="left"/>
              <w:rPr>
                <w:rFonts w:hint="default" w:ascii="宋体" w:hAnsi="宋体" w:eastAsia="宋体" w:cs="宋体"/>
                <w:szCs w:val="21"/>
                <w:lang w:val="en-US" w:eastAsia="zh-CN"/>
              </w:rPr>
            </w:pPr>
            <w:r>
              <w:rPr>
                <w:rFonts w:hint="eastAsia" w:ascii="宋体" w:hAnsi="宋体" w:eastAsia="宋体" w:cs="Times New Roman"/>
                <w:color w:val="000000"/>
                <w:szCs w:val="21"/>
                <w:lang w:val="en-US" w:eastAsia="zh-CN"/>
              </w:rPr>
              <w:t>名师引领下的文体探索之旅</w:t>
            </w:r>
          </w:p>
        </w:tc>
        <w:tc>
          <w:tcPr>
            <w:tcW w:w="3197" w:type="dxa"/>
            <w:vAlign w:val="center"/>
          </w:tcPr>
          <w:p w14:paraId="081FFCA2">
            <w:pPr>
              <w:adjustRightInd w:val="0"/>
              <w:snapToGrid w:val="0"/>
              <w:spacing w:line="276" w:lineRule="auto"/>
              <w:rPr>
                <w:rFonts w:hint="default" w:ascii="宋体" w:hAnsi="宋体" w:eastAsia="宋体" w:cs="宋体"/>
                <w:szCs w:val="21"/>
                <w:lang w:val="en-US"/>
              </w:rPr>
            </w:pPr>
            <w:r>
              <w:rPr>
                <w:rFonts w:hint="eastAsia" w:ascii="宋体" w:hAnsi="宋体" w:eastAsia="宋体" w:cs="宋体"/>
                <w:szCs w:val="21"/>
                <w:lang w:val="en-US" w:eastAsia="zh-CN"/>
              </w:rPr>
              <w:t>通过课内实践和课余时间</w:t>
            </w:r>
            <w:r>
              <w:rPr>
                <w:rFonts w:ascii="宋体" w:hAnsi="宋体" w:eastAsia="宋体" w:cs="Times New Roman"/>
                <w:color w:val="000000"/>
                <w:szCs w:val="21"/>
              </w:rPr>
              <w:t>观摩</w:t>
            </w:r>
            <w:r>
              <w:rPr>
                <w:rFonts w:hint="eastAsia" w:ascii="宋体" w:hAnsi="宋体" w:eastAsia="宋体" w:cs="Times New Roman"/>
                <w:color w:val="000000"/>
                <w:szCs w:val="21"/>
                <w:lang w:val="en-US" w:eastAsia="zh-CN"/>
              </w:rPr>
              <w:t>名师</w:t>
            </w:r>
            <w:r>
              <w:rPr>
                <w:rFonts w:hint="eastAsia" w:ascii="宋体" w:hAnsi="宋体" w:eastAsia="宋体" w:cs="Times New Roman"/>
                <w:color w:val="000000"/>
                <w:szCs w:val="21"/>
              </w:rPr>
              <w:t>阅读课</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分析叙事文、说明文、诗歌等不同文体教学案例。选择一个文体一篇课文进行课前十分钟模拟教学。</w:t>
            </w:r>
          </w:p>
        </w:tc>
        <w:tc>
          <w:tcPr>
            <w:tcW w:w="772" w:type="dxa"/>
            <w:vAlign w:val="center"/>
          </w:tcPr>
          <w:p w14:paraId="2BDB420E">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模拟教学</w:t>
            </w:r>
          </w:p>
        </w:tc>
        <w:tc>
          <w:tcPr>
            <w:tcW w:w="3160" w:type="dxa"/>
            <w:vAlign w:val="center"/>
          </w:tcPr>
          <w:p w14:paraId="307A4346">
            <w:pPr>
              <w:spacing w:line="276" w:lineRule="auto"/>
              <w:jc w:val="left"/>
              <w:rPr>
                <w:rFonts w:hint="eastAsia" w:ascii="宋体" w:hAnsi="宋体" w:eastAsia="宋体" w:cs="宋体"/>
                <w:szCs w:val="21"/>
              </w:rPr>
            </w:pPr>
            <w:r>
              <w:rPr>
                <w:rFonts w:hint="eastAsia" w:ascii="宋体" w:hAnsi="宋体" w:eastAsia="宋体" w:cs="宋体"/>
                <w:szCs w:val="21"/>
              </w:rPr>
              <w:t>通过不同文体的教学</w:t>
            </w:r>
            <w:r>
              <w:rPr>
                <w:rFonts w:hint="eastAsia" w:ascii="宋体" w:hAnsi="宋体" w:eastAsia="宋体" w:cs="宋体"/>
                <w:szCs w:val="21"/>
                <w:lang w:val="en-US" w:eastAsia="zh-CN"/>
              </w:rPr>
              <w:t>案例</w:t>
            </w:r>
            <w:r>
              <w:rPr>
                <w:rFonts w:hint="eastAsia" w:ascii="宋体" w:hAnsi="宋体" w:eastAsia="宋体" w:cs="宋体"/>
                <w:szCs w:val="21"/>
              </w:rPr>
              <w:t>，让学生了解和欣赏中华文化的多样性和丰富性，增强对民族文化的自信和传承意识。</w:t>
            </w:r>
          </w:p>
        </w:tc>
      </w:tr>
      <w:tr w14:paraId="687B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25" w:type="dxa"/>
            <w:vAlign w:val="center"/>
          </w:tcPr>
          <w:p w14:paraId="471380E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文思泉涌：</w:t>
            </w:r>
          </w:p>
          <w:p w14:paraId="43C26C03">
            <w:pPr>
              <w:spacing w:line="276" w:lineRule="auto"/>
              <w:jc w:val="left"/>
              <w:rPr>
                <w:rFonts w:hint="eastAsia" w:ascii="宋体" w:hAnsi="宋体" w:eastAsia="宋体" w:cs="宋体"/>
                <w:szCs w:val="21"/>
              </w:rPr>
            </w:pPr>
            <w:r>
              <w:rPr>
                <w:rFonts w:hint="eastAsia" w:ascii="宋体" w:hAnsi="宋体" w:eastAsia="宋体" w:cs="Times New Roman"/>
                <w:color w:val="000000"/>
                <w:szCs w:val="21"/>
                <w:lang w:val="en-US" w:eastAsia="zh-CN"/>
              </w:rPr>
              <w:t>小学习作教学策略</w:t>
            </w:r>
          </w:p>
        </w:tc>
        <w:tc>
          <w:tcPr>
            <w:tcW w:w="3197" w:type="dxa"/>
            <w:vAlign w:val="center"/>
          </w:tcPr>
          <w:p w14:paraId="62A1FFC4">
            <w:pPr>
              <w:spacing w:line="276" w:lineRule="auto"/>
              <w:jc w:val="left"/>
              <w:rPr>
                <w:rFonts w:hint="default" w:ascii="宋体" w:hAnsi="宋体" w:eastAsia="宋体" w:cs="宋体"/>
                <w:szCs w:val="21"/>
                <w:lang w:val="en-US" w:eastAsia="zh-CN"/>
              </w:rPr>
            </w:pPr>
            <w:r>
              <w:rPr>
                <w:rFonts w:hint="eastAsia" w:ascii="宋体" w:hAnsi="宋体" w:eastAsia="宋体" w:cs="宋体"/>
                <w:szCs w:val="21"/>
              </w:rPr>
              <w:t>通过</w:t>
            </w:r>
            <w:r>
              <w:rPr>
                <w:rFonts w:hint="eastAsia" w:ascii="宋体" w:hAnsi="宋体" w:eastAsia="宋体" w:cs="宋体"/>
                <w:szCs w:val="21"/>
                <w:lang w:val="en-US" w:eastAsia="zh-CN"/>
              </w:rPr>
              <w:t>课内实践和课余时间</w:t>
            </w:r>
            <w:r>
              <w:rPr>
                <w:rFonts w:hint="eastAsia" w:ascii="宋体" w:hAnsi="宋体" w:eastAsia="宋体" w:cs="宋体"/>
                <w:szCs w:val="21"/>
              </w:rPr>
              <w:t>观摩和研讨</w:t>
            </w:r>
            <w:r>
              <w:rPr>
                <w:rFonts w:hint="eastAsia" w:ascii="宋体" w:hAnsi="宋体" w:eastAsia="宋体" w:cs="宋体"/>
                <w:szCs w:val="21"/>
                <w:lang w:val="en-US" w:eastAsia="zh-CN"/>
              </w:rPr>
              <w:t>写话与</w:t>
            </w:r>
            <w:r>
              <w:rPr>
                <w:rFonts w:hint="eastAsia" w:ascii="宋体" w:hAnsi="宋体" w:eastAsia="宋体" w:cs="宋体"/>
                <w:szCs w:val="21"/>
              </w:rPr>
              <w:t>习作教学</w:t>
            </w:r>
            <w:r>
              <w:rPr>
                <w:rFonts w:hint="eastAsia" w:ascii="宋体" w:hAnsi="宋体" w:eastAsia="宋体" w:cs="宋体"/>
                <w:szCs w:val="21"/>
                <w:lang w:val="en-US" w:eastAsia="zh-CN"/>
              </w:rPr>
              <w:t>案例</w:t>
            </w:r>
            <w:r>
              <w:rPr>
                <w:rFonts w:hint="eastAsia" w:ascii="宋体" w:hAnsi="宋体" w:eastAsia="宋体" w:cs="宋体"/>
                <w:szCs w:val="21"/>
              </w:rPr>
              <w:t>，</w:t>
            </w:r>
            <w:r>
              <w:rPr>
                <w:rFonts w:hint="eastAsia" w:ascii="宋体" w:hAnsi="宋体" w:eastAsia="宋体" w:cs="宋体"/>
                <w:szCs w:val="21"/>
                <w:lang w:val="en-US" w:eastAsia="zh-CN"/>
              </w:rPr>
              <w:t>讨论小学写话与习作教学策略。</w:t>
            </w:r>
          </w:p>
        </w:tc>
        <w:tc>
          <w:tcPr>
            <w:tcW w:w="772" w:type="dxa"/>
            <w:vAlign w:val="center"/>
          </w:tcPr>
          <w:p w14:paraId="1B9EC4BC">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案例分析</w:t>
            </w:r>
          </w:p>
        </w:tc>
        <w:tc>
          <w:tcPr>
            <w:tcW w:w="3160" w:type="dxa"/>
            <w:vAlign w:val="center"/>
          </w:tcPr>
          <w:p w14:paraId="7E0F8CDB">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通过写话与习作教学视频观摩，体会表达与交流中表情达意的重要性，以及将正确价值观融入习作教学设计的方法。</w:t>
            </w:r>
          </w:p>
        </w:tc>
      </w:tr>
      <w:tr w14:paraId="254C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25" w:type="dxa"/>
            <w:vAlign w:val="center"/>
          </w:tcPr>
          <w:p w14:paraId="32CE6B9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单元统整：</w:t>
            </w:r>
          </w:p>
          <w:p w14:paraId="539DE6E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学习任务设计</w:t>
            </w:r>
          </w:p>
        </w:tc>
        <w:tc>
          <w:tcPr>
            <w:tcW w:w="3197" w:type="dxa"/>
            <w:vAlign w:val="center"/>
          </w:tcPr>
          <w:p w14:paraId="712A29A7">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通过单元统整案例，分析单元教学目标、情景任务、评价标准等的设计方法。</w:t>
            </w:r>
          </w:p>
        </w:tc>
        <w:tc>
          <w:tcPr>
            <w:tcW w:w="772" w:type="dxa"/>
            <w:vAlign w:val="center"/>
          </w:tcPr>
          <w:p w14:paraId="7F140D08">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案例分析</w:t>
            </w:r>
          </w:p>
        </w:tc>
        <w:tc>
          <w:tcPr>
            <w:tcW w:w="3160" w:type="dxa"/>
            <w:vAlign w:val="center"/>
          </w:tcPr>
          <w:p w14:paraId="0E782DB3">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明确单元统整教学设计对小学生核心素养培养的作用，初步学习单元育人资源统整的方法。</w:t>
            </w:r>
          </w:p>
        </w:tc>
      </w:tr>
    </w:tbl>
    <w:p w14:paraId="139757D1">
      <w:pPr>
        <w:spacing w:line="360" w:lineRule="auto"/>
        <w:ind w:firstLine="551" w:firstLineChars="196"/>
        <w:jc w:val="left"/>
        <w:rPr>
          <w:rFonts w:hint="eastAsia" w:ascii="宋体" w:hAnsi="宋体" w:eastAsia="宋体" w:cs="Times New Roman"/>
          <w:b/>
          <w:color w:val="000000"/>
          <w:sz w:val="28"/>
          <w:szCs w:val="28"/>
        </w:rPr>
      </w:pPr>
    </w:p>
    <w:p w14:paraId="5A77C501">
      <w:pPr>
        <w:spacing w:line="360" w:lineRule="auto"/>
        <w:jc w:val="left"/>
        <w:outlineLvl w:val="0"/>
        <w:rPr>
          <w:rFonts w:ascii="Times New Roman" w:hAnsi="Times New Roman" w:eastAsia="宋体" w:cs="Times New Roman"/>
          <w:b/>
          <w:bCs/>
          <w:sz w:val="24"/>
          <w:szCs w:val="24"/>
        </w:rPr>
      </w:pPr>
      <w:bookmarkStart w:id="2139" w:name="_Toc9340"/>
      <w:bookmarkStart w:id="2140" w:name="_Toc3890"/>
      <w:bookmarkStart w:id="2141" w:name="_Toc2806"/>
      <w:bookmarkStart w:id="2142" w:name="_Toc17103"/>
      <w:bookmarkStart w:id="2143" w:name="_Toc1601"/>
      <w:bookmarkStart w:id="2144" w:name="_Toc18874"/>
      <w:bookmarkStart w:id="2145" w:name="_Toc19152"/>
      <w:r>
        <w:rPr>
          <w:rFonts w:hint="eastAsia" w:ascii="宋体" w:hAnsi="宋体" w:eastAsia="宋体" w:cs="Times New Roman"/>
          <w:b/>
          <w:color w:val="000000"/>
          <w:sz w:val="24"/>
          <w:szCs w:val="24"/>
        </w:rPr>
        <w:t>六、有关说明</w:t>
      </w:r>
      <w:bookmarkEnd w:id="2139"/>
      <w:bookmarkEnd w:id="2140"/>
      <w:bookmarkEnd w:id="2141"/>
      <w:bookmarkEnd w:id="2142"/>
      <w:bookmarkEnd w:id="2143"/>
      <w:bookmarkEnd w:id="2144"/>
      <w:bookmarkEnd w:id="2145"/>
    </w:p>
    <w:p w14:paraId="2A31FB73">
      <w:pPr>
        <w:spacing w:line="360" w:lineRule="auto"/>
        <w:jc w:val="left"/>
        <w:outlineLvl w:val="1"/>
        <w:rPr>
          <w:rFonts w:ascii="Times New Roman" w:hAnsi="Times New Roman" w:eastAsia="宋体" w:cs="Times New Roman"/>
          <w:b/>
          <w:szCs w:val="21"/>
        </w:rPr>
      </w:pPr>
      <w:bookmarkStart w:id="2146" w:name="_Toc18001"/>
      <w:r>
        <w:rPr>
          <w:rFonts w:hint="eastAsia" w:ascii="Times New Roman" w:hAnsi="Times New Roman" w:eastAsia="宋体" w:cs="Times New Roman"/>
          <w:b/>
          <w:szCs w:val="21"/>
        </w:rPr>
        <w:t>（一）持续改进</w:t>
      </w:r>
      <w:bookmarkEnd w:id="2146"/>
    </w:p>
    <w:p w14:paraId="4870258D">
      <w:pPr>
        <w:spacing w:line="276"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本课程根据学生作业、课堂讨论、模拟教学、说课、平时考核情况和学生、教学督导等的反馈，及时对教学中的不足之处进行改进，并在下一轮课程教学中整改完善，确保相应毕业要求指标点达成。</w:t>
      </w:r>
    </w:p>
    <w:p w14:paraId="181A4CDF">
      <w:pPr>
        <w:spacing w:line="360" w:lineRule="auto"/>
        <w:jc w:val="left"/>
        <w:outlineLvl w:val="1"/>
        <w:rPr>
          <w:rFonts w:ascii="Times New Roman" w:hAnsi="Times New Roman" w:eastAsia="宋体" w:cs="Times New Roman"/>
          <w:b/>
          <w:szCs w:val="21"/>
        </w:rPr>
      </w:pPr>
      <w:bookmarkStart w:id="2147" w:name="_Toc8752"/>
      <w:r>
        <w:rPr>
          <w:rFonts w:hint="eastAsia" w:ascii="Times New Roman" w:hAnsi="Times New Roman" w:eastAsia="宋体" w:cs="Times New Roman"/>
          <w:b/>
          <w:szCs w:val="21"/>
        </w:rPr>
        <w:t>（二）建议教材</w:t>
      </w:r>
      <w:bookmarkEnd w:id="2147"/>
    </w:p>
    <w:p w14:paraId="2DFBF2DB">
      <w:pPr>
        <w:spacing w:line="360" w:lineRule="auto"/>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1.吴忠豪、丁炜主编.小学语文教学设计.中国人民大学出版社，2023.</w:t>
      </w:r>
    </w:p>
    <w:p w14:paraId="00DD81B9">
      <w:pPr>
        <w:spacing w:line="360" w:lineRule="auto"/>
        <w:jc w:val="left"/>
        <w:outlineLvl w:val="1"/>
        <w:rPr>
          <w:rFonts w:ascii="Times New Roman" w:hAnsi="Times New Roman" w:eastAsia="宋体" w:cs="Times New Roman"/>
          <w:b/>
          <w:szCs w:val="21"/>
        </w:rPr>
      </w:pPr>
      <w:bookmarkStart w:id="2148" w:name="_Toc28110"/>
      <w:r>
        <w:rPr>
          <w:rFonts w:hint="eastAsia" w:ascii="Times New Roman" w:hAnsi="Times New Roman" w:eastAsia="宋体" w:cs="Times New Roman"/>
          <w:b/>
          <w:szCs w:val="21"/>
        </w:rPr>
        <w:t>（三）参考书目</w:t>
      </w:r>
      <w:bookmarkEnd w:id="2148"/>
    </w:p>
    <w:p w14:paraId="3820B2AC">
      <w:pPr>
        <w:spacing w:line="360" w:lineRule="auto"/>
        <w:jc w:val="left"/>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1</w:t>
      </w:r>
      <w:r>
        <w:rPr>
          <w:rFonts w:hint="eastAsia" w:ascii="Times New Roman" w:hAnsi="Times New Roman" w:eastAsia="宋体" w:cs="Times New Roman"/>
          <w:bCs/>
          <w:color w:val="000000"/>
          <w:szCs w:val="21"/>
        </w:rPr>
        <w:t>.夏家发.小学语文教学设计与案例研究.北京：科学出版社，2018.</w:t>
      </w:r>
    </w:p>
    <w:p w14:paraId="3B0E8BB4">
      <w:pPr>
        <w:rPr>
          <w:rFonts w:hint="default" w:ascii="等线" w:hAnsi="等线" w:eastAsia="等线" w:cs="Times New Roman"/>
          <w:szCs w:val="22"/>
          <w:lang w:val="en-US" w:eastAsia="zh-CN"/>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.汪潮.小学语文部编版教材文本解读及学习设计.福山：福建教育出版社，2017.</w:t>
      </w:r>
    </w:p>
    <w:p w14:paraId="4421F123">
      <w:pPr>
        <w:rPr>
          <w:rFonts w:hint="eastAsia" w:ascii="等线" w:hAnsi="等线" w:eastAsia="等线" w:cs="Times New Roman"/>
          <w:szCs w:val="22"/>
        </w:rPr>
      </w:pPr>
    </w:p>
    <w:p w14:paraId="4524D047">
      <w:pPr>
        <w:rPr>
          <w:rFonts w:hint="eastAsia" w:ascii="等线" w:hAnsi="等线" w:eastAsia="等线" w:cs="Times New Roman"/>
          <w:szCs w:val="22"/>
        </w:rPr>
      </w:pPr>
    </w:p>
    <w:p w14:paraId="0D0022AB">
      <w:pPr>
        <w:rPr>
          <w:rFonts w:hint="eastAsia" w:ascii="等线" w:hAnsi="等线" w:eastAsia="等线" w:cs="Times New Roman"/>
          <w:szCs w:val="22"/>
        </w:rPr>
      </w:pPr>
    </w:p>
    <w:p w14:paraId="1AF7E62F">
      <w:pPr>
        <w:spacing w:line="360" w:lineRule="auto"/>
        <w:ind w:left="5460" w:leftChars="0" w:firstLine="420" w:firstLineChars="0"/>
        <w:jc w:val="both"/>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 xml:space="preserve">执 笔 人： </w:t>
      </w:r>
      <w:r>
        <w:rPr>
          <w:rFonts w:hint="eastAsia" w:ascii="Times New Roman" w:hAnsi="Times New Roman" w:eastAsia="宋体" w:cs="Times New Roman"/>
          <w:bCs/>
          <w:color w:val="000000"/>
          <w:szCs w:val="21"/>
          <w:lang w:val="en-US" w:eastAsia="zh-CN"/>
        </w:rPr>
        <w:t>周冬梅</w:t>
      </w:r>
    </w:p>
    <w:p w14:paraId="0003F54C">
      <w:pPr>
        <w:spacing w:line="360" w:lineRule="auto"/>
        <w:ind w:left="5460" w:leftChars="0" w:firstLine="420" w:firstLineChars="0"/>
        <w:jc w:val="both"/>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 xml:space="preserve">审 定 人： </w:t>
      </w:r>
      <w:r>
        <w:rPr>
          <w:rFonts w:hint="eastAsia" w:ascii="Times New Roman" w:hAnsi="Times New Roman" w:eastAsia="宋体" w:cs="Times New Roman"/>
          <w:bCs/>
          <w:color w:val="000000"/>
          <w:szCs w:val="21"/>
          <w:lang w:val="en-US" w:eastAsia="zh-CN"/>
        </w:rPr>
        <w:t>王健</w:t>
      </w:r>
    </w:p>
    <w:p w14:paraId="508EA711">
      <w:pPr>
        <w:spacing w:line="360" w:lineRule="auto"/>
        <w:ind w:left="5460" w:leftChars="0" w:firstLine="420" w:firstLineChars="0"/>
        <w:jc w:val="both"/>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 xml:space="preserve">审 批 人： </w:t>
      </w:r>
      <w:r>
        <w:rPr>
          <w:rFonts w:hint="eastAsia" w:ascii="Times New Roman" w:hAnsi="Times New Roman" w:eastAsia="宋体" w:cs="Times New Roman"/>
          <w:bCs/>
          <w:color w:val="000000"/>
          <w:szCs w:val="21"/>
          <w:lang w:val="en-US" w:eastAsia="zh-CN"/>
        </w:rPr>
        <w:t>张志欣</w:t>
      </w:r>
    </w:p>
    <w:p w14:paraId="331C6920">
      <w:pPr>
        <w:spacing w:line="360" w:lineRule="auto"/>
        <w:ind w:left="5460" w:leftChars="0" w:firstLine="420" w:firstLineChars="0"/>
        <w:jc w:val="both"/>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批准时间： 2024年 9月</w:t>
      </w:r>
      <w:r>
        <w:rPr>
          <w:rFonts w:hint="eastAsia" w:ascii="Times New Roman" w:hAnsi="Times New Roman" w:eastAsia="宋体" w:cs="Times New Roman"/>
          <w:bCs/>
          <w:color w:val="000000"/>
          <w:szCs w:val="21"/>
          <w:lang w:val="en-US" w:eastAsia="zh-CN"/>
        </w:rPr>
        <w:t>1日</w:t>
      </w:r>
    </w:p>
    <w:p w14:paraId="21F0AAD9">
      <w:pPr>
        <w:rPr>
          <w:rFonts w:hint="eastAsia"/>
          <w:lang w:eastAsia="zh-CN"/>
        </w:rPr>
      </w:pPr>
      <w:r>
        <w:rPr>
          <w:rFonts w:hint="eastAsia"/>
          <w:lang w:eastAsia="zh-CN"/>
        </w:rPr>
        <w:br w:type="page"/>
      </w:r>
    </w:p>
    <w:p w14:paraId="2C317279">
      <w:pPr>
        <w:pStyle w:val="2"/>
        <w:bidi w:val="0"/>
        <w:rPr>
          <w:rFonts w:hint="default"/>
          <w:lang w:val="en-US" w:eastAsia="zh-CN"/>
        </w:rPr>
      </w:pPr>
      <w:bookmarkStart w:id="2149" w:name="_Toc25107"/>
      <w:r>
        <w:rPr>
          <w:rFonts w:hint="eastAsia"/>
          <w:lang w:eastAsia="zh-CN"/>
        </w:rPr>
        <w:t>《</w:t>
      </w:r>
      <w:r>
        <w:rPr>
          <w:rFonts w:hint="eastAsia"/>
        </w:rPr>
        <w:t>教师口语与礼仪</w:t>
      </w:r>
      <w:r>
        <w:rPr>
          <w:rFonts w:hint="eastAsia"/>
          <w:lang w:eastAsia="zh-CN"/>
        </w:rPr>
        <w:t>》</w:t>
      </w:r>
      <w:r>
        <w:rPr>
          <w:rFonts w:hint="eastAsia"/>
          <w:lang w:val="en-US" w:eastAsia="zh-CN"/>
        </w:rPr>
        <w:t>课程教学大纲</w:t>
      </w:r>
      <w:bookmarkEnd w:id="2149"/>
    </w:p>
    <w:p w14:paraId="300214DE">
      <w:pPr>
        <w:pStyle w:val="2"/>
        <w:bidi w:val="0"/>
        <w:rPr>
          <w:rFonts w:hint="eastAsia"/>
          <w:lang w:eastAsia="zh-CN"/>
        </w:rPr>
      </w:pPr>
      <w:bookmarkStart w:id="2150" w:name="_Toc14225"/>
      <w:r>
        <w:rPr>
          <w:rFonts w:hint="eastAsia"/>
          <w:lang w:eastAsia="zh-CN"/>
        </w:rPr>
        <w:t>（</w:t>
      </w:r>
      <w:r>
        <w:rPr>
          <w:rFonts w:hint="eastAsia"/>
        </w:rPr>
        <w:t>Teachers' Spoken Language and Etiquette</w:t>
      </w:r>
      <w:r>
        <w:rPr>
          <w:rFonts w:hint="eastAsia"/>
          <w:lang w:eastAsia="zh-CN"/>
        </w:rPr>
        <w:t>）</w:t>
      </w:r>
      <w:bookmarkEnd w:id="2150"/>
    </w:p>
    <w:p w14:paraId="4570FF0D">
      <w:pPr>
        <w:pStyle w:val="2"/>
        <w:bidi w:val="0"/>
      </w:pPr>
    </w:p>
    <w:p w14:paraId="01D4C6C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val="0"/>
          <w:bCs/>
          <w:sz w:val="24"/>
          <w:szCs w:val="24"/>
        </w:rPr>
        <w:t>教师口语与礼仪</w:t>
      </w:r>
    </w:p>
    <w:p w14:paraId="4202D156">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val="0"/>
          <w:bCs/>
          <w:sz w:val="24"/>
          <w:szCs w:val="24"/>
        </w:rPr>
        <w:t>2401060</w:t>
      </w:r>
    </w:p>
    <w:p w14:paraId="5CB71C47">
      <w:pPr>
        <w:spacing w:line="360" w:lineRule="auto"/>
        <w:ind w:firstLine="482"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val="0"/>
          <w:bCs/>
          <w:sz w:val="24"/>
          <w:szCs w:val="24"/>
          <w:lang w:val="en-US" w:eastAsia="zh-CN"/>
        </w:rPr>
        <w:t>1</w:t>
      </w:r>
    </w:p>
    <w:p w14:paraId="5D88A159">
      <w:pPr>
        <w:spacing w:line="360" w:lineRule="auto"/>
        <w:ind w:firstLine="482"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kern w:val="0"/>
          <w:sz w:val="24"/>
          <w:szCs w:val="24"/>
          <w:lang w:val="en-US" w:eastAsia="zh-CN"/>
        </w:rPr>
        <w:t>16</w:t>
      </w:r>
    </w:p>
    <w:p w14:paraId="5153E6E0">
      <w:pPr>
        <w:spacing w:line="360" w:lineRule="auto"/>
        <w:ind w:firstLine="482" w:firstLineChars="200"/>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val="0"/>
          <w:bCs/>
          <w:sz w:val="24"/>
          <w:szCs w:val="24"/>
          <w:lang w:val="en-US" w:eastAsia="zh-CN"/>
        </w:rPr>
        <w:t>教师职业道德、普通话训练</w:t>
      </w:r>
    </w:p>
    <w:p w14:paraId="27B72A4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w:t>
      </w:r>
      <w:r>
        <w:rPr>
          <w:rFonts w:ascii="Times New Roman" w:hAnsi="Times New Roman" w:eastAsia="宋体" w:cs="Times New Roman"/>
          <w:kern w:val="0"/>
          <w:sz w:val="24"/>
          <w:szCs w:val="24"/>
        </w:rPr>
        <w:t>小学教育专业</w:t>
      </w:r>
    </w:p>
    <w:p w14:paraId="36575B72">
      <w:pPr>
        <w:spacing w:line="360" w:lineRule="auto"/>
        <w:jc w:val="left"/>
        <w:rPr>
          <w:rFonts w:ascii="Times New Roman" w:hAnsi="Times New Roman" w:eastAsia="宋体" w:cs="Times New Roman"/>
          <w:b/>
          <w:sz w:val="24"/>
          <w:szCs w:val="24"/>
        </w:rPr>
      </w:pPr>
    </w:p>
    <w:p w14:paraId="3A0C80DF">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2C02D247">
      <w:pPr>
        <w:autoSpaceDE w:val="0"/>
        <w:autoSpaceDN w:val="0"/>
        <w:adjustRightInd w:val="0"/>
        <w:spacing w:line="360" w:lineRule="auto"/>
        <w:ind w:firstLine="480" w:firstLineChars="200"/>
        <w:jc w:val="left"/>
        <w:rPr>
          <w:rFonts w:ascii="Times New Roman" w:hAnsi="Times New Roman" w:eastAsia="宋体" w:cs="Times New Roman"/>
          <w:szCs w:val="21"/>
        </w:rPr>
      </w:pPr>
      <w:r>
        <w:rPr>
          <w:rFonts w:ascii="宋体" w:hAnsi="宋体" w:eastAsia="宋体" w:cs="宋体"/>
          <w:sz w:val="24"/>
          <w:szCs w:val="24"/>
        </w:rPr>
        <w:t>本课程旨在培养师范生及在职教师的口语表达能力和职业礼仪素养，助力提升教学效果与职业形象。课程内容涵盖教师口语艺术（如普通话训练、课堂语言设计、演讲技巧）和职业礼仪规范（如仪态举止、着装礼仪、师生沟通礼仪等），结合教育心理学与真实教学场景，强化语言感染力与互动能力。通过理论讲解、案例分析、情境模拟及实践训练，学生将掌握清晰、得体、富有魅力的表达方式，塑造专业、亲切的教师形象，为未来教育教学工作奠定坚实基础。</w:t>
      </w:r>
    </w:p>
    <w:p w14:paraId="4EACB8F8">
      <w:pPr>
        <w:spacing w:line="360" w:lineRule="auto"/>
        <w:jc w:val="left"/>
        <w:rPr>
          <w:rFonts w:ascii="宋体" w:hAnsi="宋体" w:eastAsia="宋体" w:cs="Times New Roman"/>
          <w:b/>
          <w:color w:val="000000"/>
          <w:szCs w:val="21"/>
        </w:rPr>
      </w:pPr>
    </w:p>
    <w:p w14:paraId="5EC4033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11F62799">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2D51B3A5">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目标1.掌握普通话中的语流音变现象，掌握各种文体的朗读技巧，提高学生的普通话水平</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礼仪标准</w:t>
      </w:r>
      <w:r>
        <w:rPr>
          <w:rFonts w:hint="eastAsia" w:ascii="宋体" w:hAnsi="宋体" w:eastAsia="宋体" w:cs="Times New Roman"/>
          <w:color w:val="000000"/>
          <w:kern w:val="0"/>
          <w:sz w:val="24"/>
        </w:rPr>
        <w:t>和实际应用能力。</w:t>
      </w:r>
    </w:p>
    <w:p w14:paraId="2E5118A0">
      <w:pPr>
        <w:spacing w:line="312" w:lineRule="auto"/>
        <w:ind w:firstLine="480" w:firstLineChars="200"/>
        <w:rPr>
          <w:rFonts w:hint="default" w:ascii="宋体" w:hAnsi="宋体" w:eastAsia="宋体" w:cs="Times New Roman"/>
          <w:color w:val="000000"/>
          <w:kern w:val="0"/>
          <w:sz w:val="24"/>
          <w:lang w:val="en-US" w:eastAsia="zh-CN"/>
        </w:rPr>
      </w:pPr>
      <w:r>
        <w:rPr>
          <w:rFonts w:hint="eastAsia" w:ascii="宋体" w:hAnsi="宋体" w:eastAsia="宋体" w:cs="Times New Roman"/>
          <w:color w:val="000000"/>
          <w:kern w:val="0"/>
          <w:sz w:val="24"/>
        </w:rPr>
        <w:t>目标2.掌握教师教学口语</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w:t>
      </w:r>
      <w:r>
        <w:rPr>
          <w:rFonts w:hint="eastAsia" w:ascii="宋体" w:hAnsi="宋体" w:eastAsia="宋体" w:cs="Times New Roman"/>
          <w:color w:val="000000"/>
          <w:kern w:val="0"/>
          <w:sz w:val="24"/>
        </w:rPr>
        <w:t>的特点，在课堂练习中正确使用各类教学语言</w:t>
      </w:r>
      <w:r>
        <w:rPr>
          <w:rFonts w:hint="eastAsia" w:ascii="宋体" w:hAnsi="宋体" w:eastAsia="宋体" w:cs="Times New Roman"/>
          <w:color w:val="000000"/>
          <w:kern w:val="0"/>
          <w:sz w:val="24"/>
          <w:lang w:val="en-US" w:eastAsia="zh-CN"/>
        </w:rPr>
        <w:t>和礼仪标准。</w:t>
      </w:r>
    </w:p>
    <w:p w14:paraId="33BD5D6F">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目标3.熟知教师教育口语</w:t>
      </w:r>
      <w:r>
        <w:rPr>
          <w:rFonts w:hint="eastAsia" w:ascii="宋体" w:hAnsi="宋体" w:eastAsia="宋体" w:cs="Times New Roman"/>
          <w:color w:val="000000"/>
          <w:kern w:val="0"/>
          <w:sz w:val="24"/>
          <w:lang w:val="en-US" w:eastAsia="zh-CN"/>
        </w:rPr>
        <w:t>和礼仪</w:t>
      </w:r>
      <w:r>
        <w:rPr>
          <w:rFonts w:hint="eastAsia" w:ascii="宋体" w:hAnsi="宋体" w:eastAsia="宋体" w:cs="Times New Roman"/>
          <w:color w:val="000000"/>
          <w:kern w:val="0"/>
          <w:sz w:val="24"/>
        </w:rPr>
        <w:t>的基本特点，能针对不同环境、不同对象使用教育语言</w:t>
      </w:r>
      <w:r>
        <w:rPr>
          <w:rFonts w:hint="eastAsia" w:ascii="宋体" w:hAnsi="宋体" w:eastAsia="宋体" w:cs="Times New Roman"/>
          <w:color w:val="000000"/>
          <w:kern w:val="0"/>
          <w:sz w:val="24"/>
          <w:lang w:val="en-US" w:eastAsia="zh-CN"/>
        </w:rPr>
        <w:t>和行为标准</w:t>
      </w:r>
      <w:r>
        <w:rPr>
          <w:rFonts w:hint="eastAsia" w:ascii="宋体" w:hAnsi="宋体" w:eastAsia="宋体" w:cs="Times New Roman"/>
          <w:color w:val="000000"/>
          <w:kern w:val="0"/>
          <w:sz w:val="24"/>
        </w:rPr>
        <w:t>。</w:t>
      </w:r>
    </w:p>
    <w:p w14:paraId="49925F6E">
      <w:pPr>
        <w:spacing w:line="312"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目标4.熟悉教师职业口语</w:t>
      </w:r>
      <w:r>
        <w:rPr>
          <w:rFonts w:hint="eastAsia" w:ascii="宋体" w:hAnsi="宋体" w:eastAsia="宋体" w:cs="Times New Roman"/>
          <w:color w:val="000000"/>
          <w:kern w:val="0"/>
          <w:sz w:val="24"/>
          <w:lang w:eastAsia="zh-CN"/>
        </w:rPr>
        <w:t>、</w:t>
      </w:r>
      <w:r>
        <w:rPr>
          <w:rFonts w:hint="eastAsia" w:ascii="宋体" w:hAnsi="宋体" w:eastAsia="宋体" w:cs="Times New Roman"/>
          <w:color w:val="000000"/>
          <w:kern w:val="0"/>
          <w:sz w:val="24"/>
          <w:lang w:val="en-US" w:eastAsia="zh-CN"/>
        </w:rPr>
        <w:t>礼仪</w:t>
      </w:r>
      <w:r>
        <w:rPr>
          <w:rFonts w:hint="eastAsia" w:ascii="宋体" w:hAnsi="宋体" w:eastAsia="宋体" w:cs="Times New Roman"/>
          <w:color w:val="000000"/>
          <w:kern w:val="0"/>
          <w:sz w:val="24"/>
        </w:rPr>
        <w:t>的特点和类型，提高应变能力。</w:t>
      </w:r>
    </w:p>
    <w:p w14:paraId="02D298A0">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8"/>
        <w:gridCol w:w="3398"/>
        <w:gridCol w:w="1191"/>
      </w:tblGrid>
      <w:tr w14:paraId="7EE3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55F81F8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3398" w:type="dxa"/>
            <w:vAlign w:val="center"/>
          </w:tcPr>
          <w:p w14:paraId="27B5FCE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D18A36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BCF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6B9582F8">
            <w:pPr>
              <w:autoSpaceDE w:val="0"/>
              <w:autoSpaceDN w:val="0"/>
              <w:rPr>
                <w:rFonts w:ascii="Times New Roman" w:hAnsi="Times New Roman" w:eastAsia="宋体" w:cs="Times New Roman"/>
                <w:szCs w:val="21"/>
              </w:rPr>
            </w:pPr>
            <w:r>
              <w:rPr>
                <w:rFonts w:hint="eastAsia" w:ascii="宋体" w:hAnsi="宋体" w:cs="宋体"/>
                <w:b/>
                <w:bCs/>
                <w:kern w:val="0"/>
                <w:szCs w:val="21"/>
              </w:rPr>
              <w:t>毕业要求2：</w:t>
            </w:r>
            <w:r>
              <w:rPr>
                <w:rFonts w:hint="eastAsia" w:ascii="宋体" w:hAnsi="宋体" w:cs="宋体"/>
                <w:b/>
                <w:bCs/>
                <w:szCs w:val="21"/>
              </w:rPr>
              <w:t>教育情怀</w:t>
            </w:r>
          </w:p>
        </w:tc>
        <w:tc>
          <w:tcPr>
            <w:tcW w:w="3398" w:type="dxa"/>
            <w:vAlign w:val="center"/>
          </w:tcPr>
          <w:p w14:paraId="2FF29606">
            <w:pPr>
              <w:spacing w:line="276" w:lineRule="auto"/>
              <w:jc w:val="left"/>
              <w:rPr>
                <w:rFonts w:hint="eastAsia" w:ascii="宋体" w:hAnsi="宋体" w:cs="宋体"/>
                <w:szCs w:val="21"/>
              </w:rPr>
            </w:pPr>
            <w:r>
              <w:rPr>
                <w:rFonts w:hint="eastAsia" w:ascii="宋体" w:hAnsi="宋体" w:cs="宋体"/>
                <w:szCs w:val="21"/>
              </w:rPr>
              <w:t>指标点2-3：【自身修养良好】具有较好的人文艺术底蕴与科学精神，言行举止符合教师职业标准，情感积极，人格健全，身心健康。</w:t>
            </w:r>
          </w:p>
        </w:tc>
        <w:tc>
          <w:tcPr>
            <w:tcW w:w="1191" w:type="dxa"/>
            <w:vAlign w:val="center"/>
          </w:tcPr>
          <w:p w14:paraId="2967CD5A">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2、3</w:t>
            </w:r>
          </w:p>
        </w:tc>
      </w:tr>
      <w:tr w14:paraId="6E3B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52201D24">
            <w:pPr>
              <w:autoSpaceDE w:val="0"/>
              <w:autoSpaceDN w:val="0"/>
              <w:rPr>
                <w:rFonts w:hint="eastAsia" w:ascii="宋体" w:hAnsi="宋体" w:cs="宋体"/>
                <w:b/>
                <w:bCs/>
                <w:kern w:val="0"/>
                <w:szCs w:val="21"/>
              </w:rPr>
            </w:pPr>
            <w:r>
              <w:rPr>
                <w:rFonts w:hint="eastAsia" w:ascii="宋体" w:hAnsi="宋体" w:cs="宋体"/>
                <w:b/>
                <w:bCs/>
                <w:szCs w:val="21"/>
              </w:rPr>
              <w:t>毕业要求4：教学能力</w:t>
            </w:r>
          </w:p>
        </w:tc>
        <w:tc>
          <w:tcPr>
            <w:tcW w:w="3398" w:type="dxa"/>
            <w:vAlign w:val="center"/>
          </w:tcPr>
          <w:p w14:paraId="1F4FC2A7">
            <w:pPr>
              <w:spacing w:line="276" w:lineRule="auto"/>
              <w:jc w:val="left"/>
              <w:rPr>
                <w:rFonts w:hint="eastAsia" w:ascii="宋体" w:hAnsi="宋体" w:cs="宋体"/>
                <w:szCs w:val="21"/>
              </w:rPr>
            </w:pPr>
            <w:r>
              <w:rPr>
                <w:rFonts w:hint="eastAsia" w:ascii="宋体" w:hAnsi="宋体" w:cs="宋体"/>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7959EDDC">
            <w:pPr>
              <w:spacing w:line="276"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2、3、4</w:t>
            </w:r>
          </w:p>
        </w:tc>
      </w:tr>
      <w:tr w14:paraId="5C75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8" w:type="dxa"/>
            <w:vAlign w:val="center"/>
          </w:tcPr>
          <w:p w14:paraId="5386E01B">
            <w:pPr>
              <w:autoSpaceDE w:val="0"/>
              <w:autoSpaceDN w:val="0"/>
              <w:rPr>
                <w:rFonts w:hint="eastAsia" w:ascii="宋体" w:hAnsi="宋体" w:cs="宋体"/>
                <w:b/>
                <w:bCs/>
                <w:szCs w:val="21"/>
              </w:rPr>
            </w:pPr>
            <w:r>
              <w:rPr>
                <w:rFonts w:hint="eastAsia" w:ascii="宋体" w:hAnsi="宋体" w:cs="宋体"/>
                <w:b/>
                <w:bCs/>
                <w:kern w:val="0"/>
                <w:szCs w:val="21"/>
              </w:rPr>
              <w:t>毕业要求8：</w:t>
            </w:r>
            <w:r>
              <w:rPr>
                <w:rFonts w:hint="eastAsia" w:ascii="宋体" w:hAnsi="宋体" w:cs="宋体"/>
                <w:b/>
                <w:bCs/>
                <w:szCs w:val="21"/>
              </w:rPr>
              <w:t>沟通合作</w:t>
            </w:r>
          </w:p>
        </w:tc>
        <w:tc>
          <w:tcPr>
            <w:tcW w:w="3398" w:type="dxa"/>
            <w:vAlign w:val="center"/>
          </w:tcPr>
          <w:p w14:paraId="032DD18A">
            <w:pPr>
              <w:spacing w:line="276" w:lineRule="auto"/>
              <w:jc w:val="left"/>
              <w:rPr>
                <w:rFonts w:hint="eastAsia" w:ascii="宋体" w:hAnsi="宋体" w:cs="宋体"/>
                <w:szCs w:val="21"/>
              </w:rPr>
            </w:pPr>
            <w:r>
              <w:rPr>
                <w:rFonts w:hint="eastAsia" w:ascii="宋体" w:hAnsi="宋体" w:cs="宋体"/>
                <w:szCs w:val="21"/>
              </w:rPr>
              <w:t>指标点8-2：【学会沟通交流】掌握人际沟通合作技能与方法，在教育教学实践中，能与学生和家长以及同行、同事、专家进行有效沟通与合作，实现共同发展。</w:t>
            </w:r>
          </w:p>
        </w:tc>
        <w:tc>
          <w:tcPr>
            <w:tcW w:w="1191" w:type="dxa"/>
            <w:vAlign w:val="center"/>
          </w:tcPr>
          <w:p w14:paraId="481D0F5F">
            <w:pPr>
              <w:spacing w:line="276"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2、4</w:t>
            </w:r>
          </w:p>
        </w:tc>
      </w:tr>
    </w:tbl>
    <w:p w14:paraId="2F059741">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7F7DE3E">
      <w:pPr>
        <w:spacing w:line="360" w:lineRule="auto"/>
        <w:ind w:firstLine="480" w:firstLineChars="200"/>
        <w:jc w:val="left"/>
        <w:rPr>
          <w:rFonts w:ascii="宋体" w:hAnsi="宋体" w:eastAsia="宋体" w:cs="Times New Roman"/>
          <w:b/>
          <w:color w:val="000000"/>
          <w:sz w:val="28"/>
          <w:szCs w:val="28"/>
        </w:rPr>
      </w:pPr>
      <w:r>
        <w:rPr>
          <w:rFonts w:ascii="宋体" w:hAnsi="宋体" w:eastAsia="宋体" w:cs="宋体"/>
          <w:sz w:val="24"/>
          <w:szCs w:val="24"/>
        </w:rPr>
        <w:t>课程坚持以立德树人为根本，将思想政治教育贯穿教学全过程，着力培养具有坚定政治立场、高尚师德修养和强烈社会责任感的未来教师。通过规范语言表达和职业礼仪训练，引导学生深刻理解国家通用语言文字的政治意义和文化价值，增强文化自信与民族认同；注重在语言艺术和礼仪规范中渗透"学高为师、身正为范"的师德传统，培养爱岗敬业、关爱学生的职业精神；在沟通技巧训练中强化诚信、尊重、平等的核心价值观，帮助学生树立正确的教育理念；结合真实教学情境的模拟实践，激发学生教育报国的使命担当，培养服务基层、奉献教育的家国情怀。课程致力于实现专业知识传授、教学能力培养与思想政治教育同向同行，为新时代基础教育培养德才兼备的合格师资。</w:t>
      </w:r>
    </w:p>
    <w:p w14:paraId="762BDA44">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691"/>
        <w:gridCol w:w="1111"/>
        <w:gridCol w:w="3190"/>
        <w:gridCol w:w="1517"/>
        <w:gridCol w:w="438"/>
      </w:tblGrid>
      <w:tr w14:paraId="6DA0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59FDD19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38F11F8">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691" w:type="dxa"/>
            <w:vAlign w:val="center"/>
          </w:tcPr>
          <w:p w14:paraId="0882D905">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11" w:type="dxa"/>
            <w:vAlign w:val="center"/>
          </w:tcPr>
          <w:p w14:paraId="39C4FBF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DE4DB49">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90" w:type="dxa"/>
            <w:vAlign w:val="center"/>
          </w:tcPr>
          <w:p w14:paraId="298E1ECE">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17" w:type="dxa"/>
            <w:vAlign w:val="center"/>
          </w:tcPr>
          <w:p w14:paraId="413BD1AC">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0F21A291">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0D5D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4E81053">
            <w:pPr>
              <w:spacing w:line="264" w:lineRule="auto"/>
              <w:jc w:val="center"/>
              <w:rPr>
                <w:rFonts w:ascii="宋体" w:hAnsi="宋体" w:eastAsia="宋体" w:cs="Times New Roman"/>
                <w:color w:val="000000"/>
                <w:sz w:val="21"/>
                <w:szCs w:val="21"/>
              </w:rPr>
            </w:pPr>
            <w:r>
              <w:rPr>
                <w:rFonts w:hint="eastAsia" w:ascii="Times New Roman" w:hAnsi="Times New Roman" w:eastAsia="宋体" w:cs="Times New Roman"/>
                <w:b w:val="0"/>
                <w:bCs/>
                <w:sz w:val="21"/>
                <w:szCs w:val="21"/>
                <w:lang w:val="en-US" w:eastAsia="zh-CN"/>
              </w:rPr>
              <w:t>1</w:t>
            </w:r>
            <w:r>
              <w:rPr>
                <w:rFonts w:ascii="宋体" w:hAnsi="宋体" w:eastAsia="宋体" w:cs="宋体"/>
                <w:sz w:val="21"/>
                <w:szCs w:val="21"/>
              </w:rPr>
              <w:t>教师口语基础与职业定位</w:t>
            </w:r>
          </w:p>
        </w:tc>
        <w:tc>
          <w:tcPr>
            <w:tcW w:w="1691" w:type="dxa"/>
            <w:vAlign w:val="center"/>
          </w:tcPr>
          <w:p w14:paraId="192BBC6E">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1）</w:t>
            </w:r>
            <w:r>
              <w:rPr>
                <w:rFonts w:ascii="宋体" w:hAnsi="宋体" w:eastAsia="宋体" w:cs="Times New Roman"/>
                <w:color w:val="000000"/>
                <w:sz w:val="21"/>
                <w:szCs w:val="21"/>
              </w:rPr>
              <w:t>教师口语的基本特征（教育性、规范性、艺术性）</w:t>
            </w:r>
            <w:r>
              <w:rPr>
                <w:rFonts w:ascii="宋体" w:hAnsi="宋体" w:eastAsia="宋体" w:cs="Times New Roman"/>
                <w:color w:val="000000"/>
                <w:sz w:val="21"/>
                <w:szCs w:val="21"/>
              </w:rPr>
              <w:br w:type="textWrapping"/>
            </w: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2）</w:t>
            </w:r>
            <w:r>
              <w:rPr>
                <w:rFonts w:ascii="宋体" w:hAnsi="宋体" w:eastAsia="宋体" w:cs="Times New Roman"/>
                <w:color w:val="000000"/>
                <w:sz w:val="21"/>
                <w:szCs w:val="21"/>
              </w:rPr>
              <w:t>普通话正音训练（声韵调难点突破）</w:t>
            </w:r>
            <w:r>
              <w:rPr>
                <w:rFonts w:ascii="宋体" w:hAnsi="宋体" w:eastAsia="宋体" w:cs="Times New Roman"/>
                <w:color w:val="000000"/>
                <w:sz w:val="21"/>
                <w:szCs w:val="21"/>
              </w:rPr>
              <w:br w:type="textWrapping"/>
            </w:r>
            <w:r>
              <w:rPr>
                <w:rFonts w:hint="eastAsia" w:ascii="宋体" w:hAnsi="宋体" w:eastAsia="宋体" w:cs="Times New Roman"/>
                <w:color w:val="000000"/>
                <w:sz w:val="21"/>
                <w:szCs w:val="21"/>
                <w:lang w:eastAsia="zh-CN"/>
              </w:rPr>
              <w:t>（</w:t>
            </w:r>
            <w:r>
              <w:rPr>
                <w:rFonts w:hint="eastAsia" w:ascii="宋体" w:hAnsi="宋体" w:eastAsia="宋体" w:cs="Times New Roman"/>
                <w:color w:val="000000"/>
                <w:sz w:val="21"/>
                <w:szCs w:val="21"/>
                <w:lang w:val="en-US" w:eastAsia="zh-CN"/>
              </w:rPr>
              <w:t>3）</w:t>
            </w:r>
            <w:r>
              <w:rPr>
                <w:rFonts w:ascii="宋体" w:hAnsi="宋体" w:eastAsia="宋体" w:cs="Times New Roman"/>
                <w:color w:val="000000"/>
                <w:sz w:val="21"/>
                <w:szCs w:val="21"/>
              </w:rPr>
              <w:t>师职业语言的社会责任与思政要求</w:t>
            </w:r>
          </w:p>
        </w:tc>
        <w:tc>
          <w:tcPr>
            <w:tcW w:w="1111" w:type="dxa"/>
            <w:vAlign w:val="center"/>
          </w:tcPr>
          <w:p w14:paraId="517A33D4">
            <w:pPr>
              <w:spacing w:line="269" w:lineRule="auto"/>
              <w:jc w:val="center"/>
              <w:rPr>
                <w:rFonts w:ascii="宋体" w:hAnsi="宋体" w:eastAsia="宋体" w:cs="Times New Roman"/>
                <w:color w:val="000000"/>
                <w:sz w:val="21"/>
                <w:szCs w:val="21"/>
              </w:rPr>
            </w:pPr>
            <w:r>
              <w:rPr>
                <w:rFonts w:ascii="Times New Roman" w:hAnsi="Times New Roman" w:eastAsia="宋体" w:cs="Times New Roman"/>
                <w:sz w:val="21"/>
                <w:szCs w:val="21"/>
              </w:rPr>
              <w:t>课程目标1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2、</w:t>
            </w:r>
            <w:r>
              <w:rPr>
                <w:rFonts w:ascii="Times New Roman" w:hAnsi="Times New Roman" w:eastAsia="宋体" w:cs="Times New Roman"/>
                <w:sz w:val="21"/>
                <w:szCs w:val="21"/>
              </w:rPr>
              <w:t>3</w:t>
            </w:r>
          </w:p>
        </w:tc>
        <w:tc>
          <w:tcPr>
            <w:tcW w:w="3190" w:type="dxa"/>
            <w:vAlign w:val="center"/>
          </w:tcPr>
          <w:p w14:paraId="63E9060F">
            <w:pPr>
              <w:spacing w:line="269" w:lineRule="auto"/>
              <w:jc w:val="left"/>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能准确辨析并纠正常见语音错误</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理解教师语言对学生价值观的塑造作用</w:t>
            </w:r>
          </w:p>
        </w:tc>
        <w:tc>
          <w:tcPr>
            <w:tcW w:w="1517" w:type="dxa"/>
            <w:vAlign w:val="center"/>
          </w:tcPr>
          <w:p w14:paraId="1E28ED99">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1.线上学习</w:t>
            </w:r>
          </w:p>
          <w:p w14:paraId="2ECED416">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2.多媒体教学3.课堂讨论</w:t>
            </w:r>
          </w:p>
          <w:p w14:paraId="5FBFF4E8">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4.单元测验</w:t>
            </w:r>
          </w:p>
        </w:tc>
        <w:tc>
          <w:tcPr>
            <w:tcW w:w="438" w:type="dxa"/>
            <w:vAlign w:val="center"/>
          </w:tcPr>
          <w:p w14:paraId="28F76CE2">
            <w:pPr>
              <w:spacing w:line="269"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2</w:t>
            </w:r>
          </w:p>
        </w:tc>
      </w:tr>
      <w:tr w14:paraId="0950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0BEEABA">
            <w:pPr>
              <w:spacing w:line="264" w:lineRule="auto"/>
              <w:jc w:val="center"/>
              <w:rPr>
                <w:rFonts w:ascii="宋体" w:hAnsi="宋体" w:eastAsia="宋体" w:cs="Times New Roman"/>
                <w:color w:val="000000"/>
                <w:sz w:val="21"/>
                <w:szCs w:val="21"/>
              </w:rPr>
            </w:pPr>
          </w:p>
        </w:tc>
        <w:tc>
          <w:tcPr>
            <w:tcW w:w="7947" w:type="dxa"/>
            <w:gridSpan w:val="5"/>
            <w:vAlign w:val="center"/>
          </w:tcPr>
          <w:p w14:paraId="7890734E">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6A33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E673EF1">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2.</w:t>
            </w:r>
            <w:r>
              <w:rPr>
                <w:rFonts w:ascii="宋体" w:hAnsi="宋体" w:eastAsia="宋体" w:cs="宋体"/>
                <w:sz w:val="21"/>
                <w:szCs w:val="21"/>
              </w:rPr>
              <w:t>课堂语言设计与教学感染力</w:t>
            </w:r>
          </w:p>
          <w:p w14:paraId="58F760C8">
            <w:pPr>
              <w:spacing w:line="264" w:lineRule="auto"/>
              <w:jc w:val="center"/>
              <w:rPr>
                <w:rFonts w:ascii="宋体" w:hAnsi="宋体" w:eastAsia="宋体" w:cs="Times New Roman"/>
                <w:color w:val="000000"/>
                <w:sz w:val="21"/>
                <w:szCs w:val="21"/>
              </w:rPr>
            </w:pPr>
          </w:p>
        </w:tc>
        <w:tc>
          <w:tcPr>
            <w:tcW w:w="1691" w:type="dxa"/>
            <w:vAlign w:val="center"/>
          </w:tcPr>
          <w:p w14:paraId="085AB8C2">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教学语言的逻辑结构（导入、讲解、提问、反馈）</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语气、节奏、重音的感染力训练</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课程思政元素的自然融入技巧</w:t>
            </w:r>
          </w:p>
          <w:p w14:paraId="14ED846C">
            <w:pPr>
              <w:spacing w:line="269" w:lineRule="auto"/>
              <w:jc w:val="left"/>
              <w:rPr>
                <w:rFonts w:ascii="宋体" w:hAnsi="宋体" w:eastAsia="宋体" w:cs="Times New Roman"/>
                <w:color w:val="000000"/>
                <w:sz w:val="21"/>
                <w:szCs w:val="21"/>
              </w:rPr>
            </w:pPr>
          </w:p>
        </w:tc>
        <w:tc>
          <w:tcPr>
            <w:tcW w:w="1111" w:type="dxa"/>
            <w:vAlign w:val="center"/>
          </w:tcPr>
          <w:p w14:paraId="72DC5C17">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48D6CA5F">
            <w:pPr>
              <w:spacing w:line="360" w:lineRule="auto"/>
              <w:rPr>
                <w:rFonts w:ascii="Times New Roman" w:hAnsi="Times New Roman" w:eastAsia="宋体" w:cs="Times New Roman"/>
                <w:color w:val="000000"/>
                <w:sz w:val="21"/>
                <w:szCs w:val="21"/>
              </w:rPr>
            </w:pPr>
            <w:r>
              <w:rPr>
                <w:rFonts w:ascii="Times New Roman" w:hAnsi="Times New Roman" w:eastAsia="宋体" w:cs="Times New Roman"/>
                <w:sz w:val="21"/>
                <w:szCs w:val="21"/>
              </w:rPr>
              <w:t>（1）</w:t>
            </w:r>
            <w:r>
              <w:rPr>
                <w:rFonts w:ascii="宋体" w:hAnsi="宋体" w:eastAsia="宋体" w:cs="宋体"/>
                <w:sz w:val="21"/>
                <w:szCs w:val="21"/>
              </w:rPr>
              <w:t>能设计符合学段特点的教学语言片段</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掌握通过语言传递正向价值观的方法</w:t>
            </w:r>
          </w:p>
          <w:p w14:paraId="5EE3DA6B">
            <w:pPr>
              <w:spacing w:line="269" w:lineRule="auto"/>
              <w:jc w:val="left"/>
              <w:rPr>
                <w:rFonts w:ascii="宋体" w:hAnsi="宋体" w:eastAsia="宋体" w:cs="Times New Roman"/>
                <w:color w:val="000000"/>
                <w:sz w:val="21"/>
                <w:szCs w:val="21"/>
              </w:rPr>
            </w:pPr>
          </w:p>
        </w:tc>
        <w:tc>
          <w:tcPr>
            <w:tcW w:w="1517" w:type="dxa"/>
            <w:vAlign w:val="center"/>
          </w:tcPr>
          <w:p w14:paraId="38B5BA57">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1.线上学习</w:t>
            </w:r>
          </w:p>
          <w:p w14:paraId="0AEF2D12">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2.多媒体教学3.课堂讨论</w:t>
            </w:r>
          </w:p>
          <w:p w14:paraId="397488E3">
            <w:pPr>
              <w:spacing w:line="269" w:lineRule="auto"/>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4.单元测验</w:t>
            </w:r>
          </w:p>
        </w:tc>
        <w:tc>
          <w:tcPr>
            <w:tcW w:w="438" w:type="dxa"/>
            <w:vAlign w:val="center"/>
          </w:tcPr>
          <w:p w14:paraId="7B170286">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40B0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3D2E52CA">
            <w:pPr>
              <w:spacing w:line="264" w:lineRule="auto"/>
              <w:jc w:val="center"/>
              <w:rPr>
                <w:rFonts w:ascii="宋体" w:hAnsi="宋体" w:eastAsia="宋体" w:cs="Times New Roman"/>
                <w:color w:val="000000"/>
                <w:sz w:val="21"/>
                <w:szCs w:val="21"/>
              </w:rPr>
            </w:pPr>
          </w:p>
        </w:tc>
        <w:tc>
          <w:tcPr>
            <w:tcW w:w="7947" w:type="dxa"/>
            <w:gridSpan w:val="5"/>
            <w:vAlign w:val="center"/>
          </w:tcPr>
          <w:p w14:paraId="59F4ADB2">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7951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B91C08E">
            <w:pPr>
              <w:spacing w:line="360" w:lineRule="auto"/>
              <w:rPr>
                <w:rFonts w:ascii="Times New Roman" w:hAnsi="Times New Roman" w:eastAsia="宋体" w:cs="Times New Roman"/>
                <w:b/>
                <w:sz w:val="21"/>
                <w:szCs w:val="21"/>
              </w:rPr>
            </w:pPr>
            <w:r>
              <w:rPr>
                <w:rFonts w:hint="eastAsia" w:ascii="Times New Roman" w:hAnsi="Times New Roman" w:eastAsia="宋体" w:cs="Times New Roman"/>
                <w:b w:val="0"/>
                <w:bCs/>
                <w:color w:val="000000"/>
                <w:sz w:val="21"/>
                <w:szCs w:val="21"/>
                <w:lang w:val="en-US" w:eastAsia="zh-CN"/>
              </w:rPr>
              <w:t>3.</w:t>
            </w:r>
            <w:r>
              <w:rPr>
                <w:rFonts w:ascii="宋体" w:hAnsi="宋体" w:eastAsia="宋体" w:cs="宋体"/>
                <w:sz w:val="21"/>
                <w:szCs w:val="21"/>
              </w:rPr>
              <w:t>师生沟通艺术与教育伦理</w:t>
            </w:r>
          </w:p>
          <w:p w14:paraId="2562D943">
            <w:pPr>
              <w:spacing w:line="264" w:lineRule="auto"/>
              <w:jc w:val="center"/>
              <w:rPr>
                <w:rFonts w:ascii="宋体" w:hAnsi="宋体" w:eastAsia="宋体" w:cs="Times New Roman"/>
                <w:color w:val="000000"/>
                <w:sz w:val="21"/>
                <w:szCs w:val="21"/>
              </w:rPr>
            </w:pPr>
          </w:p>
        </w:tc>
        <w:tc>
          <w:tcPr>
            <w:tcW w:w="1691" w:type="dxa"/>
            <w:vAlign w:val="center"/>
          </w:tcPr>
          <w:p w14:paraId="5AB3F400">
            <w:pPr>
              <w:spacing w:line="360" w:lineRule="auto"/>
              <w:rPr>
                <w:rFonts w:ascii="宋体" w:hAnsi="宋体"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教育场景下的非暴力沟通（观察-感受-需求-请求）</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批评与表扬的语言策略</w:t>
            </w:r>
            <w:r>
              <w:rPr>
                <w:rFonts w:hint="eastAsia" w:ascii="宋体" w:hAnsi="宋体" w:eastAsia="宋体" w:cs="宋体"/>
                <w:sz w:val="21"/>
                <w:szCs w:val="21"/>
                <w:lang w:eastAsia="zh-CN"/>
              </w:rPr>
              <w:t>。</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特殊学生群体的沟通禁忌（如留守儿童、特殊儿童）</w:t>
            </w:r>
          </w:p>
        </w:tc>
        <w:tc>
          <w:tcPr>
            <w:tcW w:w="1111" w:type="dxa"/>
            <w:vAlign w:val="center"/>
          </w:tcPr>
          <w:p w14:paraId="029F11DC">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w:t>
            </w:r>
            <w:r>
              <w:rPr>
                <w:rFonts w:hint="eastAsia" w:ascii="宋体" w:hAnsi="宋体" w:eastAsia="宋体" w:cs="Times New Roman"/>
                <w:color w:val="000000"/>
                <w:sz w:val="21"/>
                <w:szCs w:val="21"/>
                <w:lang w:val="en-US" w:eastAsia="zh-CN"/>
              </w:rPr>
              <w:t>1</w:t>
            </w:r>
            <w:r>
              <w:rPr>
                <w:rFonts w:hint="eastAsia" w:ascii="宋体" w:hAnsi="宋体" w:eastAsia="宋体" w:cs="Times New Roman"/>
                <w:color w:val="000000"/>
                <w:sz w:val="21"/>
                <w:szCs w:val="21"/>
              </w:rPr>
              <w:t>、</w:t>
            </w:r>
            <w:r>
              <w:rPr>
                <w:rFonts w:hint="eastAsia" w:ascii="宋体" w:hAnsi="宋体" w:eastAsia="宋体" w:cs="Times New Roman"/>
                <w:color w:val="000000"/>
                <w:sz w:val="21"/>
                <w:szCs w:val="21"/>
                <w:lang w:val="en-US" w:eastAsia="zh-CN"/>
              </w:rPr>
              <w:t>2、3、4</w:t>
            </w:r>
          </w:p>
        </w:tc>
        <w:tc>
          <w:tcPr>
            <w:tcW w:w="3190" w:type="dxa"/>
            <w:vAlign w:val="center"/>
          </w:tcPr>
          <w:p w14:paraId="18B2683F">
            <w:p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能运用尊重、平等的语言解决师生矛盾案例</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形成保护学生心理健康的沟通意识</w:t>
            </w:r>
          </w:p>
        </w:tc>
        <w:tc>
          <w:tcPr>
            <w:tcW w:w="1517" w:type="dxa"/>
            <w:vAlign w:val="center"/>
          </w:tcPr>
          <w:p w14:paraId="5EDC4A40">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76722C9B">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7CEC80B9">
            <w:pPr>
              <w:spacing w:line="269"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5FF6D068">
            <w:pPr>
              <w:spacing w:line="269"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2AF1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3096FBCC">
            <w:pPr>
              <w:spacing w:line="264" w:lineRule="auto"/>
              <w:jc w:val="center"/>
              <w:rPr>
                <w:rFonts w:ascii="宋体" w:hAnsi="宋体" w:eastAsia="宋体" w:cs="Times New Roman"/>
                <w:color w:val="000000"/>
                <w:sz w:val="21"/>
                <w:szCs w:val="21"/>
              </w:rPr>
            </w:pPr>
          </w:p>
        </w:tc>
        <w:tc>
          <w:tcPr>
            <w:tcW w:w="7947" w:type="dxa"/>
            <w:gridSpan w:val="5"/>
            <w:vAlign w:val="center"/>
          </w:tcPr>
          <w:p w14:paraId="4EA77FE6">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7253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E3C4D8B">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4.</w:t>
            </w:r>
            <w:r>
              <w:rPr>
                <w:rFonts w:ascii="宋体" w:hAnsi="宋体" w:eastAsia="宋体" w:cs="宋体"/>
                <w:sz w:val="21"/>
                <w:szCs w:val="21"/>
              </w:rPr>
              <w:t>教师仪态礼仪与职业形象</w:t>
            </w:r>
          </w:p>
          <w:p w14:paraId="3548EFE7">
            <w:pPr>
              <w:spacing w:line="276" w:lineRule="auto"/>
              <w:jc w:val="center"/>
              <w:rPr>
                <w:rFonts w:ascii="宋体" w:hAnsi="宋体" w:eastAsia="宋体" w:cs="Times New Roman"/>
                <w:color w:val="000000"/>
                <w:sz w:val="21"/>
                <w:szCs w:val="21"/>
              </w:rPr>
            </w:pPr>
          </w:p>
        </w:tc>
        <w:tc>
          <w:tcPr>
            <w:tcW w:w="1691" w:type="dxa"/>
            <w:vAlign w:val="center"/>
          </w:tcPr>
          <w:p w14:paraId="20627A2D">
            <w:p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教师着装TPO原则（时间、场合、身份）</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站姿、手势、眼神的得体运用</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线上线下教学场景的仪态差异</w:t>
            </w:r>
          </w:p>
        </w:tc>
        <w:tc>
          <w:tcPr>
            <w:tcW w:w="1111" w:type="dxa"/>
            <w:vAlign w:val="center"/>
          </w:tcPr>
          <w:p w14:paraId="34D20521">
            <w:pPr>
              <w:spacing w:line="276" w:lineRule="auto"/>
              <w:jc w:val="center"/>
              <w:rPr>
                <w:rFonts w:ascii="宋体" w:hAnsi="宋体" w:eastAsia="宋体" w:cs="Times New Roman"/>
                <w:color w:val="000000"/>
                <w:sz w:val="21"/>
                <w:szCs w:val="21"/>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w:t>
            </w:r>
            <w:r>
              <w:rPr>
                <w:rFonts w:hint="eastAsia" w:ascii="宋体" w:hAnsi="宋体" w:eastAsia="宋体" w:cs="Times New Roman"/>
                <w:color w:val="000000"/>
                <w:sz w:val="21"/>
                <w:szCs w:val="21"/>
              </w:rPr>
              <w:t>3</w:t>
            </w:r>
          </w:p>
        </w:tc>
        <w:tc>
          <w:tcPr>
            <w:tcW w:w="3190" w:type="dxa"/>
            <w:vAlign w:val="center"/>
          </w:tcPr>
          <w:p w14:paraId="72E8D5E1">
            <w:pPr>
              <w:numPr>
                <w:ilvl w:val="0"/>
                <w:numId w:val="0"/>
              </w:numPr>
              <w:spacing w:line="360" w:lineRule="auto"/>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能根据教学场景选择恰当的着装与仪态</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通过微格教学视频完成仪态自评与改进</w:t>
            </w:r>
          </w:p>
        </w:tc>
        <w:tc>
          <w:tcPr>
            <w:tcW w:w="1517" w:type="dxa"/>
            <w:vAlign w:val="center"/>
          </w:tcPr>
          <w:p w14:paraId="5AEF85EA">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2AEDAFD0">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5F4272C8">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11A9EEF0">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2</w:t>
            </w:r>
          </w:p>
        </w:tc>
      </w:tr>
      <w:tr w14:paraId="06A9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F857A78">
            <w:pPr>
              <w:spacing w:line="276" w:lineRule="auto"/>
              <w:jc w:val="center"/>
              <w:rPr>
                <w:rFonts w:ascii="宋体" w:hAnsi="宋体" w:eastAsia="宋体" w:cs="Times New Roman"/>
                <w:color w:val="000000"/>
                <w:sz w:val="21"/>
                <w:szCs w:val="21"/>
              </w:rPr>
            </w:pPr>
          </w:p>
        </w:tc>
        <w:tc>
          <w:tcPr>
            <w:tcW w:w="7947" w:type="dxa"/>
            <w:gridSpan w:val="5"/>
            <w:vAlign w:val="center"/>
          </w:tcPr>
          <w:p w14:paraId="2C37CBBD">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273E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DA7D460">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5.</w:t>
            </w:r>
            <w:r>
              <w:rPr>
                <w:rFonts w:ascii="宋体" w:hAnsi="宋体" w:eastAsia="宋体" w:cs="宋体"/>
                <w:sz w:val="21"/>
                <w:szCs w:val="21"/>
              </w:rPr>
              <w:t>校园礼仪与师德践行</w:t>
            </w:r>
          </w:p>
          <w:p w14:paraId="77C02B2C">
            <w:pPr>
              <w:spacing w:line="276" w:lineRule="auto"/>
              <w:jc w:val="center"/>
              <w:rPr>
                <w:rFonts w:ascii="宋体" w:hAnsi="宋体" w:eastAsia="宋体" w:cs="Times New Roman"/>
                <w:color w:val="000000"/>
                <w:sz w:val="21"/>
                <w:szCs w:val="21"/>
              </w:rPr>
            </w:pPr>
          </w:p>
        </w:tc>
        <w:tc>
          <w:tcPr>
            <w:tcW w:w="1691" w:type="dxa"/>
            <w:vAlign w:val="center"/>
          </w:tcPr>
          <w:p w14:paraId="23995BD4">
            <w:pPr>
              <w:spacing w:line="276" w:lineRule="auto"/>
              <w:jc w:val="left"/>
              <w:rPr>
                <w:rFonts w:ascii="宋体" w:hAnsi="宋体" w:eastAsia="宋体" w:cs="Times New Roman"/>
                <w:color w:val="000000"/>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ascii="宋体" w:hAnsi="宋体" w:eastAsia="宋体" w:cs="宋体"/>
                <w:sz w:val="21"/>
                <w:szCs w:val="21"/>
              </w:rPr>
              <w:t>师生/同事/家长交往礼仪（称呼、握手、座位等）</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教研活动、家长会等场景的礼仪规范</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礼仪背后的师德内涵（尊重、包容、专业性）</w:t>
            </w:r>
          </w:p>
        </w:tc>
        <w:tc>
          <w:tcPr>
            <w:tcW w:w="1111" w:type="dxa"/>
            <w:vAlign w:val="center"/>
          </w:tcPr>
          <w:p w14:paraId="48B3F085">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6EE991BE">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能规范完成校园常见礼仪流程演示</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理解礼仪行为对教育关系的促进作用 </w:t>
            </w:r>
          </w:p>
          <w:p w14:paraId="7CD7D26C">
            <w:pPr>
              <w:spacing w:line="276" w:lineRule="auto"/>
              <w:jc w:val="left"/>
              <w:rPr>
                <w:rFonts w:ascii="宋体" w:hAnsi="宋体" w:eastAsia="宋体" w:cs="Times New Roman"/>
                <w:color w:val="000000"/>
                <w:sz w:val="21"/>
                <w:szCs w:val="21"/>
              </w:rPr>
            </w:pPr>
          </w:p>
        </w:tc>
        <w:tc>
          <w:tcPr>
            <w:tcW w:w="1517" w:type="dxa"/>
            <w:vAlign w:val="center"/>
          </w:tcPr>
          <w:p w14:paraId="34866C53">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60EBDF3C">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79E23F41">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22C4478D">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56A4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F0E9525">
            <w:pPr>
              <w:spacing w:line="276" w:lineRule="auto"/>
              <w:jc w:val="center"/>
              <w:rPr>
                <w:rFonts w:ascii="宋体" w:hAnsi="宋体" w:eastAsia="宋体" w:cs="Times New Roman"/>
                <w:color w:val="000000"/>
                <w:sz w:val="21"/>
                <w:szCs w:val="21"/>
              </w:rPr>
            </w:pPr>
          </w:p>
        </w:tc>
        <w:tc>
          <w:tcPr>
            <w:tcW w:w="7947" w:type="dxa"/>
            <w:gridSpan w:val="5"/>
            <w:vAlign w:val="center"/>
          </w:tcPr>
          <w:p w14:paraId="6C1F43AD">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2334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7BD534C">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6.</w:t>
            </w:r>
            <w:r>
              <w:rPr>
                <w:rFonts w:ascii="宋体" w:hAnsi="宋体" w:eastAsia="宋体" w:cs="宋体"/>
                <w:sz w:val="21"/>
                <w:szCs w:val="21"/>
              </w:rPr>
              <w:t>演讲表达与思政宣讲能力</w:t>
            </w:r>
          </w:p>
          <w:p w14:paraId="1FDF179F">
            <w:pPr>
              <w:spacing w:line="276" w:lineRule="auto"/>
              <w:jc w:val="center"/>
              <w:rPr>
                <w:rFonts w:ascii="宋体" w:hAnsi="宋体" w:eastAsia="宋体" w:cs="Times New Roman"/>
                <w:color w:val="000000"/>
                <w:sz w:val="21"/>
                <w:szCs w:val="21"/>
              </w:rPr>
            </w:pPr>
          </w:p>
        </w:tc>
        <w:tc>
          <w:tcPr>
            <w:tcW w:w="1691" w:type="dxa"/>
            <w:vAlign w:val="center"/>
          </w:tcPr>
          <w:p w14:paraId="0773CC01">
            <w:pPr>
              <w:spacing w:line="360" w:lineRule="auto"/>
              <w:rPr>
                <w:rFonts w:ascii="Times New Roman" w:hAnsi="Times New Roman" w:eastAsia="宋体" w:cs="Times New Roman"/>
                <w:color w:val="000000"/>
                <w:sz w:val="21"/>
                <w:szCs w:val="21"/>
              </w:rPr>
            </w:pPr>
            <w:r>
              <w:rPr>
                <w:rFonts w:hint="eastAsia" w:ascii="宋体" w:hAnsi="宋体" w:eastAsia="宋体" w:cs="宋体"/>
                <w:sz w:val="21"/>
                <w:szCs w:val="21"/>
                <w:lang w:val="en-US" w:eastAsia="zh-CN"/>
              </w:rPr>
              <w:t>(1)</w:t>
            </w:r>
            <w:r>
              <w:rPr>
                <w:rFonts w:ascii="宋体" w:hAnsi="宋体" w:eastAsia="宋体" w:cs="宋体"/>
                <w:sz w:val="21"/>
                <w:szCs w:val="21"/>
              </w:rPr>
              <w:t>教育主题演讲结构设计（故事化、数据化、共鸣点）</w:t>
            </w:r>
            <w:r>
              <w:rPr>
                <w:rFonts w:ascii="宋体" w:hAnsi="宋体" w:eastAsia="宋体" w:cs="宋体"/>
                <w:sz w:val="21"/>
                <w:szCs w:val="21"/>
              </w:rPr>
              <w:br w:type="textWrapping"/>
            </w:r>
            <w:r>
              <w:rPr>
                <w:rFonts w:hint="eastAsia" w:ascii="宋体" w:hAnsi="宋体" w:eastAsia="宋体" w:cs="宋体"/>
                <w:sz w:val="21"/>
                <w:szCs w:val="21"/>
                <w:lang w:val="en-US" w:eastAsia="zh-CN"/>
              </w:rPr>
              <w:t>(2)</w:t>
            </w:r>
            <w:r>
              <w:rPr>
                <w:rFonts w:ascii="宋体" w:hAnsi="宋体" w:eastAsia="宋体" w:cs="宋体"/>
                <w:sz w:val="21"/>
                <w:szCs w:val="21"/>
              </w:rPr>
              <w:t>国旗下的讲话、主题班会等场景演练</w:t>
            </w:r>
            <w:r>
              <w:rPr>
                <w:rFonts w:ascii="宋体" w:hAnsi="宋体" w:eastAsia="宋体" w:cs="宋体"/>
                <w:sz w:val="21"/>
                <w:szCs w:val="21"/>
              </w:rPr>
              <w:br w:type="textWrapping"/>
            </w:r>
            <w:r>
              <w:rPr>
                <w:rFonts w:hint="eastAsia" w:ascii="宋体" w:hAnsi="宋体" w:eastAsia="宋体" w:cs="宋体"/>
                <w:sz w:val="21"/>
                <w:szCs w:val="21"/>
                <w:lang w:val="en-US" w:eastAsia="zh-CN"/>
              </w:rPr>
              <w:t>(3)</w:t>
            </w:r>
            <w:r>
              <w:rPr>
                <w:rFonts w:ascii="宋体" w:hAnsi="宋体" w:eastAsia="宋体" w:cs="宋体"/>
                <w:sz w:val="21"/>
                <w:szCs w:val="21"/>
              </w:rPr>
              <w:t>将政策语言转化为学生易懂的表达</w:t>
            </w:r>
          </w:p>
          <w:p w14:paraId="30BFAEA4">
            <w:pPr>
              <w:spacing w:line="276" w:lineRule="auto"/>
              <w:jc w:val="left"/>
              <w:rPr>
                <w:rFonts w:ascii="宋体" w:hAnsi="宋体" w:eastAsia="宋体" w:cs="Times New Roman"/>
                <w:color w:val="000000"/>
                <w:sz w:val="21"/>
                <w:szCs w:val="21"/>
              </w:rPr>
            </w:pPr>
          </w:p>
        </w:tc>
        <w:tc>
          <w:tcPr>
            <w:tcW w:w="1111" w:type="dxa"/>
            <w:vAlign w:val="center"/>
          </w:tcPr>
          <w:p w14:paraId="0406ED6F">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3D43D50A">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能完成5分钟具有思政教育意义的即兴演讲</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ascii="宋体" w:hAnsi="宋体" w:eastAsia="宋体" w:cs="宋体"/>
                <w:sz w:val="21"/>
                <w:szCs w:val="21"/>
              </w:rPr>
              <w:t>掌握面向青少年的政治话语转化技巧  </w:t>
            </w:r>
          </w:p>
          <w:p w14:paraId="1547BA61">
            <w:pPr>
              <w:spacing w:line="276" w:lineRule="auto"/>
              <w:jc w:val="left"/>
              <w:rPr>
                <w:rFonts w:ascii="宋体" w:hAnsi="宋体" w:eastAsia="宋体" w:cs="Times New Roman"/>
                <w:color w:val="000000"/>
                <w:sz w:val="21"/>
                <w:szCs w:val="21"/>
              </w:rPr>
            </w:pPr>
          </w:p>
        </w:tc>
        <w:tc>
          <w:tcPr>
            <w:tcW w:w="1517" w:type="dxa"/>
            <w:vAlign w:val="center"/>
          </w:tcPr>
          <w:p w14:paraId="5473F989">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7943D306">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17E4316A">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5D870948">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47A8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5111BA4C">
            <w:pPr>
              <w:spacing w:line="276" w:lineRule="auto"/>
              <w:jc w:val="center"/>
              <w:rPr>
                <w:rFonts w:ascii="宋体" w:hAnsi="宋体" w:eastAsia="宋体" w:cs="Times New Roman"/>
                <w:color w:val="000000"/>
                <w:sz w:val="21"/>
                <w:szCs w:val="21"/>
              </w:rPr>
            </w:pPr>
          </w:p>
        </w:tc>
        <w:tc>
          <w:tcPr>
            <w:tcW w:w="7947" w:type="dxa"/>
            <w:gridSpan w:val="5"/>
            <w:vAlign w:val="center"/>
          </w:tcPr>
          <w:p w14:paraId="5B364446">
            <w:pPr>
              <w:spacing w:line="360" w:lineRule="auto"/>
              <w:ind w:firstLine="422" w:firstLineChars="200"/>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04D3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B261859">
            <w:pPr>
              <w:spacing w:line="360" w:lineRule="auto"/>
              <w:rPr>
                <w:rFonts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7.</w:t>
            </w:r>
            <w:r>
              <w:rPr>
                <w:rFonts w:ascii="宋体" w:hAnsi="宋体" w:eastAsia="宋体" w:cs="宋体"/>
                <w:sz w:val="21"/>
                <w:szCs w:val="21"/>
              </w:rPr>
              <w:t>求职面试语言与职业发展</w:t>
            </w:r>
          </w:p>
          <w:p w14:paraId="088DAD19">
            <w:pPr>
              <w:spacing w:line="276" w:lineRule="auto"/>
              <w:jc w:val="center"/>
              <w:rPr>
                <w:rFonts w:ascii="宋体" w:hAnsi="宋体" w:eastAsia="宋体" w:cs="Times New Roman"/>
                <w:sz w:val="21"/>
                <w:szCs w:val="21"/>
              </w:rPr>
            </w:pPr>
          </w:p>
        </w:tc>
        <w:tc>
          <w:tcPr>
            <w:tcW w:w="1691" w:type="dxa"/>
            <w:vAlign w:val="center"/>
          </w:tcPr>
          <w:p w14:paraId="65B9440E">
            <w:pPr>
              <w:spacing w:line="360" w:lineRule="auto"/>
              <w:rPr>
                <w:rFonts w:ascii="宋体" w:hAnsi="宋体" w:eastAsia="宋体" w:cs="Times New Roman"/>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教师招聘面试常见题型解析</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结构化回答技巧（STAR法则运用）</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职业发展规划的语言表达 </w:t>
            </w:r>
          </w:p>
        </w:tc>
        <w:tc>
          <w:tcPr>
            <w:tcW w:w="1111" w:type="dxa"/>
            <w:vAlign w:val="center"/>
          </w:tcPr>
          <w:p w14:paraId="0BACBE5C">
            <w:pPr>
              <w:spacing w:line="276"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56123492">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能流畅应对模拟教师招聘面试</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清晰表达个人教育理念与职业追求 </w:t>
            </w:r>
          </w:p>
          <w:p w14:paraId="1EDBB3FC">
            <w:pPr>
              <w:spacing w:line="276" w:lineRule="auto"/>
              <w:jc w:val="left"/>
              <w:rPr>
                <w:rFonts w:ascii="宋体" w:hAnsi="宋体" w:eastAsia="宋体" w:cs="Times New Roman"/>
                <w:color w:val="000000"/>
                <w:sz w:val="21"/>
                <w:szCs w:val="21"/>
              </w:rPr>
            </w:pPr>
          </w:p>
        </w:tc>
        <w:tc>
          <w:tcPr>
            <w:tcW w:w="1517" w:type="dxa"/>
            <w:vAlign w:val="center"/>
          </w:tcPr>
          <w:p w14:paraId="19952752">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7E9EBE94">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4E3946F6">
            <w:pPr>
              <w:spacing w:line="276"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03AF8DCB">
            <w:pPr>
              <w:spacing w:line="276"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4201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287DEFB8">
            <w:pPr>
              <w:spacing w:line="276" w:lineRule="auto"/>
              <w:jc w:val="center"/>
              <w:rPr>
                <w:rFonts w:ascii="宋体" w:hAnsi="宋体" w:eastAsia="宋体" w:cs="Times New Roman"/>
                <w:color w:val="000000"/>
                <w:sz w:val="21"/>
                <w:szCs w:val="21"/>
              </w:rPr>
            </w:pPr>
          </w:p>
        </w:tc>
        <w:tc>
          <w:tcPr>
            <w:tcW w:w="7947" w:type="dxa"/>
            <w:gridSpan w:val="5"/>
            <w:vAlign w:val="center"/>
          </w:tcPr>
          <w:p w14:paraId="66600CEC">
            <w:pPr>
              <w:spacing w:line="360" w:lineRule="auto"/>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r w14:paraId="7745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AA3D823">
            <w:pPr>
              <w:spacing w:line="360" w:lineRule="auto"/>
              <w:rPr>
                <w:rFonts w:ascii="Times New Roman" w:hAnsi="Times New Roman" w:eastAsia="宋体" w:cs="Times New Roman"/>
                <w:b/>
                <w:sz w:val="21"/>
                <w:szCs w:val="21"/>
              </w:rPr>
            </w:pPr>
            <w:r>
              <w:rPr>
                <w:rFonts w:hint="eastAsia" w:ascii="Times New Roman" w:hAnsi="Times New Roman" w:eastAsia="宋体" w:cs="Times New Roman"/>
                <w:b w:val="0"/>
                <w:bCs/>
                <w:sz w:val="21"/>
                <w:szCs w:val="21"/>
                <w:lang w:val="en-US" w:eastAsia="zh-CN"/>
              </w:rPr>
              <w:t>8.</w:t>
            </w:r>
            <w:r>
              <w:rPr>
                <w:rFonts w:ascii="宋体" w:hAnsi="宋体" w:eastAsia="宋体" w:cs="宋体"/>
                <w:sz w:val="21"/>
                <w:szCs w:val="21"/>
              </w:rPr>
              <w:t>综合实训与课程思政总结</w:t>
            </w:r>
          </w:p>
          <w:p w14:paraId="5DCADE1D">
            <w:pPr>
              <w:spacing w:line="264" w:lineRule="auto"/>
              <w:jc w:val="center"/>
              <w:rPr>
                <w:rFonts w:ascii="宋体" w:hAnsi="宋体" w:eastAsia="宋体" w:cs="Times New Roman"/>
                <w:color w:val="000000"/>
                <w:sz w:val="21"/>
                <w:szCs w:val="21"/>
              </w:rPr>
            </w:pPr>
          </w:p>
        </w:tc>
        <w:tc>
          <w:tcPr>
            <w:tcW w:w="1691" w:type="dxa"/>
            <w:vAlign w:val="center"/>
          </w:tcPr>
          <w:p w14:paraId="438045E3">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Times New Roman" w:hAnsi="Times New Roman" w:eastAsia="宋体" w:cs="Times New Roman"/>
                <w:sz w:val="21"/>
                <w:szCs w:val="21"/>
              </w:rPr>
              <w:t>能够简单使用Lingo</w:t>
            </w:r>
          </w:p>
          <w:p w14:paraId="2F1DC1E3">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sz w:val="21"/>
                <w:szCs w:val="21"/>
              </w:rPr>
              <w:t>能够简单使用</w:t>
            </w:r>
            <w:r>
              <w:rPr>
                <w:rFonts w:ascii="Times New Roman" w:hAnsi="Times New Roman" w:eastAsia="宋体" w:cs="Times New Roman"/>
                <w:color w:val="000000"/>
                <w:sz w:val="21"/>
                <w:szCs w:val="21"/>
              </w:rPr>
              <w:t>Mathematica</w:t>
            </w:r>
          </w:p>
          <w:p w14:paraId="23343EB7">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ascii="Times New Roman" w:hAnsi="Times New Roman" w:eastAsia="宋体" w:cs="Times New Roman"/>
                <w:sz w:val="21"/>
                <w:szCs w:val="21"/>
              </w:rPr>
              <w:t>能够简单使用Matlab</w:t>
            </w:r>
          </w:p>
          <w:p w14:paraId="2E9350BD">
            <w:pPr>
              <w:spacing w:line="264" w:lineRule="auto"/>
              <w:jc w:val="left"/>
              <w:rPr>
                <w:rFonts w:ascii="宋体" w:hAnsi="宋体" w:eastAsia="宋体" w:cs="Times New Roman"/>
                <w:color w:val="000000"/>
                <w:sz w:val="21"/>
                <w:szCs w:val="21"/>
              </w:rPr>
            </w:pPr>
          </w:p>
        </w:tc>
        <w:tc>
          <w:tcPr>
            <w:tcW w:w="1111" w:type="dxa"/>
            <w:vAlign w:val="center"/>
          </w:tcPr>
          <w:p w14:paraId="7F2E7E87">
            <w:pPr>
              <w:spacing w:line="264" w:lineRule="auto"/>
              <w:jc w:val="center"/>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rPr>
              <w:t>课程目标1、</w:t>
            </w:r>
            <w:r>
              <w:rPr>
                <w:rFonts w:hint="eastAsia" w:ascii="宋体" w:hAnsi="宋体" w:eastAsia="宋体" w:cs="Times New Roman"/>
                <w:color w:val="000000"/>
                <w:sz w:val="21"/>
                <w:szCs w:val="21"/>
                <w:lang w:val="en-US" w:eastAsia="zh-CN"/>
              </w:rPr>
              <w:t>2、3、4</w:t>
            </w:r>
          </w:p>
        </w:tc>
        <w:tc>
          <w:tcPr>
            <w:tcW w:w="3190" w:type="dxa"/>
            <w:vAlign w:val="center"/>
          </w:tcPr>
          <w:p w14:paraId="38D5FE21">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r>
              <w:rPr>
                <w:rFonts w:ascii="宋体" w:hAnsi="宋体" w:eastAsia="宋体" w:cs="宋体"/>
                <w:sz w:val="21"/>
                <w:szCs w:val="21"/>
              </w:rPr>
              <w:t>微课展示（融合语言表达、礼仪、思政元素）</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ascii="宋体" w:hAnsi="宋体" w:eastAsia="宋体" w:cs="宋体"/>
                <w:sz w:val="21"/>
                <w:szCs w:val="21"/>
              </w:rPr>
              <w:t>教育热点事件中的语言与礼仪案例分析</w:t>
            </w:r>
            <w:r>
              <w:rPr>
                <w:rFonts w:ascii="宋体" w:hAnsi="宋体" w:eastAsia="宋体" w:cs="宋体"/>
                <w:sz w:val="21"/>
                <w:szCs w:val="21"/>
              </w:rPr>
              <w:br w:type="textWrapping"/>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ascii="宋体" w:hAnsi="宋体" w:eastAsia="宋体" w:cs="宋体"/>
                <w:sz w:val="21"/>
                <w:szCs w:val="21"/>
              </w:rPr>
              <w:t>教师职业认同感提升研讨</w:t>
            </w:r>
          </w:p>
          <w:p w14:paraId="352CF4A7">
            <w:pPr>
              <w:spacing w:line="264" w:lineRule="auto"/>
              <w:jc w:val="left"/>
              <w:rPr>
                <w:rFonts w:ascii="宋体" w:hAnsi="宋体" w:eastAsia="宋体" w:cs="Times New Roman"/>
                <w:color w:val="000000"/>
                <w:sz w:val="21"/>
                <w:szCs w:val="21"/>
              </w:rPr>
            </w:pPr>
          </w:p>
        </w:tc>
        <w:tc>
          <w:tcPr>
            <w:tcW w:w="1517" w:type="dxa"/>
            <w:vAlign w:val="center"/>
          </w:tcPr>
          <w:p w14:paraId="35FE96E1">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1.线上学习</w:t>
            </w:r>
          </w:p>
          <w:p w14:paraId="33EB819A">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2.多媒体教学3.课堂讨论</w:t>
            </w:r>
          </w:p>
          <w:p w14:paraId="752EB3A7">
            <w:pPr>
              <w:spacing w:line="264" w:lineRule="auto"/>
              <w:jc w:val="left"/>
              <w:rPr>
                <w:rFonts w:ascii="宋体" w:hAnsi="宋体" w:eastAsia="宋体" w:cs="Times New Roman"/>
                <w:color w:val="000000"/>
                <w:sz w:val="21"/>
                <w:szCs w:val="21"/>
              </w:rPr>
            </w:pPr>
            <w:r>
              <w:rPr>
                <w:rFonts w:ascii="宋体" w:hAnsi="宋体" w:eastAsia="宋体" w:cs="Times New Roman"/>
                <w:color w:val="000000"/>
                <w:sz w:val="21"/>
                <w:szCs w:val="21"/>
              </w:rPr>
              <w:t>4.单元测验</w:t>
            </w:r>
          </w:p>
        </w:tc>
        <w:tc>
          <w:tcPr>
            <w:tcW w:w="438" w:type="dxa"/>
            <w:vAlign w:val="center"/>
          </w:tcPr>
          <w:p w14:paraId="315871AA">
            <w:pPr>
              <w:spacing w:line="264" w:lineRule="auto"/>
              <w:jc w:val="center"/>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val="en-US" w:eastAsia="zh-CN"/>
              </w:rPr>
              <w:t>2</w:t>
            </w:r>
          </w:p>
        </w:tc>
      </w:tr>
      <w:tr w14:paraId="1C08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04989426">
            <w:pPr>
              <w:spacing w:line="264" w:lineRule="auto"/>
              <w:jc w:val="center"/>
              <w:rPr>
                <w:rFonts w:ascii="宋体" w:hAnsi="宋体" w:eastAsia="宋体" w:cs="Times New Roman"/>
                <w:color w:val="000000"/>
                <w:sz w:val="21"/>
                <w:szCs w:val="21"/>
              </w:rPr>
            </w:pPr>
          </w:p>
        </w:tc>
        <w:tc>
          <w:tcPr>
            <w:tcW w:w="7947" w:type="dxa"/>
            <w:gridSpan w:val="5"/>
            <w:vAlign w:val="center"/>
          </w:tcPr>
          <w:p w14:paraId="77AE5568">
            <w:pPr>
              <w:spacing w:line="360" w:lineRule="auto"/>
              <w:rPr>
                <w:rFonts w:ascii="宋体" w:hAnsi="宋体" w:eastAsia="宋体" w:cs="Times New Roman"/>
                <w:color w:val="000000"/>
                <w:sz w:val="21"/>
                <w:szCs w:val="21"/>
              </w:rPr>
            </w:pPr>
            <w:r>
              <w:rPr>
                <w:rFonts w:hint="eastAsia" w:ascii="宋体" w:hAnsi="宋体" w:eastAsia="宋体" w:cs="Times New Roman"/>
                <w:b/>
                <w:color w:val="000000"/>
                <w:sz w:val="21"/>
                <w:szCs w:val="21"/>
              </w:rPr>
              <w:t>课程思政目标：</w:t>
            </w:r>
            <w:r>
              <w:rPr>
                <w:rFonts w:ascii="宋体" w:hAnsi="宋体" w:eastAsia="宋体" w:cs="宋体"/>
                <w:sz w:val="21"/>
                <w:szCs w:val="21"/>
              </w:rPr>
              <w:t>理论讲解、案例分析、情境模拟及实践训练，学生将掌握清晰、得体、富有魅力的表达方式，塑造专业、亲切的教师形象，为未来教育教学工作奠定坚实基础。</w:t>
            </w:r>
          </w:p>
        </w:tc>
      </w:tr>
    </w:tbl>
    <w:p w14:paraId="218C0C44">
      <w:pPr>
        <w:spacing w:line="360" w:lineRule="auto"/>
        <w:jc w:val="left"/>
        <w:rPr>
          <w:rFonts w:ascii="Times New Roman" w:hAnsi="Times New Roman" w:eastAsia="宋体" w:cs="Times New Roman"/>
          <w:sz w:val="24"/>
          <w:szCs w:val="24"/>
        </w:rPr>
      </w:pPr>
    </w:p>
    <w:p w14:paraId="0606459B">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5CE68D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6B02BA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90AFFB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35DCF724">
      <w:pPr>
        <w:spacing w:line="360" w:lineRule="auto"/>
        <w:jc w:val="center"/>
        <w:rPr>
          <w:rFonts w:ascii="Times New Roman" w:hAnsi="Times New Roman" w:eastAsia="宋体" w:cs="Times New Roman"/>
          <w:b/>
          <w:bCs/>
          <w:szCs w:val="21"/>
        </w:rPr>
      </w:pPr>
    </w:p>
    <w:tbl>
      <w:tblPr>
        <w:tblStyle w:val="11"/>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981"/>
        <w:gridCol w:w="862"/>
        <w:gridCol w:w="5826"/>
      </w:tblGrid>
      <w:tr w14:paraId="3153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28042EAF">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1843" w:type="dxa"/>
            <w:gridSpan w:val="2"/>
            <w:vAlign w:val="center"/>
          </w:tcPr>
          <w:p w14:paraId="247D6988">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5826" w:type="dxa"/>
            <w:vMerge w:val="restart"/>
            <w:vAlign w:val="center"/>
          </w:tcPr>
          <w:p w14:paraId="2CDBE389">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7DA7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57A3DEA3">
            <w:pPr>
              <w:spacing w:line="360" w:lineRule="auto"/>
              <w:jc w:val="center"/>
              <w:rPr>
                <w:rFonts w:ascii="宋体" w:hAnsi="宋体" w:eastAsia="宋体" w:cs="Times New Roman"/>
                <w:szCs w:val="21"/>
              </w:rPr>
            </w:pPr>
          </w:p>
        </w:tc>
        <w:tc>
          <w:tcPr>
            <w:tcW w:w="981" w:type="dxa"/>
            <w:vAlign w:val="center"/>
          </w:tcPr>
          <w:p w14:paraId="679E65BB">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862" w:type="dxa"/>
            <w:vAlign w:val="center"/>
          </w:tcPr>
          <w:p w14:paraId="5BBACC49">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5826" w:type="dxa"/>
            <w:vMerge w:val="continue"/>
            <w:vAlign w:val="center"/>
          </w:tcPr>
          <w:p w14:paraId="4E9EA85F">
            <w:pPr>
              <w:spacing w:line="360" w:lineRule="auto"/>
              <w:jc w:val="center"/>
              <w:rPr>
                <w:rFonts w:ascii="宋体" w:hAnsi="宋体" w:eastAsia="宋体" w:cs="Times New Roman"/>
                <w:szCs w:val="21"/>
              </w:rPr>
            </w:pPr>
          </w:p>
        </w:tc>
      </w:tr>
      <w:tr w14:paraId="35AC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F8B11E0">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981" w:type="dxa"/>
            <w:vAlign w:val="center"/>
          </w:tcPr>
          <w:p w14:paraId="41C34C5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62" w:type="dxa"/>
            <w:vAlign w:val="center"/>
          </w:tcPr>
          <w:p w14:paraId="4CD2A46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5826" w:type="dxa"/>
            <w:vAlign w:val="center"/>
          </w:tcPr>
          <w:p w14:paraId="5BD0DF7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1FA9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5DD39967">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981" w:type="dxa"/>
            <w:vAlign w:val="center"/>
          </w:tcPr>
          <w:p w14:paraId="29537ACE">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10</w:t>
            </w:r>
          </w:p>
        </w:tc>
        <w:tc>
          <w:tcPr>
            <w:tcW w:w="862" w:type="dxa"/>
            <w:vAlign w:val="center"/>
          </w:tcPr>
          <w:p w14:paraId="5671C93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c>
          <w:tcPr>
            <w:tcW w:w="5826" w:type="dxa"/>
            <w:vAlign w:val="center"/>
          </w:tcPr>
          <w:p w14:paraId="6AF65D6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r>
      <w:tr w14:paraId="351E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6D707E2">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981" w:type="dxa"/>
            <w:vAlign w:val="center"/>
          </w:tcPr>
          <w:p w14:paraId="28D3C593">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p>
        </w:tc>
        <w:tc>
          <w:tcPr>
            <w:tcW w:w="862" w:type="dxa"/>
            <w:vAlign w:val="center"/>
          </w:tcPr>
          <w:p w14:paraId="1BC7418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c>
          <w:tcPr>
            <w:tcW w:w="5826" w:type="dxa"/>
            <w:vAlign w:val="center"/>
          </w:tcPr>
          <w:p w14:paraId="68F5CE2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r>
      <w:tr w14:paraId="014C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8813E0E">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rPr>
              <w:t>课程目标</w:t>
            </w:r>
            <w:r>
              <w:rPr>
                <w:rFonts w:hint="eastAsia" w:ascii="宋体" w:hAnsi="宋体" w:eastAsia="宋体" w:cs="Times New Roman"/>
                <w:szCs w:val="21"/>
                <w:lang w:val="en-US" w:eastAsia="zh-CN"/>
              </w:rPr>
              <w:t>4</w:t>
            </w:r>
          </w:p>
        </w:tc>
        <w:tc>
          <w:tcPr>
            <w:tcW w:w="981" w:type="dxa"/>
            <w:vAlign w:val="center"/>
          </w:tcPr>
          <w:p w14:paraId="62F70C44">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w:t>
            </w:r>
          </w:p>
        </w:tc>
        <w:tc>
          <w:tcPr>
            <w:tcW w:w="862" w:type="dxa"/>
            <w:vAlign w:val="center"/>
          </w:tcPr>
          <w:p w14:paraId="64EE582C">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c>
          <w:tcPr>
            <w:tcW w:w="5826" w:type="dxa"/>
            <w:vAlign w:val="center"/>
          </w:tcPr>
          <w:p w14:paraId="3E94419E">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6656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60F11A3">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981" w:type="dxa"/>
            <w:vAlign w:val="center"/>
          </w:tcPr>
          <w:p w14:paraId="6229AA7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c>
          <w:tcPr>
            <w:tcW w:w="862" w:type="dxa"/>
            <w:vAlign w:val="center"/>
          </w:tcPr>
          <w:p w14:paraId="06BB1E0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70</w:t>
            </w:r>
          </w:p>
        </w:tc>
        <w:tc>
          <w:tcPr>
            <w:tcW w:w="5826" w:type="dxa"/>
            <w:vAlign w:val="center"/>
          </w:tcPr>
          <w:p w14:paraId="7198FA20">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09DDD63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033878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61F765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502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4171F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3197C5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06" w:type="dxa"/>
            <w:vAlign w:val="center"/>
          </w:tcPr>
          <w:p w14:paraId="2ADBC31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1DE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D54AA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015A4E5">
            <w:pPr>
              <w:spacing w:line="276" w:lineRule="auto"/>
              <w:rPr>
                <w:rFonts w:ascii="宋体" w:hAnsi="宋体" w:eastAsia="宋体" w:cs="宋体"/>
                <w:szCs w:val="21"/>
              </w:rPr>
            </w:pPr>
            <w:r>
              <w:rPr>
                <w:rFonts w:hint="eastAsia" w:ascii="宋体" w:hAnsi="宋体" w:eastAsia="宋体" w:cs="宋体"/>
                <w:szCs w:val="21"/>
              </w:rPr>
              <w:t>其中课堂考勤占20%，平时作业占80%。</w:t>
            </w:r>
          </w:p>
          <w:p w14:paraId="3C0E6A74">
            <w:pPr>
              <w:spacing w:line="276" w:lineRule="auto"/>
              <w:jc w:val="left"/>
              <w:rPr>
                <w:rFonts w:ascii="宋体" w:hAnsi="宋体" w:eastAsia="宋体" w:cs="宋体"/>
                <w:szCs w:val="21"/>
              </w:rPr>
            </w:pPr>
            <w:r>
              <w:rPr>
                <w:rFonts w:hint="eastAsia" w:ascii="宋体" w:hAnsi="宋体" w:eastAsia="宋体" w:cs="宋体"/>
                <w:szCs w:val="21"/>
              </w:rPr>
              <w:t>课堂考勤：病假和事假一次扣5分，无故缺席一次扣10分，无故缺席累积达5次以上（不含5次）取消课程成绩。</w:t>
            </w:r>
          </w:p>
          <w:p w14:paraId="05CA6070">
            <w:pPr>
              <w:spacing w:line="264" w:lineRule="auto"/>
              <w:jc w:val="left"/>
              <w:rPr>
                <w:rFonts w:ascii="Times New Roman" w:hAnsi="Times New Roman" w:eastAsia="宋体" w:cs="Times New Roman"/>
                <w:szCs w:val="21"/>
              </w:rPr>
            </w:pPr>
            <w:r>
              <w:rPr>
                <w:rFonts w:hint="eastAsia" w:ascii="宋体" w:hAnsi="宋体" w:eastAsia="宋体" w:cs="宋体"/>
                <w:szCs w:val="21"/>
              </w:rPr>
              <w:t>平时作业：课后完成3次作业，主要考核学生对每节课知识点的复习、理解和掌握程度，计算全部作业的平均成绩。</w:t>
            </w:r>
          </w:p>
        </w:tc>
        <w:tc>
          <w:tcPr>
            <w:tcW w:w="706" w:type="dxa"/>
            <w:vAlign w:val="center"/>
          </w:tcPr>
          <w:p w14:paraId="3690962B">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225C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A451F6">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B941791">
            <w:pPr>
              <w:spacing w:line="264" w:lineRule="auto"/>
              <w:jc w:val="left"/>
              <w:rPr>
                <w:rFonts w:ascii="Times New Roman" w:hAnsi="Times New Roman" w:eastAsia="宋体" w:cs="Times New Roman"/>
                <w:szCs w:val="21"/>
              </w:rPr>
            </w:pPr>
            <w:r>
              <w:rPr>
                <w:rFonts w:hint="eastAsia" w:ascii="宋体" w:hAnsi="宋体" w:eastAsia="宋体" w:cs="宋体"/>
                <w:szCs w:val="21"/>
              </w:rPr>
              <w:t>主要考核学生对本课程知识的掌握，并考核其实际运用教师口语的能力。</w:t>
            </w:r>
          </w:p>
        </w:tc>
        <w:tc>
          <w:tcPr>
            <w:tcW w:w="706" w:type="dxa"/>
            <w:vAlign w:val="center"/>
          </w:tcPr>
          <w:p w14:paraId="65CB975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0469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479B6C7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07267A20">
            <w:pPr>
              <w:jc w:val="left"/>
              <w:rPr>
                <w:rFonts w:ascii="Times New Roman" w:hAnsi="Times New Roman" w:eastAsia="宋体" w:cs="Times New Roman"/>
                <w:szCs w:val="21"/>
              </w:rPr>
            </w:pPr>
          </w:p>
        </w:tc>
        <w:tc>
          <w:tcPr>
            <w:tcW w:w="706" w:type="dxa"/>
            <w:vAlign w:val="center"/>
          </w:tcPr>
          <w:p w14:paraId="56E5105A">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599DBDB">
      <w:pPr>
        <w:numPr>
          <w:ilvl w:val="0"/>
          <w:numId w:val="38"/>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课程目标达成度计算方法</w:t>
      </w:r>
    </w:p>
    <w:p w14:paraId="6A4960EB">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17D40573">
      <w:pPr>
        <w:spacing w:line="360" w:lineRule="auto"/>
        <w:rPr>
          <w:rFonts w:ascii="Book Antiqua" w:hAnsi="Book Antiqua" w:eastAsia="宋体" w:cs="Times New Roman"/>
          <w:b/>
          <w:sz w:val="24"/>
          <w:szCs w:val="24"/>
        </w:rPr>
      </w:pPr>
      <w:r>
        <w:rPr>
          <w:rFonts w:ascii="宋体" w:hAnsi="宋体" w:eastAsia="宋体" w:cs="Times New Roman"/>
          <w:sz w:val="24"/>
        </w:rPr>
        <w:drawing>
          <wp:inline distT="0" distB="0" distL="0" distR="0">
            <wp:extent cx="5104765" cy="280035"/>
            <wp:effectExtent l="0" t="0" r="635" b="571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a:extLst>
                        <a:ext uri="{28A0092B-C50C-407E-A947-70E740481C1C}">
                          <a14:useLocalDpi xmlns:a14="http://schemas.microsoft.com/office/drawing/2010/main" val="0"/>
                        </a:ext>
                      </a:extLst>
                    </a:blip>
                    <a:srcRect/>
                    <a:stretch>
                      <a:fillRect/>
                    </a:stretch>
                  </pic:blipFill>
                  <pic:spPr>
                    <a:xfrm>
                      <a:off x="0" y="0"/>
                      <a:ext cx="5260978" cy="289238"/>
                    </a:xfrm>
                    <a:prstGeom prst="rect">
                      <a:avLst/>
                    </a:prstGeom>
                    <a:noFill/>
                    <a:ln>
                      <a:noFill/>
                    </a:ln>
                  </pic:spPr>
                </pic:pic>
              </a:graphicData>
            </a:graphic>
          </wp:inline>
        </w:drawing>
      </w:r>
    </w:p>
    <w:p w14:paraId="4BD01629">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536AC0E2">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7D17E670">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4CA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1EB9DAD1">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6E3CCEB">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A960996">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5A450D8">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0059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212" w:type="dxa"/>
            <w:vAlign w:val="center"/>
          </w:tcPr>
          <w:p w14:paraId="1667493B">
            <w:pPr>
              <w:adjustRightInd w:val="0"/>
              <w:ind w:firstLine="198" w:firstLineChars="0"/>
              <w:rPr>
                <w:rFonts w:ascii="宋体" w:hAnsi="宋体" w:eastAsia="宋体" w:cs="宋体"/>
                <w:szCs w:val="21"/>
              </w:rPr>
            </w:pPr>
            <w:r>
              <w:rPr>
                <w:rFonts w:hint="eastAsia" w:ascii="宋体" w:hAnsi="宋体" w:eastAsia="宋体" w:cs="宋体"/>
                <w:bCs/>
                <w:szCs w:val="21"/>
              </w:rPr>
              <w:t>普通话语音</w:t>
            </w:r>
            <w:r>
              <w:rPr>
                <w:rFonts w:hint="eastAsia" w:ascii="宋体" w:hAnsi="宋体" w:eastAsia="宋体" w:cs="宋体"/>
                <w:color w:val="000000"/>
                <w:kern w:val="0"/>
                <w:szCs w:val="21"/>
              </w:rPr>
              <w:t>训练</w:t>
            </w:r>
          </w:p>
        </w:tc>
        <w:tc>
          <w:tcPr>
            <w:tcW w:w="3407" w:type="dxa"/>
            <w:vAlign w:val="center"/>
          </w:tcPr>
          <w:p w14:paraId="1E0576A7">
            <w:pPr>
              <w:spacing w:line="276" w:lineRule="auto"/>
              <w:ind w:firstLine="210" w:firstLineChars="100"/>
              <w:rPr>
                <w:rFonts w:ascii="宋体" w:hAnsi="宋体" w:eastAsia="宋体" w:cs="宋体"/>
                <w:szCs w:val="21"/>
              </w:rPr>
            </w:pPr>
            <w:r>
              <w:rPr>
                <w:rFonts w:hint="eastAsia" w:ascii="宋体" w:hAnsi="宋体" w:eastAsia="宋体" w:cs="Times New Roman"/>
                <w:bCs/>
                <w:color w:val="000000"/>
                <w:szCs w:val="21"/>
              </w:rPr>
              <w:t>声母、韵母、声调、吐字归音、语流音变等普通话语音基础知识训练。逐步认识和纠正发音、发声中存在的问题，掌握和运用科学的发音、发声方法。</w:t>
            </w:r>
          </w:p>
        </w:tc>
        <w:tc>
          <w:tcPr>
            <w:tcW w:w="740" w:type="dxa"/>
            <w:vAlign w:val="center"/>
          </w:tcPr>
          <w:p w14:paraId="25363FB9">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课程实践作业</w:t>
            </w:r>
          </w:p>
        </w:tc>
        <w:tc>
          <w:tcPr>
            <w:tcW w:w="3160" w:type="dxa"/>
            <w:vAlign w:val="center"/>
          </w:tcPr>
          <w:p w14:paraId="47D3377B">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391B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CB5BCA7">
            <w:pPr>
              <w:adjustRightInd w:val="0"/>
              <w:ind w:firstLine="198" w:firstLineChars="0"/>
              <w:rPr>
                <w:rFonts w:ascii="宋体" w:hAnsi="宋体" w:eastAsia="宋体" w:cs="宋体"/>
                <w:szCs w:val="21"/>
              </w:rPr>
            </w:pPr>
            <w:r>
              <w:rPr>
                <w:rFonts w:hint="eastAsia" w:ascii="宋体" w:hAnsi="宋体" w:eastAsia="宋体" w:cs="宋体"/>
                <w:szCs w:val="21"/>
              </w:rPr>
              <w:t>教师基本</w:t>
            </w:r>
            <w:r>
              <w:rPr>
                <w:rFonts w:hint="eastAsia" w:ascii="宋体" w:hAnsi="宋体" w:eastAsia="宋体" w:cs="宋体"/>
                <w:szCs w:val="21"/>
                <w:lang w:val="en-US" w:eastAsia="zh-CN"/>
              </w:rPr>
              <w:t>礼仪</w:t>
            </w:r>
            <w:r>
              <w:rPr>
                <w:rFonts w:hint="eastAsia" w:ascii="宋体" w:hAnsi="宋体" w:eastAsia="宋体" w:cs="宋体"/>
                <w:szCs w:val="21"/>
              </w:rPr>
              <w:t>技能的要求</w:t>
            </w:r>
            <w:r>
              <w:rPr>
                <w:rFonts w:hint="eastAsia" w:ascii="宋体" w:hAnsi="宋体" w:eastAsia="宋体" w:cs="宋体"/>
                <w:color w:val="000000"/>
                <w:kern w:val="0"/>
                <w:szCs w:val="21"/>
              </w:rPr>
              <w:t>训练</w:t>
            </w:r>
          </w:p>
        </w:tc>
        <w:tc>
          <w:tcPr>
            <w:tcW w:w="3407" w:type="dxa"/>
            <w:vAlign w:val="center"/>
          </w:tcPr>
          <w:p w14:paraId="287132D6">
            <w:pPr>
              <w:widowControl/>
              <w:spacing w:line="276" w:lineRule="auto"/>
              <w:ind w:firstLine="420" w:firstLineChars="200"/>
              <w:jc w:val="left"/>
              <w:rPr>
                <w:rFonts w:ascii="宋体" w:hAnsi="宋体" w:eastAsia="宋体" w:cs="宋体"/>
                <w:szCs w:val="21"/>
              </w:rPr>
            </w:pPr>
            <w:r>
              <w:rPr>
                <w:rFonts w:hint="eastAsia" w:ascii="宋体" w:hAnsi="宋体" w:eastAsia="宋体" w:cs="Times New Roman"/>
                <w:bCs/>
                <w:color w:val="000000"/>
                <w:szCs w:val="21"/>
              </w:rPr>
              <w:t>掌握复述、描述、评述、讲故事、态势语等一些基本技能的要求。通过训练，掌握各种技能、技巧。</w:t>
            </w:r>
            <w:r>
              <w:rPr>
                <w:rFonts w:hint="eastAsia" w:ascii="宋体" w:hAnsi="宋体" w:eastAsia="宋体" w:cs="宋体"/>
                <w:szCs w:val="21"/>
              </w:rPr>
              <w:t>能够熟练自如的运用各种技能。</w:t>
            </w:r>
          </w:p>
        </w:tc>
        <w:tc>
          <w:tcPr>
            <w:tcW w:w="740" w:type="dxa"/>
            <w:vAlign w:val="center"/>
          </w:tcPr>
          <w:p w14:paraId="41388F92">
            <w:pPr>
              <w:spacing w:line="276" w:lineRule="auto"/>
              <w:jc w:val="center"/>
              <w:rPr>
                <w:rFonts w:ascii="宋体" w:hAnsi="宋体" w:eastAsia="宋体" w:cs="宋体"/>
                <w:szCs w:val="21"/>
              </w:rPr>
            </w:pPr>
            <w:r>
              <w:rPr>
                <w:rFonts w:hint="eastAsia" w:ascii="宋体" w:hAnsi="宋体" w:eastAsia="宋体" w:cs="宋体"/>
                <w:szCs w:val="21"/>
                <w:lang w:val="en-US" w:eastAsia="zh-CN"/>
              </w:rPr>
              <w:t>课程实践作业</w:t>
            </w:r>
          </w:p>
        </w:tc>
        <w:tc>
          <w:tcPr>
            <w:tcW w:w="3160" w:type="dxa"/>
            <w:vAlign w:val="center"/>
          </w:tcPr>
          <w:p w14:paraId="461D23F9">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480D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74DBA2AD">
            <w:pPr>
              <w:adjustRightInd w:val="0"/>
              <w:ind w:firstLine="198" w:firstLineChars="0"/>
              <w:rPr>
                <w:rFonts w:ascii="宋体" w:hAnsi="宋体" w:eastAsia="宋体" w:cs="宋体"/>
                <w:szCs w:val="21"/>
              </w:rPr>
            </w:pPr>
            <w:r>
              <w:rPr>
                <w:rFonts w:hint="eastAsia" w:ascii="宋体" w:hAnsi="宋体" w:eastAsia="宋体" w:cs="宋体"/>
                <w:bCs/>
                <w:szCs w:val="21"/>
              </w:rPr>
              <w:t>教师教学口语训练</w:t>
            </w:r>
          </w:p>
        </w:tc>
        <w:tc>
          <w:tcPr>
            <w:tcW w:w="3407" w:type="dxa"/>
            <w:vAlign w:val="center"/>
          </w:tcPr>
          <w:p w14:paraId="25CD3EAE">
            <w:pPr>
              <w:spacing w:line="276" w:lineRule="auto"/>
              <w:ind w:firstLine="420" w:firstLineChars="200"/>
              <w:rPr>
                <w:rFonts w:ascii="宋体" w:hAnsi="宋体" w:eastAsia="宋体" w:cs="宋体"/>
                <w:szCs w:val="21"/>
              </w:rPr>
            </w:pPr>
            <w:r>
              <w:rPr>
                <w:rFonts w:hint="eastAsia" w:ascii="宋体" w:hAnsi="宋体" w:eastAsia="宋体" w:cs="宋体"/>
                <w:szCs w:val="21"/>
              </w:rPr>
              <w:t>导入语、提问语、过渡语、讲解语、评价语、应变语、小结语等各教学环节的用语技巧。能掌握幼儿教师教学语言的特点，在课堂模拟教学中正确使用各类教学语言。</w:t>
            </w:r>
          </w:p>
        </w:tc>
        <w:tc>
          <w:tcPr>
            <w:tcW w:w="740" w:type="dxa"/>
            <w:vAlign w:val="center"/>
          </w:tcPr>
          <w:p w14:paraId="4876AB4A">
            <w:pPr>
              <w:spacing w:line="276" w:lineRule="auto"/>
              <w:jc w:val="center"/>
              <w:rPr>
                <w:rFonts w:ascii="宋体" w:hAnsi="宋体" w:eastAsia="宋体" w:cs="宋体"/>
                <w:szCs w:val="21"/>
              </w:rPr>
            </w:pPr>
            <w:r>
              <w:rPr>
                <w:rFonts w:hint="eastAsia" w:ascii="宋体" w:hAnsi="宋体" w:eastAsia="宋体" w:cs="宋体"/>
                <w:szCs w:val="21"/>
              </w:rPr>
              <w:t>课程实践作业</w:t>
            </w:r>
          </w:p>
        </w:tc>
        <w:tc>
          <w:tcPr>
            <w:tcW w:w="3160" w:type="dxa"/>
            <w:vAlign w:val="center"/>
          </w:tcPr>
          <w:p w14:paraId="5BD52AD2">
            <w:pPr>
              <w:spacing w:line="276" w:lineRule="auto"/>
              <w:jc w:val="left"/>
              <w:rPr>
                <w:rFonts w:ascii="宋体" w:hAnsi="宋体" w:eastAsia="宋体" w:cs="宋体"/>
                <w:b/>
                <w:bCs/>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r w14:paraId="39F2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25D9C28A">
            <w:pPr>
              <w:adjustRightInd w:val="0"/>
              <w:ind w:firstLine="198" w:firstLineChars="0"/>
              <w:rPr>
                <w:rFonts w:ascii="宋体" w:hAnsi="宋体" w:eastAsia="宋体" w:cs="宋体"/>
                <w:szCs w:val="21"/>
              </w:rPr>
            </w:pPr>
            <w:r>
              <w:rPr>
                <w:rFonts w:hint="eastAsia" w:ascii="宋体" w:hAnsi="宋体" w:eastAsia="宋体" w:cs="宋体"/>
                <w:bCs/>
                <w:szCs w:val="21"/>
              </w:rPr>
              <w:t>教师教</w:t>
            </w:r>
            <w:r>
              <w:rPr>
                <w:rFonts w:hint="eastAsia" w:ascii="宋体" w:hAnsi="宋体" w:eastAsia="宋体" w:cs="宋体"/>
                <w:bCs/>
                <w:szCs w:val="21"/>
                <w:lang w:val="en-US" w:eastAsia="zh-CN"/>
              </w:rPr>
              <w:t>育</w:t>
            </w:r>
            <w:r>
              <w:rPr>
                <w:rFonts w:hint="eastAsia" w:ascii="宋体" w:hAnsi="宋体" w:eastAsia="宋体" w:cs="宋体"/>
                <w:bCs/>
                <w:szCs w:val="21"/>
              </w:rPr>
              <w:t>口语训练</w:t>
            </w:r>
          </w:p>
        </w:tc>
        <w:tc>
          <w:tcPr>
            <w:tcW w:w="3407" w:type="dxa"/>
            <w:vAlign w:val="center"/>
          </w:tcPr>
          <w:p w14:paraId="60E0CFA4">
            <w:pPr>
              <w:spacing w:line="276" w:lineRule="auto"/>
              <w:ind w:firstLine="420" w:firstLineChars="200"/>
              <w:rPr>
                <w:rFonts w:ascii="宋体" w:hAnsi="宋体" w:eastAsia="宋体" w:cs="宋体"/>
                <w:szCs w:val="21"/>
              </w:rPr>
            </w:pPr>
            <w:r>
              <w:rPr>
                <w:rFonts w:hint="eastAsia" w:ascii="宋体" w:hAnsi="宋体" w:eastAsia="宋体" w:cs="Times New Roman"/>
                <w:bCs/>
                <w:color w:val="000000"/>
                <w:szCs w:val="21"/>
              </w:rPr>
              <w:t>掌握幼儿教育口语的特点、原则和要求。能根据不同教育情境准确、恰当地运用教育口语。</w:t>
            </w:r>
          </w:p>
        </w:tc>
        <w:tc>
          <w:tcPr>
            <w:tcW w:w="740" w:type="dxa"/>
            <w:vAlign w:val="center"/>
          </w:tcPr>
          <w:p w14:paraId="18679ECC">
            <w:pPr>
              <w:spacing w:line="276" w:lineRule="auto"/>
              <w:jc w:val="center"/>
              <w:rPr>
                <w:rFonts w:ascii="宋体" w:hAnsi="宋体" w:eastAsia="宋体" w:cs="宋体"/>
                <w:szCs w:val="21"/>
              </w:rPr>
            </w:pPr>
            <w:r>
              <w:rPr>
                <w:rFonts w:hint="eastAsia" w:ascii="宋体" w:hAnsi="宋体" w:eastAsia="宋体" w:cs="宋体"/>
                <w:szCs w:val="21"/>
                <w:lang w:val="en-US" w:eastAsia="zh-CN"/>
              </w:rPr>
              <w:t>课程实践作业</w:t>
            </w:r>
          </w:p>
        </w:tc>
        <w:tc>
          <w:tcPr>
            <w:tcW w:w="3160" w:type="dxa"/>
            <w:vAlign w:val="center"/>
          </w:tcPr>
          <w:p w14:paraId="0BCFDCD5">
            <w:pPr>
              <w:spacing w:line="276" w:lineRule="auto"/>
              <w:jc w:val="left"/>
              <w:rPr>
                <w:rFonts w:ascii="宋体" w:hAnsi="宋体" w:eastAsia="宋体" w:cs="宋体"/>
                <w:szCs w:val="21"/>
              </w:rPr>
            </w:pPr>
            <w:r>
              <w:rPr>
                <w:rFonts w:ascii="宋体" w:hAnsi="宋体" w:eastAsia="宋体" w:cs="宋体"/>
                <w:sz w:val="24"/>
                <w:szCs w:val="24"/>
              </w:rPr>
              <w:t>理论讲解、案例分析、情境模拟及实践训练，学生将掌握清晰、得体、富有魅力的表达方式，塑造专业、亲切的教师形象，为未来教育教学工作奠定坚实基础。</w:t>
            </w:r>
          </w:p>
        </w:tc>
      </w:tr>
    </w:tbl>
    <w:p w14:paraId="3BD7C475">
      <w:pPr>
        <w:spacing w:line="360" w:lineRule="auto"/>
        <w:ind w:firstLine="551" w:firstLineChars="196"/>
        <w:jc w:val="left"/>
        <w:rPr>
          <w:rFonts w:ascii="宋体" w:hAnsi="宋体" w:eastAsia="宋体" w:cs="Times New Roman"/>
          <w:b/>
          <w:color w:val="000000"/>
          <w:sz w:val="28"/>
          <w:szCs w:val="28"/>
        </w:rPr>
      </w:pPr>
    </w:p>
    <w:p w14:paraId="27FE566B">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65E7D61F">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（一）持续改进</w:t>
      </w:r>
    </w:p>
    <w:p w14:paraId="43A9C5C0">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本课程根据学生作业、课堂讨论情况和学生、教学督导等方面</w:t>
      </w:r>
      <w:r>
        <w:rPr>
          <w:rFonts w:hint="eastAsia" w:ascii="宋体" w:hAnsi="宋体" w:eastAsia="宋体" w:cs="Times New Roman"/>
          <w:color w:val="000000"/>
          <w:sz w:val="24"/>
        </w:rPr>
        <w:t>的</w:t>
      </w:r>
      <w:r>
        <w:rPr>
          <w:rFonts w:ascii="宋体" w:hAnsi="宋体" w:eastAsia="宋体" w:cs="Times New Roman"/>
          <w:color w:val="000000"/>
          <w:sz w:val="24"/>
        </w:rPr>
        <w:t>反馈意见及时对教学中</w:t>
      </w:r>
      <w:r>
        <w:rPr>
          <w:rFonts w:hint="eastAsia" w:ascii="宋体" w:hAnsi="宋体" w:eastAsia="宋体" w:cs="Times New Roman"/>
          <w:color w:val="000000"/>
          <w:sz w:val="24"/>
        </w:rPr>
        <w:t>的</w:t>
      </w:r>
      <w:r>
        <w:rPr>
          <w:rFonts w:ascii="宋体" w:hAnsi="宋体" w:eastAsia="宋体" w:cs="Times New Roman"/>
          <w:color w:val="000000"/>
          <w:sz w:val="24"/>
        </w:rPr>
        <w:t>不足之处进行改进，并在下一轮课程教学中</w:t>
      </w:r>
      <w:r>
        <w:rPr>
          <w:rFonts w:hint="eastAsia" w:ascii="宋体" w:hAnsi="宋体" w:eastAsia="宋体" w:cs="Times New Roman"/>
          <w:color w:val="000000"/>
          <w:sz w:val="24"/>
        </w:rPr>
        <w:t>整改完善</w:t>
      </w:r>
      <w:r>
        <w:rPr>
          <w:rFonts w:ascii="宋体" w:hAnsi="宋体" w:eastAsia="宋体" w:cs="Times New Roman"/>
          <w:color w:val="000000"/>
          <w:sz w:val="24"/>
        </w:rPr>
        <w:t>，确保相应毕业要求指标点达成。</w:t>
      </w:r>
    </w:p>
    <w:p w14:paraId="12B0E2A2">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（二）参考书目及学习资料</w:t>
      </w:r>
    </w:p>
    <w:p w14:paraId="1713D919">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1.教材</w:t>
      </w:r>
    </w:p>
    <w:p w14:paraId="746C37AB">
      <w:pPr>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高林广.教师口语实训教程.北京：高等教育出版社，2016.</w:t>
      </w:r>
    </w:p>
    <w:p w14:paraId="50E4B884">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2.教学参考书</w:t>
      </w:r>
    </w:p>
    <w:p w14:paraId="047FB7A0">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陈国安、王海燕.新编教师口语——表达与训练.上海：华东师范大学出版社，</w:t>
      </w:r>
      <w:r>
        <w:rPr>
          <w:rFonts w:ascii="宋体" w:hAnsi="宋体" w:eastAsia="宋体" w:cs="Times New Roman"/>
          <w:color w:val="000000"/>
          <w:sz w:val="24"/>
        </w:rPr>
        <w:t>2007</w:t>
      </w:r>
      <w:r>
        <w:rPr>
          <w:rFonts w:hint="eastAsia" w:ascii="宋体" w:hAnsi="宋体" w:eastAsia="宋体" w:cs="Times New Roman"/>
          <w:color w:val="000000"/>
          <w:sz w:val="24"/>
        </w:rPr>
        <w:t>.</w:t>
      </w:r>
    </w:p>
    <w:p w14:paraId="0BD85D1C">
      <w:pPr>
        <w:spacing w:line="360" w:lineRule="auto"/>
        <w:ind w:firstLine="480" w:firstLineChars="200"/>
        <w:rPr>
          <w:rFonts w:ascii="Book Antiqua" w:hAnsi="Book Antiqua" w:eastAsia="宋体" w:cs="Times New Roman"/>
          <w:sz w:val="24"/>
          <w:szCs w:val="24"/>
        </w:rPr>
      </w:pPr>
      <w:r>
        <w:rPr>
          <w:rFonts w:hint="eastAsia" w:ascii="Book Antiqua" w:hAnsi="Book Antiqua" w:eastAsia="宋体" w:cs="Times New Roman"/>
          <w:sz w:val="24"/>
          <w:szCs w:val="24"/>
        </w:rPr>
        <w:t>江苏省普通话水平测试研究组.普通话水平测试指导用书(最新版）.北京：中国和平音像电子出版社，2013.</w:t>
      </w:r>
    </w:p>
    <w:p w14:paraId="4E800004">
      <w:pPr>
        <w:autoSpaceDE w:val="0"/>
        <w:autoSpaceDN w:val="0"/>
        <w:adjustRightInd w:val="0"/>
        <w:spacing w:line="360" w:lineRule="auto"/>
        <w:ind w:firstLine="480" w:firstLineChars="200"/>
        <w:jc w:val="left"/>
        <w:rPr>
          <w:rFonts w:ascii="宋体" w:hAnsi="宋体" w:eastAsia="宋体" w:cs="Times New Roman"/>
          <w:kern w:val="0"/>
          <w:sz w:val="24"/>
          <w:szCs w:val="21"/>
        </w:rPr>
      </w:pPr>
    </w:p>
    <w:p w14:paraId="5F2F4E26">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lang w:val="en-US" w:eastAsia="zh-CN"/>
        </w:rPr>
        <w:t>李森</w:t>
      </w:r>
      <w:r>
        <w:rPr>
          <w:rFonts w:hint="eastAsia" w:ascii="宋体" w:hAnsi="宋体" w:eastAsia="宋体" w:cs="Times New Roman"/>
          <w:kern w:val="0"/>
          <w:sz w:val="24"/>
          <w:szCs w:val="21"/>
        </w:rPr>
        <w:t xml:space="preserve">  </w:t>
      </w:r>
    </w:p>
    <w:p w14:paraId="2FD6AF25">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审定人：</w:t>
      </w:r>
      <w:r>
        <w:rPr>
          <w:rFonts w:hint="eastAsia" w:ascii="宋体" w:hAnsi="宋体" w:eastAsia="宋体" w:cs="Times New Roman"/>
          <w:kern w:val="0"/>
          <w:sz w:val="24"/>
          <w:szCs w:val="21"/>
          <w:lang w:val="en-US" w:eastAsia="zh-CN"/>
        </w:rPr>
        <w:t>钱峰</w:t>
      </w:r>
      <w:r>
        <w:rPr>
          <w:rFonts w:hint="eastAsia" w:ascii="宋体" w:hAnsi="宋体" w:eastAsia="宋体" w:cs="Times New Roman"/>
          <w:kern w:val="0"/>
          <w:sz w:val="24"/>
          <w:szCs w:val="21"/>
        </w:rPr>
        <w:t xml:space="preserve">  </w:t>
      </w:r>
    </w:p>
    <w:p w14:paraId="4AA35AC6">
      <w:pPr>
        <w:wordWrap w:val="0"/>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审批人：</w:t>
      </w:r>
      <w:r>
        <w:rPr>
          <w:rFonts w:hint="eastAsia" w:ascii="宋体" w:hAnsi="宋体" w:eastAsia="宋体" w:cs="Times New Roman"/>
          <w:kern w:val="0"/>
          <w:sz w:val="24"/>
          <w:szCs w:val="21"/>
          <w:lang w:val="en-US" w:eastAsia="zh-CN"/>
        </w:rPr>
        <w:t>王献东</w:t>
      </w:r>
      <w:r>
        <w:rPr>
          <w:rFonts w:hint="eastAsia" w:ascii="宋体" w:hAnsi="宋体" w:eastAsia="宋体" w:cs="Times New Roman"/>
          <w:kern w:val="0"/>
          <w:sz w:val="24"/>
          <w:szCs w:val="21"/>
        </w:rPr>
        <w:t xml:space="preserve">  </w:t>
      </w:r>
    </w:p>
    <w:p w14:paraId="0C36D84D">
      <w:pPr>
        <w:autoSpaceDE w:val="0"/>
        <w:autoSpaceDN w:val="0"/>
        <w:adjustRightInd w:val="0"/>
        <w:spacing w:line="360" w:lineRule="auto"/>
        <w:jc w:val="right"/>
        <w:rPr>
          <w:rFonts w:ascii="Calibri" w:hAnsi="Calibri" w:eastAsia="宋体" w:cs="Times New Roman"/>
          <w:kern w:val="0"/>
          <w:sz w:val="24"/>
          <w:szCs w:val="21"/>
        </w:rPr>
      </w:pPr>
      <w:r>
        <w:rPr>
          <w:rFonts w:hint="eastAsia" w:ascii="Calibri" w:hAnsi="Calibri" w:eastAsia="宋体" w:cs="Times New Roman"/>
          <w:kern w:val="0"/>
          <w:sz w:val="24"/>
          <w:szCs w:val="21"/>
        </w:rPr>
        <w:t>批准时间：202</w:t>
      </w:r>
      <w:r>
        <w:rPr>
          <w:rFonts w:hint="eastAsia" w:ascii="Calibri" w:hAnsi="Calibri" w:eastAsia="宋体" w:cs="Times New Roman"/>
          <w:kern w:val="0"/>
          <w:sz w:val="24"/>
          <w:szCs w:val="21"/>
          <w:lang w:val="en-US" w:eastAsia="zh-CN"/>
        </w:rPr>
        <w:t>4</w:t>
      </w:r>
      <w:r>
        <w:rPr>
          <w:rFonts w:hint="eastAsia" w:ascii="Calibri" w:hAnsi="Calibri" w:eastAsia="宋体" w:cs="Times New Roman"/>
          <w:kern w:val="0"/>
          <w:sz w:val="24"/>
          <w:szCs w:val="21"/>
        </w:rPr>
        <w:t>年8月30日</w:t>
      </w:r>
      <w:r>
        <w:rPr>
          <w:rFonts w:ascii="Calibri" w:hAnsi="Calibri" w:eastAsia="宋体" w:cs="Times New Roman"/>
          <w:kern w:val="0"/>
          <w:sz w:val="24"/>
          <w:szCs w:val="21"/>
        </w:rPr>
        <w:t xml:space="preserve"> </w:t>
      </w:r>
    </w:p>
    <w:p w14:paraId="23F5FFCC"/>
    <w:p w14:paraId="62AE6EE6">
      <w:pPr>
        <w:spacing w:line="360" w:lineRule="auto"/>
        <w:ind w:left="5460" w:leftChars="0" w:firstLine="420" w:firstLineChars="0"/>
        <w:jc w:val="both"/>
        <w:rPr>
          <w:rFonts w:hint="default" w:ascii="Times New Roman" w:hAnsi="Times New Roman" w:eastAsia="宋体" w:cs="Times New Roman"/>
          <w:bCs/>
          <w:color w:val="000000"/>
          <w:szCs w:val="21"/>
          <w:lang w:val="en-US" w:eastAsia="zh-CN"/>
        </w:rPr>
      </w:pPr>
    </w:p>
    <w:p w14:paraId="17A11B12">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39B977CE">
      <w:pPr>
        <w:pStyle w:val="2"/>
        <w:bidi w:val="0"/>
        <w:rPr>
          <w:lang w:val="en-US" w:eastAsia="zh-CN"/>
        </w:rPr>
      </w:pPr>
      <w:bookmarkStart w:id="2151" w:name="_Toc57017197"/>
      <w:bookmarkStart w:id="2152" w:name="_Toc25800"/>
      <w:bookmarkStart w:id="2153" w:name="_Toc32084"/>
      <w:bookmarkStart w:id="2154" w:name="_Toc3688"/>
      <w:bookmarkStart w:id="2155" w:name="_Toc4703"/>
      <w:r>
        <w:rPr>
          <w:rFonts w:hint="eastAsia"/>
          <w:lang w:val="en-US" w:eastAsia="zh-CN"/>
        </w:rPr>
        <w:t>《社会学概论》课程与教学大纲</w:t>
      </w:r>
      <w:bookmarkEnd w:id="2151"/>
      <w:bookmarkEnd w:id="2152"/>
      <w:bookmarkEnd w:id="2153"/>
      <w:bookmarkEnd w:id="2154"/>
      <w:bookmarkEnd w:id="2155"/>
    </w:p>
    <w:p w14:paraId="3A0D5416">
      <w:pPr>
        <w:pStyle w:val="2"/>
        <w:bidi w:val="0"/>
        <w:rPr>
          <w:rFonts w:ascii="Times New Roman" w:hAnsi="Times New Roman" w:eastAsia="宋体" w:cs="Arial"/>
          <w:b/>
          <w:bCs/>
          <w:kern w:val="2"/>
          <w:szCs w:val="24"/>
          <w:lang w:val="en-US" w:eastAsia="zh-CN" w:bidi="ar-SA"/>
        </w:rPr>
      </w:pPr>
      <w:bookmarkStart w:id="2156" w:name="_Toc15739"/>
      <w:bookmarkStart w:id="2157" w:name="_Toc4871"/>
      <w:bookmarkStart w:id="2158" w:name="_Toc18783"/>
      <w:bookmarkStart w:id="2159" w:name="_Toc25558"/>
      <w:bookmarkStart w:id="2160" w:name="_Toc28768"/>
      <w:bookmarkStart w:id="2161" w:name="_Toc20297"/>
      <w:bookmarkStart w:id="2162" w:name="_Toc3367"/>
      <w:r>
        <w:rPr>
          <w:rFonts w:hint="eastAsia"/>
          <w:lang w:val="en-US" w:eastAsia="zh-CN"/>
        </w:rPr>
        <w:t>（</w:t>
      </w:r>
      <w:r>
        <w:rPr>
          <w:lang w:val="en-US" w:eastAsia="zh-CN"/>
        </w:rPr>
        <w:t>Introduction to Sociology</w:t>
      </w:r>
      <w:r>
        <w:rPr>
          <w:rFonts w:hint="eastAsia"/>
          <w:lang w:val="en-US" w:eastAsia="zh-CN"/>
        </w:rPr>
        <w:t>）</w:t>
      </w:r>
      <w:bookmarkEnd w:id="2156"/>
      <w:bookmarkEnd w:id="2157"/>
      <w:bookmarkEnd w:id="2158"/>
      <w:bookmarkEnd w:id="2159"/>
      <w:bookmarkEnd w:id="2160"/>
      <w:bookmarkEnd w:id="2161"/>
      <w:bookmarkEnd w:id="2162"/>
    </w:p>
    <w:p w14:paraId="1D50D088">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课程名称：社会学概论</w:t>
      </w:r>
    </w:p>
    <w:p w14:paraId="2D590998">
      <w:pPr>
        <w:spacing w:line="360" w:lineRule="auto"/>
        <w:ind w:firstLine="482" w:firstLineChars="200"/>
        <w:rPr>
          <w:rFonts w:ascii="宋体" w:hAnsi="等线" w:eastAsia="宋体" w:cs="Times New Roman"/>
          <w:b/>
          <w:color w:val="000000"/>
          <w:kern w:val="0"/>
          <w:sz w:val="24"/>
          <w:szCs w:val="22"/>
        </w:rPr>
      </w:pPr>
      <w:r>
        <w:rPr>
          <w:rFonts w:hint="eastAsia" w:ascii="宋体" w:hAnsi="宋体" w:eastAsia="宋体" w:cs="Times New Roman"/>
          <w:b/>
          <w:color w:val="000000"/>
          <w:kern w:val="0"/>
          <w:sz w:val="24"/>
          <w:szCs w:val="24"/>
        </w:rPr>
        <w:t>课程代码：</w:t>
      </w:r>
      <w:r>
        <w:rPr>
          <w:rFonts w:ascii="宋体" w:hAnsi="宋体" w:eastAsia="宋体" w:cs="Times New Roman"/>
          <w:b/>
          <w:color w:val="000000"/>
          <w:kern w:val="0"/>
          <w:sz w:val="24"/>
          <w:szCs w:val="22"/>
        </w:rPr>
        <w:t>2401071</w:t>
      </w:r>
    </w:p>
    <w:p w14:paraId="3AFA50CE">
      <w:pPr>
        <w:spacing w:line="360" w:lineRule="auto"/>
        <w:ind w:firstLine="482" w:firstLineChars="200"/>
        <w:rPr>
          <w:rFonts w:ascii="宋体" w:hAnsi="等线" w:eastAsia="宋体" w:cs="Times New Roman"/>
          <w:b/>
          <w:color w:val="000000"/>
          <w:kern w:val="0"/>
          <w:sz w:val="24"/>
          <w:szCs w:val="24"/>
        </w:rPr>
      </w:pPr>
      <w:r>
        <w:rPr>
          <w:rFonts w:hint="eastAsia" w:ascii="宋体" w:hAnsi="宋体" w:eastAsia="宋体" w:cs="Times New Roman"/>
          <w:b/>
          <w:color w:val="000000"/>
          <w:kern w:val="0"/>
          <w:sz w:val="24"/>
          <w:szCs w:val="24"/>
        </w:rPr>
        <w:t>学</w:t>
      </w:r>
      <w:r>
        <w:rPr>
          <w:rFonts w:ascii="宋体" w:hAnsi="宋体" w:eastAsia="宋体" w:cs="Times New Roman"/>
          <w:b/>
          <w:color w:val="000000"/>
          <w:kern w:val="0"/>
          <w:sz w:val="24"/>
          <w:szCs w:val="24"/>
        </w:rPr>
        <w:t xml:space="preserve">    </w:t>
      </w:r>
      <w:r>
        <w:rPr>
          <w:rFonts w:hint="eastAsia" w:ascii="宋体" w:hAnsi="宋体" w:eastAsia="宋体" w:cs="Times New Roman"/>
          <w:b/>
          <w:color w:val="000000"/>
          <w:kern w:val="0"/>
          <w:sz w:val="24"/>
          <w:szCs w:val="24"/>
        </w:rPr>
        <w:t>分：</w:t>
      </w:r>
      <w:r>
        <w:rPr>
          <w:rFonts w:ascii="宋体" w:hAnsi="宋体" w:eastAsia="宋体" w:cs="Times New Roman"/>
          <w:b/>
          <w:color w:val="000000"/>
          <w:kern w:val="0"/>
          <w:sz w:val="24"/>
          <w:szCs w:val="22"/>
        </w:rPr>
        <w:t>3</w:t>
      </w:r>
    </w:p>
    <w:p w14:paraId="0EA9C75B">
      <w:pPr>
        <w:spacing w:line="360" w:lineRule="auto"/>
        <w:ind w:firstLine="482" w:firstLineChars="200"/>
        <w:rPr>
          <w:rFonts w:ascii="宋体" w:hAnsi="宋体" w:eastAsia="宋体" w:cs="Times New Roman"/>
          <w:b/>
          <w:color w:val="000000"/>
          <w:kern w:val="0"/>
          <w:sz w:val="24"/>
          <w:szCs w:val="24"/>
        </w:rPr>
      </w:pPr>
      <w:r>
        <w:rPr>
          <w:rFonts w:hint="eastAsia" w:ascii="宋体" w:hAnsi="宋体" w:eastAsia="宋体" w:cs="Times New Roman"/>
          <w:b/>
          <w:color w:val="000000"/>
          <w:kern w:val="0"/>
          <w:sz w:val="24"/>
          <w:szCs w:val="24"/>
        </w:rPr>
        <w:t>学</w:t>
      </w:r>
      <w:r>
        <w:rPr>
          <w:rFonts w:ascii="宋体" w:hAnsi="宋体" w:eastAsia="宋体" w:cs="Times New Roman"/>
          <w:b/>
          <w:color w:val="000000"/>
          <w:kern w:val="0"/>
          <w:sz w:val="24"/>
          <w:szCs w:val="24"/>
        </w:rPr>
        <w:t xml:space="preserve">    </w:t>
      </w:r>
      <w:r>
        <w:rPr>
          <w:rFonts w:hint="eastAsia" w:ascii="宋体" w:hAnsi="宋体" w:eastAsia="宋体" w:cs="Times New Roman"/>
          <w:b/>
          <w:color w:val="000000"/>
          <w:kern w:val="0"/>
          <w:sz w:val="24"/>
          <w:szCs w:val="24"/>
        </w:rPr>
        <w:t>时：4</w:t>
      </w:r>
      <w:r>
        <w:rPr>
          <w:rFonts w:ascii="宋体" w:hAnsi="宋体" w:eastAsia="宋体" w:cs="Times New Roman"/>
          <w:b/>
          <w:color w:val="000000"/>
          <w:kern w:val="0"/>
          <w:sz w:val="24"/>
          <w:szCs w:val="24"/>
        </w:rPr>
        <w:t>8</w:t>
      </w:r>
    </w:p>
    <w:p w14:paraId="1860926F">
      <w:pPr>
        <w:spacing w:line="360" w:lineRule="auto"/>
        <w:ind w:firstLine="482" w:firstLineChars="200"/>
        <w:jc w:val="left"/>
        <w:rPr>
          <w:rFonts w:ascii="宋体" w:hAnsi="等线" w:eastAsia="宋体" w:cs="Times New Roman"/>
          <w:b/>
          <w:color w:val="000000"/>
          <w:sz w:val="24"/>
          <w:szCs w:val="22"/>
        </w:rPr>
      </w:pPr>
      <w:r>
        <w:rPr>
          <w:rFonts w:hint="eastAsia" w:ascii="宋体" w:hAnsi="宋体" w:eastAsia="宋体" w:cs="Times New Roman"/>
          <w:b/>
          <w:color w:val="000000"/>
          <w:kern w:val="0"/>
          <w:sz w:val="24"/>
          <w:szCs w:val="24"/>
        </w:rPr>
        <w:t>先修课程：中外基础教育改革热点、中国文化概论</w:t>
      </w:r>
    </w:p>
    <w:p w14:paraId="3DFFE91C">
      <w:pPr>
        <w:spacing w:line="360" w:lineRule="auto"/>
        <w:ind w:firstLine="482" w:firstLineChars="200"/>
        <w:rPr>
          <w:rFonts w:ascii="宋体" w:hAnsi="等线" w:eastAsia="宋体" w:cs="Times New Roman"/>
          <w:b/>
          <w:color w:val="000000"/>
          <w:kern w:val="0"/>
          <w:sz w:val="24"/>
          <w:szCs w:val="24"/>
        </w:rPr>
      </w:pPr>
      <w:r>
        <w:rPr>
          <w:rFonts w:hint="eastAsia" w:ascii="宋体" w:hAnsi="宋体" w:eastAsia="宋体" w:cs="Times New Roman"/>
          <w:b/>
          <w:color w:val="000000"/>
          <w:kern w:val="0"/>
          <w:sz w:val="24"/>
          <w:szCs w:val="24"/>
        </w:rPr>
        <w:t>适用专业：小学教育（文）</w:t>
      </w:r>
    </w:p>
    <w:p w14:paraId="517E41BC">
      <w:pPr>
        <w:spacing w:line="360" w:lineRule="auto"/>
        <w:ind w:firstLine="482" w:firstLineChars="200"/>
        <w:rPr>
          <w:rFonts w:ascii="宋体" w:hAnsi="宋体" w:eastAsia="宋体" w:cs="Times New Roman"/>
          <w:b/>
          <w:bCs/>
          <w:color w:val="000000"/>
          <w:kern w:val="0"/>
          <w:sz w:val="24"/>
          <w:szCs w:val="24"/>
        </w:rPr>
      </w:pPr>
    </w:p>
    <w:p w14:paraId="5F3FCEB3">
      <w:pPr>
        <w:spacing w:line="360" w:lineRule="auto"/>
        <w:ind w:firstLine="482" w:firstLineChars="200"/>
        <w:outlineLvl w:val="0"/>
        <w:rPr>
          <w:rFonts w:ascii="宋体" w:hAnsi="宋体" w:eastAsia="宋体" w:cs="Times New Roman"/>
          <w:b/>
          <w:color w:val="000000"/>
          <w:sz w:val="24"/>
          <w:szCs w:val="22"/>
        </w:rPr>
      </w:pPr>
      <w:bookmarkStart w:id="2163" w:name="_Toc3897"/>
      <w:bookmarkStart w:id="2164" w:name="_Toc17668"/>
      <w:bookmarkStart w:id="2165" w:name="_Toc9856"/>
      <w:bookmarkStart w:id="2166" w:name="_Toc17944"/>
      <w:bookmarkStart w:id="2167" w:name="_Toc4525"/>
      <w:bookmarkStart w:id="2168" w:name="_Toc23724"/>
      <w:bookmarkStart w:id="2169" w:name="_Toc15001"/>
      <w:r>
        <w:rPr>
          <w:rFonts w:hint="eastAsia" w:ascii="宋体" w:hAnsi="宋体" w:eastAsia="宋体" w:cs="Times New Roman"/>
          <w:b/>
          <w:bCs/>
          <w:color w:val="000000"/>
          <w:kern w:val="0"/>
          <w:sz w:val="24"/>
          <w:szCs w:val="24"/>
        </w:rPr>
        <w:t>一、课程简介</w:t>
      </w:r>
      <w:bookmarkEnd w:id="2163"/>
      <w:bookmarkEnd w:id="2164"/>
      <w:bookmarkEnd w:id="2165"/>
      <w:bookmarkEnd w:id="2166"/>
      <w:bookmarkEnd w:id="2167"/>
      <w:bookmarkEnd w:id="2168"/>
      <w:bookmarkEnd w:id="2169"/>
    </w:p>
    <w:p w14:paraId="721429BC">
      <w:pPr>
        <w:spacing w:line="360" w:lineRule="auto"/>
        <w:ind w:firstLine="480" w:firstLineChars="200"/>
        <w:rPr>
          <w:rFonts w:ascii="宋体" w:hAnsi="等线" w:eastAsia="宋体" w:cs="Times New Roman"/>
          <w:color w:val="000000"/>
          <w:sz w:val="24"/>
          <w:szCs w:val="22"/>
        </w:rPr>
      </w:pPr>
      <w:r>
        <w:rPr>
          <w:rFonts w:hint="eastAsia" w:ascii="宋体" w:hAnsi="宋体" w:eastAsia="宋体" w:cs="Times New Roman"/>
          <w:color w:val="000000"/>
          <w:sz w:val="24"/>
          <w:szCs w:val="22"/>
        </w:rPr>
        <w:t>本课程是小学教育专业必修课程。课程的主要任务是通过学习社会学的独特研究视角与相关理论知识、方法工具，培养学生分析社会问题和社会现象的科学意识，提高学生理解和思考教育问题的深度，以及形成作为教师的综合人文社科素养。</w:t>
      </w:r>
    </w:p>
    <w:p w14:paraId="7E73450E">
      <w:pPr>
        <w:spacing w:line="360" w:lineRule="auto"/>
        <w:ind w:firstLine="482" w:firstLineChars="200"/>
        <w:outlineLvl w:val="0"/>
        <w:rPr>
          <w:rFonts w:ascii="宋体" w:hAnsi="等线" w:eastAsia="宋体" w:cs="Times New Roman"/>
          <w:b/>
          <w:color w:val="000000"/>
          <w:sz w:val="24"/>
          <w:szCs w:val="24"/>
        </w:rPr>
      </w:pPr>
      <w:bookmarkStart w:id="2170" w:name="_Toc7678"/>
      <w:bookmarkStart w:id="2171" w:name="_Toc15797"/>
      <w:bookmarkStart w:id="2172" w:name="_Toc6431"/>
      <w:bookmarkStart w:id="2173" w:name="_Toc10268"/>
      <w:bookmarkStart w:id="2174" w:name="_Toc15029"/>
      <w:bookmarkStart w:id="2175" w:name="_Toc596"/>
      <w:bookmarkStart w:id="2176" w:name="_Toc4719"/>
      <w:r>
        <w:rPr>
          <w:rFonts w:hint="eastAsia" w:ascii="宋体" w:hAnsi="宋体" w:eastAsia="宋体" w:cs="Times New Roman"/>
          <w:b/>
          <w:color w:val="000000"/>
          <w:sz w:val="24"/>
          <w:szCs w:val="24"/>
        </w:rPr>
        <w:t>二、课程目标</w:t>
      </w:r>
      <w:bookmarkEnd w:id="2170"/>
      <w:bookmarkEnd w:id="2171"/>
      <w:bookmarkEnd w:id="2172"/>
      <w:bookmarkEnd w:id="2173"/>
      <w:bookmarkEnd w:id="2174"/>
      <w:bookmarkEnd w:id="2175"/>
      <w:bookmarkEnd w:id="2176"/>
    </w:p>
    <w:p w14:paraId="71628A38">
      <w:pPr>
        <w:spacing w:line="360" w:lineRule="auto"/>
        <w:ind w:firstLine="482" w:firstLineChars="200"/>
        <w:outlineLvl w:val="1"/>
        <w:rPr>
          <w:rFonts w:ascii="宋体" w:hAnsi="等线" w:eastAsia="宋体" w:cs="Times New Roman"/>
          <w:b/>
          <w:color w:val="000000"/>
          <w:sz w:val="24"/>
          <w:szCs w:val="22"/>
        </w:rPr>
      </w:pPr>
      <w:bookmarkStart w:id="2177" w:name="_Toc21667"/>
      <w:r>
        <w:rPr>
          <w:rFonts w:hint="eastAsia" w:ascii="宋体" w:hAnsi="宋体" w:eastAsia="宋体" w:cs="Times New Roman"/>
          <w:b/>
          <w:color w:val="000000"/>
          <w:sz w:val="24"/>
          <w:szCs w:val="22"/>
        </w:rPr>
        <w:t>（一）课程具体目标</w:t>
      </w:r>
      <w:bookmarkEnd w:id="2177"/>
    </w:p>
    <w:p w14:paraId="299346BF">
      <w:pPr>
        <w:spacing w:line="360" w:lineRule="auto"/>
        <w:ind w:firstLine="480" w:firstLineChars="200"/>
        <w:rPr>
          <w:rFonts w:ascii="宋体" w:hAnsi="等线"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1.了解社会学的研究对象和任务、社会学的学科特点和社会作用、社会学的历史发展和研究方法。</w:t>
      </w:r>
    </w:p>
    <w:p w14:paraId="7EEE9675">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2.掌握社会有机整体的基本构成要素及其相互关系、社会运行的动态过程、变迁及规律、社会良性运行及协调发展的条件与机制。</w:t>
      </w:r>
    </w:p>
    <w:p w14:paraId="7BD94D01">
      <w:pPr>
        <w:spacing w:line="360" w:lineRule="auto"/>
        <w:ind w:firstLine="480" w:firstLineChars="200"/>
        <w:rPr>
          <w:rFonts w:ascii="宋体" w:hAnsi="等线"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3.熟练掌握社会构成、社会化、社会互动、社会群体、社会组织、社会分层、社会流动、社会制度、社会变迁、社会现代化等内容。</w:t>
      </w:r>
    </w:p>
    <w:p w14:paraId="4064936A">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4.</w:t>
      </w:r>
      <w:r>
        <w:rPr>
          <w:rFonts w:hint="eastAsia" w:ascii="宋体" w:hAnsi="宋体" w:eastAsia="宋体" w:cs="Times New Roman"/>
          <w:color w:val="000000"/>
          <w:sz w:val="24"/>
          <w:szCs w:val="22"/>
        </w:rPr>
        <w:t>运用</w:t>
      </w:r>
      <w:r>
        <w:rPr>
          <w:rFonts w:ascii="宋体" w:hAnsi="宋体" w:eastAsia="宋体" w:cs="Times New Roman"/>
          <w:color w:val="000000"/>
          <w:sz w:val="24"/>
          <w:szCs w:val="22"/>
        </w:rPr>
        <w:t>社会学的理论和方法观察社会现实、分析社会现象、解决社会问题，形成科学地认识社会和驾驭社会的能力。</w:t>
      </w:r>
    </w:p>
    <w:p w14:paraId="19B0D125">
      <w:pPr>
        <w:spacing w:line="360" w:lineRule="auto"/>
        <w:ind w:firstLine="482" w:firstLineChars="200"/>
        <w:outlineLvl w:val="1"/>
        <w:rPr>
          <w:rFonts w:ascii="宋体" w:hAnsi="宋体" w:eastAsia="宋体" w:cs="Times New Roman"/>
          <w:b/>
          <w:color w:val="000000"/>
          <w:sz w:val="24"/>
          <w:szCs w:val="22"/>
        </w:rPr>
      </w:pPr>
      <w:bookmarkStart w:id="2178" w:name="_Toc17914"/>
      <w:r>
        <w:rPr>
          <w:rFonts w:hint="eastAsia" w:ascii="宋体" w:hAnsi="宋体" w:eastAsia="宋体" w:cs="Times New Roman"/>
          <w:b/>
          <w:color w:val="000000"/>
          <w:sz w:val="24"/>
          <w:szCs w:val="22"/>
        </w:rPr>
        <w:t>（二）课程目标与专业毕业要求的关系</w:t>
      </w:r>
      <w:bookmarkEnd w:id="2178"/>
    </w:p>
    <w:tbl>
      <w:tblPr>
        <w:tblStyle w:val="11"/>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5742"/>
        <w:gridCol w:w="1298"/>
      </w:tblGrid>
      <w:tr w14:paraId="545D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24" w:type="dxa"/>
            <w:vAlign w:val="center"/>
          </w:tcPr>
          <w:p w14:paraId="38F7ED21">
            <w:pPr>
              <w:spacing w:line="276" w:lineRule="auto"/>
              <w:jc w:val="center"/>
              <w:rPr>
                <w:rFonts w:hint="eastAsia" w:ascii="宋体" w:hAnsi="等线" w:eastAsia="宋体" w:cs="Times New Roman"/>
                <w:b/>
                <w:color w:val="000000"/>
                <w:szCs w:val="21"/>
              </w:rPr>
            </w:pPr>
            <w:r>
              <w:rPr>
                <w:rFonts w:hint="eastAsia" w:ascii="宋体" w:hAnsi="等线" w:eastAsia="宋体" w:cs="Times New Roman"/>
                <w:b/>
                <w:color w:val="000000"/>
                <w:szCs w:val="21"/>
              </w:rPr>
              <w:t>毕业要求</w:t>
            </w:r>
          </w:p>
        </w:tc>
        <w:tc>
          <w:tcPr>
            <w:tcW w:w="5742" w:type="dxa"/>
          </w:tcPr>
          <w:p w14:paraId="413DE6E0">
            <w:pPr>
              <w:spacing w:line="276" w:lineRule="auto"/>
              <w:rPr>
                <w:rFonts w:hint="eastAsia" w:ascii="宋体" w:hAnsi="等线" w:eastAsia="宋体" w:cs="Times New Roman"/>
                <w:b/>
                <w:color w:val="000000"/>
                <w:szCs w:val="21"/>
              </w:rPr>
            </w:pPr>
            <w:r>
              <w:rPr>
                <w:rFonts w:hint="eastAsia" w:ascii="宋体" w:hAnsi="等线" w:eastAsia="宋体" w:cs="Times New Roman"/>
                <w:b/>
                <w:color w:val="000000"/>
                <w:szCs w:val="21"/>
              </w:rPr>
              <w:t>毕业要求指标点</w:t>
            </w:r>
          </w:p>
        </w:tc>
        <w:tc>
          <w:tcPr>
            <w:tcW w:w="1298" w:type="dxa"/>
            <w:vAlign w:val="center"/>
          </w:tcPr>
          <w:p w14:paraId="05CDC8C6">
            <w:pPr>
              <w:spacing w:line="276" w:lineRule="auto"/>
              <w:jc w:val="center"/>
              <w:rPr>
                <w:rFonts w:hint="eastAsia" w:ascii="宋体" w:hAnsi="等线" w:eastAsia="宋体" w:cs="Times New Roman"/>
                <w:b/>
                <w:color w:val="000000"/>
                <w:szCs w:val="21"/>
              </w:rPr>
            </w:pPr>
            <w:r>
              <w:rPr>
                <w:rFonts w:hint="eastAsia" w:ascii="宋体" w:hAnsi="等线" w:eastAsia="宋体" w:cs="Times New Roman"/>
                <w:b/>
                <w:color w:val="000000"/>
                <w:szCs w:val="21"/>
              </w:rPr>
              <w:t>课程目标</w:t>
            </w:r>
          </w:p>
        </w:tc>
      </w:tr>
      <w:tr w14:paraId="798A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24" w:type="dxa"/>
            <w:vAlign w:val="center"/>
          </w:tcPr>
          <w:p w14:paraId="620ED6B3">
            <w:pPr>
              <w:spacing w:line="276" w:lineRule="auto"/>
              <w:jc w:val="center"/>
              <w:rPr>
                <w:rFonts w:ascii="宋体" w:hAnsi="等线" w:eastAsia="宋体" w:cs="Times New Roman"/>
                <w:bCs/>
                <w:color w:val="000000"/>
                <w:szCs w:val="21"/>
              </w:rPr>
            </w:pPr>
            <w:r>
              <w:rPr>
                <w:rFonts w:hint="eastAsia" w:ascii="宋体" w:hAnsi="等线" w:eastAsia="宋体" w:cs="Times New Roman"/>
                <w:bCs/>
                <w:color w:val="000000"/>
                <w:szCs w:val="21"/>
              </w:rPr>
              <w:t>毕业要求1</w:t>
            </w:r>
            <w:r>
              <w:rPr>
                <w:rFonts w:ascii="宋体" w:hAnsi="等线" w:eastAsia="宋体" w:cs="Times New Roman"/>
                <w:bCs/>
                <w:color w:val="000000"/>
                <w:szCs w:val="21"/>
              </w:rPr>
              <w:t>:</w:t>
            </w:r>
          </w:p>
          <w:p w14:paraId="59B76C36">
            <w:pPr>
              <w:spacing w:line="276" w:lineRule="auto"/>
              <w:jc w:val="center"/>
              <w:rPr>
                <w:rFonts w:hint="eastAsia" w:ascii="宋体" w:hAnsi="等线" w:eastAsia="宋体" w:cs="Times New Roman"/>
                <w:bCs/>
                <w:color w:val="000000"/>
                <w:szCs w:val="21"/>
              </w:rPr>
            </w:pPr>
            <w:r>
              <w:rPr>
                <w:rFonts w:hint="eastAsia" w:ascii="宋体" w:hAnsi="等线" w:eastAsia="宋体" w:cs="Times New Roman"/>
                <w:bCs/>
                <w:color w:val="000000"/>
                <w:szCs w:val="21"/>
              </w:rPr>
              <w:t>师德规范</w:t>
            </w:r>
          </w:p>
        </w:tc>
        <w:tc>
          <w:tcPr>
            <w:tcW w:w="5742" w:type="dxa"/>
          </w:tcPr>
          <w:p w14:paraId="3DB3A4FD">
            <w:pPr>
              <w:widowControl/>
              <w:shd w:val="clear" w:color="auto" w:fill="FFFFFF"/>
              <w:spacing w:before="0" w:beforeAutospacing="0" w:after="0" w:afterAutospacing="0" w:line="276" w:lineRule="auto"/>
              <w:jc w:val="both"/>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指标点1-1:【理想信念坚定】了解我国国情及国际局势，深刻 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298" w:type="dxa"/>
            <w:vAlign w:val="center"/>
          </w:tcPr>
          <w:p w14:paraId="5C6EB10B">
            <w:pPr>
              <w:spacing w:line="276" w:lineRule="auto"/>
              <w:jc w:val="center"/>
              <w:rPr>
                <w:rFonts w:hint="eastAsia" w:ascii="宋体" w:hAnsi="等线" w:eastAsia="宋体" w:cs="Times New Roman"/>
                <w:bCs/>
                <w:color w:val="000000"/>
                <w:szCs w:val="21"/>
              </w:rPr>
            </w:pPr>
            <w:r>
              <w:rPr>
                <w:rFonts w:hint="eastAsia" w:ascii="宋体" w:hAnsi="等线" w:eastAsia="宋体" w:cs="Times New Roman"/>
                <w:bCs/>
                <w:color w:val="000000"/>
                <w:szCs w:val="21"/>
              </w:rPr>
              <w:t>课程目标1</w:t>
            </w:r>
          </w:p>
        </w:tc>
      </w:tr>
      <w:tr w14:paraId="5D73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624" w:type="dxa"/>
            <w:vAlign w:val="center"/>
          </w:tcPr>
          <w:p w14:paraId="4A9BC057">
            <w:pPr>
              <w:spacing w:line="276" w:lineRule="auto"/>
              <w:jc w:val="center"/>
              <w:rPr>
                <w:rFonts w:ascii="宋体" w:hAnsi="等线" w:eastAsia="宋体" w:cs="Times New Roman"/>
                <w:bCs/>
                <w:color w:val="000000"/>
                <w:szCs w:val="21"/>
              </w:rPr>
            </w:pPr>
            <w:r>
              <w:rPr>
                <w:rFonts w:hint="eastAsia" w:ascii="宋体" w:hAnsi="等线" w:eastAsia="宋体" w:cs="Times New Roman"/>
                <w:bCs/>
                <w:color w:val="000000"/>
                <w:szCs w:val="21"/>
              </w:rPr>
              <w:t>毕业要求3</w:t>
            </w:r>
            <w:r>
              <w:rPr>
                <w:rFonts w:ascii="宋体" w:hAnsi="等线" w:eastAsia="宋体" w:cs="Times New Roman"/>
                <w:bCs/>
                <w:color w:val="000000"/>
                <w:szCs w:val="21"/>
              </w:rPr>
              <w:t>:</w:t>
            </w:r>
          </w:p>
          <w:p w14:paraId="413D3891">
            <w:pPr>
              <w:spacing w:line="276" w:lineRule="auto"/>
              <w:jc w:val="center"/>
              <w:rPr>
                <w:rFonts w:hint="eastAsia" w:ascii="宋体" w:hAnsi="等线" w:eastAsia="宋体" w:cs="Times New Roman"/>
                <w:bCs/>
                <w:color w:val="000000"/>
                <w:szCs w:val="21"/>
              </w:rPr>
            </w:pPr>
            <w:r>
              <w:rPr>
                <w:rFonts w:hint="eastAsia" w:ascii="宋体" w:hAnsi="等线" w:eastAsia="宋体" w:cs="Times New Roman"/>
                <w:bCs/>
                <w:color w:val="000000"/>
                <w:szCs w:val="21"/>
              </w:rPr>
              <w:t>学科素养</w:t>
            </w:r>
          </w:p>
        </w:tc>
        <w:tc>
          <w:tcPr>
            <w:tcW w:w="5742" w:type="dxa"/>
          </w:tcPr>
          <w:p w14:paraId="432F7820">
            <w:pPr>
              <w:widowControl/>
              <w:shd w:val="clear" w:color="auto" w:fill="FFFFFF"/>
              <w:spacing w:before="0" w:beforeAutospacing="0" w:after="0" w:afterAutospacing="0" w:line="276" w:lineRule="auto"/>
              <w:jc w:val="both"/>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 xml:space="preserve">指标点3-1：【通识知识广博】具有小学教育本科专业相应的自然科学和人文社会科学知识素养。 </w:t>
            </w:r>
          </w:p>
        </w:tc>
        <w:tc>
          <w:tcPr>
            <w:tcW w:w="1298" w:type="dxa"/>
            <w:vAlign w:val="center"/>
          </w:tcPr>
          <w:p w14:paraId="2C457A3A">
            <w:pPr>
              <w:spacing w:line="276" w:lineRule="auto"/>
              <w:jc w:val="center"/>
              <w:rPr>
                <w:rFonts w:ascii="宋体" w:hAnsi="等线" w:eastAsia="宋体" w:cs="Times New Roman"/>
                <w:bCs/>
                <w:color w:val="000000"/>
                <w:szCs w:val="21"/>
              </w:rPr>
            </w:pPr>
            <w:r>
              <w:rPr>
                <w:rFonts w:hint="eastAsia" w:ascii="宋体" w:hAnsi="等线" w:eastAsia="宋体" w:cs="Times New Roman"/>
                <w:bCs/>
                <w:color w:val="000000"/>
                <w:szCs w:val="21"/>
              </w:rPr>
              <w:t>课程目标2</w:t>
            </w:r>
          </w:p>
          <w:p w14:paraId="1424563C">
            <w:pPr>
              <w:spacing w:line="276" w:lineRule="auto"/>
              <w:jc w:val="center"/>
              <w:rPr>
                <w:rFonts w:hint="eastAsia" w:ascii="宋体" w:hAnsi="等线" w:eastAsia="宋体" w:cs="Times New Roman"/>
                <w:bCs/>
                <w:color w:val="000000"/>
                <w:szCs w:val="21"/>
              </w:rPr>
            </w:pPr>
            <w:r>
              <w:rPr>
                <w:rFonts w:hint="eastAsia" w:ascii="宋体" w:hAnsi="等线" w:eastAsia="宋体" w:cs="Times New Roman"/>
                <w:bCs/>
                <w:color w:val="000000"/>
                <w:szCs w:val="21"/>
              </w:rPr>
              <w:t>课程目标3</w:t>
            </w:r>
          </w:p>
        </w:tc>
      </w:tr>
      <w:tr w14:paraId="7CCB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624" w:type="dxa"/>
            <w:vAlign w:val="center"/>
          </w:tcPr>
          <w:p w14:paraId="27709FEC">
            <w:pPr>
              <w:spacing w:line="276" w:lineRule="auto"/>
              <w:jc w:val="center"/>
              <w:rPr>
                <w:rFonts w:ascii="宋体" w:hAnsi="等线" w:eastAsia="宋体" w:cs="Times New Roman"/>
                <w:bCs/>
                <w:color w:val="000000"/>
                <w:szCs w:val="21"/>
              </w:rPr>
            </w:pPr>
            <w:r>
              <w:rPr>
                <w:rFonts w:hint="eastAsia" w:ascii="宋体" w:hAnsi="等线" w:eastAsia="宋体" w:cs="Times New Roman"/>
                <w:bCs/>
                <w:color w:val="000000"/>
                <w:szCs w:val="21"/>
              </w:rPr>
              <w:t>毕业要求7</w:t>
            </w:r>
            <w:r>
              <w:rPr>
                <w:rFonts w:ascii="宋体" w:hAnsi="等线" w:eastAsia="宋体" w:cs="Times New Roman"/>
                <w:bCs/>
                <w:color w:val="000000"/>
                <w:szCs w:val="21"/>
              </w:rPr>
              <w:t>:</w:t>
            </w:r>
          </w:p>
          <w:p w14:paraId="7AF0DBDE">
            <w:pPr>
              <w:spacing w:line="276" w:lineRule="auto"/>
              <w:jc w:val="center"/>
              <w:rPr>
                <w:rFonts w:hint="eastAsia" w:ascii="宋体" w:hAnsi="等线" w:eastAsia="宋体" w:cs="Times New Roman"/>
                <w:bCs/>
                <w:color w:val="000000"/>
                <w:szCs w:val="21"/>
              </w:rPr>
            </w:pPr>
            <w:r>
              <w:rPr>
                <w:rFonts w:hint="eastAsia" w:ascii="宋体" w:hAnsi="等线" w:eastAsia="宋体" w:cs="Times New Roman"/>
                <w:bCs/>
                <w:color w:val="000000"/>
                <w:szCs w:val="21"/>
              </w:rPr>
              <w:t>学会反思</w:t>
            </w:r>
          </w:p>
        </w:tc>
        <w:tc>
          <w:tcPr>
            <w:tcW w:w="5742" w:type="dxa"/>
          </w:tcPr>
          <w:p w14:paraId="557855C5">
            <w:pPr>
              <w:widowControl/>
              <w:spacing w:before="0" w:beforeAutospacing="0" w:after="0" w:afterAutospacing="0" w:line="276" w:lineRule="auto"/>
              <w:jc w:val="both"/>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 xml:space="preserve">指标点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 </w:t>
            </w:r>
          </w:p>
        </w:tc>
        <w:tc>
          <w:tcPr>
            <w:tcW w:w="1298" w:type="dxa"/>
            <w:vAlign w:val="center"/>
          </w:tcPr>
          <w:p w14:paraId="483F17E1">
            <w:pPr>
              <w:spacing w:line="276" w:lineRule="auto"/>
              <w:jc w:val="center"/>
              <w:rPr>
                <w:rFonts w:hint="eastAsia" w:ascii="宋体" w:hAnsi="等线" w:eastAsia="宋体" w:cs="Times New Roman"/>
                <w:bCs/>
                <w:color w:val="000000"/>
                <w:szCs w:val="21"/>
              </w:rPr>
            </w:pPr>
            <w:r>
              <w:rPr>
                <w:rFonts w:hint="eastAsia" w:ascii="宋体" w:hAnsi="等线" w:eastAsia="宋体" w:cs="Times New Roman"/>
                <w:bCs/>
                <w:color w:val="000000"/>
                <w:szCs w:val="21"/>
              </w:rPr>
              <w:t>课程目标4</w:t>
            </w:r>
          </w:p>
        </w:tc>
      </w:tr>
    </w:tbl>
    <w:p w14:paraId="6DC34FE7">
      <w:pPr>
        <w:spacing w:line="360" w:lineRule="auto"/>
        <w:ind w:firstLine="482" w:firstLineChars="200"/>
        <w:rPr>
          <w:rFonts w:ascii="宋体" w:hAnsi="等线" w:eastAsia="宋体" w:cs="Times New Roman"/>
          <w:b/>
          <w:color w:val="000000"/>
          <w:sz w:val="24"/>
          <w:szCs w:val="22"/>
        </w:rPr>
      </w:pPr>
    </w:p>
    <w:p w14:paraId="258566BF">
      <w:pPr>
        <w:spacing w:line="360" w:lineRule="auto"/>
        <w:ind w:firstLine="482" w:firstLineChars="200"/>
        <w:outlineLvl w:val="1"/>
        <w:rPr>
          <w:rFonts w:ascii="宋体" w:hAnsi="等线" w:eastAsia="宋体" w:cs="Times New Roman"/>
          <w:b/>
          <w:color w:val="000000"/>
          <w:sz w:val="24"/>
          <w:szCs w:val="22"/>
        </w:rPr>
      </w:pPr>
      <w:bookmarkStart w:id="2179" w:name="_Toc323"/>
      <w:r>
        <w:rPr>
          <w:rFonts w:hint="eastAsia" w:ascii="宋体" w:hAnsi="等线" w:eastAsia="宋体" w:cs="Times New Roman"/>
          <w:b/>
          <w:color w:val="000000"/>
          <w:sz w:val="24"/>
          <w:szCs w:val="22"/>
        </w:rPr>
        <w:t>（三）课程思政目标</w:t>
      </w:r>
      <w:bookmarkEnd w:id="2179"/>
    </w:p>
    <w:p w14:paraId="61CA16FD">
      <w:pPr>
        <w:spacing w:line="360"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巩固专业思想，树立正确</w:t>
      </w:r>
      <w:r>
        <w:rPr>
          <w:rFonts w:hint="eastAsia" w:ascii="宋体" w:hAnsi="宋体" w:eastAsia="宋体" w:cs="Times New Roman"/>
          <w:color w:val="000000"/>
          <w:szCs w:val="21"/>
        </w:rPr>
        <w:t>的</w:t>
      </w:r>
      <w:r>
        <w:rPr>
          <w:rFonts w:ascii="宋体" w:hAnsi="宋体" w:eastAsia="宋体" w:cs="Times New Roman"/>
          <w:color w:val="000000"/>
          <w:szCs w:val="21"/>
        </w:rPr>
        <w:t>教育</w:t>
      </w:r>
      <w:r>
        <w:rPr>
          <w:rFonts w:hint="eastAsia" w:ascii="宋体" w:hAnsi="宋体" w:eastAsia="宋体" w:cs="Times New Roman"/>
          <w:color w:val="000000"/>
          <w:szCs w:val="21"/>
        </w:rPr>
        <w:t>理</w:t>
      </w:r>
      <w:r>
        <w:rPr>
          <w:rFonts w:ascii="宋体" w:hAnsi="宋体" w:eastAsia="宋体" w:cs="Times New Roman"/>
          <w:color w:val="000000"/>
          <w:szCs w:val="21"/>
        </w:rPr>
        <w:t>念</w:t>
      </w:r>
      <w:r>
        <w:rPr>
          <w:rFonts w:hint="eastAsia" w:ascii="宋体" w:hAnsi="宋体" w:eastAsia="宋体" w:cs="Times New Roman"/>
          <w:color w:val="000000"/>
          <w:szCs w:val="21"/>
        </w:rPr>
        <w:t>；建立科学客观的分析观念，掌握社会学分析问题的视角和方法，全面的了解教育实际，辩证认识教育领域中的问题，建立科学的教育观。</w:t>
      </w:r>
    </w:p>
    <w:p w14:paraId="06EF5997">
      <w:pPr>
        <w:adjustRightInd w:val="0"/>
        <w:snapToGrid w:val="0"/>
        <w:spacing w:line="360" w:lineRule="auto"/>
        <w:ind w:firstLine="482" w:firstLineChars="200"/>
        <w:outlineLvl w:val="0"/>
        <w:rPr>
          <w:rFonts w:hint="eastAsia" w:ascii="宋体" w:hAnsi="宋体" w:eastAsia="宋体" w:cs="Times New Roman"/>
          <w:b/>
          <w:color w:val="000000"/>
          <w:sz w:val="24"/>
          <w:szCs w:val="24"/>
        </w:rPr>
      </w:pPr>
      <w:bookmarkStart w:id="2180" w:name="_Toc31067"/>
      <w:bookmarkStart w:id="2181" w:name="_Toc28598"/>
      <w:bookmarkStart w:id="2182" w:name="_Toc13531"/>
      <w:bookmarkStart w:id="2183" w:name="_Toc17916"/>
      <w:bookmarkStart w:id="2184" w:name="_Toc19567"/>
      <w:bookmarkStart w:id="2185" w:name="_Toc21315"/>
      <w:bookmarkStart w:id="2186" w:name="_Toc714"/>
      <w:r>
        <w:rPr>
          <w:rFonts w:hint="eastAsia" w:ascii="宋体" w:hAnsi="宋体" w:eastAsia="宋体" w:cs="Times New Roman"/>
          <w:b/>
          <w:color w:val="000000"/>
          <w:sz w:val="24"/>
          <w:szCs w:val="24"/>
        </w:rPr>
        <w:t>三、教学内容与预期学习成效</w:t>
      </w:r>
      <w:bookmarkEnd w:id="2180"/>
      <w:bookmarkEnd w:id="2181"/>
      <w:bookmarkEnd w:id="2182"/>
      <w:bookmarkEnd w:id="2183"/>
      <w:bookmarkEnd w:id="2184"/>
      <w:bookmarkEnd w:id="2185"/>
      <w:bookmarkEnd w:id="2186"/>
    </w:p>
    <w:tbl>
      <w:tblPr>
        <w:tblStyle w:val="1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843"/>
        <w:gridCol w:w="1276"/>
        <w:gridCol w:w="2551"/>
        <w:gridCol w:w="1559"/>
        <w:gridCol w:w="567"/>
      </w:tblGrid>
      <w:tr w14:paraId="0196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71" w:type="dxa"/>
            <w:vAlign w:val="center"/>
          </w:tcPr>
          <w:p w14:paraId="62011C00">
            <w:pPr>
              <w:adjustRightInd w:val="0"/>
              <w:snapToGrid w:val="0"/>
              <w:spacing w:line="276" w:lineRule="auto"/>
              <w:jc w:val="center"/>
              <w:rPr>
                <w:rFonts w:hint="eastAsia" w:ascii="宋体" w:hAnsi="等线" w:eastAsia="宋体" w:cs="Times New Roman"/>
                <w:b/>
                <w:color w:val="000000"/>
                <w:sz w:val="24"/>
                <w:szCs w:val="24"/>
              </w:rPr>
            </w:pPr>
            <w:r>
              <w:rPr>
                <w:rFonts w:hint="eastAsia" w:ascii="宋体" w:hAnsi="等线" w:eastAsia="宋体" w:cs="Times New Roman"/>
                <w:b/>
                <w:color w:val="000000"/>
                <w:sz w:val="24"/>
                <w:szCs w:val="24"/>
              </w:rPr>
              <w:t>知识单元</w:t>
            </w:r>
          </w:p>
        </w:tc>
        <w:tc>
          <w:tcPr>
            <w:tcW w:w="1843" w:type="dxa"/>
            <w:vAlign w:val="center"/>
          </w:tcPr>
          <w:p w14:paraId="13398087">
            <w:pPr>
              <w:adjustRightInd w:val="0"/>
              <w:snapToGrid w:val="0"/>
              <w:spacing w:line="276" w:lineRule="auto"/>
              <w:jc w:val="center"/>
              <w:rPr>
                <w:rFonts w:hint="eastAsia" w:ascii="宋体" w:hAnsi="等线" w:eastAsia="宋体" w:cs="Times New Roman"/>
                <w:b/>
                <w:color w:val="000000"/>
                <w:sz w:val="24"/>
                <w:szCs w:val="24"/>
              </w:rPr>
            </w:pPr>
            <w:r>
              <w:rPr>
                <w:rFonts w:hint="eastAsia" w:ascii="宋体" w:hAnsi="等线" w:eastAsia="宋体" w:cs="Times New Roman"/>
                <w:b/>
                <w:color w:val="000000"/>
                <w:sz w:val="24"/>
                <w:szCs w:val="24"/>
              </w:rPr>
              <w:t>知识点</w:t>
            </w:r>
          </w:p>
        </w:tc>
        <w:tc>
          <w:tcPr>
            <w:tcW w:w="1276" w:type="dxa"/>
            <w:vAlign w:val="center"/>
          </w:tcPr>
          <w:p w14:paraId="56B6DBAE">
            <w:pPr>
              <w:adjustRightInd w:val="0"/>
              <w:snapToGrid w:val="0"/>
              <w:spacing w:line="276" w:lineRule="auto"/>
              <w:jc w:val="center"/>
              <w:rPr>
                <w:rFonts w:ascii="宋体" w:hAnsi="等线" w:eastAsia="宋体" w:cs="Times New Roman"/>
                <w:b/>
                <w:color w:val="000000"/>
                <w:sz w:val="24"/>
                <w:szCs w:val="24"/>
              </w:rPr>
            </w:pPr>
            <w:r>
              <w:rPr>
                <w:rFonts w:hint="eastAsia" w:ascii="宋体" w:hAnsi="等线" w:eastAsia="宋体" w:cs="Times New Roman"/>
                <w:b/>
                <w:color w:val="000000"/>
                <w:sz w:val="24"/>
                <w:szCs w:val="24"/>
              </w:rPr>
              <w:t>对应</w:t>
            </w:r>
          </w:p>
          <w:p w14:paraId="259F0832">
            <w:pPr>
              <w:adjustRightInd w:val="0"/>
              <w:snapToGrid w:val="0"/>
              <w:spacing w:line="276" w:lineRule="auto"/>
              <w:jc w:val="center"/>
              <w:rPr>
                <w:rFonts w:hint="eastAsia" w:ascii="宋体" w:hAnsi="等线" w:eastAsia="宋体" w:cs="Times New Roman"/>
                <w:b/>
                <w:color w:val="000000"/>
                <w:sz w:val="24"/>
                <w:szCs w:val="24"/>
              </w:rPr>
            </w:pPr>
            <w:r>
              <w:rPr>
                <w:rFonts w:hint="eastAsia" w:ascii="宋体" w:hAnsi="等线" w:eastAsia="宋体" w:cs="Times New Roman"/>
                <w:b/>
                <w:color w:val="000000"/>
                <w:sz w:val="24"/>
                <w:szCs w:val="24"/>
              </w:rPr>
              <w:t>课程目标</w:t>
            </w:r>
          </w:p>
        </w:tc>
        <w:tc>
          <w:tcPr>
            <w:tcW w:w="2551" w:type="dxa"/>
            <w:vAlign w:val="center"/>
          </w:tcPr>
          <w:p w14:paraId="6E7D251D">
            <w:pPr>
              <w:adjustRightInd w:val="0"/>
              <w:snapToGrid w:val="0"/>
              <w:spacing w:line="276" w:lineRule="auto"/>
              <w:jc w:val="center"/>
              <w:rPr>
                <w:rFonts w:hint="eastAsia" w:ascii="宋体" w:hAnsi="等线" w:eastAsia="宋体" w:cs="Times New Roman"/>
                <w:b/>
                <w:color w:val="000000"/>
                <w:sz w:val="24"/>
                <w:szCs w:val="24"/>
              </w:rPr>
            </w:pPr>
            <w:r>
              <w:rPr>
                <w:rFonts w:hint="eastAsia" w:ascii="宋体" w:hAnsi="等线" w:eastAsia="宋体" w:cs="Times New Roman"/>
                <w:b/>
                <w:color w:val="000000"/>
                <w:sz w:val="24"/>
                <w:szCs w:val="24"/>
              </w:rPr>
              <w:t>预期学习成效</w:t>
            </w:r>
          </w:p>
        </w:tc>
        <w:tc>
          <w:tcPr>
            <w:tcW w:w="1559" w:type="dxa"/>
            <w:vAlign w:val="center"/>
          </w:tcPr>
          <w:p w14:paraId="44029D7A">
            <w:pPr>
              <w:adjustRightInd w:val="0"/>
              <w:snapToGrid w:val="0"/>
              <w:spacing w:line="276" w:lineRule="auto"/>
              <w:jc w:val="center"/>
              <w:rPr>
                <w:rFonts w:hint="eastAsia" w:ascii="宋体" w:hAnsi="等线" w:eastAsia="宋体" w:cs="Times New Roman"/>
                <w:b/>
                <w:color w:val="000000"/>
                <w:sz w:val="24"/>
                <w:szCs w:val="24"/>
              </w:rPr>
            </w:pPr>
            <w:r>
              <w:rPr>
                <w:rFonts w:hint="eastAsia" w:ascii="宋体" w:hAnsi="等线" w:eastAsia="宋体" w:cs="Times New Roman"/>
                <w:b/>
                <w:color w:val="000000"/>
                <w:sz w:val="24"/>
                <w:szCs w:val="24"/>
              </w:rPr>
              <w:t>实现环节</w:t>
            </w:r>
          </w:p>
        </w:tc>
        <w:tc>
          <w:tcPr>
            <w:tcW w:w="567" w:type="dxa"/>
            <w:vAlign w:val="center"/>
          </w:tcPr>
          <w:p w14:paraId="0A657D93">
            <w:pPr>
              <w:adjustRightInd w:val="0"/>
              <w:snapToGrid w:val="0"/>
              <w:spacing w:line="276" w:lineRule="auto"/>
              <w:jc w:val="center"/>
              <w:rPr>
                <w:rFonts w:hint="eastAsia" w:ascii="宋体" w:hAnsi="等线" w:eastAsia="宋体" w:cs="Times New Roman"/>
                <w:b/>
                <w:color w:val="000000"/>
                <w:sz w:val="24"/>
                <w:szCs w:val="24"/>
              </w:rPr>
            </w:pPr>
            <w:r>
              <w:rPr>
                <w:rFonts w:hint="eastAsia" w:ascii="宋体" w:hAnsi="等线" w:eastAsia="宋体" w:cs="Times New Roman"/>
                <w:b/>
                <w:color w:val="000000"/>
                <w:sz w:val="24"/>
                <w:szCs w:val="24"/>
              </w:rPr>
              <w:t>学时</w:t>
            </w:r>
          </w:p>
        </w:tc>
      </w:tr>
      <w:tr w14:paraId="1CA7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trPr>
        <w:tc>
          <w:tcPr>
            <w:tcW w:w="1271" w:type="dxa"/>
            <w:vMerge w:val="restart"/>
            <w:vAlign w:val="center"/>
          </w:tcPr>
          <w:p w14:paraId="650D79D1">
            <w:pPr>
              <w:adjustRightInd w:val="0"/>
              <w:snapToGrid w:val="0"/>
              <w:spacing w:line="276" w:lineRule="auto"/>
              <w:jc w:val="center"/>
              <w:rPr>
                <w:rFonts w:ascii="宋体" w:hAnsi="等线" w:eastAsia="宋体" w:cs="Times New Roman"/>
                <w:bCs/>
                <w:color w:val="000000"/>
                <w:szCs w:val="21"/>
              </w:rPr>
            </w:pPr>
            <w:r>
              <w:rPr>
                <w:rFonts w:hint="eastAsia" w:ascii="宋体" w:hAnsi="等线" w:eastAsia="宋体" w:cs="Times New Roman"/>
                <w:bCs/>
                <w:color w:val="000000"/>
                <w:szCs w:val="21"/>
              </w:rPr>
              <w:t>第一章</w:t>
            </w:r>
          </w:p>
          <w:p w14:paraId="40E42F90">
            <w:pPr>
              <w:adjustRightInd w:val="0"/>
              <w:snapToGrid w:val="0"/>
              <w:spacing w:line="276" w:lineRule="auto"/>
              <w:jc w:val="center"/>
              <w:rPr>
                <w:rFonts w:hint="eastAsia" w:ascii="宋体" w:hAnsi="等线" w:eastAsia="宋体" w:cs="Times New Roman"/>
                <w:bCs/>
                <w:color w:val="000000"/>
                <w:szCs w:val="21"/>
              </w:rPr>
            </w:pPr>
            <w:r>
              <w:rPr>
                <w:rFonts w:hint="eastAsia" w:ascii="宋体" w:hAnsi="等线" w:eastAsia="宋体" w:cs="Times New Roman"/>
                <w:bCs/>
                <w:color w:val="000000"/>
                <w:szCs w:val="21"/>
              </w:rPr>
              <w:t>认识社会学</w:t>
            </w:r>
          </w:p>
        </w:tc>
        <w:tc>
          <w:tcPr>
            <w:tcW w:w="1843" w:type="dxa"/>
            <w:vAlign w:val="center"/>
          </w:tcPr>
          <w:p w14:paraId="3FE19863">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1</w:t>
            </w:r>
            <w:r>
              <w:rPr>
                <w:rFonts w:ascii="宋体" w:hAnsi="等线" w:eastAsia="宋体" w:cs="Times New Roman"/>
                <w:bCs/>
                <w:color w:val="000000"/>
                <w:szCs w:val="21"/>
              </w:rPr>
              <w:t>.什么是社会学</w:t>
            </w:r>
          </w:p>
          <w:p w14:paraId="4F91BCF6">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2</w:t>
            </w:r>
            <w:r>
              <w:rPr>
                <w:rFonts w:ascii="宋体" w:hAnsi="等线" w:eastAsia="宋体" w:cs="Times New Roman"/>
                <w:bCs/>
                <w:color w:val="000000"/>
                <w:szCs w:val="21"/>
              </w:rPr>
              <w:t>.社会学研究对象和研究领域</w:t>
            </w:r>
          </w:p>
          <w:p w14:paraId="474814E2">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3</w:t>
            </w:r>
            <w:r>
              <w:rPr>
                <w:rFonts w:ascii="宋体" w:hAnsi="等线" w:eastAsia="宋体" w:cs="Times New Roman"/>
                <w:bCs/>
                <w:color w:val="000000"/>
                <w:szCs w:val="21"/>
              </w:rPr>
              <w:t>.</w:t>
            </w:r>
            <w:r>
              <w:rPr>
                <w:rFonts w:hint="eastAsia" w:ascii="宋体" w:hAnsi="等线" w:eastAsia="宋体" w:cs="Times New Roman"/>
                <w:bCs/>
                <w:color w:val="000000"/>
                <w:szCs w:val="21"/>
              </w:rPr>
              <w:t>社会学发展的历史</w:t>
            </w:r>
          </w:p>
          <w:p w14:paraId="638BBD9B">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4</w:t>
            </w:r>
            <w:r>
              <w:rPr>
                <w:rFonts w:ascii="宋体" w:hAnsi="等线" w:eastAsia="宋体" w:cs="Times New Roman"/>
                <w:bCs/>
                <w:color w:val="000000"/>
                <w:szCs w:val="21"/>
              </w:rPr>
              <w:t>.学习社会学的价值</w:t>
            </w:r>
          </w:p>
        </w:tc>
        <w:tc>
          <w:tcPr>
            <w:tcW w:w="1276" w:type="dxa"/>
            <w:vAlign w:val="center"/>
          </w:tcPr>
          <w:p w14:paraId="706700CE">
            <w:pPr>
              <w:adjustRightInd w:val="0"/>
              <w:snapToGrid w:val="0"/>
              <w:spacing w:line="276" w:lineRule="auto"/>
              <w:rPr>
                <w:rFonts w:hint="eastAsia" w:ascii="宋体" w:hAnsi="等线" w:eastAsia="宋体" w:cs="Times New Roman"/>
                <w:bCs/>
                <w:color w:val="000000"/>
                <w:szCs w:val="21"/>
              </w:rPr>
            </w:pPr>
            <w:r>
              <w:rPr>
                <w:rFonts w:hint="eastAsia" w:ascii="宋体" w:hAnsi="宋体" w:eastAsia="宋体" w:cs="Times New Roman"/>
                <w:bCs/>
                <w:color w:val="000000"/>
                <w:sz w:val="22"/>
                <w:szCs w:val="22"/>
              </w:rPr>
              <w:t>课程目标</w:t>
            </w:r>
            <w:r>
              <w:rPr>
                <w:rFonts w:ascii="宋体" w:hAnsi="宋体" w:eastAsia="宋体" w:cs="Times New Roman"/>
                <w:bCs/>
                <w:color w:val="000000"/>
                <w:sz w:val="22"/>
                <w:szCs w:val="22"/>
              </w:rPr>
              <w:t>1</w:t>
            </w:r>
          </w:p>
        </w:tc>
        <w:tc>
          <w:tcPr>
            <w:tcW w:w="2551" w:type="dxa"/>
            <w:vAlign w:val="center"/>
          </w:tcPr>
          <w:p w14:paraId="487B4408">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1</w:t>
            </w:r>
            <w:r>
              <w:rPr>
                <w:rFonts w:ascii="宋体" w:hAnsi="等线" w:eastAsia="宋体" w:cs="Times New Roman"/>
                <w:bCs/>
                <w:color w:val="000000"/>
                <w:szCs w:val="21"/>
              </w:rPr>
              <w:t>.了解社会学的学科性质、研究对象</w:t>
            </w:r>
          </w:p>
          <w:p w14:paraId="5EB071E3">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2</w:t>
            </w:r>
            <w:r>
              <w:rPr>
                <w:rFonts w:ascii="宋体" w:hAnsi="等线" w:eastAsia="宋体" w:cs="Times New Roman"/>
                <w:bCs/>
                <w:color w:val="000000"/>
                <w:szCs w:val="21"/>
              </w:rPr>
              <w:t>.理解社会学的与其他社会科学的关系</w:t>
            </w:r>
          </w:p>
          <w:p w14:paraId="7D54632B">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3</w:t>
            </w:r>
            <w:r>
              <w:rPr>
                <w:rFonts w:ascii="宋体" w:hAnsi="等线" w:eastAsia="宋体" w:cs="Times New Roman"/>
                <w:bCs/>
                <w:color w:val="000000"/>
                <w:szCs w:val="21"/>
              </w:rPr>
              <w:t>.掌握社会学考查社会系统的基本角度</w:t>
            </w:r>
          </w:p>
          <w:p w14:paraId="15DC2DD3">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4</w:t>
            </w:r>
            <w:r>
              <w:rPr>
                <w:rFonts w:ascii="宋体" w:hAnsi="等线" w:eastAsia="宋体" w:cs="Times New Roman"/>
                <w:bCs/>
                <w:color w:val="000000"/>
                <w:szCs w:val="21"/>
              </w:rPr>
              <w:t>.</w:t>
            </w:r>
            <w:r>
              <w:rPr>
                <w:rFonts w:hint="eastAsia" w:ascii="宋体" w:hAnsi="等线" w:eastAsia="宋体" w:cs="Times New Roman"/>
                <w:bCs/>
                <w:color w:val="000000"/>
                <w:szCs w:val="21"/>
              </w:rPr>
              <w:t>熟悉社会学代表人物及其思想</w:t>
            </w:r>
          </w:p>
        </w:tc>
        <w:tc>
          <w:tcPr>
            <w:tcW w:w="1559" w:type="dxa"/>
            <w:vAlign w:val="center"/>
          </w:tcPr>
          <w:p w14:paraId="73E62183">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1</w:t>
            </w:r>
            <w:r>
              <w:rPr>
                <w:rFonts w:ascii="宋体" w:hAnsi="等线" w:eastAsia="宋体" w:cs="Times New Roman"/>
                <w:bCs/>
                <w:color w:val="000000"/>
                <w:szCs w:val="21"/>
              </w:rPr>
              <w:t>.</w:t>
            </w:r>
            <w:r>
              <w:rPr>
                <w:rFonts w:hint="eastAsia" w:ascii="宋体" w:hAnsi="等线" w:eastAsia="宋体" w:cs="Times New Roman"/>
                <w:bCs/>
                <w:color w:val="000000"/>
                <w:szCs w:val="21"/>
              </w:rPr>
              <w:t>多媒体教学</w:t>
            </w:r>
          </w:p>
          <w:p w14:paraId="0E76DADA">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2</w:t>
            </w:r>
            <w:r>
              <w:rPr>
                <w:rFonts w:ascii="宋体" w:hAnsi="等线" w:eastAsia="宋体" w:cs="Times New Roman"/>
                <w:bCs/>
                <w:color w:val="000000"/>
                <w:szCs w:val="21"/>
              </w:rPr>
              <w:t>.</w:t>
            </w:r>
            <w:r>
              <w:rPr>
                <w:rFonts w:hint="eastAsia" w:ascii="宋体" w:hAnsi="等线" w:eastAsia="宋体" w:cs="Times New Roman"/>
                <w:bCs/>
                <w:color w:val="000000"/>
                <w:szCs w:val="21"/>
              </w:rPr>
              <w:t>文献研究</w:t>
            </w:r>
          </w:p>
          <w:p w14:paraId="56F3F48B">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3</w:t>
            </w:r>
            <w:r>
              <w:rPr>
                <w:rFonts w:ascii="宋体" w:hAnsi="等线" w:eastAsia="宋体" w:cs="Times New Roman"/>
                <w:bCs/>
                <w:color w:val="000000"/>
                <w:szCs w:val="21"/>
              </w:rPr>
              <w:t>.</w:t>
            </w:r>
            <w:r>
              <w:rPr>
                <w:rFonts w:hint="eastAsia" w:ascii="宋体" w:hAnsi="等线" w:eastAsia="宋体" w:cs="Times New Roman"/>
                <w:bCs/>
                <w:color w:val="000000"/>
                <w:szCs w:val="21"/>
              </w:rPr>
              <w:t>课堂讨论</w:t>
            </w:r>
          </w:p>
        </w:tc>
        <w:tc>
          <w:tcPr>
            <w:tcW w:w="567" w:type="dxa"/>
            <w:vAlign w:val="center"/>
          </w:tcPr>
          <w:p w14:paraId="6B921E9D">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6</w:t>
            </w:r>
          </w:p>
        </w:tc>
      </w:tr>
      <w:tr w14:paraId="388D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71" w:type="dxa"/>
            <w:vMerge w:val="continue"/>
            <w:vAlign w:val="center"/>
          </w:tcPr>
          <w:p w14:paraId="23DA0F44">
            <w:pPr>
              <w:adjustRightInd w:val="0"/>
              <w:snapToGrid w:val="0"/>
              <w:spacing w:line="276" w:lineRule="auto"/>
              <w:jc w:val="center"/>
              <w:rPr>
                <w:rFonts w:hint="eastAsia" w:ascii="宋体" w:hAnsi="等线" w:eastAsia="宋体" w:cs="Times New Roman"/>
                <w:b/>
                <w:color w:val="000000"/>
                <w:sz w:val="24"/>
                <w:szCs w:val="24"/>
              </w:rPr>
            </w:pPr>
          </w:p>
        </w:tc>
        <w:tc>
          <w:tcPr>
            <w:tcW w:w="7796" w:type="dxa"/>
            <w:gridSpan w:val="5"/>
          </w:tcPr>
          <w:p w14:paraId="760E3715">
            <w:pPr>
              <w:widowControl/>
              <w:adjustRightInd w:val="0"/>
              <w:snapToGrid w:val="0"/>
              <w:spacing w:line="276" w:lineRule="auto"/>
              <w:jc w:val="left"/>
              <w:rPr>
                <w:rFonts w:hint="eastAsia" w:ascii="宋体" w:hAnsi="宋体" w:eastAsia="宋体" w:cs="宋体"/>
                <w:color w:val="000000"/>
                <w:kern w:val="0"/>
                <w:sz w:val="24"/>
                <w:szCs w:val="24"/>
              </w:rPr>
            </w:pPr>
            <w:r>
              <w:rPr>
                <w:rFonts w:hint="eastAsia" w:ascii="宋体" w:hAnsi="宋体" w:eastAsia="宋体" w:cs="宋体"/>
                <w:b/>
                <w:bCs/>
                <w:color w:val="000000"/>
                <w:kern w:val="0"/>
                <w:szCs w:val="21"/>
              </w:rPr>
              <w:t>课程思政目标</w:t>
            </w:r>
            <w:r>
              <w:rPr>
                <w:rFonts w:hint="eastAsia" w:ascii="宋体" w:hAnsi="宋体" w:eastAsia="宋体" w:cs="宋体"/>
                <w:color w:val="000000"/>
                <w:kern w:val="0"/>
                <w:szCs w:val="21"/>
              </w:rPr>
              <w:t>：理解社会学在教育活动中的作用，逐步加深对教育学与社会学之间关系的认识，帮助学生能够在更高的知识层面上理解教育的本质。</w:t>
            </w:r>
          </w:p>
        </w:tc>
      </w:tr>
      <w:tr w14:paraId="3C65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7D805018">
            <w:pPr>
              <w:adjustRightInd w:val="0"/>
              <w:snapToGrid w:val="0"/>
              <w:spacing w:line="276" w:lineRule="auto"/>
              <w:jc w:val="center"/>
              <w:rPr>
                <w:rFonts w:ascii="宋体" w:hAnsi="等线" w:eastAsia="宋体" w:cs="Times New Roman"/>
                <w:bCs/>
                <w:color w:val="000000"/>
                <w:szCs w:val="21"/>
              </w:rPr>
            </w:pPr>
            <w:r>
              <w:rPr>
                <w:rFonts w:hint="eastAsia" w:ascii="宋体" w:hAnsi="等线" w:eastAsia="宋体" w:cs="Times New Roman"/>
                <w:bCs/>
                <w:color w:val="000000"/>
                <w:szCs w:val="21"/>
              </w:rPr>
              <w:t>第二章</w:t>
            </w:r>
          </w:p>
          <w:p w14:paraId="58B430CB">
            <w:pPr>
              <w:adjustRightInd w:val="0"/>
              <w:snapToGrid w:val="0"/>
              <w:spacing w:line="276" w:lineRule="auto"/>
              <w:jc w:val="center"/>
              <w:rPr>
                <w:rFonts w:hint="eastAsia" w:ascii="宋体" w:hAnsi="等线" w:eastAsia="宋体" w:cs="Times New Roman"/>
                <w:bCs/>
                <w:color w:val="000000"/>
                <w:szCs w:val="21"/>
              </w:rPr>
            </w:pPr>
            <w:r>
              <w:rPr>
                <w:rFonts w:hint="eastAsia" w:ascii="宋体" w:hAnsi="宋体" w:eastAsia="宋体" w:cs="Times New Roman"/>
                <w:bCs/>
                <w:color w:val="000000"/>
                <w:szCs w:val="21"/>
              </w:rPr>
              <w:t>个人与社会</w:t>
            </w:r>
          </w:p>
        </w:tc>
        <w:tc>
          <w:tcPr>
            <w:tcW w:w="1843" w:type="dxa"/>
            <w:vAlign w:val="center"/>
          </w:tcPr>
          <w:p w14:paraId="57672069">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1</w:t>
            </w:r>
            <w:r>
              <w:rPr>
                <w:rFonts w:ascii="宋体" w:hAnsi="等线" w:eastAsia="宋体" w:cs="Times New Roman"/>
                <w:bCs/>
                <w:color w:val="000000"/>
                <w:szCs w:val="21"/>
              </w:rPr>
              <w:t>.人的属性和社会本质</w:t>
            </w:r>
          </w:p>
          <w:p w14:paraId="56D83E7C">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2</w:t>
            </w:r>
            <w:r>
              <w:rPr>
                <w:rFonts w:ascii="宋体" w:hAnsi="等线" w:eastAsia="宋体" w:cs="Times New Roman"/>
                <w:bCs/>
                <w:color w:val="000000"/>
                <w:szCs w:val="21"/>
              </w:rPr>
              <w:t>.社会结构与社会交往</w:t>
            </w:r>
          </w:p>
          <w:p w14:paraId="113DD124">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3</w:t>
            </w:r>
            <w:r>
              <w:rPr>
                <w:rFonts w:ascii="宋体" w:hAnsi="等线" w:eastAsia="宋体" w:cs="Times New Roman"/>
                <w:bCs/>
                <w:color w:val="000000"/>
                <w:szCs w:val="21"/>
              </w:rPr>
              <w:t>.人的社会化与个体化</w:t>
            </w:r>
          </w:p>
        </w:tc>
        <w:tc>
          <w:tcPr>
            <w:tcW w:w="1276" w:type="dxa"/>
            <w:vAlign w:val="center"/>
          </w:tcPr>
          <w:p w14:paraId="53CB2B0B">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课程目标2</w:t>
            </w:r>
          </w:p>
          <w:p w14:paraId="0C19F1F4">
            <w:pPr>
              <w:adjustRightInd w:val="0"/>
              <w:snapToGrid w:val="0"/>
              <w:spacing w:line="276" w:lineRule="auto"/>
              <w:jc w:val="center"/>
              <w:rPr>
                <w:rFonts w:hint="eastAsia" w:ascii="宋体" w:hAnsi="等线" w:eastAsia="宋体" w:cs="Times New Roman"/>
                <w:bCs/>
                <w:color w:val="000000"/>
                <w:szCs w:val="21"/>
              </w:rPr>
            </w:pPr>
            <w:r>
              <w:rPr>
                <w:rFonts w:hint="eastAsia" w:ascii="宋体" w:hAnsi="宋体" w:eastAsia="宋体" w:cs="Times New Roman"/>
                <w:bCs/>
                <w:color w:val="000000"/>
                <w:szCs w:val="21"/>
              </w:rPr>
              <w:t>课程目标3</w:t>
            </w:r>
          </w:p>
        </w:tc>
        <w:tc>
          <w:tcPr>
            <w:tcW w:w="2551" w:type="dxa"/>
          </w:tcPr>
          <w:p w14:paraId="73ECAE61">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1</w:t>
            </w:r>
            <w:r>
              <w:rPr>
                <w:rFonts w:ascii="宋体" w:hAnsi="等线" w:eastAsia="宋体" w:cs="Times New Roman"/>
                <w:bCs/>
                <w:color w:val="000000"/>
                <w:szCs w:val="21"/>
              </w:rPr>
              <w:t>.了解社会的内涵、本质和运行过程</w:t>
            </w:r>
          </w:p>
          <w:p w14:paraId="7B1C2298">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2</w:t>
            </w:r>
            <w:r>
              <w:rPr>
                <w:rFonts w:ascii="宋体" w:hAnsi="等线" w:eastAsia="宋体" w:cs="Times New Roman"/>
                <w:bCs/>
                <w:color w:val="000000"/>
                <w:szCs w:val="21"/>
              </w:rPr>
              <w:t>.了解社会结构、类型、交往方式</w:t>
            </w:r>
          </w:p>
          <w:p w14:paraId="4942A635">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3</w:t>
            </w:r>
            <w:r>
              <w:rPr>
                <w:rFonts w:ascii="宋体" w:hAnsi="等线" w:eastAsia="宋体" w:cs="Times New Roman"/>
                <w:bCs/>
                <w:color w:val="000000"/>
                <w:szCs w:val="21"/>
              </w:rPr>
              <w:t>.掌握社会化的内涵，人的社会化过程</w:t>
            </w:r>
          </w:p>
          <w:p w14:paraId="12E34DF9">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4</w:t>
            </w:r>
            <w:r>
              <w:rPr>
                <w:rFonts w:ascii="宋体" w:hAnsi="等线" w:eastAsia="宋体" w:cs="Times New Roman"/>
                <w:bCs/>
                <w:color w:val="000000"/>
                <w:szCs w:val="21"/>
              </w:rPr>
              <w:t>.理解教育在人的社会化过程中的作用</w:t>
            </w:r>
          </w:p>
        </w:tc>
        <w:tc>
          <w:tcPr>
            <w:tcW w:w="1559" w:type="dxa"/>
          </w:tcPr>
          <w:p w14:paraId="0AEAE47A">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1</w:t>
            </w:r>
            <w:r>
              <w:rPr>
                <w:rFonts w:ascii="宋体" w:hAnsi="等线" w:eastAsia="宋体" w:cs="Times New Roman"/>
                <w:bCs/>
                <w:color w:val="000000"/>
                <w:szCs w:val="21"/>
              </w:rPr>
              <w:t>.</w:t>
            </w:r>
            <w:r>
              <w:rPr>
                <w:rFonts w:hint="eastAsia" w:ascii="宋体" w:hAnsi="等线" w:eastAsia="宋体" w:cs="Times New Roman"/>
                <w:bCs/>
                <w:color w:val="000000"/>
                <w:szCs w:val="21"/>
              </w:rPr>
              <w:t>多媒体教学</w:t>
            </w:r>
          </w:p>
          <w:p w14:paraId="338B819C">
            <w:pPr>
              <w:adjustRightInd w:val="0"/>
              <w:snapToGrid w:val="0"/>
              <w:spacing w:line="276" w:lineRule="auto"/>
              <w:rPr>
                <w:rFonts w:ascii="宋体" w:hAnsi="等线" w:eastAsia="宋体" w:cs="Times New Roman"/>
                <w:bCs/>
                <w:color w:val="000000"/>
                <w:szCs w:val="21"/>
              </w:rPr>
            </w:pPr>
            <w:r>
              <w:rPr>
                <w:rFonts w:hint="eastAsia" w:ascii="宋体" w:hAnsi="等线" w:eastAsia="宋体" w:cs="Times New Roman"/>
                <w:bCs/>
                <w:color w:val="000000"/>
                <w:szCs w:val="21"/>
              </w:rPr>
              <w:t>2</w:t>
            </w:r>
            <w:r>
              <w:rPr>
                <w:rFonts w:ascii="宋体" w:hAnsi="等线" w:eastAsia="宋体" w:cs="Times New Roman"/>
                <w:bCs/>
                <w:color w:val="000000"/>
                <w:szCs w:val="21"/>
              </w:rPr>
              <w:t>.</w:t>
            </w:r>
            <w:r>
              <w:rPr>
                <w:rFonts w:hint="eastAsia" w:ascii="宋体" w:hAnsi="等线" w:eastAsia="宋体" w:cs="Times New Roman"/>
                <w:bCs/>
                <w:color w:val="000000"/>
                <w:szCs w:val="21"/>
              </w:rPr>
              <w:t>案例分析</w:t>
            </w:r>
          </w:p>
          <w:p w14:paraId="7D98479E">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3</w:t>
            </w:r>
            <w:r>
              <w:rPr>
                <w:rFonts w:ascii="宋体" w:hAnsi="等线" w:eastAsia="宋体" w:cs="Times New Roman"/>
                <w:bCs/>
                <w:color w:val="000000"/>
                <w:szCs w:val="21"/>
              </w:rPr>
              <w:t>.</w:t>
            </w:r>
            <w:r>
              <w:rPr>
                <w:rFonts w:hint="eastAsia" w:ascii="宋体" w:hAnsi="等线" w:eastAsia="宋体" w:cs="Times New Roman"/>
                <w:bCs/>
                <w:color w:val="000000"/>
                <w:szCs w:val="21"/>
              </w:rPr>
              <w:t>课堂讨论</w:t>
            </w:r>
          </w:p>
        </w:tc>
        <w:tc>
          <w:tcPr>
            <w:tcW w:w="567" w:type="dxa"/>
          </w:tcPr>
          <w:p w14:paraId="0D56EE48">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Cs/>
                <w:color w:val="000000"/>
                <w:szCs w:val="21"/>
              </w:rPr>
              <w:t>6</w:t>
            </w:r>
          </w:p>
        </w:tc>
      </w:tr>
      <w:tr w14:paraId="1FBB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271" w:type="dxa"/>
            <w:vMerge w:val="continue"/>
            <w:vAlign w:val="center"/>
          </w:tcPr>
          <w:p w14:paraId="4477AF90">
            <w:pPr>
              <w:adjustRightInd w:val="0"/>
              <w:snapToGrid w:val="0"/>
              <w:spacing w:line="276" w:lineRule="auto"/>
              <w:jc w:val="center"/>
              <w:rPr>
                <w:rFonts w:hint="eastAsia" w:ascii="宋体" w:hAnsi="等线" w:eastAsia="宋体" w:cs="Times New Roman"/>
                <w:bCs/>
                <w:color w:val="000000"/>
                <w:szCs w:val="21"/>
              </w:rPr>
            </w:pPr>
          </w:p>
        </w:tc>
        <w:tc>
          <w:tcPr>
            <w:tcW w:w="7796" w:type="dxa"/>
            <w:gridSpan w:val="5"/>
          </w:tcPr>
          <w:p w14:paraId="252B0088">
            <w:pPr>
              <w:adjustRightInd w:val="0"/>
              <w:snapToGrid w:val="0"/>
              <w:spacing w:line="276" w:lineRule="auto"/>
              <w:rPr>
                <w:rFonts w:hint="eastAsia" w:ascii="宋体" w:hAnsi="等线" w:eastAsia="宋体" w:cs="Times New Roman"/>
                <w:bCs/>
                <w:color w:val="000000"/>
                <w:szCs w:val="21"/>
              </w:rPr>
            </w:pPr>
            <w:r>
              <w:rPr>
                <w:rFonts w:hint="eastAsia" w:ascii="宋体" w:hAnsi="等线" w:eastAsia="宋体" w:cs="Times New Roman"/>
                <w:b/>
                <w:color w:val="000000"/>
                <w:szCs w:val="21"/>
              </w:rPr>
              <w:t>课程思政目标：</w:t>
            </w:r>
            <w:r>
              <w:rPr>
                <w:rFonts w:ascii="宋体" w:hAnsi="等线" w:eastAsia="宋体" w:cs="Times New Roman"/>
                <w:bCs/>
                <w:color w:val="000000"/>
                <w:szCs w:val="21"/>
              </w:rPr>
              <w:t>深入理解马克思主义人学的基本内容，从自身实际出发不断加强对教育社会功能的认识。</w:t>
            </w:r>
          </w:p>
        </w:tc>
      </w:tr>
      <w:tr w14:paraId="598B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5297B98C">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第三章</w:t>
            </w:r>
          </w:p>
          <w:p w14:paraId="0C71D7A4">
            <w:pPr>
              <w:adjustRightInd w:val="0"/>
              <w:snapToGrid w:val="0"/>
              <w:spacing w:line="276" w:lineRule="auto"/>
              <w:jc w:val="center"/>
              <w:rPr>
                <w:rFonts w:hint="eastAsia" w:ascii="宋体" w:hAnsi="等线" w:eastAsia="宋体" w:cs="Times New Roman"/>
                <w:bCs/>
                <w:color w:val="000000"/>
                <w:szCs w:val="21"/>
              </w:rPr>
            </w:pPr>
            <w:r>
              <w:rPr>
                <w:rFonts w:hint="eastAsia" w:ascii="宋体" w:hAnsi="宋体" w:eastAsia="宋体" w:cs="Times New Roman"/>
                <w:bCs/>
                <w:color w:val="000000"/>
                <w:szCs w:val="21"/>
              </w:rPr>
              <w:t>社会群体与社会网络</w:t>
            </w:r>
          </w:p>
        </w:tc>
        <w:tc>
          <w:tcPr>
            <w:tcW w:w="1843" w:type="dxa"/>
            <w:vAlign w:val="center"/>
          </w:tcPr>
          <w:p w14:paraId="6B184A50">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.社会网络</w:t>
            </w:r>
          </w:p>
          <w:p w14:paraId="74A1D726">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.社会群体</w:t>
            </w:r>
          </w:p>
          <w:p w14:paraId="41B0146E">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.班级的社会学分析</w:t>
            </w:r>
          </w:p>
        </w:tc>
        <w:tc>
          <w:tcPr>
            <w:tcW w:w="1276" w:type="dxa"/>
            <w:vAlign w:val="center"/>
          </w:tcPr>
          <w:p w14:paraId="408AF04B">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课程目标2</w:t>
            </w:r>
          </w:p>
          <w:p w14:paraId="5C4C6232">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551" w:type="dxa"/>
          </w:tcPr>
          <w:p w14:paraId="1F41262D">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.了解社会网络的类型与功能，理解社会网络分析理论</w:t>
            </w:r>
          </w:p>
          <w:p w14:paraId="1B942C39">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.认识社会群体的类型，掌握初级、次级群体等</w:t>
            </w:r>
          </w:p>
          <w:p w14:paraId="435B81C1">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.理解班级的社会功能</w:t>
            </w:r>
          </w:p>
        </w:tc>
        <w:tc>
          <w:tcPr>
            <w:tcW w:w="1559" w:type="dxa"/>
          </w:tcPr>
          <w:p w14:paraId="62D71CAC">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w:t>
            </w:r>
            <w:r>
              <w:rPr>
                <w:rFonts w:hint="eastAsia" w:ascii="宋体" w:hAnsi="宋体" w:eastAsia="宋体" w:cs="Times New Roman"/>
                <w:bCs/>
                <w:color w:val="000000"/>
                <w:szCs w:val="21"/>
              </w:rPr>
              <w:t>多媒体教学</w:t>
            </w:r>
          </w:p>
          <w:p w14:paraId="5961E9DD">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w:t>
            </w:r>
            <w:r>
              <w:rPr>
                <w:rFonts w:hint="eastAsia" w:ascii="宋体" w:hAnsi="宋体" w:eastAsia="宋体" w:cs="Times New Roman"/>
                <w:bCs/>
                <w:color w:val="000000"/>
                <w:szCs w:val="21"/>
              </w:rPr>
              <w:t>案例分析</w:t>
            </w:r>
          </w:p>
          <w:p w14:paraId="29EF695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w:t>
            </w:r>
            <w:r>
              <w:rPr>
                <w:rFonts w:hint="eastAsia" w:ascii="宋体" w:hAnsi="宋体" w:eastAsia="宋体" w:cs="Times New Roman"/>
                <w:bCs/>
                <w:color w:val="000000"/>
                <w:szCs w:val="21"/>
              </w:rPr>
              <w:t>课堂讨论</w:t>
            </w:r>
          </w:p>
        </w:tc>
        <w:tc>
          <w:tcPr>
            <w:tcW w:w="567" w:type="dxa"/>
          </w:tcPr>
          <w:p w14:paraId="6D6804BD">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6</w:t>
            </w:r>
          </w:p>
        </w:tc>
      </w:tr>
      <w:tr w14:paraId="0A18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587E0630">
            <w:pPr>
              <w:adjustRightInd w:val="0"/>
              <w:snapToGrid w:val="0"/>
              <w:spacing w:line="360" w:lineRule="auto"/>
              <w:jc w:val="center"/>
              <w:rPr>
                <w:rFonts w:hint="eastAsia" w:ascii="宋体" w:hAnsi="等线" w:eastAsia="宋体" w:cs="Times New Roman"/>
                <w:b/>
                <w:color w:val="000000"/>
                <w:sz w:val="24"/>
                <w:szCs w:val="24"/>
              </w:rPr>
            </w:pPr>
          </w:p>
        </w:tc>
        <w:tc>
          <w:tcPr>
            <w:tcW w:w="7796" w:type="dxa"/>
            <w:gridSpan w:val="5"/>
          </w:tcPr>
          <w:p w14:paraId="61F272E5">
            <w:pPr>
              <w:adjustRightInd w:val="0"/>
              <w:snapToGrid w:val="0"/>
              <w:spacing w:line="276" w:lineRule="auto"/>
              <w:rPr>
                <w:rFonts w:hint="eastAsia" w:ascii="宋体" w:hAnsi="宋体" w:eastAsia="宋体" w:cs="Times New Roman"/>
                <w:bCs/>
                <w:color w:val="000000"/>
                <w:szCs w:val="21"/>
              </w:rPr>
            </w:pPr>
            <w:r>
              <w:rPr>
                <w:rFonts w:hint="eastAsia" w:ascii="宋体" w:hAnsi="等线" w:eastAsia="宋体" w:cs="Times New Roman"/>
                <w:b/>
                <w:color w:val="000000"/>
                <w:szCs w:val="21"/>
              </w:rPr>
              <w:t>课程思政目标：</w:t>
            </w:r>
            <w:r>
              <w:rPr>
                <w:rFonts w:ascii="宋体" w:hAnsi="宋体" w:eastAsia="宋体" w:cs="Times New Roman"/>
                <w:bCs/>
                <w:color w:val="000000"/>
                <w:szCs w:val="21"/>
              </w:rPr>
              <w:t>加强对教师群体在社会中的价值认识，理解教师职业角色的特殊意义，深刻领会习近平总书记以人民为中心的治国理政思想。</w:t>
            </w:r>
          </w:p>
        </w:tc>
      </w:tr>
      <w:tr w14:paraId="6232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26941965">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第四章</w:t>
            </w:r>
          </w:p>
          <w:p w14:paraId="3FC958F8">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社会组织</w:t>
            </w:r>
          </w:p>
        </w:tc>
        <w:tc>
          <w:tcPr>
            <w:tcW w:w="1843" w:type="dxa"/>
            <w:vAlign w:val="center"/>
          </w:tcPr>
          <w:p w14:paraId="4851B580">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.社会组织概述</w:t>
            </w:r>
          </w:p>
          <w:p w14:paraId="2C6DCD83">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.组织结构与组织体系</w:t>
            </w:r>
          </w:p>
          <w:p w14:paraId="2AB55A63">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.组织管理</w:t>
            </w:r>
          </w:p>
        </w:tc>
        <w:tc>
          <w:tcPr>
            <w:tcW w:w="1276" w:type="dxa"/>
            <w:vAlign w:val="center"/>
          </w:tcPr>
          <w:p w14:paraId="5E89F0ED">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课程目标2</w:t>
            </w:r>
          </w:p>
          <w:p w14:paraId="17394E33">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551" w:type="dxa"/>
          </w:tcPr>
          <w:p w14:paraId="09CE38AA">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.了解社会组织的含义与构成要素，掌握社会组织的目标与结构。</w:t>
            </w:r>
          </w:p>
          <w:p w14:paraId="7A2BD82F">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.认识科层制，能联系学校实际思考科层制的利弊</w:t>
            </w:r>
          </w:p>
        </w:tc>
        <w:tc>
          <w:tcPr>
            <w:tcW w:w="1559" w:type="dxa"/>
          </w:tcPr>
          <w:p w14:paraId="503D9065">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w:t>
            </w:r>
            <w:r>
              <w:rPr>
                <w:rFonts w:hint="eastAsia" w:ascii="宋体" w:hAnsi="宋体" w:eastAsia="宋体" w:cs="Times New Roman"/>
                <w:bCs/>
                <w:color w:val="000000"/>
                <w:szCs w:val="21"/>
              </w:rPr>
              <w:t>多媒体教学</w:t>
            </w:r>
          </w:p>
          <w:p w14:paraId="08131D78">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w:t>
            </w:r>
            <w:r>
              <w:rPr>
                <w:rFonts w:hint="eastAsia" w:ascii="宋体" w:hAnsi="宋体" w:eastAsia="宋体" w:cs="Times New Roman"/>
                <w:bCs/>
                <w:color w:val="000000"/>
                <w:szCs w:val="21"/>
              </w:rPr>
              <w:t>案例分析</w:t>
            </w:r>
          </w:p>
          <w:p w14:paraId="4F33A77B">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w:t>
            </w:r>
            <w:r>
              <w:rPr>
                <w:rFonts w:hint="eastAsia" w:ascii="宋体" w:hAnsi="宋体" w:eastAsia="宋体" w:cs="Times New Roman"/>
                <w:bCs/>
                <w:color w:val="000000"/>
                <w:szCs w:val="21"/>
              </w:rPr>
              <w:t>课堂讨论</w:t>
            </w:r>
          </w:p>
        </w:tc>
        <w:tc>
          <w:tcPr>
            <w:tcW w:w="567" w:type="dxa"/>
          </w:tcPr>
          <w:p w14:paraId="79DE82A2">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6</w:t>
            </w:r>
          </w:p>
        </w:tc>
      </w:tr>
      <w:tr w14:paraId="0C62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5327F59B">
            <w:pPr>
              <w:adjustRightInd w:val="0"/>
              <w:snapToGrid w:val="0"/>
              <w:spacing w:line="360" w:lineRule="auto"/>
              <w:jc w:val="center"/>
              <w:rPr>
                <w:rFonts w:hint="eastAsia" w:ascii="宋体" w:hAnsi="宋体" w:eastAsia="宋体" w:cs="Times New Roman"/>
                <w:bCs/>
                <w:color w:val="000000"/>
                <w:szCs w:val="21"/>
              </w:rPr>
            </w:pPr>
          </w:p>
        </w:tc>
        <w:tc>
          <w:tcPr>
            <w:tcW w:w="7796" w:type="dxa"/>
            <w:gridSpan w:val="5"/>
          </w:tcPr>
          <w:p w14:paraId="3AB80562">
            <w:pPr>
              <w:adjustRightInd w:val="0"/>
              <w:snapToGrid w:val="0"/>
              <w:spacing w:line="360" w:lineRule="auto"/>
              <w:rPr>
                <w:rFonts w:hint="eastAsia" w:ascii="宋体" w:hAnsi="宋体" w:eastAsia="宋体" w:cs="Times New Roman"/>
                <w:bCs/>
                <w:color w:val="000000"/>
                <w:szCs w:val="21"/>
              </w:rPr>
            </w:pPr>
            <w:r>
              <w:rPr>
                <w:rFonts w:hint="eastAsia" w:ascii="宋体" w:hAnsi="等线" w:eastAsia="宋体" w:cs="Times New Roman"/>
                <w:b/>
                <w:color w:val="000000"/>
                <w:szCs w:val="21"/>
              </w:rPr>
              <w:t>课程思政目标：</w:t>
            </w:r>
            <w:r>
              <w:rPr>
                <w:rFonts w:hint="eastAsia" w:ascii="宋体" w:hAnsi="宋体" w:eastAsia="宋体" w:cs="Times New Roman"/>
                <w:bCs/>
                <w:color w:val="000000"/>
                <w:szCs w:val="21"/>
              </w:rPr>
              <w:t>针对学校组织特点思考教师工作的特殊性，加深对学校管理的认识。</w:t>
            </w:r>
          </w:p>
        </w:tc>
      </w:tr>
      <w:tr w14:paraId="1FFC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6E995046">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第五章</w:t>
            </w:r>
          </w:p>
          <w:p w14:paraId="7F007FDB">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社会制度</w:t>
            </w:r>
          </w:p>
        </w:tc>
        <w:tc>
          <w:tcPr>
            <w:tcW w:w="1843" w:type="dxa"/>
          </w:tcPr>
          <w:p w14:paraId="331EC18D">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.社会制度的内涵与类型</w:t>
            </w:r>
          </w:p>
          <w:p w14:paraId="04A56EA1">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.社会制度存在的价值</w:t>
            </w:r>
          </w:p>
          <w:p w14:paraId="0A465F65">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.社会越轨及其思考</w:t>
            </w:r>
          </w:p>
        </w:tc>
        <w:tc>
          <w:tcPr>
            <w:tcW w:w="1276" w:type="dxa"/>
            <w:vAlign w:val="center"/>
          </w:tcPr>
          <w:p w14:paraId="1D670EB7">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课程目标2</w:t>
            </w:r>
          </w:p>
          <w:p w14:paraId="6109C8E0">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551" w:type="dxa"/>
          </w:tcPr>
          <w:p w14:paraId="48E3F06F">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.了解社会制度的内涵、类型、价值</w:t>
            </w:r>
          </w:p>
          <w:p w14:paraId="4F9E85F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.了解社会越轨行为，从多个角度理解越轨行为发生的原因</w:t>
            </w:r>
          </w:p>
        </w:tc>
        <w:tc>
          <w:tcPr>
            <w:tcW w:w="1559" w:type="dxa"/>
          </w:tcPr>
          <w:p w14:paraId="506AC387">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w:t>
            </w:r>
            <w:r>
              <w:rPr>
                <w:rFonts w:hint="eastAsia" w:ascii="宋体" w:hAnsi="宋体" w:eastAsia="宋体" w:cs="Times New Roman"/>
                <w:bCs/>
                <w:color w:val="000000"/>
                <w:szCs w:val="21"/>
              </w:rPr>
              <w:t>多媒体教学</w:t>
            </w:r>
          </w:p>
          <w:p w14:paraId="4947F9FA">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w:t>
            </w:r>
            <w:r>
              <w:rPr>
                <w:rFonts w:hint="eastAsia" w:ascii="宋体" w:hAnsi="宋体" w:eastAsia="宋体" w:cs="Times New Roman"/>
                <w:bCs/>
                <w:color w:val="000000"/>
                <w:szCs w:val="21"/>
              </w:rPr>
              <w:t>案例分析</w:t>
            </w:r>
          </w:p>
          <w:p w14:paraId="761D98D8">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w:t>
            </w:r>
            <w:r>
              <w:rPr>
                <w:rFonts w:hint="eastAsia" w:ascii="宋体" w:hAnsi="宋体" w:eastAsia="宋体" w:cs="Times New Roman"/>
                <w:bCs/>
                <w:color w:val="000000"/>
                <w:szCs w:val="21"/>
              </w:rPr>
              <w:t>课堂讨论</w:t>
            </w:r>
          </w:p>
        </w:tc>
        <w:tc>
          <w:tcPr>
            <w:tcW w:w="567" w:type="dxa"/>
          </w:tcPr>
          <w:p w14:paraId="77512B1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6</w:t>
            </w:r>
          </w:p>
        </w:tc>
      </w:tr>
      <w:tr w14:paraId="3631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7CC55C26">
            <w:pPr>
              <w:adjustRightInd w:val="0"/>
              <w:snapToGrid w:val="0"/>
              <w:spacing w:line="360" w:lineRule="auto"/>
              <w:jc w:val="center"/>
              <w:rPr>
                <w:rFonts w:hint="eastAsia" w:ascii="宋体" w:hAnsi="宋体" w:eastAsia="宋体" w:cs="Times New Roman"/>
                <w:bCs/>
                <w:color w:val="000000"/>
                <w:szCs w:val="21"/>
              </w:rPr>
            </w:pPr>
          </w:p>
        </w:tc>
        <w:tc>
          <w:tcPr>
            <w:tcW w:w="7796" w:type="dxa"/>
            <w:gridSpan w:val="5"/>
          </w:tcPr>
          <w:p w14:paraId="3ACED867">
            <w:pPr>
              <w:widowControl/>
              <w:adjustRightInd w:val="0"/>
              <w:snapToGrid w:val="0"/>
              <w:spacing w:line="360" w:lineRule="auto"/>
              <w:jc w:val="left"/>
              <w:rPr>
                <w:rFonts w:hint="eastAsia" w:ascii="宋体" w:hAnsi="宋体" w:eastAsia="宋体" w:cs="Times New Roman"/>
                <w:bCs/>
                <w:color w:val="000000"/>
                <w:szCs w:val="21"/>
              </w:rPr>
            </w:pPr>
            <w:r>
              <w:rPr>
                <w:rFonts w:hint="eastAsia" w:ascii="宋体" w:hAnsi="等线" w:eastAsia="宋体" w:cs="Times New Roman"/>
                <w:b/>
                <w:color w:val="000000"/>
                <w:szCs w:val="21"/>
              </w:rPr>
              <w:t>课程思政目标：</w:t>
            </w:r>
            <w:r>
              <w:rPr>
                <w:rFonts w:hint="eastAsia" w:ascii="宋体" w:hAnsi="宋体" w:eastAsia="宋体" w:cs="Times New Roman"/>
                <w:bCs/>
                <w:color w:val="000000"/>
                <w:szCs w:val="21"/>
              </w:rPr>
              <w:t>认识到制度在组织正式管理中的积极意义，增强责任感和自律意识。</w:t>
            </w:r>
          </w:p>
        </w:tc>
      </w:tr>
      <w:tr w14:paraId="14FE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57FEECE5">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第六章</w:t>
            </w:r>
          </w:p>
          <w:p w14:paraId="68834857">
            <w:pPr>
              <w:adjustRightInd w:val="0"/>
              <w:snapToGrid w:val="0"/>
              <w:spacing w:line="276" w:lineRule="auto"/>
              <w:jc w:val="center"/>
              <w:rPr>
                <w:rFonts w:hint="eastAsia" w:ascii="宋体" w:hAnsi="宋体" w:eastAsia="宋体" w:cs="Times New Roman"/>
                <w:bCs/>
                <w:color w:val="000000"/>
                <w:szCs w:val="21"/>
              </w:rPr>
            </w:pPr>
            <w:r>
              <w:rPr>
                <w:rFonts w:ascii="宋体" w:hAnsi="宋体" w:eastAsia="宋体" w:cs="Times New Roman"/>
                <w:bCs/>
                <w:color w:val="000000"/>
                <w:szCs w:val="21"/>
              </w:rPr>
              <w:t>社会分层与社会流动</w:t>
            </w:r>
          </w:p>
        </w:tc>
        <w:tc>
          <w:tcPr>
            <w:tcW w:w="1843" w:type="dxa"/>
            <w:vAlign w:val="center"/>
          </w:tcPr>
          <w:p w14:paraId="3D9154EA">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.社会分层</w:t>
            </w:r>
          </w:p>
          <w:p w14:paraId="4476C96D">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.社会流动</w:t>
            </w:r>
          </w:p>
        </w:tc>
        <w:tc>
          <w:tcPr>
            <w:tcW w:w="1276" w:type="dxa"/>
            <w:vAlign w:val="center"/>
          </w:tcPr>
          <w:p w14:paraId="71F5BC31">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课程目标2</w:t>
            </w:r>
          </w:p>
          <w:p w14:paraId="2715D2B6">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551" w:type="dxa"/>
          </w:tcPr>
          <w:p w14:paraId="0868E5EE">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.了解社会分层的内涵</w:t>
            </w:r>
          </w:p>
          <w:p w14:paraId="386DEEDB">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.理解造成社会分层的原因及其后果</w:t>
            </w:r>
          </w:p>
          <w:p w14:paraId="33D40408">
            <w:pPr>
              <w:adjustRightInd w:val="0"/>
              <w:snapToGrid w:val="0"/>
              <w:spacing w:line="276" w:lineRule="auto"/>
              <w:rPr>
                <w:rFonts w:ascii="宋体" w:hAnsi="宋体" w:eastAsia="宋体" w:cs="Times New Roman"/>
                <w:bCs/>
                <w:color w:val="000000"/>
                <w:szCs w:val="21"/>
              </w:rPr>
            </w:pPr>
            <w:r>
              <w:rPr>
                <w:rFonts w:ascii="宋体" w:hAnsi="宋体" w:eastAsia="宋体" w:cs="Times New Roman"/>
                <w:bCs/>
                <w:color w:val="000000"/>
                <w:szCs w:val="21"/>
              </w:rPr>
              <w:t>3.认识社会流动的类型和影响因素</w:t>
            </w:r>
          </w:p>
          <w:p w14:paraId="38A5AEDD">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4</w:t>
            </w:r>
            <w:r>
              <w:rPr>
                <w:rFonts w:ascii="宋体" w:hAnsi="宋体" w:eastAsia="宋体" w:cs="Times New Roman"/>
                <w:bCs/>
                <w:color w:val="000000"/>
                <w:szCs w:val="21"/>
              </w:rPr>
              <w:t>.掌握合理社会流动的机制和意义</w:t>
            </w:r>
          </w:p>
        </w:tc>
        <w:tc>
          <w:tcPr>
            <w:tcW w:w="1559" w:type="dxa"/>
          </w:tcPr>
          <w:p w14:paraId="5BBC2FC0">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w:t>
            </w:r>
            <w:r>
              <w:rPr>
                <w:rFonts w:hint="eastAsia" w:ascii="宋体" w:hAnsi="宋体" w:eastAsia="宋体" w:cs="Times New Roman"/>
                <w:bCs/>
                <w:color w:val="000000"/>
                <w:szCs w:val="21"/>
              </w:rPr>
              <w:t>多媒体教学</w:t>
            </w:r>
          </w:p>
          <w:p w14:paraId="0FFA88CE">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w:t>
            </w:r>
            <w:r>
              <w:rPr>
                <w:rFonts w:hint="eastAsia" w:ascii="宋体" w:hAnsi="宋体" w:eastAsia="宋体" w:cs="Times New Roman"/>
                <w:bCs/>
                <w:color w:val="000000"/>
                <w:szCs w:val="21"/>
              </w:rPr>
              <w:t>案例分析</w:t>
            </w:r>
          </w:p>
          <w:p w14:paraId="6D39D5BE">
            <w:pPr>
              <w:adjustRightInd w:val="0"/>
              <w:snapToGrid w:val="0"/>
              <w:spacing w:line="360" w:lineRule="auto"/>
              <w:rPr>
                <w:rFonts w:hint="eastAsia" w:ascii="宋体" w:hAnsi="等线" w:eastAsia="宋体" w:cs="Times New Roman"/>
                <w:b/>
                <w:color w:val="000000"/>
                <w:sz w:val="24"/>
                <w:szCs w:val="24"/>
              </w:rPr>
            </w:pPr>
            <w:r>
              <w:rPr>
                <w:rFonts w:hint="eastAsia" w:ascii="宋体" w:hAnsi="宋体" w:eastAsia="宋体" w:cs="Times New Roman"/>
                <w:bCs/>
                <w:color w:val="000000"/>
                <w:szCs w:val="21"/>
              </w:rPr>
              <w:t>3</w:t>
            </w:r>
            <w:r>
              <w:rPr>
                <w:rFonts w:ascii="宋体" w:hAnsi="宋体" w:eastAsia="宋体" w:cs="Times New Roman"/>
                <w:bCs/>
                <w:color w:val="000000"/>
                <w:szCs w:val="21"/>
              </w:rPr>
              <w:t>.</w:t>
            </w:r>
            <w:r>
              <w:rPr>
                <w:rFonts w:hint="eastAsia" w:ascii="宋体" w:hAnsi="宋体" w:eastAsia="宋体" w:cs="Times New Roman"/>
                <w:bCs/>
                <w:color w:val="000000"/>
                <w:szCs w:val="21"/>
              </w:rPr>
              <w:t>课堂讨论</w:t>
            </w:r>
          </w:p>
        </w:tc>
        <w:tc>
          <w:tcPr>
            <w:tcW w:w="567" w:type="dxa"/>
          </w:tcPr>
          <w:p w14:paraId="6D515185">
            <w:pPr>
              <w:adjustRightInd w:val="0"/>
              <w:snapToGrid w:val="0"/>
              <w:spacing w:line="360" w:lineRule="auto"/>
              <w:rPr>
                <w:rFonts w:hint="eastAsia" w:ascii="宋体" w:hAnsi="等线" w:eastAsia="宋体" w:cs="Times New Roman"/>
                <w:b/>
                <w:color w:val="000000"/>
                <w:sz w:val="24"/>
                <w:szCs w:val="24"/>
              </w:rPr>
            </w:pPr>
            <w:r>
              <w:rPr>
                <w:rFonts w:hint="eastAsia" w:ascii="宋体" w:hAnsi="等线" w:eastAsia="宋体" w:cs="Times New Roman"/>
                <w:b/>
                <w:color w:val="000000"/>
                <w:sz w:val="24"/>
                <w:szCs w:val="24"/>
              </w:rPr>
              <w:t>6</w:t>
            </w:r>
          </w:p>
        </w:tc>
      </w:tr>
      <w:tr w14:paraId="4D86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4D391035">
            <w:pPr>
              <w:adjustRightInd w:val="0"/>
              <w:snapToGrid w:val="0"/>
              <w:spacing w:line="276" w:lineRule="auto"/>
              <w:jc w:val="center"/>
              <w:rPr>
                <w:rFonts w:hint="eastAsia" w:ascii="宋体" w:hAnsi="宋体" w:eastAsia="宋体" w:cs="Times New Roman"/>
                <w:bCs/>
                <w:color w:val="000000"/>
                <w:szCs w:val="21"/>
              </w:rPr>
            </w:pPr>
          </w:p>
        </w:tc>
        <w:tc>
          <w:tcPr>
            <w:tcW w:w="7796" w:type="dxa"/>
            <w:gridSpan w:val="5"/>
          </w:tcPr>
          <w:p w14:paraId="79309B06">
            <w:pPr>
              <w:adjustRightInd w:val="0"/>
              <w:snapToGrid w:val="0"/>
              <w:spacing w:line="276" w:lineRule="auto"/>
              <w:rPr>
                <w:rFonts w:hint="eastAsia" w:ascii="宋体" w:hAnsi="宋体" w:eastAsia="宋体" w:cs="Times New Roman"/>
                <w:bCs/>
                <w:color w:val="000000"/>
                <w:szCs w:val="21"/>
              </w:rPr>
            </w:pPr>
            <w:r>
              <w:rPr>
                <w:rFonts w:hint="eastAsia" w:ascii="宋体" w:hAnsi="等线" w:eastAsia="宋体" w:cs="Times New Roman"/>
                <w:b/>
                <w:color w:val="000000"/>
                <w:szCs w:val="21"/>
              </w:rPr>
              <w:t>课程思政目标：</w:t>
            </w:r>
            <w:r>
              <w:rPr>
                <w:rFonts w:hint="eastAsia" w:ascii="宋体" w:hAnsi="宋体" w:eastAsia="宋体" w:cs="Times New Roman"/>
                <w:bCs/>
                <w:color w:val="000000"/>
                <w:szCs w:val="21"/>
              </w:rPr>
              <w:t>增强对我国农民工子女学生的教育感情，理解社会底层人群的疾苦，进而能够在未来的工作中做到对待学生一视同仁。</w:t>
            </w:r>
          </w:p>
        </w:tc>
      </w:tr>
      <w:tr w14:paraId="2722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26A49A8B">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第七章</w:t>
            </w:r>
          </w:p>
          <w:p w14:paraId="28CFBF04">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社会变迁与社会现代化</w:t>
            </w:r>
          </w:p>
        </w:tc>
        <w:tc>
          <w:tcPr>
            <w:tcW w:w="1843" w:type="dxa"/>
          </w:tcPr>
          <w:p w14:paraId="1E4F72C9">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.社会变迁的内容、类型和特点</w:t>
            </w:r>
          </w:p>
          <w:p w14:paraId="3428F9DE">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.社会现代化的内涵和基本特征</w:t>
            </w:r>
          </w:p>
          <w:p w14:paraId="5429B280">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.我国的社会现代化</w:t>
            </w:r>
          </w:p>
        </w:tc>
        <w:tc>
          <w:tcPr>
            <w:tcW w:w="1276" w:type="dxa"/>
            <w:vAlign w:val="center"/>
          </w:tcPr>
          <w:p w14:paraId="5E59E667">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课程目标2</w:t>
            </w:r>
          </w:p>
          <w:p w14:paraId="59ED3021">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课程目标3</w:t>
            </w:r>
          </w:p>
        </w:tc>
        <w:tc>
          <w:tcPr>
            <w:tcW w:w="2551" w:type="dxa"/>
          </w:tcPr>
          <w:p w14:paraId="2BF75389">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.了解社会变迁的内容和根源</w:t>
            </w:r>
          </w:p>
          <w:p w14:paraId="5EC5317D">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.理解社会现代化的基本规律和制约因素</w:t>
            </w:r>
          </w:p>
          <w:p w14:paraId="7F8C07E6">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.掌握我国的社会主义现代化与社会改革</w:t>
            </w:r>
          </w:p>
        </w:tc>
        <w:tc>
          <w:tcPr>
            <w:tcW w:w="1559" w:type="dxa"/>
          </w:tcPr>
          <w:p w14:paraId="24AB6B65">
            <w:pPr>
              <w:adjustRightInd w:val="0"/>
              <w:snapToGrid w:val="0"/>
              <w:spacing w:line="276" w:lineRule="auto"/>
              <w:rPr>
                <w:rFonts w:hint="eastAsia" w:ascii="宋体" w:hAnsi="宋体" w:eastAsia="宋体" w:cs="Times New Roman"/>
                <w:bCs/>
                <w:color w:val="000000"/>
                <w:szCs w:val="21"/>
              </w:rPr>
            </w:pPr>
          </w:p>
        </w:tc>
        <w:tc>
          <w:tcPr>
            <w:tcW w:w="567" w:type="dxa"/>
          </w:tcPr>
          <w:p w14:paraId="7DBDEEF9">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6</w:t>
            </w:r>
          </w:p>
        </w:tc>
      </w:tr>
      <w:tr w14:paraId="2946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01F13DC2">
            <w:pPr>
              <w:adjustRightInd w:val="0"/>
              <w:snapToGrid w:val="0"/>
              <w:spacing w:line="276" w:lineRule="auto"/>
              <w:jc w:val="center"/>
              <w:rPr>
                <w:rFonts w:hint="eastAsia" w:ascii="宋体" w:hAnsi="宋体" w:eastAsia="宋体" w:cs="Times New Roman"/>
                <w:bCs/>
                <w:color w:val="000000"/>
                <w:szCs w:val="21"/>
              </w:rPr>
            </w:pPr>
          </w:p>
        </w:tc>
        <w:tc>
          <w:tcPr>
            <w:tcW w:w="7796" w:type="dxa"/>
            <w:gridSpan w:val="5"/>
          </w:tcPr>
          <w:p w14:paraId="7947ABBC">
            <w:pPr>
              <w:adjustRightInd w:val="0"/>
              <w:snapToGrid w:val="0"/>
              <w:spacing w:line="276" w:lineRule="auto"/>
              <w:rPr>
                <w:rFonts w:hint="eastAsia" w:ascii="宋体" w:hAnsi="宋体" w:eastAsia="宋体" w:cs="Times New Roman"/>
                <w:bCs/>
                <w:color w:val="000000"/>
                <w:szCs w:val="21"/>
              </w:rPr>
            </w:pPr>
            <w:r>
              <w:rPr>
                <w:rFonts w:hint="eastAsia" w:ascii="宋体" w:hAnsi="等线" w:eastAsia="宋体" w:cs="Times New Roman"/>
                <w:b/>
                <w:color w:val="000000"/>
                <w:szCs w:val="21"/>
              </w:rPr>
              <w:t>课程思政目标：</w:t>
            </w:r>
            <w:r>
              <w:rPr>
                <w:rFonts w:hint="eastAsia" w:ascii="宋体" w:hAnsi="宋体" w:eastAsia="宋体" w:cs="Times New Roman"/>
                <w:bCs/>
                <w:color w:val="000000"/>
                <w:szCs w:val="21"/>
              </w:rPr>
              <w:t>增强我国全面建设小康社会和实现中华民族伟大复兴的政治自觉和行动自觉，努力在未来的教育工作中为国家教育现代化贡献力量。</w:t>
            </w:r>
          </w:p>
        </w:tc>
      </w:tr>
      <w:tr w14:paraId="2F11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653D200D">
            <w:pPr>
              <w:adjustRightInd w:val="0"/>
              <w:snapToGrid w:val="0"/>
              <w:spacing w:line="276" w:lineRule="auto"/>
              <w:jc w:val="center"/>
              <w:rPr>
                <w:rFonts w:ascii="宋体" w:hAnsi="宋体" w:eastAsia="宋体" w:cs="Times New Roman"/>
                <w:bCs/>
                <w:color w:val="000000"/>
                <w:szCs w:val="21"/>
              </w:rPr>
            </w:pPr>
            <w:r>
              <w:rPr>
                <w:rFonts w:hint="eastAsia" w:ascii="宋体" w:hAnsi="宋体" w:eastAsia="宋体" w:cs="Times New Roman"/>
                <w:bCs/>
                <w:color w:val="000000"/>
                <w:szCs w:val="21"/>
              </w:rPr>
              <w:t>第八章</w:t>
            </w:r>
          </w:p>
          <w:p w14:paraId="197747C1">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社会学研究方法</w:t>
            </w:r>
          </w:p>
        </w:tc>
        <w:tc>
          <w:tcPr>
            <w:tcW w:w="1843" w:type="dxa"/>
          </w:tcPr>
          <w:p w14:paraId="7C21A5DC">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.社会学调查研究的意义</w:t>
            </w:r>
          </w:p>
          <w:p w14:paraId="673BB68A">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.社会学调查研究的组织与实施</w:t>
            </w:r>
          </w:p>
          <w:p w14:paraId="500EC034">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.常用的社会学调查方法</w:t>
            </w:r>
          </w:p>
          <w:p w14:paraId="76E433B4">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4</w:t>
            </w:r>
            <w:r>
              <w:rPr>
                <w:rFonts w:ascii="宋体" w:hAnsi="宋体" w:eastAsia="宋体" w:cs="Times New Roman"/>
                <w:bCs/>
                <w:color w:val="000000"/>
                <w:szCs w:val="21"/>
              </w:rPr>
              <w:t>.社会指标体系的建立</w:t>
            </w:r>
          </w:p>
        </w:tc>
        <w:tc>
          <w:tcPr>
            <w:tcW w:w="1276" w:type="dxa"/>
            <w:vAlign w:val="center"/>
          </w:tcPr>
          <w:p w14:paraId="742AFC37">
            <w:pPr>
              <w:adjustRightInd w:val="0"/>
              <w:snapToGrid w:val="0"/>
              <w:spacing w:line="276" w:lineRule="auto"/>
              <w:jc w:val="center"/>
              <w:rPr>
                <w:rFonts w:hint="eastAsia" w:ascii="宋体" w:hAnsi="宋体" w:eastAsia="宋体" w:cs="Times New Roman"/>
                <w:bCs/>
                <w:color w:val="000000"/>
                <w:szCs w:val="21"/>
              </w:rPr>
            </w:pPr>
            <w:r>
              <w:rPr>
                <w:rFonts w:hint="eastAsia" w:ascii="宋体" w:hAnsi="宋体" w:eastAsia="宋体" w:cs="Times New Roman"/>
                <w:bCs/>
                <w:color w:val="000000"/>
                <w:szCs w:val="21"/>
              </w:rPr>
              <w:t>课程目标4</w:t>
            </w:r>
          </w:p>
        </w:tc>
        <w:tc>
          <w:tcPr>
            <w:tcW w:w="2551" w:type="dxa"/>
          </w:tcPr>
          <w:p w14:paraId="71EFA488">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1</w:t>
            </w:r>
            <w:r>
              <w:rPr>
                <w:rFonts w:ascii="宋体" w:hAnsi="宋体" w:eastAsia="宋体" w:cs="Times New Roman"/>
                <w:bCs/>
                <w:color w:val="000000"/>
                <w:szCs w:val="21"/>
              </w:rPr>
              <w:t>.了解社会学调查研究的目的和意义</w:t>
            </w:r>
          </w:p>
          <w:p w14:paraId="0E77B285">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2</w:t>
            </w:r>
            <w:r>
              <w:rPr>
                <w:rFonts w:ascii="宋体" w:hAnsi="宋体" w:eastAsia="宋体" w:cs="Times New Roman"/>
                <w:bCs/>
                <w:color w:val="000000"/>
                <w:szCs w:val="21"/>
              </w:rPr>
              <w:t>.理解社会学调查研究的组织和实施</w:t>
            </w:r>
          </w:p>
          <w:p w14:paraId="7999EB09">
            <w:pPr>
              <w:adjustRightInd w:val="0"/>
              <w:snapToGrid w:val="0"/>
              <w:spacing w:line="276" w:lineRule="auto"/>
              <w:rPr>
                <w:rFonts w:ascii="宋体" w:hAnsi="宋体" w:eastAsia="宋体" w:cs="Times New Roman"/>
                <w:bCs/>
                <w:color w:val="000000"/>
                <w:szCs w:val="21"/>
              </w:rPr>
            </w:pPr>
            <w:r>
              <w:rPr>
                <w:rFonts w:hint="eastAsia" w:ascii="宋体" w:hAnsi="宋体" w:eastAsia="宋体" w:cs="Times New Roman"/>
                <w:bCs/>
                <w:color w:val="000000"/>
                <w:szCs w:val="21"/>
              </w:rPr>
              <w:t>3</w:t>
            </w:r>
            <w:r>
              <w:rPr>
                <w:rFonts w:ascii="宋体" w:hAnsi="宋体" w:eastAsia="宋体" w:cs="Times New Roman"/>
                <w:bCs/>
                <w:color w:val="000000"/>
                <w:szCs w:val="21"/>
              </w:rPr>
              <w:t>.掌握问卷的设计与应用</w:t>
            </w:r>
          </w:p>
          <w:p w14:paraId="099F12AF">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4</w:t>
            </w:r>
            <w:r>
              <w:rPr>
                <w:rFonts w:ascii="宋体" w:hAnsi="宋体" w:eastAsia="宋体" w:cs="Times New Roman"/>
                <w:bCs/>
                <w:color w:val="000000"/>
                <w:szCs w:val="21"/>
              </w:rPr>
              <w:t>.了解社会指标及其体系</w:t>
            </w:r>
          </w:p>
        </w:tc>
        <w:tc>
          <w:tcPr>
            <w:tcW w:w="1559" w:type="dxa"/>
          </w:tcPr>
          <w:p w14:paraId="2C1B61EA">
            <w:pPr>
              <w:adjustRightInd w:val="0"/>
              <w:snapToGrid w:val="0"/>
              <w:spacing w:line="276" w:lineRule="auto"/>
              <w:rPr>
                <w:rFonts w:hint="eastAsia" w:ascii="宋体" w:hAnsi="宋体" w:eastAsia="宋体" w:cs="Times New Roman"/>
                <w:bCs/>
                <w:color w:val="000000"/>
                <w:szCs w:val="21"/>
              </w:rPr>
            </w:pPr>
          </w:p>
        </w:tc>
        <w:tc>
          <w:tcPr>
            <w:tcW w:w="567" w:type="dxa"/>
          </w:tcPr>
          <w:p w14:paraId="587E0EB5">
            <w:pPr>
              <w:adjustRightInd w:val="0"/>
              <w:snapToGrid w:val="0"/>
              <w:spacing w:line="276" w:lineRule="auto"/>
              <w:rPr>
                <w:rFonts w:hint="eastAsia" w:ascii="宋体" w:hAnsi="宋体" w:eastAsia="宋体" w:cs="Times New Roman"/>
                <w:bCs/>
                <w:color w:val="000000"/>
                <w:szCs w:val="21"/>
              </w:rPr>
            </w:pPr>
            <w:r>
              <w:rPr>
                <w:rFonts w:hint="eastAsia" w:ascii="宋体" w:hAnsi="宋体" w:eastAsia="宋体" w:cs="Times New Roman"/>
                <w:bCs/>
                <w:color w:val="000000"/>
                <w:szCs w:val="21"/>
              </w:rPr>
              <w:t>6</w:t>
            </w:r>
          </w:p>
        </w:tc>
      </w:tr>
      <w:tr w14:paraId="3D68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792DD4FD">
            <w:pPr>
              <w:adjustRightInd w:val="0"/>
              <w:snapToGrid w:val="0"/>
              <w:spacing w:line="276" w:lineRule="auto"/>
              <w:jc w:val="center"/>
              <w:rPr>
                <w:rFonts w:hint="eastAsia" w:ascii="宋体" w:hAnsi="宋体" w:eastAsia="宋体" w:cs="Times New Roman"/>
                <w:bCs/>
                <w:color w:val="000000"/>
                <w:szCs w:val="21"/>
              </w:rPr>
            </w:pPr>
          </w:p>
        </w:tc>
        <w:tc>
          <w:tcPr>
            <w:tcW w:w="7796" w:type="dxa"/>
            <w:gridSpan w:val="5"/>
          </w:tcPr>
          <w:p w14:paraId="73DA813A">
            <w:pPr>
              <w:adjustRightInd w:val="0"/>
              <w:snapToGrid w:val="0"/>
              <w:spacing w:line="276" w:lineRule="auto"/>
              <w:rPr>
                <w:rFonts w:hint="eastAsia" w:ascii="宋体" w:hAnsi="宋体" w:eastAsia="宋体" w:cs="Times New Roman"/>
                <w:bCs/>
                <w:color w:val="000000"/>
                <w:szCs w:val="21"/>
              </w:rPr>
            </w:pPr>
            <w:r>
              <w:rPr>
                <w:rFonts w:hint="eastAsia" w:ascii="宋体" w:hAnsi="等线" w:eastAsia="宋体" w:cs="Times New Roman"/>
                <w:b/>
                <w:color w:val="000000"/>
                <w:szCs w:val="21"/>
              </w:rPr>
              <w:t>课程思政目标：</w:t>
            </w:r>
            <w:r>
              <w:rPr>
                <w:rFonts w:hint="eastAsia" w:ascii="宋体" w:hAnsi="宋体" w:eastAsia="宋体" w:cs="Times New Roman"/>
                <w:bCs/>
                <w:color w:val="000000"/>
                <w:szCs w:val="21"/>
              </w:rPr>
              <w:t>不断增强对社会学学习和研究的兴趣，客观理性看待当前所存在的社会问题。</w:t>
            </w:r>
          </w:p>
        </w:tc>
      </w:tr>
    </w:tbl>
    <w:p w14:paraId="1F97A0A7">
      <w:pPr>
        <w:adjustRightInd w:val="0"/>
        <w:snapToGrid w:val="0"/>
        <w:spacing w:line="360" w:lineRule="auto"/>
        <w:ind w:firstLine="482" w:firstLineChars="200"/>
        <w:rPr>
          <w:rFonts w:hint="eastAsia" w:ascii="宋体" w:hAnsi="等线" w:eastAsia="宋体" w:cs="Times New Roman"/>
          <w:b/>
          <w:color w:val="000000"/>
          <w:sz w:val="24"/>
          <w:szCs w:val="24"/>
        </w:rPr>
      </w:pPr>
    </w:p>
    <w:p w14:paraId="0148194F">
      <w:pPr>
        <w:spacing w:line="360" w:lineRule="auto"/>
        <w:ind w:firstLine="482" w:firstLineChars="200"/>
        <w:outlineLvl w:val="0"/>
        <w:rPr>
          <w:rFonts w:ascii="Calibri" w:hAnsi="Calibri" w:eastAsia="宋体" w:cs="Times New Roman"/>
          <w:b/>
          <w:sz w:val="24"/>
          <w:szCs w:val="24"/>
        </w:rPr>
      </w:pPr>
      <w:bookmarkStart w:id="2187" w:name="_Toc3498"/>
      <w:bookmarkStart w:id="2188" w:name="_Toc21486"/>
      <w:bookmarkStart w:id="2189" w:name="_Toc24355"/>
      <w:bookmarkStart w:id="2190" w:name="_Toc18782"/>
      <w:bookmarkStart w:id="2191" w:name="_Toc6211"/>
      <w:bookmarkStart w:id="2192" w:name="_Toc13064"/>
      <w:bookmarkStart w:id="2193" w:name="_Toc3464"/>
      <w:r>
        <w:rPr>
          <w:rFonts w:hint="eastAsia" w:ascii="Calibri" w:hAnsi="Calibri" w:eastAsia="宋体" w:cs="Times New Roman"/>
          <w:b/>
          <w:sz w:val="24"/>
          <w:szCs w:val="24"/>
        </w:rPr>
        <w:t>四、目标评价与成绩评定</w:t>
      </w:r>
      <w:bookmarkEnd w:id="2187"/>
      <w:bookmarkEnd w:id="2188"/>
      <w:bookmarkEnd w:id="2189"/>
      <w:bookmarkEnd w:id="2190"/>
      <w:bookmarkEnd w:id="2191"/>
      <w:bookmarkEnd w:id="2192"/>
      <w:bookmarkEnd w:id="2193"/>
    </w:p>
    <w:p w14:paraId="7A27A433">
      <w:pPr>
        <w:spacing w:line="360" w:lineRule="auto"/>
        <w:ind w:firstLine="422" w:firstLineChars="200"/>
        <w:jc w:val="left"/>
        <w:outlineLvl w:val="1"/>
        <w:rPr>
          <w:rFonts w:ascii="Times New Roman" w:hAnsi="Times New Roman" w:eastAsia="宋体" w:cs="Times New Roman"/>
          <w:b/>
          <w:szCs w:val="21"/>
        </w:rPr>
      </w:pPr>
      <w:bookmarkStart w:id="2194" w:name="_Toc10580"/>
      <w:r>
        <w:rPr>
          <w:rFonts w:hint="eastAsia" w:ascii="Times New Roman" w:hAnsi="Times New Roman" w:eastAsia="宋体" w:cs="Times New Roman"/>
          <w:b/>
          <w:szCs w:val="21"/>
        </w:rPr>
        <w:t>（一）课程目标评价方式</w:t>
      </w:r>
      <w:bookmarkEnd w:id="2194"/>
    </w:p>
    <w:p w14:paraId="02E04DB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7FDF23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0E23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68CE7BF7">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w:t>
            </w:r>
          </w:p>
        </w:tc>
        <w:tc>
          <w:tcPr>
            <w:tcW w:w="5670" w:type="dxa"/>
            <w:gridSpan w:val="4"/>
          </w:tcPr>
          <w:p w14:paraId="372D4C6E">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评价与成绩评定方法</w:t>
            </w:r>
          </w:p>
        </w:tc>
        <w:tc>
          <w:tcPr>
            <w:tcW w:w="1355" w:type="dxa"/>
            <w:vMerge w:val="restart"/>
            <w:vAlign w:val="center"/>
          </w:tcPr>
          <w:p w14:paraId="03E8906D">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分值</w:t>
            </w:r>
          </w:p>
        </w:tc>
      </w:tr>
      <w:tr w14:paraId="73ED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41E387B4">
            <w:pPr>
              <w:adjustRightInd w:val="0"/>
              <w:snapToGrid w:val="0"/>
              <w:spacing w:line="276" w:lineRule="auto"/>
              <w:jc w:val="center"/>
              <w:rPr>
                <w:rFonts w:ascii="宋体" w:hAnsi="宋体" w:eastAsia="宋体" w:cs="Times New Roman"/>
                <w:kern w:val="0"/>
                <w:sz w:val="21"/>
                <w:szCs w:val="21"/>
              </w:rPr>
            </w:pPr>
          </w:p>
        </w:tc>
        <w:tc>
          <w:tcPr>
            <w:tcW w:w="1559" w:type="dxa"/>
            <w:vAlign w:val="center"/>
          </w:tcPr>
          <w:p w14:paraId="589B30A7">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课堂发言</w:t>
            </w:r>
          </w:p>
        </w:tc>
        <w:tc>
          <w:tcPr>
            <w:tcW w:w="1418" w:type="dxa"/>
            <w:vAlign w:val="center"/>
          </w:tcPr>
          <w:p w14:paraId="74DAEEC1">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平时作业</w:t>
            </w:r>
          </w:p>
        </w:tc>
        <w:tc>
          <w:tcPr>
            <w:tcW w:w="1276" w:type="dxa"/>
            <w:vAlign w:val="center"/>
          </w:tcPr>
          <w:p w14:paraId="45BAC0DC">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读书汇报</w:t>
            </w:r>
          </w:p>
        </w:tc>
        <w:tc>
          <w:tcPr>
            <w:tcW w:w="1417" w:type="dxa"/>
            <w:vAlign w:val="center"/>
          </w:tcPr>
          <w:p w14:paraId="2842354B">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期末考试</w:t>
            </w:r>
          </w:p>
        </w:tc>
        <w:tc>
          <w:tcPr>
            <w:tcW w:w="1355" w:type="dxa"/>
            <w:vMerge w:val="continue"/>
            <w:vAlign w:val="center"/>
          </w:tcPr>
          <w:p w14:paraId="6DF4CD6F">
            <w:pPr>
              <w:adjustRightInd w:val="0"/>
              <w:snapToGrid w:val="0"/>
              <w:spacing w:line="276" w:lineRule="auto"/>
              <w:jc w:val="center"/>
              <w:rPr>
                <w:rFonts w:ascii="宋体" w:hAnsi="宋体" w:eastAsia="宋体" w:cs="Times New Roman"/>
                <w:kern w:val="0"/>
                <w:sz w:val="21"/>
                <w:szCs w:val="21"/>
              </w:rPr>
            </w:pPr>
          </w:p>
        </w:tc>
      </w:tr>
      <w:tr w14:paraId="42B2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0A6C905D">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课程目标1</w:t>
            </w:r>
          </w:p>
        </w:tc>
        <w:tc>
          <w:tcPr>
            <w:tcW w:w="1559" w:type="dxa"/>
            <w:vAlign w:val="center"/>
          </w:tcPr>
          <w:p w14:paraId="02B2C410">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vAlign w:val="center"/>
          </w:tcPr>
          <w:p w14:paraId="21488AB8">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vAlign w:val="center"/>
          </w:tcPr>
          <w:p w14:paraId="3E966016">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vAlign w:val="center"/>
          </w:tcPr>
          <w:p w14:paraId="19BB85C4">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78036AE6">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20</w:t>
            </w:r>
          </w:p>
        </w:tc>
      </w:tr>
      <w:tr w14:paraId="3852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0DEB588">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课程目标2</w:t>
            </w:r>
          </w:p>
        </w:tc>
        <w:tc>
          <w:tcPr>
            <w:tcW w:w="1559" w:type="dxa"/>
            <w:vAlign w:val="center"/>
          </w:tcPr>
          <w:p w14:paraId="341D07F4">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vAlign w:val="center"/>
          </w:tcPr>
          <w:p w14:paraId="4EFE5B73">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vAlign w:val="center"/>
          </w:tcPr>
          <w:p w14:paraId="7F644DC4">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vAlign w:val="center"/>
          </w:tcPr>
          <w:p w14:paraId="271F77D5">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35DC0AF0">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30</w:t>
            </w:r>
          </w:p>
        </w:tc>
      </w:tr>
      <w:tr w14:paraId="556D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310A3141">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课程目标3</w:t>
            </w:r>
          </w:p>
        </w:tc>
        <w:tc>
          <w:tcPr>
            <w:tcW w:w="1559" w:type="dxa"/>
            <w:vAlign w:val="center"/>
          </w:tcPr>
          <w:p w14:paraId="7E6DBC1D">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vAlign w:val="center"/>
          </w:tcPr>
          <w:p w14:paraId="692311DD">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vAlign w:val="center"/>
          </w:tcPr>
          <w:p w14:paraId="04D484F8">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vAlign w:val="center"/>
          </w:tcPr>
          <w:p w14:paraId="0F8059E8">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3439C457">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30</w:t>
            </w:r>
          </w:p>
        </w:tc>
      </w:tr>
      <w:tr w14:paraId="5740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1" w:type="dxa"/>
            <w:vAlign w:val="center"/>
          </w:tcPr>
          <w:p w14:paraId="30A15B8A">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课程目标4</w:t>
            </w:r>
          </w:p>
        </w:tc>
        <w:tc>
          <w:tcPr>
            <w:tcW w:w="1559" w:type="dxa"/>
          </w:tcPr>
          <w:p w14:paraId="02CA3D74">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8" w:type="dxa"/>
          </w:tcPr>
          <w:p w14:paraId="75B1B68E">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276" w:type="dxa"/>
          </w:tcPr>
          <w:p w14:paraId="7028E68A">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417" w:type="dxa"/>
          </w:tcPr>
          <w:p w14:paraId="0F77914B">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sym w:font="Wingdings 2" w:char="F050"/>
            </w:r>
          </w:p>
        </w:tc>
        <w:tc>
          <w:tcPr>
            <w:tcW w:w="1355" w:type="dxa"/>
            <w:vAlign w:val="center"/>
          </w:tcPr>
          <w:p w14:paraId="3998D3A5">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20</w:t>
            </w:r>
          </w:p>
        </w:tc>
      </w:tr>
      <w:tr w14:paraId="5306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5F8315A3">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合计</w:t>
            </w:r>
          </w:p>
        </w:tc>
        <w:tc>
          <w:tcPr>
            <w:tcW w:w="1559" w:type="dxa"/>
            <w:vAlign w:val="center"/>
          </w:tcPr>
          <w:p w14:paraId="2DEC12D8">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1</w:t>
            </w:r>
            <w:r>
              <w:rPr>
                <w:rFonts w:ascii="宋体" w:hAnsi="宋体" w:eastAsia="宋体" w:cs="Times New Roman"/>
                <w:kern w:val="0"/>
                <w:sz w:val="21"/>
                <w:szCs w:val="21"/>
              </w:rPr>
              <w:t>0</w:t>
            </w:r>
          </w:p>
        </w:tc>
        <w:tc>
          <w:tcPr>
            <w:tcW w:w="1418" w:type="dxa"/>
            <w:vAlign w:val="center"/>
          </w:tcPr>
          <w:p w14:paraId="1D2C2828">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20</w:t>
            </w:r>
          </w:p>
        </w:tc>
        <w:tc>
          <w:tcPr>
            <w:tcW w:w="1276" w:type="dxa"/>
            <w:vAlign w:val="center"/>
          </w:tcPr>
          <w:p w14:paraId="7BBBB03C">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2</w:t>
            </w:r>
            <w:r>
              <w:rPr>
                <w:rFonts w:ascii="宋体" w:hAnsi="宋体" w:eastAsia="宋体" w:cs="Times New Roman"/>
                <w:kern w:val="0"/>
                <w:sz w:val="21"/>
                <w:szCs w:val="21"/>
              </w:rPr>
              <w:t>0</w:t>
            </w:r>
          </w:p>
        </w:tc>
        <w:tc>
          <w:tcPr>
            <w:tcW w:w="1417" w:type="dxa"/>
            <w:vAlign w:val="center"/>
          </w:tcPr>
          <w:p w14:paraId="7609348C">
            <w:pPr>
              <w:adjustRightInd w:val="0"/>
              <w:snapToGrid w:val="0"/>
              <w:spacing w:line="276" w:lineRule="auto"/>
              <w:jc w:val="center"/>
              <w:rPr>
                <w:rFonts w:ascii="宋体" w:hAnsi="宋体" w:eastAsia="宋体" w:cs="Times New Roman"/>
                <w:kern w:val="0"/>
                <w:sz w:val="21"/>
                <w:szCs w:val="21"/>
              </w:rPr>
            </w:pPr>
            <w:r>
              <w:rPr>
                <w:rFonts w:ascii="宋体" w:hAnsi="宋体" w:eastAsia="宋体" w:cs="Times New Roman"/>
                <w:kern w:val="0"/>
                <w:sz w:val="21"/>
                <w:szCs w:val="21"/>
              </w:rPr>
              <w:t>50</w:t>
            </w:r>
          </w:p>
        </w:tc>
        <w:tc>
          <w:tcPr>
            <w:tcW w:w="1355" w:type="dxa"/>
            <w:vAlign w:val="center"/>
          </w:tcPr>
          <w:p w14:paraId="0BF7D3A0">
            <w:pPr>
              <w:adjustRightInd w:val="0"/>
              <w:snapToGrid w:val="0"/>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100</w:t>
            </w:r>
          </w:p>
        </w:tc>
      </w:tr>
    </w:tbl>
    <w:p w14:paraId="1A5B6ABE">
      <w:pPr>
        <w:spacing w:before="156" w:beforeLines="50" w:line="360" w:lineRule="auto"/>
        <w:jc w:val="left"/>
        <w:outlineLvl w:val="1"/>
        <w:rPr>
          <w:rFonts w:ascii="Times New Roman" w:hAnsi="Times New Roman" w:eastAsia="宋体" w:cs="Times New Roman"/>
          <w:b/>
          <w:szCs w:val="21"/>
        </w:rPr>
      </w:pPr>
      <w:bookmarkStart w:id="2195" w:name="_Toc221"/>
      <w:r>
        <w:rPr>
          <w:rFonts w:hint="eastAsia" w:ascii="Times New Roman" w:hAnsi="Times New Roman" w:eastAsia="宋体" w:cs="Times New Roman"/>
          <w:b/>
          <w:bCs/>
          <w:szCs w:val="21"/>
        </w:rPr>
        <w:t>（二）</w:t>
      </w:r>
      <w:r>
        <w:rPr>
          <w:rFonts w:hint="eastAsia" w:ascii="Times New Roman" w:hAnsi="Times New Roman" w:eastAsia="宋体" w:cs="Times New Roman"/>
          <w:b/>
          <w:szCs w:val="21"/>
        </w:rPr>
        <w:t>成绩评定细则</w:t>
      </w:r>
      <w:bookmarkEnd w:id="2195"/>
    </w:p>
    <w:p w14:paraId="7208B3B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FF2E6A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4569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36B4F547">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509" w:type="dxa"/>
            <w:vAlign w:val="center"/>
          </w:tcPr>
          <w:p w14:paraId="2CC43E81">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083154E">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F63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5FDDCF83">
            <w:pPr>
              <w:snapToGrid w:val="0"/>
              <w:spacing w:line="276" w:lineRule="auto"/>
              <w:rPr>
                <w:rFonts w:ascii="宋体" w:hAnsi="宋体" w:eastAsia="宋体" w:cs="Times New Roman"/>
                <w:szCs w:val="21"/>
              </w:rPr>
            </w:pPr>
            <w:r>
              <w:rPr>
                <w:rFonts w:hint="eastAsia" w:ascii="宋体" w:hAnsi="宋体" w:eastAsia="宋体" w:cs="Times New Roman"/>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14F8AF99">
            <w:pPr>
              <w:snapToGrid w:val="0"/>
              <w:spacing w:line="276" w:lineRule="auto"/>
              <w:rPr>
                <w:rFonts w:ascii="宋体" w:hAnsi="宋体" w:eastAsia="宋体" w:cs="Times New Roman"/>
                <w:szCs w:val="21"/>
              </w:rPr>
            </w:pPr>
            <w:r>
              <w:rPr>
                <w:rFonts w:hint="eastAsia" w:ascii="宋体" w:hAnsi="宋体" w:eastAsia="宋体" w:cs="Times New Roman"/>
                <w:szCs w:val="21"/>
              </w:rPr>
              <w:t>根据学生课堂发言情况、学习</w:t>
            </w:r>
            <w:r>
              <w:rPr>
                <w:rFonts w:ascii="宋体" w:hAnsi="宋体" w:eastAsia="宋体" w:cs="Times New Roman"/>
                <w:szCs w:val="21"/>
              </w:rPr>
              <w:t>态度</w:t>
            </w:r>
            <w:r>
              <w:rPr>
                <w:rFonts w:hint="eastAsia" w:ascii="宋体" w:hAnsi="宋体" w:eastAsia="宋体" w:cs="Times New Roman"/>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3FAF1978">
            <w:pPr>
              <w:snapToGrid w:val="0"/>
              <w:spacing w:line="276" w:lineRule="auto"/>
              <w:rPr>
                <w:rFonts w:ascii="宋体" w:hAnsi="宋体" w:eastAsia="宋体" w:cs="Times New Roman"/>
                <w:szCs w:val="21"/>
              </w:rPr>
            </w:pPr>
            <w:r>
              <w:rPr>
                <w:rFonts w:ascii="宋体" w:hAnsi="宋体" w:eastAsia="宋体" w:cs="Times New Roman"/>
                <w:szCs w:val="21"/>
              </w:rPr>
              <w:t>10%</w:t>
            </w:r>
          </w:p>
        </w:tc>
      </w:tr>
      <w:tr w14:paraId="67BF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722" w:type="dxa"/>
            <w:tcBorders>
              <w:top w:val="single" w:color="auto" w:sz="4" w:space="0"/>
              <w:left w:val="single" w:color="auto" w:sz="4" w:space="0"/>
              <w:bottom w:val="single" w:color="auto" w:sz="4" w:space="0"/>
              <w:right w:val="single" w:color="auto" w:sz="4" w:space="0"/>
            </w:tcBorders>
            <w:vAlign w:val="center"/>
          </w:tcPr>
          <w:p w14:paraId="14719DC0">
            <w:pPr>
              <w:snapToGrid w:val="0"/>
              <w:spacing w:line="276" w:lineRule="auto"/>
              <w:rPr>
                <w:rFonts w:ascii="宋体" w:hAnsi="宋体" w:eastAsia="宋体" w:cs="Times New Roman"/>
                <w:szCs w:val="21"/>
              </w:rPr>
            </w:pPr>
            <w:r>
              <w:rPr>
                <w:rFonts w:hint="eastAsia" w:ascii="宋体" w:hAnsi="宋体" w:eastAsia="宋体" w:cs="Times New Roman"/>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5EF69A03">
            <w:pPr>
              <w:snapToGrid w:val="0"/>
              <w:spacing w:line="276" w:lineRule="auto"/>
              <w:rPr>
                <w:rFonts w:ascii="宋体" w:hAnsi="宋体" w:eastAsia="宋体" w:cs="Times New Roman"/>
                <w:szCs w:val="21"/>
              </w:rPr>
            </w:pPr>
            <w:r>
              <w:rPr>
                <w:rFonts w:ascii="宋体" w:hAnsi="宋体" w:eastAsia="宋体" w:cs="Times New Roman"/>
                <w:color w:val="000000"/>
                <w:szCs w:val="22"/>
              </w:rPr>
              <w:t>考核学生对</w:t>
            </w:r>
            <w:r>
              <w:rPr>
                <w:rFonts w:hint="eastAsia" w:ascii="宋体" w:hAnsi="宋体" w:eastAsia="宋体" w:cs="Times New Roman"/>
                <w:color w:val="000000"/>
                <w:szCs w:val="22"/>
              </w:rPr>
              <w:t>各章节重要</w:t>
            </w:r>
            <w:r>
              <w:rPr>
                <w:rFonts w:ascii="宋体" w:hAnsi="宋体" w:eastAsia="宋体" w:cs="Times New Roman"/>
                <w:color w:val="000000"/>
                <w:szCs w:val="22"/>
              </w:rPr>
              <w:t>知识点的理解和掌握</w:t>
            </w:r>
            <w:r>
              <w:rPr>
                <w:rFonts w:hint="eastAsia" w:ascii="宋体" w:hAnsi="宋体" w:eastAsia="宋体" w:cs="Times New Roman"/>
                <w:color w:val="000000"/>
                <w:szCs w:val="22"/>
              </w:rPr>
              <w:t>情况</w:t>
            </w:r>
            <w:r>
              <w:rPr>
                <w:rFonts w:ascii="宋体" w:hAnsi="宋体" w:eastAsia="宋体" w:cs="Times New Roman"/>
                <w:color w:val="000000"/>
                <w:szCs w:val="22"/>
              </w:rPr>
              <w:t>，</w:t>
            </w:r>
            <w:r>
              <w:rPr>
                <w:rFonts w:hint="eastAsia" w:ascii="宋体" w:hAnsi="宋体" w:eastAsia="宋体" w:cs="Times New Roman"/>
                <w:color w:val="000000"/>
                <w:szCs w:val="22"/>
              </w:rPr>
              <w:t>作业次数不少于3次，安排在课后，教师批改反馈并进行讲解。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6B76C1E7">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1D3C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22" w:type="dxa"/>
            <w:tcBorders>
              <w:top w:val="single" w:color="auto" w:sz="4" w:space="0"/>
              <w:left w:val="single" w:color="auto" w:sz="4" w:space="0"/>
              <w:bottom w:val="single" w:color="auto" w:sz="4" w:space="0"/>
              <w:right w:val="single" w:color="auto" w:sz="4" w:space="0"/>
            </w:tcBorders>
            <w:vAlign w:val="center"/>
          </w:tcPr>
          <w:p w14:paraId="35D39738">
            <w:pPr>
              <w:snapToGrid w:val="0"/>
              <w:spacing w:line="276" w:lineRule="auto"/>
              <w:rPr>
                <w:rFonts w:ascii="宋体" w:hAnsi="宋体" w:eastAsia="宋体" w:cs="Times New Roman"/>
                <w:szCs w:val="21"/>
              </w:rPr>
            </w:pPr>
            <w:r>
              <w:rPr>
                <w:rFonts w:hint="eastAsia" w:ascii="宋体" w:hAnsi="宋体" w:eastAsia="宋体" w:cs="Times New Roman"/>
                <w:szCs w:val="21"/>
              </w:rPr>
              <w:t>读书汇报</w:t>
            </w:r>
          </w:p>
        </w:tc>
        <w:tc>
          <w:tcPr>
            <w:tcW w:w="7509" w:type="dxa"/>
            <w:tcBorders>
              <w:top w:val="single" w:color="auto" w:sz="4" w:space="0"/>
              <w:left w:val="single" w:color="auto" w:sz="4" w:space="0"/>
              <w:bottom w:val="single" w:color="auto" w:sz="4" w:space="0"/>
              <w:right w:val="single" w:color="auto" w:sz="4" w:space="0"/>
            </w:tcBorders>
            <w:vAlign w:val="center"/>
          </w:tcPr>
          <w:p w14:paraId="0ECEF65B">
            <w:pPr>
              <w:snapToGrid w:val="0"/>
              <w:spacing w:line="276" w:lineRule="auto"/>
              <w:rPr>
                <w:rFonts w:ascii="宋体" w:hAnsi="宋体" w:eastAsia="宋体" w:cs="Times New Roman"/>
                <w:szCs w:val="21"/>
              </w:rPr>
            </w:pPr>
            <w:r>
              <w:rPr>
                <w:rFonts w:hint="eastAsia" w:ascii="宋体" w:hAnsi="宋体" w:eastAsia="宋体" w:cs="宋体"/>
                <w:color w:val="000000"/>
                <w:kern w:val="0"/>
                <w:szCs w:val="21"/>
              </w:rPr>
              <w:t>精读两本社会学著作，开展读书报告和交流活动。考核学生社会学分析视角的掌握程度。</w:t>
            </w:r>
          </w:p>
        </w:tc>
        <w:tc>
          <w:tcPr>
            <w:tcW w:w="0" w:type="auto"/>
            <w:tcBorders>
              <w:top w:val="single" w:color="auto" w:sz="4" w:space="0"/>
              <w:left w:val="single" w:color="auto" w:sz="4" w:space="0"/>
              <w:bottom w:val="single" w:color="auto" w:sz="4" w:space="0"/>
              <w:right w:val="single" w:color="auto" w:sz="4" w:space="0"/>
            </w:tcBorders>
            <w:vAlign w:val="center"/>
          </w:tcPr>
          <w:p w14:paraId="3EAA8654">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104D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62EDE4A0">
            <w:pPr>
              <w:snapToGrid w:val="0"/>
              <w:spacing w:line="276" w:lineRule="auto"/>
              <w:rPr>
                <w:rFonts w:ascii="宋体" w:hAnsi="宋体" w:eastAsia="宋体" w:cs="Times New Roman"/>
                <w:szCs w:val="21"/>
              </w:rPr>
            </w:pPr>
            <w:r>
              <w:rPr>
                <w:rFonts w:hint="eastAsia" w:ascii="宋体" w:hAnsi="宋体" w:eastAsia="宋体" w:cs="Times New Roman"/>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409F7E15">
            <w:pPr>
              <w:snapToGrid w:val="0"/>
              <w:spacing w:line="276" w:lineRule="auto"/>
              <w:rPr>
                <w:rFonts w:ascii="宋体" w:hAnsi="宋体" w:eastAsia="宋体" w:cs="Times New Roman"/>
                <w:szCs w:val="21"/>
              </w:rPr>
            </w:pPr>
            <w:r>
              <w:rPr>
                <w:rFonts w:hint="eastAsia" w:ascii="宋体" w:hAnsi="宋体" w:eastAsia="宋体" w:cs="Times New Roman"/>
                <w:szCs w:val="21"/>
              </w:rPr>
              <w:t>考试形式由教师确定，</w:t>
            </w:r>
            <w:r>
              <w:rPr>
                <w:rFonts w:ascii="宋体" w:hAnsi="宋体" w:eastAsia="宋体" w:cs="Times New Roman"/>
                <w:szCs w:val="21"/>
              </w:rPr>
              <w:t>题型包括选择题、简答题、材料分析题、论述题，</w:t>
            </w:r>
            <w:r>
              <w:rPr>
                <w:rFonts w:hint="eastAsia" w:ascii="宋体" w:hAnsi="宋体" w:eastAsia="宋体" w:cs="Times New Roman"/>
                <w:szCs w:val="21"/>
              </w:rPr>
              <w:t>其中：</w:t>
            </w:r>
          </w:p>
          <w:p w14:paraId="78B59EAF">
            <w:pPr>
              <w:snapToGrid w:val="0"/>
              <w:spacing w:line="276" w:lineRule="auto"/>
              <w:rPr>
                <w:rFonts w:hint="eastAsia" w:ascii="宋体" w:hAnsi="宋体" w:eastAsia="宋体" w:cs="Times New Roman"/>
                <w:szCs w:val="21"/>
              </w:rPr>
            </w:pPr>
            <w:r>
              <w:rPr>
                <w:rFonts w:hint="eastAsia" w:ascii="宋体" w:hAnsi="宋体" w:eastAsia="宋体" w:cs="Times New Roman"/>
                <w:szCs w:val="21"/>
              </w:rPr>
              <w:t>基本</w:t>
            </w:r>
            <w:r>
              <w:rPr>
                <w:rFonts w:ascii="宋体" w:hAnsi="宋体" w:eastAsia="宋体" w:cs="Times New Roman"/>
                <w:szCs w:val="21"/>
              </w:rPr>
              <w:t>知识型题目</w:t>
            </w:r>
            <w:r>
              <w:rPr>
                <w:rFonts w:hint="eastAsia" w:ascii="宋体" w:hAnsi="宋体" w:eastAsia="宋体" w:cs="Times New Roman"/>
                <w:szCs w:val="21"/>
              </w:rPr>
              <w:t>不少于3</w:t>
            </w:r>
            <w:r>
              <w:rPr>
                <w:rFonts w:ascii="宋体" w:hAnsi="宋体" w:eastAsia="宋体" w:cs="Times New Roman"/>
                <w:szCs w:val="21"/>
              </w:rPr>
              <w:t>0%</w:t>
            </w:r>
            <w:r>
              <w:rPr>
                <w:rFonts w:hint="eastAsia" w:ascii="宋体" w:hAnsi="宋体" w:eastAsia="宋体" w:cs="Times New Roman"/>
                <w:szCs w:val="21"/>
              </w:rPr>
              <w:t>，知识理解和分析题不少于3</w:t>
            </w:r>
            <w:r>
              <w:rPr>
                <w:rFonts w:ascii="宋体" w:hAnsi="宋体" w:eastAsia="宋体" w:cs="Times New Roman"/>
                <w:szCs w:val="21"/>
              </w:rPr>
              <w:t>0%</w:t>
            </w:r>
            <w:r>
              <w:rPr>
                <w:rFonts w:hint="eastAsia" w:ascii="宋体" w:hAnsi="宋体" w:eastAsia="宋体" w:cs="Times New Roman"/>
                <w:szCs w:val="21"/>
              </w:rPr>
              <w:t>，综合运用能力题不少于4</w:t>
            </w:r>
            <w:r>
              <w:rPr>
                <w:rFonts w:ascii="宋体" w:hAnsi="宋体" w:eastAsia="宋体" w:cs="Times New Roman"/>
                <w:szCs w:val="21"/>
              </w:rPr>
              <w:t>0%</w:t>
            </w:r>
            <w:r>
              <w:rPr>
                <w:rFonts w:hint="eastAsia" w:ascii="宋体" w:hAnsi="宋体" w:eastAsia="宋体" w:cs="Times New Roman"/>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13235474">
            <w:pPr>
              <w:snapToGrid w:val="0"/>
              <w:spacing w:line="276" w:lineRule="auto"/>
              <w:rPr>
                <w:rFonts w:ascii="宋体" w:hAnsi="宋体" w:eastAsia="宋体" w:cs="Times New Roman"/>
                <w:szCs w:val="21"/>
              </w:rPr>
            </w:pPr>
            <w:r>
              <w:rPr>
                <w:rFonts w:ascii="宋体" w:hAnsi="宋体" w:eastAsia="宋体" w:cs="Times New Roman"/>
                <w:szCs w:val="21"/>
              </w:rPr>
              <w:t>50%</w:t>
            </w:r>
          </w:p>
        </w:tc>
      </w:tr>
      <w:tr w14:paraId="091F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4BCDD9F7">
            <w:pPr>
              <w:snapToGrid w:val="0"/>
              <w:spacing w:line="276"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036EE106">
            <w:pPr>
              <w:snapToGrid w:val="0"/>
              <w:spacing w:line="276" w:lineRule="auto"/>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00%</w:t>
            </w:r>
          </w:p>
        </w:tc>
      </w:tr>
    </w:tbl>
    <w:p w14:paraId="2BA177A7">
      <w:pPr>
        <w:spacing w:line="360" w:lineRule="auto"/>
        <w:ind w:firstLine="422" w:firstLineChars="200"/>
        <w:rPr>
          <w:rFonts w:hint="eastAsia" w:ascii="Times New Roman" w:hAnsi="Times New Roman" w:eastAsia="宋体" w:cs="Times New Roman"/>
          <w:b/>
          <w:bCs/>
          <w:szCs w:val="21"/>
        </w:rPr>
      </w:pPr>
    </w:p>
    <w:p w14:paraId="793001CC">
      <w:pPr>
        <w:spacing w:line="360" w:lineRule="auto"/>
        <w:jc w:val="left"/>
        <w:rPr>
          <w:rFonts w:hint="eastAsia" w:ascii="Times New Roman" w:hAnsi="Times New Roman" w:eastAsia="宋体" w:cs="Times New Roman"/>
          <w:b/>
          <w:bCs/>
          <w:szCs w:val="21"/>
        </w:rPr>
      </w:pPr>
    </w:p>
    <w:p w14:paraId="076A0977">
      <w:pPr>
        <w:spacing w:line="360" w:lineRule="auto"/>
        <w:ind w:firstLine="482" w:firstLineChars="200"/>
        <w:outlineLvl w:val="1"/>
        <w:rPr>
          <w:rFonts w:ascii="Calibri" w:hAnsi="Calibri" w:eastAsia="宋体" w:cs="Times New Roman"/>
          <w:b/>
          <w:bCs/>
          <w:sz w:val="24"/>
          <w:szCs w:val="24"/>
        </w:rPr>
      </w:pPr>
      <w:bookmarkStart w:id="2196" w:name="_Toc24811"/>
      <w:r>
        <w:rPr>
          <w:rFonts w:hint="eastAsia" w:ascii="Calibri" w:hAnsi="Calibri" w:eastAsia="宋体" w:cs="Times New Roman"/>
          <w:b/>
          <w:bCs/>
          <w:sz w:val="24"/>
          <w:szCs w:val="24"/>
        </w:rPr>
        <w:t>（三）课程目标达成度计算方法</w:t>
      </w:r>
      <w:bookmarkEnd w:id="2196"/>
    </w:p>
    <w:p w14:paraId="66B749A4">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所有课程目标均需大于等</w:t>
      </w:r>
      <w:r>
        <w:rPr>
          <w:rFonts w:hint="eastAsia" w:ascii="宋体" w:hAnsi="宋体" w:eastAsia="宋体" w:cs="Times New Roman"/>
          <w:sz w:val="24"/>
          <w:szCs w:val="24"/>
        </w:rPr>
        <w:t>于</w:t>
      </w:r>
      <w:r>
        <w:rPr>
          <w:rFonts w:ascii="宋体" w:hAnsi="宋体" w:eastAsia="宋体" w:cs="Times New Roman"/>
          <w:szCs w:val="21"/>
        </w:rPr>
        <w:t>0.6</w:t>
      </w:r>
      <w:r>
        <w:rPr>
          <w:rFonts w:hint="eastAsia" w:ascii="Calibri" w:hAnsi="Calibri" w:eastAsia="宋体" w:cs="Times New Roman"/>
          <w:sz w:val="24"/>
          <w:szCs w:val="24"/>
        </w:rPr>
        <w:t>，否则总评成绩不及格，需要补考或重修。每门课程目标总体达成度计算方法如下：</w:t>
      </w:r>
    </w:p>
    <w:p w14:paraId="029D303A">
      <w:pPr>
        <w:spacing w:line="360"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71BC3B38">
      <w:pPr>
        <w:adjustRightInd w:val="0"/>
        <w:snapToGrid w:val="0"/>
        <w:spacing w:line="360" w:lineRule="auto"/>
        <w:ind w:firstLine="482" w:firstLineChars="200"/>
        <w:outlineLvl w:val="0"/>
        <w:rPr>
          <w:rFonts w:ascii="宋体" w:hAnsi="等线" w:eastAsia="宋体" w:cs="Times New Roman"/>
          <w:b/>
          <w:bCs/>
          <w:color w:val="000000"/>
          <w:sz w:val="24"/>
          <w:szCs w:val="22"/>
        </w:rPr>
      </w:pPr>
      <w:bookmarkStart w:id="2197" w:name="_Toc30823"/>
      <w:bookmarkStart w:id="2198" w:name="_Toc1834"/>
      <w:bookmarkStart w:id="2199" w:name="_Toc28517"/>
      <w:bookmarkStart w:id="2200" w:name="_Toc10754"/>
      <w:bookmarkStart w:id="2201" w:name="_Toc15838"/>
      <w:bookmarkStart w:id="2202" w:name="_Toc19764"/>
      <w:bookmarkStart w:id="2203" w:name="_Toc2803"/>
      <w:r>
        <w:rPr>
          <w:rFonts w:hint="eastAsia" w:ascii="宋体" w:hAnsi="等线" w:eastAsia="宋体" w:cs="Times New Roman"/>
          <w:b/>
          <w:bCs/>
          <w:color w:val="000000"/>
          <w:sz w:val="24"/>
          <w:szCs w:val="22"/>
        </w:rPr>
        <w:t>五、课内实践</w:t>
      </w:r>
      <w:bookmarkEnd w:id="2197"/>
      <w:bookmarkEnd w:id="2198"/>
      <w:bookmarkEnd w:id="2199"/>
      <w:bookmarkEnd w:id="2200"/>
      <w:bookmarkEnd w:id="2201"/>
      <w:bookmarkEnd w:id="2202"/>
      <w:bookmarkEnd w:id="2203"/>
    </w:p>
    <w:p w14:paraId="45789F66">
      <w:pPr>
        <w:adjustRightInd w:val="0"/>
        <w:snapToGrid w:val="0"/>
        <w:spacing w:line="360" w:lineRule="auto"/>
        <w:ind w:firstLine="480" w:firstLineChars="200"/>
        <w:rPr>
          <w:rFonts w:hint="eastAsia" w:ascii="宋体" w:hAnsi="等线" w:eastAsia="宋体" w:cs="Times New Roman"/>
          <w:color w:val="000000"/>
          <w:sz w:val="24"/>
          <w:szCs w:val="22"/>
        </w:rPr>
      </w:pPr>
      <w:r>
        <w:rPr>
          <w:rFonts w:hint="eastAsia" w:ascii="宋体" w:hAnsi="等线" w:eastAsia="宋体" w:cs="Times New Roman"/>
          <w:color w:val="000000"/>
          <w:sz w:val="24"/>
          <w:szCs w:val="22"/>
        </w:rPr>
        <w:t>无</w:t>
      </w:r>
    </w:p>
    <w:p w14:paraId="391D1A60">
      <w:pPr>
        <w:adjustRightInd w:val="0"/>
        <w:snapToGrid w:val="0"/>
        <w:spacing w:line="360" w:lineRule="auto"/>
        <w:ind w:firstLine="482" w:firstLineChars="200"/>
        <w:outlineLvl w:val="0"/>
        <w:rPr>
          <w:rFonts w:ascii="Calibri" w:hAnsi="Calibri" w:eastAsia="宋体" w:cs="Times New Roman"/>
          <w:b/>
          <w:sz w:val="24"/>
          <w:szCs w:val="24"/>
        </w:rPr>
      </w:pPr>
      <w:bookmarkStart w:id="2204" w:name="_Toc5395"/>
      <w:bookmarkStart w:id="2205" w:name="_Toc29620"/>
      <w:bookmarkStart w:id="2206" w:name="_Toc8065"/>
      <w:bookmarkStart w:id="2207" w:name="_Toc11553"/>
      <w:bookmarkStart w:id="2208" w:name="_Toc19213"/>
      <w:bookmarkStart w:id="2209" w:name="_Toc24181"/>
      <w:bookmarkStart w:id="2210" w:name="_Toc5157"/>
      <w:r>
        <w:rPr>
          <w:rFonts w:hint="eastAsia" w:ascii="Calibri" w:hAnsi="Calibri" w:eastAsia="宋体" w:cs="Times New Roman"/>
          <w:b/>
          <w:sz w:val="24"/>
          <w:szCs w:val="24"/>
        </w:rPr>
        <w:t>六、有关说明</w:t>
      </w:r>
      <w:bookmarkEnd w:id="2204"/>
      <w:bookmarkEnd w:id="2205"/>
      <w:bookmarkEnd w:id="2206"/>
      <w:bookmarkEnd w:id="2207"/>
      <w:bookmarkEnd w:id="2208"/>
      <w:bookmarkEnd w:id="2209"/>
      <w:bookmarkEnd w:id="2210"/>
    </w:p>
    <w:p w14:paraId="3E49A293">
      <w:pPr>
        <w:adjustRightInd w:val="0"/>
        <w:snapToGrid w:val="0"/>
        <w:spacing w:line="360" w:lineRule="auto"/>
        <w:ind w:firstLine="482" w:firstLineChars="200"/>
        <w:outlineLvl w:val="1"/>
        <w:rPr>
          <w:rFonts w:ascii="Calibri" w:hAnsi="Calibri" w:eastAsia="宋体" w:cs="Times New Roman"/>
          <w:b/>
          <w:color w:val="000000"/>
          <w:sz w:val="24"/>
          <w:szCs w:val="24"/>
        </w:rPr>
      </w:pPr>
      <w:bookmarkStart w:id="2211" w:name="_Toc29848"/>
      <w:r>
        <w:rPr>
          <w:rFonts w:hint="eastAsia" w:ascii="Calibri" w:hAnsi="Calibri" w:eastAsia="宋体" w:cs="Times New Roman"/>
          <w:b/>
          <w:color w:val="000000"/>
          <w:sz w:val="24"/>
          <w:szCs w:val="24"/>
        </w:rPr>
        <w:t>（一）持续改进</w:t>
      </w:r>
      <w:bookmarkEnd w:id="2211"/>
    </w:p>
    <w:p w14:paraId="46B704B3">
      <w:pPr>
        <w:adjustRightInd w:val="0"/>
        <w:snapToGrid w:val="0"/>
        <w:spacing w:line="360" w:lineRule="auto"/>
        <w:ind w:firstLine="480" w:firstLineChars="200"/>
        <w:rPr>
          <w:rFonts w:ascii="Calibri" w:hAnsi="Calibri" w:eastAsia="宋体" w:cs="Times New Roman"/>
          <w:sz w:val="24"/>
          <w:szCs w:val="22"/>
        </w:rPr>
      </w:pPr>
      <w:r>
        <w:rPr>
          <w:rFonts w:hint="eastAsia" w:ascii="Calibri" w:hAnsi="Calibri" w:eastAsia="宋体" w:cs="Times New Roman"/>
          <w:sz w:val="24"/>
          <w:szCs w:val="22"/>
        </w:rPr>
        <w:t>本课程根据学生作业、课堂讨论、教学环节、平时考核情况和学生、教学督导等的反馈，及时对教学中的不足之处进行改进，并在下一轮课程教学中整改完善，确保相应毕业要求指标点达成。</w:t>
      </w:r>
    </w:p>
    <w:p w14:paraId="5A80BD1F">
      <w:pPr>
        <w:adjustRightInd w:val="0"/>
        <w:snapToGrid w:val="0"/>
        <w:spacing w:line="360" w:lineRule="auto"/>
        <w:ind w:firstLine="482" w:firstLineChars="200"/>
        <w:outlineLvl w:val="1"/>
        <w:rPr>
          <w:rFonts w:ascii="Calibri" w:hAnsi="Calibri" w:eastAsia="宋体" w:cs="Times New Roman"/>
          <w:b/>
          <w:color w:val="000000"/>
          <w:sz w:val="24"/>
          <w:szCs w:val="24"/>
        </w:rPr>
      </w:pPr>
      <w:bookmarkStart w:id="2212" w:name="_Toc12646"/>
      <w:r>
        <w:rPr>
          <w:rFonts w:hint="eastAsia" w:ascii="Calibri" w:hAnsi="Calibri" w:eastAsia="宋体" w:cs="Times New Roman"/>
          <w:b/>
          <w:color w:val="000000"/>
          <w:sz w:val="24"/>
          <w:szCs w:val="24"/>
        </w:rPr>
        <w:t>（二）建议教材</w:t>
      </w:r>
      <w:bookmarkEnd w:id="2212"/>
    </w:p>
    <w:p w14:paraId="372056C6">
      <w:pPr>
        <w:spacing w:line="360" w:lineRule="auto"/>
        <w:ind w:firstLine="480" w:firstLineChars="200"/>
        <w:rPr>
          <w:rFonts w:ascii="宋体" w:hAnsi="等线" w:eastAsia="宋体" w:cs="Times New Roman"/>
          <w:color w:val="000000"/>
          <w:kern w:val="0"/>
          <w:sz w:val="24"/>
          <w:szCs w:val="24"/>
        </w:rPr>
      </w:pPr>
      <w:r>
        <w:rPr>
          <w:rFonts w:hint="eastAsia" w:ascii="宋体" w:hAnsi="宋体" w:eastAsia="宋体" w:cs="Times New Roman"/>
          <w:bCs/>
          <w:color w:val="000000"/>
          <w:kern w:val="0"/>
          <w:sz w:val="24"/>
          <w:szCs w:val="24"/>
        </w:rPr>
        <w:t>马工程教材</w:t>
      </w:r>
      <w:r>
        <w:rPr>
          <w:rFonts w:hint="eastAsia" w:ascii="宋体" w:hAnsi="宋体" w:eastAsia="宋体" w:cs="Times New Roman"/>
          <w:color w:val="000000"/>
          <w:kern w:val="0"/>
          <w:sz w:val="24"/>
          <w:szCs w:val="24"/>
        </w:rPr>
        <w:t>《社会学概论</w:t>
      </w:r>
      <w:r>
        <w:rPr>
          <w:rFonts w:hint="eastAsia" w:ascii="宋体" w:hAnsi="宋体" w:eastAsia="宋体" w:cs="Times New Roman"/>
          <w:color w:val="000000"/>
          <w:sz w:val="24"/>
          <w:szCs w:val="22"/>
        </w:rPr>
        <w:t>》（第二版），人民出版社，</w:t>
      </w:r>
      <w:r>
        <w:rPr>
          <w:rFonts w:ascii="宋体" w:hAnsi="宋体" w:eastAsia="宋体" w:cs="Times New Roman"/>
          <w:color w:val="000000"/>
          <w:kern w:val="0"/>
          <w:sz w:val="24"/>
          <w:szCs w:val="24"/>
        </w:rPr>
        <w:t>2021</w:t>
      </w:r>
      <w:r>
        <w:rPr>
          <w:rFonts w:ascii="宋体" w:hAnsi="等线" w:eastAsia="宋体" w:cs="Times New Roman"/>
          <w:color w:val="000000"/>
          <w:kern w:val="0"/>
          <w:sz w:val="24"/>
          <w:szCs w:val="24"/>
        </w:rPr>
        <w:t>.</w:t>
      </w:r>
    </w:p>
    <w:p w14:paraId="56361A75">
      <w:pPr>
        <w:spacing w:line="360" w:lineRule="auto"/>
        <w:ind w:firstLine="480" w:firstLineChars="200"/>
        <w:outlineLvl w:val="1"/>
        <w:rPr>
          <w:rFonts w:ascii="宋体" w:hAnsi="等线" w:eastAsia="宋体" w:cs="Times New Roman"/>
          <w:color w:val="000000"/>
          <w:sz w:val="24"/>
          <w:szCs w:val="22"/>
        </w:rPr>
      </w:pPr>
      <w:bookmarkStart w:id="2213" w:name="_Toc10685"/>
      <w:r>
        <w:rPr>
          <w:rFonts w:hint="eastAsia" w:ascii="宋体" w:hAnsi="宋体" w:eastAsia="宋体" w:cs="Times New Roman"/>
          <w:color w:val="000000"/>
          <w:sz w:val="24"/>
          <w:szCs w:val="22"/>
        </w:rPr>
        <w:t>（三）参考书目</w:t>
      </w:r>
      <w:bookmarkEnd w:id="2213"/>
    </w:p>
    <w:p w14:paraId="3C990096">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1</w:t>
      </w:r>
      <w:r>
        <w:rPr>
          <w:rFonts w:ascii="宋体" w:hAnsi="宋体" w:eastAsia="宋体" w:cs="Times New Roman"/>
          <w:color w:val="000000"/>
          <w:sz w:val="24"/>
          <w:szCs w:val="22"/>
        </w:rPr>
        <w:t>.</w:t>
      </w:r>
      <w:r>
        <w:rPr>
          <w:rFonts w:hint="eastAsia" w:ascii="宋体" w:hAnsi="宋体" w:eastAsia="宋体" w:cs="Times New Roman"/>
          <w:color w:val="000000"/>
          <w:sz w:val="24"/>
          <w:szCs w:val="22"/>
        </w:rPr>
        <w:t>戴维·波普诺</w:t>
      </w:r>
      <w:r>
        <w:rPr>
          <w:rFonts w:ascii="宋体" w:hAnsi="等线" w:eastAsia="宋体" w:cs="Times New Roman"/>
          <w:color w:val="000000"/>
          <w:sz w:val="24"/>
          <w:szCs w:val="22"/>
        </w:rPr>
        <w:t>.</w:t>
      </w:r>
      <w:r>
        <w:rPr>
          <w:rFonts w:hint="eastAsia" w:ascii="宋体" w:hAnsi="宋体" w:eastAsia="宋体" w:cs="Times New Roman"/>
          <w:color w:val="000000"/>
          <w:sz w:val="24"/>
          <w:szCs w:val="22"/>
        </w:rPr>
        <w:t>社会学（第十一版）</w:t>
      </w:r>
      <w:r>
        <w:rPr>
          <w:rFonts w:ascii="宋体" w:hAnsi="宋体" w:eastAsia="宋体" w:cs="Times New Roman"/>
          <w:color w:val="000000"/>
          <w:sz w:val="24"/>
          <w:szCs w:val="22"/>
        </w:rPr>
        <w:t xml:space="preserve"> [M].</w:t>
      </w:r>
      <w:r>
        <w:rPr>
          <w:rFonts w:hint="eastAsia" w:ascii="宋体" w:hAnsi="宋体" w:eastAsia="宋体" w:cs="Times New Roman"/>
          <w:color w:val="000000"/>
          <w:sz w:val="24"/>
          <w:szCs w:val="22"/>
        </w:rPr>
        <w:t>李强等译，北京：中国人民大学出版社，</w:t>
      </w:r>
      <w:r>
        <w:rPr>
          <w:rFonts w:ascii="宋体" w:hAnsi="宋体" w:eastAsia="宋体" w:cs="Times New Roman"/>
          <w:color w:val="000000"/>
          <w:sz w:val="24"/>
          <w:szCs w:val="22"/>
        </w:rPr>
        <w:t>2007.</w:t>
      </w:r>
    </w:p>
    <w:p w14:paraId="5B8ACA6A">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2</w:t>
      </w:r>
      <w:r>
        <w:rPr>
          <w:rFonts w:ascii="宋体" w:hAnsi="宋体" w:eastAsia="宋体" w:cs="Times New Roman"/>
          <w:color w:val="000000"/>
          <w:sz w:val="24"/>
          <w:szCs w:val="22"/>
        </w:rPr>
        <w:t>.</w:t>
      </w:r>
      <w:r>
        <w:rPr>
          <w:rFonts w:hint="eastAsia" w:ascii="宋体" w:hAnsi="宋体" w:eastAsia="宋体" w:cs="Times New Roman"/>
          <w:color w:val="000000"/>
          <w:sz w:val="24"/>
          <w:szCs w:val="22"/>
        </w:rPr>
        <w:t>费孝通</w:t>
      </w:r>
      <w:r>
        <w:rPr>
          <w:rFonts w:ascii="宋体" w:hAnsi="宋体" w:eastAsia="宋体" w:cs="Times New Roman"/>
          <w:color w:val="000000"/>
          <w:sz w:val="24"/>
          <w:szCs w:val="22"/>
        </w:rPr>
        <w:t>.</w:t>
      </w:r>
      <w:r>
        <w:rPr>
          <w:rFonts w:hint="eastAsia" w:ascii="宋体" w:hAnsi="宋体" w:eastAsia="宋体" w:cs="Times New Roman"/>
          <w:color w:val="000000"/>
          <w:sz w:val="24"/>
          <w:szCs w:val="22"/>
        </w:rPr>
        <w:t>社会学讲义.上海：华东师范大学出版社，2</w:t>
      </w:r>
      <w:r>
        <w:rPr>
          <w:rFonts w:ascii="宋体" w:hAnsi="宋体" w:eastAsia="宋体" w:cs="Times New Roman"/>
          <w:color w:val="000000"/>
          <w:sz w:val="24"/>
          <w:szCs w:val="22"/>
        </w:rPr>
        <w:t>019.</w:t>
      </w:r>
    </w:p>
    <w:p w14:paraId="32C9A323">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3</w:t>
      </w:r>
      <w:r>
        <w:rPr>
          <w:rFonts w:ascii="宋体" w:hAnsi="宋体" w:eastAsia="宋体" w:cs="Times New Roman"/>
          <w:color w:val="000000"/>
          <w:sz w:val="24"/>
          <w:szCs w:val="22"/>
        </w:rPr>
        <w:t>.</w:t>
      </w:r>
      <w:r>
        <w:rPr>
          <w:rFonts w:hint="eastAsia" w:ascii="宋体" w:hAnsi="宋体" w:eastAsia="宋体" w:cs="Times New Roman"/>
          <w:color w:val="000000"/>
          <w:sz w:val="24"/>
          <w:szCs w:val="22"/>
        </w:rPr>
        <w:t>赖特·米尔斯.社会学的想象力</w:t>
      </w:r>
      <w:r>
        <w:rPr>
          <w:rFonts w:ascii="宋体" w:hAnsi="宋体" w:eastAsia="宋体" w:cs="Times New Roman"/>
          <w:color w:val="000000"/>
          <w:sz w:val="24"/>
          <w:szCs w:val="22"/>
        </w:rPr>
        <w:t>.</w:t>
      </w:r>
      <w:r>
        <w:rPr>
          <w:rFonts w:hint="eastAsia" w:ascii="宋体" w:hAnsi="宋体" w:eastAsia="宋体" w:cs="Times New Roman"/>
          <w:color w:val="000000"/>
          <w:sz w:val="24"/>
          <w:szCs w:val="22"/>
        </w:rPr>
        <w:t>北京：北京师范大学出版社，2</w:t>
      </w:r>
      <w:r>
        <w:rPr>
          <w:rFonts w:ascii="宋体" w:hAnsi="宋体" w:eastAsia="宋体" w:cs="Times New Roman"/>
          <w:color w:val="000000"/>
          <w:sz w:val="24"/>
          <w:szCs w:val="22"/>
        </w:rPr>
        <w:t>017.</w:t>
      </w:r>
    </w:p>
    <w:p w14:paraId="22D448CF">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4</w:t>
      </w:r>
      <w:r>
        <w:rPr>
          <w:rFonts w:ascii="宋体" w:hAnsi="宋体" w:eastAsia="宋体" w:cs="Times New Roman"/>
          <w:color w:val="000000"/>
          <w:sz w:val="24"/>
          <w:szCs w:val="22"/>
        </w:rPr>
        <w:t>.</w:t>
      </w:r>
      <w:r>
        <w:rPr>
          <w:rFonts w:hint="eastAsia" w:ascii="宋体" w:hAnsi="宋体" w:eastAsia="宋体" w:cs="Times New Roman"/>
          <w:color w:val="000000"/>
          <w:sz w:val="24"/>
          <w:szCs w:val="22"/>
        </w:rPr>
        <w:t>乔恩·威特</w:t>
      </w:r>
      <w:r>
        <w:rPr>
          <w:rFonts w:ascii="宋体" w:hAnsi="宋体" w:eastAsia="宋体" w:cs="Times New Roman"/>
          <w:color w:val="000000"/>
          <w:sz w:val="24"/>
          <w:szCs w:val="22"/>
        </w:rPr>
        <w:t>.</w:t>
      </w:r>
      <w:r>
        <w:rPr>
          <w:rFonts w:hint="eastAsia" w:ascii="宋体" w:hAnsi="宋体" w:eastAsia="宋体" w:cs="Times New Roman"/>
          <w:color w:val="000000"/>
          <w:sz w:val="24"/>
          <w:szCs w:val="22"/>
        </w:rPr>
        <w:t>社会学入门</w:t>
      </w:r>
      <w:r>
        <w:rPr>
          <w:rFonts w:ascii="宋体" w:hAnsi="宋体" w:eastAsia="宋体" w:cs="Times New Roman"/>
          <w:color w:val="000000"/>
          <w:sz w:val="24"/>
          <w:szCs w:val="22"/>
        </w:rPr>
        <w:t>.</w:t>
      </w:r>
      <w:r>
        <w:rPr>
          <w:rFonts w:hint="eastAsia" w:ascii="宋体" w:hAnsi="宋体" w:eastAsia="宋体" w:cs="Times New Roman"/>
          <w:color w:val="000000"/>
          <w:sz w:val="24"/>
          <w:szCs w:val="22"/>
        </w:rPr>
        <w:t>北京：人民邮电出版社,</w:t>
      </w:r>
      <w:r>
        <w:rPr>
          <w:rFonts w:ascii="宋体" w:hAnsi="宋体" w:eastAsia="宋体" w:cs="Times New Roman"/>
          <w:color w:val="000000"/>
          <w:sz w:val="24"/>
          <w:szCs w:val="22"/>
        </w:rPr>
        <w:t>2016.</w:t>
      </w:r>
    </w:p>
    <w:p w14:paraId="26CB217F">
      <w:pPr>
        <w:spacing w:line="360" w:lineRule="auto"/>
        <w:ind w:firstLine="480" w:firstLineChars="200"/>
        <w:rPr>
          <w:rFonts w:ascii="宋体" w:hAnsi="等线" w:eastAsia="宋体" w:cs="Times New Roman"/>
          <w:color w:val="000000"/>
          <w:sz w:val="24"/>
          <w:szCs w:val="22"/>
        </w:rPr>
      </w:pPr>
    </w:p>
    <w:p w14:paraId="78D11F61">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执笔人：王雅丽</w:t>
      </w:r>
    </w:p>
    <w:p w14:paraId="754635F0">
      <w:pPr>
        <w:autoSpaceDE w:val="0"/>
        <w:autoSpaceDN w:val="0"/>
        <w:adjustRightInd w:val="0"/>
        <w:snapToGrid w:val="0"/>
        <w:spacing w:line="360" w:lineRule="auto"/>
        <w:ind w:right="1680"/>
        <w:jc w:val="right"/>
        <w:rPr>
          <w:rFonts w:ascii="Calibri" w:hAnsi="Calibri" w:eastAsia="宋体" w:cs="Times New Roman"/>
          <w:kern w:val="0"/>
          <w:sz w:val="24"/>
          <w:szCs w:val="21"/>
        </w:rPr>
      </w:pPr>
      <w:r>
        <w:rPr>
          <w:rFonts w:hint="eastAsia" w:ascii="Calibri" w:hAnsi="Calibri" w:eastAsia="宋体" w:cs="Times New Roman"/>
          <w:kern w:val="0"/>
          <w:sz w:val="24"/>
          <w:szCs w:val="21"/>
        </w:rPr>
        <w:t>审定人：王健</w:t>
      </w:r>
    </w:p>
    <w:p w14:paraId="4B573EE3">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审批人：张志欣</w:t>
      </w:r>
    </w:p>
    <w:p w14:paraId="4E727355">
      <w:pPr>
        <w:adjustRightInd w:val="0"/>
        <w:snapToGrid w:val="0"/>
        <w:spacing w:line="360" w:lineRule="auto"/>
        <w:ind w:right="600"/>
        <w:jc w:val="right"/>
        <w:rPr>
          <w:rFonts w:ascii="宋体" w:hAnsi="等线" w:eastAsia="宋体" w:cs="Times New Roman"/>
          <w:szCs w:val="24"/>
        </w:rPr>
      </w:pPr>
      <w:r>
        <w:rPr>
          <w:rFonts w:hint="eastAsia" w:ascii="宋体" w:hAnsi="宋体" w:eastAsia="宋体" w:cs="Times New Roman"/>
          <w:kern w:val="0"/>
          <w:sz w:val="24"/>
          <w:szCs w:val="21"/>
        </w:rPr>
        <w:t>批准时间：</w:t>
      </w:r>
      <w:r>
        <w:rPr>
          <w:rFonts w:ascii="宋体" w:hAnsi="宋体" w:eastAsia="宋体" w:cs="Times New Roman"/>
          <w:kern w:val="0"/>
          <w:sz w:val="24"/>
          <w:szCs w:val="21"/>
        </w:rPr>
        <w:t>2024</w:t>
      </w:r>
      <w:r>
        <w:rPr>
          <w:rFonts w:hint="eastAsia" w:ascii="宋体" w:hAnsi="宋体" w:eastAsia="宋体" w:cs="Times New Roman"/>
          <w:kern w:val="0"/>
          <w:sz w:val="24"/>
          <w:szCs w:val="21"/>
        </w:rPr>
        <w:t>年</w:t>
      </w:r>
      <w:r>
        <w:rPr>
          <w:rFonts w:ascii="宋体" w:hAnsi="宋体" w:eastAsia="宋体" w:cs="Times New Roman"/>
          <w:kern w:val="0"/>
          <w:sz w:val="24"/>
          <w:szCs w:val="21"/>
        </w:rPr>
        <w:t>9</w:t>
      </w:r>
      <w:r>
        <w:rPr>
          <w:rFonts w:hint="eastAsia" w:ascii="宋体" w:hAnsi="宋体" w:eastAsia="宋体" w:cs="Times New Roman"/>
          <w:kern w:val="0"/>
          <w:sz w:val="24"/>
          <w:szCs w:val="21"/>
        </w:rPr>
        <w:t>月2日</w:t>
      </w:r>
    </w:p>
    <w:p w14:paraId="79E96888">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13244BE9">
      <w:pPr>
        <w:pStyle w:val="2"/>
        <w:bidi w:val="0"/>
        <w:rPr>
          <w:lang w:val="en-US" w:eastAsia="zh-CN"/>
        </w:rPr>
      </w:pPr>
      <w:bookmarkStart w:id="2214" w:name="_Toc25021"/>
      <w:bookmarkStart w:id="2215" w:name="_Toc24201"/>
      <w:bookmarkStart w:id="2216" w:name="_Toc29723"/>
      <w:bookmarkStart w:id="2217" w:name="_Toc3586"/>
      <w:r>
        <w:rPr>
          <w:rFonts w:hint="eastAsia"/>
          <w:lang w:val="en-US" w:eastAsia="zh-CN"/>
        </w:rPr>
        <w:t>《美术基础》课程与教学大纲</w:t>
      </w:r>
      <w:r>
        <w:rPr>
          <w:rFonts w:hint="eastAsia"/>
          <w:lang w:val="en-US" w:eastAsia="zh-Hans"/>
        </w:rPr>
        <w:t>（文）</w:t>
      </w:r>
      <w:bookmarkEnd w:id="2214"/>
      <w:bookmarkEnd w:id="2215"/>
      <w:bookmarkEnd w:id="2216"/>
      <w:bookmarkEnd w:id="2217"/>
    </w:p>
    <w:p w14:paraId="3538DAA5">
      <w:pPr>
        <w:pStyle w:val="2"/>
        <w:bidi w:val="0"/>
        <w:rPr>
          <w:lang w:val="en-US" w:eastAsia="zh-CN"/>
        </w:rPr>
      </w:pPr>
      <w:bookmarkStart w:id="2218" w:name="_Toc26449"/>
      <w:bookmarkStart w:id="2219" w:name="_Toc22786"/>
      <w:bookmarkStart w:id="2220" w:name="_Toc215"/>
      <w:bookmarkStart w:id="2221" w:name="_Toc11189"/>
      <w:bookmarkStart w:id="2222" w:name="_Toc19426"/>
      <w:bookmarkStart w:id="2223" w:name="_Toc31496"/>
      <w:bookmarkStart w:id="2224" w:name="_Toc12897"/>
      <w:r>
        <w:rPr>
          <w:lang w:val="en-US" w:eastAsia="zh-CN"/>
        </w:rPr>
        <w:t>（</w:t>
      </w:r>
      <w:r>
        <w:rPr>
          <w:rFonts w:hint="eastAsia"/>
          <w:lang w:val="en-US" w:eastAsia="zh-CN"/>
        </w:rPr>
        <w:t>Basis</w:t>
      </w:r>
      <w:r>
        <w:rPr>
          <w:lang w:val="en-US" w:eastAsia="zh-CN"/>
        </w:rPr>
        <w:t xml:space="preserve"> </w:t>
      </w:r>
      <w:r>
        <w:rPr>
          <w:rFonts w:hint="eastAsia"/>
          <w:lang w:val="en-US" w:eastAsia="zh-CN"/>
        </w:rPr>
        <w:t>of Painting</w:t>
      </w:r>
      <w:r>
        <w:rPr>
          <w:lang w:val="en-US" w:eastAsia="zh-CN"/>
        </w:rPr>
        <w:t>）</w:t>
      </w:r>
      <w:bookmarkEnd w:id="2218"/>
      <w:bookmarkEnd w:id="2219"/>
      <w:bookmarkEnd w:id="2220"/>
      <w:bookmarkEnd w:id="2221"/>
      <w:bookmarkEnd w:id="2222"/>
      <w:bookmarkEnd w:id="2223"/>
      <w:bookmarkEnd w:id="2224"/>
    </w:p>
    <w:p w14:paraId="7F28CE53">
      <w:pPr>
        <w:spacing w:line="312" w:lineRule="auto"/>
        <w:jc w:val="center"/>
        <w:rPr>
          <w:rFonts w:ascii="Times New Roman" w:hAnsi="Times New Roman" w:eastAsia="黑体" w:cs="Times New Roman"/>
          <w:bCs/>
          <w:sz w:val="30"/>
          <w:szCs w:val="24"/>
        </w:rPr>
      </w:pPr>
    </w:p>
    <w:p w14:paraId="38E54BB3">
      <w:pPr>
        <w:spacing w:line="360" w:lineRule="auto"/>
        <w:ind w:firstLine="562" w:firstLineChars="200"/>
        <w:outlineLvl w:val="0"/>
        <w:rPr>
          <w:rFonts w:ascii="Times New Roman" w:hAnsi="Times New Roman" w:eastAsia="宋体" w:cs="Times New Roman"/>
          <w:b/>
          <w:sz w:val="28"/>
          <w:szCs w:val="28"/>
        </w:rPr>
      </w:pPr>
      <w:bookmarkStart w:id="2225" w:name="_Toc8999"/>
      <w:bookmarkStart w:id="2226" w:name="_Toc9222"/>
      <w:bookmarkStart w:id="2227" w:name="_Toc5044"/>
      <w:bookmarkStart w:id="2228" w:name="_Toc16455"/>
      <w:bookmarkStart w:id="2229" w:name="_Toc26987"/>
      <w:bookmarkStart w:id="2230" w:name="_Toc3233"/>
      <w:bookmarkStart w:id="2231" w:name="_Toc25437"/>
      <w:r>
        <w:rPr>
          <w:rFonts w:ascii="Times New Roman" w:hAnsi="Times New Roman" w:eastAsia="宋体" w:cs="Times New Roman"/>
          <w:b/>
          <w:sz w:val="28"/>
          <w:szCs w:val="28"/>
        </w:rPr>
        <w:t>一、课程概况</w:t>
      </w:r>
      <w:bookmarkEnd w:id="2225"/>
      <w:bookmarkEnd w:id="2226"/>
      <w:bookmarkEnd w:id="2227"/>
      <w:bookmarkEnd w:id="2228"/>
      <w:bookmarkEnd w:id="2229"/>
      <w:bookmarkEnd w:id="2230"/>
      <w:bookmarkEnd w:id="2231"/>
    </w:p>
    <w:p w14:paraId="79A346EE">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0900902</w:t>
      </w:r>
    </w:p>
    <w:p w14:paraId="5B21F823">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w:t>
      </w:r>
      <w:r>
        <w:rPr>
          <w:rFonts w:hint="eastAsia" w:ascii="Times New Roman" w:hAnsi="Times New Roman" w:eastAsia="宋体" w:cs="Times New Roman"/>
          <w:kern w:val="0"/>
          <w:sz w:val="24"/>
          <w:szCs w:val="24"/>
        </w:rPr>
        <w:t>3</w:t>
      </w:r>
    </w:p>
    <w:p w14:paraId="2BE065AB">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8</w:t>
      </w:r>
      <w:r>
        <w:rPr>
          <w:rFonts w:ascii="Times New Roman" w:hAnsi="Times New Roman" w:eastAsia="宋体" w:cs="Times New Roman"/>
          <w:kern w:val="0"/>
          <w:sz w:val="24"/>
          <w:szCs w:val="24"/>
        </w:rPr>
        <w:t>（其中：讲授学时</w:t>
      </w:r>
      <w:r>
        <w:rPr>
          <w:rFonts w:hint="eastAsia" w:ascii="Times New Roman" w:hAnsi="Times New Roman" w:eastAsia="宋体" w:cs="Times New Roman"/>
          <w:kern w:val="0"/>
          <w:sz w:val="24"/>
          <w:szCs w:val="24"/>
        </w:rPr>
        <w:t>16，</w:t>
      </w:r>
      <w:r>
        <w:rPr>
          <w:rFonts w:ascii="Times New Roman" w:hAnsi="Times New Roman" w:eastAsia="宋体" w:cs="Times New Roman"/>
          <w:kern w:val="0"/>
          <w:sz w:val="24"/>
          <w:szCs w:val="24"/>
        </w:rPr>
        <w:t>实验学时</w:t>
      </w:r>
      <w:r>
        <w:rPr>
          <w:rFonts w:hint="eastAsia" w:ascii="Times New Roman" w:hAnsi="Times New Roman" w:eastAsia="宋体" w:cs="Times New Roman"/>
          <w:kern w:val="0"/>
          <w:sz w:val="24"/>
          <w:szCs w:val="24"/>
        </w:rPr>
        <w:t>32</w:t>
      </w:r>
      <w:r>
        <w:rPr>
          <w:rFonts w:ascii="Times New Roman" w:hAnsi="Times New Roman" w:eastAsia="宋体" w:cs="Times New Roman"/>
          <w:kern w:val="0"/>
          <w:sz w:val="24"/>
          <w:szCs w:val="24"/>
        </w:rPr>
        <w:t>）</w:t>
      </w:r>
    </w:p>
    <w:p w14:paraId="05CC04B8">
      <w:pPr>
        <w:spacing w:line="360" w:lineRule="auto"/>
        <w:ind w:firstLine="482" w:firstLineChars="200"/>
        <w:rPr>
          <w:rFonts w:ascii="Times New Roman" w:hAnsi="Times New Roman" w:eastAsia="宋体" w:cs="Times New Roman"/>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hint="eastAsia" w:ascii="Times New Roman" w:hAnsi="Times New Roman" w:eastAsia="宋体" w:cs="Times New Roman"/>
          <w:kern w:val="0"/>
          <w:sz w:val="24"/>
          <w:szCs w:val="24"/>
        </w:rPr>
        <w:t>无</w:t>
      </w:r>
    </w:p>
    <w:p w14:paraId="12367FA5">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hint="eastAsia" w:ascii="Times New Roman" w:hAnsi="Times New Roman" w:eastAsia="宋体" w:cs="Times New Roman"/>
          <w:sz w:val="24"/>
          <w:szCs w:val="24"/>
        </w:rPr>
        <w:t>小学教育</w:t>
      </w:r>
      <w:r>
        <w:rPr>
          <w:rFonts w:ascii="Times New Roman" w:hAnsi="Times New Roman" w:eastAsia="宋体" w:cs="Times New Roman"/>
          <w:kern w:val="0"/>
          <w:sz w:val="24"/>
          <w:szCs w:val="24"/>
        </w:rPr>
        <w:t xml:space="preserve">                          </w:t>
      </w:r>
    </w:p>
    <w:p w14:paraId="4FEA50C4">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建议</w:t>
      </w:r>
      <w:r>
        <w:rPr>
          <w:rFonts w:ascii="Times New Roman" w:hAnsi="Times New Roman" w:eastAsia="宋体" w:cs="Times New Roman"/>
          <w:b/>
          <w:bCs/>
          <w:kern w:val="0"/>
          <w:sz w:val="24"/>
          <w:szCs w:val="24"/>
        </w:rPr>
        <w:t>教材</w:t>
      </w:r>
      <w:r>
        <w:rPr>
          <w:rFonts w:ascii="Times New Roman" w:hAnsi="Times New Roman" w:eastAsia="宋体" w:cs="Times New Roman"/>
          <w:b/>
          <w:kern w:val="0"/>
          <w:sz w:val="24"/>
          <w:szCs w:val="24"/>
        </w:rPr>
        <w:t>：</w:t>
      </w:r>
      <w:r>
        <w:rPr>
          <w:rFonts w:ascii="Times New Roman" w:hAnsi="Times New Roman" w:eastAsia="宋体" w:cs="Times New Roman"/>
          <w:sz w:val="24"/>
          <w:szCs w:val="21"/>
        </w:rPr>
        <w:t>《</w:t>
      </w:r>
      <w:r>
        <w:rPr>
          <w:rFonts w:hint="eastAsia" w:ascii="Times New Roman" w:hAnsi="Times New Roman" w:eastAsia="宋体" w:cs="Times New Roman"/>
          <w:kern w:val="0"/>
          <w:sz w:val="24"/>
          <w:szCs w:val="24"/>
        </w:rPr>
        <w:t>绘画基础2000例》，李家友，重庆出版社，2016.3</w:t>
      </w:r>
    </w:p>
    <w:p w14:paraId="6541683C">
      <w:pPr>
        <w:spacing w:line="360" w:lineRule="auto"/>
        <w:ind w:firstLine="480" w:firstLineChars="200"/>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lang w:eastAsia="zh-Hans"/>
        </w:rPr>
        <w:t>《动画角色设计》，</w:t>
      </w:r>
      <w:r>
        <w:rPr>
          <w:rFonts w:ascii="等线" w:hAnsi="等线" w:eastAsia="等线" w:cs="Times New Roman"/>
          <w:szCs w:val="22"/>
        </w:rPr>
        <w:fldChar w:fldCharType="begin"/>
      </w:r>
      <w:r>
        <w:rPr>
          <w:rFonts w:ascii="等线" w:hAnsi="等线" w:eastAsia="等线" w:cs="Times New Roman"/>
          <w:szCs w:val="22"/>
        </w:rPr>
        <w:instrText xml:space="preserve"> HYPERLINK "https://book.douban.com/search/%E6%B1%A4%E5%A7%86%C2%B7%E7%8F%AD%E5%85%8B%E7%BD%97%E5%A4%AB%E7%89%B9" </w:instrText>
      </w:r>
      <w:r>
        <w:rPr>
          <w:rFonts w:ascii="等线" w:hAnsi="等线" w:eastAsia="等线" w:cs="Times New Roman"/>
          <w:szCs w:val="22"/>
        </w:rPr>
        <w:fldChar w:fldCharType="separate"/>
      </w:r>
      <w:r>
        <w:rPr>
          <w:rFonts w:hint="eastAsia" w:ascii="Times New Roman" w:hAnsi="Times New Roman" w:eastAsia="宋体" w:cs="Times New Roman"/>
          <w:kern w:val="0"/>
          <w:sz w:val="24"/>
          <w:szCs w:val="24"/>
        </w:rPr>
        <w:t>汤姆·班克罗夫特</w:t>
      </w:r>
      <w:r>
        <w:rPr>
          <w:rFonts w:hint="eastAsia"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lang w:eastAsia="zh-Hans"/>
        </w:rPr>
        <w:t>，清华大学出版社，</w:t>
      </w:r>
      <w:r>
        <w:rPr>
          <w:rFonts w:ascii="Times New Roman" w:hAnsi="Times New Roman" w:eastAsia="宋体" w:cs="Times New Roman"/>
          <w:kern w:val="0"/>
          <w:sz w:val="24"/>
          <w:szCs w:val="24"/>
          <w:lang w:eastAsia="zh-Hans"/>
        </w:rPr>
        <w:t>2014.2</w:t>
      </w:r>
    </w:p>
    <w:p w14:paraId="500030BF">
      <w:pPr>
        <w:spacing w:line="360" w:lineRule="auto"/>
        <w:ind w:firstLine="480" w:firstLineChars="200"/>
        <w:rPr>
          <w:rFonts w:ascii="Times New Roman" w:hAnsi="Times New Roman" w:eastAsia="宋体" w:cs="Times New Roman"/>
          <w:kern w:val="0"/>
          <w:sz w:val="24"/>
          <w:szCs w:val="24"/>
          <w:lang w:eastAsia="zh-Hans"/>
        </w:rPr>
      </w:pPr>
      <w:r>
        <w:rPr>
          <w:rFonts w:ascii="Times New Roman" w:hAnsi="Times New Roman" w:eastAsia="宋体" w:cs="Times New Roman"/>
          <w:kern w:val="0"/>
          <w:sz w:val="24"/>
          <w:szCs w:val="24"/>
          <w:lang w:eastAsia="zh-Hans"/>
        </w:rPr>
        <w:t xml:space="preserve">          </w:t>
      </w:r>
      <w:r>
        <w:rPr>
          <w:rFonts w:hint="eastAsia"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动画剧本创作（第二版）</w:t>
      </w:r>
      <w:r>
        <w:rPr>
          <w:rFonts w:hint="eastAsia" w:ascii="Times New Roman" w:hAnsi="Times New Roman" w:eastAsia="宋体" w:cs="Times New Roman"/>
          <w:kern w:val="0"/>
          <w:sz w:val="24"/>
          <w:szCs w:val="24"/>
          <w:lang w:eastAsia="zh-Hans"/>
        </w:rPr>
        <w:t>》，清华大学出版社，</w:t>
      </w:r>
      <w:r>
        <w:rPr>
          <w:rFonts w:ascii="Times New Roman" w:hAnsi="Times New Roman" w:eastAsia="宋体" w:cs="Times New Roman"/>
          <w:kern w:val="0"/>
          <w:sz w:val="24"/>
          <w:szCs w:val="24"/>
          <w:lang w:eastAsia="zh-Hans"/>
        </w:rPr>
        <w:t>2017.12</w:t>
      </w:r>
    </w:p>
    <w:p w14:paraId="13A871EA">
      <w:pPr>
        <w:widowControl/>
        <w:spacing w:line="360" w:lineRule="auto"/>
        <w:ind w:firstLine="482"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lang w:eastAsia="zh-Hans"/>
        </w:rPr>
        <w:t>辅助教材：</w:t>
      </w:r>
      <w:r>
        <w:rPr>
          <w:rFonts w:ascii="Times New Roman" w:hAnsi="Times New Roman" w:eastAsia="宋体" w:cs="Times New Roman"/>
          <w:b/>
          <w:bCs/>
          <w:kern w:val="0"/>
          <w:sz w:val="24"/>
          <w:szCs w:val="24"/>
          <w:lang w:eastAsia="zh-Hans"/>
        </w:rPr>
        <w:t xml:space="preserve"> </w:t>
      </w:r>
      <w:r>
        <w:rPr>
          <w:rFonts w:hint="eastAsia"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动画剧本创作（第2版 附剧作实训）</w:t>
      </w:r>
      <w:r>
        <w:rPr>
          <w:rFonts w:hint="eastAsia" w:ascii="Times New Roman" w:hAnsi="Times New Roman" w:eastAsia="宋体" w:cs="Times New Roman"/>
          <w:kern w:val="0"/>
          <w:sz w:val="24"/>
          <w:szCs w:val="24"/>
          <w:lang w:eastAsia="zh-Hans"/>
        </w:rPr>
        <w:t>，</w:t>
      </w:r>
      <w:r>
        <w:rPr>
          <w:rFonts w:ascii="等线" w:hAnsi="等线" w:eastAsia="等线" w:cs="Times New Roman"/>
          <w:szCs w:val="22"/>
        </w:rPr>
        <w:fldChar w:fldCharType="begin"/>
      </w:r>
      <w:r>
        <w:rPr>
          <w:rFonts w:ascii="等线" w:hAnsi="等线" w:eastAsia="等线" w:cs="Times New Roman"/>
          <w:szCs w:val="22"/>
        </w:rPr>
        <w:instrText xml:space="preserve"> HYPERLINK "https://book.douban.com/author/4549816" </w:instrText>
      </w:r>
      <w:r>
        <w:rPr>
          <w:rFonts w:ascii="等线" w:hAnsi="等线" w:eastAsia="等线" w:cs="Times New Roman"/>
          <w:szCs w:val="22"/>
        </w:rPr>
        <w:fldChar w:fldCharType="separate"/>
      </w:r>
      <w:r>
        <w:rPr>
          <w:rFonts w:hint="eastAsia" w:ascii="Times New Roman" w:hAnsi="Times New Roman" w:eastAsia="宋体" w:cs="Times New Roman"/>
          <w:kern w:val="0"/>
          <w:sz w:val="24"/>
          <w:szCs w:val="24"/>
        </w:rPr>
        <w:t>葛竞</w:t>
      </w:r>
      <w:r>
        <w:rPr>
          <w:rFonts w:hint="eastAsia"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lang w:eastAsia="zh-Hans"/>
        </w:rPr>
        <w:t>，北京联合出版社，</w:t>
      </w:r>
      <w:r>
        <w:rPr>
          <w:rFonts w:ascii="Times New Roman" w:hAnsi="Times New Roman" w:eastAsia="宋体" w:cs="Times New Roman"/>
          <w:kern w:val="0"/>
          <w:sz w:val="24"/>
          <w:szCs w:val="24"/>
          <w:lang w:eastAsia="zh-Hans"/>
        </w:rPr>
        <w:t>2017.8</w:t>
      </w:r>
    </w:p>
    <w:p w14:paraId="0685FE91">
      <w:pPr>
        <w:widowControl/>
        <w:spacing w:line="360" w:lineRule="auto"/>
        <w:ind w:firstLine="482" w:firstLineChars="200"/>
        <w:jc w:val="left"/>
        <w:rPr>
          <w:rFonts w:ascii="Times New Roman" w:hAnsi="Times New Roman" w:eastAsia="宋体" w:cs="Times New Roman"/>
          <w:bCs/>
          <w:kern w:val="0"/>
          <w:sz w:val="24"/>
          <w:szCs w:val="24"/>
        </w:rPr>
      </w:pPr>
      <w:r>
        <w:rPr>
          <w:rFonts w:ascii="Times New Roman" w:hAnsi="Times New Roman" w:eastAsia="宋体" w:cs="Times New Roman"/>
          <w:b/>
          <w:bCs/>
          <w:kern w:val="0"/>
          <w:sz w:val="24"/>
          <w:szCs w:val="24"/>
        </w:rPr>
        <w:t>课程归口：</w:t>
      </w:r>
      <w:r>
        <w:rPr>
          <w:rFonts w:hint="eastAsia" w:ascii="宋体" w:hAnsi="宋体" w:eastAsia="宋体" w:cs="Times New Roman"/>
          <w:bCs/>
          <w:kern w:val="0"/>
          <w:sz w:val="24"/>
          <w:szCs w:val="24"/>
        </w:rPr>
        <w:t>师范</w:t>
      </w:r>
      <w:r>
        <w:rPr>
          <w:rFonts w:ascii="Times New Roman" w:hAnsi="Times New Roman" w:eastAsia="宋体" w:cs="Times New Roman"/>
          <w:kern w:val="0"/>
          <w:sz w:val="24"/>
          <w:szCs w:val="24"/>
        </w:rPr>
        <w:t>学院</w:t>
      </w:r>
    </w:p>
    <w:p w14:paraId="04692597">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课程的性质与任务</w:t>
      </w:r>
      <w:r>
        <w:rPr>
          <w:rFonts w:hint="eastAsia" w:ascii="Times New Roman" w:hAnsi="Times New Roman" w:eastAsia="宋体" w:cs="Times New Roman"/>
          <w:b/>
          <w:bCs/>
          <w:kern w:val="0"/>
          <w:sz w:val="24"/>
          <w:szCs w:val="24"/>
        </w:rPr>
        <w:t>：</w:t>
      </w:r>
      <w:r>
        <w:rPr>
          <w:rFonts w:hint="eastAsia" w:ascii="Times New Roman" w:hAnsi="Times New Roman" w:eastAsia="宋体" w:cs="Times New Roman"/>
          <w:kern w:val="0"/>
          <w:sz w:val="24"/>
          <w:szCs w:val="24"/>
        </w:rPr>
        <w:t>本课程是小学教育专业的一门专业基础必修课程。也是一门实践性教学课程。本课程的教学任务是通过学习能够使学生</w:t>
      </w:r>
      <w:r>
        <w:rPr>
          <w:rFonts w:hint="eastAsia" w:ascii="Times New Roman" w:hAnsi="Times New Roman" w:eastAsia="宋体" w:cs="Times New Roman"/>
          <w:kern w:val="0"/>
          <w:sz w:val="24"/>
          <w:szCs w:val="24"/>
          <w:lang w:eastAsia="zh-Hans"/>
        </w:rPr>
        <w:t>了解基本的素描绘画技巧、提高美学素养、掌握儿童心理、探索儿童的想象世界、提高语文老师必备的写作能力和沟通能力。</w:t>
      </w:r>
      <w:r>
        <w:rPr>
          <w:rFonts w:hint="eastAsia" w:ascii="Times New Roman" w:hAnsi="Times New Roman" w:eastAsia="宋体" w:cs="Times New Roman"/>
          <w:kern w:val="0"/>
          <w:sz w:val="24"/>
          <w:szCs w:val="24"/>
        </w:rPr>
        <w:t>为今后</w:t>
      </w:r>
      <w:r>
        <w:rPr>
          <w:rFonts w:hint="eastAsia" w:ascii="Times New Roman" w:hAnsi="Times New Roman" w:eastAsia="宋体" w:cs="Times New Roman"/>
          <w:kern w:val="0"/>
          <w:sz w:val="24"/>
          <w:szCs w:val="24"/>
          <w:lang w:eastAsia="zh-Hans"/>
        </w:rPr>
        <w:t>自如地教育教学、融入学生集体打下坚实的基础。</w:t>
      </w:r>
    </w:p>
    <w:p w14:paraId="78D8A906">
      <w:pPr>
        <w:spacing w:line="360" w:lineRule="auto"/>
        <w:ind w:firstLine="562" w:firstLineChars="200"/>
        <w:outlineLvl w:val="0"/>
        <w:rPr>
          <w:rFonts w:ascii="Times New Roman" w:hAnsi="Times New Roman" w:eastAsia="宋体" w:cs="Times New Roman"/>
          <w:b/>
          <w:sz w:val="28"/>
          <w:szCs w:val="28"/>
        </w:rPr>
      </w:pPr>
      <w:bookmarkStart w:id="2232" w:name="_Toc18661"/>
      <w:bookmarkStart w:id="2233" w:name="_Toc19419"/>
      <w:bookmarkStart w:id="2234" w:name="_Toc23528"/>
      <w:bookmarkStart w:id="2235" w:name="_Toc11998"/>
      <w:bookmarkStart w:id="2236" w:name="_Toc6459"/>
      <w:bookmarkStart w:id="2237" w:name="_Toc19187"/>
      <w:bookmarkStart w:id="2238" w:name="_Toc12064"/>
      <w:r>
        <w:rPr>
          <w:rFonts w:hint="eastAsia" w:ascii="Times New Roman" w:hAnsi="Times New Roman" w:eastAsia="宋体" w:cs="Times New Roman"/>
          <w:b/>
          <w:sz w:val="28"/>
          <w:szCs w:val="28"/>
        </w:rPr>
        <w:t>二</w:t>
      </w:r>
      <w:r>
        <w:rPr>
          <w:rFonts w:ascii="Times New Roman" w:hAnsi="Times New Roman" w:eastAsia="宋体" w:cs="Times New Roman"/>
          <w:b/>
          <w:sz w:val="28"/>
          <w:szCs w:val="28"/>
        </w:rPr>
        <w:t>、课程目标</w:t>
      </w:r>
      <w:bookmarkEnd w:id="2232"/>
      <w:bookmarkEnd w:id="2233"/>
      <w:bookmarkEnd w:id="2234"/>
      <w:bookmarkEnd w:id="2235"/>
      <w:bookmarkEnd w:id="2236"/>
      <w:bookmarkEnd w:id="2237"/>
      <w:bookmarkEnd w:id="2238"/>
    </w:p>
    <w:p w14:paraId="501C8770">
      <w:pPr>
        <w:spacing w:line="360" w:lineRule="auto"/>
        <w:ind w:firstLine="562" w:firstLineChars="200"/>
        <w:outlineLvl w:val="1"/>
        <w:rPr>
          <w:rFonts w:ascii="Times New Roman" w:hAnsi="Times New Roman" w:eastAsia="宋体" w:cs="Times New Roman"/>
          <w:b/>
          <w:sz w:val="28"/>
          <w:szCs w:val="28"/>
        </w:rPr>
      </w:pPr>
      <w:bookmarkStart w:id="2239" w:name="_Toc19270"/>
      <w:r>
        <w:rPr>
          <w:rFonts w:hint="eastAsia" w:ascii="Times New Roman" w:hAnsi="Times New Roman" w:eastAsia="宋体" w:cs="Times New Roman"/>
          <w:b/>
          <w:sz w:val="28"/>
          <w:szCs w:val="28"/>
        </w:rPr>
        <w:t>（一）课程具体目标</w:t>
      </w:r>
      <w:bookmarkEnd w:id="2239"/>
    </w:p>
    <w:p w14:paraId="5CE80654">
      <w:pPr>
        <w:spacing w:line="360" w:lineRule="auto"/>
        <w:ind w:firstLine="482"/>
        <w:jc w:val="left"/>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rPr>
        <w:t xml:space="preserve">目标1. </w:t>
      </w:r>
      <w:r>
        <w:rPr>
          <w:rFonts w:hint="eastAsia" w:ascii="Times New Roman" w:hAnsi="Times New Roman" w:eastAsia="宋体" w:cs="Times New Roman"/>
          <w:sz w:val="24"/>
          <w:szCs w:val="24"/>
          <w:lang w:eastAsia="zh-Hans"/>
        </w:rPr>
        <w:t>其一，具有一定的人文艺术教学素养。将艺术元素和中国传统文化充分融入到语文教学中，美学育人，使课程更生动、更有底蕴。其二，丰富学生的绘画基本功和造型能力的把握。以此为课程基本功训练、掌控语文全局知识面及掌握班级管理做充分准备，在此基础上培养学生的耐心、专心和解决问题的恒心。培养学生对课业的使命感与责任感。其三，学科结合。培养学科教育多元化的思想与跨学科解决问题的能力。以此为日后指导综合性教学活动作出，为日后培养教师责任感打下坚实的基础。</w:t>
      </w:r>
    </w:p>
    <w:p w14:paraId="5DAE3A7C">
      <w:pPr>
        <w:spacing w:line="360" w:lineRule="auto"/>
        <w:ind w:firstLine="480" w:firstLineChars="200"/>
        <w:rPr>
          <w:rFonts w:ascii="Times New Roman" w:hAnsi="Times New Roman" w:eastAsia="宋体" w:cs="Times New Roman"/>
          <w:sz w:val="24"/>
          <w:szCs w:val="24"/>
        </w:rPr>
      </w:pPr>
    </w:p>
    <w:p w14:paraId="221F1337">
      <w:pPr>
        <w:spacing w:line="360" w:lineRule="auto"/>
        <w:ind w:firstLine="482"/>
        <w:jc w:val="left"/>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rPr>
        <w:t xml:space="preserve">目标2. </w:t>
      </w:r>
      <w:r>
        <w:rPr>
          <w:rFonts w:hint="eastAsia" w:ascii="Times New Roman" w:hAnsi="Times New Roman" w:eastAsia="宋体" w:cs="Times New Roman"/>
          <w:sz w:val="24"/>
          <w:szCs w:val="24"/>
          <w:lang w:eastAsia="zh-Hans"/>
        </w:rPr>
        <w:t>通过动画赏析培养教育情怀。不仅提高美术鉴赏能力更能够主动走进学生思维，保护与尊重学生人格，同时，向学生正确地传达价值观和人生观。</w:t>
      </w:r>
    </w:p>
    <w:p w14:paraId="2E3AEFDB">
      <w:pPr>
        <w:spacing w:line="360" w:lineRule="auto"/>
        <w:ind w:firstLine="482"/>
        <w:jc w:val="left"/>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rPr>
        <w:t xml:space="preserve">目标3. </w:t>
      </w:r>
      <w:r>
        <w:rPr>
          <w:rFonts w:hint="eastAsia" w:ascii="Times New Roman" w:hAnsi="Times New Roman" w:eastAsia="宋体" w:cs="Times New Roman"/>
          <w:sz w:val="24"/>
          <w:szCs w:val="24"/>
          <w:lang w:eastAsia="zh-Hans"/>
        </w:rPr>
        <w:t>提高沟通能力和写作能力。在学习中学会“描”与“绘”即“描写”与“绘画”能力两方面。使绘画中培养沟通力与书写力。</w:t>
      </w:r>
    </w:p>
    <w:p w14:paraId="527EA702">
      <w:pPr>
        <w:spacing w:line="360" w:lineRule="auto"/>
        <w:ind w:firstLine="482"/>
        <w:jc w:val="left"/>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lang w:eastAsia="zh-Hans"/>
        </w:rPr>
        <w:t>目标</w:t>
      </w:r>
      <w:r>
        <w:rPr>
          <w:rFonts w:ascii="Times New Roman" w:hAnsi="Times New Roman" w:eastAsia="宋体" w:cs="Times New Roman"/>
          <w:sz w:val="24"/>
          <w:szCs w:val="24"/>
          <w:lang w:eastAsia="zh-Hans"/>
        </w:rPr>
        <w:t xml:space="preserve">4. </w:t>
      </w:r>
      <w:r>
        <w:rPr>
          <w:rFonts w:hint="eastAsia" w:ascii="Times New Roman" w:hAnsi="Times New Roman" w:eastAsia="宋体" w:cs="Times New Roman"/>
          <w:sz w:val="24"/>
          <w:szCs w:val="24"/>
          <w:lang w:eastAsia="zh-Hans"/>
        </w:rPr>
        <w:t>其一，培养学生育人思想，通过动画赏析培养学生德育、美育的教学思想。同时提高学生紧抓课程专业性和育人特点的能力。其二，培养学生参与课外育人教学实践活动的参与度，培养既能“话育人”也能“画育人”的能力，为日后快速地融入育人实践活动打下坚实的基础。</w:t>
      </w:r>
    </w:p>
    <w:p w14:paraId="72206987">
      <w:pPr>
        <w:spacing w:line="360" w:lineRule="auto"/>
        <w:ind w:firstLine="482"/>
        <w:jc w:val="left"/>
        <w:outlineLvl w:val="1"/>
        <w:rPr>
          <w:rFonts w:ascii="Times New Roman" w:hAnsi="Times New Roman" w:eastAsia="宋体" w:cs="Times New Roman"/>
          <w:sz w:val="24"/>
          <w:szCs w:val="24"/>
        </w:rPr>
      </w:pPr>
      <w:bookmarkStart w:id="2240" w:name="_Toc5603"/>
      <w:r>
        <w:rPr>
          <w:rFonts w:hint="eastAsia" w:ascii="宋体" w:hAnsi="宋体" w:eastAsia="宋体" w:cs="Times New Roman"/>
          <w:b/>
          <w:sz w:val="28"/>
          <w:szCs w:val="28"/>
        </w:rPr>
        <w:t>（二）课程目标与专业毕业要求的关系</w:t>
      </w:r>
      <w:bookmarkEnd w:id="224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5528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FF061DB">
            <w:pPr>
              <w:spacing w:line="276"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23" w:type="dxa"/>
            <w:vAlign w:val="center"/>
          </w:tcPr>
          <w:p w14:paraId="2F81661A">
            <w:pPr>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4977" w:type="dxa"/>
            <w:vAlign w:val="center"/>
          </w:tcPr>
          <w:p w14:paraId="14F8007C">
            <w:pPr>
              <w:spacing w:line="276" w:lineRule="auto"/>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4778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45160E42">
            <w:pPr>
              <w:spacing w:line="276" w:lineRule="auto"/>
              <w:jc w:val="center"/>
              <w:rPr>
                <w:rFonts w:ascii="宋体" w:hAnsi="宋体" w:eastAsia="宋体" w:cs="宋体"/>
                <w:bCs/>
                <w:color w:val="000000"/>
                <w:szCs w:val="21"/>
              </w:rPr>
            </w:pPr>
            <w:r>
              <w:rPr>
                <w:rFonts w:hint="eastAsia" w:ascii="宋体" w:hAnsi="宋体" w:eastAsia="宋体" w:cs="宋体"/>
                <w:bCs/>
                <w:color w:val="000000"/>
                <w:szCs w:val="21"/>
              </w:rPr>
              <w:t>课程目标1</w:t>
            </w:r>
          </w:p>
        </w:tc>
        <w:tc>
          <w:tcPr>
            <w:tcW w:w="2223" w:type="dxa"/>
            <w:vAlign w:val="center"/>
          </w:tcPr>
          <w:p w14:paraId="2710C5AD">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3.</w:t>
            </w:r>
            <w:r>
              <w:rPr>
                <w:rFonts w:hint="eastAsia" w:ascii="宋体" w:hAnsi="宋体" w:eastAsia="宋体" w:cs="Times New Roman"/>
                <w:color w:val="000000"/>
                <w:kern w:val="0"/>
                <w:szCs w:val="21"/>
                <w:lang w:eastAsia="zh-Hans"/>
              </w:rPr>
              <w:t>学科素养</w:t>
            </w:r>
          </w:p>
        </w:tc>
        <w:tc>
          <w:tcPr>
            <w:tcW w:w="4977" w:type="dxa"/>
            <w:vAlign w:val="center"/>
          </w:tcPr>
          <w:p w14:paraId="3D2E65A6">
            <w:pPr>
              <w:spacing w:line="276" w:lineRule="auto"/>
              <w:jc w:val="left"/>
              <w:rPr>
                <w:rFonts w:ascii="Calibri" w:hAnsi="Calibri" w:eastAsia="宋体" w:cs="Times New Roman"/>
                <w:szCs w:val="21"/>
                <w:lang w:eastAsia="zh-Hans"/>
              </w:rPr>
            </w:pPr>
            <w:r>
              <w:rPr>
                <w:rFonts w:hint="eastAsia" w:ascii="宋体" w:hAnsi="宋体" w:eastAsia="宋体" w:cs="Times New Roman"/>
                <w:color w:val="000000"/>
                <w:szCs w:val="21"/>
              </w:rPr>
              <w:t>3-1:</w:t>
            </w:r>
            <w:r>
              <w:rPr>
                <w:rFonts w:ascii="Calibri" w:hAnsi="Calibri" w:eastAsia="宋体" w:cs="Times New Roman"/>
                <w:szCs w:val="21"/>
              </w:rPr>
              <w:t>：</w:t>
            </w:r>
            <w:r>
              <w:rPr>
                <w:rFonts w:hint="eastAsia" w:ascii="Calibri" w:hAnsi="Calibri" w:eastAsia="宋体" w:cs="Times New Roman"/>
                <w:szCs w:val="21"/>
                <w:lang w:eastAsia="zh-Hans"/>
              </w:rPr>
              <w:t>掌握中国传统艺术，</w:t>
            </w:r>
            <w:r>
              <w:rPr>
                <w:rFonts w:hint="eastAsia" w:ascii="Calibri" w:hAnsi="Calibri" w:eastAsia="宋体" w:cs="Times New Roman"/>
                <w:szCs w:val="21"/>
              </w:rPr>
              <w:t>结合小学生认知发展特点，</w:t>
            </w:r>
            <w:r>
              <w:rPr>
                <w:rFonts w:hint="eastAsia" w:ascii="Calibri" w:hAnsi="Calibri" w:eastAsia="宋体" w:cs="Times New Roman"/>
                <w:szCs w:val="21"/>
                <w:lang w:eastAsia="zh-Hans"/>
              </w:rPr>
              <w:t>加强美育教育。并且在绘画中锻炼学生有耐心地、专心致志地解决问题的心态。</w:t>
            </w:r>
          </w:p>
          <w:p w14:paraId="1ACD820D">
            <w:pPr>
              <w:spacing w:line="276" w:lineRule="auto"/>
              <w:jc w:val="left"/>
              <w:rPr>
                <w:rFonts w:ascii="Calibri" w:hAnsi="Calibri" w:eastAsia="宋体" w:cs="Times New Roman"/>
                <w:szCs w:val="21"/>
                <w:lang w:eastAsia="zh-Hans"/>
              </w:rPr>
            </w:pPr>
            <w:r>
              <w:rPr>
                <w:rFonts w:ascii="宋体" w:hAnsi="宋体" w:eastAsia="宋体" w:cs="Times New Roman"/>
                <w:color w:val="000000"/>
                <w:kern w:val="0"/>
                <w:szCs w:val="21"/>
              </w:rPr>
              <w:t>3</w:t>
            </w:r>
            <w:r>
              <w:rPr>
                <w:rFonts w:hint="eastAsia" w:ascii="宋体" w:hAnsi="宋体" w:eastAsia="宋体" w:cs="Times New Roman"/>
                <w:color w:val="000000"/>
                <w:kern w:val="0"/>
                <w:szCs w:val="21"/>
              </w:rPr>
              <w:t>-</w:t>
            </w:r>
            <w:r>
              <w:rPr>
                <w:rFonts w:ascii="宋体" w:hAnsi="宋体" w:eastAsia="宋体" w:cs="Times New Roman"/>
                <w:color w:val="000000"/>
                <w:kern w:val="0"/>
                <w:szCs w:val="21"/>
              </w:rPr>
              <w:t>2 3-3</w:t>
            </w:r>
            <w:r>
              <w:rPr>
                <w:rFonts w:hint="eastAsia" w:ascii="宋体" w:hAnsi="宋体" w:eastAsia="宋体" w:cs="Times New Roman"/>
                <w:color w:val="000000"/>
                <w:kern w:val="0"/>
                <w:szCs w:val="21"/>
                <w:lang w:eastAsia="zh-Hans"/>
              </w:rPr>
              <w:t>：培养</w:t>
            </w:r>
            <w:r>
              <w:rPr>
                <w:rFonts w:hint="eastAsia" w:ascii="Calibri" w:hAnsi="Calibri" w:eastAsia="宋体" w:cs="Times New Roman"/>
                <w:szCs w:val="21"/>
                <w:lang w:eastAsia="zh-Hans"/>
              </w:rPr>
              <w:t>探究一门课的</w:t>
            </w:r>
            <w:r>
              <w:rPr>
                <w:rFonts w:hint="eastAsia" w:ascii="Calibri" w:hAnsi="Calibri" w:eastAsia="宋体" w:cs="Times New Roman"/>
                <w:szCs w:val="21"/>
              </w:rPr>
              <w:t>基本知识、原理和技能</w:t>
            </w:r>
            <w:r>
              <w:rPr>
                <w:rFonts w:hint="eastAsia" w:ascii="Calibri" w:hAnsi="Calibri" w:eastAsia="宋体" w:cs="Times New Roman"/>
                <w:szCs w:val="21"/>
                <w:lang w:eastAsia="zh-Hans"/>
              </w:rPr>
              <w:t>的能力</w:t>
            </w:r>
          </w:p>
          <w:p w14:paraId="30DFC6B0">
            <w:pPr>
              <w:spacing w:line="276" w:lineRule="auto"/>
              <w:jc w:val="left"/>
              <w:rPr>
                <w:rFonts w:ascii="Calibri" w:hAnsi="Calibri" w:eastAsia="宋体" w:cs="Times New Roman"/>
                <w:szCs w:val="21"/>
                <w:lang w:eastAsia="zh-Hans"/>
              </w:rPr>
            </w:pPr>
            <w:r>
              <w:rPr>
                <w:rFonts w:ascii="宋体" w:hAnsi="宋体" w:eastAsia="宋体" w:cs="Times New Roman"/>
                <w:color w:val="000000"/>
                <w:kern w:val="0"/>
                <w:szCs w:val="21"/>
              </w:rPr>
              <w:t>3</w:t>
            </w:r>
            <w:r>
              <w:rPr>
                <w:rFonts w:hint="eastAsia" w:ascii="宋体" w:hAnsi="宋体" w:eastAsia="宋体" w:cs="Times New Roman"/>
                <w:color w:val="000000"/>
                <w:kern w:val="0"/>
                <w:szCs w:val="21"/>
              </w:rPr>
              <w:t>-</w:t>
            </w:r>
            <w:r>
              <w:rPr>
                <w:rFonts w:ascii="宋体" w:hAnsi="宋体" w:eastAsia="宋体" w:cs="Times New Roman"/>
                <w:color w:val="000000"/>
                <w:kern w:val="0"/>
                <w:szCs w:val="21"/>
              </w:rPr>
              <w:t>4</w:t>
            </w:r>
            <w:r>
              <w:rPr>
                <w:rFonts w:hint="eastAsia" w:ascii="Calibri" w:hAnsi="Calibri" w:eastAsia="宋体" w:cs="Times New Roman"/>
                <w:color w:val="000000"/>
                <w:szCs w:val="21"/>
              </w:rPr>
              <w:t>: 了解</w:t>
            </w:r>
            <w:r>
              <w:rPr>
                <w:rFonts w:hint="eastAsia" w:ascii="Calibri" w:hAnsi="Calibri" w:eastAsia="宋体" w:cs="Times New Roman"/>
                <w:color w:val="000000"/>
                <w:szCs w:val="21"/>
                <w:lang w:eastAsia="zh-Hans"/>
              </w:rPr>
              <w:t>所学学科与艺术之间有效结合的方法，</w:t>
            </w:r>
            <w:r>
              <w:rPr>
                <w:rFonts w:hint="eastAsia" w:ascii="Calibri" w:hAnsi="Calibri" w:eastAsia="宋体" w:cs="Times New Roman"/>
                <w:color w:val="000000"/>
                <w:szCs w:val="21"/>
              </w:rPr>
              <w:t>了解学科整合的在小学教育中的价值，具有跨学科解决问题的意识和</w:t>
            </w:r>
            <w:r>
              <w:rPr>
                <w:rFonts w:hint="eastAsia" w:ascii="Calibri" w:hAnsi="Calibri" w:eastAsia="宋体" w:cs="Times New Roman"/>
                <w:color w:val="000000"/>
                <w:szCs w:val="21"/>
                <w:lang w:eastAsia="zh-Hans"/>
              </w:rPr>
              <w:t>思考</w:t>
            </w:r>
            <w:r>
              <w:rPr>
                <w:rFonts w:hint="eastAsia" w:ascii="Calibri" w:hAnsi="Calibri" w:eastAsia="宋体" w:cs="Times New Roman"/>
                <w:color w:val="000000"/>
                <w:szCs w:val="21"/>
              </w:rPr>
              <w:t>能力，能指导综合性学科教学活动。</w:t>
            </w:r>
          </w:p>
        </w:tc>
      </w:tr>
      <w:tr w14:paraId="07B9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456671D3">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课程目标2</w:t>
            </w:r>
          </w:p>
        </w:tc>
        <w:tc>
          <w:tcPr>
            <w:tcW w:w="2223" w:type="dxa"/>
            <w:vAlign w:val="center"/>
          </w:tcPr>
          <w:p w14:paraId="4868B311">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毕业要求2</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教育情怀</w:t>
            </w:r>
          </w:p>
        </w:tc>
        <w:tc>
          <w:tcPr>
            <w:tcW w:w="4977" w:type="dxa"/>
            <w:vAlign w:val="center"/>
          </w:tcPr>
          <w:p w14:paraId="5006040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Calibri" w:hAnsi="Calibri" w:eastAsia="宋体" w:cs="Times New Roman"/>
                <w:szCs w:val="21"/>
                <w:lang w:eastAsia="zh-Hans"/>
              </w:rPr>
              <w:t>以关爱学生，用心从教为己任。培养正确的儿童观，理解与尊重想象力、关爱、保护学生人格，主动地融入学生世界，培养有耐心、有爱心、有责任心的教育责任感。</w:t>
            </w:r>
          </w:p>
        </w:tc>
      </w:tr>
      <w:tr w14:paraId="2F7C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8" w:type="dxa"/>
            <w:vAlign w:val="center"/>
          </w:tcPr>
          <w:p w14:paraId="33F7AC20">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课程目标3</w:t>
            </w:r>
          </w:p>
        </w:tc>
        <w:tc>
          <w:tcPr>
            <w:tcW w:w="2223" w:type="dxa"/>
            <w:vAlign w:val="center"/>
          </w:tcPr>
          <w:p w14:paraId="72850DA2">
            <w:pPr>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4</w:t>
            </w:r>
            <w:r>
              <w:rPr>
                <w:rFonts w:hint="eastAsia"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lang w:eastAsia="zh-Hans"/>
              </w:rPr>
              <w:t>教学能力</w:t>
            </w:r>
          </w:p>
        </w:tc>
        <w:tc>
          <w:tcPr>
            <w:tcW w:w="4977" w:type="dxa"/>
            <w:vAlign w:val="center"/>
          </w:tcPr>
          <w:p w14:paraId="756CBA38">
            <w:pPr>
              <w:spacing w:line="276" w:lineRule="auto"/>
              <w:jc w:val="left"/>
              <w:rPr>
                <w:rFonts w:ascii="宋体" w:hAnsi="宋体" w:eastAsia="宋体" w:cs="Times New Roman"/>
                <w:color w:val="000000"/>
                <w:szCs w:val="21"/>
              </w:rPr>
            </w:pPr>
            <w:r>
              <w:rPr>
                <w:rFonts w:ascii="宋体" w:hAnsi="宋体" w:eastAsia="宋体" w:cs="Times New Roman"/>
                <w:color w:val="000000"/>
                <w:kern w:val="0"/>
                <w:szCs w:val="21"/>
              </w:rPr>
              <w:t>4</w:t>
            </w:r>
            <w:r>
              <w:rPr>
                <w:rFonts w:hint="eastAsia" w:ascii="宋体" w:hAnsi="宋体" w:eastAsia="宋体" w:cs="Times New Roman"/>
                <w:color w:val="000000"/>
                <w:kern w:val="0"/>
                <w:szCs w:val="21"/>
              </w:rPr>
              <w:t>-</w:t>
            </w:r>
            <w:r>
              <w:rPr>
                <w:rFonts w:ascii="宋体" w:hAnsi="宋体" w:eastAsia="宋体" w:cs="Times New Roman"/>
                <w:color w:val="000000"/>
                <w:kern w:val="0"/>
                <w:szCs w:val="21"/>
              </w:rPr>
              <w:t>3</w:t>
            </w:r>
            <w:r>
              <w:rPr>
                <w:rFonts w:hint="eastAsia" w:ascii="宋体" w:hAnsi="宋体" w:eastAsia="宋体" w:cs="Times New Roman"/>
                <w:color w:val="000000"/>
                <w:kern w:val="0"/>
                <w:szCs w:val="21"/>
              </w:rPr>
              <w:t>:</w:t>
            </w:r>
            <w:r>
              <w:rPr>
                <w:rFonts w:hint="eastAsia" w:ascii="Calibri" w:hAnsi="Calibri" w:eastAsia="宋体" w:cs="Times New Roman"/>
                <w:szCs w:val="21"/>
                <w:lang w:eastAsia="zh-Hans"/>
              </w:rPr>
              <w:t>掌握文科教师教学基本功，包括书写技能、沟通与表达技能。</w:t>
            </w:r>
          </w:p>
        </w:tc>
      </w:tr>
      <w:tr w14:paraId="25CD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0AA0E1ED">
            <w:pPr>
              <w:spacing w:line="276" w:lineRule="auto"/>
              <w:jc w:val="center"/>
              <w:rPr>
                <w:rFonts w:ascii="宋体" w:hAnsi="宋体" w:eastAsia="宋体" w:cs="宋体"/>
                <w:color w:val="000000"/>
                <w:szCs w:val="21"/>
                <w:lang w:eastAsia="zh-Hans"/>
              </w:rPr>
            </w:pPr>
            <w:r>
              <w:rPr>
                <w:rFonts w:hint="eastAsia" w:ascii="宋体" w:hAnsi="宋体" w:eastAsia="宋体" w:cs="宋体"/>
                <w:color w:val="000000"/>
                <w:szCs w:val="21"/>
              </w:rPr>
              <w:t>课程目标4</w:t>
            </w:r>
          </w:p>
        </w:tc>
        <w:tc>
          <w:tcPr>
            <w:tcW w:w="2223" w:type="dxa"/>
            <w:vAlign w:val="center"/>
          </w:tcPr>
          <w:p w14:paraId="48C9EEE8">
            <w:pPr>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毕业要求6.综合育人</w:t>
            </w:r>
          </w:p>
        </w:tc>
        <w:tc>
          <w:tcPr>
            <w:tcW w:w="4977" w:type="dxa"/>
            <w:vAlign w:val="center"/>
          </w:tcPr>
          <w:p w14:paraId="78B10A2E">
            <w:pPr>
              <w:spacing w:line="276" w:lineRule="auto"/>
              <w:jc w:val="left"/>
              <w:rPr>
                <w:rFonts w:ascii="Calibri" w:hAnsi="Calibri" w:eastAsia="宋体" w:cs="Times New Roman"/>
                <w:color w:val="000000"/>
                <w:szCs w:val="21"/>
              </w:rPr>
            </w:pPr>
            <w:r>
              <w:rPr>
                <w:rFonts w:hint="eastAsia" w:ascii="宋体" w:hAnsi="宋体" w:eastAsia="宋体" w:cs="Times New Roman"/>
                <w:color w:val="000000"/>
                <w:kern w:val="0"/>
                <w:szCs w:val="21"/>
              </w:rPr>
              <w:t>6-2</w:t>
            </w:r>
            <w:r>
              <w:rPr>
                <w:rFonts w:hint="eastAsia" w:ascii="Calibri" w:hAnsi="Calibri" w:eastAsia="宋体" w:cs="Times New Roman"/>
                <w:color w:val="000000"/>
                <w:szCs w:val="21"/>
              </w:rPr>
              <w:t xml:space="preserve">: </w:t>
            </w:r>
            <w:r>
              <w:rPr>
                <w:rFonts w:hint="eastAsia" w:ascii="Calibri" w:hAnsi="Calibri" w:eastAsia="宋体" w:cs="Times New Roman"/>
                <w:szCs w:val="21"/>
              </w:rPr>
              <w:t>具有教书育人的意识，理解学科核心素养和拟任教学科课程独特的育人功能，具备结合学科教学进行育人的意识与能力</w:t>
            </w:r>
            <w:r>
              <w:rPr>
                <w:rFonts w:hint="eastAsia" w:ascii="Calibri" w:hAnsi="Calibri" w:eastAsia="宋体" w:cs="Times New Roman"/>
                <w:szCs w:val="21"/>
                <w:lang w:eastAsia="zh-Hans"/>
              </w:rPr>
              <w:t>。</w:t>
            </w:r>
          </w:p>
          <w:p w14:paraId="15291998">
            <w:pPr>
              <w:spacing w:line="276" w:lineRule="auto"/>
              <w:jc w:val="left"/>
              <w:rPr>
                <w:rFonts w:ascii="Calibri" w:hAnsi="Calibri" w:eastAsia="宋体" w:cs="Times New Roman"/>
                <w:color w:val="000000"/>
                <w:szCs w:val="21"/>
              </w:rPr>
            </w:pPr>
            <w:r>
              <w:rPr>
                <w:rFonts w:hint="eastAsia" w:ascii="宋体" w:hAnsi="宋体" w:eastAsia="宋体" w:cs="Times New Roman"/>
                <w:color w:val="000000"/>
                <w:kern w:val="0"/>
                <w:szCs w:val="21"/>
              </w:rPr>
              <w:t>6-3</w:t>
            </w:r>
            <w:r>
              <w:rPr>
                <w:rFonts w:ascii="宋体" w:hAnsi="宋体" w:eastAsia="宋体" w:cs="Times New Roman"/>
                <w:color w:val="000000"/>
                <w:kern w:val="0"/>
                <w:szCs w:val="21"/>
              </w:rPr>
              <w:t>:</w:t>
            </w:r>
            <w:r>
              <w:rPr>
                <w:rFonts w:hint="eastAsia" w:ascii="Calibri" w:hAnsi="Calibri" w:eastAsia="宋体" w:cs="Times New Roman"/>
                <w:color w:val="000000"/>
                <w:szCs w:val="21"/>
              </w:rPr>
              <w:t>掌握学校文化和各类课外教育活动的育人内涵和</w:t>
            </w:r>
            <w:r>
              <w:rPr>
                <w:rFonts w:hint="eastAsia" w:ascii="Calibri" w:hAnsi="Calibri" w:eastAsia="宋体" w:cs="Times New Roman"/>
                <w:color w:val="000000"/>
                <w:szCs w:val="21"/>
                <w:lang w:eastAsia="zh-Hans"/>
              </w:rPr>
              <w:t>传达</w:t>
            </w:r>
            <w:r>
              <w:rPr>
                <w:rFonts w:hint="eastAsia" w:ascii="Calibri" w:hAnsi="Calibri" w:eastAsia="宋体" w:cs="Times New Roman"/>
                <w:color w:val="000000"/>
                <w:szCs w:val="21"/>
              </w:rPr>
              <w:t>方法，参与组织</w:t>
            </w:r>
            <w:r>
              <w:rPr>
                <w:rFonts w:hint="eastAsia" w:ascii="Calibri" w:hAnsi="Calibri" w:eastAsia="宋体" w:cs="Times New Roman"/>
                <w:color w:val="000000"/>
                <w:szCs w:val="21"/>
                <w:lang w:eastAsia="zh-Hans"/>
              </w:rPr>
              <w:t>各项</w:t>
            </w:r>
            <w:r>
              <w:rPr>
                <w:rFonts w:hint="eastAsia" w:ascii="Calibri" w:hAnsi="Calibri" w:eastAsia="宋体" w:cs="Times New Roman"/>
                <w:color w:val="000000"/>
                <w:szCs w:val="21"/>
              </w:rPr>
              <w:t>主题教育、少先队活动和社团活动，促进小学生全面、健康发展。</w:t>
            </w:r>
          </w:p>
        </w:tc>
      </w:tr>
    </w:tbl>
    <w:p w14:paraId="07113265">
      <w:pPr>
        <w:spacing w:line="360" w:lineRule="auto"/>
        <w:ind w:firstLine="482"/>
        <w:jc w:val="left"/>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ab/>
      </w:r>
    </w:p>
    <w:p w14:paraId="32194AF4">
      <w:pPr>
        <w:spacing w:line="360" w:lineRule="auto"/>
        <w:ind w:firstLine="482"/>
        <w:jc w:val="left"/>
        <w:rPr>
          <w:rFonts w:ascii="Times New Roman" w:hAnsi="Times New Roman" w:eastAsia="宋体" w:cs="Times New Roman"/>
          <w:color w:val="000000"/>
          <w:sz w:val="24"/>
          <w:szCs w:val="24"/>
        </w:rPr>
      </w:pPr>
    </w:p>
    <w:p w14:paraId="6A3BFA1D">
      <w:pPr>
        <w:spacing w:line="360" w:lineRule="auto"/>
        <w:ind w:firstLine="482"/>
        <w:jc w:val="left"/>
        <w:rPr>
          <w:rFonts w:ascii="Times New Roman" w:hAnsi="Times New Roman" w:eastAsia="宋体" w:cs="Times New Roman"/>
          <w:color w:val="000000"/>
          <w:sz w:val="24"/>
          <w:szCs w:val="24"/>
        </w:rPr>
      </w:pPr>
    </w:p>
    <w:p w14:paraId="5BD0FADB">
      <w:pPr>
        <w:spacing w:line="360" w:lineRule="auto"/>
        <w:ind w:firstLine="562" w:firstLineChars="200"/>
        <w:outlineLvl w:val="0"/>
        <w:rPr>
          <w:rFonts w:ascii="Times New Roman" w:hAnsi="Times New Roman" w:eastAsia="宋体" w:cs="Times New Roman"/>
          <w:sz w:val="24"/>
          <w:szCs w:val="24"/>
        </w:rPr>
      </w:pPr>
      <w:bookmarkStart w:id="2241" w:name="_Toc8252"/>
      <w:bookmarkStart w:id="2242" w:name="_Toc3074"/>
      <w:bookmarkStart w:id="2243" w:name="_Toc19095"/>
      <w:bookmarkStart w:id="2244" w:name="_Toc16573"/>
      <w:bookmarkStart w:id="2245" w:name="_Toc29979"/>
      <w:bookmarkStart w:id="2246" w:name="_Toc13873"/>
      <w:bookmarkStart w:id="2247" w:name="_Toc18753"/>
      <w:r>
        <w:rPr>
          <w:rFonts w:hint="eastAsia" w:ascii="Times New Roman" w:hAnsi="Times New Roman" w:eastAsia="宋体" w:cs="Times New Roman"/>
          <w:b/>
          <w:sz w:val="28"/>
          <w:szCs w:val="28"/>
        </w:rPr>
        <w:t>三</w:t>
      </w:r>
      <w:r>
        <w:rPr>
          <w:rFonts w:ascii="Times New Roman" w:hAnsi="Times New Roman" w:eastAsia="宋体" w:cs="Times New Roman"/>
          <w:b/>
          <w:sz w:val="28"/>
          <w:szCs w:val="28"/>
        </w:rPr>
        <w:t>、课程内容及要求</w:t>
      </w:r>
      <w:bookmarkEnd w:id="2241"/>
      <w:bookmarkEnd w:id="2242"/>
      <w:bookmarkEnd w:id="2243"/>
      <w:bookmarkEnd w:id="2244"/>
      <w:bookmarkEnd w:id="2245"/>
      <w:bookmarkEnd w:id="2246"/>
      <w:bookmarkEnd w:id="2247"/>
    </w:p>
    <w:p w14:paraId="58E39F36">
      <w:pPr>
        <w:spacing w:line="360" w:lineRule="auto"/>
        <w:ind w:firstLine="480" w:firstLineChars="200"/>
        <w:outlineLvl w:val="1"/>
        <w:rPr>
          <w:rFonts w:ascii="Times New Roman" w:hAnsi="Times New Roman" w:eastAsia="宋体" w:cs="Times New Roman"/>
          <w:sz w:val="24"/>
          <w:szCs w:val="24"/>
        </w:rPr>
      </w:pPr>
      <w:bookmarkStart w:id="2248" w:name="_Toc24649"/>
      <w:r>
        <w:rPr>
          <w:rFonts w:hint="eastAsia" w:ascii="Times New Roman" w:hAnsi="Times New Roman" w:eastAsia="宋体" w:cs="Times New Roman"/>
          <w:sz w:val="24"/>
          <w:szCs w:val="24"/>
        </w:rPr>
        <w:t>（一）</w:t>
      </w:r>
      <w:r>
        <w:rPr>
          <w:rFonts w:hint="eastAsia" w:ascii="Times New Roman" w:hAnsi="Times New Roman" w:eastAsia="宋体" w:cs="Times New Roman"/>
          <w:sz w:val="24"/>
          <w:szCs w:val="24"/>
          <w:lang w:eastAsia="zh-Hans"/>
        </w:rPr>
        <w:t>中外素描发展简史</w:t>
      </w:r>
      <w:bookmarkEnd w:id="2248"/>
    </w:p>
    <w:p w14:paraId="4BDFD74A">
      <w:pPr>
        <w:spacing w:line="360" w:lineRule="auto"/>
        <w:ind w:firstLine="480" w:firstLineChars="200"/>
        <w:outlineLvl w:val="2"/>
        <w:rPr>
          <w:rFonts w:ascii="Times New Roman" w:hAnsi="Times New Roman" w:eastAsia="宋体" w:cs="Times New Roman"/>
          <w:sz w:val="24"/>
          <w:szCs w:val="24"/>
        </w:rPr>
      </w:pPr>
      <w:bookmarkStart w:id="2249" w:name="_Toc17292"/>
      <w:r>
        <w:rPr>
          <w:rFonts w:ascii="Times New Roman" w:hAnsi="Times New Roman" w:eastAsia="宋体" w:cs="Times New Roman"/>
          <w:sz w:val="24"/>
          <w:szCs w:val="24"/>
        </w:rPr>
        <w:t>1.教学内容</w:t>
      </w:r>
      <w:bookmarkEnd w:id="2249"/>
    </w:p>
    <w:p w14:paraId="7C1599E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lang w:eastAsia="zh-Hans"/>
        </w:rPr>
        <w:t>外国艺术发展史与作品赏析</w:t>
      </w:r>
    </w:p>
    <w:p w14:paraId="07C7701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lang w:eastAsia="zh-Hans"/>
        </w:rPr>
        <w:t>中国素描的特点与作品赏析</w:t>
      </w:r>
    </w:p>
    <w:p w14:paraId="72E4D5A3">
      <w:pPr>
        <w:spacing w:line="360" w:lineRule="auto"/>
        <w:ind w:firstLine="480" w:firstLineChars="200"/>
        <w:outlineLvl w:val="2"/>
        <w:rPr>
          <w:rFonts w:ascii="Times New Roman" w:hAnsi="Times New Roman" w:eastAsia="宋体" w:cs="Times New Roman"/>
          <w:sz w:val="24"/>
          <w:szCs w:val="24"/>
        </w:rPr>
      </w:pPr>
      <w:bookmarkStart w:id="2250" w:name="_Toc10606"/>
      <w:r>
        <w:rPr>
          <w:rFonts w:ascii="Times New Roman" w:hAnsi="Times New Roman" w:eastAsia="宋体" w:cs="Times New Roman"/>
          <w:sz w:val="24"/>
          <w:szCs w:val="24"/>
        </w:rPr>
        <w:t>2.基本要求</w:t>
      </w:r>
      <w:bookmarkEnd w:id="2250"/>
    </w:p>
    <w:p w14:paraId="0C35881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Hans"/>
        </w:rPr>
        <w:t>（</w:t>
      </w:r>
      <w:r>
        <w:rPr>
          <w:rFonts w:ascii="Times New Roman" w:hAnsi="Times New Roman" w:eastAsia="宋体" w:cs="Times New Roman"/>
          <w:sz w:val="24"/>
          <w:szCs w:val="24"/>
          <w:lang w:eastAsia="zh-Hans"/>
        </w:rPr>
        <w:t>1</w:t>
      </w:r>
      <w:r>
        <w:rPr>
          <w:rFonts w:hint="eastAsia" w:ascii="Times New Roman" w:hAnsi="Times New Roman" w:eastAsia="宋体" w:cs="Times New Roman"/>
          <w:sz w:val="24"/>
          <w:szCs w:val="24"/>
          <w:lang w:eastAsia="zh-Hans"/>
        </w:rPr>
        <w:t>）了解每个时期艺术的发展过程和作品特点</w:t>
      </w:r>
      <w:r>
        <w:rPr>
          <w:rFonts w:hint="eastAsia" w:ascii="Times New Roman" w:hAnsi="Times New Roman" w:eastAsia="宋体" w:cs="Times New Roman"/>
          <w:sz w:val="24"/>
          <w:szCs w:val="24"/>
        </w:rPr>
        <w:t>。</w:t>
      </w:r>
    </w:p>
    <w:p w14:paraId="7F51C5A8">
      <w:pPr>
        <w:spacing w:line="360" w:lineRule="auto"/>
        <w:ind w:firstLine="480" w:firstLineChars="200"/>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lang w:eastAsia="zh-Hans"/>
        </w:rPr>
        <w:t>（</w:t>
      </w:r>
      <w:r>
        <w:rPr>
          <w:rFonts w:ascii="Times New Roman" w:hAnsi="Times New Roman" w:eastAsia="宋体" w:cs="Times New Roman"/>
          <w:sz w:val="24"/>
          <w:szCs w:val="24"/>
          <w:lang w:eastAsia="zh-Hans"/>
        </w:rPr>
        <w:t>2</w:t>
      </w:r>
      <w:r>
        <w:rPr>
          <w:rFonts w:hint="eastAsia" w:ascii="Times New Roman" w:hAnsi="Times New Roman" w:eastAsia="宋体" w:cs="Times New Roman"/>
          <w:sz w:val="24"/>
          <w:szCs w:val="24"/>
          <w:lang w:eastAsia="zh-Hans"/>
        </w:rPr>
        <w:t>）了解中国的素描艺术作品的特点。</w:t>
      </w:r>
    </w:p>
    <w:p w14:paraId="1C223197">
      <w:pPr>
        <w:spacing w:line="360" w:lineRule="auto"/>
        <w:ind w:firstLine="480" w:firstLineChars="200"/>
        <w:outlineLvl w:val="1"/>
        <w:rPr>
          <w:rFonts w:ascii="Times New Roman" w:hAnsi="Times New Roman" w:eastAsia="宋体" w:cs="Times New Roman"/>
          <w:sz w:val="24"/>
          <w:szCs w:val="24"/>
          <w:lang w:eastAsia="zh-Hans"/>
        </w:rPr>
      </w:pPr>
      <w:bookmarkStart w:id="2251" w:name="_Toc23673"/>
      <w:r>
        <w:rPr>
          <w:rFonts w:hint="eastAsia" w:ascii="Times New Roman" w:hAnsi="Times New Roman" w:eastAsia="宋体" w:cs="Times New Roman"/>
          <w:sz w:val="24"/>
          <w:szCs w:val="24"/>
        </w:rPr>
        <w:t>（二）</w:t>
      </w:r>
      <w:r>
        <w:rPr>
          <w:rFonts w:hint="eastAsia" w:ascii="Times New Roman" w:hAnsi="Times New Roman" w:eastAsia="宋体" w:cs="Times New Roman"/>
          <w:sz w:val="24"/>
          <w:szCs w:val="24"/>
          <w:lang w:eastAsia="zh-Hans"/>
        </w:rPr>
        <w:t>素描</w:t>
      </w:r>
      <w:r>
        <w:rPr>
          <w:rFonts w:hint="eastAsia" w:ascii="Times New Roman" w:hAnsi="Times New Roman" w:eastAsia="宋体" w:cs="Times New Roman"/>
          <w:sz w:val="24"/>
          <w:szCs w:val="24"/>
        </w:rPr>
        <w:t>绘画的基本要求</w:t>
      </w:r>
      <w:r>
        <w:rPr>
          <w:rFonts w:hint="eastAsia" w:ascii="Times New Roman" w:hAnsi="Times New Roman" w:eastAsia="宋体" w:cs="Times New Roman"/>
          <w:sz w:val="24"/>
          <w:szCs w:val="24"/>
          <w:lang w:eastAsia="zh-Hans"/>
        </w:rPr>
        <w:t>与要点</w:t>
      </w:r>
      <w:bookmarkEnd w:id="2251"/>
    </w:p>
    <w:p w14:paraId="4E46CD5C">
      <w:pPr>
        <w:spacing w:line="360" w:lineRule="auto"/>
        <w:ind w:firstLine="480" w:firstLineChars="200"/>
        <w:outlineLvl w:val="2"/>
        <w:rPr>
          <w:rFonts w:ascii="Times New Roman" w:hAnsi="Times New Roman" w:eastAsia="宋体" w:cs="Times New Roman"/>
          <w:sz w:val="24"/>
          <w:szCs w:val="24"/>
        </w:rPr>
      </w:pPr>
      <w:bookmarkStart w:id="2252" w:name="_Toc26547"/>
      <w:r>
        <w:rPr>
          <w:rFonts w:ascii="Times New Roman" w:hAnsi="Times New Roman" w:eastAsia="宋体" w:cs="Times New Roman"/>
          <w:sz w:val="24"/>
          <w:szCs w:val="24"/>
        </w:rPr>
        <w:t>1.教学内容</w:t>
      </w:r>
      <w:bookmarkEnd w:id="2252"/>
    </w:p>
    <w:p w14:paraId="4F0DF49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宋体" w:hAnsi="宋体" w:eastAsia="宋体" w:cs="Times New Roman"/>
          <w:sz w:val="24"/>
          <w:szCs w:val="24"/>
        </w:rPr>
        <w:t>熟悉工具材料</w:t>
      </w:r>
      <w:r>
        <w:rPr>
          <w:rFonts w:hint="eastAsia" w:ascii="宋体" w:hAnsi="宋体" w:eastAsia="宋体" w:cs="Times New Roman"/>
          <w:sz w:val="24"/>
          <w:szCs w:val="24"/>
          <w:lang w:eastAsia="zh-Hans"/>
        </w:rPr>
        <w:t>与作画方式</w:t>
      </w:r>
      <w:r>
        <w:rPr>
          <w:rFonts w:hint="eastAsia" w:ascii="宋体" w:hAnsi="宋体" w:eastAsia="宋体" w:cs="Times New Roman"/>
          <w:sz w:val="24"/>
          <w:szCs w:val="24"/>
        </w:rPr>
        <w:t>。</w:t>
      </w:r>
    </w:p>
    <w:p w14:paraId="4338DC2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宋体" w:hAnsi="宋体" w:eastAsia="宋体" w:cs="Times New Roman"/>
          <w:sz w:val="24"/>
          <w:szCs w:val="24"/>
        </w:rPr>
        <w:t>构图的基本原理。</w:t>
      </w:r>
    </w:p>
    <w:p w14:paraId="76BC7A4A">
      <w:pPr>
        <w:spacing w:line="360" w:lineRule="auto"/>
        <w:ind w:firstLine="480" w:firstLineChars="200"/>
        <w:rPr>
          <w:rFonts w:ascii="宋体" w:hAnsi="宋体" w:eastAsia="宋体" w:cs="Times New Roman"/>
          <w:sz w:val="24"/>
          <w:szCs w:val="24"/>
        </w:rPr>
      </w:pPr>
      <w:r>
        <w:rPr>
          <w:rFonts w:ascii="Times New Roman" w:hAnsi="Times New Roman" w:eastAsia="宋体" w:cs="Times New Roman"/>
          <w:sz w:val="24"/>
          <w:szCs w:val="24"/>
        </w:rPr>
        <w:t>（3）</w:t>
      </w:r>
      <w:r>
        <w:rPr>
          <w:rFonts w:hint="eastAsia" w:ascii="宋体" w:hAnsi="宋体" w:eastAsia="宋体" w:cs="Times New Roman"/>
          <w:sz w:val="24"/>
          <w:szCs w:val="24"/>
        </w:rPr>
        <w:t>透视的基本画法。</w:t>
      </w:r>
    </w:p>
    <w:p w14:paraId="70AD08C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宋体" w:hAnsi="宋体" w:eastAsia="宋体" w:cs="Times New Roman"/>
          <w:sz w:val="24"/>
          <w:szCs w:val="24"/>
        </w:rPr>
        <w:t>结构形态造型的基本画法</w:t>
      </w:r>
      <w:r>
        <w:rPr>
          <w:rFonts w:hint="eastAsia" w:ascii="Times New Roman" w:hAnsi="Times New Roman" w:eastAsia="宋体" w:cs="Times New Roman"/>
          <w:sz w:val="24"/>
          <w:szCs w:val="24"/>
        </w:rPr>
        <w:t>。</w:t>
      </w:r>
    </w:p>
    <w:p w14:paraId="1CD1F9D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5</w:t>
      </w:r>
      <w:r>
        <w:rPr>
          <w:rFonts w:ascii="Times New Roman" w:hAnsi="Times New Roman" w:eastAsia="宋体" w:cs="Times New Roman"/>
          <w:sz w:val="24"/>
          <w:szCs w:val="24"/>
        </w:rPr>
        <w:t>）</w:t>
      </w:r>
      <w:r>
        <w:rPr>
          <w:rFonts w:hint="eastAsia" w:ascii="宋体" w:hAnsi="宋体" w:eastAsia="宋体" w:cs="Times New Roman"/>
          <w:sz w:val="24"/>
          <w:szCs w:val="24"/>
        </w:rPr>
        <w:t>结构形态造型的表现要素</w:t>
      </w:r>
      <w:r>
        <w:rPr>
          <w:rFonts w:hint="eastAsia" w:ascii="Times New Roman" w:hAnsi="Times New Roman" w:eastAsia="宋体" w:cs="Times New Roman"/>
          <w:sz w:val="24"/>
          <w:szCs w:val="24"/>
        </w:rPr>
        <w:t>。</w:t>
      </w:r>
    </w:p>
    <w:p w14:paraId="1965239D">
      <w:pPr>
        <w:spacing w:line="360" w:lineRule="auto"/>
        <w:ind w:firstLine="480" w:firstLineChars="200"/>
        <w:outlineLvl w:val="2"/>
        <w:rPr>
          <w:rFonts w:ascii="Times New Roman" w:hAnsi="Times New Roman" w:eastAsia="宋体" w:cs="Times New Roman"/>
          <w:sz w:val="24"/>
          <w:szCs w:val="24"/>
        </w:rPr>
      </w:pPr>
      <w:bookmarkStart w:id="2253" w:name="_Toc8612"/>
      <w:r>
        <w:rPr>
          <w:rFonts w:ascii="Times New Roman" w:hAnsi="Times New Roman" w:eastAsia="宋体" w:cs="Times New Roman"/>
          <w:sz w:val="24"/>
          <w:szCs w:val="24"/>
        </w:rPr>
        <w:t>2.基本要求</w:t>
      </w:r>
      <w:bookmarkEnd w:id="2253"/>
    </w:p>
    <w:p w14:paraId="7C297498">
      <w:pPr>
        <w:spacing w:line="360" w:lineRule="auto"/>
        <w:ind w:firstLine="600" w:firstLineChars="250"/>
        <w:rPr>
          <w:rFonts w:ascii="Times New Roman" w:hAnsi="Times New Roman" w:eastAsia="宋体" w:cs="Times New Roman"/>
          <w:sz w:val="24"/>
          <w:szCs w:val="24"/>
        </w:rPr>
      </w:pPr>
      <w:r>
        <w:rPr>
          <w:rFonts w:hint="eastAsia" w:ascii="Times New Roman" w:hAnsi="Times New Roman" w:eastAsia="宋体" w:cs="Times New Roman"/>
          <w:sz w:val="24"/>
          <w:szCs w:val="24"/>
        </w:rPr>
        <w:t>掌握</w:t>
      </w:r>
      <w:r>
        <w:rPr>
          <w:rFonts w:hint="eastAsia" w:ascii="Times New Roman" w:hAnsi="Times New Roman" w:eastAsia="宋体" w:cs="Times New Roman"/>
          <w:sz w:val="24"/>
          <w:szCs w:val="24"/>
          <w:lang w:eastAsia="zh-Hans"/>
        </w:rPr>
        <w:t>绘画的方法与物体分析</w:t>
      </w:r>
      <w:r>
        <w:rPr>
          <w:rFonts w:hint="eastAsia" w:ascii="Times New Roman" w:hAnsi="Times New Roman" w:eastAsia="宋体" w:cs="Times New Roman"/>
          <w:sz w:val="24"/>
          <w:szCs w:val="24"/>
        </w:rPr>
        <w:t>。</w:t>
      </w:r>
    </w:p>
    <w:p w14:paraId="5C23086A">
      <w:pPr>
        <w:spacing w:line="360" w:lineRule="auto"/>
        <w:ind w:left="420" w:leftChars="200"/>
        <w:outlineLvl w:val="1"/>
        <w:rPr>
          <w:rFonts w:ascii="Times New Roman" w:hAnsi="Times New Roman" w:eastAsia="宋体" w:cs="Times New Roman"/>
          <w:sz w:val="24"/>
          <w:szCs w:val="24"/>
          <w:lang w:eastAsia="zh-Hans"/>
        </w:rPr>
      </w:pPr>
      <w:bookmarkStart w:id="2254" w:name="_Toc18143"/>
      <w:r>
        <w:rPr>
          <w:rFonts w:hint="eastAsia" w:ascii="Times New Roman" w:hAnsi="Times New Roman" w:eastAsia="宋体" w:cs="Times New Roman"/>
          <w:sz w:val="24"/>
          <w:szCs w:val="24"/>
          <w:lang w:eastAsia="zh-Hans"/>
        </w:rPr>
        <w:t>（三）结构素描与光影素描</w:t>
      </w:r>
      <w:bookmarkEnd w:id="2254"/>
    </w:p>
    <w:p w14:paraId="049410D0">
      <w:pPr>
        <w:spacing w:line="360" w:lineRule="auto"/>
        <w:ind w:firstLine="480" w:firstLineChars="200"/>
        <w:outlineLvl w:val="2"/>
        <w:rPr>
          <w:rFonts w:ascii="Times New Roman" w:hAnsi="Times New Roman" w:eastAsia="宋体" w:cs="Times New Roman"/>
          <w:sz w:val="24"/>
          <w:szCs w:val="24"/>
        </w:rPr>
      </w:pPr>
      <w:bookmarkStart w:id="2255" w:name="_Toc27701"/>
      <w:r>
        <w:rPr>
          <w:rFonts w:ascii="Times New Roman" w:hAnsi="Times New Roman" w:eastAsia="宋体" w:cs="Times New Roman"/>
          <w:sz w:val="24"/>
          <w:szCs w:val="24"/>
        </w:rPr>
        <w:t>1.教学内容</w:t>
      </w:r>
      <w:bookmarkEnd w:id="2255"/>
    </w:p>
    <w:p w14:paraId="10460A8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宋体" w:hAnsi="宋体" w:eastAsia="宋体" w:cs="Times New Roman"/>
          <w:sz w:val="24"/>
          <w:szCs w:val="24"/>
          <w:lang w:eastAsia="zh-Hans"/>
        </w:rPr>
        <w:t>结构素描单个与组合</w:t>
      </w:r>
      <w:r>
        <w:rPr>
          <w:rFonts w:hint="eastAsia" w:ascii="宋体" w:hAnsi="宋体" w:eastAsia="宋体" w:cs="Times New Roman"/>
          <w:sz w:val="24"/>
          <w:szCs w:val="24"/>
        </w:rPr>
        <w:t>。</w:t>
      </w:r>
    </w:p>
    <w:p w14:paraId="34A9B52F">
      <w:pPr>
        <w:spacing w:line="360" w:lineRule="auto"/>
        <w:ind w:firstLine="480" w:firstLineChars="200"/>
        <w:rPr>
          <w:rFonts w:ascii="宋体" w:hAnsi="宋体"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2</w:t>
      </w:r>
      <w:r>
        <w:rPr>
          <w:rFonts w:ascii="Times New Roman" w:hAnsi="Times New Roman" w:eastAsia="宋体" w:cs="Times New Roman"/>
          <w:sz w:val="24"/>
          <w:szCs w:val="24"/>
        </w:rPr>
        <w:t>）</w:t>
      </w:r>
      <w:r>
        <w:rPr>
          <w:rFonts w:hint="eastAsia" w:ascii="宋体" w:hAnsi="宋体" w:eastAsia="宋体" w:cs="Times New Roman"/>
          <w:sz w:val="24"/>
          <w:szCs w:val="24"/>
          <w:lang w:eastAsia="zh-Hans"/>
        </w:rPr>
        <w:t>光影素描单个与组合</w:t>
      </w:r>
      <w:r>
        <w:rPr>
          <w:rFonts w:hint="eastAsia" w:ascii="宋体" w:hAnsi="宋体" w:eastAsia="宋体" w:cs="Times New Roman"/>
          <w:sz w:val="24"/>
          <w:szCs w:val="24"/>
        </w:rPr>
        <w:t>。</w:t>
      </w:r>
    </w:p>
    <w:p w14:paraId="0A1EF22F">
      <w:pPr>
        <w:spacing w:line="360" w:lineRule="auto"/>
        <w:ind w:firstLine="480" w:firstLineChars="200"/>
        <w:outlineLvl w:val="2"/>
        <w:rPr>
          <w:rFonts w:ascii="Times New Roman" w:hAnsi="Times New Roman" w:eastAsia="宋体" w:cs="Times New Roman"/>
          <w:sz w:val="24"/>
          <w:szCs w:val="24"/>
        </w:rPr>
      </w:pPr>
      <w:bookmarkStart w:id="2256" w:name="_Toc21136"/>
      <w:r>
        <w:rPr>
          <w:rFonts w:ascii="Times New Roman" w:hAnsi="Times New Roman" w:eastAsia="宋体" w:cs="Times New Roman"/>
          <w:sz w:val="24"/>
          <w:szCs w:val="24"/>
        </w:rPr>
        <w:t>2.基本要求</w:t>
      </w:r>
      <w:bookmarkEnd w:id="2256"/>
    </w:p>
    <w:p w14:paraId="452289DD">
      <w:pPr>
        <w:spacing w:line="360" w:lineRule="auto"/>
        <w:ind w:firstLine="600" w:firstLineChars="250"/>
        <w:rPr>
          <w:rFonts w:ascii="Times New Roman" w:hAnsi="Times New Roman" w:eastAsia="宋体" w:cs="Times New Roman"/>
          <w:sz w:val="24"/>
          <w:szCs w:val="24"/>
        </w:rPr>
      </w:pPr>
      <w:r>
        <w:rPr>
          <w:rFonts w:hint="eastAsia" w:ascii="Times New Roman" w:hAnsi="Times New Roman" w:eastAsia="宋体" w:cs="Times New Roman"/>
          <w:sz w:val="24"/>
          <w:szCs w:val="24"/>
        </w:rPr>
        <w:t>掌握</w:t>
      </w:r>
      <w:r>
        <w:rPr>
          <w:rFonts w:hint="eastAsia" w:ascii="Times New Roman" w:hAnsi="Times New Roman" w:eastAsia="宋体" w:cs="Times New Roman"/>
          <w:sz w:val="24"/>
          <w:szCs w:val="24"/>
          <w:lang w:eastAsia="zh-Hans"/>
        </w:rPr>
        <w:t>几何形体的绘画方法与技巧</w:t>
      </w:r>
      <w:r>
        <w:rPr>
          <w:rFonts w:hint="eastAsia" w:ascii="Times New Roman" w:hAnsi="Times New Roman" w:eastAsia="宋体" w:cs="Times New Roman"/>
          <w:sz w:val="24"/>
          <w:szCs w:val="24"/>
        </w:rPr>
        <w:t>。</w:t>
      </w:r>
    </w:p>
    <w:p w14:paraId="32ECD0F8">
      <w:pPr>
        <w:spacing w:line="360" w:lineRule="auto"/>
        <w:ind w:firstLine="600" w:firstLineChars="250"/>
        <w:outlineLvl w:val="1"/>
        <w:rPr>
          <w:rFonts w:ascii="Times New Roman" w:hAnsi="Times New Roman" w:eastAsia="宋体" w:cs="Times New Roman"/>
          <w:sz w:val="24"/>
          <w:szCs w:val="24"/>
          <w:lang w:eastAsia="zh-Hans"/>
        </w:rPr>
      </w:pPr>
      <w:bookmarkStart w:id="2257" w:name="_Toc7194"/>
      <w:r>
        <w:rPr>
          <w:rFonts w:hint="eastAsia" w:ascii="Times New Roman" w:hAnsi="Times New Roman" w:eastAsia="宋体" w:cs="Times New Roman"/>
          <w:sz w:val="24"/>
          <w:szCs w:val="24"/>
          <w:lang w:eastAsia="zh-Hans"/>
        </w:rPr>
        <w:t>（四）动画角色设计与描写</w:t>
      </w:r>
      <w:bookmarkEnd w:id="2257"/>
    </w:p>
    <w:p w14:paraId="228408FF">
      <w:pPr>
        <w:spacing w:line="360" w:lineRule="auto"/>
        <w:outlineLvl w:val="2"/>
        <w:rPr>
          <w:rFonts w:ascii="Times New Roman" w:hAnsi="Times New Roman" w:eastAsia="宋体" w:cs="Times New Roman"/>
          <w:sz w:val="24"/>
          <w:szCs w:val="24"/>
          <w:lang w:eastAsia="zh-Hans"/>
        </w:rPr>
      </w:pPr>
      <w:r>
        <w:rPr>
          <w:rFonts w:ascii="Times New Roman" w:hAnsi="Times New Roman" w:eastAsia="宋体" w:cs="Times New Roman"/>
          <w:sz w:val="24"/>
          <w:szCs w:val="24"/>
          <w:lang w:eastAsia="zh-Hans"/>
        </w:rPr>
        <w:t xml:space="preserve">     </w:t>
      </w:r>
      <w:bookmarkStart w:id="2258" w:name="_Toc2713"/>
      <w:r>
        <w:rPr>
          <w:rFonts w:ascii="Times New Roman" w:hAnsi="Times New Roman" w:eastAsia="宋体" w:cs="Times New Roman"/>
          <w:sz w:val="24"/>
          <w:szCs w:val="24"/>
          <w:lang w:eastAsia="zh-Hans"/>
        </w:rPr>
        <w:t>1.</w:t>
      </w:r>
      <w:r>
        <w:rPr>
          <w:rFonts w:hint="eastAsia" w:ascii="Times New Roman" w:hAnsi="Times New Roman" w:eastAsia="宋体" w:cs="Times New Roman"/>
          <w:sz w:val="24"/>
          <w:szCs w:val="24"/>
          <w:lang w:eastAsia="zh-Hans"/>
        </w:rPr>
        <w:t>教学内容</w:t>
      </w:r>
      <w:bookmarkEnd w:id="2258"/>
    </w:p>
    <w:p w14:paraId="5C22019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eastAsia="zh-Hans"/>
        </w:rPr>
        <w:t xml:space="preserve"> </w:t>
      </w:r>
      <w:r>
        <w:rPr>
          <w:rFonts w:ascii="Times New Roman" w:hAnsi="Times New Roman" w:eastAsia="宋体" w:cs="Times New Roman"/>
          <w:sz w:val="24"/>
          <w:szCs w:val="24"/>
        </w:rPr>
        <w:t>（1）</w:t>
      </w:r>
      <w:r>
        <w:rPr>
          <w:rFonts w:hint="eastAsia" w:ascii="Times New Roman" w:hAnsi="Times New Roman" w:eastAsia="宋体" w:cs="Times New Roman"/>
          <w:sz w:val="24"/>
          <w:szCs w:val="24"/>
          <w:lang w:eastAsia="zh-Hans"/>
        </w:rPr>
        <w:t>人物表情及动态绘制。</w:t>
      </w:r>
    </w:p>
    <w:p w14:paraId="52441C75">
      <w:pPr>
        <w:numPr>
          <w:ilvl w:val="0"/>
          <w:numId w:val="65"/>
        </w:numPr>
        <w:spacing w:line="360" w:lineRule="auto"/>
        <w:ind w:firstLine="600" w:firstLineChars="250"/>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lang w:eastAsia="zh-Hans"/>
        </w:rPr>
        <w:t>设计中的花纹设计。</w:t>
      </w:r>
    </w:p>
    <w:p w14:paraId="2CD3C5FB">
      <w:pPr>
        <w:numPr>
          <w:ilvl w:val="0"/>
          <w:numId w:val="65"/>
        </w:numPr>
        <w:spacing w:line="360" w:lineRule="auto"/>
        <w:ind w:firstLine="600" w:firstLineChars="250"/>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lang w:eastAsia="zh-Hans"/>
        </w:rPr>
        <w:t>人物表情描写</w:t>
      </w:r>
    </w:p>
    <w:p w14:paraId="5264045E">
      <w:pPr>
        <w:numPr>
          <w:ilvl w:val="0"/>
          <w:numId w:val="66"/>
        </w:numPr>
        <w:spacing w:line="360" w:lineRule="auto"/>
        <w:ind w:left="630" w:leftChars="300"/>
        <w:outlineLvl w:val="2"/>
        <w:rPr>
          <w:rFonts w:ascii="Times New Roman" w:hAnsi="Times New Roman" w:eastAsia="宋体" w:cs="Times New Roman"/>
          <w:sz w:val="24"/>
          <w:szCs w:val="24"/>
          <w:lang w:eastAsia="zh-Hans"/>
        </w:rPr>
      </w:pPr>
      <w:bookmarkStart w:id="2259" w:name="_Toc23284"/>
      <w:r>
        <w:rPr>
          <w:rFonts w:hint="eastAsia" w:ascii="Times New Roman" w:hAnsi="Times New Roman" w:eastAsia="宋体" w:cs="Times New Roman"/>
          <w:sz w:val="24"/>
          <w:szCs w:val="24"/>
          <w:lang w:eastAsia="zh-Hans"/>
        </w:rPr>
        <w:t>基本要求</w:t>
      </w:r>
      <w:bookmarkEnd w:id="2259"/>
    </w:p>
    <w:p w14:paraId="1DEE47E2">
      <w:pPr>
        <w:spacing w:line="360" w:lineRule="auto"/>
        <w:ind w:left="630" w:leftChars="300" w:firstLine="120" w:firstLineChars="50"/>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lang w:eastAsia="zh-Hans"/>
        </w:rPr>
        <w:t>想象各种不同的人物表情或动作，并能够用语言合理地描写出来。</w:t>
      </w:r>
    </w:p>
    <w:p w14:paraId="6B04D2EB">
      <w:pPr>
        <w:numPr>
          <w:ilvl w:val="0"/>
          <w:numId w:val="67"/>
        </w:numPr>
        <w:spacing w:line="360" w:lineRule="auto"/>
        <w:ind w:firstLine="480" w:firstLineChars="200"/>
        <w:outlineLvl w:val="1"/>
        <w:rPr>
          <w:rFonts w:ascii="Times New Roman" w:hAnsi="Times New Roman" w:eastAsia="宋体" w:cs="Times New Roman"/>
          <w:sz w:val="24"/>
          <w:szCs w:val="24"/>
          <w:lang w:eastAsia="zh-Hans"/>
        </w:rPr>
      </w:pPr>
      <w:bookmarkStart w:id="2260" w:name="_Toc24270"/>
      <w:r>
        <w:rPr>
          <w:rFonts w:hint="eastAsia" w:ascii="Times New Roman" w:hAnsi="Times New Roman" w:eastAsia="宋体" w:cs="Times New Roman"/>
          <w:sz w:val="24"/>
          <w:szCs w:val="24"/>
          <w:lang w:eastAsia="zh-Hans"/>
        </w:rPr>
        <w:t>中外动画场景与剧本创作</w:t>
      </w:r>
      <w:bookmarkEnd w:id="2260"/>
    </w:p>
    <w:p w14:paraId="54020644">
      <w:pPr>
        <w:spacing w:line="360" w:lineRule="auto"/>
        <w:ind w:left="630" w:leftChars="300"/>
        <w:outlineLvl w:val="2"/>
        <w:rPr>
          <w:rFonts w:ascii="Times New Roman" w:hAnsi="Times New Roman" w:eastAsia="宋体" w:cs="Times New Roman"/>
          <w:sz w:val="24"/>
          <w:szCs w:val="24"/>
          <w:lang w:eastAsia="zh-Hans"/>
        </w:rPr>
      </w:pPr>
      <w:bookmarkStart w:id="2261" w:name="_Toc23345"/>
      <w:r>
        <w:rPr>
          <w:rFonts w:ascii="Times New Roman" w:hAnsi="Times New Roman" w:eastAsia="宋体" w:cs="Times New Roman"/>
          <w:sz w:val="24"/>
          <w:szCs w:val="24"/>
          <w:lang w:eastAsia="zh-Hans"/>
        </w:rPr>
        <w:t>1.</w:t>
      </w:r>
      <w:r>
        <w:rPr>
          <w:rFonts w:hint="eastAsia" w:ascii="Times New Roman" w:hAnsi="Times New Roman" w:eastAsia="宋体" w:cs="Times New Roman"/>
          <w:sz w:val="24"/>
          <w:szCs w:val="24"/>
          <w:lang w:eastAsia="zh-Hans"/>
        </w:rPr>
        <w:t>教学内容</w:t>
      </w:r>
      <w:bookmarkEnd w:id="2261"/>
    </w:p>
    <w:p w14:paraId="192F1C8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eastAsia="zh-Hans"/>
        </w:rPr>
        <w:t xml:space="preserve"> </w:t>
      </w:r>
      <w:r>
        <w:rPr>
          <w:rFonts w:ascii="Times New Roman" w:hAnsi="Times New Roman" w:eastAsia="宋体" w:cs="Times New Roman"/>
          <w:sz w:val="24"/>
          <w:szCs w:val="24"/>
        </w:rPr>
        <w:t>（1）</w:t>
      </w:r>
      <w:r>
        <w:rPr>
          <w:rFonts w:hint="eastAsia" w:ascii="Times New Roman" w:hAnsi="Times New Roman" w:eastAsia="宋体" w:cs="Times New Roman"/>
          <w:sz w:val="24"/>
          <w:szCs w:val="24"/>
          <w:lang w:eastAsia="zh-Hans"/>
        </w:rPr>
        <w:t>动画场景绘制</w:t>
      </w:r>
    </w:p>
    <w:p w14:paraId="5DD5AC9F">
      <w:pPr>
        <w:spacing w:line="360" w:lineRule="auto"/>
        <w:ind w:left="630" w:leftChars="300"/>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lang w:eastAsia="zh-Hans"/>
        </w:rPr>
        <w:t>（</w:t>
      </w:r>
      <w:r>
        <w:rPr>
          <w:rFonts w:ascii="Times New Roman" w:hAnsi="Times New Roman" w:eastAsia="宋体" w:cs="Times New Roman"/>
          <w:sz w:val="24"/>
          <w:szCs w:val="24"/>
          <w:lang w:eastAsia="zh-Hans"/>
        </w:rPr>
        <w:t>2</w:t>
      </w:r>
      <w:r>
        <w:rPr>
          <w:rFonts w:hint="eastAsia" w:ascii="Times New Roman" w:hAnsi="Times New Roman" w:eastAsia="宋体" w:cs="Times New Roman"/>
          <w:sz w:val="24"/>
          <w:szCs w:val="24"/>
          <w:lang w:eastAsia="zh-Hans"/>
        </w:rPr>
        <w:t>）剧本创作技巧</w:t>
      </w:r>
    </w:p>
    <w:p w14:paraId="696D6ECB">
      <w:pPr>
        <w:spacing w:line="360" w:lineRule="auto"/>
        <w:ind w:left="630" w:leftChars="300"/>
        <w:outlineLvl w:val="2"/>
        <w:rPr>
          <w:rFonts w:ascii="Times New Roman" w:hAnsi="Times New Roman" w:eastAsia="宋体" w:cs="Times New Roman"/>
          <w:sz w:val="24"/>
          <w:szCs w:val="24"/>
          <w:lang w:eastAsia="zh-Hans"/>
        </w:rPr>
      </w:pPr>
      <w:bookmarkStart w:id="2262" w:name="_Toc23074"/>
      <w:r>
        <w:rPr>
          <w:rFonts w:ascii="Times New Roman" w:hAnsi="Times New Roman" w:eastAsia="宋体" w:cs="Times New Roman"/>
          <w:sz w:val="24"/>
          <w:szCs w:val="24"/>
          <w:lang w:eastAsia="zh-Hans"/>
        </w:rPr>
        <w:t>2.</w:t>
      </w:r>
      <w:r>
        <w:rPr>
          <w:rFonts w:hint="eastAsia" w:ascii="Times New Roman" w:hAnsi="Times New Roman" w:eastAsia="宋体" w:cs="Times New Roman"/>
          <w:sz w:val="24"/>
          <w:szCs w:val="24"/>
          <w:lang w:eastAsia="zh-Hans"/>
        </w:rPr>
        <w:t>基本要求</w:t>
      </w:r>
      <w:bookmarkEnd w:id="2262"/>
    </w:p>
    <w:p w14:paraId="30350515">
      <w:pPr>
        <w:spacing w:line="360" w:lineRule="auto"/>
        <w:ind w:firstLine="840" w:firstLineChars="350"/>
        <w:rPr>
          <w:rFonts w:ascii="Times New Roman" w:hAnsi="Times New Roman" w:eastAsia="宋体" w:cs="Times New Roman"/>
          <w:sz w:val="24"/>
          <w:szCs w:val="24"/>
          <w:lang w:eastAsia="zh-Hans"/>
        </w:rPr>
      </w:pPr>
      <w:r>
        <w:rPr>
          <w:rFonts w:hint="eastAsia" w:ascii="Times New Roman" w:hAnsi="Times New Roman" w:eastAsia="宋体" w:cs="Times New Roman"/>
          <w:sz w:val="24"/>
          <w:szCs w:val="24"/>
          <w:lang w:eastAsia="zh-Hans"/>
        </w:rPr>
        <w:t>熟练地绘制不同的角色与场景，并能够用语言合理地描写出来。</w:t>
      </w:r>
    </w:p>
    <w:p w14:paraId="579277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w:t>
      </w:r>
      <w:r>
        <w:rPr>
          <w:rFonts w:ascii="Times New Roman" w:hAnsi="Times New Roman" w:eastAsia="宋体" w:cs="Times New Roman"/>
          <w:sz w:val="24"/>
          <w:szCs w:val="24"/>
        </w:rPr>
        <w:t>课程目标的</w:t>
      </w:r>
      <w:r>
        <w:rPr>
          <w:rFonts w:hint="eastAsia" w:ascii="Times New Roman" w:hAnsi="Times New Roman" w:eastAsia="宋体" w:cs="Times New Roman"/>
          <w:sz w:val="24"/>
          <w:szCs w:val="24"/>
        </w:rPr>
        <w:t>对应关系及</w:t>
      </w:r>
      <w:r>
        <w:rPr>
          <w:rFonts w:ascii="Times New Roman" w:hAnsi="Times New Roman" w:eastAsia="宋体" w:cs="Times New Roman"/>
          <w:sz w:val="24"/>
          <w:szCs w:val="24"/>
        </w:rPr>
        <w:t>学时分配</w:t>
      </w:r>
      <w:r>
        <w:rPr>
          <w:rFonts w:hint="eastAsia" w:ascii="Times New Roman" w:hAnsi="Times New Roman" w:eastAsia="宋体" w:cs="Times New Roman"/>
          <w:sz w:val="24"/>
          <w:szCs w:val="24"/>
        </w:rPr>
        <w:t>如表所示。</w:t>
      </w:r>
    </w:p>
    <w:tbl>
      <w:tblPr>
        <w:tblStyle w:val="10"/>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44C3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02420D41">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3476" w:type="dxa"/>
            <w:shd w:val="clear" w:color="auto" w:fill="FFFFFF"/>
            <w:vAlign w:val="center"/>
          </w:tcPr>
          <w:p w14:paraId="0E10F9B2">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2084" w:type="dxa"/>
            <w:shd w:val="clear" w:color="auto" w:fill="FFFFFF"/>
          </w:tcPr>
          <w:p w14:paraId="2B9A66CB">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p>
          <w:p w14:paraId="518C622B">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w:t>
            </w:r>
          </w:p>
        </w:tc>
        <w:tc>
          <w:tcPr>
            <w:tcW w:w="1470" w:type="dxa"/>
            <w:shd w:val="clear" w:color="auto" w:fill="FFFFFF"/>
            <w:vAlign w:val="center"/>
          </w:tcPr>
          <w:p w14:paraId="2CBDE946">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毕业要求指标点</w:t>
            </w:r>
          </w:p>
        </w:tc>
        <w:tc>
          <w:tcPr>
            <w:tcW w:w="735" w:type="dxa"/>
            <w:shd w:val="clear" w:color="auto" w:fill="FFFFFF"/>
            <w:vAlign w:val="center"/>
          </w:tcPr>
          <w:p w14:paraId="3E7A89B0">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w:t>
            </w:r>
            <w:r>
              <w:rPr>
                <w:rFonts w:hint="eastAsia" w:ascii="Times New Roman" w:hAnsi="Times New Roman" w:eastAsia="宋体" w:cs="Times New Roman"/>
                <w:color w:val="000000"/>
                <w:szCs w:val="21"/>
              </w:rPr>
              <w:t>授</w:t>
            </w:r>
            <w:r>
              <w:rPr>
                <w:rFonts w:ascii="Times New Roman" w:hAnsi="Times New Roman" w:eastAsia="宋体" w:cs="Times New Roman"/>
                <w:color w:val="000000"/>
                <w:szCs w:val="21"/>
              </w:rPr>
              <w:t>学时</w:t>
            </w:r>
          </w:p>
        </w:tc>
        <w:tc>
          <w:tcPr>
            <w:tcW w:w="735" w:type="dxa"/>
            <w:shd w:val="clear" w:color="auto" w:fill="FFFFFF"/>
            <w:vAlign w:val="center"/>
          </w:tcPr>
          <w:p w14:paraId="6838831F">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03A6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3585481">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476" w:type="dxa"/>
            <w:vAlign w:val="center"/>
          </w:tcPr>
          <w:p w14:paraId="461D5028">
            <w:pPr>
              <w:spacing w:line="312" w:lineRule="auto"/>
              <w:rPr>
                <w:rFonts w:ascii="Times New Roman" w:hAnsi="Times New Roman" w:eastAsia="宋体" w:cs="Times New Roman"/>
                <w:szCs w:val="21"/>
                <w:lang w:eastAsia="zh-Hans"/>
              </w:rPr>
            </w:pPr>
            <w:r>
              <w:rPr>
                <w:rFonts w:hint="eastAsia" w:ascii="Times New Roman" w:hAnsi="Times New Roman" w:eastAsia="宋体" w:cs="Times New Roman"/>
                <w:szCs w:val="21"/>
                <w:lang w:eastAsia="zh-Hans"/>
              </w:rPr>
              <w:t>中外素描发展简史</w:t>
            </w:r>
          </w:p>
        </w:tc>
        <w:tc>
          <w:tcPr>
            <w:tcW w:w="2084" w:type="dxa"/>
            <w:vAlign w:val="center"/>
          </w:tcPr>
          <w:p w14:paraId="58F25D05">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lang w:eastAsia="zh-Hans"/>
              </w:rPr>
              <w:t>、</w:t>
            </w:r>
            <w:r>
              <w:rPr>
                <w:rFonts w:ascii="Times New Roman" w:hAnsi="Times New Roman" w:eastAsia="宋体" w:cs="Times New Roman"/>
                <w:color w:val="000000"/>
                <w:szCs w:val="21"/>
              </w:rPr>
              <w:t>4</w:t>
            </w:r>
          </w:p>
        </w:tc>
        <w:tc>
          <w:tcPr>
            <w:tcW w:w="1470" w:type="dxa"/>
            <w:vAlign w:val="center"/>
          </w:tcPr>
          <w:p w14:paraId="3F04763F">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 xml:space="preserve">3-1 3-4 6-3 </w:t>
            </w:r>
          </w:p>
        </w:tc>
        <w:tc>
          <w:tcPr>
            <w:tcW w:w="735" w:type="dxa"/>
            <w:vAlign w:val="center"/>
          </w:tcPr>
          <w:p w14:paraId="3A2ED359">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735" w:type="dxa"/>
            <w:vAlign w:val="center"/>
          </w:tcPr>
          <w:p w14:paraId="52C54877">
            <w:pPr>
              <w:spacing w:line="312" w:lineRule="auto"/>
              <w:jc w:val="center"/>
              <w:rPr>
                <w:rFonts w:ascii="Times New Roman" w:hAnsi="Times New Roman" w:eastAsia="宋体" w:cs="Times New Roman"/>
                <w:szCs w:val="21"/>
              </w:rPr>
            </w:pPr>
          </w:p>
        </w:tc>
      </w:tr>
      <w:tr w14:paraId="70FF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CB9EE2F">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476" w:type="dxa"/>
            <w:vAlign w:val="center"/>
          </w:tcPr>
          <w:p w14:paraId="1EB747AB">
            <w:pPr>
              <w:spacing w:line="312" w:lineRule="auto"/>
              <w:rPr>
                <w:rFonts w:ascii="Times New Roman" w:hAnsi="Times New Roman" w:eastAsia="宋体" w:cs="Times New Roman"/>
                <w:szCs w:val="21"/>
              </w:rPr>
            </w:pPr>
            <w:r>
              <w:rPr>
                <w:rFonts w:hint="eastAsia" w:ascii="Times New Roman" w:hAnsi="Times New Roman" w:eastAsia="宋体" w:cs="Times New Roman"/>
                <w:szCs w:val="21"/>
                <w:lang w:eastAsia="zh-Hans"/>
              </w:rPr>
              <w:t>素描</w:t>
            </w:r>
            <w:r>
              <w:rPr>
                <w:rFonts w:hint="eastAsia" w:ascii="Times New Roman" w:hAnsi="Times New Roman" w:eastAsia="宋体" w:cs="Times New Roman"/>
                <w:szCs w:val="21"/>
              </w:rPr>
              <w:t>绘画的基本要求</w:t>
            </w:r>
            <w:r>
              <w:rPr>
                <w:rFonts w:hint="eastAsia" w:ascii="Times New Roman" w:hAnsi="Times New Roman" w:eastAsia="宋体" w:cs="Times New Roman"/>
                <w:szCs w:val="21"/>
                <w:lang w:eastAsia="zh-Hans"/>
              </w:rPr>
              <w:t>与要点</w:t>
            </w:r>
          </w:p>
        </w:tc>
        <w:tc>
          <w:tcPr>
            <w:tcW w:w="2084" w:type="dxa"/>
            <w:vAlign w:val="center"/>
          </w:tcPr>
          <w:p w14:paraId="3628CE27">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目标1</w:t>
            </w:r>
          </w:p>
        </w:tc>
        <w:tc>
          <w:tcPr>
            <w:tcW w:w="1470" w:type="dxa"/>
            <w:vAlign w:val="center"/>
          </w:tcPr>
          <w:p w14:paraId="3C30B2D7">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 xml:space="preserve">3-2 3-3 </w:t>
            </w:r>
          </w:p>
        </w:tc>
        <w:tc>
          <w:tcPr>
            <w:tcW w:w="735" w:type="dxa"/>
            <w:vAlign w:val="center"/>
          </w:tcPr>
          <w:p w14:paraId="26E7E355">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735" w:type="dxa"/>
            <w:vAlign w:val="center"/>
          </w:tcPr>
          <w:p w14:paraId="5C391600">
            <w:pPr>
              <w:spacing w:line="312" w:lineRule="auto"/>
              <w:jc w:val="center"/>
              <w:rPr>
                <w:rFonts w:ascii="Times New Roman" w:hAnsi="Times New Roman" w:eastAsia="宋体" w:cs="Times New Roman"/>
                <w:szCs w:val="21"/>
              </w:rPr>
            </w:pPr>
          </w:p>
        </w:tc>
      </w:tr>
      <w:tr w14:paraId="5AF1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5B44B12">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vAlign w:val="center"/>
          </w:tcPr>
          <w:p w14:paraId="58383002">
            <w:pPr>
              <w:spacing w:line="312" w:lineRule="auto"/>
              <w:rPr>
                <w:rFonts w:ascii="Times New Roman" w:hAnsi="Times New Roman" w:eastAsia="宋体" w:cs="Times New Roman"/>
                <w:szCs w:val="21"/>
              </w:rPr>
            </w:pPr>
            <w:r>
              <w:rPr>
                <w:rFonts w:hint="eastAsia" w:ascii="Times New Roman" w:hAnsi="Times New Roman" w:eastAsia="宋体" w:cs="Times New Roman"/>
                <w:szCs w:val="21"/>
                <w:lang w:eastAsia="zh-Hans"/>
              </w:rPr>
              <w:t>结构素描与光影素描</w:t>
            </w:r>
          </w:p>
        </w:tc>
        <w:tc>
          <w:tcPr>
            <w:tcW w:w="2084" w:type="dxa"/>
            <w:vAlign w:val="center"/>
          </w:tcPr>
          <w:p w14:paraId="78104AB8">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目标1</w:t>
            </w:r>
          </w:p>
        </w:tc>
        <w:tc>
          <w:tcPr>
            <w:tcW w:w="1470" w:type="dxa"/>
            <w:vAlign w:val="center"/>
          </w:tcPr>
          <w:p w14:paraId="50860FBC">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3-2 3-3</w:t>
            </w:r>
          </w:p>
        </w:tc>
        <w:tc>
          <w:tcPr>
            <w:tcW w:w="735" w:type="dxa"/>
            <w:vAlign w:val="center"/>
          </w:tcPr>
          <w:p w14:paraId="29E2C0B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735" w:type="dxa"/>
            <w:vAlign w:val="center"/>
          </w:tcPr>
          <w:p w14:paraId="2FAD2057">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14</w:t>
            </w:r>
          </w:p>
        </w:tc>
      </w:tr>
      <w:tr w14:paraId="359D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F1A1E53">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3476" w:type="dxa"/>
            <w:vAlign w:val="center"/>
          </w:tcPr>
          <w:p w14:paraId="33F3D8FF">
            <w:pPr>
              <w:spacing w:line="312" w:lineRule="auto"/>
              <w:rPr>
                <w:rFonts w:ascii="Times New Roman" w:hAnsi="Times New Roman" w:eastAsia="宋体" w:cs="Times New Roman"/>
                <w:szCs w:val="21"/>
              </w:rPr>
            </w:pPr>
            <w:r>
              <w:rPr>
                <w:rFonts w:hint="eastAsia" w:ascii="Times New Roman" w:hAnsi="Times New Roman" w:eastAsia="宋体" w:cs="Times New Roman"/>
                <w:szCs w:val="21"/>
                <w:lang w:eastAsia="zh-Hans"/>
              </w:rPr>
              <w:t>动画角色设计与描写</w:t>
            </w:r>
          </w:p>
        </w:tc>
        <w:tc>
          <w:tcPr>
            <w:tcW w:w="2084" w:type="dxa"/>
            <w:vAlign w:val="center"/>
          </w:tcPr>
          <w:p w14:paraId="230003BE">
            <w:pPr>
              <w:spacing w:line="312" w:lineRule="auto"/>
              <w:jc w:val="center"/>
              <w:rPr>
                <w:rFonts w:ascii="Times New Roman" w:hAnsi="Times New Roman" w:eastAsia="宋体" w:cs="Times New Roman"/>
                <w:color w:val="000000"/>
                <w:szCs w:val="21"/>
                <w:lang w:eastAsia="zh-Hans"/>
              </w:rPr>
            </w:pPr>
            <w:r>
              <w:rPr>
                <w:rFonts w:hint="eastAsia" w:ascii="Times New Roman" w:hAnsi="Times New Roman" w:eastAsia="宋体" w:cs="Times New Roman"/>
                <w:color w:val="000000"/>
                <w:szCs w:val="21"/>
                <w:lang w:eastAsia="zh-Hans"/>
              </w:rPr>
              <w:t>目标</w:t>
            </w:r>
            <w:r>
              <w:rPr>
                <w:rFonts w:ascii="Times New Roman" w:hAnsi="Times New Roman" w:eastAsia="宋体" w:cs="Times New Roman"/>
                <w:color w:val="000000"/>
                <w:szCs w:val="21"/>
                <w:lang w:eastAsia="zh-Hans"/>
              </w:rPr>
              <w:t>2</w:t>
            </w:r>
            <w:r>
              <w:rPr>
                <w:rFonts w:hint="eastAsia" w:ascii="Times New Roman" w:hAnsi="Times New Roman" w:eastAsia="宋体" w:cs="Times New Roman"/>
                <w:color w:val="000000"/>
                <w:szCs w:val="21"/>
                <w:lang w:eastAsia="zh-Hans"/>
              </w:rPr>
              <w:t>、目标</w:t>
            </w:r>
            <w:r>
              <w:rPr>
                <w:rFonts w:ascii="Times New Roman" w:hAnsi="Times New Roman" w:eastAsia="宋体" w:cs="Times New Roman"/>
                <w:color w:val="000000"/>
                <w:szCs w:val="21"/>
                <w:lang w:eastAsia="zh-Hans"/>
              </w:rPr>
              <w:t>3</w:t>
            </w:r>
          </w:p>
        </w:tc>
        <w:tc>
          <w:tcPr>
            <w:tcW w:w="1470" w:type="dxa"/>
            <w:vAlign w:val="center"/>
          </w:tcPr>
          <w:p w14:paraId="13E09F5C">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 4-3</w:t>
            </w:r>
          </w:p>
        </w:tc>
        <w:tc>
          <w:tcPr>
            <w:tcW w:w="735" w:type="dxa"/>
            <w:vAlign w:val="center"/>
          </w:tcPr>
          <w:p w14:paraId="2560B544">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vAlign w:val="center"/>
          </w:tcPr>
          <w:p w14:paraId="1EB469C5">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9</w:t>
            </w:r>
          </w:p>
        </w:tc>
      </w:tr>
      <w:tr w14:paraId="229A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542D364">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3476" w:type="dxa"/>
            <w:vAlign w:val="center"/>
          </w:tcPr>
          <w:p w14:paraId="55CE13D2">
            <w:pPr>
              <w:spacing w:line="312" w:lineRule="auto"/>
              <w:rPr>
                <w:rFonts w:ascii="Times New Roman" w:hAnsi="Times New Roman" w:eastAsia="宋体" w:cs="Times New Roman"/>
                <w:szCs w:val="21"/>
              </w:rPr>
            </w:pPr>
            <w:r>
              <w:rPr>
                <w:rFonts w:hint="eastAsia" w:ascii="Times New Roman" w:hAnsi="Times New Roman" w:eastAsia="宋体" w:cs="Times New Roman"/>
                <w:szCs w:val="21"/>
                <w:lang w:eastAsia="zh-Hans"/>
              </w:rPr>
              <w:t>中外动画场景与剧本创作</w:t>
            </w:r>
          </w:p>
        </w:tc>
        <w:tc>
          <w:tcPr>
            <w:tcW w:w="2084" w:type="dxa"/>
            <w:vAlign w:val="center"/>
          </w:tcPr>
          <w:p w14:paraId="1BC97BFD">
            <w:pPr>
              <w:spacing w:line="312" w:lineRule="auto"/>
              <w:jc w:val="center"/>
              <w:rPr>
                <w:rFonts w:ascii="Times New Roman" w:hAnsi="Times New Roman" w:eastAsia="宋体" w:cs="Times New Roman"/>
                <w:color w:val="000000"/>
                <w:szCs w:val="21"/>
                <w:lang w:eastAsia="zh-Hans"/>
              </w:rPr>
            </w:pPr>
            <w:r>
              <w:rPr>
                <w:rFonts w:hint="eastAsia" w:ascii="Times New Roman" w:hAnsi="Times New Roman" w:eastAsia="宋体" w:cs="Times New Roman"/>
                <w:color w:val="000000"/>
                <w:szCs w:val="21"/>
                <w:lang w:eastAsia="zh-Hans"/>
              </w:rPr>
              <w:t>目标</w:t>
            </w:r>
            <w:r>
              <w:rPr>
                <w:rFonts w:ascii="Times New Roman" w:hAnsi="Times New Roman" w:eastAsia="宋体" w:cs="Times New Roman"/>
                <w:color w:val="000000"/>
                <w:szCs w:val="21"/>
                <w:lang w:eastAsia="zh-Hans"/>
              </w:rPr>
              <w:t>1</w:t>
            </w:r>
            <w:r>
              <w:rPr>
                <w:rFonts w:hint="eastAsia" w:ascii="Times New Roman" w:hAnsi="Times New Roman" w:eastAsia="宋体" w:cs="Times New Roman"/>
                <w:color w:val="000000"/>
                <w:szCs w:val="21"/>
                <w:lang w:eastAsia="zh-Hans"/>
              </w:rPr>
              <w:t>、目标</w:t>
            </w:r>
            <w:r>
              <w:rPr>
                <w:rFonts w:ascii="Times New Roman" w:hAnsi="Times New Roman" w:eastAsia="宋体" w:cs="Times New Roman"/>
                <w:color w:val="000000"/>
                <w:szCs w:val="21"/>
                <w:lang w:eastAsia="zh-Hans"/>
              </w:rPr>
              <w:t>2</w:t>
            </w:r>
            <w:r>
              <w:rPr>
                <w:rFonts w:hint="eastAsia" w:ascii="Times New Roman" w:hAnsi="Times New Roman" w:eastAsia="宋体" w:cs="Times New Roman"/>
                <w:color w:val="000000"/>
                <w:szCs w:val="21"/>
                <w:lang w:eastAsia="zh-Hans"/>
              </w:rPr>
              <w:t>、目标</w:t>
            </w:r>
            <w:r>
              <w:rPr>
                <w:rFonts w:ascii="Times New Roman" w:hAnsi="Times New Roman" w:eastAsia="宋体" w:cs="Times New Roman"/>
                <w:color w:val="000000"/>
                <w:szCs w:val="21"/>
                <w:lang w:eastAsia="zh-Hans"/>
              </w:rPr>
              <w:t>3</w:t>
            </w:r>
            <w:r>
              <w:rPr>
                <w:rFonts w:hint="eastAsia" w:ascii="Times New Roman" w:hAnsi="Times New Roman" w:eastAsia="宋体" w:cs="Times New Roman"/>
                <w:color w:val="000000"/>
                <w:szCs w:val="21"/>
                <w:lang w:eastAsia="zh-Hans"/>
              </w:rPr>
              <w:t>、目标</w:t>
            </w:r>
            <w:r>
              <w:rPr>
                <w:rFonts w:ascii="Times New Roman" w:hAnsi="Times New Roman" w:eastAsia="宋体" w:cs="Times New Roman"/>
                <w:color w:val="000000"/>
                <w:szCs w:val="21"/>
                <w:lang w:eastAsia="zh-Hans"/>
              </w:rPr>
              <w:t>4</w:t>
            </w:r>
          </w:p>
        </w:tc>
        <w:tc>
          <w:tcPr>
            <w:tcW w:w="1470" w:type="dxa"/>
            <w:vAlign w:val="center"/>
          </w:tcPr>
          <w:p w14:paraId="08939494">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2-2 4-3 3-4 6-2 6-3 </w:t>
            </w:r>
          </w:p>
        </w:tc>
        <w:tc>
          <w:tcPr>
            <w:tcW w:w="735" w:type="dxa"/>
            <w:vAlign w:val="center"/>
          </w:tcPr>
          <w:p w14:paraId="566D7C3D">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735" w:type="dxa"/>
            <w:vAlign w:val="center"/>
          </w:tcPr>
          <w:p w14:paraId="47ADC1EA">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9</w:t>
            </w:r>
          </w:p>
        </w:tc>
      </w:tr>
      <w:tr w14:paraId="2530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0153E839">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735" w:type="dxa"/>
            <w:vAlign w:val="center"/>
          </w:tcPr>
          <w:p w14:paraId="200EEF49">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735" w:type="dxa"/>
            <w:vAlign w:val="center"/>
          </w:tcPr>
          <w:p w14:paraId="75DB3BEE">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32</w:t>
            </w:r>
          </w:p>
        </w:tc>
      </w:tr>
    </w:tbl>
    <w:p w14:paraId="516DD058">
      <w:pPr>
        <w:spacing w:line="360" w:lineRule="auto"/>
        <w:ind w:firstLine="562" w:firstLineChars="200"/>
        <w:outlineLvl w:val="0"/>
        <w:rPr>
          <w:rFonts w:ascii="Times New Roman" w:hAnsi="Times New Roman" w:eastAsia="宋体" w:cs="Times New Roman"/>
          <w:b/>
          <w:sz w:val="28"/>
          <w:szCs w:val="28"/>
        </w:rPr>
      </w:pPr>
      <w:bookmarkStart w:id="2263" w:name="_Toc5417"/>
      <w:bookmarkStart w:id="2264" w:name="_Toc8323"/>
      <w:bookmarkStart w:id="2265" w:name="_Toc15250"/>
      <w:bookmarkStart w:id="2266" w:name="_Toc11975"/>
      <w:bookmarkStart w:id="2267" w:name="_Toc7475"/>
      <w:bookmarkStart w:id="2268" w:name="_Toc1454"/>
      <w:bookmarkStart w:id="2269" w:name="_Toc32003"/>
      <w:r>
        <w:rPr>
          <w:rFonts w:hint="eastAsia" w:ascii="Times New Roman" w:hAnsi="Times New Roman" w:eastAsia="宋体" w:cs="Times New Roman"/>
          <w:b/>
          <w:sz w:val="28"/>
          <w:szCs w:val="28"/>
        </w:rPr>
        <w:t>四</w:t>
      </w:r>
      <w:r>
        <w:rPr>
          <w:rFonts w:ascii="Times New Roman" w:hAnsi="Times New Roman" w:eastAsia="宋体" w:cs="Times New Roman"/>
          <w:b/>
          <w:sz w:val="28"/>
          <w:szCs w:val="28"/>
        </w:rPr>
        <w:t>、</w:t>
      </w:r>
      <w:r>
        <w:rPr>
          <w:rFonts w:hint="eastAsia" w:ascii="Times New Roman" w:hAnsi="Times New Roman" w:eastAsia="宋体" w:cs="Times New Roman"/>
          <w:b/>
          <w:sz w:val="28"/>
          <w:szCs w:val="28"/>
        </w:rPr>
        <w:t>课内实验（实践）</w:t>
      </w:r>
      <w:bookmarkEnd w:id="2263"/>
      <w:bookmarkEnd w:id="2264"/>
      <w:bookmarkEnd w:id="2265"/>
      <w:bookmarkEnd w:id="2266"/>
      <w:bookmarkEnd w:id="2267"/>
      <w:bookmarkEnd w:id="2268"/>
      <w:bookmarkEnd w:id="2269"/>
    </w:p>
    <w:tbl>
      <w:tblPr>
        <w:tblStyle w:val="10"/>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784"/>
        <w:gridCol w:w="3568"/>
        <w:gridCol w:w="735"/>
        <w:gridCol w:w="1155"/>
        <w:gridCol w:w="840"/>
        <w:gridCol w:w="630"/>
      </w:tblGrid>
      <w:tr w14:paraId="74F7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FFFFFF"/>
            <w:vAlign w:val="center"/>
          </w:tcPr>
          <w:p w14:paraId="05E74077">
            <w:pPr>
              <w:jc w:val="center"/>
              <w:rPr>
                <w:rFonts w:ascii="Times New Roman" w:hAnsi="Times New Roman" w:eastAsia="宋体" w:cs="Times New Roman"/>
                <w:bCs/>
                <w:spacing w:val="-20"/>
                <w:szCs w:val="21"/>
              </w:rPr>
            </w:pPr>
            <w:r>
              <w:rPr>
                <w:rFonts w:ascii="Times New Roman" w:hAnsi="Times New Roman" w:eastAsia="宋体" w:cs="Times New Roman"/>
                <w:bCs/>
                <w:spacing w:val="-20"/>
                <w:szCs w:val="21"/>
              </w:rPr>
              <w:t>序号</w:t>
            </w:r>
          </w:p>
        </w:tc>
        <w:tc>
          <w:tcPr>
            <w:tcW w:w="1784" w:type="dxa"/>
            <w:shd w:val="clear" w:color="auto" w:fill="FFFFFF"/>
            <w:vAlign w:val="center"/>
          </w:tcPr>
          <w:p w14:paraId="3057328A">
            <w:pPr>
              <w:jc w:val="center"/>
              <w:rPr>
                <w:rFonts w:ascii="Times New Roman" w:hAnsi="Times New Roman" w:eastAsia="宋体" w:cs="Times New Roman"/>
                <w:bCs/>
                <w:szCs w:val="21"/>
              </w:rPr>
            </w:pPr>
            <w:r>
              <w:rPr>
                <w:rFonts w:ascii="Times New Roman" w:hAnsi="Times New Roman" w:eastAsia="宋体" w:cs="Times New Roman"/>
                <w:bCs/>
                <w:szCs w:val="21"/>
              </w:rPr>
              <w:t>实验项目名称</w:t>
            </w:r>
          </w:p>
        </w:tc>
        <w:tc>
          <w:tcPr>
            <w:tcW w:w="3568" w:type="dxa"/>
            <w:shd w:val="clear" w:color="auto" w:fill="FFFFFF"/>
            <w:vAlign w:val="center"/>
          </w:tcPr>
          <w:p w14:paraId="7162EF8D">
            <w:pPr>
              <w:jc w:val="center"/>
              <w:rPr>
                <w:rFonts w:ascii="Times New Roman" w:hAnsi="Times New Roman" w:eastAsia="宋体" w:cs="Times New Roman"/>
                <w:bCs/>
                <w:szCs w:val="21"/>
              </w:rPr>
            </w:pPr>
            <w:r>
              <w:rPr>
                <w:rFonts w:ascii="Times New Roman" w:hAnsi="Times New Roman" w:eastAsia="宋体" w:cs="Times New Roman"/>
                <w:bCs/>
                <w:szCs w:val="21"/>
              </w:rPr>
              <w:t>实验内容及要求</w:t>
            </w:r>
          </w:p>
        </w:tc>
        <w:tc>
          <w:tcPr>
            <w:tcW w:w="735" w:type="dxa"/>
            <w:shd w:val="clear" w:color="auto" w:fill="FFFFFF"/>
            <w:vAlign w:val="center"/>
          </w:tcPr>
          <w:p w14:paraId="48994998">
            <w:pPr>
              <w:jc w:val="center"/>
              <w:rPr>
                <w:rFonts w:ascii="Times New Roman" w:hAnsi="Times New Roman" w:eastAsia="宋体" w:cs="Times New Roman"/>
                <w:bCs/>
                <w:szCs w:val="21"/>
              </w:rPr>
            </w:pPr>
            <w:r>
              <w:rPr>
                <w:rFonts w:ascii="Times New Roman" w:hAnsi="Times New Roman" w:eastAsia="宋体" w:cs="Times New Roman"/>
                <w:bCs/>
                <w:szCs w:val="21"/>
              </w:rPr>
              <w:t>学时</w:t>
            </w:r>
          </w:p>
        </w:tc>
        <w:tc>
          <w:tcPr>
            <w:tcW w:w="1155" w:type="dxa"/>
            <w:shd w:val="clear" w:color="auto" w:fill="FFFFFF"/>
            <w:vAlign w:val="center"/>
          </w:tcPr>
          <w:p w14:paraId="376B9AE4">
            <w:pPr>
              <w:jc w:val="center"/>
              <w:rPr>
                <w:rFonts w:ascii="Times New Roman" w:hAnsi="Times New Roman" w:eastAsia="宋体" w:cs="Times New Roman"/>
                <w:bCs/>
                <w:szCs w:val="21"/>
              </w:rPr>
            </w:pPr>
            <w:r>
              <w:rPr>
                <w:rFonts w:ascii="Times New Roman" w:hAnsi="Times New Roman" w:eastAsia="宋体" w:cs="Times New Roman"/>
                <w:bCs/>
                <w:szCs w:val="21"/>
              </w:rPr>
              <w:t>对毕业要求的支撑</w:t>
            </w:r>
          </w:p>
        </w:tc>
        <w:tc>
          <w:tcPr>
            <w:tcW w:w="840" w:type="dxa"/>
            <w:shd w:val="clear" w:color="auto" w:fill="FFFFFF"/>
            <w:tcMar>
              <w:left w:w="28" w:type="dxa"/>
              <w:right w:w="28" w:type="dxa"/>
            </w:tcMar>
            <w:vAlign w:val="center"/>
          </w:tcPr>
          <w:p w14:paraId="79F2A9C7">
            <w:pPr>
              <w:jc w:val="center"/>
              <w:rPr>
                <w:rFonts w:ascii="Times New Roman" w:hAnsi="Times New Roman" w:eastAsia="宋体" w:cs="Times New Roman"/>
                <w:bCs/>
                <w:szCs w:val="21"/>
              </w:rPr>
            </w:pPr>
            <w:r>
              <w:rPr>
                <w:rFonts w:ascii="Times New Roman" w:hAnsi="Times New Roman" w:eastAsia="宋体" w:cs="Times New Roman"/>
                <w:bCs/>
                <w:szCs w:val="21"/>
              </w:rPr>
              <w:t>类型</w:t>
            </w:r>
          </w:p>
        </w:tc>
        <w:tc>
          <w:tcPr>
            <w:tcW w:w="630" w:type="dxa"/>
            <w:shd w:val="clear" w:color="auto" w:fill="FFFFFF"/>
            <w:tcMar>
              <w:left w:w="28" w:type="dxa"/>
              <w:right w:w="28" w:type="dxa"/>
            </w:tcMar>
            <w:vAlign w:val="center"/>
          </w:tcPr>
          <w:p w14:paraId="275B3915">
            <w:pPr>
              <w:jc w:val="center"/>
              <w:rPr>
                <w:rFonts w:ascii="Times New Roman" w:hAnsi="Times New Roman" w:eastAsia="宋体" w:cs="Times New Roman"/>
                <w:bCs/>
                <w:szCs w:val="21"/>
              </w:rPr>
            </w:pPr>
            <w:r>
              <w:rPr>
                <w:rFonts w:ascii="Times New Roman" w:hAnsi="Times New Roman" w:eastAsia="宋体" w:cs="Times New Roman"/>
                <w:bCs/>
                <w:szCs w:val="21"/>
              </w:rPr>
              <w:t>备注</w:t>
            </w:r>
          </w:p>
        </w:tc>
      </w:tr>
      <w:tr w14:paraId="596E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636" w:type="dxa"/>
            <w:vAlign w:val="center"/>
          </w:tcPr>
          <w:p w14:paraId="2E053466">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1784" w:type="dxa"/>
            <w:vAlign w:val="center"/>
          </w:tcPr>
          <w:p w14:paraId="3FE71D13">
            <w:pPr>
              <w:jc w:val="center"/>
              <w:rPr>
                <w:rFonts w:ascii="Times New Roman" w:hAnsi="Times New Roman" w:eastAsia="宋体" w:cs="Times New Roman"/>
                <w:bCs/>
                <w:szCs w:val="21"/>
              </w:rPr>
            </w:pPr>
            <w:r>
              <w:rPr>
                <w:rFonts w:hint="eastAsia" w:ascii="Times New Roman" w:hAnsi="Times New Roman" w:eastAsia="宋体" w:cs="Times New Roman"/>
                <w:bCs/>
                <w:szCs w:val="21"/>
              </w:rPr>
              <w:t>线条</w:t>
            </w:r>
            <w:r>
              <w:rPr>
                <w:rFonts w:hint="eastAsia" w:ascii="Times New Roman" w:hAnsi="Times New Roman" w:eastAsia="宋体" w:cs="Times New Roman"/>
                <w:bCs/>
                <w:szCs w:val="21"/>
                <w:lang w:eastAsia="zh-Hans"/>
              </w:rPr>
              <w:t>与临摹</w:t>
            </w:r>
            <w:r>
              <w:rPr>
                <w:rFonts w:hint="eastAsia" w:ascii="Times New Roman" w:hAnsi="Times New Roman" w:eastAsia="宋体" w:cs="Times New Roman"/>
                <w:bCs/>
                <w:szCs w:val="21"/>
              </w:rPr>
              <w:t>练习</w:t>
            </w:r>
          </w:p>
        </w:tc>
        <w:tc>
          <w:tcPr>
            <w:tcW w:w="3568" w:type="dxa"/>
            <w:vAlign w:val="center"/>
          </w:tcPr>
          <w:p w14:paraId="6BF77C52">
            <w:pPr>
              <w:rPr>
                <w:rFonts w:ascii="Times New Roman" w:hAnsi="Times New Roman" w:eastAsia="宋体" w:cs="Times New Roman"/>
                <w:bCs/>
                <w:szCs w:val="21"/>
              </w:rPr>
            </w:pPr>
            <w:r>
              <w:rPr>
                <w:rFonts w:hint="eastAsia" w:ascii="Times New Roman" w:hAnsi="Times New Roman" w:eastAsia="宋体" w:cs="Times New Roman"/>
                <w:bCs/>
                <w:szCs w:val="21"/>
              </w:rPr>
              <w:t>通过</w:t>
            </w:r>
            <w:r>
              <w:rPr>
                <w:rFonts w:hint="eastAsia" w:ascii="Times New Roman" w:hAnsi="Times New Roman" w:eastAsia="宋体" w:cs="Times New Roman"/>
                <w:bCs/>
                <w:szCs w:val="21"/>
                <w:lang w:eastAsia="zh-Hans"/>
              </w:rPr>
              <w:t>排线</w:t>
            </w:r>
            <w:r>
              <w:rPr>
                <w:rFonts w:hint="eastAsia" w:ascii="Times New Roman" w:hAnsi="Times New Roman" w:eastAsia="宋体" w:cs="Times New Roman"/>
                <w:bCs/>
                <w:szCs w:val="21"/>
              </w:rPr>
              <w:t>、</w:t>
            </w:r>
            <w:r>
              <w:rPr>
                <w:rFonts w:hint="eastAsia" w:ascii="Times New Roman" w:hAnsi="Times New Roman" w:eastAsia="宋体" w:cs="Times New Roman"/>
                <w:bCs/>
                <w:szCs w:val="21"/>
                <w:lang w:eastAsia="zh-Hans"/>
              </w:rPr>
              <w:t>单个或多个几何形体临摹</w:t>
            </w:r>
            <w:r>
              <w:rPr>
                <w:rFonts w:hint="eastAsia" w:ascii="Times New Roman" w:hAnsi="Times New Roman" w:eastAsia="宋体" w:cs="Times New Roman"/>
                <w:bCs/>
                <w:szCs w:val="21"/>
              </w:rPr>
              <w:t>，掌握</w:t>
            </w:r>
            <w:r>
              <w:rPr>
                <w:rFonts w:hint="eastAsia" w:ascii="Times New Roman" w:hAnsi="Times New Roman" w:eastAsia="宋体" w:cs="Times New Roman"/>
                <w:bCs/>
                <w:szCs w:val="21"/>
                <w:lang w:eastAsia="zh-Hans"/>
              </w:rPr>
              <w:t>空间透视与结构关系，学习素描的表现方法</w:t>
            </w:r>
            <w:r>
              <w:rPr>
                <w:rFonts w:hint="eastAsia" w:ascii="Times New Roman" w:hAnsi="Times New Roman" w:eastAsia="宋体" w:cs="Times New Roman"/>
                <w:bCs/>
                <w:szCs w:val="21"/>
              </w:rPr>
              <w:t>。</w:t>
            </w:r>
          </w:p>
        </w:tc>
        <w:tc>
          <w:tcPr>
            <w:tcW w:w="735" w:type="dxa"/>
            <w:vAlign w:val="center"/>
          </w:tcPr>
          <w:p w14:paraId="434F7D32">
            <w:pPr>
              <w:jc w:val="center"/>
              <w:rPr>
                <w:rFonts w:ascii="Times New Roman" w:hAnsi="Times New Roman" w:eastAsia="宋体" w:cs="Times New Roman"/>
                <w:bCs/>
                <w:szCs w:val="21"/>
              </w:rPr>
            </w:pPr>
            <w:r>
              <w:rPr>
                <w:rFonts w:ascii="Times New Roman" w:hAnsi="Times New Roman" w:eastAsia="宋体" w:cs="Times New Roman"/>
                <w:bCs/>
                <w:szCs w:val="21"/>
              </w:rPr>
              <w:t>14</w:t>
            </w:r>
          </w:p>
        </w:tc>
        <w:tc>
          <w:tcPr>
            <w:tcW w:w="1155" w:type="dxa"/>
            <w:vAlign w:val="center"/>
          </w:tcPr>
          <w:p w14:paraId="7277D143">
            <w:pPr>
              <w:jc w:val="center"/>
              <w:rPr>
                <w:rFonts w:ascii="Times New Roman" w:hAnsi="Times New Roman" w:eastAsia="宋体" w:cs="Times New Roman"/>
                <w:bCs/>
                <w:szCs w:val="21"/>
              </w:rPr>
            </w:pPr>
            <w:r>
              <w:rPr>
                <w:rFonts w:ascii="Times New Roman" w:hAnsi="Times New Roman" w:eastAsia="宋体" w:cs="Times New Roman"/>
                <w:szCs w:val="21"/>
              </w:rPr>
              <w:t>3-2 3-3</w:t>
            </w:r>
          </w:p>
        </w:tc>
        <w:tc>
          <w:tcPr>
            <w:tcW w:w="840" w:type="dxa"/>
            <w:tcMar>
              <w:left w:w="28" w:type="dxa"/>
              <w:right w:w="28" w:type="dxa"/>
            </w:tcMar>
            <w:vAlign w:val="center"/>
          </w:tcPr>
          <w:p w14:paraId="2C67BEBB">
            <w:pPr>
              <w:jc w:val="center"/>
              <w:rPr>
                <w:rFonts w:ascii="Times New Roman" w:hAnsi="Times New Roman" w:eastAsia="宋体" w:cs="Times New Roman"/>
                <w:szCs w:val="21"/>
              </w:rPr>
            </w:pPr>
            <w:r>
              <w:rPr>
                <w:rFonts w:ascii="Times New Roman" w:hAnsi="Times New Roman" w:eastAsia="宋体" w:cs="Times New Roman"/>
                <w:bCs/>
                <w:szCs w:val="21"/>
              </w:rPr>
              <w:t>综合性</w:t>
            </w:r>
          </w:p>
        </w:tc>
        <w:tc>
          <w:tcPr>
            <w:tcW w:w="630" w:type="dxa"/>
            <w:tcMar>
              <w:left w:w="28" w:type="dxa"/>
              <w:right w:w="28" w:type="dxa"/>
            </w:tcMar>
            <w:vAlign w:val="center"/>
          </w:tcPr>
          <w:p w14:paraId="4BDE1C21">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r w14:paraId="0AAB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636" w:type="dxa"/>
            <w:vAlign w:val="center"/>
          </w:tcPr>
          <w:p w14:paraId="7BF677F2">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784" w:type="dxa"/>
            <w:vAlign w:val="center"/>
          </w:tcPr>
          <w:p w14:paraId="429DABC4">
            <w:pPr>
              <w:jc w:val="center"/>
              <w:rPr>
                <w:rFonts w:ascii="Times New Roman" w:hAnsi="Times New Roman" w:eastAsia="宋体" w:cs="Times New Roman"/>
                <w:bCs/>
                <w:szCs w:val="21"/>
                <w:lang w:eastAsia="zh-Hans"/>
              </w:rPr>
            </w:pPr>
            <w:r>
              <w:rPr>
                <w:rFonts w:hint="eastAsia" w:ascii="Times New Roman" w:hAnsi="Times New Roman" w:eastAsia="宋体" w:cs="Times New Roman"/>
                <w:bCs/>
                <w:szCs w:val="21"/>
                <w:lang w:eastAsia="zh-Hans"/>
              </w:rPr>
              <w:t>动画角色和动画场景创作与描写</w:t>
            </w:r>
          </w:p>
        </w:tc>
        <w:tc>
          <w:tcPr>
            <w:tcW w:w="3568" w:type="dxa"/>
            <w:vAlign w:val="center"/>
          </w:tcPr>
          <w:p w14:paraId="7DE84768">
            <w:pPr>
              <w:rPr>
                <w:rFonts w:ascii="Times New Roman" w:hAnsi="Times New Roman" w:eastAsia="宋体" w:cs="Times New Roman"/>
                <w:bCs/>
                <w:szCs w:val="21"/>
              </w:rPr>
            </w:pPr>
            <w:r>
              <w:rPr>
                <w:rFonts w:hint="eastAsia" w:ascii="Times New Roman" w:hAnsi="Times New Roman" w:eastAsia="宋体" w:cs="Times New Roman"/>
                <w:bCs/>
                <w:szCs w:val="21"/>
              </w:rPr>
              <w:t>通过</w:t>
            </w:r>
            <w:r>
              <w:rPr>
                <w:rFonts w:hint="eastAsia" w:ascii="Times New Roman" w:hAnsi="Times New Roman" w:eastAsia="宋体" w:cs="Times New Roman"/>
                <w:bCs/>
                <w:szCs w:val="21"/>
                <w:lang w:eastAsia="zh-Hans"/>
              </w:rPr>
              <w:t>对人物表情、动态、场景的临摹与描写，完成想象力训练和速写训练</w:t>
            </w:r>
            <w:r>
              <w:rPr>
                <w:rFonts w:hint="eastAsia" w:ascii="Times New Roman" w:hAnsi="Times New Roman" w:eastAsia="宋体" w:cs="Times New Roman"/>
                <w:bCs/>
                <w:szCs w:val="21"/>
              </w:rPr>
              <w:t>。</w:t>
            </w:r>
          </w:p>
        </w:tc>
        <w:tc>
          <w:tcPr>
            <w:tcW w:w="735" w:type="dxa"/>
            <w:vAlign w:val="center"/>
          </w:tcPr>
          <w:p w14:paraId="2D3546DC">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8</w:t>
            </w:r>
          </w:p>
        </w:tc>
        <w:tc>
          <w:tcPr>
            <w:tcW w:w="1155" w:type="dxa"/>
            <w:vAlign w:val="center"/>
          </w:tcPr>
          <w:p w14:paraId="3BB738CB">
            <w:pPr>
              <w:jc w:val="center"/>
              <w:rPr>
                <w:rFonts w:ascii="Times New Roman" w:hAnsi="Times New Roman" w:eastAsia="宋体" w:cs="Times New Roman"/>
                <w:bCs/>
                <w:szCs w:val="21"/>
              </w:rPr>
            </w:pPr>
            <w:r>
              <w:rPr>
                <w:rFonts w:ascii="Times New Roman" w:hAnsi="Times New Roman" w:eastAsia="宋体" w:cs="Times New Roman"/>
                <w:color w:val="000000"/>
                <w:szCs w:val="21"/>
              </w:rPr>
              <w:t xml:space="preserve">2-2 4-3 3-4 6-3 </w:t>
            </w:r>
          </w:p>
        </w:tc>
        <w:tc>
          <w:tcPr>
            <w:tcW w:w="840" w:type="dxa"/>
            <w:tcMar>
              <w:left w:w="28" w:type="dxa"/>
              <w:right w:w="28" w:type="dxa"/>
            </w:tcMar>
            <w:vAlign w:val="center"/>
          </w:tcPr>
          <w:p w14:paraId="178B02F3">
            <w:pPr>
              <w:jc w:val="center"/>
              <w:rPr>
                <w:rFonts w:ascii="Times New Roman" w:hAnsi="Times New Roman" w:eastAsia="宋体" w:cs="Times New Roman"/>
                <w:szCs w:val="21"/>
              </w:rPr>
            </w:pPr>
            <w:r>
              <w:rPr>
                <w:rFonts w:ascii="Times New Roman" w:hAnsi="Times New Roman" w:eastAsia="宋体" w:cs="Times New Roman"/>
                <w:bCs/>
                <w:szCs w:val="21"/>
              </w:rPr>
              <w:t>综合性</w:t>
            </w:r>
          </w:p>
        </w:tc>
        <w:tc>
          <w:tcPr>
            <w:tcW w:w="630" w:type="dxa"/>
            <w:tcMar>
              <w:left w:w="28" w:type="dxa"/>
              <w:right w:w="28" w:type="dxa"/>
            </w:tcMar>
            <w:vAlign w:val="center"/>
          </w:tcPr>
          <w:p w14:paraId="720CC288">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bl>
    <w:p w14:paraId="0113F9C8">
      <w:pPr>
        <w:spacing w:line="360" w:lineRule="auto"/>
        <w:ind w:firstLine="562" w:firstLineChars="200"/>
        <w:outlineLvl w:val="0"/>
        <w:rPr>
          <w:rFonts w:ascii="Times New Roman" w:hAnsi="Times New Roman" w:eastAsia="宋体" w:cs="Times New Roman"/>
          <w:b/>
          <w:sz w:val="28"/>
          <w:szCs w:val="28"/>
        </w:rPr>
      </w:pPr>
      <w:bookmarkStart w:id="2270" w:name="_Toc29758"/>
      <w:bookmarkStart w:id="2271" w:name="_Toc32708"/>
      <w:bookmarkStart w:id="2272" w:name="_Toc6649"/>
      <w:bookmarkStart w:id="2273" w:name="_Toc6305"/>
      <w:bookmarkStart w:id="2274" w:name="_Toc5041"/>
      <w:bookmarkStart w:id="2275" w:name="_Toc16618"/>
      <w:bookmarkStart w:id="2276" w:name="_Toc12906"/>
      <w:r>
        <w:rPr>
          <w:rFonts w:hint="eastAsia" w:ascii="Times New Roman" w:hAnsi="Times New Roman" w:eastAsia="宋体" w:cs="Times New Roman"/>
          <w:b/>
          <w:sz w:val="28"/>
          <w:szCs w:val="28"/>
        </w:rPr>
        <w:t>五、课程实施</w:t>
      </w:r>
      <w:bookmarkEnd w:id="2270"/>
      <w:bookmarkEnd w:id="2271"/>
      <w:bookmarkEnd w:id="2272"/>
      <w:bookmarkEnd w:id="2273"/>
      <w:bookmarkEnd w:id="2274"/>
      <w:bookmarkEnd w:id="2275"/>
      <w:bookmarkEnd w:id="2276"/>
    </w:p>
    <w:p w14:paraId="7BB747E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（一）考虑到本</w:t>
      </w:r>
      <w:r>
        <w:rPr>
          <w:rFonts w:hint="eastAsia" w:ascii="Times New Roman" w:hAnsi="Times New Roman" w:eastAsia="宋体" w:cs="Times New Roman"/>
          <w:sz w:val="24"/>
          <w:szCs w:val="24"/>
          <w:lang w:eastAsia="zh-Hans"/>
        </w:rPr>
        <w:t>专业的</w:t>
      </w:r>
      <w:r>
        <w:rPr>
          <w:rFonts w:hint="eastAsia" w:ascii="Times New Roman" w:hAnsi="Times New Roman" w:eastAsia="宋体" w:cs="Times New Roman"/>
          <w:sz w:val="24"/>
          <w:szCs w:val="24"/>
        </w:rPr>
        <w:t>性质与</w:t>
      </w:r>
      <w:r>
        <w:rPr>
          <w:rFonts w:hint="eastAsia" w:ascii="Times New Roman" w:hAnsi="Times New Roman" w:eastAsia="宋体" w:cs="Times New Roman"/>
          <w:sz w:val="24"/>
          <w:szCs w:val="24"/>
          <w:lang w:eastAsia="zh-Hans"/>
        </w:rPr>
        <w:t>课堂</w:t>
      </w:r>
      <w:r>
        <w:rPr>
          <w:rFonts w:hint="eastAsia" w:ascii="Times New Roman" w:hAnsi="Times New Roman" w:eastAsia="宋体" w:cs="Times New Roman"/>
          <w:sz w:val="24"/>
          <w:szCs w:val="24"/>
        </w:rPr>
        <w:t>任务，</w:t>
      </w:r>
      <w:r>
        <w:rPr>
          <w:rFonts w:hint="eastAsia" w:ascii="Times New Roman" w:hAnsi="Times New Roman" w:eastAsia="宋体" w:cs="Times New Roman"/>
          <w:sz w:val="24"/>
          <w:szCs w:val="24"/>
          <w:lang w:eastAsia="zh-Hans"/>
        </w:rPr>
        <w:t>课程分为两个部分，第一部分是素描基础部分。</w:t>
      </w:r>
      <w:r>
        <w:rPr>
          <w:rFonts w:hint="eastAsia" w:ascii="Times New Roman" w:hAnsi="Times New Roman" w:eastAsia="宋体" w:cs="Times New Roman"/>
          <w:sz w:val="24"/>
          <w:szCs w:val="24"/>
        </w:rPr>
        <w:t>在教学过程中应注意把握的主线是使学生通过本课程的学习，能够</w:t>
      </w:r>
      <w:r>
        <w:rPr>
          <w:rFonts w:hint="eastAsia" w:ascii="Times New Roman" w:hAnsi="Times New Roman" w:eastAsia="宋体" w:cs="Times New Roman"/>
          <w:sz w:val="24"/>
          <w:szCs w:val="24"/>
          <w:lang w:eastAsia="zh-Hans"/>
        </w:rPr>
        <w:t>清晰地思考并掌握一门课程的基本功训练，从基本知识、原理、技能、掌控大局的能力，并且能够在绘画中了解并</w:t>
      </w:r>
      <w:r>
        <w:rPr>
          <w:rFonts w:hint="eastAsia" w:ascii="Times New Roman" w:hAnsi="Times New Roman" w:eastAsia="宋体" w:cs="Times New Roman"/>
          <w:sz w:val="24"/>
          <w:szCs w:val="24"/>
        </w:rPr>
        <w:t>准确表达出自己的</w:t>
      </w:r>
      <w:r>
        <w:rPr>
          <w:rFonts w:hint="eastAsia" w:ascii="Times New Roman" w:hAnsi="Times New Roman" w:eastAsia="宋体" w:cs="Times New Roman"/>
          <w:sz w:val="24"/>
          <w:szCs w:val="24"/>
          <w:lang w:eastAsia="zh-Hans"/>
        </w:rPr>
        <w:t>性格与</w:t>
      </w:r>
      <w:r>
        <w:rPr>
          <w:rFonts w:hint="eastAsia" w:ascii="Times New Roman" w:hAnsi="Times New Roman" w:eastAsia="宋体" w:cs="Times New Roman"/>
          <w:sz w:val="24"/>
          <w:szCs w:val="24"/>
        </w:rPr>
        <w:t>情感</w:t>
      </w:r>
      <w:r>
        <w:rPr>
          <w:rFonts w:hint="eastAsia" w:ascii="Times New Roman" w:hAnsi="Times New Roman" w:eastAsia="宋体" w:cs="Times New Roman"/>
          <w:sz w:val="24"/>
          <w:szCs w:val="24"/>
          <w:lang w:eastAsia="zh-Hans"/>
        </w:rPr>
        <w:t>。第二部分是动画部分。在教学过程中应注意把握的主线是使学生在动画中掌握少儿心理、教师责任感、对儿童的世界观人生观的培养、沟通能力和书写能力。在绘画中以儿童的角度表达情感并准确地用书写的方式描写绘画内容，</w:t>
      </w:r>
      <w:r>
        <w:rPr>
          <w:rFonts w:hint="eastAsia" w:ascii="Times New Roman" w:hAnsi="Times New Roman" w:eastAsia="宋体" w:cs="Times New Roman"/>
          <w:sz w:val="24"/>
          <w:szCs w:val="24"/>
        </w:rPr>
        <w:t>进而为后面的工作学习的打下坚实的基本功</w:t>
      </w:r>
      <w:r>
        <w:rPr>
          <w:rFonts w:hint="eastAsia" w:ascii="Times New Roman" w:hAnsi="Times New Roman" w:eastAsia="宋体" w:cs="Times New Roman"/>
          <w:sz w:val="24"/>
          <w:szCs w:val="24"/>
          <w:lang w:eastAsia="zh-Hans"/>
        </w:rPr>
        <w:t>。两个部分的最终目的是为了</w:t>
      </w:r>
      <w:r>
        <w:rPr>
          <w:rFonts w:hint="eastAsia" w:ascii="Times New Roman" w:hAnsi="Times New Roman" w:eastAsia="宋体" w:cs="Times New Roman"/>
          <w:sz w:val="24"/>
          <w:szCs w:val="24"/>
        </w:rPr>
        <w:t>培养学生的人文素养</w:t>
      </w:r>
      <w:r>
        <w:rPr>
          <w:rFonts w:hint="eastAsia" w:ascii="Times New Roman" w:hAnsi="Times New Roman" w:eastAsia="宋体" w:cs="Times New Roman"/>
          <w:sz w:val="24"/>
          <w:szCs w:val="24"/>
          <w:lang w:eastAsia="zh-Hans"/>
        </w:rPr>
        <w:t>、学科素养、教育情怀</w:t>
      </w:r>
      <w:r>
        <w:rPr>
          <w:rFonts w:hint="eastAsia" w:ascii="Times New Roman" w:hAnsi="Times New Roman" w:eastAsia="宋体" w:cs="Times New Roman"/>
          <w:sz w:val="24"/>
          <w:szCs w:val="24"/>
        </w:rPr>
        <w:t>和艺术底蕴。</w:t>
      </w:r>
    </w:p>
    <w:p w14:paraId="2832BF0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w:t>
      </w:r>
      <w:r>
        <w:rPr>
          <w:rFonts w:ascii="Times New Roman" w:hAnsi="Times New Roman" w:eastAsia="宋体" w:cs="Times New Roman"/>
          <w:sz w:val="24"/>
          <w:szCs w:val="24"/>
        </w:rPr>
        <w:t>采用多媒体教学手段，</w:t>
      </w:r>
      <w:r>
        <w:rPr>
          <w:rFonts w:hint="eastAsia" w:ascii="Times New Roman" w:hAnsi="Times New Roman" w:eastAsia="宋体" w:cs="Times New Roman"/>
          <w:sz w:val="24"/>
          <w:szCs w:val="24"/>
        </w:rPr>
        <w:t>利用投影设备，辅助以图片、范画等配合教学过程，调动学生的学习积极性，加深学生对绘画的理解和感知</w:t>
      </w:r>
      <w:r>
        <w:rPr>
          <w:rFonts w:ascii="Times New Roman" w:hAnsi="Times New Roman" w:eastAsia="宋体" w:cs="Times New Roman"/>
          <w:sz w:val="24"/>
          <w:szCs w:val="24"/>
        </w:rPr>
        <w:t>。</w:t>
      </w:r>
    </w:p>
    <w:p w14:paraId="14C26F3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w:t>
      </w:r>
      <w:r>
        <w:rPr>
          <w:rFonts w:hint="eastAsia" w:ascii="Times New Roman" w:hAnsi="Times New Roman" w:eastAsia="宋体" w:cs="Times New Roman"/>
          <w:sz w:val="24"/>
          <w:szCs w:val="24"/>
        </w:rPr>
        <w:t>结合授课内容，布置训练作业，</w:t>
      </w:r>
      <w:r>
        <w:rPr>
          <w:rFonts w:ascii="Times New Roman" w:hAnsi="Times New Roman" w:eastAsia="宋体" w:cs="Times New Roman"/>
          <w:sz w:val="24"/>
          <w:szCs w:val="24"/>
        </w:rPr>
        <w:t>让学生</w:t>
      </w:r>
      <w:r>
        <w:rPr>
          <w:rFonts w:hint="eastAsia" w:ascii="Times New Roman" w:hAnsi="Times New Roman" w:eastAsia="宋体" w:cs="Times New Roman"/>
          <w:sz w:val="24"/>
          <w:szCs w:val="24"/>
        </w:rPr>
        <w:t>通过不断地练习，加深课堂学习内容，</w:t>
      </w:r>
      <w:r>
        <w:rPr>
          <w:rFonts w:ascii="Times New Roman" w:hAnsi="Times New Roman" w:eastAsia="宋体" w:cs="Times New Roman"/>
          <w:sz w:val="24"/>
          <w:szCs w:val="24"/>
        </w:rPr>
        <w:t>从而</w:t>
      </w:r>
      <w:r>
        <w:rPr>
          <w:rFonts w:hint="eastAsia" w:ascii="Times New Roman" w:hAnsi="Times New Roman" w:eastAsia="宋体" w:cs="Times New Roman"/>
          <w:sz w:val="24"/>
          <w:szCs w:val="24"/>
        </w:rPr>
        <w:t>为以后课程设计奠定基础</w:t>
      </w:r>
      <w:r>
        <w:rPr>
          <w:rFonts w:ascii="Times New Roman" w:hAnsi="Times New Roman" w:eastAsia="宋体" w:cs="Times New Roman"/>
          <w:sz w:val="24"/>
          <w:szCs w:val="24"/>
        </w:rPr>
        <w:t>。</w:t>
      </w:r>
    </w:p>
    <w:p w14:paraId="6A941ED0">
      <w:pPr>
        <w:spacing w:line="360" w:lineRule="auto"/>
        <w:ind w:firstLine="480" w:firstLineChars="200"/>
        <w:rPr>
          <w:rFonts w:ascii="Times New Roman" w:hAnsi="Times New Roman" w:eastAsia="宋体" w:cs="Times New Roman"/>
          <w:b/>
          <w:sz w:val="24"/>
          <w:szCs w:val="24"/>
        </w:rPr>
      </w:pPr>
      <w:r>
        <w:rPr>
          <w:rFonts w:ascii="Times New Roman" w:hAnsi="Times New Roman" w:eastAsia="宋体" w:cs="Times New Roman"/>
          <w:bCs/>
          <w:sz w:val="24"/>
          <w:szCs w:val="24"/>
        </w:rPr>
        <w:t>（四）主要教学环节的质量要求如表所示。</w:t>
      </w:r>
    </w:p>
    <w:tbl>
      <w:tblPr>
        <w:tblStyle w:val="1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25FA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tcMar>
              <w:left w:w="28" w:type="dxa"/>
              <w:right w:w="28" w:type="dxa"/>
            </w:tcMar>
            <w:vAlign w:val="center"/>
          </w:tcPr>
          <w:p w14:paraId="274E2C39">
            <w:pPr>
              <w:spacing w:line="276" w:lineRule="auto"/>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817" w:type="dxa"/>
            <w:tcBorders>
              <w:top w:val="single" w:color="auto" w:sz="8" w:space="0"/>
              <w:left w:val="single" w:color="auto" w:sz="8" w:space="0"/>
              <w:right w:val="single" w:color="auto" w:sz="8" w:space="0"/>
            </w:tcBorders>
            <w:vAlign w:val="center"/>
          </w:tcPr>
          <w:p w14:paraId="3743D6EA">
            <w:pPr>
              <w:spacing w:line="276" w:lineRule="auto"/>
              <w:jc w:val="center"/>
              <w:rPr>
                <w:rFonts w:ascii="Times New Roman" w:hAnsi="Times New Roman" w:eastAsia="宋体" w:cs="Times New Roman"/>
                <w:szCs w:val="21"/>
              </w:rPr>
            </w:pPr>
            <w:r>
              <w:rPr>
                <w:rFonts w:ascii="Times New Roman" w:hAnsi="Times New Roman" w:eastAsia="宋体" w:cs="Times New Roman"/>
                <w:bCs/>
                <w:szCs w:val="21"/>
              </w:rPr>
              <w:t>质量</w:t>
            </w:r>
            <w:r>
              <w:rPr>
                <w:rFonts w:hint="eastAsia" w:ascii="Times New Roman" w:hAnsi="Times New Roman" w:eastAsia="宋体" w:cs="Times New Roman"/>
                <w:bCs/>
                <w:szCs w:val="21"/>
              </w:rPr>
              <w:t>要求</w:t>
            </w:r>
          </w:p>
        </w:tc>
      </w:tr>
      <w:tr w14:paraId="0AC8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582" w:type="dxa"/>
            <w:tcBorders>
              <w:left w:val="single" w:color="auto" w:sz="8" w:space="0"/>
            </w:tcBorders>
            <w:vAlign w:val="center"/>
          </w:tcPr>
          <w:p w14:paraId="3ADE2FDD">
            <w:pPr>
              <w:jc w:val="center"/>
              <w:rPr>
                <w:rFonts w:ascii="宋体" w:hAnsi="宋体" w:eastAsia="宋体" w:cs="宋体"/>
                <w:szCs w:val="21"/>
              </w:rPr>
            </w:pPr>
            <w:r>
              <w:rPr>
                <w:rFonts w:hint="eastAsia" w:ascii="宋体" w:hAnsi="宋体" w:eastAsia="宋体" w:cs="宋体"/>
                <w:szCs w:val="21"/>
              </w:rPr>
              <w:t>1</w:t>
            </w:r>
          </w:p>
        </w:tc>
        <w:tc>
          <w:tcPr>
            <w:tcW w:w="1701" w:type="dxa"/>
            <w:tcMar>
              <w:left w:w="28" w:type="dxa"/>
              <w:right w:w="28" w:type="dxa"/>
            </w:tcMar>
            <w:vAlign w:val="center"/>
          </w:tcPr>
          <w:p w14:paraId="4A667F1B">
            <w:pPr>
              <w:jc w:val="center"/>
              <w:rPr>
                <w:rFonts w:ascii="宋体" w:hAnsi="宋体" w:eastAsia="宋体" w:cs="宋体"/>
                <w:szCs w:val="21"/>
              </w:rPr>
            </w:pPr>
            <w:r>
              <w:rPr>
                <w:rFonts w:hint="eastAsia" w:ascii="宋体" w:hAnsi="宋体" w:eastAsia="宋体" w:cs="宋体"/>
                <w:szCs w:val="21"/>
              </w:rPr>
              <w:t>备课</w:t>
            </w:r>
          </w:p>
        </w:tc>
        <w:tc>
          <w:tcPr>
            <w:tcW w:w="6817" w:type="dxa"/>
            <w:tcBorders>
              <w:right w:val="single" w:color="auto" w:sz="8" w:space="0"/>
            </w:tcBorders>
            <w:vAlign w:val="center"/>
          </w:tcPr>
          <w:p w14:paraId="409EEB60">
            <w:pPr>
              <w:rPr>
                <w:rFonts w:ascii="宋体" w:hAnsi="宋体" w:eastAsia="宋体" w:cs="宋体"/>
                <w:szCs w:val="21"/>
              </w:rPr>
            </w:pPr>
            <w:r>
              <w:rPr>
                <w:rFonts w:hint="eastAsia" w:ascii="宋体" w:hAnsi="宋体" w:eastAsia="宋体" w:cs="宋体"/>
                <w:szCs w:val="21"/>
              </w:rPr>
              <w:t>（1）按照教学大纲要求，组织教学内容。</w:t>
            </w:r>
          </w:p>
          <w:p w14:paraId="3B347023">
            <w:pPr>
              <w:rPr>
                <w:rFonts w:ascii="宋体" w:hAnsi="宋体" w:eastAsia="宋体" w:cs="宋体"/>
                <w:szCs w:val="21"/>
              </w:rPr>
            </w:pPr>
            <w:r>
              <w:rPr>
                <w:rFonts w:hint="eastAsia" w:ascii="宋体" w:hAnsi="宋体" w:eastAsia="宋体" w:cs="宋体"/>
                <w:szCs w:val="21"/>
              </w:rPr>
              <w:t>（2）广泛参考专业书籍，依据大纲拟定授课计划及教案。</w:t>
            </w:r>
          </w:p>
          <w:p w14:paraId="752CB4F7">
            <w:pPr>
              <w:rPr>
                <w:rFonts w:ascii="宋体" w:hAnsi="宋体" w:eastAsia="宋体" w:cs="宋体"/>
                <w:szCs w:val="21"/>
              </w:rPr>
            </w:pPr>
            <w:r>
              <w:rPr>
                <w:rFonts w:hint="eastAsia" w:ascii="宋体" w:hAnsi="宋体" w:eastAsia="宋体" w:cs="宋体"/>
                <w:szCs w:val="21"/>
              </w:rPr>
              <w:t>（3）根据不同章节内容及学生实际情况，选择合适的教学方法。</w:t>
            </w:r>
          </w:p>
        </w:tc>
      </w:tr>
      <w:tr w14:paraId="175D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3AF4EA0B">
            <w:pPr>
              <w:jc w:val="center"/>
              <w:rPr>
                <w:rFonts w:ascii="宋体" w:hAnsi="宋体" w:eastAsia="宋体" w:cs="宋体"/>
                <w:szCs w:val="21"/>
              </w:rPr>
            </w:pPr>
            <w:r>
              <w:rPr>
                <w:rFonts w:hint="eastAsia" w:ascii="宋体" w:hAnsi="宋体" w:eastAsia="宋体" w:cs="宋体"/>
                <w:szCs w:val="21"/>
              </w:rPr>
              <w:t>2</w:t>
            </w:r>
          </w:p>
        </w:tc>
        <w:tc>
          <w:tcPr>
            <w:tcW w:w="1701" w:type="dxa"/>
            <w:tcMar>
              <w:left w:w="28" w:type="dxa"/>
              <w:right w:w="28" w:type="dxa"/>
            </w:tcMar>
            <w:vAlign w:val="center"/>
          </w:tcPr>
          <w:p w14:paraId="6C61C914">
            <w:pPr>
              <w:jc w:val="center"/>
              <w:rPr>
                <w:rFonts w:ascii="宋体" w:hAnsi="宋体" w:eastAsia="宋体" w:cs="宋体"/>
                <w:szCs w:val="21"/>
              </w:rPr>
            </w:pPr>
            <w:r>
              <w:rPr>
                <w:rFonts w:hint="eastAsia" w:ascii="宋体" w:hAnsi="宋体" w:eastAsia="宋体" w:cs="宋体"/>
                <w:szCs w:val="21"/>
              </w:rPr>
              <w:t>讲授</w:t>
            </w:r>
          </w:p>
        </w:tc>
        <w:tc>
          <w:tcPr>
            <w:tcW w:w="6817" w:type="dxa"/>
            <w:tcBorders>
              <w:right w:val="single" w:color="auto" w:sz="8" w:space="0"/>
            </w:tcBorders>
            <w:vAlign w:val="center"/>
          </w:tcPr>
          <w:p w14:paraId="28B36050">
            <w:pPr>
              <w:rPr>
                <w:rFonts w:ascii="宋体" w:hAnsi="宋体" w:eastAsia="宋体" w:cs="宋体"/>
                <w:szCs w:val="21"/>
              </w:rPr>
            </w:pPr>
            <w:r>
              <w:rPr>
                <w:rFonts w:hint="eastAsia" w:ascii="宋体" w:hAnsi="宋体" w:eastAsia="宋体" w:cs="宋体"/>
                <w:szCs w:val="21"/>
              </w:rPr>
              <w:t>（1）条理清晰，重点突出，知识点讲解准确。</w:t>
            </w:r>
          </w:p>
          <w:p w14:paraId="2C2A7B98">
            <w:pPr>
              <w:rPr>
                <w:rFonts w:ascii="宋体" w:hAnsi="宋体" w:eastAsia="宋体" w:cs="宋体"/>
                <w:szCs w:val="21"/>
              </w:rPr>
            </w:pPr>
            <w:r>
              <w:rPr>
                <w:rFonts w:hint="eastAsia" w:ascii="宋体" w:hAnsi="宋体" w:eastAsia="宋体" w:cs="宋体"/>
                <w:szCs w:val="21"/>
              </w:rPr>
              <w:t>（2）多种教学方法综合运用，以利于学生理解教学内容，调动学生听课的积极性。</w:t>
            </w:r>
          </w:p>
        </w:tc>
      </w:tr>
      <w:tr w14:paraId="07AF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82" w:type="dxa"/>
            <w:tcBorders>
              <w:left w:val="single" w:color="auto" w:sz="8" w:space="0"/>
            </w:tcBorders>
            <w:vAlign w:val="center"/>
          </w:tcPr>
          <w:p w14:paraId="3D9D85A0">
            <w:pPr>
              <w:jc w:val="center"/>
              <w:rPr>
                <w:rFonts w:ascii="宋体" w:hAnsi="宋体" w:eastAsia="宋体" w:cs="宋体"/>
                <w:szCs w:val="21"/>
              </w:rPr>
            </w:pPr>
            <w:r>
              <w:rPr>
                <w:rFonts w:hint="eastAsia" w:ascii="宋体" w:hAnsi="宋体" w:eastAsia="宋体" w:cs="宋体"/>
                <w:szCs w:val="21"/>
              </w:rPr>
              <w:t>3</w:t>
            </w:r>
          </w:p>
        </w:tc>
        <w:tc>
          <w:tcPr>
            <w:tcW w:w="1701" w:type="dxa"/>
            <w:tcMar>
              <w:left w:w="28" w:type="dxa"/>
              <w:right w:w="28" w:type="dxa"/>
            </w:tcMar>
            <w:vAlign w:val="center"/>
          </w:tcPr>
          <w:p w14:paraId="1821B8BF">
            <w:pPr>
              <w:jc w:val="center"/>
              <w:rPr>
                <w:rFonts w:ascii="宋体" w:hAnsi="宋体" w:eastAsia="宋体" w:cs="宋体"/>
                <w:szCs w:val="21"/>
              </w:rPr>
            </w:pPr>
            <w:r>
              <w:rPr>
                <w:rFonts w:hint="eastAsia" w:ascii="宋体" w:hAnsi="宋体" w:eastAsia="宋体" w:cs="宋体"/>
                <w:szCs w:val="21"/>
              </w:rPr>
              <w:t>作业布置与批改</w:t>
            </w:r>
          </w:p>
        </w:tc>
        <w:tc>
          <w:tcPr>
            <w:tcW w:w="6817" w:type="dxa"/>
            <w:tcBorders>
              <w:right w:val="single" w:color="auto" w:sz="8" w:space="0"/>
            </w:tcBorders>
            <w:vAlign w:val="center"/>
          </w:tcPr>
          <w:p w14:paraId="51642307">
            <w:pPr>
              <w:rPr>
                <w:rFonts w:ascii="宋体" w:hAnsi="宋体" w:eastAsia="宋体" w:cs="宋体"/>
                <w:szCs w:val="21"/>
              </w:rPr>
            </w:pPr>
            <w:r>
              <w:rPr>
                <w:rFonts w:hint="eastAsia" w:ascii="宋体" w:hAnsi="宋体" w:eastAsia="宋体" w:cs="宋体"/>
                <w:szCs w:val="21"/>
              </w:rPr>
              <w:t>（1）为使学生加深对所学课程的理解与掌握，必须布置一定数量的作业。</w:t>
            </w:r>
          </w:p>
          <w:p w14:paraId="5837C9F7">
            <w:pPr>
              <w:rPr>
                <w:rFonts w:ascii="宋体" w:hAnsi="宋体" w:eastAsia="宋体" w:cs="宋体"/>
                <w:szCs w:val="21"/>
              </w:rPr>
            </w:pPr>
            <w:r>
              <w:rPr>
                <w:rFonts w:hint="eastAsia" w:ascii="宋体" w:hAnsi="宋体" w:eastAsia="宋体" w:cs="宋体"/>
                <w:szCs w:val="21"/>
              </w:rPr>
              <w:t>（2）学生应保质保量、按时完成作业。</w:t>
            </w:r>
            <w:r>
              <w:rPr>
                <w:rFonts w:hint="eastAsia" w:ascii="宋体" w:hAnsi="宋体" w:eastAsia="宋体" w:cs="宋体"/>
                <w:szCs w:val="21"/>
              </w:rPr>
              <w:br w:type="textWrapping"/>
            </w:r>
            <w:r>
              <w:rPr>
                <w:rFonts w:hint="eastAsia" w:ascii="宋体" w:hAnsi="宋体" w:eastAsia="宋体" w:cs="宋体"/>
                <w:szCs w:val="21"/>
              </w:rPr>
              <w:t>（3）老师应认真批改所有作业，给出相应成绩，并通过作业了解学生对相关知识内容的掌握情况，对学生理解有误或存在欠缺之处及时指出并纠正、补足。</w:t>
            </w:r>
          </w:p>
        </w:tc>
      </w:tr>
      <w:tr w14:paraId="1944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vAlign w:val="center"/>
          </w:tcPr>
          <w:p w14:paraId="1DA2B75D">
            <w:pPr>
              <w:jc w:val="center"/>
              <w:rPr>
                <w:rFonts w:ascii="宋体" w:hAnsi="宋体" w:eastAsia="宋体" w:cs="宋体"/>
                <w:szCs w:val="21"/>
              </w:rPr>
            </w:pPr>
            <w:r>
              <w:rPr>
                <w:rFonts w:hint="eastAsia" w:ascii="宋体" w:hAnsi="宋体" w:eastAsia="宋体" w:cs="宋体"/>
                <w:szCs w:val="21"/>
              </w:rPr>
              <w:t>4</w:t>
            </w:r>
          </w:p>
        </w:tc>
        <w:tc>
          <w:tcPr>
            <w:tcW w:w="1701" w:type="dxa"/>
            <w:tcMar>
              <w:left w:w="28" w:type="dxa"/>
              <w:right w:w="28" w:type="dxa"/>
            </w:tcMar>
            <w:vAlign w:val="center"/>
          </w:tcPr>
          <w:p w14:paraId="5F0FD5D3">
            <w:pPr>
              <w:jc w:val="center"/>
              <w:rPr>
                <w:rFonts w:ascii="宋体" w:hAnsi="宋体" w:eastAsia="宋体" w:cs="宋体"/>
                <w:szCs w:val="21"/>
              </w:rPr>
            </w:pPr>
            <w:r>
              <w:rPr>
                <w:rFonts w:hint="eastAsia" w:ascii="宋体" w:hAnsi="宋体" w:eastAsia="宋体" w:cs="宋体"/>
                <w:szCs w:val="21"/>
              </w:rPr>
              <w:t>课外答疑</w:t>
            </w:r>
          </w:p>
        </w:tc>
        <w:tc>
          <w:tcPr>
            <w:tcW w:w="6817" w:type="dxa"/>
            <w:tcBorders>
              <w:right w:val="single" w:color="auto" w:sz="8" w:space="0"/>
            </w:tcBorders>
            <w:vAlign w:val="center"/>
          </w:tcPr>
          <w:p w14:paraId="67051F5C">
            <w:pPr>
              <w:rPr>
                <w:rFonts w:ascii="宋体" w:hAnsi="宋体" w:eastAsia="宋体" w:cs="宋体"/>
                <w:szCs w:val="21"/>
              </w:rPr>
            </w:pPr>
            <w:r>
              <w:rPr>
                <w:rFonts w:hint="eastAsia" w:ascii="宋体" w:hAnsi="宋体" w:eastAsia="宋体" w:cs="宋体"/>
                <w:szCs w:val="21"/>
              </w:rPr>
              <w:t>为使学生较为全面和系统地掌握本课程知识内容，形成正确的学习方法，老师除可以利用课间时间为学生答疑解惑外，还可以通过邮件、qq、微信等与同学及时沟通。</w:t>
            </w:r>
          </w:p>
        </w:tc>
      </w:tr>
      <w:tr w14:paraId="1DD1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582" w:type="dxa"/>
            <w:tcBorders>
              <w:left w:val="single" w:color="auto" w:sz="8" w:space="0"/>
            </w:tcBorders>
            <w:vAlign w:val="center"/>
          </w:tcPr>
          <w:p w14:paraId="2FC21AA0">
            <w:pPr>
              <w:jc w:val="center"/>
              <w:rPr>
                <w:rFonts w:ascii="宋体" w:hAnsi="宋体" w:eastAsia="宋体" w:cs="宋体"/>
                <w:szCs w:val="21"/>
              </w:rPr>
            </w:pPr>
            <w:r>
              <w:rPr>
                <w:rFonts w:hint="eastAsia" w:ascii="宋体" w:hAnsi="宋体" w:eastAsia="宋体" w:cs="宋体"/>
                <w:szCs w:val="21"/>
              </w:rPr>
              <w:t>5</w:t>
            </w:r>
          </w:p>
        </w:tc>
        <w:tc>
          <w:tcPr>
            <w:tcW w:w="1701" w:type="dxa"/>
            <w:tcMar>
              <w:left w:w="28" w:type="dxa"/>
              <w:right w:w="28" w:type="dxa"/>
            </w:tcMar>
            <w:vAlign w:val="center"/>
          </w:tcPr>
          <w:p w14:paraId="17A2B08D">
            <w:pPr>
              <w:jc w:val="center"/>
              <w:rPr>
                <w:rFonts w:ascii="宋体" w:hAnsi="宋体" w:eastAsia="宋体" w:cs="宋体"/>
                <w:szCs w:val="21"/>
              </w:rPr>
            </w:pPr>
            <w:r>
              <w:rPr>
                <w:rFonts w:hint="eastAsia" w:ascii="宋体" w:hAnsi="宋体" w:eastAsia="宋体" w:cs="宋体"/>
                <w:szCs w:val="21"/>
              </w:rPr>
              <w:t>成绩考核</w:t>
            </w:r>
          </w:p>
        </w:tc>
        <w:tc>
          <w:tcPr>
            <w:tcW w:w="6817" w:type="dxa"/>
            <w:tcBorders>
              <w:right w:val="single" w:color="auto" w:sz="8" w:space="0"/>
            </w:tcBorders>
            <w:vAlign w:val="center"/>
          </w:tcPr>
          <w:p w14:paraId="55EF314A">
            <w:pPr>
              <w:spacing w:line="276" w:lineRule="auto"/>
              <w:rPr>
                <w:rFonts w:ascii="宋体" w:hAnsi="宋体" w:eastAsia="宋体" w:cs="宋体"/>
                <w:szCs w:val="21"/>
              </w:rPr>
            </w:pPr>
            <w:r>
              <w:rPr>
                <w:rFonts w:hint="eastAsia" w:ascii="宋体" w:hAnsi="宋体" w:eastAsia="宋体" w:cs="宋体"/>
                <w:szCs w:val="21"/>
              </w:rPr>
              <w:t>本课程考核方式为平时成绩+期末结课作业。有下列情况之一者，总评成绩为不及格：</w:t>
            </w:r>
          </w:p>
          <w:p w14:paraId="1C745FAC">
            <w:pPr>
              <w:spacing w:line="276" w:lineRule="auto"/>
              <w:rPr>
                <w:rFonts w:ascii="宋体" w:hAnsi="宋体" w:eastAsia="宋体" w:cs="宋体"/>
                <w:szCs w:val="21"/>
              </w:rPr>
            </w:pPr>
            <w:r>
              <w:rPr>
                <w:rFonts w:hint="eastAsia" w:ascii="宋体" w:hAnsi="宋体" w:eastAsia="宋体" w:cs="宋体"/>
                <w:szCs w:val="21"/>
              </w:rPr>
              <w:t>（1）缺交作业次数达1/3以上者。</w:t>
            </w:r>
          </w:p>
          <w:p w14:paraId="2B37B688">
            <w:pPr>
              <w:spacing w:line="276" w:lineRule="auto"/>
              <w:rPr>
                <w:rFonts w:ascii="宋体" w:hAnsi="宋体" w:eastAsia="宋体" w:cs="宋体"/>
                <w:szCs w:val="21"/>
              </w:rPr>
            </w:pPr>
            <w:r>
              <w:rPr>
                <w:rFonts w:hint="eastAsia" w:ascii="宋体" w:hAnsi="宋体" w:eastAsia="宋体" w:cs="宋体"/>
                <w:szCs w:val="21"/>
              </w:rPr>
              <w:t>（2）无故缺课次数达本学期总授课学时的1/3以上者。</w:t>
            </w:r>
          </w:p>
        </w:tc>
      </w:tr>
    </w:tbl>
    <w:p w14:paraId="30A43F11">
      <w:pPr>
        <w:spacing w:line="360" w:lineRule="auto"/>
        <w:ind w:firstLine="562" w:firstLineChars="200"/>
        <w:rPr>
          <w:rFonts w:ascii="Times New Roman" w:hAnsi="Times New Roman" w:eastAsia="宋体" w:cs="Times New Roman"/>
          <w:b/>
          <w:sz w:val="28"/>
          <w:szCs w:val="28"/>
        </w:rPr>
      </w:pPr>
    </w:p>
    <w:p w14:paraId="07762F28">
      <w:pPr>
        <w:spacing w:line="360" w:lineRule="auto"/>
        <w:ind w:firstLine="562" w:firstLineChars="200"/>
        <w:outlineLvl w:val="0"/>
        <w:rPr>
          <w:rFonts w:ascii="Times New Roman" w:hAnsi="Times New Roman" w:eastAsia="宋体" w:cs="Times New Roman"/>
          <w:b/>
          <w:sz w:val="28"/>
          <w:szCs w:val="28"/>
        </w:rPr>
      </w:pPr>
      <w:bookmarkStart w:id="2277" w:name="_Toc25203"/>
      <w:bookmarkStart w:id="2278" w:name="_Toc19167"/>
      <w:bookmarkStart w:id="2279" w:name="_Toc21731"/>
      <w:bookmarkStart w:id="2280" w:name="_Toc21110"/>
      <w:bookmarkStart w:id="2281" w:name="_Toc23279"/>
      <w:bookmarkStart w:id="2282" w:name="_Toc393"/>
      <w:bookmarkStart w:id="2283" w:name="_Toc28149"/>
      <w:r>
        <w:rPr>
          <w:rFonts w:hint="eastAsia" w:ascii="Times New Roman" w:hAnsi="Times New Roman" w:eastAsia="宋体" w:cs="Times New Roman"/>
          <w:b/>
          <w:sz w:val="28"/>
          <w:szCs w:val="28"/>
        </w:rPr>
        <w:t>六、考核方式</w:t>
      </w:r>
      <w:bookmarkEnd w:id="2277"/>
      <w:bookmarkEnd w:id="2278"/>
      <w:bookmarkEnd w:id="2279"/>
      <w:bookmarkEnd w:id="2280"/>
      <w:bookmarkEnd w:id="2281"/>
      <w:bookmarkEnd w:id="2282"/>
      <w:bookmarkEnd w:id="2283"/>
    </w:p>
    <w:p w14:paraId="1E40E19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课程考核包括期末考试、平时及作业考核，期</w:t>
      </w:r>
      <w:r>
        <w:rPr>
          <w:rFonts w:hint="eastAsia" w:ascii="Times New Roman" w:hAnsi="Times New Roman" w:eastAsia="宋体" w:cs="Times New Roman"/>
          <w:sz w:val="24"/>
          <w:szCs w:val="24"/>
        </w:rPr>
        <w:t>末</w:t>
      </w:r>
      <w:r>
        <w:rPr>
          <w:rFonts w:ascii="Times New Roman" w:hAnsi="Times New Roman" w:eastAsia="宋体" w:cs="Times New Roman"/>
          <w:sz w:val="24"/>
          <w:szCs w:val="24"/>
        </w:rPr>
        <w:t>考试采用</w:t>
      </w:r>
      <w:r>
        <w:rPr>
          <w:rFonts w:hint="eastAsia" w:ascii="Times New Roman" w:hAnsi="Times New Roman" w:eastAsia="宋体" w:cs="Times New Roman"/>
          <w:sz w:val="24"/>
          <w:szCs w:val="24"/>
        </w:rPr>
        <w:t>命题作业的方式</w:t>
      </w:r>
      <w:r>
        <w:rPr>
          <w:rFonts w:ascii="Times New Roman" w:hAnsi="Times New Roman" w:eastAsia="宋体" w:cs="Times New Roman"/>
          <w:sz w:val="24"/>
          <w:szCs w:val="24"/>
        </w:rPr>
        <w:t>。</w:t>
      </w:r>
    </w:p>
    <w:p w14:paraId="735E308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w:t>
      </w:r>
      <w:r>
        <w:rPr>
          <w:rFonts w:ascii="Times New Roman" w:hAnsi="Times New Roman" w:eastAsia="宋体" w:cs="Times New Roman"/>
          <w:sz w:val="24"/>
          <w:szCs w:val="24"/>
        </w:rPr>
        <w:t>课程</w:t>
      </w:r>
      <w:r>
        <w:rPr>
          <w:rFonts w:hint="eastAsia" w:ascii="Times New Roman" w:hAnsi="Times New Roman" w:eastAsia="宋体" w:cs="Times New Roman"/>
          <w:sz w:val="24"/>
          <w:szCs w:val="24"/>
        </w:rPr>
        <w:t>总评</w:t>
      </w:r>
      <w:r>
        <w:rPr>
          <w:rFonts w:ascii="Times New Roman" w:hAnsi="Times New Roman" w:eastAsia="宋体" w:cs="Times New Roman"/>
          <w:sz w:val="24"/>
          <w:szCs w:val="24"/>
        </w:rPr>
        <w:t>成绩=平时成绩×</w:t>
      </w:r>
      <w:r>
        <w:rPr>
          <w:rFonts w:hint="eastAsia" w:ascii="Times New Roman" w:hAnsi="Times New Roman" w:eastAsia="宋体" w:cs="Times New Roman"/>
          <w:sz w:val="24"/>
          <w:szCs w:val="24"/>
        </w:rPr>
        <w:t>4</w:t>
      </w:r>
      <w:r>
        <w:rPr>
          <w:rFonts w:ascii="Times New Roman" w:hAnsi="Times New Roman" w:eastAsia="宋体" w:cs="Times New Roman"/>
          <w:sz w:val="24"/>
          <w:szCs w:val="24"/>
        </w:rPr>
        <w:t>0% +实验</w:t>
      </w:r>
      <w:r>
        <w:rPr>
          <w:rFonts w:hint="eastAsia" w:ascii="Times New Roman" w:hAnsi="Times New Roman" w:eastAsia="宋体" w:cs="Times New Roman"/>
          <w:sz w:val="24"/>
          <w:szCs w:val="24"/>
        </w:rPr>
        <w:t>（实践）</w:t>
      </w:r>
      <w:r>
        <w:rPr>
          <w:rFonts w:ascii="Times New Roman" w:hAnsi="Times New Roman" w:eastAsia="宋体" w:cs="Times New Roman"/>
          <w:sz w:val="24"/>
          <w:szCs w:val="24"/>
        </w:rPr>
        <w:t>成绩×0%+期末</w:t>
      </w:r>
      <w:r>
        <w:rPr>
          <w:rFonts w:hint="eastAsia" w:ascii="Times New Roman" w:hAnsi="Times New Roman" w:eastAsia="宋体" w:cs="Times New Roman"/>
          <w:sz w:val="24"/>
          <w:szCs w:val="24"/>
        </w:rPr>
        <w:t>作业</w:t>
      </w:r>
      <w:r>
        <w:rPr>
          <w:rFonts w:ascii="Times New Roman" w:hAnsi="Times New Roman" w:eastAsia="宋体" w:cs="Times New Roman"/>
          <w:sz w:val="24"/>
          <w:szCs w:val="24"/>
        </w:rPr>
        <w:t>成绩×</w:t>
      </w:r>
      <w:r>
        <w:rPr>
          <w:rFonts w:hint="eastAsia" w:ascii="Times New Roman" w:hAnsi="Times New Roman" w:eastAsia="宋体" w:cs="Times New Roman"/>
          <w:sz w:val="24"/>
          <w:szCs w:val="24"/>
        </w:rPr>
        <w:t>6</w:t>
      </w:r>
      <w:r>
        <w:rPr>
          <w:rFonts w:ascii="Times New Roman" w:hAnsi="Times New Roman" w:eastAsia="宋体" w:cs="Times New Roman"/>
          <w:sz w:val="24"/>
          <w:szCs w:val="24"/>
        </w:rPr>
        <w:t>0%。</w:t>
      </w:r>
      <w:r>
        <w:rPr>
          <w:rFonts w:hint="eastAsia" w:ascii="Times New Roman" w:hAnsi="Times New Roman" w:eastAsia="宋体" w:cs="Times New Roman"/>
          <w:sz w:val="24"/>
          <w:szCs w:val="24"/>
        </w:rPr>
        <w:t>具体内容和比例如表所示。</w:t>
      </w:r>
    </w:p>
    <w:tbl>
      <w:tblPr>
        <w:tblStyle w:val="10"/>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0C8D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tcMar>
              <w:left w:w="57" w:type="dxa"/>
              <w:right w:w="57" w:type="dxa"/>
            </w:tcMar>
            <w:vAlign w:val="center"/>
          </w:tcPr>
          <w:p w14:paraId="03CFD89F">
            <w:pPr>
              <w:jc w:val="center"/>
              <w:rPr>
                <w:rFonts w:ascii="Times New Roman" w:hAnsi="Times New Roman" w:eastAsia="宋体" w:cs="Times New Roman"/>
                <w:szCs w:val="24"/>
              </w:rPr>
            </w:pPr>
            <w:r>
              <w:rPr>
                <w:rFonts w:ascii="Times New Roman" w:hAnsi="Times New Roman" w:eastAsia="宋体" w:cs="Times New Roman"/>
                <w:szCs w:val="24"/>
              </w:rPr>
              <w:t>成绩组成</w:t>
            </w:r>
          </w:p>
        </w:tc>
        <w:tc>
          <w:tcPr>
            <w:tcW w:w="1565" w:type="dxa"/>
            <w:shd w:val="clear" w:color="auto" w:fill="FFFFFF"/>
            <w:vAlign w:val="center"/>
          </w:tcPr>
          <w:p w14:paraId="5915BEAE">
            <w:pPr>
              <w:jc w:val="center"/>
              <w:rPr>
                <w:rFonts w:ascii="Times New Roman" w:hAnsi="Times New Roman" w:eastAsia="宋体" w:cs="Times New Roman"/>
                <w:szCs w:val="24"/>
              </w:rPr>
            </w:pPr>
            <w:r>
              <w:rPr>
                <w:rFonts w:ascii="Times New Roman" w:hAnsi="Times New Roman" w:eastAsia="宋体" w:cs="Times New Roman"/>
                <w:szCs w:val="24"/>
              </w:rPr>
              <w:t>考核/评价环节</w:t>
            </w:r>
          </w:p>
        </w:tc>
        <w:tc>
          <w:tcPr>
            <w:tcW w:w="808" w:type="dxa"/>
            <w:shd w:val="clear" w:color="auto" w:fill="FFFFFF"/>
            <w:vAlign w:val="center"/>
          </w:tcPr>
          <w:p w14:paraId="09BE6374">
            <w:pPr>
              <w:jc w:val="center"/>
              <w:rPr>
                <w:rFonts w:ascii="Times New Roman" w:hAnsi="Times New Roman" w:eastAsia="宋体" w:cs="Times New Roman"/>
                <w:szCs w:val="24"/>
              </w:rPr>
            </w:pPr>
            <w:r>
              <w:rPr>
                <w:rFonts w:hint="eastAsia" w:ascii="Times New Roman" w:hAnsi="Times New Roman" w:eastAsia="宋体" w:cs="Times New Roman"/>
                <w:szCs w:val="24"/>
              </w:rPr>
              <w:t>权重</w:t>
            </w:r>
          </w:p>
        </w:tc>
        <w:tc>
          <w:tcPr>
            <w:tcW w:w="4410" w:type="dxa"/>
            <w:shd w:val="clear" w:color="auto" w:fill="FFFFFF"/>
            <w:vAlign w:val="center"/>
          </w:tcPr>
          <w:p w14:paraId="4C5F2FD4">
            <w:pPr>
              <w:jc w:val="center"/>
              <w:rPr>
                <w:rFonts w:ascii="Times New Roman" w:hAnsi="Times New Roman" w:eastAsia="宋体" w:cs="Times New Roman"/>
                <w:szCs w:val="24"/>
              </w:rPr>
            </w:pPr>
            <w:r>
              <w:rPr>
                <w:rFonts w:ascii="Times New Roman" w:hAnsi="Times New Roman" w:eastAsia="宋体" w:cs="Times New Roman"/>
                <w:szCs w:val="24"/>
              </w:rPr>
              <w:t>考核/评价细则</w:t>
            </w:r>
          </w:p>
        </w:tc>
        <w:tc>
          <w:tcPr>
            <w:tcW w:w="1470" w:type="dxa"/>
            <w:shd w:val="clear" w:color="auto" w:fill="FFFFFF"/>
            <w:vAlign w:val="center"/>
          </w:tcPr>
          <w:p w14:paraId="10A91FF4">
            <w:pPr>
              <w:jc w:val="center"/>
              <w:rPr>
                <w:rFonts w:ascii="Times New Roman" w:hAnsi="Times New Roman" w:eastAsia="宋体" w:cs="Times New Roman"/>
                <w:szCs w:val="24"/>
              </w:rPr>
            </w:pPr>
            <w:r>
              <w:rPr>
                <w:rFonts w:ascii="Times New Roman" w:hAnsi="Times New Roman" w:eastAsia="宋体" w:cs="Times New Roman"/>
                <w:szCs w:val="24"/>
              </w:rPr>
              <w:t>对应的毕业要求指标点</w:t>
            </w:r>
          </w:p>
        </w:tc>
      </w:tr>
      <w:tr w14:paraId="2252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44" w:type="dxa"/>
            <w:vMerge w:val="restart"/>
            <w:tcMar>
              <w:left w:w="57" w:type="dxa"/>
              <w:right w:w="57" w:type="dxa"/>
            </w:tcMar>
            <w:vAlign w:val="center"/>
          </w:tcPr>
          <w:p w14:paraId="5D72D81C">
            <w:pPr>
              <w:jc w:val="center"/>
              <w:rPr>
                <w:rFonts w:ascii="Times New Roman" w:hAnsi="Times New Roman" w:eastAsia="宋体" w:cs="Times New Roman"/>
                <w:szCs w:val="24"/>
              </w:rPr>
            </w:pPr>
            <w:r>
              <w:rPr>
                <w:rFonts w:ascii="Times New Roman" w:hAnsi="Times New Roman" w:eastAsia="宋体" w:cs="Times New Roman"/>
                <w:szCs w:val="24"/>
              </w:rPr>
              <w:t>平时成绩</w:t>
            </w:r>
          </w:p>
        </w:tc>
        <w:tc>
          <w:tcPr>
            <w:tcW w:w="1565" w:type="dxa"/>
            <w:vAlign w:val="center"/>
          </w:tcPr>
          <w:p w14:paraId="778082EC">
            <w:pPr>
              <w:jc w:val="center"/>
              <w:rPr>
                <w:rFonts w:ascii="Times New Roman" w:hAnsi="Times New Roman" w:eastAsia="宋体" w:cs="Times New Roman"/>
                <w:szCs w:val="24"/>
              </w:rPr>
            </w:pPr>
            <w:r>
              <w:rPr>
                <w:rFonts w:ascii="Times New Roman" w:hAnsi="Times New Roman" w:eastAsia="宋体" w:cs="Times New Roman"/>
                <w:szCs w:val="24"/>
              </w:rPr>
              <w:t>平时作业</w:t>
            </w:r>
          </w:p>
        </w:tc>
        <w:tc>
          <w:tcPr>
            <w:tcW w:w="808" w:type="dxa"/>
            <w:vAlign w:val="center"/>
          </w:tcPr>
          <w:p w14:paraId="6E9BA85D">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0%</w:t>
            </w:r>
          </w:p>
        </w:tc>
        <w:tc>
          <w:tcPr>
            <w:tcW w:w="4410" w:type="dxa"/>
            <w:vAlign w:val="center"/>
          </w:tcPr>
          <w:p w14:paraId="6FABA103">
            <w:pPr>
              <w:rPr>
                <w:rFonts w:ascii="Times New Roman" w:hAnsi="Times New Roman" w:eastAsia="宋体" w:cs="Times New Roman"/>
                <w:szCs w:val="24"/>
              </w:rPr>
            </w:pPr>
            <w:r>
              <w:rPr>
                <w:rFonts w:ascii="Times New Roman" w:hAnsi="Times New Roman" w:eastAsia="宋体" w:cs="Times New Roman"/>
                <w:szCs w:val="24"/>
              </w:rPr>
              <w:t>课后</w:t>
            </w:r>
            <w:r>
              <w:rPr>
                <w:rFonts w:hint="eastAsia" w:ascii="Times New Roman" w:hAnsi="Times New Roman" w:eastAsia="宋体" w:cs="Times New Roman"/>
                <w:szCs w:val="24"/>
              </w:rPr>
              <w:t>要求完成一定数量的绘画练习</w:t>
            </w:r>
            <w:r>
              <w:rPr>
                <w:rFonts w:ascii="Times New Roman" w:hAnsi="Times New Roman" w:eastAsia="宋体" w:cs="Times New Roman"/>
                <w:szCs w:val="24"/>
              </w:rPr>
              <w:t>，主要考核学生对知识点的复习、理解和掌握程度，计算全部作业的平均成绩再按</w:t>
            </w:r>
            <w:r>
              <w:rPr>
                <w:rFonts w:hint="eastAsia" w:ascii="Times New Roman" w:hAnsi="Times New Roman" w:eastAsia="宋体" w:cs="Times New Roman"/>
                <w:szCs w:val="24"/>
              </w:rPr>
              <w:t>2</w:t>
            </w:r>
            <w:r>
              <w:rPr>
                <w:rFonts w:ascii="Times New Roman" w:hAnsi="Times New Roman" w:eastAsia="宋体" w:cs="Times New Roman"/>
                <w:szCs w:val="24"/>
              </w:rPr>
              <w:t>0%计入总成绩。</w:t>
            </w:r>
          </w:p>
        </w:tc>
        <w:tc>
          <w:tcPr>
            <w:tcW w:w="1470" w:type="dxa"/>
            <w:vAlign w:val="center"/>
          </w:tcPr>
          <w:p w14:paraId="4EA9F88B">
            <w:pPr>
              <w:jc w:val="center"/>
              <w:rPr>
                <w:rFonts w:ascii="Times New Roman" w:hAnsi="Times New Roman" w:eastAsia="宋体" w:cs="Times New Roman"/>
                <w:szCs w:val="24"/>
              </w:rPr>
            </w:pPr>
            <w:r>
              <w:rPr>
                <w:rFonts w:hint="eastAsia" w:ascii="Times New Roman" w:hAnsi="Times New Roman" w:eastAsia="楷体" w:cs="Times New Roman"/>
                <w:color w:val="000000"/>
                <w:szCs w:val="21"/>
              </w:rPr>
              <w:t>4-3</w:t>
            </w:r>
          </w:p>
        </w:tc>
      </w:tr>
      <w:tr w14:paraId="1B9B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044" w:type="dxa"/>
            <w:vMerge w:val="continue"/>
            <w:tcMar>
              <w:left w:w="57" w:type="dxa"/>
              <w:right w:w="57" w:type="dxa"/>
            </w:tcMar>
            <w:vAlign w:val="center"/>
          </w:tcPr>
          <w:p w14:paraId="467BFABA">
            <w:pPr>
              <w:jc w:val="center"/>
              <w:rPr>
                <w:rFonts w:ascii="Times New Roman" w:hAnsi="Times New Roman" w:eastAsia="宋体" w:cs="Times New Roman"/>
                <w:szCs w:val="24"/>
              </w:rPr>
            </w:pPr>
          </w:p>
        </w:tc>
        <w:tc>
          <w:tcPr>
            <w:tcW w:w="1565" w:type="dxa"/>
            <w:vAlign w:val="center"/>
          </w:tcPr>
          <w:p w14:paraId="3D82A1DB">
            <w:pPr>
              <w:jc w:val="center"/>
              <w:rPr>
                <w:rFonts w:ascii="Times New Roman" w:hAnsi="Times New Roman" w:eastAsia="宋体" w:cs="Times New Roman"/>
                <w:szCs w:val="24"/>
              </w:rPr>
            </w:pPr>
            <w:r>
              <w:rPr>
                <w:rFonts w:hint="eastAsia" w:ascii="Times New Roman" w:hAnsi="Times New Roman" w:eastAsia="宋体" w:cs="Times New Roman"/>
                <w:szCs w:val="24"/>
              </w:rPr>
              <w:t>考勤</w:t>
            </w:r>
            <w:r>
              <w:rPr>
                <w:rFonts w:ascii="Times New Roman" w:hAnsi="Times New Roman" w:eastAsia="宋体" w:cs="Times New Roman"/>
                <w:szCs w:val="24"/>
              </w:rPr>
              <w:t>及</w:t>
            </w:r>
          </w:p>
          <w:p w14:paraId="4CC976D5">
            <w:pPr>
              <w:jc w:val="center"/>
              <w:rPr>
                <w:rFonts w:ascii="Times New Roman" w:hAnsi="Times New Roman" w:eastAsia="宋体" w:cs="Times New Roman"/>
                <w:szCs w:val="24"/>
              </w:rPr>
            </w:pPr>
            <w:r>
              <w:rPr>
                <w:rFonts w:ascii="Times New Roman" w:hAnsi="Times New Roman" w:eastAsia="宋体" w:cs="Times New Roman"/>
                <w:szCs w:val="24"/>
              </w:rPr>
              <w:t>课堂练习</w:t>
            </w:r>
          </w:p>
        </w:tc>
        <w:tc>
          <w:tcPr>
            <w:tcW w:w="808" w:type="dxa"/>
            <w:vAlign w:val="center"/>
          </w:tcPr>
          <w:p w14:paraId="51A1C573">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0%</w:t>
            </w:r>
          </w:p>
        </w:tc>
        <w:tc>
          <w:tcPr>
            <w:tcW w:w="4410" w:type="dxa"/>
            <w:vAlign w:val="center"/>
          </w:tcPr>
          <w:p w14:paraId="41B7F061">
            <w:pPr>
              <w:rPr>
                <w:rFonts w:ascii="Times New Roman" w:hAnsi="Times New Roman" w:eastAsia="宋体" w:cs="Times New Roman"/>
                <w:szCs w:val="21"/>
              </w:rPr>
            </w:pPr>
            <w:r>
              <w:rPr>
                <w:rFonts w:hint="eastAsia" w:ascii="Times New Roman" w:hAnsi="Times New Roman" w:eastAsia="宋体" w:cs="Times New Roman"/>
                <w:color w:val="000000"/>
                <w:szCs w:val="21"/>
              </w:rPr>
              <w:t>在课堂练习中，学生对于课堂讲授的理解程度能清晰地表现在画面上，</w:t>
            </w:r>
            <w:r>
              <w:rPr>
                <w:rFonts w:ascii="Times New Roman" w:hAnsi="Times New Roman" w:eastAsia="宋体" w:cs="Times New Roman"/>
                <w:szCs w:val="21"/>
              </w:rPr>
              <w:t>结合平时</w:t>
            </w:r>
            <w:r>
              <w:rPr>
                <w:rFonts w:hint="eastAsia" w:ascii="Times New Roman" w:hAnsi="Times New Roman" w:eastAsia="宋体" w:cs="Times New Roman"/>
                <w:szCs w:val="21"/>
              </w:rPr>
              <w:t>考勤</w:t>
            </w:r>
            <w:r>
              <w:rPr>
                <w:rFonts w:ascii="Times New Roman" w:hAnsi="Times New Roman" w:eastAsia="宋体" w:cs="Times New Roman"/>
                <w:szCs w:val="21"/>
              </w:rPr>
              <w:t>，最后按</w:t>
            </w:r>
            <w:r>
              <w:rPr>
                <w:rFonts w:hint="eastAsia" w:ascii="Times New Roman" w:hAnsi="Times New Roman" w:eastAsia="宋体" w:cs="Times New Roman"/>
                <w:szCs w:val="21"/>
              </w:rPr>
              <w:t>2</w:t>
            </w:r>
            <w:r>
              <w:rPr>
                <w:rFonts w:ascii="Times New Roman" w:hAnsi="Times New Roman" w:eastAsia="宋体" w:cs="Times New Roman"/>
                <w:szCs w:val="21"/>
              </w:rPr>
              <w:t>0%计入课程总成绩。</w:t>
            </w:r>
          </w:p>
        </w:tc>
        <w:tc>
          <w:tcPr>
            <w:tcW w:w="1470" w:type="dxa"/>
            <w:vAlign w:val="center"/>
          </w:tcPr>
          <w:p w14:paraId="155BAAD2">
            <w:pPr>
              <w:jc w:val="center"/>
              <w:rPr>
                <w:rFonts w:ascii="Times New Roman" w:hAnsi="Times New Roman" w:eastAsia="宋体" w:cs="Times New Roman"/>
                <w:szCs w:val="24"/>
              </w:rPr>
            </w:pPr>
            <w:r>
              <w:rPr>
                <w:rFonts w:hint="eastAsia" w:ascii="Times New Roman" w:hAnsi="Times New Roman" w:eastAsia="楷体" w:cs="Times New Roman"/>
                <w:color w:val="000000"/>
                <w:szCs w:val="21"/>
              </w:rPr>
              <w:t>4-3</w:t>
            </w:r>
          </w:p>
        </w:tc>
      </w:tr>
      <w:tr w14:paraId="06DF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trPr>
        <w:tc>
          <w:tcPr>
            <w:tcW w:w="1044" w:type="dxa"/>
            <w:tcMar>
              <w:left w:w="57" w:type="dxa"/>
              <w:right w:w="57" w:type="dxa"/>
            </w:tcMar>
            <w:vAlign w:val="center"/>
          </w:tcPr>
          <w:p w14:paraId="546CBDA0">
            <w:pPr>
              <w:jc w:val="center"/>
              <w:rPr>
                <w:rFonts w:ascii="Times New Roman" w:hAnsi="Times New Roman" w:eastAsia="宋体" w:cs="Times New Roman"/>
                <w:szCs w:val="24"/>
              </w:rPr>
            </w:pPr>
            <w:r>
              <w:rPr>
                <w:rFonts w:ascii="Times New Roman" w:hAnsi="Times New Roman" w:eastAsia="宋体" w:cs="Times New Roman"/>
                <w:szCs w:val="24"/>
              </w:rPr>
              <w:t>期末考试</w:t>
            </w:r>
          </w:p>
          <w:p w14:paraId="75CC1BEE">
            <w:pPr>
              <w:jc w:val="center"/>
              <w:rPr>
                <w:rFonts w:ascii="Times New Roman" w:hAnsi="Times New Roman" w:eastAsia="宋体" w:cs="Times New Roman"/>
                <w:szCs w:val="24"/>
              </w:rPr>
            </w:pPr>
          </w:p>
        </w:tc>
        <w:tc>
          <w:tcPr>
            <w:tcW w:w="1565" w:type="dxa"/>
            <w:vAlign w:val="center"/>
          </w:tcPr>
          <w:p w14:paraId="2135559E">
            <w:pPr>
              <w:jc w:val="center"/>
              <w:rPr>
                <w:rFonts w:ascii="Times New Roman" w:hAnsi="Times New Roman" w:eastAsia="宋体" w:cs="Times New Roman"/>
                <w:szCs w:val="24"/>
              </w:rPr>
            </w:pPr>
            <w:r>
              <w:rPr>
                <w:rFonts w:ascii="Times New Roman" w:hAnsi="Times New Roman" w:eastAsia="宋体" w:cs="Times New Roman"/>
                <w:szCs w:val="24"/>
              </w:rPr>
              <w:t>期末考试</w:t>
            </w:r>
          </w:p>
          <w:p w14:paraId="3CADAF36">
            <w:pPr>
              <w:jc w:val="center"/>
              <w:rPr>
                <w:rFonts w:ascii="Times New Roman" w:hAnsi="Times New Roman" w:eastAsia="宋体" w:cs="Times New Roman"/>
                <w:szCs w:val="24"/>
              </w:rPr>
            </w:pPr>
            <w:r>
              <w:rPr>
                <w:rFonts w:hint="eastAsia" w:ascii="Times New Roman" w:hAnsi="Times New Roman" w:eastAsia="宋体" w:cs="Times New Roman"/>
                <w:szCs w:val="24"/>
              </w:rPr>
              <w:t>卷面</w:t>
            </w:r>
            <w:r>
              <w:rPr>
                <w:rFonts w:ascii="Times New Roman" w:hAnsi="Times New Roman" w:eastAsia="宋体" w:cs="Times New Roman"/>
                <w:szCs w:val="24"/>
              </w:rPr>
              <w:t>成绩</w:t>
            </w:r>
          </w:p>
        </w:tc>
        <w:tc>
          <w:tcPr>
            <w:tcW w:w="808" w:type="dxa"/>
            <w:vAlign w:val="center"/>
          </w:tcPr>
          <w:p w14:paraId="45B43A94">
            <w:pPr>
              <w:jc w:val="center"/>
              <w:rPr>
                <w:rFonts w:ascii="Times New Roman" w:hAnsi="Times New Roman" w:eastAsia="宋体" w:cs="Times New Roman"/>
                <w:szCs w:val="24"/>
              </w:rPr>
            </w:pPr>
            <w:r>
              <w:rPr>
                <w:rFonts w:ascii="Times New Roman" w:hAnsi="Times New Roman" w:eastAsia="宋体" w:cs="Times New Roman"/>
                <w:szCs w:val="24"/>
              </w:rPr>
              <w:t>60%</w:t>
            </w:r>
          </w:p>
        </w:tc>
        <w:tc>
          <w:tcPr>
            <w:tcW w:w="4410" w:type="dxa"/>
            <w:vAlign w:val="center"/>
          </w:tcPr>
          <w:p w14:paraId="5CFF11A3">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以命题的形式考查学生对于绘画的造型能力，</w:t>
            </w:r>
            <w:r>
              <w:rPr>
                <w:rFonts w:hint="eastAsia" w:ascii="宋体" w:hAnsi="宋体" w:eastAsia="宋体" w:cs="宋体"/>
                <w:color w:val="000000"/>
                <w:szCs w:val="21"/>
              </w:rPr>
              <w:t>结课作业的内容会根据本学期本课程学生的整体情况进行灵活调整。作业成绩</w:t>
            </w:r>
            <w:r>
              <w:rPr>
                <w:rFonts w:hint="eastAsia" w:ascii="宋体" w:hAnsi="宋体" w:eastAsia="宋体" w:cs="宋体"/>
                <w:szCs w:val="21"/>
              </w:rPr>
              <w:t>按60%计入总成绩。</w:t>
            </w:r>
          </w:p>
        </w:tc>
        <w:tc>
          <w:tcPr>
            <w:tcW w:w="1470" w:type="dxa"/>
            <w:vAlign w:val="center"/>
          </w:tcPr>
          <w:p w14:paraId="5D2FBD2E">
            <w:pPr>
              <w:jc w:val="center"/>
              <w:rPr>
                <w:rFonts w:ascii="Times New Roman" w:hAnsi="Times New Roman" w:eastAsia="宋体" w:cs="Times New Roman"/>
                <w:szCs w:val="24"/>
              </w:rPr>
            </w:pPr>
            <w:r>
              <w:rPr>
                <w:rFonts w:hint="eastAsia" w:ascii="Times New Roman" w:hAnsi="Times New Roman" w:eastAsia="楷体" w:cs="Times New Roman"/>
                <w:color w:val="000000"/>
                <w:szCs w:val="21"/>
              </w:rPr>
              <w:t>4-3</w:t>
            </w:r>
          </w:p>
        </w:tc>
      </w:tr>
    </w:tbl>
    <w:p w14:paraId="085D4B9E">
      <w:pPr>
        <w:spacing w:line="360" w:lineRule="auto"/>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（三）课程目标及考核方式权重分配表</w:t>
      </w:r>
    </w:p>
    <w:tbl>
      <w:tblPr>
        <w:tblStyle w:val="10"/>
        <w:tblW w:w="9068" w:type="dxa"/>
        <w:tblInd w:w="0" w:type="dxa"/>
        <w:tblLayout w:type="autofit"/>
        <w:tblCellMar>
          <w:top w:w="0" w:type="dxa"/>
          <w:left w:w="108" w:type="dxa"/>
          <w:bottom w:w="0" w:type="dxa"/>
          <w:right w:w="108" w:type="dxa"/>
        </w:tblCellMar>
      </w:tblPr>
      <w:tblGrid>
        <w:gridCol w:w="2516"/>
        <w:gridCol w:w="2126"/>
        <w:gridCol w:w="2268"/>
        <w:gridCol w:w="2158"/>
      </w:tblGrid>
      <w:tr w14:paraId="0691E3C8">
        <w:tblPrEx>
          <w:tblCellMar>
            <w:top w:w="0" w:type="dxa"/>
            <w:left w:w="108" w:type="dxa"/>
            <w:bottom w:w="0" w:type="dxa"/>
            <w:right w:w="108" w:type="dxa"/>
          </w:tblCellMar>
        </w:tblPrEx>
        <w:trPr>
          <w:trHeight w:val="413" w:hRule="atLeast"/>
        </w:trPr>
        <w:tc>
          <w:tcPr>
            <w:tcW w:w="4642"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6F30701F">
            <w:pPr>
              <w:widowControl/>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4426" w:type="dxa"/>
            <w:gridSpan w:val="2"/>
            <w:tcBorders>
              <w:top w:val="single" w:color="auto" w:sz="8" w:space="0"/>
              <w:left w:val="nil"/>
              <w:bottom w:val="single" w:color="auto" w:sz="8" w:space="0"/>
              <w:right w:val="single" w:color="000000" w:sz="8" w:space="0"/>
            </w:tcBorders>
            <w:shd w:val="clear" w:color="auto" w:fill="auto"/>
            <w:vAlign w:val="center"/>
          </w:tcPr>
          <w:p w14:paraId="136D21FC">
            <w:pPr>
              <w:widowControl/>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56396274">
        <w:tblPrEx>
          <w:tblCellMar>
            <w:top w:w="0" w:type="dxa"/>
            <w:left w:w="108" w:type="dxa"/>
            <w:bottom w:w="0" w:type="dxa"/>
            <w:right w:w="108" w:type="dxa"/>
          </w:tblCellMar>
        </w:tblPrEx>
        <w:trPr>
          <w:trHeight w:val="356" w:hRule="atLeast"/>
        </w:trPr>
        <w:tc>
          <w:tcPr>
            <w:tcW w:w="2516" w:type="dxa"/>
            <w:tcBorders>
              <w:top w:val="nil"/>
              <w:left w:val="single" w:color="auto" w:sz="8" w:space="0"/>
              <w:bottom w:val="single" w:color="auto" w:sz="8" w:space="0"/>
              <w:right w:val="single" w:color="auto" w:sz="8" w:space="0"/>
            </w:tcBorders>
            <w:shd w:val="clear" w:color="auto" w:fill="auto"/>
            <w:vAlign w:val="center"/>
          </w:tcPr>
          <w:p w14:paraId="53510675">
            <w:pPr>
              <w:widowControl/>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2126" w:type="dxa"/>
            <w:tcBorders>
              <w:top w:val="nil"/>
              <w:left w:val="nil"/>
              <w:bottom w:val="single" w:color="auto" w:sz="8" w:space="0"/>
              <w:right w:val="single" w:color="auto" w:sz="8" w:space="0"/>
            </w:tcBorders>
            <w:shd w:val="clear" w:color="auto" w:fill="auto"/>
            <w:vAlign w:val="center"/>
          </w:tcPr>
          <w:p w14:paraId="57A3D282">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268" w:type="dxa"/>
            <w:tcBorders>
              <w:top w:val="nil"/>
              <w:left w:val="nil"/>
              <w:bottom w:val="single" w:color="auto" w:sz="8" w:space="0"/>
              <w:right w:val="single" w:color="auto" w:sz="8" w:space="0"/>
            </w:tcBorders>
            <w:shd w:val="clear" w:color="auto" w:fill="auto"/>
            <w:vAlign w:val="center"/>
          </w:tcPr>
          <w:p w14:paraId="3AD8DD6F">
            <w:pPr>
              <w:widowControl/>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2158" w:type="dxa"/>
            <w:tcBorders>
              <w:top w:val="nil"/>
              <w:left w:val="nil"/>
              <w:bottom w:val="single" w:color="auto" w:sz="8" w:space="0"/>
              <w:right w:val="single" w:color="auto" w:sz="8" w:space="0"/>
            </w:tcBorders>
            <w:shd w:val="clear" w:color="auto" w:fill="auto"/>
            <w:vAlign w:val="center"/>
          </w:tcPr>
          <w:p w14:paraId="630723C5">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r>
      <w:tr w14:paraId="00C732BD">
        <w:tblPrEx>
          <w:tblCellMar>
            <w:top w:w="0" w:type="dxa"/>
            <w:left w:w="108" w:type="dxa"/>
            <w:bottom w:w="0" w:type="dxa"/>
            <w:right w:w="108" w:type="dxa"/>
          </w:tblCellMar>
        </w:tblPrEx>
        <w:trPr>
          <w:trHeight w:val="340" w:hRule="atLeast"/>
        </w:trPr>
        <w:tc>
          <w:tcPr>
            <w:tcW w:w="2516" w:type="dxa"/>
            <w:vMerge w:val="restart"/>
            <w:tcBorders>
              <w:top w:val="nil"/>
              <w:left w:val="single" w:color="auto" w:sz="8" w:space="0"/>
              <w:bottom w:val="single" w:color="000000" w:sz="8" w:space="0"/>
              <w:right w:val="single" w:color="auto" w:sz="8" w:space="0"/>
            </w:tcBorders>
            <w:shd w:val="clear" w:color="auto" w:fill="auto"/>
            <w:vAlign w:val="center"/>
          </w:tcPr>
          <w:p w14:paraId="772A53F4">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2126" w:type="dxa"/>
            <w:vMerge w:val="restart"/>
            <w:tcBorders>
              <w:top w:val="nil"/>
              <w:left w:val="single" w:color="auto" w:sz="8" w:space="0"/>
              <w:bottom w:val="single" w:color="000000" w:sz="8" w:space="0"/>
              <w:right w:val="single" w:color="auto" w:sz="8" w:space="0"/>
            </w:tcBorders>
            <w:shd w:val="clear" w:color="auto" w:fill="auto"/>
            <w:vAlign w:val="center"/>
          </w:tcPr>
          <w:p w14:paraId="02D48084">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2268" w:type="dxa"/>
            <w:tcBorders>
              <w:top w:val="nil"/>
              <w:left w:val="nil"/>
              <w:bottom w:val="single" w:color="auto" w:sz="8" w:space="0"/>
              <w:right w:val="single" w:color="auto" w:sz="8" w:space="0"/>
            </w:tcBorders>
            <w:shd w:val="clear" w:color="auto" w:fill="auto"/>
            <w:vAlign w:val="center"/>
          </w:tcPr>
          <w:p w14:paraId="16ABFE6A">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158" w:type="dxa"/>
            <w:tcBorders>
              <w:top w:val="nil"/>
              <w:left w:val="nil"/>
              <w:bottom w:val="single" w:color="auto" w:sz="8" w:space="0"/>
              <w:right w:val="single" w:color="auto" w:sz="8" w:space="0"/>
            </w:tcBorders>
            <w:shd w:val="clear" w:color="auto" w:fill="auto"/>
            <w:vAlign w:val="center"/>
          </w:tcPr>
          <w:p w14:paraId="0F253412">
            <w:pPr>
              <w:widowControl/>
              <w:jc w:val="center"/>
              <w:rPr>
                <w:rFonts w:ascii="宋体" w:hAnsi="宋体" w:eastAsia="宋体" w:cs="Times New Roman"/>
                <w:kern w:val="0"/>
                <w:szCs w:val="21"/>
              </w:rPr>
            </w:pPr>
            <w:r>
              <w:rPr>
                <w:rFonts w:hint="eastAsia" w:ascii="宋体" w:hAnsi="宋体" w:eastAsia="宋体" w:cs="Times New Roman"/>
                <w:kern w:val="0"/>
                <w:szCs w:val="21"/>
              </w:rPr>
              <w:t>50%</w:t>
            </w:r>
            <w:r>
              <w:rPr>
                <w:rFonts w:ascii="宋体" w:hAnsi="宋体" w:eastAsia="宋体" w:cs="Times New Roman"/>
                <w:kern w:val="0"/>
                <w:szCs w:val="21"/>
              </w:rPr>
              <w:t xml:space="preserve"> </w:t>
            </w:r>
          </w:p>
        </w:tc>
      </w:tr>
      <w:tr w14:paraId="5C6B1A40">
        <w:tblPrEx>
          <w:tblCellMar>
            <w:top w:w="0" w:type="dxa"/>
            <w:left w:w="108" w:type="dxa"/>
            <w:bottom w:w="0" w:type="dxa"/>
            <w:right w:w="108" w:type="dxa"/>
          </w:tblCellMar>
        </w:tblPrEx>
        <w:trPr>
          <w:trHeight w:val="340" w:hRule="atLeast"/>
        </w:trPr>
        <w:tc>
          <w:tcPr>
            <w:tcW w:w="2516" w:type="dxa"/>
            <w:vMerge w:val="continue"/>
            <w:tcBorders>
              <w:top w:val="nil"/>
              <w:left w:val="single" w:color="auto" w:sz="8" w:space="0"/>
              <w:bottom w:val="single" w:color="000000" w:sz="8" w:space="0"/>
              <w:right w:val="single" w:color="auto" w:sz="8" w:space="0"/>
            </w:tcBorders>
            <w:shd w:val="clear" w:color="auto" w:fill="auto"/>
            <w:vAlign w:val="center"/>
          </w:tcPr>
          <w:p w14:paraId="401C2BB1">
            <w:pPr>
              <w:widowControl/>
              <w:jc w:val="left"/>
              <w:rPr>
                <w:rFonts w:ascii="宋体" w:hAnsi="宋体" w:eastAsia="宋体" w:cs="Times New Roman"/>
                <w:kern w:val="0"/>
                <w:szCs w:val="21"/>
              </w:rPr>
            </w:pPr>
          </w:p>
        </w:tc>
        <w:tc>
          <w:tcPr>
            <w:tcW w:w="2126" w:type="dxa"/>
            <w:vMerge w:val="continue"/>
            <w:tcBorders>
              <w:top w:val="nil"/>
              <w:left w:val="single" w:color="auto" w:sz="8" w:space="0"/>
              <w:bottom w:val="single" w:color="000000" w:sz="8" w:space="0"/>
              <w:right w:val="single" w:color="auto" w:sz="8" w:space="0"/>
            </w:tcBorders>
            <w:shd w:val="clear" w:color="auto" w:fill="auto"/>
            <w:vAlign w:val="center"/>
          </w:tcPr>
          <w:p w14:paraId="0548DE3B">
            <w:pPr>
              <w:widowControl/>
              <w:jc w:val="left"/>
              <w:rPr>
                <w:rFonts w:ascii="宋体" w:hAnsi="宋体" w:eastAsia="宋体" w:cs="Times New Roman"/>
                <w:kern w:val="0"/>
                <w:szCs w:val="21"/>
              </w:rPr>
            </w:pPr>
          </w:p>
        </w:tc>
        <w:tc>
          <w:tcPr>
            <w:tcW w:w="2268" w:type="dxa"/>
            <w:tcBorders>
              <w:top w:val="nil"/>
              <w:left w:val="nil"/>
              <w:bottom w:val="single" w:color="auto" w:sz="8" w:space="0"/>
              <w:right w:val="single" w:color="auto" w:sz="8" w:space="0"/>
            </w:tcBorders>
            <w:shd w:val="clear" w:color="auto" w:fill="auto"/>
            <w:vAlign w:val="center"/>
          </w:tcPr>
          <w:p w14:paraId="31601617">
            <w:pPr>
              <w:widowControl/>
              <w:jc w:val="center"/>
              <w:rPr>
                <w:rFonts w:ascii="宋体" w:hAnsi="宋体" w:eastAsia="宋体" w:cs="Times New Roman"/>
                <w:kern w:val="0"/>
                <w:szCs w:val="21"/>
              </w:rPr>
            </w:pPr>
            <w:r>
              <w:rPr>
                <w:rFonts w:hint="eastAsia" w:ascii="宋体" w:hAnsi="宋体" w:eastAsia="宋体" w:cs="Times New Roman"/>
                <w:kern w:val="0"/>
                <w:szCs w:val="21"/>
              </w:rPr>
              <w:t>作业</w:t>
            </w:r>
          </w:p>
        </w:tc>
        <w:tc>
          <w:tcPr>
            <w:tcW w:w="2158" w:type="dxa"/>
            <w:tcBorders>
              <w:top w:val="nil"/>
              <w:left w:val="nil"/>
              <w:bottom w:val="single" w:color="auto" w:sz="8" w:space="0"/>
              <w:right w:val="single" w:color="auto" w:sz="8" w:space="0"/>
            </w:tcBorders>
            <w:shd w:val="clear" w:color="auto" w:fill="auto"/>
            <w:vAlign w:val="center"/>
          </w:tcPr>
          <w:p w14:paraId="2FCE1B5D">
            <w:pPr>
              <w:widowControl/>
              <w:jc w:val="center"/>
              <w:rPr>
                <w:rFonts w:ascii="宋体" w:hAnsi="宋体" w:eastAsia="宋体" w:cs="Times New Roman"/>
                <w:kern w:val="0"/>
                <w:szCs w:val="21"/>
              </w:rPr>
            </w:pPr>
            <w:r>
              <w:rPr>
                <w:rFonts w:hint="eastAsia" w:ascii="宋体" w:hAnsi="宋体" w:eastAsia="宋体" w:cs="Times New Roman"/>
                <w:kern w:val="0"/>
                <w:szCs w:val="21"/>
              </w:rPr>
              <w:t>50%</w:t>
            </w:r>
          </w:p>
        </w:tc>
      </w:tr>
      <w:tr w14:paraId="2B593121">
        <w:tblPrEx>
          <w:tblCellMar>
            <w:top w:w="0" w:type="dxa"/>
            <w:left w:w="108" w:type="dxa"/>
            <w:bottom w:w="0" w:type="dxa"/>
            <w:right w:w="108" w:type="dxa"/>
          </w:tblCellMar>
        </w:tblPrEx>
        <w:trPr>
          <w:trHeight w:val="340" w:hRule="atLeast"/>
        </w:trPr>
        <w:tc>
          <w:tcPr>
            <w:tcW w:w="2516" w:type="dxa"/>
            <w:vMerge w:val="restart"/>
            <w:tcBorders>
              <w:top w:val="nil"/>
              <w:left w:val="single" w:color="auto" w:sz="8" w:space="0"/>
              <w:bottom w:val="single" w:color="000000" w:sz="8" w:space="0"/>
              <w:right w:val="single" w:color="auto" w:sz="8" w:space="0"/>
            </w:tcBorders>
            <w:shd w:val="clear" w:color="auto" w:fill="auto"/>
            <w:vAlign w:val="center"/>
          </w:tcPr>
          <w:p w14:paraId="1C184EBF">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2126" w:type="dxa"/>
            <w:vMerge w:val="restart"/>
            <w:tcBorders>
              <w:top w:val="nil"/>
              <w:left w:val="single" w:color="auto" w:sz="8" w:space="0"/>
              <w:bottom w:val="single" w:color="000000" w:sz="8" w:space="0"/>
              <w:right w:val="single" w:color="auto" w:sz="8" w:space="0"/>
            </w:tcBorders>
            <w:shd w:val="clear" w:color="auto" w:fill="auto"/>
            <w:vAlign w:val="center"/>
          </w:tcPr>
          <w:p w14:paraId="027711A5">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2268" w:type="dxa"/>
            <w:tcBorders>
              <w:top w:val="nil"/>
              <w:left w:val="nil"/>
              <w:bottom w:val="single" w:color="auto" w:sz="8" w:space="0"/>
              <w:right w:val="single" w:color="auto" w:sz="8" w:space="0"/>
            </w:tcBorders>
            <w:shd w:val="clear" w:color="auto" w:fill="auto"/>
            <w:vAlign w:val="center"/>
          </w:tcPr>
          <w:p w14:paraId="604E0DB9">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158" w:type="dxa"/>
            <w:tcBorders>
              <w:top w:val="nil"/>
              <w:left w:val="nil"/>
              <w:bottom w:val="single" w:color="auto" w:sz="8" w:space="0"/>
              <w:right w:val="single" w:color="auto" w:sz="8" w:space="0"/>
            </w:tcBorders>
            <w:shd w:val="clear" w:color="auto" w:fill="auto"/>
            <w:vAlign w:val="center"/>
          </w:tcPr>
          <w:p w14:paraId="4C1E3C06">
            <w:pPr>
              <w:widowControl/>
              <w:jc w:val="center"/>
              <w:rPr>
                <w:rFonts w:ascii="宋体" w:hAnsi="宋体" w:eastAsia="宋体" w:cs="Times New Roman"/>
                <w:kern w:val="0"/>
                <w:szCs w:val="21"/>
              </w:rPr>
            </w:pPr>
            <w:r>
              <w:rPr>
                <w:rFonts w:hint="eastAsia" w:ascii="宋体" w:hAnsi="宋体" w:eastAsia="宋体" w:cs="Times New Roman"/>
                <w:kern w:val="0"/>
                <w:szCs w:val="21"/>
              </w:rPr>
              <w:t>50%</w:t>
            </w:r>
            <w:r>
              <w:rPr>
                <w:rFonts w:ascii="宋体" w:hAnsi="宋体" w:eastAsia="宋体" w:cs="Times New Roman"/>
                <w:kern w:val="0"/>
                <w:szCs w:val="21"/>
              </w:rPr>
              <w:t xml:space="preserve"> </w:t>
            </w:r>
          </w:p>
        </w:tc>
      </w:tr>
      <w:tr w14:paraId="00E3F708">
        <w:tblPrEx>
          <w:tblCellMar>
            <w:top w:w="0" w:type="dxa"/>
            <w:left w:w="108" w:type="dxa"/>
            <w:bottom w:w="0" w:type="dxa"/>
            <w:right w:w="108" w:type="dxa"/>
          </w:tblCellMar>
        </w:tblPrEx>
        <w:trPr>
          <w:trHeight w:val="340" w:hRule="atLeast"/>
        </w:trPr>
        <w:tc>
          <w:tcPr>
            <w:tcW w:w="2516" w:type="dxa"/>
            <w:vMerge w:val="continue"/>
            <w:tcBorders>
              <w:top w:val="nil"/>
              <w:left w:val="single" w:color="auto" w:sz="8" w:space="0"/>
              <w:bottom w:val="single" w:color="000000" w:sz="8" w:space="0"/>
              <w:right w:val="single" w:color="auto" w:sz="8" w:space="0"/>
            </w:tcBorders>
            <w:shd w:val="clear" w:color="auto" w:fill="auto"/>
            <w:vAlign w:val="center"/>
          </w:tcPr>
          <w:p w14:paraId="0F5CEFDD">
            <w:pPr>
              <w:widowControl/>
              <w:jc w:val="left"/>
              <w:rPr>
                <w:rFonts w:ascii="宋体" w:hAnsi="宋体" w:eastAsia="宋体" w:cs="Times New Roman"/>
                <w:kern w:val="0"/>
                <w:szCs w:val="21"/>
              </w:rPr>
            </w:pPr>
          </w:p>
        </w:tc>
        <w:tc>
          <w:tcPr>
            <w:tcW w:w="2126" w:type="dxa"/>
            <w:vMerge w:val="continue"/>
            <w:tcBorders>
              <w:top w:val="nil"/>
              <w:left w:val="single" w:color="auto" w:sz="8" w:space="0"/>
              <w:bottom w:val="single" w:color="000000" w:sz="8" w:space="0"/>
              <w:right w:val="single" w:color="auto" w:sz="8" w:space="0"/>
            </w:tcBorders>
            <w:shd w:val="clear" w:color="auto" w:fill="auto"/>
            <w:vAlign w:val="center"/>
          </w:tcPr>
          <w:p w14:paraId="3F785BFA">
            <w:pPr>
              <w:widowControl/>
              <w:jc w:val="left"/>
              <w:rPr>
                <w:rFonts w:ascii="宋体" w:hAnsi="宋体" w:eastAsia="宋体" w:cs="Times New Roman"/>
                <w:kern w:val="0"/>
                <w:szCs w:val="21"/>
              </w:rPr>
            </w:pPr>
          </w:p>
        </w:tc>
        <w:tc>
          <w:tcPr>
            <w:tcW w:w="2268" w:type="dxa"/>
            <w:tcBorders>
              <w:top w:val="nil"/>
              <w:left w:val="nil"/>
              <w:bottom w:val="single" w:color="auto" w:sz="8" w:space="0"/>
              <w:right w:val="single" w:color="auto" w:sz="8" w:space="0"/>
            </w:tcBorders>
            <w:shd w:val="clear" w:color="auto" w:fill="auto"/>
            <w:vAlign w:val="center"/>
          </w:tcPr>
          <w:p w14:paraId="01594EB1">
            <w:pPr>
              <w:widowControl/>
              <w:jc w:val="center"/>
              <w:rPr>
                <w:rFonts w:ascii="宋体" w:hAnsi="宋体" w:eastAsia="宋体" w:cs="Times New Roman"/>
                <w:kern w:val="0"/>
                <w:szCs w:val="21"/>
              </w:rPr>
            </w:pPr>
            <w:r>
              <w:rPr>
                <w:rFonts w:hint="eastAsia" w:ascii="宋体" w:hAnsi="宋体" w:eastAsia="宋体" w:cs="Times New Roman"/>
                <w:kern w:val="0"/>
                <w:szCs w:val="21"/>
              </w:rPr>
              <w:t>作业</w:t>
            </w:r>
          </w:p>
        </w:tc>
        <w:tc>
          <w:tcPr>
            <w:tcW w:w="2158" w:type="dxa"/>
            <w:tcBorders>
              <w:top w:val="nil"/>
              <w:left w:val="nil"/>
              <w:bottom w:val="single" w:color="auto" w:sz="8" w:space="0"/>
              <w:right w:val="single" w:color="auto" w:sz="8" w:space="0"/>
            </w:tcBorders>
            <w:shd w:val="clear" w:color="auto" w:fill="auto"/>
            <w:vAlign w:val="center"/>
          </w:tcPr>
          <w:p w14:paraId="2CD138A0">
            <w:pPr>
              <w:widowControl/>
              <w:jc w:val="center"/>
              <w:rPr>
                <w:rFonts w:ascii="宋体" w:hAnsi="宋体" w:eastAsia="宋体" w:cs="Times New Roman"/>
                <w:kern w:val="0"/>
                <w:szCs w:val="21"/>
              </w:rPr>
            </w:pPr>
            <w:r>
              <w:rPr>
                <w:rFonts w:hint="eastAsia" w:ascii="宋体" w:hAnsi="宋体" w:eastAsia="宋体" w:cs="Times New Roman"/>
                <w:kern w:val="0"/>
                <w:szCs w:val="21"/>
              </w:rPr>
              <w:t>50%</w:t>
            </w:r>
          </w:p>
        </w:tc>
      </w:tr>
      <w:tr w14:paraId="1484ED71">
        <w:tblPrEx>
          <w:tblCellMar>
            <w:top w:w="0" w:type="dxa"/>
            <w:left w:w="108" w:type="dxa"/>
            <w:bottom w:w="0" w:type="dxa"/>
            <w:right w:w="108" w:type="dxa"/>
          </w:tblCellMar>
        </w:tblPrEx>
        <w:trPr>
          <w:trHeight w:val="340" w:hRule="atLeast"/>
        </w:trPr>
        <w:tc>
          <w:tcPr>
            <w:tcW w:w="25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EFF77D">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B7BB448">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2AC955F1">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7696F314">
            <w:pPr>
              <w:widowControl/>
              <w:jc w:val="center"/>
              <w:rPr>
                <w:rFonts w:ascii="宋体" w:hAnsi="宋体" w:eastAsia="宋体" w:cs="Times New Roman"/>
                <w:kern w:val="0"/>
                <w:szCs w:val="21"/>
              </w:rPr>
            </w:pPr>
            <w:r>
              <w:rPr>
                <w:rFonts w:hint="eastAsia" w:ascii="宋体" w:hAnsi="宋体" w:eastAsia="宋体" w:cs="Times New Roman"/>
                <w:kern w:val="0"/>
                <w:szCs w:val="21"/>
              </w:rPr>
              <w:t>50%</w:t>
            </w:r>
          </w:p>
        </w:tc>
      </w:tr>
      <w:tr w14:paraId="5832EFD5">
        <w:tblPrEx>
          <w:tblCellMar>
            <w:top w:w="0" w:type="dxa"/>
            <w:left w:w="108" w:type="dxa"/>
            <w:bottom w:w="0" w:type="dxa"/>
            <w:right w:w="108" w:type="dxa"/>
          </w:tblCellMar>
        </w:tblPrEx>
        <w:trPr>
          <w:trHeight w:val="340" w:hRule="atLeast"/>
        </w:trPr>
        <w:tc>
          <w:tcPr>
            <w:tcW w:w="25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6A417F">
            <w:pPr>
              <w:widowControl/>
              <w:jc w:val="left"/>
              <w:rPr>
                <w:rFonts w:ascii="宋体" w:hAnsi="宋体" w:eastAsia="宋体" w:cs="Times New Roman"/>
                <w:kern w:val="0"/>
                <w:szCs w:val="21"/>
              </w:rPr>
            </w:pP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A1739B">
            <w:pPr>
              <w:widowControl/>
              <w:jc w:val="left"/>
              <w:rPr>
                <w:rFonts w:ascii="宋体" w:hAnsi="宋体" w:eastAsia="宋体" w:cs="Times New Roman"/>
                <w:kern w:val="0"/>
                <w:szCs w:val="21"/>
              </w:rPr>
            </w:pP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4F8CCE62">
            <w:pPr>
              <w:widowControl/>
              <w:jc w:val="center"/>
              <w:rPr>
                <w:rFonts w:ascii="宋体" w:hAnsi="宋体" w:eastAsia="宋体" w:cs="Times New Roman"/>
                <w:kern w:val="0"/>
                <w:szCs w:val="21"/>
              </w:rPr>
            </w:pPr>
            <w:r>
              <w:rPr>
                <w:rFonts w:hint="eastAsia" w:ascii="宋体" w:hAnsi="宋体" w:eastAsia="宋体" w:cs="Times New Roman"/>
                <w:kern w:val="0"/>
                <w:szCs w:val="21"/>
              </w:rPr>
              <w:t>作业</w:t>
            </w:r>
          </w:p>
        </w:tc>
        <w:tc>
          <w:tcPr>
            <w:tcW w:w="2158" w:type="dxa"/>
            <w:tcBorders>
              <w:top w:val="single" w:color="auto" w:sz="4" w:space="0"/>
              <w:left w:val="single" w:color="auto" w:sz="4" w:space="0"/>
              <w:bottom w:val="single" w:color="auto" w:sz="4" w:space="0"/>
              <w:right w:val="single" w:color="auto" w:sz="4" w:space="0"/>
            </w:tcBorders>
            <w:shd w:val="clear" w:color="auto" w:fill="auto"/>
            <w:vAlign w:val="center"/>
          </w:tcPr>
          <w:p w14:paraId="632B1CC4">
            <w:pPr>
              <w:widowControl/>
              <w:jc w:val="center"/>
              <w:rPr>
                <w:rFonts w:ascii="宋体" w:hAnsi="宋体" w:eastAsia="宋体" w:cs="Times New Roman"/>
                <w:kern w:val="0"/>
                <w:szCs w:val="21"/>
              </w:rPr>
            </w:pPr>
            <w:r>
              <w:rPr>
                <w:rFonts w:hint="eastAsia" w:ascii="宋体" w:hAnsi="宋体" w:eastAsia="宋体" w:cs="Times New Roman"/>
                <w:kern w:val="0"/>
                <w:szCs w:val="21"/>
              </w:rPr>
              <w:t>50%</w:t>
            </w:r>
          </w:p>
        </w:tc>
      </w:tr>
      <w:tr w14:paraId="544361F9">
        <w:tblPrEx>
          <w:tblCellMar>
            <w:top w:w="0" w:type="dxa"/>
            <w:left w:w="108" w:type="dxa"/>
            <w:bottom w:w="0" w:type="dxa"/>
            <w:right w:w="108" w:type="dxa"/>
          </w:tblCellMar>
        </w:tblPrEx>
        <w:trPr>
          <w:trHeight w:val="549" w:hRule="atLeast"/>
        </w:trPr>
        <w:tc>
          <w:tcPr>
            <w:tcW w:w="2516" w:type="dxa"/>
            <w:tcBorders>
              <w:top w:val="single" w:color="auto" w:sz="4" w:space="0"/>
              <w:left w:val="single" w:color="auto" w:sz="4" w:space="0"/>
              <w:bottom w:val="single" w:color="auto" w:sz="4" w:space="0"/>
              <w:right w:val="single" w:color="auto" w:sz="4" w:space="0"/>
            </w:tcBorders>
            <w:shd w:val="clear" w:color="auto" w:fill="auto"/>
            <w:vAlign w:val="center"/>
          </w:tcPr>
          <w:p w14:paraId="1E28BBB9">
            <w:pPr>
              <w:widowControl/>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A43C661">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44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0C823B">
            <w:pPr>
              <w:widowControl/>
              <w:jc w:val="center"/>
              <w:rPr>
                <w:rFonts w:ascii="宋体" w:hAnsi="宋体" w:eastAsia="宋体" w:cs="Times New Roman"/>
                <w:kern w:val="0"/>
                <w:szCs w:val="21"/>
              </w:rPr>
            </w:pPr>
          </w:p>
        </w:tc>
      </w:tr>
    </w:tbl>
    <w:p w14:paraId="2F8A4A37">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w:t>
      </w:r>
      <w:r>
        <w:rPr>
          <w:rFonts w:hint="eastAsia" w:ascii="Times New Roman" w:hAnsi="Times New Roman" w:eastAsia="宋体" w:cs="Times New Roman"/>
          <w:sz w:val="24"/>
          <w:szCs w:val="22"/>
        </w:rPr>
        <w:t>四</w:t>
      </w:r>
      <w:r>
        <w:rPr>
          <w:rFonts w:ascii="Times New Roman" w:hAnsi="Times New Roman" w:eastAsia="宋体" w:cs="Times New Roman"/>
          <w:sz w:val="24"/>
          <w:szCs w:val="22"/>
        </w:rPr>
        <w:t>）所有课程目标均</w:t>
      </w:r>
      <w:r>
        <w:rPr>
          <w:rFonts w:hint="eastAsia" w:ascii="Times New Roman" w:hAnsi="Times New Roman" w:eastAsia="宋体" w:cs="Times New Roman"/>
          <w:sz w:val="24"/>
          <w:szCs w:val="22"/>
        </w:rPr>
        <w:t>需</w:t>
      </w:r>
      <w:r>
        <w:rPr>
          <w:rFonts w:ascii="Times New Roman" w:hAnsi="Times New Roman" w:eastAsia="宋体" w:cs="Times New Roman"/>
          <w:sz w:val="24"/>
          <w:szCs w:val="22"/>
        </w:rPr>
        <w:t>大于等于0.6，否则总评成绩不及格，需要补考或重</w:t>
      </w:r>
      <w:r>
        <w:rPr>
          <w:rFonts w:hint="eastAsia" w:ascii="Times New Roman" w:hAnsi="Times New Roman" w:eastAsia="宋体" w:cs="Times New Roman"/>
          <w:sz w:val="24"/>
          <w:szCs w:val="22"/>
        </w:rPr>
        <w:t>修。</w:t>
      </w:r>
    </w:p>
    <w:p w14:paraId="482130E0">
      <w:pPr>
        <w:spacing w:line="360" w:lineRule="auto"/>
        <w:ind w:firstLine="562" w:firstLineChars="200"/>
        <w:outlineLvl w:val="0"/>
        <w:rPr>
          <w:rFonts w:ascii="Times New Roman" w:hAnsi="Times New Roman" w:eastAsia="宋体" w:cs="Times New Roman"/>
          <w:b/>
          <w:sz w:val="28"/>
          <w:szCs w:val="28"/>
        </w:rPr>
      </w:pPr>
      <w:bookmarkStart w:id="2284" w:name="_Toc5511"/>
      <w:bookmarkStart w:id="2285" w:name="_Toc12833"/>
      <w:bookmarkStart w:id="2286" w:name="_Toc23291"/>
      <w:bookmarkStart w:id="2287" w:name="_Toc10317"/>
      <w:bookmarkStart w:id="2288" w:name="_Toc32202"/>
      <w:bookmarkStart w:id="2289" w:name="_Toc31565"/>
      <w:bookmarkStart w:id="2290" w:name="_Toc550"/>
      <w:r>
        <w:rPr>
          <w:rFonts w:hint="eastAsia" w:ascii="Times New Roman" w:hAnsi="Times New Roman" w:eastAsia="宋体" w:cs="Times New Roman"/>
          <w:b/>
          <w:sz w:val="28"/>
          <w:szCs w:val="28"/>
        </w:rPr>
        <w:t>七</w:t>
      </w:r>
      <w:r>
        <w:rPr>
          <w:rFonts w:ascii="Times New Roman" w:hAnsi="Times New Roman" w:eastAsia="宋体" w:cs="Times New Roman"/>
          <w:b/>
          <w:sz w:val="28"/>
          <w:szCs w:val="28"/>
        </w:rPr>
        <w:t>、</w:t>
      </w:r>
      <w:r>
        <w:rPr>
          <w:rFonts w:hint="eastAsia" w:ascii="Times New Roman" w:hAnsi="Times New Roman" w:eastAsia="宋体" w:cs="Times New Roman"/>
          <w:b/>
          <w:sz w:val="28"/>
          <w:szCs w:val="28"/>
        </w:rPr>
        <w:t>有关说明</w:t>
      </w:r>
      <w:bookmarkEnd w:id="2284"/>
      <w:bookmarkEnd w:id="2285"/>
      <w:bookmarkEnd w:id="2286"/>
      <w:bookmarkEnd w:id="2287"/>
      <w:bookmarkEnd w:id="2288"/>
      <w:bookmarkEnd w:id="2289"/>
      <w:bookmarkEnd w:id="2290"/>
    </w:p>
    <w:p w14:paraId="225F6350">
      <w:pPr>
        <w:spacing w:line="360" w:lineRule="auto"/>
        <w:ind w:firstLine="482" w:firstLineChars="200"/>
        <w:outlineLvl w:val="1"/>
        <w:rPr>
          <w:rFonts w:ascii="Times New Roman" w:hAnsi="Times New Roman" w:eastAsia="宋体" w:cs="Times New Roman"/>
          <w:b/>
          <w:color w:val="000000"/>
          <w:sz w:val="24"/>
          <w:szCs w:val="24"/>
        </w:rPr>
      </w:pPr>
      <w:bookmarkStart w:id="2291" w:name="_Toc30477"/>
      <w:r>
        <w:rPr>
          <w:rFonts w:hint="eastAsia" w:ascii="Times New Roman" w:hAnsi="Times New Roman" w:eastAsia="宋体" w:cs="Times New Roman"/>
          <w:b/>
          <w:color w:val="000000"/>
          <w:sz w:val="24"/>
          <w:szCs w:val="24"/>
        </w:rPr>
        <w:t>（一）持续改进</w:t>
      </w:r>
      <w:bookmarkEnd w:id="2291"/>
    </w:p>
    <w:p w14:paraId="6E9F0B56">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本课程根据学生作业、课堂讨论、实验环节、平时考核情况和学生、教学督导等</w:t>
      </w:r>
      <w:r>
        <w:rPr>
          <w:rFonts w:hint="eastAsia" w:ascii="Times New Roman" w:hAnsi="Times New Roman" w:eastAsia="宋体" w:cs="Times New Roman"/>
          <w:sz w:val="24"/>
          <w:szCs w:val="22"/>
        </w:rPr>
        <w:t>的</w:t>
      </w:r>
      <w:r>
        <w:rPr>
          <w:rFonts w:ascii="Times New Roman" w:hAnsi="Times New Roman" w:eastAsia="宋体" w:cs="Times New Roman"/>
          <w:sz w:val="24"/>
          <w:szCs w:val="22"/>
        </w:rPr>
        <w:t>反馈，及时对教学中</w:t>
      </w:r>
      <w:r>
        <w:rPr>
          <w:rFonts w:hint="eastAsia" w:ascii="Times New Roman" w:hAnsi="Times New Roman" w:eastAsia="宋体" w:cs="Times New Roman"/>
          <w:sz w:val="24"/>
          <w:szCs w:val="22"/>
        </w:rPr>
        <w:t>的</w:t>
      </w:r>
      <w:r>
        <w:rPr>
          <w:rFonts w:ascii="Times New Roman" w:hAnsi="Times New Roman" w:eastAsia="宋体" w:cs="Times New Roman"/>
          <w:sz w:val="24"/>
          <w:szCs w:val="22"/>
        </w:rPr>
        <w:t>不足之处进行改进，并在下一轮课程教学中</w:t>
      </w:r>
      <w:r>
        <w:rPr>
          <w:rFonts w:hint="eastAsia" w:ascii="Times New Roman" w:hAnsi="Times New Roman" w:eastAsia="宋体" w:cs="Times New Roman"/>
          <w:sz w:val="24"/>
          <w:szCs w:val="22"/>
        </w:rPr>
        <w:t>整改完善</w:t>
      </w:r>
      <w:r>
        <w:rPr>
          <w:rFonts w:ascii="Times New Roman" w:hAnsi="Times New Roman" w:eastAsia="宋体" w:cs="Times New Roman"/>
          <w:sz w:val="24"/>
          <w:szCs w:val="22"/>
        </w:rPr>
        <w:t>，确保相应毕业要求指标点达成。</w:t>
      </w:r>
    </w:p>
    <w:p w14:paraId="277DDFF9">
      <w:pPr>
        <w:spacing w:line="360" w:lineRule="auto"/>
        <w:ind w:firstLine="482" w:firstLineChars="200"/>
        <w:outlineLvl w:val="1"/>
        <w:rPr>
          <w:rFonts w:ascii="Times New Roman" w:hAnsi="Times New Roman" w:eastAsia="宋体" w:cs="Times New Roman"/>
          <w:b/>
          <w:color w:val="000000"/>
          <w:sz w:val="24"/>
          <w:szCs w:val="24"/>
        </w:rPr>
      </w:pPr>
      <w:bookmarkStart w:id="2292" w:name="_Toc31475"/>
      <w:r>
        <w:rPr>
          <w:rFonts w:hint="eastAsia" w:ascii="Times New Roman" w:hAnsi="Times New Roman" w:eastAsia="宋体" w:cs="Times New Roman"/>
          <w:b/>
          <w:color w:val="000000"/>
          <w:sz w:val="24"/>
          <w:szCs w:val="24"/>
        </w:rPr>
        <w:t>（二）</w:t>
      </w:r>
      <w:r>
        <w:rPr>
          <w:rFonts w:ascii="Times New Roman" w:hAnsi="Times New Roman" w:eastAsia="宋体" w:cs="Times New Roman"/>
          <w:b/>
          <w:color w:val="000000"/>
          <w:sz w:val="24"/>
          <w:szCs w:val="24"/>
        </w:rPr>
        <w:t>参考书目及学习资料</w:t>
      </w:r>
      <w:bookmarkEnd w:id="2292"/>
    </w:p>
    <w:p w14:paraId="3155544F">
      <w:pPr>
        <w:spacing w:line="360" w:lineRule="auto"/>
        <w:ind w:firstLine="480" w:firstLineChars="200"/>
        <w:outlineLvl w:val="2"/>
        <w:rPr>
          <w:rFonts w:ascii="宋体" w:hAnsi="宋体" w:eastAsia="宋体" w:cs="Times New Roman"/>
          <w:sz w:val="24"/>
          <w:szCs w:val="22"/>
        </w:rPr>
      </w:pPr>
      <w:bookmarkStart w:id="2293" w:name="_Toc15349"/>
      <w:r>
        <w:rPr>
          <w:rFonts w:hint="eastAsia" w:ascii="宋体" w:hAnsi="宋体" w:eastAsia="宋体" w:cs="Times New Roman"/>
          <w:sz w:val="24"/>
          <w:szCs w:val="22"/>
        </w:rPr>
        <w:t>1．教材</w:t>
      </w:r>
      <w:bookmarkEnd w:id="2293"/>
    </w:p>
    <w:p w14:paraId="45B5F3B1">
      <w:pPr>
        <w:spacing w:line="360" w:lineRule="auto"/>
        <w:ind w:firstLine="480" w:firstLineChars="200"/>
        <w:rPr>
          <w:rFonts w:ascii="宋体" w:hAnsi="宋体" w:eastAsia="宋体" w:cs="Times New Roman"/>
          <w:bCs/>
          <w:kern w:val="0"/>
          <w:sz w:val="24"/>
          <w:szCs w:val="24"/>
        </w:rPr>
      </w:pPr>
      <w:r>
        <w:rPr>
          <w:rFonts w:hint="eastAsia" w:ascii="Times New Roman" w:hAnsi="Times New Roman" w:eastAsia="宋体" w:cs="Times New Roman"/>
          <w:sz w:val="24"/>
          <w:szCs w:val="24"/>
        </w:rPr>
        <w:t>李家友</w:t>
      </w:r>
      <w:r>
        <w:rPr>
          <w:rFonts w:hint="eastAsia" w:ascii="宋体" w:hAnsi="宋体" w:eastAsia="宋体" w:cs="Times New Roman"/>
          <w:bCs/>
          <w:kern w:val="0"/>
          <w:sz w:val="24"/>
          <w:szCs w:val="24"/>
        </w:rPr>
        <w:t xml:space="preserve">. </w:t>
      </w:r>
      <w:r>
        <w:rPr>
          <w:rFonts w:hint="eastAsia" w:ascii="Times New Roman" w:hAnsi="Times New Roman" w:eastAsia="宋体" w:cs="Times New Roman"/>
          <w:sz w:val="24"/>
          <w:szCs w:val="24"/>
        </w:rPr>
        <w:t>绘画基础2000例</w:t>
      </w:r>
      <w:r>
        <w:rPr>
          <w:rFonts w:hint="eastAsia" w:ascii="宋体" w:hAnsi="宋体" w:eastAsia="宋体" w:cs="Times New Roman"/>
          <w:bCs/>
          <w:kern w:val="0"/>
          <w:sz w:val="24"/>
          <w:szCs w:val="24"/>
        </w:rPr>
        <w:t xml:space="preserve">. </w:t>
      </w:r>
      <w:r>
        <w:rPr>
          <w:rFonts w:hint="eastAsia" w:ascii="Times New Roman" w:hAnsi="Times New Roman" w:eastAsia="宋体" w:cs="Times New Roman"/>
          <w:sz w:val="24"/>
          <w:szCs w:val="24"/>
        </w:rPr>
        <w:t>重庆：重庆出版社</w:t>
      </w:r>
      <w:r>
        <w:rPr>
          <w:rFonts w:hint="eastAsia" w:ascii="宋体" w:hAnsi="宋体" w:eastAsia="宋体" w:cs="Times New Roman"/>
          <w:bCs/>
          <w:kern w:val="0"/>
          <w:sz w:val="24"/>
          <w:szCs w:val="24"/>
        </w:rPr>
        <w:t xml:space="preserve">. </w:t>
      </w:r>
      <w:r>
        <w:rPr>
          <w:rFonts w:ascii="Times New Roman" w:hAnsi="Times New Roman" w:eastAsia="宋体" w:cs="Times New Roman"/>
          <w:sz w:val="24"/>
          <w:szCs w:val="24"/>
        </w:rPr>
        <w:t>201</w:t>
      </w:r>
      <w:r>
        <w:rPr>
          <w:rFonts w:hint="eastAsia" w:ascii="Times New Roman" w:hAnsi="Times New Roman" w:eastAsia="宋体" w:cs="Times New Roman"/>
          <w:sz w:val="24"/>
          <w:szCs w:val="24"/>
        </w:rPr>
        <w:t>6年</w:t>
      </w:r>
      <w:r>
        <w:rPr>
          <w:rFonts w:hint="eastAsia" w:ascii="宋体" w:hAnsi="宋体" w:eastAsia="宋体" w:cs="Times New Roman"/>
          <w:bCs/>
          <w:kern w:val="0"/>
          <w:sz w:val="24"/>
          <w:szCs w:val="24"/>
        </w:rPr>
        <w:t>.</w:t>
      </w:r>
    </w:p>
    <w:p w14:paraId="63C5136F">
      <w:pPr>
        <w:spacing w:line="360" w:lineRule="auto"/>
        <w:ind w:firstLine="420" w:firstLineChars="200"/>
        <w:rPr>
          <w:rFonts w:ascii="Times New Roman" w:hAnsi="Times New Roman" w:eastAsia="宋体" w:cs="Times New Roman"/>
          <w:kern w:val="0"/>
          <w:sz w:val="24"/>
          <w:szCs w:val="24"/>
          <w:lang w:eastAsia="zh-Hans"/>
        </w:rPr>
      </w:pPr>
      <w:r>
        <w:rPr>
          <w:rFonts w:ascii="等线" w:hAnsi="等线" w:eastAsia="等线" w:cs="Times New Roman"/>
          <w:szCs w:val="22"/>
        </w:rPr>
        <w:fldChar w:fldCharType="begin"/>
      </w:r>
      <w:r>
        <w:rPr>
          <w:rFonts w:ascii="等线" w:hAnsi="等线" w:eastAsia="等线" w:cs="Times New Roman"/>
          <w:szCs w:val="22"/>
        </w:rPr>
        <w:instrText xml:space="preserve"> HYPERLINK "https://book.douban.com/search/%E6%B1%A4%E5%A7%86%C2%B7%E7%8F%AD%E5%85%8B%E7%BD%97%E5%A4%AB%E7%89%B9" </w:instrText>
      </w:r>
      <w:r>
        <w:rPr>
          <w:rFonts w:ascii="等线" w:hAnsi="等线" w:eastAsia="等线" w:cs="Times New Roman"/>
          <w:szCs w:val="22"/>
        </w:rPr>
        <w:fldChar w:fldCharType="separate"/>
      </w:r>
      <w:r>
        <w:rPr>
          <w:rFonts w:hint="eastAsia" w:ascii="Times New Roman" w:hAnsi="Times New Roman" w:eastAsia="宋体" w:cs="Times New Roman"/>
          <w:kern w:val="0"/>
          <w:sz w:val="24"/>
          <w:szCs w:val="24"/>
        </w:rPr>
        <w:t>汤姆·班克罗夫特</w:t>
      </w:r>
      <w:r>
        <w:rPr>
          <w:rFonts w:hint="eastAsia"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lang w:eastAsia="zh-Hans"/>
        </w:rPr>
        <w:t>，《动画角色设计》，清华大学出版社，</w:t>
      </w:r>
      <w:r>
        <w:rPr>
          <w:rFonts w:ascii="Times New Roman" w:hAnsi="Times New Roman" w:eastAsia="宋体" w:cs="Times New Roman"/>
          <w:kern w:val="0"/>
          <w:sz w:val="24"/>
          <w:szCs w:val="24"/>
          <w:lang w:eastAsia="zh-Hans"/>
        </w:rPr>
        <w:t>2014.</w:t>
      </w:r>
    </w:p>
    <w:p w14:paraId="065B7856">
      <w:pPr>
        <w:spacing w:line="360" w:lineRule="auto"/>
        <w:ind w:firstLine="480" w:firstLineChars="200"/>
        <w:rPr>
          <w:rFonts w:ascii="Times New Roman" w:hAnsi="Times New Roman" w:eastAsia="宋体" w:cs="Times New Roman"/>
          <w:kern w:val="0"/>
          <w:sz w:val="24"/>
          <w:szCs w:val="24"/>
          <w:lang w:eastAsia="zh-Hans"/>
        </w:rPr>
      </w:pPr>
      <w:r>
        <w:rPr>
          <w:rFonts w:hint="eastAsia" w:ascii="Times New Roman" w:hAnsi="Times New Roman" w:eastAsia="宋体" w:cs="Times New Roman"/>
          <w:kern w:val="0"/>
          <w:sz w:val="24"/>
          <w:szCs w:val="24"/>
        </w:rPr>
        <w:t>高思,</w:t>
      </w:r>
      <w:r>
        <w:rPr>
          <w:rFonts w:hint="eastAsia"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动画剧本创作（第二版）</w:t>
      </w:r>
      <w:r>
        <w:rPr>
          <w:rFonts w:hint="eastAsia" w:ascii="Times New Roman" w:hAnsi="Times New Roman" w:eastAsia="宋体" w:cs="Times New Roman"/>
          <w:kern w:val="0"/>
          <w:sz w:val="24"/>
          <w:szCs w:val="24"/>
          <w:lang w:eastAsia="zh-Hans"/>
        </w:rPr>
        <w:t>》，清华大学出版社，</w:t>
      </w:r>
      <w:r>
        <w:rPr>
          <w:rFonts w:ascii="Times New Roman" w:hAnsi="Times New Roman" w:eastAsia="宋体" w:cs="Times New Roman"/>
          <w:kern w:val="0"/>
          <w:sz w:val="24"/>
          <w:szCs w:val="24"/>
          <w:lang w:eastAsia="zh-Hans"/>
        </w:rPr>
        <w:t>2017.</w:t>
      </w:r>
    </w:p>
    <w:p w14:paraId="6C6059FF">
      <w:pPr>
        <w:spacing w:line="360" w:lineRule="auto"/>
        <w:ind w:firstLine="480" w:firstLineChars="200"/>
        <w:outlineLvl w:val="2"/>
        <w:rPr>
          <w:rFonts w:ascii="Times New Roman" w:hAnsi="Times New Roman" w:eastAsia="宋体" w:cs="Times New Roman"/>
          <w:b/>
          <w:sz w:val="24"/>
          <w:szCs w:val="24"/>
        </w:rPr>
      </w:pPr>
      <w:bookmarkStart w:id="2294" w:name="_Toc1218"/>
      <w:r>
        <w:rPr>
          <w:rFonts w:hint="eastAsia" w:ascii="宋体" w:hAnsi="宋体" w:eastAsia="宋体" w:cs="Times New Roman"/>
          <w:sz w:val="24"/>
          <w:szCs w:val="22"/>
        </w:rPr>
        <w:t>2．教学参考书</w:t>
      </w:r>
      <w:bookmarkEnd w:id="2294"/>
    </w:p>
    <w:p w14:paraId="27A4ED32">
      <w:pPr>
        <w:spacing w:line="360" w:lineRule="auto"/>
        <w:ind w:firstLine="420" w:firstLineChars="200"/>
        <w:rPr>
          <w:rFonts w:ascii="Times New Roman" w:hAnsi="Times New Roman" w:eastAsia="宋体" w:cs="Times New Roman"/>
          <w:kern w:val="0"/>
          <w:sz w:val="24"/>
          <w:szCs w:val="24"/>
        </w:rPr>
      </w:pPr>
      <w:r>
        <w:rPr>
          <w:rFonts w:ascii="等线" w:hAnsi="等线" w:eastAsia="等线" w:cs="Times New Roman"/>
          <w:szCs w:val="22"/>
        </w:rPr>
        <w:fldChar w:fldCharType="begin"/>
      </w:r>
      <w:r>
        <w:rPr>
          <w:rFonts w:ascii="等线" w:hAnsi="等线" w:eastAsia="等线" w:cs="Times New Roman"/>
          <w:szCs w:val="22"/>
        </w:rPr>
        <w:instrText xml:space="preserve"> HYPERLINK "https://book.douban.com/author/4549816" </w:instrText>
      </w:r>
      <w:r>
        <w:rPr>
          <w:rFonts w:ascii="等线" w:hAnsi="等线" w:eastAsia="等线" w:cs="Times New Roman"/>
          <w:szCs w:val="22"/>
        </w:rPr>
        <w:fldChar w:fldCharType="separate"/>
      </w:r>
      <w:r>
        <w:rPr>
          <w:rFonts w:hint="eastAsia" w:ascii="Times New Roman" w:hAnsi="Times New Roman" w:eastAsia="宋体" w:cs="Times New Roman"/>
          <w:kern w:val="0"/>
          <w:sz w:val="24"/>
          <w:szCs w:val="24"/>
        </w:rPr>
        <w:t>葛竞</w:t>
      </w:r>
      <w:r>
        <w:rPr>
          <w:rFonts w:hint="eastAsia" w:ascii="Times New Roman" w:hAnsi="Times New Roman" w:eastAsia="宋体" w:cs="Times New Roman"/>
          <w:kern w:val="0"/>
          <w:sz w:val="24"/>
          <w:szCs w:val="24"/>
        </w:rPr>
        <w:fldChar w:fldCharType="end"/>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Hans"/>
        </w:rPr>
        <w:t>《</w:t>
      </w:r>
      <w:r>
        <w:rPr>
          <w:rFonts w:hint="eastAsia" w:ascii="Times New Roman" w:hAnsi="Times New Roman" w:eastAsia="宋体" w:cs="Times New Roman"/>
          <w:kern w:val="0"/>
          <w:sz w:val="24"/>
          <w:szCs w:val="24"/>
        </w:rPr>
        <w:t>动画剧本创作（第2版 附剧作实训）</w:t>
      </w:r>
      <w:r>
        <w:rPr>
          <w:rFonts w:hint="eastAsia" w:ascii="Times New Roman" w:hAnsi="Times New Roman" w:eastAsia="宋体" w:cs="Times New Roman"/>
          <w:kern w:val="0"/>
          <w:sz w:val="24"/>
          <w:szCs w:val="24"/>
          <w:lang w:eastAsia="zh-Hans"/>
        </w:rPr>
        <w:t>，北京联合出版社，</w:t>
      </w:r>
      <w:r>
        <w:rPr>
          <w:rFonts w:ascii="Times New Roman" w:hAnsi="Times New Roman" w:eastAsia="宋体" w:cs="Times New Roman"/>
          <w:kern w:val="0"/>
          <w:sz w:val="24"/>
          <w:szCs w:val="24"/>
          <w:lang w:eastAsia="zh-Hans"/>
        </w:rPr>
        <w:t>2017.</w:t>
      </w:r>
    </w:p>
    <w:p w14:paraId="11F7F9E0">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498CC2C5">
      <w:pPr>
        <w:autoSpaceDE w:val="0"/>
        <w:autoSpaceDN w:val="0"/>
        <w:adjustRightInd w:val="0"/>
        <w:spacing w:line="360" w:lineRule="auto"/>
        <w:ind w:firstLine="6000" w:firstLineChars="25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lang w:eastAsia="zh-Hans"/>
        </w:rPr>
        <w:t>解芷薇</w:t>
      </w:r>
    </w:p>
    <w:p w14:paraId="037C0267">
      <w:pPr>
        <w:autoSpaceDE w:val="0"/>
        <w:autoSpaceDN w:val="0"/>
        <w:adjustRightInd w:val="0"/>
        <w:spacing w:line="360" w:lineRule="auto"/>
        <w:ind w:firstLine="6000" w:firstLineChars="25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审定人：王  健</w:t>
      </w:r>
    </w:p>
    <w:p w14:paraId="0EECF596">
      <w:pPr>
        <w:autoSpaceDE w:val="0"/>
        <w:autoSpaceDN w:val="0"/>
        <w:adjustRightInd w:val="0"/>
        <w:spacing w:line="360" w:lineRule="auto"/>
        <w:ind w:firstLine="6000" w:firstLineChars="25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审批人：张志欣</w:t>
      </w:r>
    </w:p>
    <w:p w14:paraId="0230A69D">
      <w:pPr>
        <w:autoSpaceDE w:val="0"/>
        <w:autoSpaceDN w:val="0"/>
        <w:adjustRightInd w:val="0"/>
        <w:spacing w:line="360" w:lineRule="auto"/>
        <w:ind w:firstLine="240" w:firstLineChars="100"/>
        <w:jc w:val="righ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w:t>
      </w:r>
      <w:r>
        <w:rPr>
          <w:rFonts w:ascii="Times New Roman" w:hAnsi="Times New Roman" w:eastAsia="宋体" w:cs="Times New Roman"/>
          <w:kern w:val="0"/>
          <w:sz w:val="24"/>
          <w:szCs w:val="21"/>
        </w:rPr>
        <w:t>202</w:t>
      </w:r>
      <w:r>
        <w:rPr>
          <w:rFonts w:hint="eastAsia" w:ascii="Times New Roman" w:hAnsi="Times New Roman" w:eastAsia="宋体" w:cs="Times New Roman"/>
          <w:kern w:val="0"/>
          <w:sz w:val="24"/>
          <w:szCs w:val="21"/>
        </w:rPr>
        <w:t>3</w:t>
      </w:r>
      <w:r>
        <w:rPr>
          <w:rFonts w:ascii="Times New Roman" w:hAnsi="Times New Roman" w:eastAsia="宋体" w:cs="Times New Roman"/>
          <w:kern w:val="0"/>
          <w:sz w:val="24"/>
          <w:szCs w:val="21"/>
        </w:rPr>
        <w:t>年</w:t>
      </w:r>
      <w:r>
        <w:rPr>
          <w:rFonts w:hint="eastAsia" w:ascii="Times New Roman" w:hAnsi="Times New Roman" w:eastAsia="宋体" w:cs="Times New Roman"/>
          <w:kern w:val="0"/>
          <w:sz w:val="24"/>
          <w:szCs w:val="21"/>
        </w:rPr>
        <w:t>8</w:t>
      </w:r>
      <w:r>
        <w:rPr>
          <w:rFonts w:ascii="Times New Roman" w:hAnsi="Times New Roman" w:eastAsia="宋体" w:cs="Times New Roman"/>
          <w:kern w:val="0"/>
          <w:sz w:val="24"/>
          <w:szCs w:val="21"/>
        </w:rPr>
        <w:t>月25日</w:t>
      </w:r>
    </w:p>
    <w:p w14:paraId="1CF41937">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7BDB7794">
      <w:pPr>
        <w:pStyle w:val="2"/>
        <w:bidi w:val="0"/>
      </w:pPr>
      <w:bookmarkStart w:id="2295" w:name="_Toc15293"/>
      <w:r>
        <w:rPr>
          <w:rFonts w:hint="eastAsia"/>
        </w:rPr>
        <w:t>《音乐基础》课程教学大纲</w:t>
      </w:r>
      <w:bookmarkEnd w:id="2295"/>
    </w:p>
    <w:p w14:paraId="218E30C6">
      <w:pPr>
        <w:pStyle w:val="2"/>
        <w:bidi w:val="0"/>
        <w:rPr>
          <w:rFonts w:hint="eastAsia"/>
        </w:rPr>
      </w:pPr>
      <w:bookmarkStart w:id="2296" w:name="_Toc8433"/>
      <w:r>
        <w:t>（</w:t>
      </w:r>
      <w:r>
        <w:rPr>
          <w:rFonts w:hint="eastAsia"/>
        </w:rPr>
        <w:t>Basic Music Theory</w:t>
      </w:r>
      <w:r>
        <w:t>）</w:t>
      </w:r>
      <w:bookmarkEnd w:id="2296"/>
    </w:p>
    <w:p w14:paraId="39B4A6EB">
      <w:pPr>
        <w:pStyle w:val="2"/>
        <w:bidi w:val="0"/>
      </w:pPr>
    </w:p>
    <w:p w14:paraId="20C7067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课程名称：音乐基础</w:t>
      </w:r>
    </w:p>
    <w:p w14:paraId="6A44924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课程代码：2401032</w:t>
      </w:r>
    </w:p>
    <w:p w14:paraId="0B351B6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3D54E27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时：48</w:t>
      </w:r>
    </w:p>
    <w:p w14:paraId="4585590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先修课程：小学心理学、专业导论</w:t>
      </w:r>
    </w:p>
    <w:p w14:paraId="089E3DF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7E64931A">
      <w:pPr>
        <w:spacing w:line="360" w:lineRule="auto"/>
        <w:jc w:val="left"/>
        <w:rPr>
          <w:rFonts w:ascii="Times New Roman" w:hAnsi="Times New Roman" w:eastAsia="宋体" w:cs="Times New Roman"/>
          <w:b/>
          <w:sz w:val="24"/>
          <w:szCs w:val="24"/>
        </w:rPr>
      </w:pPr>
    </w:p>
    <w:p w14:paraId="62B28C12">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79913D83">
      <w:pPr>
        <w:spacing w:line="360" w:lineRule="auto"/>
        <w:ind w:firstLine="480" w:firstLineChars="200"/>
        <w:rPr>
          <w:rFonts w:hint="eastAsia" w:ascii="宋体" w:hAnsi="宋体" w:eastAsia="宋体"/>
          <w:kern w:val="0"/>
          <w:sz w:val="24"/>
        </w:rPr>
      </w:pPr>
      <w:r>
        <w:rPr>
          <w:rFonts w:hint="eastAsia" w:ascii="宋体" w:hAnsi="宋体" w:eastAsia="宋体"/>
          <w:kern w:val="0"/>
          <w:sz w:val="24"/>
        </w:rPr>
        <w:t>本课程</w:t>
      </w:r>
      <w:r>
        <w:rPr>
          <w:rFonts w:ascii="宋体" w:hAnsi="宋体" w:eastAsia="宋体"/>
          <w:kern w:val="0"/>
          <w:sz w:val="24"/>
        </w:rPr>
        <w:t>是</w:t>
      </w:r>
      <w:r>
        <w:rPr>
          <w:rFonts w:hint="eastAsia" w:ascii="宋体" w:hAnsi="宋体" w:eastAsia="宋体"/>
          <w:kern w:val="0"/>
          <w:sz w:val="24"/>
        </w:rPr>
        <w:t>小学教育</w:t>
      </w:r>
      <w:r>
        <w:rPr>
          <w:rFonts w:ascii="宋体" w:hAnsi="宋体" w:eastAsia="宋体"/>
          <w:kern w:val="0"/>
          <w:sz w:val="24"/>
        </w:rPr>
        <w:t>专业</w:t>
      </w:r>
      <w:r>
        <w:rPr>
          <w:rFonts w:hint="eastAsia" w:ascii="宋体" w:hAnsi="宋体" w:eastAsia="宋体"/>
          <w:kern w:val="0"/>
          <w:sz w:val="24"/>
        </w:rPr>
        <w:t>的</w:t>
      </w:r>
      <w:r>
        <w:rPr>
          <w:rFonts w:ascii="宋体" w:hAnsi="宋体" w:eastAsia="宋体"/>
          <w:kern w:val="0"/>
          <w:sz w:val="24"/>
        </w:rPr>
        <w:t>专业基础必修课，也可作为</w:t>
      </w:r>
      <w:r>
        <w:rPr>
          <w:rFonts w:hint="eastAsia" w:ascii="宋体" w:hAnsi="宋体" w:eastAsia="宋体"/>
          <w:kern w:val="0"/>
          <w:sz w:val="24"/>
        </w:rPr>
        <w:t>学前教育</w:t>
      </w:r>
      <w:r>
        <w:rPr>
          <w:rFonts w:ascii="宋体" w:hAnsi="宋体" w:eastAsia="宋体"/>
          <w:kern w:val="0"/>
          <w:sz w:val="24"/>
        </w:rPr>
        <w:t>专业和其它有关专业的必修课或选修课。通过本课程的学习，培养学</w:t>
      </w:r>
      <w:r>
        <w:rPr>
          <w:rFonts w:hint="eastAsia" w:ascii="宋体" w:hAnsi="宋体" w:eastAsia="宋体"/>
          <w:kern w:val="0"/>
          <w:sz w:val="24"/>
        </w:rPr>
        <w:t>生</w:t>
      </w:r>
      <w:r>
        <w:rPr>
          <w:rFonts w:ascii="宋体" w:hAnsi="宋体" w:eastAsia="宋体"/>
          <w:kern w:val="0"/>
          <w:sz w:val="24"/>
        </w:rPr>
        <w:t>扎实的音乐专业知识和运用知识的能力</w:t>
      </w:r>
      <w:r>
        <w:rPr>
          <w:rFonts w:hint="eastAsia" w:ascii="宋体" w:hAnsi="宋体" w:eastAsia="宋体"/>
          <w:kern w:val="0"/>
          <w:sz w:val="24"/>
        </w:rPr>
        <w:t>，</w:t>
      </w:r>
      <w:r>
        <w:rPr>
          <w:rFonts w:ascii="宋体" w:hAnsi="宋体" w:eastAsia="宋体"/>
          <w:kern w:val="0"/>
          <w:sz w:val="24"/>
        </w:rPr>
        <w:t>掌握基本的中</w:t>
      </w:r>
      <w:r>
        <w:rPr>
          <w:rFonts w:hint="eastAsia" w:ascii="宋体" w:hAnsi="宋体" w:eastAsia="宋体"/>
          <w:kern w:val="0"/>
          <w:sz w:val="24"/>
        </w:rPr>
        <w:t>外</w:t>
      </w:r>
      <w:r>
        <w:rPr>
          <w:rFonts w:ascii="宋体" w:hAnsi="宋体" w:eastAsia="宋体"/>
          <w:kern w:val="0"/>
          <w:sz w:val="24"/>
        </w:rPr>
        <w:t>音乐历史知识</w:t>
      </w:r>
      <w:r>
        <w:rPr>
          <w:rFonts w:hint="eastAsia" w:ascii="宋体" w:hAnsi="宋体" w:eastAsia="宋体"/>
          <w:kern w:val="0"/>
          <w:sz w:val="24"/>
        </w:rPr>
        <w:t>，熟悉</w:t>
      </w:r>
      <w:r>
        <w:rPr>
          <w:rFonts w:ascii="宋体" w:hAnsi="宋体" w:eastAsia="宋体"/>
          <w:kern w:val="0"/>
          <w:sz w:val="24"/>
        </w:rPr>
        <w:t>一定数量的</w:t>
      </w:r>
      <w:r>
        <w:rPr>
          <w:rFonts w:hint="eastAsia" w:ascii="宋体" w:hAnsi="宋体" w:eastAsia="宋体"/>
          <w:kern w:val="0"/>
          <w:sz w:val="24"/>
        </w:rPr>
        <w:t>各个历史时期</w:t>
      </w:r>
      <w:r>
        <w:rPr>
          <w:rFonts w:ascii="宋体" w:hAnsi="宋体" w:eastAsia="宋体"/>
          <w:kern w:val="0"/>
          <w:sz w:val="24"/>
        </w:rPr>
        <w:t>优秀音乐作品</w:t>
      </w:r>
      <w:r>
        <w:rPr>
          <w:rFonts w:hint="eastAsia" w:ascii="宋体" w:hAnsi="宋体" w:eastAsia="宋体"/>
          <w:kern w:val="0"/>
          <w:sz w:val="24"/>
        </w:rPr>
        <w:t>。</w:t>
      </w:r>
    </w:p>
    <w:p w14:paraId="0EE57FC8">
      <w:pPr>
        <w:spacing w:line="360" w:lineRule="auto"/>
        <w:jc w:val="left"/>
        <w:rPr>
          <w:rFonts w:hint="eastAsia" w:ascii="宋体" w:hAnsi="宋体" w:eastAsia="宋体" w:cs="Times New Roman"/>
          <w:b/>
          <w:color w:val="000000"/>
          <w:szCs w:val="21"/>
        </w:rPr>
      </w:pPr>
    </w:p>
    <w:p w14:paraId="246E968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4073132C">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A31DDFB">
      <w:pPr>
        <w:spacing w:line="360" w:lineRule="auto"/>
        <w:ind w:firstLine="482"/>
        <w:jc w:val="left"/>
        <w:rPr>
          <w:rFonts w:hint="eastAsia" w:ascii="宋体" w:hAnsi="宋体" w:eastAsia="宋体"/>
          <w:sz w:val="24"/>
        </w:rPr>
      </w:pPr>
      <w:r>
        <w:rPr>
          <w:rFonts w:hint="eastAsia" w:ascii="宋体" w:hAnsi="宋体" w:eastAsia="宋体"/>
          <w:sz w:val="24"/>
        </w:rPr>
        <w:t>目标1.了解基础的音乐理论知识（音符、节奏型组合、速度力度术语等）、能让学生能够读懂简单的五线谱。</w:t>
      </w:r>
    </w:p>
    <w:p w14:paraId="2C016ED3">
      <w:pPr>
        <w:spacing w:line="360" w:lineRule="auto"/>
        <w:ind w:firstLine="482"/>
        <w:jc w:val="left"/>
        <w:rPr>
          <w:rFonts w:hint="eastAsia" w:ascii="宋体" w:hAnsi="宋体" w:eastAsia="宋体"/>
          <w:sz w:val="24"/>
        </w:rPr>
      </w:pPr>
      <w:r>
        <w:rPr>
          <w:rFonts w:hint="eastAsia" w:ascii="宋体" w:hAnsi="宋体" w:eastAsia="宋体"/>
          <w:sz w:val="24"/>
        </w:rPr>
        <w:t>目标</w:t>
      </w:r>
      <w:r>
        <w:rPr>
          <w:rFonts w:ascii="宋体" w:hAnsi="宋体" w:eastAsia="宋体"/>
          <w:sz w:val="24"/>
        </w:rPr>
        <w:t>2</w:t>
      </w:r>
      <w:r>
        <w:rPr>
          <w:rFonts w:hint="eastAsia" w:ascii="宋体" w:hAnsi="宋体" w:eastAsia="宋体"/>
          <w:sz w:val="24"/>
        </w:rPr>
        <w:t>.能够运用音乐形态学和音乐史学相结合的方法对各历史时期的重要音乐家和音乐作品进行分析与解读。能够运用中外音乐史的理论与方法分析问题，在分析问题是具备基本的音乐史学表达能力。</w:t>
      </w:r>
    </w:p>
    <w:p w14:paraId="2B961166">
      <w:pPr>
        <w:spacing w:line="360" w:lineRule="auto"/>
        <w:ind w:firstLine="482"/>
        <w:jc w:val="left"/>
        <w:rPr>
          <w:rFonts w:hint="eastAsia" w:ascii="宋体" w:hAnsi="宋体" w:eastAsia="宋体"/>
          <w:sz w:val="24"/>
        </w:rPr>
      </w:pPr>
      <w:r>
        <w:rPr>
          <w:rFonts w:hint="eastAsia" w:ascii="宋体" w:hAnsi="宋体" w:eastAsia="宋体"/>
          <w:sz w:val="24"/>
        </w:rPr>
        <w:t>目标</w:t>
      </w:r>
      <w:r>
        <w:rPr>
          <w:rFonts w:ascii="宋体" w:hAnsi="宋体" w:eastAsia="宋体"/>
          <w:sz w:val="24"/>
        </w:rPr>
        <w:t>3</w:t>
      </w:r>
      <w:r>
        <w:rPr>
          <w:rFonts w:hint="eastAsia" w:ascii="宋体" w:hAnsi="宋体" w:eastAsia="宋体"/>
          <w:sz w:val="24"/>
        </w:rPr>
        <w:t>.通过对音乐基础的学习，让学生具备一定的人文素养和美学意识，达成人才培养的这一高校基础职能。</w:t>
      </w:r>
    </w:p>
    <w:p w14:paraId="29A9BC0D">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1F2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C2EAD7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2A1C8E7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FD6172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91A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D7E3D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2BB43E6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594D719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355C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DE552C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369D8F7A">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0726750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3399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1EF595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17A6BA9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3-3：【教育教学知识牢固】掌握教育教学基本理论知识，熟悉所教学科课程标准和教材、教学内容。在教育教学实践中，具有一定的教材解读能力，具有依据课标进行教学的意识和习惯。</w:t>
            </w:r>
          </w:p>
        </w:tc>
        <w:tc>
          <w:tcPr>
            <w:tcW w:w="1191" w:type="dxa"/>
            <w:vAlign w:val="center"/>
          </w:tcPr>
          <w:p w14:paraId="7BF3E35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6D0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547E2B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毕业要求7学会反思</w:t>
            </w:r>
          </w:p>
        </w:tc>
        <w:tc>
          <w:tcPr>
            <w:tcW w:w="5688" w:type="dxa"/>
            <w:vAlign w:val="center"/>
          </w:tcPr>
          <w:p w14:paraId="56FCBE33">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rPr>
              <w:t>7</w:t>
            </w:r>
            <w:r>
              <w:rPr>
                <w:rFonts w:ascii="宋体" w:hAnsi="宋体" w:eastAsia="宋体" w:cs="Times New Roman"/>
                <w:color w:val="000000"/>
                <w:kern w:val="0"/>
                <w:szCs w:val="21"/>
              </w:rPr>
              <w:t>-1：</w:t>
            </w:r>
            <w:r>
              <w:rPr>
                <w:rFonts w:hint="eastAsia" w:ascii="宋体" w:hAnsi="宋体" w:eastAsia="宋体" w:cs="Times New Roman"/>
                <w:color w:val="000000"/>
                <w:kern w:val="0"/>
                <w:szCs w:val="21"/>
              </w:rPr>
              <w:t>【教育视野开阔】积极参加基础教育领域的国内外交流，了解国内外基础教育改革发展的动态，具有宽广的教育视野，能够主动适应新时代和教育发展需求。</w:t>
            </w:r>
          </w:p>
          <w:p w14:paraId="5FA07000">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274FF2D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课程目标2、3</w:t>
            </w:r>
          </w:p>
        </w:tc>
      </w:tr>
    </w:tbl>
    <w:p w14:paraId="48FEAD93">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0DF9858">
      <w:pPr>
        <w:spacing w:line="360" w:lineRule="auto"/>
        <w:ind w:firstLine="480" w:firstLineChars="200"/>
        <w:rPr>
          <w:rFonts w:hint="eastAsia" w:ascii="宋体" w:hAnsi="宋体" w:eastAsia="宋体"/>
          <w:sz w:val="24"/>
        </w:rPr>
      </w:pPr>
      <w:r>
        <w:rPr>
          <w:rFonts w:hint="eastAsia" w:ascii="宋体" w:hAnsi="宋体" w:eastAsia="宋体"/>
          <w:sz w:val="24"/>
        </w:rPr>
        <w:t>以习近平总书记提出的“培育时代新人是教育的重要使命和根本任务”为指导思想，围绕正确育人的整体目标和价值方向，扎实推进课程思政的育人大格局。课程将思想政治工作贯穿于中国音乐历史和鉴赏中国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5E1DB2C7">
      <w:pPr>
        <w:spacing w:line="360" w:lineRule="auto"/>
        <w:jc w:val="left"/>
        <w:rPr>
          <w:rFonts w:hint="eastAsia" w:ascii="宋体" w:hAnsi="宋体" w:eastAsia="宋体" w:cs="Times New Roman"/>
          <w:b/>
          <w:color w:val="000000"/>
          <w:sz w:val="28"/>
          <w:szCs w:val="28"/>
        </w:rPr>
      </w:pPr>
    </w:p>
    <w:p w14:paraId="39AAFE8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BE1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284F2F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7593E24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DBF263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68867B5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2D83459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29E4C54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0DA8A1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A90649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621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7C50C7">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1.音乐学绪论</w:t>
            </w:r>
          </w:p>
        </w:tc>
        <w:tc>
          <w:tcPr>
            <w:tcW w:w="1701" w:type="dxa"/>
            <w:vAlign w:val="center"/>
          </w:tcPr>
          <w:p w14:paraId="201C46AB">
            <w:pPr>
              <w:spacing w:line="360" w:lineRule="auto"/>
              <w:rPr>
                <w:rFonts w:hint="eastAsia" w:ascii="宋体" w:hAnsi="宋体" w:eastAsia="宋体"/>
                <w:szCs w:val="21"/>
              </w:rPr>
            </w:pPr>
            <w:r>
              <w:rPr>
                <w:rFonts w:ascii="宋体" w:hAnsi="宋体" w:eastAsia="宋体"/>
                <w:szCs w:val="21"/>
              </w:rPr>
              <w:t>（1）</w:t>
            </w:r>
            <w:r>
              <w:rPr>
                <w:rFonts w:hint="eastAsia" w:ascii="宋体" w:hAnsi="宋体" w:eastAsia="宋体"/>
                <w:szCs w:val="21"/>
              </w:rPr>
              <w:t>乐音的基本特征与构成要素</w:t>
            </w:r>
          </w:p>
          <w:p w14:paraId="2FB75300">
            <w:pPr>
              <w:spacing w:line="360" w:lineRule="auto"/>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简要的中外音乐发展和历史沿革</w:t>
            </w:r>
          </w:p>
        </w:tc>
        <w:tc>
          <w:tcPr>
            <w:tcW w:w="1134" w:type="dxa"/>
            <w:vAlign w:val="center"/>
          </w:tcPr>
          <w:p w14:paraId="258079C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096B665">
            <w:pPr>
              <w:spacing w:line="360" w:lineRule="auto"/>
              <w:jc w:val="left"/>
              <w:rPr>
                <w:rFonts w:hint="eastAsia" w:ascii="宋体" w:hAnsi="宋体" w:eastAsia="宋体"/>
                <w:szCs w:val="21"/>
              </w:rPr>
            </w:pPr>
            <w:r>
              <w:rPr>
                <w:rFonts w:ascii="宋体" w:hAnsi="宋体" w:eastAsia="宋体"/>
                <w:szCs w:val="21"/>
              </w:rPr>
              <w:t>（1）了解并掌握</w:t>
            </w:r>
            <w:r>
              <w:rPr>
                <w:rFonts w:hint="eastAsia" w:ascii="宋体" w:hAnsi="宋体" w:eastAsia="宋体"/>
                <w:szCs w:val="21"/>
              </w:rPr>
              <w:t>基础的乐理知识</w:t>
            </w:r>
          </w:p>
          <w:p w14:paraId="71CFCF5D">
            <w:pPr>
              <w:spacing w:line="360" w:lineRule="auto"/>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3F2853D2">
            <w:pPr>
              <w:spacing w:line="360" w:lineRule="auto"/>
              <w:jc w:val="left"/>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了解中外音乐的发展与沿革</w:t>
            </w:r>
          </w:p>
        </w:tc>
        <w:tc>
          <w:tcPr>
            <w:tcW w:w="1560" w:type="dxa"/>
            <w:vAlign w:val="center"/>
          </w:tcPr>
          <w:p w14:paraId="167D34E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18B85DE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8341DC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6F7A61D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4DE8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8F95280">
            <w:pPr>
              <w:spacing w:line="264" w:lineRule="auto"/>
              <w:jc w:val="center"/>
              <w:rPr>
                <w:rFonts w:hint="eastAsia" w:ascii="宋体" w:hAnsi="宋体" w:eastAsia="宋体" w:cs="Times New Roman"/>
                <w:color w:val="000000"/>
                <w:szCs w:val="21"/>
              </w:rPr>
            </w:pPr>
          </w:p>
        </w:tc>
        <w:tc>
          <w:tcPr>
            <w:tcW w:w="8093" w:type="dxa"/>
            <w:gridSpan w:val="5"/>
            <w:vAlign w:val="center"/>
          </w:tcPr>
          <w:p w14:paraId="6076470C">
            <w:pPr>
              <w:spacing w:line="360" w:lineRule="auto"/>
              <w:ind w:firstLine="422"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10CBD0E2">
            <w:pPr>
              <w:spacing w:line="269" w:lineRule="auto"/>
              <w:jc w:val="left"/>
              <w:rPr>
                <w:rFonts w:hint="eastAsia" w:ascii="宋体" w:hAnsi="宋体" w:eastAsia="宋体" w:cs="Times New Roman"/>
                <w:color w:val="000000"/>
                <w:szCs w:val="21"/>
              </w:rPr>
            </w:pPr>
          </w:p>
        </w:tc>
      </w:tr>
      <w:tr w14:paraId="5FA5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C1A25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 基础乐理知识（音值节奏）</w:t>
            </w:r>
          </w:p>
        </w:tc>
        <w:tc>
          <w:tcPr>
            <w:tcW w:w="1701" w:type="dxa"/>
            <w:vAlign w:val="center"/>
          </w:tcPr>
          <w:p w14:paraId="19ACDF37">
            <w:pPr>
              <w:spacing w:line="360" w:lineRule="auto"/>
              <w:rPr>
                <w:rFonts w:hint="eastAsia" w:ascii="宋体" w:hAnsi="宋体" w:eastAsia="宋体"/>
                <w:szCs w:val="21"/>
              </w:rPr>
            </w:pPr>
            <w:r>
              <w:rPr>
                <w:rFonts w:ascii="宋体" w:hAnsi="宋体" w:eastAsia="宋体"/>
                <w:szCs w:val="21"/>
              </w:rPr>
              <w:t>（1）</w:t>
            </w:r>
            <w:r>
              <w:rPr>
                <w:rFonts w:hint="eastAsia" w:ascii="宋体" w:hAnsi="宋体" w:eastAsia="宋体"/>
                <w:szCs w:val="21"/>
              </w:rPr>
              <w:t>基础音符与简易节奏型组合</w:t>
            </w:r>
          </w:p>
          <w:p w14:paraId="366A48AA">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附点与休止符</w:t>
            </w:r>
          </w:p>
          <w:p w14:paraId="5A80C6CA">
            <w:pPr>
              <w:spacing w:line="360" w:lineRule="auto"/>
              <w:rPr>
                <w:rFonts w:hint="eastAsia" w:ascii="宋体" w:hAnsi="宋体" w:eastAsia="宋体"/>
                <w:sz w:val="24"/>
              </w:rPr>
            </w:pPr>
            <w:r>
              <w:rPr>
                <w:rFonts w:hint="eastAsia" w:ascii="宋体" w:hAnsi="宋体" w:eastAsia="宋体"/>
                <w:szCs w:val="21"/>
              </w:rPr>
              <w:t>（3）谱号与拍号</w:t>
            </w:r>
          </w:p>
        </w:tc>
        <w:tc>
          <w:tcPr>
            <w:tcW w:w="1134" w:type="dxa"/>
            <w:vAlign w:val="center"/>
          </w:tcPr>
          <w:p w14:paraId="2E28312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894154F">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乐音的基础属性之——音值（节奏）的有关知识</w:t>
            </w:r>
          </w:p>
          <w:p w14:paraId="643BB41E">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了解五线谱记谱法中的法则和书写规范</w:t>
            </w:r>
          </w:p>
          <w:p w14:paraId="2BD68CD9">
            <w:pPr>
              <w:spacing w:line="269" w:lineRule="auto"/>
              <w:jc w:val="left"/>
              <w:rPr>
                <w:rFonts w:hint="eastAsia" w:ascii="宋体" w:hAnsi="宋体" w:eastAsia="宋体" w:cs="Times New Roman"/>
                <w:color w:val="000000"/>
                <w:szCs w:val="21"/>
              </w:rPr>
            </w:pPr>
          </w:p>
        </w:tc>
        <w:tc>
          <w:tcPr>
            <w:tcW w:w="1560" w:type="dxa"/>
            <w:vAlign w:val="center"/>
          </w:tcPr>
          <w:p w14:paraId="4D12C5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46A16A3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03E02D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3DA7C3D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4943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AE6F59">
            <w:pPr>
              <w:spacing w:line="264" w:lineRule="auto"/>
              <w:jc w:val="center"/>
              <w:rPr>
                <w:rFonts w:hint="eastAsia" w:ascii="宋体" w:hAnsi="宋体" w:eastAsia="宋体" w:cs="Times New Roman"/>
                <w:color w:val="000000"/>
                <w:szCs w:val="21"/>
              </w:rPr>
            </w:pPr>
          </w:p>
        </w:tc>
        <w:tc>
          <w:tcPr>
            <w:tcW w:w="8093" w:type="dxa"/>
            <w:gridSpan w:val="5"/>
            <w:vAlign w:val="center"/>
          </w:tcPr>
          <w:p w14:paraId="7B611CD8">
            <w:pPr>
              <w:autoSpaceDE w:val="0"/>
              <w:autoSpaceDN w:val="0"/>
              <w:adjustRightInd w:val="0"/>
              <w:spacing w:line="360" w:lineRule="auto"/>
              <w:ind w:firstLine="422" w:firstLineChars="200"/>
              <w:jc w:val="left"/>
              <w:rPr>
                <w:rFonts w:hint="eastAsia" w:ascii="宋体" w:hAnsi="宋体" w:eastAsia="宋体" w:cs="Times New Roman"/>
                <w:color w:val="000000" w:themeColor="text1"/>
                <w:sz w:val="24"/>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结合中外优秀传统音乐文化，树立学生产生强烈的文化认同感和民族自豪感，培养具有为中华民族复兴培养全面发展的社会主义建设者和接班人的职业理想。</w:t>
            </w:r>
          </w:p>
        </w:tc>
      </w:tr>
      <w:tr w14:paraId="2FC0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8AA53F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3.基础乐理知识（音调音高）</w:t>
            </w:r>
          </w:p>
        </w:tc>
        <w:tc>
          <w:tcPr>
            <w:tcW w:w="1701" w:type="dxa"/>
            <w:vAlign w:val="center"/>
          </w:tcPr>
          <w:p w14:paraId="163535B6">
            <w:pPr>
              <w:spacing w:line="360" w:lineRule="auto"/>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简谱记谱法和唱名</w:t>
            </w:r>
          </w:p>
          <w:p w14:paraId="6074FAFA">
            <w:pPr>
              <w:spacing w:line="360" w:lineRule="auto"/>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五线谱记谱法和音名</w:t>
            </w:r>
          </w:p>
          <w:p w14:paraId="32B2EB1A">
            <w:pPr>
              <w:spacing w:line="360" w:lineRule="auto"/>
              <w:rPr>
                <w:rFonts w:hint="eastAsia" w:ascii="宋体" w:hAnsi="宋体" w:eastAsia="宋体"/>
                <w:szCs w:val="21"/>
              </w:rPr>
            </w:pPr>
            <w:r>
              <w:rPr>
                <w:rFonts w:hint="eastAsia" w:ascii="宋体" w:hAnsi="宋体" w:eastAsia="宋体"/>
                <w:szCs w:val="21"/>
              </w:rPr>
              <w:t>（3）简易调式</w:t>
            </w:r>
          </w:p>
          <w:p w14:paraId="1013DA99">
            <w:pPr>
              <w:spacing w:line="269" w:lineRule="auto"/>
              <w:jc w:val="left"/>
              <w:rPr>
                <w:rFonts w:hint="eastAsia" w:ascii="宋体" w:hAnsi="宋体" w:eastAsia="宋体" w:cs="Times New Roman"/>
                <w:color w:val="000000"/>
                <w:szCs w:val="21"/>
              </w:rPr>
            </w:pPr>
          </w:p>
        </w:tc>
        <w:tc>
          <w:tcPr>
            <w:tcW w:w="1134" w:type="dxa"/>
            <w:vAlign w:val="center"/>
          </w:tcPr>
          <w:p w14:paraId="343CE51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FC92701">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乐音的基础属性之——音调（音高）的有关知识</w:t>
            </w:r>
          </w:p>
          <w:p w14:paraId="4A88B117">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62D56687">
            <w:pPr>
              <w:spacing w:line="360" w:lineRule="auto"/>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了解中外音乐在不同的文化背景下，所演变出的不同调式。</w:t>
            </w:r>
          </w:p>
          <w:p w14:paraId="7BB2F325">
            <w:pPr>
              <w:spacing w:line="269" w:lineRule="auto"/>
              <w:jc w:val="left"/>
              <w:rPr>
                <w:rFonts w:hint="eastAsia" w:ascii="宋体" w:hAnsi="宋体" w:eastAsia="宋体" w:cs="Times New Roman"/>
                <w:color w:val="000000"/>
                <w:szCs w:val="21"/>
              </w:rPr>
            </w:pPr>
          </w:p>
        </w:tc>
        <w:tc>
          <w:tcPr>
            <w:tcW w:w="1560" w:type="dxa"/>
            <w:vAlign w:val="center"/>
          </w:tcPr>
          <w:p w14:paraId="055C27F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BFFECE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166A082">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D03225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6E91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B74C60">
            <w:pPr>
              <w:spacing w:line="264" w:lineRule="auto"/>
              <w:jc w:val="center"/>
              <w:rPr>
                <w:rFonts w:hint="eastAsia" w:ascii="宋体" w:hAnsi="宋体" w:eastAsia="宋体" w:cs="Times New Roman"/>
                <w:color w:val="000000"/>
                <w:szCs w:val="21"/>
              </w:rPr>
            </w:pPr>
          </w:p>
        </w:tc>
        <w:tc>
          <w:tcPr>
            <w:tcW w:w="8093" w:type="dxa"/>
            <w:gridSpan w:val="5"/>
            <w:vAlign w:val="center"/>
          </w:tcPr>
          <w:p w14:paraId="3831CC60">
            <w:pPr>
              <w:spacing w:line="360" w:lineRule="auto"/>
              <w:ind w:firstLine="422"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0290087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bl>
    <w:p w14:paraId="5A1F5BBB">
      <w:pPr>
        <w:spacing w:line="360" w:lineRule="auto"/>
        <w:jc w:val="left"/>
        <w:rPr>
          <w:rFonts w:ascii="Times New Roman" w:hAnsi="Times New Roman" w:eastAsia="宋体" w:cs="Times New Roman"/>
          <w:sz w:val="24"/>
          <w:szCs w:val="24"/>
        </w:rPr>
      </w:pP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
        <w:gridCol w:w="1181"/>
        <w:gridCol w:w="1701"/>
        <w:gridCol w:w="1134"/>
        <w:gridCol w:w="3260"/>
        <w:gridCol w:w="1560"/>
        <w:gridCol w:w="438"/>
      </w:tblGrid>
      <w:tr w14:paraId="477C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restart"/>
            <w:vAlign w:val="center"/>
          </w:tcPr>
          <w:p w14:paraId="6C08FDC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4.基础乐理知识（音强和音色） </w:t>
            </w:r>
          </w:p>
        </w:tc>
        <w:tc>
          <w:tcPr>
            <w:tcW w:w="1701" w:type="dxa"/>
            <w:vAlign w:val="center"/>
          </w:tcPr>
          <w:p w14:paraId="3CFD670C">
            <w:pPr>
              <w:spacing w:line="360" w:lineRule="auto"/>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与音强有关的力度术语</w:t>
            </w:r>
          </w:p>
          <w:p w14:paraId="03821ED6">
            <w:pPr>
              <w:spacing w:line="360" w:lineRule="auto"/>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与速度有关的力度术语</w:t>
            </w:r>
          </w:p>
          <w:p w14:paraId="720DEA83">
            <w:pPr>
              <w:spacing w:line="360" w:lineRule="auto"/>
              <w:rPr>
                <w:rFonts w:hint="eastAsia" w:ascii="宋体" w:hAnsi="宋体" w:eastAsia="宋体"/>
                <w:szCs w:val="21"/>
              </w:rPr>
            </w:pPr>
            <w:r>
              <w:rPr>
                <w:rFonts w:hint="eastAsia" w:ascii="宋体" w:hAnsi="宋体" w:eastAsia="宋体"/>
                <w:szCs w:val="21"/>
              </w:rPr>
              <w:t>（3）了解不同的乐器音色</w:t>
            </w:r>
          </w:p>
          <w:p w14:paraId="78DFABAE">
            <w:pPr>
              <w:spacing w:line="269" w:lineRule="auto"/>
              <w:jc w:val="left"/>
              <w:rPr>
                <w:rFonts w:hint="eastAsia" w:ascii="宋体" w:hAnsi="宋体" w:eastAsia="宋体" w:cs="Times New Roman"/>
                <w:color w:val="000000"/>
                <w:szCs w:val="21"/>
              </w:rPr>
            </w:pPr>
          </w:p>
        </w:tc>
        <w:tc>
          <w:tcPr>
            <w:tcW w:w="1134" w:type="dxa"/>
            <w:vAlign w:val="center"/>
          </w:tcPr>
          <w:p w14:paraId="1C944C8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1F246233">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乐谱谱面上出现的各种音乐术语（力度和速度术语）</w:t>
            </w:r>
          </w:p>
          <w:p w14:paraId="21C7666C">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简单了解交响乐团的配器法</w:t>
            </w:r>
          </w:p>
          <w:p w14:paraId="0C83A811">
            <w:pPr>
              <w:spacing w:line="360" w:lineRule="auto"/>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简单了解中外不同的乐器构造与音色</w:t>
            </w:r>
          </w:p>
          <w:p w14:paraId="47E8AFC8">
            <w:pPr>
              <w:spacing w:line="269" w:lineRule="auto"/>
              <w:jc w:val="left"/>
              <w:rPr>
                <w:rFonts w:hint="eastAsia" w:ascii="宋体" w:hAnsi="宋体" w:eastAsia="宋体" w:cs="Times New Roman"/>
                <w:color w:val="000000"/>
                <w:szCs w:val="21"/>
              </w:rPr>
            </w:pPr>
          </w:p>
        </w:tc>
        <w:tc>
          <w:tcPr>
            <w:tcW w:w="1560" w:type="dxa"/>
            <w:vAlign w:val="center"/>
          </w:tcPr>
          <w:p w14:paraId="49A88A0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277AE44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69F5E4B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6029FBE">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02B9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continue"/>
            <w:vAlign w:val="center"/>
          </w:tcPr>
          <w:p w14:paraId="3DC13E56">
            <w:pPr>
              <w:spacing w:line="264" w:lineRule="auto"/>
              <w:jc w:val="center"/>
              <w:rPr>
                <w:rFonts w:hint="eastAsia" w:ascii="宋体" w:hAnsi="宋体" w:eastAsia="宋体" w:cs="Times New Roman"/>
                <w:color w:val="000000"/>
                <w:szCs w:val="21"/>
              </w:rPr>
            </w:pPr>
          </w:p>
        </w:tc>
        <w:tc>
          <w:tcPr>
            <w:tcW w:w="8093" w:type="dxa"/>
            <w:gridSpan w:val="5"/>
            <w:vAlign w:val="center"/>
          </w:tcPr>
          <w:p w14:paraId="2803A4B2">
            <w:pPr>
              <w:spacing w:line="360" w:lineRule="auto"/>
              <w:ind w:firstLine="422"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3709E73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7C6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154FE8A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5.音乐风格鉴赏</w:t>
            </w:r>
          </w:p>
        </w:tc>
        <w:tc>
          <w:tcPr>
            <w:tcW w:w="1701" w:type="dxa"/>
            <w:vAlign w:val="center"/>
          </w:tcPr>
          <w:p w14:paraId="383951AD">
            <w:pPr>
              <w:spacing w:line="360" w:lineRule="auto"/>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巴洛克时期音乐鉴赏（3课时）</w:t>
            </w:r>
          </w:p>
          <w:p w14:paraId="0CBD3E8C">
            <w:pPr>
              <w:spacing w:line="360" w:lineRule="auto"/>
              <w:rPr>
                <w:rFonts w:hint="eastAsia" w:ascii="宋体" w:hAnsi="宋体" w:eastAsia="宋体"/>
                <w:szCs w:val="21"/>
              </w:rPr>
            </w:pPr>
            <w:r>
              <w:rPr>
                <w:rFonts w:ascii="宋体" w:hAnsi="宋体" w:eastAsia="宋体"/>
                <w:szCs w:val="21"/>
              </w:rPr>
              <w:t>（3）</w:t>
            </w:r>
            <w:r>
              <w:rPr>
                <w:rFonts w:hint="eastAsia" w:ascii="宋体" w:hAnsi="宋体" w:eastAsia="宋体"/>
                <w:szCs w:val="21"/>
              </w:rPr>
              <w:t>古典主义时期音乐鉴赏（6课时）</w:t>
            </w:r>
          </w:p>
          <w:p w14:paraId="1A6A464D">
            <w:pPr>
              <w:spacing w:line="360" w:lineRule="auto"/>
              <w:rPr>
                <w:rFonts w:hint="eastAsia" w:ascii="宋体" w:hAnsi="宋体" w:eastAsia="宋体"/>
                <w:szCs w:val="21"/>
              </w:rPr>
            </w:pPr>
            <w:r>
              <w:rPr>
                <w:rFonts w:hint="eastAsia" w:ascii="宋体" w:hAnsi="宋体" w:eastAsia="宋体"/>
                <w:szCs w:val="21"/>
              </w:rPr>
              <w:t>（4）浪漫主义时期音乐鉴赏（3课时）</w:t>
            </w:r>
          </w:p>
          <w:p w14:paraId="1167980E">
            <w:pPr>
              <w:spacing w:line="269" w:lineRule="auto"/>
              <w:jc w:val="left"/>
              <w:rPr>
                <w:rFonts w:hint="eastAsia" w:ascii="宋体" w:hAnsi="宋体" w:eastAsia="宋体" w:cs="Times New Roman"/>
                <w:color w:val="000000"/>
                <w:szCs w:val="21"/>
              </w:rPr>
            </w:pPr>
          </w:p>
        </w:tc>
        <w:tc>
          <w:tcPr>
            <w:tcW w:w="1134" w:type="dxa"/>
            <w:vAlign w:val="center"/>
          </w:tcPr>
          <w:p w14:paraId="4F5CE9D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7D389EC9">
            <w:pPr>
              <w:spacing w:line="360" w:lineRule="auto"/>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乐音的基础属性之——音调（音高）的有关知识</w:t>
            </w:r>
          </w:p>
          <w:p w14:paraId="7FCEA009">
            <w:pPr>
              <w:spacing w:line="360" w:lineRule="auto"/>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4C3F50EB">
            <w:pPr>
              <w:spacing w:line="360" w:lineRule="auto"/>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了解中外音乐在不同的文化背景下，所演变出的不同调式。</w:t>
            </w:r>
          </w:p>
          <w:p w14:paraId="75FA5384">
            <w:pPr>
              <w:spacing w:line="269" w:lineRule="auto"/>
              <w:jc w:val="left"/>
              <w:rPr>
                <w:rFonts w:hint="eastAsia" w:ascii="宋体" w:hAnsi="宋体" w:eastAsia="宋体" w:cs="Times New Roman"/>
                <w:color w:val="000000"/>
                <w:szCs w:val="21"/>
              </w:rPr>
            </w:pPr>
          </w:p>
        </w:tc>
        <w:tc>
          <w:tcPr>
            <w:tcW w:w="1560" w:type="dxa"/>
            <w:vAlign w:val="center"/>
          </w:tcPr>
          <w:p w14:paraId="2E09210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1.线上学习</w:t>
            </w:r>
          </w:p>
          <w:p w14:paraId="6A972D5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2.多媒体教学3.课堂讨论</w:t>
            </w:r>
          </w:p>
          <w:p w14:paraId="5BE63E87">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A0BF3F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12</w:t>
            </w:r>
          </w:p>
        </w:tc>
      </w:tr>
      <w:tr w14:paraId="4503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28E2C86F">
            <w:pPr>
              <w:spacing w:line="264" w:lineRule="auto"/>
              <w:jc w:val="center"/>
              <w:rPr>
                <w:rFonts w:hint="eastAsia" w:ascii="宋体" w:hAnsi="宋体" w:eastAsia="宋体" w:cs="Times New Roman"/>
                <w:color w:val="000000"/>
                <w:szCs w:val="21"/>
              </w:rPr>
            </w:pPr>
          </w:p>
        </w:tc>
        <w:tc>
          <w:tcPr>
            <w:tcW w:w="8093" w:type="dxa"/>
            <w:gridSpan w:val="5"/>
            <w:vAlign w:val="center"/>
          </w:tcPr>
          <w:p w14:paraId="0EFAEF08">
            <w:pPr>
              <w:spacing w:line="360" w:lineRule="auto"/>
              <w:ind w:firstLine="422"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3B3CA4A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020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1DDC97A1">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6.中国音乐鉴赏</w:t>
            </w:r>
          </w:p>
        </w:tc>
        <w:tc>
          <w:tcPr>
            <w:tcW w:w="1701" w:type="dxa"/>
            <w:vAlign w:val="center"/>
          </w:tcPr>
          <w:p w14:paraId="79595343">
            <w:pPr>
              <w:spacing w:line="360" w:lineRule="auto"/>
              <w:rPr>
                <w:rFonts w:hint="eastAsia" w:ascii="宋体" w:hAnsi="宋体" w:eastAsia="宋体"/>
                <w:szCs w:val="21"/>
              </w:rPr>
            </w:pPr>
            <w:r>
              <w:rPr>
                <w:rFonts w:ascii="宋体" w:hAnsi="宋体" w:eastAsia="宋体"/>
                <w:szCs w:val="21"/>
              </w:rPr>
              <w:t>（1）</w:t>
            </w:r>
            <w:r>
              <w:rPr>
                <w:rFonts w:hint="eastAsia" w:ascii="宋体" w:hAnsi="宋体" w:eastAsia="宋体"/>
                <w:szCs w:val="21"/>
              </w:rPr>
              <w:t>中国音乐的传统调式</w:t>
            </w:r>
          </w:p>
          <w:p w14:paraId="412A09B7">
            <w:pPr>
              <w:spacing w:line="360" w:lineRule="auto"/>
              <w:rPr>
                <w:rFonts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民乐的当今发展现状</w:t>
            </w:r>
          </w:p>
          <w:p w14:paraId="54836142">
            <w:pPr>
              <w:spacing w:line="360" w:lineRule="auto"/>
              <w:rPr>
                <w:rFonts w:ascii="宋体" w:hAnsi="宋体" w:eastAsia="宋体"/>
                <w:szCs w:val="21"/>
              </w:rPr>
            </w:pPr>
            <w:r>
              <w:rPr>
                <w:rFonts w:hint="eastAsia" w:ascii="宋体" w:hAnsi="宋体" w:eastAsia="宋体"/>
                <w:szCs w:val="21"/>
              </w:rPr>
              <w:t>（3）民乐中的经典作品</w:t>
            </w:r>
          </w:p>
          <w:p w14:paraId="65200F4F">
            <w:pPr>
              <w:spacing w:line="360" w:lineRule="auto"/>
              <w:rPr>
                <w:rFonts w:hint="eastAsia" w:ascii="宋体" w:hAnsi="宋体" w:eastAsia="宋体"/>
                <w:szCs w:val="21"/>
              </w:rPr>
            </w:pPr>
            <w:r>
              <w:rPr>
                <w:rFonts w:hint="eastAsia" w:ascii="宋体" w:hAnsi="宋体" w:eastAsia="宋体"/>
                <w:szCs w:val="21"/>
              </w:rPr>
              <w:t>（4）非遗民间音乐艺术形式</w:t>
            </w:r>
          </w:p>
        </w:tc>
        <w:tc>
          <w:tcPr>
            <w:tcW w:w="1134" w:type="dxa"/>
            <w:vAlign w:val="center"/>
          </w:tcPr>
          <w:p w14:paraId="233332F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课程目标2、3</w:t>
            </w:r>
          </w:p>
        </w:tc>
        <w:tc>
          <w:tcPr>
            <w:tcW w:w="3260" w:type="dxa"/>
            <w:vAlign w:val="center"/>
          </w:tcPr>
          <w:p w14:paraId="0371C740">
            <w:pPr>
              <w:spacing w:line="360" w:lineRule="auto"/>
              <w:jc w:val="left"/>
              <w:rPr>
                <w:rFonts w:hint="eastAsia" w:ascii="宋体" w:hAnsi="宋体" w:eastAsia="宋体"/>
                <w:szCs w:val="21"/>
              </w:rPr>
            </w:pPr>
            <w:r>
              <w:rPr>
                <w:rFonts w:ascii="宋体" w:hAnsi="宋体" w:eastAsia="宋体"/>
                <w:szCs w:val="21"/>
              </w:rPr>
              <w:t>（1）了解</w:t>
            </w:r>
            <w:r>
              <w:rPr>
                <w:rFonts w:hint="eastAsia" w:ascii="宋体" w:hAnsi="宋体" w:eastAsia="宋体"/>
                <w:szCs w:val="21"/>
              </w:rPr>
              <w:t>我国音乐的传统调式</w:t>
            </w:r>
          </w:p>
          <w:p w14:paraId="432CC16C">
            <w:pPr>
              <w:spacing w:line="360" w:lineRule="auto"/>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能简单阅读民乐经典选段的乐谱</w:t>
            </w:r>
          </w:p>
          <w:p w14:paraId="4CE209FC">
            <w:pPr>
              <w:spacing w:line="360" w:lineRule="auto"/>
              <w:jc w:val="left"/>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szCs w:val="21"/>
              </w:rPr>
              <w:t>（3）</w:t>
            </w:r>
            <w:r>
              <w:rPr>
                <w:rFonts w:hint="eastAsia" w:ascii="宋体" w:hAnsi="宋体" w:eastAsia="宋体"/>
                <w:szCs w:val="21"/>
              </w:rPr>
              <w:t>了解民乐中最为璀璨辉煌，并被联合国教科文列为为物质文化遗产的民间音乐艺术形式。</w:t>
            </w:r>
          </w:p>
        </w:tc>
        <w:tc>
          <w:tcPr>
            <w:tcW w:w="1560" w:type="dxa"/>
            <w:vAlign w:val="center"/>
          </w:tcPr>
          <w:p w14:paraId="6FD5EF7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1.线上学习</w:t>
            </w:r>
          </w:p>
          <w:p w14:paraId="38C8C0F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5E7232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F1CD74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p>
        </w:tc>
      </w:tr>
      <w:tr w14:paraId="14B3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503BABB1">
            <w:pPr>
              <w:spacing w:line="264" w:lineRule="auto"/>
              <w:jc w:val="center"/>
              <w:rPr>
                <w:rFonts w:hint="eastAsia" w:ascii="宋体" w:hAnsi="宋体" w:eastAsia="宋体" w:cs="Times New Roman"/>
                <w:color w:val="000000"/>
                <w:szCs w:val="21"/>
              </w:rPr>
            </w:pPr>
          </w:p>
        </w:tc>
        <w:tc>
          <w:tcPr>
            <w:tcW w:w="8093" w:type="dxa"/>
            <w:gridSpan w:val="5"/>
            <w:vAlign w:val="center"/>
          </w:tcPr>
          <w:p w14:paraId="1B16BCFF">
            <w:pPr>
              <w:spacing w:line="360" w:lineRule="auto"/>
              <w:ind w:firstLine="422"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s="Times New Roman"/>
                <w:color w:val="000000" w:themeColor="text1"/>
                <w:szCs w:val="21"/>
                <w14:textFill>
                  <w14:solidFill>
                    <w14:schemeClr w14:val="tx1"/>
                  </w14:solidFill>
                </w14:textFill>
              </w:rPr>
              <w:t>依法履行教师职责权利</w:t>
            </w:r>
            <w:r>
              <w:rPr>
                <w:rFonts w:hint="eastAsia" w:ascii="宋体" w:hAnsi="宋体" w:eastAsia="宋体" w:cs="Times New Roman"/>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p w14:paraId="4F6B54F3">
            <w:pPr>
              <w:spacing w:line="269" w:lineRule="auto"/>
              <w:jc w:val="left"/>
              <w:rPr>
                <w:rFonts w:hint="eastAsia" w:ascii="宋体" w:hAnsi="宋体" w:eastAsia="宋体" w:cs="Times New Roman"/>
                <w:color w:val="000000"/>
                <w:szCs w:val="21"/>
              </w:rPr>
            </w:pPr>
          </w:p>
        </w:tc>
      </w:tr>
    </w:tbl>
    <w:p w14:paraId="5B5DAE62">
      <w:pPr>
        <w:spacing w:line="360" w:lineRule="auto"/>
        <w:jc w:val="left"/>
        <w:rPr>
          <w:rFonts w:ascii="宋体" w:hAnsi="宋体" w:eastAsia="宋体" w:cs="Times New Roman"/>
          <w:b/>
          <w:color w:val="000000"/>
          <w:sz w:val="24"/>
          <w:szCs w:val="24"/>
        </w:rPr>
      </w:pPr>
    </w:p>
    <w:p w14:paraId="32474AA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4E1A93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DADDC9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99FC71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CE5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07BA0C2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4BBCCAF2">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1FC7417">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E98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26B9C18">
            <w:pPr>
              <w:spacing w:line="360" w:lineRule="auto"/>
              <w:jc w:val="center"/>
              <w:rPr>
                <w:rFonts w:hint="eastAsia" w:ascii="宋体" w:hAnsi="宋体" w:eastAsia="宋体" w:cs="Times New Roman"/>
                <w:szCs w:val="21"/>
              </w:rPr>
            </w:pPr>
          </w:p>
        </w:tc>
        <w:tc>
          <w:tcPr>
            <w:tcW w:w="0" w:type="auto"/>
            <w:vAlign w:val="center"/>
          </w:tcPr>
          <w:p w14:paraId="54E5383B">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1AA8BBF1">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7A7F803">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19336C3F">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68E41075">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57CB2449">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2F3631AD">
            <w:pPr>
              <w:spacing w:line="360" w:lineRule="auto"/>
              <w:jc w:val="center"/>
              <w:rPr>
                <w:rFonts w:hint="eastAsia" w:ascii="宋体" w:hAnsi="宋体" w:eastAsia="宋体" w:cs="Times New Roman"/>
                <w:szCs w:val="21"/>
              </w:rPr>
            </w:pPr>
          </w:p>
        </w:tc>
      </w:tr>
      <w:tr w14:paraId="3E70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521E5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25D5E4B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61CB20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B33B47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114F279">
            <w:pPr>
              <w:spacing w:line="360" w:lineRule="auto"/>
              <w:jc w:val="center"/>
              <w:rPr>
                <w:rFonts w:hint="eastAsia" w:ascii="宋体" w:hAnsi="宋体" w:eastAsia="宋体" w:cs="Times New Roman"/>
                <w:szCs w:val="21"/>
              </w:rPr>
            </w:pPr>
          </w:p>
        </w:tc>
        <w:tc>
          <w:tcPr>
            <w:tcW w:w="0" w:type="auto"/>
            <w:vAlign w:val="center"/>
          </w:tcPr>
          <w:p w14:paraId="34AD472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1C4C70E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FBB257E">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F92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394D15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6F2FF0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A37816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CFB45AC">
            <w:pPr>
              <w:spacing w:line="360" w:lineRule="auto"/>
              <w:jc w:val="center"/>
              <w:rPr>
                <w:rFonts w:hint="eastAsia" w:ascii="宋体" w:hAnsi="宋体" w:eastAsia="宋体" w:cs="Times New Roman"/>
                <w:szCs w:val="21"/>
              </w:rPr>
            </w:pPr>
          </w:p>
        </w:tc>
        <w:tc>
          <w:tcPr>
            <w:tcW w:w="0" w:type="auto"/>
            <w:vAlign w:val="center"/>
          </w:tcPr>
          <w:p w14:paraId="7428201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BA203F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3B879537">
            <w:pPr>
              <w:spacing w:line="360" w:lineRule="auto"/>
              <w:jc w:val="center"/>
              <w:rPr>
                <w:rFonts w:hint="eastAsia" w:ascii="宋体" w:hAnsi="宋体" w:eastAsia="宋体" w:cs="Times New Roman"/>
                <w:szCs w:val="21"/>
              </w:rPr>
            </w:pPr>
          </w:p>
        </w:tc>
        <w:tc>
          <w:tcPr>
            <w:tcW w:w="0" w:type="auto"/>
            <w:vAlign w:val="center"/>
          </w:tcPr>
          <w:p w14:paraId="68A7CC83">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7E6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094D64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442DA90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634A1B8">
            <w:pPr>
              <w:spacing w:line="360" w:lineRule="auto"/>
              <w:jc w:val="center"/>
              <w:rPr>
                <w:rFonts w:hint="eastAsia" w:ascii="宋体" w:hAnsi="宋体" w:eastAsia="宋体" w:cs="Times New Roman"/>
                <w:szCs w:val="21"/>
              </w:rPr>
            </w:pPr>
          </w:p>
        </w:tc>
        <w:tc>
          <w:tcPr>
            <w:tcW w:w="0" w:type="auto"/>
            <w:vAlign w:val="center"/>
          </w:tcPr>
          <w:p w14:paraId="48651D52">
            <w:pPr>
              <w:spacing w:line="360" w:lineRule="auto"/>
              <w:jc w:val="center"/>
              <w:rPr>
                <w:rFonts w:hint="eastAsia" w:ascii="宋体" w:hAnsi="宋体" w:eastAsia="宋体" w:cs="Times New Roman"/>
                <w:szCs w:val="21"/>
              </w:rPr>
            </w:pPr>
          </w:p>
        </w:tc>
        <w:tc>
          <w:tcPr>
            <w:tcW w:w="0" w:type="auto"/>
            <w:vAlign w:val="center"/>
          </w:tcPr>
          <w:p w14:paraId="1A311F02">
            <w:pPr>
              <w:spacing w:line="360" w:lineRule="auto"/>
              <w:jc w:val="center"/>
              <w:rPr>
                <w:rFonts w:hint="eastAsia" w:ascii="宋体" w:hAnsi="宋体" w:eastAsia="宋体" w:cs="Times New Roman"/>
                <w:szCs w:val="21"/>
              </w:rPr>
            </w:pPr>
          </w:p>
        </w:tc>
        <w:tc>
          <w:tcPr>
            <w:tcW w:w="0" w:type="auto"/>
            <w:vAlign w:val="center"/>
          </w:tcPr>
          <w:p w14:paraId="3E45D10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7A0C5717">
            <w:pPr>
              <w:spacing w:line="360" w:lineRule="auto"/>
              <w:jc w:val="center"/>
              <w:rPr>
                <w:rFonts w:hint="eastAsia" w:ascii="宋体" w:hAnsi="宋体" w:eastAsia="宋体" w:cs="Times New Roman"/>
                <w:szCs w:val="21"/>
              </w:rPr>
            </w:pPr>
          </w:p>
        </w:tc>
        <w:tc>
          <w:tcPr>
            <w:tcW w:w="0" w:type="auto"/>
            <w:vAlign w:val="center"/>
          </w:tcPr>
          <w:p w14:paraId="632E413E">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54B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D445C68">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9FC7517">
            <w:pPr>
              <w:spacing w:line="360" w:lineRule="auto"/>
              <w:jc w:val="center"/>
              <w:rPr>
                <w:rFonts w:hint="eastAsia" w:ascii="宋体" w:hAnsi="宋体" w:eastAsia="宋体" w:cs="Times New Roman"/>
                <w:szCs w:val="21"/>
              </w:rPr>
            </w:pPr>
          </w:p>
        </w:tc>
        <w:tc>
          <w:tcPr>
            <w:tcW w:w="0" w:type="auto"/>
            <w:vAlign w:val="center"/>
          </w:tcPr>
          <w:p w14:paraId="74E2618E">
            <w:pPr>
              <w:spacing w:line="360" w:lineRule="auto"/>
              <w:jc w:val="center"/>
              <w:rPr>
                <w:rFonts w:hint="eastAsia" w:ascii="宋体" w:hAnsi="宋体" w:eastAsia="宋体" w:cs="Times New Roman"/>
                <w:szCs w:val="21"/>
              </w:rPr>
            </w:pPr>
          </w:p>
        </w:tc>
        <w:tc>
          <w:tcPr>
            <w:tcW w:w="0" w:type="auto"/>
            <w:vAlign w:val="center"/>
          </w:tcPr>
          <w:p w14:paraId="0ED45212">
            <w:pPr>
              <w:spacing w:line="360" w:lineRule="auto"/>
              <w:jc w:val="center"/>
              <w:rPr>
                <w:rFonts w:hint="eastAsia" w:ascii="宋体" w:hAnsi="宋体" w:eastAsia="宋体" w:cs="Times New Roman"/>
                <w:szCs w:val="21"/>
              </w:rPr>
            </w:pPr>
          </w:p>
        </w:tc>
        <w:tc>
          <w:tcPr>
            <w:tcW w:w="0" w:type="auto"/>
            <w:vAlign w:val="center"/>
          </w:tcPr>
          <w:p w14:paraId="12E60F1C">
            <w:pPr>
              <w:spacing w:line="360" w:lineRule="auto"/>
              <w:jc w:val="center"/>
              <w:rPr>
                <w:rFonts w:hint="eastAsia" w:ascii="宋体" w:hAnsi="宋体" w:eastAsia="宋体" w:cs="Times New Roman"/>
                <w:szCs w:val="21"/>
              </w:rPr>
            </w:pPr>
          </w:p>
        </w:tc>
        <w:tc>
          <w:tcPr>
            <w:tcW w:w="0" w:type="auto"/>
            <w:vAlign w:val="center"/>
          </w:tcPr>
          <w:p w14:paraId="3EF8D49E">
            <w:pPr>
              <w:spacing w:line="360" w:lineRule="auto"/>
              <w:jc w:val="center"/>
              <w:rPr>
                <w:rFonts w:hint="eastAsia" w:ascii="宋体" w:hAnsi="宋体" w:eastAsia="宋体" w:cs="Times New Roman"/>
                <w:szCs w:val="21"/>
              </w:rPr>
            </w:pPr>
          </w:p>
        </w:tc>
        <w:tc>
          <w:tcPr>
            <w:tcW w:w="0" w:type="auto"/>
          </w:tcPr>
          <w:p w14:paraId="0C252E33">
            <w:pPr>
              <w:spacing w:line="360" w:lineRule="auto"/>
              <w:jc w:val="center"/>
              <w:rPr>
                <w:rFonts w:hint="eastAsia" w:ascii="宋体" w:hAnsi="宋体" w:eastAsia="宋体" w:cs="Times New Roman"/>
                <w:szCs w:val="21"/>
              </w:rPr>
            </w:pPr>
          </w:p>
        </w:tc>
        <w:tc>
          <w:tcPr>
            <w:tcW w:w="0" w:type="auto"/>
            <w:vAlign w:val="center"/>
          </w:tcPr>
          <w:p w14:paraId="0F33D340">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88B7FC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DDC0CA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EC29E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EFF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8D275F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22DCA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FD1093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5A5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5CAA6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7B6098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5次，一为读书笔记，学期初即提供阅读书目，要求每位学生至少选择一本认真阅读并作读书笔记，读书笔记完成情况将作为评分的主要依据。二为四次整理提纲，全面认真梳理课上所学内容（基础乐理知识、鉴赏部分的相关知识点）</w:t>
            </w:r>
          </w:p>
        </w:tc>
        <w:tc>
          <w:tcPr>
            <w:tcW w:w="0" w:type="auto"/>
            <w:vAlign w:val="center"/>
          </w:tcPr>
          <w:p w14:paraId="26A3C05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7E6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A14E6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9FDC58A">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DF2BA9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1E53CB7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F8C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C630F57">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071C35C1">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每单元在线下进行测验（课内实践），主要考查基础知识和基本理论的掌握，以题目的正确率为得分依据。</w:t>
            </w:r>
          </w:p>
        </w:tc>
        <w:tc>
          <w:tcPr>
            <w:tcW w:w="0" w:type="auto"/>
            <w:vAlign w:val="center"/>
          </w:tcPr>
          <w:p w14:paraId="3AB9159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4A5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225885">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7AEC9DD2">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课前5分钟左右，每位同学评说音乐时事、音乐史中的重大事件或音乐教育现象等，以学生表达的流程性、逻辑性和分析的深度为评分的主要依据。</w:t>
            </w:r>
          </w:p>
        </w:tc>
        <w:tc>
          <w:tcPr>
            <w:tcW w:w="0" w:type="auto"/>
            <w:vAlign w:val="center"/>
          </w:tcPr>
          <w:p w14:paraId="4134587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EE8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8F9B4A">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19B7ECA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A831FE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B0E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B16228">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55C6C8E">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4B4431C3">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4B9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97B4D3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7650682">
            <w:pPr>
              <w:jc w:val="left"/>
              <w:rPr>
                <w:rFonts w:ascii="Times New Roman" w:hAnsi="Times New Roman" w:eastAsia="宋体" w:cs="Times New Roman"/>
                <w:szCs w:val="21"/>
              </w:rPr>
            </w:pPr>
          </w:p>
        </w:tc>
        <w:tc>
          <w:tcPr>
            <w:tcW w:w="0" w:type="auto"/>
            <w:vAlign w:val="center"/>
          </w:tcPr>
          <w:p w14:paraId="64E4542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5458030">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2FDEB8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B8A6530">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drawing>
          <wp:inline distT="0" distB="0" distL="0" distR="0">
            <wp:extent cx="5138420" cy="320040"/>
            <wp:effectExtent l="0" t="0" r="0" b="3175"/>
            <wp:docPr id="1" name="_x0000_i1025"/>
            <wp:cNvGraphicFramePr/>
            <a:graphic xmlns:a="http://schemas.openxmlformats.org/drawingml/2006/main">
              <a:graphicData uri="http://schemas.openxmlformats.org/drawingml/2006/picture">
                <pic:pic xmlns:pic="http://schemas.openxmlformats.org/drawingml/2006/picture">
                  <pic:nvPicPr>
                    <pic:cNvPr id="1" name="_x0000_i1025"/>
                    <pic:cNvPicPr/>
                  </pic:nvPicPr>
                  <pic:blipFill>
                    <a:blip r:embed="rId5"/>
                    <a:stretch>
                      <a:fillRect/>
                    </a:stretch>
                  </pic:blipFill>
                  <pic:spPr>
                    <a:xfrm>
                      <a:off x="0" y="0"/>
                      <a:ext cx="5138420" cy="320040"/>
                    </a:xfrm>
                    <a:prstGeom prst="rect">
                      <a:avLst/>
                    </a:prstGeom>
                  </pic:spPr>
                </pic:pic>
              </a:graphicData>
            </a:graphic>
          </wp:inline>
        </w:drawing>
      </w:r>
    </w:p>
    <w:p w14:paraId="674DA9A1">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22DC5F10">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73912AB6">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035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4E107B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6A9D03F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68288A4B">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14BF37A0">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3C3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6D80066">
            <w:pPr>
              <w:spacing w:line="276" w:lineRule="auto"/>
              <w:jc w:val="left"/>
              <w:rPr>
                <w:rFonts w:hint="eastAsia" w:ascii="宋体" w:hAnsi="宋体" w:eastAsia="宋体" w:cs="宋体"/>
                <w:szCs w:val="21"/>
              </w:rPr>
            </w:pPr>
            <w:r>
              <w:rPr>
                <w:rFonts w:hint="eastAsia" w:ascii="宋体" w:hAnsi="宋体" w:eastAsia="宋体" w:cs="宋体"/>
                <w:szCs w:val="21"/>
              </w:rPr>
              <w:t>音乐匠人精神</w:t>
            </w:r>
          </w:p>
        </w:tc>
        <w:tc>
          <w:tcPr>
            <w:tcW w:w="3407" w:type="dxa"/>
            <w:vAlign w:val="center"/>
          </w:tcPr>
          <w:p w14:paraId="6874424D">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通过阅读相关书籍或讲述国内外音乐家、音乐教育家的故事，进行课堂主题讨论，让学生领会艺术以及艺术教育中所展现的匠人精神</w:t>
            </w:r>
          </w:p>
        </w:tc>
        <w:tc>
          <w:tcPr>
            <w:tcW w:w="740" w:type="dxa"/>
            <w:vAlign w:val="center"/>
          </w:tcPr>
          <w:p w14:paraId="532A1D87">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74AA8224">
            <w:pPr>
              <w:spacing w:line="276" w:lineRule="auto"/>
              <w:jc w:val="left"/>
              <w:rPr>
                <w:rFonts w:hint="eastAsia"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6CC8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75B7B1C">
            <w:pPr>
              <w:spacing w:line="276" w:lineRule="auto"/>
              <w:jc w:val="left"/>
              <w:rPr>
                <w:rFonts w:hint="eastAsia" w:ascii="宋体" w:hAnsi="宋体" w:eastAsia="宋体" w:cs="宋体"/>
                <w:szCs w:val="21"/>
              </w:rPr>
            </w:pPr>
            <w:r>
              <w:rPr>
                <w:rFonts w:hint="eastAsia" w:ascii="宋体" w:hAnsi="宋体" w:eastAsia="宋体" w:cs="宋体"/>
                <w:szCs w:val="21"/>
              </w:rPr>
              <w:t>最美教师或师德模范进课堂</w:t>
            </w:r>
          </w:p>
        </w:tc>
        <w:tc>
          <w:tcPr>
            <w:tcW w:w="3407" w:type="dxa"/>
            <w:vAlign w:val="center"/>
          </w:tcPr>
          <w:p w14:paraId="288C312E">
            <w:pPr>
              <w:spacing w:line="276" w:lineRule="auto"/>
              <w:jc w:val="left"/>
              <w:rPr>
                <w:rFonts w:hint="eastAsia" w:ascii="宋体" w:hAnsi="宋体" w:eastAsia="宋体" w:cs="宋体"/>
                <w:szCs w:val="21"/>
              </w:rPr>
            </w:pPr>
            <w:r>
              <w:rPr>
                <w:rFonts w:hint="eastAsia" w:ascii="宋体" w:hAnsi="宋体" w:eastAsia="宋体" w:cs="宋体"/>
                <w:szCs w:val="21"/>
              </w:rPr>
              <w:t>邀请当地获得最美教师、师德模范等荣誉称号的教师做报告，让学生进一步认识基础一线优秀教师的优秀事迹并向他们学习。</w:t>
            </w:r>
          </w:p>
        </w:tc>
        <w:tc>
          <w:tcPr>
            <w:tcW w:w="740" w:type="dxa"/>
            <w:vAlign w:val="center"/>
          </w:tcPr>
          <w:p w14:paraId="3B046D3D">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57C9ADEE">
            <w:pPr>
              <w:spacing w:line="276" w:lineRule="auto"/>
              <w:jc w:val="left"/>
              <w:rPr>
                <w:rFonts w:hint="eastAsia" w:ascii="宋体" w:hAnsi="宋体" w:eastAsia="宋体" w:cs="宋体"/>
                <w:szCs w:val="21"/>
              </w:rPr>
            </w:pPr>
            <w:r>
              <w:rPr>
                <w:rFonts w:hint="eastAsia" w:ascii="宋体" w:hAnsi="宋体" w:eastAsia="宋体" w:cs="宋体"/>
                <w:szCs w:val="21"/>
              </w:rPr>
              <w:t>用榜样的力量激发学生爱岗敬业、立志成为卓越教师，为党和国家的发展做出贡献。</w:t>
            </w:r>
          </w:p>
        </w:tc>
      </w:tr>
      <w:tr w14:paraId="36A7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EE6C34A">
            <w:pPr>
              <w:spacing w:line="276" w:lineRule="auto"/>
              <w:jc w:val="left"/>
              <w:rPr>
                <w:rFonts w:hint="eastAsia" w:ascii="宋体" w:hAnsi="宋体" w:eastAsia="宋体" w:cs="宋体"/>
                <w:szCs w:val="21"/>
              </w:rPr>
            </w:pPr>
            <w:r>
              <w:rPr>
                <w:rFonts w:hint="eastAsia" w:ascii="宋体" w:hAnsi="宋体" w:eastAsia="宋体" w:cs="宋体"/>
                <w:szCs w:val="21"/>
              </w:rPr>
              <w:t>寻找最感动我的音乐作品</w:t>
            </w:r>
          </w:p>
        </w:tc>
        <w:tc>
          <w:tcPr>
            <w:tcW w:w="3407" w:type="dxa"/>
            <w:vAlign w:val="center"/>
          </w:tcPr>
          <w:p w14:paraId="45330C82">
            <w:pPr>
              <w:spacing w:line="276" w:lineRule="auto"/>
              <w:jc w:val="left"/>
              <w:rPr>
                <w:rFonts w:hint="eastAsia" w:ascii="宋体" w:hAnsi="宋体" w:eastAsia="宋体" w:cs="宋体"/>
                <w:szCs w:val="21"/>
              </w:rPr>
            </w:pPr>
            <w:r>
              <w:rPr>
                <w:rFonts w:hint="eastAsia" w:ascii="宋体" w:hAnsi="宋体" w:eastAsia="宋体" w:cs="宋体"/>
                <w:szCs w:val="21"/>
              </w:rPr>
              <w:t>利用假期，让学生访谈自己听后最感动自己的音乐作品，在调查中加强对艺术所具备的美育教育属性、人文素养属性的任职</w:t>
            </w:r>
          </w:p>
        </w:tc>
        <w:tc>
          <w:tcPr>
            <w:tcW w:w="740" w:type="dxa"/>
            <w:vAlign w:val="center"/>
          </w:tcPr>
          <w:p w14:paraId="489922E6">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35380ECC">
            <w:pPr>
              <w:spacing w:line="276" w:lineRule="auto"/>
              <w:jc w:val="left"/>
              <w:rPr>
                <w:rFonts w:hint="eastAsia" w:ascii="宋体" w:hAnsi="宋体" w:eastAsia="宋体" w:cs="宋体"/>
                <w:szCs w:val="21"/>
              </w:rPr>
            </w:pPr>
            <w:r>
              <w:rPr>
                <w:rFonts w:hint="eastAsia" w:ascii="宋体" w:hAnsi="宋体" w:eastAsia="宋体" w:cs="宋体"/>
                <w:szCs w:val="21"/>
              </w:rPr>
              <w:t>提高学生对教师职业特性的认识，增强学生从教意愿、责任感、使命感和职业荣耀感， 愿意为党和国家的教育事业奉献终身。</w:t>
            </w:r>
          </w:p>
        </w:tc>
      </w:tr>
      <w:tr w14:paraId="61F6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1BE7C2EA">
            <w:pPr>
              <w:spacing w:line="276" w:lineRule="auto"/>
              <w:jc w:val="left"/>
              <w:rPr>
                <w:rFonts w:hint="eastAsia" w:ascii="宋体" w:hAnsi="宋体" w:eastAsia="宋体" w:cs="宋体"/>
                <w:szCs w:val="21"/>
              </w:rPr>
            </w:pPr>
            <w:r>
              <w:rPr>
                <w:rFonts w:hint="eastAsia" w:ascii="宋体" w:hAnsi="宋体" w:eastAsia="宋体" w:cs="宋体"/>
                <w:szCs w:val="21"/>
              </w:rPr>
              <w:t>师范生从教宣誓</w:t>
            </w:r>
          </w:p>
        </w:tc>
        <w:tc>
          <w:tcPr>
            <w:tcW w:w="3407" w:type="dxa"/>
            <w:vAlign w:val="center"/>
          </w:tcPr>
          <w:p w14:paraId="0ED32934">
            <w:pPr>
              <w:spacing w:line="276" w:lineRule="auto"/>
              <w:jc w:val="left"/>
              <w:rPr>
                <w:rFonts w:hint="eastAsia" w:ascii="宋体" w:hAnsi="宋体" w:eastAsia="宋体" w:cs="宋体"/>
                <w:szCs w:val="21"/>
              </w:rPr>
            </w:pPr>
            <w:r>
              <w:rPr>
                <w:rFonts w:hint="eastAsia" w:ascii="宋体" w:hAnsi="宋体" w:eastAsia="宋体" w:cs="宋体"/>
                <w:szCs w:val="21"/>
              </w:rPr>
              <w:t>学期末，结合课程中的所思、所感、和所得 ，以活动展示的新式进行从教宣誓活动。</w:t>
            </w:r>
          </w:p>
        </w:tc>
        <w:tc>
          <w:tcPr>
            <w:tcW w:w="740" w:type="dxa"/>
            <w:vAlign w:val="center"/>
          </w:tcPr>
          <w:p w14:paraId="7A18D21C">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58950EA7">
            <w:pPr>
              <w:spacing w:line="276" w:lineRule="auto"/>
              <w:jc w:val="left"/>
              <w:rPr>
                <w:rFonts w:hint="eastAsia" w:ascii="宋体" w:hAnsi="宋体" w:eastAsia="宋体" w:cs="宋体"/>
                <w:szCs w:val="21"/>
              </w:rPr>
            </w:pPr>
            <w:r>
              <w:rPr>
                <w:rFonts w:hint="eastAsia" w:ascii="宋体" w:hAnsi="宋体" w:eastAsia="宋体" w:cs="宋体"/>
                <w:szCs w:val="21"/>
              </w:rPr>
              <w:t>用庄严的意识，增强学生从教的意愿，以及成为人民教师的荣耀感、责任感和使命感。</w:t>
            </w:r>
          </w:p>
        </w:tc>
      </w:tr>
    </w:tbl>
    <w:p w14:paraId="5AB0EDD7">
      <w:pPr>
        <w:spacing w:line="360" w:lineRule="auto"/>
        <w:ind w:firstLine="551" w:firstLineChars="196"/>
        <w:jc w:val="left"/>
        <w:rPr>
          <w:rFonts w:hint="eastAsia" w:ascii="宋体" w:hAnsi="宋体" w:eastAsia="宋体" w:cs="Times New Roman"/>
          <w:b/>
          <w:color w:val="000000"/>
          <w:sz w:val="28"/>
          <w:szCs w:val="28"/>
        </w:rPr>
      </w:pPr>
    </w:p>
    <w:p w14:paraId="6D30BE67">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7E380F0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2852E4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21DCB77A">
      <w:pPr>
        <w:spacing w:line="360" w:lineRule="auto"/>
        <w:jc w:val="left"/>
        <w:rPr>
          <w:rFonts w:ascii="Times New Roman" w:hAnsi="Times New Roman" w:eastAsia="宋体" w:cs="Times New Roman"/>
          <w:b/>
          <w:szCs w:val="21"/>
        </w:rPr>
      </w:pPr>
    </w:p>
    <w:p w14:paraId="116FD8E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C875798">
      <w:pPr>
        <w:spacing w:line="360" w:lineRule="auto"/>
        <w:jc w:val="left"/>
        <w:rPr>
          <w:rFonts w:hint="eastAsia" w:ascii="宋体" w:hAnsi="宋体" w:eastAsia="宋体"/>
          <w:szCs w:val="21"/>
        </w:rPr>
      </w:pPr>
      <w:r>
        <w:rPr>
          <w:rFonts w:ascii="宋体" w:hAnsi="宋体" w:eastAsia="宋体"/>
          <w:szCs w:val="21"/>
        </w:rPr>
        <w:t>《</w:t>
      </w:r>
      <w:r>
        <w:rPr>
          <w:rFonts w:hint="eastAsia" w:ascii="宋体" w:hAnsi="宋体" w:eastAsia="宋体"/>
          <w:szCs w:val="21"/>
        </w:rPr>
        <w:t>音乐基础理论与欣赏</w:t>
      </w:r>
      <w:r>
        <w:rPr>
          <w:rFonts w:ascii="宋体" w:hAnsi="宋体" w:eastAsia="宋体"/>
          <w:szCs w:val="21"/>
        </w:rPr>
        <w:t>》，</w:t>
      </w:r>
      <w:r>
        <w:rPr>
          <w:rFonts w:hint="eastAsia" w:ascii="宋体" w:hAnsi="宋体" w:eastAsia="宋体"/>
          <w:szCs w:val="21"/>
        </w:rPr>
        <w:t>于芳、蔡霞著</w:t>
      </w:r>
      <w:r>
        <w:rPr>
          <w:rFonts w:ascii="宋体" w:hAnsi="宋体" w:eastAsia="宋体"/>
          <w:szCs w:val="21"/>
        </w:rPr>
        <w:t>，</w:t>
      </w:r>
      <w:r>
        <w:rPr>
          <w:rFonts w:hint="eastAsia" w:ascii="宋体" w:hAnsi="宋体" w:eastAsia="宋体"/>
          <w:szCs w:val="21"/>
        </w:rPr>
        <w:t>北京师范大学</w:t>
      </w:r>
      <w:r>
        <w:rPr>
          <w:rFonts w:ascii="宋体" w:hAnsi="宋体" w:eastAsia="宋体"/>
          <w:szCs w:val="21"/>
        </w:rPr>
        <w:t>出版社</w:t>
      </w:r>
      <w:r>
        <w:rPr>
          <w:rFonts w:hint="eastAsia" w:ascii="宋体" w:hAnsi="宋体" w:eastAsia="宋体"/>
          <w:szCs w:val="21"/>
        </w:rPr>
        <w:t>。</w:t>
      </w:r>
    </w:p>
    <w:p w14:paraId="79ED8B2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C7ADB08">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1.王道俊、王汉澜</w:t>
      </w:r>
      <w:r>
        <w:rPr>
          <w:rFonts w:ascii="Times New Roman" w:hAnsi="Times New Roman" w:eastAsia="宋体" w:cs="Times New Roman"/>
          <w:bCs/>
          <w:color w:val="000000"/>
          <w:szCs w:val="21"/>
        </w:rPr>
        <w:t>. 教育学. 北京：人民教育出版社，1989.</w:t>
      </w:r>
    </w:p>
    <w:p w14:paraId="472AA0E0">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2.黄济、王策三</w:t>
      </w:r>
      <w:r>
        <w:rPr>
          <w:rFonts w:ascii="Times New Roman" w:hAnsi="Times New Roman" w:eastAsia="宋体" w:cs="Times New Roman"/>
          <w:bCs/>
          <w:color w:val="000000"/>
          <w:szCs w:val="21"/>
        </w:rPr>
        <w:t>. 现代教育论. 北京人民教育出版社，2004.</w:t>
      </w:r>
    </w:p>
    <w:p w14:paraId="68BEF7A8">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3.贾馥茗. 教育的本质：什么是真正的教育</w:t>
      </w:r>
      <w:r>
        <w:rPr>
          <w:rFonts w:ascii="Times New Roman" w:hAnsi="Times New Roman" w:eastAsia="宋体" w:cs="Times New Roman"/>
          <w:bCs/>
          <w:color w:val="000000"/>
          <w:szCs w:val="21"/>
        </w:rPr>
        <w:t>. 北京：世界图书出版公司北京公司，2006</w:t>
      </w:r>
      <w:r>
        <w:rPr>
          <w:rFonts w:hint="eastAsia" w:ascii="Times New Roman" w:hAnsi="Times New Roman" w:eastAsia="宋体" w:cs="Times New Roman"/>
          <w:bCs/>
          <w:color w:val="000000"/>
          <w:szCs w:val="21"/>
        </w:rPr>
        <w:t>.</w:t>
      </w:r>
    </w:p>
    <w:p w14:paraId="3286249A">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4.胡郁青、赵玲. 中国音乐史</w:t>
      </w:r>
      <w:r>
        <w:rPr>
          <w:rFonts w:ascii="Times New Roman" w:hAnsi="Times New Roman" w:eastAsia="宋体" w:cs="Times New Roman"/>
          <w:bCs/>
          <w:color w:val="000000"/>
          <w:szCs w:val="21"/>
        </w:rPr>
        <w:t xml:space="preserve"> </w:t>
      </w:r>
      <w:r>
        <w:rPr>
          <w:rFonts w:hint="eastAsia" w:ascii="Times New Roman" w:hAnsi="Times New Roman" w:eastAsia="宋体" w:cs="Times New Roman"/>
          <w:bCs/>
          <w:color w:val="000000"/>
          <w:szCs w:val="21"/>
        </w:rPr>
        <w:t>西南大学出版社，2022年.</w:t>
      </w:r>
    </w:p>
    <w:p w14:paraId="1BD23E17">
      <w:pPr>
        <w:rPr>
          <w:rFonts w:hint="eastAsia"/>
        </w:rPr>
      </w:pPr>
    </w:p>
    <w:p w14:paraId="5BEE173F">
      <w:pPr>
        <w:rPr>
          <w:rFonts w:hint="eastAsia"/>
        </w:rPr>
      </w:pPr>
    </w:p>
    <w:p w14:paraId="30D8F92E">
      <w:pPr>
        <w:rPr>
          <w:rFonts w:hint="eastAsia"/>
        </w:rPr>
      </w:pPr>
    </w:p>
    <w:p w14:paraId="24E605D9">
      <w:pPr>
        <w:rPr>
          <w:rFonts w:hint="eastAsia"/>
        </w:rPr>
      </w:pPr>
    </w:p>
    <w:p w14:paraId="2A6AFCF7">
      <w:pPr>
        <w:rPr>
          <w:rFonts w:hint="eastAsia"/>
        </w:rPr>
      </w:pPr>
    </w:p>
    <w:p w14:paraId="2F0F6D3F">
      <w:pPr>
        <w:spacing w:line="360" w:lineRule="auto"/>
        <w:ind w:right="1920"/>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执 笔 人：姚雨豪</w:t>
      </w:r>
    </w:p>
    <w:p w14:paraId="4C13791E">
      <w:pPr>
        <w:wordWrap w:val="0"/>
        <w:spacing w:line="360" w:lineRule="auto"/>
        <w:ind w:right="2400"/>
        <w:jc w:val="righ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定 人：</w:t>
      </w:r>
      <w:r>
        <w:rPr>
          <w:rFonts w:hint="eastAsia" w:ascii="Times New Roman" w:hAnsi="Times New Roman" w:eastAsia="宋体" w:cs="Times New Roman"/>
          <w:sz w:val="24"/>
          <w:szCs w:val="24"/>
          <w:lang w:val="en-US" w:eastAsia="zh-CN"/>
        </w:rPr>
        <w:t>王建</w:t>
      </w:r>
    </w:p>
    <w:p w14:paraId="0D4A8502">
      <w:pPr>
        <w:spacing w:line="360" w:lineRule="auto"/>
        <w:ind w:right="168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张志欣</w:t>
      </w:r>
    </w:p>
    <w:p w14:paraId="21924D88">
      <w:pPr>
        <w:spacing w:line="360" w:lineRule="auto"/>
        <w:ind w:right="480"/>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6D17ABA0">
      <w:pPr>
        <w:jc w:val="right"/>
        <w:rPr>
          <w:rFonts w:hint="eastAsia"/>
        </w:rPr>
      </w:pPr>
    </w:p>
    <w:p w14:paraId="248DCE3A">
      <w:pPr>
        <w:autoSpaceDE w:val="0"/>
        <w:autoSpaceDN w:val="0"/>
        <w:adjustRightInd w:val="0"/>
        <w:spacing w:line="360" w:lineRule="auto"/>
        <w:ind w:firstLine="240" w:firstLineChars="100"/>
        <w:jc w:val="right"/>
        <w:rPr>
          <w:rFonts w:ascii="Times New Roman" w:hAnsi="Times New Roman" w:eastAsia="宋体" w:cs="Times New Roman"/>
          <w:kern w:val="0"/>
          <w:sz w:val="24"/>
          <w:szCs w:val="21"/>
        </w:rPr>
      </w:pPr>
    </w:p>
    <w:p w14:paraId="7F7D8D63">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1DB913E9">
      <w:pPr>
        <w:pStyle w:val="2"/>
        <w:bidi w:val="0"/>
        <w:rPr>
          <w:rFonts w:hint="eastAsia"/>
          <w:lang w:val="en-US" w:eastAsia="zh-CN"/>
        </w:rPr>
      </w:pPr>
      <w:bookmarkStart w:id="2297" w:name="_Toc30427"/>
      <w:bookmarkStart w:id="2298" w:name="_Toc11513"/>
      <w:bookmarkStart w:id="2299" w:name="_Toc10091"/>
      <w:bookmarkStart w:id="2300" w:name="_Toc28940"/>
      <w:r>
        <w:rPr>
          <w:rFonts w:hint="eastAsia"/>
          <w:lang w:val="en-US" w:eastAsia="zh-CN"/>
        </w:rPr>
        <w:t>《儿童戏剧》课程与教学大纲</w:t>
      </w:r>
      <w:bookmarkEnd w:id="2297"/>
      <w:bookmarkEnd w:id="2298"/>
      <w:bookmarkEnd w:id="2299"/>
      <w:bookmarkEnd w:id="2300"/>
    </w:p>
    <w:p w14:paraId="7644E2ED">
      <w:pPr>
        <w:pStyle w:val="2"/>
        <w:bidi w:val="0"/>
        <w:rPr>
          <w:lang w:val="en-US" w:eastAsia="zh-CN"/>
        </w:rPr>
      </w:pPr>
      <w:bookmarkStart w:id="2301" w:name="_Toc28856"/>
      <w:bookmarkStart w:id="2302" w:name="_Toc7199"/>
      <w:bookmarkStart w:id="2303" w:name="_Toc22923"/>
      <w:bookmarkStart w:id="2304" w:name="_Toc13310"/>
      <w:bookmarkStart w:id="2305" w:name="_Toc29238"/>
      <w:bookmarkStart w:id="2306" w:name="_Toc26258"/>
      <w:bookmarkStart w:id="2307" w:name="_Toc5340"/>
      <w:r>
        <w:rPr>
          <w:rFonts w:hint="eastAsia"/>
          <w:lang w:val="en-US" w:eastAsia="zh-CN"/>
        </w:rPr>
        <w:t>（Children's Drama）</w:t>
      </w:r>
      <w:bookmarkEnd w:id="2301"/>
      <w:bookmarkEnd w:id="2302"/>
      <w:bookmarkEnd w:id="2303"/>
      <w:bookmarkEnd w:id="2304"/>
      <w:bookmarkEnd w:id="2305"/>
      <w:bookmarkEnd w:id="2306"/>
      <w:bookmarkEnd w:id="2307"/>
    </w:p>
    <w:p w14:paraId="7DCA8975">
      <w:pPr>
        <w:spacing w:line="360" w:lineRule="auto"/>
        <w:jc w:val="center"/>
        <w:rPr>
          <w:rFonts w:ascii="Times New Roman" w:hAnsi="Times New Roman" w:eastAsia="宋体" w:cs="Times New Roman"/>
          <w:bCs/>
          <w:sz w:val="30"/>
          <w:szCs w:val="30"/>
        </w:rPr>
      </w:pPr>
    </w:p>
    <w:p w14:paraId="3B0932A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儿童戏剧</w:t>
      </w:r>
      <w:r>
        <w:rPr>
          <w:rFonts w:ascii="Times New Roman" w:hAnsi="Times New Roman" w:eastAsia="宋体" w:cs="Times New Roman"/>
          <w:b/>
          <w:sz w:val="24"/>
          <w:szCs w:val="24"/>
        </w:rPr>
        <w:t xml:space="preserve"> </w:t>
      </w:r>
    </w:p>
    <w:p w14:paraId="1F6D78C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课程代码：0705067</w:t>
      </w:r>
    </w:p>
    <w:p w14:paraId="5F88E8C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宋体" w:hAnsi="宋体" w:eastAsia="宋体" w:cs="宋体"/>
          <w:kern w:val="0"/>
          <w:sz w:val="24"/>
          <w:szCs w:val="24"/>
        </w:rPr>
        <w:t>3</w:t>
      </w:r>
    </w:p>
    <w:p w14:paraId="0D3976C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宋体" w:hAnsi="宋体" w:eastAsia="宋体" w:cs="宋体"/>
          <w:kern w:val="0"/>
          <w:sz w:val="24"/>
          <w:szCs w:val="24"/>
        </w:rPr>
        <w:t>48</w:t>
      </w:r>
      <w:r>
        <w:rPr>
          <w:rFonts w:hint="eastAsia" w:ascii="宋体" w:hAnsi="宋体" w:eastAsia="宋体" w:cs="宋体"/>
          <w:kern w:val="0"/>
          <w:sz w:val="24"/>
          <w:szCs w:val="24"/>
        </w:rPr>
        <w:t>（其中，讲授16学时，课内实践</w:t>
      </w:r>
      <w:r>
        <w:rPr>
          <w:rFonts w:ascii="宋体" w:hAnsi="宋体" w:eastAsia="宋体" w:cs="宋体"/>
          <w:kern w:val="0"/>
          <w:sz w:val="24"/>
          <w:szCs w:val="24"/>
        </w:rPr>
        <w:t>32</w:t>
      </w:r>
      <w:r>
        <w:rPr>
          <w:rFonts w:hint="eastAsia" w:ascii="宋体" w:hAnsi="宋体" w:eastAsia="宋体" w:cs="宋体"/>
          <w:kern w:val="0"/>
          <w:sz w:val="24"/>
          <w:szCs w:val="24"/>
        </w:rPr>
        <w:t>学时）</w:t>
      </w:r>
    </w:p>
    <w:p w14:paraId="7AE29B1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宋体" w:hAnsi="宋体" w:eastAsia="宋体" w:cs="宋体"/>
          <w:bCs/>
          <w:kern w:val="0"/>
          <w:sz w:val="24"/>
          <w:szCs w:val="24"/>
        </w:rPr>
        <w:t>儿童文学</w:t>
      </w:r>
    </w:p>
    <w:p w14:paraId="314FBEC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0F8E75C2">
      <w:pPr>
        <w:keepNext/>
        <w:widowControl w:val="0"/>
        <w:tabs>
          <w:tab w:val="left" w:pos="720"/>
          <w:tab w:val="left" w:pos="2700"/>
        </w:tabs>
        <w:bidi w:val="0"/>
        <w:spacing w:line="850" w:lineRule="exact"/>
        <w:jc w:val="center"/>
        <w:outlineLvl w:val="0"/>
        <w:rPr>
          <w:rFonts w:ascii="Times New Roman" w:hAnsi="Times New Roman" w:eastAsia="宋体" w:cs="Arial"/>
          <w:b/>
          <w:bCs/>
          <w:kern w:val="2"/>
          <w:sz w:val="44"/>
          <w:szCs w:val="24"/>
          <w:lang w:val="en-US" w:eastAsia="zh-CN" w:bidi="ar-SA"/>
        </w:rPr>
      </w:pPr>
      <w:bookmarkStart w:id="2308" w:name="_Toc9519"/>
      <w:bookmarkStart w:id="2309" w:name="_Toc3767"/>
      <w:bookmarkStart w:id="2310" w:name="_Toc8139"/>
      <w:bookmarkStart w:id="2311" w:name="_Toc7454"/>
      <w:bookmarkStart w:id="2312" w:name="_Toc21420"/>
      <w:bookmarkStart w:id="2313" w:name="_Toc13436"/>
      <w:bookmarkStart w:id="2314" w:name="_Toc32032"/>
      <w:r>
        <w:rPr>
          <w:rFonts w:hint="eastAsia" w:ascii="Times New Roman" w:hAnsi="Times New Roman" w:eastAsia="宋体" w:cs="Arial"/>
          <w:b/>
          <w:bCs/>
          <w:kern w:val="2"/>
          <w:sz w:val="44"/>
          <w:szCs w:val="24"/>
          <w:lang w:val="en-US" w:eastAsia="zh-CN" w:bidi="ar-SA"/>
        </w:rPr>
        <w:t>一、课程简介</w:t>
      </w:r>
      <w:bookmarkEnd w:id="2308"/>
      <w:bookmarkEnd w:id="2309"/>
      <w:bookmarkEnd w:id="2310"/>
      <w:bookmarkEnd w:id="2311"/>
      <w:bookmarkEnd w:id="2312"/>
      <w:bookmarkEnd w:id="2313"/>
      <w:bookmarkEnd w:id="2314"/>
    </w:p>
    <w:p w14:paraId="74779D6A">
      <w:pPr>
        <w:spacing w:line="360" w:lineRule="auto"/>
        <w:ind w:firstLine="480" w:firstLineChars="200"/>
        <w:jc w:val="left"/>
        <w:rPr>
          <w:rFonts w:hint="eastAsia" w:ascii="宋体" w:hAnsi="宋体" w:eastAsia="宋体" w:cs="Times New Roman"/>
          <w:b/>
          <w:color w:val="000000"/>
          <w:szCs w:val="21"/>
        </w:rPr>
      </w:pPr>
      <w:r>
        <w:rPr>
          <w:rFonts w:hint="eastAsia" w:ascii="Times New Roman" w:hAnsi="Times New Roman" w:eastAsia="宋体" w:cs="Times New Roman"/>
          <w:sz w:val="24"/>
          <w:szCs w:val="24"/>
        </w:rPr>
        <w:t>本课程是为小学教育专业</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文</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开设专业必修课。该课程主要使学生充分认识儿童剧在儿童成长中的重要作用，提高文学素养；了解和掌握儿童剧创编与表演的基本理论，掌握儿童剧、情景剧创编和排演的一般方法和技能；提高艺术想象力与创造力。</w:t>
      </w:r>
    </w:p>
    <w:p w14:paraId="551DDCC5">
      <w:pPr>
        <w:spacing w:line="360" w:lineRule="auto"/>
        <w:jc w:val="left"/>
        <w:outlineLvl w:val="0"/>
        <w:rPr>
          <w:rFonts w:ascii="Times New Roman" w:hAnsi="Times New Roman" w:eastAsia="宋体" w:cs="Times New Roman"/>
          <w:sz w:val="24"/>
          <w:szCs w:val="24"/>
        </w:rPr>
      </w:pPr>
      <w:bookmarkStart w:id="2315" w:name="_Toc32334"/>
      <w:bookmarkStart w:id="2316" w:name="_Toc9406"/>
      <w:bookmarkStart w:id="2317" w:name="_Toc4838"/>
      <w:bookmarkStart w:id="2318" w:name="_Toc13133"/>
      <w:bookmarkStart w:id="2319" w:name="_Toc124"/>
      <w:bookmarkStart w:id="2320" w:name="_Toc22364"/>
      <w:bookmarkStart w:id="2321" w:name="_Toc10595"/>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315"/>
      <w:bookmarkEnd w:id="2316"/>
      <w:bookmarkEnd w:id="2317"/>
      <w:bookmarkEnd w:id="2318"/>
      <w:bookmarkEnd w:id="2319"/>
      <w:bookmarkEnd w:id="2320"/>
      <w:bookmarkEnd w:id="2321"/>
    </w:p>
    <w:p w14:paraId="06A55019">
      <w:pPr>
        <w:spacing w:line="360" w:lineRule="auto"/>
        <w:ind w:firstLine="422" w:firstLineChars="200"/>
        <w:outlineLvl w:val="1"/>
        <w:rPr>
          <w:rFonts w:hint="eastAsia" w:ascii="宋体" w:hAnsi="宋体" w:eastAsia="宋体" w:cs="Times New Roman"/>
          <w:b/>
          <w:color w:val="000000"/>
          <w:szCs w:val="21"/>
        </w:rPr>
      </w:pPr>
      <w:bookmarkStart w:id="2322" w:name="_Toc3903"/>
      <w:r>
        <w:rPr>
          <w:rFonts w:hint="eastAsia" w:ascii="宋体" w:hAnsi="宋体" w:eastAsia="宋体" w:cs="Times New Roman"/>
          <w:b/>
          <w:color w:val="000000"/>
          <w:szCs w:val="21"/>
        </w:rPr>
        <w:t>（一）课程具体目标</w:t>
      </w:r>
      <w:bookmarkEnd w:id="2322"/>
    </w:p>
    <w:p w14:paraId="781CEE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bookmarkStart w:id="2323" w:name="OLE_LINK22"/>
      <w:r>
        <w:rPr>
          <w:rFonts w:hint="eastAsia" w:ascii="宋体" w:hAnsi="宋体" w:eastAsia="宋体" w:cs="宋体"/>
          <w:sz w:val="24"/>
          <w:szCs w:val="24"/>
        </w:rPr>
        <w:t>目标1.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了解国内外儿童戏剧教育的先进理念;掌握3-12岁儿童戏剧教育教学过程中需要的戏剧元素、戏剧基础知识以及组织戏剧活动的基本原则与方式方法。</w:t>
      </w:r>
    </w:p>
    <w:p w14:paraId="4B77F4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auto"/>
          <w:sz w:val="24"/>
          <w:szCs w:val="24"/>
        </w:rPr>
      </w:pPr>
      <w:r>
        <w:rPr>
          <w:rFonts w:hint="eastAsia" w:ascii="宋体" w:hAnsi="宋体" w:eastAsia="宋体" w:cs="宋体"/>
          <w:color w:val="auto"/>
          <w:sz w:val="24"/>
          <w:szCs w:val="24"/>
        </w:rPr>
        <w:t>目标2. 具备良好的自我表现能力和审美创造能力，能够独立编、导、演儿童戏剧</w:t>
      </w:r>
      <w:r>
        <w:rPr>
          <w:rFonts w:hint="eastAsia" w:ascii="宋体" w:hAnsi="宋体" w:eastAsia="宋体" w:cs="宋体"/>
          <w:color w:val="auto"/>
          <w:sz w:val="24"/>
          <w:szCs w:val="24"/>
          <w:lang w:eastAsia="zh-CN"/>
        </w:rPr>
        <w:t>；能正确将戏剧教育习式运用到儿童戏剧教育活动中，能自主设计戏剧教育活动。</w:t>
      </w:r>
    </w:p>
    <w:p w14:paraId="4BB039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目标3. 具有团队协作精神，掌握沟通合作技能，具有小组互助和合作学习的意识与能力。积累儿童剧相关的排练与表演经验，以小组为单位，排演相关的儿童剧，在</w:t>
      </w:r>
      <w:r>
        <w:rPr>
          <w:rFonts w:hint="eastAsia" w:ascii="宋体" w:hAnsi="宋体" w:eastAsia="宋体" w:cs="宋体"/>
          <w:color w:val="auto"/>
          <w:sz w:val="24"/>
          <w:szCs w:val="24"/>
          <w:lang w:val="en-US" w:eastAsia="zh-CN"/>
        </w:rPr>
        <w:t>大</w:t>
      </w:r>
      <w:r>
        <w:rPr>
          <w:rFonts w:hint="eastAsia" w:ascii="宋体" w:hAnsi="宋体" w:eastAsia="宋体" w:cs="宋体"/>
          <w:color w:val="auto"/>
          <w:sz w:val="24"/>
          <w:szCs w:val="24"/>
        </w:rPr>
        <w:t>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小学</w:t>
      </w:r>
      <w:r>
        <w:rPr>
          <w:rFonts w:hint="eastAsia" w:ascii="宋体" w:hAnsi="宋体" w:eastAsia="宋体" w:cs="宋体"/>
          <w:color w:val="auto"/>
          <w:sz w:val="24"/>
          <w:szCs w:val="24"/>
        </w:rPr>
        <w:t>等实践基地进行汇报演出。</w:t>
      </w:r>
    </w:p>
    <w:bookmarkEnd w:id="2323"/>
    <w:p w14:paraId="7425E3A3">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firstLine="422" w:firstLineChars="200"/>
        <w:jc w:val="left"/>
        <w:textAlignment w:val="auto"/>
        <w:outlineLvl w:val="1"/>
        <w:rPr>
          <w:rFonts w:hint="eastAsia" w:ascii="Times New Roman" w:hAnsi="Times New Roman" w:eastAsia="宋体" w:cs="Times New Roman"/>
          <w:b/>
          <w:bCs/>
          <w:szCs w:val="21"/>
        </w:rPr>
      </w:pPr>
      <w:bookmarkStart w:id="2324" w:name="_Toc4913"/>
      <w:r>
        <w:rPr>
          <w:rFonts w:hint="eastAsia" w:ascii="Times New Roman" w:hAnsi="Times New Roman" w:eastAsia="宋体" w:cs="Times New Roman"/>
          <w:b/>
          <w:bCs/>
          <w:szCs w:val="21"/>
        </w:rPr>
        <w:t>课程目标及其对毕业要求指标点的支撑</w:t>
      </w:r>
      <w:bookmarkEnd w:id="2324"/>
    </w:p>
    <w:p w14:paraId="7B8FE1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表1  课程目标及其对毕业要求指标点的支撑</w:t>
      </w:r>
    </w:p>
    <w:p w14:paraId="3963DD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21"/>
          <w:szCs w:val="21"/>
          <w:lang w:val="en-US" w:eastAsia="zh-CN"/>
        </w:rPr>
      </w:pP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E43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8B9F453">
            <w:pPr>
              <w:spacing w:line="360" w:lineRule="auto"/>
              <w:jc w:val="center"/>
              <w:rPr>
                <w:rFonts w:ascii="Times New Roman" w:hAnsi="Times New Roman" w:eastAsia="宋体" w:cs="Times New Roman"/>
                <w:b/>
                <w:bCs/>
                <w:szCs w:val="21"/>
              </w:rPr>
            </w:pPr>
            <w:bookmarkStart w:id="2325" w:name="OLE_LINK21"/>
            <w:r>
              <w:rPr>
                <w:rFonts w:hint="eastAsia" w:ascii="Times New Roman" w:hAnsi="Times New Roman" w:eastAsia="宋体" w:cs="Times New Roman"/>
                <w:b/>
                <w:bCs/>
                <w:szCs w:val="21"/>
              </w:rPr>
              <w:t>毕业要求</w:t>
            </w:r>
          </w:p>
        </w:tc>
        <w:tc>
          <w:tcPr>
            <w:tcW w:w="5688" w:type="dxa"/>
            <w:vAlign w:val="center"/>
          </w:tcPr>
          <w:p w14:paraId="3D15EB9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75AB02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CE8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A2F696C">
            <w:pPr>
              <w:autoSpaceDE w:val="0"/>
              <w:autoSpaceDN w:val="0"/>
              <w:rPr>
                <w:rFonts w:ascii="Times New Roman" w:hAnsi="Times New Roman" w:eastAsia="宋体" w:cs="Times New Roman"/>
                <w:szCs w:val="21"/>
              </w:rPr>
            </w:pPr>
            <w:r>
              <w:rPr>
                <w:rFonts w:hint="eastAsia" w:ascii="宋体" w:hAnsi="宋体" w:eastAsia="等线" w:cs="宋体"/>
                <w:b/>
                <w:bCs/>
                <w:kern w:val="0"/>
                <w:sz w:val="20"/>
                <w:szCs w:val="20"/>
              </w:rPr>
              <w:t>毕业要求6：</w:t>
            </w:r>
            <w:r>
              <w:rPr>
                <w:rFonts w:hint="eastAsia" w:ascii="宋体" w:hAnsi="宋体" w:eastAsia="等线" w:cs="宋体"/>
                <w:b/>
                <w:bCs/>
                <w:sz w:val="20"/>
                <w:szCs w:val="20"/>
              </w:rPr>
              <w:t>综合育人</w:t>
            </w:r>
          </w:p>
        </w:tc>
        <w:tc>
          <w:tcPr>
            <w:tcW w:w="5688" w:type="dxa"/>
            <w:vAlign w:val="center"/>
          </w:tcPr>
          <w:p w14:paraId="04C72835">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指标点6-1：【遵循身心规律】了解不同年龄以及有特殊需要的小学生的身心发展特点和规律、不同年龄小学生学习的特点，掌握小学生良好行为习惯养成的知识。</w:t>
            </w:r>
          </w:p>
          <w:p w14:paraId="2C1C9C41">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指标点6-3：【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101B759E">
            <w:pPr>
              <w:spacing w:line="276" w:lineRule="auto"/>
              <w:jc w:val="left"/>
              <w:rPr>
                <w:rFonts w:hint="eastAsia" w:ascii="宋体" w:hAnsi="宋体" w:eastAsia="宋体" w:cs="宋体"/>
                <w:bCs/>
                <w:color w:val="000000"/>
                <w:szCs w:val="21"/>
              </w:rPr>
            </w:pPr>
            <w:r>
              <w:rPr>
                <w:rFonts w:hint="eastAsia" w:ascii="宋体" w:hAnsi="宋体" w:eastAsia="宋体" w:cs="宋体"/>
                <w:bCs/>
                <w:color w:val="000000"/>
                <w:szCs w:val="21"/>
              </w:rPr>
              <w:t>课程目标1</w:t>
            </w:r>
          </w:p>
          <w:p w14:paraId="2C8AF3D1">
            <w:pPr>
              <w:spacing w:line="276" w:lineRule="auto"/>
              <w:jc w:val="left"/>
              <w:rPr>
                <w:rFonts w:hint="default" w:ascii="宋体" w:hAnsi="宋体" w:eastAsia="宋体" w:cs="宋体"/>
                <w:bCs/>
                <w:color w:val="0000FF"/>
                <w:szCs w:val="21"/>
                <w:lang w:val="en-US" w:eastAsia="zh-CN"/>
              </w:rPr>
            </w:pPr>
            <w:r>
              <w:rPr>
                <w:rFonts w:hint="eastAsia" w:ascii="宋体" w:hAnsi="宋体" w:eastAsia="宋体" w:cs="宋体"/>
                <w:bCs/>
                <w:color w:val="000000"/>
                <w:szCs w:val="21"/>
                <w:lang w:val="en-US" w:eastAsia="zh-CN"/>
              </w:rPr>
              <w:t>课程目标2</w:t>
            </w:r>
          </w:p>
        </w:tc>
      </w:tr>
      <w:tr w14:paraId="220A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ACB6344">
            <w:pPr>
              <w:autoSpaceDE w:val="0"/>
              <w:autoSpaceDN w:val="0"/>
              <w:rPr>
                <w:rFonts w:ascii="Times New Roman" w:hAnsi="Times New Roman" w:eastAsia="宋体" w:cs="Times New Roman"/>
                <w:szCs w:val="21"/>
              </w:rPr>
            </w:pPr>
            <w:r>
              <w:rPr>
                <w:rFonts w:hint="eastAsia" w:ascii="宋体" w:hAnsi="宋体" w:eastAsia="等线" w:cs="宋体"/>
                <w:b/>
                <w:bCs/>
                <w:kern w:val="0"/>
                <w:sz w:val="20"/>
                <w:szCs w:val="20"/>
              </w:rPr>
              <w:t>毕业要求8：</w:t>
            </w:r>
            <w:r>
              <w:rPr>
                <w:rFonts w:hint="eastAsia" w:ascii="宋体" w:hAnsi="宋体" w:eastAsia="等线" w:cs="宋体"/>
                <w:b/>
                <w:bCs/>
                <w:sz w:val="20"/>
                <w:szCs w:val="20"/>
              </w:rPr>
              <w:t>沟通合作</w:t>
            </w:r>
          </w:p>
        </w:tc>
        <w:tc>
          <w:tcPr>
            <w:tcW w:w="5688" w:type="dxa"/>
            <w:vAlign w:val="center"/>
          </w:tcPr>
          <w:p w14:paraId="24C0D8B7">
            <w:pPr>
              <w:spacing w:line="276" w:lineRule="auto"/>
              <w:jc w:val="left"/>
              <w:rPr>
                <w:rFonts w:hint="eastAsia" w:ascii="宋体" w:hAnsi="宋体" w:eastAsia="等线" w:cs="宋体"/>
                <w:sz w:val="20"/>
                <w:szCs w:val="20"/>
              </w:rPr>
            </w:pPr>
            <w:r>
              <w:rPr>
                <w:rFonts w:hint="eastAsia" w:ascii="宋体" w:hAnsi="宋体" w:eastAsia="等线" w:cs="宋体"/>
                <w:kern w:val="0"/>
                <w:sz w:val="20"/>
                <w:szCs w:val="20"/>
              </w:rPr>
              <w:t>指标点</w:t>
            </w:r>
            <w:r>
              <w:rPr>
                <w:rFonts w:hint="eastAsia" w:ascii="宋体" w:hAnsi="宋体" w:eastAsia="等线" w:cs="宋体"/>
                <w:sz w:val="20"/>
                <w:szCs w:val="20"/>
              </w:rPr>
              <w:t>8-1：【善于团队合作】理解学习共同体的本质和价值，掌握团队协作的基本策略，在课堂学习与教育实践中获得合作学习体验，形成团队协作精神。</w:t>
            </w:r>
          </w:p>
        </w:tc>
        <w:tc>
          <w:tcPr>
            <w:tcW w:w="1191" w:type="dxa"/>
            <w:vAlign w:val="center"/>
          </w:tcPr>
          <w:p w14:paraId="73795B14">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课程目标3</w:t>
            </w:r>
          </w:p>
        </w:tc>
      </w:tr>
      <w:bookmarkEnd w:id="2325"/>
    </w:tbl>
    <w:p w14:paraId="64F162EB">
      <w:pPr>
        <w:spacing w:before="156" w:beforeLines="50" w:line="360" w:lineRule="auto"/>
        <w:jc w:val="left"/>
        <w:outlineLvl w:val="1"/>
        <w:rPr>
          <w:rFonts w:hint="eastAsia" w:ascii="宋体" w:hAnsi="宋体" w:eastAsia="宋体" w:cs="Times New Roman"/>
          <w:b/>
          <w:color w:val="000000"/>
          <w:sz w:val="24"/>
          <w:szCs w:val="24"/>
        </w:rPr>
      </w:pPr>
      <w:bookmarkStart w:id="2326" w:name="_Toc26432"/>
      <w:r>
        <w:rPr>
          <w:rFonts w:hint="eastAsia" w:ascii="宋体" w:hAnsi="宋体" w:eastAsia="宋体" w:cs="Times New Roman"/>
          <w:b/>
          <w:color w:val="000000"/>
          <w:sz w:val="24"/>
          <w:szCs w:val="24"/>
        </w:rPr>
        <w:t>（三）课程思政目标</w:t>
      </w:r>
      <w:bookmarkEnd w:id="2326"/>
    </w:p>
    <w:p w14:paraId="06C2A9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eastAsia="宋体" w:cs="Times New Roman"/>
          <w:color w:val="000000"/>
          <w:sz w:val="24"/>
          <w:szCs w:val="24"/>
          <w:lang w:eastAsia="zh-CN"/>
        </w:rPr>
      </w:pPr>
      <w:bookmarkStart w:id="2327" w:name="_Toc25426"/>
      <w:r>
        <w:rPr>
          <w:rFonts w:hint="eastAsia" w:ascii="宋体" w:hAnsi="宋体" w:eastAsia="宋体" w:cs="Times New Roman"/>
          <w:color w:val="000000"/>
          <w:sz w:val="24"/>
          <w:szCs w:val="24"/>
          <w:lang w:val="en-US" w:eastAsia="zh-CN"/>
        </w:rPr>
        <w:t>1.树立正确的价值观，</w:t>
      </w:r>
      <w:r>
        <w:rPr>
          <w:rFonts w:hint="eastAsia" w:ascii="宋体" w:hAnsi="宋体" w:eastAsia="宋体" w:cs="Times New Roman"/>
          <w:color w:val="000000"/>
          <w:sz w:val="24"/>
          <w:szCs w:val="24"/>
        </w:rPr>
        <w:t>增强国家意识和民族认同感</w:t>
      </w:r>
      <w:bookmarkEnd w:id="2327"/>
    </w:p>
    <w:p w14:paraId="24BABF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通过儿童戏剧课程中的故事、角色和情节，引导学生认识和理解社会现象，形成积极向上的生活态度和价值观念；</w:t>
      </w:r>
      <w:r>
        <w:rPr>
          <w:rFonts w:hint="eastAsia" w:ascii="宋体" w:hAnsi="宋体" w:eastAsia="宋体" w:cs="Times New Roman"/>
          <w:color w:val="000000"/>
          <w:sz w:val="24"/>
          <w:szCs w:val="24"/>
        </w:rPr>
        <w:t>在戏剧课程中融入爱国主义教育元素，如历史故事、英雄人物等，让学生感受中华民族的伟大精神和优秀传统，增强对国家的热爱和归属感。</w:t>
      </w:r>
    </w:p>
    <w:p w14:paraId="6D28B2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outlineLvl w:val="2"/>
        <w:rPr>
          <w:rFonts w:hint="eastAsia" w:ascii="宋体" w:hAnsi="宋体" w:eastAsia="宋体" w:cs="Times New Roman"/>
          <w:color w:val="000000"/>
          <w:sz w:val="24"/>
          <w:szCs w:val="24"/>
          <w:lang w:val="en-US" w:eastAsia="zh-CN"/>
        </w:rPr>
      </w:pPr>
      <w:bookmarkStart w:id="2328" w:name="_Toc32396"/>
      <w:r>
        <w:rPr>
          <w:rFonts w:hint="eastAsia" w:ascii="宋体" w:hAnsi="宋体" w:eastAsia="宋体" w:cs="Times New Roman"/>
          <w:color w:val="000000"/>
          <w:sz w:val="24"/>
          <w:szCs w:val="24"/>
          <w:lang w:val="en-US" w:eastAsia="zh-CN"/>
        </w:rPr>
        <w:t>2.培养道德品质，提升道德判断力，增强社会责任感</w:t>
      </w:r>
      <w:bookmarkEnd w:id="2328"/>
    </w:p>
    <w:p w14:paraId="17EF65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通过戏剧中的道德故事和角色塑造，引导学生学习并践行诚信、友善、勤劳、勇敢等道德品质；在戏剧课程中设置与现实生活相关的情境和任务，让学生体验并理解社会责任的重要性，学会关心他人、服务社会。</w:t>
      </w:r>
    </w:p>
    <w:p w14:paraId="661417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outlineLvl w:val="2"/>
        <w:rPr>
          <w:rFonts w:hint="eastAsia" w:ascii="宋体" w:hAnsi="宋体" w:eastAsia="宋体" w:cs="Times New Roman"/>
          <w:color w:val="000000"/>
          <w:sz w:val="24"/>
          <w:szCs w:val="24"/>
          <w:lang w:val="en-US" w:eastAsia="zh-CN"/>
        </w:rPr>
      </w:pPr>
      <w:bookmarkStart w:id="2329" w:name="_Toc22015"/>
      <w:r>
        <w:rPr>
          <w:rFonts w:hint="eastAsia" w:ascii="宋体" w:hAnsi="宋体" w:eastAsia="宋体" w:cs="Times New Roman"/>
          <w:color w:val="000000"/>
          <w:sz w:val="24"/>
          <w:szCs w:val="24"/>
          <w:lang w:val="en-US" w:eastAsia="zh-CN"/>
        </w:rPr>
        <w:t>3.培养创新思维和实践能力，提升文学素养和审美能力</w:t>
      </w:r>
      <w:bookmarkEnd w:id="2329"/>
    </w:p>
    <w:p w14:paraId="30EAC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儿童戏剧课程鼓励学生参与剧本创作、角色扮演等活动，激发他们的创造力和想象力，同时锻炼他们的实践能力；戏剧作为一种文学艺术形式，能够提升学生的文学素养和审美能力，让他们学会欣赏和创造美。</w:t>
      </w:r>
    </w:p>
    <w:p w14:paraId="066385FC">
      <w:pPr>
        <w:numPr>
          <w:ilvl w:val="0"/>
          <w:numId w:val="69"/>
        </w:numPr>
        <w:spacing w:line="360" w:lineRule="auto"/>
        <w:jc w:val="left"/>
        <w:outlineLvl w:val="0"/>
        <w:rPr>
          <w:rFonts w:hint="eastAsia" w:ascii="宋体" w:hAnsi="宋体" w:eastAsia="宋体" w:cs="Times New Roman"/>
          <w:b/>
          <w:color w:val="000000"/>
          <w:sz w:val="24"/>
          <w:szCs w:val="24"/>
        </w:rPr>
      </w:pPr>
      <w:bookmarkStart w:id="2330" w:name="_Toc23320"/>
      <w:bookmarkStart w:id="2331" w:name="_Toc18"/>
      <w:bookmarkStart w:id="2332" w:name="_Toc20109"/>
      <w:bookmarkStart w:id="2333" w:name="_Toc29301"/>
      <w:bookmarkStart w:id="2334" w:name="_Toc3567"/>
      <w:bookmarkStart w:id="2335" w:name="_Toc30225"/>
      <w:bookmarkStart w:id="2336" w:name="_Toc32375"/>
      <w:r>
        <w:rPr>
          <w:rFonts w:hint="eastAsia" w:ascii="宋体" w:hAnsi="宋体" w:eastAsia="宋体" w:cs="Times New Roman"/>
          <w:b/>
          <w:color w:val="000000"/>
          <w:sz w:val="24"/>
          <w:szCs w:val="24"/>
        </w:rPr>
        <w:t>教学内容与预期学习成效</w:t>
      </w:r>
      <w:bookmarkEnd w:id="2330"/>
      <w:bookmarkEnd w:id="2331"/>
      <w:bookmarkEnd w:id="2332"/>
      <w:bookmarkEnd w:id="2333"/>
      <w:bookmarkEnd w:id="2334"/>
      <w:bookmarkEnd w:id="2335"/>
      <w:bookmarkEnd w:id="2336"/>
    </w:p>
    <w:p w14:paraId="270F16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b/>
          <w:color w:val="000000"/>
          <w:sz w:val="24"/>
          <w:szCs w:val="24"/>
        </w:rPr>
      </w:pPr>
      <w:r>
        <w:rPr>
          <w:rFonts w:hint="eastAsia" w:ascii="楷体" w:hAnsi="楷体" w:eastAsia="楷体" w:cs="楷体"/>
          <w:b/>
          <w:bCs/>
          <w:sz w:val="21"/>
          <w:szCs w:val="21"/>
          <w:lang w:val="en-US" w:eastAsia="zh-CN"/>
        </w:rPr>
        <w:t xml:space="preserve">表2  </w:t>
      </w:r>
      <w:r>
        <w:rPr>
          <w:rFonts w:hint="eastAsia" w:ascii="楷体" w:hAnsi="楷体" w:eastAsia="楷体" w:cs="楷体"/>
          <w:b/>
          <w:color w:val="000000"/>
          <w:sz w:val="22"/>
          <w:szCs w:val="22"/>
        </w:rPr>
        <w:t>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925"/>
        <w:gridCol w:w="1182"/>
        <w:gridCol w:w="3359"/>
        <w:gridCol w:w="1281"/>
        <w:gridCol w:w="438"/>
      </w:tblGrid>
      <w:tr w14:paraId="3EFF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14:paraId="4BC26DB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57B880E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925" w:type="dxa"/>
            <w:vAlign w:val="center"/>
          </w:tcPr>
          <w:p w14:paraId="620F2F2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82" w:type="dxa"/>
            <w:vAlign w:val="center"/>
          </w:tcPr>
          <w:p w14:paraId="46DD11F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B08D5E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59" w:type="dxa"/>
            <w:vAlign w:val="center"/>
          </w:tcPr>
          <w:p w14:paraId="48EBDA65">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1" w:type="dxa"/>
            <w:vAlign w:val="center"/>
          </w:tcPr>
          <w:p w14:paraId="774CE2B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0469AE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7378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4A6463C2">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w:t>
            </w:r>
          </w:p>
          <w:p w14:paraId="2A02172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儿童戏剧概述</w:t>
            </w:r>
          </w:p>
          <w:p w14:paraId="6FFED733">
            <w:pPr>
              <w:spacing w:line="264" w:lineRule="auto"/>
              <w:jc w:val="center"/>
              <w:rPr>
                <w:rFonts w:hint="eastAsia" w:ascii="宋体" w:hAnsi="宋体" w:eastAsia="宋体" w:cs="Times New Roman"/>
                <w:color w:val="000000"/>
                <w:szCs w:val="21"/>
              </w:rPr>
            </w:pPr>
          </w:p>
        </w:tc>
        <w:tc>
          <w:tcPr>
            <w:tcW w:w="1925" w:type="dxa"/>
            <w:vAlign w:val="center"/>
          </w:tcPr>
          <w:p w14:paraId="1852922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1．儿童戏剧的定义与特征</w:t>
            </w:r>
          </w:p>
          <w:p w14:paraId="5D60055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2．儿童戏剧的分类</w:t>
            </w:r>
          </w:p>
          <w:p w14:paraId="3D73D2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3．儿童戏剧教学的理论基础</w:t>
            </w:r>
          </w:p>
          <w:p w14:paraId="0AF95C4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 儿童戏剧的教育意义</w:t>
            </w:r>
          </w:p>
        </w:tc>
        <w:tc>
          <w:tcPr>
            <w:tcW w:w="1182" w:type="dxa"/>
            <w:vAlign w:val="center"/>
          </w:tcPr>
          <w:p w14:paraId="0D94C6A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目标1</w:t>
            </w:r>
          </w:p>
        </w:tc>
        <w:tc>
          <w:tcPr>
            <w:tcW w:w="3359" w:type="dxa"/>
            <w:vAlign w:val="center"/>
          </w:tcPr>
          <w:p w14:paraId="2241FFC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掌握儿童戏剧的概念、特征与分类</w:t>
            </w:r>
          </w:p>
          <w:p w14:paraId="7F3091E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了解不同发展时期的儿童戏剧教学的形式、内容与特点</w:t>
            </w:r>
          </w:p>
          <w:p w14:paraId="79597F4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了解儿童戏剧教学的基本理论基础</w:t>
            </w:r>
          </w:p>
          <w:p w14:paraId="21C45B2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理解儿童戏剧的教育意义</w:t>
            </w:r>
          </w:p>
        </w:tc>
        <w:tc>
          <w:tcPr>
            <w:tcW w:w="1281" w:type="dxa"/>
            <w:vAlign w:val="center"/>
          </w:tcPr>
          <w:p w14:paraId="540EFD3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多媒体教学</w:t>
            </w:r>
          </w:p>
          <w:p w14:paraId="4292324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课堂讨论</w:t>
            </w:r>
          </w:p>
          <w:p w14:paraId="0602730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小组实践</w:t>
            </w:r>
          </w:p>
        </w:tc>
        <w:tc>
          <w:tcPr>
            <w:tcW w:w="438" w:type="dxa"/>
            <w:vAlign w:val="center"/>
          </w:tcPr>
          <w:p w14:paraId="4D112B5A">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p>
        </w:tc>
      </w:tr>
      <w:tr w14:paraId="232F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4CDC9D4A">
            <w:pPr>
              <w:spacing w:line="264" w:lineRule="auto"/>
              <w:jc w:val="center"/>
              <w:rPr>
                <w:rFonts w:hint="eastAsia" w:ascii="宋体" w:hAnsi="宋体" w:eastAsia="宋体" w:cs="Times New Roman"/>
                <w:color w:val="000000"/>
                <w:szCs w:val="21"/>
              </w:rPr>
            </w:pPr>
          </w:p>
        </w:tc>
        <w:tc>
          <w:tcPr>
            <w:tcW w:w="8185" w:type="dxa"/>
            <w:gridSpan w:val="5"/>
            <w:vAlign w:val="center"/>
          </w:tcPr>
          <w:p w14:paraId="7E34F28F">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提升学生的文学素养和审美能力，让</w:t>
            </w:r>
            <w:r>
              <w:rPr>
                <w:rFonts w:hint="eastAsia" w:ascii="宋体" w:hAnsi="宋体" w:eastAsia="宋体" w:cs="Times New Roman"/>
                <w:b w:val="0"/>
                <w:bCs/>
                <w:color w:val="000000"/>
                <w:szCs w:val="21"/>
                <w:lang w:val="en-US" w:eastAsia="zh-CN"/>
              </w:rPr>
              <w:t>学生</w:t>
            </w:r>
            <w:r>
              <w:rPr>
                <w:rFonts w:hint="eastAsia" w:ascii="宋体" w:hAnsi="宋体" w:eastAsia="宋体" w:cs="Times New Roman"/>
                <w:b w:val="0"/>
                <w:bCs/>
                <w:color w:val="000000"/>
                <w:szCs w:val="21"/>
              </w:rPr>
              <w:t>学会欣赏和创造美</w:t>
            </w:r>
            <w:r>
              <w:rPr>
                <w:rFonts w:hint="eastAsia" w:ascii="宋体" w:hAnsi="宋体" w:eastAsia="宋体" w:cs="Times New Roman"/>
                <w:b w:val="0"/>
                <w:bCs/>
                <w:color w:val="000000"/>
                <w:szCs w:val="21"/>
                <w:lang w:eastAsia="zh-CN"/>
              </w:rPr>
              <w:t>。</w:t>
            </w:r>
          </w:p>
        </w:tc>
      </w:tr>
      <w:tr w14:paraId="54E6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5F40FD3E">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w:t>
            </w:r>
          </w:p>
          <w:p w14:paraId="2268C334">
            <w:pPr>
              <w:spacing w:line="264" w:lineRule="auto"/>
              <w:jc w:val="center"/>
              <w:rPr>
                <w:rFonts w:hint="default" w:ascii="宋体" w:hAnsi="宋体" w:eastAsia="宋体" w:cs="Times New Roman"/>
                <w:color w:val="000000"/>
                <w:szCs w:val="21"/>
                <w:lang w:val="en-US" w:eastAsia="zh-CN"/>
              </w:rPr>
            </w:pPr>
            <w:bookmarkStart w:id="2337" w:name="OLE_LINK17"/>
            <w:r>
              <w:rPr>
                <w:rFonts w:hint="eastAsia" w:ascii="宋体" w:hAnsi="宋体" w:eastAsia="宋体" w:cs="Times New Roman"/>
                <w:color w:val="000000"/>
                <w:szCs w:val="21"/>
              </w:rPr>
              <w:t>儿童戏剧</w:t>
            </w:r>
            <w:r>
              <w:rPr>
                <w:rFonts w:hint="eastAsia" w:ascii="宋体" w:hAnsi="宋体" w:eastAsia="宋体" w:cs="Times New Roman"/>
                <w:color w:val="000000"/>
                <w:szCs w:val="21"/>
                <w:lang w:val="en-US" w:eastAsia="zh-CN"/>
              </w:rPr>
              <w:t>的创编</w:t>
            </w:r>
          </w:p>
          <w:bookmarkEnd w:id="2337"/>
          <w:p w14:paraId="20A6A8EF">
            <w:pPr>
              <w:spacing w:line="264" w:lineRule="auto"/>
              <w:jc w:val="center"/>
              <w:rPr>
                <w:rFonts w:ascii="宋体" w:hAnsi="宋体" w:eastAsia="宋体" w:cs="Times New Roman"/>
                <w:color w:val="000000"/>
                <w:szCs w:val="21"/>
              </w:rPr>
            </w:pPr>
          </w:p>
          <w:p w14:paraId="79E7009A">
            <w:pPr>
              <w:spacing w:line="264" w:lineRule="auto"/>
              <w:jc w:val="center"/>
              <w:rPr>
                <w:rFonts w:hint="eastAsia" w:ascii="宋体" w:hAnsi="宋体" w:eastAsia="宋体" w:cs="Times New Roman"/>
                <w:color w:val="000000"/>
                <w:szCs w:val="21"/>
              </w:rPr>
            </w:pPr>
          </w:p>
        </w:tc>
        <w:tc>
          <w:tcPr>
            <w:tcW w:w="1925" w:type="dxa"/>
            <w:vAlign w:val="center"/>
          </w:tcPr>
          <w:p w14:paraId="4ADAC373">
            <w:pPr>
              <w:spacing w:line="269" w:lineRule="auto"/>
              <w:jc w:val="left"/>
              <w:rPr>
                <w:rFonts w:ascii="宋体" w:hAnsi="宋体" w:eastAsia="宋体" w:cs="Times New Roman"/>
                <w:color w:val="000000"/>
                <w:szCs w:val="21"/>
              </w:rPr>
            </w:pPr>
          </w:p>
          <w:p w14:paraId="4498EFA5">
            <w:pPr>
              <w:numPr>
                <w:ilvl w:val="0"/>
                <w:numId w:val="70"/>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儿童戏剧的改编与创作</w:t>
            </w:r>
          </w:p>
          <w:p w14:paraId="06B1CD2F">
            <w:pPr>
              <w:numPr>
                <w:ilvl w:val="0"/>
                <w:numId w:val="70"/>
              </w:numPr>
              <w:spacing w:line="269" w:lineRule="auto"/>
              <w:ind w:left="0" w:leftChars="0" w:firstLine="0" w:firstLineChars="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儿童戏剧的基本写作格式</w:t>
            </w:r>
          </w:p>
          <w:p w14:paraId="6F05D27C">
            <w:pPr>
              <w:numPr>
                <w:ilvl w:val="0"/>
                <w:numId w:val="70"/>
              </w:numPr>
              <w:spacing w:line="269" w:lineRule="auto"/>
              <w:ind w:left="0" w:leftChars="0" w:firstLine="0" w:firstLineChars="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剧本的主旨呈现</w:t>
            </w:r>
          </w:p>
          <w:p w14:paraId="5554E136">
            <w:pPr>
              <w:numPr>
                <w:ilvl w:val="0"/>
                <w:numId w:val="70"/>
              </w:numPr>
              <w:spacing w:line="269" w:lineRule="auto"/>
              <w:ind w:left="0" w:leftChars="0" w:firstLine="0" w:firstLineChars="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剧本的人物形象设计</w:t>
            </w:r>
          </w:p>
          <w:p w14:paraId="4B7908C0">
            <w:pPr>
              <w:numPr>
                <w:ilvl w:val="0"/>
                <w:numId w:val="70"/>
              </w:numPr>
              <w:spacing w:line="269" w:lineRule="auto"/>
              <w:ind w:left="0" w:leftChars="0" w:firstLine="0" w:firstLineChars="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戏剧冲突</w:t>
            </w:r>
          </w:p>
          <w:p w14:paraId="684A5134">
            <w:pPr>
              <w:numPr>
                <w:ilvl w:val="0"/>
                <w:numId w:val="70"/>
              </w:numPr>
              <w:spacing w:line="269" w:lineRule="auto"/>
              <w:ind w:left="0" w:leftChars="0" w:firstLine="0" w:firstLineChars="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剧本中的游戏元素</w:t>
            </w:r>
          </w:p>
          <w:p w14:paraId="70472573">
            <w:pPr>
              <w:spacing w:line="269" w:lineRule="auto"/>
              <w:jc w:val="left"/>
              <w:rPr>
                <w:rFonts w:hint="eastAsia" w:ascii="宋体" w:hAnsi="宋体" w:eastAsia="宋体" w:cs="Times New Roman"/>
                <w:color w:val="000000"/>
                <w:szCs w:val="21"/>
              </w:rPr>
            </w:pPr>
          </w:p>
        </w:tc>
        <w:tc>
          <w:tcPr>
            <w:tcW w:w="1182" w:type="dxa"/>
            <w:vAlign w:val="center"/>
          </w:tcPr>
          <w:p w14:paraId="7852719F">
            <w:pPr>
              <w:spacing w:line="269" w:lineRule="auto"/>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目标1</w:t>
            </w:r>
          </w:p>
          <w:p w14:paraId="0FFA9FB6">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宋体"/>
                <w:color w:val="auto"/>
                <w:sz w:val="21"/>
                <w:szCs w:val="21"/>
              </w:rPr>
              <w:t>目标</w:t>
            </w:r>
            <w:r>
              <w:rPr>
                <w:rFonts w:hint="eastAsia" w:ascii="宋体" w:hAnsi="宋体" w:eastAsia="宋体" w:cs="宋体"/>
                <w:color w:val="auto"/>
                <w:sz w:val="21"/>
                <w:szCs w:val="21"/>
                <w:lang w:val="en-US" w:eastAsia="zh-CN"/>
              </w:rPr>
              <w:t>2</w:t>
            </w:r>
          </w:p>
        </w:tc>
        <w:tc>
          <w:tcPr>
            <w:tcW w:w="3359" w:type="dxa"/>
            <w:vAlign w:val="center"/>
          </w:tcPr>
          <w:p w14:paraId="3D9C503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掌握儿童戏剧</w:t>
            </w:r>
            <w:r>
              <w:rPr>
                <w:rFonts w:hint="eastAsia" w:ascii="宋体" w:hAnsi="宋体" w:eastAsia="宋体" w:cs="Times New Roman"/>
                <w:color w:val="000000"/>
                <w:szCs w:val="21"/>
                <w:lang w:val="en-US" w:eastAsia="zh-CN"/>
              </w:rPr>
              <w:t>剧本创作的</w:t>
            </w:r>
            <w:r>
              <w:rPr>
                <w:rFonts w:hint="eastAsia" w:ascii="宋体" w:hAnsi="宋体" w:eastAsia="宋体" w:cs="Times New Roman"/>
                <w:color w:val="000000"/>
                <w:szCs w:val="21"/>
              </w:rPr>
              <w:t>基本</w:t>
            </w:r>
            <w:r>
              <w:rPr>
                <w:rFonts w:hint="eastAsia" w:ascii="宋体" w:hAnsi="宋体" w:eastAsia="宋体" w:cs="Times New Roman"/>
                <w:color w:val="000000"/>
                <w:szCs w:val="21"/>
                <w:lang w:val="en-US" w:eastAsia="zh-CN"/>
              </w:rPr>
              <w:t>格式</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戏剧人物创作的三个维度，能够独立创作富有创意、寓教于乐的儿童戏剧剧本；</w:t>
            </w:r>
          </w:p>
          <w:p w14:paraId="661AC06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2.能通过情节设计、角色对话和舞台行动等多种手段，巧妙而自然地传达剧本主旨，使观众在享受戏剧的同时受到启发和教育；</w:t>
            </w:r>
          </w:p>
          <w:p w14:paraId="57072CA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3.理解戏剧冲突的意义，理解戏剧冲突在推动剧情发展中的重要作用，学会构建合理、紧凑且富有张力的戏剧冲突；</w:t>
            </w:r>
          </w:p>
          <w:p w14:paraId="04923B4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4.掌握在剧本中融入互动游戏、角色扮演、趣味问答等游戏元素的方法，增加戏剧的参与性和趣味性。</w:t>
            </w:r>
          </w:p>
          <w:p w14:paraId="332C9F24">
            <w:pPr>
              <w:spacing w:line="269" w:lineRule="auto"/>
              <w:jc w:val="left"/>
              <w:rPr>
                <w:rFonts w:hint="eastAsia" w:ascii="宋体" w:hAnsi="宋体" w:eastAsia="宋体" w:cs="Times New Roman"/>
                <w:color w:val="000000"/>
                <w:szCs w:val="21"/>
              </w:rPr>
            </w:pPr>
          </w:p>
        </w:tc>
        <w:tc>
          <w:tcPr>
            <w:tcW w:w="1281" w:type="dxa"/>
            <w:vAlign w:val="center"/>
          </w:tcPr>
          <w:p w14:paraId="4CF73BC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多媒体教学</w:t>
            </w:r>
          </w:p>
          <w:p w14:paraId="5F3F57B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案例分析</w:t>
            </w:r>
          </w:p>
          <w:p w14:paraId="5993764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小组讨论</w:t>
            </w:r>
          </w:p>
          <w:p w14:paraId="1952140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小组实践</w:t>
            </w:r>
          </w:p>
        </w:tc>
        <w:tc>
          <w:tcPr>
            <w:tcW w:w="438" w:type="dxa"/>
            <w:vAlign w:val="center"/>
          </w:tcPr>
          <w:p w14:paraId="1BE80519">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p>
        </w:tc>
      </w:tr>
      <w:tr w14:paraId="6C1A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616310F5">
            <w:pPr>
              <w:spacing w:line="264" w:lineRule="auto"/>
              <w:jc w:val="center"/>
              <w:rPr>
                <w:rFonts w:hint="eastAsia" w:ascii="宋体" w:hAnsi="宋体" w:eastAsia="宋体" w:cs="Times New Roman"/>
                <w:color w:val="000000"/>
                <w:szCs w:val="21"/>
              </w:rPr>
            </w:pPr>
          </w:p>
        </w:tc>
        <w:tc>
          <w:tcPr>
            <w:tcW w:w="8185" w:type="dxa"/>
            <w:gridSpan w:val="5"/>
            <w:vAlign w:val="center"/>
          </w:tcPr>
          <w:p w14:paraId="0EE32D8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 w:val="20"/>
                <w:szCs w:val="20"/>
              </w:rPr>
              <w:t xml:space="preserve"> </w:t>
            </w:r>
            <w:r>
              <w:rPr>
                <w:rFonts w:hint="eastAsia" w:ascii="宋体" w:hAnsi="宋体" w:eastAsia="宋体" w:cs="Times New Roman"/>
                <w:color w:val="000000"/>
                <w:sz w:val="22"/>
                <w:szCs w:val="22"/>
                <w:lang w:val="en-US" w:eastAsia="zh-CN"/>
              </w:rPr>
              <w:t>提升学生的文学素养和审美能力，让他们学会欣赏和创造美；通过对人物形象的多维分析，增强对角色的理解，增强对正面人物的共情能力。</w:t>
            </w:r>
          </w:p>
        </w:tc>
      </w:tr>
      <w:tr w14:paraId="5039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0C446248">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w:t>
            </w:r>
          </w:p>
          <w:p w14:paraId="6775A993">
            <w:pPr>
              <w:spacing w:line="264" w:lineRule="auto"/>
              <w:jc w:val="center"/>
              <w:rPr>
                <w:rFonts w:hint="default" w:ascii="宋体" w:hAnsi="宋体" w:eastAsia="宋体" w:cs="Times New Roman"/>
                <w:color w:val="000000"/>
                <w:szCs w:val="21"/>
                <w:lang w:val="en-US" w:eastAsia="zh-CN"/>
              </w:rPr>
            </w:pPr>
            <w:bookmarkStart w:id="2338" w:name="OLE_LINK18"/>
            <w:r>
              <w:rPr>
                <w:rFonts w:hint="eastAsia" w:ascii="宋体" w:hAnsi="宋体" w:eastAsia="宋体" w:cs="Times New Roman"/>
                <w:color w:val="000000"/>
                <w:szCs w:val="21"/>
                <w:lang w:val="en-US" w:eastAsia="zh-CN"/>
              </w:rPr>
              <w:t>儿童戏剧的导演</w:t>
            </w:r>
          </w:p>
          <w:bookmarkEnd w:id="2338"/>
          <w:p w14:paraId="484D4212">
            <w:pPr>
              <w:spacing w:line="264" w:lineRule="auto"/>
              <w:jc w:val="center"/>
              <w:rPr>
                <w:rFonts w:ascii="宋体" w:hAnsi="宋体" w:eastAsia="宋体" w:cs="Times New Roman"/>
                <w:color w:val="000000"/>
                <w:szCs w:val="21"/>
              </w:rPr>
            </w:pPr>
          </w:p>
          <w:p w14:paraId="42946209">
            <w:pPr>
              <w:spacing w:line="264" w:lineRule="auto"/>
              <w:jc w:val="center"/>
              <w:rPr>
                <w:rFonts w:hint="eastAsia" w:ascii="宋体" w:hAnsi="宋体" w:eastAsia="宋体" w:cs="Times New Roman"/>
                <w:color w:val="000000"/>
                <w:szCs w:val="21"/>
              </w:rPr>
            </w:pPr>
          </w:p>
        </w:tc>
        <w:tc>
          <w:tcPr>
            <w:tcW w:w="1925" w:type="dxa"/>
            <w:vAlign w:val="center"/>
          </w:tcPr>
          <w:p w14:paraId="06BBA3A6">
            <w:pPr>
              <w:spacing w:line="269" w:lineRule="auto"/>
              <w:jc w:val="left"/>
              <w:rPr>
                <w:rFonts w:ascii="宋体" w:hAnsi="宋体" w:eastAsia="宋体" w:cs="Times New Roman"/>
                <w:color w:val="000000"/>
                <w:szCs w:val="21"/>
              </w:rPr>
            </w:pPr>
          </w:p>
          <w:p w14:paraId="4F273F01">
            <w:pPr>
              <w:numPr>
                <w:ilvl w:val="0"/>
                <w:numId w:val="71"/>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舞台调度</w:t>
            </w:r>
          </w:p>
          <w:p w14:paraId="24BC7772">
            <w:pPr>
              <w:numPr>
                <w:ilvl w:val="0"/>
                <w:numId w:val="71"/>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舞台节奏的把握</w:t>
            </w:r>
          </w:p>
          <w:p w14:paraId="23507B88">
            <w:pPr>
              <w:numPr>
                <w:ilvl w:val="0"/>
                <w:numId w:val="71"/>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舞台的静止与流变</w:t>
            </w:r>
          </w:p>
          <w:p w14:paraId="4236AE25">
            <w:pPr>
              <w:numPr>
                <w:ilvl w:val="0"/>
                <w:numId w:val="71"/>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合作排演</w:t>
            </w:r>
          </w:p>
          <w:p w14:paraId="732A713F">
            <w:pPr>
              <w:spacing w:line="269" w:lineRule="auto"/>
              <w:jc w:val="left"/>
              <w:rPr>
                <w:rFonts w:hint="eastAsia" w:ascii="宋体" w:hAnsi="宋体" w:eastAsia="宋体" w:cs="Times New Roman"/>
                <w:color w:val="000000"/>
                <w:szCs w:val="21"/>
              </w:rPr>
            </w:pPr>
          </w:p>
        </w:tc>
        <w:tc>
          <w:tcPr>
            <w:tcW w:w="1182" w:type="dxa"/>
            <w:vAlign w:val="center"/>
          </w:tcPr>
          <w:p w14:paraId="2266B4A2">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目标2</w:t>
            </w:r>
          </w:p>
          <w:p w14:paraId="22399D8F">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目标3</w:t>
            </w:r>
          </w:p>
        </w:tc>
        <w:tc>
          <w:tcPr>
            <w:tcW w:w="3359" w:type="dxa"/>
            <w:vAlign w:val="center"/>
          </w:tcPr>
          <w:p w14:paraId="7EC8D5B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1.深入理解舞台调度的概念及其在戏剧表演中的重要性，包括演员的位置移动、动作路径、群体场景的组织等；</w:t>
            </w:r>
          </w:p>
          <w:p w14:paraId="2DED561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2.掌握舞台节奏的基本概念，包括快慢、强弱、紧张与舒缓等变化，以及如何通过对话、动作、音乐等元素来调控节奏；</w:t>
            </w:r>
          </w:p>
          <w:p w14:paraId="44335223">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3.理解舞台静止（如定格、静默等）与流变（如动作、场景转换等）在戏剧表演中的艺术价值，以及它们如何共同构建戏剧的视觉动态</w:t>
            </w:r>
          </w:p>
        </w:tc>
        <w:tc>
          <w:tcPr>
            <w:tcW w:w="1281" w:type="dxa"/>
            <w:vAlign w:val="center"/>
          </w:tcPr>
          <w:p w14:paraId="4A856A6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多媒体教学案例分析</w:t>
            </w:r>
          </w:p>
          <w:p w14:paraId="530BAFA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小组讨论</w:t>
            </w:r>
          </w:p>
          <w:p w14:paraId="44C65A3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小组实践</w:t>
            </w:r>
          </w:p>
        </w:tc>
        <w:tc>
          <w:tcPr>
            <w:tcW w:w="438" w:type="dxa"/>
            <w:vAlign w:val="center"/>
          </w:tcPr>
          <w:p w14:paraId="7A8A4867">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p>
        </w:tc>
      </w:tr>
      <w:tr w14:paraId="7276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72CECFAF">
            <w:pPr>
              <w:spacing w:line="264" w:lineRule="auto"/>
              <w:jc w:val="center"/>
              <w:rPr>
                <w:rFonts w:hint="eastAsia" w:ascii="宋体" w:hAnsi="宋体" w:eastAsia="宋体" w:cs="Times New Roman"/>
                <w:color w:val="000000"/>
                <w:szCs w:val="21"/>
              </w:rPr>
            </w:pPr>
          </w:p>
        </w:tc>
        <w:tc>
          <w:tcPr>
            <w:tcW w:w="8185" w:type="dxa"/>
            <w:gridSpan w:val="5"/>
            <w:vAlign w:val="center"/>
          </w:tcPr>
          <w:p w14:paraId="5C902816">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提升学生的文学素养和审美能力，让他们学会欣赏和创造美</w:t>
            </w:r>
            <w:r>
              <w:rPr>
                <w:rFonts w:hint="eastAsia" w:ascii="宋体" w:hAnsi="宋体" w:eastAsia="宋体" w:cs="Times New Roman"/>
                <w:color w:val="000000"/>
                <w:szCs w:val="21"/>
                <w:lang w:eastAsia="zh-CN"/>
              </w:rPr>
              <w:t>。</w:t>
            </w:r>
          </w:p>
        </w:tc>
      </w:tr>
      <w:tr w14:paraId="3E62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12DE9F49">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w:t>
            </w:r>
          </w:p>
          <w:p w14:paraId="138D86D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儿童戏剧的表演</w:t>
            </w:r>
          </w:p>
        </w:tc>
        <w:tc>
          <w:tcPr>
            <w:tcW w:w="1925" w:type="dxa"/>
            <w:vAlign w:val="center"/>
          </w:tcPr>
          <w:p w14:paraId="4F390123">
            <w:pPr>
              <w:numPr>
                <w:ilvl w:val="0"/>
                <w:numId w:val="72"/>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儿童戏剧演员的创作素质；</w:t>
            </w:r>
          </w:p>
          <w:p w14:paraId="772B5978">
            <w:pPr>
              <w:numPr>
                <w:ilvl w:val="0"/>
                <w:numId w:val="72"/>
              </w:num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台词及其表达的技巧训练；</w:t>
            </w:r>
          </w:p>
          <w:p w14:paraId="51DFD0E1">
            <w:pPr>
              <w:numPr>
                <w:ilvl w:val="0"/>
                <w:numId w:val="72"/>
              </w:num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话剧表演中语言的应用；</w:t>
            </w:r>
          </w:p>
          <w:p w14:paraId="2790C4C9">
            <w:pPr>
              <w:numPr>
                <w:ilvl w:val="0"/>
                <w:numId w:val="72"/>
              </w:num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演员创作中的自我定位</w:t>
            </w:r>
          </w:p>
        </w:tc>
        <w:tc>
          <w:tcPr>
            <w:tcW w:w="1182" w:type="dxa"/>
            <w:vAlign w:val="center"/>
          </w:tcPr>
          <w:p w14:paraId="37D0B6AF">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目标2</w:t>
            </w:r>
          </w:p>
          <w:p w14:paraId="23342B3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目标3</w:t>
            </w:r>
          </w:p>
        </w:tc>
        <w:tc>
          <w:tcPr>
            <w:tcW w:w="3359" w:type="dxa"/>
            <w:vAlign w:val="center"/>
          </w:tcPr>
          <w:p w14:paraId="44F8DC6B">
            <w:pPr>
              <w:numPr>
                <w:ilvl w:val="0"/>
                <w:numId w:val="73"/>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理解儿童戏剧演员所需具备的创作素质，包括想象力、创造力、情感表达能力、角色塑造能力等；</w:t>
            </w:r>
          </w:p>
          <w:p w14:paraId="6F9FFFDA">
            <w:pPr>
              <w:numPr>
                <w:ilvl w:val="0"/>
                <w:numId w:val="73"/>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掌握台词朗读与表达中的语音语调、语速节奏、发音清晰度等方面的技巧，在实际表演中，能够灵活运用台词表达技巧，增强表演的感染力和说服力，使角色形象更加鲜明立体；</w:t>
            </w:r>
          </w:p>
          <w:p w14:paraId="32F7E45C">
            <w:pPr>
              <w:numPr>
                <w:ilvl w:val="0"/>
                <w:numId w:val="73"/>
              </w:numPr>
              <w:spacing w:line="276" w:lineRule="auto"/>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能够根据自身的特点和优势，合理规划表演风格和角色选择</w:t>
            </w:r>
            <w:r>
              <w:rPr>
                <w:rFonts w:hint="eastAsia" w:ascii="宋体" w:hAnsi="宋体" w:eastAsia="宋体" w:cs="Times New Roman"/>
                <w:color w:val="000000"/>
                <w:szCs w:val="21"/>
                <w:lang w:val="en-US" w:eastAsia="zh-CN"/>
              </w:rPr>
              <w:t>，</w:t>
            </w:r>
            <w:r>
              <w:rPr>
                <w:rFonts w:hint="default" w:ascii="宋体" w:hAnsi="宋体" w:eastAsia="宋体" w:cs="Times New Roman"/>
                <w:color w:val="000000"/>
                <w:szCs w:val="21"/>
                <w:lang w:val="en-US" w:eastAsia="zh-CN"/>
              </w:rPr>
              <w:t>学会在创作过程中明确自己的定位与角色，理解个人在表演团队中的价值和作用</w:t>
            </w:r>
          </w:p>
        </w:tc>
        <w:tc>
          <w:tcPr>
            <w:tcW w:w="1281" w:type="dxa"/>
            <w:vAlign w:val="center"/>
          </w:tcPr>
          <w:p w14:paraId="6CC6B82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多媒体教学案例分析</w:t>
            </w:r>
          </w:p>
          <w:p w14:paraId="4E51DA0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小组实践</w:t>
            </w:r>
          </w:p>
        </w:tc>
        <w:tc>
          <w:tcPr>
            <w:tcW w:w="438" w:type="dxa"/>
            <w:vAlign w:val="center"/>
          </w:tcPr>
          <w:p w14:paraId="28FC4E2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p>
        </w:tc>
      </w:tr>
      <w:tr w14:paraId="6C30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023ABE35">
            <w:pPr>
              <w:spacing w:line="276" w:lineRule="auto"/>
              <w:jc w:val="center"/>
              <w:rPr>
                <w:rFonts w:hint="eastAsia" w:ascii="宋体" w:hAnsi="宋体" w:eastAsia="宋体" w:cs="Times New Roman"/>
                <w:color w:val="000000"/>
                <w:szCs w:val="21"/>
              </w:rPr>
            </w:pPr>
          </w:p>
        </w:tc>
        <w:tc>
          <w:tcPr>
            <w:tcW w:w="8185" w:type="dxa"/>
            <w:gridSpan w:val="5"/>
            <w:vAlign w:val="center"/>
          </w:tcPr>
          <w:p w14:paraId="5B12F7A5">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通过戏剧中的道德故事和角色塑造，引导学生学习并践行诚信、友善、勤劳、勇敢等道德品质</w:t>
            </w:r>
            <w:r>
              <w:rPr>
                <w:rFonts w:hint="eastAsia" w:ascii="宋体" w:hAnsi="宋体" w:eastAsia="宋体" w:cs="Times New Roman"/>
                <w:color w:val="000000"/>
                <w:szCs w:val="21"/>
                <w:lang w:eastAsia="zh-CN"/>
              </w:rPr>
              <w:t>；鼓励学生参与剧本创作、角色扮演等活动，激发他们的创造力和想象力，同时锻炼他们的实践能力。</w:t>
            </w:r>
          </w:p>
        </w:tc>
      </w:tr>
      <w:tr w14:paraId="23DC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70CB6F8E">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w:t>
            </w:r>
          </w:p>
          <w:p w14:paraId="3AF0C3CB">
            <w:pPr>
              <w:spacing w:line="276" w:lineRule="auto"/>
              <w:jc w:val="center"/>
              <w:rPr>
                <w:rFonts w:hint="default" w:ascii="宋体" w:hAnsi="宋体" w:eastAsia="宋体" w:cs="Times New Roman"/>
                <w:color w:val="000000"/>
                <w:szCs w:val="21"/>
                <w:lang w:val="en-US" w:eastAsia="zh-CN"/>
              </w:rPr>
            </w:pPr>
            <w:bookmarkStart w:id="2339" w:name="OLE_LINK19"/>
            <w:r>
              <w:rPr>
                <w:rFonts w:hint="eastAsia" w:ascii="宋体" w:hAnsi="宋体" w:eastAsia="宋体" w:cs="Times New Roman"/>
                <w:color w:val="000000"/>
                <w:szCs w:val="21"/>
                <w:lang w:val="en-US" w:eastAsia="zh-CN"/>
              </w:rPr>
              <w:t>舞台美术</w:t>
            </w:r>
            <w:bookmarkEnd w:id="2339"/>
          </w:p>
        </w:tc>
        <w:tc>
          <w:tcPr>
            <w:tcW w:w="1925" w:type="dxa"/>
            <w:vAlign w:val="center"/>
          </w:tcPr>
          <w:p w14:paraId="251342AE">
            <w:pPr>
              <w:numPr>
                <w:ilvl w:val="0"/>
                <w:numId w:val="74"/>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舞台美术设计</w:t>
            </w:r>
          </w:p>
          <w:p w14:paraId="56365F9F">
            <w:pPr>
              <w:numPr>
                <w:ilvl w:val="0"/>
                <w:numId w:val="74"/>
              </w:num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道具设计制作</w:t>
            </w:r>
          </w:p>
          <w:p w14:paraId="58896548">
            <w:pPr>
              <w:numPr>
                <w:ilvl w:val="0"/>
                <w:numId w:val="74"/>
              </w:num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演员化妆造型</w:t>
            </w:r>
          </w:p>
          <w:p w14:paraId="56ECF404">
            <w:pPr>
              <w:numPr>
                <w:ilvl w:val="0"/>
                <w:numId w:val="74"/>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服装服饰设计</w:t>
            </w:r>
          </w:p>
        </w:tc>
        <w:tc>
          <w:tcPr>
            <w:tcW w:w="1182" w:type="dxa"/>
            <w:vAlign w:val="center"/>
          </w:tcPr>
          <w:p w14:paraId="260879E6">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目标2</w:t>
            </w:r>
          </w:p>
          <w:p w14:paraId="79BA12D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目标3</w:t>
            </w:r>
          </w:p>
        </w:tc>
        <w:tc>
          <w:tcPr>
            <w:tcW w:w="3359" w:type="dxa"/>
            <w:vAlign w:val="center"/>
          </w:tcPr>
          <w:p w14:paraId="76D14AE5">
            <w:pPr>
              <w:numPr>
                <w:ilvl w:val="0"/>
                <w:numId w:val="75"/>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能够根据剧情需要，设计并制作出符合角色设定和场景氛围的道具，包括其材质选择、尺寸比例、细节处理等；</w:t>
            </w:r>
          </w:p>
          <w:p w14:paraId="4FFCDB28">
            <w:pPr>
              <w:numPr>
                <w:ilvl w:val="0"/>
                <w:numId w:val="75"/>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能够根据剧本角色设定和时代背景，选择符合角色性格、身份和剧情发展的服装服饰；</w:t>
            </w:r>
          </w:p>
          <w:p w14:paraId="530FE71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3.在团队项目中，能够有效沟通设计理念，与导演、演员及其他舞台工作人员协作，共同实现舞台艺术效果。</w:t>
            </w:r>
          </w:p>
        </w:tc>
        <w:tc>
          <w:tcPr>
            <w:tcW w:w="1281" w:type="dxa"/>
            <w:vAlign w:val="center"/>
          </w:tcPr>
          <w:p w14:paraId="57A0CF1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多媒体教学案例分析</w:t>
            </w:r>
          </w:p>
          <w:p w14:paraId="0DDF0C5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小组实践</w:t>
            </w:r>
          </w:p>
        </w:tc>
        <w:tc>
          <w:tcPr>
            <w:tcW w:w="438" w:type="dxa"/>
            <w:vAlign w:val="center"/>
          </w:tcPr>
          <w:p w14:paraId="5DF5A58D">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p>
        </w:tc>
      </w:tr>
      <w:tr w14:paraId="0F27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151A6FBF">
            <w:pPr>
              <w:spacing w:line="276" w:lineRule="auto"/>
              <w:jc w:val="center"/>
              <w:rPr>
                <w:rFonts w:hint="eastAsia" w:ascii="宋体" w:hAnsi="宋体" w:eastAsia="宋体" w:cs="Times New Roman"/>
                <w:color w:val="000000"/>
                <w:szCs w:val="21"/>
              </w:rPr>
            </w:pPr>
          </w:p>
        </w:tc>
        <w:tc>
          <w:tcPr>
            <w:tcW w:w="8185" w:type="dxa"/>
            <w:gridSpan w:val="5"/>
            <w:vAlign w:val="center"/>
          </w:tcPr>
          <w:p w14:paraId="5102413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提升学生</w:t>
            </w:r>
            <w:r>
              <w:rPr>
                <w:rFonts w:hint="eastAsia" w:ascii="宋体" w:hAnsi="宋体" w:eastAsia="宋体" w:cs="Times New Roman"/>
                <w:color w:val="000000"/>
                <w:szCs w:val="21"/>
                <w:lang w:val="en-US" w:eastAsia="zh-CN"/>
              </w:rPr>
              <w:t>感知美、欣赏美、创造美的能力，实现多方面美育浸润。</w:t>
            </w:r>
          </w:p>
        </w:tc>
      </w:tr>
      <w:tr w14:paraId="0D74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5D7B1C27">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w:t>
            </w:r>
          </w:p>
          <w:p w14:paraId="3C2F1B3E">
            <w:pPr>
              <w:spacing w:line="276" w:lineRule="auto"/>
              <w:jc w:val="center"/>
              <w:rPr>
                <w:rFonts w:hint="default" w:ascii="宋体" w:hAnsi="宋体" w:eastAsia="宋体" w:cs="Times New Roman"/>
                <w:color w:val="000000"/>
                <w:szCs w:val="21"/>
                <w:lang w:val="en-US" w:eastAsia="zh-CN"/>
              </w:rPr>
            </w:pPr>
            <w:bookmarkStart w:id="2340" w:name="OLE_LINK9"/>
            <w:r>
              <w:rPr>
                <w:rFonts w:hint="eastAsia" w:ascii="宋体" w:hAnsi="宋体" w:eastAsia="宋体" w:cs="Times New Roman"/>
                <w:color w:val="000000"/>
                <w:szCs w:val="21"/>
                <w:lang w:val="en-US" w:eastAsia="zh-CN"/>
              </w:rPr>
              <w:t>儿童戏剧教育活动设计</w:t>
            </w:r>
            <w:bookmarkEnd w:id="2340"/>
          </w:p>
        </w:tc>
        <w:tc>
          <w:tcPr>
            <w:tcW w:w="1925" w:type="dxa"/>
            <w:vAlign w:val="center"/>
          </w:tcPr>
          <w:p w14:paraId="440811A2">
            <w:pPr>
              <w:numPr>
                <w:ilvl w:val="0"/>
                <w:numId w:val="76"/>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戏剧游戏与戏剧习式种类介绍</w:t>
            </w:r>
          </w:p>
          <w:p w14:paraId="5ECF8FE1">
            <w:pPr>
              <w:numPr>
                <w:ilvl w:val="0"/>
                <w:numId w:val="76"/>
              </w:num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以《精忠报国》为例的小学戏剧教育活动设计；</w:t>
            </w:r>
          </w:p>
          <w:p w14:paraId="4F57C405">
            <w:pPr>
              <w:numPr>
                <w:ilvl w:val="0"/>
                <w:numId w:val="76"/>
              </w:num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以《森林里的孩子》为例的小学戏剧教育活动设计</w:t>
            </w:r>
          </w:p>
          <w:p w14:paraId="4B2E55BC">
            <w:pPr>
              <w:spacing w:line="276" w:lineRule="auto"/>
              <w:jc w:val="left"/>
              <w:rPr>
                <w:rFonts w:hint="eastAsia" w:ascii="宋体" w:hAnsi="宋体" w:eastAsia="宋体" w:cs="Times New Roman"/>
                <w:color w:val="000000"/>
                <w:szCs w:val="21"/>
              </w:rPr>
            </w:pPr>
          </w:p>
        </w:tc>
        <w:tc>
          <w:tcPr>
            <w:tcW w:w="1182" w:type="dxa"/>
            <w:vAlign w:val="center"/>
          </w:tcPr>
          <w:p w14:paraId="11A306AF">
            <w:pPr>
              <w:spacing w:line="276" w:lineRule="auto"/>
              <w:jc w:val="center"/>
              <w:rPr>
                <w:rFonts w:hint="eastAsia" w:ascii="宋体" w:hAnsi="宋体" w:eastAsia="宋体" w:cs="宋体"/>
                <w:color w:val="auto"/>
                <w:sz w:val="21"/>
                <w:szCs w:val="21"/>
                <w:lang w:val="en-US" w:eastAsia="zh-CN"/>
              </w:rPr>
            </w:pPr>
            <w:bookmarkStart w:id="2341" w:name="OLE_LINK23"/>
            <w:r>
              <w:rPr>
                <w:rFonts w:hint="eastAsia" w:ascii="宋体" w:hAnsi="宋体" w:eastAsia="宋体" w:cs="宋体"/>
                <w:color w:val="auto"/>
                <w:sz w:val="21"/>
                <w:szCs w:val="21"/>
                <w:lang w:val="en-US" w:eastAsia="zh-CN"/>
              </w:rPr>
              <w:t>目标1</w:t>
            </w:r>
          </w:p>
          <w:p w14:paraId="45514864">
            <w:pPr>
              <w:spacing w:line="276" w:lineRule="auto"/>
              <w:jc w:val="center"/>
              <w:rPr>
                <w:rFonts w:hint="eastAsia" w:ascii="宋体" w:hAnsi="宋体" w:eastAsia="宋体" w:cs="Times New Roman"/>
                <w:color w:val="000000"/>
                <w:szCs w:val="21"/>
              </w:rPr>
            </w:pPr>
            <w:r>
              <w:rPr>
                <w:rFonts w:hint="eastAsia" w:ascii="宋体" w:hAnsi="宋体" w:eastAsia="宋体" w:cs="宋体"/>
                <w:color w:val="auto"/>
                <w:sz w:val="21"/>
                <w:szCs w:val="21"/>
              </w:rPr>
              <w:t>目标</w:t>
            </w:r>
            <w:r>
              <w:rPr>
                <w:rFonts w:hint="eastAsia" w:ascii="宋体" w:hAnsi="宋体" w:eastAsia="宋体" w:cs="宋体"/>
                <w:color w:val="auto"/>
                <w:sz w:val="21"/>
                <w:szCs w:val="21"/>
                <w:lang w:val="en-US" w:eastAsia="zh-CN"/>
              </w:rPr>
              <w:t>2</w:t>
            </w:r>
            <w:bookmarkEnd w:id="2341"/>
          </w:p>
        </w:tc>
        <w:tc>
          <w:tcPr>
            <w:tcW w:w="3359" w:type="dxa"/>
            <w:vAlign w:val="center"/>
          </w:tcPr>
          <w:p w14:paraId="5659B686">
            <w:pPr>
              <w:numPr>
                <w:ilvl w:val="0"/>
                <w:numId w:val="77"/>
              </w:numPr>
              <w:spacing w:line="276" w:lineRule="auto"/>
              <w:jc w:val="left"/>
              <w:rPr>
                <w:rFonts w:hint="eastAsia" w:ascii="宋体" w:hAnsi="宋体" w:eastAsia="宋体" w:cs="Times New Roman"/>
                <w:color w:val="000000"/>
                <w:szCs w:val="21"/>
                <w:lang w:val="en-US" w:eastAsia="zh-CN"/>
              </w:rPr>
            </w:pPr>
            <w:bookmarkStart w:id="2342" w:name="OLE_LINK10"/>
            <w:r>
              <w:rPr>
                <w:rFonts w:hint="eastAsia" w:ascii="宋体" w:hAnsi="宋体" w:eastAsia="宋体" w:cs="Times New Roman"/>
                <w:color w:val="000000"/>
                <w:szCs w:val="21"/>
                <w:lang w:val="en-US" w:eastAsia="zh-CN"/>
              </w:rPr>
              <w:t>能够识别并理解戏剧游戏的四大类——暖身游戏、感官和想象游戏、肢体动作游戏以及音乐游戏，以及每种游戏的具体形式和目的；</w:t>
            </w:r>
          </w:p>
          <w:p w14:paraId="36676E6A">
            <w:pPr>
              <w:numPr>
                <w:ilvl w:val="0"/>
                <w:numId w:val="77"/>
              </w:numPr>
              <w:spacing w:line="276" w:lineRule="auto"/>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在戏剧习式的训练中，学会如何与他人合作，共同完成任务，提升团队协作能力和沟通能力</w:t>
            </w:r>
            <w:r>
              <w:rPr>
                <w:rFonts w:hint="eastAsia" w:ascii="宋体" w:hAnsi="宋体" w:eastAsia="宋体" w:cs="Times New Roman"/>
                <w:color w:val="000000"/>
                <w:szCs w:val="21"/>
                <w:lang w:val="en-US" w:eastAsia="zh-CN"/>
              </w:rPr>
              <w:t>；</w:t>
            </w:r>
          </w:p>
          <w:p w14:paraId="5D74B79B">
            <w:pPr>
              <w:numPr>
                <w:ilvl w:val="0"/>
                <w:numId w:val="77"/>
              </w:num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能根据小学教学目标，合理应用戏剧游戏和戏剧习式，有效设计与实施小学戏剧教育活动。</w:t>
            </w:r>
            <w:bookmarkEnd w:id="2342"/>
          </w:p>
        </w:tc>
        <w:tc>
          <w:tcPr>
            <w:tcW w:w="1281" w:type="dxa"/>
            <w:vAlign w:val="center"/>
          </w:tcPr>
          <w:p w14:paraId="030C927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多媒体教学案例分析</w:t>
            </w:r>
          </w:p>
          <w:p w14:paraId="0DD7D2DB">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小组实践</w:t>
            </w:r>
          </w:p>
          <w:p w14:paraId="1FD62914">
            <w:pPr>
              <w:spacing w:line="276" w:lineRule="auto"/>
              <w:jc w:val="left"/>
              <w:rPr>
                <w:rFonts w:hint="eastAsia" w:ascii="宋体" w:hAnsi="宋体" w:eastAsia="宋体" w:cs="Times New Roman"/>
                <w:color w:val="000000"/>
                <w:szCs w:val="21"/>
                <w:lang w:val="en-US" w:eastAsia="zh-CN"/>
              </w:rPr>
            </w:pPr>
          </w:p>
        </w:tc>
        <w:tc>
          <w:tcPr>
            <w:tcW w:w="438" w:type="dxa"/>
            <w:vAlign w:val="center"/>
          </w:tcPr>
          <w:p w14:paraId="54B2247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p>
        </w:tc>
      </w:tr>
      <w:tr w14:paraId="24D5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48C5C99F">
            <w:pPr>
              <w:spacing w:line="276" w:lineRule="auto"/>
              <w:jc w:val="center"/>
              <w:rPr>
                <w:rFonts w:hint="eastAsia" w:ascii="宋体" w:hAnsi="宋体" w:eastAsia="宋体" w:cs="Times New Roman"/>
                <w:color w:val="000000"/>
                <w:szCs w:val="21"/>
              </w:rPr>
            </w:pPr>
          </w:p>
        </w:tc>
        <w:tc>
          <w:tcPr>
            <w:tcW w:w="8185" w:type="dxa"/>
            <w:gridSpan w:val="5"/>
            <w:vAlign w:val="center"/>
          </w:tcPr>
          <w:p w14:paraId="263DA959">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 w:val="20"/>
                <w:szCs w:val="20"/>
              </w:rPr>
              <w:t xml:space="preserve"> </w:t>
            </w:r>
            <w:r>
              <w:rPr>
                <w:rFonts w:hint="eastAsia" w:ascii="宋体" w:hAnsi="宋体" w:eastAsia="宋体" w:cs="Times New Roman"/>
                <w:color w:val="000000"/>
                <w:sz w:val="22"/>
                <w:szCs w:val="22"/>
                <w:lang w:val="en-US" w:eastAsia="zh-CN"/>
              </w:rPr>
              <w:t>在戏剧课程中设置与现实生活相关的情境和任务，让学生体验并理解社会责任的重要性，学会关心他人、服务社会</w:t>
            </w:r>
            <w:r>
              <w:rPr>
                <w:rFonts w:hint="eastAsia" w:ascii="宋体" w:hAnsi="宋体" w:eastAsia="宋体" w:cs="Times New Roman"/>
                <w:color w:val="000000"/>
                <w:sz w:val="21"/>
                <w:szCs w:val="21"/>
                <w:lang w:val="en-US" w:eastAsia="zh-CN"/>
              </w:rPr>
              <w:t>；</w:t>
            </w:r>
            <w:r>
              <w:rPr>
                <w:rFonts w:hint="eastAsia" w:ascii="宋体" w:hAnsi="宋体" w:eastAsia="宋体" w:cs="Times New Roman"/>
                <w:color w:val="000000"/>
                <w:sz w:val="22"/>
                <w:szCs w:val="22"/>
                <w:lang w:val="en-US" w:eastAsia="zh-CN"/>
              </w:rPr>
              <w:t>鼓励学生参与剧本创作、角色扮演等活动，激发他们的创造力和想象力，同时锻炼他们的实践能力。</w:t>
            </w:r>
          </w:p>
        </w:tc>
      </w:tr>
      <w:tr w14:paraId="139E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205A437A">
            <w:pPr>
              <w:spacing w:line="276" w:lineRule="auto"/>
              <w:jc w:val="center"/>
              <w:rPr>
                <w:rFonts w:hint="eastAsia" w:ascii="宋体" w:hAnsi="宋体" w:eastAsia="宋体" w:cs="Times New Roman"/>
                <w:color w:val="000000"/>
                <w:szCs w:val="21"/>
                <w:lang w:val="en-US" w:eastAsia="zh-CN"/>
              </w:rPr>
            </w:pPr>
            <w:bookmarkStart w:id="2343" w:name="OLE_LINK11"/>
            <w:r>
              <w:rPr>
                <w:rFonts w:hint="eastAsia" w:ascii="宋体" w:hAnsi="宋体" w:eastAsia="宋体" w:cs="Times New Roman"/>
                <w:color w:val="000000"/>
                <w:szCs w:val="21"/>
                <w:lang w:val="en-US" w:eastAsia="zh-CN"/>
              </w:rPr>
              <w:t>（七）</w:t>
            </w:r>
          </w:p>
          <w:p w14:paraId="526C4E20">
            <w:pPr>
              <w:spacing w:line="276" w:lineRule="auto"/>
              <w:jc w:val="center"/>
              <w:rPr>
                <w:rFonts w:hint="default" w:ascii="宋体" w:hAnsi="宋体" w:eastAsia="宋体" w:cs="Times New Roman"/>
                <w:color w:val="000000"/>
                <w:szCs w:val="21"/>
                <w:lang w:val="en-US" w:eastAsia="zh-CN"/>
              </w:rPr>
            </w:pPr>
            <w:bookmarkStart w:id="2344" w:name="OLE_LINK20"/>
            <w:r>
              <w:rPr>
                <w:rFonts w:hint="eastAsia" w:ascii="宋体" w:hAnsi="宋体" w:eastAsia="宋体" w:cs="Times New Roman"/>
                <w:color w:val="000000"/>
                <w:szCs w:val="21"/>
                <w:lang w:val="en-US" w:eastAsia="zh-CN"/>
              </w:rPr>
              <w:t>经典儿童戏剧剧目赏析</w:t>
            </w:r>
            <w:bookmarkEnd w:id="2343"/>
            <w:bookmarkEnd w:id="2344"/>
          </w:p>
        </w:tc>
        <w:tc>
          <w:tcPr>
            <w:tcW w:w="1925" w:type="dxa"/>
            <w:vAlign w:val="center"/>
          </w:tcPr>
          <w:p w14:paraId="49A35CBD">
            <w:pPr>
              <w:spacing w:line="276" w:lineRule="auto"/>
              <w:jc w:val="left"/>
              <w:rPr>
                <w:rFonts w:hint="eastAsia" w:ascii="宋体" w:hAnsi="宋体" w:eastAsia="宋体" w:cs="Times New Roman"/>
                <w:szCs w:val="21"/>
                <w:lang w:val="en-US" w:eastAsia="zh-CN"/>
              </w:rPr>
            </w:pPr>
            <w:bookmarkStart w:id="2345" w:name="OLE_LINK12"/>
            <w:r>
              <w:rPr>
                <w:rFonts w:hint="eastAsia" w:ascii="宋体" w:hAnsi="宋体" w:eastAsia="宋体" w:cs="Times New Roman"/>
                <w:szCs w:val="21"/>
                <w:lang w:val="en-US" w:eastAsia="zh-CN"/>
              </w:rPr>
              <w:t>1.儿童话剧《皇帝的新装》赏析；</w:t>
            </w:r>
          </w:p>
          <w:p w14:paraId="7C7F759C">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2.小学课本剧《猎人海力布》赏析；</w:t>
            </w:r>
          </w:p>
          <w:p w14:paraId="06BBB576">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3.现代少儿话剧《三气周瑜》赏析；</w:t>
            </w:r>
          </w:p>
          <w:p w14:paraId="79929D60">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4.绘本剧《森林审判会》赏析；</w:t>
            </w:r>
          </w:p>
          <w:p w14:paraId="55219321">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5.小学课本剧《陶罐和铁罐》赏析；</w:t>
            </w:r>
          </w:p>
          <w:p w14:paraId="7AA699FA">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6.小学课本剧《小狗学叫》赏析</w:t>
            </w:r>
          </w:p>
          <w:bookmarkEnd w:id="2345"/>
          <w:p w14:paraId="6F7C27B4">
            <w:pPr>
              <w:spacing w:line="276" w:lineRule="auto"/>
              <w:jc w:val="left"/>
              <w:rPr>
                <w:rFonts w:hint="eastAsia" w:ascii="宋体" w:hAnsi="宋体" w:eastAsia="宋体" w:cs="Times New Roman"/>
                <w:szCs w:val="21"/>
              </w:rPr>
            </w:pPr>
          </w:p>
        </w:tc>
        <w:tc>
          <w:tcPr>
            <w:tcW w:w="1182" w:type="dxa"/>
            <w:vAlign w:val="center"/>
          </w:tcPr>
          <w:p w14:paraId="68525F14">
            <w:pPr>
              <w:spacing w:line="276" w:lineRule="auto"/>
              <w:jc w:val="center"/>
              <w:rPr>
                <w:rFonts w:hint="eastAsia" w:ascii="宋体" w:hAnsi="宋体" w:eastAsia="宋体" w:cs="Times New Roman"/>
                <w:color w:val="000000"/>
                <w:szCs w:val="21"/>
                <w:lang w:val="en-US" w:eastAsia="zh-CN"/>
              </w:rPr>
            </w:pPr>
            <w:bookmarkStart w:id="2346" w:name="OLE_LINK24"/>
            <w:r>
              <w:rPr>
                <w:rFonts w:hint="eastAsia" w:ascii="宋体" w:hAnsi="宋体" w:eastAsia="宋体" w:cs="Times New Roman"/>
                <w:color w:val="000000"/>
                <w:szCs w:val="21"/>
                <w:lang w:val="en-US" w:eastAsia="zh-CN"/>
              </w:rPr>
              <w:t>目标1</w:t>
            </w:r>
          </w:p>
          <w:p w14:paraId="11927AF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目标2</w:t>
            </w:r>
            <w:bookmarkEnd w:id="2346"/>
          </w:p>
        </w:tc>
        <w:tc>
          <w:tcPr>
            <w:tcW w:w="3359" w:type="dxa"/>
            <w:vAlign w:val="center"/>
          </w:tcPr>
          <w:p w14:paraId="1E9242B5">
            <w:pPr>
              <w:numPr>
                <w:ilvl w:val="0"/>
                <w:numId w:val="78"/>
              </w:numPr>
              <w:spacing w:line="276" w:lineRule="auto"/>
              <w:jc w:val="left"/>
              <w:rPr>
                <w:rFonts w:hint="eastAsia" w:ascii="宋体" w:hAnsi="宋体" w:eastAsia="宋体" w:cs="Times New Roman"/>
                <w:color w:val="000000"/>
                <w:szCs w:val="21"/>
              </w:rPr>
            </w:pPr>
            <w:bookmarkStart w:id="2347" w:name="OLE_LINK13"/>
            <w:r>
              <w:rPr>
                <w:rFonts w:hint="eastAsia" w:ascii="宋体" w:hAnsi="宋体" w:eastAsia="宋体" w:cs="Times New Roman"/>
                <w:color w:val="000000"/>
                <w:szCs w:val="21"/>
                <w:lang w:val="en-US" w:eastAsia="zh-CN"/>
              </w:rPr>
              <w:t>清晰理解剧本的基本结构，</w:t>
            </w:r>
            <w:r>
              <w:rPr>
                <w:rFonts w:hint="eastAsia" w:ascii="宋体" w:hAnsi="宋体" w:eastAsia="宋体" w:cs="Times New Roman"/>
                <w:color w:val="000000"/>
                <w:szCs w:val="21"/>
              </w:rPr>
              <w:t>深入分析剧本中的主要角色</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以及角色之间的关系，识别剧本中的主题思想，解读剧本中的象征元素和隐喻。</w:t>
            </w:r>
          </w:p>
          <w:p w14:paraId="353A62BD">
            <w:pPr>
              <w:numPr>
                <w:ilvl w:val="0"/>
                <w:numId w:val="78"/>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提升文学与艺术鉴赏能力、批判性思维与文学评论，增强个人情感体验；</w:t>
            </w:r>
            <w:r>
              <w:rPr>
                <w:rFonts w:hint="eastAsia" w:ascii="宋体" w:hAnsi="宋体" w:eastAsia="宋体" w:cs="Times New Roman"/>
                <w:color w:val="000000"/>
                <w:szCs w:val="21"/>
              </w:rPr>
              <w:t>理解剧本在舞台上的呈现方式，包括灯光、布景、服装、音效等</w:t>
            </w:r>
            <w:r>
              <w:rPr>
                <w:rFonts w:hint="eastAsia" w:ascii="宋体" w:hAnsi="宋体" w:eastAsia="宋体" w:cs="Times New Roman"/>
                <w:color w:val="000000"/>
                <w:szCs w:val="21"/>
                <w:lang w:eastAsia="zh-CN"/>
              </w:rPr>
              <w:t>。</w:t>
            </w:r>
          </w:p>
          <w:p w14:paraId="054ECFD8">
            <w:pPr>
              <w:numPr>
                <w:ilvl w:val="0"/>
                <w:numId w:val="78"/>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能够分析剧本如何通过文字描述来引导观众的视觉想象，以及这些描述如何增强剧本的艺术效果</w:t>
            </w:r>
          </w:p>
          <w:p w14:paraId="12EC15B9">
            <w:pPr>
              <w:numPr>
                <w:ilvl w:val="0"/>
                <w:numId w:val="78"/>
              </w:numPr>
              <w:spacing w:line="276" w:lineRule="auto"/>
              <w:ind w:left="0" w:leftChars="0" w:firstLine="0" w:firstLineChars="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能够通过剧本中的人物和情节，产生情感共鸣，体验剧本所带来的情感冲击和审美愉悦；学会欣赏和评价剧本的美学价值，包括剧情的紧凑性、角色的鲜明性、主题的深刻性等。</w:t>
            </w:r>
          </w:p>
          <w:p w14:paraId="6FCCD556">
            <w:pPr>
              <w:numPr>
                <w:ilvl w:val="0"/>
                <w:numId w:val="78"/>
              </w:numPr>
              <w:spacing w:line="276" w:lineRule="auto"/>
              <w:ind w:left="0" w:leftChars="0" w:firstLine="0" w:firstLineChars="0"/>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激发创新思维，尝试从不同的角度来解读和演绎剧本</w:t>
            </w:r>
            <w:r>
              <w:rPr>
                <w:rFonts w:hint="eastAsia" w:ascii="宋体" w:hAnsi="宋体" w:eastAsia="宋体" w:cs="Times New Roman"/>
                <w:color w:val="000000"/>
                <w:szCs w:val="21"/>
                <w:lang w:val="en-US" w:eastAsia="zh-CN"/>
              </w:rPr>
              <w:t>；能</w:t>
            </w:r>
            <w:r>
              <w:rPr>
                <w:rFonts w:hint="default" w:ascii="宋体" w:hAnsi="宋体" w:eastAsia="宋体" w:cs="Times New Roman"/>
                <w:color w:val="000000"/>
                <w:szCs w:val="21"/>
                <w:lang w:val="en-US" w:eastAsia="zh-CN"/>
              </w:rPr>
              <w:t>提出对剧本的看法和评价，包括优点和不足，以及可能的改进建议</w:t>
            </w:r>
            <w:r>
              <w:rPr>
                <w:rFonts w:hint="eastAsia" w:ascii="宋体" w:hAnsi="宋体" w:eastAsia="宋体" w:cs="Times New Roman"/>
                <w:color w:val="000000"/>
                <w:szCs w:val="21"/>
                <w:lang w:val="en-US" w:eastAsia="zh-CN"/>
              </w:rPr>
              <w:t>。</w:t>
            </w:r>
            <w:bookmarkEnd w:id="2347"/>
          </w:p>
        </w:tc>
        <w:tc>
          <w:tcPr>
            <w:tcW w:w="1281" w:type="dxa"/>
            <w:vAlign w:val="center"/>
          </w:tcPr>
          <w:p w14:paraId="79C2348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案例分析</w:t>
            </w:r>
          </w:p>
          <w:p w14:paraId="18B15FE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小组讨论</w:t>
            </w:r>
          </w:p>
        </w:tc>
        <w:tc>
          <w:tcPr>
            <w:tcW w:w="438" w:type="dxa"/>
            <w:vAlign w:val="center"/>
          </w:tcPr>
          <w:p w14:paraId="41897F33">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p>
        </w:tc>
      </w:tr>
      <w:tr w14:paraId="6EA7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69D372DB">
            <w:pPr>
              <w:spacing w:line="276" w:lineRule="auto"/>
              <w:jc w:val="center"/>
              <w:rPr>
                <w:rFonts w:hint="eastAsia" w:ascii="宋体" w:hAnsi="宋体" w:eastAsia="宋体" w:cs="Times New Roman"/>
                <w:color w:val="000000"/>
                <w:szCs w:val="21"/>
              </w:rPr>
            </w:pPr>
          </w:p>
        </w:tc>
        <w:tc>
          <w:tcPr>
            <w:tcW w:w="8185" w:type="dxa"/>
            <w:gridSpan w:val="5"/>
            <w:vAlign w:val="center"/>
          </w:tcPr>
          <w:p w14:paraId="4A12890F">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通过儿童戏剧课程中的故事、角色和情节，引导学生认识和理解社会现象，形成积极向上的生活态度和价值观念</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lang w:val="en-US" w:eastAsia="zh-CN"/>
              </w:rPr>
              <w:t>具有</w:t>
            </w:r>
            <w:r>
              <w:rPr>
                <w:rFonts w:hint="eastAsia" w:ascii="宋体" w:hAnsi="宋体" w:eastAsia="宋体" w:cs="Times New Roman"/>
                <w:b w:val="0"/>
                <w:bCs/>
                <w:color w:val="000000"/>
                <w:szCs w:val="21"/>
                <w:lang w:eastAsia="zh-CN"/>
              </w:rPr>
              <w:t>历史故事、英雄人物等</w:t>
            </w:r>
            <w:r>
              <w:rPr>
                <w:rFonts w:hint="eastAsia" w:ascii="宋体" w:hAnsi="宋体" w:eastAsia="宋体" w:cs="Times New Roman"/>
                <w:b w:val="0"/>
                <w:bCs/>
                <w:color w:val="000000"/>
                <w:szCs w:val="21"/>
                <w:lang w:val="en-US" w:eastAsia="zh-CN"/>
              </w:rPr>
              <w:t>主题的戏剧赏析，</w:t>
            </w:r>
            <w:r>
              <w:rPr>
                <w:rFonts w:hint="eastAsia" w:ascii="宋体" w:hAnsi="宋体" w:eastAsia="宋体" w:cs="Times New Roman"/>
                <w:b w:val="0"/>
                <w:bCs/>
                <w:color w:val="000000"/>
                <w:szCs w:val="21"/>
                <w:lang w:eastAsia="zh-CN"/>
              </w:rPr>
              <w:t>让学生感受中华民族的伟大精神和优秀传统，增强对国家的热爱和</w:t>
            </w:r>
            <w:r>
              <w:rPr>
                <w:rFonts w:hint="eastAsia" w:ascii="宋体" w:hAnsi="宋体" w:eastAsia="宋体" w:cs="Times New Roman"/>
                <w:b w:val="0"/>
                <w:bCs/>
                <w:color w:val="000000"/>
                <w:szCs w:val="21"/>
                <w:lang w:val="en-US" w:eastAsia="zh-CN"/>
              </w:rPr>
              <w:t>民族的</w:t>
            </w:r>
            <w:r>
              <w:rPr>
                <w:rFonts w:hint="eastAsia" w:ascii="宋体" w:hAnsi="宋体" w:eastAsia="宋体" w:cs="Times New Roman"/>
                <w:b w:val="0"/>
                <w:bCs/>
                <w:color w:val="000000"/>
                <w:szCs w:val="21"/>
                <w:lang w:eastAsia="zh-CN"/>
              </w:rPr>
              <w:t>归属感</w:t>
            </w:r>
          </w:p>
        </w:tc>
      </w:tr>
      <w:tr w14:paraId="7997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7B1CD9D9">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（八）</w:t>
            </w:r>
          </w:p>
          <w:p w14:paraId="2393EDB7">
            <w:pPr>
              <w:spacing w:line="264" w:lineRule="auto"/>
              <w:jc w:val="center"/>
              <w:rPr>
                <w:rFonts w:hint="default" w:ascii="宋体" w:hAnsi="宋体" w:eastAsia="宋体" w:cs="Times New Roman"/>
                <w:color w:val="000000"/>
                <w:szCs w:val="21"/>
                <w:lang w:val="en-US" w:eastAsia="zh-CN"/>
              </w:rPr>
            </w:pPr>
            <w:bookmarkStart w:id="2348" w:name="OLE_LINK14"/>
            <w:r>
              <w:rPr>
                <w:rFonts w:hint="eastAsia" w:ascii="宋体" w:hAnsi="宋体" w:eastAsia="宋体" w:cs="Times New Roman"/>
                <w:color w:val="000000"/>
                <w:szCs w:val="21"/>
                <w:lang w:val="en-US" w:eastAsia="zh-CN"/>
              </w:rPr>
              <w:t>小组儿童戏剧创作与展演</w:t>
            </w:r>
            <w:bookmarkEnd w:id="2348"/>
          </w:p>
        </w:tc>
        <w:tc>
          <w:tcPr>
            <w:tcW w:w="1925" w:type="dxa"/>
            <w:vAlign w:val="center"/>
          </w:tcPr>
          <w:p w14:paraId="44C92A9C">
            <w:pPr>
              <w:numPr>
                <w:ilvl w:val="0"/>
                <w:numId w:val="79"/>
              </w:numPr>
              <w:spacing w:line="264" w:lineRule="auto"/>
              <w:jc w:val="left"/>
              <w:rPr>
                <w:rFonts w:hint="eastAsia" w:ascii="宋体" w:hAnsi="宋体" w:eastAsia="宋体" w:cs="Times New Roman"/>
                <w:color w:val="000000"/>
                <w:szCs w:val="21"/>
                <w:lang w:val="en-US" w:eastAsia="zh-CN"/>
              </w:rPr>
            </w:pPr>
            <w:bookmarkStart w:id="2349" w:name="OLE_LINK15"/>
            <w:r>
              <w:rPr>
                <w:rFonts w:hint="eastAsia" w:ascii="宋体" w:hAnsi="宋体" w:eastAsia="宋体" w:cs="Times New Roman"/>
                <w:color w:val="000000"/>
                <w:szCs w:val="21"/>
                <w:lang w:val="en-US" w:eastAsia="zh-CN"/>
              </w:rPr>
              <w:t>小组合作完成一个剧本主题的确定以及一个完整剧本的创编；</w:t>
            </w:r>
          </w:p>
          <w:p w14:paraId="01A77554">
            <w:pPr>
              <w:numPr>
                <w:ilvl w:val="0"/>
                <w:numId w:val="79"/>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围绕小组剧本进行人物形象的三个维度的设计；</w:t>
            </w:r>
          </w:p>
          <w:p w14:paraId="7B012415">
            <w:pPr>
              <w:numPr>
                <w:ilvl w:val="0"/>
                <w:numId w:val="79"/>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围绕小组剧本进行服化道的设计</w:t>
            </w:r>
          </w:p>
          <w:p w14:paraId="3DED6B3D">
            <w:pPr>
              <w:numPr>
                <w:ilvl w:val="0"/>
                <w:numId w:val="79"/>
              </w:numPr>
              <w:spacing w:line="264"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各小组剧目的联合展演</w:t>
            </w:r>
            <w:bookmarkEnd w:id="2349"/>
          </w:p>
        </w:tc>
        <w:tc>
          <w:tcPr>
            <w:tcW w:w="1182" w:type="dxa"/>
            <w:vAlign w:val="center"/>
          </w:tcPr>
          <w:p w14:paraId="53264365">
            <w:pPr>
              <w:spacing w:line="264" w:lineRule="auto"/>
              <w:jc w:val="center"/>
              <w:rPr>
                <w:rFonts w:hint="eastAsia" w:ascii="宋体" w:hAnsi="宋体" w:eastAsia="宋体" w:cs="宋体"/>
                <w:color w:val="auto"/>
                <w:sz w:val="21"/>
                <w:szCs w:val="21"/>
                <w:lang w:val="en-US" w:eastAsia="zh-CN"/>
              </w:rPr>
            </w:pPr>
            <w:bookmarkStart w:id="2350" w:name="OLE_LINK25"/>
            <w:r>
              <w:rPr>
                <w:rFonts w:hint="eastAsia" w:ascii="宋体" w:hAnsi="宋体" w:eastAsia="宋体" w:cs="宋体"/>
                <w:color w:val="auto"/>
                <w:sz w:val="21"/>
                <w:szCs w:val="21"/>
                <w:lang w:val="en-US" w:eastAsia="zh-CN"/>
              </w:rPr>
              <w:t>目标1</w:t>
            </w:r>
          </w:p>
          <w:p w14:paraId="40BFB3C2">
            <w:pPr>
              <w:spacing w:line="264"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目标2</w:t>
            </w:r>
          </w:p>
          <w:p w14:paraId="1365718F">
            <w:pPr>
              <w:spacing w:line="264" w:lineRule="auto"/>
              <w:jc w:val="center"/>
              <w:rPr>
                <w:rFonts w:hint="eastAsia" w:ascii="宋体" w:hAnsi="宋体" w:eastAsia="宋体" w:cs="Times New Roman"/>
                <w:color w:val="000000"/>
                <w:szCs w:val="21"/>
              </w:rPr>
            </w:pPr>
            <w:r>
              <w:rPr>
                <w:rFonts w:hint="eastAsia" w:ascii="宋体" w:hAnsi="宋体" w:eastAsia="宋体" w:cs="宋体"/>
                <w:color w:val="auto"/>
                <w:sz w:val="21"/>
                <w:szCs w:val="21"/>
              </w:rPr>
              <w:t>目标3</w:t>
            </w:r>
            <w:bookmarkEnd w:id="2350"/>
          </w:p>
        </w:tc>
        <w:tc>
          <w:tcPr>
            <w:tcW w:w="3359" w:type="dxa"/>
            <w:vAlign w:val="center"/>
          </w:tcPr>
          <w:p w14:paraId="031FE426">
            <w:pPr>
              <w:numPr>
                <w:ilvl w:val="0"/>
                <w:numId w:val="80"/>
              </w:numPr>
              <w:spacing w:line="264" w:lineRule="auto"/>
              <w:jc w:val="left"/>
              <w:rPr>
                <w:rFonts w:hint="eastAsia" w:ascii="宋体" w:hAnsi="宋体" w:eastAsia="宋体" w:cs="Times New Roman"/>
                <w:color w:val="000000"/>
                <w:szCs w:val="21"/>
                <w:lang w:val="en-US" w:eastAsia="zh-CN"/>
              </w:rPr>
            </w:pPr>
            <w:bookmarkStart w:id="2351" w:name="OLE_LINK16"/>
            <w:r>
              <w:rPr>
                <w:rFonts w:hint="eastAsia" w:ascii="宋体" w:hAnsi="宋体" w:eastAsia="宋体" w:cs="Times New Roman"/>
                <w:color w:val="000000"/>
                <w:szCs w:val="21"/>
                <w:lang w:val="en-US" w:eastAsia="zh-CN"/>
              </w:rPr>
              <w:t>强化剧本创作、服化道设计、台词表达等综合能力，锻炼</w:t>
            </w:r>
            <w:r>
              <w:rPr>
                <w:rFonts w:hint="default" w:ascii="宋体" w:hAnsi="宋体" w:eastAsia="宋体" w:cs="Times New Roman"/>
                <w:color w:val="000000"/>
                <w:szCs w:val="21"/>
                <w:lang w:val="en-US" w:eastAsia="zh-CN"/>
              </w:rPr>
              <w:t>表演与表达能力</w:t>
            </w:r>
            <w:r>
              <w:rPr>
                <w:rFonts w:hint="eastAsia" w:ascii="宋体" w:hAnsi="宋体" w:eastAsia="宋体" w:cs="Times New Roman"/>
                <w:color w:val="000000"/>
                <w:szCs w:val="21"/>
                <w:lang w:val="en-US" w:eastAsia="zh-CN"/>
              </w:rPr>
              <w:t>；</w:t>
            </w:r>
          </w:p>
          <w:p w14:paraId="7528E133">
            <w:pPr>
              <w:numPr>
                <w:ilvl w:val="0"/>
                <w:numId w:val="8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提升团队沟通、协作能力，促进不同小组之间的文化交流和理解，增进彼此之间的友谊和合作；</w:t>
            </w:r>
          </w:p>
          <w:p w14:paraId="678F9D23">
            <w:pPr>
              <w:numPr>
                <w:ilvl w:val="0"/>
                <w:numId w:val="80"/>
              </w:num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学会</w:t>
            </w:r>
            <w:r>
              <w:rPr>
                <w:rFonts w:hint="default" w:ascii="宋体" w:hAnsi="宋体" w:eastAsia="宋体" w:cs="Times New Roman"/>
                <w:color w:val="000000"/>
                <w:szCs w:val="21"/>
                <w:lang w:val="en-US" w:eastAsia="zh-CN"/>
              </w:rPr>
              <w:t>通过戏剧表演来表达自己的情感，同时也能够更好地理解和感受他人的情感。</w:t>
            </w:r>
            <w:bookmarkEnd w:id="2351"/>
          </w:p>
        </w:tc>
        <w:tc>
          <w:tcPr>
            <w:tcW w:w="1281" w:type="dxa"/>
            <w:vAlign w:val="center"/>
          </w:tcPr>
          <w:p w14:paraId="124FF99A">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小组实践</w:t>
            </w:r>
          </w:p>
        </w:tc>
        <w:tc>
          <w:tcPr>
            <w:tcW w:w="438" w:type="dxa"/>
            <w:vAlign w:val="center"/>
          </w:tcPr>
          <w:p w14:paraId="4D92EA86">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p>
        </w:tc>
      </w:tr>
      <w:tr w14:paraId="7DBA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2107B012">
            <w:pPr>
              <w:spacing w:line="264" w:lineRule="auto"/>
              <w:jc w:val="center"/>
              <w:rPr>
                <w:rFonts w:hint="eastAsia" w:ascii="宋体" w:hAnsi="宋体" w:eastAsia="宋体" w:cs="Times New Roman"/>
                <w:color w:val="000000"/>
                <w:szCs w:val="21"/>
              </w:rPr>
            </w:pPr>
          </w:p>
        </w:tc>
        <w:tc>
          <w:tcPr>
            <w:tcW w:w="8185" w:type="dxa"/>
            <w:gridSpan w:val="5"/>
            <w:vAlign w:val="center"/>
          </w:tcPr>
          <w:p w14:paraId="79CD5F73">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鼓励学生参与剧本创作、角色扮演等活动，激发他们的创造力和想象力，同时锻炼他们的实践能力</w:t>
            </w:r>
            <w:r>
              <w:rPr>
                <w:rFonts w:hint="eastAsia" w:ascii="宋体" w:hAnsi="宋体" w:eastAsia="宋体" w:cs="Times New Roman"/>
                <w:color w:val="000000"/>
                <w:szCs w:val="21"/>
                <w:lang w:eastAsia="zh-CN"/>
              </w:rPr>
              <w:t>；戏剧</w:t>
            </w:r>
            <w:r>
              <w:rPr>
                <w:rFonts w:hint="eastAsia" w:ascii="宋体" w:hAnsi="宋体" w:eastAsia="宋体" w:cs="Times New Roman"/>
                <w:color w:val="000000"/>
                <w:szCs w:val="21"/>
                <w:lang w:val="en-US" w:eastAsia="zh-CN"/>
              </w:rPr>
              <w:t>主题设定中</w:t>
            </w:r>
            <w:r>
              <w:rPr>
                <w:rFonts w:hint="eastAsia" w:ascii="宋体" w:hAnsi="宋体" w:eastAsia="宋体" w:cs="Times New Roman"/>
                <w:color w:val="000000"/>
                <w:szCs w:val="21"/>
                <w:lang w:eastAsia="zh-CN"/>
              </w:rPr>
              <w:t>融入历史故事、英雄人物等</w:t>
            </w:r>
            <w:r>
              <w:rPr>
                <w:rFonts w:hint="eastAsia" w:ascii="宋体" w:hAnsi="宋体" w:eastAsia="宋体" w:cs="Times New Roman"/>
                <w:color w:val="000000"/>
                <w:szCs w:val="21"/>
                <w:lang w:val="en-US" w:eastAsia="zh-CN"/>
              </w:rPr>
              <w:t>爱国主义元素</w:t>
            </w:r>
            <w:r>
              <w:rPr>
                <w:rFonts w:hint="eastAsia" w:ascii="宋体" w:hAnsi="宋体" w:eastAsia="宋体" w:cs="Times New Roman"/>
                <w:color w:val="000000"/>
                <w:szCs w:val="21"/>
                <w:lang w:eastAsia="zh-CN"/>
              </w:rPr>
              <w:t>，让学生感受中华民族的伟大精神和优秀传统，增强对国家的热爱和归属感。</w:t>
            </w:r>
          </w:p>
        </w:tc>
      </w:tr>
    </w:tbl>
    <w:p w14:paraId="6953F60E">
      <w:pPr>
        <w:spacing w:line="360" w:lineRule="auto"/>
        <w:jc w:val="left"/>
        <w:rPr>
          <w:rFonts w:ascii="Times New Roman" w:hAnsi="Times New Roman" w:eastAsia="宋体" w:cs="Times New Roman"/>
          <w:sz w:val="24"/>
          <w:szCs w:val="24"/>
        </w:rPr>
      </w:pPr>
    </w:p>
    <w:p w14:paraId="48B41AFB">
      <w:pPr>
        <w:spacing w:line="360" w:lineRule="auto"/>
        <w:jc w:val="left"/>
        <w:outlineLvl w:val="0"/>
        <w:rPr>
          <w:rFonts w:ascii="Times New Roman" w:hAnsi="Times New Roman" w:eastAsia="宋体" w:cs="Times New Roman"/>
          <w:sz w:val="24"/>
          <w:szCs w:val="24"/>
        </w:rPr>
      </w:pPr>
      <w:bookmarkStart w:id="2352" w:name="_Toc15927"/>
      <w:bookmarkStart w:id="2353" w:name="_Toc20703"/>
      <w:bookmarkStart w:id="2354" w:name="_Toc23021"/>
      <w:bookmarkStart w:id="2355" w:name="_Toc10510"/>
      <w:bookmarkStart w:id="2356" w:name="_Toc10069"/>
      <w:bookmarkStart w:id="2357" w:name="_Toc22318"/>
      <w:bookmarkStart w:id="2358" w:name="_Toc11584"/>
      <w:r>
        <w:rPr>
          <w:rFonts w:hint="eastAsia" w:ascii="宋体" w:hAnsi="宋体" w:eastAsia="宋体" w:cs="Times New Roman"/>
          <w:b/>
          <w:color w:val="000000"/>
          <w:sz w:val="24"/>
          <w:szCs w:val="24"/>
        </w:rPr>
        <w:t>四、目标评价与成绩评定</w:t>
      </w:r>
      <w:bookmarkEnd w:id="2352"/>
      <w:bookmarkEnd w:id="2353"/>
      <w:bookmarkEnd w:id="2354"/>
      <w:bookmarkEnd w:id="2355"/>
      <w:bookmarkEnd w:id="2356"/>
      <w:bookmarkEnd w:id="2357"/>
      <w:bookmarkEnd w:id="2358"/>
    </w:p>
    <w:p w14:paraId="35AFCD8D">
      <w:pPr>
        <w:spacing w:line="360" w:lineRule="auto"/>
        <w:jc w:val="left"/>
        <w:outlineLvl w:val="1"/>
        <w:rPr>
          <w:rFonts w:ascii="Times New Roman" w:hAnsi="Times New Roman" w:eastAsia="宋体" w:cs="Times New Roman"/>
          <w:b/>
          <w:szCs w:val="21"/>
        </w:rPr>
      </w:pPr>
      <w:bookmarkStart w:id="2359" w:name="_Toc11336"/>
      <w:r>
        <w:rPr>
          <w:rFonts w:hint="eastAsia" w:ascii="Times New Roman" w:hAnsi="Times New Roman" w:eastAsia="宋体" w:cs="Times New Roman"/>
          <w:b/>
          <w:szCs w:val="21"/>
        </w:rPr>
        <w:t>（一）课程目标评价方式</w:t>
      </w:r>
      <w:bookmarkEnd w:id="2359"/>
    </w:p>
    <w:p w14:paraId="103ECA8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eastAsia="宋体" w:cs="Times New Roman"/>
          <w:szCs w:val="21"/>
          <w:highlight w:val="none"/>
        </w:rPr>
        <w:t>表3</w:t>
      </w:r>
      <w:r>
        <w:rPr>
          <w:rFonts w:ascii="Times New Roman" w:hAnsi="Times New Roman" w:eastAsia="宋体" w:cs="Times New Roman"/>
          <w:szCs w:val="21"/>
        </w:rPr>
        <w:t>所示。</w:t>
      </w:r>
    </w:p>
    <w:p w14:paraId="0FC1A0BC">
      <w:pPr>
        <w:spacing w:line="360" w:lineRule="auto"/>
        <w:jc w:val="center"/>
        <w:rPr>
          <w:rFonts w:hint="eastAsia" w:ascii="楷体" w:hAnsi="楷体" w:eastAsia="楷体" w:cs="楷体"/>
          <w:b/>
          <w:bCs/>
          <w:szCs w:val="21"/>
        </w:rPr>
      </w:pPr>
      <w:r>
        <w:rPr>
          <w:rFonts w:hint="eastAsia" w:ascii="楷体" w:hAnsi="楷体" w:eastAsia="楷体" w:cs="楷体"/>
          <w:b/>
          <w:bCs/>
          <w:szCs w:val="21"/>
        </w:rPr>
        <w:t>表3</w:t>
      </w:r>
      <w:r>
        <w:rPr>
          <w:rFonts w:hint="eastAsia" w:ascii="楷体" w:hAnsi="楷体" w:eastAsia="楷体" w:cs="楷体"/>
          <w:b/>
          <w:bCs/>
          <w:szCs w:val="21"/>
          <w:lang w:val="en-US" w:eastAsia="zh-CN"/>
        </w:rPr>
        <w:t xml:space="preserve">  </w:t>
      </w:r>
      <w:r>
        <w:rPr>
          <w:rFonts w:hint="eastAsia" w:ascii="楷体" w:hAnsi="楷体" w:eastAsia="楷体" w:cs="楷体"/>
          <w:b/>
          <w:bCs/>
          <w:szCs w:val="21"/>
        </w:rPr>
        <w:t>课程教学评价设计总表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427"/>
        <w:gridCol w:w="1427"/>
        <w:gridCol w:w="1427"/>
        <w:gridCol w:w="1427"/>
        <w:gridCol w:w="791"/>
      </w:tblGrid>
      <w:tr w14:paraId="7801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Merge w:val="restart"/>
            <w:vAlign w:val="center"/>
          </w:tcPr>
          <w:p w14:paraId="10D5389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25B0DB0B">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91" w:type="dxa"/>
            <w:vMerge w:val="restart"/>
            <w:vAlign w:val="center"/>
          </w:tcPr>
          <w:p w14:paraId="5F3FD9CD">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064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Merge w:val="continue"/>
            <w:vAlign w:val="center"/>
          </w:tcPr>
          <w:p w14:paraId="0FBBFC9E">
            <w:pPr>
              <w:spacing w:line="360" w:lineRule="auto"/>
              <w:jc w:val="center"/>
              <w:rPr>
                <w:rFonts w:hint="eastAsia" w:ascii="宋体" w:hAnsi="宋体" w:eastAsia="宋体" w:cs="Times New Roman"/>
                <w:szCs w:val="21"/>
              </w:rPr>
            </w:pPr>
          </w:p>
        </w:tc>
        <w:tc>
          <w:tcPr>
            <w:tcW w:w="1427" w:type="dxa"/>
            <w:vAlign w:val="center"/>
          </w:tcPr>
          <w:p w14:paraId="09B797E4">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427" w:type="dxa"/>
            <w:vAlign w:val="center"/>
          </w:tcPr>
          <w:p w14:paraId="5E52E61A">
            <w:pPr>
              <w:spacing w:line="360" w:lineRule="auto"/>
              <w:jc w:val="center"/>
              <w:rPr>
                <w:rFonts w:hint="eastAsia" w:ascii="宋体" w:hAnsi="宋体" w:eastAsia="宋体" w:cs="Times New Roman"/>
                <w:szCs w:val="21"/>
                <w:lang w:eastAsia="zh-CN"/>
              </w:rPr>
            </w:pPr>
            <w:r>
              <w:rPr>
                <w:rFonts w:hint="eastAsia" w:ascii="宋体" w:hAnsi="宋体" w:eastAsia="宋体" w:cs="Times New Roman"/>
                <w:szCs w:val="21"/>
              </w:rPr>
              <w:t>课</w:t>
            </w:r>
            <w:r>
              <w:rPr>
                <w:rFonts w:hint="eastAsia" w:ascii="宋体" w:hAnsi="宋体" w:eastAsia="宋体" w:cs="Times New Roman"/>
                <w:szCs w:val="21"/>
                <w:lang w:val="en-US" w:eastAsia="zh-CN"/>
              </w:rPr>
              <w:t>内实践</w:t>
            </w:r>
          </w:p>
        </w:tc>
        <w:tc>
          <w:tcPr>
            <w:tcW w:w="1427" w:type="dxa"/>
            <w:vAlign w:val="center"/>
          </w:tcPr>
          <w:p w14:paraId="3BB07DA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期末展演</w:t>
            </w:r>
          </w:p>
        </w:tc>
        <w:tc>
          <w:tcPr>
            <w:tcW w:w="1427" w:type="dxa"/>
            <w:vAlign w:val="center"/>
          </w:tcPr>
          <w:p w14:paraId="025BA1D2">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91" w:type="dxa"/>
            <w:vMerge w:val="continue"/>
            <w:vAlign w:val="center"/>
          </w:tcPr>
          <w:p w14:paraId="6A4317C5">
            <w:pPr>
              <w:spacing w:line="360" w:lineRule="auto"/>
              <w:jc w:val="center"/>
              <w:rPr>
                <w:rFonts w:hint="eastAsia" w:ascii="宋体" w:hAnsi="宋体" w:eastAsia="宋体" w:cs="Times New Roman"/>
                <w:szCs w:val="21"/>
              </w:rPr>
            </w:pPr>
          </w:p>
        </w:tc>
      </w:tr>
      <w:tr w14:paraId="184B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Align w:val="center"/>
          </w:tcPr>
          <w:p w14:paraId="09874B2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27" w:type="dxa"/>
            <w:vAlign w:val="center"/>
          </w:tcPr>
          <w:p w14:paraId="46945869">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1427" w:type="dxa"/>
            <w:vAlign w:val="center"/>
          </w:tcPr>
          <w:p w14:paraId="0305FF03">
            <w:pPr>
              <w:spacing w:line="360" w:lineRule="auto"/>
              <w:jc w:val="center"/>
              <w:rPr>
                <w:rFonts w:hint="eastAsia" w:ascii="宋体" w:hAnsi="宋体" w:eastAsia="宋体" w:cs="宋体"/>
                <w:szCs w:val="21"/>
              </w:rPr>
            </w:pPr>
          </w:p>
        </w:tc>
        <w:tc>
          <w:tcPr>
            <w:tcW w:w="1427" w:type="dxa"/>
            <w:vAlign w:val="center"/>
          </w:tcPr>
          <w:p w14:paraId="7D66328A">
            <w:pPr>
              <w:spacing w:line="360" w:lineRule="auto"/>
              <w:jc w:val="center"/>
              <w:rPr>
                <w:rFonts w:hint="eastAsia" w:ascii="宋体" w:hAnsi="宋体" w:eastAsia="宋体" w:cs="宋体"/>
                <w:szCs w:val="21"/>
                <w:lang w:val="en-US" w:eastAsia="zh-CN"/>
              </w:rPr>
            </w:pPr>
            <w:r>
              <w:rPr>
                <w:rFonts w:hint="eastAsia" w:ascii="宋体" w:hAnsi="宋体" w:eastAsia="宋体" w:cs="宋体"/>
                <w:sz w:val="24"/>
                <w:szCs w:val="24"/>
              </w:rPr>
              <w:sym w:font="Wingdings 2" w:char="F050"/>
            </w:r>
          </w:p>
        </w:tc>
        <w:tc>
          <w:tcPr>
            <w:tcW w:w="1427" w:type="dxa"/>
            <w:vAlign w:val="center"/>
          </w:tcPr>
          <w:p w14:paraId="744E2FE7">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791" w:type="dxa"/>
            <w:vAlign w:val="center"/>
          </w:tcPr>
          <w:p w14:paraId="24B5E32B">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1F02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Align w:val="center"/>
          </w:tcPr>
          <w:p w14:paraId="4F45F1D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27" w:type="dxa"/>
            <w:vAlign w:val="center"/>
          </w:tcPr>
          <w:p w14:paraId="4F69D496">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1427" w:type="dxa"/>
            <w:vAlign w:val="center"/>
          </w:tcPr>
          <w:p w14:paraId="4302EE13">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1427" w:type="dxa"/>
            <w:vAlign w:val="center"/>
          </w:tcPr>
          <w:p w14:paraId="6572565E">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1427" w:type="dxa"/>
            <w:vAlign w:val="center"/>
          </w:tcPr>
          <w:p w14:paraId="7C2BA7A9">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791" w:type="dxa"/>
            <w:vAlign w:val="center"/>
          </w:tcPr>
          <w:p w14:paraId="55759213">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35</w:t>
            </w:r>
          </w:p>
        </w:tc>
      </w:tr>
      <w:tr w14:paraId="73A3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Align w:val="center"/>
          </w:tcPr>
          <w:p w14:paraId="0CA1B43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27" w:type="dxa"/>
            <w:vAlign w:val="center"/>
          </w:tcPr>
          <w:p w14:paraId="2860E502">
            <w:pPr>
              <w:spacing w:line="360" w:lineRule="auto"/>
              <w:jc w:val="center"/>
              <w:rPr>
                <w:rFonts w:hint="eastAsia" w:ascii="宋体" w:hAnsi="宋体" w:eastAsia="宋体" w:cs="宋体"/>
                <w:szCs w:val="21"/>
              </w:rPr>
            </w:pPr>
          </w:p>
        </w:tc>
        <w:tc>
          <w:tcPr>
            <w:tcW w:w="1427" w:type="dxa"/>
            <w:vAlign w:val="center"/>
          </w:tcPr>
          <w:p w14:paraId="57AB29D6">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1427" w:type="dxa"/>
            <w:vAlign w:val="center"/>
          </w:tcPr>
          <w:p w14:paraId="7753F750">
            <w:pPr>
              <w:spacing w:line="360" w:lineRule="auto"/>
              <w:jc w:val="center"/>
              <w:rPr>
                <w:rFonts w:hint="eastAsia" w:ascii="宋体" w:hAnsi="宋体" w:eastAsia="宋体" w:cs="宋体"/>
                <w:szCs w:val="21"/>
              </w:rPr>
            </w:pPr>
            <w:r>
              <w:rPr>
                <w:rFonts w:hint="eastAsia" w:ascii="宋体" w:hAnsi="宋体" w:eastAsia="宋体" w:cs="宋体"/>
                <w:sz w:val="24"/>
                <w:szCs w:val="24"/>
              </w:rPr>
              <w:sym w:font="Wingdings 2" w:char="F050"/>
            </w:r>
          </w:p>
        </w:tc>
        <w:tc>
          <w:tcPr>
            <w:tcW w:w="1427" w:type="dxa"/>
            <w:vAlign w:val="center"/>
          </w:tcPr>
          <w:p w14:paraId="3A3BECCE">
            <w:pPr>
              <w:spacing w:line="360" w:lineRule="auto"/>
              <w:jc w:val="center"/>
              <w:rPr>
                <w:rFonts w:hint="eastAsia" w:ascii="宋体" w:hAnsi="宋体" w:eastAsia="宋体" w:cs="宋体"/>
                <w:szCs w:val="21"/>
              </w:rPr>
            </w:pPr>
          </w:p>
        </w:tc>
        <w:tc>
          <w:tcPr>
            <w:tcW w:w="791" w:type="dxa"/>
            <w:vAlign w:val="center"/>
          </w:tcPr>
          <w:p w14:paraId="1562176E">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35</w:t>
            </w:r>
          </w:p>
        </w:tc>
      </w:tr>
      <w:tr w14:paraId="7ACC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1072D353">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27" w:type="dxa"/>
            <w:vAlign w:val="center"/>
          </w:tcPr>
          <w:p w14:paraId="7828377C">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c>
          <w:tcPr>
            <w:tcW w:w="1427" w:type="dxa"/>
            <w:vAlign w:val="center"/>
          </w:tcPr>
          <w:p w14:paraId="1123749B">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c>
          <w:tcPr>
            <w:tcW w:w="1427" w:type="dxa"/>
            <w:vAlign w:val="center"/>
          </w:tcPr>
          <w:p w14:paraId="5270280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c>
          <w:tcPr>
            <w:tcW w:w="1427" w:type="dxa"/>
            <w:vAlign w:val="center"/>
          </w:tcPr>
          <w:p w14:paraId="398F9D6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c>
          <w:tcPr>
            <w:tcW w:w="791" w:type="dxa"/>
            <w:vAlign w:val="center"/>
          </w:tcPr>
          <w:p w14:paraId="5DAA5990">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198E06E">
      <w:pPr>
        <w:spacing w:before="156" w:beforeLines="50" w:line="360" w:lineRule="auto"/>
        <w:jc w:val="left"/>
        <w:outlineLvl w:val="1"/>
        <w:rPr>
          <w:rFonts w:ascii="Times New Roman" w:hAnsi="Times New Roman" w:eastAsia="宋体" w:cs="Times New Roman"/>
          <w:b/>
          <w:szCs w:val="21"/>
        </w:rPr>
      </w:pPr>
      <w:bookmarkStart w:id="2360" w:name="_Toc4044"/>
      <w:r>
        <w:rPr>
          <w:rFonts w:hint="eastAsia" w:ascii="Times New Roman" w:hAnsi="Times New Roman" w:eastAsia="宋体" w:cs="Times New Roman"/>
          <w:b/>
          <w:szCs w:val="21"/>
        </w:rPr>
        <w:t>（二）成绩评定细则</w:t>
      </w:r>
      <w:bookmarkEnd w:id="2360"/>
    </w:p>
    <w:p w14:paraId="1539BE7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D65767E">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楷体" w:hAnsi="楷体" w:eastAsia="楷体" w:cs="楷体"/>
          <w:b/>
          <w:bCs/>
          <w:szCs w:val="21"/>
        </w:rPr>
      </w:pPr>
      <w:r>
        <w:rPr>
          <w:rFonts w:hint="eastAsia" w:ascii="楷体" w:hAnsi="楷体" w:eastAsia="楷体" w:cs="楷体"/>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FCB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3E29B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433F56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D8BDFC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71F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57CA2A">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平时作业</w:t>
            </w:r>
          </w:p>
        </w:tc>
        <w:tc>
          <w:tcPr>
            <w:tcW w:w="7141" w:type="dxa"/>
            <w:vAlign w:val="center"/>
          </w:tcPr>
          <w:p w14:paraId="26CAD0C8">
            <w:pPr>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内容质量（30分）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主题相关</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兼具</w:t>
            </w:r>
            <w:r>
              <w:rPr>
                <w:rFonts w:hint="eastAsia" w:ascii="Times New Roman" w:hAnsi="Times New Roman" w:eastAsia="宋体" w:cs="Times New Roman"/>
                <w:szCs w:val="21"/>
              </w:rPr>
              <w:t>深度与广度</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论据充分性</w:t>
            </w:r>
            <w:r>
              <w:rPr>
                <w:rFonts w:hint="eastAsia" w:ascii="Times New Roman" w:hAnsi="Times New Roman" w:eastAsia="宋体" w:cs="Times New Roman"/>
                <w:szCs w:val="21"/>
                <w:lang w:eastAsia="zh-CN"/>
              </w:rPr>
              <w:t>；</w:t>
            </w:r>
          </w:p>
          <w:p w14:paraId="1904B171">
            <w:pPr>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结构安排（30分）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逻辑清晰</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层次分明</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结论明确</w:t>
            </w:r>
            <w:r>
              <w:rPr>
                <w:rFonts w:hint="eastAsia" w:ascii="Times New Roman" w:hAnsi="Times New Roman" w:eastAsia="宋体" w:cs="Times New Roman"/>
                <w:szCs w:val="21"/>
                <w:lang w:eastAsia="zh-CN"/>
              </w:rPr>
              <w:t>；</w:t>
            </w:r>
          </w:p>
          <w:p w14:paraId="2DF3BB21">
            <w:pPr>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语言表达（25分）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准确性</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流畅性</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逻辑性</w:t>
            </w:r>
            <w:r>
              <w:rPr>
                <w:rFonts w:hint="eastAsia" w:ascii="Times New Roman" w:hAnsi="Times New Roman" w:eastAsia="宋体" w:cs="Times New Roman"/>
                <w:szCs w:val="21"/>
                <w:lang w:eastAsia="zh-CN"/>
              </w:rPr>
              <w:t>；</w:t>
            </w:r>
          </w:p>
          <w:p w14:paraId="27860EC1">
            <w:pPr>
              <w:spacing w:line="264" w:lineRule="auto"/>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卷面与书写（15分）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格式规范</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书写规范</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整洁度</w:t>
            </w:r>
            <w:r>
              <w:rPr>
                <w:rFonts w:hint="eastAsia" w:ascii="Times New Roman" w:hAnsi="Times New Roman" w:eastAsia="宋体" w:cs="Times New Roman"/>
                <w:szCs w:val="21"/>
                <w:lang w:eastAsia="zh-CN"/>
              </w:rPr>
              <w:t>；</w:t>
            </w:r>
          </w:p>
        </w:tc>
        <w:tc>
          <w:tcPr>
            <w:tcW w:w="0" w:type="auto"/>
            <w:vAlign w:val="center"/>
          </w:tcPr>
          <w:p w14:paraId="6765B093">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w:t>
            </w:r>
          </w:p>
        </w:tc>
      </w:tr>
      <w:tr w14:paraId="2EBA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073BFD">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课内实践</w:t>
            </w:r>
          </w:p>
        </w:tc>
        <w:tc>
          <w:tcPr>
            <w:tcW w:w="7141" w:type="dxa"/>
            <w:vAlign w:val="center"/>
          </w:tcPr>
          <w:p w14:paraId="6170FAAD">
            <w:pPr>
              <w:widowControl/>
              <w:spacing w:line="264"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实践类型一</w:t>
            </w:r>
          </w:p>
          <w:p w14:paraId="43C1A0C9">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1.剧本大纲（20分）</w:t>
            </w:r>
          </w:p>
          <w:p w14:paraId="10EAB1B6">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清晰性：剧本大纲清晰明了，能够完整呈现剧情的发展脉络。</w:t>
            </w:r>
          </w:p>
          <w:p w14:paraId="54521EFE">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逻辑性：大纲中的情节安排合理，前后连贯，符合儿童的认知特点。</w:t>
            </w:r>
          </w:p>
          <w:p w14:paraId="4636A957">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创新性：大纲能展现出新颖的故事构思，吸引儿童的兴趣。</w:t>
            </w:r>
          </w:p>
          <w:p w14:paraId="120DF17F">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2.剧本主旨（20分）</w:t>
            </w:r>
          </w:p>
          <w:p w14:paraId="3DEC4626">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主题鲜明：剧本有一个明确的主题，能够引导儿童思考和感悟。</w:t>
            </w:r>
          </w:p>
          <w:p w14:paraId="275957B9">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教育意义：剧本主旨具有教育意义，能够传递正能量和价值观。</w:t>
            </w:r>
          </w:p>
          <w:p w14:paraId="05768E5C">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适龄性：主旨适合儿童的年龄阶段，符合他们的心理发展特点。</w:t>
            </w:r>
          </w:p>
          <w:p w14:paraId="24CE5C23">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3.戏剧冲突（20分）</w:t>
            </w:r>
          </w:p>
          <w:p w14:paraId="395A1640">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冲突设置：剧本中设置合适的戏剧冲突，推动剧情发展。</w:t>
            </w:r>
          </w:p>
          <w:p w14:paraId="663A9567">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冲突解决：冲突解决方式合理，能够给儿童留下深刻印象。</w:t>
            </w:r>
          </w:p>
          <w:p w14:paraId="32013BE3">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紧张感：剧本能够营造出紧张的氛围，激发儿童的兴趣和好奇心。</w:t>
            </w:r>
          </w:p>
          <w:p w14:paraId="223AB12F">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4.人物形象分析（20分）</w:t>
            </w:r>
          </w:p>
          <w:p w14:paraId="6CFA0EA6">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角色设定：角色设定丰富多样，各具特色，能够吸引儿童的关注。</w:t>
            </w:r>
          </w:p>
          <w:p w14:paraId="0AA8B491">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角色发展：角色在剧情中有成长和变化，展现出人性的复杂性。</w:t>
            </w:r>
          </w:p>
          <w:p w14:paraId="2A2AA64A">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角色与主旨：角色与剧本主旨紧密相关，能够体现主旨的内涵。</w:t>
            </w:r>
          </w:p>
          <w:p w14:paraId="752B8C2A">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5.展示者现场表现（20分）</w:t>
            </w:r>
          </w:p>
          <w:p w14:paraId="44EB0A9A">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语言表达：展示者使用生动、形象的语言，使剧本更具表现力。</w:t>
            </w:r>
          </w:p>
          <w:p w14:paraId="60962B75">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肢体动作：展示者在表演过程中运用恰当的肢体动作，增强角色的表现力。</w:t>
            </w:r>
          </w:p>
          <w:p w14:paraId="27E60BBB">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情感表达：展示者能够准确地传达角色的情感，使观众产生共鸣。</w:t>
            </w:r>
          </w:p>
          <w:p w14:paraId="33BA1593">
            <w:pPr>
              <w:widowControl/>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时间控制：在规定时间内完成赏析交流。</w:t>
            </w:r>
          </w:p>
          <w:p w14:paraId="470E84F5">
            <w:pPr>
              <w:widowControl/>
              <w:spacing w:line="264"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实践类型二</w:t>
            </w:r>
          </w:p>
          <w:p w14:paraId="349F57CC">
            <w:pPr>
              <w:widowControl/>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r>
              <w:rPr>
                <w:rFonts w:hint="default" w:ascii="Times New Roman" w:hAnsi="Times New Roman" w:eastAsia="宋体" w:cs="Times New Roman"/>
                <w:szCs w:val="21"/>
                <w:lang w:val="en-US" w:eastAsia="zh-CN"/>
              </w:rPr>
              <w:t>内容选择与表现（20分）</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相关性：游戏和习式与儿童戏剧课程紧密相关，能有效展示学生在课程中的学习和进步。</w:t>
            </w:r>
          </w:p>
          <w:p w14:paraId="13C66A07">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多样性：游戏和习式的种类丰富多样，能充分展示学生的多元技能。</w:t>
            </w:r>
          </w:p>
          <w:p w14:paraId="19D74E8F">
            <w:pPr>
              <w:widowControl/>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lang w:val="en-US" w:eastAsia="zh-CN"/>
              </w:rPr>
              <w:t>技术运用与制作质量（20分）</w:t>
            </w:r>
          </w:p>
          <w:p w14:paraId="34B7A366">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视频剪辑：剪辑流畅，过渡自然，能将游戏和习式有序地串联起来。</w:t>
            </w:r>
          </w:p>
          <w:p w14:paraId="1E16DEAF">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画面质量：视频画面清晰稳定，色彩自然，无抖动或模糊现象。</w:t>
            </w:r>
          </w:p>
          <w:p w14:paraId="6D7C6610">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声音处理：声音清晰可辨，音量适中，无噪音干扰。</w:t>
            </w:r>
          </w:p>
          <w:p w14:paraId="3FBD15D3">
            <w:pPr>
              <w:widowControl/>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创意与趣味性（20分）</w:t>
            </w:r>
          </w:p>
          <w:p w14:paraId="5541CC3B">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创意性：视频剪辑具有创意，能在基本内容的基础上有所创新。</w:t>
            </w:r>
          </w:p>
          <w:p w14:paraId="20F30A32">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趣味性：游戏和习式有趣，能吸引观众的注意力。</w:t>
            </w:r>
          </w:p>
          <w:p w14:paraId="2DC06023">
            <w:pPr>
              <w:widowControl/>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文字说明与标注（20分）</w:t>
            </w:r>
          </w:p>
          <w:p w14:paraId="56623421">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准确性：文字说明准确，无错别字或语病，能清晰传达游戏和习式的名称及内容。</w:t>
            </w:r>
          </w:p>
          <w:p w14:paraId="41A36307">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规范性：文字标注否规范，字体、字号、颜色等与画面协调。</w:t>
            </w:r>
          </w:p>
          <w:p w14:paraId="58D516C3">
            <w:pPr>
              <w:widowControl/>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lang w:val="en-US" w:eastAsia="zh-CN"/>
              </w:rPr>
              <w:t>团队协作与表现力（20分）</w:t>
            </w:r>
          </w:p>
          <w:p w14:paraId="45B0D713">
            <w:pPr>
              <w:widowControl/>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团队协作：团队成员配合默契，协作完成视频剪辑任务。</w:t>
            </w:r>
          </w:p>
          <w:p w14:paraId="26B8A52B">
            <w:pPr>
              <w:widowControl/>
              <w:spacing w:line="264" w:lineRule="auto"/>
              <w:jc w:val="left"/>
              <w:rPr>
                <w:rFonts w:hint="eastAsia" w:ascii="Times New Roman" w:hAnsi="Times New Roman" w:eastAsia="宋体" w:cs="Times New Roman"/>
                <w:szCs w:val="21"/>
              </w:rPr>
            </w:pPr>
            <w:r>
              <w:rPr>
                <w:rFonts w:hint="default" w:ascii="Times New Roman" w:hAnsi="Times New Roman" w:eastAsia="宋体" w:cs="Times New Roman"/>
                <w:szCs w:val="21"/>
                <w:lang w:val="en-US" w:eastAsia="zh-CN"/>
              </w:rPr>
              <w:t>表现力：学生在游戏和习式中的表现积极，能展现自己的才能和技能。</w:t>
            </w:r>
          </w:p>
        </w:tc>
        <w:tc>
          <w:tcPr>
            <w:tcW w:w="0" w:type="auto"/>
            <w:vAlign w:val="center"/>
          </w:tcPr>
          <w:p w14:paraId="68F9436F">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w:t>
            </w:r>
          </w:p>
        </w:tc>
      </w:tr>
      <w:tr w14:paraId="193B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E811E4">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期末展演</w:t>
            </w:r>
          </w:p>
        </w:tc>
        <w:tc>
          <w:tcPr>
            <w:tcW w:w="7141" w:type="dxa"/>
            <w:vAlign w:val="center"/>
          </w:tcPr>
          <w:p w14:paraId="69278E7D">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1.剧本（20分）：思想健康，主题鲜明；贴近儿童的生活；结构完整，无知识性和常识性错误；情节流畅，且设计紧凑合理；寓教于演，引人入胜。</w:t>
            </w:r>
          </w:p>
          <w:p w14:paraId="774E34D9">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演员（45分）：语言清晰流畅，具有表现力和感染力；声音、声调符合角色性格特征和年龄特征；角色投入充分，表演自然到位，能照顾到观众；表情、动作均符合角色性格特征和年龄特征；小组成员全员参与；彼此配合默契；表演过程中没有冷场或相互提醒。</w:t>
            </w:r>
          </w:p>
          <w:p w14:paraId="1691839B">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3.舞台艺术（20分）：有道具，且道具选择恰当；服装设计符合人物角色；选择的音乐符合故事内容；能恰当运用美术、音乐、灯光等烘托环境；能综合歌舞、音乐等艺术手法。</w:t>
            </w:r>
          </w:p>
          <w:p w14:paraId="431474AA">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4.特色或创新性（10分）：有一定的创编情节；或舞台表演形式独特；或其他让人耳目一新的表现手法。</w:t>
            </w:r>
          </w:p>
          <w:p w14:paraId="304C7E5B">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5.时间（5分）：用时10分钟左右</w:t>
            </w:r>
          </w:p>
        </w:tc>
        <w:tc>
          <w:tcPr>
            <w:tcW w:w="0" w:type="auto"/>
            <w:vAlign w:val="center"/>
          </w:tcPr>
          <w:p w14:paraId="47719280">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0115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AB2ED5">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期末考试</w:t>
            </w:r>
          </w:p>
        </w:tc>
        <w:tc>
          <w:tcPr>
            <w:tcW w:w="7141" w:type="dxa"/>
            <w:vAlign w:val="center"/>
          </w:tcPr>
          <w:p w14:paraId="6B6A18CF">
            <w:pPr>
              <w:keepNext w:val="0"/>
              <w:keepLines w:val="0"/>
              <w:pageBreakBefore w:val="0"/>
              <w:widowControl w:val="0"/>
              <w:numPr>
                <w:ilvl w:val="0"/>
                <w:numId w:val="81"/>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Cs w:val="22"/>
                <w:lang w:val="en-US" w:eastAsia="zh-CN"/>
              </w:rPr>
            </w:pPr>
            <w:r>
              <w:rPr>
                <w:rFonts w:hint="eastAsia" w:ascii="宋体" w:hAnsi="宋体" w:eastAsia="宋体" w:cs="宋体"/>
                <w:szCs w:val="22"/>
                <w:lang w:val="en-US" w:eastAsia="zh-CN"/>
              </w:rPr>
              <w:t>教学目标（10分）：教学目标明确、具体，与儿童戏剧教育的总体目标紧密相关，能够清晰地指导整个活动的设计与实施；目标应涵盖知识、技能、情感态度等多个维度，且符合儿童的年龄特点和认知水平。</w:t>
            </w:r>
          </w:p>
          <w:p w14:paraId="2529BD40">
            <w:pPr>
              <w:keepNext w:val="0"/>
              <w:keepLines w:val="0"/>
              <w:pageBreakBefore w:val="0"/>
              <w:widowControl w:val="0"/>
              <w:numPr>
                <w:ilvl w:val="0"/>
                <w:numId w:val="81"/>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Cs w:val="22"/>
                <w:lang w:val="en-US" w:eastAsia="zh-CN"/>
              </w:rPr>
            </w:pPr>
            <w:r>
              <w:rPr>
                <w:rFonts w:hint="eastAsia" w:ascii="宋体" w:hAnsi="宋体" w:eastAsia="宋体" w:cs="宋体"/>
                <w:szCs w:val="22"/>
                <w:lang w:val="en-US" w:eastAsia="zh-CN"/>
              </w:rPr>
              <w:t>教学准备（10分）：活动内容丰富、有趣，与教学目标紧密相关，且适合儿童的年龄和兴趣；素材选择恰当，能够辅助活动的顺利进行。</w:t>
            </w:r>
          </w:p>
          <w:p w14:paraId="1DF4111E">
            <w:pPr>
              <w:keepNext w:val="0"/>
              <w:keepLines w:val="0"/>
              <w:pageBreakBefore w:val="0"/>
              <w:widowControl w:val="0"/>
              <w:numPr>
                <w:ilvl w:val="0"/>
                <w:numId w:val="81"/>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Cs w:val="22"/>
                <w:lang w:val="en-US" w:eastAsia="zh-CN"/>
              </w:rPr>
            </w:pPr>
            <w:r>
              <w:rPr>
                <w:rFonts w:hint="eastAsia" w:ascii="宋体" w:hAnsi="宋体" w:eastAsia="宋体" w:cs="宋体"/>
                <w:szCs w:val="22"/>
              </w:rPr>
              <w:t>活动</w:t>
            </w:r>
            <w:r>
              <w:rPr>
                <w:rFonts w:hint="eastAsia" w:ascii="宋体" w:hAnsi="宋体" w:eastAsia="宋体" w:cs="宋体"/>
                <w:szCs w:val="22"/>
                <w:lang w:val="en-US" w:eastAsia="zh-CN"/>
              </w:rPr>
              <w:t>/游戏</w:t>
            </w:r>
            <w:r>
              <w:rPr>
                <w:rFonts w:hint="eastAsia" w:ascii="宋体" w:hAnsi="宋体" w:eastAsia="宋体" w:cs="宋体"/>
                <w:szCs w:val="22"/>
              </w:rPr>
              <w:t>名称</w:t>
            </w:r>
            <w:r>
              <w:rPr>
                <w:rFonts w:hint="eastAsia" w:ascii="宋体" w:hAnsi="宋体" w:eastAsia="宋体" w:cs="宋体"/>
                <w:szCs w:val="22"/>
                <w:lang w:eastAsia="zh-CN"/>
              </w:rPr>
              <w:t>（</w:t>
            </w:r>
            <w:r>
              <w:rPr>
                <w:rFonts w:hint="eastAsia" w:ascii="宋体" w:hAnsi="宋体" w:eastAsia="宋体" w:cs="宋体"/>
                <w:szCs w:val="22"/>
                <w:lang w:val="en-US" w:eastAsia="zh-CN"/>
              </w:rPr>
              <w:t>10分</w:t>
            </w:r>
            <w:r>
              <w:rPr>
                <w:rFonts w:hint="eastAsia" w:ascii="宋体" w:hAnsi="宋体" w:eastAsia="宋体" w:cs="宋体"/>
                <w:szCs w:val="22"/>
                <w:lang w:eastAsia="zh-CN"/>
              </w:rPr>
              <w:t>）</w:t>
            </w:r>
            <w:r>
              <w:rPr>
                <w:rFonts w:hint="eastAsia" w:ascii="宋体" w:hAnsi="宋体" w:eastAsia="宋体" w:cs="宋体"/>
                <w:szCs w:val="22"/>
              </w:rPr>
              <w:t>：</w:t>
            </w:r>
            <w:r>
              <w:rPr>
                <w:rFonts w:hint="eastAsia" w:ascii="宋体" w:hAnsi="宋体" w:eastAsia="宋体" w:cs="宋体"/>
                <w:szCs w:val="22"/>
                <w:lang w:val="en-US" w:eastAsia="zh-CN"/>
              </w:rPr>
              <w:t>活动/游戏名称清晰、吸引人，能够立即传达活动主题或核心要素，激发儿童的兴趣和好奇心。</w:t>
            </w:r>
          </w:p>
          <w:p w14:paraId="15FEC1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szCs w:val="22"/>
                <w:lang w:eastAsia="zh-CN"/>
              </w:rPr>
            </w:pPr>
            <w:r>
              <w:rPr>
                <w:rFonts w:hint="eastAsia" w:ascii="宋体" w:hAnsi="宋体" w:eastAsia="宋体" w:cs="宋体"/>
                <w:szCs w:val="22"/>
                <w:lang w:val="en-US" w:eastAsia="zh-CN"/>
              </w:rPr>
              <w:t>4.</w:t>
            </w:r>
            <w:r>
              <w:rPr>
                <w:rFonts w:hint="eastAsia" w:ascii="宋体" w:hAnsi="宋体" w:eastAsia="宋体" w:cs="宋体"/>
                <w:szCs w:val="22"/>
              </w:rPr>
              <w:t>戏剧习式</w:t>
            </w:r>
            <w:r>
              <w:rPr>
                <w:rFonts w:hint="eastAsia" w:ascii="宋体" w:hAnsi="宋体" w:eastAsia="宋体" w:cs="宋体"/>
                <w:szCs w:val="22"/>
                <w:lang w:val="en-US" w:eastAsia="zh-CN"/>
              </w:rPr>
              <w:t>/游戏类型（20分）：</w:t>
            </w:r>
            <w:r>
              <w:rPr>
                <w:rFonts w:hint="eastAsia" w:ascii="宋体" w:hAnsi="宋体" w:eastAsia="宋体" w:cs="宋体"/>
                <w:szCs w:val="22"/>
              </w:rPr>
              <w:t>明确指出戏剧习式或游戏类型（如角色扮演、即兴表演、情景模拟等），并且该类型适合儿童的年龄和发展阶段，有助于实现教育目</w:t>
            </w:r>
            <w:r>
              <w:rPr>
                <w:rFonts w:hint="eastAsia" w:ascii="宋体" w:hAnsi="宋体" w:eastAsia="宋体" w:cs="宋体"/>
                <w:szCs w:val="22"/>
                <w:lang w:eastAsia="zh-CN"/>
              </w:rPr>
              <w:t>；</w:t>
            </w:r>
          </w:p>
          <w:p w14:paraId="48EBF19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Cs w:val="22"/>
              </w:rPr>
            </w:pPr>
            <w:r>
              <w:rPr>
                <w:rFonts w:hint="eastAsia" w:ascii="宋体" w:hAnsi="宋体" w:eastAsia="宋体" w:cs="宋体"/>
                <w:szCs w:val="22"/>
                <w:lang w:val="en-US" w:eastAsia="zh-CN"/>
              </w:rPr>
              <w:t>5.</w:t>
            </w:r>
            <w:r>
              <w:rPr>
                <w:rFonts w:hint="eastAsia" w:ascii="宋体" w:hAnsi="宋体" w:eastAsia="宋体" w:cs="宋体"/>
                <w:szCs w:val="22"/>
              </w:rPr>
              <w:t>活动</w:t>
            </w:r>
            <w:r>
              <w:rPr>
                <w:rFonts w:hint="eastAsia" w:ascii="宋体" w:hAnsi="宋体" w:eastAsia="宋体" w:cs="宋体"/>
                <w:szCs w:val="22"/>
                <w:lang w:val="en-US" w:eastAsia="zh-CN"/>
              </w:rPr>
              <w:t>/游戏</w:t>
            </w:r>
            <w:r>
              <w:rPr>
                <w:rFonts w:hint="eastAsia" w:ascii="宋体" w:hAnsi="宋体" w:eastAsia="宋体" w:cs="宋体"/>
                <w:szCs w:val="22"/>
              </w:rPr>
              <w:t>目标</w:t>
            </w:r>
            <w:r>
              <w:rPr>
                <w:rFonts w:hint="eastAsia" w:ascii="宋体" w:hAnsi="宋体" w:eastAsia="宋体" w:cs="宋体"/>
                <w:szCs w:val="22"/>
                <w:lang w:eastAsia="zh-CN"/>
              </w:rPr>
              <w:t>（</w:t>
            </w:r>
            <w:r>
              <w:rPr>
                <w:rFonts w:hint="eastAsia" w:ascii="宋体" w:hAnsi="宋体" w:eastAsia="宋体" w:cs="宋体"/>
                <w:szCs w:val="22"/>
                <w:lang w:val="en-US" w:eastAsia="zh-CN"/>
              </w:rPr>
              <w:t>10分</w:t>
            </w:r>
            <w:r>
              <w:rPr>
                <w:rFonts w:hint="eastAsia" w:ascii="宋体" w:hAnsi="宋体" w:eastAsia="宋体" w:cs="宋体"/>
                <w:szCs w:val="22"/>
                <w:lang w:eastAsia="zh-CN"/>
              </w:rPr>
              <w:t>）</w:t>
            </w:r>
            <w:r>
              <w:rPr>
                <w:rFonts w:hint="eastAsia" w:ascii="宋体" w:hAnsi="宋体" w:eastAsia="宋体" w:cs="宋体"/>
                <w:szCs w:val="22"/>
              </w:rPr>
              <w:t>：</w:t>
            </w:r>
            <w:r>
              <w:rPr>
                <w:rFonts w:hint="eastAsia" w:ascii="宋体" w:hAnsi="宋体" w:eastAsia="宋体" w:cs="宋体"/>
                <w:szCs w:val="22"/>
                <w:lang w:val="en-US" w:eastAsia="zh-CN"/>
              </w:rPr>
              <w:t>目标清晰、具体、可衡量，且符合儿童戏剧教育的总体目标。</w:t>
            </w:r>
          </w:p>
          <w:p w14:paraId="6DF87FD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Cs w:val="22"/>
                <w:lang w:val="en-US" w:eastAsia="zh-CN"/>
              </w:rPr>
            </w:pPr>
            <w:r>
              <w:rPr>
                <w:rFonts w:hint="eastAsia" w:ascii="宋体" w:hAnsi="宋体" w:eastAsia="宋体" w:cs="宋体"/>
                <w:szCs w:val="22"/>
                <w:lang w:val="en-US" w:eastAsia="zh-CN"/>
              </w:rPr>
              <w:t>6.</w:t>
            </w:r>
            <w:r>
              <w:rPr>
                <w:rFonts w:hint="eastAsia" w:ascii="宋体" w:hAnsi="宋体" w:eastAsia="宋体" w:cs="宋体"/>
                <w:szCs w:val="22"/>
              </w:rPr>
              <w:t>活动</w:t>
            </w:r>
            <w:r>
              <w:rPr>
                <w:rFonts w:hint="eastAsia" w:ascii="宋体" w:hAnsi="宋体" w:eastAsia="宋体" w:cs="宋体"/>
                <w:szCs w:val="22"/>
                <w:lang w:val="en-US" w:eastAsia="zh-CN"/>
              </w:rPr>
              <w:t>/游戏</w:t>
            </w:r>
            <w:r>
              <w:rPr>
                <w:rFonts w:hint="eastAsia" w:ascii="宋体" w:hAnsi="宋体" w:eastAsia="宋体" w:cs="宋体"/>
                <w:szCs w:val="22"/>
              </w:rPr>
              <w:t>过程</w:t>
            </w:r>
            <w:r>
              <w:rPr>
                <w:rFonts w:hint="eastAsia" w:ascii="宋体" w:hAnsi="宋体" w:eastAsia="宋体" w:cs="宋体"/>
                <w:szCs w:val="22"/>
                <w:lang w:eastAsia="zh-CN"/>
              </w:rPr>
              <w:t>（</w:t>
            </w:r>
            <w:r>
              <w:rPr>
                <w:rFonts w:hint="eastAsia" w:ascii="宋体" w:hAnsi="宋体" w:eastAsia="宋体" w:cs="宋体"/>
                <w:szCs w:val="22"/>
                <w:lang w:val="en-US" w:eastAsia="zh-CN"/>
              </w:rPr>
              <w:t>30分</w:t>
            </w:r>
            <w:r>
              <w:rPr>
                <w:rFonts w:hint="eastAsia" w:ascii="宋体" w:hAnsi="宋体" w:eastAsia="宋体" w:cs="宋体"/>
                <w:szCs w:val="22"/>
                <w:lang w:eastAsia="zh-CN"/>
              </w:rPr>
              <w:t>）</w:t>
            </w:r>
            <w:r>
              <w:rPr>
                <w:rFonts w:hint="eastAsia" w:ascii="宋体" w:hAnsi="宋体" w:eastAsia="宋体" w:cs="宋体"/>
                <w:szCs w:val="22"/>
              </w:rPr>
              <w:t>：</w:t>
            </w:r>
            <w:r>
              <w:rPr>
                <w:rFonts w:hint="eastAsia" w:ascii="宋体" w:hAnsi="宋体" w:eastAsia="宋体" w:cs="宋体"/>
                <w:szCs w:val="22"/>
                <w:lang w:val="en-US" w:eastAsia="zh-CN"/>
              </w:rPr>
              <w:t>过程设计合理、流畅，能够充分激发儿童的参与热情，有效实现活动目标。包括热身、导入、主体活动、高潮和结束等环节，每个环节都有明确的目的和步骤。</w:t>
            </w:r>
          </w:p>
          <w:p w14:paraId="5E456BC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Cs w:val="21"/>
                <w:lang w:bidi="ar"/>
              </w:rPr>
            </w:pPr>
            <w:r>
              <w:rPr>
                <w:rFonts w:hint="eastAsia" w:ascii="宋体" w:hAnsi="宋体" w:eastAsia="宋体" w:cs="宋体"/>
                <w:szCs w:val="22"/>
                <w:lang w:val="en-US" w:eastAsia="zh-CN"/>
              </w:rPr>
              <w:t>7.</w:t>
            </w:r>
            <w:r>
              <w:rPr>
                <w:rFonts w:hint="eastAsia" w:ascii="宋体" w:hAnsi="宋体" w:eastAsia="宋体" w:cs="宋体"/>
                <w:szCs w:val="22"/>
              </w:rPr>
              <w:t>创新加分</w:t>
            </w:r>
            <w:r>
              <w:rPr>
                <w:rFonts w:hint="eastAsia" w:ascii="宋体" w:hAnsi="宋体" w:eastAsia="宋体" w:cs="宋体"/>
                <w:szCs w:val="22"/>
                <w:lang w:eastAsia="zh-CN"/>
              </w:rPr>
              <w:t>（</w:t>
            </w:r>
            <w:r>
              <w:rPr>
                <w:rFonts w:hint="eastAsia" w:ascii="宋体" w:hAnsi="宋体" w:eastAsia="宋体" w:cs="宋体"/>
                <w:szCs w:val="22"/>
                <w:lang w:val="en-US" w:eastAsia="zh-CN"/>
              </w:rPr>
              <w:t>10</w:t>
            </w:r>
            <w:r>
              <w:rPr>
                <w:rFonts w:hint="eastAsia" w:ascii="宋体" w:hAnsi="宋体" w:eastAsia="宋体" w:cs="宋体"/>
                <w:szCs w:val="22"/>
              </w:rPr>
              <w:t>分</w:t>
            </w:r>
            <w:r>
              <w:rPr>
                <w:rFonts w:hint="eastAsia" w:ascii="宋体" w:hAnsi="宋体" w:eastAsia="宋体" w:cs="宋体"/>
                <w:szCs w:val="22"/>
                <w:lang w:eastAsia="zh-CN"/>
              </w:rPr>
              <w:t>）：活动设计具有高度的创新性，如采用新颖的戏剧习式、融合现代科技元素、结合社会热点等，为儿童提供独特的戏剧体验。</w:t>
            </w:r>
          </w:p>
        </w:tc>
        <w:tc>
          <w:tcPr>
            <w:tcW w:w="0" w:type="auto"/>
            <w:vAlign w:val="center"/>
          </w:tcPr>
          <w:p w14:paraId="0DABA788">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w:t>
            </w:r>
          </w:p>
        </w:tc>
      </w:tr>
      <w:tr w14:paraId="164F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1C5327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7151D3D">
            <w:pPr>
              <w:jc w:val="left"/>
              <w:rPr>
                <w:rFonts w:ascii="Times New Roman" w:hAnsi="Times New Roman" w:eastAsia="宋体" w:cs="Times New Roman"/>
                <w:szCs w:val="21"/>
              </w:rPr>
            </w:pPr>
          </w:p>
        </w:tc>
        <w:tc>
          <w:tcPr>
            <w:tcW w:w="0" w:type="auto"/>
            <w:vAlign w:val="center"/>
          </w:tcPr>
          <w:p w14:paraId="186B4A6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1525DFD">
      <w:pPr>
        <w:spacing w:line="360" w:lineRule="auto"/>
        <w:jc w:val="left"/>
        <w:outlineLvl w:val="1"/>
        <w:rPr>
          <w:rFonts w:hint="eastAsia" w:ascii="宋体" w:hAnsi="宋体" w:eastAsia="宋体" w:cs="Times New Roman"/>
          <w:b/>
          <w:color w:val="000000"/>
          <w:szCs w:val="21"/>
        </w:rPr>
      </w:pPr>
      <w:bookmarkStart w:id="2361" w:name="_Toc7366"/>
      <w:r>
        <w:rPr>
          <w:rFonts w:hint="eastAsia" w:ascii="宋体" w:hAnsi="宋体" w:eastAsia="宋体" w:cs="Times New Roman"/>
          <w:b/>
          <w:color w:val="000000"/>
          <w:szCs w:val="21"/>
        </w:rPr>
        <w:t>（三）课程目标达成度计算方法</w:t>
      </w:r>
      <w:bookmarkEnd w:id="2361"/>
    </w:p>
    <w:p w14:paraId="4BA656C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228BA24">
      <w:pPr>
        <w:spacing w:before="156" w:beforeLines="50" w:line="360" w:lineRule="auto"/>
        <w:ind w:firstLine="420" w:firstLineChars="200"/>
        <w:jc w:val="left"/>
        <w:rPr>
          <w:rFonts w:hint="eastAsia" w:ascii="宋体" w:hAnsi="宋体" w:eastAsia="宋体" w:cs="Times New Roman"/>
          <w:b/>
          <w:color w:val="000000"/>
          <w:sz w:val="28"/>
          <w:szCs w:val="28"/>
        </w:rPr>
      </w:pPr>
      <w:r>
        <w:rPr>
          <w:rFonts w:ascii="宋体" w:hAnsi="宋体" w:eastAsia="宋体" w:cs="Times New Roman"/>
          <w:color w:val="000000"/>
          <w:szCs w:val="21"/>
        </w:rPr>
        <w:object>
          <v:shape id="_x0000_i1069"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69" DrawAspect="Content" ObjectID="_1468075769" r:id="rId52">
            <o:LockedField>false</o:LockedField>
          </o:OLEObject>
        </w:object>
      </w:r>
    </w:p>
    <w:p w14:paraId="1D79231B">
      <w:pPr>
        <w:spacing w:line="360" w:lineRule="auto"/>
        <w:jc w:val="left"/>
        <w:outlineLvl w:val="0"/>
        <w:rPr>
          <w:rFonts w:ascii="Times New Roman" w:hAnsi="Times New Roman" w:eastAsia="宋体" w:cs="Times New Roman"/>
          <w:b/>
          <w:bCs/>
          <w:sz w:val="24"/>
          <w:szCs w:val="24"/>
        </w:rPr>
      </w:pPr>
      <w:bookmarkStart w:id="2362" w:name="_Toc23832"/>
      <w:bookmarkStart w:id="2363" w:name="_Toc10960"/>
      <w:bookmarkStart w:id="2364" w:name="_Toc19765"/>
      <w:bookmarkStart w:id="2365" w:name="_Toc1547"/>
      <w:bookmarkStart w:id="2366" w:name="_Toc10238"/>
      <w:bookmarkStart w:id="2367" w:name="_Toc5542"/>
      <w:bookmarkStart w:id="2368" w:name="_Toc15147"/>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bookmarkEnd w:id="2362"/>
      <w:bookmarkEnd w:id="2363"/>
      <w:bookmarkEnd w:id="2364"/>
      <w:bookmarkEnd w:id="2365"/>
      <w:bookmarkEnd w:id="2366"/>
      <w:bookmarkEnd w:id="2367"/>
      <w:bookmarkEnd w:id="2368"/>
    </w:p>
    <w:p w14:paraId="4CD3A2CE">
      <w:pPr>
        <w:spacing w:line="360" w:lineRule="auto"/>
        <w:jc w:val="left"/>
        <w:outlineLvl w:val="1"/>
        <w:rPr>
          <w:rFonts w:ascii="Times New Roman" w:hAnsi="Times New Roman" w:eastAsia="宋体" w:cs="Times New Roman"/>
          <w:b/>
          <w:sz w:val="21"/>
          <w:szCs w:val="21"/>
        </w:rPr>
      </w:pPr>
      <w:bookmarkStart w:id="2369" w:name="_Toc31749"/>
      <w:r>
        <w:rPr>
          <w:rFonts w:hint="eastAsia" w:ascii="Times New Roman" w:hAnsi="Times New Roman" w:eastAsia="宋体" w:cs="Times New Roman"/>
          <w:b/>
          <w:sz w:val="21"/>
          <w:szCs w:val="21"/>
        </w:rPr>
        <w:t>（一）持续改进</w:t>
      </w:r>
      <w:bookmarkEnd w:id="2369"/>
    </w:p>
    <w:p w14:paraId="704BB36B">
      <w:pPr>
        <w:spacing w:line="360" w:lineRule="auto"/>
        <w:ind w:firstLine="411" w:firstLineChars="196"/>
        <w:jc w:val="left"/>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本课程根据学生作业、课堂讨论、实验环节、平时考核情况和学生、教学督导等的反馈，及时对教学中的不足之处进行改进，并在下一轮课程教学中整改完善，确保相应毕业要求指标点达成。</w:t>
      </w:r>
    </w:p>
    <w:p w14:paraId="63798B81">
      <w:pPr>
        <w:spacing w:line="360" w:lineRule="auto"/>
        <w:jc w:val="left"/>
        <w:outlineLvl w:val="1"/>
        <w:rPr>
          <w:rFonts w:ascii="Times New Roman" w:hAnsi="Times New Roman" w:eastAsia="宋体" w:cs="Times New Roman"/>
          <w:b/>
          <w:sz w:val="21"/>
          <w:szCs w:val="21"/>
        </w:rPr>
      </w:pPr>
      <w:bookmarkStart w:id="2370" w:name="_Toc7342"/>
      <w:r>
        <w:rPr>
          <w:rFonts w:hint="eastAsia" w:ascii="Times New Roman" w:hAnsi="Times New Roman" w:eastAsia="宋体" w:cs="Times New Roman"/>
          <w:b/>
          <w:sz w:val="21"/>
          <w:szCs w:val="21"/>
        </w:rPr>
        <w:t>（二）建议教材</w:t>
      </w:r>
      <w:bookmarkEnd w:id="2370"/>
    </w:p>
    <w:p w14:paraId="33043F9B">
      <w:pPr>
        <w:spacing w:line="360" w:lineRule="auto"/>
        <w:ind w:firstLine="420" w:firstLineChars="200"/>
        <w:jc w:val="left"/>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方先义.儿童戏剧</w:t>
      </w:r>
      <w:r>
        <w:rPr>
          <w:rFonts w:hint="eastAsia" w:ascii="Times New Roman" w:hAnsi="Times New Roman" w:eastAsia="宋体" w:cs="Times New Roman"/>
          <w:bCs/>
          <w:color w:val="000000"/>
          <w:sz w:val="21"/>
          <w:szCs w:val="21"/>
          <w:lang w:eastAsia="zh-CN"/>
        </w:rPr>
        <w:t>（</w:t>
      </w:r>
      <w:r>
        <w:rPr>
          <w:rFonts w:hint="eastAsia" w:ascii="Times New Roman" w:hAnsi="Times New Roman" w:eastAsia="宋体" w:cs="Times New Roman"/>
          <w:bCs/>
          <w:color w:val="000000"/>
          <w:sz w:val="21"/>
          <w:szCs w:val="21"/>
          <w:lang w:val="en-US" w:eastAsia="zh-CN"/>
        </w:rPr>
        <w:t>第二版</w:t>
      </w:r>
      <w:r>
        <w:rPr>
          <w:rFonts w:hint="eastAsia" w:ascii="Times New Roman" w:hAnsi="Times New Roman" w:eastAsia="宋体" w:cs="Times New Roman"/>
          <w:bCs/>
          <w:color w:val="000000"/>
          <w:sz w:val="21"/>
          <w:szCs w:val="21"/>
          <w:lang w:eastAsia="zh-CN"/>
        </w:rPr>
        <w:t>）</w:t>
      </w: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val="en-US" w:eastAsia="zh-CN"/>
        </w:rPr>
        <w:t>中国人民大学出版社</w:t>
      </w:r>
      <w:r>
        <w:rPr>
          <w:rFonts w:hint="eastAsia" w:ascii="Times New Roman" w:hAnsi="Times New Roman" w:eastAsia="宋体" w:cs="Times New Roman"/>
          <w:bCs/>
          <w:color w:val="000000"/>
          <w:sz w:val="21"/>
          <w:szCs w:val="21"/>
        </w:rPr>
        <w:t>.2024年3月</w:t>
      </w:r>
    </w:p>
    <w:p w14:paraId="78C0CDEA">
      <w:pPr>
        <w:spacing w:line="360" w:lineRule="auto"/>
        <w:jc w:val="left"/>
        <w:outlineLvl w:val="1"/>
        <w:rPr>
          <w:rFonts w:ascii="Times New Roman" w:hAnsi="Times New Roman" w:eastAsia="宋体" w:cs="Times New Roman"/>
          <w:b/>
          <w:sz w:val="21"/>
          <w:szCs w:val="21"/>
        </w:rPr>
      </w:pPr>
      <w:bookmarkStart w:id="2371" w:name="_Toc11028"/>
      <w:r>
        <w:rPr>
          <w:rFonts w:hint="eastAsia" w:ascii="Times New Roman" w:hAnsi="Times New Roman" w:eastAsia="宋体" w:cs="Times New Roman"/>
          <w:b/>
          <w:sz w:val="21"/>
          <w:szCs w:val="21"/>
        </w:rPr>
        <w:t>（三）参考书目</w:t>
      </w:r>
      <w:bookmarkEnd w:id="2371"/>
    </w:p>
    <w:p w14:paraId="5FF38C5E">
      <w:pPr>
        <w:spacing w:line="360" w:lineRule="auto"/>
        <w:ind w:firstLine="411" w:firstLineChars="196"/>
        <w:jc w:val="left"/>
        <w:rPr>
          <w:rFonts w:hint="eastAsia" w:ascii="宋体" w:hAnsi="宋体" w:eastAsia="宋体" w:cs="Times New Roman"/>
          <w:color w:val="000000"/>
          <w:sz w:val="21"/>
          <w:szCs w:val="21"/>
        </w:rPr>
      </w:pPr>
      <w:r>
        <w:rPr>
          <w:rFonts w:hint="eastAsia" w:ascii="宋体" w:hAnsi="宋体" w:eastAsia="宋体" w:cs="Times New Roman"/>
          <w:color w:val="000000"/>
          <w:sz w:val="21"/>
          <w:szCs w:val="21"/>
          <w:lang w:val="en-US" w:eastAsia="zh-CN"/>
        </w:rPr>
        <w:t>方先义.</w:t>
      </w:r>
      <w:r>
        <w:rPr>
          <w:rFonts w:hint="eastAsia" w:ascii="宋体" w:hAnsi="宋体" w:eastAsia="宋体" w:cs="Times New Roman"/>
          <w:color w:val="000000"/>
          <w:sz w:val="21"/>
          <w:szCs w:val="21"/>
        </w:rPr>
        <w:t>儿童戏剧创编与表演(第二版)，南京大学出版社2019年1月出版</w:t>
      </w:r>
    </w:p>
    <w:p w14:paraId="2D924224">
      <w:pPr>
        <w:spacing w:line="360" w:lineRule="auto"/>
        <w:ind w:firstLine="411" w:firstLineChars="196"/>
        <w:jc w:val="left"/>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郑薏苡.儿童戏剧与学前教育.杭州：浙江工商大学出版社</w:t>
      </w:r>
      <w:r>
        <w:rPr>
          <w:rFonts w:hint="eastAsia" w:ascii="宋体" w:hAnsi="宋体" w:eastAsia="宋体" w:cs="Times New Roman"/>
          <w:color w:val="000000"/>
          <w:sz w:val="21"/>
          <w:szCs w:val="21"/>
          <w:lang w:val="en-US" w:eastAsia="zh-CN"/>
        </w:rPr>
        <w:t>.</w:t>
      </w:r>
      <w:r>
        <w:rPr>
          <w:rFonts w:hint="eastAsia" w:ascii="宋体" w:hAnsi="宋体" w:eastAsia="宋体" w:cs="Times New Roman"/>
          <w:color w:val="000000"/>
          <w:sz w:val="21"/>
          <w:szCs w:val="21"/>
        </w:rPr>
        <w:t>2012</w:t>
      </w:r>
    </w:p>
    <w:p w14:paraId="44B120F4">
      <w:pPr>
        <w:spacing w:line="360" w:lineRule="auto"/>
        <w:ind w:firstLine="411" w:firstLineChars="196"/>
        <w:jc w:val="left"/>
        <w:rPr>
          <w:rFonts w:hint="eastAsia" w:ascii="等线" w:hAnsi="等线" w:eastAsia="等线" w:cs="Times New Roman"/>
          <w:szCs w:val="22"/>
        </w:rPr>
      </w:pPr>
      <w:r>
        <w:rPr>
          <w:rFonts w:hint="eastAsia" w:ascii="宋体" w:hAnsi="宋体" w:eastAsia="宋体" w:cs="Times New Roman"/>
          <w:color w:val="000000"/>
          <w:sz w:val="21"/>
          <w:szCs w:val="21"/>
        </w:rPr>
        <w:t>张小媛.儿童剧表演.南京：南京师范大学出版社.2011</w:t>
      </w:r>
    </w:p>
    <w:p w14:paraId="7D7B0963">
      <w:pPr>
        <w:spacing w:line="360" w:lineRule="auto"/>
        <w:ind w:right="192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章  燕</w:t>
      </w:r>
    </w:p>
    <w:p w14:paraId="7E95C231">
      <w:pPr>
        <w:spacing w:line="360" w:lineRule="auto"/>
        <w:ind w:right="192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王  健</w:t>
      </w:r>
    </w:p>
    <w:p w14:paraId="71498B6B">
      <w:pPr>
        <w:spacing w:line="360" w:lineRule="auto"/>
        <w:ind w:right="192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张志欣</w:t>
      </w:r>
    </w:p>
    <w:p w14:paraId="23378EB1">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74284C80">
      <w:pPr>
        <w:rPr>
          <w:rFonts w:hint="eastAsia" w:ascii="等线" w:hAnsi="等线" w:eastAsia="等线" w:cs="Times New Roman"/>
          <w:szCs w:val="22"/>
        </w:rPr>
      </w:pPr>
    </w:p>
    <w:p w14:paraId="4E46969F">
      <w:pPr>
        <w:widowControl/>
        <w:jc w:val="left"/>
        <w:rPr>
          <w:rFonts w:ascii="宋体" w:hAnsi="宋体" w:eastAsia="宋体" w:cs="宋体"/>
          <w:color w:val="000000"/>
          <w:kern w:val="0"/>
          <w:sz w:val="20"/>
          <w:szCs w:val="20"/>
          <w:lang w:val="eu-ES"/>
        </w:rPr>
      </w:pPr>
      <w:r>
        <w:rPr>
          <w:rFonts w:ascii="宋体" w:hAnsi="宋体" w:eastAsia="宋体" w:cs="宋体"/>
          <w:color w:val="000000"/>
          <w:kern w:val="0"/>
          <w:sz w:val="20"/>
          <w:szCs w:val="20"/>
          <w:lang w:val="eu-ES"/>
        </w:rPr>
        <w:br w:type="page"/>
      </w:r>
    </w:p>
    <w:p w14:paraId="061FA374">
      <w:pPr>
        <w:pStyle w:val="2"/>
        <w:bidi w:val="0"/>
        <w:rPr>
          <w:lang w:val="en-US" w:eastAsia="zh-CN"/>
        </w:rPr>
      </w:pPr>
      <w:bookmarkStart w:id="2372" w:name="_Toc1688"/>
      <w:bookmarkStart w:id="2373" w:name="_Toc6198"/>
      <w:bookmarkStart w:id="2374" w:name="_Toc17812"/>
      <w:bookmarkStart w:id="2375" w:name="_Toc24486"/>
      <w:r>
        <w:rPr>
          <w:rFonts w:hint="eastAsia"/>
          <w:lang w:val="en-US" w:eastAsia="zh-CN"/>
        </w:rPr>
        <w:t>《社会统计软件》课程教学大纲</w:t>
      </w:r>
      <w:bookmarkEnd w:id="2372"/>
      <w:bookmarkEnd w:id="2373"/>
      <w:bookmarkEnd w:id="2374"/>
      <w:bookmarkEnd w:id="2375"/>
    </w:p>
    <w:p w14:paraId="4A099125">
      <w:pPr>
        <w:pStyle w:val="2"/>
        <w:bidi w:val="0"/>
        <w:rPr>
          <w:lang w:val="en-US" w:eastAsia="zh-CN"/>
        </w:rPr>
      </w:pPr>
      <w:bookmarkStart w:id="2376" w:name="_Toc22293"/>
      <w:bookmarkStart w:id="2377" w:name="_Toc5483"/>
      <w:bookmarkStart w:id="2378" w:name="_Toc17934"/>
      <w:bookmarkStart w:id="2379" w:name="_Toc18720"/>
      <w:bookmarkStart w:id="2380" w:name="_Toc11398"/>
      <w:bookmarkStart w:id="2381" w:name="_Toc23644"/>
      <w:bookmarkStart w:id="2382" w:name="_Toc1261"/>
      <w:r>
        <w:rPr>
          <w:lang w:val="en-US" w:eastAsia="zh-CN"/>
        </w:rPr>
        <w:t>（</w:t>
      </w:r>
      <w:r>
        <w:rPr>
          <w:rFonts w:hint="eastAsia"/>
          <w:lang w:val="en-US" w:eastAsia="zh-CN"/>
        </w:rPr>
        <w:t>Social Statistics Software</w:t>
      </w:r>
      <w:r>
        <w:rPr>
          <w:lang w:val="en-US" w:eastAsia="zh-CN"/>
        </w:rPr>
        <w:t>）</w:t>
      </w:r>
      <w:bookmarkEnd w:id="2376"/>
      <w:bookmarkEnd w:id="2377"/>
      <w:bookmarkEnd w:id="2378"/>
      <w:bookmarkEnd w:id="2379"/>
      <w:bookmarkEnd w:id="2380"/>
      <w:bookmarkEnd w:id="2381"/>
      <w:bookmarkEnd w:id="2382"/>
    </w:p>
    <w:p w14:paraId="789E6797">
      <w:pPr>
        <w:spacing w:line="360" w:lineRule="auto"/>
        <w:jc w:val="center"/>
        <w:rPr>
          <w:rFonts w:ascii="Times New Roman" w:hAnsi="Times New Roman" w:eastAsia="宋体" w:cs="Times New Roman"/>
          <w:bCs/>
          <w:sz w:val="30"/>
          <w:szCs w:val="30"/>
        </w:rPr>
      </w:pPr>
    </w:p>
    <w:p w14:paraId="3374C543">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社会统计软件</w:t>
      </w:r>
    </w:p>
    <w:p w14:paraId="0C02C0BF">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课程代码：24010</w:t>
      </w:r>
      <w:r>
        <w:rPr>
          <w:rFonts w:hint="eastAsia" w:ascii="Times New Roman" w:hAnsi="Times New Roman" w:eastAsia="宋体" w:cs="Times New Roman"/>
          <w:b/>
          <w:sz w:val="24"/>
          <w:szCs w:val="24"/>
          <w:lang w:val="en-US" w:eastAsia="zh-CN"/>
        </w:rPr>
        <w:t>30</w:t>
      </w:r>
    </w:p>
    <w:p w14:paraId="38E5BC5E">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3</w:t>
      </w:r>
    </w:p>
    <w:p w14:paraId="7CA7F54C">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48</w:t>
      </w:r>
    </w:p>
    <w:p w14:paraId="5E7A5412">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概率与统计、教育统计与测量</w:t>
      </w:r>
    </w:p>
    <w:p w14:paraId="011E327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58FD217B">
      <w:pPr>
        <w:spacing w:line="360" w:lineRule="auto"/>
        <w:jc w:val="left"/>
        <w:rPr>
          <w:rFonts w:hint="eastAsia" w:ascii="Times New Roman" w:hAnsi="Times New Roman" w:eastAsia="宋体" w:cs="Times New Roman"/>
          <w:b/>
          <w:sz w:val="24"/>
          <w:szCs w:val="24"/>
        </w:rPr>
      </w:pPr>
    </w:p>
    <w:p w14:paraId="5421105D">
      <w:pPr>
        <w:spacing w:line="360" w:lineRule="auto"/>
        <w:jc w:val="left"/>
        <w:outlineLvl w:val="0"/>
        <w:rPr>
          <w:rFonts w:ascii="Times New Roman" w:hAnsi="Times New Roman" w:eastAsia="宋体" w:cs="Times New Roman"/>
          <w:sz w:val="24"/>
          <w:szCs w:val="24"/>
        </w:rPr>
      </w:pPr>
      <w:bookmarkStart w:id="2383" w:name="_Toc11450"/>
      <w:bookmarkStart w:id="2384" w:name="_Toc2288"/>
      <w:bookmarkStart w:id="2385" w:name="_Toc7619"/>
      <w:bookmarkStart w:id="2386" w:name="_Toc12492"/>
      <w:bookmarkStart w:id="2387" w:name="_Toc30311"/>
      <w:bookmarkStart w:id="2388" w:name="_Toc28117"/>
      <w:bookmarkStart w:id="2389" w:name="_Toc2154"/>
      <w:r>
        <w:rPr>
          <w:rFonts w:hint="eastAsia" w:ascii="Times New Roman" w:hAnsi="Times New Roman" w:eastAsia="宋体" w:cs="Times New Roman"/>
          <w:b/>
          <w:sz w:val="24"/>
          <w:szCs w:val="24"/>
        </w:rPr>
        <w:t>一、课程简介</w:t>
      </w:r>
      <w:bookmarkEnd w:id="2383"/>
      <w:bookmarkEnd w:id="2384"/>
      <w:bookmarkEnd w:id="2385"/>
      <w:bookmarkEnd w:id="2386"/>
      <w:bookmarkEnd w:id="2387"/>
      <w:bookmarkEnd w:id="2388"/>
      <w:bookmarkEnd w:id="2389"/>
    </w:p>
    <w:p w14:paraId="1F9893A3">
      <w:pPr>
        <w:spacing w:line="360" w:lineRule="auto"/>
        <w:ind w:firstLine="411" w:firstLineChars="196"/>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加强学生对教育统计理论的认识；培养学生解决各种教育统计问题的能力，掌握各种统计分析方法在SPSS软件中的实现，并且能够正确解释SPSS软件的运行结果；提高学生教育科研的基本能力；培养学生创新精神和实践能力，为后续《教育科学研究方法》等课程和毕业论文等实践环节以及未来分析与解决教育实际问题奠定基础。</w:t>
      </w:r>
    </w:p>
    <w:p w14:paraId="195D6446">
      <w:pPr>
        <w:spacing w:line="360" w:lineRule="auto"/>
        <w:ind w:firstLine="411" w:firstLineChars="196"/>
        <w:rPr>
          <w:rFonts w:hint="eastAsia" w:ascii="Times New Roman" w:hAnsi="Times New Roman" w:eastAsia="宋体" w:cs="Times New Roman"/>
          <w:szCs w:val="21"/>
        </w:rPr>
      </w:pPr>
    </w:p>
    <w:p w14:paraId="6577A5A0">
      <w:pPr>
        <w:spacing w:line="360" w:lineRule="auto"/>
        <w:outlineLvl w:val="0"/>
        <w:rPr>
          <w:rFonts w:ascii="宋体" w:hAnsi="宋体" w:eastAsia="宋体" w:cs="Times New Roman"/>
          <w:b/>
          <w:sz w:val="24"/>
          <w:szCs w:val="24"/>
        </w:rPr>
      </w:pPr>
      <w:bookmarkStart w:id="2390" w:name="_Toc6235"/>
      <w:bookmarkStart w:id="2391" w:name="_Toc26231"/>
      <w:bookmarkStart w:id="2392" w:name="_Toc22563"/>
      <w:bookmarkStart w:id="2393" w:name="_Toc4547"/>
      <w:bookmarkStart w:id="2394" w:name="_Toc1471"/>
      <w:bookmarkStart w:id="2395" w:name="_Toc11958"/>
      <w:bookmarkStart w:id="2396" w:name="_Toc8296"/>
      <w:r>
        <w:rPr>
          <w:rFonts w:hint="eastAsia" w:ascii="宋体" w:hAnsi="宋体" w:eastAsia="宋体" w:cs="Times New Roman"/>
          <w:b/>
          <w:sz w:val="24"/>
          <w:szCs w:val="24"/>
        </w:rPr>
        <w:t>二</w:t>
      </w:r>
      <w:r>
        <w:rPr>
          <w:rFonts w:ascii="宋体" w:hAnsi="宋体" w:eastAsia="宋体" w:cs="Times New Roman"/>
          <w:b/>
          <w:sz w:val="24"/>
          <w:szCs w:val="24"/>
        </w:rPr>
        <w:t>、课程目标</w:t>
      </w:r>
      <w:bookmarkEnd w:id="2390"/>
      <w:bookmarkEnd w:id="2391"/>
      <w:bookmarkEnd w:id="2392"/>
      <w:bookmarkEnd w:id="2393"/>
      <w:bookmarkEnd w:id="2394"/>
      <w:bookmarkEnd w:id="2395"/>
      <w:bookmarkEnd w:id="2396"/>
    </w:p>
    <w:p w14:paraId="515E907E">
      <w:pPr>
        <w:spacing w:line="360" w:lineRule="auto"/>
        <w:ind w:firstLine="442" w:firstLineChars="200"/>
        <w:outlineLvl w:val="1"/>
        <w:rPr>
          <w:rFonts w:ascii="宋体" w:hAnsi="宋体" w:eastAsia="宋体" w:cs="Times New Roman"/>
          <w:b/>
          <w:sz w:val="22"/>
          <w:szCs w:val="22"/>
        </w:rPr>
      </w:pPr>
      <w:bookmarkStart w:id="2397" w:name="_Toc13429"/>
      <w:r>
        <w:rPr>
          <w:rFonts w:hint="eastAsia" w:ascii="宋体" w:hAnsi="宋体" w:eastAsia="宋体" w:cs="Times New Roman"/>
          <w:b/>
          <w:sz w:val="22"/>
          <w:szCs w:val="22"/>
        </w:rPr>
        <w:t>（一）课程具体目标</w:t>
      </w:r>
      <w:bookmarkEnd w:id="2397"/>
    </w:p>
    <w:p w14:paraId="27EC308F">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lang w:val="en-US" w:eastAsia="zh-CN"/>
        </w:rPr>
        <w:t xml:space="preserve"> </w:t>
      </w:r>
      <w:r>
        <w:rPr>
          <w:rFonts w:hint="eastAsia" w:ascii="宋体" w:hAnsi="宋体" w:eastAsia="宋体" w:cs="Times New Roman"/>
          <w:kern w:val="0"/>
          <w:sz w:val="21"/>
          <w:szCs w:val="20"/>
        </w:rPr>
        <w:t>掌握数据的录入、整理、分析与可视化处理方法，</w:t>
      </w:r>
      <w:r>
        <w:rPr>
          <w:rFonts w:hint="eastAsia" w:ascii="宋体" w:hAnsi="宋体" w:eastAsia="宋体" w:cs="Times New Roman"/>
          <w:kern w:val="0"/>
          <w:sz w:val="21"/>
          <w:szCs w:val="20"/>
          <w:lang w:val="en-US" w:eastAsia="zh-CN"/>
        </w:rPr>
        <w:t>掌握</w:t>
      </w:r>
      <w:r>
        <w:rPr>
          <w:rFonts w:hint="eastAsia" w:ascii="宋体" w:hAnsi="宋体" w:eastAsia="宋体" w:cs="Times New Roman"/>
          <w:kern w:val="0"/>
          <w:sz w:val="21"/>
          <w:szCs w:val="20"/>
        </w:rPr>
        <w:t>教育统计与测量的原理；</w:t>
      </w:r>
    </w:p>
    <w:p w14:paraId="0325AA59">
      <w:pPr>
        <w:spacing w:line="360" w:lineRule="auto"/>
        <w:ind w:firstLine="422" w:firstLineChars="200"/>
        <w:rPr>
          <w:rFonts w:hint="eastAsia" w:ascii="宋体" w:hAnsi="宋体" w:eastAsia="宋体" w:cs="Times New Roman"/>
          <w:kern w:val="0"/>
          <w:sz w:val="21"/>
          <w:szCs w:val="20"/>
          <w:lang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宋体" w:hAnsi="宋体" w:eastAsia="宋体" w:cs="Times New Roman"/>
          <w:kern w:val="0"/>
          <w:sz w:val="21"/>
          <w:szCs w:val="20"/>
        </w:rPr>
        <w:t>能运用社会统计软件分析和解决小学教育实践中的问题，形成一定的教学研究能力</w:t>
      </w:r>
      <w:r>
        <w:rPr>
          <w:rFonts w:hint="eastAsia" w:ascii="宋体" w:hAnsi="宋体" w:eastAsia="宋体" w:cs="Times New Roman"/>
          <w:kern w:val="0"/>
          <w:sz w:val="21"/>
          <w:szCs w:val="20"/>
          <w:lang w:eastAsia="zh-CN"/>
        </w:rPr>
        <w:t>。</w:t>
      </w:r>
    </w:p>
    <w:p w14:paraId="68D5524F">
      <w:pPr>
        <w:spacing w:line="360" w:lineRule="auto"/>
        <w:ind w:firstLine="482" w:firstLineChars="200"/>
        <w:outlineLvl w:val="1"/>
        <w:rPr>
          <w:rFonts w:ascii="宋体" w:hAnsi="宋体" w:eastAsia="宋体" w:cs="Times New Roman"/>
          <w:b/>
          <w:sz w:val="24"/>
          <w:szCs w:val="24"/>
        </w:rPr>
      </w:pPr>
      <w:bookmarkStart w:id="2398" w:name="_Toc6700"/>
      <w:r>
        <w:rPr>
          <w:rFonts w:hint="eastAsia" w:ascii="宋体" w:hAnsi="宋体" w:eastAsia="宋体" w:cs="Times New Roman"/>
          <w:b/>
          <w:sz w:val="24"/>
          <w:szCs w:val="24"/>
        </w:rPr>
        <w:t>（二）课程目标与专业毕业要求的关系</w:t>
      </w:r>
      <w:bookmarkEnd w:id="2398"/>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A4E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9F32FF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BFB80C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C420A0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BA9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0D4CBE94">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pacing w:val="-6"/>
                <w:sz w:val="21"/>
                <w:szCs w:val="21"/>
              </w:rPr>
              <w:t>毕业要求</w:t>
            </w:r>
            <w:r>
              <w:rPr>
                <w:rFonts w:hint="eastAsia" w:ascii="宋体" w:hAnsi="宋体" w:eastAsia="宋体" w:cs="Times New Roman"/>
                <w:color w:val="000000"/>
                <w:spacing w:val="-6"/>
                <w:sz w:val="21"/>
                <w:szCs w:val="21"/>
                <w:lang w:val="en-US" w:eastAsia="zh-CN"/>
              </w:rPr>
              <w:t>4 教学能力</w:t>
            </w:r>
          </w:p>
        </w:tc>
        <w:tc>
          <w:tcPr>
            <w:tcW w:w="5688" w:type="dxa"/>
            <w:vAlign w:val="center"/>
          </w:tcPr>
          <w:p w14:paraId="55CF063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指标点4-4：【具备教学研究能力】掌握教育研究的基本方法，</w:t>
            </w:r>
          </w:p>
          <w:p w14:paraId="6C3D271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在教育教学实践中，结合小学教育教学实践进行研究，具有一定的教学研究能力。</w:t>
            </w:r>
          </w:p>
        </w:tc>
        <w:tc>
          <w:tcPr>
            <w:tcW w:w="1191" w:type="dxa"/>
            <w:vAlign w:val="center"/>
          </w:tcPr>
          <w:p w14:paraId="56EF5AB7">
            <w:pPr>
              <w:spacing w:line="360"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p>
        </w:tc>
      </w:tr>
      <w:tr w14:paraId="0B05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01A5835">
            <w:pPr>
              <w:spacing w:line="360"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pacing w:val="-6"/>
                <w:sz w:val="21"/>
                <w:szCs w:val="21"/>
              </w:rPr>
              <w:t>毕业要求</w:t>
            </w:r>
            <w:r>
              <w:rPr>
                <w:rFonts w:hint="eastAsia" w:ascii="宋体" w:hAnsi="宋体" w:eastAsia="宋体" w:cs="Times New Roman"/>
                <w:color w:val="000000"/>
                <w:spacing w:val="-6"/>
                <w:sz w:val="21"/>
                <w:szCs w:val="21"/>
                <w:lang w:val="en-US" w:eastAsia="zh-CN"/>
              </w:rPr>
              <w:t>4 教学能力</w:t>
            </w:r>
          </w:p>
        </w:tc>
        <w:tc>
          <w:tcPr>
            <w:tcW w:w="5688" w:type="dxa"/>
            <w:vAlign w:val="center"/>
          </w:tcPr>
          <w:p w14:paraId="6FF2A07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指标点4-4：【具备教学研究能力】掌握教育研究的基本方法，</w:t>
            </w:r>
          </w:p>
          <w:p w14:paraId="1D01E035">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在教育教学实践中，结合小学教育教学实践进行研究，具有一定的教学研究能力。</w:t>
            </w:r>
          </w:p>
        </w:tc>
        <w:tc>
          <w:tcPr>
            <w:tcW w:w="1191" w:type="dxa"/>
            <w:vAlign w:val="center"/>
          </w:tcPr>
          <w:p w14:paraId="4A9C1F5C">
            <w:pPr>
              <w:spacing w:line="360"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w:t>
            </w:r>
          </w:p>
        </w:tc>
      </w:tr>
    </w:tbl>
    <w:p w14:paraId="07A04B37">
      <w:pPr>
        <w:spacing w:before="156" w:beforeLines="50" w:line="360" w:lineRule="auto"/>
        <w:jc w:val="left"/>
        <w:outlineLvl w:val="1"/>
        <w:rPr>
          <w:rFonts w:ascii="宋体" w:hAnsi="宋体" w:eastAsia="宋体" w:cs="Times New Roman"/>
          <w:b/>
          <w:color w:val="000000"/>
          <w:szCs w:val="21"/>
        </w:rPr>
      </w:pPr>
      <w:bookmarkStart w:id="2399" w:name="_Toc25571"/>
      <w:r>
        <w:rPr>
          <w:rFonts w:hint="eastAsia" w:ascii="宋体" w:hAnsi="宋体" w:eastAsia="宋体" w:cs="Times New Roman"/>
          <w:b/>
          <w:color w:val="000000"/>
          <w:szCs w:val="21"/>
        </w:rPr>
        <w:t>（三）课程思政目标</w:t>
      </w:r>
      <w:bookmarkEnd w:id="2399"/>
    </w:p>
    <w:p w14:paraId="3F1C593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社会统计软件</w:t>
      </w:r>
      <w:r>
        <w:rPr>
          <w:rFonts w:hint="eastAsia" w:ascii="宋体" w:hAnsi="宋体" w:eastAsia="宋体" w:cs="Times New Roman"/>
          <w:color w:val="000000"/>
          <w:szCs w:val="21"/>
        </w:rPr>
        <w:t>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3416D416">
      <w:pPr>
        <w:spacing w:line="360" w:lineRule="auto"/>
        <w:ind w:firstLine="411" w:firstLineChars="196"/>
        <w:jc w:val="left"/>
        <w:rPr>
          <w:rFonts w:hint="eastAsia" w:ascii="宋体" w:hAnsi="宋体" w:eastAsia="宋体" w:cs="Times New Roman"/>
          <w:color w:val="000000"/>
          <w:szCs w:val="21"/>
        </w:rPr>
      </w:pPr>
    </w:p>
    <w:p w14:paraId="0C35BB4A">
      <w:pPr>
        <w:spacing w:line="360" w:lineRule="auto"/>
        <w:jc w:val="left"/>
        <w:outlineLvl w:val="0"/>
        <w:rPr>
          <w:rFonts w:ascii="宋体" w:hAnsi="宋体" w:eastAsia="宋体" w:cs="Times New Roman"/>
          <w:b/>
          <w:color w:val="000000"/>
          <w:sz w:val="24"/>
          <w:szCs w:val="24"/>
        </w:rPr>
      </w:pPr>
      <w:bookmarkStart w:id="2400" w:name="_Toc31642"/>
      <w:bookmarkStart w:id="2401" w:name="_Toc29547"/>
      <w:bookmarkStart w:id="2402" w:name="_Toc28884"/>
      <w:bookmarkStart w:id="2403" w:name="_Toc28823"/>
      <w:bookmarkStart w:id="2404" w:name="_Toc6237"/>
      <w:bookmarkStart w:id="2405" w:name="_Toc24448"/>
      <w:bookmarkStart w:id="2406" w:name="_Toc7859"/>
      <w:r>
        <w:rPr>
          <w:rFonts w:hint="eastAsia" w:ascii="宋体" w:hAnsi="宋体" w:eastAsia="宋体" w:cs="Times New Roman"/>
          <w:b/>
          <w:color w:val="000000"/>
          <w:sz w:val="24"/>
          <w:szCs w:val="24"/>
        </w:rPr>
        <w:t>三、教学内容与预期学习成效</w:t>
      </w:r>
      <w:bookmarkEnd w:id="2400"/>
      <w:bookmarkEnd w:id="2401"/>
      <w:bookmarkEnd w:id="2402"/>
      <w:bookmarkEnd w:id="2403"/>
      <w:bookmarkEnd w:id="2404"/>
      <w:bookmarkEnd w:id="2405"/>
      <w:bookmarkEnd w:id="2406"/>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69D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716F934">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0FDFAE7">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F2B6C1D">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1F7832A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9800260">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53DEED6D">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0E1047B">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286EF3A">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1D2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49690F">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SPSS操作基础</w:t>
            </w:r>
          </w:p>
        </w:tc>
        <w:tc>
          <w:tcPr>
            <w:tcW w:w="1701" w:type="dxa"/>
            <w:vAlign w:val="center"/>
          </w:tcPr>
          <w:p w14:paraId="7BD8627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数据/变量的类型</w:t>
            </w:r>
          </w:p>
          <w:p w14:paraId="0473191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数据的编码与录入</w:t>
            </w:r>
          </w:p>
          <w:p w14:paraId="2F70784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数据文件的导入</w:t>
            </w:r>
          </w:p>
          <w:p w14:paraId="5A94FA8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数据文件的管理</w:t>
            </w:r>
          </w:p>
        </w:tc>
        <w:tc>
          <w:tcPr>
            <w:tcW w:w="1134" w:type="dxa"/>
            <w:vAlign w:val="center"/>
          </w:tcPr>
          <w:p w14:paraId="419ECF3B">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p>
        </w:tc>
        <w:tc>
          <w:tcPr>
            <w:tcW w:w="3260" w:type="dxa"/>
            <w:vAlign w:val="center"/>
          </w:tcPr>
          <w:p w14:paraId="0BA9534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了解数据/变量的分类</w:t>
            </w:r>
            <w:r>
              <w:rPr>
                <w:rFonts w:hint="eastAsia" w:ascii="宋体" w:hAnsi="宋体" w:eastAsia="宋体" w:cs="Times New Roman"/>
                <w:color w:val="000000"/>
                <w:szCs w:val="21"/>
              </w:rPr>
              <w:t>；</w:t>
            </w:r>
          </w:p>
          <w:p w14:paraId="1D3C1F5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能根据数据的类型进行编码与录入</w:t>
            </w:r>
            <w:r>
              <w:rPr>
                <w:rFonts w:hint="eastAsia" w:ascii="宋体" w:hAnsi="宋体" w:eastAsia="宋体" w:cs="Times New Roman"/>
                <w:color w:val="000000"/>
                <w:szCs w:val="21"/>
              </w:rPr>
              <w:t>；</w:t>
            </w:r>
          </w:p>
          <w:p w14:paraId="131881D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ascii="宋体" w:hAnsi="宋体" w:eastAsia="宋体" w:cs="Times New Roman"/>
                <w:color w:val="000000"/>
                <w:szCs w:val="21"/>
              </w:rPr>
              <w:t>掌握</w:t>
            </w:r>
            <w:r>
              <w:rPr>
                <w:rFonts w:hint="eastAsia" w:ascii="宋体" w:hAnsi="宋体" w:eastAsia="宋体" w:cs="Times New Roman"/>
                <w:color w:val="000000"/>
                <w:szCs w:val="21"/>
                <w:lang w:val="en-US" w:eastAsia="zh-CN"/>
              </w:rPr>
              <w:t>数据文件的导入方式</w:t>
            </w:r>
            <w:r>
              <w:rPr>
                <w:rFonts w:hint="eastAsia" w:ascii="宋体" w:hAnsi="宋体" w:eastAsia="宋体" w:cs="Times New Roman"/>
                <w:color w:val="000000"/>
                <w:szCs w:val="21"/>
              </w:rPr>
              <w:t>；</w:t>
            </w:r>
          </w:p>
          <w:p w14:paraId="6BD2C16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能对数据文件进行初步整理（排序、合并、筛选、编码、转换、计算、拆分与分类汇总等）</w:t>
            </w:r>
            <w:r>
              <w:rPr>
                <w:rFonts w:hint="eastAsia" w:ascii="宋体" w:hAnsi="宋体" w:eastAsia="宋体" w:cs="Times New Roman"/>
                <w:color w:val="000000"/>
                <w:szCs w:val="21"/>
              </w:rPr>
              <w:t>。</w:t>
            </w:r>
          </w:p>
        </w:tc>
        <w:tc>
          <w:tcPr>
            <w:tcW w:w="1560" w:type="dxa"/>
            <w:vAlign w:val="center"/>
          </w:tcPr>
          <w:p w14:paraId="07C0DF8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9F373E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2.多媒体教学3.课堂</w:t>
            </w:r>
            <w:r>
              <w:rPr>
                <w:rFonts w:hint="eastAsia" w:ascii="宋体" w:hAnsi="宋体" w:eastAsia="宋体" w:cs="Times New Roman"/>
                <w:color w:val="000000"/>
                <w:szCs w:val="21"/>
                <w:lang w:val="en-US" w:eastAsia="zh-CN"/>
              </w:rPr>
              <w:t>练习</w:t>
            </w:r>
          </w:p>
          <w:p w14:paraId="42398F6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4CF8BD7A">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507A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0BBEA5">
            <w:pPr>
              <w:spacing w:line="264" w:lineRule="auto"/>
              <w:jc w:val="center"/>
              <w:rPr>
                <w:rFonts w:ascii="宋体" w:hAnsi="宋体" w:eastAsia="宋体" w:cs="Times New Roman"/>
                <w:color w:val="000000"/>
                <w:szCs w:val="21"/>
              </w:rPr>
            </w:pPr>
          </w:p>
        </w:tc>
        <w:tc>
          <w:tcPr>
            <w:tcW w:w="8093" w:type="dxa"/>
            <w:gridSpan w:val="5"/>
            <w:vAlign w:val="center"/>
          </w:tcPr>
          <w:p w14:paraId="1AC39A86">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社会</w:t>
            </w:r>
            <w:r>
              <w:rPr>
                <w:rFonts w:hint="eastAsia" w:ascii="宋体" w:hAnsi="宋体" w:eastAsia="宋体" w:cs="Times New Roman"/>
                <w:color w:val="000000"/>
                <w:szCs w:val="21"/>
              </w:rPr>
              <w:t>科学软件对数据知识的处理能力</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尊重科学技术，形成初步的</w:t>
            </w:r>
            <w:r>
              <w:rPr>
                <w:rFonts w:hint="eastAsia" w:ascii="宋体" w:hAnsi="宋体" w:eastAsia="宋体" w:cs="Times New Roman"/>
                <w:color w:val="000000"/>
                <w:szCs w:val="21"/>
                <w:lang w:val="en-US" w:eastAsia="zh-CN"/>
              </w:rPr>
              <w:t>科学</w:t>
            </w:r>
            <w:r>
              <w:rPr>
                <w:rFonts w:hint="eastAsia" w:ascii="宋体" w:hAnsi="宋体" w:eastAsia="宋体" w:cs="Times New Roman"/>
                <w:color w:val="000000"/>
                <w:szCs w:val="21"/>
              </w:rPr>
              <w:t>技术应用思想。</w:t>
            </w:r>
          </w:p>
        </w:tc>
      </w:tr>
      <w:tr w14:paraId="5F20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A2EBF1">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描述性分析</w:t>
            </w:r>
          </w:p>
        </w:tc>
        <w:tc>
          <w:tcPr>
            <w:tcW w:w="1701" w:type="dxa"/>
            <w:vAlign w:val="center"/>
          </w:tcPr>
          <w:p w14:paraId="5789D72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频数统计</w:t>
            </w: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描述统计</w:t>
            </w:r>
          </w:p>
        </w:tc>
        <w:tc>
          <w:tcPr>
            <w:tcW w:w="1134" w:type="dxa"/>
            <w:vAlign w:val="center"/>
          </w:tcPr>
          <w:p w14:paraId="798A077D">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w:t>
            </w:r>
          </w:p>
        </w:tc>
        <w:tc>
          <w:tcPr>
            <w:tcW w:w="3260" w:type="dxa"/>
            <w:vAlign w:val="center"/>
          </w:tcPr>
          <w:p w14:paraId="1F91595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（1）能运用SPSS对单变量与多变量数据的分布</w:t>
            </w:r>
            <w:r>
              <w:rPr>
                <w:rFonts w:hint="eastAsia" w:ascii="宋体" w:hAnsi="宋体" w:eastAsia="宋体" w:cs="Times New Roman"/>
                <w:color w:val="000000"/>
                <w:szCs w:val="21"/>
                <w:lang w:val="en-US" w:eastAsia="zh-CN"/>
              </w:rPr>
              <w:t>频次</w:t>
            </w:r>
            <w:r>
              <w:rPr>
                <w:rFonts w:hint="eastAsia" w:ascii="宋体" w:hAnsi="宋体" w:eastAsia="宋体" w:cs="Times New Roman"/>
                <w:color w:val="000000"/>
                <w:szCs w:val="21"/>
              </w:rPr>
              <w:t>进行分析</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并进行可视化操作</w:t>
            </w:r>
            <w:r>
              <w:rPr>
                <w:rFonts w:hint="eastAsia" w:ascii="宋体" w:hAnsi="宋体" w:eastAsia="宋体" w:cs="Times New Roman"/>
                <w:color w:val="000000"/>
                <w:szCs w:val="21"/>
              </w:rPr>
              <w:t>；</w:t>
            </w:r>
          </w:p>
          <w:p w14:paraId="590EF4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（2）能运用SPSS对数据的集中趋势与离散趋势进行分析</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并进行可视化操作</w:t>
            </w:r>
            <w:r>
              <w:rPr>
                <w:rFonts w:hint="eastAsia" w:ascii="宋体" w:hAnsi="宋体" w:eastAsia="宋体" w:cs="Times New Roman"/>
                <w:color w:val="000000"/>
                <w:szCs w:val="21"/>
              </w:rPr>
              <w:t>；</w:t>
            </w:r>
          </w:p>
          <w:p w14:paraId="2E14A4F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（3）能运用SPSS对数据的分布形态进行分析</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并进行可视化操作</w:t>
            </w:r>
            <w:r>
              <w:rPr>
                <w:rFonts w:hint="eastAsia" w:ascii="宋体" w:hAnsi="宋体" w:eastAsia="宋体" w:cs="Times New Roman"/>
                <w:color w:val="000000"/>
                <w:szCs w:val="21"/>
              </w:rPr>
              <w:t>。</w:t>
            </w:r>
          </w:p>
        </w:tc>
        <w:tc>
          <w:tcPr>
            <w:tcW w:w="1560" w:type="dxa"/>
            <w:vAlign w:val="center"/>
          </w:tcPr>
          <w:p w14:paraId="1A5B8C9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7149F4C">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2D08DB8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845CF73">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6</w:t>
            </w:r>
          </w:p>
        </w:tc>
      </w:tr>
      <w:tr w14:paraId="07CA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399C1A5">
            <w:pPr>
              <w:spacing w:line="264" w:lineRule="auto"/>
              <w:jc w:val="center"/>
              <w:rPr>
                <w:rFonts w:ascii="宋体" w:hAnsi="宋体" w:eastAsia="宋体" w:cs="Times New Roman"/>
                <w:color w:val="000000"/>
                <w:szCs w:val="21"/>
              </w:rPr>
            </w:pPr>
          </w:p>
        </w:tc>
        <w:tc>
          <w:tcPr>
            <w:tcW w:w="8093" w:type="dxa"/>
            <w:gridSpan w:val="5"/>
            <w:vAlign w:val="center"/>
          </w:tcPr>
          <w:p w14:paraId="083103FC">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认识到人类社会中的不同类型的数据有不同的分布特点</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掌握大千世界中一些看似杂乱的数据背后的规律。</w:t>
            </w:r>
          </w:p>
        </w:tc>
      </w:tr>
      <w:tr w14:paraId="2A8F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B518C88">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参数</w:t>
            </w:r>
          </w:p>
          <w:p w14:paraId="6D5F0EEC">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检验</w:t>
            </w:r>
          </w:p>
        </w:tc>
        <w:tc>
          <w:tcPr>
            <w:tcW w:w="1701" w:type="dxa"/>
            <w:vAlign w:val="center"/>
          </w:tcPr>
          <w:p w14:paraId="2A4E384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单样本t检验</w:t>
            </w:r>
          </w:p>
          <w:p w14:paraId="4F0412EF">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独立样本t检验</w:t>
            </w:r>
          </w:p>
          <w:p w14:paraId="51239E5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相关样本t检验</w:t>
            </w:r>
          </w:p>
        </w:tc>
        <w:tc>
          <w:tcPr>
            <w:tcW w:w="1134" w:type="dxa"/>
            <w:vAlign w:val="center"/>
          </w:tcPr>
          <w:p w14:paraId="190847F4">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2</w:t>
            </w:r>
          </w:p>
        </w:tc>
        <w:tc>
          <w:tcPr>
            <w:tcW w:w="3260" w:type="dxa"/>
            <w:vAlign w:val="center"/>
          </w:tcPr>
          <w:p w14:paraId="330E602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把握单样本t检验的适用条件、SPSS的操作过程、数据的可视化处理及结果解释；</w:t>
            </w:r>
          </w:p>
          <w:p w14:paraId="69B93639">
            <w:pPr>
              <w:spacing w:line="269" w:lineRule="auto"/>
              <w:jc w:val="left"/>
              <w:rPr>
                <w:rFonts w:hint="eastAsia" w:ascii="宋体" w:hAnsi="宋体" w:eastAsia="宋体" w:cs="Times New Roman"/>
                <w:color w:val="000000"/>
                <w:szCs w:val="21"/>
                <w:lang w:val="en-US" w:eastAsia="zh-CN"/>
              </w:rPr>
            </w:pPr>
          </w:p>
          <w:p w14:paraId="4C7F34B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把握独立样本t检验的适用条件、SPSS的操作过程、数据的可视化输出及结果解释；</w:t>
            </w:r>
          </w:p>
          <w:p w14:paraId="1C6AC3E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把握相关样本t检验的适用条件、SPSS的操作过程、数据的可视化处理及结果解释</w:t>
            </w:r>
            <w:r>
              <w:rPr>
                <w:rFonts w:ascii="宋体" w:hAnsi="宋体" w:eastAsia="宋体" w:cs="Times New Roman"/>
                <w:color w:val="000000"/>
                <w:szCs w:val="21"/>
              </w:rPr>
              <w:t>。</w:t>
            </w:r>
          </w:p>
        </w:tc>
        <w:tc>
          <w:tcPr>
            <w:tcW w:w="1560" w:type="dxa"/>
            <w:vAlign w:val="center"/>
          </w:tcPr>
          <w:p w14:paraId="58D0E07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E1D2421">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2830FD4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D267D79">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9</w:t>
            </w:r>
          </w:p>
        </w:tc>
      </w:tr>
      <w:tr w14:paraId="0762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4FF07E">
            <w:pPr>
              <w:spacing w:line="264" w:lineRule="auto"/>
              <w:jc w:val="center"/>
              <w:rPr>
                <w:rFonts w:ascii="宋体" w:hAnsi="宋体" w:eastAsia="宋体" w:cs="Times New Roman"/>
                <w:color w:val="000000"/>
                <w:szCs w:val="21"/>
              </w:rPr>
            </w:pPr>
          </w:p>
        </w:tc>
        <w:tc>
          <w:tcPr>
            <w:tcW w:w="8093" w:type="dxa"/>
            <w:gridSpan w:val="5"/>
            <w:vAlign w:val="center"/>
          </w:tcPr>
          <w:p w14:paraId="2815B58D">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学会用科学的检验方法去认识教育现象与社会现象。</w:t>
            </w:r>
          </w:p>
        </w:tc>
      </w:tr>
      <w:tr w14:paraId="487B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7E4F07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方差分析</w:t>
            </w:r>
          </w:p>
        </w:tc>
        <w:tc>
          <w:tcPr>
            <w:tcW w:w="1701" w:type="dxa"/>
            <w:vAlign w:val="center"/>
          </w:tcPr>
          <w:p w14:paraId="406F49D7">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实验设计方式</w:t>
            </w:r>
          </w:p>
          <w:p w14:paraId="549BE29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（2）单因素完全随机设计的方差分析</w:t>
            </w:r>
          </w:p>
          <w:p w14:paraId="2146DDE6">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（3）单因素重复测量设计的方差分析</w:t>
            </w:r>
          </w:p>
          <w:p w14:paraId="5FBB9F5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（4）两因素完全随机设计的方差分析</w:t>
            </w:r>
          </w:p>
          <w:p w14:paraId="42503710">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（5）两因素混合设计的方差分析</w:t>
            </w:r>
          </w:p>
        </w:tc>
        <w:tc>
          <w:tcPr>
            <w:tcW w:w="1134" w:type="dxa"/>
            <w:vAlign w:val="center"/>
          </w:tcPr>
          <w:p w14:paraId="18553ADC">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71AA00C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理解并掌握</w:t>
            </w:r>
            <w:r>
              <w:rPr>
                <w:rFonts w:hint="eastAsia" w:ascii="宋体" w:hAnsi="宋体" w:eastAsia="宋体" w:cs="Times New Roman"/>
                <w:color w:val="000000"/>
                <w:szCs w:val="21"/>
                <w:lang w:val="en-US" w:eastAsia="zh-CN"/>
              </w:rPr>
              <w:t>各种实验设计方式</w:t>
            </w:r>
            <w:r>
              <w:rPr>
                <w:rFonts w:hint="eastAsia" w:ascii="宋体" w:hAnsi="宋体" w:eastAsia="宋体" w:cs="Times New Roman"/>
                <w:color w:val="000000"/>
                <w:szCs w:val="21"/>
              </w:rPr>
              <w:t>；</w:t>
            </w:r>
          </w:p>
          <w:p w14:paraId="0928A80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w:t>
            </w:r>
            <w:r>
              <w:rPr>
                <w:rFonts w:ascii="宋体" w:hAnsi="宋体" w:eastAsia="宋体" w:cs="Times New Roman"/>
                <w:color w:val="000000"/>
                <w:szCs w:val="21"/>
              </w:rPr>
              <w:t>解</w:t>
            </w:r>
            <w:r>
              <w:rPr>
                <w:rFonts w:hint="eastAsia" w:ascii="宋体" w:hAnsi="宋体" w:eastAsia="宋体" w:cs="Times New Roman"/>
                <w:color w:val="000000"/>
                <w:szCs w:val="21"/>
                <w:lang w:val="en-US" w:eastAsia="zh-CN"/>
              </w:rPr>
              <w:t>各类实验设计的适用条件、SPSS的操作过程、数据的可视化处理及结果解释</w:t>
            </w:r>
            <w:r>
              <w:rPr>
                <w:rFonts w:hint="eastAsia" w:ascii="宋体" w:hAnsi="宋体" w:eastAsia="宋体" w:cs="Times New Roman"/>
                <w:color w:val="000000"/>
                <w:szCs w:val="21"/>
              </w:rPr>
              <w:t>。</w:t>
            </w:r>
          </w:p>
        </w:tc>
        <w:tc>
          <w:tcPr>
            <w:tcW w:w="1560" w:type="dxa"/>
            <w:vAlign w:val="center"/>
          </w:tcPr>
          <w:p w14:paraId="4DBFE88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F384B43">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410D480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989351C">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9</w:t>
            </w:r>
          </w:p>
        </w:tc>
      </w:tr>
      <w:tr w14:paraId="7380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D98252">
            <w:pPr>
              <w:spacing w:line="276" w:lineRule="auto"/>
              <w:jc w:val="center"/>
              <w:rPr>
                <w:rFonts w:ascii="宋体" w:hAnsi="宋体" w:eastAsia="宋体" w:cs="Times New Roman"/>
                <w:color w:val="000000"/>
                <w:szCs w:val="21"/>
              </w:rPr>
            </w:pPr>
          </w:p>
        </w:tc>
        <w:tc>
          <w:tcPr>
            <w:tcW w:w="8093" w:type="dxa"/>
            <w:gridSpan w:val="5"/>
            <w:vAlign w:val="center"/>
          </w:tcPr>
          <w:p w14:paraId="3C8284E4">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认识到任何一种教育结果的发生之前，有众多不同的因素的影响</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能用统计学的语言描述教育现象</w:t>
            </w:r>
            <w:r>
              <w:rPr>
                <w:rFonts w:hint="eastAsia" w:ascii="宋体" w:hAnsi="宋体" w:eastAsia="宋体" w:cs="Times New Roman"/>
                <w:color w:val="000000"/>
                <w:szCs w:val="21"/>
                <w:lang w:eastAsia="zh-CN"/>
              </w:rPr>
              <w:t>。</w:t>
            </w:r>
          </w:p>
        </w:tc>
      </w:tr>
      <w:tr w14:paraId="68B2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10E245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5.相关分析</w:t>
            </w:r>
          </w:p>
        </w:tc>
        <w:tc>
          <w:tcPr>
            <w:tcW w:w="1701" w:type="dxa"/>
            <w:vAlign w:val="center"/>
          </w:tcPr>
          <w:p w14:paraId="5C589730">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积差相关</w:t>
            </w: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等级相关</w:t>
            </w:r>
          </w:p>
          <w:p w14:paraId="211276F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品质相关</w:t>
            </w:r>
          </w:p>
          <w:p w14:paraId="71797641">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质与量相关</w:t>
            </w:r>
          </w:p>
          <w:p w14:paraId="1D90E1D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（5）偏相关</w:t>
            </w:r>
          </w:p>
        </w:tc>
        <w:tc>
          <w:tcPr>
            <w:tcW w:w="1134" w:type="dxa"/>
            <w:vAlign w:val="center"/>
          </w:tcPr>
          <w:p w14:paraId="1750340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6C40BD4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ascii="宋体" w:hAnsi="宋体" w:eastAsia="宋体" w:cs="Times New Roman"/>
                <w:color w:val="000000"/>
                <w:szCs w:val="21"/>
              </w:rPr>
              <w:t>掌握</w:t>
            </w:r>
            <w:r>
              <w:rPr>
                <w:rFonts w:hint="eastAsia" w:ascii="宋体" w:hAnsi="宋体" w:eastAsia="宋体" w:cs="Times New Roman"/>
                <w:color w:val="000000"/>
                <w:szCs w:val="21"/>
                <w:lang w:val="en-US" w:eastAsia="zh-CN"/>
              </w:rPr>
              <w:t>相关的</w:t>
            </w:r>
            <w:r>
              <w:rPr>
                <w:rFonts w:ascii="宋体" w:hAnsi="宋体" w:eastAsia="宋体" w:cs="Times New Roman"/>
                <w:color w:val="000000"/>
                <w:szCs w:val="21"/>
              </w:rPr>
              <w:t>基本概念</w:t>
            </w:r>
            <w:r>
              <w:rPr>
                <w:rFonts w:hint="eastAsia" w:ascii="宋体" w:hAnsi="宋体" w:eastAsia="宋体" w:cs="Times New Roman"/>
                <w:color w:val="000000"/>
                <w:szCs w:val="21"/>
                <w:lang w:val="en-US" w:eastAsia="zh-CN"/>
              </w:rPr>
              <w:t>和类型</w:t>
            </w:r>
            <w:r>
              <w:rPr>
                <w:rFonts w:hint="eastAsia" w:ascii="宋体" w:hAnsi="宋体" w:eastAsia="宋体" w:cs="Times New Roman"/>
                <w:color w:val="000000"/>
                <w:szCs w:val="21"/>
              </w:rPr>
              <w:t>；</w:t>
            </w:r>
          </w:p>
          <w:p w14:paraId="594C2D4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把</w:t>
            </w:r>
            <w:r>
              <w:rPr>
                <w:rFonts w:ascii="宋体" w:hAnsi="宋体" w:eastAsia="宋体" w:cs="Times New Roman"/>
                <w:color w:val="000000"/>
                <w:szCs w:val="21"/>
              </w:rPr>
              <w:t>解</w:t>
            </w:r>
            <w:r>
              <w:rPr>
                <w:rFonts w:hint="eastAsia" w:ascii="宋体" w:hAnsi="宋体" w:eastAsia="宋体" w:cs="Times New Roman"/>
                <w:color w:val="000000"/>
                <w:szCs w:val="21"/>
                <w:lang w:val="en-US" w:eastAsia="zh-CN"/>
              </w:rPr>
              <w:t>各类相关的适用条件、SPSS的操作过程、数据的可视化处理及结果解释</w:t>
            </w:r>
            <w:r>
              <w:rPr>
                <w:rFonts w:hint="eastAsia" w:ascii="宋体" w:hAnsi="宋体" w:eastAsia="宋体" w:cs="Times New Roman"/>
                <w:color w:val="000000"/>
                <w:szCs w:val="21"/>
              </w:rPr>
              <w:t>。</w:t>
            </w:r>
          </w:p>
        </w:tc>
        <w:tc>
          <w:tcPr>
            <w:tcW w:w="1560" w:type="dxa"/>
            <w:vAlign w:val="center"/>
          </w:tcPr>
          <w:p w14:paraId="227472B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9A81413">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72012E50">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81923AC">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3F94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614E7B">
            <w:pPr>
              <w:spacing w:line="276" w:lineRule="auto"/>
              <w:jc w:val="center"/>
              <w:rPr>
                <w:rFonts w:ascii="宋体" w:hAnsi="宋体" w:eastAsia="宋体" w:cs="Times New Roman"/>
                <w:color w:val="000000"/>
                <w:szCs w:val="21"/>
              </w:rPr>
            </w:pPr>
          </w:p>
        </w:tc>
        <w:tc>
          <w:tcPr>
            <w:tcW w:w="8093" w:type="dxa"/>
            <w:gridSpan w:val="5"/>
            <w:vAlign w:val="center"/>
          </w:tcPr>
          <w:p w14:paraId="52A9E51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了解并学习历史上的统计学家对认识世界的那种孜孜以求的精神</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掌握主要的相关分析手段背后所反映的社会现象之间的关系。</w:t>
            </w:r>
          </w:p>
        </w:tc>
      </w:tr>
      <w:tr w14:paraId="6B9C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68DAC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en-US" w:eastAsia="zh-CN"/>
              </w:rPr>
              <w:t>回归分析</w:t>
            </w:r>
          </w:p>
        </w:tc>
        <w:tc>
          <w:tcPr>
            <w:tcW w:w="1701" w:type="dxa"/>
            <w:vAlign w:val="center"/>
          </w:tcPr>
          <w:p w14:paraId="3D9BCCD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影响因素的回归分析</w:t>
            </w:r>
          </w:p>
          <w:p w14:paraId="4486A66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（2）作用机制的中介与调节效应模型</w:t>
            </w:r>
          </w:p>
        </w:tc>
        <w:tc>
          <w:tcPr>
            <w:tcW w:w="1134" w:type="dxa"/>
            <w:vAlign w:val="center"/>
          </w:tcPr>
          <w:p w14:paraId="47C1D89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79A958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掌握各类回归分析的适用条件、SPSS的操作过程、数据的可视化处理及结果解释</w:t>
            </w:r>
            <w:r>
              <w:rPr>
                <w:rFonts w:hint="eastAsia" w:ascii="宋体" w:hAnsi="宋体" w:eastAsia="宋体" w:cs="Times New Roman"/>
                <w:color w:val="000000"/>
                <w:szCs w:val="21"/>
              </w:rPr>
              <w:t>；</w:t>
            </w:r>
          </w:p>
          <w:p w14:paraId="5E1E4CB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掌握各类中介效应调节效应模型的适用条件、SPSS的操作过程、数据的可视化处理及结果解释</w:t>
            </w:r>
            <w:r>
              <w:rPr>
                <w:rFonts w:hint="eastAsia" w:ascii="宋体" w:hAnsi="宋体" w:eastAsia="宋体" w:cs="Times New Roman"/>
                <w:color w:val="000000"/>
                <w:szCs w:val="21"/>
              </w:rPr>
              <w:t>。</w:t>
            </w:r>
          </w:p>
        </w:tc>
        <w:tc>
          <w:tcPr>
            <w:tcW w:w="1560" w:type="dxa"/>
            <w:vAlign w:val="center"/>
          </w:tcPr>
          <w:p w14:paraId="324AAD7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D93BA30">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5C0E5A5D">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A1D18D9">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12</w:t>
            </w:r>
          </w:p>
        </w:tc>
      </w:tr>
      <w:tr w14:paraId="4FE2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ABEBAC">
            <w:pPr>
              <w:spacing w:line="276" w:lineRule="auto"/>
              <w:jc w:val="center"/>
              <w:rPr>
                <w:rFonts w:ascii="宋体" w:hAnsi="宋体" w:eastAsia="宋体" w:cs="Times New Roman"/>
                <w:color w:val="000000"/>
                <w:szCs w:val="21"/>
              </w:rPr>
            </w:pPr>
          </w:p>
        </w:tc>
        <w:tc>
          <w:tcPr>
            <w:tcW w:w="8093" w:type="dxa"/>
            <w:gridSpan w:val="5"/>
            <w:vAlign w:val="center"/>
          </w:tcPr>
          <w:p w14:paraId="7D6EDFA8">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认识到教育和社会中的现象之间联系的复杂性</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树立认识事物的联系观、发展观，形成建模思想。</w:t>
            </w:r>
          </w:p>
        </w:tc>
      </w:tr>
      <w:tr w14:paraId="1975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CCE5675">
            <w:pPr>
              <w:spacing w:line="276" w:lineRule="auto"/>
              <w:jc w:val="center"/>
              <w:rPr>
                <w:rFonts w:hint="default" w:ascii="宋体" w:hAnsi="宋体" w:eastAsia="宋体" w:cs="Times New Roman"/>
                <w:szCs w:val="21"/>
                <w:lang w:val="en-US" w:eastAsia="zh-CN"/>
              </w:rPr>
            </w:pPr>
            <w:r>
              <w:rPr>
                <w:rFonts w:hint="eastAsia" w:ascii="宋体" w:hAnsi="宋体" w:eastAsia="宋体" w:cs="Times New Roman"/>
                <w:szCs w:val="21"/>
              </w:rPr>
              <w:t>7.</w:t>
            </w:r>
            <w:r>
              <w:rPr>
                <w:rFonts w:hint="eastAsia" w:ascii="宋体" w:hAnsi="宋体" w:eastAsia="宋体" w:cs="Times New Roman"/>
                <w:szCs w:val="21"/>
                <w:lang w:val="en-US" w:eastAsia="zh-CN"/>
              </w:rPr>
              <w:t>非参数检验</w:t>
            </w:r>
          </w:p>
        </w:tc>
        <w:tc>
          <w:tcPr>
            <w:tcW w:w="1701" w:type="dxa"/>
            <w:vAlign w:val="center"/>
          </w:tcPr>
          <w:p w14:paraId="50290C57">
            <w:pPr>
              <w:spacing w:line="276" w:lineRule="auto"/>
              <w:jc w:val="left"/>
              <w:rPr>
                <w:rFonts w:hint="eastAsia" w:ascii="宋体" w:hAnsi="宋体" w:eastAsia="宋体" w:cs="Times New Roman"/>
                <w:szCs w:val="21"/>
                <w:lang w:val="en-US" w:eastAsia="zh-CN"/>
              </w:rPr>
            </w:pPr>
            <w:r>
              <w:rPr>
                <w:rFonts w:hint="eastAsia" w:ascii="宋体" w:hAnsi="宋体" w:eastAsia="宋体" w:cs="Times New Roman"/>
                <w:szCs w:val="21"/>
              </w:rPr>
              <w:t>（1）</w:t>
            </w:r>
            <w:r>
              <w:rPr>
                <w:rFonts w:hint="eastAsia" w:ascii="宋体" w:hAnsi="宋体" w:eastAsia="宋体" w:cs="Times New Roman"/>
                <w:szCs w:val="21"/>
                <w:lang w:val="en-US" w:eastAsia="zh-CN"/>
              </w:rPr>
              <w:t>计数数据的卡方分析</w:t>
            </w:r>
          </w:p>
          <w:p w14:paraId="493A7E59">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rPr>
              <w:t>（2）</w:t>
            </w:r>
            <w:r>
              <w:rPr>
                <w:rFonts w:hint="eastAsia" w:ascii="宋体" w:hAnsi="宋体" w:eastAsia="宋体" w:cs="Times New Roman"/>
                <w:szCs w:val="21"/>
                <w:lang w:val="en-US" w:eastAsia="zh-CN"/>
              </w:rPr>
              <w:t>连续数据的独立样本非参数检验</w:t>
            </w:r>
          </w:p>
          <w:p w14:paraId="066944B1">
            <w:pPr>
              <w:spacing w:line="276" w:lineRule="auto"/>
              <w:jc w:val="left"/>
              <w:rPr>
                <w:rFonts w:hint="default" w:ascii="宋体" w:hAnsi="宋体" w:eastAsia="宋体" w:cs="Times New Roman"/>
                <w:szCs w:val="21"/>
                <w:lang w:val="en-US" w:eastAsia="zh-CN"/>
              </w:rPr>
            </w:pPr>
            <w:r>
              <w:rPr>
                <w:rFonts w:hint="eastAsia" w:ascii="宋体" w:hAnsi="宋体" w:eastAsia="宋体" w:cs="Times New Roman"/>
                <w:szCs w:val="21"/>
              </w:rPr>
              <w:t>（3）</w:t>
            </w:r>
            <w:r>
              <w:rPr>
                <w:rFonts w:hint="eastAsia" w:ascii="宋体" w:hAnsi="宋体" w:eastAsia="宋体" w:cs="Times New Roman"/>
                <w:szCs w:val="21"/>
                <w:lang w:val="en-US" w:eastAsia="zh-CN"/>
              </w:rPr>
              <w:t>连续数据的相关样本非参数检验</w:t>
            </w:r>
          </w:p>
        </w:tc>
        <w:tc>
          <w:tcPr>
            <w:tcW w:w="1134" w:type="dxa"/>
            <w:vAlign w:val="center"/>
          </w:tcPr>
          <w:p w14:paraId="22FE40F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03F1AACD">
            <w:pPr>
              <w:numPr>
                <w:ilvl w:val="0"/>
                <w:numId w:val="44"/>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掌握卡方分析的适用条件、SPSS的操作过程、数据的可视化处理及结果解释</w:t>
            </w:r>
            <w:r>
              <w:rPr>
                <w:rFonts w:hint="eastAsia" w:ascii="宋体" w:hAnsi="宋体" w:eastAsia="宋体" w:cs="Times New Roman"/>
                <w:color w:val="000000"/>
                <w:szCs w:val="21"/>
              </w:rPr>
              <w:t>；</w:t>
            </w:r>
          </w:p>
          <w:p w14:paraId="2444BA34">
            <w:pPr>
              <w:numPr>
                <w:ilvl w:val="0"/>
                <w:numId w:val="0"/>
              </w:num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lang w:val="en-US" w:eastAsia="zh-CN"/>
              </w:rPr>
              <w:t>掌握独立样本非参数检验的适用条件、SPSS的操作过程、数据的可视化处理及结果解释</w:t>
            </w:r>
            <w:r>
              <w:rPr>
                <w:rFonts w:hint="eastAsia" w:ascii="宋体" w:hAnsi="宋体" w:eastAsia="宋体" w:cs="Times New Roman"/>
                <w:color w:val="000000"/>
                <w:szCs w:val="21"/>
              </w:rPr>
              <w:t>；</w:t>
            </w:r>
          </w:p>
          <w:p w14:paraId="78CC1FB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lang w:val="en-US" w:eastAsia="zh-CN"/>
              </w:rPr>
              <w:t>掌握相关样本非参数检验的适用条件、SPSS的操作过程、数据的可视化处理及结果解释</w:t>
            </w:r>
            <w:r>
              <w:rPr>
                <w:rFonts w:hint="eastAsia" w:ascii="宋体" w:hAnsi="宋体" w:eastAsia="宋体" w:cs="Times New Roman"/>
                <w:color w:val="000000"/>
                <w:szCs w:val="21"/>
              </w:rPr>
              <w:t>。</w:t>
            </w:r>
          </w:p>
        </w:tc>
        <w:tc>
          <w:tcPr>
            <w:tcW w:w="1560" w:type="dxa"/>
            <w:vAlign w:val="center"/>
          </w:tcPr>
          <w:p w14:paraId="185C6F6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982C05D">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2CEA701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85B3BC0">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3A6F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A20DFF4">
            <w:pPr>
              <w:spacing w:line="276" w:lineRule="auto"/>
              <w:jc w:val="center"/>
              <w:rPr>
                <w:rFonts w:ascii="宋体" w:hAnsi="宋体" w:eastAsia="宋体" w:cs="Times New Roman"/>
                <w:color w:val="000000"/>
                <w:szCs w:val="21"/>
              </w:rPr>
            </w:pPr>
          </w:p>
        </w:tc>
        <w:tc>
          <w:tcPr>
            <w:tcW w:w="8093" w:type="dxa"/>
            <w:gridSpan w:val="5"/>
            <w:vAlign w:val="center"/>
          </w:tcPr>
          <w:p w14:paraId="4FFF5A28">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了解人类社会同一群体所简化为数据背后的内在关联；学会用科学的检验方法去认识教育现象与社会现象。</w:t>
            </w:r>
          </w:p>
        </w:tc>
      </w:tr>
      <w:tr w14:paraId="3009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8DB1A8B">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8.</w:t>
            </w:r>
            <w:r>
              <w:rPr>
                <w:rFonts w:hint="eastAsia" w:ascii="宋体" w:hAnsi="宋体" w:eastAsia="宋体" w:cs="Times New Roman"/>
                <w:color w:val="000000"/>
                <w:szCs w:val="21"/>
                <w:lang w:val="en-US" w:eastAsia="zh-CN"/>
              </w:rPr>
              <w:t>测验信度分析</w:t>
            </w:r>
          </w:p>
        </w:tc>
        <w:tc>
          <w:tcPr>
            <w:tcW w:w="1701" w:type="dxa"/>
            <w:vAlign w:val="center"/>
          </w:tcPr>
          <w:p w14:paraId="44F72D50">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default" w:ascii="Arial" w:hAnsi="Arial" w:eastAsia="宋体" w:cs="Arial"/>
                <w:color w:val="000000"/>
                <w:szCs w:val="21"/>
              </w:rPr>
              <w:t>α</w:t>
            </w:r>
            <w:r>
              <w:rPr>
                <w:rFonts w:hint="eastAsia" w:ascii="宋体" w:hAnsi="宋体" w:eastAsia="宋体" w:cs="Times New Roman"/>
                <w:color w:val="000000"/>
                <w:szCs w:val="21"/>
                <w:lang w:val="en-US" w:eastAsia="zh-CN"/>
              </w:rPr>
              <w:t>系数与分半信度</w:t>
            </w:r>
          </w:p>
          <w:p w14:paraId="4BC1C0E0">
            <w:pPr>
              <w:spacing w:line="264"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评分者一致性系数</w:t>
            </w:r>
          </w:p>
        </w:tc>
        <w:tc>
          <w:tcPr>
            <w:tcW w:w="1134" w:type="dxa"/>
            <w:vAlign w:val="center"/>
          </w:tcPr>
          <w:p w14:paraId="5D59392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1755500">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把握测量的信度与效度等测量学指标概念与类别</w:t>
            </w:r>
            <w:r>
              <w:rPr>
                <w:rFonts w:hint="eastAsia" w:ascii="宋体" w:hAnsi="宋体" w:eastAsia="宋体" w:cs="Times New Roman"/>
                <w:color w:val="000000"/>
                <w:szCs w:val="21"/>
              </w:rPr>
              <w:t>；</w:t>
            </w:r>
          </w:p>
          <w:p w14:paraId="7336C188">
            <w:pPr>
              <w:spacing w:line="264"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lang w:val="en-US" w:eastAsia="zh-CN"/>
              </w:rPr>
              <w:t>掌握测量的各类信度检验的适用条件、SPSS的操作过程、数据的可视化处理及结果解释</w:t>
            </w:r>
            <w:r>
              <w:rPr>
                <w:rFonts w:hint="eastAsia" w:ascii="宋体" w:hAnsi="宋体" w:eastAsia="宋体" w:cs="Times New Roman"/>
                <w:color w:val="000000"/>
                <w:szCs w:val="21"/>
              </w:rPr>
              <w:t>。</w:t>
            </w:r>
          </w:p>
        </w:tc>
        <w:tc>
          <w:tcPr>
            <w:tcW w:w="1560" w:type="dxa"/>
            <w:vAlign w:val="center"/>
          </w:tcPr>
          <w:p w14:paraId="7615893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F09C8D1">
            <w:pPr>
              <w:spacing w:line="264"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w:t>
            </w:r>
            <w:r>
              <w:rPr>
                <w:rFonts w:hint="eastAsia" w:ascii="宋体" w:hAnsi="宋体" w:eastAsia="宋体" w:cs="Times New Roman"/>
                <w:color w:val="000000"/>
                <w:szCs w:val="21"/>
                <w:lang w:eastAsia="zh-CN"/>
              </w:rPr>
              <w:t>3.课堂练习</w:t>
            </w:r>
          </w:p>
          <w:p w14:paraId="6ED44D7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8350F97">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p>
        </w:tc>
      </w:tr>
      <w:tr w14:paraId="222D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6CE933">
            <w:pPr>
              <w:spacing w:line="264" w:lineRule="auto"/>
              <w:jc w:val="center"/>
              <w:rPr>
                <w:rFonts w:ascii="宋体" w:hAnsi="宋体" w:eastAsia="宋体" w:cs="Times New Roman"/>
                <w:color w:val="000000"/>
                <w:szCs w:val="21"/>
              </w:rPr>
            </w:pPr>
          </w:p>
        </w:tc>
        <w:tc>
          <w:tcPr>
            <w:tcW w:w="8093" w:type="dxa"/>
            <w:gridSpan w:val="5"/>
            <w:vAlign w:val="center"/>
          </w:tcPr>
          <w:p w14:paraId="480A2D32">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w:t>
            </w:r>
            <w:r>
              <w:rPr>
                <w:rFonts w:hint="eastAsia" w:ascii="宋体" w:hAnsi="宋体" w:eastAsia="宋体" w:cs="Times New Roman"/>
                <w:color w:val="000000"/>
                <w:szCs w:val="21"/>
                <w:lang w:val="en-US" w:eastAsia="zh-CN"/>
              </w:rPr>
              <w:t>认识事物的规律需要依靠可靠的工具，了解判别可靠性的客观化标准</w:t>
            </w:r>
            <w:r>
              <w:rPr>
                <w:rFonts w:hint="eastAsia" w:ascii="宋体" w:hAnsi="宋体" w:eastAsia="宋体" w:cs="Times New Roman"/>
                <w:color w:val="000000"/>
                <w:szCs w:val="21"/>
              </w:rPr>
              <w:t>。</w:t>
            </w:r>
          </w:p>
        </w:tc>
      </w:tr>
    </w:tbl>
    <w:p w14:paraId="182EEB49">
      <w:pPr>
        <w:spacing w:line="360" w:lineRule="auto"/>
        <w:jc w:val="left"/>
        <w:rPr>
          <w:rFonts w:ascii="Times New Roman" w:hAnsi="Times New Roman" w:eastAsia="宋体" w:cs="Times New Roman"/>
          <w:sz w:val="24"/>
          <w:szCs w:val="24"/>
        </w:rPr>
      </w:pPr>
    </w:p>
    <w:p w14:paraId="220EEE3C">
      <w:pPr>
        <w:spacing w:line="360" w:lineRule="auto"/>
        <w:jc w:val="left"/>
        <w:outlineLvl w:val="0"/>
        <w:rPr>
          <w:rFonts w:ascii="Times New Roman" w:hAnsi="Times New Roman" w:eastAsia="宋体" w:cs="Times New Roman"/>
          <w:sz w:val="24"/>
          <w:szCs w:val="24"/>
        </w:rPr>
      </w:pPr>
      <w:bookmarkStart w:id="2407" w:name="_Toc32641"/>
      <w:bookmarkStart w:id="2408" w:name="_Toc12420"/>
      <w:bookmarkStart w:id="2409" w:name="_Toc18718"/>
      <w:bookmarkStart w:id="2410" w:name="_Toc24726"/>
      <w:bookmarkStart w:id="2411" w:name="_Toc5765"/>
      <w:bookmarkStart w:id="2412" w:name="_Toc16665"/>
      <w:bookmarkStart w:id="2413" w:name="_Toc32596"/>
      <w:r>
        <w:rPr>
          <w:rFonts w:hint="eastAsia" w:ascii="宋体" w:hAnsi="宋体" w:eastAsia="宋体" w:cs="Times New Roman"/>
          <w:b/>
          <w:color w:val="000000"/>
          <w:sz w:val="24"/>
          <w:szCs w:val="24"/>
        </w:rPr>
        <w:t>四、目标评价与成绩评定</w:t>
      </w:r>
      <w:bookmarkEnd w:id="2407"/>
      <w:bookmarkEnd w:id="2408"/>
      <w:bookmarkEnd w:id="2409"/>
      <w:bookmarkEnd w:id="2410"/>
      <w:bookmarkEnd w:id="2411"/>
      <w:bookmarkEnd w:id="2412"/>
      <w:bookmarkEnd w:id="2413"/>
    </w:p>
    <w:p w14:paraId="303302D6">
      <w:pPr>
        <w:spacing w:line="360" w:lineRule="auto"/>
        <w:jc w:val="left"/>
        <w:outlineLvl w:val="1"/>
        <w:rPr>
          <w:rFonts w:ascii="Times New Roman" w:hAnsi="Times New Roman" w:eastAsia="宋体" w:cs="Times New Roman"/>
          <w:b/>
          <w:szCs w:val="21"/>
        </w:rPr>
      </w:pPr>
      <w:bookmarkStart w:id="2414" w:name="_Toc20497"/>
      <w:r>
        <w:rPr>
          <w:rFonts w:hint="eastAsia" w:ascii="Times New Roman" w:hAnsi="Times New Roman" w:eastAsia="宋体" w:cs="Times New Roman"/>
          <w:b/>
          <w:szCs w:val="21"/>
        </w:rPr>
        <w:t>（一）课程目标评价方式</w:t>
      </w:r>
      <w:bookmarkEnd w:id="2414"/>
    </w:p>
    <w:p w14:paraId="3117CF0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2F0A60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1"/>
      </w:tblGrid>
      <w:tr w14:paraId="6962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58DA994D">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477" w:type="pct"/>
            <w:gridSpan w:val="4"/>
            <w:vAlign w:val="center"/>
          </w:tcPr>
          <w:p w14:paraId="12CCE0AF">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523" w:type="pct"/>
            <w:vMerge w:val="restart"/>
            <w:vAlign w:val="center"/>
          </w:tcPr>
          <w:p w14:paraId="2326CD4E">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11A6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05897BD6">
            <w:pPr>
              <w:spacing w:line="360" w:lineRule="auto"/>
              <w:jc w:val="center"/>
              <w:rPr>
                <w:rFonts w:ascii="宋体" w:hAnsi="宋体" w:eastAsia="宋体" w:cs="Times New Roman"/>
                <w:szCs w:val="21"/>
              </w:rPr>
            </w:pPr>
          </w:p>
        </w:tc>
        <w:tc>
          <w:tcPr>
            <w:tcW w:w="869" w:type="pct"/>
            <w:vAlign w:val="center"/>
          </w:tcPr>
          <w:p w14:paraId="442EF432">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869" w:type="pct"/>
            <w:vAlign w:val="center"/>
          </w:tcPr>
          <w:p w14:paraId="21FE0508">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869" w:type="pct"/>
            <w:vAlign w:val="center"/>
          </w:tcPr>
          <w:p w14:paraId="03D8BBF3">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870" w:type="pct"/>
          </w:tcPr>
          <w:p w14:paraId="08D99A8F">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523" w:type="pct"/>
            <w:vMerge w:val="continue"/>
            <w:vAlign w:val="center"/>
          </w:tcPr>
          <w:p w14:paraId="6C60F99E">
            <w:pPr>
              <w:spacing w:line="360" w:lineRule="auto"/>
              <w:jc w:val="center"/>
              <w:rPr>
                <w:rFonts w:ascii="宋体" w:hAnsi="宋体" w:eastAsia="宋体" w:cs="Times New Roman"/>
                <w:szCs w:val="21"/>
              </w:rPr>
            </w:pPr>
          </w:p>
        </w:tc>
      </w:tr>
      <w:tr w14:paraId="059F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0B4E5399">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869" w:type="pct"/>
            <w:vAlign w:val="center"/>
          </w:tcPr>
          <w:p w14:paraId="0568602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5DF62EBF">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869" w:type="pct"/>
            <w:vAlign w:val="center"/>
          </w:tcPr>
          <w:p w14:paraId="4FB607C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70" w:type="pct"/>
          </w:tcPr>
          <w:p w14:paraId="4A5C152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523" w:type="pct"/>
            <w:vAlign w:val="center"/>
          </w:tcPr>
          <w:p w14:paraId="2817CAEF">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5</w:t>
            </w:r>
            <w:r>
              <w:rPr>
                <w:rFonts w:hint="eastAsia" w:ascii="宋体" w:hAnsi="宋体" w:eastAsia="宋体" w:cs="Times New Roman"/>
                <w:szCs w:val="21"/>
              </w:rPr>
              <w:t>0</w:t>
            </w:r>
          </w:p>
        </w:tc>
      </w:tr>
      <w:tr w14:paraId="5DD4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7EC29AB9">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869" w:type="pct"/>
            <w:vAlign w:val="center"/>
          </w:tcPr>
          <w:p w14:paraId="047E8DE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73AE7F2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88E14D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870" w:type="pct"/>
          </w:tcPr>
          <w:p w14:paraId="1B11D85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523" w:type="pct"/>
            <w:vAlign w:val="center"/>
          </w:tcPr>
          <w:p w14:paraId="39B675A5">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5</w:t>
            </w:r>
            <w:r>
              <w:rPr>
                <w:rFonts w:hint="eastAsia" w:ascii="宋体" w:hAnsi="宋体" w:eastAsia="宋体" w:cs="Times New Roman"/>
                <w:szCs w:val="21"/>
              </w:rPr>
              <w:t>0</w:t>
            </w:r>
          </w:p>
        </w:tc>
      </w:tr>
      <w:tr w14:paraId="3A68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6EA74825">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869" w:type="pct"/>
            <w:vAlign w:val="center"/>
          </w:tcPr>
          <w:p w14:paraId="7C0F7291">
            <w:pPr>
              <w:spacing w:line="360" w:lineRule="auto"/>
              <w:jc w:val="center"/>
              <w:rPr>
                <w:rFonts w:ascii="宋体" w:hAnsi="宋体" w:eastAsia="宋体" w:cs="Times New Roman"/>
                <w:szCs w:val="21"/>
              </w:rPr>
            </w:pPr>
          </w:p>
        </w:tc>
        <w:tc>
          <w:tcPr>
            <w:tcW w:w="869" w:type="pct"/>
            <w:vAlign w:val="center"/>
          </w:tcPr>
          <w:p w14:paraId="60ADDB68">
            <w:pPr>
              <w:spacing w:line="360" w:lineRule="auto"/>
              <w:jc w:val="center"/>
              <w:rPr>
                <w:rFonts w:ascii="宋体" w:hAnsi="宋体" w:eastAsia="宋体" w:cs="Times New Roman"/>
                <w:szCs w:val="21"/>
              </w:rPr>
            </w:pPr>
          </w:p>
        </w:tc>
        <w:tc>
          <w:tcPr>
            <w:tcW w:w="869" w:type="pct"/>
            <w:vAlign w:val="center"/>
          </w:tcPr>
          <w:p w14:paraId="11F190F7">
            <w:pPr>
              <w:spacing w:line="360" w:lineRule="auto"/>
              <w:jc w:val="center"/>
              <w:rPr>
                <w:rFonts w:ascii="宋体" w:hAnsi="宋体" w:eastAsia="宋体" w:cs="Times New Roman"/>
                <w:szCs w:val="21"/>
              </w:rPr>
            </w:pPr>
          </w:p>
        </w:tc>
        <w:tc>
          <w:tcPr>
            <w:tcW w:w="870" w:type="pct"/>
          </w:tcPr>
          <w:p w14:paraId="5693D7BA">
            <w:pPr>
              <w:spacing w:line="360" w:lineRule="auto"/>
              <w:jc w:val="center"/>
              <w:rPr>
                <w:rFonts w:ascii="宋体" w:hAnsi="宋体" w:eastAsia="宋体" w:cs="Times New Roman"/>
                <w:szCs w:val="21"/>
              </w:rPr>
            </w:pPr>
          </w:p>
        </w:tc>
        <w:tc>
          <w:tcPr>
            <w:tcW w:w="523" w:type="pct"/>
            <w:vAlign w:val="center"/>
          </w:tcPr>
          <w:p w14:paraId="73C8DC57">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462F2348">
      <w:pPr>
        <w:spacing w:before="156" w:beforeLines="50" w:line="360" w:lineRule="auto"/>
        <w:jc w:val="left"/>
        <w:rPr>
          <w:rFonts w:hint="eastAsia" w:ascii="Times New Roman" w:hAnsi="Times New Roman" w:eastAsia="宋体" w:cs="Times New Roman"/>
          <w:b/>
          <w:szCs w:val="21"/>
        </w:rPr>
      </w:pPr>
    </w:p>
    <w:p w14:paraId="3F8BC0E0">
      <w:pPr>
        <w:spacing w:before="156" w:beforeLines="50" w:line="360" w:lineRule="auto"/>
        <w:jc w:val="left"/>
        <w:rPr>
          <w:rFonts w:hint="eastAsia" w:ascii="Times New Roman" w:hAnsi="Times New Roman" w:eastAsia="宋体" w:cs="Times New Roman"/>
          <w:b/>
          <w:szCs w:val="21"/>
        </w:rPr>
      </w:pPr>
    </w:p>
    <w:p w14:paraId="5F6610E3">
      <w:pPr>
        <w:spacing w:before="156" w:beforeLines="50" w:line="360" w:lineRule="auto"/>
        <w:jc w:val="left"/>
        <w:rPr>
          <w:rFonts w:hint="eastAsia" w:ascii="Times New Roman" w:hAnsi="Times New Roman" w:eastAsia="宋体" w:cs="Times New Roman"/>
          <w:b/>
          <w:szCs w:val="21"/>
        </w:rPr>
      </w:pPr>
    </w:p>
    <w:p w14:paraId="3A39AEB1">
      <w:pPr>
        <w:spacing w:before="156" w:beforeLines="50" w:line="360" w:lineRule="auto"/>
        <w:jc w:val="left"/>
        <w:outlineLvl w:val="1"/>
        <w:rPr>
          <w:rFonts w:ascii="Times New Roman" w:hAnsi="Times New Roman" w:eastAsia="宋体" w:cs="Times New Roman"/>
          <w:b/>
          <w:szCs w:val="21"/>
        </w:rPr>
      </w:pPr>
      <w:bookmarkStart w:id="2415" w:name="_Toc9664"/>
      <w:r>
        <w:rPr>
          <w:rFonts w:hint="eastAsia" w:ascii="Times New Roman" w:hAnsi="Times New Roman" w:eastAsia="宋体" w:cs="Times New Roman"/>
          <w:b/>
          <w:szCs w:val="21"/>
        </w:rPr>
        <w:t>（二）成绩评定细则</w:t>
      </w:r>
      <w:bookmarkEnd w:id="2415"/>
    </w:p>
    <w:p w14:paraId="7939F6F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BF540F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4F9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31BCA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31FE4B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D7CDBB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16B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DA6D1E">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AD50CD5">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rPr>
              <w:t>次，</w:t>
            </w:r>
            <w:r>
              <w:rPr>
                <w:rFonts w:hint="eastAsia" w:ascii="Times New Roman" w:hAnsi="Times New Roman" w:eastAsia="宋体" w:cs="Times New Roman"/>
                <w:szCs w:val="21"/>
                <w:lang w:val="en-US" w:eastAsia="zh-CN"/>
              </w:rPr>
              <w:t>包括SPSS操作的规范性、数据输出的准确性、结果解释的合理性。</w:t>
            </w:r>
          </w:p>
        </w:tc>
        <w:tc>
          <w:tcPr>
            <w:tcW w:w="0" w:type="auto"/>
            <w:vAlign w:val="center"/>
          </w:tcPr>
          <w:p w14:paraId="169B6340">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6F9E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72FA5C">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89DD328">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DA654D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7995F7D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434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AFC373">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52D270B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43A796D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85D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B0A14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7FCA68B">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lang w:val="en-US" w:eastAsia="zh-CN"/>
              </w:rPr>
              <w:t>操作题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lang w:val="en-US" w:eastAsia="zh-CN"/>
              </w:rPr>
              <w:t>统计</w:t>
            </w:r>
            <w:r>
              <w:rPr>
                <w:rFonts w:hint="eastAsia" w:ascii="Times New Roman" w:hAnsi="Times New Roman" w:eastAsia="宋体" w:cs="Times New Roman"/>
                <w:color w:val="000000"/>
                <w:szCs w:val="21"/>
              </w:rPr>
              <w:t>基本理论和知识型题目占</w:t>
            </w:r>
            <w:r>
              <w:rPr>
                <w:rFonts w:hint="eastAsia" w:ascii="Times New Roman" w:hAnsi="Times New Roman" w:eastAsia="宋体" w:cs="Times New Roman"/>
                <w:color w:val="000000"/>
                <w:szCs w:val="21"/>
                <w:lang w:val="en-US" w:eastAsia="zh-CN"/>
              </w:rPr>
              <w:t>2</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w:t>
            </w:r>
            <w:r>
              <w:rPr>
                <w:rFonts w:hint="eastAsia" w:ascii="Times New Roman" w:hAnsi="Times New Roman" w:eastAsia="宋体" w:cs="Times New Roman"/>
                <w:color w:val="000000"/>
                <w:szCs w:val="21"/>
                <w:lang w:val="en-US" w:eastAsia="zh-CN"/>
              </w:rPr>
              <w:t>的统计操作题（输出可视化与结果解释）</w:t>
            </w:r>
            <w:r>
              <w:rPr>
                <w:rFonts w:hint="eastAsia" w:ascii="Times New Roman" w:hAnsi="Times New Roman" w:eastAsia="宋体" w:cs="Times New Roman"/>
                <w:color w:val="000000"/>
                <w:szCs w:val="21"/>
              </w:rPr>
              <w:t>占</w:t>
            </w:r>
            <w:r>
              <w:rPr>
                <w:rFonts w:hint="eastAsia" w:ascii="Times New Roman" w:hAnsi="Times New Roman" w:eastAsia="宋体" w:cs="Times New Roman"/>
                <w:color w:val="000000"/>
                <w:szCs w:val="21"/>
                <w:lang w:val="en-US" w:eastAsia="zh-CN"/>
              </w:rPr>
              <w:t>8</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0A2A5555">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B50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3FDF2C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BF09F4B">
            <w:pPr>
              <w:jc w:val="left"/>
              <w:rPr>
                <w:rFonts w:ascii="Times New Roman" w:hAnsi="Times New Roman" w:eastAsia="宋体" w:cs="Times New Roman"/>
                <w:szCs w:val="21"/>
              </w:rPr>
            </w:pPr>
          </w:p>
        </w:tc>
        <w:tc>
          <w:tcPr>
            <w:tcW w:w="0" w:type="auto"/>
            <w:vAlign w:val="center"/>
          </w:tcPr>
          <w:p w14:paraId="282011E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75A2B2D">
      <w:pPr>
        <w:spacing w:line="360" w:lineRule="auto"/>
        <w:jc w:val="left"/>
        <w:outlineLvl w:val="1"/>
        <w:rPr>
          <w:rFonts w:ascii="宋体" w:hAnsi="宋体" w:eastAsia="宋体" w:cs="Times New Roman"/>
          <w:b/>
          <w:color w:val="000000"/>
          <w:szCs w:val="21"/>
        </w:rPr>
      </w:pPr>
      <w:bookmarkStart w:id="2416" w:name="_Toc19518"/>
      <w:r>
        <w:rPr>
          <w:rFonts w:hint="eastAsia" w:ascii="宋体" w:hAnsi="宋体" w:eastAsia="宋体" w:cs="Times New Roman"/>
          <w:b/>
          <w:color w:val="000000"/>
          <w:szCs w:val="21"/>
        </w:rPr>
        <w:t>（三）课程目标达成度计算方法</w:t>
      </w:r>
      <w:bookmarkEnd w:id="2416"/>
    </w:p>
    <w:p w14:paraId="02E7DCD4">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4601AE2">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70"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70" DrawAspect="Content" ObjectID="_1468075770" r:id="rId53">
            <o:LockedField>false</o:LockedField>
          </o:OLEObject>
        </w:object>
      </w:r>
    </w:p>
    <w:p w14:paraId="5BCBED99">
      <w:pPr>
        <w:spacing w:before="156" w:beforeLines="50" w:line="360" w:lineRule="auto"/>
        <w:jc w:val="left"/>
        <w:outlineLvl w:val="0"/>
        <w:rPr>
          <w:rFonts w:ascii="Times New Roman" w:hAnsi="Times New Roman" w:eastAsia="宋体" w:cs="Times New Roman"/>
          <w:b/>
          <w:bCs/>
          <w:sz w:val="24"/>
          <w:szCs w:val="24"/>
        </w:rPr>
      </w:pPr>
      <w:bookmarkStart w:id="2417" w:name="_Toc13281"/>
      <w:bookmarkStart w:id="2418" w:name="_Toc14374"/>
      <w:bookmarkStart w:id="2419" w:name="_Toc10341"/>
      <w:bookmarkStart w:id="2420" w:name="_Toc2626"/>
      <w:bookmarkStart w:id="2421" w:name="_Toc13257"/>
      <w:bookmarkStart w:id="2422" w:name="_Toc13843"/>
      <w:bookmarkStart w:id="2423" w:name="_Toc32761"/>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bookmarkEnd w:id="2417"/>
      <w:bookmarkEnd w:id="2418"/>
      <w:bookmarkEnd w:id="2419"/>
      <w:bookmarkEnd w:id="2420"/>
      <w:bookmarkEnd w:id="2421"/>
      <w:bookmarkEnd w:id="2422"/>
      <w:bookmarkEnd w:id="2423"/>
    </w:p>
    <w:p w14:paraId="356EE563">
      <w:pPr>
        <w:spacing w:line="360" w:lineRule="auto"/>
        <w:jc w:val="left"/>
        <w:outlineLvl w:val="1"/>
        <w:rPr>
          <w:rFonts w:ascii="Times New Roman" w:hAnsi="Times New Roman" w:eastAsia="宋体" w:cs="Times New Roman"/>
          <w:b/>
          <w:szCs w:val="21"/>
        </w:rPr>
      </w:pPr>
      <w:bookmarkStart w:id="2424" w:name="_Toc13558"/>
      <w:r>
        <w:rPr>
          <w:rFonts w:hint="eastAsia" w:ascii="Times New Roman" w:hAnsi="Times New Roman" w:eastAsia="宋体" w:cs="Times New Roman"/>
          <w:b/>
          <w:szCs w:val="21"/>
        </w:rPr>
        <w:t>（一）持续改进</w:t>
      </w:r>
      <w:bookmarkEnd w:id="2424"/>
    </w:p>
    <w:p w14:paraId="31E56AF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98C3DD8">
      <w:pPr>
        <w:spacing w:line="360" w:lineRule="auto"/>
        <w:jc w:val="left"/>
        <w:outlineLvl w:val="1"/>
        <w:rPr>
          <w:rFonts w:ascii="Times New Roman" w:hAnsi="Times New Roman" w:eastAsia="宋体" w:cs="Times New Roman"/>
          <w:b/>
          <w:szCs w:val="21"/>
        </w:rPr>
      </w:pPr>
      <w:bookmarkStart w:id="2425" w:name="_Toc15456"/>
      <w:r>
        <w:rPr>
          <w:rFonts w:hint="eastAsia" w:ascii="Times New Roman" w:hAnsi="Times New Roman" w:eastAsia="宋体" w:cs="Times New Roman"/>
          <w:b/>
          <w:szCs w:val="21"/>
        </w:rPr>
        <w:t>（二）建议教材</w:t>
      </w:r>
      <w:bookmarkEnd w:id="2425"/>
    </w:p>
    <w:p w14:paraId="407F6A4C">
      <w:pPr>
        <w:spacing w:line="336" w:lineRule="auto"/>
        <w:ind w:firstLine="420" w:firstLineChars="200"/>
        <w:rPr>
          <w:rFonts w:hint="default" w:ascii="Times New Roman" w:hAnsi="Times New Roman" w:eastAsia="宋体" w:cs="Times New Roman"/>
          <w:szCs w:val="21"/>
          <w:lang w:val="en-US"/>
        </w:rPr>
      </w:pPr>
      <w:r>
        <w:rPr>
          <w:rFonts w:hint="eastAsia" w:ascii="Times New Roman" w:hAnsi="Times New Roman" w:eastAsia="宋体" w:cs="Times New Roman"/>
          <w:bCs/>
          <w:color w:val="000000"/>
          <w:szCs w:val="21"/>
          <w:lang w:val="en-US" w:eastAsia="zh-CN"/>
        </w:rPr>
        <w:t>刘红云编著.SPSS基础与应用.北京：中国人民</w:t>
      </w:r>
      <w:r>
        <w:rPr>
          <w:rFonts w:hint="eastAsia" w:ascii="Times New Roman" w:hAnsi="Times New Roman" w:eastAsia="宋体" w:cs="Times New Roman"/>
          <w:bCs/>
          <w:color w:val="000000"/>
          <w:szCs w:val="21"/>
        </w:rPr>
        <w:t>出版社，2</w:t>
      </w:r>
      <w:r>
        <w:rPr>
          <w:rFonts w:ascii="Times New Roman" w:hAnsi="Times New Roman" w:eastAsia="宋体" w:cs="Times New Roman"/>
          <w:bCs/>
          <w:color w:val="000000"/>
          <w:szCs w:val="21"/>
        </w:rPr>
        <w:t>0</w:t>
      </w:r>
      <w:r>
        <w:rPr>
          <w:rFonts w:hint="eastAsia" w:ascii="Times New Roman" w:hAnsi="Times New Roman" w:eastAsia="宋体" w:cs="Times New Roman"/>
          <w:bCs/>
          <w:color w:val="000000"/>
          <w:szCs w:val="21"/>
          <w:lang w:val="en-US" w:eastAsia="zh-CN"/>
        </w:rPr>
        <w:t>22.</w:t>
      </w:r>
    </w:p>
    <w:p w14:paraId="0164069E">
      <w:pPr>
        <w:spacing w:line="360" w:lineRule="auto"/>
        <w:jc w:val="left"/>
        <w:outlineLvl w:val="1"/>
        <w:rPr>
          <w:rFonts w:ascii="Times New Roman" w:hAnsi="Times New Roman" w:eastAsia="宋体" w:cs="Times New Roman"/>
          <w:b/>
          <w:szCs w:val="21"/>
        </w:rPr>
      </w:pPr>
      <w:bookmarkStart w:id="2426" w:name="_Toc11835"/>
      <w:r>
        <w:rPr>
          <w:rFonts w:hint="eastAsia" w:ascii="Times New Roman" w:hAnsi="Times New Roman" w:eastAsia="宋体" w:cs="Times New Roman"/>
          <w:b/>
          <w:szCs w:val="21"/>
        </w:rPr>
        <w:t>（三）参考书目</w:t>
      </w:r>
      <w:bookmarkEnd w:id="2426"/>
    </w:p>
    <w:p w14:paraId="12CC5772">
      <w:pPr>
        <w:spacing w:line="336" w:lineRule="auto"/>
        <w:ind w:firstLine="420" w:firstLineChars="200"/>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1.张厚粲、徐建平主编.现代心理与教育统计学（第</w:t>
      </w:r>
      <w:r>
        <w:rPr>
          <w:rFonts w:hint="eastAsia" w:ascii="Times New Roman" w:hAnsi="Times New Roman" w:eastAsia="宋体" w:cs="Times New Roman"/>
          <w:bCs/>
          <w:color w:val="000000"/>
          <w:szCs w:val="21"/>
          <w:lang w:val="en-US" w:eastAsia="zh-CN"/>
        </w:rPr>
        <w:t>5</w:t>
      </w:r>
      <w:r>
        <w:rPr>
          <w:rFonts w:hint="eastAsia" w:ascii="Times New Roman" w:hAnsi="Times New Roman" w:eastAsia="宋体" w:cs="Times New Roman"/>
          <w:bCs/>
          <w:color w:val="000000"/>
          <w:szCs w:val="21"/>
        </w:rPr>
        <w:t>版）.北京：北京师范大学出版社，20</w:t>
      </w:r>
      <w:r>
        <w:rPr>
          <w:rFonts w:hint="eastAsia" w:ascii="Times New Roman" w:hAnsi="Times New Roman" w:eastAsia="宋体" w:cs="Times New Roman"/>
          <w:bCs/>
          <w:color w:val="000000"/>
          <w:szCs w:val="21"/>
          <w:lang w:val="en-US" w:eastAsia="zh-CN"/>
        </w:rPr>
        <w:t>20.</w:t>
      </w:r>
    </w:p>
    <w:p w14:paraId="2654301C">
      <w:pPr>
        <w:spacing w:line="336" w:lineRule="auto"/>
        <w:ind w:firstLine="420" w:firstLineChars="200"/>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戴海琦，张峰主编.心理与教育测量（第4版）.广州：暨南大学出版社，2018</w:t>
      </w:r>
      <w:r>
        <w:rPr>
          <w:rFonts w:ascii="Times New Roman" w:hAnsi="Times New Roman" w:eastAsia="宋体" w:cs="Times New Roman"/>
          <w:bCs/>
          <w:color w:val="000000"/>
          <w:szCs w:val="21"/>
        </w:rPr>
        <w:t>.</w:t>
      </w:r>
    </w:p>
    <w:p w14:paraId="5C89343E">
      <w:pPr>
        <w:spacing w:line="336" w:lineRule="auto"/>
        <w:ind w:firstLine="420" w:firstLineChars="200"/>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lang w:val="en-US" w:eastAsia="zh-CN"/>
        </w:rPr>
        <w:t>3</w:t>
      </w:r>
      <w:r>
        <w:rPr>
          <w:rFonts w:hint="eastAsia" w:ascii="Times New Roman" w:hAnsi="Times New Roman" w:eastAsia="宋体" w:cs="Times New Roman"/>
          <w:bCs/>
          <w:color w:val="000000"/>
          <w:szCs w:val="21"/>
        </w:rPr>
        <w:t>.张屹，周平红.教育研究中定量数据的统计与分析：基于SPSS的应用案例解析.</w:t>
      </w:r>
      <w:r>
        <w:rPr>
          <w:rFonts w:hint="eastAsia" w:ascii="Times New Roman" w:hAnsi="Times New Roman" w:eastAsia="宋体" w:cs="Times New Roman"/>
          <w:bCs/>
          <w:color w:val="000000"/>
          <w:szCs w:val="21"/>
          <w:lang w:val="en-US" w:eastAsia="zh-CN"/>
        </w:rPr>
        <w:t>北京：</w:t>
      </w:r>
      <w:r>
        <w:rPr>
          <w:rFonts w:hint="eastAsia" w:ascii="Times New Roman" w:hAnsi="Times New Roman" w:eastAsia="宋体" w:cs="Times New Roman"/>
          <w:bCs/>
          <w:color w:val="000000"/>
          <w:szCs w:val="21"/>
        </w:rPr>
        <w:t>北京大学出版社，2015</w:t>
      </w:r>
      <w:r>
        <w:rPr>
          <w:rFonts w:hint="eastAsia" w:ascii="Times New Roman" w:hAnsi="Times New Roman" w:eastAsia="宋体" w:cs="Times New Roman"/>
          <w:bCs/>
          <w:color w:val="000000"/>
          <w:szCs w:val="21"/>
          <w:lang w:val="en-US" w:eastAsia="zh-CN"/>
        </w:rPr>
        <w:t>.</w:t>
      </w:r>
    </w:p>
    <w:p w14:paraId="29C09B6F">
      <w:pPr>
        <w:spacing w:line="360" w:lineRule="auto"/>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执笔人：巫文胜</w:t>
      </w:r>
    </w:p>
    <w:p w14:paraId="7BC88C9C">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审定人：王</w:t>
      </w:r>
      <w:r>
        <w:rPr>
          <w:rFonts w:hint="eastAsia" w:ascii="Times New Roman" w:hAnsi="Times New Roman" w:eastAsia="宋体" w:cs="Times New Roman"/>
          <w:sz w:val="24"/>
          <w:szCs w:val="24"/>
          <w:lang w:val="en-US" w:eastAsia="zh-CN"/>
        </w:rPr>
        <w:t>健</w:t>
      </w:r>
    </w:p>
    <w:p w14:paraId="0907F325">
      <w:pPr>
        <w:spacing w:line="360" w:lineRule="auto"/>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审批人：张志欣</w:t>
      </w:r>
    </w:p>
    <w:p w14:paraId="4B16EF8C">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73FB7F03">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635E67E2">
      <w:pPr>
        <w:pStyle w:val="2"/>
        <w:bidi w:val="0"/>
        <w:rPr>
          <w:rFonts w:hint="eastAsia" w:eastAsia="宋体"/>
          <w:lang w:eastAsia="zh-CN"/>
        </w:rPr>
      </w:pPr>
      <w:bookmarkStart w:id="2427" w:name="_Toc16112"/>
      <w:r>
        <w:rPr>
          <w:rFonts w:hint="eastAsia"/>
          <w:lang w:eastAsia="zh-CN"/>
        </w:rPr>
        <w:t>《</w:t>
      </w:r>
      <w:r>
        <w:rPr>
          <w:rFonts w:hint="eastAsia"/>
        </w:rPr>
        <w:t>习近平总书记关于教育的重要论述研究</w:t>
      </w:r>
      <w:bookmarkEnd w:id="2427"/>
      <w:r>
        <w:rPr>
          <w:rFonts w:hint="eastAsia"/>
          <w:lang w:eastAsia="zh-CN"/>
        </w:rPr>
        <w:t>》</w:t>
      </w:r>
    </w:p>
    <w:p w14:paraId="6EEFC2DC">
      <w:pPr>
        <w:pStyle w:val="2"/>
        <w:bidi w:val="0"/>
      </w:pPr>
      <w:bookmarkStart w:id="2428" w:name="_Toc15074"/>
      <w:r>
        <w:rPr>
          <w:rFonts w:hint="eastAsia"/>
        </w:rPr>
        <w:t>课程教学大纲</w:t>
      </w:r>
      <w:bookmarkEnd w:id="2428"/>
    </w:p>
    <w:p w14:paraId="53D35E29">
      <w:pPr>
        <w:pStyle w:val="2"/>
        <w:bidi w:val="0"/>
      </w:pPr>
      <w:bookmarkStart w:id="2429" w:name="_Toc23560"/>
      <w:r>
        <w:rPr>
          <w:rFonts w:hint="eastAsia"/>
        </w:rPr>
        <w:t xml:space="preserve">（General </w:t>
      </w:r>
      <w:r>
        <w:rPr>
          <w:rFonts w:hint="eastAsia"/>
          <w:lang w:val="en-US" w:eastAsia="zh-CN"/>
        </w:rPr>
        <w:t>S</w:t>
      </w:r>
      <w:r>
        <w:rPr>
          <w:rFonts w:hint="eastAsia"/>
        </w:rPr>
        <w:t xml:space="preserve">ecretary Xi Jinping's </w:t>
      </w:r>
      <w:r>
        <w:rPr>
          <w:rFonts w:hint="eastAsia"/>
          <w:lang w:val="en-US" w:eastAsia="zh-CN"/>
        </w:rPr>
        <w:t>I</w:t>
      </w:r>
      <w:r>
        <w:rPr>
          <w:rFonts w:hint="eastAsia"/>
        </w:rPr>
        <w:t xml:space="preserve">mportant </w:t>
      </w:r>
      <w:r>
        <w:rPr>
          <w:rFonts w:hint="eastAsia"/>
          <w:lang w:val="en-US" w:eastAsia="zh-CN"/>
        </w:rPr>
        <w:t>E</w:t>
      </w:r>
      <w:r>
        <w:rPr>
          <w:rFonts w:hint="eastAsia"/>
        </w:rPr>
        <w:t>xposition on Education）</w:t>
      </w:r>
      <w:bookmarkEnd w:id="2429"/>
    </w:p>
    <w:p w14:paraId="3B3F363B">
      <w:pPr>
        <w:spacing w:line="360" w:lineRule="auto"/>
        <w:ind w:firstLine="482" w:firstLineChars="200"/>
        <w:jc w:val="left"/>
        <w:rPr>
          <w:rFonts w:hint="eastAsia" w:ascii="Times New Roman" w:hAnsi="Times New Roman" w:eastAsia="宋体" w:cs="Times New Roman"/>
          <w:b/>
          <w:sz w:val="24"/>
          <w:szCs w:val="24"/>
        </w:rPr>
      </w:pPr>
    </w:p>
    <w:p w14:paraId="15ED0BB1">
      <w:pPr>
        <w:spacing w:line="360" w:lineRule="auto"/>
        <w:ind w:firstLine="482" w:firstLineChars="200"/>
        <w:jc w:val="left"/>
        <w:rPr>
          <w:rFonts w:hint="eastAsia" w:ascii="Times New Roman" w:hAnsi="Times New Roman" w:eastAsia="宋体" w:cs="Times New Roman"/>
          <w:b/>
          <w:sz w:val="24"/>
          <w:szCs w:val="24"/>
        </w:rPr>
      </w:pPr>
    </w:p>
    <w:p w14:paraId="24F11FD8">
      <w:pPr>
        <w:spacing w:line="360" w:lineRule="auto"/>
        <w:ind w:firstLine="482" w:firstLineChars="200"/>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习近平总书记关于教育的重要论述研究</w:t>
      </w:r>
    </w:p>
    <w:p w14:paraId="6E9FA724">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w:t>
      </w:r>
      <w:r>
        <w:rPr>
          <w:rFonts w:hint="eastAsia" w:ascii="Times New Roman" w:hAnsi="Times New Roman" w:eastAsia="宋体" w:cs="Times New Roman"/>
          <w:b/>
          <w:sz w:val="24"/>
          <w:szCs w:val="24"/>
          <w:lang w:val="en-US" w:eastAsia="zh-CN"/>
        </w:rPr>
        <w:t>0002</w:t>
      </w:r>
    </w:p>
    <w:p w14:paraId="62B36899">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1</w:t>
      </w:r>
    </w:p>
    <w:p w14:paraId="6A477900">
      <w:pPr>
        <w:spacing w:line="360" w:lineRule="auto"/>
        <w:ind w:firstLine="482" w:firstLineChars="200"/>
        <w:jc w:val="left"/>
        <w:rPr>
          <w:rFonts w:hint="default" w:ascii="Times New Roman" w:hAnsi="Times New Roman" w:eastAsia="宋体" w:cs="Times New Roman"/>
          <w:sz w:val="24"/>
          <w:szCs w:val="24"/>
          <w:lang w:val="en-US"/>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16</w:t>
      </w:r>
    </w:p>
    <w:p w14:paraId="2E1CE639">
      <w:pPr>
        <w:spacing w:line="360" w:lineRule="auto"/>
        <w:ind w:firstLine="482" w:firstLineChars="200"/>
        <w:jc w:val="left"/>
        <w:rPr>
          <w:rFonts w:hint="eastAsia" w:ascii="Times New Roman" w:hAnsi="Times New Roman" w:cs="Times New Roman" w:eastAsiaTheme="minorEastAsia"/>
          <w:sz w:val="24"/>
          <w:szCs w:val="24"/>
          <w:lang w:eastAsia="zh-CN"/>
        </w:rPr>
      </w:pPr>
      <w:r>
        <w:rPr>
          <w:rFonts w:hint="eastAsia" w:ascii="Times New Roman" w:hAnsi="Times New Roman" w:eastAsia="宋体" w:cs="Times New Roman"/>
          <w:b/>
          <w:sz w:val="24"/>
          <w:szCs w:val="24"/>
        </w:rPr>
        <w:t>先修课程：中国近现代史纲要</w:t>
      </w:r>
    </w:p>
    <w:p w14:paraId="4FE4ECBF">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7F84B015">
      <w:pPr>
        <w:spacing w:line="360" w:lineRule="auto"/>
        <w:jc w:val="left"/>
        <w:rPr>
          <w:rFonts w:ascii="Times New Roman" w:hAnsi="Times New Roman" w:eastAsia="宋体" w:cs="Times New Roman"/>
          <w:b/>
          <w:sz w:val="24"/>
          <w:szCs w:val="24"/>
        </w:rPr>
      </w:pPr>
    </w:p>
    <w:p w14:paraId="11C36454">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67A59295">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专业教师教育类公共必修课程。为推动教育系统广大干部师生深入学贯彻学习总书记关于教育的重要论述，教育部组织编写了《习近平总书记教育重要论述讲义》。党的十八大以来，习近平总书记就教育改革发展作出了一系列重要讲话、指示批示，提出了一系列新理念新思想新观点，形成了习近平总书记关于教育的重要论述。习近平总书记关于教育的重要论述从根本上阐明了新时代中国特色社会主义教育发展方向、道路、方针、原则等一系列方向性根本性战略性问题，以全新的视野深化了对社会主义建设规律、教育发展规律、人才培养规律的认识，开拓了马克思主义教育思想的新境界，标志着中国特色社会主义教育理论发展达到了新高度，为加快推进教育现代化、建设教育强国、办好人民满意的教育提供了根本遵循和行动指南。</w:t>
      </w:r>
    </w:p>
    <w:p w14:paraId="5588AC75">
      <w:pPr>
        <w:spacing w:line="360" w:lineRule="auto"/>
        <w:jc w:val="left"/>
        <w:rPr>
          <w:rFonts w:hint="eastAsia" w:ascii="宋体" w:hAnsi="宋体" w:eastAsia="宋体" w:cs="Times New Roman"/>
          <w:b/>
          <w:color w:val="000000"/>
          <w:szCs w:val="21"/>
        </w:rPr>
      </w:pPr>
    </w:p>
    <w:p w14:paraId="73F4BA80">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48F41DA7">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6BEBF50">
      <w:pPr>
        <w:spacing w:before="156" w:beforeLines="50" w:after="156" w:afterLines="50" w:line="360" w:lineRule="auto"/>
        <w:ind w:firstLine="422" w:firstLineChars="200"/>
        <w:jc w:val="left"/>
        <w:rPr>
          <w:rFonts w:hint="eastAsia" w:ascii="Times New Roman" w:hAnsi="Times New Roman" w:eastAsia="宋体" w:cs="Times New Roman"/>
          <w:b/>
          <w:szCs w:val="21"/>
        </w:rPr>
      </w:pPr>
      <w:r>
        <w:rPr>
          <w:rFonts w:hint="eastAsia" w:ascii="Times New Roman" w:hAnsi="Times New Roman" w:eastAsia="宋体" w:cs="Times New Roman"/>
          <w:b/>
          <w:szCs w:val="21"/>
        </w:rPr>
        <w:t>目标1：</w:t>
      </w:r>
      <w:r>
        <w:rPr>
          <w:rFonts w:hint="eastAsia" w:ascii="Times New Roman" w:hAnsi="Times New Roman" w:eastAsia="宋体" w:cs="Times New Roman"/>
          <w:b w:val="0"/>
          <w:bCs/>
          <w:szCs w:val="21"/>
        </w:rPr>
        <w:t>真学真用。总书记关于教育的重要论述为新时代中国特色社会主义教育指明了方向指明了道路、揭示了本质揭示了规律、给出了要求给出了方法，教育战线要紧密联系工作实际，真学真用，把总书记关于教育的重要论述落下去、落到位。</w:t>
      </w:r>
    </w:p>
    <w:p w14:paraId="589132F1">
      <w:pPr>
        <w:spacing w:before="156" w:beforeLines="50" w:after="156" w:afterLines="50" w:line="360" w:lineRule="auto"/>
        <w:ind w:firstLine="422"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 w:val="0"/>
          <w:bCs/>
          <w:szCs w:val="21"/>
        </w:rPr>
        <w:t>学深学透。要深刻领会总书记关于教育地位作用和目标的重要论述、总书记关于立德树人这一根本任务的重要论述、总书记关于教师队伍建设的重要论述、总书记关于教育改革的重要论述、总书记关于党对教育工作全面领导的重要论述，掌握全面、把握重点、理解难点。</w:t>
      </w:r>
    </w:p>
    <w:p w14:paraId="7FED1BE6">
      <w:pPr>
        <w:spacing w:before="156" w:beforeLines="50" w:after="156" w:afterLines="50" w:line="360" w:lineRule="auto"/>
        <w:ind w:firstLine="422"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val="0"/>
          <w:bCs/>
          <w:szCs w:val="21"/>
        </w:rPr>
        <w:t>会学善学。要坚持融入思想学、形成体系学、带着问题学、提升本领学，学习好宣传好落实好总书记关于教育的重要论述，提高政治站位、提升理论自觉、树立问题导向，坚持真学、真懂、真信、真用，推动学习往深里走、往实里走、往心里走。</w:t>
      </w:r>
    </w:p>
    <w:p w14:paraId="1D57BCA6">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590"/>
      </w:tblGrid>
      <w:tr w14:paraId="6223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CABA96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8ABFCA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590" w:type="dxa"/>
            <w:vAlign w:val="center"/>
          </w:tcPr>
          <w:p w14:paraId="1B8CC80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C52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AA185CD">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1师德规范</w:t>
            </w:r>
          </w:p>
        </w:tc>
        <w:tc>
          <w:tcPr>
            <w:tcW w:w="5688" w:type="dxa"/>
            <w:vAlign w:val="center"/>
          </w:tcPr>
          <w:p w14:paraId="2F8F070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590" w:type="dxa"/>
            <w:vAlign w:val="center"/>
          </w:tcPr>
          <w:p w14:paraId="2C8E7686">
            <w:pPr>
              <w:spacing w:line="276"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课程目标</w:t>
            </w:r>
          </w:p>
          <w:p w14:paraId="0C085EA2">
            <w:pPr>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w:t>
            </w:r>
          </w:p>
        </w:tc>
      </w:tr>
      <w:tr w14:paraId="7E9D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888AB6D">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毕业要求2教育情怀</w:t>
            </w:r>
          </w:p>
        </w:tc>
        <w:tc>
          <w:tcPr>
            <w:tcW w:w="5688" w:type="dxa"/>
            <w:vAlign w:val="center"/>
          </w:tcPr>
          <w:p w14:paraId="300EF171">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590" w:type="dxa"/>
            <w:vAlign w:val="center"/>
          </w:tcPr>
          <w:p w14:paraId="680D8CF9">
            <w:pPr>
              <w:spacing w:line="276"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w:t>
            </w:r>
          </w:p>
          <w:p w14:paraId="69C9FD6E">
            <w:pPr>
              <w:spacing w:line="276"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1、2、3</w:t>
            </w:r>
          </w:p>
        </w:tc>
      </w:tr>
    </w:tbl>
    <w:p w14:paraId="118DCA4F">
      <w:pPr>
        <w:spacing w:before="156" w:beforeLines="50"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4EE5E5A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深刻领会、认真践行习总书记关于教育的重要论述，贯彻“九个坚持”</w:t>
      </w:r>
      <w:r>
        <w:rPr>
          <w:rFonts w:hint="eastAsia" w:ascii="宋体" w:hAnsi="宋体" w:eastAsia="宋体" w:cs="Times New Roman"/>
          <w:color w:val="000000"/>
          <w:szCs w:val="21"/>
        </w:rPr>
        <w:t>。</w:t>
      </w:r>
    </w:p>
    <w:p w14:paraId="4DBF79EE">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067"/>
        <w:gridCol w:w="1275"/>
        <w:gridCol w:w="2975"/>
        <w:gridCol w:w="1594"/>
        <w:gridCol w:w="489"/>
      </w:tblGrid>
      <w:tr w14:paraId="2EC3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Align w:val="center"/>
          </w:tcPr>
          <w:p w14:paraId="14674BB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7D341A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2067" w:type="dxa"/>
            <w:vAlign w:val="center"/>
          </w:tcPr>
          <w:p w14:paraId="18C65A8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275" w:type="dxa"/>
            <w:vAlign w:val="center"/>
          </w:tcPr>
          <w:p w14:paraId="2EE9018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6579306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75" w:type="dxa"/>
            <w:vAlign w:val="center"/>
          </w:tcPr>
          <w:p w14:paraId="196CF54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94" w:type="dxa"/>
            <w:vAlign w:val="center"/>
          </w:tcPr>
          <w:p w14:paraId="354AA68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89" w:type="dxa"/>
            <w:vAlign w:val="center"/>
          </w:tcPr>
          <w:p w14:paraId="6976271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2B87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32A9626B">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1.中国特色社会主义教育事业的发展方向（教育宏观发展方向）</w:t>
            </w:r>
          </w:p>
        </w:tc>
        <w:tc>
          <w:tcPr>
            <w:tcW w:w="2067" w:type="dxa"/>
            <w:vAlign w:val="center"/>
          </w:tcPr>
          <w:p w14:paraId="69C51E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建设教育强国的根本遵循；</w:t>
            </w:r>
          </w:p>
          <w:p w14:paraId="2D9A283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坚持党对教育事业的全面领导；</w:t>
            </w:r>
          </w:p>
          <w:p w14:paraId="7DE496C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社会主义的发展方向；</w:t>
            </w:r>
          </w:p>
          <w:p w14:paraId="7B50A9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优先发展教育</w:t>
            </w:r>
          </w:p>
        </w:tc>
        <w:tc>
          <w:tcPr>
            <w:tcW w:w="1275" w:type="dxa"/>
            <w:vAlign w:val="center"/>
          </w:tcPr>
          <w:p w14:paraId="0319468C">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2、3</w:t>
            </w:r>
          </w:p>
        </w:tc>
        <w:tc>
          <w:tcPr>
            <w:tcW w:w="2975" w:type="dxa"/>
            <w:vAlign w:val="center"/>
          </w:tcPr>
          <w:p w14:paraId="2C0EAB11">
            <w:pPr>
              <w:numPr>
                <w:ilvl w:val="0"/>
                <w:numId w:val="82"/>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理解习近平总书记教育重要论述的时代背景、科学内涵、重大意义；</w:t>
            </w:r>
          </w:p>
          <w:p w14:paraId="0EC3E5E1">
            <w:pPr>
              <w:numPr>
                <w:ilvl w:val="0"/>
                <w:numId w:val="82"/>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理解课程思政的理念；</w:t>
            </w:r>
          </w:p>
          <w:p w14:paraId="7AACDBC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3.运用课程思政理念理解教育发展的方向并践行教育教学活动。</w:t>
            </w:r>
          </w:p>
        </w:tc>
        <w:tc>
          <w:tcPr>
            <w:tcW w:w="1594" w:type="dxa"/>
            <w:vAlign w:val="center"/>
          </w:tcPr>
          <w:p w14:paraId="500A18B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A7C49B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课堂讨论</w:t>
            </w:r>
          </w:p>
          <w:p w14:paraId="36F36748">
            <w:pPr>
              <w:spacing w:line="269" w:lineRule="auto"/>
              <w:jc w:val="left"/>
              <w:rPr>
                <w:rFonts w:hint="eastAsia" w:ascii="宋体" w:hAnsi="宋体" w:eastAsia="宋体" w:cs="Times New Roman"/>
                <w:color w:val="000000"/>
                <w:szCs w:val="21"/>
              </w:rPr>
            </w:pPr>
          </w:p>
        </w:tc>
        <w:tc>
          <w:tcPr>
            <w:tcW w:w="489" w:type="dxa"/>
            <w:vAlign w:val="center"/>
          </w:tcPr>
          <w:p w14:paraId="082A5D3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0D8D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04D49D1">
            <w:pPr>
              <w:spacing w:line="264" w:lineRule="auto"/>
              <w:jc w:val="center"/>
              <w:rPr>
                <w:rFonts w:hint="eastAsia" w:ascii="宋体" w:hAnsi="宋体" w:eastAsia="宋体" w:cs="Times New Roman"/>
                <w:color w:val="000000"/>
                <w:szCs w:val="21"/>
              </w:rPr>
            </w:pPr>
          </w:p>
        </w:tc>
        <w:tc>
          <w:tcPr>
            <w:tcW w:w="8400" w:type="dxa"/>
            <w:gridSpan w:val="5"/>
            <w:vAlign w:val="center"/>
          </w:tcPr>
          <w:p w14:paraId="3D113530">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探讨建设教育强国和坚持党对教育事业的全面领导时，鼓励学生深入思考如何在实际教学中贯彻党的教育方针，把握教育发展的正确政治方向。结合社会主义核心价值观，探讨如何通过教育教学活动培养学生的爱国主义精神和社会责任感，确保教育不仅关注知识的传授，更注重思想道德的引导，为中国特色社会主义事业培养德才兼备的建设者和接班人。</w:t>
            </w:r>
          </w:p>
        </w:tc>
      </w:tr>
      <w:tr w14:paraId="56CF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77D62BE0">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2.立德树人（育人的方式）</w:t>
            </w:r>
          </w:p>
        </w:tc>
        <w:tc>
          <w:tcPr>
            <w:tcW w:w="2067" w:type="dxa"/>
            <w:vAlign w:val="center"/>
          </w:tcPr>
          <w:p w14:paraId="41D4723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扎根中国大地办教育，以人民为中心，并坚持立德树人的教育目的；</w:t>
            </w:r>
          </w:p>
          <w:p w14:paraId="554F280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教育优先发展的战略地位。</w:t>
            </w:r>
          </w:p>
        </w:tc>
        <w:tc>
          <w:tcPr>
            <w:tcW w:w="1275" w:type="dxa"/>
            <w:vAlign w:val="center"/>
          </w:tcPr>
          <w:p w14:paraId="16CAFA7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2、3</w:t>
            </w:r>
          </w:p>
        </w:tc>
        <w:tc>
          <w:tcPr>
            <w:tcW w:w="2975" w:type="dxa"/>
            <w:vAlign w:val="center"/>
          </w:tcPr>
          <w:p w14:paraId="36394464">
            <w:pPr>
              <w:numPr>
                <w:ilvl w:val="0"/>
                <w:numId w:val="83"/>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将以人民为重，扎根中国大地办教育</w:t>
            </w:r>
            <w:r>
              <w:rPr>
                <w:rFonts w:hint="eastAsia" w:ascii="宋体" w:hAnsi="宋体" w:eastAsia="宋体" w:cs="Times New Roman"/>
                <w:color w:val="000000"/>
                <w:szCs w:val="21"/>
                <w:lang w:eastAsia="zh-CN"/>
              </w:rPr>
              <w:t>；</w:t>
            </w:r>
          </w:p>
          <w:p w14:paraId="36111BF0">
            <w:pPr>
              <w:numPr>
                <w:ilvl w:val="0"/>
                <w:numId w:val="83"/>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坚持</w:t>
            </w:r>
            <w:r>
              <w:rPr>
                <w:rFonts w:hint="eastAsia" w:ascii="宋体" w:hAnsi="宋体" w:eastAsia="宋体" w:cs="Times New Roman"/>
                <w:color w:val="000000"/>
                <w:szCs w:val="21"/>
                <w:lang w:val="en-US" w:eastAsia="zh-CN"/>
              </w:rPr>
              <w:t>把</w:t>
            </w:r>
            <w:r>
              <w:rPr>
                <w:rFonts w:hint="eastAsia" w:ascii="宋体" w:hAnsi="宋体" w:eastAsia="宋体" w:cs="Times New Roman"/>
                <w:color w:val="000000"/>
                <w:szCs w:val="21"/>
              </w:rPr>
              <w:t>立德树人贯彻学生学习的过程。</w:t>
            </w:r>
          </w:p>
        </w:tc>
        <w:tc>
          <w:tcPr>
            <w:tcW w:w="1594" w:type="dxa"/>
            <w:vAlign w:val="center"/>
          </w:tcPr>
          <w:p w14:paraId="73BF256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0BA74A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71DD36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3.平时作业</w:t>
            </w:r>
          </w:p>
        </w:tc>
        <w:tc>
          <w:tcPr>
            <w:tcW w:w="489" w:type="dxa"/>
            <w:vAlign w:val="center"/>
          </w:tcPr>
          <w:p w14:paraId="558CD4DC">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24C0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640E37F">
            <w:pPr>
              <w:spacing w:line="264" w:lineRule="auto"/>
              <w:jc w:val="center"/>
              <w:rPr>
                <w:rFonts w:hint="eastAsia" w:ascii="宋体" w:hAnsi="宋体" w:eastAsia="宋体" w:cs="Times New Roman"/>
                <w:color w:val="000000"/>
                <w:szCs w:val="21"/>
              </w:rPr>
            </w:pPr>
          </w:p>
        </w:tc>
        <w:tc>
          <w:tcPr>
            <w:tcW w:w="8400" w:type="dxa"/>
            <w:gridSpan w:val="5"/>
            <w:vAlign w:val="center"/>
          </w:tcPr>
          <w:p w14:paraId="1235F21F">
            <w:pPr>
              <w:spacing w:line="360"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探讨立德树人的教育目的时，引导学生思考如何在教育实践中将德育与智育有机结合，把培养学生的道德品质放在首位。通过扎根中国大地办教育的实际案例，强调坚持以人民为中心的重要性，讨论如何在教学过程中融入社会主义核心价值观，培养学生的社会责任感和使命感，使他们成为有理想、有本领、有担当的新时代建设者。</w:t>
            </w:r>
          </w:p>
        </w:tc>
      </w:tr>
      <w:tr w14:paraId="6140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10C43598">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3.深化教育改革促进民族伟大复兴（教育的途径与使命）</w:t>
            </w:r>
          </w:p>
        </w:tc>
        <w:tc>
          <w:tcPr>
            <w:tcW w:w="2067" w:type="dxa"/>
            <w:vAlign w:val="center"/>
          </w:tcPr>
          <w:p w14:paraId="3E47875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探讨改革如何推动中国教育系统的现代化和国际化，以及改革对教育质量和效率的正面影响。</w:t>
            </w:r>
          </w:p>
          <w:p w14:paraId="1579A9C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分析当前教育系统中存在的主要问题，讨论包括课程、评估、教师发展在内的综合改革策略。</w:t>
            </w:r>
          </w:p>
          <w:p w14:paraId="432CD81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探讨教育强国的战略意义和实现路径，包括教育的普及率提高、质量提升和创新能力加强。</w:t>
            </w:r>
          </w:p>
        </w:tc>
        <w:tc>
          <w:tcPr>
            <w:tcW w:w="1275" w:type="dxa"/>
            <w:vAlign w:val="center"/>
          </w:tcPr>
          <w:p w14:paraId="0FBC166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2975" w:type="dxa"/>
            <w:vAlign w:val="center"/>
          </w:tcPr>
          <w:p w14:paraId="3B90809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能够详细描述教育改革的必要性和历史进程</w:t>
            </w:r>
            <w:r>
              <w:rPr>
                <w:rFonts w:hint="eastAsia" w:ascii="宋体" w:hAnsi="宋体" w:eastAsia="宋体" w:cs="Times New Roman"/>
                <w:color w:val="000000"/>
                <w:szCs w:val="21"/>
                <w:lang w:eastAsia="zh-CN"/>
              </w:rPr>
              <w:t>；</w:t>
            </w:r>
          </w:p>
          <w:p w14:paraId="1EB45C4B">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理解全球教育开放的趋势及其对我国教育影响</w:t>
            </w:r>
            <w:r>
              <w:rPr>
                <w:rFonts w:hint="eastAsia" w:ascii="宋体" w:hAnsi="宋体" w:eastAsia="宋体" w:cs="Times New Roman"/>
                <w:color w:val="000000"/>
                <w:szCs w:val="21"/>
                <w:lang w:eastAsia="zh-CN"/>
              </w:rPr>
              <w:t>；</w:t>
            </w:r>
          </w:p>
          <w:p w14:paraId="38BD0DF6">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能够阐述建设教育强国的具体措施和预期效果</w:t>
            </w:r>
            <w:r>
              <w:rPr>
                <w:rFonts w:hint="eastAsia" w:ascii="宋体" w:hAnsi="宋体" w:eastAsia="宋体" w:cs="Times New Roman"/>
                <w:color w:val="000000"/>
                <w:szCs w:val="21"/>
                <w:lang w:eastAsia="zh-CN"/>
              </w:rPr>
              <w:t>；</w:t>
            </w:r>
          </w:p>
          <w:p w14:paraId="6B14DE9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理解教育如何服务于国家的社会经济发展战略。</w:t>
            </w:r>
          </w:p>
        </w:tc>
        <w:tc>
          <w:tcPr>
            <w:tcW w:w="1594" w:type="dxa"/>
            <w:vAlign w:val="center"/>
          </w:tcPr>
          <w:p w14:paraId="4BB755F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FEA0C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tc>
        <w:tc>
          <w:tcPr>
            <w:tcW w:w="489" w:type="dxa"/>
            <w:vAlign w:val="center"/>
          </w:tcPr>
          <w:p w14:paraId="2007B8BA">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w:t>
            </w:r>
          </w:p>
        </w:tc>
      </w:tr>
      <w:tr w14:paraId="109F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74757CAF">
            <w:pPr>
              <w:spacing w:line="264" w:lineRule="auto"/>
              <w:jc w:val="center"/>
              <w:rPr>
                <w:rFonts w:hint="eastAsia" w:ascii="宋体" w:hAnsi="宋体" w:eastAsia="宋体" w:cs="Times New Roman"/>
                <w:color w:val="000000"/>
                <w:szCs w:val="21"/>
              </w:rPr>
            </w:pPr>
          </w:p>
        </w:tc>
        <w:tc>
          <w:tcPr>
            <w:tcW w:w="8400" w:type="dxa"/>
            <w:gridSpan w:val="5"/>
            <w:vAlign w:val="center"/>
          </w:tcPr>
          <w:p w14:paraId="055C7542">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探讨教育改革的过程中，引导学生理解教育改革如何服务于民族伟大复兴的战略目标，强调教育对实现中华民族伟大复兴的关键作用。结合社会主义核心价值观，讨论如何在教育改革中体现公平、公正的原则，推动教育系统的现代化与国际化，同时关注教育资源的优化配置和全民教育的均衡发展。通过批判性思维和策略规划，培养学生的领导力和社会责任感，使他们能够积极参与教育改革，促进国家的社会经济发展。</w:t>
            </w:r>
          </w:p>
        </w:tc>
      </w:tr>
      <w:tr w14:paraId="0B23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7793F24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4.把教师队伍建设作为基础工作（教师队伍建设）</w:t>
            </w:r>
          </w:p>
        </w:tc>
        <w:tc>
          <w:tcPr>
            <w:tcW w:w="2067" w:type="dxa"/>
            <w:vAlign w:val="center"/>
          </w:tcPr>
          <w:p w14:paraId="50A5F5AA">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理解教师在教育系统中的核心地位及其对教育质量的影响，探索教师角色的历史和现代转变</w:t>
            </w:r>
            <w:r>
              <w:rPr>
                <w:rFonts w:hint="eastAsia" w:ascii="宋体" w:hAnsi="宋体" w:eastAsia="宋体" w:cs="Times New Roman"/>
                <w:color w:val="000000"/>
                <w:szCs w:val="21"/>
                <w:lang w:eastAsia="zh-CN"/>
              </w:rPr>
              <w:t>；</w:t>
            </w:r>
          </w:p>
          <w:p w14:paraId="5BDBC0E4">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分析公众对优秀教师的期望和标准，以及如何通过道德操守、教学技能和持续学习来满足这些期望</w:t>
            </w:r>
            <w:r>
              <w:rPr>
                <w:rFonts w:hint="eastAsia" w:ascii="宋体" w:hAnsi="宋体" w:eastAsia="宋体" w:cs="Times New Roman"/>
                <w:color w:val="000000"/>
                <w:szCs w:val="21"/>
                <w:lang w:eastAsia="zh-CN"/>
              </w:rPr>
              <w:t>；</w:t>
            </w:r>
          </w:p>
          <w:p w14:paraId="03903EF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探讨教师专业发展的策略，包括教育政策、持续培训和职业发展路径的设计。</w:t>
            </w:r>
          </w:p>
        </w:tc>
        <w:tc>
          <w:tcPr>
            <w:tcW w:w="1275" w:type="dxa"/>
            <w:vAlign w:val="center"/>
          </w:tcPr>
          <w:p w14:paraId="73CCBC5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p>
        </w:tc>
        <w:tc>
          <w:tcPr>
            <w:tcW w:w="2975" w:type="dxa"/>
            <w:vAlign w:val="center"/>
          </w:tcPr>
          <w:p w14:paraId="057CAC21">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能够描述优秀教师的特质和行为，理解教师专业道德的重要性</w:t>
            </w:r>
            <w:r>
              <w:rPr>
                <w:rFonts w:hint="eastAsia" w:ascii="宋体" w:hAnsi="宋体" w:eastAsia="宋体" w:cs="Times New Roman"/>
                <w:color w:val="000000"/>
                <w:szCs w:val="21"/>
                <w:lang w:eastAsia="zh-CN"/>
              </w:rPr>
              <w:t>；</w:t>
            </w:r>
          </w:p>
          <w:p w14:paraId="65930812">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理解教师专业化发展的国内外模式和趋势，包括教师评估和激励机制</w:t>
            </w:r>
            <w:r>
              <w:rPr>
                <w:rFonts w:hint="eastAsia" w:ascii="宋体" w:hAnsi="宋体" w:eastAsia="宋体" w:cs="Times New Roman"/>
                <w:color w:val="000000"/>
                <w:szCs w:val="21"/>
                <w:lang w:eastAsia="zh-CN"/>
              </w:rPr>
              <w:t>；</w:t>
            </w:r>
          </w:p>
          <w:p w14:paraId="6A3E5394">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3.形成</w:t>
            </w:r>
            <w:r>
              <w:rPr>
                <w:rFonts w:hint="eastAsia" w:ascii="宋体" w:hAnsi="宋体" w:eastAsia="宋体" w:cs="Times New Roman"/>
                <w:color w:val="000000"/>
                <w:szCs w:val="21"/>
                <w:lang w:eastAsia="zh-CN"/>
              </w:rPr>
              <w:t>批判性思维能力，能评估和提出改进教师教育和培训系统的建议；</w:t>
            </w:r>
          </w:p>
          <w:p w14:paraId="52380F6D">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4.提升</w:t>
            </w:r>
            <w:r>
              <w:rPr>
                <w:rFonts w:hint="eastAsia" w:ascii="宋体" w:hAnsi="宋体" w:eastAsia="宋体" w:cs="Times New Roman"/>
                <w:color w:val="000000"/>
                <w:szCs w:val="21"/>
                <w:lang w:eastAsia="zh-CN"/>
              </w:rPr>
              <w:t>领导力和沟通技能，能在未来的教育环境中有效地支持和提升教师队伍的职业发展。</w:t>
            </w:r>
          </w:p>
        </w:tc>
        <w:tc>
          <w:tcPr>
            <w:tcW w:w="1594" w:type="dxa"/>
            <w:vAlign w:val="center"/>
          </w:tcPr>
          <w:p w14:paraId="4D0B3A0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4E2DC51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tc>
        <w:tc>
          <w:tcPr>
            <w:tcW w:w="489" w:type="dxa"/>
            <w:vAlign w:val="center"/>
          </w:tcPr>
          <w:p w14:paraId="2A298830">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bookmarkStart w:id="3321" w:name="_GoBack"/>
            <w:bookmarkEnd w:id="3321"/>
          </w:p>
        </w:tc>
      </w:tr>
      <w:tr w14:paraId="641E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244B6DFB">
            <w:pPr>
              <w:spacing w:line="276" w:lineRule="auto"/>
              <w:jc w:val="center"/>
              <w:rPr>
                <w:rFonts w:hint="eastAsia" w:ascii="宋体" w:hAnsi="宋体" w:eastAsia="宋体" w:cs="Times New Roman"/>
                <w:color w:val="000000"/>
                <w:szCs w:val="21"/>
              </w:rPr>
            </w:pPr>
          </w:p>
        </w:tc>
        <w:tc>
          <w:tcPr>
            <w:tcW w:w="8400" w:type="dxa"/>
            <w:gridSpan w:val="5"/>
            <w:vAlign w:val="center"/>
          </w:tcPr>
          <w:p w14:paraId="16EF5E30">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讨论教师队伍建设时，引导学生认识到教师在教育系统中的核心作用，以及如何通过提升教师的职业道德和专业素养，推动教育质量的整体提升。结合社会主义核心价值观，探讨如何在教师培训和职业发展中融入思想政治教育，培养教师的社会责任感和职业使命感。同时，讨论如何通过政策支持和资源优化，平衡教师的工作压力，提升教师的职业满意度，使他们能够更好地服务于国家的教育事业和社会发展。</w:t>
            </w:r>
          </w:p>
        </w:tc>
      </w:tr>
    </w:tbl>
    <w:p w14:paraId="7B5C4CC5">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79F267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E17AAE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tbl>
      <w:tblPr>
        <w:tblStyle w:val="11"/>
        <w:tblpPr w:leftFromText="180" w:rightFromText="180" w:vertAnchor="text" w:horzAnchor="page" w:tblpX="1697" w:tblpY="626"/>
        <w:tblOverlap w:val="never"/>
        <w:tblW w:w="9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39"/>
        <w:gridCol w:w="1850"/>
        <w:gridCol w:w="2000"/>
        <w:gridCol w:w="2192"/>
      </w:tblGrid>
      <w:tr w14:paraId="7A7A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Merge w:val="restart"/>
            <w:vAlign w:val="center"/>
          </w:tcPr>
          <w:p w14:paraId="0BFD150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689" w:type="dxa"/>
            <w:gridSpan w:val="3"/>
            <w:vAlign w:val="center"/>
          </w:tcPr>
          <w:p w14:paraId="66D40FF5">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2192" w:type="dxa"/>
            <w:vMerge w:val="restart"/>
            <w:vAlign w:val="center"/>
          </w:tcPr>
          <w:p w14:paraId="1B566AB5">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5ED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68536BEC">
            <w:pPr>
              <w:spacing w:line="360" w:lineRule="auto"/>
              <w:jc w:val="center"/>
              <w:rPr>
                <w:rFonts w:hint="eastAsia" w:ascii="宋体" w:hAnsi="宋体" w:eastAsia="宋体" w:cs="Times New Roman"/>
                <w:szCs w:val="21"/>
              </w:rPr>
            </w:pPr>
          </w:p>
        </w:tc>
        <w:tc>
          <w:tcPr>
            <w:tcW w:w="1839" w:type="dxa"/>
            <w:vAlign w:val="center"/>
          </w:tcPr>
          <w:p w14:paraId="278B8022">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850" w:type="dxa"/>
            <w:vAlign w:val="center"/>
          </w:tcPr>
          <w:p w14:paraId="7C52B895">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平时作业</w:t>
            </w:r>
          </w:p>
        </w:tc>
        <w:tc>
          <w:tcPr>
            <w:tcW w:w="2000" w:type="dxa"/>
            <w:vAlign w:val="center"/>
          </w:tcPr>
          <w:p w14:paraId="617D6349">
            <w:pPr>
              <w:spacing w:line="360" w:lineRule="auto"/>
              <w:jc w:val="center"/>
              <w:rPr>
                <w:rFonts w:hint="default" w:ascii="宋体" w:hAnsi="宋体" w:eastAsia="宋体" w:cs="Times New Roman"/>
                <w:szCs w:val="21"/>
                <w:lang w:val="en-US"/>
              </w:rPr>
            </w:pPr>
            <w:r>
              <w:rPr>
                <w:rFonts w:hint="eastAsia" w:ascii="宋体" w:hAnsi="宋体" w:eastAsia="宋体" w:cs="Times New Roman"/>
                <w:szCs w:val="21"/>
                <w:lang w:val="en-US" w:eastAsia="zh-CN"/>
              </w:rPr>
              <w:t>期末考查</w:t>
            </w:r>
          </w:p>
        </w:tc>
        <w:tc>
          <w:tcPr>
            <w:tcW w:w="2192" w:type="dxa"/>
            <w:vMerge w:val="continue"/>
            <w:vAlign w:val="center"/>
          </w:tcPr>
          <w:p w14:paraId="064E7C64">
            <w:pPr>
              <w:spacing w:line="360" w:lineRule="auto"/>
              <w:jc w:val="center"/>
              <w:rPr>
                <w:rFonts w:hint="eastAsia" w:ascii="宋体" w:hAnsi="宋体" w:eastAsia="宋体" w:cs="Times New Roman"/>
                <w:szCs w:val="21"/>
              </w:rPr>
            </w:pPr>
          </w:p>
        </w:tc>
      </w:tr>
      <w:tr w14:paraId="73A4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AE14C4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39" w:type="dxa"/>
            <w:vAlign w:val="center"/>
          </w:tcPr>
          <w:p w14:paraId="6942318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2FC77AE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5E29A4E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73D84211">
            <w:pPr>
              <w:spacing w:line="360" w:lineRule="auto"/>
              <w:jc w:val="center"/>
              <w:rPr>
                <w:rFonts w:hint="default" w:ascii="宋体" w:hAnsi="宋体" w:eastAsia="宋体" w:cs="Times New Roman"/>
                <w:szCs w:val="21"/>
                <w:lang w:val="en-US"/>
              </w:rPr>
            </w:pPr>
            <w:r>
              <w:rPr>
                <w:rFonts w:hint="eastAsia" w:ascii="宋体" w:hAnsi="宋体" w:eastAsia="宋体" w:cs="Times New Roman"/>
                <w:szCs w:val="21"/>
                <w:lang w:val="en-US" w:eastAsia="zh-CN"/>
              </w:rPr>
              <w:t>30</w:t>
            </w:r>
          </w:p>
        </w:tc>
      </w:tr>
      <w:tr w14:paraId="043C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27DBA2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39" w:type="dxa"/>
            <w:vAlign w:val="center"/>
          </w:tcPr>
          <w:p w14:paraId="6C9364A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1AA58D2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6B17006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489217BF">
            <w:pPr>
              <w:spacing w:line="360" w:lineRule="auto"/>
              <w:jc w:val="center"/>
              <w:rPr>
                <w:rFonts w:hint="default" w:ascii="宋体" w:hAnsi="宋体" w:eastAsia="宋体" w:cs="Times New Roman"/>
                <w:szCs w:val="21"/>
                <w:lang w:val="en-US"/>
              </w:rPr>
            </w:pPr>
            <w:r>
              <w:rPr>
                <w:rFonts w:hint="eastAsia" w:ascii="宋体" w:hAnsi="宋体" w:eastAsia="宋体" w:cs="Times New Roman"/>
                <w:szCs w:val="21"/>
                <w:lang w:val="en-US" w:eastAsia="zh-CN"/>
              </w:rPr>
              <w:t>30</w:t>
            </w:r>
          </w:p>
        </w:tc>
      </w:tr>
      <w:tr w14:paraId="4F3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881618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839" w:type="dxa"/>
            <w:vAlign w:val="center"/>
          </w:tcPr>
          <w:p w14:paraId="320BA3F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01B2E08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402B9F9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0B59AB9D">
            <w:pPr>
              <w:spacing w:line="360" w:lineRule="auto"/>
              <w:jc w:val="center"/>
              <w:rPr>
                <w:rFonts w:hint="default" w:ascii="宋体" w:hAnsi="宋体" w:eastAsia="宋体" w:cs="Times New Roman"/>
                <w:szCs w:val="21"/>
                <w:lang w:val="en-US"/>
              </w:rPr>
            </w:pPr>
            <w:r>
              <w:rPr>
                <w:rFonts w:hint="eastAsia" w:ascii="宋体" w:hAnsi="宋体" w:eastAsia="宋体" w:cs="Times New Roman"/>
                <w:szCs w:val="21"/>
                <w:lang w:val="en-US" w:eastAsia="zh-CN"/>
              </w:rPr>
              <w:t>40</w:t>
            </w:r>
          </w:p>
        </w:tc>
      </w:tr>
      <w:tr w14:paraId="35B2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B642B98">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39" w:type="dxa"/>
            <w:vAlign w:val="center"/>
          </w:tcPr>
          <w:p w14:paraId="40BE9E90">
            <w:pPr>
              <w:spacing w:line="360" w:lineRule="auto"/>
              <w:jc w:val="center"/>
              <w:rPr>
                <w:rFonts w:hint="eastAsia" w:ascii="宋体" w:hAnsi="宋体" w:eastAsia="宋体" w:cs="Times New Roman"/>
                <w:szCs w:val="21"/>
              </w:rPr>
            </w:pPr>
          </w:p>
        </w:tc>
        <w:tc>
          <w:tcPr>
            <w:tcW w:w="1850" w:type="dxa"/>
            <w:vAlign w:val="center"/>
          </w:tcPr>
          <w:p w14:paraId="29D60DF4">
            <w:pPr>
              <w:spacing w:line="360" w:lineRule="auto"/>
              <w:jc w:val="center"/>
              <w:rPr>
                <w:rFonts w:hint="eastAsia" w:ascii="宋体" w:hAnsi="宋体" w:eastAsia="宋体" w:cs="Times New Roman"/>
                <w:szCs w:val="21"/>
              </w:rPr>
            </w:pPr>
          </w:p>
        </w:tc>
        <w:tc>
          <w:tcPr>
            <w:tcW w:w="2000" w:type="dxa"/>
            <w:vAlign w:val="center"/>
          </w:tcPr>
          <w:p w14:paraId="06E3989F">
            <w:pPr>
              <w:spacing w:line="360" w:lineRule="auto"/>
              <w:jc w:val="center"/>
              <w:rPr>
                <w:rFonts w:hint="eastAsia" w:ascii="宋体" w:hAnsi="宋体" w:eastAsia="宋体" w:cs="Times New Roman"/>
                <w:szCs w:val="21"/>
              </w:rPr>
            </w:pPr>
          </w:p>
        </w:tc>
        <w:tc>
          <w:tcPr>
            <w:tcW w:w="2192" w:type="dxa"/>
            <w:vAlign w:val="center"/>
          </w:tcPr>
          <w:p w14:paraId="70A17F2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FF425B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p w14:paraId="2263F2A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C1E058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B86B83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249"/>
        <w:gridCol w:w="1092"/>
      </w:tblGrid>
      <w:tr w14:paraId="7F5B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DB271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49" w:type="dxa"/>
            <w:vAlign w:val="center"/>
          </w:tcPr>
          <w:p w14:paraId="0FBFB1A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092" w:type="dxa"/>
            <w:vAlign w:val="center"/>
          </w:tcPr>
          <w:p w14:paraId="257C32A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3A4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AB7028D">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249" w:type="dxa"/>
            <w:vAlign w:val="center"/>
          </w:tcPr>
          <w:p w14:paraId="0C9C059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次，为小论文</w:t>
            </w:r>
            <w:r>
              <w:rPr>
                <w:rFonts w:hint="eastAsia" w:ascii="Times New Roman" w:hAnsi="Times New Roman" w:eastAsia="宋体" w:cs="Times New Roman"/>
                <w:szCs w:val="21"/>
                <w:lang w:val="en-US" w:eastAsia="zh-CN"/>
              </w:rPr>
              <w:t>或讨论题</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论述的</w:t>
            </w:r>
            <w:r>
              <w:rPr>
                <w:rFonts w:hint="eastAsia" w:ascii="Times New Roman" w:hAnsi="Times New Roman" w:eastAsia="宋体" w:cs="Times New Roman"/>
                <w:szCs w:val="21"/>
              </w:rPr>
              <w:t>逻辑性、</w:t>
            </w:r>
            <w:r>
              <w:rPr>
                <w:rFonts w:hint="eastAsia" w:ascii="Times New Roman" w:hAnsi="Times New Roman" w:eastAsia="宋体" w:cs="Times New Roman"/>
                <w:szCs w:val="21"/>
                <w:lang w:val="en-US" w:eastAsia="zh-CN"/>
              </w:rPr>
              <w:t>充分</w:t>
            </w:r>
            <w:r>
              <w:rPr>
                <w:rFonts w:hint="eastAsia" w:ascii="Times New Roman" w:hAnsi="Times New Roman" w:eastAsia="宋体" w:cs="Times New Roman"/>
                <w:szCs w:val="21"/>
              </w:rPr>
              <w:t>性及</w:t>
            </w:r>
            <w:r>
              <w:rPr>
                <w:rFonts w:hint="eastAsia" w:ascii="Times New Roman" w:hAnsi="Times New Roman" w:eastAsia="宋体" w:cs="Times New Roman"/>
                <w:szCs w:val="21"/>
                <w:lang w:val="en-US" w:eastAsia="zh-CN"/>
              </w:rPr>
              <w:t>深刻</w:t>
            </w:r>
            <w:r>
              <w:rPr>
                <w:rFonts w:hint="eastAsia" w:ascii="Times New Roman" w:hAnsi="Times New Roman" w:eastAsia="宋体" w:cs="Times New Roman"/>
                <w:szCs w:val="21"/>
              </w:rPr>
              <w:t>性为评分的主要依据。</w:t>
            </w:r>
          </w:p>
        </w:tc>
        <w:tc>
          <w:tcPr>
            <w:tcW w:w="1092" w:type="dxa"/>
            <w:vAlign w:val="center"/>
          </w:tcPr>
          <w:p w14:paraId="796F0A83">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55FA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83EC12">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249" w:type="dxa"/>
            <w:vAlign w:val="center"/>
          </w:tcPr>
          <w:p w14:paraId="0A137C87">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次</w:t>
            </w:r>
            <w:r>
              <w:rPr>
                <w:rFonts w:hint="eastAsia" w:ascii="Times New Roman" w:hAnsi="Times New Roman" w:eastAsia="宋体" w:cs="Times New Roman"/>
                <w:szCs w:val="21"/>
                <w:lang w:val="en-US" w:eastAsia="zh-CN"/>
              </w:rPr>
              <w:t>及</w:t>
            </w:r>
            <w:r>
              <w:rPr>
                <w:rFonts w:hint="eastAsia" w:ascii="Times New Roman" w:hAnsi="Times New Roman" w:eastAsia="宋体" w:cs="Times New Roman"/>
                <w:szCs w:val="21"/>
              </w:rPr>
              <w:t>以上取消课程成绩。</w:t>
            </w:r>
          </w:p>
          <w:p w14:paraId="6C9E59A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1092" w:type="dxa"/>
            <w:vAlign w:val="center"/>
          </w:tcPr>
          <w:p w14:paraId="32FB24C4">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034B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60FA03A">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期末考查</w:t>
            </w:r>
          </w:p>
        </w:tc>
        <w:tc>
          <w:tcPr>
            <w:tcW w:w="7249" w:type="dxa"/>
            <w:vAlign w:val="center"/>
          </w:tcPr>
          <w:p w14:paraId="46A8A204">
            <w:pPr>
              <w:spacing w:line="264" w:lineRule="auto"/>
              <w:jc w:val="left"/>
              <w:rPr>
                <w:rFonts w:hint="default" w:ascii="Times New Roman" w:hAnsi="Times New Roman" w:eastAsia="宋体" w:cs="Times New Roman"/>
                <w:szCs w:val="21"/>
                <w:lang w:val="en-US"/>
              </w:rPr>
            </w:pPr>
            <w:r>
              <w:rPr>
                <w:rFonts w:hint="eastAsia" w:ascii="Times New Roman" w:hAnsi="Times New Roman" w:eastAsia="宋体" w:cs="Times New Roman"/>
                <w:color w:val="000000"/>
                <w:szCs w:val="21"/>
                <w:lang w:val="en-US" w:eastAsia="zh-CN"/>
              </w:rPr>
              <w:t>完成课程论文，考查学生对所学内容的认识、理解和应用情况</w:t>
            </w:r>
          </w:p>
        </w:tc>
        <w:tc>
          <w:tcPr>
            <w:tcW w:w="1092" w:type="dxa"/>
            <w:vAlign w:val="center"/>
          </w:tcPr>
          <w:p w14:paraId="05D46F28">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5</w:t>
            </w:r>
            <w:r>
              <w:rPr>
                <w:rFonts w:hint="eastAsia" w:ascii="Times New Roman" w:hAnsi="Times New Roman" w:eastAsia="宋体" w:cs="Times New Roman"/>
                <w:szCs w:val="21"/>
              </w:rPr>
              <w:t>0%</w:t>
            </w:r>
          </w:p>
        </w:tc>
      </w:tr>
      <w:tr w14:paraId="497C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3AAE791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249" w:type="dxa"/>
            <w:vAlign w:val="center"/>
          </w:tcPr>
          <w:p w14:paraId="25058C08">
            <w:pPr>
              <w:jc w:val="left"/>
              <w:rPr>
                <w:rFonts w:ascii="Times New Roman" w:hAnsi="Times New Roman" w:eastAsia="宋体" w:cs="Times New Roman"/>
                <w:szCs w:val="21"/>
              </w:rPr>
            </w:pPr>
          </w:p>
        </w:tc>
        <w:tc>
          <w:tcPr>
            <w:tcW w:w="1092" w:type="dxa"/>
            <w:vAlign w:val="center"/>
          </w:tcPr>
          <w:p w14:paraId="190C9EB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9AF4926">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785E9E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1812FFE">
      <w:pPr>
        <w:spacing w:line="360" w:lineRule="auto"/>
        <w:jc w:val="left"/>
        <w:rPr>
          <w:rFonts w:ascii="Times New Roman" w:hAnsi="Times New Roman" w:eastAsia="宋体" w:cs="Times New Roman"/>
          <w:b/>
          <w:bCs/>
          <w:sz w:val="24"/>
          <w:szCs w:val="24"/>
        </w:rPr>
      </w:pPr>
      <w:r>
        <w:rPr>
          <w:rFonts w:ascii="宋体" w:hAnsi="宋体" w:eastAsia="宋体" w:cs="Times New Roman"/>
          <w:color w:val="000000"/>
          <w:szCs w:val="21"/>
        </w:rPr>
        <w:object>
          <v:shape id="_x0000_i1071"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71" DrawAspect="Content" ObjectID="_1468075771" r:id="rId54">
            <o:LockedField>false</o:LockedField>
          </o:OLEObject>
        </w:object>
      </w:r>
      <w:r>
        <w:rPr>
          <w:rFonts w:hint="eastAsia" w:ascii="宋体" w:hAnsi="宋体" w:eastAsia="宋体" w:cs="Times New Roman"/>
          <w:b/>
          <w:color w:val="000000"/>
          <w:sz w:val="24"/>
          <w:szCs w:val="24"/>
        </w:rPr>
        <w:t>五、有关说明</w:t>
      </w:r>
    </w:p>
    <w:p w14:paraId="078939E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E84A95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根据学生课堂教学中的反应、课后反馈、作业质量，以及领导、督导、教师同行等的听课情况，及时发现和改进教学中的不足之处，确保相应毕业要求指标点达成。</w:t>
      </w:r>
    </w:p>
    <w:p w14:paraId="738E9D3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8AC4E17">
      <w:pPr>
        <w:spacing w:line="360" w:lineRule="auto"/>
        <w:ind w:firstLine="420" w:firstLineChars="200"/>
        <w:jc w:val="left"/>
        <w:rPr>
          <w:rFonts w:hint="eastAsia" w:ascii="Times New Roman" w:hAnsi="Times New Roman" w:eastAsia="宋体" w:cs="Times New Roman"/>
          <w:bCs/>
          <w:color w:val="000000"/>
          <w:szCs w:val="21"/>
          <w:lang w:val="en-US" w:eastAsia="zh-CN"/>
        </w:rPr>
      </w:pPr>
      <w:r>
        <w:rPr>
          <w:rFonts w:hint="eastAsia" w:ascii="Times New Roman" w:hAnsi="Times New Roman" w:eastAsia="宋体" w:cs="Times New Roman"/>
          <w:bCs/>
          <w:color w:val="000000"/>
          <w:szCs w:val="21"/>
        </w:rPr>
        <w:t>编写组.习近平总书记教育重要论述讲义</w:t>
      </w:r>
      <w:r>
        <w:rPr>
          <w:rFonts w:hint="eastAsia" w:ascii="Times New Roman" w:hAnsi="Times New Roman" w:eastAsia="宋体" w:cs="Times New Roman"/>
          <w:bCs/>
          <w:color w:val="000000"/>
          <w:szCs w:val="21"/>
          <w:lang w:val="en-US" w:eastAsia="zh-CN"/>
        </w:rPr>
        <w:t>[M]</w:t>
      </w:r>
      <w:r>
        <w:rPr>
          <w:rFonts w:hint="eastAsia" w:ascii="Times New Roman" w:hAnsi="Times New Roman" w:eastAsia="宋体" w:cs="Times New Roman"/>
          <w:bCs/>
          <w:color w:val="000000"/>
          <w:szCs w:val="21"/>
        </w:rPr>
        <w:t>.北京：高等教育出版社，2020</w:t>
      </w:r>
      <w:r>
        <w:rPr>
          <w:rFonts w:hint="eastAsia" w:ascii="Times New Roman" w:hAnsi="Times New Roman" w:eastAsia="宋体" w:cs="Times New Roman"/>
          <w:bCs/>
          <w:color w:val="000000"/>
          <w:szCs w:val="21"/>
          <w:lang w:val="en-US" w:eastAsia="zh-CN"/>
        </w:rPr>
        <w:t>.</w:t>
      </w:r>
    </w:p>
    <w:p w14:paraId="0EAC2862">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2DCEE58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 xml:space="preserve">1. </w:t>
      </w:r>
      <w:r>
        <w:rPr>
          <w:rFonts w:hint="eastAsia" w:ascii="Times New Roman" w:hAnsi="Times New Roman" w:eastAsia="宋体" w:cs="Times New Roman"/>
          <w:szCs w:val="21"/>
          <w:lang w:val="en-US" w:eastAsia="zh-CN"/>
        </w:rPr>
        <w:t>习近平.论教育[M].北京：中央文献出版社，2024.</w:t>
      </w:r>
    </w:p>
    <w:p w14:paraId="410D3BD2">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2.胡金平.学校教育发展[M].上海：华东师范大学出版社，2016.</w:t>
      </w:r>
    </w:p>
    <w:p w14:paraId="67BDA97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3.教育学原理编写组. 教育学原理[M]. 北京: 高等教育出版社, 2019.</w:t>
      </w:r>
    </w:p>
    <w:p w14:paraId="10C3CD97">
      <w:pPr>
        <w:rPr>
          <w:rFonts w:hint="eastAsia"/>
        </w:rPr>
      </w:pPr>
    </w:p>
    <w:p w14:paraId="637AC875">
      <w:pPr>
        <w:rPr>
          <w:rFonts w:hint="eastAsia"/>
        </w:rPr>
      </w:pPr>
    </w:p>
    <w:p w14:paraId="0FE166C7">
      <w:pPr>
        <w:wordWrap w:val="0"/>
        <w:spacing w:line="360" w:lineRule="auto"/>
        <w:ind w:right="144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执 笔 人： </w:t>
      </w:r>
      <w:r>
        <w:rPr>
          <w:rFonts w:hint="eastAsia" w:ascii="Times New Roman" w:hAnsi="Times New Roman" w:eastAsia="宋体" w:cs="Times New Roman"/>
          <w:sz w:val="24"/>
          <w:szCs w:val="24"/>
          <w:lang w:val="en-US" w:eastAsia="zh-CN"/>
        </w:rPr>
        <w:t>姚玉香</w:t>
      </w:r>
    </w:p>
    <w:p w14:paraId="6E0C7346">
      <w:pPr>
        <w:wordWrap w:val="0"/>
        <w:spacing w:line="360" w:lineRule="auto"/>
        <w:ind w:right="144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定 人： 王</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健</w:t>
      </w:r>
    </w:p>
    <w:p w14:paraId="6D727FEC">
      <w:pPr>
        <w:spacing w:line="360" w:lineRule="auto"/>
        <w:ind w:right="1440"/>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2C2B5B56">
      <w:pPr>
        <w:spacing w:line="360" w:lineRule="auto"/>
        <w:ind w:right="240" w:firstLine="4800" w:firstLineChars="20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9 </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67043695">
      <w:pPr>
        <w:rPr>
          <w:rFonts w:hint="eastAsia"/>
        </w:rPr>
      </w:pPr>
    </w:p>
    <w:p w14:paraId="61B46653">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33F08751">
      <w:pPr>
        <w:pStyle w:val="2"/>
        <w:bidi w:val="0"/>
      </w:pPr>
      <w:bookmarkStart w:id="2430" w:name="_Toc20691"/>
      <w:r>
        <w:rPr>
          <w:rFonts w:hint="eastAsia"/>
        </w:rPr>
        <w:t>《</w:t>
      </w:r>
      <w:r>
        <w:rPr>
          <w:rFonts w:hint="eastAsia"/>
          <w:lang w:val="en-US" w:eastAsia="zh-CN"/>
        </w:rPr>
        <w:t>汉语修辞学</w:t>
      </w:r>
      <w:r>
        <w:rPr>
          <w:rFonts w:hint="eastAsia"/>
        </w:rPr>
        <w:t>》课程教学大纲</w:t>
      </w:r>
      <w:bookmarkEnd w:id="2430"/>
    </w:p>
    <w:p w14:paraId="61B20944">
      <w:pPr>
        <w:pStyle w:val="2"/>
        <w:bidi w:val="0"/>
      </w:pPr>
      <w:bookmarkStart w:id="2431" w:name="_Toc25647"/>
      <w:r>
        <w:t>（</w:t>
      </w:r>
      <w:r>
        <w:rPr>
          <w:rFonts w:hint="eastAsia"/>
        </w:rPr>
        <w:t>Syllabus of Chinese Rhetoric</w:t>
      </w:r>
      <w:r>
        <w:t>）</w:t>
      </w:r>
      <w:bookmarkEnd w:id="2431"/>
    </w:p>
    <w:p w14:paraId="6E0234BD">
      <w:pPr>
        <w:spacing w:line="360" w:lineRule="auto"/>
        <w:jc w:val="center"/>
        <w:rPr>
          <w:rFonts w:ascii="Times New Roman" w:hAnsi="Times New Roman" w:eastAsia="宋体" w:cs="Times New Roman"/>
          <w:bCs/>
          <w:sz w:val="30"/>
          <w:szCs w:val="30"/>
        </w:rPr>
      </w:pPr>
    </w:p>
    <w:p w14:paraId="6720041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汉语修辞学</w:t>
      </w:r>
    </w:p>
    <w:p w14:paraId="75FB1491">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sz w:val="24"/>
          <w:szCs w:val="24"/>
          <w:lang w:val="en-US" w:eastAsia="zh-CN"/>
        </w:rPr>
        <w:t>0705036</w:t>
      </w:r>
    </w:p>
    <w:p w14:paraId="3AB959E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725B181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时：32（其中：讲授学时22，实践学时10 ）</w:t>
      </w:r>
    </w:p>
    <w:p w14:paraId="48C7916E">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无</w:t>
      </w:r>
    </w:p>
    <w:p w14:paraId="27E06146">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适用专业：小学教育</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文</w:t>
      </w:r>
      <w:r>
        <w:rPr>
          <w:rFonts w:hint="eastAsia" w:ascii="Times New Roman" w:hAnsi="Times New Roman" w:eastAsia="宋体" w:cs="Times New Roman"/>
          <w:b/>
          <w:sz w:val="24"/>
          <w:szCs w:val="24"/>
          <w:lang w:eastAsia="zh-CN"/>
        </w:rPr>
        <w:t>）</w:t>
      </w:r>
    </w:p>
    <w:p w14:paraId="16B5BE4D">
      <w:pPr>
        <w:spacing w:line="360" w:lineRule="auto"/>
        <w:jc w:val="left"/>
        <w:rPr>
          <w:rFonts w:ascii="Times New Roman" w:hAnsi="Times New Roman" w:eastAsia="宋体" w:cs="Times New Roman"/>
          <w:b/>
          <w:sz w:val="24"/>
          <w:szCs w:val="24"/>
        </w:rPr>
      </w:pPr>
    </w:p>
    <w:p w14:paraId="62FAE049">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049EB9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为小学教育（文）专业的选修课程，旨在使学生了解和掌握修辞学的基本理论、修辞技巧和汉语修辞学研究概况，使学生在初步具备现代汉语修辞知识和能力的基础上进一步加深对修辞学基本知识和基础理论的理解，掌握基本的修辞技巧，从而提高实际应用语言的水平，提高学生对修辞的鉴赏能力和言语交际素养。</w:t>
      </w:r>
    </w:p>
    <w:p w14:paraId="7004A4E1">
      <w:pPr>
        <w:spacing w:line="360" w:lineRule="auto"/>
        <w:jc w:val="left"/>
        <w:rPr>
          <w:rFonts w:ascii="宋体" w:hAnsi="宋体" w:eastAsia="宋体" w:cs="Times New Roman"/>
          <w:b/>
          <w:color w:val="000000"/>
          <w:szCs w:val="21"/>
        </w:rPr>
      </w:pPr>
    </w:p>
    <w:p w14:paraId="253CFF2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471F128C">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2A214CAB">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目标1.使学生了解汉语修辞的基本特点，了解中国语言文化的发展历程，树立正确的民族语言观。</w:t>
      </w:r>
    </w:p>
    <w:p w14:paraId="51CDE3D2">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目标2.使学生掌握基本的汉语修辞方法，学会敏锐地体察不同语言的特点。</w:t>
      </w:r>
    </w:p>
    <w:p w14:paraId="4A3369C1">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目标3.使学生了解现代汉语的语音结构、词汇结构与构词方式。</w:t>
      </w:r>
    </w:p>
    <w:p w14:paraId="02F9831B">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目标4.使学生了解现代汉语的修辞类型与特点，领略语言的魅力，学习语言表达的技巧和艺术，为文科的教学工作奠定专业基础。</w:t>
      </w:r>
    </w:p>
    <w:p w14:paraId="4C423CC6">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B7A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D7DE1E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0F7D43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EF870D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1A8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3865D1D">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2教育情怀</w:t>
            </w:r>
          </w:p>
        </w:tc>
        <w:tc>
          <w:tcPr>
            <w:tcW w:w="5688" w:type="dxa"/>
            <w:vAlign w:val="center"/>
          </w:tcPr>
          <w:p w14:paraId="7959B38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指标点2-3：【自身修养良好】具有较好的人文艺术底蕴与科学精神，言行举止符合教师职业标准，情感积极，人格健全，身心健康。</w:t>
            </w:r>
          </w:p>
        </w:tc>
        <w:tc>
          <w:tcPr>
            <w:tcW w:w="1191" w:type="dxa"/>
            <w:vAlign w:val="center"/>
          </w:tcPr>
          <w:p w14:paraId="1D56E690">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1</w:t>
            </w:r>
          </w:p>
        </w:tc>
      </w:tr>
      <w:tr w14:paraId="6614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7589B22">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3综合素养</w:t>
            </w:r>
          </w:p>
        </w:tc>
        <w:tc>
          <w:tcPr>
            <w:tcW w:w="5688" w:type="dxa"/>
            <w:vAlign w:val="center"/>
          </w:tcPr>
          <w:p w14:paraId="3F687E66">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指标点3-1：【通识知识广博】具有小学教育本科专业相应的自然科学和人文社会科学知识素养。</w:t>
            </w:r>
          </w:p>
        </w:tc>
        <w:tc>
          <w:tcPr>
            <w:tcW w:w="1191" w:type="dxa"/>
            <w:vAlign w:val="center"/>
          </w:tcPr>
          <w:p w14:paraId="5CE55149">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w:t>
            </w:r>
          </w:p>
        </w:tc>
      </w:tr>
      <w:tr w14:paraId="283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CF6A0B4">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毕业要求3</w:t>
            </w:r>
            <w:r>
              <w:rPr>
                <w:rFonts w:hint="eastAsia" w:ascii="Times New Roman" w:hAnsi="Times New Roman" w:eastAsia="宋体" w:cs="Times New Roman"/>
                <w:szCs w:val="21"/>
                <w:lang w:val="en-US" w:eastAsia="zh-CN"/>
              </w:rPr>
              <w:t>综合素养</w:t>
            </w:r>
          </w:p>
        </w:tc>
        <w:tc>
          <w:tcPr>
            <w:tcW w:w="5688" w:type="dxa"/>
            <w:vAlign w:val="center"/>
          </w:tcPr>
          <w:p w14:paraId="6A14566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指标点3-2：【学科知识扎实】具有学科专业能力，掌握小学数学学科的基本知识、原理和技能。熟悉小学科学的知识体系，掌握小学科学的基本知识、原理和技能。</w:t>
            </w:r>
          </w:p>
        </w:tc>
        <w:tc>
          <w:tcPr>
            <w:tcW w:w="1191" w:type="dxa"/>
            <w:vAlign w:val="center"/>
          </w:tcPr>
          <w:p w14:paraId="09F1A192">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3</w:t>
            </w:r>
          </w:p>
        </w:tc>
      </w:tr>
      <w:tr w14:paraId="2BDA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CEB53F3">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4教学能力</w:t>
            </w:r>
          </w:p>
        </w:tc>
        <w:tc>
          <w:tcPr>
            <w:tcW w:w="5688" w:type="dxa"/>
            <w:vAlign w:val="center"/>
          </w:tcPr>
          <w:p w14:paraId="280F7FDA">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7BB12D8C">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4</w:t>
            </w:r>
          </w:p>
        </w:tc>
      </w:tr>
    </w:tbl>
    <w:p w14:paraId="665EAAB4">
      <w:pPr>
        <w:spacing w:before="156" w:beforeLines="50" w:line="360"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（三）课程思政目标</w:t>
      </w:r>
    </w:p>
    <w:p w14:paraId="01AB998C">
      <w:pPr>
        <w:spacing w:line="360" w:lineRule="auto"/>
        <w:ind w:firstLine="420" w:firstLineChars="200"/>
        <w:jc w:val="left"/>
        <w:rPr>
          <w:rFonts w:ascii="宋体" w:hAnsi="宋体" w:eastAsia="宋体" w:cs="Times New Roman"/>
          <w:b/>
          <w:color w:val="000000"/>
          <w:sz w:val="28"/>
          <w:szCs w:val="28"/>
        </w:rPr>
      </w:pPr>
      <w:r>
        <w:rPr>
          <w:rFonts w:hint="eastAsia" w:ascii="宋体" w:hAnsi="宋体" w:eastAsia="宋体" w:cs="Times New Roman"/>
          <w:color w:val="000000"/>
          <w:szCs w:val="21"/>
        </w:rPr>
        <w:t>本课程旨在通过汉语修辞学的教学，引导学生掌握基本的修辞手法和语言表达技巧，同时融入思想政治教育元素。旨在培养学生的语言美感和审美能力，增强他们对中华优秀传统文化的认同感和自豪感。通过修辞实践，锻炼学生的思维能力和创造力，培养他们的爱国情怀和社会责任感。使学生在提高语言表达能力的同时，树立正确的世界观、人生观和价值观，为成为德智体美劳全面发展的社会主义建设者和接班人打下坚实基础。</w:t>
      </w:r>
    </w:p>
    <w:p w14:paraId="61771174">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077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1E0D85E">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59EF81D">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D5FFF6D">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782409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5E4F4B96">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6641FA8">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B33095F">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188CAB3">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6AB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2933D0F">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修辞概说</w:t>
            </w:r>
          </w:p>
        </w:tc>
        <w:tc>
          <w:tcPr>
            <w:tcW w:w="1701" w:type="dxa"/>
            <w:vAlign w:val="center"/>
          </w:tcPr>
          <w:p w14:paraId="5BAE664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（（1）什么是修辞、修辞学</w:t>
            </w:r>
          </w:p>
          <w:p w14:paraId="0550CF0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（2）修辞的作用和性质</w:t>
            </w:r>
          </w:p>
          <w:p w14:paraId="13D516C8">
            <w:pPr>
              <w:spacing w:line="269" w:lineRule="auto"/>
              <w:jc w:val="left"/>
              <w:rPr>
                <w:rFonts w:ascii="宋体" w:hAnsi="宋体" w:eastAsia="宋体" w:cs="Times New Roman"/>
                <w:color w:val="000000"/>
                <w:szCs w:val="21"/>
              </w:rPr>
            </w:pPr>
          </w:p>
        </w:tc>
        <w:tc>
          <w:tcPr>
            <w:tcW w:w="1134" w:type="dxa"/>
            <w:vAlign w:val="center"/>
          </w:tcPr>
          <w:p w14:paraId="3E001945">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2、3、4</w:t>
            </w:r>
          </w:p>
        </w:tc>
        <w:tc>
          <w:tcPr>
            <w:tcW w:w="3260" w:type="dxa"/>
            <w:vAlign w:val="center"/>
          </w:tcPr>
          <w:p w14:paraId="025BB37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掌握修辞、修辞学的概念。</w:t>
            </w:r>
          </w:p>
          <w:p w14:paraId="626522D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了解对修辞认识的偏颇，修辞的作用。</w:t>
            </w:r>
          </w:p>
          <w:p w14:paraId="5CA3E31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理解修辞是一种创造性的活动。</w:t>
            </w:r>
          </w:p>
          <w:p w14:paraId="234A382A">
            <w:pPr>
              <w:spacing w:line="269" w:lineRule="auto"/>
              <w:jc w:val="left"/>
              <w:rPr>
                <w:rFonts w:ascii="宋体" w:hAnsi="宋体" w:eastAsia="宋体" w:cs="Times New Roman"/>
                <w:color w:val="000000"/>
                <w:szCs w:val="21"/>
              </w:rPr>
            </w:pPr>
          </w:p>
        </w:tc>
        <w:tc>
          <w:tcPr>
            <w:tcW w:w="1560" w:type="dxa"/>
            <w:vAlign w:val="center"/>
          </w:tcPr>
          <w:p w14:paraId="2D0248E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w:t>
            </w:r>
            <w:r>
              <w:rPr>
                <w:rFonts w:hint="eastAsia" w:ascii="宋体" w:hAnsi="宋体" w:eastAsia="宋体" w:cs="Times New Roman"/>
                <w:color w:val="000000"/>
                <w:szCs w:val="21"/>
                <w:lang w:val="en-US" w:eastAsia="zh-CN"/>
              </w:rPr>
              <w:t>下</w:t>
            </w:r>
            <w:r>
              <w:rPr>
                <w:rFonts w:hint="eastAsia" w:ascii="宋体" w:hAnsi="宋体" w:eastAsia="宋体" w:cs="Times New Roman"/>
                <w:color w:val="000000"/>
                <w:szCs w:val="21"/>
              </w:rPr>
              <w:t>学习</w:t>
            </w:r>
          </w:p>
          <w:p w14:paraId="1A9A45E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B9118F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2EBD396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633F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150F61">
            <w:pPr>
              <w:spacing w:line="264" w:lineRule="auto"/>
              <w:jc w:val="center"/>
              <w:rPr>
                <w:rFonts w:ascii="宋体" w:hAnsi="宋体" w:eastAsia="宋体" w:cs="Times New Roman"/>
                <w:color w:val="000000"/>
                <w:szCs w:val="21"/>
              </w:rPr>
            </w:pPr>
          </w:p>
        </w:tc>
        <w:tc>
          <w:tcPr>
            <w:tcW w:w="8093" w:type="dxa"/>
            <w:gridSpan w:val="5"/>
            <w:vAlign w:val="center"/>
          </w:tcPr>
          <w:p w14:paraId="4FD9A244">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教学，使学生掌握修辞与修辞学的基本概念，明确修辞在语言表达中的作用和性质。要求学生准确理解修辞概念，纠正对修辞的偏颇认识，深刻体会修辞的积极作用。重点强调修辞的创造性，鼓励学生发挥想象力，培养创新思维。教学聚焦修辞概念与原则，难点在于激发学生的修辞创造意识。</w:t>
            </w:r>
          </w:p>
        </w:tc>
      </w:tr>
      <w:tr w14:paraId="0DDF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853DD01">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修辞手段</w:t>
            </w:r>
          </w:p>
        </w:tc>
        <w:tc>
          <w:tcPr>
            <w:tcW w:w="1701" w:type="dxa"/>
            <w:vAlign w:val="center"/>
          </w:tcPr>
          <w:p w14:paraId="14A854D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语音及其调整</w:t>
            </w:r>
          </w:p>
          <w:p w14:paraId="715DDAE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（2）词语及其锤炼</w:t>
            </w:r>
          </w:p>
          <w:p w14:paraId="1341A223">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（3）句子及其选择</w:t>
            </w:r>
          </w:p>
        </w:tc>
        <w:tc>
          <w:tcPr>
            <w:tcW w:w="1134" w:type="dxa"/>
            <w:vAlign w:val="center"/>
          </w:tcPr>
          <w:p w14:paraId="41E42BC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260" w:type="dxa"/>
            <w:vAlign w:val="center"/>
          </w:tcPr>
          <w:p w14:paraId="6241B46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修辞手段概念及其分类</w:t>
            </w:r>
          </w:p>
          <w:p w14:paraId="723BF21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语音调整应注意问题</w:t>
            </w:r>
          </w:p>
          <w:p w14:paraId="7BA78E9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词语锤炼的要求</w:t>
            </w:r>
          </w:p>
          <w:p w14:paraId="7C62DA7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词语锤炼的内容</w:t>
            </w:r>
          </w:p>
          <w:p w14:paraId="2BEE1E0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词语锤炼与运用的方法</w:t>
            </w:r>
          </w:p>
          <w:p w14:paraId="782E10B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长句和短句选择</w:t>
            </w:r>
          </w:p>
          <w:p w14:paraId="1AA3380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.整句和散句选择</w:t>
            </w:r>
          </w:p>
          <w:p w14:paraId="1FB535C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.肯定句和否定句选择</w:t>
            </w:r>
          </w:p>
          <w:p w14:paraId="7C2A52E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.主动句和被动句选择</w:t>
            </w:r>
          </w:p>
          <w:p w14:paraId="5055AD0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10</w:t>
            </w:r>
            <w:r>
              <w:rPr>
                <w:rFonts w:hint="eastAsia" w:ascii="宋体" w:hAnsi="宋体" w:eastAsia="宋体" w:cs="Times New Roman"/>
                <w:color w:val="000000"/>
                <w:szCs w:val="21"/>
              </w:rPr>
              <w:t>.设问句和否定句选择</w:t>
            </w:r>
          </w:p>
          <w:p w14:paraId="73E687C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11</w:t>
            </w:r>
            <w:r>
              <w:rPr>
                <w:rFonts w:hint="eastAsia" w:ascii="宋体" w:hAnsi="宋体" w:eastAsia="宋体" w:cs="Times New Roman"/>
                <w:color w:val="000000"/>
                <w:szCs w:val="21"/>
              </w:rPr>
              <w:t>.常式句和变式句</w:t>
            </w:r>
          </w:p>
        </w:tc>
        <w:tc>
          <w:tcPr>
            <w:tcW w:w="1560" w:type="dxa"/>
            <w:vAlign w:val="center"/>
          </w:tcPr>
          <w:p w14:paraId="6D3C62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w:t>
            </w:r>
            <w:r>
              <w:rPr>
                <w:rFonts w:hint="eastAsia" w:ascii="宋体" w:hAnsi="宋体" w:eastAsia="宋体" w:cs="Times New Roman"/>
                <w:color w:val="000000"/>
                <w:szCs w:val="21"/>
                <w:lang w:val="en-US" w:eastAsia="zh-CN"/>
              </w:rPr>
              <w:t>下</w:t>
            </w:r>
            <w:r>
              <w:rPr>
                <w:rFonts w:hint="eastAsia" w:ascii="宋体" w:hAnsi="宋体" w:eastAsia="宋体" w:cs="Times New Roman"/>
                <w:color w:val="000000"/>
                <w:szCs w:val="21"/>
              </w:rPr>
              <w:t>学习</w:t>
            </w:r>
          </w:p>
          <w:p w14:paraId="0DD2EB5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43CC6E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FC7A9BB">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tc>
      </w:tr>
      <w:tr w14:paraId="4118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B7DA6A">
            <w:pPr>
              <w:spacing w:line="264" w:lineRule="auto"/>
              <w:jc w:val="center"/>
              <w:rPr>
                <w:rFonts w:ascii="宋体" w:hAnsi="宋体" w:eastAsia="宋体" w:cs="Times New Roman"/>
                <w:color w:val="000000"/>
                <w:szCs w:val="21"/>
              </w:rPr>
            </w:pPr>
          </w:p>
        </w:tc>
        <w:tc>
          <w:tcPr>
            <w:tcW w:w="8093" w:type="dxa"/>
            <w:gridSpan w:val="5"/>
            <w:vAlign w:val="center"/>
          </w:tcPr>
          <w:p w14:paraId="5F62019E">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通过教学，使学生掌握修辞手段的概念及分类，理解语音调整、词语锤炼、句子选择的重要性。重点讲授音节匀称、平仄安排、韵脚和谐等语音技巧，词语锤炼的要求与内容，以及12种句式的特点与修辞效果。难点在于引导学生正确运用这些修辞手段，培养语言美感和创造力，为成为具有高超语言艺术修养的人才打下基础。</w:t>
            </w:r>
          </w:p>
        </w:tc>
      </w:tr>
      <w:tr w14:paraId="6392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3430A9F">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修辞方法</w:t>
            </w:r>
          </w:p>
        </w:tc>
        <w:tc>
          <w:tcPr>
            <w:tcW w:w="1701" w:type="dxa"/>
            <w:vAlign w:val="center"/>
          </w:tcPr>
          <w:p w14:paraId="20A6B8BB">
            <w:pPr>
              <w:spacing w:line="269" w:lineRule="auto"/>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（1）</w:t>
            </w:r>
            <w:r>
              <w:rPr>
                <w:rFonts w:hint="eastAsia" w:ascii="宋体" w:hAnsi="宋体" w:eastAsia="宋体" w:cs="Times New Roman"/>
                <w:color w:val="000000"/>
                <w:szCs w:val="21"/>
                <w:lang w:val="en-US" w:eastAsia="zh-CN"/>
              </w:rPr>
              <w:t>形式化修辞方法</w:t>
            </w:r>
          </w:p>
          <w:p w14:paraId="1BCC20FA">
            <w:pPr>
              <w:spacing w:line="269" w:lineRule="auto"/>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（2）</w:t>
            </w:r>
            <w:r>
              <w:rPr>
                <w:rFonts w:hint="eastAsia" w:ascii="宋体" w:hAnsi="宋体" w:eastAsia="宋体" w:cs="Times New Roman"/>
                <w:color w:val="000000"/>
                <w:szCs w:val="21"/>
                <w:lang w:val="en-US" w:eastAsia="zh-CN"/>
              </w:rPr>
              <w:t>意义化修辞方法</w:t>
            </w:r>
          </w:p>
        </w:tc>
        <w:tc>
          <w:tcPr>
            <w:tcW w:w="1134" w:type="dxa"/>
            <w:vAlign w:val="center"/>
          </w:tcPr>
          <w:p w14:paraId="6C23A57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260" w:type="dxa"/>
            <w:vAlign w:val="center"/>
          </w:tcPr>
          <w:p w14:paraId="206B388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1.对偶、排比、反复、顶真和回环的概念内涵</w:t>
            </w:r>
          </w:p>
          <w:p w14:paraId="50309A6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2.对偶、排比、反复、顶真和回环的类型</w:t>
            </w:r>
          </w:p>
          <w:p w14:paraId="57664E7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3.对偶、排比、反复、顶真和回环的修辞效果</w:t>
            </w:r>
          </w:p>
          <w:p w14:paraId="7CFC83B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4.比喻、借代、夸张、双关、移就和拈连的概念内涵</w:t>
            </w:r>
          </w:p>
          <w:p w14:paraId="61B5041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5.比喻、借代、夸张、双关、移就和拈连的类型</w:t>
            </w:r>
          </w:p>
          <w:p w14:paraId="4EE08E6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6.比喻、借代、夸张、双关、移就和拈连的修辞效果</w:t>
            </w:r>
          </w:p>
          <w:p w14:paraId="6FE0EC1B">
            <w:pPr>
              <w:spacing w:line="269" w:lineRule="auto"/>
              <w:jc w:val="left"/>
              <w:rPr>
                <w:rFonts w:ascii="宋体" w:hAnsi="宋体" w:eastAsia="宋体" w:cs="Times New Roman"/>
                <w:color w:val="000000"/>
                <w:szCs w:val="21"/>
              </w:rPr>
            </w:pPr>
          </w:p>
        </w:tc>
        <w:tc>
          <w:tcPr>
            <w:tcW w:w="1560" w:type="dxa"/>
            <w:vAlign w:val="center"/>
          </w:tcPr>
          <w:p w14:paraId="2A52A5F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lang w:val="en-US" w:eastAsia="zh-CN"/>
              </w:rPr>
              <w:t>下</w:t>
            </w:r>
            <w:r>
              <w:rPr>
                <w:rFonts w:ascii="宋体" w:hAnsi="宋体" w:eastAsia="宋体" w:cs="Times New Roman"/>
                <w:color w:val="000000"/>
                <w:szCs w:val="21"/>
              </w:rPr>
              <w:t>学习</w:t>
            </w:r>
          </w:p>
          <w:p w14:paraId="3EB28AC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FD7CDC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6E672A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12</w:t>
            </w:r>
          </w:p>
        </w:tc>
      </w:tr>
      <w:tr w14:paraId="3970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5AA705">
            <w:pPr>
              <w:spacing w:line="264" w:lineRule="auto"/>
              <w:jc w:val="center"/>
              <w:rPr>
                <w:rFonts w:ascii="宋体" w:hAnsi="宋体" w:eastAsia="宋体" w:cs="Times New Roman"/>
                <w:color w:val="000000"/>
                <w:szCs w:val="21"/>
              </w:rPr>
            </w:pPr>
          </w:p>
        </w:tc>
        <w:tc>
          <w:tcPr>
            <w:tcW w:w="8093" w:type="dxa"/>
            <w:gridSpan w:val="5"/>
            <w:vAlign w:val="center"/>
          </w:tcPr>
          <w:p w14:paraId="717A192C">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教学，使学生掌握形式化修辞方法（对偶、排比、反复、顶真、回环）与意义化修辞方法（比喻、借代、夸张、双关、移就、拈连）的概念、类型及修辞效果。教学重点在于深入理解这十种修辞格，教学难点则在于引导学生正确运用这些修辞格，增强语言表达的生动性与感染力，培养高尚的语言审美情操。</w:t>
            </w:r>
          </w:p>
        </w:tc>
      </w:tr>
      <w:tr w14:paraId="5B6E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D3B0DC">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修辞规律</w:t>
            </w:r>
          </w:p>
        </w:tc>
        <w:tc>
          <w:tcPr>
            <w:tcW w:w="1701" w:type="dxa"/>
            <w:vAlign w:val="center"/>
          </w:tcPr>
          <w:p w14:paraId="29A1048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修辞应切合言语动机</w:t>
            </w:r>
          </w:p>
          <w:p w14:paraId="3DECA90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修辞应符合汉语的结构规律</w:t>
            </w:r>
          </w:p>
          <w:p w14:paraId="5615F0A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修辞应切合语境</w:t>
            </w:r>
          </w:p>
          <w:p w14:paraId="0EA0F86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修辞应符合语体规范</w:t>
            </w:r>
          </w:p>
          <w:p w14:paraId="3DEE2A4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5</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修辞应切合风格要求</w:t>
            </w:r>
          </w:p>
        </w:tc>
        <w:tc>
          <w:tcPr>
            <w:tcW w:w="1134" w:type="dxa"/>
            <w:vAlign w:val="center"/>
          </w:tcPr>
          <w:p w14:paraId="2A086AC7">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260" w:type="dxa"/>
            <w:vAlign w:val="center"/>
          </w:tcPr>
          <w:p w14:paraId="044BB95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修辞应符合语体规范</w:t>
            </w:r>
          </w:p>
          <w:p w14:paraId="49323BB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修辞应切合风格要求</w:t>
            </w:r>
          </w:p>
          <w:p w14:paraId="2A893C4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修辞应切合语境</w:t>
            </w:r>
          </w:p>
        </w:tc>
        <w:tc>
          <w:tcPr>
            <w:tcW w:w="1560" w:type="dxa"/>
            <w:vAlign w:val="center"/>
          </w:tcPr>
          <w:p w14:paraId="128FA1A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lang w:val="en-US" w:eastAsia="zh-CN"/>
              </w:rPr>
              <w:t>下</w:t>
            </w:r>
            <w:r>
              <w:rPr>
                <w:rFonts w:ascii="宋体" w:hAnsi="宋体" w:eastAsia="宋体" w:cs="Times New Roman"/>
                <w:color w:val="000000"/>
                <w:szCs w:val="21"/>
              </w:rPr>
              <w:t>学习</w:t>
            </w:r>
          </w:p>
          <w:p w14:paraId="7D6A516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B47E19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243E6A7">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0DF2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B1B72E">
            <w:pPr>
              <w:spacing w:line="276" w:lineRule="auto"/>
              <w:jc w:val="center"/>
              <w:rPr>
                <w:rFonts w:ascii="宋体" w:hAnsi="宋体" w:eastAsia="宋体" w:cs="Times New Roman"/>
                <w:color w:val="000000"/>
                <w:szCs w:val="21"/>
              </w:rPr>
            </w:pPr>
          </w:p>
        </w:tc>
        <w:tc>
          <w:tcPr>
            <w:tcW w:w="8093" w:type="dxa"/>
            <w:gridSpan w:val="5"/>
            <w:vAlign w:val="center"/>
          </w:tcPr>
          <w:p w14:paraId="3523842D">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旨在使学生理解修辞需切合言语动机、符合汉语结构、切合语境、符合语体规范及风格要求的重要性。教学重点在于修辞的语体规范与风格要求，以及语境的切合性。教学难点在于引导学生实践中准确把握语境，遵循语体规范，形成独特修辞风格，提升语言表达的得体性与艺术性。</w:t>
            </w:r>
          </w:p>
        </w:tc>
      </w:tr>
      <w:tr w14:paraId="6EA1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ABB511">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修辞学史</w:t>
            </w:r>
          </w:p>
        </w:tc>
        <w:tc>
          <w:tcPr>
            <w:tcW w:w="1701" w:type="dxa"/>
            <w:vAlign w:val="center"/>
          </w:tcPr>
          <w:p w14:paraId="124D447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现代修辞学发展的历程</w:t>
            </w:r>
          </w:p>
          <w:p w14:paraId="4888CE0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现代修辞学的现状</w:t>
            </w:r>
          </w:p>
          <w:p w14:paraId="3DCC80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现代修辞学发展趋势</w:t>
            </w:r>
          </w:p>
          <w:p w14:paraId="2A2A852E">
            <w:pPr>
              <w:spacing w:line="276" w:lineRule="auto"/>
              <w:jc w:val="left"/>
              <w:rPr>
                <w:rFonts w:ascii="宋体" w:hAnsi="宋体" w:eastAsia="宋体" w:cs="Times New Roman"/>
                <w:color w:val="000000"/>
                <w:szCs w:val="21"/>
              </w:rPr>
            </w:pPr>
          </w:p>
        </w:tc>
        <w:tc>
          <w:tcPr>
            <w:tcW w:w="1134" w:type="dxa"/>
            <w:vAlign w:val="center"/>
          </w:tcPr>
          <w:p w14:paraId="3FC7CBE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F710B68">
            <w:pPr>
              <w:numPr>
                <w:ilvl w:val="0"/>
                <w:numId w:val="84"/>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现代修辞学的现状</w:t>
            </w:r>
          </w:p>
          <w:p w14:paraId="25E91980">
            <w:pPr>
              <w:numPr>
                <w:ilvl w:val="0"/>
                <w:numId w:val="84"/>
              </w:num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现代修辞学发展趋势</w:t>
            </w:r>
          </w:p>
        </w:tc>
        <w:tc>
          <w:tcPr>
            <w:tcW w:w="1560" w:type="dxa"/>
            <w:vAlign w:val="center"/>
          </w:tcPr>
          <w:p w14:paraId="1396A32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lang w:val="en-US" w:eastAsia="zh-CN"/>
              </w:rPr>
              <w:t>下</w:t>
            </w:r>
            <w:r>
              <w:rPr>
                <w:rFonts w:ascii="宋体" w:hAnsi="宋体" w:eastAsia="宋体" w:cs="Times New Roman"/>
                <w:color w:val="000000"/>
                <w:szCs w:val="21"/>
              </w:rPr>
              <w:t>学习</w:t>
            </w:r>
          </w:p>
          <w:p w14:paraId="440020B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09671D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752831B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31C7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144C92">
            <w:pPr>
              <w:spacing w:line="276" w:lineRule="auto"/>
              <w:jc w:val="center"/>
              <w:rPr>
                <w:rFonts w:ascii="宋体" w:hAnsi="宋体" w:eastAsia="宋体" w:cs="Times New Roman"/>
                <w:color w:val="000000"/>
                <w:szCs w:val="21"/>
              </w:rPr>
            </w:pPr>
          </w:p>
        </w:tc>
        <w:tc>
          <w:tcPr>
            <w:tcW w:w="8093" w:type="dxa"/>
            <w:gridSpan w:val="5"/>
            <w:vAlign w:val="center"/>
          </w:tcPr>
          <w:p w14:paraId="53710143">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教学，使学生了解现代修辞学的发展历程，认识其当前现状，并探讨未来发展趋势。教学重点在于让学生掌握现代修辞学的现状与发展趋势，教学难点在于引导学生深入理解并思考修辞学在现代社会中的应用与前景，培养前瞻性的语言修辞观念。</w:t>
            </w:r>
          </w:p>
        </w:tc>
      </w:tr>
    </w:tbl>
    <w:p w14:paraId="4F811A54">
      <w:pPr>
        <w:spacing w:line="360" w:lineRule="auto"/>
        <w:jc w:val="left"/>
        <w:rPr>
          <w:rFonts w:ascii="Times New Roman" w:hAnsi="Times New Roman" w:eastAsia="宋体" w:cs="Times New Roman"/>
          <w:sz w:val="24"/>
          <w:szCs w:val="24"/>
        </w:rPr>
      </w:pPr>
    </w:p>
    <w:p w14:paraId="23BCD36D">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3AD4A1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AB471A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714600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1394"/>
        <w:gridCol w:w="1652"/>
        <w:gridCol w:w="1788"/>
      </w:tblGrid>
      <w:tr w14:paraId="7B71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dxa"/>
            <w:vMerge w:val="restart"/>
            <w:vAlign w:val="center"/>
          </w:tcPr>
          <w:p w14:paraId="549C49B5">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046" w:type="dxa"/>
            <w:gridSpan w:val="2"/>
            <w:vAlign w:val="center"/>
          </w:tcPr>
          <w:p w14:paraId="4A59B271">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88" w:type="dxa"/>
            <w:vMerge w:val="restart"/>
            <w:vAlign w:val="center"/>
          </w:tcPr>
          <w:p w14:paraId="17683E74">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6E35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852" w:type="dxa"/>
            <w:vMerge w:val="continue"/>
            <w:vAlign w:val="center"/>
          </w:tcPr>
          <w:p w14:paraId="0E4ED4BD">
            <w:pPr>
              <w:spacing w:line="360" w:lineRule="auto"/>
              <w:jc w:val="center"/>
              <w:rPr>
                <w:rFonts w:ascii="宋体" w:hAnsi="宋体" w:eastAsia="宋体" w:cs="Times New Roman"/>
                <w:szCs w:val="21"/>
              </w:rPr>
            </w:pPr>
          </w:p>
        </w:tc>
        <w:tc>
          <w:tcPr>
            <w:tcW w:w="1394" w:type="dxa"/>
            <w:vAlign w:val="center"/>
          </w:tcPr>
          <w:p w14:paraId="06039EE8">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p w14:paraId="20C46056">
            <w:pPr>
              <w:spacing w:line="360" w:lineRule="auto"/>
              <w:jc w:val="both"/>
              <w:rPr>
                <w:rFonts w:ascii="宋体" w:hAnsi="宋体" w:eastAsia="宋体" w:cs="Times New Roman"/>
                <w:szCs w:val="21"/>
              </w:rPr>
            </w:pPr>
          </w:p>
        </w:tc>
        <w:tc>
          <w:tcPr>
            <w:tcW w:w="1652" w:type="dxa"/>
          </w:tcPr>
          <w:p w14:paraId="56556BC0">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p w14:paraId="4344AC9C">
            <w:pPr>
              <w:spacing w:line="360" w:lineRule="auto"/>
              <w:jc w:val="center"/>
              <w:rPr>
                <w:rFonts w:hint="eastAsia" w:ascii="宋体" w:hAnsi="宋体" w:eastAsia="宋体" w:cs="Times New Roman"/>
                <w:szCs w:val="21"/>
                <w:lang w:eastAsia="zh-CN"/>
              </w:rPr>
            </w:pPr>
          </w:p>
        </w:tc>
        <w:tc>
          <w:tcPr>
            <w:tcW w:w="1788" w:type="dxa"/>
            <w:vMerge w:val="continue"/>
            <w:vAlign w:val="center"/>
          </w:tcPr>
          <w:p w14:paraId="50801900">
            <w:pPr>
              <w:spacing w:line="360" w:lineRule="auto"/>
              <w:jc w:val="center"/>
              <w:rPr>
                <w:rFonts w:ascii="宋体" w:hAnsi="宋体" w:eastAsia="宋体" w:cs="Times New Roman"/>
                <w:szCs w:val="21"/>
              </w:rPr>
            </w:pPr>
          </w:p>
        </w:tc>
      </w:tr>
      <w:tr w14:paraId="03E4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dxa"/>
            <w:vAlign w:val="center"/>
          </w:tcPr>
          <w:p w14:paraId="793C53FB">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394" w:type="dxa"/>
            <w:vAlign w:val="center"/>
          </w:tcPr>
          <w:p w14:paraId="7F781D3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52" w:type="dxa"/>
          </w:tcPr>
          <w:p w14:paraId="35CA9B2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88" w:type="dxa"/>
            <w:vAlign w:val="center"/>
          </w:tcPr>
          <w:p w14:paraId="2576A8C3">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w:t>
            </w:r>
          </w:p>
        </w:tc>
      </w:tr>
      <w:tr w14:paraId="123C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852" w:type="dxa"/>
            <w:vAlign w:val="center"/>
          </w:tcPr>
          <w:p w14:paraId="487E7FD0">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394" w:type="dxa"/>
            <w:vAlign w:val="center"/>
          </w:tcPr>
          <w:p w14:paraId="105FC228">
            <w:pPr>
              <w:bidi w:val="0"/>
              <w:ind w:firstLine="210" w:firstLineChars="100"/>
              <w:jc w:val="left"/>
              <w:rPr>
                <w:rFonts w:asciiTheme="minorHAnsi" w:hAnsiTheme="minorHAnsi" w:eastAsiaTheme="minorEastAsia" w:cstheme="minorBidi"/>
                <w:kern w:val="2"/>
                <w:sz w:val="21"/>
                <w:szCs w:val="22"/>
                <w:lang w:val="en-US" w:eastAsia="zh-CN" w:bidi="ar-SA"/>
              </w:rPr>
            </w:pPr>
            <w:r>
              <w:rPr>
                <w:rFonts w:ascii="宋体" w:hAnsi="宋体" w:eastAsia="宋体" w:cs="Times New Roman"/>
                <w:szCs w:val="21"/>
              </w:rPr>
              <w:sym w:font="Wingdings 2" w:char="F050"/>
            </w:r>
          </w:p>
        </w:tc>
        <w:tc>
          <w:tcPr>
            <w:tcW w:w="1652" w:type="dxa"/>
          </w:tcPr>
          <w:p w14:paraId="76DA6C42">
            <w:pPr>
              <w:bidi w:val="0"/>
              <w:jc w:val="left"/>
              <w:rPr>
                <w:rFonts w:asciiTheme="minorHAnsi" w:hAnsiTheme="minorHAnsi" w:eastAsiaTheme="minorEastAsia" w:cstheme="minorBidi"/>
                <w:kern w:val="2"/>
                <w:sz w:val="21"/>
                <w:szCs w:val="22"/>
                <w:lang w:val="en-US" w:eastAsia="zh-CN" w:bidi="ar-SA"/>
              </w:rPr>
            </w:pPr>
          </w:p>
          <w:p w14:paraId="3802A21A">
            <w:pPr>
              <w:bidi w:val="0"/>
              <w:ind w:firstLine="210" w:firstLineChars="100"/>
              <w:rPr>
                <w:rFonts w:asciiTheme="minorHAnsi" w:hAnsiTheme="minorHAnsi" w:eastAsiaTheme="minorEastAsia" w:cstheme="minorBidi"/>
                <w:kern w:val="2"/>
                <w:sz w:val="21"/>
                <w:szCs w:val="22"/>
                <w:lang w:val="en-US" w:eastAsia="zh-CN" w:bidi="ar-SA"/>
              </w:rPr>
            </w:pPr>
            <w:r>
              <w:rPr>
                <w:rFonts w:ascii="宋体" w:hAnsi="宋体" w:eastAsia="宋体" w:cs="Times New Roman"/>
                <w:szCs w:val="21"/>
              </w:rPr>
              <w:sym w:font="Wingdings 2" w:char="F050"/>
            </w:r>
          </w:p>
          <w:p w14:paraId="4B44B833">
            <w:pPr>
              <w:bidi w:val="0"/>
              <w:ind w:firstLine="277" w:firstLineChars="0"/>
              <w:jc w:val="left"/>
              <w:rPr>
                <w:lang w:val="en-US" w:eastAsia="zh-CN"/>
              </w:rPr>
            </w:pPr>
          </w:p>
        </w:tc>
        <w:tc>
          <w:tcPr>
            <w:tcW w:w="1788" w:type="dxa"/>
            <w:vAlign w:val="center"/>
          </w:tcPr>
          <w:p w14:paraId="54142B63">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35</w:t>
            </w:r>
          </w:p>
        </w:tc>
      </w:tr>
      <w:tr w14:paraId="1EF1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852" w:type="dxa"/>
            <w:vAlign w:val="center"/>
          </w:tcPr>
          <w:p w14:paraId="4CA4081D">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394" w:type="dxa"/>
            <w:vAlign w:val="center"/>
          </w:tcPr>
          <w:p w14:paraId="0B75112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52" w:type="dxa"/>
          </w:tcPr>
          <w:p w14:paraId="64422A9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88" w:type="dxa"/>
            <w:vAlign w:val="center"/>
          </w:tcPr>
          <w:p w14:paraId="49A1236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25</w:t>
            </w:r>
          </w:p>
        </w:tc>
      </w:tr>
      <w:tr w14:paraId="5F08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dxa"/>
            <w:vAlign w:val="center"/>
          </w:tcPr>
          <w:p w14:paraId="797C2A2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课程目标4</w:t>
            </w:r>
          </w:p>
        </w:tc>
        <w:tc>
          <w:tcPr>
            <w:tcW w:w="1394" w:type="dxa"/>
            <w:vAlign w:val="center"/>
          </w:tcPr>
          <w:p w14:paraId="193BA2B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52" w:type="dxa"/>
          </w:tcPr>
          <w:p w14:paraId="5EB1D2D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88" w:type="dxa"/>
            <w:vAlign w:val="center"/>
          </w:tcPr>
          <w:p w14:paraId="20E0337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2468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2" w:type="dxa"/>
            <w:vAlign w:val="center"/>
          </w:tcPr>
          <w:p w14:paraId="62A51C32">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394" w:type="dxa"/>
            <w:vAlign w:val="center"/>
          </w:tcPr>
          <w:p w14:paraId="1F8E115F">
            <w:pPr>
              <w:spacing w:line="360" w:lineRule="auto"/>
              <w:jc w:val="center"/>
              <w:rPr>
                <w:rFonts w:hint="default" w:ascii="宋体" w:hAnsi="宋体" w:eastAsia="宋体" w:cs="Times New Roman"/>
                <w:szCs w:val="21"/>
                <w:lang w:val="en-US" w:eastAsia="zh-CN"/>
              </w:rPr>
            </w:pPr>
          </w:p>
        </w:tc>
        <w:tc>
          <w:tcPr>
            <w:tcW w:w="1652" w:type="dxa"/>
          </w:tcPr>
          <w:p w14:paraId="5292918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70</w:t>
            </w:r>
          </w:p>
        </w:tc>
        <w:tc>
          <w:tcPr>
            <w:tcW w:w="1788" w:type="dxa"/>
            <w:vAlign w:val="center"/>
          </w:tcPr>
          <w:p w14:paraId="4FEC9345">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1001F2B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7C0BC4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7C13AA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BA4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5AF80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8D139D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91BA6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DA6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BBBF2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29CA21D">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课堂考勤（20%）：病假和事假一次扣5分，无故缺席一次扣10分，累积达5次以上（含5次）取消课程成绩。</w:t>
            </w:r>
          </w:p>
          <w:p w14:paraId="2E32B1A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平时作业（80%）：课后完成3次作业，主要考核学生对每节课知识点的复习、理解和掌握程度，计算全部作业的平均成绩。</w:t>
            </w:r>
          </w:p>
        </w:tc>
        <w:tc>
          <w:tcPr>
            <w:tcW w:w="0" w:type="auto"/>
            <w:vAlign w:val="center"/>
          </w:tcPr>
          <w:p w14:paraId="23BE283D">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3449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C27F8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DDF9684">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7063B3A7">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w:t>
            </w:r>
            <w:r>
              <w:rPr>
                <w:rFonts w:hint="eastAsia" w:ascii="Times New Roman" w:hAnsi="Times New Roman" w:eastAsia="宋体" w:cs="Times New Roman"/>
                <w:szCs w:val="21"/>
              </w:rPr>
              <w:t>0%</w:t>
            </w:r>
          </w:p>
        </w:tc>
      </w:tr>
      <w:tr w14:paraId="27DE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83C83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89CE521">
            <w:pPr>
              <w:jc w:val="left"/>
              <w:rPr>
                <w:rFonts w:ascii="Times New Roman" w:hAnsi="Times New Roman" w:eastAsia="宋体" w:cs="Times New Roman"/>
                <w:szCs w:val="21"/>
              </w:rPr>
            </w:pPr>
          </w:p>
        </w:tc>
        <w:tc>
          <w:tcPr>
            <w:tcW w:w="0" w:type="auto"/>
            <w:vAlign w:val="center"/>
          </w:tcPr>
          <w:p w14:paraId="369A6EF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D766A09">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C4D65E8">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B40488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72"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72" DrawAspect="Content" ObjectID="_1468075772" r:id="rId55">
            <o:LockedField>false</o:LockedField>
          </o:OLEObject>
        </w:object>
      </w:r>
    </w:p>
    <w:p w14:paraId="266E0BAD">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2B6AEEB7">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5BBFCC7A">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6B6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B280A15">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35167A9">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04E29D21">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58BBAA0">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3621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5F4E77F">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修辞手段</w:t>
            </w:r>
          </w:p>
        </w:tc>
        <w:tc>
          <w:tcPr>
            <w:tcW w:w="3407" w:type="dxa"/>
            <w:vAlign w:val="center"/>
          </w:tcPr>
          <w:p w14:paraId="6ED6CF20">
            <w:pPr>
              <w:spacing w:line="276" w:lineRule="auto"/>
              <w:jc w:val="left"/>
              <w:rPr>
                <w:rFonts w:hint="eastAsia" w:ascii="宋体" w:hAnsi="宋体" w:eastAsia="宋体" w:cs="宋体"/>
                <w:szCs w:val="21"/>
              </w:rPr>
            </w:pPr>
            <w:r>
              <w:rPr>
                <w:rFonts w:hint="eastAsia" w:ascii="宋体" w:hAnsi="宋体" w:eastAsia="宋体" w:cs="宋体"/>
                <w:szCs w:val="21"/>
              </w:rPr>
              <w:t>实践内容：结合案例，小组合作分析案例中的修辞手段，赏析并模仿写作。</w:t>
            </w:r>
          </w:p>
          <w:p w14:paraId="0D72C893">
            <w:pPr>
              <w:spacing w:line="276" w:lineRule="auto"/>
              <w:jc w:val="left"/>
              <w:rPr>
                <w:rFonts w:ascii="宋体" w:hAnsi="宋体" w:eastAsia="宋体" w:cs="宋体"/>
                <w:szCs w:val="21"/>
              </w:rPr>
            </w:pPr>
            <w:r>
              <w:rPr>
                <w:rFonts w:hint="eastAsia" w:ascii="宋体" w:hAnsi="宋体" w:eastAsia="宋体" w:cs="宋体"/>
                <w:szCs w:val="21"/>
              </w:rPr>
              <w:t>实践要求：小组提交一份分析报告，每人提交一份模拟写作作业。</w:t>
            </w:r>
          </w:p>
        </w:tc>
        <w:tc>
          <w:tcPr>
            <w:tcW w:w="740" w:type="dxa"/>
            <w:vAlign w:val="center"/>
          </w:tcPr>
          <w:p w14:paraId="70FFB0DF">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案例分析</w:t>
            </w:r>
          </w:p>
        </w:tc>
        <w:tc>
          <w:tcPr>
            <w:tcW w:w="3160" w:type="dxa"/>
            <w:vAlign w:val="center"/>
          </w:tcPr>
          <w:p w14:paraId="29ECF5EB">
            <w:pPr>
              <w:spacing w:line="276" w:lineRule="auto"/>
              <w:jc w:val="left"/>
              <w:rPr>
                <w:rFonts w:ascii="宋体" w:hAnsi="宋体" w:eastAsia="宋体" w:cs="宋体"/>
                <w:szCs w:val="21"/>
              </w:rPr>
            </w:pPr>
            <w:r>
              <w:rPr>
                <w:rFonts w:hint="eastAsia" w:ascii="宋体" w:hAnsi="宋体" w:eastAsia="宋体" w:cs="宋体"/>
                <w:szCs w:val="21"/>
              </w:rPr>
              <w:t>通过实践内容，引导学生结合具体案例，小组合作分析并赏析其中的修辞手段，增强学生的语言敏感度和修辞鉴赏能力。要求小组提交分析报告，促进团队协作与沟通能力；每人提交模拟写作作业，鼓励将所学修辞知识运用于实际写作中，培养创新思维和语言表达能力，同时在实践中树立正确的语言观和审美观。</w:t>
            </w:r>
          </w:p>
        </w:tc>
      </w:tr>
      <w:tr w14:paraId="4D1B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8F9403E">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形式化修辞方法</w:t>
            </w:r>
          </w:p>
        </w:tc>
        <w:tc>
          <w:tcPr>
            <w:tcW w:w="3407" w:type="dxa"/>
            <w:vAlign w:val="center"/>
          </w:tcPr>
          <w:p w14:paraId="0FDB7114">
            <w:pPr>
              <w:spacing w:line="276" w:lineRule="auto"/>
              <w:jc w:val="left"/>
              <w:rPr>
                <w:rFonts w:hint="eastAsia" w:ascii="宋体" w:hAnsi="宋体" w:eastAsia="宋体" w:cs="宋体"/>
                <w:szCs w:val="21"/>
              </w:rPr>
            </w:pPr>
            <w:r>
              <w:rPr>
                <w:rFonts w:hint="eastAsia" w:ascii="宋体" w:hAnsi="宋体" w:eastAsia="宋体" w:cs="宋体"/>
                <w:szCs w:val="21"/>
              </w:rPr>
              <w:t>实践内容：结合案例，小组合作分析案例中的形式化修辞方法，赏析并模仿写作。</w:t>
            </w:r>
          </w:p>
          <w:p w14:paraId="2B1F18AF">
            <w:pPr>
              <w:spacing w:line="276" w:lineRule="auto"/>
              <w:jc w:val="left"/>
              <w:rPr>
                <w:rFonts w:ascii="宋体" w:hAnsi="宋体" w:eastAsia="宋体" w:cs="宋体"/>
                <w:szCs w:val="21"/>
              </w:rPr>
            </w:pPr>
            <w:r>
              <w:rPr>
                <w:rFonts w:hint="eastAsia" w:ascii="宋体" w:hAnsi="宋体" w:eastAsia="宋体" w:cs="宋体"/>
                <w:szCs w:val="21"/>
              </w:rPr>
              <w:t>实践要求：小组提交一份分析报告，每人提交一份模拟写作作业。</w:t>
            </w:r>
          </w:p>
        </w:tc>
        <w:tc>
          <w:tcPr>
            <w:tcW w:w="740" w:type="dxa"/>
            <w:vAlign w:val="center"/>
          </w:tcPr>
          <w:p w14:paraId="074B8EBB">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分析报告</w:t>
            </w:r>
          </w:p>
        </w:tc>
        <w:tc>
          <w:tcPr>
            <w:tcW w:w="3160" w:type="dxa"/>
            <w:vAlign w:val="center"/>
          </w:tcPr>
          <w:p w14:paraId="5DBD3C90">
            <w:pPr>
              <w:spacing w:line="276" w:lineRule="auto"/>
              <w:jc w:val="left"/>
              <w:rPr>
                <w:rFonts w:ascii="宋体" w:hAnsi="宋体" w:eastAsia="宋体" w:cs="宋体"/>
                <w:szCs w:val="21"/>
              </w:rPr>
            </w:pPr>
            <w:r>
              <w:rPr>
                <w:rFonts w:hint="eastAsia" w:ascii="宋体" w:hAnsi="宋体" w:eastAsia="宋体" w:cs="宋体"/>
                <w:szCs w:val="21"/>
              </w:rPr>
              <w:t>通过小组合作实践，引导学生深入分析案例中的形式化修辞方法，提升其对语言艺术的鉴赏能力和审美水平。要求小组共同提交分析报告，增强团队协作意识和沟通能力；同时，每人需提交一份模拟写作作业，将所学修辞技巧运用于实际创作中，培养创新思维和实践能力，树立正确的语言表达观念。</w:t>
            </w:r>
          </w:p>
        </w:tc>
      </w:tr>
      <w:tr w14:paraId="7EA0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71236CE">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意义化修辞方法</w:t>
            </w:r>
          </w:p>
        </w:tc>
        <w:tc>
          <w:tcPr>
            <w:tcW w:w="3407" w:type="dxa"/>
            <w:vAlign w:val="center"/>
          </w:tcPr>
          <w:p w14:paraId="041940CB">
            <w:pPr>
              <w:spacing w:line="276" w:lineRule="auto"/>
              <w:jc w:val="left"/>
              <w:rPr>
                <w:rFonts w:hint="eastAsia" w:ascii="宋体" w:hAnsi="宋体" w:eastAsia="宋体" w:cs="宋体"/>
                <w:szCs w:val="21"/>
              </w:rPr>
            </w:pPr>
            <w:r>
              <w:rPr>
                <w:rFonts w:hint="eastAsia" w:ascii="宋体" w:hAnsi="宋体" w:eastAsia="宋体" w:cs="宋体"/>
                <w:szCs w:val="21"/>
              </w:rPr>
              <w:t>实践内容：结合案例，小组合作分析案例中的意义化修辞方法，赏析并模仿写作。</w:t>
            </w:r>
          </w:p>
          <w:p w14:paraId="29D09AF2">
            <w:pPr>
              <w:spacing w:line="276" w:lineRule="auto"/>
              <w:jc w:val="left"/>
              <w:rPr>
                <w:rFonts w:ascii="宋体" w:hAnsi="宋体" w:eastAsia="宋体" w:cs="宋体"/>
                <w:szCs w:val="21"/>
              </w:rPr>
            </w:pPr>
            <w:r>
              <w:rPr>
                <w:rFonts w:hint="eastAsia" w:ascii="宋体" w:hAnsi="宋体" w:eastAsia="宋体" w:cs="宋体"/>
                <w:szCs w:val="21"/>
              </w:rPr>
              <w:t>实践要求：小组提交一份分析报告，每人提交一份模拟写作作业。</w:t>
            </w:r>
          </w:p>
        </w:tc>
        <w:tc>
          <w:tcPr>
            <w:tcW w:w="740" w:type="dxa"/>
            <w:vAlign w:val="center"/>
          </w:tcPr>
          <w:p w14:paraId="2D622EF2">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分析报告</w:t>
            </w:r>
          </w:p>
        </w:tc>
        <w:tc>
          <w:tcPr>
            <w:tcW w:w="3160" w:type="dxa"/>
            <w:vAlign w:val="center"/>
          </w:tcPr>
          <w:p w14:paraId="1988A78A">
            <w:pPr>
              <w:spacing w:line="276" w:lineRule="auto"/>
              <w:jc w:val="left"/>
              <w:rPr>
                <w:rFonts w:ascii="宋体" w:hAnsi="宋体" w:eastAsia="宋体" w:cs="宋体"/>
                <w:szCs w:val="21"/>
              </w:rPr>
            </w:pPr>
            <w:r>
              <w:rPr>
                <w:rFonts w:hint="eastAsia" w:ascii="宋体" w:hAnsi="宋体" w:eastAsia="宋体" w:cs="宋体"/>
                <w:szCs w:val="21"/>
              </w:rPr>
              <w:t>通过小组合作实践活动，深入引导学生分析案例中的形式化修辞方法，提升其语言艺术的鉴赏力与审美素养。要求小组协作完成分析报告，强化团队合作意识与沟通协调能力。同时，要求每位学生提交模拟写作作业，将课堂所学的修辞技巧灵活运用于实际写作中，以此培养学生的创新思维和实践操作能力，并树立正确的语言表达和价值观念。</w:t>
            </w:r>
          </w:p>
        </w:tc>
      </w:tr>
      <w:tr w14:paraId="0801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7682747F">
            <w:pPr>
              <w:spacing w:line="276" w:lineRule="auto"/>
              <w:jc w:val="left"/>
              <w:rPr>
                <w:rFonts w:hint="default" w:ascii="宋体" w:hAnsi="宋体" w:eastAsia="宋体" w:cs="宋体"/>
                <w:szCs w:val="21"/>
                <w:lang w:val="en-US" w:eastAsia="zh-CN"/>
              </w:rPr>
            </w:pPr>
            <w:r>
              <w:rPr>
                <w:rFonts w:hint="eastAsia" w:ascii="宋体" w:hAnsi="宋体" w:eastAsia="宋体" w:cs="宋体"/>
                <w:szCs w:val="21"/>
                <w:lang w:val="en-US" w:eastAsia="zh-CN"/>
              </w:rPr>
              <w:t>修辞学史</w:t>
            </w:r>
          </w:p>
        </w:tc>
        <w:tc>
          <w:tcPr>
            <w:tcW w:w="3407" w:type="dxa"/>
            <w:vAlign w:val="center"/>
          </w:tcPr>
          <w:p w14:paraId="1D289CDC">
            <w:pPr>
              <w:spacing w:line="276" w:lineRule="auto"/>
              <w:jc w:val="left"/>
              <w:rPr>
                <w:rFonts w:hint="eastAsia" w:ascii="宋体" w:hAnsi="宋体" w:eastAsia="宋体" w:cs="宋体"/>
                <w:szCs w:val="21"/>
              </w:rPr>
            </w:pPr>
            <w:r>
              <w:rPr>
                <w:rFonts w:hint="eastAsia" w:ascii="宋体" w:hAnsi="宋体" w:eastAsia="宋体" w:cs="宋体"/>
                <w:szCs w:val="21"/>
              </w:rPr>
              <w:t>实践内容：阅读相关文献，从不同角度梳理修辞学史，形成思维导图</w:t>
            </w:r>
          </w:p>
          <w:p w14:paraId="291382E0">
            <w:pPr>
              <w:spacing w:line="276" w:lineRule="auto"/>
              <w:jc w:val="left"/>
              <w:rPr>
                <w:rFonts w:ascii="宋体" w:hAnsi="宋体" w:eastAsia="宋体" w:cs="宋体"/>
                <w:szCs w:val="21"/>
              </w:rPr>
            </w:pPr>
            <w:r>
              <w:rPr>
                <w:rFonts w:hint="eastAsia" w:ascii="宋体" w:hAnsi="宋体" w:eastAsia="宋体" w:cs="宋体"/>
                <w:szCs w:val="21"/>
              </w:rPr>
              <w:t>实践要求：小组汇报，并提交修辞学史梳理报告。</w:t>
            </w:r>
          </w:p>
        </w:tc>
        <w:tc>
          <w:tcPr>
            <w:tcW w:w="740" w:type="dxa"/>
            <w:vAlign w:val="center"/>
          </w:tcPr>
          <w:p w14:paraId="2F0916FD">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小组汇报</w:t>
            </w:r>
          </w:p>
        </w:tc>
        <w:tc>
          <w:tcPr>
            <w:tcW w:w="3160" w:type="dxa"/>
            <w:vAlign w:val="center"/>
          </w:tcPr>
          <w:p w14:paraId="222D77F7">
            <w:pPr>
              <w:spacing w:line="276" w:lineRule="auto"/>
              <w:jc w:val="left"/>
              <w:rPr>
                <w:rFonts w:ascii="宋体" w:hAnsi="宋体" w:eastAsia="宋体" w:cs="宋体"/>
                <w:szCs w:val="21"/>
              </w:rPr>
            </w:pPr>
            <w:r>
              <w:rPr>
                <w:rFonts w:hint="eastAsia" w:ascii="宋体" w:hAnsi="宋体" w:eastAsia="宋体" w:cs="宋体"/>
                <w:szCs w:val="21"/>
              </w:rPr>
              <w:t>通过阅读文献梳理修辞学史，形成思维导图，培养团队协作与汇报能力。要求小组提交梳理报告，增强历史脉络感，树立文化自信，提升学术素养与思维能力。</w:t>
            </w:r>
          </w:p>
        </w:tc>
      </w:tr>
    </w:tbl>
    <w:p w14:paraId="4B0454A1">
      <w:pPr>
        <w:spacing w:line="360" w:lineRule="auto"/>
        <w:ind w:firstLine="551" w:firstLineChars="196"/>
        <w:jc w:val="left"/>
        <w:rPr>
          <w:rFonts w:ascii="宋体" w:hAnsi="宋体" w:eastAsia="宋体" w:cs="Times New Roman"/>
          <w:b/>
          <w:color w:val="000000"/>
          <w:sz w:val="28"/>
          <w:szCs w:val="28"/>
        </w:rPr>
      </w:pPr>
    </w:p>
    <w:p w14:paraId="2ABE9810">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79FC046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961A4D2">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本课程根据学生作业、课堂讨论、教学环节、平时考核情况和学生、教学督导等的反馈，及时对教学中的不足之处进行改进，并在下一轮课程教学中整改完善，确保相应毕业要求指标点达成。</w:t>
      </w:r>
    </w:p>
    <w:p w14:paraId="4F0DD6A3">
      <w:pPr>
        <w:spacing w:line="360" w:lineRule="auto"/>
        <w:jc w:val="left"/>
        <w:rPr>
          <w:rFonts w:ascii="Times New Roman" w:hAnsi="Times New Roman" w:eastAsia="宋体" w:cs="Times New Roman"/>
          <w:b/>
          <w:szCs w:val="21"/>
        </w:rPr>
      </w:pPr>
    </w:p>
    <w:p w14:paraId="6B273F7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99BE120">
      <w:pPr>
        <w:spacing w:line="360" w:lineRule="auto"/>
        <w:ind w:firstLine="420" w:firstLineChars="200"/>
        <w:jc w:val="left"/>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黎运汉，盛永生《汉语修辞学》，广东教育出版社，2010年。</w:t>
      </w:r>
    </w:p>
    <w:p w14:paraId="77393A6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EBEEA20">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1.</w:t>
      </w:r>
      <w:r>
        <w:rPr>
          <w:rFonts w:hint="eastAsia" w:ascii="Times New Roman" w:hAnsi="Times New Roman" w:eastAsia="宋体" w:cs="Times New Roman"/>
          <w:bCs/>
          <w:color w:val="000000"/>
          <w:szCs w:val="21"/>
        </w:rPr>
        <w:t>陈汝东.《当代汉语修辞学》.北京大学出版社.2005.</w:t>
      </w:r>
    </w:p>
    <w:p w14:paraId="13FEF188">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王德春、陈晨.《现代修辞学》.上海外语教育出版社.1998.</w:t>
      </w:r>
    </w:p>
    <w:p w14:paraId="7506B783">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3.</w:t>
      </w:r>
      <w:r>
        <w:rPr>
          <w:rFonts w:hint="eastAsia" w:ascii="Times New Roman" w:hAnsi="Times New Roman" w:eastAsia="宋体" w:cs="Times New Roman"/>
          <w:bCs/>
          <w:color w:val="000000"/>
          <w:szCs w:val="21"/>
        </w:rPr>
        <w:t>王德春.《大学修辞学》.福建人民出版社.2004.</w:t>
      </w:r>
    </w:p>
    <w:p w14:paraId="47A8D60F">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4.</w:t>
      </w:r>
      <w:r>
        <w:rPr>
          <w:rFonts w:hint="eastAsia" w:ascii="Times New Roman" w:hAnsi="Times New Roman" w:eastAsia="宋体" w:cs="Times New Roman"/>
          <w:bCs/>
          <w:color w:val="000000"/>
          <w:szCs w:val="21"/>
        </w:rPr>
        <w:t>王希杰.《修辞学通论》.南京大学出版社.1996.</w:t>
      </w:r>
    </w:p>
    <w:p w14:paraId="44CBC543">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5.</w:t>
      </w:r>
      <w:r>
        <w:rPr>
          <w:rFonts w:hint="eastAsia" w:ascii="Times New Roman" w:hAnsi="Times New Roman" w:eastAsia="宋体" w:cs="Times New Roman"/>
          <w:bCs/>
          <w:color w:val="000000"/>
          <w:szCs w:val="21"/>
        </w:rPr>
        <w:t>苏新春.《文化语言学教程》.外语教学与研究出版社.2006.</w:t>
      </w:r>
    </w:p>
    <w:p w14:paraId="6497A38D">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6.</w:t>
      </w:r>
      <w:r>
        <w:rPr>
          <w:rFonts w:hint="eastAsia" w:ascii="Times New Roman" w:hAnsi="Times New Roman" w:eastAsia="宋体" w:cs="Times New Roman"/>
          <w:bCs/>
          <w:color w:val="000000"/>
          <w:szCs w:val="21"/>
        </w:rPr>
        <w:t>陈望道.《修辞学发凡》.复旦大学出版社.2008.</w:t>
      </w:r>
    </w:p>
    <w:p w14:paraId="5F894D26"/>
    <w:p w14:paraId="762CDD45"/>
    <w:p w14:paraId="4F9C9945"/>
    <w:p w14:paraId="37BCA9C4"/>
    <w:p w14:paraId="2E404DFC"/>
    <w:p w14:paraId="573FA188">
      <w:pPr>
        <w:spacing w:line="360" w:lineRule="auto"/>
        <w:ind w:right="192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hint="eastAsia" w:ascii="Times New Roman" w:hAnsi="Times New Roman" w:eastAsia="宋体" w:cs="Times New Roman"/>
          <w:sz w:val="24"/>
          <w:szCs w:val="24"/>
          <w:lang w:val="en-US" w:eastAsia="zh-CN"/>
        </w:rPr>
        <w:t>郭丽萍</w:t>
      </w:r>
    </w:p>
    <w:p w14:paraId="379B9442">
      <w:pPr>
        <w:wordWrap/>
        <w:spacing w:line="360" w:lineRule="auto"/>
        <w:ind w:right="192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hint="eastAsia" w:ascii="Times New Roman" w:hAnsi="Times New Roman" w:eastAsia="宋体" w:cs="Times New Roman"/>
          <w:sz w:val="24"/>
          <w:szCs w:val="24"/>
          <w:lang w:val="en-US" w:eastAsia="zh-CN"/>
        </w:rPr>
        <w:t>谢燕红</w:t>
      </w:r>
    </w:p>
    <w:p w14:paraId="259D9DE3">
      <w:pPr>
        <w:spacing w:line="360" w:lineRule="auto"/>
        <w:ind w:right="1200"/>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51AC5CD4">
      <w:pPr>
        <w:spacing w:line="360" w:lineRule="auto"/>
        <w:ind w:firstLine="4560" w:firstLineChars="1900"/>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486562E">
      <w:pPr>
        <w:widowControl/>
        <w:jc w:val="left"/>
        <w:rPr>
          <w:rFonts w:ascii="宋体" w:hAnsi="宋体" w:eastAsia="宋体" w:cs="宋体"/>
          <w:color w:val="000000"/>
          <w:sz w:val="24"/>
          <w:szCs w:val="22"/>
        </w:rPr>
      </w:pPr>
      <w:r>
        <w:rPr>
          <w:rFonts w:ascii="宋体" w:hAnsi="宋体" w:eastAsia="宋体" w:cs="宋体"/>
          <w:color w:val="000000"/>
          <w:sz w:val="24"/>
          <w:szCs w:val="22"/>
        </w:rPr>
        <w:br w:type="page"/>
      </w:r>
    </w:p>
    <w:p w14:paraId="7F11AF6E">
      <w:pPr>
        <w:pStyle w:val="2"/>
        <w:bidi w:val="0"/>
        <w:rPr>
          <w:lang w:val="en-US" w:eastAsia="zh-CN"/>
        </w:rPr>
      </w:pPr>
      <w:bookmarkStart w:id="2432" w:name="_Toc9620"/>
      <w:bookmarkStart w:id="2433" w:name="_Toc12550"/>
      <w:bookmarkStart w:id="2434" w:name="_Toc3091"/>
      <w:bookmarkStart w:id="2435" w:name="_Toc1967"/>
      <w:r>
        <w:rPr>
          <w:rFonts w:hint="eastAsia"/>
          <w:lang w:val="en-US" w:eastAsia="zh-CN"/>
        </w:rPr>
        <w:t>《逻辑学》课程教学大纲</w:t>
      </w:r>
      <w:bookmarkEnd w:id="2432"/>
      <w:bookmarkEnd w:id="2433"/>
      <w:bookmarkEnd w:id="2434"/>
      <w:bookmarkEnd w:id="2435"/>
    </w:p>
    <w:p w14:paraId="0A250C7D">
      <w:pPr>
        <w:pStyle w:val="2"/>
        <w:bidi w:val="0"/>
        <w:rPr>
          <w:lang w:val="en-US" w:eastAsia="zh-CN"/>
        </w:rPr>
      </w:pPr>
      <w:bookmarkStart w:id="2436" w:name="_Toc23868"/>
      <w:bookmarkStart w:id="2437" w:name="_Toc19834"/>
      <w:bookmarkStart w:id="2438" w:name="_Toc887"/>
      <w:bookmarkStart w:id="2439" w:name="_Toc30807"/>
      <w:bookmarkStart w:id="2440" w:name="_Toc24087"/>
      <w:bookmarkStart w:id="2441" w:name="_Toc15590"/>
      <w:bookmarkStart w:id="2442" w:name="_Toc4011"/>
      <w:r>
        <w:rPr>
          <w:lang w:val="en-US" w:eastAsia="zh-CN"/>
        </w:rPr>
        <w:t>（Logic）</w:t>
      </w:r>
      <w:bookmarkEnd w:id="2436"/>
      <w:bookmarkEnd w:id="2437"/>
      <w:bookmarkEnd w:id="2438"/>
      <w:bookmarkEnd w:id="2439"/>
      <w:bookmarkEnd w:id="2440"/>
      <w:bookmarkEnd w:id="2441"/>
      <w:bookmarkEnd w:id="2442"/>
    </w:p>
    <w:p w14:paraId="464292EE">
      <w:pPr>
        <w:spacing w:line="360" w:lineRule="auto"/>
        <w:ind w:firstLine="480" w:firstLineChars="200"/>
        <w:jc w:val="left"/>
        <w:rPr>
          <w:rFonts w:ascii="等线" w:hAnsi="等线" w:eastAsia="等线" w:cs="Times New Roman"/>
          <w:b/>
          <w:sz w:val="24"/>
          <w:szCs w:val="22"/>
        </w:rPr>
      </w:pPr>
      <w:r>
        <w:rPr>
          <w:rFonts w:hint="eastAsia" w:ascii="等线" w:hAnsi="等线" w:eastAsia="等线" w:cs="Times New Roman"/>
          <w:b/>
          <w:sz w:val="24"/>
          <w:szCs w:val="22"/>
        </w:rPr>
        <w:t>课程名称：逻辑学</w:t>
      </w:r>
    </w:p>
    <w:p w14:paraId="5896B2BC">
      <w:pPr>
        <w:spacing w:line="360" w:lineRule="auto"/>
        <w:ind w:firstLine="480" w:firstLineChars="200"/>
        <w:jc w:val="left"/>
        <w:rPr>
          <w:rFonts w:hint="eastAsia" w:ascii="等线" w:hAnsi="等线" w:eastAsia="等线" w:cs="Times New Roman"/>
          <w:b/>
          <w:sz w:val="24"/>
          <w:szCs w:val="22"/>
        </w:rPr>
      </w:pPr>
      <w:r>
        <w:rPr>
          <w:rFonts w:hint="eastAsia" w:ascii="等线" w:hAnsi="等线" w:eastAsia="等线" w:cs="Times New Roman"/>
          <w:b/>
          <w:sz w:val="24"/>
          <w:szCs w:val="22"/>
        </w:rPr>
        <w:t>课程代码：2401033</w:t>
      </w:r>
    </w:p>
    <w:p w14:paraId="6938A8CF">
      <w:pPr>
        <w:spacing w:line="360" w:lineRule="auto"/>
        <w:ind w:firstLine="480" w:firstLineChars="200"/>
        <w:jc w:val="left"/>
        <w:rPr>
          <w:rFonts w:ascii="等线" w:hAnsi="等线" w:eastAsia="等线" w:cs="Times New Roman"/>
          <w:sz w:val="24"/>
          <w:szCs w:val="22"/>
        </w:rPr>
      </w:pPr>
      <w:r>
        <w:rPr>
          <w:rFonts w:hint="eastAsia" w:ascii="等线" w:hAnsi="等线" w:eastAsia="等线" w:cs="Times New Roman"/>
          <w:b/>
          <w:sz w:val="24"/>
          <w:szCs w:val="22"/>
        </w:rPr>
        <w:t xml:space="preserve">学 </w:t>
      </w:r>
      <w:r>
        <w:rPr>
          <w:rFonts w:ascii="等线" w:hAnsi="等线" w:eastAsia="等线" w:cs="Times New Roman"/>
          <w:b/>
          <w:sz w:val="24"/>
          <w:szCs w:val="22"/>
        </w:rPr>
        <w:t xml:space="preserve">   </w:t>
      </w:r>
      <w:r>
        <w:rPr>
          <w:rFonts w:hint="eastAsia" w:ascii="等线" w:hAnsi="等线" w:eastAsia="等线" w:cs="Times New Roman"/>
          <w:b/>
          <w:sz w:val="24"/>
          <w:szCs w:val="22"/>
        </w:rPr>
        <w:t>分：2</w:t>
      </w:r>
    </w:p>
    <w:p w14:paraId="08947956">
      <w:pPr>
        <w:spacing w:line="360" w:lineRule="auto"/>
        <w:ind w:firstLine="480" w:firstLineChars="200"/>
        <w:jc w:val="left"/>
        <w:rPr>
          <w:rFonts w:ascii="等线" w:hAnsi="等线" w:eastAsia="等线" w:cs="Times New Roman"/>
          <w:sz w:val="24"/>
          <w:szCs w:val="22"/>
        </w:rPr>
      </w:pPr>
      <w:r>
        <w:rPr>
          <w:rFonts w:hint="eastAsia" w:ascii="等线" w:hAnsi="等线" w:eastAsia="等线" w:cs="Times New Roman"/>
          <w:b/>
          <w:sz w:val="24"/>
          <w:szCs w:val="22"/>
        </w:rPr>
        <w:t xml:space="preserve">学 </w:t>
      </w:r>
      <w:r>
        <w:rPr>
          <w:rFonts w:ascii="等线" w:hAnsi="等线" w:eastAsia="等线" w:cs="Times New Roman"/>
          <w:b/>
          <w:sz w:val="24"/>
          <w:szCs w:val="22"/>
        </w:rPr>
        <w:t xml:space="preserve">   </w:t>
      </w:r>
      <w:r>
        <w:rPr>
          <w:rFonts w:hint="eastAsia" w:ascii="等线" w:hAnsi="等线" w:eastAsia="等线" w:cs="Times New Roman"/>
          <w:b/>
          <w:sz w:val="24"/>
          <w:szCs w:val="22"/>
        </w:rPr>
        <w:t>时：32</w:t>
      </w:r>
    </w:p>
    <w:p w14:paraId="4DB8E8BD">
      <w:pPr>
        <w:spacing w:line="360" w:lineRule="auto"/>
        <w:ind w:firstLine="480" w:firstLineChars="200"/>
        <w:jc w:val="left"/>
        <w:rPr>
          <w:rFonts w:ascii="等线" w:hAnsi="等线" w:eastAsia="等线" w:cs="Times New Roman"/>
          <w:sz w:val="24"/>
          <w:szCs w:val="22"/>
        </w:rPr>
      </w:pPr>
      <w:r>
        <w:rPr>
          <w:rFonts w:hint="eastAsia" w:ascii="等线" w:hAnsi="等线" w:eastAsia="等线" w:cs="Times New Roman"/>
          <w:b/>
          <w:sz w:val="24"/>
          <w:szCs w:val="22"/>
        </w:rPr>
        <w:t>先修课程：无</w:t>
      </w:r>
    </w:p>
    <w:p w14:paraId="704737F6">
      <w:pPr>
        <w:spacing w:line="360" w:lineRule="auto"/>
        <w:ind w:firstLine="480" w:firstLineChars="200"/>
        <w:jc w:val="left"/>
        <w:rPr>
          <w:rFonts w:ascii="等线" w:hAnsi="等线" w:eastAsia="等线" w:cs="Times New Roman"/>
          <w:b/>
          <w:sz w:val="24"/>
          <w:szCs w:val="22"/>
        </w:rPr>
      </w:pPr>
      <w:r>
        <w:rPr>
          <w:rFonts w:hint="eastAsia" w:ascii="等线" w:hAnsi="等线" w:eastAsia="等线" w:cs="Times New Roman"/>
          <w:b/>
          <w:sz w:val="24"/>
          <w:szCs w:val="22"/>
        </w:rPr>
        <w:t>适用专业：小学教育</w:t>
      </w:r>
    </w:p>
    <w:p w14:paraId="3C82A143">
      <w:pPr>
        <w:spacing w:line="360" w:lineRule="auto"/>
        <w:jc w:val="left"/>
        <w:outlineLvl w:val="0"/>
        <w:rPr>
          <w:rFonts w:ascii="等线" w:hAnsi="等线" w:eastAsia="等线" w:cs="Times New Roman"/>
          <w:sz w:val="24"/>
          <w:szCs w:val="22"/>
        </w:rPr>
      </w:pPr>
      <w:bookmarkStart w:id="2443" w:name="_Toc25525"/>
      <w:bookmarkStart w:id="2444" w:name="_Toc16062"/>
      <w:bookmarkStart w:id="2445" w:name="_Toc26524"/>
      <w:bookmarkStart w:id="2446" w:name="_Toc18581"/>
      <w:bookmarkStart w:id="2447" w:name="_Toc15007"/>
      <w:bookmarkStart w:id="2448" w:name="_Toc11546"/>
      <w:bookmarkStart w:id="2449" w:name="_Toc17615"/>
      <w:r>
        <w:rPr>
          <w:rFonts w:hint="eastAsia" w:ascii="等线" w:hAnsi="等线" w:eastAsia="等线" w:cs="Times New Roman"/>
          <w:b/>
          <w:sz w:val="24"/>
          <w:szCs w:val="22"/>
        </w:rPr>
        <w:t>一、课程简介</w:t>
      </w:r>
      <w:bookmarkEnd w:id="2443"/>
      <w:bookmarkEnd w:id="2444"/>
      <w:bookmarkEnd w:id="2445"/>
      <w:bookmarkEnd w:id="2446"/>
      <w:bookmarkEnd w:id="2447"/>
      <w:bookmarkEnd w:id="2448"/>
      <w:bookmarkEnd w:id="2449"/>
    </w:p>
    <w:p w14:paraId="2FB3F66D">
      <w:pPr>
        <w:spacing w:line="360" w:lineRule="auto"/>
        <w:ind w:firstLine="420" w:firstLineChars="200"/>
        <w:jc w:val="left"/>
        <w:rPr>
          <w:rFonts w:ascii="等线" w:hAnsi="等线" w:eastAsia="等线" w:cs="Times New Roman"/>
          <w:szCs w:val="21"/>
        </w:rPr>
      </w:pPr>
      <w:r>
        <w:rPr>
          <w:rFonts w:hint="eastAsia" w:ascii="等线" w:hAnsi="等线" w:eastAsia="等线" w:cs="Times New Roman"/>
          <w:szCs w:val="21"/>
        </w:rPr>
        <w:t>逻辑学是以思维形式及其规律和某些简单的逻辑方法为研究对象的一门工具性学科，是高等院校文科专业学生必修的基础课程。本课程通过对概念、命题及推理等基本思维形式等的概念和规律等逻辑的基本内容的讲授，也对定义、划分、限制、概括、论证等等基本逻辑方法进行介绍，通过练习，学生能在日常生活中进行运用，学会基本的辩论和论述。</w:t>
      </w:r>
    </w:p>
    <w:p w14:paraId="26305291">
      <w:pPr>
        <w:spacing w:line="360" w:lineRule="auto"/>
        <w:jc w:val="left"/>
        <w:outlineLvl w:val="0"/>
        <w:rPr>
          <w:rFonts w:ascii="等线" w:hAnsi="等线" w:eastAsia="等线" w:cs="Times New Roman"/>
          <w:sz w:val="24"/>
          <w:szCs w:val="22"/>
        </w:rPr>
      </w:pPr>
      <w:bookmarkStart w:id="2450" w:name="_Toc7096"/>
      <w:bookmarkStart w:id="2451" w:name="_Toc1027"/>
      <w:bookmarkStart w:id="2452" w:name="_Toc13267"/>
      <w:bookmarkStart w:id="2453" w:name="_Toc6309"/>
      <w:bookmarkStart w:id="2454" w:name="_Toc15134"/>
      <w:bookmarkStart w:id="2455" w:name="_Toc9146"/>
      <w:bookmarkStart w:id="2456" w:name="_Toc811"/>
      <w:r>
        <w:rPr>
          <w:rFonts w:hint="eastAsia" w:ascii="宋体" w:hAnsi="宋体" w:eastAsia="等线" w:cs="Times New Roman"/>
          <w:b/>
          <w:color w:val="000000"/>
          <w:sz w:val="24"/>
          <w:szCs w:val="22"/>
        </w:rPr>
        <w:t>二</w:t>
      </w:r>
      <w:r>
        <w:rPr>
          <w:rFonts w:ascii="宋体" w:hAnsi="宋体" w:eastAsia="等线" w:cs="Times New Roman"/>
          <w:b/>
          <w:color w:val="000000"/>
          <w:sz w:val="24"/>
          <w:szCs w:val="22"/>
        </w:rPr>
        <w:t>、课程目标</w:t>
      </w:r>
      <w:bookmarkEnd w:id="2450"/>
      <w:bookmarkEnd w:id="2451"/>
      <w:bookmarkEnd w:id="2452"/>
      <w:bookmarkEnd w:id="2453"/>
      <w:bookmarkEnd w:id="2454"/>
      <w:bookmarkEnd w:id="2455"/>
      <w:bookmarkEnd w:id="2456"/>
    </w:p>
    <w:p w14:paraId="450BA517">
      <w:pPr>
        <w:spacing w:line="360" w:lineRule="auto"/>
        <w:ind w:firstLine="420" w:firstLineChars="200"/>
        <w:outlineLvl w:val="1"/>
        <w:rPr>
          <w:rFonts w:hint="eastAsia" w:ascii="宋体" w:hAnsi="宋体" w:eastAsia="等线" w:cs="Times New Roman"/>
          <w:b/>
          <w:color w:val="000000"/>
          <w:szCs w:val="21"/>
        </w:rPr>
      </w:pPr>
      <w:bookmarkStart w:id="2457" w:name="_Toc19749"/>
      <w:r>
        <w:rPr>
          <w:rFonts w:hint="eastAsia" w:ascii="宋体" w:hAnsi="宋体" w:eastAsia="等线" w:cs="Times New Roman"/>
          <w:b/>
          <w:color w:val="000000"/>
          <w:szCs w:val="21"/>
        </w:rPr>
        <w:t>（一）课程具体目标</w:t>
      </w:r>
      <w:bookmarkEnd w:id="2457"/>
    </w:p>
    <w:p w14:paraId="3B945C8C">
      <w:pPr>
        <w:spacing w:line="360" w:lineRule="auto"/>
        <w:ind w:firstLine="482"/>
        <w:jc w:val="left"/>
        <w:rPr>
          <w:rFonts w:ascii="等线" w:hAnsi="等线" w:eastAsia="等线" w:cs="Times New Roman"/>
          <w:szCs w:val="21"/>
        </w:rPr>
      </w:pPr>
      <w:r>
        <w:rPr>
          <w:rFonts w:hint="eastAsia" w:ascii="等线" w:hAnsi="等线" w:eastAsia="等线" w:cs="Times New Roman"/>
          <w:b/>
          <w:szCs w:val="21"/>
        </w:rPr>
        <w:t>目标</w:t>
      </w:r>
      <w:r>
        <w:rPr>
          <w:rFonts w:ascii="等线" w:hAnsi="等线" w:eastAsia="等线" w:cs="Times New Roman"/>
          <w:b/>
          <w:szCs w:val="21"/>
        </w:rPr>
        <w:t>1.</w:t>
      </w:r>
      <w:r>
        <w:rPr>
          <w:rFonts w:hint="eastAsia" w:ascii="等线" w:hAnsi="等线" w:eastAsia="等线" w:cs="Times New Roman"/>
          <w:szCs w:val="21"/>
        </w:rPr>
        <w:t>了解逻辑学的学科特点，知道逻辑学与其他学科的关系，掌握逻辑学的研究对象及研究方法。</w:t>
      </w:r>
    </w:p>
    <w:p w14:paraId="573A5C08">
      <w:pPr>
        <w:spacing w:line="360" w:lineRule="auto"/>
        <w:ind w:firstLine="482"/>
        <w:jc w:val="left"/>
        <w:rPr>
          <w:rFonts w:ascii="等线" w:hAnsi="等线" w:eastAsia="等线" w:cs="Times New Roman"/>
          <w:bCs/>
          <w:szCs w:val="21"/>
        </w:rPr>
      </w:pPr>
      <w:r>
        <w:rPr>
          <w:rFonts w:hint="eastAsia" w:ascii="等线" w:hAnsi="等线" w:eastAsia="等线" w:cs="Times New Roman"/>
          <w:b/>
          <w:szCs w:val="21"/>
        </w:rPr>
        <w:t>目标2</w:t>
      </w:r>
      <w:r>
        <w:rPr>
          <w:rFonts w:ascii="等线" w:hAnsi="等线" w:eastAsia="等线" w:cs="Times New Roman"/>
          <w:b/>
          <w:szCs w:val="21"/>
        </w:rPr>
        <w:t>.</w:t>
      </w:r>
      <w:r>
        <w:rPr>
          <w:rFonts w:hint="eastAsia" w:ascii="等线" w:hAnsi="等线" w:eastAsia="等线" w:cs="Times New Roman"/>
          <w:szCs w:val="22"/>
        </w:rPr>
        <w:t xml:space="preserve"> </w:t>
      </w:r>
      <w:r>
        <w:rPr>
          <w:rFonts w:hint="eastAsia" w:ascii="等线" w:hAnsi="等线" w:eastAsia="等线" w:cs="Times New Roman"/>
          <w:bCs/>
          <w:szCs w:val="21"/>
        </w:rPr>
        <w:t>了解判断、推理的逻辑特征和类型；理解概念的特征、种类、概念间的关系，三段论推理的规则，定义、划分的方法与规则；能正确地对概念进行概括与限制；会用欧拉图解表示概念间的关系、分析三段论的构成，掌握复合判断的逻辑特征、逻辑结构式及其逻辑简式、真值表、归纳推理与演绎推理，能在生活中的运用二难推理，会用推理解决问题。</w:t>
      </w:r>
    </w:p>
    <w:p w14:paraId="406D78CE">
      <w:pPr>
        <w:spacing w:line="360" w:lineRule="auto"/>
        <w:ind w:firstLine="420" w:firstLineChars="200"/>
        <w:jc w:val="left"/>
        <w:rPr>
          <w:rFonts w:ascii="等线" w:hAnsi="等线" w:eastAsia="等线" w:cs="Times New Roman"/>
          <w:szCs w:val="21"/>
        </w:rPr>
      </w:pPr>
      <w:r>
        <w:rPr>
          <w:rFonts w:hint="eastAsia" w:ascii="等线" w:hAnsi="等线" w:eastAsia="等线" w:cs="Times New Roman"/>
          <w:b/>
          <w:szCs w:val="21"/>
        </w:rPr>
        <w:t>目标3</w:t>
      </w:r>
      <w:r>
        <w:rPr>
          <w:rFonts w:hint="eastAsia" w:ascii="等线" w:hAnsi="等线" w:eastAsia="等线" w:cs="Times New Roman"/>
          <w:b/>
          <w:kern w:val="0"/>
          <w:szCs w:val="21"/>
        </w:rPr>
        <w:t>．</w:t>
      </w:r>
      <w:r>
        <w:rPr>
          <w:rFonts w:hint="eastAsia" w:ascii="等线" w:hAnsi="等线" w:eastAsia="等线" w:cs="Times New Roman"/>
          <w:szCs w:val="21"/>
        </w:rPr>
        <w:t>熟练掌握形式逻辑基本规律和论证的主要方法；能正确运用这些规律和方法解决现实问题。</w:t>
      </w:r>
    </w:p>
    <w:p w14:paraId="3CAE7454">
      <w:pPr>
        <w:spacing w:before="156" w:beforeLines="50" w:after="156" w:afterLines="50" w:line="360" w:lineRule="auto"/>
        <w:jc w:val="left"/>
        <w:outlineLvl w:val="1"/>
        <w:rPr>
          <w:rFonts w:ascii="等线" w:hAnsi="等线" w:eastAsia="等线" w:cs="Times New Roman"/>
          <w:b/>
          <w:bCs/>
          <w:szCs w:val="21"/>
        </w:rPr>
      </w:pPr>
      <w:bookmarkStart w:id="2458" w:name="_Toc21963"/>
      <w:r>
        <w:rPr>
          <w:rFonts w:hint="eastAsia" w:ascii="等线" w:hAnsi="等线" w:eastAsia="等线" w:cs="Times New Roman"/>
          <w:b/>
          <w:bCs/>
          <w:szCs w:val="21"/>
        </w:rPr>
        <w:t>（二）课程目标及其对毕业要求指标点的支撑</w:t>
      </w:r>
      <w:bookmarkEnd w:id="2458"/>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331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313EDCF">
            <w:pPr>
              <w:spacing w:line="360" w:lineRule="auto"/>
              <w:jc w:val="center"/>
              <w:rPr>
                <w:rFonts w:ascii="等线" w:hAnsi="等线" w:eastAsia="等线" w:cs="Times New Roman"/>
                <w:b/>
                <w:bCs/>
                <w:szCs w:val="21"/>
              </w:rPr>
            </w:pPr>
            <w:r>
              <w:rPr>
                <w:rFonts w:hint="eastAsia" w:ascii="等线" w:hAnsi="等线" w:eastAsia="等线" w:cs="Times New Roman"/>
                <w:b/>
                <w:bCs/>
                <w:szCs w:val="21"/>
              </w:rPr>
              <w:t>毕业要求</w:t>
            </w:r>
          </w:p>
        </w:tc>
        <w:tc>
          <w:tcPr>
            <w:tcW w:w="5688" w:type="dxa"/>
            <w:vAlign w:val="center"/>
          </w:tcPr>
          <w:p w14:paraId="6A13FAAA">
            <w:pPr>
              <w:spacing w:line="360" w:lineRule="auto"/>
              <w:jc w:val="center"/>
              <w:rPr>
                <w:rFonts w:ascii="等线" w:hAnsi="等线" w:eastAsia="等线" w:cs="Times New Roman"/>
                <w:b/>
                <w:bCs/>
                <w:szCs w:val="21"/>
              </w:rPr>
            </w:pPr>
            <w:r>
              <w:rPr>
                <w:rFonts w:hint="eastAsia" w:ascii="等线" w:hAnsi="等线" w:eastAsia="等线" w:cs="Times New Roman"/>
                <w:b/>
                <w:bCs/>
                <w:szCs w:val="21"/>
              </w:rPr>
              <w:t>毕业要求指标点</w:t>
            </w:r>
          </w:p>
        </w:tc>
        <w:tc>
          <w:tcPr>
            <w:tcW w:w="1191" w:type="dxa"/>
            <w:vAlign w:val="center"/>
          </w:tcPr>
          <w:p w14:paraId="738122DA">
            <w:pPr>
              <w:spacing w:line="360" w:lineRule="auto"/>
              <w:jc w:val="center"/>
              <w:rPr>
                <w:rFonts w:ascii="等线" w:hAnsi="等线" w:eastAsia="等线" w:cs="Times New Roman"/>
                <w:b/>
                <w:bCs/>
                <w:szCs w:val="21"/>
              </w:rPr>
            </w:pPr>
            <w:r>
              <w:rPr>
                <w:rFonts w:hint="eastAsia" w:ascii="等线" w:hAnsi="等线" w:eastAsia="等线" w:cs="Times New Roman"/>
                <w:b/>
                <w:bCs/>
                <w:szCs w:val="21"/>
              </w:rPr>
              <w:t>课程目标</w:t>
            </w:r>
          </w:p>
        </w:tc>
      </w:tr>
      <w:tr w14:paraId="7970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29154AF">
            <w:pPr>
              <w:spacing w:line="276" w:lineRule="auto"/>
              <w:jc w:val="left"/>
              <w:rPr>
                <w:rFonts w:ascii="等线" w:hAnsi="等线" w:eastAsia="等线" w:cs="Times New Roman"/>
                <w:szCs w:val="21"/>
              </w:rPr>
            </w:pPr>
            <w:r>
              <w:rPr>
                <w:rFonts w:hint="eastAsia" w:ascii="等线" w:hAnsi="等线" w:eastAsia="等线" w:cs="Times New Roman"/>
                <w:szCs w:val="21"/>
              </w:rPr>
              <w:t>毕业要求3学科素养</w:t>
            </w:r>
          </w:p>
        </w:tc>
        <w:tc>
          <w:tcPr>
            <w:tcW w:w="5688" w:type="dxa"/>
            <w:vAlign w:val="center"/>
          </w:tcPr>
          <w:p w14:paraId="3FCB73CC">
            <w:pPr>
              <w:spacing w:line="276" w:lineRule="auto"/>
              <w:jc w:val="left"/>
              <w:rPr>
                <w:rFonts w:ascii="等线" w:hAnsi="等线" w:eastAsia="等线" w:cs="Times New Roman"/>
                <w:szCs w:val="21"/>
              </w:rPr>
            </w:pPr>
            <w:r>
              <w:rPr>
                <w:rFonts w:hint="eastAsia" w:ascii="宋体" w:hAnsi="宋体" w:eastAsia="等线" w:cs="Times New Roman"/>
                <w:color w:val="000000"/>
                <w:spacing w:val="2"/>
                <w:kern w:val="0"/>
                <w:szCs w:val="21"/>
              </w:rPr>
              <w:t>指标点3-1：【通识知识广博】具有小学教育本科专业相应的自然科学和人文社会科学知识素养。</w:t>
            </w:r>
          </w:p>
        </w:tc>
        <w:tc>
          <w:tcPr>
            <w:tcW w:w="1191" w:type="dxa"/>
            <w:vAlign w:val="center"/>
          </w:tcPr>
          <w:p w14:paraId="5E3C13BB">
            <w:pPr>
              <w:spacing w:line="276" w:lineRule="auto"/>
              <w:jc w:val="left"/>
              <w:rPr>
                <w:rFonts w:ascii="等线" w:hAnsi="等线" w:eastAsia="等线" w:cs="Times New Roman"/>
                <w:szCs w:val="21"/>
              </w:rPr>
            </w:pPr>
            <w:r>
              <w:rPr>
                <w:rFonts w:hint="eastAsia" w:ascii="等线" w:hAnsi="等线" w:eastAsia="等线" w:cs="Times New Roman"/>
                <w:szCs w:val="21"/>
              </w:rPr>
              <w:t>课程目标1</w:t>
            </w:r>
          </w:p>
          <w:p w14:paraId="48ED55B6">
            <w:pPr>
              <w:spacing w:line="276" w:lineRule="auto"/>
              <w:jc w:val="left"/>
              <w:rPr>
                <w:rFonts w:ascii="等线" w:hAnsi="等线" w:eastAsia="等线" w:cs="Times New Roman"/>
                <w:szCs w:val="21"/>
              </w:rPr>
            </w:pPr>
            <w:r>
              <w:rPr>
                <w:rFonts w:hint="eastAsia" w:ascii="等线" w:hAnsi="等线" w:eastAsia="等线" w:cs="Times New Roman"/>
                <w:szCs w:val="21"/>
              </w:rPr>
              <w:t>课程目标2</w:t>
            </w:r>
          </w:p>
        </w:tc>
      </w:tr>
      <w:tr w14:paraId="71BF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BB87997">
            <w:pPr>
              <w:spacing w:line="276" w:lineRule="auto"/>
              <w:jc w:val="left"/>
              <w:rPr>
                <w:rFonts w:ascii="等线" w:hAnsi="等线" w:eastAsia="等线" w:cs="Times New Roman"/>
                <w:szCs w:val="21"/>
              </w:rPr>
            </w:pPr>
            <w:r>
              <w:rPr>
                <w:rFonts w:hint="eastAsia" w:ascii="等线" w:hAnsi="等线" w:eastAsia="等线" w:cs="Times New Roman"/>
                <w:szCs w:val="21"/>
              </w:rPr>
              <w:t>毕业要求8沟通合作</w:t>
            </w:r>
          </w:p>
        </w:tc>
        <w:tc>
          <w:tcPr>
            <w:tcW w:w="5688" w:type="dxa"/>
            <w:vAlign w:val="center"/>
          </w:tcPr>
          <w:p w14:paraId="5AE012D3">
            <w:pPr>
              <w:spacing w:line="276" w:lineRule="auto"/>
              <w:jc w:val="left"/>
              <w:rPr>
                <w:rFonts w:ascii="等线" w:hAnsi="等线" w:eastAsia="等线" w:cs="Times New Roman"/>
                <w:szCs w:val="21"/>
              </w:rPr>
            </w:pPr>
            <w:r>
              <w:rPr>
                <w:rFonts w:hint="eastAsia" w:ascii="等线" w:hAnsi="等线" w:eastAsia="等线" w:cs="Times New Roman"/>
                <w:szCs w:val="21"/>
              </w:rPr>
              <w:t>指标点8-2：【学会沟通交流】掌握人际沟通合作技能与方法，在教育教学实践中，能与学生和家长以及同行、同事、专家进行有效沟通与合作，实现共同发展。</w:t>
            </w:r>
          </w:p>
        </w:tc>
        <w:tc>
          <w:tcPr>
            <w:tcW w:w="1191" w:type="dxa"/>
            <w:vAlign w:val="center"/>
          </w:tcPr>
          <w:p w14:paraId="6071BA39">
            <w:pPr>
              <w:spacing w:line="276" w:lineRule="auto"/>
              <w:jc w:val="left"/>
              <w:rPr>
                <w:rFonts w:ascii="等线" w:hAnsi="等线" w:eastAsia="等线" w:cs="Times New Roman"/>
                <w:szCs w:val="21"/>
              </w:rPr>
            </w:pPr>
            <w:r>
              <w:rPr>
                <w:rFonts w:hint="eastAsia" w:ascii="等线" w:hAnsi="等线" w:eastAsia="等线" w:cs="Times New Roman"/>
                <w:szCs w:val="21"/>
              </w:rPr>
              <w:t>课程目标3</w:t>
            </w:r>
          </w:p>
        </w:tc>
      </w:tr>
    </w:tbl>
    <w:p w14:paraId="2AA21805">
      <w:pPr>
        <w:spacing w:before="156" w:beforeLines="50" w:line="360" w:lineRule="auto"/>
        <w:jc w:val="left"/>
        <w:outlineLvl w:val="1"/>
        <w:rPr>
          <w:rFonts w:hint="eastAsia" w:ascii="宋体" w:hAnsi="宋体" w:eastAsia="等线" w:cs="Times New Roman"/>
          <w:b/>
          <w:color w:val="000000"/>
          <w:szCs w:val="21"/>
        </w:rPr>
      </w:pPr>
      <w:bookmarkStart w:id="2459" w:name="_Toc17179"/>
      <w:r>
        <w:rPr>
          <w:rFonts w:hint="eastAsia" w:ascii="宋体" w:hAnsi="宋体" w:eastAsia="等线" w:cs="Times New Roman"/>
          <w:b/>
          <w:color w:val="000000"/>
          <w:szCs w:val="21"/>
        </w:rPr>
        <w:t>（三）课程思政目标</w:t>
      </w:r>
      <w:bookmarkEnd w:id="2459"/>
    </w:p>
    <w:p w14:paraId="31BE586E">
      <w:pPr>
        <w:spacing w:line="360" w:lineRule="auto"/>
        <w:ind w:firstLine="420" w:firstLineChars="200"/>
        <w:jc w:val="left"/>
        <w:rPr>
          <w:rFonts w:ascii="宋体" w:hAnsi="宋体" w:eastAsia="等线" w:cs="Times New Roman"/>
          <w:color w:val="000000"/>
          <w:szCs w:val="21"/>
        </w:rPr>
      </w:pPr>
      <w:r>
        <w:rPr>
          <w:rFonts w:hint="eastAsia" w:ascii="宋体" w:hAnsi="宋体" w:eastAsia="等线" w:cs="Times New Roman"/>
          <w:color w:val="000000"/>
          <w:szCs w:val="21"/>
        </w:rPr>
        <w:t>促使学生基本养成科学思维的意识，提高学生对我国传统的逻辑学等传统文化的兴趣；通过例证渗透爱国主义思想，社会主义核心价值观，分析不当言论的逻辑错误，提高学生的判断能力，并通过辩论等形式提高学生解决问题的能力，学习理性思维，关注社会现象，提高批判思维能力。</w:t>
      </w:r>
    </w:p>
    <w:p w14:paraId="23B90DC7">
      <w:pPr>
        <w:spacing w:line="360" w:lineRule="auto"/>
        <w:ind w:firstLine="420" w:firstLineChars="200"/>
        <w:jc w:val="left"/>
        <w:rPr>
          <w:rFonts w:hint="eastAsia" w:ascii="等线" w:hAnsi="等线" w:eastAsia="等线" w:cs="Times New Roman"/>
          <w:szCs w:val="21"/>
        </w:rPr>
      </w:pPr>
    </w:p>
    <w:p w14:paraId="3D534757">
      <w:pPr>
        <w:spacing w:line="360" w:lineRule="auto"/>
        <w:jc w:val="left"/>
        <w:outlineLvl w:val="0"/>
        <w:rPr>
          <w:rFonts w:hint="eastAsia" w:ascii="宋体" w:hAnsi="宋体" w:eastAsia="等线" w:cs="Times New Roman"/>
          <w:b/>
          <w:color w:val="000000"/>
          <w:sz w:val="24"/>
          <w:szCs w:val="22"/>
        </w:rPr>
      </w:pPr>
      <w:bookmarkStart w:id="2460" w:name="_Toc27402"/>
      <w:bookmarkStart w:id="2461" w:name="_Toc2857"/>
      <w:bookmarkStart w:id="2462" w:name="_Toc4257"/>
      <w:bookmarkStart w:id="2463" w:name="_Toc6898"/>
      <w:bookmarkStart w:id="2464" w:name="_Toc30925"/>
      <w:bookmarkStart w:id="2465" w:name="_Toc23316"/>
      <w:bookmarkStart w:id="2466" w:name="_Toc11029"/>
      <w:r>
        <w:rPr>
          <w:rFonts w:hint="eastAsia" w:ascii="宋体" w:hAnsi="宋体" w:eastAsia="等线" w:cs="Times New Roman"/>
          <w:b/>
          <w:color w:val="000000"/>
          <w:sz w:val="24"/>
          <w:szCs w:val="22"/>
        </w:rPr>
        <w:t>三、教学内容与预期学习成效</w:t>
      </w:r>
      <w:bookmarkEnd w:id="2460"/>
      <w:bookmarkEnd w:id="2461"/>
      <w:bookmarkEnd w:id="2462"/>
      <w:bookmarkEnd w:id="2463"/>
      <w:bookmarkEnd w:id="2464"/>
      <w:bookmarkEnd w:id="2465"/>
      <w:bookmarkEnd w:id="2466"/>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0D9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6F8B66B">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知识</w:t>
            </w:r>
          </w:p>
          <w:p w14:paraId="233FBA6E">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单元</w:t>
            </w:r>
          </w:p>
        </w:tc>
        <w:tc>
          <w:tcPr>
            <w:tcW w:w="1701" w:type="dxa"/>
            <w:vAlign w:val="center"/>
          </w:tcPr>
          <w:p w14:paraId="75171699">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知识点</w:t>
            </w:r>
          </w:p>
        </w:tc>
        <w:tc>
          <w:tcPr>
            <w:tcW w:w="1134" w:type="dxa"/>
            <w:vAlign w:val="center"/>
          </w:tcPr>
          <w:p w14:paraId="1FFBB49B">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对应</w:t>
            </w:r>
          </w:p>
          <w:p w14:paraId="05D02955">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课程目标</w:t>
            </w:r>
          </w:p>
        </w:tc>
        <w:tc>
          <w:tcPr>
            <w:tcW w:w="3260" w:type="dxa"/>
            <w:vAlign w:val="center"/>
          </w:tcPr>
          <w:p w14:paraId="7D86F00F">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预期学习成效</w:t>
            </w:r>
          </w:p>
        </w:tc>
        <w:tc>
          <w:tcPr>
            <w:tcW w:w="1560" w:type="dxa"/>
            <w:vAlign w:val="center"/>
          </w:tcPr>
          <w:p w14:paraId="5C977A94">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实现环节</w:t>
            </w:r>
          </w:p>
        </w:tc>
        <w:tc>
          <w:tcPr>
            <w:tcW w:w="438" w:type="dxa"/>
            <w:vAlign w:val="center"/>
          </w:tcPr>
          <w:p w14:paraId="4B84BAC9">
            <w:pPr>
              <w:jc w:val="center"/>
              <w:rPr>
                <w:rFonts w:hint="eastAsia" w:ascii="宋体" w:hAnsi="宋体" w:eastAsia="等线" w:cs="Times New Roman"/>
                <w:b/>
                <w:color w:val="000000"/>
                <w:szCs w:val="21"/>
              </w:rPr>
            </w:pPr>
            <w:r>
              <w:rPr>
                <w:rFonts w:hint="eastAsia" w:ascii="宋体" w:hAnsi="宋体" w:eastAsia="等线" w:cs="Times New Roman"/>
                <w:b/>
                <w:color w:val="000000"/>
                <w:szCs w:val="21"/>
              </w:rPr>
              <w:t>学时</w:t>
            </w:r>
          </w:p>
        </w:tc>
      </w:tr>
      <w:tr w14:paraId="61F4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020BD6">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1. 绪论</w:t>
            </w:r>
          </w:p>
        </w:tc>
        <w:tc>
          <w:tcPr>
            <w:tcW w:w="1701" w:type="dxa"/>
            <w:vAlign w:val="center"/>
          </w:tcPr>
          <w:p w14:paraId="4AA8390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1.形式逻辑的研究对象、性质和作用</w:t>
            </w:r>
          </w:p>
          <w:p w14:paraId="15E35DC1">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2.形式逻辑、数理逻辑和辩证逻辑三者间的关系</w:t>
            </w:r>
          </w:p>
        </w:tc>
        <w:tc>
          <w:tcPr>
            <w:tcW w:w="1134" w:type="dxa"/>
            <w:vAlign w:val="center"/>
          </w:tcPr>
          <w:p w14:paraId="4472391D">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w:t>
            </w:r>
          </w:p>
        </w:tc>
        <w:tc>
          <w:tcPr>
            <w:tcW w:w="3260" w:type="dxa"/>
            <w:vAlign w:val="center"/>
          </w:tcPr>
          <w:p w14:paraId="1418DAC4">
            <w:pPr>
              <w:widowControl w:val="0"/>
              <w:numPr>
                <w:ilvl w:val="0"/>
                <w:numId w:val="85"/>
              </w:numPr>
              <w:spacing w:line="269" w:lineRule="auto"/>
              <w:ind w:left="360" w:hanging="360" w:firstLineChars="0"/>
              <w:jc w:val="left"/>
              <w:rPr>
                <w:rFonts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掌握形式逻辑的研究对象</w:t>
            </w:r>
          </w:p>
          <w:p w14:paraId="4C3F8022">
            <w:pPr>
              <w:widowControl w:val="0"/>
              <w:numPr>
                <w:ilvl w:val="0"/>
                <w:numId w:val="85"/>
              </w:numPr>
              <w:spacing w:line="269" w:lineRule="auto"/>
              <w:ind w:left="360" w:hanging="360" w:firstLineChars="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了解形式逻辑的性质、作用及其和数理逻辑、辩证逻辑的关系。</w:t>
            </w:r>
          </w:p>
        </w:tc>
        <w:tc>
          <w:tcPr>
            <w:tcW w:w="1560" w:type="dxa"/>
            <w:vAlign w:val="center"/>
          </w:tcPr>
          <w:p w14:paraId="7A1AD8CC">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1.线上学习</w:t>
            </w:r>
          </w:p>
          <w:p w14:paraId="72CEFEE9">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2.多媒体教学3.课堂讨论</w:t>
            </w:r>
          </w:p>
          <w:p w14:paraId="54BCCE22">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4.课内实践</w:t>
            </w:r>
          </w:p>
        </w:tc>
        <w:tc>
          <w:tcPr>
            <w:tcW w:w="438" w:type="dxa"/>
            <w:vAlign w:val="center"/>
          </w:tcPr>
          <w:p w14:paraId="4C94D752">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2</w:t>
            </w:r>
          </w:p>
        </w:tc>
      </w:tr>
      <w:tr w14:paraId="26E8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825E2C">
            <w:pPr>
              <w:spacing w:line="264" w:lineRule="auto"/>
              <w:jc w:val="center"/>
              <w:rPr>
                <w:rFonts w:hint="eastAsia" w:ascii="宋体" w:hAnsi="宋体" w:eastAsia="等线" w:cs="Times New Roman"/>
                <w:color w:val="000000"/>
                <w:szCs w:val="21"/>
              </w:rPr>
            </w:pPr>
          </w:p>
        </w:tc>
        <w:tc>
          <w:tcPr>
            <w:tcW w:w="8093" w:type="dxa"/>
            <w:gridSpan w:val="5"/>
            <w:vAlign w:val="center"/>
          </w:tcPr>
          <w:p w14:paraId="0241FD83">
            <w:pPr>
              <w:spacing w:line="269"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养成科学思维的意识，提高学生对我国传统的逻辑学等传统文化的兴趣</w:t>
            </w:r>
          </w:p>
        </w:tc>
      </w:tr>
      <w:tr w14:paraId="4858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2B85C6C">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2．概念</w:t>
            </w:r>
          </w:p>
        </w:tc>
        <w:tc>
          <w:tcPr>
            <w:tcW w:w="1701" w:type="dxa"/>
            <w:vAlign w:val="center"/>
          </w:tcPr>
          <w:p w14:paraId="0DECEF13">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1.概念的内涵与外延</w:t>
            </w:r>
          </w:p>
          <w:p w14:paraId="48437CB9">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2.概念的种类</w:t>
            </w:r>
          </w:p>
          <w:p w14:paraId="24D854D2">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3.概念间的关系</w:t>
            </w:r>
          </w:p>
          <w:p w14:paraId="2B575DE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4.定义</w:t>
            </w:r>
          </w:p>
          <w:p w14:paraId="7D2F67A2">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5.划分</w:t>
            </w:r>
          </w:p>
          <w:p w14:paraId="427F11F2">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6.概括与限制</w:t>
            </w:r>
          </w:p>
        </w:tc>
        <w:tc>
          <w:tcPr>
            <w:tcW w:w="1134" w:type="dxa"/>
            <w:vAlign w:val="center"/>
          </w:tcPr>
          <w:p w14:paraId="6DF94324">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课程目标2</w:t>
            </w:r>
          </w:p>
        </w:tc>
        <w:tc>
          <w:tcPr>
            <w:tcW w:w="3260" w:type="dxa"/>
            <w:vAlign w:val="center"/>
          </w:tcPr>
          <w:p w14:paraId="017E11D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1.理解概念的特征、种类、概念间的关系；</w:t>
            </w:r>
          </w:p>
          <w:p w14:paraId="19A8F42F">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2.掌握定义、划分的方法与规则；</w:t>
            </w:r>
          </w:p>
          <w:p w14:paraId="15359C88">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3.能正确地对概念进行概括与限制；会用欧拉图解表示概念间的关系。</w:t>
            </w:r>
          </w:p>
        </w:tc>
        <w:tc>
          <w:tcPr>
            <w:tcW w:w="1560" w:type="dxa"/>
            <w:vAlign w:val="center"/>
          </w:tcPr>
          <w:p w14:paraId="0F02BB16">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1.线上学习</w:t>
            </w:r>
          </w:p>
          <w:p w14:paraId="06152AB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2.多媒体教学3.课堂讨论</w:t>
            </w:r>
          </w:p>
          <w:p w14:paraId="46364CE3">
            <w:pPr>
              <w:spacing w:line="269" w:lineRule="auto"/>
              <w:jc w:val="left"/>
              <w:rPr>
                <w:rFonts w:ascii="宋体" w:hAnsi="宋体" w:eastAsia="等线" w:cs="Times New Roman"/>
                <w:color w:val="000000"/>
                <w:szCs w:val="21"/>
              </w:rPr>
            </w:pPr>
            <w:r>
              <w:rPr>
                <w:rFonts w:hint="eastAsia" w:ascii="宋体" w:hAnsi="宋体" w:eastAsia="等线" w:cs="Times New Roman"/>
                <w:color w:val="000000"/>
                <w:szCs w:val="21"/>
              </w:rPr>
              <w:t>4.单元测验</w:t>
            </w:r>
          </w:p>
          <w:p w14:paraId="582F8E82">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49CED48D">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6</w:t>
            </w:r>
          </w:p>
        </w:tc>
      </w:tr>
      <w:tr w14:paraId="2AAF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66BDAC7">
            <w:pPr>
              <w:spacing w:line="264" w:lineRule="auto"/>
              <w:jc w:val="center"/>
              <w:rPr>
                <w:rFonts w:hint="eastAsia" w:ascii="宋体" w:hAnsi="宋体" w:eastAsia="等线" w:cs="Times New Roman"/>
                <w:color w:val="000000"/>
                <w:szCs w:val="21"/>
              </w:rPr>
            </w:pPr>
          </w:p>
        </w:tc>
        <w:tc>
          <w:tcPr>
            <w:tcW w:w="8093" w:type="dxa"/>
            <w:gridSpan w:val="5"/>
            <w:vAlign w:val="center"/>
          </w:tcPr>
          <w:p w14:paraId="2032AB2C">
            <w:pPr>
              <w:spacing w:line="269"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通过例证渗透爱国主义思想，社会主义核心价值观，分析不当言论的逻辑错误，提高学生的判断能力。</w:t>
            </w:r>
          </w:p>
        </w:tc>
      </w:tr>
      <w:tr w14:paraId="4EB8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4EC343A">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3.直言命题及其推理</w:t>
            </w:r>
          </w:p>
        </w:tc>
        <w:tc>
          <w:tcPr>
            <w:tcW w:w="1701" w:type="dxa"/>
            <w:vAlign w:val="center"/>
          </w:tcPr>
          <w:p w14:paraId="2D08EF66">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1.命题的定义、表达与种类</w:t>
            </w:r>
          </w:p>
          <w:p w14:paraId="0E30FABC">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2.直言命题</w:t>
            </w:r>
          </w:p>
          <w:p w14:paraId="1767FEBB">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 xml:space="preserve">3.推理的定义、表达与种类 </w:t>
            </w:r>
          </w:p>
          <w:p w14:paraId="5AFD469F">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4.直接推理</w:t>
            </w:r>
          </w:p>
          <w:p w14:paraId="26162531">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5.三段论</w:t>
            </w:r>
          </w:p>
        </w:tc>
        <w:tc>
          <w:tcPr>
            <w:tcW w:w="1134" w:type="dxa"/>
            <w:vAlign w:val="center"/>
          </w:tcPr>
          <w:p w14:paraId="64DA81C7">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课程目标2、3</w:t>
            </w:r>
          </w:p>
        </w:tc>
        <w:tc>
          <w:tcPr>
            <w:tcW w:w="3260" w:type="dxa"/>
            <w:vAlign w:val="center"/>
          </w:tcPr>
          <w:p w14:paraId="275CED5A">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1.了解判断、推理的逻辑特征和类型，常见直言命题及其推理；</w:t>
            </w:r>
          </w:p>
          <w:p w14:paraId="597922DF">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2.掌握直言命题的种类，性质相同的A、E、I、O四种直言命题间的对当关系，直言命题构成的直接推理。</w:t>
            </w:r>
          </w:p>
          <w:p w14:paraId="12A495F5">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3.掌握三段论推理的规则及省略三段论的补充；会分析三段论的构成。</w:t>
            </w:r>
          </w:p>
        </w:tc>
        <w:tc>
          <w:tcPr>
            <w:tcW w:w="1560" w:type="dxa"/>
            <w:vAlign w:val="center"/>
          </w:tcPr>
          <w:p w14:paraId="21EC694C">
            <w:pPr>
              <w:spacing w:line="269"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0B5F4319">
            <w:pPr>
              <w:spacing w:line="269"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7C922791">
            <w:pPr>
              <w:spacing w:line="269" w:lineRule="auto"/>
              <w:jc w:val="left"/>
              <w:rPr>
                <w:rFonts w:ascii="宋体" w:hAnsi="宋体" w:eastAsia="等线" w:cs="Times New Roman"/>
                <w:color w:val="000000"/>
                <w:szCs w:val="21"/>
              </w:rPr>
            </w:pPr>
            <w:r>
              <w:rPr>
                <w:rFonts w:ascii="宋体" w:hAnsi="宋体" w:eastAsia="等线" w:cs="Times New Roman"/>
                <w:color w:val="000000"/>
                <w:szCs w:val="21"/>
              </w:rPr>
              <w:t>4.单元测验</w:t>
            </w:r>
          </w:p>
          <w:p w14:paraId="19E357A7">
            <w:pPr>
              <w:spacing w:line="269"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1BC8D59B">
            <w:pPr>
              <w:spacing w:line="269"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w:t>
            </w:r>
          </w:p>
        </w:tc>
      </w:tr>
      <w:tr w14:paraId="2AA0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BC75784">
            <w:pPr>
              <w:spacing w:line="264" w:lineRule="auto"/>
              <w:jc w:val="center"/>
              <w:rPr>
                <w:rFonts w:hint="eastAsia" w:ascii="宋体" w:hAnsi="宋体" w:eastAsia="等线" w:cs="Times New Roman"/>
                <w:color w:val="000000"/>
                <w:szCs w:val="21"/>
              </w:rPr>
            </w:pPr>
          </w:p>
        </w:tc>
        <w:tc>
          <w:tcPr>
            <w:tcW w:w="8093" w:type="dxa"/>
            <w:gridSpan w:val="5"/>
            <w:vAlign w:val="center"/>
          </w:tcPr>
          <w:p w14:paraId="1F2EB854">
            <w:pPr>
              <w:spacing w:line="269"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2AF7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FEA56F">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 复合命题及其推理</w:t>
            </w:r>
          </w:p>
        </w:tc>
        <w:tc>
          <w:tcPr>
            <w:tcW w:w="1701" w:type="dxa"/>
            <w:vAlign w:val="center"/>
          </w:tcPr>
          <w:p w14:paraId="5D218E41">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1.联言判断及其推理</w:t>
            </w:r>
          </w:p>
          <w:p w14:paraId="3ED0900B">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2.选言判断及其推理</w:t>
            </w:r>
          </w:p>
          <w:p w14:paraId="7588FB02">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3.假言判断及其推理</w:t>
            </w:r>
          </w:p>
          <w:p w14:paraId="2A83BFB7">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4.负判断及其推理</w:t>
            </w:r>
          </w:p>
          <w:p w14:paraId="5AA5449D">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5.真值表的判定作用</w:t>
            </w:r>
          </w:p>
          <w:p w14:paraId="245F916F">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6.二难推理</w:t>
            </w:r>
          </w:p>
        </w:tc>
        <w:tc>
          <w:tcPr>
            <w:tcW w:w="1134" w:type="dxa"/>
            <w:vAlign w:val="center"/>
          </w:tcPr>
          <w:p w14:paraId="6318E5A1">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课程目标1、2、3</w:t>
            </w:r>
          </w:p>
        </w:tc>
        <w:tc>
          <w:tcPr>
            <w:tcW w:w="3260" w:type="dxa"/>
            <w:vAlign w:val="center"/>
          </w:tcPr>
          <w:p w14:paraId="3777D574">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1.了解负命题及其等值命题；掌握三种复合命题的逻辑特征、逻辑结构式及其逻辑简式、真值表。</w:t>
            </w:r>
          </w:p>
          <w:p w14:paraId="352728A5">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2.学会运用三种复合推理的方法。</w:t>
            </w:r>
          </w:p>
          <w:p w14:paraId="2A325F7D">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3.把握真值表的两种判定作用；能在生活中的运用二难推理。</w:t>
            </w:r>
          </w:p>
        </w:tc>
        <w:tc>
          <w:tcPr>
            <w:tcW w:w="1560" w:type="dxa"/>
            <w:vAlign w:val="center"/>
          </w:tcPr>
          <w:p w14:paraId="118EE17C">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1333DCD0">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648A1B8B">
            <w:pPr>
              <w:spacing w:line="276" w:lineRule="auto"/>
              <w:jc w:val="left"/>
              <w:rPr>
                <w:rFonts w:ascii="宋体" w:hAnsi="宋体" w:eastAsia="等线" w:cs="Times New Roman"/>
                <w:color w:val="000000"/>
                <w:szCs w:val="21"/>
              </w:rPr>
            </w:pPr>
            <w:r>
              <w:rPr>
                <w:rFonts w:ascii="宋体" w:hAnsi="宋体" w:eastAsia="等线" w:cs="Times New Roman"/>
                <w:color w:val="000000"/>
                <w:szCs w:val="21"/>
              </w:rPr>
              <w:t>4.单元测验</w:t>
            </w:r>
          </w:p>
          <w:p w14:paraId="21E9CCE0">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7EFABBE5">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w:t>
            </w:r>
          </w:p>
        </w:tc>
      </w:tr>
      <w:tr w14:paraId="7F21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67FE442">
            <w:pPr>
              <w:spacing w:line="276" w:lineRule="auto"/>
              <w:jc w:val="center"/>
              <w:rPr>
                <w:rFonts w:hint="eastAsia" w:ascii="宋体" w:hAnsi="宋体" w:eastAsia="等线" w:cs="Times New Roman"/>
                <w:color w:val="000000"/>
                <w:szCs w:val="21"/>
              </w:rPr>
            </w:pPr>
          </w:p>
        </w:tc>
        <w:tc>
          <w:tcPr>
            <w:tcW w:w="8093" w:type="dxa"/>
            <w:gridSpan w:val="5"/>
            <w:vAlign w:val="center"/>
          </w:tcPr>
          <w:p w14:paraId="23969023">
            <w:pPr>
              <w:spacing w:line="276"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通过例证渗透爱国主义思想，社会主义核心价值观，分析不当言论的逻辑错误，提高学生的判断能力，学习理性思维，关注社会现象，提高批判思维能力。</w:t>
            </w:r>
          </w:p>
        </w:tc>
      </w:tr>
      <w:tr w14:paraId="14D2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42106C">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5. 模态命题其推理</w:t>
            </w:r>
          </w:p>
        </w:tc>
        <w:tc>
          <w:tcPr>
            <w:tcW w:w="1701" w:type="dxa"/>
            <w:vAlign w:val="center"/>
          </w:tcPr>
          <w:p w14:paraId="2341947B">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1.模态判断</w:t>
            </w:r>
          </w:p>
          <w:p w14:paraId="50299300">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2.模态推理</w:t>
            </w:r>
          </w:p>
        </w:tc>
        <w:tc>
          <w:tcPr>
            <w:tcW w:w="1134" w:type="dxa"/>
            <w:vAlign w:val="center"/>
          </w:tcPr>
          <w:p w14:paraId="4818911E">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课程目标2</w:t>
            </w:r>
          </w:p>
        </w:tc>
        <w:tc>
          <w:tcPr>
            <w:tcW w:w="3260" w:type="dxa"/>
            <w:vAlign w:val="center"/>
          </w:tcPr>
          <w:p w14:paraId="1956D904">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了解常见模态判断、模态推理的种类与方法，能简单运用模态推理。</w:t>
            </w:r>
          </w:p>
        </w:tc>
        <w:tc>
          <w:tcPr>
            <w:tcW w:w="1560" w:type="dxa"/>
            <w:vAlign w:val="center"/>
          </w:tcPr>
          <w:p w14:paraId="0CDC241F">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7AE721CE">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780E96F0">
            <w:pPr>
              <w:spacing w:line="276" w:lineRule="auto"/>
              <w:jc w:val="left"/>
              <w:rPr>
                <w:rFonts w:ascii="宋体" w:hAnsi="宋体" w:eastAsia="等线" w:cs="Times New Roman"/>
                <w:color w:val="000000"/>
                <w:szCs w:val="21"/>
              </w:rPr>
            </w:pPr>
            <w:r>
              <w:rPr>
                <w:rFonts w:ascii="宋体" w:hAnsi="宋体" w:eastAsia="等线" w:cs="Times New Roman"/>
                <w:color w:val="000000"/>
                <w:szCs w:val="21"/>
              </w:rPr>
              <w:t>4.单元测验</w:t>
            </w:r>
          </w:p>
          <w:p w14:paraId="78D32120">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76326549">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2</w:t>
            </w:r>
          </w:p>
        </w:tc>
      </w:tr>
      <w:tr w14:paraId="5537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015CC85">
            <w:pPr>
              <w:spacing w:line="276" w:lineRule="auto"/>
              <w:jc w:val="center"/>
              <w:rPr>
                <w:rFonts w:hint="eastAsia" w:ascii="宋体" w:hAnsi="宋体" w:eastAsia="等线" w:cs="Times New Roman"/>
                <w:color w:val="000000"/>
                <w:szCs w:val="21"/>
              </w:rPr>
            </w:pPr>
          </w:p>
        </w:tc>
        <w:tc>
          <w:tcPr>
            <w:tcW w:w="8093" w:type="dxa"/>
            <w:gridSpan w:val="5"/>
            <w:vAlign w:val="center"/>
          </w:tcPr>
          <w:p w14:paraId="7B0E6198">
            <w:pPr>
              <w:spacing w:line="276"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通过例证渗透爱国主义思想，社会主义核心价值观，分析不当言论的逻辑错误，提高学生的判断能力。</w:t>
            </w:r>
          </w:p>
        </w:tc>
      </w:tr>
      <w:tr w14:paraId="6A15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A41892E">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6. 归纳推理</w:t>
            </w:r>
          </w:p>
        </w:tc>
        <w:tc>
          <w:tcPr>
            <w:tcW w:w="1701" w:type="dxa"/>
            <w:vAlign w:val="center"/>
          </w:tcPr>
          <w:p w14:paraId="04C67D51">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1.完全归纳推理</w:t>
            </w:r>
          </w:p>
          <w:p w14:paraId="2D83A4D9">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2.简单枚举归纳推理</w:t>
            </w:r>
          </w:p>
          <w:p w14:paraId="10AF5B99">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3.科学归纳推理</w:t>
            </w:r>
          </w:p>
          <w:p w14:paraId="5CEEF649">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4.归纳推理与演绎推理的异同</w:t>
            </w:r>
          </w:p>
          <w:p w14:paraId="61877C27">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5.探求现象间因果联系的方法</w:t>
            </w:r>
          </w:p>
        </w:tc>
        <w:tc>
          <w:tcPr>
            <w:tcW w:w="1134" w:type="dxa"/>
            <w:vAlign w:val="center"/>
          </w:tcPr>
          <w:p w14:paraId="788E061B">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课程目标2、3</w:t>
            </w:r>
          </w:p>
        </w:tc>
        <w:tc>
          <w:tcPr>
            <w:tcW w:w="3260" w:type="dxa"/>
            <w:vAlign w:val="center"/>
          </w:tcPr>
          <w:p w14:paraId="523C85F3">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1.了解归纳推理的三种方法的概念；掌握归纳推理与演绎推理的异同</w:t>
            </w:r>
          </w:p>
          <w:p w14:paraId="2BA37E00">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3.学会探求现象间因果联系的方法，能找出生活中的三种推理的事例</w:t>
            </w:r>
          </w:p>
        </w:tc>
        <w:tc>
          <w:tcPr>
            <w:tcW w:w="1560" w:type="dxa"/>
            <w:vAlign w:val="center"/>
          </w:tcPr>
          <w:p w14:paraId="62B9A6BF">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560B5FC6">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w:t>
            </w:r>
            <w:r>
              <w:rPr>
                <w:rFonts w:hint="eastAsia" w:ascii="宋体" w:hAnsi="宋体" w:eastAsia="等线" w:cs="Times New Roman"/>
                <w:color w:val="000000"/>
                <w:szCs w:val="21"/>
              </w:rPr>
              <w:t>辩论</w:t>
            </w:r>
          </w:p>
          <w:p w14:paraId="6322CA5D">
            <w:pPr>
              <w:spacing w:line="276" w:lineRule="auto"/>
              <w:jc w:val="left"/>
              <w:rPr>
                <w:rFonts w:ascii="宋体" w:hAnsi="宋体" w:eastAsia="等线" w:cs="Times New Roman"/>
                <w:color w:val="000000"/>
                <w:szCs w:val="21"/>
              </w:rPr>
            </w:pPr>
            <w:r>
              <w:rPr>
                <w:rFonts w:ascii="宋体" w:hAnsi="宋体" w:eastAsia="等线" w:cs="Times New Roman"/>
                <w:color w:val="000000"/>
                <w:szCs w:val="21"/>
              </w:rPr>
              <w:t>4.单元测验</w:t>
            </w:r>
          </w:p>
          <w:p w14:paraId="4D23B2EF">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6F630CDF">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w:t>
            </w:r>
          </w:p>
        </w:tc>
      </w:tr>
      <w:tr w14:paraId="3444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5897800">
            <w:pPr>
              <w:spacing w:line="276" w:lineRule="auto"/>
              <w:jc w:val="center"/>
              <w:rPr>
                <w:rFonts w:hint="eastAsia" w:ascii="宋体" w:hAnsi="宋体" w:eastAsia="等线" w:cs="Times New Roman"/>
                <w:color w:val="000000"/>
                <w:szCs w:val="21"/>
              </w:rPr>
            </w:pPr>
          </w:p>
        </w:tc>
        <w:tc>
          <w:tcPr>
            <w:tcW w:w="8093" w:type="dxa"/>
            <w:gridSpan w:val="5"/>
            <w:vAlign w:val="center"/>
          </w:tcPr>
          <w:p w14:paraId="2C54B93E">
            <w:pPr>
              <w:spacing w:line="276"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7FF6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D052A3">
            <w:pPr>
              <w:spacing w:line="276" w:lineRule="auto"/>
              <w:jc w:val="center"/>
              <w:rPr>
                <w:rFonts w:hint="eastAsia" w:ascii="宋体" w:hAnsi="宋体" w:eastAsia="等线" w:cs="Times New Roman"/>
                <w:szCs w:val="21"/>
              </w:rPr>
            </w:pPr>
            <w:r>
              <w:rPr>
                <w:rFonts w:hint="eastAsia" w:ascii="宋体" w:hAnsi="宋体" w:eastAsia="等线" w:cs="Times New Roman"/>
                <w:szCs w:val="21"/>
              </w:rPr>
              <w:t>7. 类比推理与假说</w:t>
            </w:r>
          </w:p>
        </w:tc>
        <w:tc>
          <w:tcPr>
            <w:tcW w:w="1701" w:type="dxa"/>
            <w:vAlign w:val="center"/>
          </w:tcPr>
          <w:p w14:paraId="6974AFDA">
            <w:pPr>
              <w:spacing w:line="276" w:lineRule="auto"/>
              <w:jc w:val="left"/>
              <w:rPr>
                <w:rFonts w:hint="eastAsia" w:ascii="宋体" w:hAnsi="宋体" w:eastAsia="等线" w:cs="Times New Roman"/>
                <w:szCs w:val="21"/>
              </w:rPr>
            </w:pPr>
            <w:r>
              <w:rPr>
                <w:rFonts w:hint="eastAsia" w:ascii="宋体" w:hAnsi="宋体" w:eastAsia="等线" w:cs="Times New Roman"/>
                <w:szCs w:val="21"/>
              </w:rPr>
              <w:t>1.类比推理</w:t>
            </w:r>
          </w:p>
          <w:p w14:paraId="5DA6FBB3">
            <w:pPr>
              <w:spacing w:line="276" w:lineRule="auto"/>
              <w:jc w:val="left"/>
              <w:rPr>
                <w:rFonts w:hint="eastAsia" w:ascii="宋体" w:hAnsi="宋体" w:eastAsia="等线" w:cs="Times New Roman"/>
                <w:szCs w:val="21"/>
              </w:rPr>
            </w:pPr>
            <w:r>
              <w:rPr>
                <w:rFonts w:hint="eastAsia" w:ascii="宋体" w:hAnsi="宋体" w:eastAsia="等线" w:cs="Times New Roman"/>
                <w:szCs w:val="21"/>
              </w:rPr>
              <w:t>2.假说</w:t>
            </w:r>
          </w:p>
        </w:tc>
        <w:tc>
          <w:tcPr>
            <w:tcW w:w="1134" w:type="dxa"/>
            <w:vAlign w:val="center"/>
          </w:tcPr>
          <w:p w14:paraId="64DC6CB4">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课程目标1、3</w:t>
            </w:r>
          </w:p>
        </w:tc>
        <w:tc>
          <w:tcPr>
            <w:tcW w:w="3260" w:type="dxa"/>
            <w:vAlign w:val="center"/>
          </w:tcPr>
          <w:p w14:paraId="42AA5147">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把握类比推理与归纳推理、演绎推理的区别；了解假说的构成与步骤</w:t>
            </w:r>
          </w:p>
        </w:tc>
        <w:tc>
          <w:tcPr>
            <w:tcW w:w="1560" w:type="dxa"/>
            <w:vAlign w:val="center"/>
          </w:tcPr>
          <w:p w14:paraId="480131D7">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78988DBA">
            <w:pPr>
              <w:spacing w:line="276"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2A7ABD37">
            <w:pPr>
              <w:spacing w:line="276" w:lineRule="auto"/>
              <w:jc w:val="left"/>
              <w:rPr>
                <w:rFonts w:ascii="宋体" w:hAnsi="宋体" w:eastAsia="等线" w:cs="Times New Roman"/>
                <w:color w:val="000000"/>
                <w:szCs w:val="21"/>
              </w:rPr>
            </w:pPr>
            <w:r>
              <w:rPr>
                <w:rFonts w:ascii="宋体" w:hAnsi="宋体" w:eastAsia="等线" w:cs="Times New Roman"/>
                <w:color w:val="000000"/>
                <w:szCs w:val="21"/>
              </w:rPr>
              <w:t>4.单元测验</w:t>
            </w:r>
          </w:p>
          <w:p w14:paraId="760F254C">
            <w:pPr>
              <w:spacing w:line="276"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017EF8DC">
            <w:pPr>
              <w:spacing w:line="276"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2</w:t>
            </w:r>
          </w:p>
        </w:tc>
      </w:tr>
      <w:tr w14:paraId="06B2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245F7A">
            <w:pPr>
              <w:spacing w:line="276" w:lineRule="auto"/>
              <w:jc w:val="center"/>
              <w:rPr>
                <w:rFonts w:hint="eastAsia" w:ascii="宋体" w:hAnsi="宋体" w:eastAsia="等线" w:cs="Times New Roman"/>
                <w:color w:val="000000"/>
                <w:szCs w:val="21"/>
              </w:rPr>
            </w:pPr>
          </w:p>
        </w:tc>
        <w:tc>
          <w:tcPr>
            <w:tcW w:w="8093" w:type="dxa"/>
            <w:gridSpan w:val="5"/>
            <w:vAlign w:val="center"/>
          </w:tcPr>
          <w:p w14:paraId="7055F137">
            <w:pPr>
              <w:spacing w:line="276"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学习理性思维，关注社会现象，提高批判思维能力。</w:t>
            </w:r>
          </w:p>
        </w:tc>
      </w:tr>
      <w:tr w14:paraId="15D7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BEC270">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8. 普通逻辑的基本规律</w:t>
            </w:r>
          </w:p>
        </w:tc>
        <w:tc>
          <w:tcPr>
            <w:tcW w:w="1701" w:type="dxa"/>
            <w:vAlign w:val="center"/>
          </w:tcPr>
          <w:p w14:paraId="4E3DAC35">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1.同一律</w:t>
            </w:r>
          </w:p>
          <w:p w14:paraId="7B2E5676">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2.矛盾律</w:t>
            </w:r>
          </w:p>
          <w:p w14:paraId="5C78A558">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3.排中律</w:t>
            </w:r>
          </w:p>
          <w:p w14:paraId="7367BACF">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4.充足理由律</w:t>
            </w:r>
          </w:p>
        </w:tc>
        <w:tc>
          <w:tcPr>
            <w:tcW w:w="1134" w:type="dxa"/>
            <w:vAlign w:val="center"/>
          </w:tcPr>
          <w:p w14:paraId="67A674FE">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课程目标3</w:t>
            </w:r>
          </w:p>
        </w:tc>
        <w:tc>
          <w:tcPr>
            <w:tcW w:w="3260" w:type="dxa"/>
            <w:vAlign w:val="center"/>
          </w:tcPr>
          <w:p w14:paraId="1E2A33BF">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1.熟练掌握各条基本规律的基本内容、基本要求、作用以及违反该条规律所犯的逻辑错误；</w:t>
            </w:r>
          </w:p>
          <w:p w14:paraId="1011E4C5">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2.能正确运用这些规律分析现实中遇到的问题。掌握普通逻辑的研究对象；了解普通逻辑的性质、作用及其和数理逻辑、辩证逻辑的关系。</w:t>
            </w:r>
          </w:p>
        </w:tc>
        <w:tc>
          <w:tcPr>
            <w:tcW w:w="1560" w:type="dxa"/>
            <w:vAlign w:val="center"/>
          </w:tcPr>
          <w:p w14:paraId="7F39129C">
            <w:pPr>
              <w:spacing w:line="264"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11818081">
            <w:pPr>
              <w:spacing w:line="264"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6062AD9E">
            <w:pPr>
              <w:spacing w:line="264" w:lineRule="auto"/>
              <w:jc w:val="left"/>
              <w:rPr>
                <w:rFonts w:ascii="宋体" w:hAnsi="宋体" w:eastAsia="等线" w:cs="Times New Roman"/>
                <w:color w:val="000000"/>
                <w:szCs w:val="21"/>
              </w:rPr>
            </w:pPr>
            <w:r>
              <w:rPr>
                <w:rFonts w:ascii="宋体" w:hAnsi="宋体" w:eastAsia="等线" w:cs="Times New Roman"/>
                <w:color w:val="000000"/>
                <w:szCs w:val="21"/>
              </w:rPr>
              <w:t>4.单元测验</w:t>
            </w:r>
          </w:p>
          <w:p w14:paraId="508C8060">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51F69687">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w:t>
            </w:r>
          </w:p>
        </w:tc>
      </w:tr>
      <w:tr w14:paraId="733A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28CE43D">
            <w:pPr>
              <w:spacing w:line="264" w:lineRule="auto"/>
              <w:jc w:val="center"/>
              <w:rPr>
                <w:rFonts w:hint="eastAsia" w:ascii="宋体" w:hAnsi="宋体" w:eastAsia="等线" w:cs="Times New Roman"/>
                <w:color w:val="000000"/>
                <w:szCs w:val="21"/>
              </w:rPr>
            </w:pPr>
          </w:p>
        </w:tc>
        <w:tc>
          <w:tcPr>
            <w:tcW w:w="8093" w:type="dxa"/>
            <w:gridSpan w:val="5"/>
            <w:vAlign w:val="center"/>
          </w:tcPr>
          <w:p w14:paraId="20CD5F75">
            <w:pPr>
              <w:spacing w:line="264"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通过辩论等形式提高学生解决问题的能力，学习理性思维，关注社会现象，提高批判思维能力。</w:t>
            </w:r>
          </w:p>
        </w:tc>
      </w:tr>
      <w:tr w14:paraId="0C1A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25E6CEA">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9. 论证</w:t>
            </w:r>
          </w:p>
        </w:tc>
        <w:tc>
          <w:tcPr>
            <w:tcW w:w="1701" w:type="dxa"/>
            <w:vAlign w:val="center"/>
          </w:tcPr>
          <w:p w14:paraId="1016953B">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1.证明的种类与规则</w:t>
            </w:r>
          </w:p>
          <w:p w14:paraId="0FBA61B6">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2.反驳的种类与规则</w:t>
            </w:r>
          </w:p>
        </w:tc>
        <w:tc>
          <w:tcPr>
            <w:tcW w:w="1134" w:type="dxa"/>
            <w:vAlign w:val="center"/>
          </w:tcPr>
          <w:p w14:paraId="132BA795">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课程目标3</w:t>
            </w:r>
          </w:p>
        </w:tc>
        <w:tc>
          <w:tcPr>
            <w:tcW w:w="3260" w:type="dxa"/>
            <w:vAlign w:val="center"/>
          </w:tcPr>
          <w:p w14:paraId="3628516A">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掌握论证的主要方法，能运用论证的方法解决一些基本的现实问题。</w:t>
            </w:r>
          </w:p>
        </w:tc>
        <w:tc>
          <w:tcPr>
            <w:tcW w:w="1560" w:type="dxa"/>
            <w:vAlign w:val="center"/>
          </w:tcPr>
          <w:p w14:paraId="5CC5D61A">
            <w:pPr>
              <w:spacing w:line="264" w:lineRule="auto"/>
              <w:jc w:val="left"/>
              <w:rPr>
                <w:rFonts w:hint="eastAsia" w:ascii="宋体" w:hAnsi="宋体" w:eastAsia="等线" w:cs="Times New Roman"/>
                <w:color w:val="000000"/>
                <w:szCs w:val="21"/>
              </w:rPr>
            </w:pPr>
            <w:r>
              <w:rPr>
                <w:rFonts w:ascii="宋体" w:hAnsi="宋体" w:eastAsia="等线" w:cs="Times New Roman"/>
                <w:color w:val="000000"/>
                <w:szCs w:val="21"/>
              </w:rPr>
              <w:t>1.线上学习</w:t>
            </w:r>
          </w:p>
          <w:p w14:paraId="676D7931">
            <w:pPr>
              <w:spacing w:line="264" w:lineRule="auto"/>
              <w:jc w:val="left"/>
              <w:rPr>
                <w:rFonts w:hint="eastAsia" w:ascii="宋体" w:hAnsi="宋体" w:eastAsia="等线" w:cs="Times New Roman"/>
                <w:color w:val="000000"/>
                <w:szCs w:val="21"/>
              </w:rPr>
            </w:pPr>
            <w:r>
              <w:rPr>
                <w:rFonts w:ascii="宋体" w:hAnsi="宋体" w:eastAsia="等线" w:cs="Times New Roman"/>
                <w:color w:val="000000"/>
                <w:szCs w:val="21"/>
              </w:rPr>
              <w:t>2.多媒体教学3.课堂讨论</w:t>
            </w:r>
          </w:p>
          <w:p w14:paraId="4DB4727B">
            <w:pPr>
              <w:spacing w:line="264" w:lineRule="auto"/>
              <w:jc w:val="left"/>
              <w:rPr>
                <w:rFonts w:ascii="宋体" w:hAnsi="宋体" w:eastAsia="等线" w:cs="Times New Roman"/>
                <w:color w:val="000000"/>
                <w:szCs w:val="21"/>
              </w:rPr>
            </w:pPr>
            <w:r>
              <w:rPr>
                <w:rFonts w:ascii="宋体" w:hAnsi="宋体" w:eastAsia="等线" w:cs="Times New Roman"/>
                <w:color w:val="000000"/>
                <w:szCs w:val="21"/>
              </w:rPr>
              <w:t>4.单元测验</w:t>
            </w:r>
          </w:p>
          <w:p w14:paraId="55D7A090">
            <w:pPr>
              <w:spacing w:line="264" w:lineRule="auto"/>
              <w:jc w:val="left"/>
              <w:rPr>
                <w:rFonts w:hint="eastAsia" w:ascii="宋体" w:hAnsi="宋体" w:eastAsia="等线" w:cs="Times New Roman"/>
                <w:color w:val="000000"/>
                <w:szCs w:val="21"/>
              </w:rPr>
            </w:pPr>
            <w:r>
              <w:rPr>
                <w:rFonts w:hint="eastAsia" w:ascii="宋体" w:hAnsi="宋体" w:eastAsia="等线" w:cs="Times New Roman"/>
                <w:color w:val="000000"/>
                <w:szCs w:val="21"/>
              </w:rPr>
              <w:t>5.课内实践</w:t>
            </w:r>
          </w:p>
        </w:tc>
        <w:tc>
          <w:tcPr>
            <w:tcW w:w="438" w:type="dxa"/>
            <w:vAlign w:val="center"/>
          </w:tcPr>
          <w:p w14:paraId="589C305C">
            <w:pPr>
              <w:spacing w:line="264" w:lineRule="auto"/>
              <w:jc w:val="center"/>
              <w:rPr>
                <w:rFonts w:hint="eastAsia" w:ascii="宋体" w:hAnsi="宋体" w:eastAsia="等线" w:cs="Times New Roman"/>
                <w:color w:val="000000"/>
                <w:szCs w:val="21"/>
              </w:rPr>
            </w:pPr>
            <w:r>
              <w:rPr>
                <w:rFonts w:hint="eastAsia" w:ascii="宋体" w:hAnsi="宋体" w:eastAsia="等线" w:cs="Times New Roman"/>
                <w:color w:val="000000"/>
                <w:szCs w:val="21"/>
              </w:rPr>
              <w:t>4</w:t>
            </w:r>
          </w:p>
        </w:tc>
      </w:tr>
      <w:tr w14:paraId="4399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FF606E">
            <w:pPr>
              <w:spacing w:line="264" w:lineRule="auto"/>
              <w:jc w:val="center"/>
              <w:rPr>
                <w:rFonts w:hint="eastAsia" w:ascii="宋体" w:hAnsi="宋体" w:eastAsia="等线" w:cs="Times New Roman"/>
                <w:color w:val="000000"/>
                <w:szCs w:val="21"/>
              </w:rPr>
            </w:pPr>
          </w:p>
        </w:tc>
        <w:tc>
          <w:tcPr>
            <w:tcW w:w="8093" w:type="dxa"/>
            <w:gridSpan w:val="5"/>
            <w:vAlign w:val="center"/>
          </w:tcPr>
          <w:p w14:paraId="493B7822">
            <w:pPr>
              <w:spacing w:line="264" w:lineRule="auto"/>
              <w:jc w:val="left"/>
              <w:rPr>
                <w:rFonts w:hint="eastAsia" w:ascii="宋体" w:hAnsi="宋体" w:eastAsia="等线" w:cs="Times New Roman"/>
                <w:color w:val="000000"/>
                <w:szCs w:val="21"/>
              </w:rPr>
            </w:pPr>
            <w:r>
              <w:rPr>
                <w:rFonts w:hint="eastAsia" w:ascii="宋体" w:hAnsi="宋体" w:eastAsia="等线" w:cs="Times New Roman"/>
                <w:b/>
                <w:color w:val="000000"/>
                <w:szCs w:val="21"/>
              </w:rPr>
              <w:t>课程思政目标：</w:t>
            </w:r>
            <w:r>
              <w:rPr>
                <w:rFonts w:hint="eastAsia" w:ascii="宋体" w:hAnsi="宋体" w:eastAsia="等线" w:cs="Times New Roman"/>
                <w:color w:val="000000"/>
                <w:szCs w:val="21"/>
              </w:rPr>
              <w:t>通过例证渗透爱国主义思想，社会主义核心价值观，分析不当言论的逻辑错误，通过辩论等形式提高学生解决问题的能力，学习理性思维，关注社会现象，提高批判思维能力。</w:t>
            </w:r>
          </w:p>
        </w:tc>
      </w:tr>
    </w:tbl>
    <w:p w14:paraId="5B99FE7E">
      <w:pPr>
        <w:spacing w:line="360" w:lineRule="auto"/>
        <w:ind w:firstLine="420" w:firstLineChars="200"/>
        <w:jc w:val="left"/>
        <w:rPr>
          <w:rFonts w:hint="eastAsia" w:ascii="等线" w:hAnsi="等线" w:eastAsia="等线" w:cs="Times New Roman"/>
          <w:szCs w:val="21"/>
        </w:rPr>
      </w:pPr>
    </w:p>
    <w:p w14:paraId="3E3DD2BB">
      <w:pPr>
        <w:spacing w:line="360" w:lineRule="auto"/>
        <w:outlineLvl w:val="0"/>
        <w:rPr>
          <w:rFonts w:hint="eastAsia" w:ascii="等线" w:hAnsi="等线" w:eastAsia="等线" w:cs="Times New Roman"/>
          <w:b/>
          <w:sz w:val="24"/>
          <w:szCs w:val="22"/>
        </w:rPr>
      </w:pPr>
      <w:bookmarkStart w:id="2467" w:name="_Toc22703"/>
      <w:bookmarkStart w:id="2468" w:name="_Toc9303"/>
      <w:bookmarkStart w:id="2469" w:name="_Toc24453"/>
      <w:bookmarkStart w:id="2470" w:name="_Toc28784"/>
      <w:bookmarkStart w:id="2471" w:name="_Toc16654"/>
      <w:bookmarkStart w:id="2472" w:name="_Toc29883"/>
      <w:bookmarkStart w:id="2473" w:name="_Toc21080"/>
      <w:r>
        <w:rPr>
          <w:rFonts w:hint="eastAsia" w:ascii="等线" w:hAnsi="等线" w:eastAsia="等线" w:cs="Times New Roman"/>
          <w:b/>
          <w:sz w:val="24"/>
          <w:szCs w:val="22"/>
        </w:rPr>
        <w:t>四</w:t>
      </w:r>
      <w:r>
        <w:rPr>
          <w:rFonts w:ascii="等线" w:hAnsi="等线" w:eastAsia="等线" w:cs="Times New Roman"/>
          <w:b/>
          <w:sz w:val="24"/>
          <w:szCs w:val="22"/>
        </w:rPr>
        <w:t>、</w:t>
      </w:r>
      <w:r>
        <w:rPr>
          <w:rFonts w:hint="eastAsia" w:ascii="等线" w:hAnsi="等线" w:eastAsia="等线" w:cs="Times New Roman"/>
          <w:b/>
          <w:sz w:val="24"/>
          <w:szCs w:val="22"/>
        </w:rPr>
        <w:t>课内实践</w:t>
      </w:r>
      <w:bookmarkEnd w:id="2467"/>
      <w:bookmarkEnd w:id="2468"/>
      <w:bookmarkEnd w:id="2469"/>
      <w:bookmarkEnd w:id="2470"/>
      <w:bookmarkEnd w:id="2471"/>
      <w:bookmarkEnd w:id="2472"/>
      <w:bookmarkEnd w:id="2473"/>
    </w:p>
    <w:tbl>
      <w:tblPr>
        <w:tblStyle w:val="10"/>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557"/>
        <w:gridCol w:w="5095"/>
        <w:gridCol w:w="1006"/>
      </w:tblGrid>
      <w:tr w14:paraId="5038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shd w:val="clear" w:color="auto" w:fill="FFFFFF"/>
            <w:vAlign w:val="center"/>
          </w:tcPr>
          <w:p w14:paraId="54BC597B">
            <w:pPr>
              <w:jc w:val="center"/>
              <w:rPr>
                <w:rFonts w:ascii="等线" w:hAnsi="等线" w:eastAsia="等线" w:cs="Times New Roman"/>
                <w:bCs/>
                <w:spacing w:val="-20"/>
                <w:szCs w:val="21"/>
              </w:rPr>
            </w:pPr>
            <w:r>
              <w:rPr>
                <w:rFonts w:ascii="等线" w:hAnsi="等线" w:eastAsia="等线" w:cs="Times New Roman"/>
                <w:bCs/>
                <w:spacing w:val="-20"/>
                <w:szCs w:val="21"/>
              </w:rPr>
              <w:t>序号</w:t>
            </w:r>
          </w:p>
        </w:tc>
        <w:tc>
          <w:tcPr>
            <w:tcW w:w="1557" w:type="dxa"/>
            <w:shd w:val="clear" w:color="auto" w:fill="FFFFFF"/>
            <w:vAlign w:val="center"/>
          </w:tcPr>
          <w:p w14:paraId="3241E75C">
            <w:pPr>
              <w:jc w:val="center"/>
              <w:rPr>
                <w:rFonts w:ascii="等线" w:hAnsi="等线" w:eastAsia="等线" w:cs="Times New Roman"/>
                <w:bCs/>
                <w:szCs w:val="21"/>
              </w:rPr>
            </w:pPr>
            <w:r>
              <w:rPr>
                <w:rFonts w:ascii="等线" w:hAnsi="等线" w:eastAsia="等线" w:cs="Times New Roman"/>
                <w:bCs/>
                <w:szCs w:val="21"/>
              </w:rPr>
              <w:t>项目名称</w:t>
            </w:r>
          </w:p>
        </w:tc>
        <w:tc>
          <w:tcPr>
            <w:tcW w:w="5095" w:type="dxa"/>
            <w:shd w:val="clear" w:color="auto" w:fill="FFFFFF"/>
            <w:vAlign w:val="center"/>
          </w:tcPr>
          <w:p w14:paraId="1CC615B7">
            <w:pPr>
              <w:jc w:val="center"/>
              <w:rPr>
                <w:rFonts w:ascii="等线" w:hAnsi="等线" w:eastAsia="等线" w:cs="Times New Roman"/>
                <w:bCs/>
                <w:szCs w:val="21"/>
              </w:rPr>
            </w:pPr>
            <w:r>
              <w:rPr>
                <w:rFonts w:hint="eastAsia" w:ascii="等线" w:hAnsi="等线" w:eastAsia="等线" w:cs="Times New Roman"/>
                <w:bCs/>
                <w:szCs w:val="21"/>
              </w:rPr>
              <w:t>实践</w:t>
            </w:r>
            <w:r>
              <w:rPr>
                <w:rFonts w:ascii="等线" w:hAnsi="等线" w:eastAsia="等线" w:cs="Times New Roman"/>
                <w:bCs/>
                <w:szCs w:val="21"/>
              </w:rPr>
              <w:t>内容及要求</w:t>
            </w:r>
          </w:p>
        </w:tc>
        <w:tc>
          <w:tcPr>
            <w:tcW w:w="1006" w:type="dxa"/>
            <w:shd w:val="clear" w:color="auto" w:fill="FFFFFF"/>
            <w:vAlign w:val="center"/>
          </w:tcPr>
          <w:p w14:paraId="55FEDF0B">
            <w:pPr>
              <w:jc w:val="center"/>
              <w:rPr>
                <w:rFonts w:ascii="等线" w:hAnsi="等线" w:eastAsia="等线" w:cs="Times New Roman"/>
                <w:bCs/>
                <w:szCs w:val="21"/>
              </w:rPr>
            </w:pPr>
            <w:r>
              <w:rPr>
                <w:rFonts w:ascii="等线" w:hAnsi="等线" w:eastAsia="等线" w:cs="Times New Roman"/>
                <w:bCs/>
                <w:szCs w:val="21"/>
              </w:rPr>
              <w:t>学时</w:t>
            </w:r>
          </w:p>
        </w:tc>
      </w:tr>
      <w:tr w14:paraId="58D6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5B54F239">
            <w:pPr>
              <w:ind w:firstLine="200"/>
              <w:jc w:val="center"/>
              <w:rPr>
                <w:rFonts w:ascii="新宋体" w:hAnsi="新宋体" w:eastAsia="新宋体" w:cs="Times New Roman"/>
                <w:szCs w:val="21"/>
              </w:rPr>
            </w:pPr>
            <w:r>
              <w:rPr>
                <w:rFonts w:hint="eastAsia" w:ascii="新宋体" w:hAnsi="新宋体" w:eastAsia="新宋体" w:cs="Times New Roman"/>
                <w:szCs w:val="21"/>
              </w:rPr>
              <w:t>1</w:t>
            </w:r>
          </w:p>
        </w:tc>
        <w:tc>
          <w:tcPr>
            <w:tcW w:w="1557" w:type="dxa"/>
            <w:tcBorders>
              <w:top w:val="single" w:color="auto" w:sz="4" w:space="0"/>
              <w:left w:val="single" w:color="auto" w:sz="4" w:space="0"/>
              <w:bottom w:val="single" w:color="auto" w:sz="4" w:space="0"/>
              <w:right w:val="single" w:color="auto" w:sz="4" w:space="0"/>
            </w:tcBorders>
            <w:vAlign w:val="center"/>
          </w:tcPr>
          <w:p w14:paraId="3E5DB3BB">
            <w:pPr>
              <w:adjustRightInd w:val="0"/>
              <w:ind w:firstLine="198"/>
              <w:rPr>
                <w:rFonts w:ascii="新宋体" w:hAnsi="新宋体" w:eastAsia="新宋体" w:cs="Times New Roman"/>
                <w:bCs/>
                <w:szCs w:val="21"/>
              </w:rPr>
            </w:pPr>
            <w:r>
              <w:rPr>
                <w:rFonts w:hint="eastAsia" w:ascii="新宋体" w:hAnsi="新宋体" w:eastAsia="新宋体" w:cs="Times New Roman"/>
                <w:szCs w:val="21"/>
              </w:rPr>
              <w:t>观摩辩论赛</w:t>
            </w:r>
          </w:p>
        </w:tc>
        <w:tc>
          <w:tcPr>
            <w:tcW w:w="5095" w:type="dxa"/>
            <w:tcBorders>
              <w:top w:val="single" w:color="auto" w:sz="4" w:space="0"/>
              <w:left w:val="single" w:color="auto" w:sz="4" w:space="0"/>
              <w:bottom w:val="single" w:color="auto" w:sz="4" w:space="0"/>
              <w:right w:val="single" w:color="auto" w:sz="4" w:space="0"/>
            </w:tcBorders>
            <w:vAlign w:val="center"/>
          </w:tcPr>
          <w:p w14:paraId="7447AF85">
            <w:pPr>
              <w:ind w:firstLine="200"/>
              <w:rPr>
                <w:rFonts w:ascii="新宋体" w:hAnsi="新宋体" w:eastAsia="新宋体" w:cs="Times New Roman"/>
                <w:szCs w:val="21"/>
              </w:rPr>
            </w:pPr>
            <w:r>
              <w:rPr>
                <w:rFonts w:hint="eastAsia" w:ascii="新宋体" w:hAnsi="新宋体" w:eastAsia="新宋体" w:cs="Times New Roman"/>
                <w:szCs w:val="21"/>
              </w:rPr>
              <w:t>实践内容：观看世界大学生辩论赛的一场比赛录像</w:t>
            </w:r>
          </w:p>
          <w:p w14:paraId="6DC8B70B">
            <w:pPr>
              <w:ind w:firstLine="200"/>
              <w:rPr>
                <w:rFonts w:ascii="新宋体" w:hAnsi="新宋体" w:eastAsia="新宋体" w:cs="Times New Roman"/>
                <w:szCs w:val="21"/>
              </w:rPr>
            </w:pPr>
            <w:r>
              <w:rPr>
                <w:rFonts w:hint="eastAsia" w:ascii="新宋体" w:hAnsi="新宋体" w:eastAsia="新宋体" w:cs="Times New Roman"/>
                <w:szCs w:val="21"/>
              </w:rPr>
              <w:t>实践要求：（1）知道辩论赛流程</w:t>
            </w:r>
          </w:p>
          <w:p w14:paraId="4421CB02">
            <w:pPr>
              <w:ind w:firstLine="200"/>
              <w:rPr>
                <w:rFonts w:ascii="新宋体" w:hAnsi="新宋体" w:eastAsia="新宋体" w:cs="Times New Roman"/>
                <w:szCs w:val="21"/>
              </w:rPr>
            </w:pPr>
            <w:r>
              <w:rPr>
                <w:rFonts w:hint="eastAsia" w:ascii="新宋体" w:hAnsi="新宋体" w:eastAsia="新宋体" w:cs="Times New Roman"/>
                <w:szCs w:val="21"/>
              </w:rPr>
              <w:t>（2）讨论辩论赛中双方的论点和论据，并能做出相应的评论</w:t>
            </w:r>
          </w:p>
          <w:p w14:paraId="20987661">
            <w:pPr>
              <w:ind w:firstLine="200"/>
              <w:rPr>
                <w:rFonts w:hint="eastAsia" w:ascii="新宋体" w:hAnsi="新宋体" w:eastAsia="新宋体" w:cs="Times New Roman"/>
                <w:szCs w:val="21"/>
              </w:rPr>
            </w:pPr>
            <w:r>
              <w:rPr>
                <w:rFonts w:hint="eastAsia" w:ascii="新宋体" w:hAnsi="新宋体" w:eastAsia="新宋体" w:cs="Times New Roman"/>
                <w:szCs w:val="21"/>
              </w:rPr>
              <w:t>（3）选一个辩手角色模拟练习</w:t>
            </w:r>
          </w:p>
        </w:tc>
        <w:tc>
          <w:tcPr>
            <w:tcW w:w="1006" w:type="dxa"/>
            <w:vAlign w:val="center"/>
          </w:tcPr>
          <w:p w14:paraId="4F1496A1">
            <w:pPr>
              <w:jc w:val="center"/>
              <w:rPr>
                <w:rFonts w:hint="eastAsia" w:ascii="等线" w:hAnsi="等线" w:eastAsia="等线" w:cs="Times New Roman"/>
                <w:bCs/>
                <w:szCs w:val="21"/>
              </w:rPr>
            </w:pPr>
            <w:r>
              <w:rPr>
                <w:rFonts w:hint="eastAsia" w:ascii="等线" w:hAnsi="等线" w:eastAsia="等线" w:cs="Times New Roman"/>
                <w:bCs/>
                <w:szCs w:val="21"/>
              </w:rPr>
              <w:t>4</w:t>
            </w:r>
          </w:p>
        </w:tc>
      </w:tr>
      <w:tr w14:paraId="2B76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300C3C64">
            <w:pPr>
              <w:ind w:firstLine="200"/>
              <w:jc w:val="center"/>
              <w:rPr>
                <w:rFonts w:ascii="新宋体" w:hAnsi="新宋体" w:eastAsia="新宋体" w:cs="Times New Roman"/>
                <w:szCs w:val="21"/>
              </w:rPr>
            </w:pPr>
            <w:r>
              <w:rPr>
                <w:rFonts w:hint="eastAsia" w:ascii="新宋体" w:hAnsi="新宋体" w:eastAsia="新宋体" w:cs="Times New Roman"/>
                <w:szCs w:val="21"/>
              </w:rPr>
              <w:t>2</w:t>
            </w:r>
          </w:p>
        </w:tc>
        <w:tc>
          <w:tcPr>
            <w:tcW w:w="1557" w:type="dxa"/>
            <w:tcBorders>
              <w:top w:val="single" w:color="auto" w:sz="4" w:space="0"/>
              <w:left w:val="single" w:color="auto" w:sz="4" w:space="0"/>
              <w:bottom w:val="single" w:color="auto" w:sz="4" w:space="0"/>
              <w:right w:val="single" w:color="auto" w:sz="4" w:space="0"/>
            </w:tcBorders>
            <w:vAlign w:val="center"/>
          </w:tcPr>
          <w:p w14:paraId="7CD1CD93">
            <w:pPr>
              <w:adjustRightInd w:val="0"/>
              <w:ind w:firstLine="198"/>
              <w:rPr>
                <w:rFonts w:ascii="宋体" w:hAnsi="宋体" w:eastAsia="等线" w:cs="Times New Roman"/>
                <w:bCs/>
                <w:szCs w:val="21"/>
              </w:rPr>
            </w:pPr>
            <w:r>
              <w:rPr>
                <w:rFonts w:hint="eastAsia" w:ascii="宋体" w:hAnsi="宋体" w:eastAsia="等线" w:cs="Times New Roman"/>
                <w:bCs/>
                <w:szCs w:val="21"/>
              </w:rPr>
              <w:t>辩题设计</w:t>
            </w:r>
          </w:p>
        </w:tc>
        <w:tc>
          <w:tcPr>
            <w:tcW w:w="5095" w:type="dxa"/>
            <w:tcBorders>
              <w:top w:val="single" w:color="auto" w:sz="4" w:space="0"/>
              <w:left w:val="single" w:color="auto" w:sz="4" w:space="0"/>
              <w:bottom w:val="single" w:color="auto" w:sz="4" w:space="0"/>
              <w:right w:val="single" w:color="auto" w:sz="4" w:space="0"/>
            </w:tcBorders>
            <w:vAlign w:val="center"/>
          </w:tcPr>
          <w:p w14:paraId="7BB19BA7">
            <w:pPr>
              <w:ind w:firstLine="200"/>
              <w:rPr>
                <w:rFonts w:ascii="宋体" w:hAnsi="宋体" w:eastAsia="等线" w:cs="Times New Roman"/>
                <w:szCs w:val="21"/>
              </w:rPr>
            </w:pPr>
            <w:r>
              <w:rPr>
                <w:rFonts w:hint="eastAsia" w:ascii="宋体" w:hAnsi="宋体" w:eastAsia="等线" w:cs="Times New Roman"/>
                <w:szCs w:val="21"/>
              </w:rPr>
              <w:t>实践内容：分小组查找相关资料，结合专业特点，提出两个以上的辩题，并对正反双方的辩题进行讨论</w:t>
            </w:r>
          </w:p>
          <w:p w14:paraId="74A631E0">
            <w:pPr>
              <w:ind w:firstLine="200"/>
              <w:rPr>
                <w:rFonts w:ascii="宋体" w:hAnsi="宋体" w:eastAsia="等线" w:cs="Times New Roman"/>
                <w:szCs w:val="21"/>
              </w:rPr>
            </w:pPr>
            <w:r>
              <w:rPr>
                <w:rFonts w:hint="eastAsia" w:ascii="宋体" w:hAnsi="宋体" w:eastAsia="等线" w:cs="Times New Roman"/>
                <w:szCs w:val="21"/>
              </w:rPr>
              <w:t>实践要求：（1）辩题结合专业特点，无方向性错误</w:t>
            </w:r>
          </w:p>
          <w:p w14:paraId="78C4BF58">
            <w:pPr>
              <w:ind w:firstLine="200"/>
              <w:rPr>
                <w:rFonts w:ascii="宋体" w:hAnsi="宋体" w:eastAsia="等线" w:cs="Times New Roman"/>
                <w:szCs w:val="21"/>
              </w:rPr>
            </w:pPr>
            <w:r>
              <w:rPr>
                <w:rFonts w:hint="eastAsia" w:ascii="宋体" w:hAnsi="宋体" w:eastAsia="等线" w:cs="Times New Roman"/>
                <w:szCs w:val="21"/>
              </w:rPr>
              <w:t>（2）小组合作分工合理</w:t>
            </w:r>
          </w:p>
          <w:p w14:paraId="18392D5F">
            <w:pPr>
              <w:ind w:firstLine="200"/>
              <w:rPr>
                <w:rFonts w:hint="eastAsia" w:ascii="宋体" w:hAnsi="宋体" w:eastAsia="等线" w:cs="Times New Roman"/>
                <w:szCs w:val="21"/>
              </w:rPr>
            </w:pPr>
            <w:r>
              <w:rPr>
                <w:rFonts w:hint="eastAsia" w:ascii="宋体" w:hAnsi="宋体" w:eastAsia="等线" w:cs="Times New Roman"/>
                <w:szCs w:val="21"/>
              </w:rPr>
              <w:t>（3）辩题具有逻辑性</w:t>
            </w:r>
          </w:p>
        </w:tc>
        <w:tc>
          <w:tcPr>
            <w:tcW w:w="1006" w:type="dxa"/>
            <w:vAlign w:val="center"/>
          </w:tcPr>
          <w:p w14:paraId="631E7F2B">
            <w:pPr>
              <w:jc w:val="center"/>
              <w:rPr>
                <w:rFonts w:hint="eastAsia" w:ascii="等线" w:hAnsi="等线" w:eastAsia="等线" w:cs="Times New Roman"/>
                <w:bCs/>
                <w:szCs w:val="21"/>
              </w:rPr>
            </w:pPr>
            <w:r>
              <w:rPr>
                <w:rFonts w:hint="eastAsia" w:ascii="等线" w:hAnsi="等线" w:eastAsia="等线" w:cs="Times New Roman"/>
                <w:bCs/>
                <w:szCs w:val="21"/>
              </w:rPr>
              <w:t>3</w:t>
            </w:r>
          </w:p>
        </w:tc>
      </w:tr>
      <w:tr w14:paraId="7031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48" w:type="dxa"/>
            <w:tcBorders>
              <w:top w:val="single" w:color="auto" w:sz="4" w:space="0"/>
              <w:bottom w:val="single" w:color="auto" w:sz="4" w:space="0"/>
              <w:right w:val="single" w:color="auto" w:sz="4" w:space="0"/>
            </w:tcBorders>
            <w:vAlign w:val="center"/>
          </w:tcPr>
          <w:p w14:paraId="71154391">
            <w:pPr>
              <w:ind w:firstLine="200"/>
              <w:jc w:val="center"/>
              <w:rPr>
                <w:rFonts w:ascii="宋体" w:hAnsi="宋体" w:eastAsia="等线" w:cs="Times New Roman"/>
                <w:szCs w:val="21"/>
              </w:rPr>
            </w:pPr>
            <w:r>
              <w:rPr>
                <w:rFonts w:hint="eastAsia" w:ascii="宋体" w:hAnsi="宋体" w:eastAsia="等线" w:cs="Times New Roman"/>
                <w:szCs w:val="21"/>
              </w:rPr>
              <w:t>3</w:t>
            </w:r>
          </w:p>
        </w:tc>
        <w:tc>
          <w:tcPr>
            <w:tcW w:w="1557" w:type="dxa"/>
            <w:tcBorders>
              <w:top w:val="single" w:color="auto" w:sz="4" w:space="0"/>
              <w:left w:val="single" w:color="auto" w:sz="4" w:space="0"/>
              <w:bottom w:val="single" w:color="auto" w:sz="4" w:space="0"/>
              <w:right w:val="single" w:color="auto" w:sz="4" w:space="0"/>
            </w:tcBorders>
            <w:vAlign w:val="center"/>
          </w:tcPr>
          <w:p w14:paraId="27A28982">
            <w:pPr>
              <w:adjustRightInd w:val="0"/>
              <w:ind w:firstLine="198"/>
              <w:rPr>
                <w:rFonts w:hint="eastAsia" w:ascii="宋体" w:hAnsi="宋体" w:eastAsia="等线" w:cs="Times New Roman"/>
                <w:bCs/>
                <w:szCs w:val="21"/>
              </w:rPr>
            </w:pPr>
            <w:r>
              <w:rPr>
                <w:rFonts w:hint="eastAsia" w:ascii="宋体" w:hAnsi="宋体" w:eastAsia="等线" w:cs="Times New Roman"/>
                <w:bCs/>
                <w:szCs w:val="21"/>
              </w:rPr>
              <w:t>辩论赛</w:t>
            </w:r>
          </w:p>
        </w:tc>
        <w:tc>
          <w:tcPr>
            <w:tcW w:w="5095" w:type="dxa"/>
            <w:tcBorders>
              <w:top w:val="single" w:color="auto" w:sz="4" w:space="0"/>
              <w:left w:val="single" w:color="auto" w:sz="4" w:space="0"/>
              <w:bottom w:val="single" w:color="auto" w:sz="4" w:space="0"/>
              <w:right w:val="single" w:color="auto" w:sz="4" w:space="0"/>
            </w:tcBorders>
            <w:vAlign w:val="center"/>
          </w:tcPr>
          <w:p w14:paraId="5C92EA6C">
            <w:pPr>
              <w:ind w:firstLine="200"/>
              <w:rPr>
                <w:rFonts w:ascii="宋体" w:hAnsi="宋体" w:eastAsia="等线" w:cs="Times New Roman"/>
                <w:szCs w:val="21"/>
              </w:rPr>
            </w:pPr>
            <w:r>
              <w:rPr>
                <w:rFonts w:hint="eastAsia" w:ascii="宋体" w:hAnsi="宋体" w:eastAsia="等线" w:cs="Times New Roman"/>
                <w:szCs w:val="21"/>
              </w:rPr>
              <w:t>实践内容：以小组为单位，在班内开展辩论赛活动</w:t>
            </w:r>
          </w:p>
          <w:p w14:paraId="20FE61E5">
            <w:pPr>
              <w:ind w:firstLine="200"/>
              <w:rPr>
                <w:rFonts w:hint="eastAsia" w:ascii="宋体" w:hAnsi="宋体" w:eastAsia="等线" w:cs="Times New Roman"/>
                <w:szCs w:val="21"/>
              </w:rPr>
            </w:pPr>
            <w:r>
              <w:rPr>
                <w:rFonts w:hint="eastAsia" w:ascii="宋体" w:hAnsi="宋体" w:eastAsia="等线" w:cs="Times New Roman"/>
                <w:szCs w:val="21"/>
              </w:rPr>
              <w:t>实践要求：（1）活动安排组织流程清楚，能顺利进行比赛</w:t>
            </w:r>
          </w:p>
          <w:p w14:paraId="32A6B492">
            <w:pPr>
              <w:ind w:firstLine="200"/>
              <w:rPr>
                <w:rFonts w:hint="eastAsia" w:ascii="宋体" w:hAnsi="宋体" w:eastAsia="等线" w:cs="Times New Roman"/>
                <w:szCs w:val="21"/>
              </w:rPr>
            </w:pPr>
            <w:r>
              <w:rPr>
                <w:rFonts w:hint="eastAsia" w:ascii="宋体" w:hAnsi="宋体" w:eastAsia="等线" w:cs="Times New Roman"/>
                <w:szCs w:val="21"/>
              </w:rPr>
              <w:t>（2）比赛准备充分，学生参与度高</w:t>
            </w:r>
          </w:p>
        </w:tc>
        <w:tc>
          <w:tcPr>
            <w:tcW w:w="1006" w:type="dxa"/>
            <w:vAlign w:val="center"/>
          </w:tcPr>
          <w:p w14:paraId="4B7E9FB9">
            <w:pPr>
              <w:jc w:val="center"/>
              <w:rPr>
                <w:rFonts w:ascii="宋体" w:hAnsi="宋体" w:eastAsia="等线" w:cs="Times New Roman"/>
                <w:bCs/>
                <w:szCs w:val="21"/>
              </w:rPr>
            </w:pPr>
            <w:r>
              <w:rPr>
                <w:rFonts w:hint="eastAsia" w:ascii="宋体" w:hAnsi="宋体" w:eastAsia="等线" w:cs="Times New Roman"/>
                <w:bCs/>
                <w:szCs w:val="21"/>
              </w:rPr>
              <w:t>3</w:t>
            </w:r>
          </w:p>
        </w:tc>
      </w:tr>
      <w:tr w14:paraId="2893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405" w:type="dxa"/>
            <w:gridSpan w:val="2"/>
            <w:tcBorders>
              <w:top w:val="single" w:color="auto" w:sz="4" w:space="0"/>
              <w:bottom w:val="single" w:color="auto" w:sz="4" w:space="0"/>
              <w:right w:val="single" w:color="auto" w:sz="4" w:space="0"/>
            </w:tcBorders>
            <w:vAlign w:val="center"/>
          </w:tcPr>
          <w:p w14:paraId="1DEFE798">
            <w:pPr>
              <w:adjustRightInd w:val="0"/>
              <w:ind w:firstLine="198"/>
              <w:rPr>
                <w:rFonts w:ascii="新宋体" w:hAnsi="新宋体" w:eastAsia="新宋体" w:cs="Times New Roman"/>
                <w:bCs/>
                <w:szCs w:val="21"/>
              </w:rPr>
            </w:pPr>
            <w:r>
              <w:rPr>
                <w:rFonts w:hint="eastAsia" w:ascii="新宋体" w:hAnsi="新宋体" w:eastAsia="新宋体" w:cs="Times New Roman"/>
                <w:bCs/>
                <w:szCs w:val="21"/>
              </w:rPr>
              <w:t>合计</w:t>
            </w:r>
          </w:p>
        </w:tc>
        <w:tc>
          <w:tcPr>
            <w:tcW w:w="5095" w:type="dxa"/>
            <w:tcBorders>
              <w:top w:val="single" w:color="auto" w:sz="4" w:space="0"/>
              <w:left w:val="single" w:color="auto" w:sz="4" w:space="0"/>
              <w:bottom w:val="single" w:color="auto" w:sz="4" w:space="0"/>
              <w:right w:val="single" w:color="auto" w:sz="4" w:space="0"/>
            </w:tcBorders>
            <w:vAlign w:val="center"/>
          </w:tcPr>
          <w:p w14:paraId="7AC4ED7A">
            <w:pPr>
              <w:ind w:firstLine="200"/>
              <w:rPr>
                <w:rFonts w:ascii="新宋体" w:hAnsi="新宋体" w:eastAsia="新宋体" w:cs="Times New Roman"/>
                <w:szCs w:val="21"/>
              </w:rPr>
            </w:pPr>
          </w:p>
        </w:tc>
        <w:tc>
          <w:tcPr>
            <w:tcW w:w="1006" w:type="dxa"/>
            <w:vAlign w:val="center"/>
          </w:tcPr>
          <w:p w14:paraId="680B0054">
            <w:pPr>
              <w:jc w:val="center"/>
              <w:rPr>
                <w:rFonts w:ascii="等线" w:hAnsi="等线" w:eastAsia="等线" w:cs="Times New Roman"/>
                <w:bCs/>
                <w:szCs w:val="21"/>
              </w:rPr>
            </w:pPr>
            <w:r>
              <w:rPr>
                <w:rFonts w:hint="eastAsia" w:ascii="等线" w:hAnsi="等线" w:eastAsia="等线" w:cs="Times New Roman"/>
                <w:bCs/>
                <w:szCs w:val="21"/>
              </w:rPr>
              <w:t>10</w:t>
            </w:r>
          </w:p>
        </w:tc>
      </w:tr>
    </w:tbl>
    <w:p w14:paraId="0673E8A9">
      <w:pPr>
        <w:spacing w:line="360" w:lineRule="auto"/>
        <w:jc w:val="left"/>
        <w:rPr>
          <w:rFonts w:ascii="宋体" w:hAnsi="宋体" w:eastAsia="等线" w:cs="Times New Roman"/>
          <w:b/>
          <w:color w:val="000000"/>
          <w:sz w:val="24"/>
          <w:szCs w:val="22"/>
        </w:rPr>
      </w:pPr>
    </w:p>
    <w:p w14:paraId="34EDB896">
      <w:pPr>
        <w:spacing w:line="360" w:lineRule="auto"/>
        <w:jc w:val="left"/>
        <w:outlineLvl w:val="0"/>
        <w:rPr>
          <w:rFonts w:ascii="等线" w:hAnsi="等线" w:eastAsia="等线" w:cs="Times New Roman"/>
          <w:sz w:val="24"/>
          <w:szCs w:val="22"/>
        </w:rPr>
      </w:pPr>
      <w:bookmarkStart w:id="2474" w:name="_Toc21039"/>
      <w:bookmarkStart w:id="2475" w:name="_Toc28832"/>
      <w:bookmarkStart w:id="2476" w:name="_Toc10717"/>
      <w:bookmarkStart w:id="2477" w:name="_Toc22328"/>
      <w:bookmarkStart w:id="2478" w:name="_Toc6561"/>
      <w:bookmarkStart w:id="2479" w:name="_Toc21832"/>
      <w:bookmarkStart w:id="2480" w:name="_Toc26604"/>
      <w:r>
        <w:rPr>
          <w:rFonts w:hint="eastAsia" w:ascii="宋体" w:hAnsi="宋体" w:eastAsia="等线" w:cs="Times New Roman"/>
          <w:b/>
          <w:color w:val="000000"/>
          <w:sz w:val="24"/>
          <w:szCs w:val="22"/>
        </w:rPr>
        <w:t>五、目标评价与成绩评定</w:t>
      </w:r>
      <w:bookmarkEnd w:id="2474"/>
      <w:bookmarkEnd w:id="2475"/>
      <w:bookmarkEnd w:id="2476"/>
      <w:bookmarkEnd w:id="2477"/>
      <w:bookmarkEnd w:id="2478"/>
      <w:bookmarkEnd w:id="2479"/>
      <w:bookmarkEnd w:id="2480"/>
    </w:p>
    <w:p w14:paraId="02E91150">
      <w:pPr>
        <w:spacing w:line="360" w:lineRule="auto"/>
        <w:jc w:val="left"/>
        <w:outlineLvl w:val="1"/>
        <w:rPr>
          <w:rFonts w:ascii="等线" w:hAnsi="等线" w:eastAsia="等线" w:cs="Times New Roman"/>
          <w:b/>
          <w:szCs w:val="21"/>
        </w:rPr>
      </w:pPr>
      <w:bookmarkStart w:id="2481" w:name="_Toc30770"/>
      <w:r>
        <w:rPr>
          <w:rFonts w:hint="eastAsia" w:ascii="等线" w:hAnsi="等线" w:eastAsia="等线" w:cs="Times New Roman"/>
          <w:b/>
          <w:szCs w:val="21"/>
        </w:rPr>
        <w:t>（一）课程目标评价方式</w:t>
      </w:r>
      <w:bookmarkEnd w:id="2481"/>
    </w:p>
    <w:p w14:paraId="3DC89F83">
      <w:pPr>
        <w:spacing w:line="360" w:lineRule="auto"/>
        <w:ind w:firstLine="420" w:firstLineChars="200"/>
        <w:jc w:val="left"/>
        <w:rPr>
          <w:rFonts w:ascii="等线" w:hAnsi="等线" w:eastAsia="等线" w:cs="Times New Roman"/>
          <w:szCs w:val="21"/>
        </w:rPr>
      </w:pPr>
      <w:r>
        <w:rPr>
          <w:rFonts w:hint="eastAsia" w:ascii="等线" w:hAnsi="等线" w:eastAsia="等线" w:cs="Times New Roman"/>
          <w:szCs w:val="21"/>
        </w:rPr>
        <w:t>根据总体设计，用于评价各课程目标的评价方式如表3</w:t>
      </w:r>
      <w:r>
        <w:rPr>
          <w:rFonts w:ascii="等线" w:hAnsi="等线" w:eastAsia="等线" w:cs="Times New Roman"/>
          <w:szCs w:val="21"/>
        </w:rPr>
        <w:t>所示。</w:t>
      </w:r>
    </w:p>
    <w:p w14:paraId="554EF4DB">
      <w:pPr>
        <w:spacing w:line="360" w:lineRule="auto"/>
        <w:jc w:val="center"/>
        <w:rPr>
          <w:rFonts w:ascii="等线" w:hAnsi="等线" w:eastAsia="等线" w:cs="Times New Roman"/>
          <w:b/>
          <w:bCs/>
          <w:szCs w:val="21"/>
        </w:rPr>
      </w:pPr>
      <w:r>
        <w:rPr>
          <w:rFonts w:hint="eastAsia" w:ascii="等线" w:hAnsi="等线" w:eastAsia="等线" w:cs="Times New Roman"/>
          <w:b/>
          <w:bCs/>
          <w:szCs w:val="21"/>
        </w:rPr>
        <w:t>表3</w:t>
      </w:r>
      <w:r>
        <w:rPr>
          <w:rFonts w:ascii="等线" w:hAnsi="等线" w:eastAsia="等线" w:cs="Times New Roman"/>
          <w:b/>
          <w:bCs/>
          <w:szCs w:val="21"/>
        </w:rPr>
        <w:t>课程教学评价设计总表</w:t>
      </w:r>
    </w:p>
    <w:tbl>
      <w:tblPr>
        <w:tblStyle w:val="11"/>
        <w:tblW w:w="8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447"/>
        <w:gridCol w:w="1448"/>
        <w:gridCol w:w="1448"/>
        <w:gridCol w:w="1448"/>
        <w:gridCol w:w="872"/>
      </w:tblGrid>
      <w:tr w14:paraId="51F3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Merge w:val="restart"/>
            <w:vAlign w:val="center"/>
          </w:tcPr>
          <w:p w14:paraId="7EA68E74">
            <w:pPr>
              <w:spacing w:line="360" w:lineRule="auto"/>
              <w:jc w:val="center"/>
              <w:rPr>
                <w:rFonts w:hint="eastAsia" w:ascii="宋体" w:hAnsi="宋体" w:eastAsia="等线" w:cs="Times New Roman"/>
                <w:szCs w:val="21"/>
              </w:rPr>
            </w:pPr>
            <w:r>
              <w:rPr>
                <w:rFonts w:hint="eastAsia" w:ascii="宋体" w:hAnsi="宋体" w:eastAsia="等线" w:cs="Times New Roman"/>
                <w:szCs w:val="21"/>
              </w:rPr>
              <w:t>课程目标</w:t>
            </w:r>
          </w:p>
        </w:tc>
        <w:tc>
          <w:tcPr>
            <w:tcW w:w="0" w:type="auto"/>
            <w:gridSpan w:val="4"/>
            <w:vAlign w:val="center"/>
          </w:tcPr>
          <w:p w14:paraId="207ED2B9">
            <w:pPr>
              <w:spacing w:line="360" w:lineRule="auto"/>
              <w:jc w:val="center"/>
              <w:rPr>
                <w:rFonts w:hint="eastAsia" w:ascii="宋体" w:hAnsi="宋体" w:eastAsia="等线" w:cs="Times New Roman"/>
                <w:szCs w:val="21"/>
              </w:rPr>
            </w:pPr>
            <w:r>
              <w:rPr>
                <w:rFonts w:hint="eastAsia" w:ascii="宋体" w:hAnsi="宋体" w:eastAsia="等线" w:cs="Times New Roman"/>
                <w:szCs w:val="21"/>
              </w:rPr>
              <w:t>评价与成绩评定方法</w:t>
            </w:r>
          </w:p>
        </w:tc>
        <w:tc>
          <w:tcPr>
            <w:tcW w:w="0" w:type="auto"/>
            <w:vMerge w:val="restart"/>
            <w:vAlign w:val="center"/>
          </w:tcPr>
          <w:p w14:paraId="35133CCF">
            <w:pPr>
              <w:spacing w:line="360" w:lineRule="auto"/>
              <w:jc w:val="center"/>
              <w:rPr>
                <w:rFonts w:hint="eastAsia" w:ascii="宋体" w:hAnsi="宋体" w:eastAsia="等线" w:cs="Times New Roman"/>
                <w:szCs w:val="21"/>
              </w:rPr>
            </w:pPr>
            <w:r>
              <w:rPr>
                <w:rFonts w:hint="eastAsia" w:ascii="宋体" w:hAnsi="宋体" w:eastAsia="等线" w:cs="Times New Roman"/>
                <w:szCs w:val="21"/>
              </w:rPr>
              <w:t>分值</w:t>
            </w:r>
          </w:p>
        </w:tc>
      </w:tr>
      <w:tr w14:paraId="5ACA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0" w:type="auto"/>
            <w:vMerge w:val="continue"/>
            <w:vAlign w:val="center"/>
          </w:tcPr>
          <w:p w14:paraId="2D80996D">
            <w:pPr>
              <w:spacing w:line="360" w:lineRule="auto"/>
              <w:jc w:val="center"/>
              <w:rPr>
                <w:rFonts w:hint="eastAsia" w:ascii="宋体" w:hAnsi="宋体" w:eastAsia="等线" w:cs="Times New Roman"/>
                <w:szCs w:val="21"/>
              </w:rPr>
            </w:pPr>
          </w:p>
        </w:tc>
        <w:tc>
          <w:tcPr>
            <w:tcW w:w="0" w:type="auto"/>
            <w:vAlign w:val="center"/>
          </w:tcPr>
          <w:p w14:paraId="2D44C465">
            <w:pPr>
              <w:spacing w:line="360" w:lineRule="auto"/>
              <w:jc w:val="center"/>
              <w:rPr>
                <w:rFonts w:hint="eastAsia" w:ascii="宋体" w:hAnsi="宋体" w:eastAsia="等线" w:cs="Times New Roman"/>
                <w:szCs w:val="21"/>
              </w:rPr>
            </w:pPr>
            <w:r>
              <w:rPr>
                <w:rFonts w:hint="eastAsia" w:ascii="宋体" w:hAnsi="宋体" w:eastAsia="等线" w:cs="Times New Roman"/>
                <w:szCs w:val="21"/>
              </w:rPr>
              <w:t>平时作业</w:t>
            </w:r>
          </w:p>
        </w:tc>
        <w:tc>
          <w:tcPr>
            <w:tcW w:w="0" w:type="auto"/>
            <w:vAlign w:val="center"/>
          </w:tcPr>
          <w:p w14:paraId="41104416">
            <w:pPr>
              <w:spacing w:line="360" w:lineRule="auto"/>
              <w:jc w:val="center"/>
              <w:rPr>
                <w:rFonts w:hint="eastAsia" w:ascii="宋体" w:hAnsi="宋体" w:eastAsia="等线" w:cs="Times New Roman"/>
                <w:szCs w:val="21"/>
              </w:rPr>
            </w:pPr>
            <w:r>
              <w:rPr>
                <w:rFonts w:hint="eastAsia" w:ascii="宋体" w:hAnsi="宋体" w:eastAsia="等线" w:cs="Times New Roman"/>
                <w:szCs w:val="21"/>
              </w:rPr>
              <w:t>课堂表现</w:t>
            </w:r>
          </w:p>
        </w:tc>
        <w:tc>
          <w:tcPr>
            <w:tcW w:w="0" w:type="auto"/>
            <w:vAlign w:val="center"/>
          </w:tcPr>
          <w:p w14:paraId="785B0280">
            <w:pPr>
              <w:spacing w:line="360" w:lineRule="auto"/>
              <w:jc w:val="center"/>
              <w:rPr>
                <w:rFonts w:hint="eastAsia" w:ascii="宋体" w:hAnsi="宋体" w:eastAsia="等线" w:cs="Times New Roman"/>
                <w:szCs w:val="21"/>
              </w:rPr>
            </w:pPr>
            <w:r>
              <w:rPr>
                <w:rFonts w:hint="eastAsia" w:ascii="宋体" w:hAnsi="宋体" w:eastAsia="等线" w:cs="Times New Roman"/>
                <w:szCs w:val="21"/>
              </w:rPr>
              <w:t>课内实践</w:t>
            </w:r>
          </w:p>
        </w:tc>
        <w:tc>
          <w:tcPr>
            <w:tcW w:w="0" w:type="auto"/>
            <w:vAlign w:val="center"/>
          </w:tcPr>
          <w:p w14:paraId="3995E6D2">
            <w:pPr>
              <w:spacing w:line="360" w:lineRule="auto"/>
              <w:jc w:val="center"/>
              <w:rPr>
                <w:rFonts w:hint="eastAsia" w:ascii="宋体" w:hAnsi="宋体" w:eastAsia="等线" w:cs="Times New Roman"/>
                <w:szCs w:val="21"/>
              </w:rPr>
            </w:pPr>
            <w:r>
              <w:rPr>
                <w:rFonts w:hint="eastAsia" w:ascii="宋体" w:hAnsi="宋体" w:eastAsia="等线" w:cs="Times New Roman"/>
                <w:szCs w:val="21"/>
              </w:rPr>
              <w:t>期末考试</w:t>
            </w:r>
          </w:p>
        </w:tc>
        <w:tc>
          <w:tcPr>
            <w:tcW w:w="0" w:type="auto"/>
            <w:vMerge w:val="continue"/>
            <w:vAlign w:val="center"/>
          </w:tcPr>
          <w:p w14:paraId="496B44BC">
            <w:pPr>
              <w:spacing w:line="360" w:lineRule="auto"/>
              <w:jc w:val="center"/>
              <w:rPr>
                <w:rFonts w:hint="eastAsia" w:ascii="宋体" w:hAnsi="宋体" w:eastAsia="等线" w:cs="Times New Roman"/>
                <w:szCs w:val="21"/>
              </w:rPr>
            </w:pPr>
          </w:p>
        </w:tc>
      </w:tr>
      <w:tr w14:paraId="6AF4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0" w:type="auto"/>
            <w:vAlign w:val="center"/>
          </w:tcPr>
          <w:p w14:paraId="6A7F2B22">
            <w:pPr>
              <w:spacing w:line="360" w:lineRule="auto"/>
              <w:jc w:val="center"/>
              <w:rPr>
                <w:rFonts w:hint="eastAsia" w:ascii="宋体" w:hAnsi="宋体" w:eastAsia="等线" w:cs="Times New Roman"/>
                <w:szCs w:val="21"/>
              </w:rPr>
            </w:pPr>
            <w:r>
              <w:rPr>
                <w:rFonts w:hint="eastAsia" w:ascii="宋体" w:hAnsi="宋体" w:eastAsia="等线" w:cs="Times New Roman"/>
                <w:szCs w:val="21"/>
              </w:rPr>
              <w:t>课程目标1</w:t>
            </w:r>
          </w:p>
        </w:tc>
        <w:tc>
          <w:tcPr>
            <w:tcW w:w="0" w:type="auto"/>
            <w:vAlign w:val="center"/>
          </w:tcPr>
          <w:p w14:paraId="3A9F21AF">
            <w:pPr>
              <w:spacing w:line="360" w:lineRule="auto"/>
              <w:jc w:val="center"/>
              <w:rPr>
                <w:rFonts w:hint="eastAsia" w:ascii="宋体" w:hAnsi="宋体" w:eastAsia="等线" w:cs="Times New Roman"/>
                <w:szCs w:val="21"/>
              </w:rPr>
            </w:pPr>
          </w:p>
        </w:tc>
        <w:tc>
          <w:tcPr>
            <w:tcW w:w="0" w:type="auto"/>
            <w:vAlign w:val="center"/>
          </w:tcPr>
          <w:p w14:paraId="5AFE554B">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0DC1B50B">
            <w:pPr>
              <w:spacing w:line="360" w:lineRule="auto"/>
              <w:jc w:val="center"/>
              <w:rPr>
                <w:rFonts w:hint="eastAsia" w:ascii="宋体" w:hAnsi="宋体" w:eastAsia="等线" w:cs="Times New Roman"/>
                <w:szCs w:val="21"/>
              </w:rPr>
            </w:pPr>
          </w:p>
        </w:tc>
        <w:tc>
          <w:tcPr>
            <w:tcW w:w="0" w:type="auto"/>
            <w:vAlign w:val="center"/>
          </w:tcPr>
          <w:p w14:paraId="6BA213A8">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2808FD2F">
            <w:pPr>
              <w:spacing w:line="360" w:lineRule="auto"/>
              <w:jc w:val="center"/>
              <w:rPr>
                <w:rFonts w:hint="eastAsia" w:ascii="宋体" w:hAnsi="宋体" w:eastAsia="等线" w:cs="Times New Roman"/>
                <w:szCs w:val="21"/>
              </w:rPr>
            </w:pPr>
            <w:r>
              <w:rPr>
                <w:rFonts w:hint="eastAsia" w:ascii="宋体" w:hAnsi="宋体" w:eastAsia="等线" w:cs="Times New Roman"/>
                <w:szCs w:val="21"/>
              </w:rPr>
              <w:t>20</w:t>
            </w:r>
          </w:p>
        </w:tc>
      </w:tr>
      <w:tr w14:paraId="3FCC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3FA9F4D9">
            <w:pPr>
              <w:spacing w:line="360" w:lineRule="auto"/>
              <w:jc w:val="center"/>
              <w:rPr>
                <w:rFonts w:hint="eastAsia" w:ascii="宋体" w:hAnsi="宋体" w:eastAsia="等线" w:cs="Times New Roman"/>
                <w:szCs w:val="21"/>
              </w:rPr>
            </w:pPr>
            <w:r>
              <w:rPr>
                <w:rFonts w:hint="eastAsia" w:ascii="宋体" w:hAnsi="宋体" w:eastAsia="等线" w:cs="Times New Roman"/>
                <w:szCs w:val="21"/>
              </w:rPr>
              <w:t>课程目标2</w:t>
            </w:r>
          </w:p>
        </w:tc>
        <w:tc>
          <w:tcPr>
            <w:tcW w:w="0" w:type="auto"/>
            <w:vAlign w:val="center"/>
          </w:tcPr>
          <w:p w14:paraId="2216A0EA">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099A346D">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7D60E29E">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72564188">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16830AE3">
            <w:pPr>
              <w:spacing w:line="360" w:lineRule="auto"/>
              <w:jc w:val="center"/>
              <w:rPr>
                <w:rFonts w:hint="eastAsia" w:ascii="宋体" w:hAnsi="宋体" w:eastAsia="等线" w:cs="Times New Roman"/>
                <w:szCs w:val="21"/>
              </w:rPr>
            </w:pPr>
            <w:r>
              <w:rPr>
                <w:rFonts w:hint="eastAsia" w:ascii="宋体" w:hAnsi="宋体" w:eastAsia="等线" w:cs="Times New Roman"/>
                <w:szCs w:val="21"/>
              </w:rPr>
              <w:t>40</w:t>
            </w:r>
          </w:p>
        </w:tc>
      </w:tr>
      <w:tr w14:paraId="09A9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6064A837">
            <w:pPr>
              <w:spacing w:line="360" w:lineRule="auto"/>
              <w:jc w:val="center"/>
              <w:rPr>
                <w:rFonts w:hint="eastAsia" w:ascii="宋体" w:hAnsi="宋体" w:eastAsia="等线" w:cs="Times New Roman"/>
                <w:szCs w:val="21"/>
              </w:rPr>
            </w:pPr>
            <w:r>
              <w:rPr>
                <w:rFonts w:hint="eastAsia" w:ascii="宋体" w:hAnsi="宋体" w:eastAsia="等线" w:cs="Times New Roman"/>
                <w:szCs w:val="21"/>
              </w:rPr>
              <w:t>课程目标3</w:t>
            </w:r>
          </w:p>
        </w:tc>
        <w:tc>
          <w:tcPr>
            <w:tcW w:w="0" w:type="auto"/>
            <w:vAlign w:val="center"/>
          </w:tcPr>
          <w:p w14:paraId="546BA6D3">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03E183A7">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38235C77">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4B22E4A6">
            <w:pPr>
              <w:spacing w:line="360" w:lineRule="auto"/>
              <w:jc w:val="center"/>
              <w:rPr>
                <w:rFonts w:hint="eastAsia" w:ascii="宋体" w:hAnsi="宋体" w:eastAsia="等线" w:cs="Times New Roman"/>
                <w:szCs w:val="21"/>
              </w:rPr>
            </w:pPr>
            <w:r>
              <w:rPr>
                <w:rFonts w:ascii="宋体" w:hAnsi="宋体" w:eastAsia="等线" w:cs="Times New Roman"/>
                <w:szCs w:val="21"/>
              </w:rPr>
              <w:sym w:font="Wingdings 2" w:char="F050"/>
            </w:r>
          </w:p>
        </w:tc>
        <w:tc>
          <w:tcPr>
            <w:tcW w:w="0" w:type="auto"/>
            <w:vAlign w:val="center"/>
          </w:tcPr>
          <w:p w14:paraId="0BA318A3">
            <w:pPr>
              <w:spacing w:line="360" w:lineRule="auto"/>
              <w:jc w:val="center"/>
              <w:rPr>
                <w:rFonts w:hint="eastAsia" w:ascii="宋体" w:hAnsi="宋体" w:eastAsia="等线" w:cs="Times New Roman"/>
                <w:szCs w:val="21"/>
              </w:rPr>
            </w:pPr>
            <w:r>
              <w:rPr>
                <w:rFonts w:hint="eastAsia" w:ascii="宋体" w:hAnsi="宋体" w:eastAsia="等线" w:cs="Times New Roman"/>
                <w:szCs w:val="21"/>
              </w:rPr>
              <w:t>40</w:t>
            </w:r>
          </w:p>
        </w:tc>
      </w:tr>
      <w:tr w14:paraId="54A7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0" w:type="auto"/>
            <w:vAlign w:val="center"/>
          </w:tcPr>
          <w:p w14:paraId="05AB63A4">
            <w:pPr>
              <w:spacing w:line="360" w:lineRule="auto"/>
              <w:jc w:val="center"/>
              <w:rPr>
                <w:rFonts w:hint="eastAsia" w:ascii="宋体" w:hAnsi="宋体" w:eastAsia="等线" w:cs="Times New Roman"/>
                <w:szCs w:val="21"/>
              </w:rPr>
            </w:pPr>
            <w:r>
              <w:rPr>
                <w:rFonts w:hint="eastAsia" w:ascii="宋体" w:hAnsi="宋体" w:eastAsia="等线" w:cs="Times New Roman"/>
                <w:szCs w:val="21"/>
              </w:rPr>
              <w:t>合计</w:t>
            </w:r>
          </w:p>
        </w:tc>
        <w:tc>
          <w:tcPr>
            <w:tcW w:w="0" w:type="auto"/>
            <w:vAlign w:val="center"/>
          </w:tcPr>
          <w:p w14:paraId="001C93BB">
            <w:pPr>
              <w:spacing w:line="360" w:lineRule="auto"/>
              <w:jc w:val="center"/>
              <w:rPr>
                <w:rFonts w:hint="eastAsia" w:ascii="宋体" w:hAnsi="宋体" w:eastAsia="等线" w:cs="Times New Roman"/>
                <w:szCs w:val="21"/>
              </w:rPr>
            </w:pPr>
          </w:p>
        </w:tc>
        <w:tc>
          <w:tcPr>
            <w:tcW w:w="0" w:type="auto"/>
            <w:vAlign w:val="center"/>
          </w:tcPr>
          <w:p w14:paraId="79AB8C9B">
            <w:pPr>
              <w:spacing w:line="360" w:lineRule="auto"/>
              <w:jc w:val="center"/>
              <w:rPr>
                <w:rFonts w:hint="eastAsia" w:ascii="宋体" w:hAnsi="宋体" w:eastAsia="等线" w:cs="Times New Roman"/>
                <w:szCs w:val="21"/>
              </w:rPr>
            </w:pPr>
          </w:p>
        </w:tc>
        <w:tc>
          <w:tcPr>
            <w:tcW w:w="0" w:type="auto"/>
            <w:vAlign w:val="center"/>
          </w:tcPr>
          <w:p w14:paraId="5BC3FFAB">
            <w:pPr>
              <w:spacing w:line="360" w:lineRule="auto"/>
              <w:jc w:val="center"/>
              <w:rPr>
                <w:rFonts w:hint="eastAsia" w:ascii="宋体" w:hAnsi="宋体" w:eastAsia="等线" w:cs="Times New Roman"/>
                <w:szCs w:val="21"/>
              </w:rPr>
            </w:pPr>
          </w:p>
        </w:tc>
        <w:tc>
          <w:tcPr>
            <w:tcW w:w="0" w:type="auto"/>
            <w:vAlign w:val="center"/>
          </w:tcPr>
          <w:p w14:paraId="6CC588F0">
            <w:pPr>
              <w:spacing w:line="360" w:lineRule="auto"/>
              <w:jc w:val="center"/>
              <w:rPr>
                <w:rFonts w:hint="eastAsia" w:ascii="宋体" w:hAnsi="宋体" w:eastAsia="等线" w:cs="Times New Roman"/>
                <w:szCs w:val="21"/>
              </w:rPr>
            </w:pPr>
          </w:p>
        </w:tc>
        <w:tc>
          <w:tcPr>
            <w:tcW w:w="0" w:type="auto"/>
            <w:vAlign w:val="center"/>
          </w:tcPr>
          <w:p w14:paraId="20826373">
            <w:pPr>
              <w:spacing w:line="360" w:lineRule="auto"/>
              <w:jc w:val="center"/>
              <w:rPr>
                <w:rFonts w:hint="eastAsia" w:ascii="宋体" w:hAnsi="宋体" w:eastAsia="等线" w:cs="Times New Roman"/>
                <w:szCs w:val="21"/>
              </w:rPr>
            </w:pPr>
            <w:r>
              <w:rPr>
                <w:rFonts w:hint="eastAsia" w:ascii="宋体" w:hAnsi="宋体" w:eastAsia="等线" w:cs="Times New Roman"/>
                <w:szCs w:val="21"/>
              </w:rPr>
              <w:t>100</w:t>
            </w:r>
          </w:p>
        </w:tc>
      </w:tr>
    </w:tbl>
    <w:p w14:paraId="1197115A">
      <w:pPr>
        <w:spacing w:before="156" w:beforeLines="50" w:line="360" w:lineRule="auto"/>
        <w:jc w:val="left"/>
        <w:outlineLvl w:val="1"/>
        <w:rPr>
          <w:rFonts w:ascii="等线" w:hAnsi="等线" w:eastAsia="等线" w:cs="Times New Roman"/>
          <w:b/>
          <w:szCs w:val="21"/>
        </w:rPr>
      </w:pPr>
      <w:bookmarkStart w:id="2482" w:name="_Toc21060"/>
      <w:r>
        <w:rPr>
          <w:rFonts w:hint="eastAsia" w:ascii="等线" w:hAnsi="等线" w:eastAsia="等线" w:cs="Times New Roman"/>
          <w:b/>
          <w:szCs w:val="21"/>
        </w:rPr>
        <w:t>（二）成绩评定细则</w:t>
      </w:r>
      <w:bookmarkEnd w:id="2482"/>
    </w:p>
    <w:p w14:paraId="3C8F4AE1">
      <w:pPr>
        <w:spacing w:line="360" w:lineRule="auto"/>
        <w:ind w:firstLine="420" w:firstLineChars="200"/>
        <w:jc w:val="left"/>
        <w:rPr>
          <w:rFonts w:ascii="等线" w:hAnsi="等线" w:eastAsia="等线" w:cs="Times New Roman"/>
          <w:szCs w:val="21"/>
        </w:rPr>
      </w:pPr>
      <w:r>
        <w:rPr>
          <w:rFonts w:hint="eastAsia" w:ascii="等线" w:hAnsi="等线" w:eastAsia="等线" w:cs="Times New Roman"/>
          <w:szCs w:val="21"/>
        </w:rPr>
        <w:t>各部分的评价方式和成绩评定的细则如表4所示：</w:t>
      </w:r>
    </w:p>
    <w:p w14:paraId="2CC7A9EF">
      <w:pPr>
        <w:jc w:val="center"/>
        <w:rPr>
          <w:rFonts w:ascii="等线" w:hAnsi="等线" w:eastAsia="等线" w:cs="Times New Roman"/>
          <w:b/>
          <w:bCs/>
          <w:szCs w:val="21"/>
        </w:rPr>
      </w:pPr>
      <w:r>
        <w:rPr>
          <w:rFonts w:hint="eastAsia" w:ascii="等线" w:hAnsi="等线" w:eastAsia="等线"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53"/>
      </w:tblGrid>
      <w:tr w14:paraId="14AC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5FE933B8">
            <w:pPr>
              <w:jc w:val="center"/>
              <w:rPr>
                <w:rFonts w:ascii="等线" w:hAnsi="等线" w:eastAsia="等线" w:cs="Times New Roman"/>
                <w:b/>
                <w:bCs/>
                <w:szCs w:val="21"/>
              </w:rPr>
            </w:pPr>
            <w:r>
              <w:rPr>
                <w:rFonts w:hint="eastAsia" w:ascii="等线" w:hAnsi="等线" w:eastAsia="等线" w:cs="Times New Roman"/>
                <w:b/>
                <w:bCs/>
                <w:szCs w:val="21"/>
              </w:rPr>
              <w:t>评价方式</w:t>
            </w:r>
          </w:p>
        </w:tc>
        <w:tc>
          <w:tcPr>
            <w:tcW w:w="7141" w:type="dxa"/>
            <w:vAlign w:val="center"/>
          </w:tcPr>
          <w:p w14:paraId="02EDC50C">
            <w:pPr>
              <w:jc w:val="center"/>
              <w:rPr>
                <w:rFonts w:ascii="等线" w:hAnsi="等线" w:eastAsia="等线" w:cs="Times New Roman"/>
                <w:b/>
                <w:bCs/>
                <w:szCs w:val="21"/>
              </w:rPr>
            </w:pPr>
            <w:r>
              <w:rPr>
                <w:rFonts w:hint="eastAsia" w:ascii="等线" w:hAnsi="等线" w:eastAsia="等线" w:cs="Times New Roman"/>
                <w:b/>
                <w:bCs/>
                <w:szCs w:val="21"/>
              </w:rPr>
              <w:t>评定细则</w:t>
            </w:r>
          </w:p>
        </w:tc>
        <w:tc>
          <w:tcPr>
            <w:tcW w:w="0" w:type="auto"/>
            <w:vAlign w:val="center"/>
          </w:tcPr>
          <w:p w14:paraId="483D16A0">
            <w:pPr>
              <w:jc w:val="center"/>
              <w:rPr>
                <w:rFonts w:ascii="等线" w:hAnsi="等线" w:eastAsia="等线" w:cs="Times New Roman"/>
                <w:b/>
                <w:bCs/>
                <w:szCs w:val="21"/>
              </w:rPr>
            </w:pPr>
            <w:r>
              <w:rPr>
                <w:rFonts w:hint="eastAsia" w:ascii="等线" w:hAnsi="等线" w:eastAsia="等线" w:cs="Times New Roman"/>
                <w:b/>
                <w:bCs/>
                <w:szCs w:val="21"/>
              </w:rPr>
              <w:t>占比</w:t>
            </w:r>
          </w:p>
        </w:tc>
      </w:tr>
      <w:tr w14:paraId="5CC4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D871857">
            <w:pPr>
              <w:rPr>
                <w:rFonts w:ascii="等线" w:hAnsi="等线" w:eastAsia="等线" w:cs="Times New Roman"/>
                <w:szCs w:val="21"/>
              </w:rPr>
            </w:pPr>
            <w:r>
              <w:rPr>
                <w:rFonts w:hint="eastAsia" w:ascii="等线" w:hAnsi="等线" w:eastAsia="等线" w:cs="Times New Roman"/>
                <w:szCs w:val="21"/>
              </w:rPr>
              <w:t>平时作业</w:t>
            </w:r>
          </w:p>
        </w:tc>
        <w:tc>
          <w:tcPr>
            <w:tcW w:w="7141" w:type="dxa"/>
            <w:vAlign w:val="center"/>
          </w:tcPr>
          <w:p w14:paraId="05B1ABC7">
            <w:pPr>
              <w:spacing w:line="264" w:lineRule="auto"/>
              <w:jc w:val="left"/>
              <w:rPr>
                <w:rFonts w:ascii="等线" w:hAnsi="等线" w:eastAsia="等线" w:cs="Times New Roman"/>
                <w:szCs w:val="21"/>
              </w:rPr>
            </w:pPr>
            <w:r>
              <w:rPr>
                <w:rFonts w:hint="eastAsia" w:ascii="等线" w:hAnsi="等线" w:eastAsia="等线" w:cs="Times New Roman"/>
                <w:szCs w:val="21"/>
              </w:rPr>
              <w:t>课后完成练习题，主要考核学生对每节课知识点的复习、理解和掌握程度，计算全部作业的平均成绩。</w:t>
            </w:r>
          </w:p>
        </w:tc>
        <w:tc>
          <w:tcPr>
            <w:tcW w:w="0" w:type="auto"/>
            <w:vAlign w:val="center"/>
          </w:tcPr>
          <w:p w14:paraId="7CC1FF24">
            <w:pPr>
              <w:jc w:val="center"/>
              <w:rPr>
                <w:rFonts w:ascii="等线" w:hAnsi="等线" w:eastAsia="等线" w:cs="Times New Roman"/>
                <w:szCs w:val="21"/>
              </w:rPr>
            </w:pPr>
            <w:r>
              <w:rPr>
                <w:rFonts w:hint="eastAsia" w:ascii="等线" w:hAnsi="等线" w:eastAsia="等线" w:cs="Times New Roman"/>
                <w:szCs w:val="21"/>
              </w:rPr>
              <w:t>10%</w:t>
            </w:r>
          </w:p>
        </w:tc>
      </w:tr>
      <w:tr w14:paraId="28F6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61CE3C2">
            <w:pPr>
              <w:rPr>
                <w:rFonts w:ascii="等线" w:hAnsi="等线" w:eastAsia="等线" w:cs="Times New Roman"/>
                <w:szCs w:val="21"/>
              </w:rPr>
            </w:pPr>
            <w:r>
              <w:rPr>
                <w:rFonts w:hint="eastAsia" w:ascii="等线" w:hAnsi="等线" w:eastAsia="等线" w:cs="Times New Roman"/>
                <w:szCs w:val="21"/>
              </w:rPr>
              <w:t>课堂表现</w:t>
            </w:r>
          </w:p>
        </w:tc>
        <w:tc>
          <w:tcPr>
            <w:tcW w:w="7141" w:type="dxa"/>
            <w:vAlign w:val="center"/>
          </w:tcPr>
          <w:p w14:paraId="7E66F20F">
            <w:pPr>
              <w:widowControl/>
              <w:spacing w:line="264" w:lineRule="auto"/>
              <w:jc w:val="left"/>
              <w:rPr>
                <w:rFonts w:ascii="等线" w:hAnsi="等线" w:eastAsia="等线" w:cs="Times New Roman"/>
                <w:szCs w:val="21"/>
              </w:rPr>
            </w:pPr>
            <w:r>
              <w:rPr>
                <w:rFonts w:hint="eastAsia" w:ascii="宋体" w:hAnsi="宋体" w:eastAsia="等线" w:cs="宋体"/>
                <w:color w:val="000000"/>
                <w:kern w:val="0"/>
                <w:szCs w:val="21"/>
                <w:lang w:bidi="ar"/>
              </w:rPr>
              <w:t>课堂考勤，全勤不扣分，迟到每3次扣1分，病假和事假扣2分，旷课扣5分，超过三分之一取消考试资格；以随机的形式，在课堂上根据讨论的参与度，问题回答的表现，主要考核学生课堂的听课效果和课后及时复习情况。</w:t>
            </w:r>
          </w:p>
        </w:tc>
        <w:tc>
          <w:tcPr>
            <w:tcW w:w="0" w:type="auto"/>
            <w:vAlign w:val="center"/>
          </w:tcPr>
          <w:p w14:paraId="7B4A32B2">
            <w:pPr>
              <w:jc w:val="center"/>
              <w:rPr>
                <w:rFonts w:ascii="等线" w:hAnsi="等线" w:eastAsia="等线" w:cs="Times New Roman"/>
                <w:szCs w:val="21"/>
              </w:rPr>
            </w:pPr>
            <w:r>
              <w:rPr>
                <w:rFonts w:hint="eastAsia" w:ascii="等线" w:hAnsi="等线" w:eastAsia="等线" w:cs="Times New Roman"/>
                <w:szCs w:val="21"/>
              </w:rPr>
              <w:t>20%</w:t>
            </w:r>
          </w:p>
        </w:tc>
      </w:tr>
      <w:tr w14:paraId="2DFA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E69E8E">
            <w:pPr>
              <w:rPr>
                <w:rFonts w:ascii="等线" w:hAnsi="等线" w:eastAsia="等线" w:cs="Times New Roman"/>
                <w:szCs w:val="21"/>
              </w:rPr>
            </w:pPr>
            <w:r>
              <w:rPr>
                <w:rFonts w:hint="eastAsia" w:ascii="等线" w:hAnsi="等线" w:eastAsia="等线" w:cs="Times New Roman"/>
                <w:szCs w:val="21"/>
              </w:rPr>
              <w:t>课内实践</w:t>
            </w:r>
          </w:p>
        </w:tc>
        <w:tc>
          <w:tcPr>
            <w:tcW w:w="7141" w:type="dxa"/>
            <w:vAlign w:val="center"/>
          </w:tcPr>
          <w:p w14:paraId="3DC58E46">
            <w:pPr>
              <w:widowControl/>
              <w:spacing w:line="264" w:lineRule="auto"/>
              <w:jc w:val="left"/>
              <w:rPr>
                <w:rFonts w:hint="eastAsia" w:ascii="宋体" w:hAnsi="宋体" w:eastAsia="等线" w:cs="宋体"/>
                <w:color w:val="000000"/>
                <w:kern w:val="0"/>
                <w:szCs w:val="21"/>
                <w:lang w:bidi="ar"/>
              </w:rPr>
            </w:pPr>
            <w:r>
              <w:rPr>
                <w:rFonts w:hint="eastAsia" w:ascii="宋体" w:hAnsi="宋体" w:eastAsia="等线" w:cs="宋体"/>
                <w:color w:val="000000"/>
                <w:kern w:val="0"/>
                <w:szCs w:val="21"/>
                <w:lang w:bidi="ar"/>
              </w:rPr>
              <w:t>一是观摩辩论赛推荐、辩题设计，这两项根据发言稿和课堂表现由教师打分，辩论赛则分组进行，由自评、组内互评、组件互评和教师评分，三次活动的平均分作为得分</w:t>
            </w:r>
          </w:p>
        </w:tc>
        <w:tc>
          <w:tcPr>
            <w:tcW w:w="0" w:type="auto"/>
            <w:vAlign w:val="center"/>
          </w:tcPr>
          <w:p w14:paraId="6B379232">
            <w:pPr>
              <w:jc w:val="center"/>
              <w:rPr>
                <w:rFonts w:ascii="等线" w:hAnsi="等线" w:eastAsia="等线" w:cs="Times New Roman"/>
                <w:szCs w:val="21"/>
              </w:rPr>
            </w:pPr>
            <w:r>
              <w:rPr>
                <w:rFonts w:hint="eastAsia" w:ascii="等线" w:hAnsi="等线" w:eastAsia="等线" w:cs="Times New Roman"/>
                <w:szCs w:val="21"/>
              </w:rPr>
              <w:t>30%</w:t>
            </w:r>
          </w:p>
        </w:tc>
      </w:tr>
      <w:tr w14:paraId="3A91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22CE55">
            <w:pPr>
              <w:rPr>
                <w:rFonts w:ascii="等线" w:hAnsi="等线" w:eastAsia="等线" w:cs="Times New Roman"/>
                <w:szCs w:val="21"/>
              </w:rPr>
            </w:pPr>
            <w:r>
              <w:rPr>
                <w:rFonts w:hint="eastAsia" w:ascii="等线" w:hAnsi="等线" w:eastAsia="等线" w:cs="Times New Roman"/>
                <w:szCs w:val="21"/>
              </w:rPr>
              <w:t>期末考试</w:t>
            </w:r>
          </w:p>
        </w:tc>
        <w:tc>
          <w:tcPr>
            <w:tcW w:w="7141" w:type="dxa"/>
            <w:vAlign w:val="center"/>
          </w:tcPr>
          <w:p w14:paraId="1D5BBA09">
            <w:pPr>
              <w:spacing w:line="264" w:lineRule="auto"/>
              <w:jc w:val="left"/>
              <w:rPr>
                <w:rFonts w:ascii="等线" w:hAnsi="等线" w:eastAsia="等线" w:cs="Times New Roman"/>
                <w:szCs w:val="21"/>
              </w:rPr>
            </w:pPr>
            <w:r>
              <w:rPr>
                <w:rFonts w:ascii="等线" w:hAnsi="等线" w:eastAsia="等线" w:cs="Times New Roman"/>
                <w:color w:val="000000"/>
                <w:szCs w:val="21"/>
              </w:rPr>
              <w:t>试卷</w:t>
            </w:r>
            <w:r>
              <w:rPr>
                <w:rFonts w:hint="eastAsia" w:ascii="等线" w:hAnsi="等线" w:eastAsia="等线" w:cs="Times New Roman"/>
                <w:color w:val="000000"/>
                <w:szCs w:val="21"/>
              </w:rPr>
              <w:t>为开卷考，</w:t>
            </w:r>
            <w:r>
              <w:rPr>
                <w:rFonts w:ascii="等线" w:hAnsi="等线" w:eastAsia="等线" w:cs="Times New Roman"/>
                <w:color w:val="000000"/>
                <w:szCs w:val="21"/>
              </w:rPr>
              <w:t>题型包括</w:t>
            </w:r>
            <w:r>
              <w:rPr>
                <w:rFonts w:hint="eastAsia" w:ascii="等线" w:hAnsi="等线" w:eastAsia="等线" w:cs="Times New Roman"/>
                <w:color w:val="000000"/>
                <w:szCs w:val="21"/>
              </w:rPr>
              <w:t>选择题</w:t>
            </w:r>
            <w:r>
              <w:rPr>
                <w:rFonts w:ascii="等线" w:hAnsi="等线" w:eastAsia="等线" w:cs="Times New Roman"/>
                <w:color w:val="000000"/>
                <w:szCs w:val="21"/>
              </w:rPr>
              <w:t>、</w:t>
            </w:r>
            <w:r>
              <w:rPr>
                <w:rFonts w:hint="eastAsia" w:ascii="等线" w:hAnsi="等线" w:eastAsia="等线" w:cs="Times New Roman"/>
                <w:color w:val="000000"/>
                <w:szCs w:val="21"/>
              </w:rPr>
              <w:t>简答题、论述题</w:t>
            </w:r>
            <w:r>
              <w:rPr>
                <w:rFonts w:ascii="等线" w:hAnsi="等线" w:eastAsia="等线" w:cs="Times New Roman"/>
                <w:color w:val="000000"/>
                <w:szCs w:val="21"/>
              </w:rPr>
              <w:t>等。其中考核</w:t>
            </w:r>
            <w:r>
              <w:rPr>
                <w:rFonts w:hint="eastAsia" w:ascii="等线" w:hAnsi="等线" w:eastAsia="等线" w:cs="Times New Roman"/>
                <w:color w:val="000000"/>
                <w:szCs w:val="21"/>
              </w:rPr>
              <w:t>逻辑学基础知识的客观题占3</w:t>
            </w:r>
            <w:r>
              <w:rPr>
                <w:rFonts w:ascii="等线" w:hAnsi="等线" w:eastAsia="等线" w:cs="Times New Roman"/>
                <w:color w:val="000000"/>
                <w:szCs w:val="21"/>
              </w:rPr>
              <w:t>0</w:t>
            </w:r>
            <w:r>
              <w:rPr>
                <w:rFonts w:hint="eastAsia" w:ascii="等线" w:hAnsi="等线" w:eastAsia="等线" w:cs="Times New Roman"/>
                <w:color w:val="000000"/>
                <w:szCs w:val="21"/>
              </w:rPr>
              <w:t>%；考核学生运用逻辑学知识进行分析能力的题型占6</w:t>
            </w:r>
            <w:r>
              <w:rPr>
                <w:rFonts w:ascii="等线" w:hAnsi="等线" w:eastAsia="等线" w:cs="Times New Roman"/>
                <w:color w:val="000000"/>
                <w:szCs w:val="21"/>
              </w:rPr>
              <w:t>0</w:t>
            </w:r>
            <w:r>
              <w:rPr>
                <w:rFonts w:hint="eastAsia" w:ascii="等线" w:hAnsi="等线" w:eastAsia="等线" w:cs="Times New Roman"/>
                <w:color w:val="000000"/>
                <w:szCs w:val="21"/>
              </w:rPr>
              <w:t>%；考核学生运用逻辑学能力解决问题能力的题型占2</w:t>
            </w:r>
            <w:r>
              <w:rPr>
                <w:rFonts w:ascii="等线" w:hAnsi="等线" w:eastAsia="等线" w:cs="Times New Roman"/>
                <w:color w:val="000000"/>
                <w:szCs w:val="21"/>
              </w:rPr>
              <w:t>0</w:t>
            </w:r>
            <w:r>
              <w:rPr>
                <w:rFonts w:hint="eastAsia" w:ascii="等线" w:hAnsi="等线" w:eastAsia="等线" w:cs="Times New Roman"/>
                <w:color w:val="000000"/>
                <w:szCs w:val="21"/>
              </w:rPr>
              <w:t>%。</w:t>
            </w:r>
          </w:p>
        </w:tc>
        <w:tc>
          <w:tcPr>
            <w:tcW w:w="0" w:type="auto"/>
            <w:vAlign w:val="center"/>
          </w:tcPr>
          <w:p w14:paraId="119E176D">
            <w:pPr>
              <w:jc w:val="center"/>
              <w:rPr>
                <w:rFonts w:ascii="等线" w:hAnsi="等线" w:eastAsia="等线" w:cs="Times New Roman"/>
                <w:szCs w:val="21"/>
              </w:rPr>
            </w:pPr>
            <w:r>
              <w:rPr>
                <w:rFonts w:hint="eastAsia" w:ascii="等线" w:hAnsi="等线" w:eastAsia="等线" w:cs="Times New Roman"/>
                <w:szCs w:val="21"/>
              </w:rPr>
              <w:t>40%</w:t>
            </w:r>
          </w:p>
        </w:tc>
      </w:tr>
      <w:tr w14:paraId="3445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9D6E738">
            <w:pPr>
              <w:jc w:val="center"/>
              <w:rPr>
                <w:rFonts w:ascii="等线" w:hAnsi="等线" w:eastAsia="等线" w:cs="Times New Roman"/>
                <w:b/>
                <w:bCs/>
                <w:szCs w:val="21"/>
              </w:rPr>
            </w:pPr>
            <w:r>
              <w:rPr>
                <w:rFonts w:hint="eastAsia" w:ascii="等线" w:hAnsi="等线" w:eastAsia="等线" w:cs="Times New Roman"/>
                <w:b/>
                <w:bCs/>
                <w:szCs w:val="21"/>
              </w:rPr>
              <w:t>合计</w:t>
            </w:r>
          </w:p>
        </w:tc>
        <w:tc>
          <w:tcPr>
            <w:tcW w:w="0" w:type="auto"/>
            <w:vAlign w:val="center"/>
          </w:tcPr>
          <w:p w14:paraId="5BB22AE5">
            <w:pPr>
              <w:jc w:val="left"/>
              <w:rPr>
                <w:rFonts w:ascii="等线" w:hAnsi="等线" w:eastAsia="等线" w:cs="Times New Roman"/>
                <w:szCs w:val="21"/>
              </w:rPr>
            </w:pPr>
          </w:p>
        </w:tc>
        <w:tc>
          <w:tcPr>
            <w:tcW w:w="0" w:type="auto"/>
            <w:vAlign w:val="center"/>
          </w:tcPr>
          <w:p w14:paraId="2458CBE1">
            <w:pPr>
              <w:jc w:val="center"/>
              <w:rPr>
                <w:rFonts w:ascii="等线" w:hAnsi="等线" w:eastAsia="等线" w:cs="Times New Roman"/>
                <w:szCs w:val="21"/>
              </w:rPr>
            </w:pPr>
            <w:r>
              <w:rPr>
                <w:rFonts w:hint="eastAsia" w:ascii="等线" w:hAnsi="等线" w:eastAsia="等线" w:cs="Times New Roman"/>
                <w:szCs w:val="21"/>
              </w:rPr>
              <w:t>100%</w:t>
            </w:r>
          </w:p>
        </w:tc>
      </w:tr>
    </w:tbl>
    <w:p w14:paraId="5A0A85ED">
      <w:pPr>
        <w:spacing w:line="360" w:lineRule="auto"/>
        <w:jc w:val="left"/>
        <w:outlineLvl w:val="1"/>
        <w:rPr>
          <w:rFonts w:hint="eastAsia" w:ascii="宋体" w:hAnsi="宋体" w:eastAsia="等线" w:cs="Times New Roman"/>
          <w:b/>
          <w:color w:val="000000"/>
          <w:szCs w:val="21"/>
        </w:rPr>
      </w:pPr>
      <w:bookmarkStart w:id="2483" w:name="_Toc27055"/>
      <w:r>
        <w:rPr>
          <w:rFonts w:hint="eastAsia" w:ascii="宋体" w:hAnsi="宋体" w:eastAsia="等线" w:cs="Times New Roman"/>
          <w:b/>
          <w:color w:val="000000"/>
          <w:szCs w:val="21"/>
        </w:rPr>
        <w:t>（三）课程目标达成度计算方法</w:t>
      </w:r>
      <w:bookmarkEnd w:id="2483"/>
    </w:p>
    <w:p w14:paraId="1AD5442C">
      <w:pPr>
        <w:spacing w:line="360" w:lineRule="auto"/>
        <w:ind w:firstLine="411" w:firstLineChars="196"/>
        <w:jc w:val="left"/>
        <w:rPr>
          <w:rFonts w:hint="eastAsia" w:ascii="宋体" w:hAnsi="宋体" w:eastAsia="等线" w:cs="Times New Roman"/>
          <w:color w:val="000000"/>
          <w:szCs w:val="21"/>
        </w:rPr>
      </w:pPr>
      <w:r>
        <w:rPr>
          <w:rFonts w:hint="eastAsia" w:ascii="宋体" w:hAnsi="宋体" w:eastAsia="等线" w:cs="Times New Roman"/>
          <w:color w:val="000000"/>
          <w:szCs w:val="21"/>
        </w:rPr>
        <w:t>所有课程目标均需大于等于</w:t>
      </w:r>
      <w:r>
        <w:rPr>
          <w:rFonts w:ascii="宋体" w:hAnsi="宋体" w:eastAsia="等线" w:cs="Times New Roman"/>
          <w:color w:val="000000"/>
          <w:szCs w:val="21"/>
        </w:rPr>
        <w:t>0.6，否则总评成绩不及格，需要补考或重修。每门课程目标总体达成度计算方法如下：</w:t>
      </w:r>
    </w:p>
    <w:p w14:paraId="79215129">
      <w:pPr>
        <w:spacing w:line="360" w:lineRule="auto"/>
        <w:ind w:firstLine="420" w:firstLineChars="200"/>
        <w:rPr>
          <w:rFonts w:ascii="等线" w:hAnsi="等线" w:eastAsia="等线" w:cs="Times New Roman"/>
          <w:b/>
          <w:sz w:val="28"/>
          <w:szCs w:val="28"/>
        </w:rPr>
      </w:pPr>
      <w:r>
        <w:rPr>
          <w:rFonts w:ascii="宋体" w:hAnsi="宋体" w:eastAsia="等线" w:cs="Times New Roman"/>
          <w:color w:val="000000"/>
          <w:szCs w:val="21"/>
        </w:rPr>
        <w:object>
          <v:shape id="_x0000_i1073"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73" DrawAspect="Content" ObjectID="_1468075773" r:id="rId56">
            <o:LockedField>false</o:LockedField>
          </o:OLEObject>
        </w:object>
      </w:r>
    </w:p>
    <w:p w14:paraId="7AAB865F">
      <w:pPr>
        <w:spacing w:line="360" w:lineRule="auto"/>
        <w:ind w:firstLine="420" w:firstLineChars="200"/>
        <w:outlineLvl w:val="0"/>
        <w:rPr>
          <w:rFonts w:hint="eastAsia" w:ascii="等线" w:hAnsi="等线" w:eastAsia="等线" w:cs="Times New Roman"/>
          <w:b/>
          <w:szCs w:val="21"/>
        </w:rPr>
      </w:pPr>
      <w:bookmarkStart w:id="2484" w:name="_Toc25824"/>
      <w:bookmarkStart w:id="2485" w:name="_Toc25423"/>
      <w:bookmarkStart w:id="2486" w:name="_Toc3918"/>
      <w:bookmarkStart w:id="2487" w:name="_Toc19699"/>
      <w:bookmarkStart w:id="2488" w:name="_Toc10608"/>
      <w:bookmarkStart w:id="2489" w:name="_Toc21686"/>
      <w:bookmarkStart w:id="2490" w:name="_Toc26103"/>
      <w:r>
        <w:rPr>
          <w:rFonts w:hint="eastAsia" w:ascii="等线" w:hAnsi="等线" w:eastAsia="等线" w:cs="Times New Roman"/>
          <w:b/>
          <w:szCs w:val="21"/>
        </w:rPr>
        <w:t>六</w:t>
      </w:r>
      <w:r>
        <w:rPr>
          <w:rFonts w:ascii="等线" w:hAnsi="等线" w:eastAsia="等线" w:cs="Times New Roman"/>
          <w:b/>
          <w:szCs w:val="21"/>
        </w:rPr>
        <w:t>、</w:t>
      </w:r>
      <w:r>
        <w:rPr>
          <w:rFonts w:hint="eastAsia" w:ascii="等线" w:hAnsi="等线" w:eastAsia="等线" w:cs="Times New Roman"/>
          <w:b/>
          <w:szCs w:val="21"/>
        </w:rPr>
        <w:t>有关说明</w:t>
      </w:r>
      <w:bookmarkEnd w:id="2484"/>
      <w:bookmarkEnd w:id="2485"/>
      <w:bookmarkEnd w:id="2486"/>
      <w:bookmarkEnd w:id="2487"/>
      <w:bookmarkEnd w:id="2488"/>
      <w:bookmarkEnd w:id="2489"/>
      <w:bookmarkEnd w:id="2490"/>
    </w:p>
    <w:p w14:paraId="5B729BE2">
      <w:pPr>
        <w:spacing w:line="360" w:lineRule="auto"/>
        <w:ind w:firstLine="420" w:firstLineChars="200"/>
        <w:outlineLvl w:val="1"/>
        <w:rPr>
          <w:rFonts w:hint="eastAsia" w:ascii="等线" w:hAnsi="等线" w:eastAsia="等线" w:cs="Times New Roman"/>
          <w:b/>
          <w:color w:val="000000"/>
          <w:szCs w:val="21"/>
        </w:rPr>
      </w:pPr>
      <w:bookmarkStart w:id="2491" w:name="_Toc22844"/>
      <w:r>
        <w:rPr>
          <w:rFonts w:hint="eastAsia" w:ascii="等线" w:hAnsi="等线" w:eastAsia="等线" w:cs="Times New Roman"/>
          <w:b/>
          <w:color w:val="000000"/>
          <w:szCs w:val="21"/>
        </w:rPr>
        <w:t>（一）持续改进</w:t>
      </w:r>
      <w:bookmarkEnd w:id="2491"/>
    </w:p>
    <w:p w14:paraId="5F5154D2">
      <w:pPr>
        <w:spacing w:line="360" w:lineRule="auto"/>
        <w:ind w:firstLine="420" w:firstLineChars="200"/>
        <w:rPr>
          <w:rFonts w:ascii="等线" w:hAnsi="等线" w:eastAsia="等线" w:cs="Times New Roman"/>
          <w:szCs w:val="21"/>
        </w:rPr>
      </w:pPr>
      <w:r>
        <w:rPr>
          <w:rFonts w:ascii="等线" w:hAnsi="等线" w:eastAsia="等线" w:cs="Times New Roman"/>
          <w:szCs w:val="21"/>
        </w:rPr>
        <w:t>本课程根据学生作业、课堂讨论、实验环节、平时考核情况和学生、教学督导等</w:t>
      </w:r>
      <w:r>
        <w:rPr>
          <w:rFonts w:hint="eastAsia" w:ascii="等线" w:hAnsi="等线" w:eastAsia="等线" w:cs="Times New Roman"/>
          <w:szCs w:val="21"/>
        </w:rPr>
        <w:t>的</w:t>
      </w:r>
      <w:r>
        <w:rPr>
          <w:rFonts w:ascii="等线" w:hAnsi="等线" w:eastAsia="等线" w:cs="Times New Roman"/>
          <w:szCs w:val="21"/>
        </w:rPr>
        <w:t>反馈，及时对教学中</w:t>
      </w:r>
      <w:r>
        <w:rPr>
          <w:rFonts w:hint="eastAsia" w:ascii="等线" w:hAnsi="等线" w:eastAsia="等线" w:cs="Times New Roman"/>
          <w:szCs w:val="21"/>
        </w:rPr>
        <w:t>的</w:t>
      </w:r>
      <w:r>
        <w:rPr>
          <w:rFonts w:ascii="等线" w:hAnsi="等线" w:eastAsia="等线" w:cs="Times New Roman"/>
          <w:szCs w:val="21"/>
        </w:rPr>
        <w:t>不足之处进行改进，并在下一轮课程教学中</w:t>
      </w:r>
      <w:r>
        <w:rPr>
          <w:rFonts w:hint="eastAsia" w:ascii="等线" w:hAnsi="等线" w:eastAsia="等线" w:cs="Times New Roman"/>
          <w:szCs w:val="21"/>
        </w:rPr>
        <w:t>整改完善</w:t>
      </w:r>
      <w:r>
        <w:rPr>
          <w:rFonts w:ascii="等线" w:hAnsi="等线" w:eastAsia="等线" w:cs="Times New Roman"/>
          <w:szCs w:val="21"/>
        </w:rPr>
        <w:t>，确保相应毕业要求指标点达成。</w:t>
      </w:r>
    </w:p>
    <w:p w14:paraId="6A39BA42">
      <w:pPr>
        <w:spacing w:line="360" w:lineRule="auto"/>
        <w:ind w:firstLine="420" w:firstLineChars="200"/>
        <w:outlineLvl w:val="1"/>
        <w:rPr>
          <w:rFonts w:ascii="等线" w:hAnsi="等线" w:eastAsia="等线" w:cs="Times New Roman"/>
          <w:b/>
          <w:bCs/>
          <w:szCs w:val="21"/>
        </w:rPr>
      </w:pPr>
      <w:bookmarkStart w:id="2492" w:name="_Toc11918"/>
      <w:r>
        <w:rPr>
          <w:rFonts w:hint="eastAsia" w:ascii="等线" w:hAnsi="等线" w:eastAsia="等线" w:cs="Times New Roman"/>
          <w:b/>
          <w:bCs/>
          <w:szCs w:val="21"/>
        </w:rPr>
        <w:t>（二）建议教材</w:t>
      </w:r>
      <w:bookmarkEnd w:id="2492"/>
    </w:p>
    <w:p w14:paraId="23BFE826">
      <w:pPr>
        <w:spacing w:line="360" w:lineRule="auto"/>
        <w:ind w:firstLine="420" w:firstLineChars="200"/>
        <w:rPr>
          <w:rFonts w:ascii="等线" w:hAnsi="等线" w:eastAsia="等线" w:cs="Times New Roman"/>
          <w:b/>
          <w:kern w:val="0"/>
          <w:szCs w:val="21"/>
        </w:rPr>
      </w:pPr>
      <w:r>
        <w:rPr>
          <w:rFonts w:hint="eastAsia" w:ascii="等线" w:hAnsi="等线" w:eastAsia="等线" w:cs="Times New Roman"/>
          <w:b/>
          <w:bCs/>
          <w:kern w:val="0"/>
          <w:szCs w:val="21"/>
        </w:rPr>
        <w:t>1.</w:t>
      </w:r>
      <w:r>
        <w:rPr>
          <w:rFonts w:hint="eastAsia" w:ascii="等线" w:hAnsi="等线" w:eastAsia="等线" w:cs="Times New Roman"/>
          <w:bCs/>
          <w:kern w:val="0"/>
          <w:szCs w:val="21"/>
        </w:rPr>
        <w:t>何向东主编，《逻辑学》，高等教育出版社，2019</w:t>
      </w:r>
    </w:p>
    <w:p w14:paraId="061F0ADE">
      <w:pPr>
        <w:spacing w:line="360" w:lineRule="auto"/>
        <w:ind w:firstLine="420" w:firstLineChars="200"/>
        <w:rPr>
          <w:rFonts w:hint="eastAsia" w:ascii="等线" w:hAnsi="等线" w:eastAsia="等线" w:cs="Times New Roman"/>
          <w:szCs w:val="21"/>
        </w:rPr>
      </w:pPr>
      <w:r>
        <w:rPr>
          <w:rFonts w:hint="eastAsia" w:ascii="等线" w:hAnsi="等线" w:eastAsia="等线" w:cs="Times New Roman"/>
          <w:b/>
          <w:kern w:val="0"/>
          <w:szCs w:val="21"/>
        </w:rPr>
        <w:t>2.</w:t>
      </w:r>
      <w:r>
        <w:rPr>
          <w:rFonts w:hint="eastAsia" w:ascii="等线" w:hAnsi="等线" w:eastAsia="等线" w:cs="Times New Roman"/>
          <w:kern w:val="0"/>
          <w:szCs w:val="21"/>
        </w:rPr>
        <w:t>华东师范大学哲学系逻辑学教研室，《形式逻辑》（第五版），华东师范大学出版社，2</w:t>
      </w:r>
      <w:r>
        <w:rPr>
          <w:rFonts w:ascii="等线" w:hAnsi="等线" w:eastAsia="等线" w:cs="Times New Roman"/>
          <w:kern w:val="0"/>
          <w:szCs w:val="21"/>
        </w:rPr>
        <w:t>016</w:t>
      </w:r>
    </w:p>
    <w:p w14:paraId="1AAD6C3F">
      <w:pPr>
        <w:spacing w:line="360" w:lineRule="auto"/>
        <w:ind w:firstLine="420" w:firstLineChars="200"/>
        <w:outlineLvl w:val="1"/>
        <w:rPr>
          <w:rFonts w:hint="eastAsia" w:ascii="等线" w:hAnsi="等线" w:eastAsia="等线" w:cs="Times New Roman"/>
          <w:b/>
          <w:color w:val="000000"/>
          <w:szCs w:val="21"/>
        </w:rPr>
      </w:pPr>
      <w:bookmarkStart w:id="2493" w:name="_Toc10970"/>
      <w:r>
        <w:rPr>
          <w:rFonts w:hint="eastAsia" w:ascii="等线" w:hAnsi="等线" w:eastAsia="等线" w:cs="Times New Roman"/>
          <w:b/>
          <w:color w:val="000000"/>
          <w:szCs w:val="21"/>
        </w:rPr>
        <w:t>（三）</w:t>
      </w:r>
      <w:r>
        <w:rPr>
          <w:rFonts w:ascii="等线" w:hAnsi="等线" w:eastAsia="等线" w:cs="Times New Roman"/>
          <w:b/>
          <w:color w:val="000000"/>
          <w:szCs w:val="21"/>
        </w:rPr>
        <w:t>参考书目</w:t>
      </w:r>
      <w:bookmarkEnd w:id="2493"/>
    </w:p>
    <w:p w14:paraId="6DED4875">
      <w:pPr>
        <w:autoSpaceDE w:val="0"/>
        <w:autoSpaceDN w:val="0"/>
        <w:adjustRightInd w:val="0"/>
        <w:spacing w:line="360" w:lineRule="auto"/>
        <w:ind w:firstLine="420" w:firstLineChars="200"/>
        <w:jc w:val="left"/>
        <w:rPr>
          <w:rFonts w:ascii="等线" w:hAnsi="等线" w:eastAsia="等线" w:cs="Times New Roman"/>
          <w:kern w:val="0"/>
          <w:szCs w:val="21"/>
        </w:rPr>
      </w:pPr>
      <w:r>
        <w:rPr>
          <w:rFonts w:hint="eastAsia" w:ascii="等线" w:hAnsi="等线" w:eastAsia="等线" w:cs="Times New Roman"/>
          <w:kern w:val="0"/>
          <w:szCs w:val="21"/>
        </w:rPr>
        <w:t>1．蔡贤浩，宋荣主编，形式逻辑，华中师范大学出版社，2015</w:t>
      </w:r>
    </w:p>
    <w:p w14:paraId="00B26048">
      <w:pPr>
        <w:autoSpaceDE w:val="0"/>
        <w:autoSpaceDN w:val="0"/>
        <w:adjustRightInd w:val="0"/>
        <w:spacing w:line="360" w:lineRule="auto"/>
        <w:ind w:firstLine="420" w:firstLineChars="200"/>
        <w:jc w:val="left"/>
        <w:rPr>
          <w:rFonts w:ascii="等线" w:hAnsi="等线" w:eastAsia="等线" w:cs="Times New Roman"/>
          <w:kern w:val="0"/>
          <w:szCs w:val="21"/>
        </w:rPr>
      </w:pPr>
      <w:r>
        <w:rPr>
          <w:rFonts w:ascii="等线" w:hAnsi="等线" w:eastAsia="等线" w:cs="Times New Roman"/>
          <w:kern w:val="0"/>
          <w:szCs w:val="21"/>
        </w:rPr>
        <w:t>2</w:t>
      </w:r>
      <w:r>
        <w:rPr>
          <w:rFonts w:hint="eastAsia" w:ascii="等线" w:hAnsi="等线" w:eastAsia="等线" w:cs="Times New Roman"/>
          <w:kern w:val="0"/>
          <w:szCs w:val="21"/>
        </w:rPr>
        <w:t>．[美]欧文·M·柯匹 卡尔·科恩，逻辑学导论（第13版），中国人民大学出版社 ，20</w:t>
      </w:r>
      <w:r>
        <w:rPr>
          <w:rFonts w:ascii="等线" w:hAnsi="等线" w:eastAsia="等线" w:cs="Times New Roman"/>
          <w:kern w:val="0"/>
          <w:szCs w:val="21"/>
        </w:rPr>
        <w:t>21</w:t>
      </w:r>
    </w:p>
    <w:p w14:paraId="5C90A2C9">
      <w:pPr>
        <w:autoSpaceDE w:val="0"/>
        <w:autoSpaceDN w:val="0"/>
        <w:adjustRightInd w:val="0"/>
        <w:spacing w:line="360" w:lineRule="auto"/>
        <w:ind w:firstLine="420" w:firstLineChars="200"/>
        <w:jc w:val="left"/>
        <w:rPr>
          <w:rFonts w:ascii="等线" w:hAnsi="等线" w:eastAsia="等线" w:cs="Times New Roman"/>
          <w:kern w:val="0"/>
          <w:szCs w:val="21"/>
        </w:rPr>
      </w:pPr>
      <w:r>
        <w:rPr>
          <w:rFonts w:ascii="等线" w:hAnsi="等线" w:eastAsia="等线" w:cs="Times New Roman"/>
          <w:kern w:val="0"/>
          <w:szCs w:val="21"/>
        </w:rPr>
        <w:t>3</w:t>
      </w:r>
      <w:r>
        <w:rPr>
          <w:rFonts w:hint="eastAsia" w:ascii="等线" w:hAnsi="等线" w:eastAsia="等线" w:cs="Times New Roman"/>
          <w:kern w:val="0"/>
          <w:szCs w:val="21"/>
        </w:rPr>
        <w:t>．陈波著，逻辑学十五讲（第二版），北京大学出版社，2016</w:t>
      </w:r>
    </w:p>
    <w:p w14:paraId="72E3C7D4">
      <w:pPr>
        <w:autoSpaceDE w:val="0"/>
        <w:autoSpaceDN w:val="0"/>
        <w:adjustRightInd w:val="0"/>
        <w:spacing w:line="360" w:lineRule="auto"/>
        <w:ind w:firstLine="420" w:firstLineChars="200"/>
        <w:jc w:val="left"/>
        <w:rPr>
          <w:rFonts w:ascii="等线" w:hAnsi="等线" w:eastAsia="等线" w:cs="Times New Roman"/>
          <w:kern w:val="0"/>
          <w:szCs w:val="21"/>
        </w:rPr>
      </w:pPr>
      <w:r>
        <w:rPr>
          <w:rFonts w:ascii="等线" w:hAnsi="等线" w:eastAsia="等线" w:cs="Times New Roman"/>
          <w:kern w:val="0"/>
          <w:szCs w:val="21"/>
        </w:rPr>
        <w:t>4</w:t>
      </w:r>
      <w:r>
        <w:rPr>
          <w:rFonts w:hint="eastAsia" w:ascii="等线" w:hAnsi="等线" w:eastAsia="等线" w:cs="Times New Roman"/>
          <w:kern w:val="0"/>
          <w:szCs w:val="21"/>
        </w:rPr>
        <w:t>．丁毓峰编著，逻辑学原来如此有趣，化学工业出版社，2015</w:t>
      </w:r>
      <w:r>
        <w:rPr>
          <w:rFonts w:ascii="等线" w:hAnsi="等线" w:eastAsia="等线" w:cs="Times New Roman"/>
          <w:kern w:val="0"/>
          <w:szCs w:val="21"/>
        </w:rPr>
        <w:t xml:space="preserve"> </w:t>
      </w:r>
    </w:p>
    <w:p w14:paraId="6F3F400A">
      <w:pPr>
        <w:autoSpaceDE w:val="0"/>
        <w:autoSpaceDN w:val="0"/>
        <w:adjustRightInd w:val="0"/>
        <w:spacing w:line="360" w:lineRule="auto"/>
        <w:ind w:firstLine="420" w:firstLineChars="200"/>
        <w:jc w:val="left"/>
        <w:rPr>
          <w:rFonts w:ascii="等线" w:hAnsi="等线" w:eastAsia="等线" w:cs="Times New Roman"/>
          <w:kern w:val="0"/>
          <w:szCs w:val="21"/>
        </w:rPr>
      </w:pPr>
      <w:r>
        <w:rPr>
          <w:rFonts w:ascii="等线" w:hAnsi="等线" w:eastAsia="等线" w:cs="Times New Roman"/>
          <w:kern w:val="0"/>
          <w:szCs w:val="21"/>
        </w:rPr>
        <w:t>5</w:t>
      </w:r>
      <w:r>
        <w:rPr>
          <w:rFonts w:hint="eastAsia" w:ascii="等线" w:hAnsi="等线" w:eastAsia="等线" w:cs="Times New Roman"/>
          <w:kern w:val="0"/>
          <w:szCs w:val="21"/>
        </w:rPr>
        <w:t>．董桂萍著，逻辑学原来这么有趣，化学工业出版社，2016</w:t>
      </w:r>
    </w:p>
    <w:p w14:paraId="53034A17">
      <w:pPr>
        <w:autoSpaceDE w:val="0"/>
        <w:autoSpaceDN w:val="0"/>
        <w:adjustRightInd w:val="0"/>
        <w:spacing w:line="360" w:lineRule="auto"/>
        <w:ind w:firstLine="420" w:firstLineChars="200"/>
        <w:jc w:val="left"/>
        <w:rPr>
          <w:rFonts w:ascii="等线" w:hAnsi="等线" w:eastAsia="等线" w:cs="Times New Roman"/>
          <w:kern w:val="0"/>
          <w:szCs w:val="21"/>
        </w:rPr>
      </w:pPr>
      <w:r>
        <w:rPr>
          <w:rFonts w:ascii="等线" w:hAnsi="等线" w:eastAsia="等线" w:cs="Times New Roman"/>
          <w:kern w:val="0"/>
          <w:szCs w:val="21"/>
        </w:rPr>
        <w:t>6</w:t>
      </w:r>
      <w:r>
        <w:rPr>
          <w:rFonts w:hint="eastAsia" w:ascii="等线" w:hAnsi="等线" w:eastAsia="等线" w:cs="Times New Roman"/>
          <w:kern w:val="0"/>
          <w:szCs w:val="21"/>
        </w:rPr>
        <w:t>．兰晓华著，逻辑学入门很简单，人民邮电出版社，2017</w:t>
      </w:r>
      <w:r>
        <w:rPr>
          <w:rFonts w:ascii="等线" w:hAnsi="等线" w:eastAsia="等线" w:cs="Times New Roman"/>
          <w:kern w:val="0"/>
          <w:szCs w:val="21"/>
        </w:rPr>
        <w:t xml:space="preserve"> </w:t>
      </w:r>
    </w:p>
    <w:p w14:paraId="7402FD6A">
      <w:pPr>
        <w:autoSpaceDE w:val="0"/>
        <w:autoSpaceDN w:val="0"/>
        <w:adjustRightInd w:val="0"/>
        <w:spacing w:line="360" w:lineRule="auto"/>
        <w:ind w:firstLine="420" w:firstLineChars="200"/>
        <w:jc w:val="left"/>
        <w:rPr>
          <w:rFonts w:ascii="等线" w:hAnsi="等线" w:eastAsia="等线" w:cs="Times New Roman"/>
          <w:kern w:val="0"/>
          <w:szCs w:val="21"/>
        </w:rPr>
      </w:pPr>
    </w:p>
    <w:p w14:paraId="46D35E15">
      <w:pPr>
        <w:autoSpaceDE w:val="0"/>
        <w:autoSpaceDN w:val="0"/>
        <w:adjustRightInd w:val="0"/>
        <w:spacing w:line="360" w:lineRule="auto"/>
        <w:ind w:firstLine="420" w:firstLineChars="200"/>
        <w:jc w:val="left"/>
        <w:rPr>
          <w:rFonts w:hint="eastAsia" w:ascii="等线" w:hAnsi="等线" w:eastAsia="等线" w:cs="Times New Roman"/>
          <w:kern w:val="0"/>
          <w:szCs w:val="21"/>
        </w:rPr>
      </w:pPr>
    </w:p>
    <w:p w14:paraId="52F1E0C3">
      <w:pPr>
        <w:autoSpaceDE w:val="0"/>
        <w:autoSpaceDN w:val="0"/>
        <w:adjustRightInd w:val="0"/>
        <w:spacing w:line="360" w:lineRule="auto"/>
        <w:ind w:firstLine="6405" w:firstLineChars="3050"/>
        <w:jc w:val="left"/>
        <w:rPr>
          <w:rFonts w:hint="eastAsia" w:ascii="等线" w:hAnsi="等线" w:eastAsia="等线" w:cs="Times New Roman"/>
          <w:kern w:val="0"/>
          <w:szCs w:val="21"/>
        </w:rPr>
      </w:pPr>
      <w:r>
        <w:rPr>
          <w:rFonts w:ascii="等线" w:hAnsi="等线" w:eastAsia="等线" w:cs="Times New Roman"/>
          <w:kern w:val="0"/>
          <w:szCs w:val="21"/>
        </w:rPr>
        <w:t xml:space="preserve">执笔人： </w:t>
      </w:r>
      <w:r>
        <w:rPr>
          <w:rFonts w:hint="eastAsia" w:ascii="等线" w:hAnsi="等线" w:eastAsia="等线" w:cs="Times New Roman"/>
          <w:kern w:val="0"/>
          <w:szCs w:val="21"/>
        </w:rPr>
        <w:t>缪周芬</w:t>
      </w:r>
    </w:p>
    <w:p w14:paraId="7AD55D98">
      <w:pPr>
        <w:autoSpaceDE w:val="0"/>
        <w:autoSpaceDN w:val="0"/>
        <w:adjustRightInd w:val="0"/>
        <w:spacing w:line="360" w:lineRule="auto"/>
        <w:ind w:firstLine="6405" w:firstLineChars="3050"/>
        <w:jc w:val="left"/>
        <w:rPr>
          <w:rFonts w:ascii="等线" w:hAnsi="等线" w:eastAsia="等线" w:cs="Times New Roman"/>
          <w:kern w:val="0"/>
          <w:szCs w:val="21"/>
        </w:rPr>
      </w:pPr>
      <w:r>
        <w:rPr>
          <w:rFonts w:ascii="等线" w:hAnsi="等线" w:eastAsia="等线" w:cs="Times New Roman"/>
          <w:kern w:val="0"/>
          <w:szCs w:val="21"/>
        </w:rPr>
        <w:t>审定人：</w:t>
      </w:r>
      <w:r>
        <w:rPr>
          <w:rFonts w:hint="eastAsia" w:ascii="等线" w:hAnsi="等线" w:eastAsia="等线" w:cs="Times New Roman"/>
          <w:kern w:val="0"/>
          <w:szCs w:val="21"/>
        </w:rPr>
        <w:t>王  健</w:t>
      </w:r>
    </w:p>
    <w:p w14:paraId="4F73182E">
      <w:pPr>
        <w:autoSpaceDE w:val="0"/>
        <w:autoSpaceDN w:val="0"/>
        <w:adjustRightInd w:val="0"/>
        <w:spacing w:line="360" w:lineRule="auto"/>
        <w:ind w:firstLine="6405" w:firstLineChars="3050"/>
        <w:jc w:val="left"/>
        <w:rPr>
          <w:rFonts w:hint="eastAsia" w:ascii="等线" w:hAnsi="等线" w:eastAsia="等线" w:cs="Times New Roman"/>
          <w:kern w:val="0"/>
          <w:szCs w:val="21"/>
        </w:rPr>
      </w:pPr>
      <w:r>
        <w:rPr>
          <w:rFonts w:hint="eastAsia" w:ascii="等线" w:hAnsi="等线" w:eastAsia="等线" w:cs="Times New Roman"/>
          <w:kern w:val="0"/>
          <w:szCs w:val="21"/>
        </w:rPr>
        <w:t>审批</w:t>
      </w:r>
      <w:r>
        <w:rPr>
          <w:rFonts w:ascii="等线" w:hAnsi="等线" w:eastAsia="等线" w:cs="Times New Roman"/>
          <w:kern w:val="0"/>
          <w:szCs w:val="21"/>
        </w:rPr>
        <w:t>人：</w:t>
      </w:r>
      <w:r>
        <w:rPr>
          <w:rFonts w:hint="eastAsia" w:ascii="等线" w:hAnsi="等线" w:eastAsia="等线" w:cs="Times New Roman"/>
          <w:kern w:val="0"/>
          <w:szCs w:val="21"/>
        </w:rPr>
        <w:t>张志欣</w:t>
      </w:r>
    </w:p>
    <w:p w14:paraId="7278ECA1">
      <w:pPr>
        <w:autoSpaceDE w:val="0"/>
        <w:autoSpaceDN w:val="0"/>
        <w:adjustRightInd w:val="0"/>
        <w:spacing w:line="360" w:lineRule="auto"/>
        <w:ind w:right="210"/>
        <w:jc w:val="right"/>
        <w:rPr>
          <w:rFonts w:hint="eastAsia" w:ascii="等线" w:hAnsi="等线" w:eastAsia="等线" w:cs="Times New Roman"/>
          <w:kern w:val="0"/>
          <w:szCs w:val="21"/>
        </w:rPr>
      </w:pPr>
      <w:r>
        <w:rPr>
          <w:rFonts w:hint="eastAsia" w:ascii="等线" w:hAnsi="等线" w:eastAsia="等线" w:cs="Times New Roman"/>
          <w:kern w:val="0"/>
          <w:szCs w:val="21"/>
        </w:rPr>
        <w:t>批准时间：2024年8月30日</w:t>
      </w:r>
    </w:p>
    <w:p w14:paraId="3F89EC1D">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6AE4A29D">
      <w:pPr>
        <w:keepNext/>
        <w:widowControl w:val="0"/>
        <w:tabs>
          <w:tab w:val="left" w:pos="720"/>
          <w:tab w:val="left" w:pos="2700"/>
        </w:tabs>
        <w:bidi w:val="0"/>
        <w:spacing w:line="850" w:lineRule="exact"/>
        <w:jc w:val="center"/>
        <w:outlineLvl w:val="0"/>
        <w:rPr>
          <w:rFonts w:hint="eastAsia" w:ascii="Times New Roman" w:hAnsi="Times New Roman" w:eastAsia="宋体" w:cs="Arial"/>
          <w:b/>
          <w:bCs/>
          <w:kern w:val="2"/>
          <w:sz w:val="44"/>
          <w:szCs w:val="24"/>
          <w:lang w:val="en-US" w:eastAsia="zh-CN" w:bidi="ar-SA"/>
        </w:rPr>
      </w:pPr>
      <w:bookmarkStart w:id="2494" w:name="_Toc17480"/>
      <w:bookmarkStart w:id="2495" w:name="_Toc19644"/>
      <w:bookmarkStart w:id="2496" w:name="_Toc26666"/>
      <w:bookmarkStart w:id="2497" w:name="_Toc2063"/>
      <w:r>
        <w:rPr>
          <w:rFonts w:hint="eastAsia" w:ascii="Times New Roman" w:hAnsi="Times New Roman" w:eastAsia="宋体" w:cs="Arial"/>
          <w:b/>
          <w:bCs/>
          <w:kern w:val="2"/>
          <w:sz w:val="44"/>
          <w:szCs w:val="24"/>
          <w:lang w:val="en-US" w:eastAsia="zh-CN" w:bidi="ar-SA"/>
        </w:rPr>
        <w:t>《中国文化概论》课程教学大纲</w:t>
      </w:r>
      <w:bookmarkEnd w:id="2494"/>
      <w:bookmarkEnd w:id="2495"/>
      <w:bookmarkEnd w:id="2496"/>
      <w:bookmarkEnd w:id="2497"/>
    </w:p>
    <w:p w14:paraId="719F659C">
      <w:pPr>
        <w:keepNext/>
        <w:widowControl w:val="0"/>
        <w:tabs>
          <w:tab w:val="left" w:pos="720"/>
          <w:tab w:val="left" w:pos="2700"/>
        </w:tabs>
        <w:bidi w:val="0"/>
        <w:spacing w:line="850" w:lineRule="exact"/>
        <w:jc w:val="center"/>
        <w:outlineLvl w:val="0"/>
        <w:rPr>
          <w:rFonts w:hint="eastAsia" w:ascii="Times New Roman" w:hAnsi="Times New Roman" w:eastAsia="宋体" w:cs="Arial"/>
          <w:b/>
          <w:bCs/>
          <w:kern w:val="2"/>
          <w:sz w:val="44"/>
          <w:szCs w:val="24"/>
          <w:lang w:val="en-US" w:eastAsia="zh-CN" w:bidi="ar-SA"/>
        </w:rPr>
      </w:pPr>
      <w:bookmarkStart w:id="2498" w:name="_Toc31212"/>
      <w:bookmarkStart w:id="2499" w:name="_Toc17879"/>
      <w:bookmarkStart w:id="2500" w:name="_Toc27127"/>
      <w:bookmarkStart w:id="2501" w:name="_Toc17484"/>
      <w:bookmarkStart w:id="2502" w:name="_Toc31255"/>
      <w:bookmarkStart w:id="2503" w:name="_Toc17784"/>
      <w:bookmarkStart w:id="2504" w:name="_Toc2905"/>
      <w:r>
        <w:rPr>
          <w:rFonts w:hint="eastAsia" w:ascii="Times New Roman" w:hAnsi="Times New Roman" w:eastAsia="宋体" w:cs="Arial"/>
          <w:b/>
          <w:bCs/>
          <w:kern w:val="2"/>
          <w:sz w:val="44"/>
          <w:szCs w:val="24"/>
          <w:lang w:val="en-US" w:eastAsia="zh-CN" w:bidi="ar-SA"/>
        </w:rPr>
        <w:t>（Introduction of Chinese Culture）</w:t>
      </w:r>
      <w:bookmarkEnd w:id="2498"/>
      <w:bookmarkEnd w:id="2499"/>
      <w:bookmarkEnd w:id="2500"/>
      <w:bookmarkEnd w:id="2501"/>
      <w:bookmarkEnd w:id="2502"/>
      <w:bookmarkEnd w:id="2503"/>
      <w:bookmarkEnd w:id="2504"/>
    </w:p>
    <w:p w14:paraId="73CB7389">
      <w:pPr>
        <w:keepNext w:val="0"/>
        <w:keepLines w:val="0"/>
        <w:pageBreakBefore w:val="0"/>
        <w:kinsoku/>
        <w:overflowPunct/>
        <w:topLinePunct w:val="0"/>
        <w:bidi w:val="0"/>
        <w:spacing w:line="360" w:lineRule="auto"/>
        <w:ind w:firstLine="551" w:firstLineChars="196"/>
        <w:textAlignment w:val="auto"/>
        <w:outlineLvl w:val="0"/>
        <w:rPr>
          <w:rFonts w:hint="eastAsia" w:ascii="宋体" w:hAnsi="宋体" w:eastAsia="宋体" w:cs="宋体"/>
          <w:b/>
          <w:color w:val="auto"/>
          <w:sz w:val="28"/>
          <w:szCs w:val="28"/>
        </w:rPr>
      </w:pPr>
      <w:bookmarkStart w:id="2505" w:name="_Toc26245"/>
      <w:bookmarkStart w:id="2506" w:name="_Toc23523"/>
      <w:bookmarkStart w:id="2507" w:name="_Toc7278"/>
      <w:bookmarkStart w:id="2508" w:name="_Toc612"/>
      <w:bookmarkStart w:id="2509" w:name="_Toc29603"/>
      <w:bookmarkStart w:id="2510" w:name="_Toc20817"/>
      <w:bookmarkStart w:id="2511" w:name="_Toc20454"/>
      <w:r>
        <w:rPr>
          <w:rFonts w:hint="eastAsia" w:ascii="宋体" w:hAnsi="宋体" w:eastAsia="宋体" w:cs="宋体"/>
          <w:b/>
          <w:color w:val="auto"/>
          <w:sz w:val="28"/>
          <w:szCs w:val="28"/>
        </w:rPr>
        <w:t>一、课程概况</w:t>
      </w:r>
      <w:bookmarkEnd w:id="2505"/>
      <w:bookmarkEnd w:id="2506"/>
      <w:bookmarkEnd w:id="2507"/>
      <w:bookmarkEnd w:id="2508"/>
      <w:bookmarkEnd w:id="2509"/>
      <w:bookmarkEnd w:id="2510"/>
      <w:bookmarkEnd w:id="2511"/>
    </w:p>
    <w:p w14:paraId="25B009BA">
      <w:pPr>
        <w:keepNext w:val="0"/>
        <w:keepLines w:val="0"/>
        <w:pageBreakBefore w:val="0"/>
        <w:kinsoku/>
        <w:overflowPunct/>
        <w:topLinePunct w:val="0"/>
        <w:bidi w:val="0"/>
        <w:spacing w:line="360" w:lineRule="auto"/>
        <w:ind w:firstLine="482" w:firstLineChars="200"/>
        <w:textAlignment w:val="auto"/>
        <w:rPr>
          <w:rFonts w:hint="default" w:ascii="宋体" w:hAnsi="宋体" w:eastAsia="宋体" w:cs="宋体"/>
          <w:color w:val="auto"/>
          <w:kern w:val="0"/>
          <w:sz w:val="24"/>
          <w:szCs w:val="22"/>
          <w:lang w:val="en-US" w:eastAsia="zh-CN"/>
        </w:rPr>
      </w:pPr>
      <w:r>
        <w:rPr>
          <w:rFonts w:hint="eastAsia" w:ascii="宋体" w:hAnsi="宋体" w:eastAsia="宋体" w:cs="宋体"/>
          <w:b/>
          <w:bCs/>
          <w:color w:val="auto"/>
          <w:kern w:val="0"/>
          <w:sz w:val="24"/>
          <w:szCs w:val="22"/>
        </w:rPr>
        <w:t>课程代码</w:t>
      </w:r>
      <w:r>
        <w:rPr>
          <w:rFonts w:hint="eastAsia" w:ascii="宋体" w:hAnsi="宋体" w:eastAsia="宋体" w:cs="宋体"/>
          <w:b/>
          <w:color w:val="auto"/>
          <w:kern w:val="0"/>
          <w:sz w:val="24"/>
          <w:szCs w:val="22"/>
        </w:rPr>
        <w:t>：</w:t>
      </w:r>
      <w:r>
        <w:rPr>
          <w:rFonts w:hint="eastAsia" w:ascii="宋体" w:hAnsi="宋体" w:eastAsia="等线" w:cs="宋体"/>
          <w:b/>
          <w:color w:val="auto"/>
          <w:kern w:val="0"/>
          <w:sz w:val="24"/>
          <w:szCs w:val="22"/>
          <w:lang w:val="en-US" w:eastAsia="zh-CN"/>
        </w:rPr>
        <w:t>2401072</w:t>
      </w:r>
    </w:p>
    <w:p w14:paraId="6E6BC1AE">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b/>
          <w:color w:val="auto"/>
          <w:kern w:val="0"/>
          <w:sz w:val="24"/>
          <w:szCs w:val="22"/>
          <w:lang w:eastAsia="zh-CN"/>
        </w:rPr>
      </w:pPr>
      <w:r>
        <w:rPr>
          <w:rFonts w:hint="eastAsia" w:ascii="宋体" w:hAnsi="宋体" w:eastAsia="宋体" w:cs="宋体"/>
          <w:b/>
          <w:bCs/>
          <w:color w:val="auto"/>
          <w:kern w:val="0"/>
          <w:sz w:val="24"/>
          <w:szCs w:val="22"/>
        </w:rPr>
        <w:t>学    分</w:t>
      </w:r>
      <w:r>
        <w:rPr>
          <w:rFonts w:hint="eastAsia" w:ascii="宋体" w:hAnsi="宋体" w:eastAsia="宋体" w:cs="宋体"/>
          <w:b/>
          <w:color w:val="auto"/>
          <w:kern w:val="0"/>
          <w:sz w:val="24"/>
          <w:szCs w:val="22"/>
        </w:rPr>
        <w:t>：</w:t>
      </w:r>
      <w:r>
        <w:rPr>
          <w:rFonts w:hint="eastAsia" w:ascii="宋体" w:hAnsi="宋体" w:eastAsia="宋体" w:cs="宋体"/>
          <w:color w:val="auto"/>
          <w:kern w:val="0"/>
          <w:sz w:val="24"/>
          <w:szCs w:val="22"/>
          <w:lang w:val="en-US" w:eastAsia="zh-CN"/>
        </w:rPr>
        <w:t>2</w:t>
      </w:r>
    </w:p>
    <w:p w14:paraId="22C0DF0A">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color w:val="auto"/>
          <w:kern w:val="0"/>
          <w:sz w:val="24"/>
          <w:szCs w:val="22"/>
        </w:rPr>
      </w:pPr>
      <w:r>
        <w:rPr>
          <w:rFonts w:hint="eastAsia" w:ascii="宋体" w:hAnsi="宋体" w:eastAsia="宋体" w:cs="宋体"/>
          <w:b/>
          <w:bCs/>
          <w:color w:val="auto"/>
          <w:kern w:val="0"/>
          <w:sz w:val="24"/>
          <w:szCs w:val="22"/>
        </w:rPr>
        <w:t>学    时</w:t>
      </w:r>
      <w:r>
        <w:rPr>
          <w:rFonts w:hint="eastAsia" w:ascii="宋体" w:hAnsi="宋体" w:eastAsia="宋体" w:cs="宋体"/>
          <w:b/>
          <w:color w:val="auto"/>
          <w:kern w:val="0"/>
          <w:sz w:val="24"/>
          <w:szCs w:val="22"/>
        </w:rPr>
        <w:t>：</w:t>
      </w:r>
      <w:r>
        <w:rPr>
          <w:rFonts w:hint="eastAsia" w:ascii="宋体" w:hAnsi="宋体" w:eastAsia="宋体" w:cs="宋体"/>
          <w:color w:val="auto"/>
          <w:kern w:val="0"/>
          <w:sz w:val="24"/>
          <w:szCs w:val="22"/>
        </w:rPr>
        <w:t xml:space="preserve">32 </w:t>
      </w:r>
    </w:p>
    <w:p w14:paraId="5C1D829C">
      <w:pPr>
        <w:keepNext w:val="0"/>
        <w:keepLines w:val="0"/>
        <w:pageBreakBefore w:val="0"/>
        <w:widowControl w:val="0"/>
        <w:tabs>
          <w:tab w:val="right" w:leader="dot" w:pos="8494"/>
        </w:tabs>
        <w:kinsoku/>
        <w:overflowPunct/>
        <w:topLinePunct w:val="0"/>
        <w:bidi w:val="0"/>
        <w:spacing w:before="120" w:after="120" w:line="360" w:lineRule="auto"/>
        <w:ind w:firstLine="482"/>
        <w:jc w:val="left"/>
        <w:textAlignment w:val="auto"/>
        <w:rPr>
          <w:rFonts w:hint="eastAsia" w:ascii="宋体" w:hAnsi="宋体" w:eastAsia="宋体" w:cs="宋体"/>
          <w:b/>
          <w:bCs/>
          <w:caps/>
          <w:color w:val="auto"/>
          <w:kern w:val="2"/>
          <w:sz w:val="24"/>
          <w:szCs w:val="22"/>
          <w:lang w:val="en-US" w:eastAsia="zh-CN" w:bidi="ar-SA"/>
        </w:rPr>
      </w:pPr>
      <w:r>
        <w:rPr>
          <w:rFonts w:hint="eastAsia" w:ascii="宋体" w:hAnsi="宋体" w:eastAsia="宋体" w:cs="宋体"/>
          <w:b/>
          <w:bCs/>
          <w:caps/>
          <w:color w:val="auto"/>
          <w:kern w:val="0"/>
          <w:sz w:val="24"/>
          <w:szCs w:val="20"/>
          <w:lang w:val="en-US" w:eastAsia="zh-CN" w:bidi="ar-SA"/>
        </w:rPr>
        <w:t>先修课程：</w:t>
      </w:r>
    </w:p>
    <w:p w14:paraId="35CF6342">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color w:val="auto"/>
          <w:kern w:val="0"/>
          <w:sz w:val="24"/>
          <w:szCs w:val="22"/>
        </w:rPr>
      </w:pPr>
      <w:r>
        <w:rPr>
          <w:rFonts w:hint="eastAsia" w:ascii="宋体" w:hAnsi="宋体" w:eastAsia="宋体" w:cs="宋体"/>
          <w:b/>
          <w:bCs/>
          <w:color w:val="auto"/>
          <w:kern w:val="0"/>
          <w:sz w:val="24"/>
          <w:szCs w:val="22"/>
        </w:rPr>
        <w:t>适用专业</w:t>
      </w:r>
      <w:r>
        <w:rPr>
          <w:rFonts w:hint="eastAsia" w:ascii="宋体" w:hAnsi="宋体" w:eastAsia="宋体" w:cs="宋体"/>
          <w:b/>
          <w:color w:val="auto"/>
          <w:kern w:val="0"/>
          <w:sz w:val="24"/>
          <w:szCs w:val="22"/>
        </w:rPr>
        <w:t>：</w:t>
      </w:r>
      <w:r>
        <w:rPr>
          <w:rFonts w:hint="eastAsia" w:ascii="宋体" w:hAnsi="宋体" w:eastAsia="等线" w:cs="宋体"/>
          <w:color w:val="auto"/>
          <w:kern w:val="0"/>
          <w:sz w:val="24"/>
          <w:szCs w:val="22"/>
          <w:lang w:val="en-US" w:eastAsia="zh-CN"/>
        </w:rPr>
        <w:t>小学</w:t>
      </w:r>
      <w:r>
        <w:rPr>
          <w:rFonts w:hint="eastAsia" w:ascii="宋体" w:hAnsi="宋体" w:eastAsia="宋体" w:cs="宋体"/>
          <w:color w:val="auto"/>
          <w:kern w:val="0"/>
          <w:sz w:val="24"/>
          <w:szCs w:val="22"/>
        </w:rPr>
        <w:t>教育</w:t>
      </w:r>
      <w:r>
        <w:rPr>
          <w:rFonts w:hint="eastAsia" w:ascii="宋体" w:hAnsi="宋体" w:eastAsia="等线" w:cs="宋体"/>
          <w:color w:val="auto"/>
          <w:kern w:val="0"/>
          <w:sz w:val="24"/>
          <w:szCs w:val="22"/>
          <w:lang w:eastAsia="zh-CN"/>
        </w:rPr>
        <w:t>（</w:t>
      </w:r>
      <w:r>
        <w:rPr>
          <w:rFonts w:hint="eastAsia" w:ascii="宋体" w:hAnsi="宋体" w:eastAsia="等线" w:cs="宋体"/>
          <w:color w:val="auto"/>
          <w:kern w:val="0"/>
          <w:sz w:val="24"/>
          <w:szCs w:val="22"/>
          <w:lang w:val="en-US" w:eastAsia="zh-CN"/>
        </w:rPr>
        <w:t>文</w:t>
      </w:r>
      <w:r>
        <w:rPr>
          <w:rFonts w:hint="eastAsia" w:ascii="宋体" w:hAnsi="宋体" w:eastAsia="等线" w:cs="宋体"/>
          <w:color w:val="auto"/>
          <w:kern w:val="0"/>
          <w:sz w:val="24"/>
          <w:szCs w:val="22"/>
          <w:lang w:eastAsia="zh-CN"/>
        </w:rPr>
        <w:t>）</w:t>
      </w:r>
      <w:r>
        <w:rPr>
          <w:rFonts w:hint="eastAsia" w:ascii="宋体" w:hAnsi="宋体" w:eastAsia="宋体" w:cs="宋体"/>
          <w:color w:val="auto"/>
          <w:kern w:val="0"/>
          <w:sz w:val="24"/>
          <w:szCs w:val="22"/>
        </w:rPr>
        <w:t xml:space="preserve">                         </w:t>
      </w:r>
    </w:p>
    <w:p w14:paraId="058E7261">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b/>
          <w:color w:val="auto"/>
          <w:kern w:val="0"/>
          <w:sz w:val="24"/>
          <w:szCs w:val="22"/>
        </w:rPr>
      </w:pPr>
      <w:r>
        <w:rPr>
          <w:rFonts w:hint="eastAsia" w:ascii="宋体" w:hAnsi="宋体" w:eastAsia="宋体" w:cs="宋体"/>
          <w:b/>
          <w:bCs/>
          <w:color w:val="auto"/>
          <w:kern w:val="0"/>
          <w:sz w:val="24"/>
          <w:szCs w:val="22"/>
        </w:rPr>
        <w:t>建议教材</w:t>
      </w:r>
      <w:r>
        <w:rPr>
          <w:rFonts w:hint="eastAsia" w:ascii="宋体" w:hAnsi="宋体" w:eastAsia="宋体" w:cs="宋体"/>
          <w:b/>
          <w:color w:val="auto"/>
          <w:kern w:val="0"/>
          <w:sz w:val="24"/>
          <w:szCs w:val="22"/>
        </w:rPr>
        <w:t>：</w:t>
      </w:r>
      <w:r>
        <w:rPr>
          <w:rFonts w:hint="eastAsia" w:ascii="宋体" w:hAnsi="宋体" w:eastAsia="宋体" w:cs="宋体"/>
          <w:b w:val="0"/>
          <w:bCs/>
          <w:color w:val="auto"/>
          <w:kern w:val="0"/>
          <w:sz w:val="24"/>
          <w:szCs w:val="22"/>
        </w:rPr>
        <w:t>张岱年</w:t>
      </w:r>
      <w:r>
        <w:rPr>
          <w:rFonts w:hint="eastAsia" w:ascii="宋体" w:hAnsi="宋体" w:eastAsia="等线" w:cs="宋体"/>
          <w:b w:val="0"/>
          <w:bCs/>
          <w:color w:val="auto"/>
          <w:kern w:val="0"/>
          <w:sz w:val="24"/>
          <w:szCs w:val="22"/>
          <w:lang w:eastAsia="zh-CN"/>
        </w:rPr>
        <w:t>，</w:t>
      </w:r>
      <w:r>
        <w:rPr>
          <w:rFonts w:hint="eastAsia" w:ascii="宋体" w:hAnsi="宋体" w:eastAsia="等线" w:cs="宋体"/>
          <w:b w:val="0"/>
          <w:bCs/>
          <w:color w:val="auto"/>
          <w:kern w:val="0"/>
          <w:sz w:val="24"/>
          <w:szCs w:val="22"/>
          <w:lang w:val="en-US" w:eastAsia="zh-CN"/>
        </w:rPr>
        <w:t>方可立.</w:t>
      </w:r>
      <w:r>
        <w:rPr>
          <w:rFonts w:hint="eastAsia" w:ascii="宋体" w:hAnsi="宋体" w:eastAsia="宋体" w:cs="宋体"/>
          <w:b w:val="0"/>
          <w:bCs/>
          <w:color w:val="auto"/>
          <w:kern w:val="0"/>
          <w:sz w:val="24"/>
          <w:szCs w:val="22"/>
        </w:rPr>
        <w:t>中国文化概论</w:t>
      </w:r>
      <w:r>
        <w:rPr>
          <w:rFonts w:hint="eastAsia" w:ascii="宋体" w:hAnsi="宋体" w:eastAsia="等线" w:cs="宋体"/>
          <w:b w:val="0"/>
          <w:bCs/>
          <w:color w:val="auto"/>
          <w:kern w:val="0"/>
          <w:sz w:val="24"/>
          <w:szCs w:val="22"/>
          <w:lang w:val="en-US" w:eastAsia="zh-CN"/>
        </w:rPr>
        <w:t>(</w:t>
      </w:r>
      <w:r>
        <w:rPr>
          <w:rFonts w:hint="eastAsia" w:ascii="宋体" w:hAnsi="宋体" w:eastAsia="宋体" w:cs="宋体"/>
          <w:b w:val="0"/>
          <w:bCs/>
          <w:color w:val="auto"/>
          <w:kern w:val="0"/>
          <w:sz w:val="24"/>
          <w:szCs w:val="22"/>
        </w:rPr>
        <w:t>第</w:t>
      </w:r>
      <w:r>
        <w:rPr>
          <w:rFonts w:hint="eastAsia" w:ascii="宋体" w:hAnsi="宋体" w:eastAsia="等线" w:cs="宋体"/>
          <w:b w:val="0"/>
          <w:bCs/>
          <w:color w:val="auto"/>
          <w:kern w:val="0"/>
          <w:sz w:val="24"/>
          <w:szCs w:val="22"/>
          <w:lang w:val="en-US" w:eastAsia="zh-CN"/>
        </w:rPr>
        <w:t>3</w:t>
      </w:r>
      <w:r>
        <w:rPr>
          <w:rFonts w:hint="eastAsia" w:ascii="宋体" w:hAnsi="宋体" w:eastAsia="宋体" w:cs="宋体"/>
          <w:b w:val="0"/>
          <w:bCs/>
          <w:color w:val="auto"/>
          <w:kern w:val="0"/>
          <w:sz w:val="24"/>
          <w:szCs w:val="22"/>
        </w:rPr>
        <w:t>版</w:t>
      </w:r>
      <w:r>
        <w:rPr>
          <w:rFonts w:hint="eastAsia" w:ascii="宋体" w:hAnsi="宋体" w:eastAsia="等线" w:cs="宋体"/>
          <w:b w:val="0"/>
          <w:bCs/>
          <w:color w:val="auto"/>
          <w:kern w:val="0"/>
          <w:sz w:val="24"/>
          <w:szCs w:val="22"/>
          <w:lang w:val="en-US" w:eastAsia="zh-CN"/>
        </w:rPr>
        <w:t>).北京：北京师范大学出版社，2023.</w:t>
      </w:r>
      <w:r>
        <w:rPr>
          <w:rFonts w:hint="eastAsia" w:ascii="宋体" w:hAnsi="宋体" w:eastAsia="宋体" w:cs="宋体"/>
          <w:b w:val="0"/>
          <w:bCs/>
          <w:color w:val="auto"/>
          <w:kern w:val="0"/>
          <w:sz w:val="24"/>
          <w:szCs w:val="22"/>
        </w:rPr>
        <w:t xml:space="preserve"> </w:t>
      </w:r>
    </w:p>
    <w:p w14:paraId="2F2789F0">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color w:val="auto"/>
          <w:sz w:val="24"/>
          <w:szCs w:val="22"/>
        </w:rPr>
      </w:pPr>
      <w:r>
        <w:rPr>
          <w:rFonts w:hint="eastAsia" w:ascii="宋体" w:hAnsi="宋体" w:eastAsia="宋体" w:cs="宋体"/>
          <w:b/>
          <w:bCs/>
          <w:color w:val="auto"/>
          <w:kern w:val="0"/>
          <w:sz w:val="24"/>
          <w:szCs w:val="22"/>
        </w:rPr>
        <w:t>课程归口：</w:t>
      </w:r>
      <w:r>
        <w:rPr>
          <w:rFonts w:hint="eastAsia" w:ascii="宋体" w:hAnsi="宋体" w:eastAsia="宋体" w:cs="宋体"/>
          <w:color w:val="auto"/>
          <w:sz w:val="24"/>
          <w:szCs w:val="22"/>
        </w:rPr>
        <w:t>师范学院</w:t>
      </w:r>
    </w:p>
    <w:p w14:paraId="50D296F5">
      <w:pPr>
        <w:keepNext w:val="0"/>
        <w:keepLines w:val="0"/>
        <w:pageBreakBefore w:val="0"/>
        <w:kinsoku/>
        <w:overflowPunct/>
        <w:topLinePunct w:val="0"/>
        <w:autoSpaceDE w:val="0"/>
        <w:autoSpaceDN w:val="0"/>
        <w:bidi w:val="0"/>
        <w:adjustRightInd w:val="0"/>
        <w:spacing w:line="360" w:lineRule="auto"/>
        <w:ind w:firstLine="482" w:firstLineChars="200"/>
        <w:jc w:val="left"/>
        <w:textAlignment w:val="auto"/>
        <w:rPr>
          <w:rFonts w:hint="eastAsia" w:ascii="宋体" w:hAnsi="宋体" w:eastAsia="宋体" w:cs="宋体"/>
          <w:color w:val="auto"/>
          <w:kern w:val="0"/>
          <w:sz w:val="24"/>
          <w:szCs w:val="22"/>
        </w:rPr>
      </w:pPr>
      <w:r>
        <w:rPr>
          <w:rFonts w:hint="eastAsia" w:ascii="宋体" w:hAnsi="宋体" w:eastAsia="宋体" w:cs="宋体"/>
          <w:b/>
          <w:bCs/>
          <w:color w:val="auto"/>
          <w:kern w:val="0"/>
          <w:sz w:val="24"/>
          <w:szCs w:val="22"/>
        </w:rPr>
        <w:t>课程的性质与任务：</w:t>
      </w:r>
      <w:r>
        <w:rPr>
          <w:rFonts w:hint="eastAsia" w:ascii="宋体" w:hAnsi="宋体" w:eastAsia="宋体" w:cs="宋体"/>
          <w:color w:val="auto"/>
          <w:kern w:val="0"/>
          <w:sz w:val="24"/>
          <w:szCs w:val="22"/>
        </w:rPr>
        <w:t>本课程是</w:t>
      </w:r>
      <w:r>
        <w:rPr>
          <w:rFonts w:hint="eastAsia" w:ascii="宋体" w:hAnsi="宋体" w:eastAsia="等线" w:cs="宋体"/>
          <w:color w:val="auto"/>
          <w:kern w:val="0"/>
          <w:sz w:val="24"/>
          <w:szCs w:val="22"/>
          <w:lang w:val="en-US" w:eastAsia="zh-CN"/>
        </w:rPr>
        <w:t>小学</w:t>
      </w:r>
      <w:r>
        <w:rPr>
          <w:rFonts w:hint="eastAsia" w:ascii="宋体" w:hAnsi="宋体" w:eastAsia="宋体" w:cs="宋体"/>
          <w:color w:val="auto"/>
          <w:kern w:val="0"/>
          <w:sz w:val="24"/>
          <w:szCs w:val="22"/>
        </w:rPr>
        <w:t>教育</w:t>
      </w:r>
      <w:r>
        <w:rPr>
          <w:rFonts w:hint="eastAsia" w:ascii="宋体" w:hAnsi="宋体" w:eastAsia="等线" w:cs="宋体"/>
          <w:color w:val="auto"/>
          <w:kern w:val="0"/>
          <w:sz w:val="24"/>
          <w:szCs w:val="22"/>
          <w:lang w:eastAsia="zh-CN"/>
        </w:rPr>
        <w:t>（</w:t>
      </w:r>
      <w:r>
        <w:rPr>
          <w:rFonts w:hint="eastAsia" w:ascii="宋体" w:hAnsi="宋体" w:eastAsia="等线" w:cs="宋体"/>
          <w:color w:val="auto"/>
          <w:kern w:val="0"/>
          <w:sz w:val="24"/>
          <w:szCs w:val="22"/>
          <w:lang w:val="en-US" w:eastAsia="zh-CN"/>
        </w:rPr>
        <w:t>文</w:t>
      </w:r>
      <w:r>
        <w:rPr>
          <w:rFonts w:hint="eastAsia" w:ascii="宋体" w:hAnsi="宋体" w:eastAsia="等线" w:cs="宋体"/>
          <w:color w:val="auto"/>
          <w:kern w:val="0"/>
          <w:sz w:val="24"/>
          <w:szCs w:val="22"/>
          <w:lang w:eastAsia="zh-CN"/>
        </w:rPr>
        <w:t>）</w:t>
      </w:r>
      <w:r>
        <w:rPr>
          <w:rFonts w:hint="eastAsia" w:ascii="宋体" w:hAnsi="宋体" w:eastAsia="宋体" w:cs="宋体"/>
          <w:color w:val="auto"/>
          <w:kern w:val="0"/>
          <w:sz w:val="24"/>
          <w:szCs w:val="22"/>
        </w:rPr>
        <w:t>专业的专业</w:t>
      </w:r>
      <w:r>
        <w:rPr>
          <w:rFonts w:hint="eastAsia" w:ascii="宋体" w:hAnsi="宋体" w:eastAsia="等线" w:cs="宋体"/>
          <w:color w:val="auto"/>
          <w:kern w:val="0"/>
          <w:sz w:val="24"/>
          <w:szCs w:val="22"/>
          <w:lang w:val="en-US" w:eastAsia="zh-CN"/>
        </w:rPr>
        <w:t>选修</w:t>
      </w:r>
      <w:r>
        <w:rPr>
          <w:rFonts w:hint="eastAsia" w:ascii="宋体" w:hAnsi="宋体" w:eastAsia="宋体" w:cs="宋体"/>
          <w:color w:val="auto"/>
          <w:kern w:val="0"/>
          <w:sz w:val="24"/>
          <w:szCs w:val="22"/>
        </w:rPr>
        <w:t>课。通过本课程的学习，</w:t>
      </w:r>
      <w:r>
        <w:rPr>
          <w:rFonts w:hint="eastAsia" w:ascii="宋体" w:hAnsi="宋体" w:eastAsia="等线" w:cs="宋体"/>
          <w:color w:val="auto"/>
          <w:kern w:val="0"/>
          <w:sz w:val="24"/>
          <w:szCs w:val="22"/>
          <w:lang w:val="en-US" w:eastAsia="zh-CN"/>
        </w:rPr>
        <w:t>学生能深入</w:t>
      </w:r>
      <w:r>
        <w:rPr>
          <w:rFonts w:hint="eastAsia" w:ascii="宋体" w:hAnsi="宋体" w:eastAsia="宋体" w:cs="宋体"/>
          <w:color w:val="auto"/>
          <w:kern w:val="0"/>
          <w:sz w:val="24"/>
          <w:szCs w:val="22"/>
        </w:rPr>
        <w:t>了解中国传统文化</w:t>
      </w:r>
      <w:r>
        <w:rPr>
          <w:rFonts w:hint="eastAsia" w:ascii="宋体" w:hAnsi="宋体" w:eastAsia="等线" w:cs="宋体"/>
          <w:color w:val="auto"/>
          <w:kern w:val="0"/>
          <w:sz w:val="24"/>
          <w:szCs w:val="22"/>
          <w:lang w:eastAsia="zh-CN"/>
        </w:rPr>
        <w:t>，</w:t>
      </w:r>
      <w:r>
        <w:rPr>
          <w:rFonts w:hint="eastAsia" w:ascii="宋体" w:hAnsi="宋体" w:eastAsia="等线" w:cs="宋体"/>
          <w:color w:val="auto"/>
          <w:kern w:val="0"/>
          <w:sz w:val="24"/>
          <w:szCs w:val="22"/>
          <w:lang w:val="en-US" w:eastAsia="zh-CN"/>
        </w:rPr>
        <w:t>为中华文化感到自豪，成为自觉的文化传承者</w:t>
      </w:r>
      <w:r>
        <w:rPr>
          <w:rFonts w:hint="eastAsia" w:ascii="宋体" w:hAnsi="宋体" w:eastAsia="宋体" w:cs="宋体"/>
          <w:color w:val="auto"/>
          <w:kern w:val="0"/>
          <w:sz w:val="24"/>
          <w:szCs w:val="22"/>
        </w:rPr>
        <w:t>。</w:t>
      </w:r>
    </w:p>
    <w:p w14:paraId="4DEB8FA6">
      <w:pPr>
        <w:keepNext w:val="0"/>
        <w:keepLines w:val="0"/>
        <w:pageBreakBefore w:val="0"/>
        <w:kinsoku/>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宋体"/>
          <w:color w:val="auto"/>
          <w:kern w:val="0"/>
          <w:sz w:val="24"/>
          <w:szCs w:val="22"/>
        </w:rPr>
      </w:pPr>
      <w:r>
        <w:rPr>
          <w:rFonts w:hint="eastAsia" w:ascii="宋体" w:hAnsi="宋体" w:eastAsia="宋体" w:cs="宋体"/>
          <w:color w:val="auto"/>
          <w:kern w:val="0"/>
          <w:sz w:val="24"/>
          <w:szCs w:val="22"/>
        </w:rPr>
        <w:t>该课程的研究对象主要包括中国传统文化的各个基本层面，如：中国</w:t>
      </w:r>
      <w:r>
        <w:rPr>
          <w:rFonts w:hint="eastAsia" w:ascii="宋体" w:hAnsi="宋体" w:eastAsia="等线" w:cs="宋体"/>
          <w:color w:val="auto"/>
          <w:kern w:val="0"/>
          <w:sz w:val="24"/>
          <w:szCs w:val="22"/>
          <w:lang w:val="en-US" w:eastAsia="zh-CN"/>
        </w:rPr>
        <w:t>历史、教育、政治、伦理道德、哲学宗教、文学艺术、婚丧习俗、穿着饮食、科技</w:t>
      </w:r>
      <w:r>
        <w:rPr>
          <w:rFonts w:hint="eastAsia" w:ascii="宋体" w:hAnsi="宋体" w:eastAsia="宋体" w:cs="宋体"/>
          <w:color w:val="auto"/>
          <w:kern w:val="0"/>
          <w:sz w:val="24"/>
          <w:szCs w:val="22"/>
        </w:rPr>
        <w:t>等。</w:t>
      </w:r>
    </w:p>
    <w:p w14:paraId="63E9BD49">
      <w:pPr>
        <w:keepNext w:val="0"/>
        <w:keepLines w:val="0"/>
        <w:pageBreakBefore w:val="0"/>
        <w:kinsoku/>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宋体"/>
          <w:color w:val="auto"/>
          <w:kern w:val="0"/>
          <w:sz w:val="24"/>
          <w:szCs w:val="22"/>
        </w:rPr>
      </w:pPr>
      <w:r>
        <w:rPr>
          <w:rFonts w:hint="eastAsia" w:ascii="宋体" w:hAnsi="宋体" w:eastAsia="宋体" w:cs="宋体"/>
          <w:color w:val="auto"/>
          <w:kern w:val="0"/>
          <w:sz w:val="24"/>
          <w:szCs w:val="22"/>
        </w:rPr>
        <w:t>通过本课程的教学，要求学生能够基本掌握中国传统文化知识，比较系统地了解中华先民在各类文明创建上广博而精湛的建树，正确理解和分析传统文化与现代化文明的渊源，提高文化创新的信心和本领。在此基础上，进一步提高学生的专业知识储备和素养，形成强烈的专业学习愿望和兴趣，自觉的专业研究态度和学术热情。</w:t>
      </w:r>
    </w:p>
    <w:p w14:paraId="164BCA1B">
      <w:pPr>
        <w:keepNext w:val="0"/>
        <w:keepLines w:val="0"/>
        <w:pageBreakBefore w:val="0"/>
        <w:kinsoku/>
        <w:overflowPunct/>
        <w:topLinePunct w:val="0"/>
        <w:bidi w:val="0"/>
        <w:spacing w:line="360" w:lineRule="auto"/>
        <w:ind w:firstLine="562" w:firstLineChars="200"/>
        <w:textAlignment w:val="auto"/>
        <w:outlineLvl w:val="0"/>
        <w:rPr>
          <w:rFonts w:hint="eastAsia" w:ascii="宋体" w:hAnsi="宋体" w:eastAsia="宋体" w:cs="宋体"/>
          <w:b/>
          <w:color w:val="auto"/>
          <w:sz w:val="28"/>
          <w:szCs w:val="28"/>
        </w:rPr>
      </w:pPr>
      <w:bookmarkStart w:id="2512" w:name="_Toc23861"/>
      <w:bookmarkStart w:id="2513" w:name="_Toc5214"/>
      <w:bookmarkStart w:id="2514" w:name="_Toc8429"/>
      <w:bookmarkStart w:id="2515" w:name="_Toc802"/>
      <w:bookmarkStart w:id="2516" w:name="_Toc18360"/>
      <w:bookmarkStart w:id="2517" w:name="_Toc28965"/>
      <w:bookmarkStart w:id="2518" w:name="_Toc23894"/>
      <w:r>
        <w:rPr>
          <w:rFonts w:hint="eastAsia" w:ascii="宋体" w:hAnsi="宋体" w:eastAsia="宋体" w:cs="宋体"/>
          <w:b/>
          <w:color w:val="auto"/>
          <w:sz w:val="28"/>
          <w:szCs w:val="28"/>
        </w:rPr>
        <w:t>二、课程目标</w:t>
      </w:r>
      <w:bookmarkEnd w:id="2512"/>
      <w:bookmarkEnd w:id="2513"/>
      <w:bookmarkEnd w:id="2514"/>
      <w:bookmarkEnd w:id="2515"/>
      <w:bookmarkEnd w:id="2516"/>
      <w:bookmarkEnd w:id="2517"/>
      <w:bookmarkEnd w:id="2518"/>
    </w:p>
    <w:p w14:paraId="001135DD">
      <w:pPr>
        <w:keepNext w:val="0"/>
        <w:keepLines w:val="0"/>
        <w:pageBreakBefore w:val="0"/>
        <w:kinsoku/>
        <w:overflowPunct/>
        <w:topLinePunct w:val="0"/>
        <w:bidi w:val="0"/>
        <w:spacing w:line="360" w:lineRule="auto"/>
        <w:ind w:firstLine="482" w:firstLineChars="200"/>
        <w:textAlignment w:val="auto"/>
        <w:outlineLvl w:val="1"/>
        <w:rPr>
          <w:rFonts w:hint="eastAsia" w:ascii="宋体" w:hAnsi="宋体" w:eastAsia="宋体" w:cs="宋体"/>
          <w:b/>
          <w:color w:val="auto"/>
          <w:sz w:val="24"/>
          <w:szCs w:val="22"/>
        </w:rPr>
      </w:pPr>
      <w:bookmarkStart w:id="2519" w:name="_Toc19363"/>
      <w:r>
        <w:rPr>
          <w:rFonts w:hint="eastAsia" w:ascii="宋体" w:hAnsi="宋体" w:eastAsia="宋体" w:cs="宋体"/>
          <w:b/>
          <w:color w:val="auto"/>
          <w:sz w:val="24"/>
          <w:szCs w:val="22"/>
        </w:rPr>
        <w:t>（一）课程具体目标</w:t>
      </w:r>
      <w:bookmarkEnd w:id="2519"/>
    </w:p>
    <w:p w14:paraId="6021923B">
      <w:pPr>
        <w:keepNext w:val="0"/>
        <w:keepLines w:val="0"/>
        <w:pageBreakBefore w:val="0"/>
        <w:kinsoku/>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宋体"/>
          <w:color w:val="auto"/>
          <w:kern w:val="0"/>
          <w:sz w:val="24"/>
          <w:szCs w:val="22"/>
        </w:rPr>
      </w:pPr>
      <w:r>
        <w:rPr>
          <w:rFonts w:hint="eastAsia" w:ascii="宋体" w:hAnsi="宋体" w:eastAsia="宋体" w:cs="宋体"/>
          <w:color w:val="auto"/>
          <w:kern w:val="0"/>
          <w:sz w:val="24"/>
          <w:szCs w:val="22"/>
        </w:rPr>
        <w:t>通过本课程的学习，学生应</w:t>
      </w:r>
      <w:r>
        <w:rPr>
          <w:rFonts w:hint="eastAsia" w:ascii="宋体" w:hAnsi="宋体" w:eastAsia="宋体" w:cs="宋体"/>
          <w:color w:val="auto"/>
          <w:kern w:val="0"/>
          <w:sz w:val="24"/>
          <w:szCs w:val="22"/>
          <w:lang w:val="en-US" w:eastAsia="zh-CN"/>
        </w:rPr>
        <w:t>达成</w:t>
      </w:r>
      <w:r>
        <w:rPr>
          <w:rFonts w:hint="eastAsia" w:ascii="宋体" w:hAnsi="宋体" w:eastAsia="宋体" w:cs="宋体"/>
          <w:color w:val="auto"/>
          <w:kern w:val="0"/>
          <w:sz w:val="24"/>
          <w:szCs w:val="22"/>
        </w:rPr>
        <w:t>以下目标：</w:t>
      </w:r>
    </w:p>
    <w:p w14:paraId="103ED5AC">
      <w:pPr>
        <w:keepNext w:val="0"/>
        <w:keepLines w:val="0"/>
        <w:pageBreakBefore w:val="0"/>
        <w:kinsoku/>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宋体"/>
          <w:color w:val="auto"/>
          <w:kern w:val="0"/>
          <w:sz w:val="24"/>
          <w:szCs w:val="22"/>
        </w:rPr>
      </w:pPr>
      <w:r>
        <w:rPr>
          <w:rFonts w:hint="eastAsia" w:ascii="宋体" w:hAnsi="宋体" w:eastAsia="宋体" w:cs="宋体"/>
          <w:color w:val="auto"/>
          <w:kern w:val="0"/>
          <w:sz w:val="24"/>
          <w:szCs w:val="22"/>
        </w:rPr>
        <w:t>1.掌握中国传统文化知识，比较系统地了解中华先民在各类文明创建上广博而精湛的建树，正确理解和分析传统文化与现代化文明的渊源，</w:t>
      </w:r>
      <w:r>
        <w:rPr>
          <w:rFonts w:hint="eastAsia" w:ascii="宋体" w:hAnsi="宋体" w:eastAsia="宋体" w:cs="宋体"/>
          <w:color w:val="auto"/>
          <w:kern w:val="0"/>
          <w:sz w:val="24"/>
          <w:szCs w:val="22"/>
          <w:lang w:val="en-US" w:eastAsia="zh-CN"/>
        </w:rPr>
        <w:t>增强</w:t>
      </w:r>
      <w:r>
        <w:rPr>
          <w:rFonts w:hint="eastAsia" w:ascii="宋体" w:hAnsi="宋体" w:eastAsia="宋体" w:cs="宋体"/>
          <w:color w:val="auto"/>
          <w:kern w:val="0"/>
          <w:sz w:val="24"/>
          <w:szCs w:val="22"/>
        </w:rPr>
        <w:t>文化</w:t>
      </w:r>
      <w:r>
        <w:rPr>
          <w:rFonts w:hint="eastAsia" w:ascii="宋体" w:hAnsi="宋体" w:eastAsia="宋体" w:cs="宋体"/>
          <w:color w:val="auto"/>
          <w:kern w:val="0"/>
          <w:sz w:val="24"/>
          <w:szCs w:val="22"/>
          <w:lang w:val="en-US" w:eastAsia="zh-CN"/>
        </w:rPr>
        <w:t>自信和对传统文化的传承自觉性</w:t>
      </w:r>
      <w:r>
        <w:rPr>
          <w:rFonts w:hint="eastAsia" w:ascii="宋体" w:hAnsi="宋体" w:eastAsia="等线" w:cs="宋体"/>
          <w:color w:val="auto"/>
          <w:kern w:val="0"/>
          <w:sz w:val="24"/>
          <w:szCs w:val="22"/>
          <w:lang w:eastAsia="zh-CN"/>
        </w:rPr>
        <w:t>，</w:t>
      </w:r>
      <w:r>
        <w:rPr>
          <w:rFonts w:hint="eastAsia" w:ascii="宋体" w:hAnsi="宋体" w:eastAsia="宋体" w:cs="宋体"/>
          <w:color w:val="auto"/>
          <w:kern w:val="0"/>
          <w:sz w:val="24"/>
          <w:szCs w:val="22"/>
        </w:rPr>
        <w:t>为爱国主义传统教育和思想道德教育、文化教育提供历史的经验和素材；</w:t>
      </w:r>
    </w:p>
    <w:p w14:paraId="3A257FD9">
      <w:pPr>
        <w:keepNext w:val="0"/>
        <w:keepLines w:val="0"/>
        <w:pageBreakBefore w:val="0"/>
        <w:kinsoku/>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宋体"/>
          <w:color w:val="auto"/>
          <w:kern w:val="0"/>
          <w:sz w:val="24"/>
          <w:szCs w:val="22"/>
        </w:rPr>
      </w:pPr>
      <w:r>
        <w:rPr>
          <w:rFonts w:hint="eastAsia" w:ascii="宋体" w:hAnsi="宋体" w:eastAsia="等线" w:cs="宋体"/>
          <w:color w:val="auto"/>
          <w:kern w:val="0"/>
          <w:sz w:val="24"/>
          <w:szCs w:val="22"/>
          <w:lang w:val="en-US" w:eastAsia="zh-CN"/>
        </w:rPr>
        <w:t>2</w:t>
      </w:r>
      <w:r>
        <w:rPr>
          <w:rFonts w:hint="eastAsia" w:ascii="宋体" w:hAnsi="宋体" w:eastAsia="宋体" w:cs="宋体"/>
          <w:color w:val="auto"/>
          <w:kern w:val="0"/>
          <w:sz w:val="24"/>
          <w:szCs w:val="22"/>
        </w:rPr>
        <w:t>.与先修课程中国</w:t>
      </w:r>
      <w:r>
        <w:rPr>
          <w:rFonts w:hint="eastAsia" w:ascii="宋体" w:hAnsi="宋体" w:eastAsia="宋体" w:cs="宋体"/>
          <w:color w:val="auto"/>
          <w:kern w:val="0"/>
          <w:sz w:val="24"/>
          <w:szCs w:val="22"/>
          <w:lang w:val="en-US" w:eastAsia="zh-CN"/>
        </w:rPr>
        <w:t>古代文学</w:t>
      </w:r>
      <w:r>
        <w:rPr>
          <w:rFonts w:hint="eastAsia" w:ascii="宋体" w:hAnsi="宋体" w:eastAsia="宋体" w:cs="宋体"/>
          <w:color w:val="auto"/>
          <w:kern w:val="0"/>
          <w:sz w:val="24"/>
          <w:szCs w:val="22"/>
        </w:rPr>
        <w:t>、中国</w:t>
      </w:r>
      <w:r>
        <w:rPr>
          <w:rFonts w:hint="eastAsia" w:ascii="宋体" w:hAnsi="宋体" w:eastAsia="宋体" w:cs="宋体"/>
          <w:color w:val="auto"/>
          <w:kern w:val="0"/>
          <w:sz w:val="24"/>
          <w:szCs w:val="22"/>
          <w:lang w:val="en-US" w:eastAsia="zh-CN"/>
        </w:rPr>
        <w:t>现当代文学</w:t>
      </w:r>
      <w:r>
        <w:rPr>
          <w:rFonts w:hint="eastAsia" w:ascii="宋体" w:hAnsi="宋体" w:eastAsia="宋体" w:cs="宋体"/>
          <w:color w:val="auto"/>
          <w:kern w:val="0"/>
          <w:sz w:val="24"/>
          <w:szCs w:val="22"/>
        </w:rPr>
        <w:t>等课程知识融会贯通，形成合理的知识结构。</w:t>
      </w:r>
    </w:p>
    <w:p w14:paraId="00607FD2">
      <w:pPr>
        <w:jc w:val="left"/>
        <w:rPr>
          <w:rFonts w:hint="eastAsia" w:ascii="宋体" w:hAnsi="宋体" w:eastAsia="宋体" w:cs="宋体"/>
          <w:b/>
          <w:color w:val="auto"/>
          <w:sz w:val="24"/>
          <w:szCs w:val="22"/>
          <w:highlight w:val="none"/>
        </w:rPr>
      </w:pPr>
    </w:p>
    <w:p w14:paraId="53E32CE6">
      <w:pPr>
        <w:ind w:firstLine="482" w:firstLineChars="200"/>
        <w:jc w:val="left"/>
        <w:outlineLvl w:val="1"/>
        <w:rPr>
          <w:rFonts w:hint="eastAsia" w:ascii="宋体" w:hAnsi="宋体" w:eastAsia="宋体" w:cs="宋体"/>
          <w:b/>
          <w:color w:val="auto"/>
          <w:sz w:val="24"/>
          <w:szCs w:val="22"/>
          <w:highlight w:val="none"/>
        </w:rPr>
      </w:pPr>
      <w:bookmarkStart w:id="2520" w:name="_Toc13116"/>
      <w:r>
        <w:rPr>
          <w:rFonts w:hint="eastAsia" w:ascii="宋体" w:hAnsi="宋体" w:eastAsia="宋体" w:cs="宋体"/>
          <w:b/>
          <w:color w:val="auto"/>
          <w:sz w:val="24"/>
          <w:szCs w:val="22"/>
          <w:highlight w:val="none"/>
        </w:rPr>
        <w:t>（二）课程目标与专业毕业要求的关系</w:t>
      </w:r>
      <w:bookmarkEnd w:id="2520"/>
    </w:p>
    <w:p w14:paraId="5C829092">
      <w:pPr>
        <w:spacing w:line="360" w:lineRule="auto"/>
        <w:jc w:val="center"/>
        <w:rPr>
          <w:rFonts w:ascii="黑体" w:hAnsi="黑体" w:eastAsia="黑体" w:cs="Times New Roman"/>
          <w:sz w:val="24"/>
          <w:szCs w:val="24"/>
        </w:rPr>
      </w:pPr>
      <w:r>
        <w:rPr>
          <w:rFonts w:hint="eastAsia" w:ascii="楷体" w:hAnsi="楷体" w:eastAsia="楷体" w:cs="楷体"/>
          <w:sz w:val="24"/>
          <w:szCs w:val="24"/>
        </w:rPr>
        <w:t>课程目标对毕业要求的支撑关系表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950"/>
        <w:gridCol w:w="5104"/>
      </w:tblGrid>
      <w:tr w14:paraId="5FA0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62A345A8">
            <w:pPr>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rPr>
              <w:t>课程目标</w:t>
            </w:r>
          </w:p>
        </w:tc>
        <w:tc>
          <w:tcPr>
            <w:tcW w:w="1950" w:type="dxa"/>
            <w:tcBorders>
              <w:top w:val="single" w:color="auto" w:sz="4" w:space="0"/>
              <w:left w:val="single" w:color="auto" w:sz="4" w:space="0"/>
              <w:bottom w:val="single" w:color="auto" w:sz="4" w:space="0"/>
              <w:right w:val="single" w:color="auto" w:sz="4" w:space="0"/>
            </w:tcBorders>
            <w:vAlign w:val="center"/>
          </w:tcPr>
          <w:p w14:paraId="53E2A8E6">
            <w:pPr>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rPr>
              <w:t>支撑的毕业要求</w:t>
            </w:r>
          </w:p>
        </w:tc>
        <w:tc>
          <w:tcPr>
            <w:tcW w:w="5104" w:type="dxa"/>
            <w:tcBorders>
              <w:top w:val="single" w:color="auto" w:sz="4" w:space="0"/>
              <w:left w:val="single" w:color="auto" w:sz="4" w:space="0"/>
              <w:bottom w:val="single" w:color="auto" w:sz="4" w:space="0"/>
              <w:right w:val="single" w:color="auto" w:sz="4" w:space="0"/>
            </w:tcBorders>
            <w:vAlign w:val="center"/>
          </w:tcPr>
          <w:p w14:paraId="5577D090">
            <w:pPr>
              <w:jc w:val="center"/>
              <w:rPr>
                <w:rFonts w:ascii="黑体" w:hAnsi="黑体" w:eastAsia="黑体" w:cs="宋体"/>
                <w:color w:val="000000"/>
                <w:szCs w:val="21"/>
              </w:rPr>
            </w:pPr>
            <w:r>
              <w:rPr>
                <w:rFonts w:hint="eastAsia" w:ascii="宋体" w:hAnsi="宋体" w:eastAsia="宋体" w:cs="Times New Roman"/>
                <w:b/>
                <w:bCs/>
                <w:szCs w:val="21"/>
              </w:rPr>
              <w:t>支撑的毕业要求指标点</w:t>
            </w:r>
          </w:p>
        </w:tc>
      </w:tr>
      <w:tr w14:paraId="253B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1453" w:type="dxa"/>
            <w:tcBorders>
              <w:top w:val="single" w:color="auto" w:sz="4" w:space="0"/>
              <w:left w:val="single" w:color="auto" w:sz="4" w:space="0"/>
              <w:right w:val="single" w:color="auto" w:sz="4" w:space="0"/>
            </w:tcBorders>
            <w:vAlign w:val="center"/>
          </w:tcPr>
          <w:p w14:paraId="6F8968FF">
            <w:pPr>
              <w:rPr>
                <w:rFonts w:ascii="仿宋_GB2312" w:hAnsi="Calibri" w:eastAsia="仿宋_GB2312" w:cs="仿宋_GB2312"/>
                <w:b/>
                <w:szCs w:val="21"/>
              </w:rPr>
            </w:pPr>
            <w:r>
              <w:rPr>
                <w:rFonts w:hint="eastAsia" w:ascii="等线" w:hAnsi="等线" w:eastAsia="等线" w:cs="Times New Roman"/>
                <w:szCs w:val="21"/>
              </w:rPr>
              <w:t>课程目标1</w:t>
            </w:r>
          </w:p>
        </w:tc>
        <w:tc>
          <w:tcPr>
            <w:tcW w:w="1950" w:type="dxa"/>
            <w:tcBorders>
              <w:top w:val="single" w:color="auto" w:sz="4" w:space="0"/>
              <w:left w:val="single" w:color="auto" w:sz="4" w:space="0"/>
              <w:right w:val="single" w:color="auto" w:sz="4" w:space="0"/>
            </w:tcBorders>
            <w:vAlign w:val="center"/>
          </w:tcPr>
          <w:p w14:paraId="31547267">
            <w:pPr>
              <w:jc w:val="both"/>
              <w:rPr>
                <w:rFonts w:hint="eastAsia" w:ascii="等线" w:hAnsi="等线" w:eastAsia="等线" w:cs="Times New Roman"/>
                <w:szCs w:val="21"/>
                <w:lang w:val="en-US" w:eastAsia="zh-CN"/>
              </w:rPr>
            </w:pPr>
            <w:r>
              <w:rPr>
                <w:rFonts w:hint="eastAsia" w:ascii="等线" w:hAnsi="等线" w:eastAsia="等线" w:cs="Times New Roman"/>
                <w:szCs w:val="21"/>
                <w:lang w:val="en-US" w:eastAsia="zh-CN"/>
              </w:rPr>
              <w:t xml:space="preserve">2. </w:t>
            </w:r>
            <w:r>
              <w:rPr>
                <w:rFonts w:hint="eastAsia" w:ascii="等线" w:hAnsi="等线" w:eastAsia="等线" w:cs="Times New Roman"/>
                <w:szCs w:val="21"/>
              </w:rPr>
              <w:t>教育情怀</w:t>
            </w:r>
          </w:p>
        </w:tc>
        <w:tc>
          <w:tcPr>
            <w:tcW w:w="5104" w:type="dxa"/>
            <w:tcBorders>
              <w:top w:val="single" w:color="auto" w:sz="4" w:space="0"/>
              <w:left w:val="single" w:color="auto" w:sz="4" w:space="0"/>
              <w:right w:val="single" w:color="auto" w:sz="4" w:space="0"/>
            </w:tcBorders>
            <w:vAlign w:val="center"/>
          </w:tcPr>
          <w:p w14:paraId="3C7006AB">
            <w:pPr>
              <w:rPr>
                <w:rFonts w:ascii="仿宋_GB2312" w:hAnsi="宋体" w:eastAsia="仿宋_GB2312" w:cs="宋体"/>
                <w:color w:val="000000"/>
                <w:kern w:val="2"/>
                <w:sz w:val="21"/>
                <w:szCs w:val="21"/>
                <w:lang w:val="en-US" w:eastAsia="zh-CN" w:bidi="ar-SA"/>
              </w:rPr>
            </w:pPr>
            <w:r>
              <w:rPr>
                <w:rFonts w:ascii="等线" w:hAnsi="等线" w:eastAsia="等线" w:cs="Times New Roman"/>
                <w:kern w:val="0"/>
                <w:szCs w:val="21"/>
              </w:rPr>
              <w:t>指标点</w:t>
            </w:r>
            <w:r>
              <w:rPr>
                <w:rFonts w:ascii="等线" w:hAnsi="等线" w:eastAsia="等线" w:cs="Times New Roman"/>
                <w:szCs w:val="21"/>
              </w:rPr>
              <w:t>2-3</w:t>
            </w:r>
            <w:r>
              <w:rPr>
                <w:rFonts w:hint="eastAsia" w:ascii="等线" w:hAnsi="等线" w:eastAsia="等线" w:cs="Times New Roman"/>
                <w:szCs w:val="21"/>
              </w:rPr>
              <w:t>：【自身修养良好】具有较好的人文底蕴与科学精神，言行举止符合教师职业标准，情感积极，人格健全，心理健康，能通过“知识整合”与“技术融合”增强育人素养。</w:t>
            </w:r>
          </w:p>
        </w:tc>
      </w:tr>
      <w:tr w14:paraId="6447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27234CB8">
            <w:pPr>
              <w:rPr>
                <w:rFonts w:hint="eastAsia" w:ascii="仿宋_GB2312" w:hAnsi="宋体" w:eastAsia="宋体" w:cs="宋体"/>
                <w:color w:val="000000"/>
                <w:szCs w:val="21"/>
                <w:lang w:val="en-US" w:eastAsia="zh-CN"/>
              </w:rPr>
            </w:pPr>
            <w:r>
              <w:rPr>
                <w:rFonts w:hint="eastAsia" w:ascii="等线" w:hAnsi="等线" w:eastAsia="等线" w:cs="Times New Roman"/>
                <w:szCs w:val="21"/>
              </w:rPr>
              <w:t>课程目标</w:t>
            </w:r>
            <w:r>
              <w:rPr>
                <w:rFonts w:hint="eastAsia" w:ascii="等线" w:hAnsi="等线" w:eastAsia="等线" w:cs="Times New Roman"/>
                <w:szCs w:val="21"/>
                <w:lang w:val="en-US" w:eastAsia="zh-CN"/>
              </w:rPr>
              <w:t>2</w:t>
            </w:r>
          </w:p>
        </w:tc>
        <w:tc>
          <w:tcPr>
            <w:tcW w:w="1950" w:type="dxa"/>
            <w:tcBorders>
              <w:top w:val="single" w:color="auto" w:sz="4" w:space="0"/>
              <w:left w:val="single" w:color="auto" w:sz="4" w:space="0"/>
              <w:bottom w:val="single" w:color="auto" w:sz="4" w:space="0"/>
              <w:right w:val="single" w:color="auto" w:sz="4" w:space="0"/>
            </w:tcBorders>
            <w:vAlign w:val="center"/>
          </w:tcPr>
          <w:p w14:paraId="7A09C78E">
            <w:pPr>
              <w:rPr>
                <w:rFonts w:hint="eastAsia" w:ascii="等线" w:hAnsi="等线" w:eastAsia="等线" w:cs="Times New Roman"/>
                <w:szCs w:val="21"/>
                <w:lang w:val="en-US" w:eastAsia="zh-CN"/>
              </w:rPr>
            </w:pPr>
            <w:r>
              <w:rPr>
                <w:rFonts w:hint="eastAsia" w:ascii="等线" w:hAnsi="等线" w:eastAsia="等线" w:cs="Times New Roman"/>
                <w:szCs w:val="21"/>
              </w:rPr>
              <w:t>3</w:t>
            </w:r>
            <w:r>
              <w:rPr>
                <w:rFonts w:hint="eastAsia" w:ascii="等线" w:hAnsi="等线" w:eastAsia="等线" w:cs="Times New Roman"/>
                <w:szCs w:val="21"/>
                <w:lang w:eastAsia="zh-CN"/>
              </w:rPr>
              <w:t>.</w:t>
            </w:r>
            <w:r>
              <w:rPr>
                <w:rFonts w:hint="eastAsia" w:ascii="等线" w:hAnsi="等线" w:eastAsia="等线" w:cs="Times New Roman"/>
                <w:szCs w:val="21"/>
                <w:lang w:val="en-US" w:eastAsia="zh-CN"/>
              </w:rPr>
              <w:t xml:space="preserve"> </w:t>
            </w:r>
            <w:r>
              <w:rPr>
                <w:rFonts w:hint="eastAsia" w:ascii="等线" w:hAnsi="等线" w:eastAsia="等线" w:cs="Times New Roman"/>
                <w:szCs w:val="21"/>
              </w:rPr>
              <w:t>学科素养</w:t>
            </w:r>
          </w:p>
        </w:tc>
        <w:tc>
          <w:tcPr>
            <w:tcW w:w="5104" w:type="dxa"/>
            <w:tcBorders>
              <w:top w:val="single" w:color="auto" w:sz="4" w:space="0"/>
              <w:left w:val="single" w:color="auto" w:sz="4" w:space="0"/>
              <w:bottom w:val="single" w:color="auto" w:sz="4" w:space="0"/>
              <w:right w:val="single" w:color="auto" w:sz="4" w:space="0"/>
            </w:tcBorders>
            <w:vAlign w:val="center"/>
          </w:tcPr>
          <w:p w14:paraId="4BC4B5A1">
            <w:pPr>
              <w:rPr>
                <w:rFonts w:ascii="仿宋_GB2312" w:hAnsi="宋体" w:eastAsia="仿宋_GB2312" w:cs="宋体"/>
                <w:color w:val="000000"/>
                <w:kern w:val="2"/>
                <w:sz w:val="21"/>
                <w:szCs w:val="21"/>
                <w:lang w:val="en-US" w:eastAsia="zh-CN" w:bidi="ar-SA"/>
              </w:rPr>
            </w:pPr>
            <w:r>
              <w:rPr>
                <w:rFonts w:ascii="等线" w:hAnsi="等线" w:eastAsia="等线" w:cs="Times New Roman"/>
                <w:kern w:val="0"/>
                <w:szCs w:val="21"/>
              </w:rPr>
              <w:t>指标点</w:t>
            </w:r>
            <w:r>
              <w:rPr>
                <w:rFonts w:ascii="等线" w:hAnsi="等线" w:eastAsia="等线" w:cs="Times New Roman"/>
                <w:szCs w:val="21"/>
              </w:rPr>
              <w:t>3-1：</w:t>
            </w:r>
            <w:r>
              <w:rPr>
                <w:rFonts w:hint="eastAsia" w:ascii="等线" w:hAnsi="等线" w:eastAsia="等线" w:cs="Times New Roman"/>
                <w:szCs w:val="21"/>
              </w:rPr>
              <w:t>【通识知识广博】具有相应的自然科学和人文社会科学知识素养。</w:t>
            </w:r>
          </w:p>
        </w:tc>
      </w:tr>
    </w:tbl>
    <w:p w14:paraId="25B33E58">
      <w:pPr>
        <w:spacing w:line="360" w:lineRule="auto"/>
        <w:ind w:firstLine="482" w:firstLineChars="200"/>
        <w:outlineLvl w:val="0"/>
        <w:rPr>
          <w:rFonts w:hint="eastAsia" w:ascii="宋体" w:hAnsi="宋体" w:eastAsia="宋体" w:cs="宋体"/>
          <w:b/>
          <w:sz w:val="24"/>
          <w:szCs w:val="24"/>
        </w:rPr>
      </w:pPr>
      <w:bookmarkStart w:id="2521" w:name="_Toc23802"/>
      <w:bookmarkStart w:id="2522" w:name="_Toc27846258"/>
      <w:bookmarkStart w:id="2523" w:name="_Toc1761"/>
      <w:bookmarkStart w:id="2524" w:name="_Toc23898"/>
      <w:bookmarkStart w:id="2525" w:name="_Toc6064"/>
      <w:bookmarkStart w:id="2526" w:name="_Toc21894"/>
      <w:bookmarkStart w:id="2527" w:name="_Toc28920"/>
      <w:bookmarkStart w:id="2528" w:name="_Toc32078"/>
      <w:bookmarkStart w:id="2529" w:name="_Toc27847276"/>
      <w:r>
        <w:rPr>
          <w:rFonts w:hint="eastAsia" w:ascii="宋体" w:hAnsi="宋体" w:eastAsia="宋体" w:cs="宋体"/>
          <w:b/>
          <w:sz w:val="24"/>
          <w:szCs w:val="24"/>
        </w:rPr>
        <w:t>三、课程内容及要求</w:t>
      </w:r>
      <w:bookmarkEnd w:id="2521"/>
      <w:bookmarkEnd w:id="2522"/>
      <w:bookmarkEnd w:id="2523"/>
      <w:bookmarkEnd w:id="2524"/>
      <w:bookmarkEnd w:id="2525"/>
      <w:bookmarkEnd w:id="2526"/>
      <w:bookmarkEnd w:id="2527"/>
      <w:bookmarkEnd w:id="2528"/>
      <w:bookmarkEnd w:id="2529"/>
    </w:p>
    <w:p w14:paraId="0DBBF037">
      <w:pPr>
        <w:spacing w:line="360" w:lineRule="auto"/>
        <w:ind w:firstLine="482" w:firstLineChars="200"/>
        <w:outlineLvl w:val="0"/>
        <w:rPr>
          <w:rFonts w:hint="eastAsia" w:ascii="宋体" w:hAnsi="宋体" w:eastAsia="宋体" w:cs="宋体"/>
          <w:b/>
          <w:sz w:val="24"/>
          <w:szCs w:val="24"/>
        </w:rPr>
      </w:pPr>
      <w:bookmarkStart w:id="2530" w:name="_Toc21363"/>
      <w:bookmarkStart w:id="2531" w:name="_Toc2008"/>
      <w:bookmarkStart w:id="2532" w:name="_Toc18463"/>
      <w:bookmarkStart w:id="2533" w:name="_Toc3949"/>
      <w:bookmarkStart w:id="2534" w:name="_Toc12798"/>
      <w:bookmarkStart w:id="2535" w:name="_Toc8055"/>
      <w:bookmarkStart w:id="2536" w:name="_Toc15929"/>
      <w:r>
        <w:rPr>
          <w:rFonts w:hint="eastAsia" w:ascii="宋体" w:hAnsi="宋体" w:eastAsia="宋体" w:cs="宋体"/>
          <w:b/>
          <w:sz w:val="24"/>
          <w:szCs w:val="24"/>
        </w:rPr>
        <w:t>第一章  绪论（本模块各知识点的讲授与学习，可以支撑课程目标1与目标2）</w:t>
      </w:r>
      <w:bookmarkEnd w:id="2530"/>
      <w:bookmarkEnd w:id="2531"/>
      <w:bookmarkEnd w:id="2532"/>
      <w:bookmarkEnd w:id="2533"/>
      <w:bookmarkEnd w:id="2534"/>
      <w:bookmarkEnd w:id="2535"/>
      <w:bookmarkEnd w:id="2536"/>
    </w:p>
    <w:p w14:paraId="736CDCA3">
      <w:pPr>
        <w:spacing w:line="360" w:lineRule="auto"/>
        <w:ind w:firstLine="482" w:firstLineChars="200"/>
        <w:outlineLvl w:val="1"/>
        <w:rPr>
          <w:rFonts w:hint="eastAsia" w:ascii="宋体" w:hAnsi="宋体" w:eastAsia="宋体" w:cs="宋体"/>
          <w:sz w:val="24"/>
          <w:szCs w:val="24"/>
        </w:rPr>
      </w:pPr>
      <w:bookmarkStart w:id="2537" w:name="_Toc28142"/>
      <w:r>
        <w:rPr>
          <w:rFonts w:hint="eastAsia" w:ascii="宋体" w:hAnsi="宋体" w:eastAsia="宋体" w:cs="宋体"/>
          <w:b/>
          <w:sz w:val="24"/>
          <w:szCs w:val="24"/>
        </w:rPr>
        <w:t>（一）基本内容与要求</w:t>
      </w:r>
      <w:bookmarkEnd w:id="2537"/>
    </w:p>
    <w:p w14:paraId="44E7897F">
      <w:pPr>
        <w:adjustRightInd w:val="0"/>
        <w:spacing w:line="360" w:lineRule="auto"/>
        <w:ind w:firstLine="480" w:firstLineChars="200"/>
        <w:outlineLvl w:val="2"/>
        <w:rPr>
          <w:rFonts w:hint="eastAsia" w:ascii="宋体" w:hAnsi="宋体" w:eastAsia="宋体" w:cs="宋体"/>
          <w:b/>
          <w:sz w:val="24"/>
          <w:szCs w:val="24"/>
        </w:rPr>
      </w:pPr>
      <w:bookmarkStart w:id="2538" w:name="_Toc32029"/>
      <w:r>
        <w:rPr>
          <w:rFonts w:hint="eastAsia" w:ascii="宋体" w:hAnsi="宋体" w:eastAsia="等线" w:cs="宋体"/>
          <w:b/>
          <w:sz w:val="24"/>
          <w:szCs w:val="24"/>
          <w:lang w:val="en-US" w:eastAsia="zh-CN"/>
        </w:rPr>
        <w:t>1.</w:t>
      </w:r>
      <w:r>
        <w:rPr>
          <w:rFonts w:hint="eastAsia" w:ascii="宋体" w:hAnsi="宋体" w:eastAsia="宋体" w:cs="宋体"/>
          <w:b/>
          <w:sz w:val="24"/>
          <w:szCs w:val="24"/>
        </w:rPr>
        <w:t>教学内容：</w:t>
      </w:r>
      <w:bookmarkEnd w:id="2538"/>
    </w:p>
    <w:p w14:paraId="0AC64DE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第一节 中国传统文化的界定与定义</w:t>
      </w:r>
    </w:p>
    <w:p w14:paraId="24CB20D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第二节 中国传统文化产生的环境与条件</w:t>
      </w:r>
    </w:p>
    <w:p w14:paraId="5B2F216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第三节 中国传统文化的发展</w:t>
      </w:r>
    </w:p>
    <w:p w14:paraId="4663038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第四节中国传统文化的现代化因素</w:t>
      </w:r>
    </w:p>
    <w:p w14:paraId="5C88B111">
      <w:pPr>
        <w:spacing w:line="360" w:lineRule="auto"/>
        <w:ind w:firstLine="480" w:firstLineChars="200"/>
        <w:outlineLvl w:val="2"/>
        <w:rPr>
          <w:rFonts w:hint="eastAsia" w:ascii="宋体" w:hAnsi="宋体" w:eastAsia="宋体" w:cs="宋体"/>
          <w:b/>
          <w:sz w:val="24"/>
          <w:szCs w:val="24"/>
        </w:rPr>
      </w:pPr>
      <w:bookmarkStart w:id="2539" w:name="_Toc5229"/>
      <w:r>
        <w:rPr>
          <w:rFonts w:hint="eastAsia" w:ascii="宋体" w:hAnsi="宋体" w:eastAsia="等线" w:cs="宋体"/>
          <w:b/>
          <w:sz w:val="24"/>
          <w:szCs w:val="24"/>
          <w:lang w:val="en-US" w:eastAsia="zh-CN"/>
        </w:rPr>
        <w:t>2.</w:t>
      </w:r>
      <w:r>
        <w:rPr>
          <w:rFonts w:hint="eastAsia" w:ascii="宋体" w:hAnsi="宋体" w:eastAsia="宋体" w:cs="宋体"/>
          <w:b/>
          <w:sz w:val="24"/>
          <w:szCs w:val="24"/>
        </w:rPr>
        <w:t>教学要求：</w:t>
      </w:r>
      <w:bookmarkEnd w:id="2539"/>
    </w:p>
    <w:p w14:paraId="0475D2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通过本章学习，了解文化及中国传统文化的概念、基本精神和产生条件；能够感受中华文化的博大精深，学会从文化的视野观察、分析现实问题。 </w:t>
      </w:r>
    </w:p>
    <w:p w14:paraId="783CBA34">
      <w:pPr>
        <w:adjustRightInd w:val="0"/>
        <w:spacing w:line="360" w:lineRule="auto"/>
        <w:ind w:firstLine="482" w:firstLineChars="200"/>
        <w:outlineLvl w:val="1"/>
        <w:rPr>
          <w:rFonts w:hint="eastAsia" w:ascii="宋体" w:hAnsi="宋体" w:eastAsia="宋体" w:cs="宋体"/>
          <w:b/>
          <w:sz w:val="24"/>
          <w:szCs w:val="24"/>
        </w:rPr>
      </w:pPr>
      <w:bookmarkStart w:id="2540" w:name="_Toc9299"/>
      <w:r>
        <w:rPr>
          <w:rFonts w:hint="eastAsia" w:ascii="宋体" w:hAnsi="宋体" w:eastAsia="宋体" w:cs="宋体"/>
          <w:b/>
          <w:sz w:val="24"/>
          <w:szCs w:val="24"/>
        </w:rPr>
        <w:t>（二）教学重点与难点</w:t>
      </w:r>
      <w:bookmarkEnd w:id="2540"/>
    </w:p>
    <w:p w14:paraId="07C5929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重点：中国传统思维方式的特点及其影响 </w:t>
      </w:r>
    </w:p>
    <w:p w14:paraId="4DA0947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难点：中国传统文化的现代化因素和其所面临的挑战和问题</w:t>
      </w:r>
    </w:p>
    <w:p w14:paraId="3C2A831A">
      <w:pPr>
        <w:numPr>
          <w:ilvl w:val="0"/>
          <w:numId w:val="86"/>
        </w:numPr>
        <w:adjustRightInd w:val="0"/>
        <w:spacing w:line="360" w:lineRule="auto"/>
        <w:ind w:firstLine="482" w:firstLineChars="200"/>
        <w:outlineLvl w:val="1"/>
        <w:rPr>
          <w:rFonts w:hint="eastAsia" w:ascii="宋体" w:hAnsi="宋体" w:eastAsia="宋体" w:cs="宋体"/>
          <w:b/>
          <w:sz w:val="24"/>
          <w:szCs w:val="24"/>
          <w:lang w:eastAsia="zh-CN"/>
        </w:rPr>
      </w:pPr>
      <w:bookmarkStart w:id="2541" w:name="_Toc17875"/>
      <w:r>
        <w:rPr>
          <w:rFonts w:hint="eastAsia" w:ascii="宋体" w:hAnsi="宋体" w:eastAsia="宋体" w:cs="宋体"/>
          <w:b/>
          <w:sz w:val="24"/>
          <w:szCs w:val="24"/>
          <w:lang w:eastAsia="zh-CN"/>
        </w:rPr>
        <w:t>课程思政育人目标</w:t>
      </w:r>
      <w:bookmarkEnd w:id="2541"/>
    </w:p>
    <w:p w14:paraId="0D317FE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等线" w:cs="宋体"/>
          <w:sz w:val="24"/>
          <w:szCs w:val="24"/>
          <w:lang w:eastAsia="zh-CN"/>
        </w:rPr>
      </w:pPr>
      <w:r>
        <w:rPr>
          <w:rFonts w:hint="eastAsia" w:ascii="宋体" w:hAnsi="宋体" w:eastAsia="宋体" w:cs="宋体"/>
          <w:sz w:val="24"/>
          <w:szCs w:val="24"/>
          <w:lang w:eastAsia="zh-CN"/>
        </w:rPr>
        <w:t>理解中国传统文化和现代社会</w:t>
      </w:r>
      <w:r>
        <w:rPr>
          <w:rFonts w:hint="eastAsia" w:ascii="宋体" w:hAnsi="宋体" w:eastAsia="等线" w:cs="宋体"/>
          <w:sz w:val="24"/>
          <w:szCs w:val="24"/>
          <w:lang w:eastAsia="zh-CN"/>
        </w:rPr>
        <w:t>，</w:t>
      </w:r>
      <w:r>
        <w:rPr>
          <w:rFonts w:hint="eastAsia" w:ascii="宋体" w:hAnsi="宋体" w:eastAsia="宋体" w:cs="宋体"/>
          <w:sz w:val="24"/>
          <w:szCs w:val="24"/>
          <w:lang w:eastAsia="zh-CN"/>
        </w:rPr>
        <w:t>了解中国传统文化的未来发展方向和趋势，培养辩证思维和批判性思维的能力，并认识到不同文化之间的差异和相似之处。</w:t>
      </w:r>
    </w:p>
    <w:p w14:paraId="0B9A9458">
      <w:pPr>
        <w:spacing w:line="360" w:lineRule="auto"/>
        <w:ind w:firstLine="482" w:firstLineChars="200"/>
        <w:outlineLvl w:val="0"/>
        <w:rPr>
          <w:rFonts w:hint="eastAsia" w:ascii="宋体" w:hAnsi="宋体" w:eastAsia="宋体" w:cs="宋体"/>
          <w:b/>
          <w:sz w:val="24"/>
          <w:szCs w:val="24"/>
        </w:rPr>
      </w:pPr>
      <w:bookmarkStart w:id="2542" w:name="_Toc20741"/>
      <w:bookmarkStart w:id="2543" w:name="_Toc29731"/>
      <w:bookmarkStart w:id="2544" w:name="_Toc28375"/>
      <w:bookmarkStart w:id="2545" w:name="_Toc26451"/>
      <w:bookmarkStart w:id="2546" w:name="_Toc3385"/>
      <w:bookmarkStart w:id="2547" w:name="_Toc13743"/>
      <w:bookmarkStart w:id="2548" w:name="_Toc29041"/>
      <w:r>
        <w:rPr>
          <w:rFonts w:hint="eastAsia" w:ascii="宋体" w:hAnsi="宋体" w:eastAsia="宋体" w:cs="宋体"/>
          <w:b/>
          <w:sz w:val="24"/>
          <w:szCs w:val="24"/>
        </w:rPr>
        <w:t>第二章 中国历代王朝的兴衰（本模块各知识点的讲授与学习，可以支撑课程目标1与目标2）</w:t>
      </w:r>
      <w:bookmarkEnd w:id="2542"/>
      <w:bookmarkEnd w:id="2543"/>
      <w:bookmarkEnd w:id="2544"/>
      <w:bookmarkEnd w:id="2545"/>
      <w:bookmarkEnd w:id="2546"/>
      <w:bookmarkEnd w:id="2547"/>
      <w:bookmarkEnd w:id="2548"/>
    </w:p>
    <w:p w14:paraId="76485192">
      <w:pPr>
        <w:spacing w:line="360" w:lineRule="auto"/>
        <w:ind w:firstLine="361" w:firstLineChars="150"/>
        <w:outlineLvl w:val="1"/>
        <w:rPr>
          <w:rFonts w:hint="eastAsia" w:ascii="宋体" w:hAnsi="宋体" w:eastAsia="宋体" w:cs="宋体"/>
          <w:b/>
          <w:sz w:val="24"/>
          <w:szCs w:val="24"/>
        </w:rPr>
      </w:pPr>
      <w:bookmarkStart w:id="2549" w:name="_Toc20789"/>
      <w:r>
        <w:rPr>
          <w:rFonts w:hint="eastAsia" w:ascii="宋体" w:hAnsi="宋体" w:eastAsia="宋体" w:cs="宋体"/>
          <w:b/>
          <w:sz w:val="24"/>
          <w:szCs w:val="24"/>
        </w:rPr>
        <w:t>（一）基本教学内容与要求</w:t>
      </w:r>
      <w:bookmarkEnd w:id="2549"/>
    </w:p>
    <w:p w14:paraId="33A36D8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 xml:space="preserve">教学内容： </w:t>
      </w:r>
    </w:p>
    <w:p w14:paraId="2697D5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第一节 夏商周与春秋战国</w:t>
      </w:r>
    </w:p>
    <w:p w14:paraId="189B66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第二节 秦汉大一统与魏晋南北朝的分立</w:t>
      </w:r>
    </w:p>
    <w:p w14:paraId="44B5B2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第三节 繁盛的隋唐</w:t>
      </w:r>
    </w:p>
    <w:p w14:paraId="3936DD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第四节 辽宋夏金的分立与元明清的大统一</w:t>
      </w:r>
    </w:p>
    <w:p w14:paraId="736578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第五节 中国古代的盛世比较</w:t>
      </w:r>
    </w:p>
    <w:p w14:paraId="27AA3123">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1563A8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通过本章学习，了解中国历史发展大势，理解历史在人事代谢、沧桑巨变中前进，后人又在艰涩滞重的印痕中探索历史，掌握历代王朝兴亡的历史经验和深刻教训。</w:t>
      </w:r>
    </w:p>
    <w:p w14:paraId="0125A302">
      <w:pPr>
        <w:spacing w:line="360" w:lineRule="auto"/>
        <w:ind w:firstLine="482" w:firstLineChars="200"/>
        <w:outlineLvl w:val="1"/>
        <w:rPr>
          <w:rFonts w:hint="eastAsia" w:ascii="宋体" w:hAnsi="宋体" w:eastAsia="宋体" w:cs="宋体"/>
          <w:b/>
          <w:sz w:val="24"/>
          <w:szCs w:val="24"/>
        </w:rPr>
      </w:pPr>
      <w:bookmarkStart w:id="2550" w:name="_Toc17602"/>
      <w:r>
        <w:rPr>
          <w:rFonts w:hint="eastAsia" w:ascii="宋体" w:hAnsi="宋体" w:eastAsia="宋体" w:cs="宋体"/>
          <w:b/>
          <w:sz w:val="24"/>
          <w:szCs w:val="24"/>
        </w:rPr>
        <w:t>（二）教学重点与难点</w:t>
      </w:r>
      <w:bookmarkEnd w:id="2550"/>
    </w:p>
    <w:p w14:paraId="483E6A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重点：中国历代王朝的发展大势 </w:t>
      </w:r>
    </w:p>
    <w:p w14:paraId="50C5E3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难点：历代王朝兴亡的经验教训</w:t>
      </w:r>
    </w:p>
    <w:p w14:paraId="0ED1EC18">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551" w:name="_Toc16750"/>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551"/>
    </w:p>
    <w:p w14:paraId="41C779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了解中国历史的发展规律和各个王朝的兴衰原因</w:t>
      </w:r>
      <w:r>
        <w:rPr>
          <w:rFonts w:hint="eastAsia" w:ascii="宋体" w:hAnsi="宋体" w:eastAsia="等线" w:cs="宋体"/>
          <w:sz w:val="24"/>
          <w:szCs w:val="24"/>
          <w:lang w:eastAsia="zh-CN"/>
        </w:rPr>
        <w:t>，</w:t>
      </w:r>
      <w:r>
        <w:rPr>
          <w:rFonts w:hint="eastAsia" w:ascii="宋体" w:hAnsi="宋体" w:eastAsia="等线" w:cs="宋体"/>
          <w:sz w:val="24"/>
          <w:szCs w:val="24"/>
          <w:lang w:val="en-US" w:eastAsia="zh-CN"/>
        </w:rPr>
        <w:t>有</w:t>
      </w:r>
      <w:r>
        <w:rPr>
          <w:rFonts w:hint="eastAsia" w:ascii="宋体" w:hAnsi="宋体" w:eastAsia="宋体" w:cs="宋体"/>
          <w:sz w:val="24"/>
          <w:szCs w:val="24"/>
        </w:rPr>
        <w:t>助于学生树立正确的人生观和历史观，认识到国家兴亡、民族盛衰是历史必然性，从而培养正确的价值观和社会责任感</w:t>
      </w:r>
      <w:r>
        <w:rPr>
          <w:rFonts w:hint="eastAsia" w:ascii="宋体" w:hAnsi="宋体" w:eastAsia="等线" w:cs="宋体"/>
          <w:sz w:val="24"/>
          <w:szCs w:val="24"/>
          <w:lang w:eastAsia="zh-CN"/>
        </w:rPr>
        <w:t>，</w:t>
      </w:r>
      <w:r>
        <w:rPr>
          <w:rFonts w:hint="eastAsia" w:ascii="宋体" w:hAnsi="宋体" w:eastAsia="宋体" w:cs="宋体"/>
          <w:sz w:val="24"/>
          <w:szCs w:val="24"/>
        </w:rPr>
        <w:t>更加珍惜当下的和平繁荣。</w:t>
      </w:r>
    </w:p>
    <w:p w14:paraId="76AEC47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sz w:val="24"/>
          <w:szCs w:val="24"/>
        </w:rPr>
      </w:pPr>
      <w:bookmarkStart w:id="2552" w:name="_Toc2143"/>
      <w:bookmarkStart w:id="2553" w:name="_Toc14246"/>
      <w:bookmarkStart w:id="2554" w:name="_Toc27118"/>
      <w:bookmarkStart w:id="2555" w:name="_Toc20441"/>
      <w:bookmarkStart w:id="2556" w:name="_Toc5127"/>
      <w:bookmarkStart w:id="2557" w:name="_Toc22595"/>
      <w:bookmarkStart w:id="2558" w:name="_Toc6972"/>
      <w:r>
        <w:rPr>
          <w:rFonts w:hint="eastAsia" w:ascii="宋体" w:hAnsi="宋体" w:eastAsia="宋体" w:cs="宋体"/>
          <w:b/>
          <w:sz w:val="24"/>
          <w:szCs w:val="24"/>
        </w:rPr>
        <w:t>第三章 中国古代学校教育（本模块各知识点的讲授与学习，可以支撑课程目标1与目标2）</w:t>
      </w:r>
      <w:bookmarkEnd w:id="2552"/>
      <w:bookmarkEnd w:id="2553"/>
      <w:bookmarkEnd w:id="2554"/>
      <w:bookmarkEnd w:id="2555"/>
      <w:bookmarkEnd w:id="2556"/>
      <w:bookmarkEnd w:id="2557"/>
      <w:bookmarkEnd w:id="2558"/>
    </w:p>
    <w:p w14:paraId="7B924EE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559" w:name="_Toc29664"/>
      <w:r>
        <w:rPr>
          <w:rFonts w:hint="eastAsia" w:ascii="宋体" w:hAnsi="宋体" w:eastAsia="宋体" w:cs="宋体"/>
          <w:b/>
          <w:sz w:val="24"/>
          <w:szCs w:val="24"/>
        </w:rPr>
        <w:t>（一）基本内容与要求</w:t>
      </w:r>
      <w:bookmarkEnd w:id="2559"/>
    </w:p>
    <w:p w14:paraId="751906D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6298049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60" w:name="_Toc19153"/>
      <w:r>
        <w:rPr>
          <w:rFonts w:hint="eastAsia" w:ascii="宋体" w:hAnsi="宋体" w:eastAsia="宋体" w:cs="宋体"/>
          <w:sz w:val="24"/>
          <w:szCs w:val="24"/>
        </w:rPr>
        <w:t>第一节 古代教育是传统文化的重要载体</w:t>
      </w:r>
      <w:bookmarkEnd w:id="2560"/>
    </w:p>
    <w:p w14:paraId="4045CC6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61" w:name="_Toc10833"/>
      <w:r>
        <w:rPr>
          <w:rFonts w:hint="eastAsia" w:ascii="宋体" w:hAnsi="宋体" w:eastAsia="宋体" w:cs="宋体"/>
          <w:sz w:val="24"/>
          <w:szCs w:val="24"/>
        </w:rPr>
        <w:t>第二节 中国古代的官学与私学</w:t>
      </w:r>
      <w:bookmarkEnd w:id="2561"/>
    </w:p>
    <w:p w14:paraId="3F04CD7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 xml:space="preserve">一、官学及其发展：西周国学、西汉太学、明清国子监 </w:t>
      </w:r>
    </w:p>
    <w:p w14:paraId="6A45FF7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二、私学的起源、发展及其影响</w:t>
      </w:r>
    </w:p>
    <w:p w14:paraId="0B41213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62" w:name="_Toc3274"/>
      <w:r>
        <w:rPr>
          <w:rFonts w:hint="eastAsia" w:ascii="宋体" w:hAnsi="宋体" w:eastAsia="宋体" w:cs="宋体"/>
          <w:sz w:val="24"/>
          <w:szCs w:val="24"/>
        </w:rPr>
        <w:t>第三节 中国古代书院及其影响</w:t>
      </w:r>
      <w:bookmarkEnd w:id="2562"/>
    </w:p>
    <w:p w14:paraId="4464D25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63" w:name="_Toc6310"/>
      <w:r>
        <w:rPr>
          <w:rFonts w:hint="eastAsia" w:ascii="宋体" w:hAnsi="宋体" w:eastAsia="宋体" w:cs="宋体"/>
          <w:sz w:val="24"/>
          <w:szCs w:val="24"/>
        </w:rPr>
        <w:t>第四节 中国古代著名教育家与教育思想</w:t>
      </w:r>
      <w:bookmarkEnd w:id="2563"/>
    </w:p>
    <w:p w14:paraId="0597D05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429C4B8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通过本章学习，了解中国古代教育发展历程，了解中国古代人文主义教育思想。</w:t>
      </w:r>
    </w:p>
    <w:p w14:paraId="29D28C6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564" w:name="_Toc30889"/>
      <w:r>
        <w:rPr>
          <w:rFonts w:hint="eastAsia" w:ascii="宋体" w:hAnsi="宋体" w:eastAsia="宋体" w:cs="宋体"/>
          <w:b/>
          <w:sz w:val="24"/>
          <w:szCs w:val="24"/>
        </w:rPr>
        <w:t>（二）教学重点与难点</w:t>
      </w:r>
      <w:bookmarkEnd w:id="2564"/>
    </w:p>
    <w:p w14:paraId="4E110EA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重点：中国古代教育发展大势</w:t>
      </w:r>
    </w:p>
    <w:p w14:paraId="40C511D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难点：中国古代教育思想精华</w:t>
      </w:r>
    </w:p>
    <w:p w14:paraId="432A71D0">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565" w:name="_Toc13709"/>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565"/>
    </w:p>
    <w:p w14:paraId="7CEC462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lang w:eastAsia="zh-CN"/>
        </w:rPr>
      </w:pPr>
      <w:r>
        <w:rPr>
          <w:rFonts w:hint="eastAsia" w:ascii="宋体" w:hAnsi="宋体" w:eastAsia="等线" w:cs="宋体"/>
          <w:sz w:val="24"/>
          <w:szCs w:val="24"/>
          <w:lang w:val="en-US" w:eastAsia="zh-CN"/>
        </w:rPr>
        <w:t>1.</w:t>
      </w:r>
      <w:r>
        <w:rPr>
          <w:rFonts w:hint="eastAsia" w:ascii="宋体" w:hAnsi="宋体" w:eastAsia="宋体" w:cs="宋体"/>
          <w:sz w:val="24"/>
          <w:szCs w:val="24"/>
        </w:rPr>
        <w:t>理解中国传统文化和教育的历史背景和发展轨迹</w:t>
      </w:r>
      <w:r>
        <w:rPr>
          <w:rFonts w:hint="eastAsia" w:ascii="宋体" w:hAnsi="宋体" w:eastAsia="等线" w:cs="宋体"/>
          <w:sz w:val="24"/>
          <w:szCs w:val="24"/>
          <w:lang w:eastAsia="zh-CN"/>
        </w:rPr>
        <w:t>，</w:t>
      </w:r>
      <w:r>
        <w:rPr>
          <w:rFonts w:hint="eastAsia" w:ascii="宋体" w:hAnsi="宋体" w:eastAsia="宋体" w:cs="宋体"/>
          <w:sz w:val="24"/>
          <w:szCs w:val="24"/>
        </w:rPr>
        <w:t>有助于学生认识到传统文化和教育的重要性</w:t>
      </w:r>
      <w:r>
        <w:rPr>
          <w:rFonts w:hint="eastAsia" w:ascii="宋体" w:hAnsi="宋体" w:eastAsia="等线" w:cs="宋体"/>
          <w:sz w:val="24"/>
          <w:szCs w:val="24"/>
          <w:lang w:eastAsia="zh-CN"/>
        </w:rPr>
        <w:t>；</w:t>
      </w:r>
    </w:p>
    <w:p w14:paraId="07A76F8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2.</w:t>
      </w:r>
      <w:r>
        <w:rPr>
          <w:rFonts w:hint="eastAsia" w:ascii="宋体" w:hAnsi="宋体" w:eastAsia="宋体" w:cs="宋体"/>
          <w:sz w:val="24"/>
          <w:szCs w:val="24"/>
        </w:rPr>
        <w:t>了解到古代教育家们重视人的本性和道德教育，强调人的品德、修养和行为规范的重要性</w:t>
      </w:r>
      <w:r>
        <w:rPr>
          <w:rFonts w:hint="eastAsia" w:ascii="宋体" w:hAnsi="宋体" w:eastAsia="等线" w:cs="宋体"/>
          <w:sz w:val="24"/>
          <w:szCs w:val="24"/>
          <w:lang w:eastAsia="zh-CN"/>
        </w:rPr>
        <w:t>，</w:t>
      </w:r>
      <w:r>
        <w:rPr>
          <w:rFonts w:hint="eastAsia" w:ascii="宋体" w:hAnsi="宋体" w:eastAsia="等线" w:cs="宋体"/>
          <w:sz w:val="24"/>
          <w:szCs w:val="24"/>
          <w:lang w:val="en-US" w:eastAsia="zh-CN"/>
        </w:rPr>
        <w:t>有利</w:t>
      </w:r>
      <w:r>
        <w:rPr>
          <w:rFonts w:hint="eastAsia" w:ascii="宋体" w:hAnsi="宋体" w:eastAsia="宋体" w:cs="宋体"/>
          <w:sz w:val="24"/>
          <w:szCs w:val="24"/>
        </w:rPr>
        <w:t>于学生培养正确的道德观念和人文精神，树立积极向上的人生观和价值观。</w:t>
      </w:r>
    </w:p>
    <w:p w14:paraId="553F7FF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566" w:name="_Toc27831"/>
      <w:bookmarkStart w:id="2567" w:name="_Toc8096"/>
      <w:bookmarkStart w:id="2568" w:name="_Toc28936"/>
      <w:bookmarkStart w:id="2569" w:name="_Toc2907"/>
      <w:bookmarkStart w:id="2570" w:name="_Toc16005"/>
      <w:bookmarkStart w:id="2571" w:name="_Toc3235"/>
      <w:bookmarkStart w:id="2572" w:name="_Toc11416"/>
      <w:r>
        <w:rPr>
          <w:rFonts w:hint="eastAsia" w:ascii="宋体" w:hAnsi="宋体" w:eastAsia="宋体" w:cs="宋体"/>
          <w:b/>
          <w:sz w:val="24"/>
          <w:szCs w:val="24"/>
        </w:rPr>
        <w:t>第四章 中国古代选官制度（本模块各知识点的讲授与学习，可以支撑课程目标1与目标2）</w:t>
      </w:r>
      <w:bookmarkEnd w:id="2566"/>
      <w:bookmarkEnd w:id="2567"/>
      <w:bookmarkEnd w:id="2568"/>
      <w:bookmarkEnd w:id="2569"/>
      <w:bookmarkEnd w:id="2570"/>
      <w:bookmarkEnd w:id="2571"/>
      <w:bookmarkEnd w:id="2572"/>
    </w:p>
    <w:p w14:paraId="30ED030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573" w:name="_Toc3410"/>
      <w:r>
        <w:rPr>
          <w:rFonts w:hint="eastAsia" w:ascii="宋体" w:hAnsi="宋体" w:eastAsia="宋体" w:cs="宋体"/>
          <w:b/>
          <w:sz w:val="24"/>
          <w:szCs w:val="24"/>
        </w:rPr>
        <w:t>（一）基本内容与要求</w:t>
      </w:r>
      <w:bookmarkEnd w:id="2573"/>
    </w:p>
    <w:p w14:paraId="6575CE1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04B8918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第一节 先秦时期的选举制度</w:t>
      </w:r>
    </w:p>
    <w:p w14:paraId="34619C2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第二节 察举、征辟与九品中正制</w:t>
      </w:r>
    </w:p>
    <w:p w14:paraId="3076006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第三节 科举制度的发展与衰亡</w:t>
      </w:r>
    </w:p>
    <w:p w14:paraId="247D362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第四节 中国古代人才选拔制度评价</w:t>
      </w:r>
    </w:p>
    <w:p w14:paraId="42936C7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1D8AA5D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通过本章学习，了解我国古代人才选拔制度，理解中国古代的人才选拔原则与标准，能够从科举制度产生发展的历史进程中，学会正确看待今天中国的人才选拔制度。掌握“国家安危，系于人才”思想的内涵。</w:t>
      </w:r>
    </w:p>
    <w:p w14:paraId="252BFA7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574" w:name="_Toc7350"/>
      <w:r>
        <w:rPr>
          <w:rFonts w:hint="eastAsia" w:ascii="宋体" w:hAnsi="宋体" w:eastAsia="宋体" w:cs="宋体"/>
          <w:b/>
          <w:sz w:val="24"/>
          <w:szCs w:val="24"/>
        </w:rPr>
        <w:t>（二）教学重点与难点</w:t>
      </w:r>
      <w:bookmarkEnd w:id="2574"/>
    </w:p>
    <w:p w14:paraId="778F644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重点：中国历代选官制度 </w:t>
      </w:r>
    </w:p>
    <w:p w14:paraId="1B3D625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难点：怎样评价科举制度</w:t>
      </w:r>
    </w:p>
    <w:p w14:paraId="7116A0C9">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575" w:name="_Toc4206"/>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575"/>
    </w:p>
    <w:p w14:paraId="12FC6C1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1.</w:t>
      </w:r>
      <w:r>
        <w:rPr>
          <w:rFonts w:hint="eastAsia" w:ascii="宋体" w:hAnsi="宋体" w:eastAsia="宋体" w:cs="宋体"/>
          <w:sz w:val="24"/>
          <w:szCs w:val="24"/>
        </w:rPr>
        <w:t>历史意识：通过了解中国古代选官制度的历史演变和不同制度的特点，学生可以加深对中国古代政治制度和历史发展的认识，理解历史发展的必然性和规律性。</w:t>
      </w:r>
    </w:p>
    <w:p w14:paraId="518D20C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2.</w:t>
      </w:r>
      <w:r>
        <w:rPr>
          <w:rFonts w:hint="eastAsia" w:ascii="宋体" w:hAnsi="宋体" w:eastAsia="宋体" w:cs="宋体"/>
          <w:sz w:val="24"/>
          <w:szCs w:val="24"/>
        </w:rPr>
        <w:t>治理理念：中国古代选官制度体现了古代治理理念和人才选拔的思想，学生可以从中了解到治国理政、选贤任能等理念的重要性，培养治理国家和社会的正确理念。</w:t>
      </w:r>
    </w:p>
    <w:p w14:paraId="3446360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3.</w:t>
      </w:r>
      <w:r>
        <w:rPr>
          <w:rFonts w:hint="eastAsia" w:ascii="宋体" w:hAnsi="宋体" w:eastAsia="宋体" w:cs="宋体"/>
          <w:sz w:val="24"/>
          <w:szCs w:val="24"/>
        </w:rPr>
        <w:t>道德观念：中国古代选官制度强调道德品质和德才兼备的选拔标准，学生可以从中认识到道德品质和人格魅力的重要性，树立正确的道德观念和价值观。</w:t>
      </w:r>
    </w:p>
    <w:p w14:paraId="759EC2D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4.</w:t>
      </w:r>
      <w:r>
        <w:rPr>
          <w:rFonts w:hint="eastAsia" w:ascii="宋体" w:hAnsi="宋体" w:eastAsia="宋体" w:cs="宋体"/>
          <w:sz w:val="24"/>
          <w:szCs w:val="24"/>
        </w:rPr>
        <w:t>批判性思维：通过对中国古代选官制度的学习和思考，学生可以培养批判性思维和独立思考的能力，学会从不同角度分析问题和思考历史事件。</w:t>
      </w:r>
    </w:p>
    <w:p w14:paraId="526F99F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576" w:name="_Toc16493"/>
      <w:bookmarkStart w:id="2577" w:name="_Toc722"/>
      <w:bookmarkStart w:id="2578" w:name="_Toc7753"/>
      <w:bookmarkStart w:id="2579" w:name="_Toc14493"/>
      <w:bookmarkStart w:id="2580" w:name="_Toc12269"/>
      <w:bookmarkStart w:id="2581" w:name="_Toc12118"/>
      <w:bookmarkStart w:id="2582" w:name="_Toc9099"/>
      <w:r>
        <w:rPr>
          <w:rFonts w:hint="eastAsia" w:ascii="宋体" w:hAnsi="宋体" w:eastAsia="宋体" w:cs="宋体"/>
          <w:b/>
          <w:sz w:val="24"/>
          <w:szCs w:val="24"/>
        </w:rPr>
        <w:t>第五章 中国传统哲学（本模块各知识点的讲授与学习，可以支撑课程目标1与目标2）</w:t>
      </w:r>
      <w:bookmarkEnd w:id="2576"/>
      <w:bookmarkEnd w:id="2577"/>
      <w:bookmarkEnd w:id="2578"/>
      <w:bookmarkEnd w:id="2579"/>
      <w:bookmarkEnd w:id="2580"/>
      <w:bookmarkEnd w:id="2581"/>
      <w:bookmarkEnd w:id="2582"/>
    </w:p>
    <w:p w14:paraId="13B9B60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361" w:firstLineChars="150"/>
        <w:outlineLvl w:val="1"/>
        <w:rPr>
          <w:rFonts w:hint="eastAsia" w:ascii="宋体" w:hAnsi="宋体" w:eastAsia="宋体" w:cs="宋体"/>
          <w:b/>
          <w:sz w:val="24"/>
          <w:szCs w:val="24"/>
        </w:rPr>
      </w:pPr>
      <w:bookmarkStart w:id="2583" w:name="_Toc25497"/>
      <w:r>
        <w:rPr>
          <w:rFonts w:hint="eastAsia" w:ascii="宋体" w:hAnsi="宋体" w:eastAsia="宋体" w:cs="宋体"/>
          <w:b/>
          <w:sz w:val="24"/>
          <w:szCs w:val="24"/>
        </w:rPr>
        <w:t>（一）教学内容与要求</w:t>
      </w:r>
      <w:bookmarkEnd w:id="2583"/>
      <w:r>
        <w:rPr>
          <w:rFonts w:hint="eastAsia" w:ascii="宋体" w:hAnsi="宋体" w:eastAsia="宋体" w:cs="宋体"/>
          <w:b/>
          <w:sz w:val="24"/>
          <w:szCs w:val="24"/>
        </w:rPr>
        <w:t xml:space="preserve"> </w:t>
      </w:r>
    </w:p>
    <w:p w14:paraId="245C385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76DCE99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84" w:name="_Toc10926"/>
      <w:r>
        <w:rPr>
          <w:rFonts w:hint="eastAsia" w:ascii="宋体" w:hAnsi="宋体" w:eastAsia="宋体" w:cs="宋体"/>
          <w:sz w:val="24"/>
          <w:szCs w:val="24"/>
        </w:rPr>
        <w:t>第一节 中国哲学是传统文化的核心与主轴</w:t>
      </w:r>
      <w:bookmarkEnd w:id="2584"/>
    </w:p>
    <w:p w14:paraId="44480FA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85" w:name="_Toc9573"/>
      <w:r>
        <w:rPr>
          <w:rFonts w:hint="eastAsia" w:ascii="宋体" w:hAnsi="宋体" w:eastAsia="宋体" w:cs="宋体"/>
          <w:sz w:val="24"/>
          <w:szCs w:val="24"/>
        </w:rPr>
        <w:t>第二节 中国哲学的思想资源和思想传统</w:t>
      </w:r>
      <w:bookmarkEnd w:id="2585"/>
    </w:p>
    <w:p w14:paraId="393871E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rPr>
          <w:rFonts w:hint="eastAsia" w:ascii="宋体" w:hAnsi="宋体" w:eastAsia="宋体" w:cs="宋体"/>
          <w:sz w:val="24"/>
          <w:szCs w:val="24"/>
        </w:rPr>
      </w:pPr>
      <w:r>
        <w:rPr>
          <w:rFonts w:hint="eastAsia" w:ascii="宋体" w:hAnsi="宋体" w:eastAsia="宋体" w:cs="宋体"/>
          <w:sz w:val="24"/>
          <w:szCs w:val="24"/>
        </w:rPr>
        <w:t xml:space="preserve">     一、原始儒家：孔子与孟子</w:t>
      </w:r>
    </w:p>
    <w:p w14:paraId="7D5F0F4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二、原始道家：老子与庄子</w:t>
      </w:r>
    </w:p>
    <w:p w14:paraId="33CD30D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三、中国佛学：禅宗</w:t>
      </w:r>
    </w:p>
    <w:p w14:paraId="460637C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四、宋明理学：程朱理学与阳明心学</w:t>
      </w:r>
    </w:p>
    <w:p w14:paraId="11113B3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86" w:name="_Toc21578"/>
      <w:r>
        <w:rPr>
          <w:rFonts w:hint="eastAsia" w:ascii="宋体" w:hAnsi="宋体" w:eastAsia="宋体" w:cs="宋体"/>
          <w:sz w:val="24"/>
          <w:szCs w:val="24"/>
        </w:rPr>
        <w:t>第三节 中国古代哲学的基本精神</w:t>
      </w:r>
      <w:bookmarkEnd w:id="2586"/>
    </w:p>
    <w:p w14:paraId="6C002A8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一、天人协调精神</w:t>
      </w:r>
    </w:p>
    <w:p w14:paraId="1F80F9B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二、入世济世精神</w:t>
      </w:r>
    </w:p>
    <w:p w14:paraId="0F254C1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三、理想主义精神</w:t>
      </w:r>
    </w:p>
    <w:p w14:paraId="100EF6F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87" w:name="_Toc32170"/>
      <w:r>
        <w:rPr>
          <w:rFonts w:hint="eastAsia" w:ascii="宋体" w:hAnsi="宋体" w:eastAsia="宋体" w:cs="宋体"/>
          <w:sz w:val="24"/>
          <w:szCs w:val="24"/>
        </w:rPr>
        <w:t>第四节 儒家思想在现代社会中的价值</w:t>
      </w:r>
      <w:bookmarkEnd w:id="2587"/>
    </w:p>
    <w:p w14:paraId="443B480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5C3AF6B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通过本章学习，了解中国传统哲学的主要特点和价值取向，熟悉中国传统哲学的代表人物及其思想。通过学习得到智慧的熏陶，并能够运用中国传统哲学分析解释现实生活中的现象和问题。</w:t>
      </w:r>
    </w:p>
    <w:p w14:paraId="7D6AD95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588" w:name="_Toc26063"/>
      <w:r>
        <w:rPr>
          <w:rFonts w:hint="eastAsia" w:ascii="宋体" w:hAnsi="宋体" w:eastAsia="宋体" w:cs="宋体"/>
          <w:b/>
          <w:sz w:val="24"/>
          <w:szCs w:val="24"/>
        </w:rPr>
        <w:t>（二）教学难点与重点</w:t>
      </w:r>
      <w:bookmarkEnd w:id="2588"/>
    </w:p>
    <w:p w14:paraId="27493A0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重点：中国哲学的思想资源</w:t>
      </w:r>
    </w:p>
    <w:p w14:paraId="4BCB215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难点：中国哲学的理论特征</w:t>
      </w:r>
    </w:p>
    <w:p w14:paraId="46084DAA">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589" w:name="_Toc11590"/>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589"/>
    </w:p>
    <w:p w14:paraId="1B8D5E3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1.</w:t>
      </w:r>
      <w:r>
        <w:rPr>
          <w:rFonts w:hint="eastAsia" w:ascii="宋体" w:hAnsi="宋体" w:eastAsia="宋体" w:cs="宋体"/>
          <w:sz w:val="24"/>
          <w:szCs w:val="24"/>
        </w:rPr>
        <w:t>文化自信和传承：通过学习中国传统哲学，学生可以更好地了解中国传统文化的精髓和特点，增强对中华文化的认同感和自信心，为传承和弘扬中华文化打下基础。</w:t>
      </w:r>
    </w:p>
    <w:p w14:paraId="702F89B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2.</w:t>
      </w:r>
      <w:r>
        <w:rPr>
          <w:rFonts w:hint="eastAsia" w:ascii="宋体" w:hAnsi="宋体" w:eastAsia="宋体" w:cs="宋体"/>
          <w:sz w:val="24"/>
          <w:szCs w:val="24"/>
        </w:rPr>
        <w:t>价值观塑造：中国传统哲学强调道德、伦理、人伦等方面的思想，有助于学生树立正确的价值观和人生观，培养良好的道德品质和行为习惯。</w:t>
      </w:r>
    </w:p>
    <w:p w14:paraId="7E967DB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3.</w:t>
      </w:r>
      <w:r>
        <w:rPr>
          <w:rFonts w:hint="eastAsia" w:ascii="宋体" w:hAnsi="宋体" w:eastAsia="宋体" w:cs="宋体"/>
          <w:sz w:val="24"/>
          <w:szCs w:val="24"/>
        </w:rPr>
        <w:t>思维能力培养：学习中国传统哲学需要具备辩证思维、逻辑思维、形象思维等多种思维能力，有助于学生提高思维能力和创新能力。</w:t>
      </w:r>
    </w:p>
    <w:p w14:paraId="54FA748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4.</w:t>
      </w:r>
      <w:r>
        <w:rPr>
          <w:rFonts w:hint="eastAsia" w:ascii="宋体" w:hAnsi="宋体" w:eastAsia="宋体" w:cs="宋体"/>
          <w:sz w:val="24"/>
          <w:szCs w:val="24"/>
        </w:rPr>
        <w:t>民族自尊心和自豪感：通过学习中国传统哲学，学生可以了解中国历史上的思想家、哲学家、文化名人的事迹和精神，激发民族自尊心和自豪感。</w:t>
      </w:r>
    </w:p>
    <w:p w14:paraId="11FC0FB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b/>
          <w:sz w:val="24"/>
          <w:szCs w:val="24"/>
        </w:rPr>
      </w:pPr>
      <w:r>
        <w:rPr>
          <w:rFonts w:hint="eastAsia" w:ascii="宋体" w:hAnsi="宋体" w:eastAsia="等线" w:cs="宋体"/>
          <w:sz w:val="24"/>
          <w:szCs w:val="24"/>
          <w:lang w:val="en-US" w:eastAsia="zh-CN"/>
        </w:rPr>
        <w:t>5.</w:t>
      </w:r>
      <w:r>
        <w:rPr>
          <w:rFonts w:hint="eastAsia" w:ascii="宋体" w:hAnsi="宋体" w:eastAsia="宋体" w:cs="宋体"/>
          <w:sz w:val="24"/>
          <w:szCs w:val="24"/>
        </w:rPr>
        <w:t>社会责任感和家国情怀：学习中国传统哲学有助于学生培养社会责任感和家国情怀，关注社会发展和民生福祉，为实现中华民族伟大复兴的中国梦贡献力量。</w:t>
      </w:r>
    </w:p>
    <w:p w14:paraId="2685934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590" w:name="_Toc4383"/>
      <w:bookmarkStart w:id="2591" w:name="_Toc8405"/>
      <w:bookmarkStart w:id="2592" w:name="_Toc27021"/>
      <w:bookmarkStart w:id="2593" w:name="_Toc17869"/>
      <w:bookmarkStart w:id="2594" w:name="_Toc6161"/>
      <w:bookmarkStart w:id="2595" w:name="_Toc29497"/>
      <w:bookmarkStart w:id="2596" w:name="_Toc24884"/>
      <w:r>
        <w:rPr>
          <w:rFonts w:hint="eastAsia" w:ascii="宋体" w:hAnsi="宋体" w:eastAsia="宋体" w:cs="宋体"/>
          <w:b/>
          <w:sz w:val="24"/>
          <w:szCs w:val="24"/>
        </w:rPr>
        <w:t>第六章 中国传统宗教（本模块各知识点的讲授与学习，可以支撑课程目标1与目标2）</w:t>
      </w:r>
      <w:bookmarkEnd w:id="2590"/>
      <w:bookmarkEnd w:id="2591"/>
      <w:bookmarkEnd w:id="2592"/>
      <w:bookmarkEnd w:id="2593"/>
      <w:bookmarkEnd w:id="2594"/>
      <w:bookmarkEnd w:id="2595"/>
      <w:bookmarkEnd w:id="2596"/>
    </w:p>
    <w:p w14:paraId="1FF6C3E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597" w:name="_Toc18694"/>
      <w:r>
        <w:rPr>
          <w:rFonts w:hint="eastAsia" w:ascii="宋体" w:hAnsi="宋体" w:eastAsia="宋体" w:cs="宋体"/>
          <w:b/>
          <w:sz w:val="24"/>
          <w:szCs w:val="24"/>
        </w:rPr>
        <w:t>（一）基本内容与要求</w:t>
      </w:r>
      <w:bookmarkEnd w:id="2597"/>
    </w:p>
    <w:p w14:paraId="7AFF9D2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42C2FD7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98" w:name="_Toc104"/>
      <w:r>
        <w:rPr>
          <w:rFonts w:hint="eastAsia" w:ascii="宋体" w:hAnsi="宋体" w:eastAsia="宋体" w:cs="宋体"/>
          <w:sz w:val="24"/>
          <w:szCs w:val="24"/>
        </w:rPr>
        <w:t>第一节 中国原始宗教</w:t>
      </w:r>
      <w:bookmarkEnd w:id="2598"/>
    </w:p>
    <w:p w14:paraId="3DC4904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一、自然崇拜</w:t>
      </w:r>
    </w:p>
    <w:p w14:paraId="75C5ED1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二、祖先崇拜</w:t>
      </w:r>
    </w:p>
    <w:p w14:paraId="75D9A9D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三、生殖崇拜</w:t>
      </w:r>
    </w:p>
    <w:p w14:paraId="4D4C30F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四、上帝崇拜</w:t>
      </w:r>
    </w:p>
    <w:p w14:paraId="14237C4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599" w:name="_Toc24755"/>
      <w:r>
        <w:rPr>
          <w:rFonts w:hint="eastAsia" w:ascii="宋体" w:hAnsi="宋体" w:eastAsia="宋体" w:cs="宋体"/>
          <w:sz w:val="24"/>
          <w:szCs w:val="24"/>
        </w:rPr>
        <w:t>第二节 中国佛教</w:t>
      </w:r>
      <w:bookmarkEnd w:id="2599"/>
    </w:p>
    <w:p w14:paraId="5E753BC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一、佛教在中国的传播与发展</w:t>
      </w:r>
    </w:p>
    <w:p w14:paraId="166CE46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二、中国化佛教宗派的形成</w:t>
      </w:r>
    </w:p>
    <w:p w14:paraId="38BD247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三、佛教与中国传统文化</w:t>
      </w:r>
    </w:p>
    <w:p w14:paraId="6A1DF8A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00" w:name="_Toc366"/>
      <w:r>
        <w:rPr>
          <w:rFonts w:hint="eastAsia" w:ascii="宋体" w:hAnsi="宋体" w:eastAsia="宋体" w:cs="宋体"/>
          <w:sz w:val="24"/>
          <w:szCs w:val="24"/>
        </w:rPr>
        <w:t>第三节 中国道教</w:t>
      </w:r>
      <w:bookmarkEnd w:id="2600"/>
    </w:p>
    <w:p w14:paraId="56C278F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一、道教的形成</w:t>
      </w:r>
    </w:p>
    <w:p w14:paraId="11FF7FE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二、道教的发展演变</w:t>
      </w:r>
    </w:p>
    <w:p w14:paraId="793BAA5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三、道教信仰</w:t>
      </w:r>
    </w:p>
    <w:p w14:paraId="17E32D7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四、道教与中国传统文化</w:t>
      </w:r>
    </w:p>
    <w:p w14:paraId="48AF5BB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15CD01B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通过本章学习，了解佛教、道教的创始、基本教义及对中国文化的影响。能够正确认识和分析宗教对中国人文化生活、社会生活、家庭生活以及政治生活带来的各种影响。</w:t>
      </w:r>
    </w:p>
    <w:p w14:paraId="2155C87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sz w:val="24"/>
          <w:szCs w:val="24"/>
        </w:rPr>
      </w:pPr>
      <w:bookmarkStart w:id="2601" w:name="_Toc7058"/>
      <w:r>
        <w:rPr>
          <w:rFonts w:hint="eastAsia" w:ascii="宋体" w:hAnsi="宋体" w:eastAsia="宋体" w:cs="宋体"/>
          <w:b/>
          <w:sz w:val="24"/>
          <w:szCs w:val="24"/>
        </w:rPr>
        <w:t>（二）教学重点与难点</w:t>
      </w:r>
      <w:bookmarkEnd w:id="2601"/>
    </w:p>
    <w:p w14:paraId="13DE6B9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重点：佛教和道教对中国传统文化的影响</w:t>
      </w:r>
    </w:p>
    <w:p w14:paraId="3F351C3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难点：佛教在中国的流传原因</w:t>
      </w:r>
    </w:p>
    <w:p w14:paraId="6C164D29">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602" w:name="_Toc21658"/>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602"/>
    </w:p>
    <w:p w14:paraId="63BCA46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等线" w:cs="宋体"/>
          <w:sz w:val="24"/>
          <w:szCs w:val="24"/>
          <w:lang w:val="en-US" w:eastAsia="zh-CN"/>
        </w:rPr>
        <w:t>1.</w:t>
      </w:r>
      <w:r>
        <w:rPr>
          <w:rFonts w:hint="eastAsia" w:ascii="宋体" w:hAnsi="宋体" w:eastAsia="宋体" w:cs="宋体"/>
          <w:sz w:val="24"/>
          <w:szCs w:val="24"/>
        </w:rPr>
        <w:t>了解中国传统文化和历史：通过学习中国传统宗教，学生可以了解中国传统文化的特点和演变过程，加深对中国传统文化的认识和理解。</w:t>
      </w:r>
    </w:p>
    <w:p w14:paraId="141A8B5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等线" w:cs="宋体"/>
          <w:sz w:val="24"/>
          <w:szCs w:val="24"/>
          <w:lang w:val="en-US" w:eastAsia="zh-CN"/>
        </w:rPr>
        <w:t>2.</w:t>
      </w:r>
      <w:r>
        <w:rPr>
          <w:rFonts w:hint="eastAsia" w:ascii="宋体" w:hAnsi="宋体" w:eastAsia="宋体" w:cs="宋体"/>
          <w:sz w:val="24"/>
          <w:szCs w:val="24"/>
        </w:rPr>
        <w:t>培养道德观念和社会责任感：中国传统宗教强调伦理、道德和修身养性等方面，有助于培养学生的道德观念和社会责任感，树立正确的价值观和人生态度。</w:t>
      </w:r>
    </w:p>
    <w:p w14:paraId="254D69E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等线" w:cs="宋体"/>
          <w:sz w:val="24"/>
          <w:szCs w:val="24"/>
          <w:lang w:val="en-US" w:eastAsia="zh-CN"/>
        </w:rPr>
        <w:t>3.</w:t>
      </w:r>
      <w:r>
        <w:rPr>
          <w:rFonts w:hint="eastAsia" w:ascii="宋体" w:hAnsi="宋体" w:eastAsia="宋体" w:cs="宋体"/>
          <w:sz w:val="24"/>
          <w:szCs w:val="24"/>
        </w:rPr>
        <w:t>提高文化素养和审美情趣：中国传统宗教具有丰富的文化和艺术内涵，通过学习中国传统宗教，学生可以提高文化素养和审美情趣，增强对中华文化的认同感和自豪感。</w:t>
      </w:r>
    </w:p>
    <w:p w14:paraId="53CC0FB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b/>
          <w:sz w:val="24"/>
          <w:szCs w:val="24"/>
        </w:rPr>
      </w:pPr>
      <w:r>
        <w:rPr>
          <w:rFonts w:hint="eastAsia" w:ascii="宋体" w:hAnsi="宋体" w:eastAsia="等线" w:cs="宋体"/>
          <w:sz w:val="24"/>
          <w:szCs w:val="24"/>
          <w:lang w:val="en-US" w:eastAsia="zh-CN"/>
        </w:rPr>
        <w:t>4.</w:t>
      </w:r>
      <w:r>
        <w:rPr>
          <w:rFonts w:hint="eastAsia" w:ascii="宋体" w:hAnsi="宋体" w:eastAsia="宋体" w:cs="宋体"/>
          <w:sz w:val="24"/>
          <w:szCs w:val="24"/>
        </w:rPr>
        <w:t>激发爱国情怀和民族自豪感：中国传统宗教中包含了许多爱国主义精神和民族自豪感的元素</w:t>
      </w:r>
      <w:r>
        <w:rPr>
          <w:rFonts w:hint="eastAsia" w:ascii="宋体" w:hAnsi="宋体" w:eastAsia="等线" w:cs="宋体"/>
          <w:sz w:val="24"/>
          <w:szCs w:val="24"/>
          <w:lang w:eastAsia="zh-CN"/>
        </w:rPr>
        <w:t>，</w:t>
      </w:r>
      <w:r>
        <w:rPr>
          <w:rFonts w:hint="eastAsia" w:ascii="宋体" w:hAnsi="宋体" w:eastAsia="宋体" w:cs="宋体"/>
          <w:sz w:val="24"/>
          <w:szCs w:val="24"/>
        </w:rPr>
        <w:t>有助于激发学生的爱国情怀和民族自豪感。</w:t>
      </w:r>
    </w:p>
    <w:p w14:paraId="1808C48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603" w:name="_Toc30061"/>
      <w:bookmarkStart w:id="2604" w:name="_Toc8474"/>
      <w:bookmarkStart w:id="2605" w:name="_Toc1288"/>
      <w:bookmarkStart w:id="2606" w:name="_Toc27876"/>
      <w:bookmarkStart w:id="2607" w:name="_Toc7193"/>
      <w:bookmarkStart w:id="2608" w:name="_Toc176"/>
      <w:bookmarkStart w:id="2609" w:name="_Toc29836"/>
      <w:r>
        <w:rPr>
          <w:rFonts w:hint="eastAsia" w:ascii="宋体" w:hAnsi="宋体" w:eastAsia="宋体" w:cs="宋体"/>
          <w:b/>
          <w:sz w:val="24"/>
          <w:szCs w:val="24"/>
        </w:rPr>
        <w:t>第七章 中国传统伦理道德（本模块各知识点的讲授与学习，可以支撑课程目标1与目标2）</w:t>
      </w:r>
      <w:bookmarkEnd w:id="2603"/>
      <w:bookmarkEnd w:id="2604"/>
      <w:bookmarkEnd w:id="2605"/>
      <w:bookmarkEnd w:id="2606"/>
      <w:bookmarkEnd w:id="2607"/>
      <w:bookmarkEnd w:id="2608"/>
      <w:bookmarkEnd w:id="2609"/>
    </w:p>
    <w:p w14:paraId="546C145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10" w:name="_Toc26346"/>
      <w:r>
        <w:rPr>
          <w:rFonts w:hint="eastAsia" w:ascii="宋体" w:hAnsi="宋体" w:eastAsia="宋体" w:cs="宋体"/>
          <w:b/>
          <w:sz w:val="24"/>
          <w:szCs w:val="24"/>
        </w:rPr>
        <w:t>（一）基本内容与要求</w:t>
      </w:r>
      <w:bookmarkEnd w:id="2610"/>
    </w:p>
    <w:p w14:paraId="4425019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69BBAED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11" w:name="_Toc6752"/>
      <w:r>
        <w:rPr>
          <w:rFonts w:hint="eastAsia" w:ascii="宋体" w:hAnsi="宋体" w:eastAsia="宋体" w:cs="宋体"/>
          <w:sz w:val="24"/>
          <w:szCs w:val="24"/>
        </w:rPr>
        <w:t>第一节 中国传统伦理思想</w:t>
      </w:r>
      <w:bookmarkEnd w:id="2611"/>
    </w:p>
    <w:p w14:paraId="120EA32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一、中国传统伦理思想的基本内容</w:t>
      </w:r>
    </w:p>
    <w:p w14:paraId="4F031A3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二、中国传统伦理思想的发展历程</w:t>
      </w:r>
    </w:p>
    <w:p w14:paraId="63A4A48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12" w:name="_Toc5722"/>
      <w:r>
        <w:rPr>
          <w:rFonts w:hint="eastAsia" w:ascii="宋体" w:hAnsi="宋体" w:eastAsia="宋体" w:cs="宋体"/>
          <w:sz w:val="24"/>
          <w:szCs w:val="24"/>
        </w:rPr>
        <w:t>第二节 中国传统道德规范</w:t>
      </w:r>
      <w:bookmarkEnd w:id="2612"/>
    </w:p>
    <w:p w14:paraId="2EE37B0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一、仁、义、礼</w:t>
      </w:r>
    </w:p>
    <w:p w14:paraId="1E74933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二、忠孝、诚信</w:t>
      </w:r>
    </w:p>
    <w:p w14:paraId="36633A3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三、三纲五常、三从四德</w:t>
      </w:r>
    </w:p>
    <w:p w14:paraId="1C9FBED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13" w:name="_Toc14927"/>
      <w:r>
        <w:rPr>
          <w:rFonts w:hint="eastAsia" w:ascii="宋体" w:hAnsi="宋体" w:eastAsia="宋体" w:cs="宋体"/>
          <w:sz w:val="24"/>
          <w:szCs w:val="24"/>
        </w:rPr>
        <w:t>第三节 中国传统修身之道与理想人格</w:t>
      </w:r>
      <w:bookmarkEnd w:id="2613"/>
    </w:p>
    <w:p w14:paraId="3C9D716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一、传统修身之道</w:t>
      </w:r>
    </w:p>
    <w:p w14:paraId="2EB0D4F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二、传统理想人格</w:t>
      </w:r>
    </w:p>
    <w:p w14:paraId="52F8A4B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3C90757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通过本章学习，了解中国传统伦理道德的基本内容，理解中国传统伦理道德的积极导引效应。</w:t>
      </w:r>
    </w:p>
    <w:p w14:paraId="792C8FA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14" w:name="_Toc13817"/>
      <w:r>
        <w:rPr>
          <w:rFonts w:hint="eastAsia" w:ascii="宋体" w:hAnsi="宋体" w:eastAsia="宋体" w:cs="宋体"/>
          <w:b/>
          <w:sz w:val="24"/>
          <w:szCs w:val="24"/>
        </w:rPr>
        <w:t>（二）教学难点与重点</w:t>
      </w:r>
      <w:bookmarkEnd w:id="2614"/>
    </w:p>
    <w:p w14:paraId="053C799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重点：中国传统伦理道德的基本思想和发展 </w:t>
      </w:r>
    </w:p>
    <w:p w14:paraId="7C84E28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难点：中国传统伦理道德的优点和缺点、对中国传统伦理道德的扬弃</w:t>
      </w:r>
    </w:p>
    <w:p w14:paraId="476A3F5A">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615" w:name="_Toc16077"/>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615"/>
    </w:p>
    <w:p w14:paraId="60A7974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1.</w:t>
      </w:r>
      <w:r>
        <w:rPr>
          <w:rFonts w:hint="eastAsia" w:ascii="宋体" w:hAnsi="宋体" w:eastAsia="宋体" w:cs="宋体"/>
          <w:sz w:val="24"/>
          <w:szCs w:val="24"/>
        </w:rPr>
        <w:t>弘扬中华优秀传统文化</w:t>
      </w:r>
      <w:r>
        <w:rPr>
          <w:rFonts w:hint="eastAsia" w:ascii="宋体" w:hAnsi="宋体" w:eastAsia="等线" w:cs="宋体"/>
          <w:sz w:val="24"/>
          <w:szCs w:val="24"/>
          <w:lang w:eastAsia="zh-CN"/>
        </w:rPr>
        <w:t>。</w:t>
      </w:r>
      <w:r>
        <w:rPr>
          <w:rFonts w:hint="eastAsia" w:ascii="宋体" w:hAnsi="宋体" w:eastAsia="宋体" w:cs="宋体"/>
          <w:sz w:val="24"/>
          <w:szCs w:val="24"/>
        </w:rPr>
        <w:t>通过学习中国传统伦理道德，学生可以深入了解中华优秀传统文化的内涵和价值，增强文化自信和民族自豪感。</w:t>
      </w:r>
    </w:p>
    <w:p w14:paraId="5CCF384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2.</w:t>
      </w:r>
      <w:r>
        <w:rPr>
          <w:rFonts w:hint="eastAsia" w:ascii="宋体" w:hAnsi="宋体" w:eastAsia="宋体" w:cs="宋体"/>
          <w:sz w:val="24"/>
          <w:szCs w:val="24"/>
        </w:rPr>
        <w:t>培养正确的道德观念</w:t>
      </w:r>
      <w:r>
        <w:rPr>
          <w:rFonts w:hint="eastAsia" w:ascii="宋体" w:hAnsi="宋体" w:eastAsia="等线" w:cs="宋体"/>
          <w:sz w:val="24"/>
          <w:szCs w:val="24"/>
          <w:lang w:eastAsia="zh-CN"/>
        </w:rPr>
        <w:t>，增强社会责任感和公民意识。</w:t>
      </w:r>
    </w:p>
    <w:p w14:paraId="5445B5D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3.</w:t>
      </w:r>
      <w:r>
        <w:rPr>
          <w:rFonts w:hint="eastAsia" w:ascii="宋体" w:hAnsi="宋体" w:eastAsia="宋体" w:cs="宋体"/>
          <w:sz w:val="24"/>
          <w:szCs w:val="24"/>
        </w:rPr>
        <w:t>提高道德推理和道德判断能力</w:t>
      </w:r>
      <w:r>
        <w:rPr>
          <w:rFonts w:hint="eastAsia" w:ascii="宋体" w:hAnsi="宋体" w:eastAsia="等线" w:cs="宋体"/>
          <w:sz w:val="24"/>
          <w:szCs w:val="24"/>
          <w:lang w:eastAsia="zh-CN"/>
        </w:rPr>
        <w:t>，培养民族精神和爱国情怀。</w:t>
      </w:r>
    </w:p>
    <w:p w14:paraId="06EAA7D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4.</w:t>
      </w:r>
      <w:r>
        <w:rPr>
          <w:rFonts w:hint="eastAsia" w:ascii="宋体" w:hAnsi="宋体" w:eastAsia="宋体" w:cs="宋体"/>
          <w:sz w:val="24"/>
          <w:szCs w:val="24"/>
        </w:rPr>
        <w:t>促进个人自我完善和成长</w:t>
      </w:r>
      <w:r>
        <w:rPr>
          <w:rFonts w:hint="eastAsia" w:ascii="宋体" w:hAnsi="宋体" w:eastAsia="等线" w:cs="宋体"/>
          <w:sz w:val="24"/>
          <w:szCs w:val="24"/>
          <w:lang w:eastAsia="zh-CN"/>
        </w:rPr>
        <w:t>。</w:t>
      </w:r>
      <w:r>
        <w:rPr>
          <w:rFonts w:hint="eastAsia" w:ascii="宋体" w:hAnsi="宋体" w:eastAsia="宋体" w:cs="宋体"/>
          <w:sz w:val="24"/>
          <w:szCs w:val="24"/>
        </w:rPr>
        <w:t>学习中国传统伦理道德有助于学生个人自我完善和成长，树立正确的人生观和价值观，提高自身综合素质和人文素养。</w:t>
      </w:r>
    </w:p>
    <w:p w14:paraId="1A07967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p>
    <w:p w14:paraId="0911332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616" w:name="_Toc6955"/>
      <w:bookmarkStart w:id="2617" w:name="_Toc7704"/>
      <w:bookmarkStart w:id="2618" w:name="_Toc3794"/>
      <w:bookmarkStart w:id="2619" w:name="_Toc2198"/>
      <w:bookmarkStart w:id="2620" w:name="_Toc22921"/>
      <w:bookmarkStart w:id="2621" w:name="_Toc25652"/>
      <w:bookmarkStart w:id="2622" w:name="_Toc14850"/>
      <w:r>
        <w:rPr>
          <w:rFonts w:hint="eastAsia" w:ascii="宋体" w:hAnsi="宋体" w:eastAsia="宋体" w:cs="宋体"/>
          <w:b/>
          <w:sz w:val="24"/>
          <w:szCs w:val="24"/>
        </w:rPr>
        <w:t>第八章 中国古代文学（本模块各知识点的讲授与学习，可以支撑课程目标1与目标2）</w:t>
      </w:r>
      <w:bookmarkEnd w:id="2616"/>
      <w:bookmarkEnd w:id="2617"/>
      <w:bookmarkEnd w:id="2618"/>
      <w:bookmarkEnd w:id="2619"/>
      <w:bookmarkEnd w:id="2620"/>
      <w:bookmarkEnd w:id="2621"/>
      <w:bookmarkEnd w:id="2622"/>
    </w:p>
    <w:p w14:paraId="5A42B48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23" w:name="_Toc12186"/>
      <w:r>
        <w:rPr>
          <w:rFonts w:hint="eastAsia" w:ascii="宋体" w:hAnsi="宋体" w:eastAsia="宋体" w:cs="宋体"/>
          <w:b/>
          <w:sz w:val="24"/>
          <w:szCs w:val="24"/>
        </w:rPr>
        <w:t>（一）基本内容与要求</w:t>
      </w:r>
      <w:bookmarkEnd w:id="2623"/>
    </w:p>
    <w:p w14:paraId="0DF6291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5F17262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24" w:name="_Toc10439"/>
      <w:r>
        <w:rPr>
          <w:rFonts w:hint="eastAsia" w:ascii="宋体" w:hAnsi="宋体" w:eastAsia="宋体" w:cs="宋体"/>
          <w:sz w:val="24"/>
          <w:szCs w:val="24"/>
        </w:rPr>
        <w:t>第一节 古代诗歌</w:t>
      </w:r>
      <w:bookmarkEnd w:id="2624"/>
    </w:p>
    <w:p w14:paraId="592DF0A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一、《诗经》、《楚辞》与汉乐府</w:t>
      </w:r>
    </w:p>
    <w:p w14:paraId="526B13E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840" w:firstLineChars="350"/>
        <w:rPr>
          <w:rFonts w:hint="eastAsia" w:ascii="宋体" w:hAnsi="宋体" w:eastAsia="宋体" w:cs="宋体"/>
          <w:sz w:val="24"/>
          <w:szCs w:val="24"/>
        </w:rPr>
      </w:pPr>
      <w:r>
        <w:rPr>
          <w:rFonts w:hint="eastAsia" w:ascii="宋体" w:hAnsi="宋体" w:eastAsia="宋体" w:cs="宋体"/>
          <w:sz w:val="24"/>
          <w:szCs w:val="24"/>
        </w:rPr>
        <w:t>二、唐诗、宋词与元曲</w:t>
      </w:r>
    </w:p>
    <w:p w14:paraId="45CEBD6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25" w:name="_Toc16533"/>
      <w:r>
        <w:rPr>
          <w:rFonts w:hint="eastAsia" w:ascii="宋体" w:hAnsi="宋体" w:eastAsia="宋体" w:cs="宋体"/>
          <w:sz w:val="24"/>
          <w:szCs w:val="24"/>
        </w:rPr>
        <w:t>第二节 古代散文</w:t>
      </w:r>
      <w:bookmarkEnd w:id="2625"/>
    </w:p>
    <w:p w14:paraId="682A0EC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26" w:name="_Toc20189"/>
      <w:r>
        <w:rPr>
          <w:rFonts w:hint="eastAsia" w:ascii="宋体" w:hAnsi="宋体" w:eastAsia="宋体" w:cs="宋体"/>
          <w:sz w:val="24"/>
          <w:szCs w:val="24"/>
        </w:rPr>
        <w:t>第三节 古代小说</w:t>
      </w:r>
      <w:bookmarkEnd w:id="2626"/>
      <w:r>
        <w:rPr>
          <w:rFonts w:hint="eastAsia" w:ascii="宋体" w:hAnsi="宋体" w:eastAsia="宋体" w:cs="宋体"/>
          <w:sz w:val="24"/>
          <w:szCs w:val="24"/>
        </w:rPr>
        <w:t xml:space="preserve"> </w:t>
      </w:r>
    </w:p>
    <w:p w14:paraId="180AA23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27" w:name="_Toc17371"/>
      <w:r>
        <w:rPr>
          <w:rFonts w:hint="eastAsia" w:ascii="宋体" w:hAnsi="宋体" w:eastAsia="宋体" w:cs="宋体"/>
          <w:sz w:val="24"/>
          <w:szCs w:val="24"/>
        </w:rPr>
        <w:t>第四节 中国古代文学的文化特征</w:t>
      </w:r>
      <w:bookmarkEnd w:id="2627"/>
      <w:r>
        <w:rPr>
          <w:rFonts w:hint="eastAsia" w:ascii="宋体" w:hAnsi="宋体" w:eastAsia="宋体" w:cs="宋体"/>
          <w:sz w:val="24"/>
          <w:szCs w:val="24"/>
        </w:rPr>
        <w:t xml:space="preserve"> </w:t>
      </w:r>
    </w:p>
    <w:p w14:paraId="2C108AC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 xml:space="preserve">教学要求： </w:t>
      </w:r>
    </w:p>
    <w:p w14:paraId="0A63AF6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中国古代诗歌、散文、小说的文化内涵，学会用文学的眼光品味现代生活。能够结合所学专业或从事的职业以文学为话题展开讨论；或以诗歌、散文、小说为切入点解读现代社会生活中的文化现象。</w:t>
      </w:r>
    </w:p>
    <w:p w14:paraId="7870DDF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241" w:firstLineChars="100"/>
        <w:outlineLvl w:val="1"/>
        <w:rPr>
          <w:rFonts w:hint="eastAsia" w:ascii="宋体" w:hAnsi="宋体" w:eastAsia="宋体" w:cs="宋体"/>
          <w:b/>
          <w:sz w:val="24"/>
          <w:szCs w:val="24"/>
        </w:rPr>
      </w:pPr>
      <w:bookmarkStart w:id="2628" w:name="_Toc25233"/>
      <w:r>
        <w:rPr>
          <w:rFonts w:hint="eastAsia" w:ascii="宋体" w:hAnsi="宋体" w:eastAsia="宋体" w:cs="宋体"/>
          <w:b/>
          <w:sz w:val="24"/>
          <w:szCs w:val="24"/>
        </w:rPr>
        <w:t>（二）教学重点与难点</w:t>
      </w:r>
      <w:bookmarkEnd w:id="2628"/>
    </w:p>
    <w:p w14:paraId="3819D53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重点：中国古代诗歌、散文、小说的文化内涵</w:t>
      </w:r>
    </w:p>
    <w:p w14:paraId="5A09C37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难点：中国古代文学作品赏析</w:t>
      </w:r>
    </w:p>
    <w:p w14:paraId="00088C01">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629" w:name="_Toc13775"/>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629"/>
    </w:p>
    <w:p w14:paraId="4BB411E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等线" w:cs="宋体"/>
          <w:sz w:val="24"/>
          <w:szCs w:val="24"/>
          <w:lang w:eastAsia="zh-CN"/>
        </w:rPr>
      </w:pPr>
      <w:r>
        <w:rPr>
          <w:rFonts w:hint="eastAsia" w:ascii="宋体" w:hAnsi="宋体" w:eastAsia="等线" w:cs="宋体"/>
          <w:sz w:val="24"/>
          <w:szCs w:val="24"/>
          <w:lang w:val="en-US" w:eastAsia="zh-CN"/>
        </w:rPr>
        <w:t>1.</w:t>
      </w:r>
      <w:r>
        <w:rPr>
          <w:rFonts w:hint="eastAsia" w:ascii="宋体" w:hAnsi="宋体" w:eastAsia="宋体" w:cs="宋体"/>
          <w:sz w:val="24"/>
          <w:szCs w:val="24"/>
        </w:rPr>
        <w:t>传承和弘扬中华优秀传统文化</w:t>
      </w:r>
      <w:r>
        <w:rPr>
          <w:rFonts w:hint="eastAsia" w:ascii="宋体" w:hAnsi="宋体" w:eastAsia="等线" w:cs="宋体"/>
          <w:sz w:val="24"/>
          <w:szCs w:val="24"/>
          <w:lang w:eastAsia="zh-CN"/>
        </w:rPr>
        <w:t>，</w:t>
      </w:r>
      <w:r>
        <w:rPr>
          <w:rFonts w:hint="eastAsia" w:ascii="宋体" w:hAnsi="宋体" w:eastAsia="宋体" w:cs="宋体"/>
          <w:sz w:val="24"/>
          <w:szCs w:val="24"/>
        </w:rPr>
        <w:t>培养人文素养和审美能力</w:t>
      </w:r>
      <w:r>
        <w:rPr>
          <w:rFonts w:hint="eastAsia" w:ascii="宋体" w:hAnsi="宋体" w:eastAsia="等线" w:cs="宋体"/>
          <w:sz w:val="24"/>
          <w:szCs w:val="24"/>
          <w:lang w:eastAsia="zh-CN"/>
        </w:rPr>
        <w:t>。</w:t>
      </w:r>
    </w:p>
    <w:p w14:paraId="5B47E7E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等线" w:cs="宋体"/>
          <w:sz w:val="24"/>
          <w:szCs w:val="24"/>
          <w:lang w:eastAsia="zh-CN"/>
        </w:rPr>
      </w:pPr>
      <w:r>
        <w:rPr>
          <w:rFonts w:hint="eastAsia" w:ascii="宋体" w:hAnsi="宋体" w:eastAsia="等线" w:cs="宋体"/>
          <w:sz w:val="24"/>
          <w:szCs w:val="24"/>
          <w:lang w:val="en-US" w:eastAsia="zh-CN"/>
        </w:rPr>
        <w:t>2.增强文化自觉和民族认同感，</w:t>
      </w:r>
      <w:r>
        <w:rPr>
          <w:rFonts w:hint="eastAsia" w:ascii="宋体" w:hAnsi="宋体" w:eastAsia="宋体" w:cs="宋体"/>
          <w:sz w:val="24"/>
          <w:szCs w:val="24"/>
        </w:rPr>
        <w:t>培养正确的价值观和人生观</w:t>
      </w:r>
      <w:r>
        <w:rPr>
          <w:rFonts w:hint="eastAsia" w:ascii="宋体" w:hAnsi="宋体" w:eastAsia="等线" w:cs="宋体"/>
          <w:sz w:val="24"/>
          <w:szCs w:val="24"/>
          <w:lang w:eastAsia="zh-CN"/>
        </w:rPr>
        <w:t>。</w:t>
      </w:r>
    </w:p>
    <w:p w14:paraId="58DDEA1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b/>
          <w:sz w:val="24"/>
          <w:szCs w:val="24"/>
        </w:rPr>
      </w:pPr>
      <w:r>
        <w:rPr>
          <w:rFonts w:hint="eastAsia" w:ascii="宋体" w:hAnsi="宋体" w:eastAsia="等线" w:cs="宋体"/>
          <w:sz w:val="24"/>
          <w:szCs w:val="24"/>
          <w:lang w:val="en-US" w:eastAsia="zh-CN"/>
        </w:rPr>
        <w:t>3.确立爱国情怀和社会责任感，</w:t>
      </w:r>
      <w:r>
        <w:rPr>
          <w:rFonts w:hint="eastAsia" w:ascii="宋体" w:hAnsi="宋体" w:eastAsia="宋体" w:cs="宋体"/>
          <w:sz w:val="24"/>
          <w:szCs w:val="24"/>
        </w:rPr>
        <w:t>培养创新思维和批判性思维</w:t>
      </w:r>
      <w:r>
        <w:rPr>
          <w:rFonts w:hint="eastAsia" w:ascii="宋体" w:hAnsi="宋体" w:eastAsia="等线" w:cs="宋体"/>
          <w:sz w:val="24"/>
          <w:szCs w:val="24"/>
          <w:lang w:eastAsia="zh-CN"/>
        </w:rPr>
        <w:t>。</w:t>
      </w:r>
    </w:p>
    <w:p w14:paraId="4434242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630" w:name="_Toc31214"/>
      <w:bookmarkStart w:id="2631" w:name="_Toc26251"/>
      <w:bookmarkStart w:id="2632" w:name="_Toc5301"/>
      <w:bookmarkStart w:id="2633" w:name="_Toc29856"/>
      <w:bookmarkStart w:id="2634" w:name="_Toc19902"/>
      <w:bookmarkStart w:id="2635" w:name="_Toc17016"/>
      <w:bookmarkStart w:id="2636" w:name="_Toc8841"/>
      <w:r>
        <w:rPr>
          <w:rFonts w:hint="eastAsia" w:ascii="宋体" w:hAnsi="宋体" w:eastAsia="宋体" w:cs="宋体"/>
          <w:b/>
          <w:sz w:val="24"/>
          <w:szCs w:val="24"/>
        </w:rPr>
        <w:t>第九章 中国古代艺术（本模块各知识点的讲授与学习，可以支撑课程目标1与目标2）</w:t>
      </w:r>
      <w:bookmarkEnd w:id="2630"/>
      <w:bookmarkEnd w:id="2631"/>
      <w:bookmarkEnd w:id="2632"/>
      <w:bookmarkEnd w:id="2633"/>
      <w:bookmarkEnd w:id="2634"/>
      <w:bookmarkEnd w:id="2635"/>
      <w:bookmarkEnd w:id="2636"/>
    </w:p>
    <w:p w14:paraId="604766E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37" w:name="_Toc31359"/>
      <w:r>
        <w:rPr>
          <w:rFonts w:hint="eastAsia" w:ascii="宋体" w:hAnsi="宋体" w:eastAsia="宋体" w:cs="宋体"/>
          <w:b/>
          <w:sz w:val="24"/>
          <w:szCs w:val="24"/>
        </w:rPr>
        <w:t>（一）基本内容与要求</w:t>
      </w:r>
      <w:bookmarkEnd w:id="2637"/>
    </w:p>
    <w:p w14:paraId="37C942D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2306FB7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第一节 独具神韵的书法艺术</w:t>
      </w:r>
    </w:p>
    <w:p w14:paraId="2F52972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第二节 气韵生动的绘画艺术</w:t>
      </w:r>
    </w:p>
    <w:p w14:paraId="4999972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第三节 繁花似锦的乐舞艺术</w:t>
      </w:r>
    </w:p>
    <w:p w14:paraId="71E9F6F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第四节 风格独特的建筑艺术</w:t>
      </w:r>
    </w:p>
    <w:p w14:paraId="4B8214D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 xml:space="preserve">教学要求： </w:t>
      </w:r>
    </w:p>
    <w:p w14:paraId="12AAB17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通过本章学习，了解中国传统艺术的各大门类及其发展变迁、代表作品。能够运用较为专业的语言鉴赏中国传统艺术。</w:t>
      </w:r>
    </w:p>
    <w:p w14:paraId="6DEB299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38" w:name="_Toc7711"/>
      <w:r>
        <w:rPr>
          <w:rFonts w:hint="eastAsia" w:ascii="宋体" w:hAnsi="宋体" w:eastAsia="宋体" w:cs="宋体"/>
          <w:b/>
          <w:sz w:val="24"/>
          <w:szCs w:val="24"/>
        </w:rPr>
        <w:t>（二）教学重点与难点</w:t>
      </w:r>
      <w:bookmarkEnd w:id="2638"/>
    </w:p>
    <w:p w14:paraId="1A88D9E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重点：中国传统艺术的各大门类及其发展变迁</w:t>
      </w:r>
    </w:p>
    <w:p w14:paraId="7886F81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难点：中国传统艺术的内在精神与最高境界</w:t>
      </w:r>
    </w:p>
    <w:p w14:paraId="286C0669">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639" w:name="_Toc24313"/>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639"/>
    </w:p>
    <w:p w14:paraId="061C3255">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1.</w:t>
      </w:r>
      <w:r>
        <w:rPr>
          <w:rFonts w:hint="eastAsia" w:ascii="宋体" w:hAnsi="宋体" w:eastAsia="宋体" w:cs="宋体"/>
          <w:sz w:val="24"/>
          <w:szCs w:val="24"/>
        </w:rPr>
        <w:t>深入了解中华优秀传统文化的内涵和价值，增强文化自信和民族自豪感。同时，也有助于传承和弘扬中华优秀传统文化，为现代社会的发展提供精神支持和文化底蕴。</w:t>
      </w:r>
    </w:p>
    <w:p w14:paraId="0688ACE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2.</w:t>
      </w:r>
      <w:r>
        <w:rPr>
          <w:rFonts w:hint="eastAsia" w:ascii="宋体" w:hAnsi="宋体" w:eastAsia="宋体" w:cs="宋体"/>
          <w:sz w:val="24"/>
          <w:szCs w:val="24"/>
        </w:rPr>
        <w:t>中国古代艺术以其独特的艺术魅力和思想内涵，有助于学生提高审美能力和艺术鉴赏能力。通过学习古代艺术作品，学生可以领略到古人的智慧和艺术造诣，提高自身的文化修养和审美水平。</w:t>
      </w:r>
    </w:p>
    <w:p w14:paraId="6BB884A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3.</w:t>
      </w:r>
      <w:r>
        <w:rPr>
          <w:rFonts w:hint="eastAsia" w:ascii="宋体" w:hAnsi="宋体" w:eastAsia="宋体" w:cs="宋体"/>
          <w:sz w:val="24"/>
          <w:szCs w:val="24"/>
        </w:rPr>
        <w:t>了解中华民族深厚的历史和文化底蕴，增强文化自觉和民族认同感</w:t>
      </w:r>
      <w:r>
        <w:rPr>
          <w:rFonts w:hint="eastAsia" w:ascii="宋体" w:hAnsi="宋体" w:eastAsia="等线" w:cs="宋体"/>
          <w:sz w:val="24"/>
          <w:szCs w:val="24"/>
          <w:lang w:eastAsia="zh-CN"/>
        </w:rPr>
        <w:t>，</w:t>
      </w:r>
      <w:r>
        <w:rPr>
          <w:rFonts w:hint="eastAsia" w:ascii="宋体" w:hAnsi="宋体" w:eastAsia="宋体" w:cs="宋体"/>
          <w:sz w:val="24"/>
          <w:szCs w:val="24"/>
        </w:rPr>
        <w:t>有助于学生更好地理解和尊重其他民族的文化，促进跨文化交流和理解。</w:t>
      </w:r>
    </w:p>
    <w:p w14:paraId="14975C9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p>
    <w:p w14:paraId="6349B11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640" w:name="_Toc17028"/>
      <w:bookmarkStart w:id="2641" w:name="_Toc14457"/>
      <w:bookmarkStart w:id="2642" w:name="_Toc15321"/>
      <w:bookmarkStart w:id="2643" w:name="_Toc13138"/>
      <w:bookmarkStart w:id="2644" w:name="_Toc9185"/>
      <w:bookmarkStart w:id="2645" w:name="_Toc4107"/>
      <w:bookmarkStart w:id="2646" w:name="_Toc30440"/>
      <w:r>
        <w:rPr>
          <w:rFonts w:hint="eastAsia" w:ascii="宋体" w:hAnsi="宋体" w:eastAsia="宋体" w:cs="宋体"/>
          <w:b/>
          <w:sz w:val="24"/>
          <w:szCs w:val="24"/>
        </w:rPr>
        <w:t>第十章  中国古代科技（本模块各知识点的讲授与学习，可以支撑课程目标1与目标2）</w:t>
      </w:r>
      <w:bookmarkEnd w:id="2640"/>
      <w:bookmarkEnd w:id="2641"/>
      <w:bookmarkEnd w:id="2642"/>
      <w:bookmarkEnd w:id="2643"/>
      <w:bookmarkEnd w:id="2644"/>
      <w:bookmarkEnd w:id="2645"/>
      <w:bookmarkEnd w:id="2646"/>
      <w:r>
        <w:rPr>
          <w:rFonts w:hint="eastAsia" w:ascii="宋体" w:hAnsi="宋体" w:eastAsia="宋体" w:cs="宋体"/>
          <w:b/>
          <w:sz w:val="24"/>
          <w:szCs w:val="24"/>
        </w:rPr>
        <w:t xml:space="preserve"> </w:t>
      </w:r>
    </w:p>
    <w:p w14:paraId="362C6E3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47" w:name="_Toc18069"/>
      <w:r>
        <w:rPr>
          <w:rFonts w:hint="eastAsia" w:ascii="宋体" w:hAnsi="宋体" w:eastAsia="宋体" w:cs="宋体"/>
          <w:b/>
          <w:sz w:val="24"/>
          <w:szCs w:val="24"/>
        </w:rPr>
        <w:t>（一）基本内容与要求</w:t>
      </w:r>
      <w:bookmarkEnd w:id="2647"/>
    </w:p>
    <w:p w14:paraId="6AF2729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0208749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第一节 源远流长的古代农学</w:t>
      </w:r>
    </w:p>
    <w:p w14:paraId="1BE7AC1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第二节 成就辉煌的天文历法</w:t>
      </w:r>
    </w:p>
    <w:p w14:paraId="5BA5B52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第三节 别树一帜的古代数学</w:t>
      </w:r>
    </w:p>
    <w:p w14:paraId="4E9B361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第四节 自成体系的中医药学</w:t>
      </w:r>
    </w:p>
    <w:p w14:paraId="4F450AF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第五节 嘉惠世界的四大发明</w:t>
      </w:r>
    </w:p>
    <w:p w14:paraId="54CD8D1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第六节 驰名世界的中国瓷器</w:t>
      </w:r>
    </w:p>
    <w:p w14:paraId="23650F5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第七节 李约瑟问题的提出及其意义</w:t>
      </w:r>
    </w:p>
    <w:p w14:paraId="5D8FE3D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428EC5F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通过本章的学习，了解我国古代科学的发展历程，理解中国古代重要的科技成果，掌握中国古代的四大发明对世界文明发展的影响。</w:t>
      </w:r>
    </w:p>
    <w:p w14:paraId="6A09650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48" w:name="_Toc23634"/>
      <w:r>
        <w:rPr>
          <w:rFonts w:hint="eastAsia" w:ascii="宋体" w:hAnsi="宋体" w:eastAsia="宋体" w:cs="宋体"/>
          <w:b/>
          <w:sz w:val="24"/>
          <w:szCs w:val="24"/>
        </w:rPr>
        <w:t>（二）教学重点与难点</w:t>
      </w:r>
      <w:bookmarkEnd w:id="2648"/>
    </w:p>
    <w:p w14:paraId="5F018C7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重点：中国古代农学与中医药学</w:t>
      </w:r>
    </w:p>
    <w:p w14:paraId="7B8E198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难点：中国科技近代落后于西方的原因分析</w:t>
      </w:r>
    </w:p>
    <w:p w14:paraId="5C4F749A">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649" w:name="_Toc27453"/>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649"/>
    </w:p>
    <w:p w14:paraId="46EB2C3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1.</w:t>
      </w:r>
      <w:r>
        <w:rPr>
          <w:rFonts w:hint="eastAsia" w:ascii="宋体" w:hAnsi="宋体" w:eastAsia="宋体" w:cs="宋体"/>
          <w:sz w:val="24"/>
          <w:szCs w:val="24"/>
        </w:rPr>
        <w:t>增强民族自豪感和文化自信：通过了解中国古代科技发展的辉煌历程和重要成就，学生可以增强民族自豪感和文化自信。</w:t>
      </w:r>
    </w:p>
    <w:p w14:paraId="6474416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2.</w:t>
      </w:r>
      <w:r>
        <w:rPr>
          <w:rFonts w:hint="eastAsia" w:ascii="宋体" w:hAnsi="宋体" w:eastAsia="宋体" w:cs="宋体"/>
          <w:sz w:val="24"/>
          <w:szCs w:val="24"/>
        </w:rPr>
        <w:t>培养科学精神和创新意识：中国古代科技的发展过程体现了古代科学家的创新精神和求真务实的态度。通过学习古代科技知识，学生可以培养自己的科学精神和创新意识，积极探索未知领域。</w:t>
      </w:r>
    </w:p>
    <w:p w14:paraId="38A3C6C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3.</w:t>
      </w:r>
      <w:r>
        <w:rPr>
          <w:rFonts w:hint="eastAsia" w:ascii="宋体" w:hAnsi="宋体" w:eastAsia="宋体" w:cs="宋体"/>
          <w:sz w:val="24"/>
          <w:szCs w:val="24"/>
        </w:rPr>
        <w:t>弘扬传统美德和人文精神：古代科技知识不仅具有实用价值，还蕴含着传统美德和人文精神。通过学习古代科技知识，学生可以领略到这些美德和精神的内涵，并在自己的生活中加以实践。</w:t>
      </w:r>
    </w:p>
    <w:p w14:paraId="5CDE309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b/>
          <w:sz w:val="24"/>
          <w:szCs w:val="24"/>
        </w:rPr>
      </w:pPr>
      <w:r>
        <w:rPr>
          <w:rFonts w:hint="eastAsia" w:ascii="宋体" w:hAnsi="宋体" w:eastAsia="等线" w:cs="宋体"/>
          <w:sz w:val="24"/>
          <w:szCs w:val="24"/>
          <w:lang w:val="en-US" w:eastAsia="zh-CN"/>
        </w:rPr>
        <w:t>4.</w:t>
      </w:r>
      <w:r>
        <w:rPr>
          <w:rFonts w:hint="eastAsia" w:ascii="宋体" w:hAnsi="宋体" w:eastAsia="宋体" w:cs="宋体"/>
          <w:sz w:val="24"/>
          <w:szCs w:val="24"/>
        </w:rPr>
        <w:t>培养社会责任感和爱国情怀：古代科技知识不仅为国家的稳定和发展做出了重要贡献，还为人类社会的进步提供了有力支持。。</w:t>
      </w:r>
    </w:p>
    <w:p w14:paraId="2B147E4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650" w:name="_Toc15537"/>
      <w:bookmarkStart w:id="2651" w:name="_Toc18604"/>
      <w:bookmarkStart w:id="2652" w:name="_Toc31628"/>
      <w:bookmarkStart w:id="2653" w:name="_Toc17964"/>
      <w:bookmarkStart w:id="2654" w:name="_Toc8242"/>
      <w:bookmarkStart w:id="2655" w:name="_Toc29384"/>
      <w:bookmarkStart w:id="2656" w:name="_Toc26126"/>
      <w:r>
        <w:rPr>
          <w:rFonts w:hint="eastAsia" w:ascii="宋体" w:hAnsi="宋体" w:eastAsia="宋体" w:cs="宋体"/>
          <w:b/>
          <w:sz w:val="24"/>
          <w:szCs w:val="24"/>
        </w:rPr>
        <w:t>第十一章 中国传统礼仪（本模块各知识点的讲授与学习，可以支撑课程目标1与目标2）</w:t>
      </w:r>
      <w:bookmarkEnd w:id="2650"/>
      <w:bookmarkEnd w:id="2651"/>
      <w:bookmarkEnd w:id="2652"/>
      <w:bookmarkEnd w:id="2653"/>
      <w:bookmarkEnd w:id="2654"/>
      <w:bookmarkEnd w:id="2655"/>
      <w:bookmarkEnd w:id="2656"/>
    </w:p>
    <w:p w14:paraId="43D094D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57" w:name="_Toc4403"/>
      <w:r>
        <w:rPr>
          <w:rFonts w:hint="eastAsia" w:ascii="宋体" w:hAnsi="宋体" w:eastAsia="宋体" w:cs="宋体"/>
          <w:b/>
          <w:sz w:val="24"/>
          <w:szCs w:val="24"/>
        </w:rPr>
        <w:t>（一）基本内容与要求</w:t>
      </w:r>
      <w:bookmarkEnd w:id="2657"/>
    </w:p>
    <w:p w14:paraId="2C60676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 xml:space="preserve">教学内容： </w:t>
      </w:r>
    </w:p>
    <w:p w14:paraId="7D1D5F2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58" w:name="_Toc24829"/>
      <w:r>
        <w:rPr>
          <w:rFonts w:hint="eastAsia" w:ascii="宋体" w:hAnsi="宋体" w:eastAsia="宋体" w:cs="宋体"/>
          <w:sz w:val="24"/>
          <w:szCs w:val="24"/>
        </w:rPr>
        <w:t>第一节传统礼仪是传统道德的一种载体</w:t>
      </w:r>
      <w:bookmarkEnd w:id="2658"/>
    </w:p>
    <w:p w14:paraId="3725CB2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一、中国传统礼仪的起源和形成</w:t>
      </w:r>
    </w:p>
    <w:p w14:paraId="5B0A437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二、传统五礼：吉礼、嘉礼、宾礼、军礼 、军礼</w:t>
      </w:r>
    </w:p>
    <w:p w14:paraId="42F587B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三、传统礼仪与个人修身养性</w:t>
      </w:r>
    </w:p>
    <w:p w14:paraId="0CABEAC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59" w:name="_Toc20978"/>
      <w:r>
        <w:rPr>
          <w:rFonts w:hint="eastAsia" w:ascii="宋体" w:hAnsi="宋体" w:eastAsia="宋体" w:cs="宋体"/>
          <w:sz w:val="24"/>
          <w:szCs w:val="24"/>
        </w:rPr>
        <w:t>第二节 中国传统婚姻习俗</w:t>
      </w:r>
      <w:bookmarkEnd w:id="2659"/>
    </w:p>
    <w:p w14:paraId="32D47A4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一、中国古代婚姻形态的嬗变</w:t>
      </w:r>
    </w:p>
    <w:p w14:paraId="52B93F4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二、一夫一妻制下的婚姻形式</w:t>
      </w:r>
    </w:p>
    <w:p w14:paraId="30871F3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三、历代婚姻礼俗</w:t>
      </w:r>
    </w:p>
    <w:p w14:paraId="046D8D8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60" w:name="_Toc31175"/>
      <w:r>
        <w:rPr>
          <w:rFonts w:hint="eastAsia" w:ascii="宋体" w:hAnsi="宋体" w:eastAsia="宋体" w:cs="宋体"/>
          <w:sz w:val="24"/>
          <w:szCs w:val="24"/>
        </w:rPr>
        <w:t>第三节 中国传统丧葬习俗</w:t>
      </w:r>
      <w:bookmarkEnd w:id="2660"/>
    </w:p>
    <w:p w14:paraId="2D269EA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一、埋葬习俗</w:t>
      </w:r>
    </w:p>
    <w:p w14:paraId="11CE4E2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二、丧礼习俗</w:t>
      </w:r>
    </w:p>
    <w:p w14:paraId="436F656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三、丧服</w:t>
      </w:r>
    </w:p>
    <w:p w14:paraId="41E79401">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0420412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通过本章学习，了解中国传统礼仪的起源、本质、基本内容及其对当代社会的现实意义，感受中国传统礼仪源远流长，内容博大精深，学会在现代社会继承和发展中国传统礼仪。</w:t>
      </w:r>
    </w:p>
    <w:p w14:paraId="4F9D4DF7">
      <w:pPr>
        <w:adjustRightInd w:val="0"/>
        <w:spacing w:line="360" w:lineRule="auto"/>
        <w:ind w:firstLine="482" w:firstLineChars="200"/>
        <w:outlineLvl w:val="1"/>
        <w:rPr>
          <w:rFonts w:hint="eastAsia" w:ascii="宋体" w:hAnsi="宋体" w:eastAsia="宋体" w:cs="宋体"/>
          <w:b/>
          <w:sz w:val="24"/>
          <w:szCs w:val="24"/>
        </w:rPr>
      </w:pPr>
      <w:bookmarkStart w:id="2661" w:name="_Toc32533"/>
      <w:r>
        <w:rPr>
          <w:rFonts w:hint="eastAsia" w:ascii="宋体" w:hAnsi="宋体" w:eastAsia="宋体" w:cs="宋体"/>
          <w:b/>
          <w:sz w:val="24"/>
          <w:szCs w:val="24"/>
        </w:rPr>
        <w:t>（二）教学重点与难点</w:t>
      </w:r>
      <w:bookmarkEnd w:id="2661"/>
    </w:p>
    <w:p w14:paraId="30464350">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重点：中国传统礼仪制度内容</w:t>
      </w:r>
    </w:p>
    <w:p w14:paraId="1085A0D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难点：中国传统礼仪在现代社会的继承和发展</w:t>
      </w:r>
    </w:p>
    <w:p w14:paraId="6B969E73">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662" w:name="_Toc29173"/>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662"/>
    </w:p>
    <w:p w14:paraId="1A5A9EC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lang w:eastAsia="zh-CN"/>
        </w:rPr>
      </w:pPr>
      <w:r>
        <w:rPr>
          <w:rFonts w:hint="eastAsia" w:ascii="宋体" w:hAnsi="宋体" w:eastAsia="等线" w:cs="宋体"/>
          <w:sz w:val="24"/>
          <w:szCs w:val="24"/>
          <w:lang w:val="en-US" w:eastAsia="zh-CN"/>
        </w:rPr>
        <w:t>1.</w:t>
      </w:r>
      <w:r>
        <w:rPr>
          <w:rFonts w:hint="eastAsia" w:ascii="宋体" w:hAnsi="宋体" w:eastAsia="宋体" w:cs="宋体"/>
          <w:sz w:val="24"/>
          <w:szCs w:val="24"/>
        </w:rPr>
        <w:t>传承和弘扬中华优秀传统文化</w:t>
      </w:r>
      <w:r>
        <w:rPr>
          <w:rFonts w:hint="eastAsia" w:ascii="宋体" w:hAnsi="宋体" w:eastAsia="等线" w:cs="宋体"/>
          <w:sz w:val="24"/>
          <w:szCs w:val="24"/>
          <w:lang w:eastAsia="zh-CN"/>
        </w:rPr>
        <w:t>，</w:t>
      </w:r>
      <w:r>
        <w:rPr>
          <w:rFonts w:hint="eastAsia" w:ascii="宋体" w:hAnsi="宋体" w:eastAsia="等线" w:cs="宋体"/>
          <w:sz w:val="24"/>
          <w:szCs w:val="24"/>
          <w:lang w:val="en-US" w:eastAsia="zh-CN"/>
        </w:rPr>
        <w:t>树立</w:t>
      </w:r>
      <w:r>
        <w:rPr>
          <w:rFonts w:hint="eastAsia" w:ascii="宋体" w:hAnsi="宋体" w:eastAsia="宋体" w:cs="宋体"/>
          <w:sz w:val="24"/>
          <w:szCs w:val="24"/>
        </w:rPr>
        <w:t>文化自信</w:t>
      </w:r>
      <w:r>
        <w:rPr>
          <w:rFonts w:hint="eastAsia" w:ascii="宋体" w:hAnsi="宋体" w:eastAsia="等线" w:cs="宋体"/>
          <w:sz w:val="24"/>
          <w:szCs w:val="24"/>
          <w:lang w:eastAsia="zh-CN"/>
        </w:rPr>
        <w:t>；</w:t>
      </w:r>
    </w:p>
    <w:p w14:paraId="783DFA5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lang w:eastAsia="zh-CN"/>
        </w:rPr>
      </w:pPr>
      <w:r>
        <w:rPr>
          <w:rFonts w:hint="eastAsia" w:ascii="宋体" w:hAnsi="宋体" w:eastAsia="等线" w:cs="宋体"/>
          <w:sz w:val="24"/>
          <w:szCs w:val="24"/>
          <w:lang w:val="en-US" w:eastAsia="zh-CN"/>
        </w:rPr>
        <w:t>2.加强个人</w:t>
      </w:r>
      <w:r>
        <w:rPr>
          <w:rFonts w:hint="eastAsia" w:ascii="宋体" w:hAnsi="宋体" w:eastAsia="宋体" w:cs="宋体"/>
          <w:sz w:val="24"/>
          <w:szCs w:val="24"/>
        </w:rPr>
        <w:t>道德修养与行为规范</w:t>
      </w:r>
      <w:r>
        <w:rPr>
          <w:rFonts w:hint="eastAsia" w:ascii="宋体" w:hAnsi="宋体" w:eastAsia="等线" w:cs="宋体"/>
          <w:sz w:val="24"/>
          <w:szCs w:val="24"/>
          <w:lang w:eastAsia="zh-CN"/>
        </w:rPr>
        <w:t>；</w:t>
      </w:r>
    </w:p>
    <w:p w14:paraId="7438351F">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lang w:eastAsia="zh-CN"/>
        </w:rPr>
      </w:pPr>
      <w:r>
        <w:rPr>
          <w:rFonts w:hint="eastAsia" w:ascii="宋体" w:hAnsi="宋体" w:eastAsia="等线" w:cs="宋体"/>
          <w:sz w:val="24"/>
          <w:szCs w:val="24"/>
          <w:lang w:val="en-US" w:eastAsia="zh-CN"/>
        </w:rPr>
        <w:t>3.增强</w:t>
      </w:r>
      <w:r>
        <w:rPr>
          <w:rFonts w:hint="eastAsia" w:ascii="宋体" w:hAnsi="宋体" w:eastAsia="宋体" w:cs="宋体"/>
          <w:sz w:val="24"/>
          <w:szCs w:val="24"/>
        </w:rPr>
        <w:t>社交能力与交往礼仪</w:t>
      </w:r>
      <w:r>
        <w:rPr>
          <w:rFonts w:hint="eastAsia" w:ascii="宋体" w:hAnsi="宋体" w:eastAsia="等线" w:cs="宋体"/>
          <w:sz w:val="24"/>
          <w:szCs w:val="24"/>
          <w:lang w:eastAsia="zh-CN"/>
        </w:rPr>
        <w:t>，</w:t>
      </w:r>
      <w:r>
        <w:rPr>
          <w:rFonts w:hint="eastAsia" w:ascii="宋体" w:hAnsi="宋体" w:eastAsia="宋体" w:cs="宋体"/>
          <w:sz w:val="24"/>
          <w:szCs w:val="24"/>
        </w:rPr>
        <w:t>提升个人形象与气质</w:t>
      </w:r>
      <w:r>
        <w:rPr>
          <w:rFonts w:hint="eastAsia" w:ascii="宋体" w:hAnsi="宋体" w:eastAsia="等线" w:cs="宋体"/>
          <w:sz w:val="24"/>
          <w:szCs w:val="24"/>
          <w:lang w:eastAsia="zh-CN"/>
        </w:rPr>
        <w:t>；</w:t>
      </w:r>
    </w:p>
    <w:p w14:paraId="35C9242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等线" w:cs="宋体"/>
          <w:sz w:val="24"/>
          <w:szCs w:val="24"/>
          <w:lang w:val="en-US" w:eastAsia="zh-CN"/>
        </w:rPr>
        <w:t>4.</w:t>
      </w:r>
      <w:r>
        <w:rPr>
          <w:rFonts w:hint="eastAsia" w:ascii="宋体" w:hAnsi="宋体" w:eastAsia="宋体" w:cs="宋体"/>
          <w:sz w:val="24"/>
          <w:szCs w:val="24"/>
        </w:rPr>
        <w:t>培育民族精神与爱国情怀</w:t>
      </w:r>
      <w:r>
        <w:rPr>
          <w:rFonts w:hint="eastAsia" w:ascii="宋体" w:hAnsi="宋体" w:eastAsia="等线" w:cs="宋体"/>
          <w:sz w:val="24"/>
          <w:szCs w:val="24"/>
          <w:lang w:eastAsia="zh-CN"/>
        </w:rPr>
        <w:t>，弘扬中华文化与跨文化交流。</w:t>
      </w:r>
    </w:p>
    <w:p w14:paraId="4AB5B13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rPr>
          <w:rFonts w:hint="eastAsia" w:ascii="宋体" w:hAnsi="宋体" w:eastAsia="宋体" w:cs="宋体"/>
          <w:b/>
          <w:sz w:val="24"/>
          <w:szCs w:val="24"/>
        </w:rPr>
      </w:pPr>
    </w:p>
    <w:p w14:paraId="6A7448B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0"/>
        <w:rPr>
          <w:rFonts w:hint="eastAsia" w:ascii="宋体" w:hAnsi="宋体" w:eastAsia="宋体" w:cs="宋体"/>
          <w:b/>
          <w:sz w:val="24"/>
          <w:szCs w:val="24"/>
        </w:rPr>
      </w:pPr>
      <w:bookmarkStart w:id="2663" w:name="_Toc32479"/>
      <w:bookmarkStart w:id="2664" w:name="_Toc18400"/>
      <w:bookmarkStart w:id="2665" w:name="_Toc30035"/>
      <w:bookmarkStart w:id="2666" w:name="_Toc28507"/>
      <w:bookmarkStart w:id="2667" w:name="_Toc18623"/>
      <w:bookmarkStart w:id="2668" w:name="_Toc30731"/>
      <w:bookmarkStart w:id="2669" w:name="_Toc25958"/>
      <w:r>
        <w:rPr>
          <w:rFonts w:hint="eastAsia" w:ascii="宋体" w:hAnsi="宋体" w:eastAsia="宋体" w:cs="宋体"/>
          <w:b/>
          <w:sz w:val="24"/>
          <w:szCs w:val="24"/>
        </w:rPr>
        <w:t>第十二章  中国传统衣食住行（本模块各知识点的讲授与学习，可以支撑课程目标1与目标2）</w:t>
      </w:r>
      <w:bookmarkEnd w:id="2663"/>
      <w:bookmarkEnd w:id="2664"/>
      <w:bookmarkEnd w:id="2665"/>
      <w:bookmarkEnd w:id="2666"/>
      <w:bookmarkEnd w:id="2667"/>
      <w:bookmarkEnd w:id="2668"/>
      <w:bookmarkEnd w:id="2669"/>
    </w:p>
    <w:p w14:paraId="3DFDC14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outlineLvl w:val="1"/>
        <w:rPr>
          <w:rFonts w:hint="eastAsia" w:ascii="宋体" w:hAnsi="宋体" w:eastAsia="宋体" w:cs="宋体"/>
          <w:b/>
          <w:sz w:val="24"/>
          <w:szCs w:val="24"/>
        </w:rPr>
      </w:pPr>
      <w:bookmarkStart w:id="2670" w:name="_Toc27025"/>
      <w:r>
        <w:rPr>
          <w:rFonts w:hint="eastAsia" w:ascii="宋体" w:hAnsi="宋体" w:eastAsia="宋体" w:cs="宋体"/>
          <w:b/>
          <w:sz w:val="24"/>
          <w:szCs w:val="24"/>
        </w:rPr>
        <w:t>（一）基本内容与要求</w:t>
      </w:r>
      <w:bookmarkEnd w:id="2670"/>
    </w:p>
    <w:p w14:paraId="61BD8E2C">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教学内容：</w:t>
      </w:r>
    </w:p>
    <w:p w14:paraId="7FFB209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71" w:name="_Toc14728"/>
      <w:r>
        <w:rPr>
          <w:rFonts w:hint="eastAsia" w:ascii="宋体" w:hAnsi="宋体" w:eastAsia="宋体" w:cs="宋体"/>
          <w:sz w:val="24"/>
          <w:szCs w:val="24"/>
        </w:rPr>
        <w:t>第一节 中国传统服饰文化</w:t>
      </w:r>
      <w:bookmarkEnd w:id="2671"/>
    </w:p>
    <w:p w14:paraId="3CDA814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一、冠、冕、巾</w:t>
      </w:r>
    </w:p>
    <w:p w14:paraId="40901D7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二、上衣下裳</w:t>
      </w:r>
    </w:p>
    <w:p w14:paraId="714F8B52">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三、鞋、袜</w:t>
      </w:r>
    </w:p>
    <w:p w14:paraId="69BD7AE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72" w:name="_Toc3180"/>
      <w:r>
        <w:rPr>
          <w:rFonts w:hint="eastAsia" w:ascii="宋体" w:hAnsi="宋体" w:eastAsia="宋体" w:cs="宋体"/>
          <w:sz w:val="24"/>
          <w:szCs w:val="24"/>
        </w:rPr>
        <w:t>第二节 中国传统饮食文化</w:t>
      </w:r>
      <w:bookmarkEnd w:id="2672"/>
    </w:p>
    <w:p w14:paraId="2A0BBE3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一、中国古代的主食与副食</w:t>
      </w:r>
    </w:p>
    <w:p w14:paraId="6A1E3997">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二、中国古代的酒文化</w:t>
      </w:r>
    </w:p>
    <w:p w14:paraId="7768736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三、中国古代的茶文化</w:t>
      </w:r>
    </w:p>
    <w:p w14:paraId="228BB32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73" w:name="_Toc731"/>
      <w:r>
        <w:rPr>
          <w:rFonts w:hint="eastAsia" w:ascii="宋体" w:hAnsi="宋体" w:eastAsia="宋体" w:cs="宋体"/>
          <w:sz w:val="24"/>
          <w:szCs w:val="24"/>
        </w:rPr>
        <w:t>第三节 中国传统建筑</w:t>
      </w:r>
      <w:bookmarkEnd w:id="2673"/>
    </w:p>
    <w:p w14:paraId="08696FF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一、民居</w:t>
      </w:r>
    </w:p>
    <w:p w14:paraId="690AC2F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二、宫殿</w:t>
      </w:r>
    </w:p>
    <w:p w14:paraId="5BC0199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三、古代建筑特点</w:t>
      </w:r>
    </w:p>
    <w:p w14:paraId="0393E553">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74" w:name="_Toc27629"/>
      <w:r>
        <w:rPr>
          <w:rFonts w:hint="eastAsia" w:ascii="宋体" w:hAnsi="宋体" w:eastAsia="宋体" w:cs="宋体"/>
          <w:sz w:val="24"/>
          <w:szCs w:val="24"/>
        </w:rPr>
        <w:t>第四节 中国古代交通工具</w:t>
      </w:r>
      <w:bookmarkEnd w:id="2674"/>
    </w:p>
    <w:p w14:paraId="3032DE1D">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一、车</w:t>
      </w:r>
    </w:p>
    <w:p w14:paraId="557470C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二、船</w:t>
      </w:r>
    </w:p>
    <w:p w14:paraId="09ED55E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三、轿</w:t>
      </w:r>
    </w:p>
    <w:p w14:paraId="79478816">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outlineLvl w:val="2"/>
        <w:rPr>
          <w:rFonts w:hint="eastAsia" w:ascii="宋体" w:hAnsi="宋体" w:eastAsia="宋体" w:cs="宋体"/>
          <w:sz w:val="24"/>
          <w:szCs w:val="24"/>
        </w:rPr>
      </w:pPr>
      <w:bookmarkStart w:id="2675" w:name="_Toc16006"/>
      <w:r>
        <w:rPr>
          <w:rFonts w:hint="eastAsia" w:ascii="宋体" w:hAnsi="宋体" w:eastAsia="宋体" w:cs="宋体"/>
          <w:sz w:val="24"/>
          <w:szCs w:val="24"/>
        </w:rPr>
        <w:t>第五节 中国传统节日文化</w:t>
      </w:r>
      <w:bookmarkEnd w:id="2675"/>
    </w:p>
    <w:p w14:paraId="030FF57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一、春节习俗与文化</w:t>
      </w:r>
    </w:p>
    <w:p w14:paraId="604D3FA8">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二、元宵节、清明节、端午节</w:t>
      </w:r>
    </w:p>
    <w:p w14:paraId="46EFF15A">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三、七夕节、中秋节、重阳节</w:t>
      </w:r>
    </w:p>
    <w:p w14:paraId="7909BA1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教学要求：</w:t>
      </w:r>
    </w:p>
    <w:p w14:paraId="5AC8DC76">
      <w:pPr>
        <w:adjustRightIn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通过本章学习，了解古代中国传统生活习俗，品味茶、酒、食文化现象，懂得欣赏茶、酒、食文化，追求高质量高品位的生活。</w:t>
      </w:r>
    </w:p>
    <w:p w14:paraId="4D506B46">
      <w:pPr>
        <w:adjustRightInd w:val="0"/>
        <w:spacing w:line="360" w:lineRule="auto"/>
        <w:ind w:firstLine="482" w:firstLineChars="200"/>
        <w:outlineLvl w:val="1"/>
        <w:rPr>
          <w:rFonts w:hint="eastAsia" w:ascii="宋体" w:hAnsi="宋体" w:eastAsia="宋体" w:cs="宋体"/>
          <w:b/>
          <w:sz w:val="24"/>
          <w:szCs w:val="24"/>
        </w:rPr>
      </w:pPr>
      <w:bookmarkStart w:id="2676" w:name="_Toc1146"/>
      <w:r>
        <w:rPr>
          <w:rFonts w:hint="eastAsia" w:ascii="宋体" w:hAnsi="宋体" w:eastAsia="宋体" w:cs="宋体"/>
          <w:b/>
          <w:sz w:val="24"/>
          <w:szCs w:val="24"/>
        </w:rPr>
        <w:t>（二）教学重点与难点</w:t>
      </w:r>
      <w:bookmarkEnd w:id="2676"/>
    </w:p>
    <w:p w14:paraId="6D873A3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重点：中华民族传统生活的文化内涵</w:t>
      </w:r>
    </w:p>
    <w:p w14:paraId="6C3A951B">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难点：感受中国传统文化的博大内涵，提升生活品位</w:t>
      </w:r>
    </w:p>
    <w:p w14:paraId="40775F4C">
      <w:pPr>
        <w:numPr>
          <w:ilvl w:val="0"/>
          <w:numId w:val="0"/>
        </w:numPr>
        <w:adjustRightInd w:val="0"/>
        <w:spacing w:line="360" w:lineRule="auto"/>
        <w:ind w:firstLine="480" w:firstLineChars="200"/>
        <w:outlineLvl w:val="1"/>
        <w:rPr>
          <w:rFonts w:hint="eastAsia" w:ascii="宋体" w:hAnsi="宋体" w:eastAsia="宋体" w:cs="宋体"/>
          <w:b/>
          <w:sz w:val="24"/>
          <w:szCs w:val="24"/>
          <w:lang w:eastAsia="zh-CN"/>
        </w:rPr>
      </w:pPr>
      <w:bookmarkStart w:id="2677" w:name="_Toc975"/>
      <w:r>
        <w:rPr>
          <w:rFonts w:hint="eastAsia" w:ascii="宋体" w:hAnsi="宋体" w:eastAsia="等线" w:cs="宋体"/>
          <w:b/>
          <w:sz w:val="24"/>
          <w:szCs w:val="24"/>
          <w:lang w:eastAsia="zh-CN"/>
        </w:rPr>
        <w:t>（</w:t>
      </w:r>
      <w:r>
        <w:rPr>
          <w:rFonts w:hint="eastAsia" w:ascii="宋体" w:hAnsi="宋体" w:eastAsia="等线" w:cs="宋体"/>
          <w:b/>
          <w:sz w:val="24"/>
          <w:szCs w:val="24"/>
          <w:lang w:val="en-US" w:eastAsia="zh-CN"/>
        </w:rPr>
        <w:t>三</w:t>
      </w:r>
      <w:r>
        <w:rPr>
          <w:rFonts w:hint="eastAsia" w:ascii="宋体" w:hAnsi="宋体" w:eastAsia="等线" w:cs="宋体"/>
          <w:b/>
          <w:sz w:val="24"/>
          <w:szCs w:val="24"/>
          <w:lang w:eastAsia="zh-CN"/>
        </w:rPr>
        <w:t>）</w:t>
      </w:r>
      <w:r>
        <w:rPr>
          <w:rFonts w:hint="eastAsia" w:ascii="宋体" w:hAnsi="宋体" w:eastAsia="宋体" w:cs="宋体"/>
          <w:b/>
          <w:sz w:val="24"/>
          <w:szCs w:val="24"/>
          <w:lang w:eastAsia="zh-CN"/>
        </w:rPr>
        <w:t>课程思政育人目标</w:t>
      </w:r>
      <w:bookmarkEnd w:id="2677"/>
    </w:p>
    <w:p w14:paraId="46CD1E07">
      <w:pPr>
        <w:adjustRightInd w:val="0"/>
        <w:spacing w:line="360" w:lineRule="auto"/>
        <w:ind w:firstLine="480" w:firstLineChars="200"/>
        <w:rPr>
          <w:rFonts w:hint="default" w:ascii="宋体" w:hAnsi="宋体" w:eastAsia="等线" w:cs="宋体"/>
          <w:sz w:val="24"/>
          <w:szCs w:val="24"/>
          <w:lang w:val="en-US" w:eastAsia="zh-CN"/>
        </w:rPr>
      </w:pPr>
      <w:r>
        <w:rPr>
          <w:rFonts w:hint="eastAsia" w:ascii="宋体" w:hAnsi="宋体" w:eastAsia="等线" w:cs="宋体"/>
          <w:sz w:val="24"/>
          <w:szCs w:val="24"/>
          <w:lang w:val="en-US" w:eastAsia="zh-CN"/>
        </w:rPr>
        <w:t>1.增强文化自信和民族认同感，促进道德品质和人文素养的提升；</w:t>
      </w:r>
    </w:p>
    <w:p w14:paraId="3848E1AF">
      <w:pPr>
        <w:adjustRightInd w:val="0"/>
        <w:spacing w:line="360" w:lineRule="auto"/>
        <w:ind w:firstLine="480" w:firstLineChars="200"/>
        <w:rPr>
          <w:rFonts w:hint="eastAsia" w:ascii="宋体" w:hAnsi="宋体" w:eastAsia="宋体" w:cs="宋体"/>
          <w:sz w:val="24"/>
          <w:szCs w:val="24"/>
          <w:lang w:eastAsia="zh-CN"/>
        </w:rPr>
      </w:pPr>
      <w:r>
        <w:rPr>
          <w:rFonts w:hint="eastAsia" w:ascii="宋体" w:hAnsi="宋体" w:eastAsia="等线" w:cs="宋体"/>
          <w:sz w:val="24"/>
          <w:szCs w:val="24"/>
          <w:lang w:val="en-US" w:eastAsia="zh-CN"/>
        </w:rPr>
        <w:t>2.</w:t>
      </w:r>
      <w:r>
        <w:rPr>
          <w:rFonts w:hint="eastAsia" w:ascii="宋体" w:hAnsi="宋体" w:eastAsia="宋体" w:cs="宋体"/>
          <w:sz w:val="24"/>
          <w:szCs w:val="24"/>
        </w:rPr>
        <w:t>弘扬中国特色</w:t>
      </w:r>
      <w:r>
        <w:rPr>
          <w:rFonts w:hint="eastAsia" w:ascii="宋体" w:hAnsi="宋体" w:eastAsia="等线" w:cs="宋体"/>
          <w:sz w:val="24"/>
          <w:szCs w:val="24"/>
          <w:lang w:val="en-US" w:eastAsia="zh-CN"/>
        </w:rPr>
        <w:t>节日</w:t>
      </w:r>
      <w:r>
        <w:rPr>
          <w:rFonts w:hint="eastAsia" w:ascii="宋体" w:hAnsi="宋体" w:eastAsia="宋体" w:cs="宋体"/>
          <w:sz w:val="24"/>
          <w:szCs w:val="24"/>
        </w:rPr>
        <w:t>文化、坚守民族本位、传递民族情感</w:t>
      </w:r>
      <w:r>
        <w:rPr>
          <w:rFonts w:hint="eastAsia" w:ascii="宋体" w:hAnsi="宋体" w:eastAsia="等线" w:cs="宋体"/>
          <w:sz w:val="24"/>
          <w:szCs w:val="24"/>
          <w:lang w:eastAsia="zh-CN"/>
        </w:rPr>
        <w:t>；</w:t>
      </w:r>
    </w:p>
    <w:p w14:paraId="5F1060E9">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等线" w:cs="宋体"/>
          <w:sz w:val="24"/>
          <w:szCs w:val="24"/>
          <w:lang w:val="en-US" w:eastAsia="zh-CN"/>
        </w:rPr>
      </w:pPr>
      <w:r>
        <w:rPr>
          <w:rFonts w:hint="eastAsia" w:ascii="宋体" w:hAnsi="宋体" w:eastAsia="等线" w:cs="宋体"/>
          <w:sz w:val="24"/>
          <w:szCs w:val="24"/>
          <w:lang w:val="en-US" w:eastAsia="zh-CN"/>
        </w:rPr>
        <w:t>3.了解中华文化的国际传播和跨文化交流的现状和发展趋势，培养国际视野和跨文化交流能力。</w:t>
      </w:r>
    </w:p>
    <w:p w14:paraId="7E504DAE">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80" w:firstLineChars="200"/>
        <w:rPr>
          <w:rFonts w:hint="eastAsia" w:ascii="宋体" w:hAnsi="宋体" w:eastAsia="等线" w:cs="宋体"/>
          <w:sz w:val="24"/>
          <w:szCs w:val="24"/>
          <w:lang w:val="en-US" w:eastAsia="zh-CN"/>
        </w:rPr>
      </w:pPr>
    </w:p>
    <w:p w14:paraId="55504A2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cs="Times New Roman"/>
          <w:sz w:val="24"/>
          <w:szCs w:val="22"/>
        </w:rPr>
      </w:pPr>
      <w:r>
        <w:rPr>
          <w:rFonts w:hint="eastAsia" w:ascii="宋体" w:hAnsi="宋体" w:eastAsia="宋体" w:cs="Times New Roman"/>
          <w:b/>
          <w:sz w:val="24"/>
          <w:szCs w:val="22"/>
        </w:rPr>
        <w:t>教学内容与</w:t>
      </w:r>
      <w:r>
        <w:rPr>
          <w:rFonts w:ascii="宋体" w:hAnsi="宋体" w:eastAsia="宋体" w:cs="Times New Roman"/>
          <w:b/>
          <w:sz w:val="24"/>
          <w:szCs w:val="22"/>
        </w:rPr>
        <w:t>课程目标的</w:t>
      </w:r>
      <w:r>
        <w:rPr>
          <w:rFonts w:hint="eastAsia" w:ascii="宋体" w:hAnsi="宋体" w:eastAsia="宋体" w:cs="Times New Roman"/>
          <w:b/>
          <w:sz w:val="24"/>
          <w:szCs w:val="22"/>
        </w:rPr>
        <w:t>对应关系及</w:t>
      </w:r>
      <w:r>
        <w:rPr>
          <w:rFonts w:ascii="宋体" w:hAnsi="宋体" w:eastAsia="宋体" w:cs="Times New Roman"/>
          <w:b/>
          <w:sz w:val="24"/>
          <w:szCs w:val="22"/>
        </w:rPr>
        <w:t>学时分配</w:t>
      </w:r>
      <w:r>
        <w:rPr>
          <w:rFonts w:hint="eastAsia" w:ascii="宋体" w:hAnsi="宋体" w:eastAsia="宋体" w:cs="Times New Roman"/>
          <w:b/>
          <w:sz w:val="24"/>
          <w:szCs w:val="22"/>
        </w:rPr>
        <w:t>如表所示：</w:t>
      </w:r>
    </w:p>
    <w:tbl>
      <w:tblPr>
        <w:tblStyle w:val="10"/>
        <w:tblpPr w:leftFromText="180" w:rightFromText="180" w:vertAnchor="text" w:horzAnchor="page" w:tblpX="1513" w:tblpY="454"/>
        <w:tblOverlap w:val="never"/>
        <w:tblW w:w="8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3163"/>
        <w:gridCol w:w="1898"/>
        <w:gridCol w:w="1756"/>
        <w:gridCol w:w="1168"/>
      </w:tblGrid>
      <w:tr w14:paraId="2D2A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29" w:type="dxa"/>
            <w:shd w:val="clear" w:color="auto" w:fill="FFFFFF"/>
            <w:vAlign w:val="center"/>
          </w:tcPr>
          <w:p w14:paraId="6AC7D595">
            <w:pPr>
              <w:adjustRightInd w:val="0"/>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序号</w:t>
            </w:r>
          </w:p>
        </w:tc>
        <w:tc>
          <w:tcPr>
            <w:tcW w:w="3163" w:type="dxa"/>
            <w:shd w:val="clear" w:color="auto" w:fill="FFFFFF"/>
            <w:vAlign w:val="center"/>
          </w:tcPr>
          <w:p w14:paraId="7DC7FBD0">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教学内容</w:t>
            </w:r>
          </w:p>
        </w:tc>
        <w:tc>
          <w:tcPr>
            <w:tcW w:w="1898" w:type="dxa"/>
            <w:shd w:val="clear" w:color="auto" w:fill="FFFFFF"/>
            <w:vAlign w:val="center"/>
          </w:tcPr>
          <w:p w14:paraId="607D46AB">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756" w:type="dxa"/>
            <w:shd w:val="clear" w:color="auto" w:fill="FFFFFF"/>
            <w:vAlign w:val="center"/>
          </w:tcPr>
          <w:p w14:paraId="4AFE4825">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1168" w:type="dxa"/>
            <w:shd w:val="clear" w:color="auto" w:fill="FFFFFF"/>
            <w:vAlign w:val="center"/>
          </w:tcPr>
          <w:p w14:paraId="1938D815">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r>
      <w:tr w14:paraId="3BBB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29" w:type="dxa"/>
            <w:shd w:val="clear" w:color="auto" w:fill="FFFFFF"/>
            <w:vAlign w:val="center"/>
          </w:tcPr>
          <w:p w14:paraId="0EB40E0C">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w:t>
            </w:r>
          </w:p>
        </w:tc>
        <w:tc>
          <w:tcPr>
            <w:tcW w:w="3163" w:type="dxa"/>
            <w:shd w:val="clear" w:color="auto" w:fill="FFFFFF"/>
            <w:vAlign w:val="center"/>
          </w:tcPr>
          <w:p w14:paraId="61CCD52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中国传统文化概说</w:t>
            </w:r>
          </w:p>
        </w:tc>
        <w:tc>
          <w:tcPr>
            <w:tcW w:w="1898" w:type="dxa"/>
            <w:shd w:val="clear" w:color="auto" w:fill="FFFFFF"/>
            <w:vAlign w:val="center"/>
          </w:tcPr>
          <w:p w14:paraId="29A4D4B6">
            <w:pPr>
              <w:adjustRightInd w:val="0"/>
              <w:snapToGrid w:val="0"/>
              <w:spacing w:line="276" w:lineRule="auto"/>
              <w:jc w:val="center"/>
              <w:rPr>
                <w:rFonts w:hint="default" w:ascii="宋体" w:hAnsi="宋体" w:eastAsia="宋体" w:cs="Times New Roman"/>
                <w:szCs w:val="21"/>
                <w:lang w:val="en-US" w:eastAsia="zh-CN"/>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shd w:val="clear" w:color="auto" w:fill="FFFFFF"/>
            <w:vAlign w:val="center"/>
          </w:tcPr>
          <w:p w14:paraId="0849C2F7">
            <w:pPr>
              <w:adjustRightInd w:val="0"/>
              <w:snapToGrid w:val="0"/>
              <w:spacing w:line="276" w:lineRule="auto"/>
              <w:jc w:val="center"/>
              <w:rPr>
                <w:rFonts w:hint="default" w:ascii="宋体" w:hAnsi="宋体" w:eastAsia="宋体" w:cs="Times New Roman"/>
                <w:szCs w:val="21"/>
                <w:lang w:val="en-US" w:eastAsia="zh-CN"/>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shd w:val="clear" w:color="auto" w:fill="FFFFFF"/>
            <w:vAlign w:val="center"/>
          </w:tcPr>
          <w:p w14:paraId="15F88CE9">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2</w:t>
            </w:r>
          </w:p>
        </w:tc>
      </w:tr>
      <w:tr w14:paraId="6822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29" w:type="dxa"/>
            <w:vAlign w:val="center"/>
          </w:tcPr>
          <w:p w14:paraId="5EE0BC78">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2</w:t>
            </w:r>
          </w:p>
        </w:tc>
        <w:tc>
          <w:tcPr>
            <w:tcW w:w="3163" w:type="dxa"/>
            <w:vAlign w:val="center"/>
          </w:tcPr>
          <w:p w14:paraId="71F3AEF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历代王朝的兴衰</w:t>
            </w:r>
          </w:p>
        </w:tc>
        <w:tc>
          <w:tcPr>
            <w:tcW w:w="1898" w:type="dxa"/>
            <w:vAlign w:val="center"/>
          </w:tcPr>
          <w:p w14:paraId="77806E84">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vAlign w:val="center"/>
          </w:tcPr>
          <w:p w14:paraId="4CBE3656">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30F5518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2A61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29" w:type="dxa"/>
            <w:vAlign w:val="center"/>
          </w:tcPr>
          <w:p w14:paraId="787ADD52">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3</w:t>
            </w:r>
          </w:p>
        </w:tc>
        <w:tc>
          <w:tcPr>
            <w:tcW w:w="3163" w:type="dxa"/>
            <w:vAlign w:val="center"/>
          </w:tcPr>
          <w:p w14:paraId="30C26166">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中国古代学校教育</w:t>
            </w:r>
          </w:p>
        </w:tc>
        <w:tc>
          <w:tcPr>
            <w:tcW w:w="1898" w:type="dxa"/>
            <w:vAlign w:val="center"/>
          </w:tcPr>
          <w:p w14:paraId="4AE2EC43">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vAlign w:val="center"/>
          </w:tcPr>
          <w:p w14:paraId="67F9F143">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32BD4344">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29CC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29" w:type="dxa"/>
            <w:vAlign w:val="center"/>
          </w:tcPr>
          <w:p w14:paraId="76AA29C8">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w:t>
            </w:r>
          </w:p>
        </w:tc>
        <w:tc>
          <w:tcPr>
            <w:tcW w:w="3163" w:type="dxa"/>
            <w:vAlign w:val="center"/>
          </w:tcPr>
          <w:p w14:paraId="59C8F56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中国古代选官制度</w:t>
            </w:r>
          </w:p>
        </w:tc>
        <w:tc>
          <w:tcPr>
            <w:tcW w:w="1898" w:type="dxa"/>
            <w:vAlign w:val="center"/>
          </w:tcPr>
          <w:p w14:paraId="19FB0E83">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vAlign w:val="center"/>
          </w:tcPr>
          <w:p w14:paraId="4082779A">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5F4A3165">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2</w:t>
            </w:r>
          </w:p>
        </w:tc>
      </w:tr>
      <w:tr w14:paraId="2232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29" w:type="dxa"/>
            <w:vAlign w:val="center"/>
          </w:tcPr>
          <w:p w14:paraId="365B6D4E">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5</w:t>
            </w:r>
          </w:p>
        </w:tc>
        <w:tc>
          <w:tcPr>
            <w:tcW w:w="3163" w:type="dxa"/>
            <w:vAlign w:val="center"/>
          </w:tcPr>
          <w:p w14:paraId="0E7133E6">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中国传统哲学</w:t>
            </w:r>
          </w:p>
        </w:tc>
        <w:tc>
          <w:tcPr>
            <w:tcW w:w="1898" w:type="dxa"/>
            <w:vAlign w:val="center"/>
          </w:tcPr>
          <w:p w14:paraId="6F328019">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vAlign w:val="center"/>
          </w:tcPr>
          <w:p w14:paraId="0D2CCB64">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5993E9FB">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4</w:t>
            </w:r>
          </w:p>
        </w:tc>
      </w:tr>
      <w:tr w14:paraId="55AD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629" w:type="dxa"/>
            <w:vAlign w:val="center"/>
          </w:tcPr>
          <w:p w14:paraId="06CB6849">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6</w:t>
            </w:r>
          </w:p>
        </w:tc>
        <w:tc>
          <w:tcPr>
            <w:tcW w:w="3163" w:type="dxa"/>
            <w:vAlign w:val="center"/>
          </w:tcPr>
          <w:p w14:paraId="3E7FE4B4">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中国传统宗教</w:t>
            </w:r>
          </w:p>
        </w:tc>
        <w:tc>
          <w:tcPr>
            <w:tcW w:w="1898" w:type="dxa"/>
            <w:vAlign w:val="center"/>
          </w:tcPr>
          <w:p w14:paraId="2460DCB1">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vAlign w:val="center"/>
          </w:tcPr>
          <w:p w14:paraId="26C7F147">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706F93F5">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4</w:t>
            </w:r>
          </w:p>
        </w:tc>
      </w:tr>
      <w:tr w14:paraId="0639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29" w:type="dxa"/>
            <w:vAlign w:val="center"/>
          </w:tcPr>
          <w:p w14:paraId="6F89FCEA">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7</w:t>
            </w:r>
          </w:p>
        </w:tc>
        <w:tc>
          <w:tcPr>
            <w:tcW w:w="3163" w:type="dxa"/>
            <w:vAlign w:val="center"/>
          </w:tcPr>
          <w:p w14:paraId="5B977472">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中国传统伦理道德</w:t>
            </w:r>
          </w:p>
        </w:tc>
        <w:tc>
          <w:tcPr>
            <w:tcW w:w="1898" w:type="dxa"/>
            <w:vAlign w:val="center"/>
          </w:tcPr>
          <w:p w14:paraId="7D122BD7">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vAlign w:val="center"/>
          </w:tcPr>
          <w:p w14:paraId="202055C3">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5D277660">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4</w:t>
            </w:r>
          </w:p>
        </w:tc>
      </w:tr>
      <w:tr w14:paraId="172B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29" w:type="dxa"/>
            <w:vAlign w:val="center"/>
          </w:tcPr>
          <w:p w14:paraId="5C5AE49A">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8</w:t>
            </w:r>
          </w:p>
        </w:tc>
        <w:tc>
          <w:tcPr>
            <w:tcW w:w="3163" w:type="dxa"/>
            <w:vAlign w:val="center"/>
          </w:tcPr>
          <w:p w14:paraId="2A9489FC">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中国古代文学</w:t>
            </w:r>
          </w:p>
        </w:tc>
        <w:tc>
          <w:tcPr>
            <w:tcW w:w="1898" w:type="dxa"/>
            <w:vAlign w:val="center"/>
          </w:tcPr>
          <w:p w14:paraId="4B3CC9CA">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r>
              <w:rPr>
                <w:rFonts w:hint="eastAsia" w:ascii="宋体" w:hAnsi="宋体" w:eastAsia="等线" w:cs="Times New Roman"/>
                <w:kern w:val="0"/>
                <w:szCs w:val="21"/>
                <w:lang w:eastAsia="zh-CN"/>
              </w:rPr>
              <w:t>、</w:t>
            </w:r>
            <w:r>
              <w:rPr>
                <w:rFonts w:hint="eastAsia" w:ascii="宋体" w:hAnsi="宋体" w:eastAsia="等线" w:cs="Times New Roman"/>
                <w:kern w:val="0"/>
                <w:szCs w:val="21"/>
                <w:lang w:val="en-US" w:eastAsia="zh-CN"/>
              </w:rPr>
              <w:t>2</w:t>
            </w:r>
          </w:p>
        </w:tc>
        <w:tc>
          <w:tcPr>
            <w:tcW w:w="1756" w:type="dxa"/>
            <w:vAlign w:val="center"/>
          </w:tcPr>
          <w:p w14:paraId="395B5C8D">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3BF9A00D">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56F8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29" w:type="dxa"/>
            <w:vAlign w:val="center"/>
          </w:tcPr>
          <w:p w14:paraId="5369EF16">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9</w:t>
            </w:r>
          </w:p>
        </w:tc>
        <w:tc>
          <w:tcPr>
            <w:tcW w:w="3163" w:type="dxa"/>
            <w:vAlign w:val="center"/>
          </w:tcPr>
          <w:p w14:paraId="2DBBAE15">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中国古代艺术</w:t>
            </w:r>
          </w:p>
        </w:tc>
        <w:tc>
          <w:tcPr>
            <w:tcW w:w="1898" w:type="dxa"/>
            <w:vAlign w:val="center"/>
          </w:tcPr>
          <w:p w14:paraId="50B7DCB9">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目标1、2</w:t>
            </w:r>
          </w:p>
        </w:tc>
        <w:tc>
          <w:tcPr>
            <w:tcW w:w="1756" w:type="dxa"/>
            <w:vAlign w:val="center"/>
          </w:tcPr>
          <w:p w14:paraId="486C9A29">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220A1276">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2540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29" w:type="dxa"/>
            <w:vAlign w:val="center"/>
          </w:tcPr>
          <w:p w14:paraId="5CC95902">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10</w:t>
            </w:r>
          </w:p>
        </w:tc>
        <w:tc>
          <w:tcPr>
            <w:tcW w:w="3163" w:type="dxa"/>
            <w:vAlign w:val="center"/>
          </w:tcPr>
          <w:p w14:paraId="0E4FC525">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中国古代科技</w:t>
            </w:r>
          </w:p>
        </w:tc>
        <w:tc>
          <w:tcPr>
            <w:tcW w:w="1898" w:type="dxa"/>
            <w:vAlign w:val="center"/>
          </w:tcPr>
          <w:p w14:paraId="1A156FF1">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目标1、2</w:t>
            </w:r>
          </w:p>
        </w:tc>
        <w:tc>
          <w:tcPr>
            <w:tcW w:w="1756" w:type="dxa"/>
            <w:vAlign w:val="center"/>
          </w:tcPr>
          <w:p w14:paraId="2B1992B0">
            <w:pPr>
              <w:adjustRightInd w:val="0"/>
              <w:snapToGrid w:val="0"/>
              <w:spacing w:line="276" w:lineRule="auto"/>
              <w:jc w:val="center"/>
              <w:rPr>
                <w:rFonts w:ascii="宋体" w:hAnsi="宋体" w:eastAsia="宋体" w:cs="Times New Roman"/>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4C9A44BA">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2</w:t>
            </w:r>
          </w:p>
        </w:tc>
      </w:tr>
      <w:tr w14:paraId="3EFB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29" w:type="dxa"/>
            <w:vAlign w:val="center"/>
          </w:tcPr>
          <w:p w14:paraId="5E52C74B">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11</w:t>
            </w:r>
          </w:p>
        </w:tc>
        <w:tc>
          <w:tcPr>
            <w:tcW w:w="3163" w:type="dxa"/>
            <w:vAlign w:val="center"/>
          </w:tcPr>
          <w:p w14:paraId="6D89533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中国传统礼仪习俗</w:t>
            </w:r>
          </w:p>
        </w:tc>
        <w:tc>
          <w:tcPr>
            <w:tcW w:w="1898" w:type="dxa"/>
            <w:vAlign w:val="center"/>
          </w:tcPr>
          <w:p w14:paraId="09019D8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目标1、2</w:t>
            </w:r>
          </w:p>
        </w:tc>
        <w:tc>
          <w:tcPr>
            <w:tcW w:w="1756" w:type="dxa"/>
            <w:vAlign w:val="center"/>
          </w:tcPr>
          <w:p w14:paraId="05DCEBC6">
            <w:pPr>
              <w:adjustRightInd w:val="0"/>
              <w:snapToGrid w:val="0"/>
              <w:spacing w:line="276" w:lineRule="auto"/>
              <w:jc w:val="center"/>
              <w:rPr>
                <w:rFonts w:ascii="宋体" w:hAnsi="宋体" w:eastAsia="宋体" w:cs="Times New Roman"/>
                <w:kern w:val="0"/>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5D469FAA">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3</w:t>
            </w:r>
          </w:p>
        </w:tc>
      </w:tr>
      <w:tr w14:paraId="4A20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29" w:type="dxa"/>
            <w:vAlign w:val="center"/>
          </w:tcPr>
          <w:p w14:paraId="213BF492">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12</w:t>
            </w:r>
          </w:p>
        </w:tc>
        <w:tc>
          <w:tcPr>
            <w:tcW w:w="3163" w:type="dxa"/>
            <w:vAlign w:val="center"/>
          </w:tcPr>
          <w:p w14:paraId="4C91EB24">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中国传统衣食住行</w:t>
            </w:r>
          </w:p>
        </w:tc>
        <w:tc>
          <w:tcPr>
            <w:tcW w:w="1898" w:type="dxa"/>
            <w:vAlign w:val="center"/>
          </w:tcPr>
          <w:p w14:paraId="1864B4DB">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目标1、2</w:t>
            </w:r>
          </w:p>
        </w:tc>
        <w:tc>
          <w:tcPr>
            <w:tcW w:w="1756" w:type="dxa"/>
            <w:vAlign w:val="center"/>
          </w:tcPr>
          <w:p w14:paraId="22A00AA0">
            <w:pPr>
              <w:adjustRightInd w:val="0"/>
              <w:snapToGrid w:val="0"/>
              <w:spacing w:line="276" w:lineRule="auto"/>
              <w:jc w:val="center"/>
              <w:rPr>
                <w:rFonts w:ascii="宋体" w:hAnsi="宋体" w:eastAsia="宋体" w:cs="Times New Roman"/>
                <w:kern w:val="0"/>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c>
          <w:tcPr>
            <w:tcW w:w="1168" w:type="dxa"/>
            <w:vAlign w:val="center"/>
          </w:tcPr>
          <w:p w14:paraId="64706100">
            <w:pPr>
              <w:adjustRightInd w:val="0"/>
              <w:snapToGrid w:val="0"/>
              <w:spacing w:line="276" w:lineRule="auto"/>
              <w:jc w:val="center"/>
              <w:rPr>
                <w:rFonts w:hint="eastAsia" w:ascii="宋体" w:hAnsi="宋体" w:eastAsia="宋体" w:cs="Times New Roman"/>
                <w:kern w:val="0"/>
                <w:szCs w:val="21"/>
                <w:lang w:eastAsia="zh-CN"/>
              </w:rPr>
            </w:pPr>
            <w:r>
              <w:rPr>
                <w:rFonts w:hint="eastAsia" w:ascii="宋体" w:hAnsi="宋体" w:eastAsia="等线" w:cs="Times New Roman"/>
                <w:kern w:val="0"/>
                <w:szCs w:val="21"/>
                <w:lang w:val="en-US" w:eastAsia="zh-CN"/>
              </w:rPr>
              <w:t>3</w:t>
            </w:r>
          </w:p>
        </w:tc>
      </w:tr>
      <w:tr w14:paraId="4984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446" w:type="dxa"/>
            <w:gridSpan w:val="4"/>
            <w:vAlign w:val="center"/>
          </w:tcPr>
          <w:p w14:paraId="7665BB24">
            <w:pPr>
              <w:adjustRightInd w:val="0"/>
              <w:snapToGrid w:val="0"/>
              <w:spacing w:line="276" w:lineRule="auto"/>
              <w:jc w:val="center"/>
              <w:rPr>
                <w:rFonts w:ascii="宋体" w:hAnsi="宋体" w:eastAsia="宋体" w:cs="Times New Roman"/>
                <w:szCs w:val="21"/>
              </w:rPr>
            </w:pPr>
            <w:r>
              <w:rPr>
                <w:rFonts w:ascii="宋体" w:hAnsi="宋体" w:eastAsia="宋体" w:cs="Times New Roman"/>
                <w:szCs w:val="21"/>
              </w:rPr>
              <w:t>合计</w:t>
            </w:r>
          </w:p>
        </w:tc>
        <w:tc>
          <w:tcPr>
            <w:tcW w:w="1168" w:type="dxa"/>
            <w:vAlign w:val="center"/>
          </w:tcPr>
          <w:p w14:paraId="2F059194">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32</w:t>
            </w:r>
          </w:p>
        </w:tc>
      </w:tr>
    </w:tbl>
    <w:p w14:paraId="650518FB">
      <w:pPr>
        <w:keepNext w:val="0"/>
        <w:keepLines w:val="0"/>
        <w:pageBreakBefore w:val="0"/>
        <w:kinsoku/>
        <w:overflowPunct/>
        <w:topLinePunct w:val="0"/>
        <w:bidi w:val="0"/>
        <w:spacing w:line="360" w:lineRule="auto"/>
        <w:ind w:firstLine="562" w:firstLineChars="200"/>
        <w:textAlignment w:val="auto"/>
        <w:outlineLvl w:val="1"/>
        <w:rPr>
          <w:rFonts w:hint="eastAsia" w:ascii="宋体" w:hAnsi="宋体" w:eastAsia="宋体" w:cs="宋体"/>
          <w:b/>
          <w:color w:val="auto"/>
          <w:sz w:val="28"/>
          <w:szCs w:val="28"/>
        </w:rPr>
      </w:pPr>
      <w:bookmarkStart w:id="2678" w:name="_Toc13039"/>
      <w:r>
        <w:rPr>
          <w:rFonts w:hint="eastAsia" w:ascii="宋体" w:hAnsi="宋体" w:eastAsia="宋体" w:cs="宋体"/>
          <w:b/>
          <w:color w:val="auto"/>
          <w:sz w:val="28"/>
          <w:szCs w:val="28"/>
        </w:rPr>
        <w:t>四、课程实施</w:t>
      </w:r>
      <w:bookmarkEnd w:id="2678"/>
    </w:p>
    <w:p w14:paraId="3F37F622">
      <w:pPr>
        <w:keepNext w:val="0"/>
        <w:keepLines w:val="0"/>
        <w:pageBreakBefore w:val="0"/>
        <w:kinsoku/>
        <w:overflowPunct/>
        <w:topLinePunct w:val="0"/>
        <w:bidi w:val="0"/>
        <w:spacing w:line="360" w:lineRule="auto"/>
        <w:ind w:firstLine="480" w:firstLineChars="200"/>
        <w:jc w:val="left"/>
        <w:textAlignment w:val="auto"/>
        <w:rPr>
          <w:rFonts w:hint="eastAsia" w:ascii="宋体" w:hAnsi="宋体" w:eastAsia="宋体" w:cs="宋体"/>
          <w:b/>
          <w:color w:val="auto"/>
          <w:sz w:val="24"/>
          <w:szCs w:val="22"/>
        </w:rPr>
      </w:pPr>
      <w:r>
        <w:rPr>
          <w:rFonts w:hint="eastAsia" w:ascii="宋体" w:hAnsi="宋体" w:eastAsia="宋体" w:cs="宋体"/>
          <w:color w:val="auto"/>
          <w:sz w:val="24"/>
          <w:szCs w:val="22"/>
        </w:rPr>
        <w:t>（一）</w:t>
      </w:r>
      <w:r>
        <w:rPr>
          <w:rFonts w:hint="eastAsia" w:ascii="宋体" w:hAnsi="宋体" w:eastAsia="宋体" w:cs="宋体"/>
          <w:color w:val="auto"/>
          <w:sz w:val="24"/>
          <w:szCs w:val="22"/>
          <w:shd w:val="clear" w:color="auto" w:fill="FFFFFF"/>
        </w:rPr>
        <w:t>推动课程思政全程融入课堂教学。课程教学总目标是以“立德树人，培养四有好老师”为总方向，旨在使学生践行社会主义核心价值观，贯彻党的教育方针，以立德树人为己任。引导学生遵守教师职业道德规范，具有依法执教意识，具有从教意愿，认同教师工作的意义和专业性，具有积极的情感、端正的态度、正确的价值观，富有爱心、责任心和工作细心、耐心。掌握好教育</w:t>
      </w:r>
      <w:r>
        <w:rPr>
          <w:rFonts w:hint="eastAsia" w:ascii="宋体" w:hAnsi="宋体" w:eastAsia="宋体" w:cs="宋体"/>
          <w:color w:val="auto"/>
          <w:sz w:val="24"/>
          <w:szCs w:val="22"/>
          <w:shd w:val="clear" w:color="auto" w:fill="FFFFFF"/>
          <w:lang w:val="en-US" w:eastAsia="zh-CN"/>
        </w:rPr>
        <w:t>统计学的</w:t>
      </w:r>
      <w:r>
        <w:rPr>
          <w:rFonts w:hint="eastAsia" w:ascii="宋体" w:hAnsi="宋体" w:eastAsia="宋体" w:cs="宋体"/>
          <w:color w:val="auto"/>
          <w:sz w:val="24"/>
          <w:szCs w:val="22"/>
          <w:shd w:val="clear" w:color="auto" w:fill="FFFFFF"/>
        </w:rPr>
        <w:t>基本理论与</w:t>
      </w:r>
      <w:r>
        <w:rPr>
          <w:rFonts w:hint="eastAsia" w:ascii="宋体" w:hAnsi="宋体" w:eastAsia="宋体" w:cs="宋体"/>
          <w:color w:val="auto"/>
          <w:sz w:val="24"/>
          <w:szCs w:val="22"/>
          <w:shd w:val="clear" w:color="auto" w:fill="FFFFFF"/>
          <w:lang w:val="en-US" w:eastAsia="zh-CN"/>
        </w:rPr>
        <w:t>技能</w:t>
      </w:r>
      <w:r>
        <w:rPr>
          <w:rFonts w:hint="eastAsia" w:ascii="宋体" w:hAnsi="宋体" w:eastAsia="宋体" w:cs="宋体"/>
          <w:color w:val="auto"/>
          <w:sz w:val="24"/>
          <w:szCs w:val="22"/>
          <w:shd w:val="clear" w:color="auto" w:fill="FFFFFF"/>
        </w:rPr>
        <w:t>，创新思维，创造性地运用所学知识</w:t>
      </w:r>
      <w:r>
        <w:rPr>
          <w:rFonts w:hint="eastAsia" w:ascii="宋体" w:hAnsi="宋体" w:eastAsia="宋体" w:cs="宋体"/>
          <w:color w:val="auto"/>
          <w:sz w:val="24"/>
          <w:szCs w:val="22"/>
          <w:shd w:val="clear" w:color="auto" w:fill="FFFFFF"/>
          <w:lang w:val="en-US" w:eastAsia="zh-CN"/>
        </w:rPr>
        <w:t>搜集、整理与分析教育资料</w:t>
      </w:r>
      <w:r>
        <w:rPr>
          <w:rFonts w:hint="eastAsia" w:ascii="宋体" w:hAnsi="宋体" w:eastAsia="宋体" w:cs="宋体"/>
          <w:color w:val="auto"/>
          <w:sz w:val="24"/>
          <w:szCs w:val="22"/>
          <w:shd w:val="clear" w:color="auto" w:fill="FFFFFF"/>
        </w:rPr>
        <w:t>，成为有理想信念、有道德情操、有扎实学识、有仁爱之心的好老师，为建设新时代特色社会主义强国尽职尽责。</w:t>
      </w:r>
    </w:p>
    <w:p w14:paraId="7986B079">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rPr>
        <w:t>（</w:t>
      </w:r>
      <w:r>
        <w:rPr>
          <w:rFonts w:hint="eastAsia" w:ascii="宋体" w:hAnsi="宋体" w:eastAsia="宋体" w:cs="宋体"/>
          <w:b/>
          <w:color w:val="auto"/>
          <w:sz w:val="24"/>
          <w:szCs w:val="22"/>
          <w:lang w:val="en-US" w:eastAsia="zh-CN"/>
        </w:rPr>
        <w:t>二</w:t>
      </w:r>
      <w:r>
        <w:rPr>
          <w:rFonts w:hint="eastAsia" w:ascii="宋体" w:hAnsi="宋体" w:eastAsia="宋体" w:cs="宋体"/>
          <w:b/>
          <w:color w:val="auto"/>
          <w:sz w:val="24"/>
          <w:szCs w:val="22"/>
        </w:rPr>
        <w:t>）教学方法与教学手段</w:t>
      </w:r>
    </w:p>
    <w:p w14:paraId="25D0B59D">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1.</w:t>
      </w:r>
      <w:r>
        <w:rPr>
          <w:rFonts w:hint="eastAsia" w:ascii="宋体" w:hAnsi="宋体" w:eastAsia="宋体" w:cs="宋体"/>
          <w:color w:val="auto"/>
          <w:sz w:val="24"/>
          <w:szCs w:val="22"/>
        </w:rPr>
        <w:t>注重以情境为中心的教学。本课程由于涉及</w:t>
      </w:r>
      <w:r>
        <w:rPr>
          <w:rFonts w:hint="eastAsia" w:ascii="宋体" w:hAnsi="宋体" w:eastAsia="等线" w:cs="宋体"/>
          <w:color w:val="auto"/>
          <w:sz w:val="24"/>
          <w:szCs w:val="22"/>
          <w:lang w:val="en-US" w:eastAsia="zh-CN"/>
        </w:rPr>
        <w:t>文化知识较</w:t>
      </w:r>
      <w:r>
        <w:rPr>
          <w:rFonts w:hint="eastAsia" w:ascii="宋体" w:hAnsi="宋体" w:eastAsia="宋体" w:cs="宋体"/>
          <w:color w:val="auto"/>
          <w:sz w:val="24"/>
          <w:szCs w:val="22"/>
        </w:rPr>
        <w:t>多，为此对这部分内容的教学需要借助于基于</w:t>
      </w:r>
      <w:r>
        <w:rPr>
          <w:rFonts w:hint="eastAsia" w:ascii="宋体" w:hAnsi="宋体" w:eastAsia="等线" w:cs="宋体"/>
          <w:color w:val="auto"/>
          <w:sz w:val="24"/>
          <w:szCs w:val="22"/>
          <w:lang w:val="en-US" w:eastAsia="zh-CN"/>
        </w:rPr>
        <w:t>文化</w:t>
      </w:r>
      <w:r>
        <w:rPr>
          <w:rFonts w:hint="eastAsia" w:ascii="宋体" w:hAnsi="宋体" w:eastAsia="宋体" w:cs="宋体"/>
          <w:color w:val="auto"/>
          <w:sz w:val="24"/>
          <w:szCs w:val="22"/>
        </w:rPr>
        <w:t>情境来进行。一方面，通过丰富而形象的情境，可以帮助学生更好地建构对</w:t>
      </w:r>
      <w:r>
        <w:rPr>
          <w:rFonts w:hint="eastAsia" w:ascii="宋体" w:hAnsi="宋体" w:eastAsia="等线" w:cs="宋体"/>
          <w:color w:val="auto"/>
          <w:sz w:val="24"/>
          <w:szCs w:val="22"/>
          <w:lang w:val="en-US" w:eastAsia="zh-CN"/>
        </w:rPr>
        <w:t>中国传统文化</w:t>
      </w:r>
      <w:r>
        <w:rPr>
          <w:rFonts w:hint="eastAsia" w:ascii="宋体" w:hAnsi="宋体" w:eastAsia="宋体" w:cs="宋体"/>
          <w:color w:val="auto"/>
          <w:sz w:val="24"/>
          <w:szCs w:val="22"/>
        </w:rPr>
        <w:t>的理解；另一方面，基于情景化的教学，也有利于帮助学生将理论与实践相联系，促进其更好地进行知识迁移，进而利于其未来的</w:t>
      </w:r>
      <w:r>
        <w:rPr>
          <w:rFonts w:hint="eastAsia" w:ascii="宋体" w:hAnsi="宋体" w:eastAsia="等线" w:cs="宋体"/>
          <w:color w:val="auto"/>
          <w:sz w:val="24"/>
          <w:szCs w:val="22"/>
          <w:lang w:val="en-US" w:eastAsia="zh-CN"/>
        </w:rPr>
        <w:t>自觉文化传承</w:t>
      </w:r>
      <w:r>
        <w:rPr>
          <w:rFonts w:hint="eastAsia" w:ascii="宋体" w:hAnsi="宋体" w:eastAsia="宋体" w:cs="宋体"/>
          <w:color w:val="auto"/>
          <w:sz w:val="24"/>
          <w:szCs w:val="22"/>
        </w:rPr>
        <w:t>；此外，基于情景化的教学，也有利于学生学习动机的提高，而且这类学习不容易疲劳，有利于保持其学习的注意力。</w:t>
      </w:r>
    </w:p>
    <w:p w14:paraId="41AC547E">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2</w:t>
      </w:r>
      <w:r>
        <w:rPr>
          <w:rFonts w:hint="eastAsia" w:ascii="宋体" w:hAnsi="宋体" w:eastAsia="宋体" w:cs="宋体"/>
          <w:color w:val="auto"/>
          <w:sz w:val="24"/>
          <w:szCs w:val="22"/>
        </w:rPr>
        <w:t>.紧密结合最新研究成果，及时调整和补充学科前沿知识。</w:t>
      </w:r>
    </w:p>
    <w:p w14:paraId="23E28E81">
      <w:pPr>
        <w:keepNext w:val="0"/>
        <w:keepLines w:val="0"/>
        <w:pageBreakBefore w:val="0"/>
        <w:kinsoku/>
        <w:overflowPunct/>
        <w:topLinePunct w:val="0"/>
        <w:bidi w:val="0"/>
        <w:spacing w:line="360" w:lineRule="auto"/>
        <w:ind w:left="420" w:leftChars="200"/>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rPr>
        <w:t>（</w:t>
      </w:r>
      <w:r>
        <w:rPr>
          <w:rFonts w:hint="eastAsia" w:ascii="宋体" w:hAnsi="宋体" w:eastAsia="宋体" w:cs="宋体"/>
          <w:b/>
          <w:color w:val="auto"/>
          <w:sz w:val="24"/>
          <w:szCs w:val="22"/>
          <w:lang w:val="en-US" w:eastAsia="zh-CN"/>
        </w:rPr>
        <w:t>三</w:t>
      </w:r>
      <w:r>
        <w:rPr>
          <w:rFonts w:hint="eastAsia" w:ascii="宋体" w:hAnsi="宋体" w:eastAsia="宋体" w:cs="宋体"/>
          <w:b/>
          <w:color w:val="auto"/>
          <w:sz w:val="24"/>
          <w:szCs w:val="22"/>
        </w:rPr>
        <w:t>）课程实施与保障</w:t>
      </w:r>
    </w:p>
    <w:p w14:paraId="2694033B">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b/>
          <w:color w:val="auto"/>
          <w:sz w:val="24"/>
          <w:szCs w:val="22"/>
        </w:rPr>
      </w:pPr>
      <w:r>
        <w:rPr>
          <w:rFonts w:hint="eastAsia" w:ascii="宋体" w:hAnsi="宋体" w:eastAsia="宋体" w:cs="宋体"/>
          <w:b/>
          <w:bCs/>
          <w:color w:val="auto"/>
          <w:sz w:val="24"/>
          <w:szCs w:val="22"/>
        </w:rPr>
        <w:t>主要教学环节的质量要求如表所示：</w:t>
      </w:r>
    </w:p>
    <w:tbl>
      <w:tblPr>
        <w:tblStyle w:val="10"/>
        <w:tblW w:w="8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22"/>
        <w:gridCol w:w="7285"/>
      </w:tblGrid>
      <w:tr w14:paraId="699A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456" w:type="dxa"/>
            <w:gridSpan w:val="2"/>
            <w:tcBorders>
              <w:top w:val="single" w:color="auto" w:sz="8" w:space="0"/>
              <w:left w:val="single" w:color="auto" w:sz="8" w:space="0"/>
              <w:right w:val="single" w:color="auto" w:sz="8" w:space="0"/>
            </w:tcBorders>
            <w:tcMar>
              <w:left w:w="28" w:type="dxa"/>
              <w:right w:w="28" w:type="dxa"/>
            </w:tcMar>
            <w:vAlign w:val="center"/>
          </w:tcPr>
          <w:p w14:paraId="39128BD8">
            <w:pPr>
              <w:keepNext w:val="0"/>
              <w:keepLines w:val="0"/>
              <w:pageBreakBefore w:val="0"/>
              <w:kinsoku/>
              <w:overflowPunct/>
              <w:topLinePunct w:val="0"/>
              <w:bidi w:val="0"/>
              <w:spacing w:line="240" w:lineRule="auto"/>
              <w:jc w:val="center"/>
              <w:textAlignment w:val="auto"/>
              <w:rPr>
                <w:rFonts w:hint="eastAsia" w:ascii="宋体" w:hAnsi="宋体" w:eastAsia="宋体" w:cs="宋体"/>
                <w:b/>
                <w:color w:val="auto"/>
                <w:szCs w:val="21"/>
              </w:rPr>
            </w:pPr>
            <w:r>
              <w:rPr>
                <w:rFonts w:hint="eastAsia" w:ascii="宋体" w:hAnsi="宋体" w:eastAsia="宋体" w:cs="宋体"/>
                <w:b/>
                <w:bCs/>
                <w:color w:val="auto"/>
                <w:szCs w:val="21"/>
              </w:rPr>
              <w:t>主要教学环节</w:t>
            </w:r>
          </w:p>
        </w:tc>
        <w:tc>
          <w:tcPr>
            <w:tcW w:w="7285" w:type="dxa"/>
            <w:tcBorders>
              <w:top w:val="single" w:color="auto" w:sz="8" w:space="0"/>
              <w:left w:val="single" w:color="auto" w:sz="8" w:space="0"/>
              <w:right w:val="single" w:color="auto" w:sz="8" w:space="0"/>
            </w:tcBorders>
            <w:vAlign w:val="center"/>
          </w:tcPr>
          <w:p w14:paraId="5A308DFD">
            <w:pPr>
              <w:keepNext w:val="0"/>
              <w:keepLines w:val="0"/>
              <w:pageBreakBefore w:val="0"/>
              <w:kinsoku/>
              <w:overflowPunct/>
              <w:topLinePunct w:val="0"/>
              <w:bidi w:val="0"/>
              <w:spacing w:line="240" w:lineRule="auto"/>
              <w:jc w:val="center"/>
              <w:textAlignment w:val="auto"/>
              <w:rPr>
                <w:rFonts w:hint="eastAsia" w:ascii="宋体" w:hAnsi="宋体" w:eastAsia="宋体" w:cs="宋体"/>
                <w:b/>
                <w:color w:val="auto"/>
                <w:szCs w:val="21"/>
              </w:rPr>
            </w:pPr>
            <w:r>
              <w:rPr>
                <w:rFonts w:hint="eastAsia" w:ascii="宋体" w:hAnsi="宋体" w:eastAsia="宋体" w:cs="宋体"/>
                <w:b/>
                <w:bCs/>
                <w:color w:val="auto"/>
                <w:szCs w:val="21"/>
              </w:rPr>
              <w:t>质量要求</w:t>
            </w:r>
          </w:p>
        </w:tc>
      </w:tr>
      <w:tr w14:paraId="2716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34" w:type="dxa"/>
            <w:tcBorders>
              <w:left w:val="single" w:color="auto" w:sz="8" w:space="0"/>
            </w:tcBorders>
            <w:vAlign w:val="center"/>
          </w:tcPr>
          <w:p w14:paraId="4AA79023">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1</w:t>
            </w:r>
          </w:p>
        </w:tc>
        <w:tc>
          <w:tcPr>
            <w:tcW w:w="922" w:type="dxa"/>
            <w:tcMar>
              <w:left w:w="28" w:type="dxa"/>
              <w:right w:w="28" w:type="dxa"/>
            </w:tcMar>
            <w:vAlign w:val="center"/>
          </w:tcPr>
          <w:p w14:paraId="044DEFCA">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备课</w:t>
            </w:r>
          </w:p>
        </w:tc>
        <w:tc>
          <w:tcPr>
            <w:tcW w:w="7285" w:type="dxa"/>
            <w:tcBorders>
              <w:right w:val="single" w:color="auto" w:sz="8" w:space="0"/>
            </w:tcBorders>
            <w:vAlign w:val="center"/>
          </w:tcPr>
          <w:p w14:paraId="71FE582A">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（1）教师掌握本课程教学大纲内容，严格按照教学大纲要求进行课程教学内容的组织。</w:t>
            </w:r>
          </w:p>
          <w:p w14:paraId="035F6ECB">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（2）教师查阅相关资料，参考其他高校相关专业的经验，认真编写教案，制作课件。</w:t>
            </w:r>
          </w:p>
          <w:p w14:paraId="133C386B">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（3）根据各主题的教学内容，根据学生最近发展区与个性特征，进行教学设计。</w:t>
            </w:r>
          </w:p>
        </w:tc>
      </w:tr>
      <w:tr w14:paraId="704B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534" w:type="dxa"/>
            <w:tcBorders>
              <w:left w:val="single" w:color="auto" w:sz="8" w:space="0"/>
            </w:tcBorders>
            <w:vAlign w:val="center"/>
          </w:tcPr>
          <w:p w14:paraId="5AACBA65">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2</w:t>
            </w:r>
          </w:p>
        </w:tc>
        <w:tc>
          <w:tcPr>
            <w:tcW w:w="922" w:type="dxa"/>
            <w:tcMar>
              <w:left w:w="28" w:type="dxa"/>
              <w:right w:w="28" w:type="dxa"/>
            </w:tcMar>
            <w:vAlign w:val="center"/>
          </w:tcPr>
          <w:p w14:paraId="0D35F7D1">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讲授</w:t>
            </w:r>
          </w:p>
        </w:tc>
        <w:tc>
          <w:tcPr>
            <w:tcW w:w="7285" w:type="dxa"/>
            <w:tcBorders>
              <w:right w:val="single" w:color="auto" w:sz="8" w:space="0"/>
            </w:tcBorders>
            <w:vAlign w:val="center"/>
          </w:tcPr>
          <w:p w14:paraId="1EB0501A">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（1）教师严格按照常州工学院课堂教学规范组织教学。</w:t>
            </w:r>
          </w:p>
          <w:p w14:paraId="2B4CAF1A">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（2）教师讲授时应注意条理清晰、重点突出；力求做到能够理论联系实际，深入浅出。</w:t>
            </w:r>
          </w:p>
          <w:p w14:paraId="4897CB68">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（3）教师讲授时应采用多种教学方式，如案例分析式、示范式等，充分调动学生参与课堂学习，培养学生对本专业的兴趣。</w:t>
            </w:r>
          </w:p>
        </w:tc>
      </w:tr>
      <w:tr w14:paraId="0842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534" w:type="dxa"/>
            <w:tcBorders>
              <w:left w:val="single" w:color="auto" w:sz="8" w:space="0"/>
            </w:tcBorders>
            <w:vAlign w:val="center"/>
          </w:tcPr>
          <w:p w14:paraId="235C1FCD">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3</w:t>
            </w:r>
          </w:p>
        </w:tc>
        <w:tc>
          <w:tcPr>
            <w:tcW w:w="922" w:type="dxa"/>
            <w:tcMar>
              <w:left w:w="28" w:type="dxa"/>
              <w:right w:w="28" w:type="dxa"/>
            </w:tcMar>
            <w:vAlign w:val="center"/>
          </w:tcPr>
          <w:p w14:paraId="70E7108A">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作业布置与批改</w:t>
            </w:r>
          </w:p>
        </w:tc>
        <w:tc>
          <w:tcPr>
            <w:tcW w:w="7285" w:type="dxa"/>
            <w:tcBorders>
              <w:right w:val="single" w:color="auto" w:sz="8" w:space="0"/>
            </w:tcBorders>
            <w:vAlign w:val="center"/>
          </w:tcPr>
          <w:p w14:paraId="2DE8E104">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b/>
                <w:bCs/>
                <w:color w:val="auto"/>
                <w:szCs w:val="21"/>
              </w:rPr>
              <w:t>学生作业必须达到以下基本要求：</w:t>
            </w:r>
          </w:p>
          <w:p w14:paraId="7755FFF9">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（1）按时按量完成作业，不缺交，不抄袭。</w:t>
            </w:r>
          </w:p>
          <w:p w14:paraId="0B5F5338">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（2）书写或打印规范。</w:t>
            </w:r>
          </w:p>
          <w:p w14:paraId="6AAB47CD">
            <w:pPr>
              <w:keepNext w:val="0"/>
              <w:keepLines w:val="0"/>
              <w:pageBreakBefore w:val="0"/>
              <w:kinsoku/>
              <w:overflowPunct/>
              <w:topLinePunct w:val="0"/>
              <w:bidi w:val="0"/>
              <w:spacing w:line="240" w:lineRule="auto"/>
              <w:textAlignment w:val="auto"/>
              <w:rPr>
                <w:rFonts w:hint="eastAsia" w:ascii="宋体" w:hAnsi="宋体" w:eastAsia="宋体" w:cs="宋体"/>
                <w:b/>
                <w:bCs/>
                <w:color w:val="auto"/>
                <w:szCs w:val="21"/>
              </w:rPr>
            </w:pPr>
            <w:r>
              <w:rPr>
                <w:rFonts w:hint="eastAsia" w:ascii="宋体" w:hAnsi="宋体" w:eastAsia="宋体" w:cs="宋体"/>
                <w:b/>
                <w:bCs/>
                <w:color w:val="auto"/>
                <w:szCs w:val="21"/>
              </w:rPr>
              <w:t>教师批改和讲评作业要求如下：</w:t>
            </w:r>
          </w:p>
          <w:p w14:paraId="5F085C9F">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（1）学生的作业要按时全部批改，并及时进行讲评、反馈。</w:t>
            </w:r>
          </w:p>
          <w:p w14:paraId="02478440">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（2）学生作业的平均成绩应作为本课程总评成绩的重要组成部分。</w:t>
            </w:r>
          </w:p>
        </w:tc>
      </w:tr>
      <w:tr w14:paraId="6B66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534" w:type="dxa"/>
            <w:tcBorders>
              <w:left w:val="single" w:color="auto" w:sz="8" w:space="0"/>
            </w:tcBorders>
            <w:vAlign w:val="center"/>
          </w:tcPr>
          <w:p w14:paraId="7299770F">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4</w:t>
            </w:r>
          </w:p>
        </w:tc>
        <w:tc>
          <w:tcPr>
            <w:tcW w:w="922" w:type="dxa"/>
            <w:tcMar>
              <w:left w:w="28" w:type="dxa"/>
              <w:right w:w="28" w:type="dxa"/>
            </w:tcMar>
            <w:vAlign w:val="center"/>
          </w:tcPr>
          <w:p w14:paraId="12C6711D">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课外答疑</w:t>
            </w:r>
          </w:p>
        </w:tc>
        <w:tc>
          <w:tcPr>
            <w:tcW w:w="7285" w:type="dxa"/>
            <w:tcBorders>
              <w:right w:val="single" w:color="auto" w:sz="8" w:space="0"/>
            </w:tcBorders>
            <w:vAlign w:val="center"/>
          </w:tcPr>
          <w:p w14:paraId="1A82008A">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4DFB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34" w:type="dxa"/>
            <w:tcBorders>
              <w:left w:val="single" w:color="auto" w:sz="8" w:space="0"/>
            </w:tcBorders>
            <w:vAlign w:val="center"/>
          </w:tcPr>
          <w:p w14:paraId="57660B8C">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5</w:t>
            </w:r>
          </w:p>
        </w:tc>
        <w:tc>
          <w:tcPr>
            <w:tcW w:w="922" w:type="dxa"/>
            <w:tcMar>
              <w:left w:w="28" w:type="dxa"/>
              <w:right w:w="28" w:type="dxa"/>
            </w:tcMar>
            <w:vAlign w:val="center"/>
          </w:tcPr>
          <w:p w14:paraId="3A7994BE">
            <w:pPr>
              <w:keepNext w:val="0"/>
              <w:keepLines w:val="0"/>
              <w:pageBreakBefore w:val="0"/>
              <w:kinsoku/>
              <w:overflowPunct/>
              <w:topLinePunct w:val="0"/>
              <w:bidi w:val="0"/>
              <w:spacing w:line="240" w:lineRule="auto"/>
              <w:jc w:val="center"/>
              <w:textAlignment w:val="auto"/>
              <w:rPr>
                <w:rFonts w:hint="eastAsia" w:ascii="宋体" w:hAnsi="宋体" w:eastAsia="宋体" w:cs="宋体"/>
                <w:color w:val="auto"/>
                <w:szCs w:val="21"/>
              </w:rPr>
            </w:pPr>
            <w:r>
              <w:rPr>
                <w:rFonts w:hint="eastAsia" w:ascii="宋体" w:hAnsi="宋体" w:eastAsia="宋体" w:cs="宋体"/>
                <w:color w:val="auto"/>
                <w:szCs w:val="21"/>
              </w:rPr>
              <w:t>成绩考核</w:t>
            </w:r>
          </w:p>
        </w:tc>
        <w:tc>
          <w:tcPr>
            <w:tcW w:w="7285" w:type="dxa"/>
            <w:tcBorders>
              <w:right w:val="single" w:color="auto" w:sz="8" w:space="0"/>
            </w:tcBorders>
            <w:vAlign w:val="center"/>
          </w:tcPr>
          <w:p w14:paraId="39FC1516">
            <w:pPr>
              <w:keepNext w:val="0"/>
              <w:keepLines w:val="0"/>
              <w:pageBreakBefore w:val="0"/>
              <w:kinsoku/>
              <w:overflowPunct/>
              <w:topLinePunct w:val="0"/>
              <w:bidi w:val="0"/>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本课程考核的方式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平时成绩（</w:t>
            </w:r>
            <w:r>
              <w:rPr>
                <w:rFonts w:hint="eastAsia" w:ascii="宋体" w:hAnsi="宋体" w:eastAsia="等线" w:cs="宋体"/>
                <w:color w:val="auto"/>
                <w:szCs w:val="21"/>
                <w:lang w:val="en-US" w:eastAsia="zh-CN"/>
              </w:rPr>
              <w:t>4</w:t>
            </w:r>
            <w:r>
              <w:rPr>
                <w:rFonts w:hint="eastAsia" w:ascii="宋体" w:hAnsi="宋体" w:eastAsia="宋体" w:cs="宋体"/>
                <w:color w:val="auto"/>
                <w:szCs w:val="21"/>
                <w:lang w:val="en-US" w:eastAsia="zh-CN"/>
              </w:rPr>
              <w:t>0%）+</w:t>
            </w:r>
            <w:r>
              <w:rPr>
                <w:rFonts w:hint="eastAsia" w:ascii="宋体" w:hAnsi="宋体" w:eastAsia="等线" w:cs="宋体"/>
                <w:color w:val="auto"/>
                <w:szCs w:val="21"/>
                <w:lang w:val="en-US" w:eastAsia="zh-CN"/>
              </w:rPr>
              <w:t>期末考试</w:t>
            </w:r>
            <w:r>
              <w:rPr>
                <w:rFonts w:hint="eastAsia" w:ascii="宋体" w:hAnsi="宋体" w:eastAsia="宋体" w:cs="宋体"/>
                <w:color w:val="auto"/>
                <w:szCs w:val="21"/>
                <w:lang w:eastAsia="zh-CN"/>
              </w:rPr>
              <w:t>（</w:t>
            </w:r>
            <w:r>
              <w:rPr>
                <w:rFonts w:hint="eastAsia" w:ascii="宋体" w:hAnsi="宋体" w:eastAsia="等线" w:cs="宋体"/>
                <w:color w:val="auto"/>
                <w:szCs w:val="21"/>
                <w:lang w:val="en-US" w:eastAsia="zh-CN"/>
              </w:rPr>
              <w:t>6</w:t>
            </w:r>
            <w:r>
              <w:rPr>
                <w:rFonts w:hint="eastAsia" w:ascii="宋体" w:hAnsi="宋体" w:eastAsia="宋体" w:cs="宋体"/>
                <w:color w:val="auto"/>
                <w:szCs w:val="21"/>
                <w:lang w:val="en-US" w:eastAsia="zh-CN"/>
              </w:rPr>
              <w:t>0%</w:t>
            </w:r>
            <w:r>
              <w:rPr>
                <w:rFonts w:hint="eastAsia" w:ascii="宋体" w:hAnsi="宋体" w:eastAsia="宋体" w:cs="宋体"/>
                <w:color w:val="auto"/>
                <w:szCs w:val="21"/>
                <w:lang w:eastAsia="zh-CN"/>
              </w:rPr>
              <w:t>）</w:t>
            </w:r>
            <w:r>
              <w:rPr>
                <w:rFonts w:hint="eastAsia" w:ascii="宋体" w:hAnsi="宋体" w:eastAsia="宋体" w:cs="宋体"/>
                <w:color w:val="auto"/>
                <w:szCs w:val="21"/>
              </w:rPr>
              <w:t>。</w:t>
            </w:r>
          </w:p>
        </w:tc>
      </w:tr>
    </w:tbl>
    <w:p w14:paraId="3956127B">
      <w:pPr>
        <w:keepNext w:val="0"/>
        <w:keepLines w:val="0"/>
        <w:pageBreakBefore w:val="0"/>
        <w:kinsoku/>
        <w:overflowPunct/>
        <w:topLinePunct w:val="0"/>
        <w:bidi w:val="0"/>
        <w:spacing w:line="360" w:lineRule="auto"/>
        <w:ind w:firstLine="562" w:firstLineChars="200"/>
        <w:textAlignment w:val="auto"/>
        <w:outlineLvl w:val="1"/>
        <w:rPr>
          <w:rFonts w:hint="eastAsia" w:ascii="宋体" w:hAnsi="宋体" w:eastAsia="宋体" w:cs="宋体"/>
          <w:b/>
          <w:color w:val="auto"/>
          <w:sz w:val="28"/>
          <w:szCs w:val="28"/>
        </w:rPr>
      </w:pPr>
      <w:bookmarkStart w:id="2679" w:name="_Toc31779"/>
      <w:r>
        <w:rPr>
          <w:rFonts w:hint="eastAsia" w:ascii="宋体" w:hAnsi="宋体" w:eastAsia="宋体" w:cs="宋体"/>
          <w:b/>
          <w:color w:val="auto"/>
          <w:sz w:val="28"/>
          <w:szCs w:val="28"/>
        </w:rPr>
        <w:t>五、课程考核</w:t>
      </w:r>
      <w:bookmarkEnd w:id="2679"/>
    </w:p>
    <w:p w14:paraId="28B356CC">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（一）课程考核包括期末考试、平时</w:t>
      </w:r>
      <w:r>
        <w:rPr>
          <w:rFonts w:hint="eastAsia" w:ascii="宋体" w:hAnsi="宋体" w:eastAsia="宋体" w:cs="宋体"/>
          <w:color w:val="auto"/>
          <w:sz w:val="24"/>
          <w:szCs w:val="22"/>
          <w:lang w:val="en-US" w:eastAsia="zh-CN"/>
        </w:rPr>
        <w:t>成绩（课堂表现+出勤+</w:t>
      </w:r>
      <w:r>
        <w:rPr>
          <w:rFonts w:hint="eastAsia" w:ascii="宋体" w:hAnsi="宋体" w:eastAsia="宋体" w:cs="宋体"/>
          <w:color w:val="auto"/>
          <w:sz w:val="24"/>
          <w:szCs w:val="22"/>
        </w:rPr>
        <w:t>作业考核</w:t>
      </w:r>
      <w:r>
        <w:rPr>
          <w:rFonts w:hint="eastAsia" w:ascii="宋体" w:hAnsi="宋体" w:eastAsia="宋体" w:cs="宋体"/>
          <w:color w:val="auto"/>
          <w:sz w:val="24"/>
          <w:szCs w:val="22"/>
          <w:lang w:eastAsia="zh-CN"/>
        </w:rPr>
        <w:t>）</w:t>
      </w:r>
      <w:r>
        <w:rPr>
          <w:rFonts w:hint="eastAsia" w:ascii="宋体" w:hAnsi="宋体" w:eastAsia="宋体" w:cs="宋体"/>
          <w:color w:val="auto"/>
          <w:sz w:val="24"/>
          <w:szCs w:val="22"/>
        </w:rPr>
        <w:t>，期末考试采用</w:t>
      </w:r>
      <w:r>
        <w:rPr>
          <w:rFonts w:hint="eastAsia" w:ascii="宋体" w:hAnsi="宋体" w:eastAsia="等线" w:cs="宋体"/>
          <w:color w:val="auto"/>
          <w:sz w:val="24"/>
          <w:szCs w:val="22"/>
          <w:lang w:val="en-US" w:eastAsia="zh-CN"/>
        </w:rPr>
        <w:t>研讨报告</w:t>
      </w:r>
      <w:r>
        <w:rPr>
          <w:rFonts w:hint="eastAsia" w:ascii="宋体" w:hAnsi="宋体" w:eastAsia="宋体" w:cs="宋体"/>
          <w:color w:val="auto"/>
          <w:sz w:val="24"/>
          <w:szCs w:val="22"/>
        </w:rPr>
        <w:t>方式。</w:t>
      </w:r>
    </w:p>
    <w:p w14:paraId="33057891">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（二）课程总评成绩=平时成绩×</w:t>
      </w:r>
      <w:r>
        <w:rPr>
          <w:rFonts w:hint="eastAsia" w:ascii="宋体" w:hAnsi="宋体" w:eastAsia="等线" w:cs="宋体"/>
          <w:color w:val="auto"/>
          <w:sz w:val="24"/>
          <w:szCs w:val="22"/>
          <w:lang w:val="en-US" w:eastAsia="zh-CN"/>
        </w:rPr>
        <w:t>4</w:t>
      </w:r>
      <w:r>
        <w:rPr>
          <w:rFonts w:hint="eastAsia" w:ascii="宋体" w:hAnsi="宋体" w:eastAsia="宋体" w:cs="宋体"/>
          <w:color w:val="auto"/>
          <w:sz w:val="24"/>
          <w:szCs w:val="22"/>
        </w:rPr>
        <w:t>0%+期末</w:t>
      </w:r>
      <w:r>
        <w:rPr>
          <w:rFonts w:hint="eastAsia" w:ascii="宋体" w:hAnsi="宋体" w:eastAsia="等线" w:cs="宋体"/>
          <w:color w:val="auto"/>
          <w:sz w:val="24"/>
          <w:szCs w:val="22"/>
          <w:lang w:val="en-US" w:eastAsia="zh-CN"/>
        </w:rPr>
        <w:t>考试</w:t>
      </w:r>
      <w:r>
        <w:rPr>
          <w:rFonts w:hint="eastAsia" w:ascii="宋体" w:hAnsi="宋体" w:eastAsia="宋体" w:cs="宋体"/>
          <w:color w:val="auto"/>
          <w:sz w:val="24"/>
          <w:szCs w:val="22"/>
        </w:rPr>
        <w:t>×</w:t>
      </w:r>
      <w:r>
        <w:rPr>
          <w:rFonts w:hint="eastAsia" w:ascii="宋体" w:hAnsi="宋体" w:eastAsia="等线" w:cs="宋体"/>
          <w:color w:val="auto"/>
          <w:sz w:val="24"/>
          <w:szCs w:val="22"/>
          <w:lang w:val="en-US" w:eastAsia="zh-CN"/>
        </w:rPr>
        <w:t>6</w:t>
      </w:r>
      <w:r>
        <w:rPr>
          <w:rFonts w:hint="eastAsia" w:ascii="宋体" w:hAnsi="宋体" w:eastAsia="宋体" w:cs="宋体"/>
          <w:color w:val="auto"/>
          <w:sz w:val="24"/>
          <w:szCs w:val="22"/>
        </w:rPr>
        <w:t>0%。</w:t>
      </w:r>
    </w:p>
    <w:p w14:paraId="4F24EC6F">
      <w:pPr>
        <w:keepNext w:val="0"/>
        <w:keepLines w:val="0"/>
        <w:pageBreakBefore w:val="0"/>
        <w:kinsoku/>
        <w:overflowPunct/>
        <w:topLinePunct w:val="0"/>
        <w:bidi w:val="0"/>
        <w:spacing w:line="360" w:lineRule="auto"/>
        <w:ind w:firstLine="482" w:firstLineChars="200"/>
        <w:textAlignment w:val="auto"/>
        <w:rPr>
          <w:rFonts w:hint="eastAsia" w:ascii="宋体" w:hAnsi="宋体" w:eastAsia="宋体" w:cs="宋体"/>
          <w:b/>
          <w:color w:val="auto"/>
          <w:sz w:val="24"/>
          <w:szCs w:val="22"/>
        </w:rPr>
      </w:pPr>
      <w:r>
        <w:rPr>
          <w:rFonts w:hint="eastAsia" w:ascii="宋体" w:hAnsi="宋体" w:eastAsia="宋体" w:cs="宋体"/>
          <w:b/>
          <w:color w:val="auto"/>
          <w:sz w:val="24"/>
          <w:szCs w:val="22"/>
        </w:rPr>
        <w:t>具体内容和比例如表所示：</w:t>
      </w:r>
    </w:p>
    <w:tbl>
      <w:tblPr>
        <w:tblStyle w:val="1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3484"/>
        <w:gridCol w:w="1200"/>
        <w:gridCol w:w="661"/>
        <w:gridCol w:w="1248"/>
      </w:tblGrid>
      <w:tr w14:paraId="3F7F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shd w:val="clear" w:color="auto" w:fill="FFFFFF"/>
            <w:tcMar>
              <w:left w:w="57" w:type="dxa"/>
              <w:right w:w="57" w:type="dxa"/>
            </w:tcMar>
            <w:vAlign w:val="center"/>
          </w:tcPr>
          <w:p w14:paraId="2A044E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成绩组成</w:t>
            </w:r>
          </w:p>
        </w:tc>
        <w:tc>
          <w:tcPr>
            <w:tcW w:w="1134" w:type="dxa"/>
            <w:shd w:val="clear" w:color="auto" w:fill="FFFFFF"/>
            <w:vAlign w:val="center"/>
          </w:tcPr>
          <w:p w14:paraId="39D93D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考核/</w:t>
            </w:r>
          </w:p>
          <w:p w14:paraId="37E6D4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评价环节</w:t>
            </w:r>
          </w:p>
        </w:tc>
        <w:tc>
          <w:tcPr>
            <w:tcW w:w="709" w:type="dxa"/>
            <w:shd w:val="clear" w:color="auto" w:fill="FFFFFF"/>
            <w:vAlign w:val="center"/>
          </w:tcPr>
          <w:p w14:paraId="481A58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权重</w:t>
            </w:r>
          </w:p>
        </w:tc>
        <w:tc>
          <w:tcPr>
            <w:tcW w:w="3484" w:type="dxa"/>
            <w:shd w:val="clear" w:color="auto" w:fill="FFFFFF"/>
            <w:vAlign w:val="center"/>
          </w:tcPr>
          <w:p w14:paraId="11614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考核/评价细则</w:t>
            </w:r>
          </w:p>
        </w:tc>
        <w:tc>
          <w:tcPr>
            <w:tcW w:w="1200" w:type="dxa"/>
            <w:shd w:val="clear" w:color="auto" w:fill="FFFFFF"/>
          </w:tcPr>
          <w:p w14:paraId="2B794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课程</w:t>
            </w:r>
          </w:p>
          <w:p w14:paraId="5C364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目标</w:t>
            </w:r>
          </w:p>
        </w:tc>
        <w:tc>
          <w:tcPr>
            <w:tcW w:w="661" w:type="dxa"/>
            <w:shd w:val="clear" w:color="auto" w:fill="FFFFFF"/>
          </w:tcPr>
          <w:p w14:paraId="66DDA7AC">
            <w:pPr>
              <w:keepNext w:val="0"/>
              <w:keepLines w:val="0"/>
              <w:pageBreakBefore w:val="0"/>
              <w:widowControl w:val="0"/>
              <w:kinsoku/>
              <w:wordWrap/>
              <w:overflowPunct/>
              <w:topLinePunct w:val="0"/>
              <w:autoSpaceDE/>
              <w:autoSpaceDN/>
              <w:bidi w:val="0"/>
              <w:adjustRightInd/>
              <w:snapToGrid/>
              <w:spacing w:line="240" w:lineRule="auto"/>
              <w:ind w:left="-107" w:leftChars="-51"/>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考核</w:t>
            </w:r>
          </w:p>
          <w:p w14:paraId="6109538C">
            <w:pPr>
              <w:keepNext w:val="0"/>
              <w:keepLines w:val="0"/>
              <w:pageBreakBefore w:val="0"/>
              <w:widowControl w:val="0"/>
              <w:kinsoku/>
              <w:wordWrap/>
              <w:overflowPunct/>
              <w:topLinePunct w:val="0"/>
              <w:autoSpaceDE/>
              <w:autoSpaceDN/>
              <w:bidi w:val="0"/>
              <w:adjustRightInd/>
              <w:snapToGrid/>
              <w:spacing w:line="240" w:lineRule="auto"/>
              <w:ind w:left="-107" w:leftChars="-51"/>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内容</w:t>
            </w:r>
          </w:p>
        </w:tc>
        <w:tc>
          <w:tcPr>
            <w:tcW w:w="1248" w:type="dxa"/>
            <w:shd w:val="clear" w:color="auto" w:fill="FFFFFF"/>
            <w:vAlign w:val="center"/>
          </w:tcPr>
          <w:p w14:paraId="4184E9CB">
            <w:pPr>
              <w:keepNext w:val="0"/>
              <w:keepLines w:val="0"/>
              <w:pageBreakBefore w:val="0"/>
              <w:widowControl w:val="0"/>
              <w:kinsoku/>
              <w:wordWrap/>
              <w:overflowPunct/>
              <w:topLinePunct w:val="0"/>
              <w:autoSpaceDE/>
              <w:autoSpaceDN/>
              <w:bidi w:val="0"/>
              <w:adjustRightInd/>
              <w:snapToGrid/>
              <w:spacing w:line="240" w:lineRule="auto"/>
              <w:ind w:left="-107" w:leftChars="-51"/>
              <w:jc w:val="center"/>
              <w:textAlignment w:val="auto"/>
              <w:rPr>
                <w:rFonts w:hint="eastAsia" w:ascii="宋体" w:hAnsi="宋体" w:eastAsia="宋体" w:cs="宋体"/>
                <w:b/>
                <w:color w:val="auto"/>
                <w:szCs w:val="22"/>
              </w:rPr>
            </w:pPr>
            <w:r>
              <w:rPr>
                <w:rFonts w:hint="eastAsia" w:ascii="宋体" w:hAnsi="宋体" w:eastAsia="宋体" w:cs="宋体"/>
                <w:b/>
                <w:color w:val="auto"/>
                <w:szCs w:val="22"/>
              </w:rPr>
              <w:t>对应的毕业要求指标点</w:t>
            </w:r>
          </w:p>
        </w:tc>
      </w:tr>
      <w:tr w14:paraId="6D78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4" w:type="dxa"/>
            <w:tcMar>
              <w:left w:w="57" w:type="dxa"/>
              <w:right w:w="57" w:type="dxa"/>
            </w:tcMar>
            <w:vAlign w:val="center"/>
          </w:tcPr>
          <w:p w14:paraId="6478F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宋体" w:cs="宋体"/>
                <w:color w:val="auto"/>
                <w:szCs w:val="22"/>
              </w:rPr>
              <w:t>平时成绩</w:t>
            </w:r>
          </w:p>
        </w:tc>
        <w:tc>
          <w:tcPr>
            <w:tcW w:w="1134" w:type="dxa"/>
            <w:vAlign w:val="center"/>
          </w:tcPr>
          <w:p w14:paraId="755481C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2"/>
              </w:rPr>
            </w:pPr>
            <w:r>
              <w:rPr>
                <w:rFonts w:hint="eastAsia" w:ascii="宋体" w:hAnsi="宋体" w:eastAsia="宋体" w:cs="宋体"/>
                <w:color w:val="auto"/>
                <w:szCs w:val="22"/>
              </w:rPr>
              <w:t>课堂表现、考勤及平时作业</w:t>
            </w:r>
          </w:p>
        </w:tc>
        <w:tc>
          <w:tcPr>
            <w:tcW w:w="709" w:type="dxa"/>
            <w:vAlign w:val="center"/>
          </w:tcPr>
          <w:p w14:paraId="31F0DC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等线" w:cs="宋体"/>
                <w:color w:val="auto"/>
                <w:szCs w:val="22"/>
                <w:lang w:val="en-US" w:eastAsia="zh-CN"/>
              </w:rPr>
              <w:t>4</w:t>
            </w:r>
            <w:r>
              <w:rPr>
                <w:rFonts w:hint="eastAsia" w:ascii="宋体" w:hAnsi="宋体" w:eastAsia="宋体" w:cs="宋体"/>
                <w:color w:val="auto"/>
                <w:szCs w:val="22"/>
              </w:rPr>
              <w:t>0%</w:t>
            </w:r>
          </w:p>
        </w:tc>
        <w:tc>
          <w:tcPr>
            <w:tcW w:w="3484" w:type="dxa"/>
            <w:vAlign w:val="center"/>
          </w:tcPr>
          <w:p w14:paraId="4E1B534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color w:val="auto"/>
                <w:kern w:val="2"/>
                <w:sz w:val="24"/>
                <w:szCs w:val="21"/>
                <w:lang w:val="en-US" w:eastAsia="zh-CN" w:bidi="ar-SA"/>
              </w:rPr>
            </w:pPr>
            <w:r>
              <w:rPr>
                <w:rFonts w:hint="eastAsia" w:ascii="宋体" w:hAnsi="宋体" w:eastAsia="宋体" w:cs="宋体"/>
                <w:b/>
                <w:bCs/>
                <w:color w:val="auto"/>
                <w:kern w:val="2"/>
                <w:sz w:val="24"/>
                <w:szCs w:val="21"/>
                <w:lang w:val="en-US" w:eastAsia="zh-CN" w:bidi="ar-SA"/>
              </w:rPr>
              <w:t>1.课堂表现（10%）：</w:t>
            </w:r>
            <w:r>
              <w:rPr>
                <w:rFonts w:hint="eastAsia" w:ascii="宋体" w:hAnsi="宋体" w:eastAsia="宋体" w:cs="宋体"/>
                <w:color w:val="auto"/>
                <w:kern w:val="2"/>
                <w:sz w:val="24"/>
                <w:szCs w:val="21"/>
                <w:lang w:val="en-US" w:eastAsia="zh-CN" w:bidi="ar-SA"/>
              </w:rPr>
              <w:t>勤于思考，积极主动回答提问。表现优秀按满分计算，具体根据表现情况酌情加减分。</w:t>
            </w:r>
          </w:p>
          <w:p w14:paraId="41F8CA8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rPr>
            </w:pPr>
            <w:r>
              <w:rPr>
                <w:rFonts w:hint="eastAsia" w:ascii="宋体" w:hAnsi="宋体" w:eastAsia="宋体" w:cs="宋体"/>
                <w:b/>
                <w:bCs/>
                <w:color w:val="auto"/>
                <w:szCs w:val="21"/>
                <w:lang w:val="en-US" w:eastAsia="zh-CN"/>
              </w:rPr>
              <w:t>2.</w:t>
            </w:r>
            <w:r>
              <w:rPr>
                <w:rFonts w:hint="eastAsia" w:ascii="宋体" w:hAnsi="宋体" w:eastAsia="宋体" w:cs="宋体"/>
                <w:b/>
                <w:bCs/>
                <w:color w:val="auto"/>
                <w:szCs w:val="21"/>
              </w:rPr>
              <w:t>平时作业</w:t>
            </w:r>
            <w:r>
              <w:rPr>
                <w:rFonts w:hint="eastAsia" w:ascii="宋体" w:hAnsi="宋体" w:eastAsia="宋体" w:cs="宋体"/>
                <w:b/>
                <w:bCs/>
                <w:color w:val="auto"/>
                <w:szCs w:val="21"/>
                <w:lang w:eastAsia="zh-CN"/>
              </w:rPr>
              <w:t>（</w:t>
            </w:r>
            <w:r>
              <w:rPr>
                <w:rFonts w:hint="eastAsia" w:ascii="宋体" w:hAnsi="宋体" w:eastAsia="宋体" w:cs="宋体"/>
                <w:b/>
                <w:bCs/>
                <w:color w:val="auto"/>
                <w:szCs w:val="21"/>
                <w:lang w:val="en-US" w:eastAsia="zh-CN"/>
              </w:rPr>
              <w:t>80%</w:t>
            </w:r>
            <w:r>
              <w:rPr>
                <w:rFonts w:hint="eastAsia" w:ascii="宋体" w:hAnsi="宋体" w:eastAsia="宋体" w:cs="宋体"/>
                <w:b/>
                <w:bCs/>
                <w:color w:val="auto"/>
                <w:szCs w:val="21"/>
                <w:lang w:eastAsia="zh-CN"/>
              </w:rPr>
              <w:t>）</w:t>
            </w:r>
            <w:r>
              <w:rPr>
                <w:rFonts w:hint="eastAsia" w:ascii="宋体" w:hAnsi="宋体" w:eastAsia="宋体" w:cs="宋体"/>
                <w:b/>
                <w:bCs/>
                <w:color w:val="auto"/>
                <w:szCs w:val="21"/>
              </w:rPr>
              <w:t>：</w:t>
            </w:r>
            <w:r>
              <w:rPr>
                <w:rFonts w:hint="eastAsia" w:ascii="宋体" w:hAnsi="宋体" w:eastAsia="宋体" w:cs="宋体"/>
                <w:color w:val="auto"/>
                <w:szCs w:val="21"/>
              </w:rPr>
              <w:t>课后完成3次作业，主要考核学生对每节课知识点的复习、理解和掌握程度，计算全部作业的平均成绩。</w:t>
            </w:r>
          </w:p>
          <w:p w14:paraId="45CB400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color w:val="auto"/>
                <w:kern w:val="2"/>
                <w:sz w:val="24"/>
                <w:szCs w:val="21"/>
                <w:lang w:val="en-US" w:eastAsia="zh-CN" w:bidi="ar-SA"/>
              </w:rPr>
            </w:pPr>
            <w:r>
              <w:rPr>
                <w:rFonts w:hint="eastAsia" w:ascii="宋体" w:hAnsi="宋体" w:eastAsia="宋体" w:cs="宋体"/>
                <w:b/>
                <w:bCs/>
                <w:color w:val="auto"/>
                <w:kern w:val="2"/>
                <w:sz w:val="21"/>
                <w:szCs w:val="21"/>
                <w:lang w:val="en-US" w:eastAsia="zh-CN" w:bidi="ar-SA"/>
              </w:rPr>
              <w:t>3.课堂考勤（10%）：</w:t>
            </w:r>
            <w:r>
              <w:rPr>
                <w:rFonts w:hint="eastAsia" w:ascii="宋体" w:hAnsi="宋体" w:eastAsia="宋体" w:cs="宋体"/>
                <w:color w:val="auto"/>
                <w:kern w:val="2"/>
                <w:sz w:val="24"/>
                <w:szCs w:val="21"/>
                <w:lang w:val="en-US" w:eastAsia="zh-CN" w:bidi="ar-SA"/>
              </w:rPr>
              <w:t>事假一次扣5分，无故缺席一次扣10分，病假不扣分。</w:t>
            </w:r>
          </w:p>
        </w:tc>
        <w:tc>
          <w:tcPr>
            <w:tcW w:w="1200" w:type="dxa"/>
            <w:vAlign w:val="center"/>
          </w:tcPr>
          <w:p w14:paraId="08E811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宋体" w:cs="宋体"/>
                <w:color w:val="auto"/>
                <w:szCs w:val="22"/>
              </w:rPr>
              <w:t>课程目标1</w:t>
            </w:r>
          </w:p>
          <w:p w14:paraId="588EF8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宋体" w:cs="宋体"/>
                <w:color w:val="auto"/>
                <w:szCs w:val="22"/>
              </w:rPr>
              <w:t>课程目标2</w:t>
            </w:r>
          </w:p>
        </w:tc>
        <w:tc>
          <w:tcPr>
            <w:tcW w:w="661" w:type="dxa"/>
          </w:tcPr>
          <w:p w14:paraId="2E20C7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Cs w:val="21"/>
              </w:rPr>
            </w:pPr>
          </w:p>
        </w:tc>
        <w:tc>
          <w:tcPr>
            <w:tcW w:w="1248" w:type="dxa"/>
            <w:vAlign w:val="center"/>
          </w:tcPr>
          <w:p w14:paraId="73AD4A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Cs w:val="22"/>
                <w:lang w:eastAsia="zh-CN"/>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r>
      <w:tr w14:paraId="22EF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624" w:type="dxa"/>
            <w:tcMar>
              <w:left w:w="57" w:type="dxa"/>
              <w:right w:w="57" w:type="dxa"/>
            </w:tcMar>
            <w:vAlign w:val="center"/>
          </w:tcPr>
          <w:p w14:paraId="5BC990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宋体" w:cs="宋体"/>
                <w:color w:val="auto"/>
                <w:szCs w:val="22"/>
              </w:rPr>
              <w:t>期末考试</w:t>
            </w:r>
          </w:p>
        </w:tc>
        <w:tc>
          <w:tcPr>
            <w:tcW w:w="1134" w:type="dxa"/>
            <w:vAlign w:val="center"/>
          </w:tcPr>
          <w:p w14:paraId="100E72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宋体" w:cs="宋体"/>
                <w:color w:val="auto"/>
                <w:szCs w:val="22"/>
              </w:rPr>
              <w:t>期末</w:t>
            </w:r>
            <w:r>
              <w:rPr>
                <w:rFonts w:hint="eastAsia" w:ascii="宋体" w:hAnsi="宋体" w:eastAsia="等线" w:cs="宋体"/>
                <w:color w:val="auto"/>
                <w:szCs w:val="22"/>
                <w:lang w:val="en-US" w:eastAsia="zh-CN"/>
              </w:rPr>
              <w:t>考试报告</w:t>
            </w:r>
            <w:r>
              <w:rPr>
                <w:rFonts w:hint="eastAsia" w:ascii="宋体" w:hAnsi="宋体" w:eastAsia="宋体" w:cs="宋体"/>
                <w:color w:val="auto"/>
                <w:szCs w:val="22"/>
              </w:rPr>
              <w:t>成绩</w:t>
            </w:r>
          </w:p>
        </w:tc>
        <w:tc>
          <w:tcPr>
            <w:tcW w:w="709" w:type="dxa"/>
            <w:vAlign w:val="center"/>
          </w:tcPr>
          <w:p w14:paraId="68A4A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等线" w:cs="宋体"/>
                <w:color w:val="auto"/>
                <w:szCs w:val="22"/>
                <w:lang w:val="en-US" w:eastAsia="zh-CN"/>
              </w:rPr>
              <w:t>6</w:t>
            </w:r>
            <w:r>
              <w:rPr>
                <w:rFonts w:hint="eastAsia" w:ascii="宋体" w:hAnsi="宋体" w:eastAsia="宋体" w:cs="宋体"/>
                <w:color w:val="auto"/>
                <w:szCs w:val="22"/>
              </w:rPr>
              <w:t>0%</w:t>
            </w:r>
          </w:p>
        </w:tc>
        <w:tc>
          <w:tcPr>
            <w:tcW w:w="3484" w:type="dxa"/>
            <w:vAlign w:val="center"/>
          </w:tcPr>
          <w:p w14:paraId="31F08C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考核学生。</w:t>
            </w:r>
          </w:p>
        </w:tc>
        <w:tc>
          <w:tcPr>
            <w:tcW w:w="1200" w:type="dxa"/>
            <w:vAlign w:val="center"/>
          </w:tcPr>
          <w:p w14:paraId="79B6DC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宋体" w:cs="宋体"/>
                <w:color w:val="auto"/>
                <w:szCs w:val="22"/>
              </w:rPr>
              <w:t>课程目标1</w:t>
            </w:r>
          </w:p>
          <w:p w14:paraId="3E3617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Cs w:val="22"/>
              </w:rPr>
            </w:pPr>
            <w:r>
              <w:rPr>
                <w:rFonts w:hint="eastAsia" w:ascii="宋体" w:hAnsi="宋体" w:eastAsia="宋体" w:cs="宋体"/>
                <w:color w:val="auto"/>
                <w:szCs w:val="22"/>
              </w:rPr>
              <w:t>课程目标2</w:t>
            </w:r>
          </w:p>
        </w:tc>
        <w:tc>
          <w:tcPr>
            <w:tcW w:w="661" w:type="dxa"/>
          </w:tcPr>
          <w:p w14:paraId="64E80AA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rPr>
            </w:pPr>
          </w:p>
        </w:tc>
        <w:tc>
          <w:tcPr>
            <w:tcW w:w="1248" w:type="dxa"/>
            <w:vAlign w:val="center"/>
          </w:tcPr>
          <w:p w14:paraId="70C1150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1"/>
              </w:rPr>
            </w:pPr>
            <w:r>
              <w:rPr>
                <w:rFonts w:hint="eastAsia" w:ascii="宋体" w:hAnsi="宋体" w:eastAsia="等线" w:cs="Times New Roman"/>
                <w:szCs w:val="21"/>
                <w:lang w:val="en-US" w:eastAsia="zh-CN"/>
              </w:rPr>
              <w:t>2</w:t>
            </w:r>
            <w:r>
              <w:rPr>
                <w:rFonts w:hint="eastAsia" w:ascii="宋体" w:hAnsi="宋体" w:eastAsia="宋体" w:cs="Times New Roman"/>
                <w:szCs w:val="21"/>
              </w:rPr>
              <w:t>-</w:t>
            </w:r>
            <w:r>
              <w:rPr>
                <w:rFonts w:hint="eastAsia" w:ascii="宋体" w:hAnsi="宋体" w:eastAsia="等线" w:cs="Times New Roman"/>
                <w:szCs w:val="21"/>
                <w:lang w:val="en-US" w:eastAsia="zh-CN"/>
              </w:rPr>
              <w:t>3、3-1</w:t>
            </w:r>
          </w:p>
        </w:tc>
      </w:tr>
    </w:tbl>
    <w:p w14:paraId="215A5E3C">
      <w:pPr>
        <w:keepNext w:val="0"/>
        <w:keepLines w:val="0"/>
        <w:pageBreakBefore w:val="0"/>
        <w:kinsoku/>
        <w:overflowPunct/>
        <w:topLinePunct w:val="0"/>
        <w:bidi w:val="0"/>
        <w:spacing w:line="360" w:lineRule="auto"/>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 xml:space="preserve">    </w:t>
      </w:r>
    </w:p>
    <w:p w14:paraId="59936A18">
      <w:pPr>
        <w:keepNext w:val="0"/>
        <w:keepLines w:val="0"/>
        <w:pageBreakBefore w:val="0"/>
        <w:kinsoku/>
        <w:overflowPunct/>
        <w:topLinePunct w:val="0"/>
        <w:bidi w:val="0"/>
        <w:spacing w:line="360" w:lineRule="auto"/>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（三）课程目标及考核方式权重分配表</w:t>
      </w:r>
    </w:p>
    <w:tbl>
      <w:tblPr>
        <w:tblStyle w:val="10"/>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1816"/>
        <w:gridCol w:w="2196"/>
        <w:gridCol w:w="1843"/>
        <w:gridCol w:w="1134"/>
      </w:tblGrid>
      <w:tr w14:paraId="2960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64" w:type="dxa"/>
            <w:gridSpan w:val="2"/>
            <w:vAlign w:val="center"/>
          </w:tcPr>
          <w:p w14:paraId="727C4F5E">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课程目标及权重</w:t>
            </w:r>
          </w:p>
        </w:tc>
        <w:tc>
          <w:tcPr>
            <w:tcW w:w="5173" w:type="dxa"/>
            <w:gridSpan w:val="3"/>
            <w:vAlign w:val="center"/>
          </w:tcPr>
          <w:p w14:paraId="1D309D53">
            <w:pPr>
              <w:keepNext w:val="0"/>
              <w:keepLines w:val="0"/>
              <w:pageBreakBefore w:val="0"/>
              <w:widowControl/>
              <w:kinsoku/>
              <w:overflowPunct/>
              <w:topLinePunct w:val="0"/>
              <w:bidi w:val="0"/>
              <w:spacing w:line="360" w:lineRule="auto"/>
              <w:ind w:right="-391" w:rightChars="-186"/>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考核方式及权重</w:t>
            </w:r>
          </w:p>
        </w:tc>
      </w:tr>
      <w:tr w14:paraId="046E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048" w:type="dxa"/>
            <w:vAlign w:val="center"/>
          </w:tcPr>
          <w:p w14:paraId="142843B8">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项目</w:t>
            </w:r>
          </w:p>
        </w:tc>
        <w:tc>
          <w:tcPr>
            <w:tcW w:w="1816" w:type="dxa"/>
            <w:vAlign w:val="center"/>
          </w:tcPr>
          <w:p w14:paraId="5B3AAA55">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权重（a）</w:t>
            </w:r>
          </w:p>
        </w:tc>
        <w:tc>
          <w:tcPr>
            <w:tcW w:w="2196" w:type="dxa"/>
            <w:vAlign w:val="center"/>
          </w:tcPr>
          <w:p w14:paraId="2E2CA22F">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评价依据</w:t>
            </w:r>
          </w:p>
        </w:tc>
        <w:tc>
          <w:tcPr>
            <w:tcW w:w="1843" w:type="dxa"/>
            <w:vAlign w:val="center"/>
          </w:tcPr>
          <w:p w14:paraId="7485B51A">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权重（b）</w:t>
            </w:r>
          </w:p>
        </w:tc>
        <w:tc>
          <w:tcPr>
            <w:tcW w:w="1134" w:type="dxa"/>
          </w:tcPr>
          <w:p w14:paraId="6E838DEC">
            <w:pPr>
              <w:keepNext w:val="0"/>
              <w:keepLines w:val="0"/>
              <w:pageBreakBefore w:val="0"/>
              <w:widowControl/>
              <w:kinsoku/>
              <w:overflowPunct/>
              <w:topLinePunct w:val="0"/>
              <w:bidi w:val="0"/>
              <w:spacing w:line="240" w:lineRule="auto"/>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考核方式权重合计</w:t>
            </w:r>
          </w:p>
        </w:tc>
      </w:tr>
      <w:tr w14:paraId="0485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048" w:type="dxa"/>
            <w:vMerge w:val="restart"/>
            <w:vAlign w:val="center"/>
          </w:tcPr>
          <w:p w14:paraId="0B042C7D">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课程目标1</w:t>
            </w:r>
          </w:p>
        </w:tc>
        <w:tc>
          <w:tcPr>
            <w:tcW w:w="1816" w:type="dxa"/>
            <w:vMerge w:val="restart"/>
            <w:vAlign w:val="center"/>
          </w:tcPr>
          <w:p w14:paraId="1F96863B">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50%</w:t>
            </w:r>
          </w:p>
        </w:tc>
        <w:tc>
          <w:tcPr>
            <w:tcW w:w="2196" w:type="dxa"/>
            <w:vAlign w:val="center"/>
          </w:tcPr>
          <w:p w14:paraId="1917EB43">
            <w:pPr>
              <w:keepNext w:val="0"/>
              <w:keepLines w:val="0"/>
              <w:pageBreakBefore w:val="0"/>
              <w:widowControl/>
              <w:kinsoku/>
              <w:overflowPunct/>
              <w:topLinePunct w:val="0"/>
              <w:bidi w:val="0"/>
              <w:spacing w:line="360" w:lineRule="auto"/>
              <w:jc w:val="center"/>
              <w:textAlignment w:val="auto"/>
              <w:rPr>
                <w:rFonts w:hint="default" w:ascii="宋体" w:hAnsi="宋体" w:eastAsia="宋体" w:cs="宋体"/>
                <w:color w:val="auto"/>
                <w:kern w:val="0"/>
                <w:szCs w:val="21"/>
                <w:lang w:val="en-US" w:eastAsia="zh-CN"/>
              </w:rPr>
            </w:pPr>
            <w:r>
              <w:rPr>
                <w:rFonts w:hint="eastAsia" w:ascii="宋体" w:hAnsi="宋体" w:eastAsia="等线" w:cs="宋体"/>
                <w:color w:val="auto"/>
                <w:kern w:val="0"/>
                <w:szCs w:val="21"/>
                <w:lang w:val="en-US" w:eastAsia="zh-CN"/>
              </w:rPr>
              <w:t>期末考试</w:t>
            </w:r>
          </w:p>
        </w:tc>
        <w:tc>
          <w:tcPr>
            <w:tcW w:w="1843" w:type="dxa"/>
            <w:vAlign w:val="center"/>
          </w:tcPr>
          <w:p w14:paraId="26DDB634">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6</w:t>
            </w:r>
            <w:r>
              <w:rPr>
                <w:rFonts w:hint="eastAsia" w:ascii="宋体" w:hAnsi="宋体" w:eastAsia="宋体" w:cs="宋体"/>
                <w:color w:val="auto"/>
                <w:kern w:val="0"/>
                <w:szCs w:val="21"/>
              </w:rPr>
              <w:t>0%</w:t>
            </w:r>
          </w:p>
        </w:tc>
        <w:tc>
          <w:tcPr>
            <w:tcW w:w="1134" w:type="dxa"/>
            <w:vMerge w:val="restart"/>
            <w:vAlign w:val="center"/>
          </w:tcPr>
          <w:p w14:paraId="4177CF58">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100%</w:t>
            </w:r>
          </w:p>
        </w:tc>
      </w:tr>
      <w:tr w14:paraId="10F9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048" w:type="dxa"/>
            <w:vMerge w:val="continue"/>
            <w:vAlign w:val="center"/>
          </w:tcPr>
          <w:p w14:paraId="55649380">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1816" w:type="dxa"/>
            <w:vMerge w:val="continue"/>
            <w:vAlign w:val="center"/>
          </w:tcPr>
          <w:p w14:paraId="543AC316">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2196" w:type="dxa"/>
            <w:vAlign w:val="center"/>
          </w:tcPr>
          <w:p w14:paraId="5B15A37A">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作业1</w:t>
            </w:r>
          </w:p>
        </w:tc>
        <w:tc>
          <w:tcPr>
            <w:tcW w:w="1843" w:type="dxa"/>
            <w:vAlign w:val="center"/>
          </w:tcPr>
          <w:p w14:paraId="30E82A15">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3274B6DE">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2EA3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048" w:type="dxa"/>
            <w:vMerge w:val="continue"/>
            <w:vAlign w:val="center"/>
          </w:tcPr>
          <w:p w14:paraId="6DD9F0CE">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1816" w:type="dxa"/>
            <w:vMerge w:val="continue"/>
            <w:vAlign w:val="center"/>
          </w:tcPr>
          <w:p w14:paraId="5CE40A40">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2196" w:type="dxa"/>
            <w:vAlign w:val="center"/>
          </w:tcPr>
          <w:p w14:paraId="2459A5C8">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作业2</w:t>
            </w:r>
          </w:p>
        </w:tc>
        <w:tc>
          <w:tcPr>
            <w:tcW w:w="1843" w:type="dxa"/>
            <w:vAlign w:val="center"/>
          </w:tcPr>
          <w:p w14:paraId="06A33FDC">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57FF0272">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321A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048" w:type="dxa"/>
            <w:vMerge w:val="continue"/>
            <w:vAlign w:val="center"/>
          </w:tcPr>
          <w:p w14:paraId="044BB758">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szCs w:val="22"/>
              </w:rPr>
            </w:pPr>
          </w:p>
        </w:tc>
        <w:tc>
          <w:tcPr>
            <w:tcW w:w="1816" w:type="dxa"/>
            <w:vMerge w:val="continue"/>
            <w:vAlign w:val="center"/>
          </w:tcPr>
          <w:p w14:paraId="2005874F">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szCs w:val="22"/>
              </w:rPr>
            </w:pPr>
          </w:p>
        </w:tc>
        <w:tc>
          <w:tcPr>
            <w:tcW w:w="2196" w:type="dxa"/>
            <w:vAlign w:val="center"/>
          </w:tcPr>
          <w:p w14:paraId="71D8031B">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作业3</w:t>
            </w:r>
          </w:p>
        </w:tc>
        <w:tc>
          <w:tcPr>
            <w:tcW w:w="1843" w:type="dxa"/>
            <w:vAlign w:val="center"/>
          </w:tcPr>
          <w:p w14:paraId="02F3B292">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0D8DE949">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4E6E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048" w:type="dxa"/>
            <w:vMerge w:val="continue"/>
            <w:vAlign w:val="center"/>
          </w:tcPr>
          <w:p w14:paraId="0CBC1A81">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c>
          <w:tcPr>
            <w:tcW w:w="1816" w:type="dxa"/>
            <w:vMerge w:val="continue"/>
            <w:vAlign w:val="center"/>
          </w:tcPr>
          <w:p w14:paraId="343EFCB0">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c>
          <w:tcPr>
            <w:tcW w:w="2196" w:type="dxa"/>
            <w:vAlign w:val="center"/>
          </w:tcPr>
          <w:p w14:paraId="7FD65536">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szCs w:val="22"/>
              </w:rPr>
              <w:t>课堂表现与考勤</w:t>
            </w:r>
          </w:p>
        </w:tc>
        <w:tc>
          <w:tcPr>
            <w:tcW w:w="1843" w:type="dxa"/>
            <w:vAlign w:val="center"/>
          </w:tcPr>
          <w:p w14:paraId="4EA15593">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6A34E8E2">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718A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048" w:type="dxa"/>
            <w:vMerge w:val="restart"/>
            <w:vAlign w:val="center"/>
          </w:tcPr>
          <w:p w14:paraId="0F1F9A3A">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课程目标2</w:t>
            </w:r>
          </w:p>
        </w:tc>
        <w:tc>
          <w:tcPr>
            <w:tcW w:w="1816" w:type="dxa"/>
            <w:vMerge w:val="restart"/>
            <w:vAlign w:val="center"/>
          </w:tcPr>
          <w:p w14:paraId="4AF69F35">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50%</w:t>
            </w:r>
          </w:p>
        </w:tc>
        <w:tc>
          <w:tcPr>
            <w:tcW w:w="2196" w:type="dxa"/>
            <w:vAlign w:val="center"/>
          </w:tcPr>
          <w:p w14:paraId="0F861C70">
            <w:pPr>
              <w:keepNext w:val="0"/>
              <w:keepLines w:val="0"/>
              <w:pageBreakBefore w:val="0"/>
              <w:widowControl/>
              <w:kinsoku/>
              <w:overflowPunct/>
              <w:topLinePunct w:val="0"/>
              <w:bidi w:val="0"/>
              <w:spacing w:line="360" w:lineRule="auto"/>
              <w:jc w:val="center"/>
              <w:textAlignment w:val="auto"/>
              <w:rPr>
                <w:rFonts w:hint="default" w:ascii="宋体" w:hAnsi="宋体" w:eastAsia="宋体" w:cs="宋体"/>
                <w:color w:val="auto"/>
                <w:kern w:val="0"/>
                <w:szCs w:val="21"/>
                <w:lang w:val="en-US" w:eastAsia="zh-CN"/>
              </w:rPr>
            </w:pPr>
            <w:r>
              <w:rPr>
                <w:rFonts w:hint="eastAsia" w:ascii="宋体" w:hAnsi="宋体" w:eastAsia="等线" w:cs="宋体"/>
                <w:color w:val="auto"/>
                <w:kern w:val="0"/>
                <w:szCs w:val="21"/>
                <w:lang w:val="en-US" w:eastAsia="zh-CN"/>
              </w:rPr>
              <w:t>期末考试</w:t>
            </w:r>
          </w:p>
        </w:tc>
        <w:tc>
          <w:tcPr>
            <w:tcW w:w="1843" w:type="dxa"/>
            <w:vAlign w:val="center"/>
          </w:tcPr>
          <w:p w14:paraId="378D31D5">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6</w:t>
            </w:r>
            <w:r>
              <w:rPr>
                <w:rFonts w:hint="eastAsia" w:ascii="宋体" w:hAnsi="宋体" w:eastAsia="宋体" w:cs="宋体"/>
                <w:color w:val="auto"/>
                <w:kern w:val="0"/>
                <w:szCs w:val="21"/>
              </w:rPr>
              <w:t>0%</w:t>
            </w:r>
          </w:p>
        </w:tc>
        <w:tc>
          <w:tcPr>
            <w:tcW w:w="1134" w:type="dxa"/>
            <w:vMerge w:val="restart"/>
            <w:vAlign w:val="center"/>
          </w:tcPr>
          <w:p w14:paraId="26445E5E">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100%</w:t>
            </w:r>
          </w:p>
        </w:tc>
      </w:tr>
      <w:tr w14:paraId="6A7A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048" w:type="dxa"/>
            <w:vMerge w:val="continue"/>
            <w:vAlign w:val="center"/>
          </w:tcPr>
          <w:p w14:paraId="3F3DEF31">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c>
          <w:tcPr>
            <w:tcW w:w="1816" w:type="dxa"/>
            <w:vMerge w:val="continue"/>
            <w:vAlign w:val="center"/>
          </w:tcPr>
          <w:p w14:paraId="30D8F3C2">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c>
          <w:tcPr>
            <w:tcW w:w="2196" w:type="dxa"/>
            <w:vAlign w:val="center"/>
          </w:tcPr>
          <w:p w14:paraId="1A33A703">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Cs w:val="21"/>
              </w:rPr>
              <w:t>作业</w:t>
            </w:r>
            <w:r>
              <w:rPr>
                <w:rFonts w:hint="eastAsia" w:ascii="宋体" w:hAnsi="宋体" w:eastAsia="宋体" w:cs="宋体"/>
                <w:color w:val="auto"/>
                <w:kern w:val="0"/>
                <w:szCs w:val="21"/>
                <w:lang w:val="en-US" w:eastAsia="zh-CN"/>
              </w:rPr>
              <w:t>1</w:t>
            </w:r>
          </w:p>
        </w:tc>
        <w:tc>
          <w:tcPr>
            <w:tcW w:w="1843" w:type="dxa"/>
            <w:vAlign w:val="center"/>
          </w:tcPr>
          <w:p w14:paraId="20C35198">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6296BCDC">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6238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8" w:type="dxa"/>
            <w:vMerge w:val="continue"/>
            <w:vAlign w:val="center"/>
          </w:tcPr>
          <w:p w14:paraId="5538436E">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1816" w:type="dxa"/>
            <w:vMerge w:val="continue"/>
            <w:vAlign w:val="center"/>
          </w:tcPr>
          <w:p w14:paraId="3459E0D9">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2196" w:type="dxa"/>
            <w:vAlign w:val="center"/>
          </w:tcPr>
          <w:p w14:paraId="5929AACC">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作业2</w:t>
            </w:r>
          </w:p>
        </w:tc>
        <w:tc>
          <w:tcPr>
            <w:tcW w:w="1843" w:type="dxa"/>
            <w:vAlign w:val="center"/>
          </w:tcPr>
          <w:p w14:paraId="33B49014">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53ABD893">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1601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8" w:type="dxa"/>
            <w:vMerge w:val="continue"/>
            <w:vAlign w:val="center"/>
          </w:tcPr>
          <w:p w14:paraId="2BF2AE68">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1816" w:type="dxa"/>
            <w:vMerge w:val="continue"/>
            <w:vAlign w:val="center"/>
          </w:tcPr>
          <w:p w14:paraId="0690A2B6">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2196" w:type="dxa"/>
            <w:vAlign w:val="center"/>
          </w:tcPr>
          <w:p w14:paraId="6DBB2F05">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作业3</w:t>
            </w:r>
          </w:p>
        </w:tc>
        <w:tc>
          <w:tcPr>
            <w:tcW w:w="1843" w:type="dxa"/>
            <w:vAlign w:val="center"/>
          </w:tcPr>
          <w:p w14:paraId="32109769">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61C1485A">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2434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8" w:type="dxa"/>
            <w:vMerge w:val="continue"/>
            <w:vAlign w:val="center"/>
          </w:tcPr>
          <w:p w14:paraId="512E5830">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1816" w:type="dxa"/>
            <w:vMerge w:val="continue"/>
            <w:vAlign w:val="center"/>
          </w:tcPr>
          <w:p w14:paraId="15A0EC42">
            <w:pPr>
              <w:keepNext w:val="0"/>
              <w:keepLines w:val="0"/>
              <w:pageBreakBefore w:val="0"/>
              <w:widowControl/>
              <w:kinsoku/>
              <w:overflowPunct/>
              <w:topLinePunct w:val="0"/>
              <w:bidi w:val="0"/>
              <w:spacing w:line="360" w:lineRule="auto"/>
              <w:jc w:val="left"/>
              <w:textAlignment w:val="auto"/>
              <w:rPr>
                <w:rFonts w:hint="eastAsia" w:ascii="宋体" w:hAnsi="宋体" w:eastAsia="宋体" w:cs="宋体"/>
                <w:color w:val="auto"/>
                <w:kern w:val="0"/>
                <w:szCs w:val="21"/>
              </w:rPr>
            </w:pPr>
          </w:p>
        </w:tc>
        <w:tc>
          <w:tcPr>
            <w:tcW w:w="2196" w:type="dxa"/>
            <w:vAlign w:val="center"/>
          </w:tcPr>
          <w:p w14:paraId="0A2B7736">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lang w:eastAsia="zh-CN"/>
              </w:rPr>
            </w:pPr>
            <w:r>
              <w:rPr>
                <w:rFonts w:hint="eastAsia" w:ascii="宋体" w:hAnsi="宋体" w:eastAsia="等线" w:cs="宋体"/>
                <w:color w:val="auto"/>
                <w:szCs w:val="22"/>
                <w:lang w:val="en-US" w:eastAsia="zh-CN"/>
              </w:rPr>
              <w:t>期末考试</w:t>
            </w:r>
          </w:p>
        </w:tc>
        <w:tc>
          <w:tcPr>
            <w:tcW w:w="1843" w:type="dxa"/>
            <w:vAlign w:val="center"/>
          </w:tcPr>
          <w:p w14:paraId="73C292E1">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等线" w:cs="宋体"/>
                <w:color w:val="auto"/>
                <w:kern w:val="0"/>
                <w:szCs w:val="21"/>
                <w:lang w:val="en-US" w:eastAsia="zh-CN"/>
              </w:rPr>
              <w:t>10</w:t>
            </w:r>
            <w:r>
              <w:rPr>
                <w:rFonts w:hint="eastAsia" w:ascii="宋体" w:hAnsi="宋体" w:eastAsia="宋体" w:cs="宋体"/>
                <w:color w:val="auto"/>
                <w:kern w:val="0"/>
                <w:szCs w:val="21"/>
              </w:rPr>
              <w:t>%</w:t>
            </w:r>
          </w:p>
        </w:tc>
        <w:tc>
          <w:tcPr>
            <w:tcW w:w="1134" w:type="dxa"/>
            <w:vMerge w:val="continue"/>
            <w:vAlign w:val="center"/>
          </w:tcPr>
          <w:p w14:paraId="34C2D723">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r w14:paraId="344C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048" w:type="dxa"/>
            <w:vAlign w:val="center"/>
          </w:tcPr>
          <w:p w14:paraId="1A34B54C">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课程目标权重合计</w:t>
            </w:r>
          </w:p>
        </w:tc>
        <w:tc>
          <w:tcPr>
            <w:tcW w:w="1816" w:type="dxa"/>
            <w:vAlign w:val="center"/>
          </w:tcPr>
          <w:p w14:paraId="459A0808">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100%</w:t>
            </w:r>
          </w:p>
        </w:tc>
        <w:tc>
          <w:tcPr>
            <w:tcW w:w="5173" w:type="dxa"/>
            <w:gridSpan w:val="3"/>
            <w:vAlign w:val="center"/>
          </w:tcPr>
          <w:p w14:paraId="5C9EBBA5">
            <w:pPr>
              <w:keepNext w:val="0"/>
              <w:keepLines w:val="0"/>
              <w:pageBreakBefore w:val="0"/>
              <w:widowControl/>
              <w:kinsoku/>
              <w:overflowPunct/>
              <w:topLinePunct w:val="0"/>
              <w:bidi w:val="0"/>
              <w:spacing w:line="360" w:lineRule="auto"/>
              <w:jc w:val="center"/>
              <w:textAlignment w:val="auto"/>
              <w:rPr>
                <w:rFonts w:hint="eastAsia" w:ascii="宋体" w:hAnsi="宋体" w:eastAsia="宋体" w:cs="宋体"/>
                <w:color w:val="auto"/>
                <w:kern w:val="0"/>
                <w:szCs w:val="21"/>
              </w:rPr>
            </w:pPr>
          </w:p>
        </w:tc>
      </w:tr>
    </w:tbl>
    <w:p w14:paraId="1C641152">
      <w:pPr>
        <w:keepNext w:val="0"/>
        <w:keepLines w:val="0"/>
        <w:pageBreakBefore w:val="0"/>
        <w:kinsoku/>
        <w:overflowPunct/>
        <w:topLinePunct w:val="0"/>
        <w:bidi w:val="0"/>
        <w:spacing w:line="360" w:lineRule="auto"/>
        <w:ind w:firstLine="48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（四）课程目标达成度计算方法</w:t>
      </w:r>
    </w:p>
    <w:p w14:paraId="63E735AF">
      <w:pPr>
        <w:keepNext w:val="0"/>
        <w:keepLines w:val="0"/>
        <w:pageBreakBefore w:val="0"/>
        <w:kinsoku/>
        <w:overflowPunct/>
        <w:topLinePunct w:val="0"/>
        <w:bidi w:val="0"/>
        <w:spacing w:line="360" w:lineRule="auto"/>
        <w:ind w:firstLine="48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所有课程目标达成度均需大于等于0.6，否则总评成绩不及格，需要补考或重修。每门课程目标总体达成度计算方法如下：</w:t>
      </w:r>
    </w:p>
    <w:p w14:paraId="0A6DC06B">
      <w:pPr>
        <w:keepNext w:val="0"/>
        <w:keepLines w:val="0"/>
        <w:pageBreakBefore w:val="0"/>
        <w:kinsoku/>
        <w:overflowPunct/>
        <w:topLinePunct w:val="0"/>
        <w:bidi w:val="0"/>
        <w:spacing w:line="360" w:lineRule="auto"/>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drawing>
          <wp:inline distT="0" distB="0" distL="114300" distR="114300">
            <wp:extent cx="5760720" cy="365760"/>
            <wp:effectExtent l="0" t="0" r="3810"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5"/>
                    <a:stretch>
                      <a:fillRect/>
                    </a:stretch>
                  </pic:blipFill>
                  <pic:spPr>
                    <a:xfrm>
                      <a:off x="0" y="0"/>
                      <a:ext cx="5760720" cy="365760"/>
                    </a:xfrm>
                    <a:prstGeom prst="rect">
                      <a:avLst/>
                    </a:prstGeom>
                    <a:noFill/>
                    <a:ln>
                      <a:noFill/>
                    </a:ln>
                  </pic:spPr>
                </pic:pic>
              </a:graphicData>
            </a:graphic>
          </wp:inline>
        </w:drawing>
      </w:r>
    </w:p>
    <w:p w14:paraId="6FAC427D">
      <w:pPr>
        <w:keepNext w:val="0"/>
        <w:keepLines w:val="0"/>
        <w:pageBreakBefore w:val="0"/>
        <w:kinsoku/>
        <w:overflowPunct/>
        <w:topLinePunct w:val="0"/>
        <w:bidi w:val="0"/>
        <w:spacing w:line="360" w:lineRule="auto"/>
        <w:ind w:firstLine="562" w:firstLineChars="200"/>
        <w:textAlignment w:val="auto"/>
        <w:outlineLvl w:val="1"/>
        <w:rPr>
          <w:rFonts w:hint="eastAsia" w:ascii="宋体" w:hAnsi="宋体" w:eastAsia="宋体" w:cs="宋体"/>
          <w:b/>
          <w:color w:val="auto"/>
          <w:sz w:val="28"/>
          <w:szCs w:val="28"/>
        </w:rPr>
      </w:pPr>
      <w:bookmarkStart w:id="2680" w:name="_Toc17149"/>
      <w:r>
        <w:rPr>
          <w:rFonts w:hint="eastAsia" w:ascii="宋体" w:hAnsi="宋体" w:eastAsia="宋体" w:cs="宋体"/>
          <w:b/>
          <w:color w:val="auto"/>
          <w:sz w:val="28"/>
          <w:szCs w:val="28"/>
        </w:rPr>
        <w:t>六、有关说明</w:t>
      </w:r>
      <w:bookmarkEnd w:id="2680"/>
    </w:p>
    <w:p w14:paraId="65DEB347">
      <w:pPr>
        <w:keepNext w:val="0"/>
        <w:keepLines w:val="0"/>
        <w:pageBreakBefore w:val="0"/>
        <w:kinsoku/>
        <w:overflowPunct/>
        <w:topLinePunct w:val="0"/>
        <w:bidi w:val="0"/>
        <w:spacing w:line="360" w:lineRule="auto"/>
        <w:ind w:firstLine="482" w:firstLineChars="200"/>
        <w:textAlignment w:val="auto"/>
        <w:outlineLvl w:val="2"/>
        <w:rPr>
          <w:rFonts w:hint="eastAsia" w:ascii="宋体" w:hAnsi="宋体" w:eastAsia="宋体" w:cs="宋体"/>
          <w:b/>
          <w:color w:val="auto"/>
          <w:sz w:val="24"/>
          <w:szCs w:val="22"/>
        </w:rPr>
      </w:pPr>
      <w:bookmarkStart w:id="2681" w:name="_Toc21633"/>
      <w:r>
        <w:rPr>
          <w:rFonts w:hint="eastAsia" w:ascii="宋体" w:hAnsi="宋体" w:eastAsia="宋体" w:cs="宋体"/>
          <w:b/>
          <w:color w:val="auto"/>
          <w:sz w:val="24"/>
          <w:szCs w:val="22"/>
        </w:rPr>
        <w:t>（一）持续改进</w:t>
      </w:r>
      <w:bookmarkEnd w:id="2681"/>
    </w:p>
    <w:p w14:paraId="047E9832">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本课程根据学生作业、课堂讨论、平时考核情况和学生、教学督导等的反馈，及时对教学中的不足之处进行改进，并在下一轮课程教学中整改完善，确保相应毕业要求指标点达成。</w:t>
      </w:r>
    </w:p>
    <w:p w14:paraId="589BCB47">
      <w:pPr>
        <w:keepNext w:val="0"/>
        <w:keepLines w:val="0"/>
        <w:pageBreakBefore w:val="0"/>
        <w:kinsoku/>
        <w:overflowPunct/>
        <w:topLinePunct w:val="0"/>
        <w:bidi w:val="0"/>
        <w:spacing w:line="360" w:lineRule="auto"/>
        <w:ind w:firstLine="482" w:firstLineChars="200"/>
        <w:textAlignment w:val="auto"/>
        <w:outlineLvl w:val="2"/>
        <w:rPr>
          <w:rFonts w:hint="eastAsia" w:ascii="宋体" w:hAnsi="宋体" w:eastAsia="宋体" w:cs="宋体"/>
          <w:b/>
          <w:color w:val="auto"/>
          <w:sz w:val="24"/>
          <w:szCs w:val="22"/>
        </w:rPr>
      </w:pPr>
      <w:bookmarkStart w:id="2682" w:name="_Toc17775"/>
      <w:r>
        <w:rPr>
          <w:rFonts w:hint="eastAsia" w:ascii="宋体" w:hAnsi="宋体" w:eastAsia="宋体" w:cs="宋体"/>
          <w:b/>
          <w:color w:val="auto"/>
          <w:sz w:val="24"/>
          <w:szCs w:val="22"/>
        </w:rPr>
        <w:t>（二）参考书目及学习资料</w:t>
      </w:r>
      <w:bookmarkEnd w:id="2682"/>
    </w:p>
    <w:p w14:paraId="052F9B48">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b/>
          <w:color w:val="auto"/>
          <w:kern w:val="0"/>
          <w:sz w:val="24"/>
          <w:szCs w:val="22"/>
        </w:rPr>
      </w:pPr>
      <w:r>
        <w:rPr>
          <w:rFonts w:hint="eastAsia" w:ascii="宋体" w:hAnsi="宋体" w:eastAsia="宋体" w:cs="宋体"/>
          <w:color w:val="auto"/>
          <w:sz w:val="24"/>
          <w:szCs w:val="22"/>
        </w:rPr>
        <w:t>1.</w:t>
      </w:r>
      <w:r>
        <w:rPr>
          <w:rFonts w:hint="eastAsia" w:ascii="新宋体" w:hAnsi="新宋体" w:eastAsia="新宋体" w:cs="新宋体"/>
          <w:sz w:val="24"/>
          <w:szCs w:val="22"/>
        </w:rPr>
        <w:t>张岂之</w:t>
      </w:r>
      <w:r>
        <w:rPr>
          <w:rFonts w:hint="eastAsia" w:ascii="新宋体" w:hAnsi="新宋体" w:eastAsia="新宋体" w:cs="新宋体"/>
          <w:sz w:val="24"/>
          <w:szCs w:val="22"/>
          <w:lang w:val="en-US" w:eastAsia="zh-CN"/>
        </w:rPr>
        <w:t>主编.</w:t>
      </w:r>
      <w:r>
        <w:rPr>
          <w:rFonts w:hint="eastAsia" w:ascii="新宋体" w:hAnsi="新宋体" w:eastAsia="新宋体" w:cs="新宋体"/>
          <w:sz w:val="24"/>
          <w:szCs w:val="22"/>
        </w:rPr>
        <w:t>《中国传统文化》，高教出版社， 2001年</w:t>
      </w:r>
    </w:p>
    <w:p w14:paraId="44ABFF42">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2.</w:t>
      </w:r>
      <w:r>
        <w:rPr>
          <w:rFonts w:hint="eastAsia" w:ascii="宋体" w:hAnsi="宋体" w:eastAsia="宋体" w:cs="宋体"/>
          <w:color w:val="auto"/>
          <w:sz w:val="24"/>
          <w:szCs w:val="22"/>
        </w:rPr>
        <w:t>周桂峰主编.《中国文化概论》.吉林教育出版社.2009年版.</w:t>
      </w:r>
    </w:p>
    <w:p w14:paraId="72DDC533">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3</w:t>
      </w:r>
      <w:r>
        <w:rPr>
          <w:rFonts w:hint="eastAsia" w:ascii="宋体" w:hAnsi="宋体" w:eastAsia="宋体" w:cs="宋体"/>
          <w:color w:val="auto"/>
          <w:sz w:val="24"/>
          <w:szCs w:val="22"/>
        </w:rPr>
        <w:t>.《中华文明史》1——10卷.河北教育出版社.1989——1994年版.</w:t>
      </w:r>
    </w:p>
    <w:p w14:paraId="7914EECB">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4</w:t>
      </w:r>
      <w:r>
        <w:rPr>
          <w:rFonts w:hint="eastAsia" w:ascii="宋体" w:hAnsi="宋体" w:eastAsia="宋体" w:cs="宋体"/>
          <w:color w:val="auto"/>
          <w:sz w:val="24"/>
          <w:szCs w:val="22"/>
        </w:rPr>
        <w:t>. 阴法鲁等主编.《中国古代文化史》.北京大学出版社.1989年出版.</w:t>
      </w:r>
    </w:p>
    <w:p w14:paraId="57CC6A77">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5</w:t>
      </w:r>
      <w:r>
        <w:rPr>
          <w:rFonts w:hint="eastAsia" w:ascii="宋体" w:hAnsi="宋体" w:eastAsia="宋体" w:cs="宋体"/>
          <w:color w:val="auto"/>
          <w:sz w:val="24"/>
          <w:szCs w:val="22"/>
        </w:rPr>
        <w:t>. 刘守华等主编.《文化学通论》.高等教育出版社.1992年出版.</w:t>
      </w:r>
    </w:p>
    <w:p w14:paraId="65F5C3B6">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6</w:t>
      </w:r>
      <w:r>
        <w:rPr>
          <w:rFonts w:hint="eastAsia" w:ascii="宋体" w:hAnsi="宋体" w:eastAsia="宋体" w:cs="宋体"/>
          <w:color w:val="auto"/>
          <w:sz w:val="24"/>
          <w:szCs w:val="22"/>
        </w:rPr>
        <w:t>. 李宗桂著.《中国文化概论》.中山大学出版社.1988年出版.</w:t>
      </w:r>
    </w:p>
    <w:p w14:paraId="5C4B6702">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7</w:t>
      </w:r>
      <w:r>
        <w:rPr>
          <w:rFonts w:hint="eastAsia" w:ascii="宋体" w:hAnsi="宋体" w:eastAsia="宋体" w:cs="宋体"/>
          <w:color w:val="auto"/>
          <w:sz w:val="24"/>
          <w:szCs w:val="22"/>
        </w:rPr>
        <w:t>. 柳治徵著.《中国文化史》.中国大百科全书出版社.1988年版.</w:t>
      </w:r>
    </w:p>
    <w:p w14:paraId="332E7EA8">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8</w:t>
      </w:r>
      <w:r>
        <w:rPr>
          <w:rFonts w:hint="eastAsia" w:ascii="宋体" w:hAnsi="宋体" w:eastAsia="宋体" w:cs="宋体"/>
          <w:color w:val="auto"/>
          <w:sz w:val="24"/>
          <w:szCs w:val="22"/>
        </w:rPr>
        <w:t>. 钱穆著.《中国文化史导论》.商务印书馆.1994年版.</w:t>
      </w:r>
    </w:p>
    <w:p w14:paraId="3FBCE0A7">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9</w:t>
      </w:r>
      <w:r>
        <w:rPr>
          <w:rFonts w:hint="eastAsia" w:ascii="宋体" w:hAnsi="宋体" w:eastAsia="宋体" w:cs="宋体"/>
          <w:color w:val="auto"/>
          <w:sz w:val="24"/>
          <w:szCs w:val="22"/>
        </w:rPr>
        <w:t>. 启良著.《中国文明史》.花城出版社.2001年版.</w:t>
      </w:r>
    </w:p>
    <w:p w14:paraId="38296610">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等线" w:cs="宋体"/>
          <w:color w:val="auto"/>
          <w:sz w:val="24"/>
          <w:szCs w:val="22"/>
          <w:lang w:val="en-US" w:eastAsia="zh-CN"/>
        </w:rPr>
        <w:t>10</w:t>
      </w:r>
      <w:r>
        <w:rPr>
          <w:rFonts w:hint="eastAsia" w:ascii="宋体" w:hAnsi="宋体" w:eastAsia="宋体" w:cs="宋体"/>
          <w:color w:val="auto"/>
          <w:sz w:val="24"/>
          <w:szCs w:val="22"/>
        </w:rPr>
        <w:t>. 李泽厚著.《己卯五说》.中国电影出版社.1999年版.</w:t>
      </w:r>
    </w:p>
    <w:p w14:paraId="7CB24307">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1</w:t>
      </w:r>
      <w:r>
        <w:rPr>
          <w:rFonts w:hint="eastAsia" w:ascii="宋体" w:hAnsi="宋体" w:eastAsia="等线" w:cs="宋体"/>
          <w:color w:val="auto"/>
          <w:sz w:val="24"/>
          <w:szCs w:val="22"/>
          <w:lang w:val="en-US" w:eastAsia="zh-CN"/>
        </w:rPr>
        <w:t>1</w:t>
      </w:r>
      <w:r>
        <w:rPr>
          <w:rFonts w:hint="eastAsia" w:ascii="宋体" w:hAnsi="宋体" w:eastAsia="宋体" w:cs="宋体"/>
          <w:color w:val="auto"/>
          <w:sz w:val="24"/>
          <w:szCs w:val="22"/>
        </w:rPr>
        <w:t>. 宗志罡主编.《明代思想与中国文化》.安徽人民出版社.1994年版.</w:t>
      </w:r>
    </w:p>
    <w:p w14:paraId="7606812B">
      <w:pPr>
        <w:keepNext w:val="0"/>
        <w:keepLines w:val="0"/>
        <w:pageBreakBefore w:val="0"/>
        <w:kinsoku/>
        <w:overflowPunct/>
        <w:topLinePunct w:val="0"/>
        <w:bidi w:val="0"/>
        <w:spacing w:line="360" w:lineRule="auto"/>
        <w:ind w:firstLine="480" w:firstLineChars="200"/>
        <w:textAlignment w:val="auto"/>
        <w:rPr>
          <w:rFonts w:hint="eastAsia" w:ascii="宋体" w:hAnsi="宋体" w:eastAsia="宋体" w:cs="宋体"/>
          <w:color w:val="auto"/>
          <w:sz w:val="24"/>
          <w:szCs w:val="22"/>
        </w:rPr>
      </w:pPr>
      <w:r>
        <w:rPr>
          <w:rFonts w:hint="eastAsia" w:ascii="宋体" w:hAnsi="宋体" w:eastAsia="宋体" w:cs="宋体"/>
          <w:color w:val="auto"/>
          <w:sz w:val="24"/>
          <w:szCs w:val="22"/>
        </w:rPr>
        <w:t xml:space="preserve">             </w:t>
      </w:r>
    </w:p>
    <w:p w14:paraId="6F71953A">
      <w:pPr>
        <w:keepNext w:val="0"/>
        <w:keepLines w:val="0"/>
        <w:pageBreakBefore w:val="0"/>
        <w:kinsoku/>
        <w:overflowPunct/>
        <w:topLinePunct w:val="0"/>
        <w:bidi w:val="0"/>
        <w:spacing w:line="360" w:lineRule="auto"/>
        <w:ind w:firstLine="5280" w:firstLineChars="2200"/>
        <w:textAlignment w:val="auto"/>
        <w:rPr>
          <w:rFonts w:hint="default" w:ascii="宋体" w:hAnsi="宋体" w:eastAsia="宋体" w:cs="宋体"/>
          <w:color w:val="auto"/>
          <w:sz w:val="24"/>
          <w:szCs w:val="22"/>
          <w:lang w:val="en-US" w:eastAsia="zh-CN"/>
        </w:rPr>
      </w:pPr>
      <w:r>
        <w:rPr>
          <w:rFonts w:hint="eastAsia" w:ascii="宋体" w:hAnsi="宋体" w:eastAsia="宋体" w:cs="宋体"/>
          <w:color w:val="auto"/>
          <w:sz w:val="24"/>
          <w:szCs w:val="22"/>
        </w:rPr>
        <w:t>制订人：</w:t>
      </w:r>
      <w:r>
        <w:rPr>
          <w:rFonts w:hint="eastAsia" w:ascii="宋体" w:hAnsi="宋体" w:eastAsia="宋体" w:cs="宋体"/>
          <w:color w:val="auto"/>
          <w:sz w:val="24"/>
          <w:szCs w:val="22"/>
          <w:lang w:val="en-US" w:eastAsia="zh-CN"/>
        </w:rPr>
        <w:t>巫文胜</w:t>
      </w:r>
      <w:r>
        <w:rPr>
          <w:rFonts w:hint="eastAsia" w:ascii="宋体" w:hAnsi="宋体" w:eastAsia="等线" w:cs="宋体"/>
          <w:color w:val="auto"/>
          <w:sz w:val="24"/>
          <w:szCs w:val="22"/>
          <w:lang w:val="en-US" w:eastAsia="zh-CN"/>
        </w:rPr>
        <w:t>、章燕</w:t>
      </w:r>
    </w:p>
    <w:p w14:paraId="7B2F7878">
      <w:pPr>
        <w:keepNext w:val="0"/>
        <w:keepLines w:val="0"/>
        <w:pageBreakBefore w:val="0"/>
        <w:kinsoku/>
        <w:overflowPunct/>
        <w:topLinePunct w:val="0"/>
        <w:bidi w:val="0"/>
        <w:spacing w:line="360" w:lineRule="auto"/>
        <w:ind w:firstLine="5280" w:firstLineChars="2200"/>
        <w:textAlignment w:val="auto"/>
        <w:rPr>
          <w:rFonts w:hint="default" w:ascii="宋体" w:hAnsi="宋体" w:eastAsia="宋体" w:cs="宋体"/>
          <w:color w:val="auto"/>
          <w:sz w:val="24"/>
          <w:szCs w:val="22"/>
          <w:lang w:val="en-US" w:eastAsia="zh-CN"/>
        </w:rPr>
      </w:pPr>
      <w:r>
        <w:rPr>
          <w:rFonts w:hint="eastAsia" w:ascii="宋体" w:hAnsi="宋体" w:eastAsia="宋体" w:cs="宋体"/>
          <w:color w:val="auto"/>
          <w:sz w:val="24"/>
          <w:szCs w:val="22"/>
        </w:rPr>
        <w:t>审核人：</w:t>
      </w:r>
      <w:r>
        <w:rPr>
          <w:rFonts w:hint="eastAsia" w:ascii="宋体" w:hAnsi="宋体" w:eastAsia="宋体" w:cs="宋体"/>
          <w:color w:val="auto"/>
          <w:sz w:val="24"/>
          <w:szCs w:val="22"/>
          <w:lang w:val="en-US" w:eastAsia="zh-CN"/>
        </w:rPr>
        <w:t>王</w:t>
      </w:r>
      <w:r>
        <w:rPr>
          <w:rFonts w:hint="eastAsia" w:ascii="宋体" w:hAnsi="宋体" w:eastAsia="等线" w:cs="宋体"/>
          <w:color w:val="auto"/>
          <w:sz w:val="24"/>
          <w:szCs w:val="22"/>
          <w:lang w:val="en-US" w:eastAsia="zh-CN"/>
        </w:rPr>
        <w:t xml:space="preserve">  </w:t>
      </w:r>
      <w:r>
        <w:rPr>
          <w:rFonts w:hint="eastAsia" w:ascii="宋体" w:hAnsi="宋体" w:eastAsia="宋体" w:cs="宋体"/>
          <w:color w:val="auto"/>
          <w:sz w:val="24"/>
          <w:szCs w:val="22"/>
          <w:lang w:val="en-US" w:eastAsia="zh-CN"/>
        </w:rPr>
        <w:t>健</w:t>
      </w:r>
    </w:p>
    <w:p w14:paraId="5E0E04E4">
      <w:pPr>
        <w:keepNext w:val="0"/>
        <w:keepLines w:val="0"/>
        <w:pageBreakBefore w:val="0"/>
        <w:kinsoku/>
        <w:overflowPunct/>
        <w:topLinePunct w:val="0"/>
        <w:bidi w:val="0"/>
        <w:spacing w:line="360" w:lineRule="auto"/>
        <w:ind w:firstLine="5280" w:firstLineChars="2200"/>
        <w:textAlignment w:val="auto"/>
        <w:rPr>
          <w:rFonts w:hint="default" w:ascii="宋体" w:hAnsi="宋体" w:eastAsia="宋体" w:cs="宋体"/>
          <w:color w:val="auto"/>
          <w:sz w:val="24"/>
          <w:szCs w:val="22"/>
          <w:lang w:val="en-US" w:eastAsia="zh-CN"/>
        </w:rPr>
      </w:pPr>
      <w:r>
        <w:rPr>
          <w:rFonts w:hint="eastAsia" w:ascii="宋体" w:hAnsi="宋体" w:eastAsia="等线" w:cs="宋体"/>
          <w:color w:val="auto"/>
          <w:sz w:val="24"/>
          <w:szCs w:val="22"/>
          <w:lang w:val="en-US" w:eastAsia="zh-CN"/>
        </w:rPr>
        <w:t>批准人：崔  涛</w:t>
      </w:r>
    </w:p>
    <w:p w14:paraId="70DB27C5">
      <w:pPr>
        <w:keepNext w:val="0"/>
        <w:keepLines w:val="0"/>
        <w:pageBreakBefore w:val="0"/>
        <w:kinsoku/>
        <w:overflowPunct/>
        <w:topLinePunct w:val="0"/>
        <w:bidi w:val="0"/>
        <w:spacing w:line="360" w:lineRule="auto"/>
        <w:ind w:firstLine="5280" w:firstLineChars="2200"/>
        <w:textAlignment w:val="auto"/>
        <w:rPr>
          <w:rFonts w:hint="default" w:ascii="宋体" w:hAnsi="宋体" w:eastAsia="宋体" w:cs="宋体"/>
          <w:color w:val="auto"/>
          <w:sz w:val="24"/>
          <w:szCs w:val="22"/>
          <w:lang w:val="en-US" w:eastAsia="zh-CN"/>
        </w:rPr>
      </w:pPr>
      <w:r>
        <w:rPr>
          <w:rFonts w:hint="eastAsia" w:ascii="宋体" w:hAnsi="宋体" w:eastAsia="宋体" w:cs="宋体"/>
          <w:color w:val="auto"/>
          <w:sz w:val="24"/>
          <w:szCs w:val="22"/>
        </w:rPr>
        <w:t>202</w:t>
      </w:r>
      <w:r>
        <w:rPr>
          <w:rFonts w:hint="eastAsia" w:ascii="宋体" w:hAnsi="宋体" w:eastAsia="等线" w:cs="宋体"/>
          <w:color w:val="auto"/>
          <w:sz w:val="24"/>
          <w:szCs w:val="22"/>
          <w:lang w:val="en-US" w:eastAsia="zh-CN"/>
        </w:rPr>
        <w:t>2</w:t>
      </w:r>
      <w:r>
        <w:rPr>
          <w:rFonts w:hint="eastAsia" w:ascii="宋体" w:hAnsi="宋体" w:eastAsia="宋体" w:cs="宋体"/>
          <w:color w:val="auto"/>
          <w:sz w:val="24"/>
          <w:szCs w:val="22"/>
        </w:rPr>
        <w:t>年</w:t>
      </w:r>
      <w:r>
        <w:rPr>
          <w:rFonts w:hint="eastAsia" w:ascii="宋体" w:hAnsi="宋体" w:eastAsia="宋体" w:cs="宋体"/>
          <w:color w:val="auto"/>
          <w:sz w:val="24"/>
          <w:szCs w:val="22"/>
          <w:lang w:val="en-US" w:eastAsia="zh-CN"/>
        </w:rPr>
        <w:t>8</w:t>
      </w:r>
      <w:r>
        <w:rPr>
          <w:rFonts w:hint="eastAsia" w:ascii="宋体" w:hAnsi="宋体" w:eastAsia="宋体" w:cs="宋体"/>
          <w:color w:val="auto"/>
          <w:sz w:val="24"/>
          <w:szCs w:val="22"/>
        </w:rPr>
        <w:t>月</w:t>
      </w:r>
      <w:r>
        <w:rPr>
          <w:rFonts w:hint="eastAsia" w:ascii="宋体" w:hAnsi="宋体" w:eastAsia="等线" w:cs="宋体"/>
          <w:color w:val="auto"/>
          <w:sz w:val="24"/>
          <w:szCs w:val="22"/>
          <w:lang w:val="en-US" w:eastAsia="zh-CN"/>
        </w:rPr>
        <w:t>20日</w:t>
      </w:r>
    </w:p>
    <w:p w14:paraId="7C6E870B">
      <w:pPr>
        <w:rPr>
          <w:rFonts w:ascii="Times New Roman" w:hAnsi="Times New Roman" w:eastAsia="宋体" w:cs="Times New Roman"/>
          <w:kern w:val="0"/>
          <w:sz w:val="24"/>
          <w:szCs w:val="21"/>
        </w:rPr>
      </w:pPr>
    </w:p>
    <w:p w14:paraId="4558F0C3">
      <w:pPr>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52E4B5DF">
      <w:pPr>
        <w:pStyle w:val="2"/>
        <w:bidi w:val="0"/>
        <w:rPr>
          <w:lang w:val="en-US" w:eastAsia="zh-CN"/>
        </w:rPr>
      </w:pPr>
      <w:bookmarkStart w:id="2683" w:name="_Toc1138"/>
      <w:bookmarkStart w:id="2684" w:name="_Toc4760"/>
      <w:bookmarkStart w:id="2685" w:name="_Toc6387"/>
      <w:bookmarkStart w:id="2686" w:name="_Toc28800"/>
      <w:r>
        <w:rPr>
          <w:rFonts w:hint="eastAsia"/>
          <w:lang w:val="en-US" w:eastAsia="zh-CN"/>
        </w:rPr>
        <w:t>《科学概论》课程教学大纲</w:t>
      </w:r>
      <w:bookmarkEnd w:id="2683"/>
      <w:bookmarkEnd w:id="2684"/>
      <w:bookmarkEnd w:id="2685"/>
      <w:bookmarkEnd w:id="2686"/>
    </w:p>
    <w:p w14:paraId="71F0D412">
      <w:pPr>
        <w:pStyle w:val="2"/>
        <w:bidi w:val="0"/>
        <w:rPr>
          <w:lang w:val="en-US" w:eastAsia="zh-CN"/>
        </w:rPr>
      </w:pPr>
      <w:bookmarkStart w:id="2687" w:name="_Toc21234"/>
      <w:bookmarkStart w:id="2688" w:name="_Toc18168"/>
      <w:bookmarkStart w:id="2689" w:name="_Toc6062"/>
      <w:bookmarkStart w:id="2690" w:name="_Toc20097"/>
      <w:bookmarkStart w:id="2691" w:name="_Toc27556"/>
      <w:bookmarkStart w:id="2692" w:name="_Toc9660"/>
      <w:bookmarkStart w:id="2693" w:name="_Toc25315"/>
      <w:r>
        <w:rPr>
          <w:lang w:val="en-US" w:eastAsia="zh-CN"/>
        </w:rPr>
        <w:t>（Introduction to Science）</w:t>
      </w:r>
      <w:bookmarkEnd w:id="2687"/>
      <w:bookmarkEnd w:id="2688"/>
      <w:bookmarkEnd w:id="2689"/>
      <w:bookmarkEnd w:id="2690"/>
      <w:bookmarkEnd w:id="2691"/>
      <w:bookmarkEnd w:id="2692"/>
      <w:bookmarkEnd w:id="2693"/>
    </w:p>
    <w:p w14:paraId="648023B9">
      <w:pPr>
        <w:spacing w:line="360" w:lineRule="auto"/>
        <w:jc w:val="center"/>
        <w:rPr>
          <w:rFonts w:ascii="Times New Roman" w:hAnsi="Times New Roman" w:eastAsia="宋体" w:cs="Times New Roman"/>
          <w:bCs/>
          <w:sz w:val="30"/>
          <w:szCs w:val="30"/>
        </w:rPr>
      </w:pPr>
    </w:p>
    <w:p w14:paraId="7A8F1BE5">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sz w:val="24"/>
          <w:szCs w:val="24"/>
        </w:rPr>
        <w:t>课程名称：</w:t>
      </w:r>
      <w:r>
        <w:rPr>
          <w:rFonts w:ascii="Times New Roman" w:hAnsi="Times New Roman" w:eastAsia="宋体" w:cs="Times New Roman"/>
          <w:b/>
          <w:bCs/>
          <w:sz w:val="24"/>
          <w:szCs w:val="24"/>
        </w:rPr>
        <w:t xml:space="preserve"> </w:t>
      </w:r>
      <w:r>
        <w:rPr>
          <w:rFonts w:hint="eastAsia" w:ascii="Times New Roman" w:hAnsi="Times New Roman" w:eastAsia="宋体" w:cs="Times New Roman"/>
          <w:b/>
          <w:sz w:val="24"/>
          <w:szCs w:val="24"/>
        </w:rPr>
        <w:t>科学概论</w:t>
      </w:r>
    </w:p>
    <w:p w14:paraId="794ACFC9">
      <w:pPr>
        <w:spacing w:line="360" w:lineRule="auto"/>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课程代码：</w:t>
      </w:r>
      <w:r>
        <w:rPr>
          <w:rFonts w:hint="eastAsia" w:ascii="Times New Roman" w:hAnsi="Times New Roman" w:eastAsia="宋体" w:cs="Times New Roman"/>
          <w:b/>
          <w:bCs/>
          <w:sz w:val="24"/>
          <w:szCs w:val="24"/>
        </w:rPr>
        <w:t>2401069</w:t>
      </w:r>
    </w:p>
    <w:p w14:paraId="4FDED646">
      <w:pPr>
        <w:spacing w:line="360" w:lineRule="auto"/>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学 分：</w:t>
      </w:r>
      <w:r>
        <w:rPr>
          <w:rFonts w:hint="eastAsia" w:ascii="Times New Roman" w:hAnsi="Times New Roman" w:eastAsia="宋体" w:cs="Times New Roman"/>
          <w:b/>
          <w:sz w:val="24"/>
          <w:szCs w:val="24"/>
        </w:rPr>
        <w:t>2</w:t>
      </w:r>
    </w:p>
    <w:p w14:paraId="2E562D57">
      <w:pPr>
        <w:spacing w:line="360" w:lineRule="auto"/>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学 时：</w:t>
      </w:r>
      <w:r>
        <w:rPr>
          <w:rFonts w:hint="eastAsia" w:ascii="Times New Roman" w:hAnsi="Times New Roman" w:eastAsia="宋体" w:cs="Times New Roman"/>
          <w:b/>
          <w:sz w:val="24"/>
          <w:szCs w:val="24"/>
        </w:rPr>
        <w:t>32</w:t>
      </w:r>
      <w:r>
        <w:rPr>
          <w:rFonts w:ascii="Times New Roman" w:hAnsi="Times New Roman" w:eastAsia="宋体" w:cs="Times New Roman"/>
          <w:b/>
          <w:sz w:val="24"/>
          <w:szCs w:val="24"/>
        </w:rPr>
        <w:t>（其中：讲授学时</w:t>
      </w:r>
      <w:r>
        <w:rPr>
          <w:rFonts w:hint="eastAsia" w:ascii="Times New Roman" w:hAnsi="Times New Roman" w:eastAsia="宋体" w:cs="Times New Roman"/>
          <w:b/>
          <w:sz w:val="24"/>
          <w:szCs w:val="24"/>
        </w:rPr>
        <w:t>32</w:t>
      </w:r>
      <w:r>
        <w:rPr>
          <w:rFonts w:ascii="Times New Roman" w:hAnsi="Times New Roman" w:eastAsia="宋体" w:cs="Times New Roman"/>
          <w:b/>
          <w:sz w:val="24"/>
          <w:szCs w:val="24"/>
        </w:rPr>
        <w:t>）</w:t>
      </w:r>
    </w:p>
    <w:p w14:paraId="67D40DD2">
      <w:pPr>
        <w:spacing w:line="360" w:lineRule="auto"/>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先修课程：</w:t>
      </w:r>
      <w:r>
        <w:rPr>
          <w:rFonts w:ascii="Times New Roman" w:hAnsi="Times New Roman" w:eastAsia="宋体" w:cs="Times New Roman"/>
          <w:b/>
          <w:sz w:val="24"/>
          <w:szCs w:val="24"/>
        </w:rPr>
        <w:t>无</w:t>
      </w:r>
    </w:p>
    <w:p w14:paraId="15B171F6">
      <w:pPr>
        <w:spacing w:line="360" w:lineRule="auto"/>
        <w:ind w:firstLine="482" w:firstLineChars="20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适用专业：</w:t>
      </w:r>
      <w:r>
        <w:rPr>
          <w:rFonts w:ascii="Times New Roman" w:hAnsi="Times New Roman" w:eastAsia="宋体" w:cs="Times New Roman"/>
          <w:b/>
          <w:sz w:val="24"/>
          <w:szCs w:val="24"/>
        </w:rPr>
        <w:t>小学教育（文）</w:t>
      </w:r>
    </w:p>
    <w:p w14:paraId="0E9A1CCE">
      <w:pPr>
        <w:spacing w:line="360" w:lineRule="auto"/>
        <w:ind w:firstLine="482" w:firstLineChars="200"/>
        <w:jc w:val="left"/>
        <w:rPr>
          <w:rFonts w:ascii="Times New Roman" w:hAnsi="Times New Roman" w:eastAsia="宋体" w:cs="Times New Roman"/>
          <w:b/>
          <w:sz w:val="24"/>
          <w:szCs w:val="24"/>
        </w:rPr>
      </w:pPr>
    </w:p>
    <w:p w14:paraId="42AB80FF">
      <w:pPr>
        <w:spacing w:line="360" w:lineRule="auto"/>
        <w:ind w:firstLine="482" w:firstLineChars="200"/>
        <w:jc w:val="left"/>
        <w:outlineLvl w:val="0"/>
        <w:rPr>
          <w:rFonts w:ascii="Times New Roman" w:hAnsi="Times New Roman" w:eastAsia="宋体" w:cs="Times New Roman"/>
          <w:b/>
          <w:bCs/>
          <w:sz w:val="24"/>
          <w:szCs w:val="24"/>
        </w:rPr>
      </w:pPr>
      <w:bookmarkStart w:id="2694" w:name="_Toc15953"/>
      <w:bookmarkStart w:id="2695" w:name="_Toc12075"/>
      <w:bookmarkStart w:id="2696" w:name="_Toc25291"/>
      <w:bookmarkStart w:id="2697" w:name="_Toc5904"/>
      <w:bookmarkStart w:id="2698" w:name="_Toc9661"/>
      <w:bookmarkStart w:id="2699" w:name="_Toc44"/>
      <w:bookmarkStart w:id="2700" w:name="_Toc27253"/>
      <w:r>
        <w:rPr>
          <w:rFonts w:ascii="Times New Roman" w:hAnsi="Times New Roman" w:eastAsia="宋体" w:cs="Times New Roman"/>
          <w:b/>
          <w:bCs/>
          <w:sz w:val="24"/>
          <w:szCs w:val="24"/>
        </w:rPr>
        <w:t>一、课程简介</w:t>
      </w:r>
      <w:bookmarkEnd w:id="2694"/>
      <w:bookmarkEnd w:id="2695"/>
      <w:bookmarkEnd w:id="2696"/>
      <w:bookmarkEnd w:id="2697"/>
      <w:bookmarkEnd w:id="2698"/>
      <w:bookmarkEnd w:id="2699"/>
      <w:bookmarkEnd w:id="2700"/>
    </w:p>
    <w:p w14:paraId="244FC615">
      <w:pPr>
        <w:spacing w:line="360" w:lineRule="auto"/>
        <w:ind w:firstLine="480" w:firstLineChars="200"/>
        <w:jc w:val="left"/>
        <w:rPr>
          <w:rFonts w:ascii="Times New Roman" w:hAnsi="Times New Roman" w:eastAsia="宋体" w:cs="Times New Roman"/>
          <w:bCs/>
          <w:sz w:val="24"/>
          <w:szCs w:val="24"/>
        </w:rPr>
      </w:pPr>
      <w:r>
        <w:rPr>
          <w:rFonts w:ascii="Times New Roman" w:hAnsi="Times New Roman" w:eastAsia="宋体" w:cs="Times New Roman"/>
          <w:bCs/>
          <w:sz w:val="24"/>
          <w:szCs w:val="24"/>
        </w:rPr>
        <w:t>本课程是小学教育的专业基础必修课，以自然科学的基础知识、基本概念、基本原理和基本方法为基础，主线围绕人与自然的关系协调，核心关注学生发展，紧密联系小学科学教育教学实际。课程旨在培养具有一定科学素养的合格小学教师。通过学习，本课程帮助学生掌握自然科学基础知识，学习自然科学的基本思想和方法，提高分析问题和解决问题的能力，开阔眼界，完善知识结构，培养科学态度，提高科学素养，以适应小学教师教育教学的需求。</w:t>
      </w:r>
    </w:p>
    <w:p w14:paraId="47EB40B7">
      <w:pPr>
        <w:spacing w:line="360" w:lineRule="auto"/>
        <w:ind w:firstLine="482" w:firstLineChars="200"/>
        <w:jc w:val="left"/>
        <w:rPr>
          <w:rFonts w:ascii="Times New Roman" w:hAnsi="Times New Roman" w:eastAsia="宋体" w:cs="Times New Roman"/>
          <w:b/>
          <w:sz w:val="24"/>
          <w:szCs w:val="24"/>
        </w:rPr>
      </w:pPr>
    </w:p>
    <w:p w14:paraId="0D355C99">
      <w:pPr>
        <w:spacing w:line="360" w:lineRule="auto"/>
        <w:jc w:val="left"/>
        <w:rPr>
          <w:rFonts w:hint="eastAsia" w:ascii="宋体" w:hAnsi="宋体" w:eastAsia="宋体" w:cs="Times New Roman"/>
          <w:b/>
          <w:color w:val="000000"/>
          <w:szCs w:val="21"/>
        </w:rPr>
      </w:pPr>
    </w:p>
    <w:p w14:paraId="74E60DE4">
      <w:pPr>
        <w:spacing w:line="360" w:lineRule="auto"/>
        <w:jc w:val="left"/>
        <w:outlineLvl w:val="0"/>
        <w:rPr>
          <w:rFonts w:ascii="Times New Roman" w:hAnsi="Times New Roman" w:eastAsia="宋体" w:cs="Times New Roman"/>
          <w:sz w:val="24"/>
          <w:szCs w:val="24"/>
        </w:rPr>
      </w:pPr>
      <w:bookmarkStart w:id="2701" w:name="_Toc5923"/>
      <w:bookmarkStart w:id="2702" w:name="_Toc31872"/>
      <w:bookmarkStart w:id="2703" w:name="_Toc25865"/>
      <w:bookmarkStart w:id="2704" w:name="_Toc27344"/>
      <w:bookmarkStart w:id="2705" w:name="_Toc5787"/>
      <w:bookmarkStart w:id="2706" w:name="_Toc3004"/>
      <w:bookmarkStart w:id="2707" w:name="_Toc12908"/>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701"/>
      <w:bookmarkEnd w:id="2702"/>
      <w:bookmarkEnd w:id="2703"/>
      <w:bookmarkEnd w:id="2704"/>
      <w:bookmarkEnd w:id="2705"/>
      <w:bookmarkEnd w:id="2706"/>
      <w:bookmarkEnd w:id="2707"/>
    </w:p>
    <w:p w14:paraId="5487E1C4">
      <w:pPr>
        <w:spacing w:line="360" w:lineRule="auto"/>
        <w:ind w:firstLine="422" w:firstLineChars="200"/>
        <w:outlineLvl w:val="1"/>
        <w:rPr>
          <w:rFonts w:hint="eastAsia" w:ascii="宋体" w:hAnsi="宋体" w:eastAsia="宋体" w:cs="Times New Roman"/>
          <w:b/>
          <w:color w:val="000000"/>
          <w:szCs w:val="21"/>
        </w:rPr>
      </w:pPr>
      <w:bookmarkStart w:id="2708" w:name="_Toc24538"/>
      <w:r>
        <w:rPr>
          <w:rFonts w:hint="eastAsia" w:ascii="宋体" w:hAnsi="宋体" w:eastAsia="宋体" w:cs="Times New Roman"/>
          <w:b/>
          <w:color w:val="000000"/>
          <w:szCs w:val="21"/>
        </w:rPr>
        <w:t>（一）课程具体目标</w:t>
      </w:r>
      <w:bookmarkEnd w:id="2708"/>
    </w:p>
    <w:p w14:paraId="2EEEE68D">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 xml:space="preserve">目标1. </w:t>
      </w:r>
      <w:r>
        <w:rPr>
          <w:rFonts w:hint="eastAsia" w:ascii="宋体" w:hAnsi="宋体" w:eastAsia="宋体" w:cs="Times New Roman"/>
          <w:bCs/>
          <w:color w:val="000000"/>
          <w:szCs w:val="21"/>
        </w:rPr>
        <w:t>掌握自然科学的基础知识、基本概念和基本原理，理解科学研究的基本方法，形成自然科学的整体认知和科学素养。</w:t>
      </w:r>
    </w:p>
    <w:p w14:paraId="20342BB4">
      <w:pPr>
        <w:spacing w:line="360" w:lineRule="auto"/>
        <w:ind w:firstLine="422" w:firstLineChars="200"/>
        <w:rPr>
          <w:rFonts w:hint="eastAsia" w:ascii="宋体" w:hAnsi="宋体" w:eastAsia="宋体" w:cs="Times New Roman"/>
          <w:bCs/>
          <w:color w:val="000000"/>
          <w:szCs w:val="21"/>
        </w:rPr>
      </w:pPr>
      <w:r>
        <w:rPr>
          <w:rFonts w:hint="eastAsia" w:ascii="宋体" w:hAnsi="宋体" w:eastAsia="宋体" w:cs="Times New Roman"/>
          <w:b/>
          <w:color w:val="000000"/>
          <w:szCs w:val="21"/>
        </w:rPr>
        <w:t>目标2.</w:t>
      </w:r>
      <w:r>
        <w:rPr>
          <w:rFonts w:hint="eastAsia" w:ascii="宋体" w:hAnsi="宋体" w:eastAsia="宋体" w:cs="Times New Roman"/>
          <w:b/>
          <w:bCs/>
          <w:color w:val="000000"/>
          <w:szCs w:val="21"/>
        </w:rPr>
        <w:t xml:space="preserve"> </w:t>
      </w:r>
      <w:r>
        <w:rPr>
          <w:rFonts w:ascii="宋体" w:hAnsi="宋体" w:eastAsia="宋体" w:cs="Times New Roman"/>
          <w:bCs/>
          <w:color w:val="000000"/>
          <w:szCs w:val="21"/>
        </w:rPr>
        <w:t>熟悉小学科学教育的知识体系，掌握小学科学领域的核心概念、基本原理和主要技能；能够结合小学教育实际，理解自然科学与人文社会科学的交叉关系，为小学</w:t>
      </w:r>
      <w:r>
        <w:rPr>
          <w:rFonts w:hint="eastAsia" w:ascii="宋体" w:hAnsi="宋体" w:eastAsia="宋体" w:cs="Times New Roman"/>
          <w:bCs/>
          <w:color w:val="000000"/>
          <w:szCs w:val="21"/>
        </w:rPr>
        <w:t>教育</w:t>
      </w:r>
      <w:r>
        <w:rPr>
          <w:rFonts w:ascii="宋体" w:hAnsi="宋体" w:eastAsia="宋体" w:cs="Times New Roman"/>
          <w:bCs/>
          <w:color w:val="000000"/>
          <w:szCs w:val="21"/>
        </w:rPr>
        <w:t>提供扎实的学科支撑。</w:t>
      </w:r>
    </w:p>
    <w:p w14:paraId="28D4C232">
      <w:pPr>
        <w:spacing w:line="360" w:lineRule="auto"/>
        <w:ind w:firstLine="422" w:firstLineChars="200"/>
        <w:rPr>
          <w:rFonts w:hint="eastAsia" w:ascii="宋体" w:hAnsi="宋体" w:eastAsia="宋体" w:cs="Times New Roman"/>
          <w:bCs/>
          <w:color w:val="000000"/>
          <w:szCs w:val="21"/>
        </w:rPr>
      </w:pPr>
      <w:r>
        <w:rPr>
          <w:rFonts w:hint="eastAsia" w:ascii="宋体" w:hAnsi="宋体" w:eastAsia="宋体" w:cs="Times New Roman"/>
          <w:b/>
          <w:color w:val="000000"/>
          <w:szCs w:val="21"/>
        </w:rPr>
        <w:t xml:space="preserve">目标3. </w:t>
      </w:r>
      <w:r>
        <w:rPr>
          <w:rFonts w:hint="eastAsia" w:ascii="宋体" w:hAnsi="宋体" w:eastAsia="宋体" w:cs="Times New Roman"/>
          <w:bCs/>
          <w:color w:val="000000"/>
          <w:szCs w:val="21"/>
        </w:rPr>
        <w:t>具备科学知识的整合能力，能够联系小学其他学科及社会实践，开展跨学科综合性教学活动，提升小学教育的知识传授与实践能力。</w:t>
      </w:r>
    </w:p>
    <w:p w14:paraId="22C88F76">
      <w:pPr>
        <w:spacing w:before="156" w:beforeLines="50" w:after="156" w:afterLines="50" w:line="360" w:lineRule="auto"/>
        <w:jc w:val="left"/>
        <w:outlineLvl w:val="1"/>
        <w:rPr>
          <w:rFonts w:ascii="Times New Roman" w:hAnsi="Times New Roman" w:eastAsia="宋体" w:cs="Times New Roman"/>
          <w:b/>
          <w:bCs/>
          <w:szCs w:val="21"/>
        </w:rPr>
      </w:pPr>
      <w:bookmarkStart w:id="2709" w:name="_Toc26705"/>
      <w:r>
        <w:rPr>
          <w:rFonts w:hint="eastAsia" w:ascii="Times New Roman" w:hAnsi="Times New Roman" w:eastAsia="宋体" w:cs="Times New Roman"/>
          <w:b/>
          <w:bCs/>
          <w:szCs w:val="21"/>
        </w:rPr>
        <w:t>（二）课程目标及其对毕业要求指标点的支撑</w:t>
      </w:r>
      <w:bookmarkEnd w:id="2709"/>
    </w:p>
    <w:tbl>
      <w:tblPr>
        <w:tblStyle w:val="11"/>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5722"/>
        <w:gridCol w:w="1198"/>
      </w:tblGrid>
      <w:tr w14:paraId="512C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10" w:type="dxa"/>
            <w:vAlign w:val="center"/>
          </w:tcPr>
          <w:p w14:paraId="7202966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722" w:type="dxa"/>
            <w:vAlign w:val="center"/>
          </w:tcPr>
          <w:p w14:paraId="5A7C836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8" w:type="dxa"/>
            <w:vAlign w:val="center"/>
          </w:tcPr>
          <w:p w14:paraId="7049B88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963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10" w:type="dxa"/>
            <w:vAlign w:val="center"/>
          </w:tcPr>
          <w:p w14:paraId="4A5B5402">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毕业要求3：学科素养</w:t>
            </w:r>
          </w:p>
        </w:tc>
        <w:tc>
          <w:tcPr>
            <w:tcW w:w="5722" w:type="dxa"/>
            <w:vAlign w:val="center"/>
          </w:tcPr>
          <w:p w14:paraId="3BB8E9EE">
            <w:pPr>
              <w:spacing w:line="276" w:lineRule="auto"/>
              <w:jc w:val="left"/>
              <w:rPr>
                <w:rFonts w:hint="eastAsia" w:ascii="宋体" w:hAnsi="宋体" w:eastAsia="宋体" w:cs="Times New Roman"/>
                <w:szCs w:val="21"/>
              </w:rPr>
            </w:pPr>
            <w:r>
              <w:rPr>
                <w:rFonts w:hint="eastAsia" w:ascii="宋体" w:hAnsi="宋体" w:eastAsia="宋体" w:cs="宋体"/>
                <w:kern w:val="0"/>
                <w:sz w:val="20"/>
                <w:szCs w:val="20"/>
              </w:rPr>
              <w:t>指标点</w:t>
            </w:r>
            <w:r>
              <w:rPr>
                <w:rFonts w:hint="eastAsia" w:ascii="宋体" w:hAnsi="宋体" w:eastAsia="宋体" w:cs="宋体"/>
                <w:sz w:val="20"/>
                <w:szCs w:val="20"/>
              </w:rPr>
              <w:t>3-1：【通识知识广博】具有小学教育本科专业相应的自然科学和人文社会科学知识素养。</w:t>
            </w:r>
          </w:p>
        </w:tc>
        <w:tc>
          <w:tcPr>
            <w:tcW w:w="1198" w:type="dxa"/>
            <w:vAlign w:val="center"/>
          </w:tcPr>
          <w:p w14:paraId="7167C6D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目标1</w:t>
            </w:r>
          </w:p>
        </w:tc>
      </w:tr>
      <w:tr w14:paraId="05FD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2110" w:type="dxa"/>
            <w:vAlign w:val="center"/>
          </w:tcPr>
          <w:p w14:paraId="69FB1185">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毕业要求3：学科素养</w:t>
            </w:r>
          </w:p>
        </w:tc>
        <w:tc>
          <w:tcPr>
            <w:tcW w:w="5722" w:type="dxa"/>
            <w:vAlign w:val="center"/>
          </w:tcPr>
          <w:p w14:paraId="515BA812">
            <w:pPr>
              <w:spacing w:line="276" w:lineRule="auto"/>
              <w:jc w:val="left"/>
              <w:rPr>
                <w:rFonts w:hint="eastAsia" w:ascii="宋体" w:hAnsi="宋体" w:eastAsia="宋体" w:cs="Times New Roman"/>
                <w:szCs w:val="21"/>
              </w:rPr>
            </w:pPr>
            <w:r>
              <w:rPr>
                <w:rFonts w:hint="eastAsia" w:ascii="宋体" w:hAnsi="宋体" w:eastAsia="宋体" w:cs="宋体"/>
                <w:kern w:val="0"/>
                <w:sz w:val="20"/>
                <w:szCs w:val="20"/>
              </w:rPr>
              <w:t>指标点</w:t>
            </w:r>
            <w:r>
              <w:rPr>
                <w:rFonts w:hint="eastAsia" w:ascii="宋体" w:hAnsi="宋体" w:eastAsia="宋体" w:cs="宋体"/>
                <w:sz w:val="20"/>
                <w:szCs w:val="20"/>
              </w:rPr>
              <w:t>3-2：【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8" w:type="dxa"/>
            <w:vAlign w:val="center"/>
          </w:tcPr>
          <w:p w14:paraId="0FA8C67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目标2</w:t>
            </w:r>
          </w:p>
        </w:tc>
      </w:tr>
      <w:tr w14:paraId="3801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2110" w:type="dxa"/>
            <w:vAlign w:val="center"/>
          </w:tcPr>
          <w:p w14:paraId="3C401888">
            <w:pPr>
              <w:spacing w:line="276" w:lineRule="auto"/>
              <w:jc w:val="left"/>
              <w:rPr>
                <w:rFonts w:ascii="Times New Roman" w:hAnsi="Times New Roman" w:eastAsia="宋体" w:cs="Times New Roman"/>
                <w:szCs w:val="21"/>
              </w:rPr>
            </w:pPr>
            <w:r>
              <w:rPr>
                <w:rFonts w:ascii="Times New Roman" w:hAnsi="Times New Roman" w:eastAsia="宋体" w:cs="Times New Roman"/>
                <w:szCs w:val="21"/>
              </w:rPr>
              <w:t>毕业要求3：学科素养</w:t>
            </w:r>
          </w:p>
        </w:tc>
        <w:tc>
          <w:tcPr>
            <w:tcW w:w="5722" w:type="dxa"/>
            <w:vAlign w:val="center"/>
          </w:tcPr>
          <w:p w14:paraId="16590254">
            <w:pPr>
              <w:spacing w:line="276" w:lineRule="auto"/>
              <w:jc w:val="left"/>
              <w:rPr>
                <w:rFonts w:hint="eastAsia" w:ascii="宋体" w:hAnsi="宋体" w:eastAsia="宋体" w:cs="Times New Roman"/>
                <w:szCs w:val="21"/>
              </w:rPr>
            </w:pPr>
            <w:r>
              <w:rPr>
                <w:rFonts w:hint="eastAsia" w:ascii="宋体" w:hAnsi="宋体" w:eastAsia="宋体" w:cs="宋体"/>
                <w:kern w:val="0"/>
                <w:sz w:val="20"/>
                <w:szCs w:val="20"/>
              </w:rPr>
              <w:t>指标点</w:t>
            </w:r>
            <w:r>
              <w:rPr>
                <w:rFonts w:hint="eastAsia" w:ascii="宋体" w:hAnsi="宋体" w:eastAsia="宋体" w:cs="宋体"/>
                <w:sz w:val="20"/>
                <w:szCs w:val="20"/>
              </w:rPr>
              <w:t>3-3：【注重知识整合】了解所教学科与小学其他学科及与社会实践、小学生生活实践之间的联系，了解学科整合在小学教育中的价值，具有跨学科解决问题的意识和能力，能指导综合性学科教学活动。</w:t>
            </w:r>
          </w:p>
        </w:tc>
        <w:tc>
          <w:tcPr>
            <w:tcW w:w="1198" w:type="dxa"/>
            <w:vAlign w:val="center"/>
          </w:tcPr>
          <w:p w14:paraId="4C40FCA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目标3</w:t>
            </w:r>
          </w:p>
        </w:tc>
      </w:tr>
    </w:tbl>
    <w:p w14:paraId="369FD730">
      <w:pPr>
        <w:spacing w:before="156" w:beforeLines="50" w:line="360" w:lineRule="auto"/>
        <w:jc w:val="left"/>
        <w:rPr>
          <w:rFonts w:hint="eastAsia" w:ascii="宋体" w:hAnsi="宋体" w:eastAsia="宋体" w:cs="Times New Roman"/>
          <w:b/>
          <w:color w:val="000000"/>
          <w:szCs w:val="21"/>
        </w:rPr>
      </w:pPr>
    </w:p>
    <w:p w14:paraId="270292DE">
      <w:pPr>
        <w:spacing w:before="156" w:beforeLines="50" w:line="360" w:lineRule="auto"/>
        <w:jc w:val="left"/>
        <w:outlineLvl w:val="1"/>
        <w:rPr>
          <w:rFonts w:hint="eastAsia" w:ascii="宋体" w:hAnsi="宋体" w:eastAsia="宋体" w:cs="Times New Roman"/>
          <w:b/>
          <w:color w:val="000000"/>
          <w:szCs w:val="21"/>
        </w:rPr>
      </w:pPr>
      <w:bookmarkStart w:id="2710" w:name="_Toc11971"/>
      <w:r>
        <w:rPr>
          <w:rFonts w:hint="eastAsia" w:ascii="宋体" w:hAnsi="宋体" w:eastAsia="宋体" w:cs="Times New Roman"/>
          <w:b/>
          <w:color w:val="000000"/>
          <w:szCs w:val="21"/>
        </w:rPr>
        <w:t>（三）课程思政目标</w:t>
      </w:r>
      <w:bookmarkEnd w:id="2710"/>
    </w:p>
    <w:p w14:paraId="259DE1FF">
      <w:pPr>
        <w:spacing w:line="360" w:lineRule="auto"/>
        <w:ind w:left="420" w:hanging="420" w:hangingChars="200"/>
        <w:jc w:val="left"/>
        <w:outlineLvl w:val="2"/>
        <w:rPr>
          <w:rFonts w:hint="eastAsia" w:ascii="宋体" w:hAnsi="宋体" w:eastAsia="宋体" w:cs="Times New Roman"/>
          <w:color w:val="000000"/>
          <w:szCs w:val="21"/>
        </w:rPr>
      </w:pPr>
      <w:bookmarkStart w:id="2711" w:name="_Toc25821"/>
      <w:r>
        <w:rPr>
          <w:rFonts w:hint="eastAsia" w:ascii="宋体" w:hAnsi="宋体" w:eastAsia="宋体" w:cs="Times New Roman"/>
          <w:color w:val="000000"/>
          <w:szCs w:val="21"/>
        </w:rPr>
        <w:t xml:space="preserve">1. </w:t>
      </w:r>
      <w:r>
        <w:rPr>
          <w:rFonts w:ascii="宋体" w:hAnsi="宋体" w:eastAsia="宋体" w:cs="Times New Roman"/>
          <w:b/>
          <w:bCs/>
          <w:color w:val="000000"/>
          <w:szCs w:val="21"/>
        </w:rPr>
        <w:t>培养科学精神与责任意识</w:t>
      </w:r>
      <w:bookmarkEnd w:id="2711"/>
    </w:p>
    <w:p w14:paraId="02D8777C">
      <w:pPr>
        <w:spacing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t>帮助学生树立尊重科学、崇尚探索的科学精神，认识科学技术对社会进步的重要意义，同时增强社会责任感，为培养具有科学素养的小学生打下思想基础。</w:t>
      </w:r>
    </w:p>
    <w:p w14:paraId="60325076">
      <w:pPr>
        <w:spacing w:line="360" w:lineRule="auto"/>
        <w:ind w:left="420" w:hanging="420" w:hangingChars="200"/>
        <w:jc w:val="left"/>
        <w:outlineLvl w:val="2"/>
        <w:rPr>
          <w:rFonts w:hint="eastAsia" w:ascii="宋体" w:hAnsi="宋体" w:eastAsia="宋体" w:cs="Times New Roman"/>
          <w:color w:val="000000"/>
          <w:szCs w:val="21"/>
        </w:rPr>
      </w:pPr>
      <w:bookmarkStart w:id="2712" w:name="_Toc27503"/>
      <w:r>
        <w:rPr>
          <w:rFonts w:hint="eastAsia" w:ascii="宋体" w:hAnsi="宋体" w:eastAsia="宋体" w:cs="Times New Roman"/>
          <w:color w:val="000000"/>
          <w:szCs w:val="21"/>
        </w:rPr>
        <w:t xml:space="preserve">2. </w:t>
      </w:r>
      <w:r>
        <w:rPr>
          <w:rFonts w:ascii="宋体" w:hAnsi="宋体" w:eastAsia="宋体" w:cs="Times New Roman"/>
          <w:b/>
          <w:bCs/>
          <w:color w:val="000000"/>
          <w:szCs w:val="21"/>
        </w:rPr>
        <w:t>增强生态文明意识</w:t>
      </w:r>
      <w:bookmarkEnd w:id="2712"/>
    </w:p>
    <w:p w14:paraId="4A392E6E">
      <w:pPr>
        <w:spacing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t>通过对自然科学知识的学习，引导学生树立人与自然和谐共生的理念，强化生态保护意识，践行可持续发展观。</w:t>
      </w:r>
    </w:p>
    <w:p w14:paraId="6C15FCE4">
      <w:pPr>
        <w:spacing w:line="360" w:lineRule="auto"/>
        <w:ind w:left="420" w:hanging="420" w:hangingChars="200"/>
        <w:jc w:val="left"/>
        <w:outlineLvl w:val="2"/>
        <w:rPr>
          <w:rFonts w:hint="eastAsia" w:ascii="宋体" w:hAnsi="宋体" w:eastAsia="宋体" w:cs="Times New Roman"/>
          <w:color w:val="000000"/>
          <w:szCs w:val="21"/>
        </w:rPr>
      </w:pPr>
      <w:bookmarkStart w:id="2713" w:name="_Toc19847"/>
      <w:r>
        <w:rPr>
          <w:rFonts w:hint="eastAsia" w:ascii="宋体" w:hAnsi="宋体" w:eastAsia="宋体" w:cs="Times New Roman"/>
          <w:color w:val="000000"/>
          <w:szCs w:val="21"/>
        </w:rPr>
        <w:t xml:space="preserve">3. </w:t>
      </w:r>
      <w:r>
        <w:rPr>
          <w:rFonts w:ascii="宋体" w:hAnsi="宋体" w:eastAsia="宋体" w:cs="Times New Roman"/>
          <w:b/>
          <w:bCs/>
          <w:color w:val="000000"/>
          <w:szCs w:val="21"/>
        </w:rPr>
        <w:t>弘扬科学伦理与价值观</w:t>
      </w:r>
      <w:bookmarkEnd w:id="2713"/>
    </w:p>
    <w:p w14:paraId="3781653B">
      <w:pPr>
        <w:spacing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t>帮助学生认识科技发展对社会的双重影响，正确看待科技进步中的伦理问题，形成对科学技术的理性态度和批判性思维。</w:t>
      </w:r>
    </w:p>
    <w:p w14:paraId="37F30929">
      <w:pPr>
        <w:spacing w:line="360" w:lineRule="auto"/>
        <w:ind w:left="210" w:hanging="210" w:hangingChars="100"/>
        <w:jc w:val="left"/>
        <w:outlineLvl w:val="2"/>
        <w:rPr>
          <w:rFonts w:hint="eastAsia" w:ascii="宋体" w:hAnsi="宋体" w:eastAsia="宋体" w:cs="Times New Roman"/>
          <w:color w:val="000000"/>
          <w:szCs w:val="21"/>
        </w:rPr>
      </w:pPr>
      <w:bookmarkStart w:id="2714" w:name="_Toc13451"/>
      <w:r>
        <w:rPr>
          <w:rFonts w:hint="eastAsia" w:ascii="宋体" w:hAnsi="宋体" w:eastAsia="宋体" w:cs="Times New Roman"/>
          <w:color w:val="000000"/>
          <w:szCs w:val="21"/>
        </w:rPr>
        <w:t xml:space="preserve">4. </w:t>
      </w:r>
      <w:r>
        <w:rPr>
          <w:rFonts w:ascii="宋体" w:hAnsi="宋体" w:eastAsia="宋体" w:cs="Times New Roman"/>
          <w:b/>
          <w:bCs/>
          <w:color w:val="000000"/>
          <w:szCs w:val="21"/>
        </w:rPr>
        <w:t>激发爱国热情与家国情怀</w:t>
      </w:r>
      <w:bookmarkEnd w:id="2714"/>
      <w:r>
        <w:rPr>
          <w:rFonts w:hint="eastAsia" w:ascii="宋体" w:hAnsi="宋体" w:eastAsia="宋体" w:cs="Times New Roman"/>
          <w:color w:val="000000"/>
          <w:szCs w:val="21"/>
        </w:rPr>
        <w:t xml:space="preserve"> </w:t>
      </w:r>
    </w:p>
    <w:p w14:paraId="2DD7B45D">
      <w:pPr>
        <w:spacing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t>结合科学发展史中的经典案例，引导学生认识中国科学技术的贡献，增强民族自信心和自豪感，为培养德才兼备的小学教师提供思想支撑。</w:t>
      </w:r>
    </w:p>
    <w:p w14:paraId="70E0CCFF">
      <w:pPr>
        <w:spacing w:line="360" w:lineRule="auto"/>
        <w:jc w:val="left"/>
        <w:rPr>
          <w:rFonts w:hint="eastAsia" w:ascii="宋体" w:hAnsi="宋体" w:eastAsia="宋体" w:cs="Times New Roman"/>
          <w:color w:val="000000"/>
          <w:szCs w:val="21"/>
        </w:rPr>
      </w:pPr>
    </w:p>
    <w:p w14:paraId="6C97C151">
      <w:pPr>
        <w:spacing w:line="360" w:lineRule="auto"/>
        <w:jc w:val="left"/>
        <w:rPr>
          <w:rFonts w:hint="eastAsia" w:ascii="宋体" w:hAnsi="宋体" w:eastAsia="宋体" w:cs="Times New Roman"/>
          <w:color w:val="000000"/>
          <w:szCs w:val="21"/>
        </w:rPr>
      </w:pPr>
    </w:p>
    <w:p w14:paraId="7A79DB23">
      <w:pPr>
        <w:spacing w:line="360" w:lineRule="auto"/>
        <w:jc w:val="left"/>
        <w:rPr>
          <w:rFonts w:hint="eastAsia" w:ascii="宋体" w:hAnsi="宋体" w:eastAsia="宋体" w:cs="Times New Roman"/>
          <w:color w:val="000000"/>
          <w:szCs w:val="21"/>
        </w:rPr>
      </w:pPr>
    </w:p>
    <w:p w14:paraId="16F626EC">
      <w:pPr>
        <w:spacing w:line="360" w:lineRule="auto"/>
        <w:jc w:val="left"/>
        <w:outlineLvl w:val="0"/>
        <w:rPr>
          <w:rFonts w:hint="eastAsia" w:ascii="宋体" w:hAnsi="宋体" w:eastAsia="宋体" w:cs="Times New Roman"/>
          <w:b/>
          <w:color w:val="000000"/>
          <w:sz w:val="24"/>
          <w:szCs w:val="24"/>
        </w:rPr>
      </w:pPr>
      <w:bookmarkStart w:id="2715" w:name="_Toc14602"/>
      <w:bookmarkStart w:id="2716" w:name="_Toc2968"/>
      <w:bookmarkStart w:id="2717" w:name="_Toc11284"/>
      <w:bookmarkStart w:id="2718" w:name="_Toc13139"/>
      <w:bookmarkStart w:id="2719" w:name="_Toc19338"/>
      <w:bookmarkStart w:id="2720" w:name="_Toc1920"/>
      <w:bookmarkStart w:id="2721" w:name="_Toc15736"/>
      <w:r>
        <w:rPr>
          <w:rFonts w:hint="eastAsia" w:ascii="宋体" w:hAnsi="宋体" w:eastAsia="宋体" w:cs="Times New Roman"/>
          <w:b/>
          <w:color w:val="000000"/>
          <w:sz w:val="24"/>
          <w:szCs w:val="24"/>
        </w:rPr>
        <w:t>三、教学内容与预期学习成效</w:t>
      </w:r>
      <w:bookmarkEnd w:id="2715"/>
      <w:bookmarkEnd w:id="2716"/>
      <w:bookmarkEnd w:id="2717"/>
      <w:bookmarkEnd w:id="2718"/>
      <w:bookmarkEnd w:id="2719"/>
      <w:bookmarkEnd w:id="2720"/>
      <w:bookmarkEnd w:id="2721"/>
    </w:p>
    <w:tbl>
      <w:tblPr>
        <w:tblStyle w:val="11"/>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716"/>
        <w:gridCol w:w="1144"/>
        <w:gridCol w:w="3716"/>
        <w:gridCol w:w="1147"/>
        <w:gridCol w:w="443"/>
      </w:tblGrid>
      <w:tr w14:paraId="0D57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16" w:type="dxa"/>
            <w:vAlign w:val="center"/>
          </w:tcPr>
          <w:p w14:paraId="627AB40F">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FD6ECC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16" w:type="dxa"/>
            <w:vAlign w:val="center"/>
          </w:tcPr>
          <w:p w14:paraId="2182004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44" w:type="dxa"/>
            <w:vAlign w:val="center"/>
          </w:tcPr>
          <w:p w14:paraId="335B783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4B1599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716" w:type="dxa"/>
            <w:vAlign w:val="center"/>
          </w:tcPr>
          <w:p w14:paraId="4D7C279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147" w:type="dxa"/>
            <w:vAlign w:val="center"/>
          </w:tcPr>
          <w:p w14:paraId="0AD9781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43" w:type="dxa"/>
            <w:vAlign w:val="center"/>
          </w:tcPr>
          <w:p w14:paraId="11AAE5A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5105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216" w:type="dxa"/>
            <w:vMerge w:val="restart"/>
          </w:tcPr>
          <w:p w14:paraId="294665FB">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2"/>
              </w:rPr>
              <w:t>绪论</w:t>
            </w:r>
          </w:p>
        </w:tc>
        <w:tc>
          <w:tcPr>
            <w:tcW w:w="1716" w:type="dxa"/>
          </w:tcPr>
          <w:p w14:paraId="088BF784">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自然科学的基本概念与研究方法；科学教育课程标准</w:t>
            </w:r>
          </w:p>
        </w:tc>
        <w:tc>
          <w:tcPr>
            <w:tcW w:w="1144" w:type="dxa"/>
          </w:tcPr>
          <w:p w14:paraId="1FB0A2DB">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2"/>
              </w:rPr>
              <w:t>目标1</w:t>
            </w:r>
          </w:p>
        </w:tc>
        <w:tc>
          <w:tcPr>
            <w:tcW w:w="3716" w:type="dxa"/>
          </w:tcPr>
          <w:p w14:paraId="0CEBE37C">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理解自然科学的基本概念与研究方法，掌握科学教育的基本要求；增强科学学习的兴趣和信心。</w:t>
            </w:r>
          </w:p>
        </w:tc>
        <w:tc>
          <w:tcPr>
            <w:tcW w:w="1147" w:type="dxa"/>
          </w:tcPr>
          <w:p w14:paraId="29FFD37B">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课堂讲授与案例讨论</w:t>
            </w:r>
          </w:p>
        </w:tc>
        <w:tc>
          <w:tcPr>
            <w:tcW w:w="443" w:type="dxa"/>
          </w:tcPr>
          <w:p w14:paraId="2E328B5D">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2"/>
              </w:rPr>
              <w:t>9</w:t>
            </w:r>
          </w:p>
        </w:tc>
      </w:tr>
      <w:tr w14:paraId="5F45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28A6493B">
            <w:pPr>
              <w:spacing w:line="264" w:lineRule="auto"/>
              <w:jc w:val="center"/>
              <w:rPr>
                <w:rFonts w:hint="eastAsia" w:ascii="宋体" w:hAnsi="宋体" w:eastAsia="宋体" w:cs="Times New Roman"/>
                <w:color w:val="000000"/>
                <w:szCs w:val="21"/>
              </w:rPr>
            </w:pPr>
          </w:p>
        </w:tc>
        <w:tc>
          <w:tcPr>
            <w:tcW w:w="8166" w:type="dxa"/>
            <w:gridSpan w:val="5"/>
            <w:vAlign w:val="center"/>
          </w:tcPr>
          <w:p w14:paraId="2FAB9065">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激发科学精神，增强对科学研究和科学教育的责任感。</w:t>
            </w:r>
          </w:p>
          <w:p w14:paraId="48B5EC1B">
            <w:pPr>
              <w:spacing w:line="269" w:lineRule="auto"/>
              <w:jc w:val="left"/>
              <w:rPr>
                <w:rFonts w:hint="eastAsia" w:ascii="宋体" w:hAnsi="宋体" w:eastAsia="宋体" w:cs="Times New Roman"/>
                <w:color w:val="000000"/>
                <w:szCs w:val="21"/>
              </w:rPr>
            </w:pPr>
          </w:p>
        </w:tc>
      </w:tr>
      <w:tr w14:paraId="5F72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216" w:type="dxa"/>
            <w:vMerge w:val="restart"/>
          </w:tcPr>
          <w:p w14:paraId="0C0E046D">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2"/>
              </w:rPr>
              <w:t>地球与宇宙</w:t>
            </w:r>
          </w:p>
        </w:tc>
        <w:tc>
          <w:tcPr>
            <w:tcW w:w="1716" w:type="dxa"/>
          </w:tcPr>
          <w:p w14:paraId="2BC52AB2">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太阳系结构、恒星的诞生与演化、宇宙的起源与演化</w:t>
            </w:r>
          </w:p>
        </w:tc>
        <w:tc>
          <w:tcPr>
            <w:tcW w:w="1144" w:type="dxa"/>
          </w:tcPr>
          <w:p w14:paraId="70D089C1">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2"/>
              </w:rPr>
              <w:t>目标1、目标2</w:t>
            </w:r>
          </w:p>
        </w:tc>
        <w:tc>
          <w:tcPr>
            <w:tcW w:w="3716" w:type="dxa"/>
          </w:tcPr>
          <w:p w14:paraId="21C3C625">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掌握太阳系及宇宙的基本知识；理解恒星与宇宙演化的过程，形成自然科学整体认知；增强对人类探究宇宙的科学精神的敬意。</w:t>
            </w:r>
          </w:p>
        </w:tc>
        <w:tc>
          <w:tcPr>
            <w:tcW w:w="1147" w:type="dxa"/>
          </w:tcPr>
          <w:p w14:paraId="18092B29">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课堂讲授与问题研讨</w:t>
            </w:r>
          </w:p>
        </w:tc>
        <w:tc>
          <w:tcPr>
            <w:tcW w:w="443" w:type="dxa"/>
          </w:tcPr>
          <w:p w14:paraId="29D2EF1D">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2"/>
              </w:rPr>
              <w:t>12</w:t>
            </w:r>
          </w:p>
        </w:tc>
      </w:tr>
      <w:tr w14:paraId="5F17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205742CE">
            <w:pPr>
              <w:spacing w:line="264" w:lineRule="auto"/>
              <w:jc w:val="center"/>
              <w:rPr>
                <w:rFonts w:hint="eastAsia" w:ascii="宋体" w:hAnsi="宋体" w:eastAsia="宋体" w:cs="Times New Roman"/>
                <w:color w:val="000000"/>
                <w:szCs w:val="21"/>
              </w:rPr>
            </w:pPr>
          </w:p>
        </w:tc>
        <w:tc>
          <w:tcPr>
            <w:tcW w:w="8166" w:type="dxa"/>
            <w:gridSpan w:val="5"/>
            <w:vAlign w:val="center"/>
          </w:tcPr>
          <w:p w14:paraId="1954AE7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树立科学探索精神，激发对科技进步和宇宙奥秘的好奇心，培养爱国情怀（例如介绍中国航天成就）。</w:t>
            </w:r>
          </w:p>
        </w:tc>
      </w:tr>
      <w:tr w14:paraId="02BD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216" w:type="dxa"/>
            <w:vMerge w:val="restart"/>
          </w:tcPr>
          <w:p w14:paraId="5FC3B54D">
            <w:pPr>
              <w:spacing w:line="264" w:lineRule="auto"/>
              <w:jc w:val="center"/>
              <w:rPr>
                <w:rFonts w:hint="eastAsia" w:ascii="宋体" w:hAnsi="宋体" w:eastAsia="宋体" w:cs="Times New Roman"/>
                <w:color w:val="000000"/>
                <w:szCs w:val="21"/>
              </w:rPr>
            </w:pPr>
            <w:r>
              <w:rPr>
                <w:rFonts w:hint="eastAsia" w:ascii="宋体" w:hAnsi="宋体" w:eastAsia="宋体" w:cs="Times New Roman"/>
                <w:szCs w:val="22"/>
              </w:rPr>
              <w:t>奇妙的生命世界</w:t>
            </w:r>
          </w:p>
        </w:tc>
        <w:tc>
          <w:tcPr>
            <w:tcW w:w="1716" w:type="dxa"/>
          </w:tcPr>
          <w:p w14:paraId="53A8C1F7">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生物多样性、生物结构与功能、生命系统的层次结构；生命进化</w:t>
            </w:r>
          </w:p>
        </w:tc>
        <w:tc>
          <w:tcPr>
            <w:tcW w:w="1144" w:type="dxa"/>
          </w:tcPr>
          <w:p w14:paraId="658FC89B">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2"/>
              </w:rPr>
              <w:t>目标1、目标2</w:t>
            </w:r>
          </w:p>
        </w:tc>
        <w:tc>
          <w:tcPr>
            <w:tcW w:w="3716" w:type="dxa"/>
          </w:tcPr>
          <w:p w14:paraId="36B4A8FA">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了解生命现象的共性与差异，掌握生物多样性保护的重要性；理解生命进化的科学依据；培养学生生态保护的意识和对生命的敬畏。</w:t>
            </w:r>
          </w:p>
        </w:tc>
        <w:tc>
          <w:tcPr>
            <w:tcW w:w="1147" w:type="dxa"/>
          </w:tcPr>
          <w:p w14:paraId="03B45290">
            <w:pPr>
              <w:spacing w:line="269" w:lineRule="auto"/>
              <w:jc w:val="left"/>
              <w:rPr>
                <w:rFonts w:hint="eastAsia" w:ascii="宋体" w:hAnsi="宋体" w:eastAsia="宋体" w:cs="Times New Roman"/>
                <w:color w:val="000000"/>
                <w:szCs w:val="21"/>
              </w:rPr>
            </w:pPr>
            <w:r>
              <w:rPr>
                <w:rFonts w:hint="eastAsia" w:ascii="宋体" w:hAnsi="宋体" w:eastAsia="宋体" w:cs="Times New Roman"/>
                <w:szCs w:val="22"/>
              </w:rPr>
              <w:t>课堂讲授与演示</w:t>
            </w:r>
          </w:p>
        </w:tc>
        <w:tc>
          <w:tcPr>
            <w:tcW w:w="443" w:type="dxa"/>
          </w:tcPr>
          <w:p w14:paraId="75DFCCCE">
            <w:pPr>
              <w:spacing w:line="269" w:lineRule="auto"/>
              <w:jc w:val="center"/>
              <w:rPr>
                <w:rFonts w:hint="eastAsia" w:ascii="宋体" w:hAnsi="宋体" w:eastAsia="宋体" w:cs="Times New Roman"/>
                <w:color w:val="000000"/>
                <w:szCs w:val="21"/>
              </w:rPr>
            </w:pPr>
            <w:r>
              <w:rPr>
                <w:rFonts w:hint="eastAsia" w:ascii="宋体" w:hAnsi="宋体" w:eastAsia="宋体" w:cs="Times New Roman"/>
                <w:szCs w:val="22"/>
              </w:rPr>
              <w:t>9</w:t>
            </w:r>
          </w:p>
        </w:tc>
      </w:tr>
      <w:tr w14:paraId="1449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7B173252">
            <w:pPr>
              <w:spacing w:line="264" w:lineRule="auto"/>
              <w:jc w:val="center"/>
              <w:rPr>
                <w:rFonts w:hint="eastAsia" w:ascii="宋体" w:hAnsi="宋体" w:eastAsia="宋体" w:cs="Times New Roman"/>
                <w:color w:val="000000"/>
                <w:szCs w:val="21"/>
              </w:rPr>
            </w:pPr>
          </w:p>
        </w:tc>
        <w:tc>
          <w:tcPr>
            <w:tcW w:w="8166" w:type="dxa"/>
            <w:gridSpan w:val="5"/>
            <w:vAlign w:val="center"/>
          </w:tcPr>
          <w:p w14:paraId="7C2243F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强化生态文明理念，培养尊重生命、珍惜自然资源的责任感。</w:t>
            </w:r>
          </w:p>
        </w:tc>
      </w:tr>
      <w:tr w14:paraId="0CB2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1216" w:type="dxa"/>
            <w:vMerge w:val="restart"/>
          </w:tcPr>
          <w:p w14:paraId="347617CC">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环境与我们</w:t>
            </w:r>
          </w:p>
        </w:tc>
        <w:tc>
          <w:tcPr>
            <w:tcW w:w="1716" w:type="dxa"/>
          </w:tcPr>
          <w:p w14:paraId="5458DFBA">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生态系统的组成与功能、环境保护的意义与措施</w:t>
            </w:r>
          </w:p>
        </w:tc>
        <w:tc>
          <w:tcPr>
            <w:tcW w:w="1144" w:type="dxa"/>
          </w:tcPr>
          <w:p w14:paraId="6BE56440">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目标3</w:t>
            </w:r>
          </w:p>
        </w:tc>
        <w:tc>
          <w:tcPr>
            <w:tcW w:w="3716" w:type="dxa"/>
          </w:tcPr>
          <w:p w14:paraId="6EBCD1E3">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理解生态系统的基本结构与功能，掌握生态保护的主要措施；增强环保意识，践行可持续发展理念，关注人与自然的关系。</w:t>
            </w:r>
          </w:p>
        </w:tc>
        <w:tc>
          <w:tcPr>
            <w:tcW w:w="1147" w:type="dxa"/>
          </w:tcPr>
          <w:p w14:paraId="50C4F0D4">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情境教学与案例分析</w:t>
            </w:r>
          </w:p>
        </w:tc>
        <w:tc>
          <w:tcPr>
            <w:tcW w:w="443" w:type="dxa"/>
          </w:tcPr>
          <w:p w14:paraId="5C7F1A11">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3</w:t>
            </w:r>
          </w:p>
        </w:tc>
      </w:tr>
      <w:tr w14:paraId="3091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08E3F831">
            <w:pPr>
              <w:spacing w:line="276" w:lineRule="auto"/>
              <w:jc w:val="center"/>
              <w:rPr>
                <w:rFonts w:hint="eastAsia" w:ascii="宋体" w:hAnsi="宋体" w:eastAsia="宋体" w:cs="Times New Roman"/>
                <w:color w:val="000000"/>
                <w:szCs w:val="21"/>
              </w:rPr>
            </w:pPr>
          </w:p>
        </w:tc>
        <w:tc>
          <w:tcPr>
            <w:tcW w:w="8166" w:type="dxa"/>
            <w:gridSpan w:val="5"/>
            <w:vAlign w:val="center"/>
          </w:tcPr>
          <w:p w14:paraId="3FBD2D68">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树立可持续发展观念，增强学生生态保护的意识和实践能力。</w:t>
            </w:r>
          </w:p>
        </w:tc>
      </w:tr>
      <w:tr w14:paraId="7BCD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1216" w:type="dxa"/>
            <w:vMerge w:val="restart"/>
          </w:tcPr>
          <w:p w14:paraId="2B9CA8C3">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多姿多彩的物质世界</w:t>
            </w:r>
          </w:p>
        </w:tc>
        <w:tc>
          <w:tcPr>
            <w:tcW w:w="1716" w:type="dxa"/>
          </w:tcPr>
          <w:p w14:paraId="0E9C1C91">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物质结构、能量与其转化、物体的运动</w:t>
            </w:r>
          </w:p>
        </w:tc>
        <w:tc>
          <w:tcPr>
            <w:tcW w:w="1144" w:type="dxa"/>
          </w:tcPr>
          <w:p w14:paraId="2B5F76EF">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目标2、目标3</w:t>
            </w:r>
          </w:p>
        </w:tc>
        <w:tc>
          <w:tcPr>
            <w:tcW w:w="3716" w:type="dxa"/>
          </w:tcPr>
          <w:p w14:paraId="5700BE63">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掌握物质与能量转化的基本知识；理解科学技术在生活实践中的应用，培养跨学科思维能力；激发学生对科学探索的热情。</w:t>
            </w:r>
          </w:p>
        </w:tc>
        <w:tc>
          <w:tcPr>
            <w:tcW w:w="1147" w:type="dxa"/>
          </w:tcPr>
          <w:p w14:paraId="61C3614F">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实验演示与小组讨论</w:t>
            </w:r>
          </w:p>
        </w:tc>
        <w:tc>
          <w:tcPr>
            <w:tcW w:w="443" w:type="dxa"/>
          </w:tcPr>
          <w:p w14:paraId="496C07A4">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6</w:t>
            </w:r>
          </w:p>
        </w:tc>
      </w:tr>
      <w:tr w14:paraId="63D7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0ED0497B">
            <w:pPr>
              <w:spacing w:line="276" w:lineRule="auto"/>
              <w:jc w:val="center"/>
              <w:rPr>
                <w:rFonts w:hint="eastAsia" w:ascii="宋体" w:hAnsi="宋体" w:eastAsia="宋体" w:cs="Times New Roman"/>
                <w:color w:val="000000"/>
                <w:szCs w:val="21"/>
              </w:rPr>
            </w:pPr>
          </w:p>
        </w:tc>
        <w:tc>
          <w:tcPr>
            <w:tcW w:w="8166" w:type="dxa"/>
            <w:gridSpan w:val="5"/>
            <w:vAlign w:val="center"/>
          </w:tcPr>
          <w:p w14:paraId="1BA218D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理解科学知识的实际应用价值，培养科学技术服务社会的意识和实践能力。</w:t>
            </w:r>
          </w:p>
        </w:tc>
      </w:tr>
      <w:tr w14:paraId="342F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16" w:type="dxa"/>
            <w:vMerge w:val="restart"/>
          </w:tcPr>
          <w:p w14:paraId="57E65975">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科学技术与人类</w:t>
            </w:r>
          </w:p>
        </w:tc>
        <w:tc>
          <w:tcPr>
            <w:tcW w:w="1716" w:type="dxa"/>
          </w:tcPr>
          <w:p w14:paraId="52AEB961">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科学技术的发展历程及其对社会的双重影响</w:t>
            </w:r>
          </w:p>
        </w:tc>
        <w:tc>
          <w:tcPr>
            <w:tcW w:w="1144" w:type="dxa"/>
          </w:tcPr>
          <w:p w14:paraId="1573D96A">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2"/>
              </w:rPr>
              <w:t>目标3</w:t>
            </w:r>
          </w:p>
        </w:tc>
        <w:tc>
          <w:tcPr>
            <w:tcW w:w="3716" w:type="dxa"/>
          </w:tcPr>
          <w:p w14:paraId="28149737">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理解科技发展的历史与现状，认识科学技术对人类生活的积极作用及潜在影响；增强学生对科技伦理问题的关注和思考能力。</w:t>
            </w:r>
          </w:p>
        </w:tc>
        <w:tc>
          <w:tcPr>
            <w:tcW w:w="1147" w:type="dxa"/>
            <w:vAlign w:val="center"/>
          </w:tcPr>
          <w:p w14:paraId="45DE6EE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小组汇报</w:t>
            </w:r>
          </w:p>
        </w:tc>
        <w:tc>
          <w:tcPr>
            <w:tcW w:w="443" w:type="dxa"/>
            <w:vAlign w:val="center"/>
          </w:tcPr>
          <w:p w14:paraId="0655A5E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p>
        </w:tc>
      </w:tr>
      <w:tr w14:paraId="6A6B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151FBF15">
            <w:pPr>
              <w:spacing w:line="276" w:lineRule="auto"/>
              <w:jc w:val="center"/>
              <w:rPr>
                <w:rFonts w:hint="eastAsia" w:ascii="宋体" w:hAnsi="宋体" w:eastAsia="宋体" w:cs="Times New Roman"/>
                <w:color w:val="000000"/>
                <w:szCs w:val="21"/>
              </w:rPr>
            </w:pPr>
          </w:p>
        </w:tc>
        <w:tc>
          <w:tcPr>
            <w:tcW w:w="8166" w:type="dxa"/>
            <w:gridSpan w:val="5"/>
            <w:vAlign w:val="center"/>
          </w:tcPr>
          <w:p w14:paraId="0708D92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正确看待科技进步的利弊，增强对科技伦理的思考能力，同时通过中国科技发展的成就案例，培养民族自豪感与爱国</w:t>
            </w:r>
          </w:p>
        </w:tc>
      </w:tr>
    </w:tbl>
    <w:p w14:paraId="3730CE44">
      <w:pPr>
        <w:spacing w:line="360" w:lineRule="auto"/>
        <w:jc w:val="left"/>
        <w:rPr>
          <w:rFonts w:ascii="Times New Roman" w:hAnsi="Times New Roman" w:eastAsia="宋体" w:cs="Times New Roman"/>
          <w:sz w:val="24"/>
          <w:szCs w:val="24"/>
        </w:rPr>
      </w:pPr>
    </w:p>
    <w:p w14:paraId="33AD50C2">
      <w:pPr>
        <w:spacing w:line="360" w:lineRule="auto"/>
        <w:jc w:val="left"/>
        <w:outlineLvl w:val="0"/>
        <w:rPr>
          <w:rFonts w:ascii="Times New Roman" w:hAnsi="Times New Roman" w:eastAsia="宋体" w:cs="Times New Roman"/>
          <w:sz w:val="24"/>
          <w:szCs w:val="24"/>
        </w:rPr>
      </w:pPr>
      <w:bookmarkStart w:id="2722" w:name="_Toc8605"/>
      <w:bookmarkStart w:id="2723" w:name="_Toc19914"/>
      <w:bookmarkStart w:id="2724" w:name="_Toc5758"/>
      <w:bookmarkStart w:id="2725" w:name="_Toc16589"/>
      <w:bookmarkStart w:id="2726" w:name="_Toc1691"/>
      <w:bookmarkStart w:id="2727" w:name="_Toc4608"/>
      <w:bookmarkStart w:id="2728" w:name="_Toc23037"/>
      <w:r>
        <w:rPr>
          <w:rFonts w:hint="eastAsia" w:ascii="宋体" w:hAnsi="宋体" w:eastAsia="宋体" w:cs="Times New Roman"/>
          <w:b/>
          <w:color w:val="000000"/>
          <w:sz w:val="24"/>
          <w:szCs w:val="24"/>
        </w:rPr>
        <w:t>四、目标评价与成绩评定</w:t>
      </w:r>
      <w:bookmarkEnd w:id="2722"/>
      <w:bookmarkEnd w:id="2723"/>
      <w:bookmarkEnd w:id="2724"/>
      <w:bookmarkEnd w:id="2725"/>
      <w:bookmarkEnd w:id="2726"/>
      <w:bookmarkEnd w:id="2727"/>
      <w:bookmarkEnd w:id="2728"/>
    </w:p>
    <w:p w14:paraId="72898E23">
      <w:pPr>
        <w:spacing w:line="360" w:lineRule="auto"/>
        <w:jc w:val="left"/>
        <w:outlineLvl w:val="1"/>
        <w:rPr>
          <w:rFonts w:ascii="Times New Roman" w:hAnsi="Times New Roman" w:eastAsia="宋体" w:cs="Times New Roman"/>
          <w:b/>
          <w:szCs w:val="21"/>
        </w:rPr>
      </w:pPr>
      <w:bookmarkStart w:id="2729" w:name="_Toc26798"/>
      <w:r>
        <w:rPr>
          <w:rFonts w:hint="eastAsia" w:ascii="Times New Roman" w:hAnsi="Times New Roman" w:eastAsia="宋体" w:cs="Times New Roman"/>
          <w:b/>
          <w:szCs w:val="21"/>
        </w:rPr>
        <w:t>（一）课程目标评价方式</w:t>
      </w:r>
      <w:bookmarkEnd w:id="2729"/>
    </w:p>
    <w:p w14:paraId="7A92BF3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EF353BB">
      <w:pPr>
        <w:spacing w:line="360" w:lineRule="auto"/>
        <w:ind w:firstLine="420" w:firstLineChars="200"/>
        <w:jc w:val="left"/>
        <w:rPr>
          <w:rFonts w:ascii="Times New Roman" w:hAnsi="Times New Roman" w:eastAsia="宋体" w:cs="Times New Roman"/>
          <w:szCs w:val="21"/>
        </w:rPr>
      </w:pPr>
    </w:p>
    <w:p w14:paraId="3D85701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636"/>
      </w:tblGrid>
      <w:tr w14:paraId="6DA6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B5B1F0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5"/>
            <w:vAlign w:val="center"/>
          </w:tcPr>
          <w:p w14:paraId="12B39213">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9BF4243">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8AB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8355AF2">
            <w:pPr>
              <w:spacing w:line="360" w:lineRule="auto"/>
              <w:jc w:val="center"/>
              <w:rPr>
                <w:rFonts w:hint="eastAsia" w:ascii="宋体" w:hAnsi="宋体" w:eastAsia="宋体" w:cs="Times New Roman"/>
                <w:szCs w:val="21"/>
              </w:rPr>
            </w:pPr>
          </w:p>
        </w:tc>
        <w:tc>
          <w:tcPr>
            <w:tcW w:w="0" w:type="auto"/>
            <w:vAlign w:val="center"/>
          </w:tcPr>
          <w:p w14:paraId="0D883FD6">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8BCACF0">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D4C206B">
            <w:pPr>
              <w:spacing w:line="360" w:lineRule="auto"/>
              <w:jc w:val="center"/>
              <w:rPr>
                <w:rFonts w:hint="eastAsia" w:ascii="宋体" w:hAnsi="宋体" w:eastAsia="宋体" w:cs="Times New Roman"/>
                <w:szCs w:val="21"/>
              </w:rPr>
            </w:pPr>
            <w:r>
              <w:rPr>
                <w:rFonts w:hint="eastAsia" w:ascii="宋体" w:hAnsi="宋体" w:eastAsia="宋体" w:cs="Times New Roman"/>
                <w:szCs w:val="21"/>
              </w:rPr>
              <w:t>期中测验</w:t>
            </w:r>
          </w:p>
        </w:tc>
        <w:tc>
          <w:tcPr>
            <w:tcW w:w="0" w:type="auto"/>
            <w:vAlign w:val="center"/>
          </w:tcPr>
          <w:p w14:paraId="5030EBFD">
            <w:pPr>
              <w:spacing w:line="360" w:lineRule="auto"/>
              <w:jc w:val="center"/>
              <w:rPr>
                <w:rFonts w:hint="eastAsia" w:ascii="宋体" w:hAnsi="宋体" w:eastAsia="宋体" w:cs="Times New Roman"/>
                <w:szCs w:val="21"/>
              </w:rPr>
            </w:pPr>
            <w:r>
              <w:rPr>
                <w:rFonts w:hint="eastAsia" w:ascii="宋体" w:hAnsi="宋体" w:eastAsia="宋体" w:cs="Times New Roman"/>
                <w:szCs w:val="21"/>
              </w:rPr>
              <w:t>小组汇报</w:t>
            </w:r>
          </w:p>
        </w:tc>
        <w:tc>
          <w:tcPr>
            <w:tcW w:w="0" w:type="auto"/>
            <w:vAlign w:val="center"/>
          </w:tcPr>
          <w:p w14:paraId="658905E5">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64BD4509">
            <w:pPr>
              <w:spacing w:line="360" w:lineRule="auto"/>
              <w:jc w:val="center"/>
              <w:rPr>
                <w:rFonts w:hint="eastAsia" w:ascii="宋体" w:hAnsi="宋体" w:eastAsia="宋体" w:cs="Times New Roman"/>
                <w:szCs w:val="21"/>
              </w:rPr>
            </w:pPr>
          </w:p>
        </w:tc>
      </w:tr>
      <w:tr w14:paraId="1C95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4EE8D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1802E39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BB1C5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BEC3296">
            <w:pPr>
              <w:spacing w:line="360" w:lineRule="auto"/>
              <w:jc w:val="center"/>
              <w:rPr>
                <w:rFonts w:hint="eastAsia" w:ascii="宋体" w:hAnsi="宋体" w:eastAsia="宋体" w:cs="Times New Roman"/>
                <w:szCs w:val="21"/>
              </w:rPr>
            </w:pPr>
          </w:p>
        </w:tc>
        <w:tc>
          <w:tcPr>
            <w:tcW w:w="0" w:type="auto"/>
            <w:vAlign w:val="center"/>
          </w:tcPr>
          <w:p w14:paraId="3F85E39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504AF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36FFFCA">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F98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8023A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4EC8F2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29DB40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C3B5B2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A1F4B4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3F0E81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4996119">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535E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1976F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519CDE38">
            <w:pPr>
              <w:spacing w:line="360" w:lineRule="auto"/>
              <w:jc w:val="center"/>
              <w:rPr>
                <w:rFonts w:hint="eastAsia" w:ascii="宋体" w:hAnsi="宋体" w:eastAsia="宋体" w:cs="Times New Roman"/>
                <w:szCs w:val="21"/>
              </w:rPr>
            </w:pPr>
          </w:p>
        </w:tc>
        <w:tc>
          <w:tcPr>
            <w:tcW w:w="0" w:type="auto"/>
            <w:vAlign w:val="center"/>
          </w:tcPr>
          <w:p w14:paraId="029C61B1">
            <w:pPr>
              <w:spacing w:line="360" w:lineRule="auto"/>
              <w:jc w:val="center"/>
              <w:rPr>
                <w:rFonts w:hint="eastAsia" w:ascii="宋体" w:hAnsi="宋体" w:eastAsia="宋体" w:cs="Times New Roman"/>
                <w:szCs w:val="21"/>
              </w:rPr>
            </w:pPr>
          </w:p>
        </w:tc>
        <w:tc>
          <w:tcPr>
            <w:tcW w:w="0" w:type="auto"/>
            <w:vAlign w:val="center"/>
          </w:tcPr>
          <w:p w14:paraId="39522B66">
            <w:pPr>
              <w:spacing w:line="360" w:lineRule="auto"/>
              <w:jc w:val="center"/>
              <w:rPr>
                <w:rFonts w:hint="eastAsia" w:ascii="宋体" w:hAnsi="宋体" w:eastAsia="宋体" w:cs="Times New Roman"/>
                <w:szCs w:val="21"/>
              </w:rPr>
            </w:pPr>
          </w:p>
        </w:tc>
        <w:tc>
          <w:tcPr>
            <w:tcW w:w="0" w:type="auto"/>
            <w:vAlign w:val="center"/>
          </w:tcPr>
          <w:p w14:paraId="7AFD8A4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E6152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9262D3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00A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58D0BE">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6AE1A22D">
            <w:pPr>
              <w:spacing w:line="360" w:lineRule="auto"/>
              <w:jc w:val="center"/>
              <w:rPr>
                <w:rFonts w:hint="eastAsia" w:ascii="宋体" w:hAnsi="宋体" w:eastAsia="宋体" w:cs="Times New Roman"/>
                <w:szCs w:val="21"/>
              </w:rPr>
            </w:pPr>
          </w:p>
        </w:tc>
        <w:tc>
          <w:tcPr>
            <w:tcW w:w="0" w:type="auto"/>
            <w:vAlign w:val="center"/>
          </w:tcPr>
          <w:p w14:paraId="264B66B0">
            <w:pPr>
              <w:spacing w:line="360" w:lineRule="auto"/>
              <w:jc w:val="center"/>
              <w:rPr>
                <w:rFonts w:hint="eastAsia" w:ascii="宋体" w:hAnsi="宋体" w:eastAsia="宋体" w:cs="Times New Roman"/>
                <w:szCs w:val="21"/>
              </w:rPr>
            </w:pPr>
          </w:p>
        </w:tc>
        <w:tc>
          <w:tcPr>
            <w:tcW w:w="0" w:type="auto"/>
            <w:vAlign w:val="center"/>
          </w:tcPr>
          <w:p w14:paraId="44CA5A38">
            <w:pPr>
              <w:spacing w:line="360" w:lineRule="auto"/>
              <w:jc w:val="center"/>
              <w:rPr>
                <w:rFonts w:hint="eastAsia" w:ascii="宋体" w:hAnsi="宋体" w:eastAsia="宋体" w:cs="Times New Roman"/>
                <w:szCs w:val="21"/>
              </w:rPr>
            </w:pPr>
          </w:p>
        </w:tc>
        <w:tc>
          <w:tcPr>
            <w:tcW w:w="0" w:type="auto"/>
            <w:vAlign w:val="center"/>
          </w:tcPr>
          <w:p w14:paraId="7B3AC66F">
            <w:pPr>
              <w:spacing w:line="360" w:lineRule="auto"/>
              <w:jc w:val="center"/>
              <w:rPr>
                <w:rFonts w:hint="eastAsia" w:ascii="宋体" w:hAnsi="宋体" w:eastAsia="宋体" w:cs="Times New Roman"/>
                <w:szCs w:val="21"/>
              </w:rPr>
            </w:pPr>
          </w:p>
        </w:tc>
        <w:tc>
          <w:tcPr>
            <w:tcW w:w="0" w:type="auto"/>
            <w:vAlign w:val="center"/>
          </w:tcPr>
          <w:p w14:paraId="129705A3">
            <w:pPr>
              <w:spacing w:line="360" w:lineRule="auto"/>
              <w:jc w:val="center"/>
              <w:rPr>
                <w:rFonts w:hint="eastAsia" w:ascii="宋体" w:hAnsi="宋体" w:eastAsia="宋体" w:cs="Times New Roman"/>
                <w:szCs w:val="21"/>
              </w:rPr>
            </w:pPr>
          </w:p>
        </w:tc>
        <w:tc>
          <w:tcPr>
            <w:tcW w:w="0" w:type="auto"/>
            <w:vAlign w:val="center"/>
          </w:tcPr>
          <w:p w14:paraId="44B0F6C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45363ED">
      <w:pPr>
        <w:spacing w:before="156" w:beforeLines="50" w:line="360" w:lineRule="auto"/>
        <w:jc w:val="left"/>
        <w:outlineLvl w:val="1"/>
        <w:rPr>
          <w:rFonts w:ascii="Times New Roman" w:hAnsi="Times New Roman" w:eastAsia="宋体" w:cs="Times New Roman"/>
          <w:b/>
          <w:szCs w:val="21"/>
        </w:rPr>
      </w:pPr>
      <w:bookmarkStart w:id="2730" w:name="_Toc3668"/>
      <w:r>
        <w:rPr>
          <w:rFonts w:hint="eastAsia" w:ascii="Times New Roman" w:hAnsi="Times New Roman" w:eastAsia="宋体" w:cs="Times New Roman"/>
          <w:b/>
          <w:szCs w:val="21"/>
        </w:rPr>
        <w:t>（二）成绩评定细则</w:t>
      </w:r>
      <w:bookmarkEnd w:id="2730"/>
    </w:p>
    <w:p w14:paraId="793E29A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75B884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0AD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4F502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246FDD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5A0C51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77A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F4B454">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ED42CF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平时作业共2次，以简答题形式，以回答内容的准确性、规范性、逻辑性、创新性及整洁性为评分的主要依据。</w:t>
            </w:r>
          </w:p>
        </w:tc>
        <w:tc>
          <w:tcPr>
            <w:tcW w:w="0" w:type="auto"/>
            <w:vAlign w:val="center"/>
          </w:tcPr>
          <w:p w14:paraId="72BB2362">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4310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8A63E3">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A8CFBCA">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52A68E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w:t>
            </w:r>
            <w:r>
              <w:rPr>
                <w:rFonts w:hint="eastAsia" w:ascii="宋体" w:hAnsi="宋体" w:eastAsia="宋体" w:cs="宋体"/>
                <w:color w:val="000000"/>
                <w:kern w:val="0"/>
                <w:szCs w:val="21"/>
                <w:lang w:bidi="ar"/>
              </w:rPr>
              <w:t>组织抢答</w:t>
            </w:r>
            <w:r>
              <w:rPr>
                <w:rFonts w:ascii="宋体" w:hAnsi="宋体" w:eastAsia="宋体" w:cs="宋体"/>
                <w:color w:val="000000"/>
                <w:kern w:val="0"/>
                <w:szCs w:val="21"/>
                <w:lang w:bidi="ar"/>
              </w:rPr>
              <w:t>、课堂讨论等，观察学生参与程度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09CDE6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5AC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EFEBD28">
            <w:pPr>
              <w:rPr>
                <w:rFonts w:ascii="Times New Roman" w:hAnsi="Times New Roman" w:eastAsia="宋体" w:cs="Times New Roman"/>
                <w:szCs w:val="21"/>
              </w:rPr>
            </w:pPr>
            <w:r>
              <w:rPr>
                <w:rFonts w:hint="eastAsia" w:ascii="Times New Roman" w:hAnsi="Times New Roman" w:eastAsia="宋体" w:cs="Times New Roman"/>
                <w:szCs w:val="21"/>
              </w:rPr>
              <w:t>期中检测</w:t>
            </w:r>
          </w:p>
        </w:tc>
        <w:tc>
          <w:tcPr>
            <w:tcW w:w="7141" w:type="dxa"/>
            <w:vAlign w:val="center"/>
          </w:tcPr>
          <w:p w14:paraId="7D932C3A">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期中</w:t>
            </w:r>
            <w:r>
              <w:rPr>
                <w:rFonts w:ascii="宋体" w:hAnsi="宋体" w:eastAsia="宋体" w:cs="宋体"/>
                <w:color w:val="000000"/>
                <w:kern w:val="0"/>
                <w:szCs w:val="21"/>
                <w:lang w:bidi="ar"/>
              </w:rPr>
              <w:t>在线上进行测验，重点考察学生对基础科学知识、核心概念及基本原理的掌握情况，评分以题目正确率为依据。</w:t>
            </w:r>
          </w:p>
        </w:tc>
        <w:tc>
          <w:tcPr>
            <w:tcW w:w="0" w:type="auto"/>
            <w:vAlign w:val="center"/>
          </w:tcPr>
          <w:p w14:paraId="73E0E02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E82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A08FE8">
            <w:pPr>
              <w:rPr>
                <w:rFonts w:ascii="Times New Roman" w:hAnsi="Times New Roman" w:eastAsia="宋体" w:cs="Times New Roman"/>
                <w:szCs w:val="21"/>
              </w:rPr>
            </w:pPr>
            <w:r>
              <w:rPr>
                <w:rFonts w:hint="eastAsia" w:ascii="Times New Roman" w:hAnsi="Times New Roman" w:eastAsia="宋体" w:cs="Times New Roman"/>
                <w:szCs w:val="21"/>
              </w:rPr>
              <w:t>小组汇报</w:t>
            </w:r>
          </w:p>
        </w:tc>
        <w:tc>
          <w:tcPr>
            <w:tcW w:w="7141" w:type="dxa"/>
            <w:vAlign w:val="center"/>
          </w:tcPr>
          <w:p w14:paraId="2D6D7CD9">
            <w:pPr>
              <w:widowControl/>
              <w:spacing w:line="264" w:lineRule="auto"/>
              <w:jc w:val="left"/>
              <w:rPr>
                <w:rFonts w:hint="eastAsia" w:ascii="宋体" w:hAnsi="宋体" w:eastAsia="宋体" w:cs="宋体"/>
                <w:color w:val="000000"/>
                <w:kern w:val="0"/>
                <w:szCs w:val="21"/>
                <w:lang w:bidi="ar"/>
              </w:rPr>
            </w:pPr>
            <w:r>
              <w:rPr>
                <w:rFonts w:ascii="宋体" w:hAnsi="宋体" w:eastAsia="宋体" w:cs="宋体"/>
                <w:color w:val="000000"/>
                <w:kern w:val="0"/>
                <w:szCs w:val="21"/>
                <w:lang w:bidi="ar"/>
              </w:rPr>
              <w:t>学生以小组为单位完成任务，</w:t>
            </w:r>
            <w:r>
              <w:rPr>
                <w:rFonts w:hint="eastAsia" w:ascii="宋体" w:hAnsi="宋体" w:eastAsia="宋体" w:cs="宋体"/>
                <w:color w:val="000000"/>
                <w:kern w:val="0"/>
                <w:szCs w:val="21"/>
                <w:lang w:bidi="ar"/>
              </w:rPr>
              <w:t>以</w:t>
            </w:r>
            <w:r>
              <w:rPr>
                <w:rFonts w:ascii="宋体" w:hAnsi="宋体" w:eastAsia="宋体" w:cs="宋体"/>
                <w:color w:val="000000"/>
                <w:kern w:val="0"/>
                <w:szCs w:val="21"/>
                <w:lang w:bidi="ar"/>
              </w:rPr>
              <w:t>读书报告、科学家介绍、科技前沿介绍等</w:t>
            </w:r>
            <w:r>
              <w:rPr>
                <w:rFonts w:hint="eastAsia" w:ascii="宋体" w:hAnsi="宋体" w:eastAsia="宋体" w:cs="宋体"/>
                <w:color w:val="000000"/>
                <w:kern w:val="0"/>
                <w:szCs w:val="21"/>
                <w:lang w:bidi="ar"/>
              </w:rPr>
              <w:t>为主题</w:t>
            </w:r>
            <w:r>
              <w:rPr>
                <w:rFonts w:ascii="宋体" w:hAnsi="宋体" w:eastAsia="宋体" w:cs="宋体"/>
                <w:color w:val="000000"/>
                <w:kern w:val="0"/>
                <w:szCs w:val="21"/>
                <w:lang w:bidi="ar"/>
              </w:rPr>
              <w:t>。评分依据为报告内容的完整性、逻辑性、创新性，媒体制作的质量，以及学生表达的</w:t>
            </w:r>
            <w:r>
              <w:rPr>
                <w:rFonts w:hint="eastAsia" w:ascii="宋体" w:hAnsi="宋体" w:eastAsia="宋体" w:cs="宋体"/>
                <w:color w:val="000000"/>
                <w:kern w:val="0"/>
                <w:szCs w:val="21"/>
                <w:lang w:bidi="ar"/>
              </w:rPr>
              <w:t>流畅</w:t>
            </w:r>
            <w:r>
              <w:rPr>
                <w:rFonts w:ascii="宋体" w:hAnsi="宋体" w:eastAsia="宋体" w:cs="宋体"/>
                <w:color w:val="000000"/>
                <w:kern w:val="0"/>
                <w:szCs w:val="21"/>
                <w:lang w:bidi="ar"/>
              </w:rPr>
              <w:t>性、逻辑性和分析的深度，反映学生科学知识应用能力和团队合作意识。</w:t>
            </w:r>
          </w:p>
        </w:tc>
        <w:tc>
          <w:tcPr>
            <w:tcW w:w="0" w:type="auto"/>
            <w:vAlign w:val="center"/>
          </w:tcPr>
          <w:p w14:paraId="21110A6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5B7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027A0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5604921">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科学核心概念、基础知识和基本原理和方法的题目占3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%；考核学生运用科学原理分析问题，设计问题可涉及科学知识的整合运用占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%；考核学生结合小学教育实际的教学设计能力，题型占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%；考核学生设计跨学科综合性教学活动或研究性问题解决方案的题型占1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5A89E208">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18B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870627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5C8BDF7">
            <w:pPr>
              <w:jc w:val="left"/>
              <w:rPr>
                <w:rFonts w:ascii="Times New Roman" w:hAnsi="Times New Roman" w:eastAsia="宋体" w:cs="Times New Roman"/>
                <w:szCs w:val="21"/>
              </w:rPr>
            </w:pPr>
          </w:p>
        </w:tc>
        <w:tc>
          <w:tcPr>
            <w:tcW w:w="0" w:type="auto"/>
            <w:vAlign w:val="center"/>
          </w:tcPr>
          <w:p w14:paraId="7BD16FE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B2C6C04">
      <w:pPr>
        <w:spacing w:line="360" w:lineRule="auto"/>
        <w:jc w:val="left"/>
        <w:outlineLvl w:val="1"/>
        <w:rPr>
          <w:rFonts w:hint="eastAsia" w:ascii="宋体" w:hAnsi="宋体" w:eastAsia="宋体" w:cs="Times New Roman"/>
          <w:b/>
          <w:color w:val="000000"/>
          <w:szCs w:val="21"/>
        </w:rPr>
      </w:pPr>
      <w:bookmarkStart w:id="2731" w:name="_Toc26805"/>
      <w:r>
        <w:rPr>
          <w:rFonts w:hint="eastAsia" w:ascii="宋体" w:hAnsi="宋体" w:eastAsia="宋体" w:cs="Times New Roman"/>
          <w:b/>
          <w:color w:val="000000"/>
          <w:szCs w:val="21"/>
        </w:rPr>
        <w:t>（三）课程目标达成度计算方法</w:t>
      </w:r>
      <w:bookmarkEnd w:id="2731"/>
    </w:p>
    <w:p w14:paraId="0EC5587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4A36DB0">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4" o:spt="75" type="#_x0000_t75" style="height:24.95pt;width:404.55pt;" o:ole="t" filled="f" o:preferrelative="t" stroked="f" coordsize="21600,21600">
            <v:path/>
            <v:fill on="f" focussize="0,0"/>
            <v:stroke on="f"/>
            <v:imagedata r:id="rId5" o:title=""/>
            <o:lock v:ext="edit" aspectratio="t"/>
            <w10:wrap type="none"/>
            <w10:anchorlock/>
          </v:shape>
          <o:OLEObject Type="Embed" ProgID="Equation.3" ShapeID="_x0000_i1074" DrawAspect="Content" ObjectID="_1468075774" r:id="rId57">
            <o:LockedField>false</o:LockedField>
          </o:OLEObject>
        </w:object>
      </w:r>
    </w:p>
    <w:p w14:paraId="00FDB0E2">
      <w:pPr>
        <w:spacing w:before="156" w:beforeLines="50" w:line="360" w:lineRule="auto"/>
        <w:jc w:val="left"/>
        <w:outlineLvl w:val="0"/>
        <w:rPr>
          <w:rFonts w:ascii="Times New Roman" w:hAnsi="Times New Roman" w:eastAsia="宋体" w:cs="Times New Roman"/>
          <w:b/>
          <w:sz w:val="24"/>
          <w:szCs w:val="24"/>
        </w:rPr>
      </w:pPr>
      <w:bookmarkStart w:id="2732" w:name="_Toc10951"/>
      <w:bookmarkStart w:id="2733" w:name="_Toc30329"/>
      <w:bookmarkStart w:id="2734" w:name="_Toc16814"/>
      <w:bookmarkStart w:id="2735" w:name="_Toc26348"/>
      <w:bookmarkStart w:id="2736" w:name="_Toc27301"/>
      <w:bookmarkStart w:id="2737" w:name="_Toc13941"/>
      <w:bookmarkStart w:id="2738" w:name="_Toc23891"/>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bookmarkEnd w:id="2732"/>
      <w:bookmarkEnd w:id="2733"/>
      <w:bookmarkEnd w:id="2734"/>
      <w:bookmarkEnd w:id="2735"/>
      <w:bookmarkEnd w:id="2736"/>
      <w:bookmarkEnd w:id="2737"/>
      <w:bookmarkEnd w:id="2738"/>
    </w:p>
    <w:p w14:paraId="0B9FEF24">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623F5B21">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1159"/>
        <w:gridCol w:w="2741"/>
      </w:tblGrid>
      <w:tr w14:paraId="54F9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1E982B9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1A676D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1159" w:type="dxa"/>
            <w:vAlign w:val="center"/>
          </w:tcPr>
          <w:p w14:paraId="30D59AEB">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2741" w:type="dxa"/>
            <w:vAlign w:val="center"/>
          </w:tcPr>
          <w:p w14:paraId="57C08649">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1A82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12" w:type="dxa"/>
          </w:tcPr>
          <w:p w14:paraId="361509C6">
            <w:pPr>
              <w:spacing w:line="276" w:lineRule="auto"/>
              <w:jc w:val="left"/>
              <w:rPr>
                <w:rFonts w:hint="eastAsia" w:ascii="宋体" w:hAnsi="宋体" w:eastAsia="宋体" w:cs="宋体"/>
                <w:szCs w:val="21"/>
              </w:rPr>
            </w:pPr>
            <w:r>
              <w:rPr>
                <w:rFonts w:hint="eastAsia" w:ascii="宋体" w:hAnsi="宋体" w:eastAsia="宋体" w:cs="Times New Roman"/>
                <w:szCs w:val="22"/>
              </w:rPr>
              <w:t>讲解天宫计划</w:t>
            </w:r>
          </w:p>
        </w:tc>
        <w:tc>
          <w:tcPr>
            <w:tcW w:w="3407" w:type="dxa"/>
          </w:tcPr>
          <w:p w14:paraId="3697CFCB">
            <w:pPr>
              <w:spacing w:line="276" w:lineRule="auto"/>
              <w:jc w:val="left"/>
              <w:rPr>
                <w:rFonts w:hint="eastAsia" w:ascii="宋体" w:hAnsi="宋体" w:eastAsia="宋体" w:cs="宋体"/>
                <w:szCs w:val="21"/>
              </w:rPr>
            </w:pPr>
            <w:r>
              <w:rPr>
                <w:rFonts w:hint="eastAsia" w:ascii="宋体" w:hAnsi="宋体" w:eastAsia="宋体" w:cs="Times New Roman"/>
                <w:szCs w:val="22"/>
              </w:rPr>
              <w:t>到小学为小学生讲解中国天宫计划的科技成就，介绍中国航天发展的历史与意义。</w:t>
            </w:r>
          </w:p>
        </w:tc>
        <w:tc>
          <w:tcPr>
            <w:tcW w:w="1159" w:type="dxa"/>
          </w:tcPr>
          <w:p w14:paraId="69AD71C0">
            <w:pPr>
              <w:spacing w:line="276" w:lineRule="auto"/>
              <w:jc w:val="left"/>
              <w:rPr>
                <w:rFonts w:hint="eastAsia" w:ascii="宋体" w:hAnsi="宋体" w:eastAsia="宋体" w:cs="宋体"/>
                <w:szCs w:val="21"/>
              </w:rPr>
            </w:pPr>
            <w:r>
              <w:rPr>
                <w:rFonts w:hint="eastAsia" w:ascii="宋体" w:hAnsi="宋体" w:eastAsia="宋体" w:cs="Times New Roman"/>
                <w:szCs w:val="22"/>
              </w:rPr>
              <w:t>实地讲解与互动教学</w:t>
            </w:r>
          </w:p>
        </w:tc>
        <w:tc>
          <w:tcPr>
            <w:tcW w:w="2741" w:type="dxa"/>
          </w:tcPr>
          <w:p w14:paraId="4B5522A8">
            <w:pPr>
              <w:spacing w:line="276" w:lineRule="auto"/>
              <w:jc w:val="left"/>
              <w:rPr>
                <w:rFonts w:hint="eastAsia" w:ascii="宋体" w:hAnsi="宋体" w:eastAsia="宋体" w:cs="宋体"/>
                <w:szCs w:val="21"/>
              </w:rPr>
            </w:pPr>
            <w:r>
              <w:rPr>
                <w:rFonts w:hint="eastAsia" w:ascii="宋体" w:hAnsi="宋体" w:eastAsia="宋体" w:cs="Times New Roman"/>
                <w:szCs w:val="22"/>
              </w:rPr>
              <w:t>培养学生的家国情怀和民族自豪感，增强对科技发展的责任感和探索精神。</w:t>
            </w:r>
          </w:p>
        </w:tc>
      </w:tr>
      <w:tr w14:paraId="5173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tcPr>
          <w:p w14:paraId="1843CD75">
            <w:pPr>
              <w:spacing w:line="276" w:lineRule="auto"/>
              <w:jc w:val="left"/>
              <w:rPr>
                <w:rFonts w:hint="eastAsia" w:ascii="宋体" w:hAnsi="宋体" w:eastAsia="宋体" w:cs="宋体"/>
                <w:szCs w:val="21"/>
              </w:rPr>
            </w:pPr>
            <w:r>
              <w:rPr>
                <w:rFonts w:hint="eastAsia" w:ascii="宋体" w:hAnsi="宋体" w:eastAsia="宋体" w:cs="Times New Roman"/>
                <w:szCs w:val="22"/>
              </w:rPr>
              <w:t>科学实验体验活动</w:t>
            </w:r>
          </w:p>
        </w:tc>
        <w:tc>
          <w:tcPr>
            <w:tcW w:w="3407" w:type="dxa"/>
          </w:tcPr>
          <w:p w14:paraId="07636F4F">
            <w:pPr>
              <w:spacing w:line="276" w:lineRule="auto"/>
              <w:jc w:val="left"/>
              <w:rPr>
                <w:rFonts w:hint="eastAsia" w:ascii="宋体" w:hAnsi="宋体" w:eastAsia="宋体" w:cs="宋体"/>
                <w:szCs w:val="21"/>
              </w:rPr>
            </w:pPr>
            <w:r>
              <w:rPr>
                <w:rFonts w:hint="eastAsia" w:ascii="宋体" w:hAnsi="宋体" w:eastAsia="宋体" w:cs="Times New Roman"/>
                <w:szCs w:val="22"/>
              </w:rPr>
              <w:t>为小学生设计和演示基础科学实验，如水的净化实验、空气压力实验等，结合实验内容讲解相关的科学知识。</w:t>
            </w:r>
          </w:p>
        </w:tc>
        <w:tc>
          <w:tcPr>
            <w:tcW w:w="1159" w:type="dxa"/>
          </w:tcPr>
          <w:p w14:paraId="298ACED7">
            <w:pPr>
              <w:spacing w:line="276" w:lineRule="auto"/>
              <w:jc w:val="left"/>
              <w:rPr>
                <w:rFonts w:hint="eastAsia" w:ascii="宋体" w:hAnsi="宋体" w:eastAsia="宋体" w:cs="宋体"/>
                <w:szCs w:val="21"/>
              </w:rPr>
            </w:pPr>
            <w:r>
              <w:rPr>
                <w:rFonts w:hint="eastAsia" w:ascii="宋体" w:hAnsi="宋体" w:eastAsia="宋体" w:cs="Times New Roman"/>
                <w:szCs w:val="22"/>
              </w:rPr>
              <w:t>实验设计与互动演示</w:t>
            </w:r>
          </w:p>
        </w:tc>
        <w:tc>
          <w:tcPr>
            <w:tcW w:w="2741" w:type="dxa"/>
          </w:tcPr>
          <w:p w14:paraId="2729468C">
            <w:pPr>
              <w:spacing w:line="276" w:lineRule="auto"/>
              <w:jc w:val="left"/>
              <w:rPr>
                <w:rFonts w:hint="eastAsia" w:ascii="宋体" w:hAnsi="宋体" w:eastAsia="宋体" w:cs="宋体"/>
                <w:szCs w:val="21"/>
              </w:rPr>
            </w:pPr>
            <w:r>
              <w:rPr>
                <w:rFonts w:hint="eastAsia" w:ascii="宋体" w:hAnsi="宋体" w:eastAsia="宋体" w:cs="Times New Roman"/>
                <w:szCs w:val="22"/>
              </w:rPr>
              <w:t>培养学生尊重科学和探索未知的精神，增强学生的社会责任感，关注科技对社会生活的实际影响。</w:t>
            </w:r>
          </w:p>
        </w:tc>
      </w:tr>
      <w:tr w14:paraId="57DA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tcPr>
          <w:p w14:paraId="03A3B50B">
            <w:pPr>
              <w:spacing w:line="276" w:lineRule="auto"/>
              <w:jc w:val="left"/>
              <w:rPr>
                <w:rFonts w:hint="eastAsia" w:ascii="宋体" w:hAnsi="宋体" w:eastAsia="宋体" w:cs="宋体"/>
                <w:szCs w:val="21"/>
              </w:rPr>
            </w:pPr>
            <w:r>
              <w:rPr>
                <w:rFonts w:hint="eastAsia" w:ascii="宋体" w:hAnsi="宋体" w:eastAsia="宋体" w:cs="Times New Roman"/>
                <w:szCs w:val="22"/>
              </w:rPr>
              <w:t>水与环境保护主题教育</w:t>
            </w:r>
          </w:p>
        </w:tc>
        <w:tc>
          <w:tcPr>
            <w:tcW w:w="3407" w:type="dxa"/>
          </w:tcPr>
          <w:p w14:paraId="5F595AAD">
            <w:pPr>
              <w:spacing w:line="276" w:lineRule="auto"/>
              <w:jc w:val="left"/>
              <w:rPr>
                <w:rFonts w:hint="eastAsia" w:ascii="宋体" w:hAnsi="宋体" w:eastAsia="宋体" w:cs="宋体"/>
                <w:szCs w:val="21"/>
              </w:rPr>
            </w:pPr>
            <w:r>
              <w:rPr>
                <w:rFonts w:hint="eastAsia" w:ascii="宋体" w:hAnsi="宋体" w:eastAsia="宋体" w:cs="Times New Roman"/>
                <w:szCs w:val="22"/>
              </w:rPr>
              <w:t>通过活动讲解水资源的重要性和保护水环境的方法，结合案例分析水污染对生态系统的影响，并设计趣味实验让小学生参与。</w:t>
            </w:r>
          </w:p>
        </w:tc>
        <w:tc>
          <w:tcPr>
            <w:tcW w:w="1159" w:type="dxa"/>
          </w:tcPr>
          <w:p w14:paraId="2B77EE51">
            <w:pPr>
              <w:spacing w:line="276" w:lineRule="auto"/>
              <w:jc w:val="left"/>
              <w:rPr>
                <w:rFonts w:hint="eastAsia" w:ascii="宋体" w:hAnsi="宋体" w:eastAsia="宋体" w:cs="宋体"/>
                <w:szCs w:val="21"/>
              </w:rPr>
            </w:pPr>
            <w:r>
              <w:rPr>
                <w:rFonts w:hint="eastAsia" w:ascii="宋体" w:hAnsi="宋体" w:eastAsia="宋体" w:cs="Times New Roman"/>
                <w:szCs w:val="22"/>
              </w:rPr>
              <w:t>科学讲座、案例分析与实验演示</w:t>
            </w:r>
          </w:p>
        </w:tc>
        <w:tc>
          <w:tcPr>
            <w:tcW w:w="2741" w:type="dxa"/>
          </w:tcPr>
          <w:p w14:paraId="28159B1C">
            <w:pPr>
              <w:spacing w:line="276" w:lineRule="auto"/>
              <w:jc w:val="left"/>
              <w:rPr>
                <w:rFonts w:hint="eastAsia" w:ascii="宋体" w:hAnsi="宋体" w:eastAsia="宋体" w:cs="宋体"/>
                <w:szCs w:val="21"/>
              </w:rPr>
            </w:pPr>
            <w:r>
              <w:rPr>
                <w:rFonts w:hint="eastAsia" w:ascii="宋体" w:hAnsi="宋体" w:eastAsia="宋体" w:cs="Times New Roman"/>
                <w:szCs w:val="22"/>
              </w:rPr>
              <w:t>强化可持续发展理念，增强学生的环保意识和生态文明观念。</w:t>
            </w:r>
          </w:p>
        </w:tc>
      </w:tr>
      <w:tr w14:paraId="7A45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tcPr>
          <w:p w14:paraId="25A43B19">
            <w:pPr>
              <w:spacing w:line="276" w:lineRule="auto"/>
              <w:jc w:val="left"/>
              <w:rPr>
                <w:rFonts w:hint="eastAsia" w:ascii="宋体" w:hAnsi="宋体" w:eastAsia="宋体" w:cs="宋体"/>
                <w:szCs w:val="21"/>
              </w:rPr>
            </w:pPr>
            <w:r>
              <w:rPr>
                <w:rFonts w:hint="eastAsia" w:ascii="宋体" w:hAnsi="宋体" w:eastAsia="宋体" w:cs="Times New Roman"/>
                <w:szCs w:val="22"/>
              </w:rPr>
              <w:t>小学科学教师讲座</w:t>
            </w:r>
          </w:p>
        </w:tc>
        <w:tc>
          <w:tcPr>
            <w:tcW w:w="3407" w:type="dxa"/>
          </w:tcPr>
          <w:p w14:paraId="11C25369">
            <w:pPr>
              <w:spacing w:line="276" w:lineRule="auto"/>
              <w:jc w:val="left"/>
              <w:rPr>
                <w:rFonts w:hint="eastAsia" w:ascii="宋体" w:hAnsi="宋体" w:eastAsia="宋体" w:cs="宋体"/>
                <w:szCs w:val="21"/>
              </w:rPr>
            </w:pPr>
            <w:r>
              <w:rPr>
                <w:rFonts w:hint="eastAsia" w:ascii="宋体" w:hAnsi="宋体" w:eastAsia="宋体" w:cs="Times New Roman"/>
                <w:szCs w:val="22"/>
              </w:rPr>
              <w:t>邀请一线小学科学教师分享科学课程教学经验，探讨如何有效开展小学科学课程教学，交流融入思政教育的实际案例和方法。</w:t>
            </w:r>
          </w:p>
        </w:tc>
        <w:tc>
          <w:tcPr>
            <w:tcW w:w="1159" w:type="dxa"/>
          </w:tcPr>
          <w:p w14:paraId="64B70A08">
            <w:pPr>
              <w:spacing w:line="276" w:lineRule="auto"/>
              <w:jc w:val="left"/>
              <w:rPr>
                <w:rFonts w:hint="eastAsia" w:ascii="宋体" w:hAnsi="宋体" w:eastAsia="宋体" w:cs="宋体"/>
                <w:szCs w:val="21"/>
              </w:rPr>
            </w:pPr>
            <w:r>
              <w:rPr>
                <w:rFonts w:hint="eastAsia" w:ascii="宋体" w:hAnsi="宋体" w:eastAsia="宋体" w:cs="Times New Roman"/>
                <w:szCs w:val="22"/>
              </w:rPr>
              <w:t>专家讲座与互动交流</w:t>
            </w:r>
          </w:p>
        </w:tc>
        <w:tc>
          <w:tcPr>
            <w:tcW w:w="2741" w:type="dxa"/>
          </w:tcPr>
          <w:p w14:paraId="70D819AC">
            <w:pPr>
              <w:spacing w:line="276" w:lineRule="auto"/>
              <w:jc w:val="left"/>
              <w:rPr>
                <w:rFonts w:hint="eastAsia" w:ascii="宋体" w:hAnsi="宋体" w:eastAsia="宋体" w:cs="宋体"/>
                <w:szCs w:val="21"/>
              </w:rPr>
            </w:pPr>
            <w:r>
              <w:rPr>
                <w:rFonts w:hint="eastAsia" w:ascii="宋体" w:hAnsi="宋体" w:eastAsia="宋体" w:cs="Times New Roman"/>
                <w:szCs w:val="22"/>
              </w:rPr>
              <w:t>提高学生的教学设计能力，帮助学生理解科学教育的育人价值和实践路径。</w:t>
            </w:r>
          </w:p>
        </w:tc>
      </w:tr>
    </w:tbl>
    <w:p w14:paraId="1BAACF0C">
      <w:pPr>
        <w:spacing w:line="360" w:lineRule="auto"/>
        <w:ind w:firstLine="551" w:firstLineChars="196"/>
        <w:jc w:val="left"/>
        <w:rPr>
          <w:rFonts w:hint="eastAsia" w:ascii="宋体" w:hAnsi="宋体" w:eastAsia="宋体" w:cs="Times New Roman"/>
          <w:b/>
          <w:color w:val="000000"/>
          <w:sz w:val="28"/>
          <w:szCs w:val="28"/>
        </w:rPr>
      </w:pPr>
    </w:p>
    <w:p w14:paraId="76B1B479">
      <w:pPr>
        <w:spacing w:line="360" w:lineRule="auto"/>
        <w:jc w:val="left"/>
        <w:outlineLvl w:val="0"/>
        <w:rPr>
          <w:rFonts w:ascii="Times New Roman" w:hAnsi="Times New Roman" w:eastAsia="宋体" w:cs="Times New Roman"/>
          <w:b/>
          <w:bCs/>
          <w:sz w:val="24"/>
          <w:szCs w:val="24"/>
        </w:rPr>
      </w:pPr>
      <w:bookmarkStart w:id="2739" w:name="_Toc13966"/>
      <w:bookmarkStart w:id="2740" w:name="_Toc1596"/>
      <w:bookmarkStart w:id="2741" w:name="_Toc27706"/>
      <w:bookmarkStart w:id="2742" w:name="_Toc14241"/>
      <w:bookmarkStart w:id="2743" w:name="_Toc6610"/>
      <w:bookmarkStart w:id="2744" w:name="_Toc5982"/>
      <w:bookmarkStart w:id="2745" w:name="_Toc26430"/>
      <w:r>
        <w:rPr>
          <w:rFonts w:hint="eastAsia" w:ascii="宋体" w:hAnsi="宋体" w:eastAsia="宋体" w:cs="Times New Roman"/>
          <w:b/>
          <w:color w:val="000000"/>
          <w:sz w:val="24"/>
          <w:szCs w:val="24"/>
        </w:rPr>
        <w:t>六、有关说明</w:t>
      </w:r>
      <w:bookmarkEnd w:id="2739"/>
      <w:bookmarkEnd w:id="2740"/>
      <w:bookmarkEnd w:id="2741"/>
      <w:bookmarkEnd w:id="2742"/>
      <w:bookmarkEnd w:id="2743"/>
      <w:bookmarkEnd w:id="2744"/>
      <w:bookmarkEnd w:id="2745"/>
    </w:p>
    <w:p w14:paraId="47B50980">
      <w:pPr>
        <w:spacing w:line="360" w:lineRule="auto"/>
        <w:jc w:val="left"/>
        <w:outlineLvl w:val="1"/>
        <w:rPr>
          <w:rFonts w:ascii="Times New Roman" w:hAnsi="Times New Roman" w:eastAsia="宋体" w:cs="Times New Roman"/>
          <w:b/>
          <w:szCs w:val="21"/>
        </w:rPr>
      </w:pPr>
      <w:bookmarkStart w:id="2746" w:name="_Toc1511"/>
      <w:r>
        <w:rPr>
          <w:rFonts w:hint="eastAsia" w:ascii="Times New Roman" w:hAnsi="Times New Roman" w:eastAsia="宋体" w:cs="Times New Roman"/>
          <w:b/>
          <w:szCs w:val="21"/>
        </w:rPr>
        <w:t>（一）持续改进</w:t>
      </w:r>
      <w:bookmarkEnd w:id="2746"/>
    </w:p>
    <w:p w14:paraId="6C271281">
      <w:pPr>
        <w:spacing w:line="360" w:lineRule="auto"/>
        <w:jc w:val="left"/>
        <w:rPr>
          <w:rFonts w:ascii="Times New Roman" w:hAnsi="Times New Roman" w:eastAsia="宋体" w:cs="Times New Roman"/>
          <w:bCs/>
          <w:szCs w:val="21"/>
        </w:rPr>
      </w:pPr>
      <w:r>
        <w:rPr>
          <w:rFonts w:ascii="Times New Roman" w:hAnsi="Times New Roman" w:eastAsia="宋体" w:cs="Times New Roman"/>
          <w:bCs/>
          <w:szCs w:val="21"/>
        </w:rPr>
        <w:t>本课程结合学生学习过程中的反馈意见、课堂教学效果以及考核结果，持续优化课程内容与教学方法。定期总结教学中的不足之处，并根据以下方面进行改进：</w:t>
      </w:r>
    </w:p>
    <w:p w14:paraId="1522BD3C">
      <w:pPr>
        <w:numPr>
          <w:ilvl w:val="0"/>
          <w:numId w:val="87"/>
        </w:numPr>
        <w:spacing w:line="360" w:lineRule="auto"/>
        <w:ind w:left="720" w:hanging="360"/>
        <w:jc w:val="left"/>
        <w:rPr>
          <w:rFonts w:ascii="Times New Roman" w:hAnsi="Times New Roman" w:eastAsia="宋体" w:cs="Times New Roman"/>
          <w:bCs/>
          <w:szCs w:val="21"/>
        </w:rPr>
      </w:pPr>
      <w:r>
        <w:rPr>
          <w:rFonts w:ascii="Times New Roman" w:hAnsi="Times New Roman" w:eastAsia="宋体" w:cs="Times New Roman"/>
          <w:bCs/>
          <w:szCs w:val="21"/>
        </w:rPr>
        <w:t>依据学生平时作业、课堂表现、期中检测及期末考试的成绩分析，调整教学重点与难点。</w:t>
      </w:r>
    </w:p>
    <w:p w14:paraId="5C3641F8">
      <w:pPr>
        <w:numPr>
          <w:ilvl w:val="0"/>
          <w:numId w:val="87"/>
        </w:numPr>
        <w:spacing w:line="360" w:lineRule="auto"/>
        <w:ind w:left="720" w:hanging="360"/>
        <w:jc w:val="left"/>
        <w:rPr>
          <w:rFonts w:ascii="Times New Roman" w:hAnsi="Times New Roman" w:eastAsia="宋体" w:cs="Times New Roman"/>
          <w:bCs/>
          <w:szCs w:val="21"/>
        </w:rPr>
      </w:pPr>
      <w:r>
        <w:rPr>
          <w:rFonts w:ascii="Times New Roman" w:hAnsi="Times New Roman" w:eastAsia="宋体" w:cs="Times New Roman"/>
          <w:bCs/>
          <w:szCs w:val="21"/>
        </w:rPr>
        <w:t>通过教师间的教学交流和教学督导意见，不断完善教学设计和活动组织。</w:t>
      </w:r>
    </w:p>
    <w:p w14:paraId="2C50593A">
      <w:pPr>
        <w:numPr>
          <w:ilvl w:val="0"/>
          <w:numId w:val="87"/>
        </w:numPr>
        <w:spacing w:line="360" w:lineRule="auto"/>
        <w:ind w:left="720" w:hanging="360"/>
        <w:jc w:val="left"/>
        <w:rPr>
          <w:rFonts w:ascii="Times New Roman" w:hAnsi="Times New Roman" w:eastAsia="宋体" w:cs="Times New Roman"/>
          <w:b/>
          <w:szCs w:val="21"/>
        </w:rPr>
      </w:pPr>
      <w:r>
        <w:rPr>
          <w:rFonts w:ascii="Times New Roman" w:hAnsi="Times New Roman" w:eastAsia="宋体" w:cs="Times New Roman"/>
          <w:bCs/>
          <w:szCs w:val="21"/>
        </w:rPr>
        <w:t>引入最新的科学教育研究成果，丰富教学案例，增强教学内容的实用性与前沿</w:t>
      </w:r>
      <w:r>
        <w:rPr>
          <w:rFonts w:ascii="Times New Roman" w:hAnsi="Times New Roman" w:eastAsia="宋体" w:cs="Times New Roman"/>
          <w:b/>
          <w:szCs w:val="21"/>
        </w:rPr>
        <w:t>性。</w:t>
      </w:r>
    </w:p>
    <w:p w14:paraId="6E69B4EF">
      <w:pPr>
        <w:numPr>
          <w:ilvl w:val="0"/>
          <w:numId w:val="87"/>
        </w:numPr>
        <w:spacing w:line="360" w:lineRule="auto"/>
        <w:ind w:left="720" w:hanging="360"/>
        <w:jc w:val="left"/>
        <w:rPr>
          <w:rFonts w:ascii="Times New Roman" w:hAnsi="Times New Roman" w:eastAsia="宋体" w:cs="Times New Roman"/>
          <w:bCs/>
          <w:szCs w:val="21"/>
        </w:rPr>
      </w:pPr>
      <w:r>
        <w:rPr>
          <w:rFonts w:ascii="Times New Roman" w:hAnsi="Times New Roman" w:eastAsia="宋体" w:cs="Times New Roman"/>
          <w:bCs/>
          <w:szCs w:val="21"/>
        </w:rPr>
        <w:t>优化思政教育内容设计，更有效地融入课程教学，强化学生的社会责任感和科学素养。</w:t>
      </w:r>
    </w:p>
    <w:p w14:paraId="1EE60B98">
      <w:pPr>
        <w:spacing w:line="360" w:lineRule="auto"/>
        <w:jc w:val="left"/>
        <w:outlineLvl w:val="1"/>
        <w:rPr>
          <w:rFonts w:ascii="Times New Roman" w:hAnsi="Times New Roman" w:eastAsia="宋体" w:cs="Times New Roman"/>
          <w:b/>
          <w:szCs w:val="21"/>
        </w:rPr>
      </w:pPr>
      <w:bookmarkStart w:id="2747" w:name="_Toc30546"/>
      <w:r>
        <w:rPr>
          <w:rFonts w:hint="eastAsia" w:ascii="Times New Roman" w:hAnsi="Times New Roman" w:eastAsia="宋体" w:cs="Times New Roman"/>
          <w:b/>
          <w:szCs w:val="21"/>
        </w:rPr>
        <w:t>（二）建议教材</w:t>
      </w:r>
      <w:bookmarkEnd w:id="2747"/>
    </w:p>
    <w:p w14:paraId="6535A22E">
      <w:pPr>
        <w:spacing w:line="360" w:lineRule="auto"/>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刘金寿. 现代科学技术概论. 北京：高等教育出版社，2021.</w:t>
      </w:r>
    </w:p>
    <w:p w14:paraId="466DE801">
      <w:pPr>
        <w:spacing w:line="360" w:lineRule="auto"/>
        <w:jc w:val="left"/>
        <w:outlineLvl w:val="1"/>
        <w:rPr>
          <w:rFonts w:ascii="Times New Roman" w:hAnsi="Times New Roman" w:eastAsia="宋体" w:cs="Times New Roman"/>
          <w:b/>
          <w:szCs w:val="21"/>
        </w:rPr>
      </w:pPr>
      <w:bookmarkStart w:id="2748" w:name="_Toc7724"/>
      <w:r>
        <w:rPr>
          <w:rFonts w:hint="eastAsia" w:ascii="Times New Roman" w:hAnsi="Times New Roman" w:eastAsia="宋体" w:cs="Times New Roman"/>
          <w:b/>
          <w:szCs w:val="21"/>
        </w:rPr>
        <w:t>（三）参考书目</w:t>
      </w:r>
      <w:bookmarkEnd w:id="2748"/>
    </w:p>
    <w:p w14:paraId="7044BDA1">
      <w:pPr>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1.</w:t>
      </w:r>
      <w:r>
        <w:rPr>
          <w:rFonts w:ascii="宋体" w:hAnsi="宋体" w:eastAsia="宋体" w:cs="Times New Roman"/>
          <w:szCs w:val="22"/>
        </w:rPr>
        <w:t>吴国盛. 科学的历程（修订第4版）. 长沙：湖南科学技术出版社，2018.</w:t>
      </w:r>
    </w:p>
    <w:p w14:paraId="068C662B">
      <w:pPr>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2.</w:t>
      </w:r>
      <w:r>
        <w:rPr>
          <w:rFonts w:ascii="宋体" w:hAnsi="宋体" w:eastAsia="宋体" w:cs="Times New Roman"/>
          <w:szCs w:val="22"/>
        </w:rPr>
        <w:t>张二庆，乔建生. 小学科学课程与教学论. 北京：北京师范大学出版社，2016.</w:t>
      </w:r>
    </w:p>
    <w:p w14:paraId="646A255F">
      <w:pPr>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3.</w:t>
      </w:r>
      <w:r>
        <w:rPr>
          <w:rFonts w:ascii="宋体" w:hAnsi="宋体" w:eastAsia="宋体" w:cs="Times New Roman"/>
          <w:szCs w:val="22"/>
        </w:rPr>
        <w:t>尹显明，王银铃. 科学技术概论. 北京：科学出版社，2018.</w:t>
      </w:r>
    </w:p>
    <w:p w14:paraId="7D68CCC5">
      <w:pPr>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4.</w:t>
      </w:r>
      <w:r>
        <w:rPr>
          <w:rFonts w:ascii="宋体" w:hAnsi="宋体" w:eastAsia="宋体" w:cs="Times New Roman"/>
          <w:szCs w:val="22"/>
        </w:rPr>
        <w:t>毕毓俊. 自然科学基础知识. 北京：高等教育出版社，2008.</w:t>
      </w:r>
    </w:p>
    <w:p w14:paraId="7042656A">
      <w:pPr>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5.</w:t>
      </w:r>
      <w:r>
        <w:rPr>
          <w:rFonts w:ascii="宋体" w:hAnsi="宋体" w:eastAsia="宋体" w:cs="Times New Roman"/>
          <w:szCs w:val="22"/>
        </w:rPr>
        <w:t>叶勤. 人类与自然. 北京：高等教育出版社，2009.</w:t>
      </w:r>
    </w:p>
    <w:p w14:paraId="386F51AB">
      <w:pPr>
        <w:rPr>
          <w:rFonts w:hint="eastAsia" w:ascii="宋体" w:hAnsi="宋体" w:eastAsia="宋体" w:cs="Times New Roman"/>
          <w:szCs w:val="22"/>
        </w:rPr>
      </w:pPr>
    </w:p>
    <w:p w14:paraId="6A3205E5">
      <w:pPr>
        <w:rPr>
          <w:rFonts w:hint="eastAsia" w:ascii="等线" w:hAnsi="等线" w:eastAsia="等线" w:cs="Times New Roman"/>
          <w:szCs w:val="22"/>
        </w:rPr>
      </w:pPr>
    </w:p>
    <w:p w14:paraId="0E3E4D00">
      <w:pPr>
        <w:rPr>
          <w:rFonts w:hint="eastAsia" w:ascii="等线" w:hAnsi="等线" w:eastAsia="等线" w:cs="Times New Roman"/>
          <w:szCs w:val="22"/>
        </w:rPr>
      </w:pPr>
    </w:p>
    <w:p w14:paraId="2EFE1EBB">
      <w:pPr>
        <w:rPr>
          <w:rFonts w:hint="eastAsia" w:ascii="等线" w:hAnsi="等线" w:eastAsia="等线" w:cs="Times New Roman"/>
          <w:szCs w:val="22"/>
        </w:rPr>
      </w:pPr>
    </w:p>
    <w:p w14:paraId="47ED6AA8">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金玉宏</w:t>
      </w:r>
    </w:p>
    <w:p w14:paraId="2B41E8E2">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王健</w:t>
      </w:r>
    </w:p>
    <w:p w14:paraId="24B03A98">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2753D420">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2EFCF90E">
      <w:pPr>
        <w:widowControl/>
        <w:jc w:val="left"/>
        <w:rPr>
          <w:rFonts w:ascii="宋体" w:hAnsi="宋体" w:eastAsia="宋体" w:cs="Times New Roman"/>
          <w:kern w:val="0"/>
          <w:sz w:val="24"/>
          <w:szCs w:val="21"/>
        </w:rPr>
      </w:pPr>
      <w:r>
        <w:rPr>
          <w:rFonts w:ascii="宋体" w:hAnsi="宋体" w:eastAsia="宋体" w:cs="Times New Roman"/>
          <w:kern w:val="0"/>
          <w:sz w:val="24"/>
          <w:szCs w:val="21"/>
        </w:rPr>
        <w:br w:type="page"/>
      </w:r>
    </w:p>
    <w:p w14:paraId="02879088">
      <w:pPr>
        <w:pStyle w:val="2"/>
        <w:bidi w:val="0"/>
        <w:rPr>
          <w:lang w:val="en-US" w:eastAsia="zh-CN"/>
        </w:rPr>
      </w:pPr>
      <w:bookmarkStart w:id="2749" w:name="_Toc21927"/>
      <w:bookmarkStart w:id="2750" w:name="_Toc10074"/>
      <w:bookmarkStart w:id="2751" w:name="_Toc15737"/>
      <w:bookmarkStart w:id="2752" w:name="_Toc9730"/>
      <w:r>
        <w:rPr>
          <w:rFonts w:hint="eastAsia"/>
          <w:lang w:val="en-US" w:eastAsia="zh-CN"/>
        </w:rPr>
        <w:t>《STEAM课程设计》课程教学大纲</w:t>
      </w:r>
      <w:bookmarkEnd w:id="2749"/>
      <w:bookmarkEnd w:id="2750"/>
      <w:bookmarkEnd w:id="2751"/>
      <w:bookmarkEnd w:id="2752"/>
    </w:p>
    <w:p w14:paraId="09189745">
      <w:pPr>
        <w:pStyle w:val="2"/>
        <w:bidi w:val="0"/>
        <w:rPr>
          <w:lang w:val="en-US" w:eastAsia="zh-CN"/>
        </w:rPr>
      </w:pPr>
      <w:bookmarkStart w:id="2753" w:name="_Toc24990"/>
      <w:bookmarkStart w:id="2754" w:name="_Toc2782"/>
      <w:bookmarkStart w:id="2755" w:name="_Toc4623"/>
      <w:bookmarkStart w:id="2756" w:name="_Toc28367"/>
      <w:bookmarkStart w:id="2757" w:name="_Toc15994"/>
      <w:bookmarkStart w:id="2758" w:name="_Toc13900"/>
      <w:bookmarkStart w:id="2759" w:name="_Toc8260"/>
      <w:r>
        <w:rPr>
          <w:lang w:val="en-US" w:eastAsia="zh-CN"/>
        </w:rPr>
        <w:t>（</w:t>
      </w:r>
      <w:r>
        <w:rPr>
          <w:rFonts w:hint="eastAsia"/>
          <w:lang w:val="en-US" w:eastAsia="zh-CN"/>
        </w:rPr>
        <w:t>STEAM Course Design</w:t>
      </w:r>
      <w:r>
        <w:rPr>
          <w:lang w:val="en-US" w:eastAsia="zh-CN"/>
        </w:rPr>
        <w:t>）</w:t>
      </w:r>
      <w:bookmarkEnd w:id="2753"/>
      <w:bookmarkEnd w:id="2754"/>
      <w:bookmarkEnd w:id="2755"/>
      <w:bookmarkEnd w:id="2756"/>
      <w:bookmarkEnd w:id="2757"/>
      <w:bookmarkEnd w:id="2758"/>
      <w:bookmarkEnd w:id="2759"/>
    </w:p>
    <w:p w14:paraId="534D0C3A">
      <w:pPr>
        <w:spacing w:line="360" w:lineRule="auto"/>
        <w:jc w:val="center"/>
        <w:rPr>
          <w:rFonts w:ascii="Times New Roman" w:hAnsi="Times New Roman" w:eastAsia="宋体" w:cs="Times New Roman"/>
          <w:bCs/>
          <w:sz w:val="30"/>
          <w:szCs w:val="30"/>
        </w:rPr>
      </w:pPr>
    </w:p>
    <w:p w14:paraId="0737878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STEAM课程设计</w:t>
      </w:r>
    </w:p>
    <w:p w14:paraId="0999513C">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课程代码：2401045</w:t>
      </w:r>
    </w:p>
    <w:p w14:paraId="5C18339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7936BFE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时：32（其中：讲授学时16，课内实践学时16）</w:t>
      </w:r>
    </w:p>
    <w:p w14:paraId="4BADF49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先修课程：科学概论</w:t>
      </w:r>
    </w:p>
    <w:p w14:paraId="32631E9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适用专业：小学教育（文）、小学教育（理）</w:t>
      </w:r>
    </w:p>
    <w:p w14:paraId="5E79DA2D">
      <w:pPr>
        <w:spacing w:line="360" w:lineRule="auto"/>
        <w:jc w:val="left"/>
        <w:rPr>
          <w:rFonts w:ascii="Times New Roman" w:hAnsi="Times New Roman" w:eastAsia="宋体" w:cs="Times New Roman"/>
          <w:b/>
          <w:sz w:val="24"/>
          <w:szCs w:val="24"/>
        </w:rPr>
      </w:pPr>
    </w:p>
    <w:p w14:paraId="22D2D54A">
      <w:pPr>
        <w:spacing w:line="360" w:lineRule="auto"/>
        <w:jc w:val="left"/>
        <w:outlineLvl w:val="0"/>
        <w:rPr>
          <w:rFonts w:ascii="Times New Roman" w:hAnsi="Times New Roman" w:eastAsia="宋体" w:cs="Times New Roman"/>
          <w:sz w:val="24"/>
          <w:szCs w:val="24"/>
        </w:rPr>
      </w:pPr>
      <w:bookmarkStart w:id="2760" w:name="_Toc1402"/>
      <w:bookmarkStart w:id="2761" w:name="_Toc20478"/>
      <w:bookmarkStart w:id="2762" w:name="_Toc21852"/>
      <w:bookmarkStart w:id="2763" w:name="_Toc31859"/>
      <w:bookmarkStart w:id="2764" w:name="_Toc17128"/>
      <w:bookmarkStart w:id="2765" w:name="_Toc1087"/>
      <w:bookmarkStart w:id="2766" w:name="_Toc2929"/>
      <w:r>
        <w:rPr>
          <w:rFonts w:hint="eastAsia" w:ascii="Times New Roman" w:hAnsi="Times New Roman" w:eastAsia="宋体" w:cs="Times New Roman"/>
          <w:b/>
          <w:sz w:val="24"/>
          <w:szCs w:val="24"/>
        </w:rPr>
        <w:t>一、课程简介</w:t>
      </w:r>
      <w:bookmarkEnd w:id="2760"/>
      <w:bookmarkEnd w:id="2761"/>
      <w:bookmarkEnd w:id="2762"/>
      <w:bookmarkEnd w:id="2763"/>
      <w:bookmarkEnd w:id="2764"/>
      <w:bookmarkEnd w:id="2765"/>
      <w:bookmarkEnd w:id="2766"/>
    </w:p>
    <w:p w14:paraId="05402CD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文）、小学教育（理）专业的专业选修课程。通过本课程的学习，使学生掌握STEAM教育的基本理念和方法，能够设计和实施STEAM课程，培养学生跨学科整合能力和创新思维，提高STEAM教育实践能力。</w:t>
      </w:r>
    </w:p>
    <w:p w14:paraId="62075814">
      <w:pPr>
        <w:spacing w:line="360" w:lineRule="auto"/>
        <w:jc w:val="left"/>
        <w:rPr>
          <w:rFonts w:hint="eastAsia" w:ascii="宋体" w:hAnsi="宋体" w:eastAsia="宋体" w:cs="Times New Roman"/>
          <w:b/>
          <w:color w:val="000000"/>
          <w:szCs w:val="21"/>
        </w:rPr>
      </w:pPr>
    </w:p>
    <w:p w14:paraId="177F8F16">
      <w:pPr>
        <w:spacing w:line="360" w:lineRule="auto"/>
        <w:jc w:val="left"/>
        <w:outlineLvl w:val="0"/>
        <w:rPr>
          <w:rFonts w:ascii="Times New Roman" w:hAnsi="Times New Roman" w:eastAsia="宋体" w:cs="Times New Roman"/>
          <w:sz w:val="24"/>
          <w:szCs w:val="24"/>
        </w:rPr>
      </w:pPr>
      <w:bookmarkStart w:id="2767" w:name="_Toc2105"/>
      <w:bookmarkStart w:id="2768" w:name="_Toc29060"/>
      <w:bookmarkStart w:id="2769" w:name="_Toc11709"/>
      <w:bookmarkStart w:id="2770" w:name="_Toc13573"/>
      <w:bookmarkStart w:id="2771" w:name="_Toc5848"/>
      <w:bookmarkStart w:id="2772" w:name="_Toc17378"/>
      <w:bookmarkStart w:id="2773" w:name="_Toc26676"/>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767"/>
      <w:bookmarkEnd w:id="2768"/>
      <w:bookmarkEnd w:id="2769"/>
      <w:bookmarkEnd w:id="2770"/>
      <w:bookmarkEnd w:id="2771"/>
      <w:bookmarkEnd w:id="2772"/>
      <w:bookmarkEnd w:id="2773"/>
    </w:p>
    <w:p w14:paraId="179BAC7C">
      <w:pPr>
        <w:spacing w:line="360" w:lineRule="auto"/>
        <w:ind w:firstLine="422" w:firstLineChars="200"/>
        <w:outlineLvl w:val="1"/>
        <w:rPr>
          <w:rFonts w:hint="eastAsia" w:ascii="宋体" w:hAnsi="宋体" w:eastAsia="宋体" w:cs="Times New Roman"/>
          <w:b/>
          <w:color w:val="000000"/>
          <w:szCs w:val="21"/>
        </w:rPr>
      </w:pPr>
      <w:bookmarkStart w:id="2774" w:name="_Toc22193"/>
      <w:r>
        <w:rPr>
          <w:rFonts w:hint="eastAsia" w:ascii="宋体" w:hAnsi="宋体" w:eastAsia="宋体" w:cs="Times New Roman"/>
          <w:b/>
          <w:color w:val="000000"/>
          <w:szCs w:val="21"/>
        </w:rPr>
        <w:t>（一）课程具体目标</w:t>
      </w:r>
      <w:bookmarkEnd w:id="2774"/>
    </w:p>
    <w:p w14:paraId="7A077579">
      <w:pPr>
        <w:widowControl w:val="0"/>
        <w:spacing w:before="0" w:after="0"/>
        <w:jc w:val="both"/>
        <w:rPr>
          <w:rFonts w:hint="eastAsia" w:ascii="宋体" w:hAnsi="宋体" w:eastAsia="宋体" w:cs="Times New Roman"/>
          <w:kern w:val="2"/>
          <w:sz w:val="21"/>
          <w:szCs w:val="21"/>
          <w:lang w:val="en-US" w:eastAsia="zh-CN" w:bidi="ar-SA"/>
        </w:rPr>
      </w:pPr>
      <w:r>
        <w:rPr>
          <w:rFonts w:hint="eastAsia" w:ascii="Book Antiqua" w:hAnsi="Book Antiqua" w:eastAsia="宋体" w:cs="Times New Roman"/>
          <w:b/>
          <w:kern w:val="2"/>
          <w:sz w:val="21"/>
          <w:szCs w:val="18"/>
          <w:lang w:val="en-US" w:eastAsia="zh-CN" w:bidi="ar-SA"/>
        </w:rPr>
        <w:t>目标</w:t>
      </w:r>
      <w:r>
        <w:rPr>
          <w:rFonts w:ascii="Book Antiqua" w:hAnsi="Book Antiqua" w:eastAsia="宋体" w:cs="Times New Roman"/>
          <w:b/>
          <w:kern w:val="2"/>
          <w:sz w:val="21"/>
          <w:szCs w:val="18"/>
          <w:lang w:val="en-US" w:eastAsia="zh-CN" w:bidi="ar-SA"/>
        </w:rPr>
        <w:t>1.</w:t>
      </w:r>
      <w:r>
        <w:rPr>
          <w:rFonts w:ascii="宋体" w:hAnsi="宋体" w:eastAsia="宋体" w:cs="Times New Roman"/>
          <w:kern w:val="2"/>
          <w:sz w:val="21"/>
          <w:szCs w:val="21"/>
          <w:lang w:val="en-US" w:eastAsia="zh-CN" w:bidi="ar-SA"/>
        </w:rPr>
        <w:t>掌握STEAM教育及艺术的基本理论和知识，具备广博的自然科学和人文社会科学知识素养，理解STEAM与小学其他学科及社会实践、小学生生活实践之间的联系，具备跨学科解决问题的能力，能够运用STEAM教育理论（包括艺术元素）指导教学实践，能指导综合性学科教学活动。</w:t>
      </w:r>
    </w:p>
    <w:p w14:paraId="2934D1E3">
      <w:pPr>
        <w:spacing w:line="360" w:lineRule="auto"/>
        <w:jc w:val="left"/>
        <w:rPr>
          <w:rFonts w:hint="eastAsia" w:ascii="宋体" w:hAnsi="宋体" w:eastAsia="宋体" w:cs="Times New Roman"/>
          <w:szCs w:val="21"/>
        </w:rPr>
      </w:pPr>
      <w:r>
        <w:rPr>
          <w:rFonts w:hint="eastAsia" w:ascii="宋体" w:hAnsi="宋体" w:eastAsia="宋体" w:cs="Times New Roman"/>
          <w:b/>
          <w:szCs w:val="21"/>
        </w:rPr>
        <w:t>目标2</w:t>
      </w:r>
      <w:r>
        <w:rPr>
          <w:rFonts w:ascii="宋体" w:hAnsi="宋体" w:eastAsia="宋体" w:cs="Times New Roman"/>
          <w:b/>
          <w:szCs w:val="21"/>
        </w:rPr>
        <w:t>.</w:t>
      </w:r>
      <w:r>
        <w:rPr>
          <w:rFonts w:ascii="宋体" w:hAnsi="宋体" w:eastAsia="宋体" w:cs="Times New Roman"/>
          <w:szCs w:val="21"/>
        </w:rPr>
        <w:t xml:space="preserve"> 掌握小学教师的基本技能，包括书写、沟通与表达、信息技术运用等，获得全面的小学教学体验，掌握STEAM课程设计与教学的方法和策略，能够独立进行STEAM课程的教学实施和评价，提升教学能力，促进学生的全面发展。</w:t>
      </w:r>
    </w:p>
    <w:p w14:paraId="420988B0">
      <w:pPr>
        <w:widowControl w:val="0"/>
        <w:spacing w:before="0" w:after="0"/>
        <w:jc w:val="both"/>
        <w:rPr>
          <w:rFonts w:ascii="宋体" w:hAnsi="宋体" w:eastAsia="宋体" w:cs="Times New Roman"/>
          <w:kern w:val="2"/>
          <w:sz w:val="21"/>
          <w:szCs w:val="21"/>
          <w:lang w:val="en-US" w:eastAsia="zh-CN" w:bidi="ar-SA"/>
        </w:rPr>
      </w:pPr>
      <w:r>
        <w:rPr>
          <w:rFonts w:hint="eastAsia" w:ascii="宋体" w:hAnsi="宋体" w:eastAsia="宋体" w:cs="Times New Roman"/>
          <w:b/>
          <w:kern w:val="2"/>
          <w:sz w:val="21"/>
          <w:szCs w:val="21"/>
          <w:lang w:val="en-US" w:eastAsia="zh-CN" w:bidi="ar-SA"/>
        </w:rPr>
        <w:t>目标3．</w:t>
      </w:r>
      <w:r>
        <w:rPr>
          <w:rFonts w:ascii="宋体" w:hAnsi="宋体" w:eastAsia="宋体" w:cs="Times New Roman"/>
          <w:kern w:val="2"/>
          <w:sz w:val="21"/>
          <w:szCs w:val="21"/>
          <w:lang w:val="en-US" w:eastAsia="zh-CN" w:bidi="ar-SA"/>
        </w:rPr>
        <w:t xml:space="preserve"> 理解STEAM教育的育人价值，具备教书育人的意识，理解学科核心素养和STEAM课程的育人功能，能够结合课程内容挖掘育人要素与资源，合理设计育人目标、主题、内容和活动，将知识学习、能力发展与品德养成有机结合，促进小学生的全面、健康发展。</w:t>
      </w:r>
    </w:p>
    <w:p w14:paraId="73F5185B">
      <w:pPr>
        <w:widowControl w:val="0"/>
        <w:spacing w:before="0" w:after="0"/>
        <w:jc w:val="both"/>
        <w:rPr>
          <w:rFonts w:hint="eastAsia" w:ascii="宋体" w:hAnsi="宋体" w:eastAsia="宋体" w:cs="Times New Roman"/>
          <w:kern w:val="2"/>
          <w:sz w:val="24"/>
          <w:szCs w:val="24"/>
          <w:lang w:val="en-US" w:eastAsia="zh-CN" w:bidi="ar-SA"/>
        </w:rPr>
      </w:pPr>
    </w:p>
    <w:p w14:paraId="2B15177B">
      <w:pPr>
        <w:spacing w:before="156" w:beforeLines="50" w:after="156" w:afterLines="50" w:line="360" w:lineRule="auto"/>
        <w:jc w:val="left"/>
        <w:outlineLvl w:val="1"/>
        <w:rPr>
          <w:rFonts w:ascii="Times New Roman" w:hAnsi="Times New Roman" w:eastAsia="宋体" w:cs="Times New Roman"/>
          <w:b/>
          <w:bCs/>
          <w:szCs w:val="21"/>
        </w:rPr>
      </w:pPr>
      <w:bookmarkStart w:id="2775" w:name="_Toc32399"/>
      <w:r>
        <w:rPr>
          <w:rFonts w:hint="eastAsia" w:ascii="Times New Roman" w:hAnsi="Times New Roman" w:eastAsia="宋体" w:cs="Times New Roman"/>
          <w:b/>
          <w:bCs/>
          <w:szCs w:val="21"/>
        </w:rPr>
        <w:t>（二）课程目标及其对毕业要求指标点的支撑</w:t>
      </w:r>
      <w:bookmarkEnd w:id="2775"/>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5387"/>
        <w:gridCol w:w="1327"/>
      </w:tblGrid>
      <w:tr w14:paraId="7699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7F573531">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5387" w:type="dxa"/>
            <w:vAlign w:val="center"/>
          </w:tcPr>
          <w:p w14:paraId="670F0051">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327" w:type="dxa"/>
            <w:vAlign w:val="center"/>
          </w:tcPr>
          <w:p w14:paraId="71213212">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7023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199E98E0">
            <w:pPr>
              <w:spacing w:line="276" w:lineRule="auto"/>
              <w:jc w:val="left"/>
              <w:rPr>
                <w:rFonts w:hint="eastAsia" w:ascii="宋体" w:hAnsi="宋体" w:eastAsia="宋体" w:cs="Times New Roman"/>
                <w:szCs w:val="21"/>
              </w:rPr>
            </w:pPr>
            <w:r>
              <w:rPr>
                <w:rFonts w:hint="eastAsia" w:ascii="宋体" w:hAnsi="宋体" w:eastAsia="宋体" w:cs="Times New Roman"/>
                <w:szCs w:val="21"/>
              </w:rPr>
              <w:t>毕业要求3：学科素养</w:t>
            </w:r>
          </w:p>
        </w:tc>
        <w:tc>
          <w:tcPr>
            <w:tcW w:w="5387" w:type="dxa"/>
            <w:vAlign w:val="center"/>
          </w:tcPr>
          <w:p w14:paraId="4032A3BD">
            <w:pPr>
              <w:spacing w:line="276" w:lineRule="auto"/>
              <w:jc w:val="left"/>
              <w:rPr>
                <w:rFonts w:hint="eastAsia" w:ascii="宋体" w:hAnsi="宋体" w:eastAsia="宋体" w:cs="Times New Roman"/>
                <w:szCs w:val="21"/>
              </w:rPr>
            </w:pPr>
            <w:r>
              <w:rPr>
                <w:rFonts w:hint="eastAsia" w:ascii="宋体" w:hAnsi="宋体" w:eastAsia="宋体" w:cs="Times New Roman"/>
                <w:szCs w:val="21"/>
              </w:rPr>
              <w:t>指标点3-3：【注重知识整合】了解所教学科与小学其他学科及与社会实践、小学生生活实践之间的联系，了解学科整合在小学教育中的价值，具有跨学科解决问题的意识和能力，能指导综合性学科教学活动。</w:t>
            </w:r>
          </w:p>
        </w:tc>
        <w:tc>
          <w:tcPr>
            <w:tcW w:w="1327" w:type="dxa"/>
          </w:tcPr>
          <w:p w14:paraId="0036DA74">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r>
      <w:tr w14:paraId="2AB2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39182FE4">
            <w:pPr>
              <w:spacing w:line="276" w:lineRule="auto"/>
              <w:jc w:val="left"/>
              <w:rPr>
                <w:rFonts w:hint="eastAsia" w:ascii="宋体" w:hAnsi="宋体" w:eastAsia="宋体" w:cs="Times New Roman"/>
                <w:szCs w:val="21"/>
              </w:rPr>
            </w:pPr>
            <w:r>
              <w:rPr>
                <w:rFonts w:hint="eastAsia" w:ascii="宋体" w:hAnsi="宋体" w:eastAsia="宋体" w:cs="Times New Roman"/>
                <w:szCs w:val="21"/>
              </w:rPr>
              <w:t>毕业要求4：教学能力</w:t>
            </w:r>
          </w:p>
        </w:tc>
        <w:tc>
          <w:tcPr>
            <w:tcW w:w="5387" w:type="dxa"/>
          </w:tcPr>
          <w:p w14:paraId="69571078">
            <w:pPr>
              <w:spacing w:line="276" w:lineRule="auto"/>
              <w:jc w:val="left"/>
              <w:rPr>
                <w:rFonts w:hint="eastAsia" w:ascii="宋体" w:hAnsi="宋体" w:eastAsia="宋体" w:cs="Times New Roman"/>
                <w:szCs w:val="21"/>
              </w:rPr>
            </w:pPr>
            <w:r>
              <w:rPr>
                <w:rFonts w:hint="eastAsia" w:ascii="宋体" w:hAnsi="宋体" w:eastAsia="宋体" w:cs="Times New Roman"/>
                <w:color w:val="000000"/>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tcPr>
          <w:p w14:paraId="5ABC14E6">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r w14:paraId="5D92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1FEB23CD">
            <w:pPr>
              <w:spacing w:line="276" w:lineRule="auto"/>
              <w:jc w:val="left"/>
              <w:rPr>
                <w:rFonts w:hint="eastAsia" w:ascii="宋体" w:hAnsi="宋体" w:eastAsia="宋体" w:cs="Times New Roman"/>
                <w:szCs w:val="21"/>
              </w:rPr>
            </w:pPr>
            <w:r>
              <w:rPr>
                <w:rFonts w:hint="eastAsia" w:ascii="宋体" w:hAnsi="宋体" w:eastAsia="宋体" w:cs="Times New Roman"/>
                <w:szCs w:val="21"/>
              </w:rPr>
              <w:t>毕业要求6：综合育人</w:t>
            </w:r>
          </w:p>
        </w:tc>
        <w:tc>
          <w:tcPr>
            <w:tcW w:w="5387" w:type="dxa"/>
            <w:vAlign w:val="center"/>
          </w:tcPr>
          <w:p w14:paraId="155B06BE">
            <w:pPr>
              <w:spacing w:line="276" w:lineRule="auto"/>
              <w:jc w:val="left"/>
              <w:rPr>
                <w:rFonts w:hint="eastAsia" w:ascii="宋体" w:hAnsi="宋体" w:eastAsia="宋体" w:cs="Times New Roman"/>
                <w:szCs w:val="21"/>
              </w:rPr>
            </w:pPr>
            <w:r>
              <w:rPr>
                <w:rFonts w:hint="eastAsia" w:ascii="宋体" w:hAnsi="宋体" w:eastAsia="宋体" w:cs="宋体"/>
                <w:kern w:val="0"/>
                <w:szCs w:val="21"/>
              </w:rPr>
              <w:t>指标点</w:t>
            </w:r>
            <w:r>
              <w:rPr>
                <w:rFonts w:hint="eastAsia" w:ascii="宋体" w:hAnsi="宋体" w:eastAsia="宋体" w:cs="宋体"/>
                <w:szCs w:val="21"/>
              </w:rPr>
              <w:t>6-2：【胜任学科育人】具有教书育人的意识，理解学科核心素养和拟任教学科课程独特的育人功能，在教育教学实践中，能够</w:t>
            </w:r>
            <w:r>
              <w:rPr>
                <w:rFonts w:hint="eastAsia" w:ascii="宋体" w:hAnsi="宋体" w:eastAsia="宋体" w:cs="宋体"/>
                <w:bCs/>
                <w:kern w:val="0"/>
                <w:szCs w:val="21"/>
              </w:rPr>
              <w:t>结合课程内容与特点，挖掘课程的育人要素与资源，合理设计育人目标、主题、内容和活动，将知识学习、能力发展与品德养成有机结合。</w:t>
            </w:r>
          </w:p>
        </w:tc>
        <w:tc>
          <w:tcPr>
            <w:tcW w:w="1327" w:type="dxa"/>
          </w:tcPr>
          <w:p w14:paraId="25FE72D1">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课程目标3</w:t>
            </w:r>
          </w:p>
        </w:tc>
      </w:tr>
    </w:tbl>
    <w:p w14:paraId="250F8AE8">
      <w:pPr>
        <w:spacing w:before="156" w:beforeLines="50" w:line="360" w:lineRule="auto"/>
        <w:jc w:val="left"/>
        <w:rPr>
          <w:rFonts w:ascii="宋体" w:hAnsi="宋体" w:eastAsia="宋体" w:cs="Times New Roman"/>
          <w:b/>
          <w:color w:val="000000"/>
          <w:szCs w:val="21"/>
        </w:rPr>
      </w:pPr>
    </w:p>
    <w:p w14:paraId="5638964F">
      <w:pPr>
        <w:spacing w:before="156" w:beforeLines="50" w:line="360" w:lineRule="auto"/>
        <w:jc w:val="left"/>
        <w:outlineLvl w:val="1"/>
        <w:rPr>
          <w:rFonts w:hint="eastAsia" w:ascii="宋体" w:hAnsi="宋体" w:eastAsia="宋体" w:cs="Times New Roman"/>
          <w:b/>
          <w:color w:val="000000"/>
          <w:szCs w:val="21"/>
        </w:rPr>
      </w:pPr>
      <w:bookmarkStart w:id="2776" w:name="_Toc9665"/>
      <w:r>
        <w:rPr>
          <w:rFonts w:hint="eastAsia" w:ascii="宋体" w:hAnsi="宋体" w:eastAsia="宋体" w:cs="Times New Roman"/>
          <w:b/>
          <w:color w:val="000000"/>
          <w:szCs w:val="21"/>
        </w:rPr>
        <w:t>（三）课程思政目标</w:t>
      </w:r>
      <w:bookmarkEnd w:id="2776"/>
    </w:p>
    <w:p w14:paraId="3FBCBDF5">
      <w:pPr>
        <w:spacing w:line="360"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目标1.</w:t>
      </w:r>
      <w:r>
        <w:rPr>
          <w:rFonts w:hint="eastAsia" w:ascii="宋体" w:hAnsi="宋体" w:eastAsia="宋体" w:cs="Times New Roman"/>
          <w:color w:val="000000"/>
          <w:szCs w:val="21"/>
        </w:rPr>
        <w:t xml:space="preserve"> 培养学生的社会责任感和创新精神，理解科技与社会发展的关系，树立正确的价值观念，认识STEAM课程建设在社会变迁与经济发展中的重要作用。</w:t>
      </w:r>
    </w:p>
    <w:p w14:paraId="750DCBFB">
      <w:pPr>
        <w:spacing w:line="360"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目标2.</w:t>
      </w:r>
      <w:r>
        <w:rPr>
          <w:rFonts w:hint="eastAsia" w:ascii="宋体" w:hAnsi="宋体" w:eastAsia="宋体" w:cs="Times New Roman"/>
          <w:color w:val="000000"/>
          <w:szCs w:val="21"/>
        </w:rPr>
        <w:t xml:space="preserve"> 增强学生的团队合作意识和沟通能力，培养集体荣誉感和协作精神，促进跨学科整合与教学设计中的社会责任感和解决问题的能力。</w:t>
      </w:r>
    </w:p>
    <w:p w14:paraId="6F394D67">
      <w:pPr>
        <w:spacing w:line="360"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目标3.</w:t>
      </w:r>
      <w:r>
        <w:rPr>
          <w:rFonts w:hint="eastAsia" w:ascii="宋体" w:hAnsi="宋体" w:eastAsia="宋体" w:cs="Times New Roman"/>
          <w:color w:val="000000"/>
          <w:szCs w:val="21"/>
        </w:rPr>
        <w:t xml:space="preserve"> 引导学生关注可持续发展和环保理念，培养绿色思维和可持续发展的实践能力，促进绿色教育理念在课程设计中的应用。</w:t>
      </w:r>
    </w:p>
    <w:p w14:paraId="5FA18A62">
      <w:pPr>
        <w:spacing w:line="360" w:lineRule="auto"/>
        <w:jc w:val="left"/>
        <w:rPr>
          <w:rFonts w:hint="eastAsia" w:ascii="宋体" w:hAnsi="宋体" w:eastAsia="宋体" w:cs="Times New Roman"/>
          <w:color w:val="000000"/>
          <w:szCs w:val="21"/>
        </w:rPr>
      </w:pPr>
    </w:p>
    <w:p w14:paraId="3BCF1060">
      <w:pPr>
        <w:spacing w:line="360" w:lineRule="auto"/>
        <w:jc w:val="left"/>
        <w:outlineLvl w:val="0"/>
        <w:rPr>
          <w:rFonts w:hint="eastAsia" w:ascii="宋体" w:hAnsi="宋体" w:eastAsia="宋体" w:cs="Times New Roman"/>
          <w:b/>
          <w:color w:val="000000"/>
          <w:sz w:val="24"/>
          <w:szCs w:val="24"/>
        </w:rPr>
      </w:pPr>
      <w:bookmarkStart w:id="2777" w:name="_Toc25869"/>
      <w:bookmarkStart w:id="2778" w:name="_Toc25941"/>
      <w:bookmarkStart w:id="2779" w:name="_Toc21689"/>
      <w:bookmarkStart w:id="2780" w:name="_Toc10630"/>
      <w:bookmarkStart w:id="2781" w:name="_Toc23196"/>
      <w:bookmarkStart w:id="2782" w:name="_Toc1250"/>
      <w:bookmarkStart w:id="2783" w:name="_Toc8830"/>
      <w:r>
        <w:rPr>
          <w:rFonts w:hint="eastAsia" w:ascii="宋体" w:hAnsi="宋体" w:eastAsia="宋体" w:cs="Times New Roman"/>
          <w:b/>
          <w:color w:val="000000"/>
          <w:sz w:val="24"/>
          <w:szCs w:val="24"/>
        </w:rPr>
        <w:t>三、教学内容与预期学习成效</w:t>
      </w:r>
      <w:bookmarkEnd w:id="2777"/>
      <w:bookmarkEnd w:id="2778"/>
      <w:bookmarkEnd w:id="2779"/>
      <w:bookmarkEnd w:id="2780"/>
      <w:bookmarkEnd w:id="2781"/>
      <w:bookmarkEnd w:id="2782"/>
      <w:bookmarkEnd w:id="2783"/>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402"/>
        <w:gridCol w:w="850"/>
        <w:gridCol w:w="1985"/>
        <w:gridCol w:w="1495"/>
        <w:gridCol w:w="578"/>
      </w:tblGrid>
      <w:tr w14:paraId="5DE8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88" w:type="dxa"/>
            <w:vAlign w:val="center"/>
          </w:tcPr>
          <w:p w14:paraId="15ED6C9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5134C23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3402" w:type="dxa"/>
            <w:vAlign w:val="center"/>
          </w:tcPr>
          <w:p w14:paraId="1812D67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850" w:type="dxa"/>
            <w:vAlign w:val="center"/>
          </w:tcPr>
          <w:p w14:paraId="55B2736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02A874D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1985" w:type="dxa"/>
            <w:vAlign w:val="center"/>
          </w:tcPr>
          <w:p w14:paraId="6357C3F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495" w:type="dxa"/>
            <w:vAlign w:val="center"/>
          </w:tcPr>
          <w:p w14:paraId="3FA447F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578" w:type="dxa"/>
            <w:vAlign w:val="center"/>
          </w:tcPr>
          <w:p w14:paraId="134FFEC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81F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66D8DE1C">
            <w:pPr>
              <w:spacing w:line="276" w:lineRule="auto"/>
              <w:jc w:val="center"/>
              <w:rPr>
                <w:rFonts w:hint="eastAsia" w:ascii="宋体" w:hAnsi="宋体" w:eastAsia="宋体" w:cs="Times New Roman"/>
                <w:color w:val="000000"/>
                <w:szCs w:val="21"/>
              </w:rPr>
            </w:pPr>
            <w:r>
              <w:rPr>
                <w:rFonts w:hint="eastAsia" w:ascii="宋体" w:hAnsi="宋体" w:eastAsia="宋体" w:cs="Times New Roman"/>
                <w:b/>
                <w:bCs/>
                <w:szCs w:val="21"/>
              </w:rPr>
              <w:t>第一章</w:t>
            </w:r>
            <w:r>
              <w:rPr>
                <w:rFonts w:ascii="宋体" w:hAnsi="宋体" w:eastAsia="宋体" w:cs="Times New Roman"/>
                <w:b/>
                <w:bCs/>
                <w:szCs w:val="21"/>
              </w:rPr>
              <w:t xml:space="preserve"> STEAM </w:t>
            </w:r>
            <w:r>
              <w:rPr>
                <w:rFonts w:hint="eastAsia" w:ascii="宋体" w:hAnsi="宋体" w:eastAsia="宋体" w:cs="Times New Roman"/>
                <w:b/>
                <w:bCs/>
                <w:szCs w:val="21"/>
              </w:rPr>
              <w:t>课程建设概述</w:t>
            </w:r>
          </w:p>
        </w:tc>
        <w:tc>
          <w:tcPr>
            <w:tcW w:w="3402" w:type="dxa"/>
            <w:vAlign w:val="center"/>
          </w:tcPr>
          <w:p w14:paraId="7E7FAB69">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1"/>
              </w:rPr>
              <w:t>（1）STEAM</w:t>
            </w:r>
            <w:r>
              <w:rPr>
                <w:rFonts w:ascii="宋体" w:hAnsi="宋体" w:eastAsia="宋体" w:cs="Times New Roman"/>
                <w:szCs w:val="21"/>
              </w:rPr>
              <w:t xml:space="preserve"> </w:t>
            </w:r>
            <w:r>
              <w:rPr>
                <w:rFonts w:hint="eastAsia" w:ascii="宋体" w:hAnsi="宋体" w:eastAsia="宋体" w:cs="Times New Roman"/>
                <w:szCs w:val="21"/>
              </w:rPr>
              <w:t>课程建设的背景与挑战</w:t>
            </w:r>
            <w:r>
              <w:rPr>
                <w:rFonts w:ascii="宋体" w:hAnsi="宋体" w:eastAsia="宋体" w:cs="Times New Roman"/>
                <w:szCs w:val="21"/>
              </w:rPr>
              <w:br w:type="textWrapping"/>
            </w:r>
            <w:r>
              <w:rPr>
                <w:rFonts w:hint="eastAsia" w:ascii="宋体" w:hAnsi="宋体" w:eastAsia="宋体" w:cs="Times New Roman"/>
                <w:szCs w:val="21"/>
              </w:rPr>
              <w:t>（2）STEAM</w:t>
            </w:r>
            <w:r>
              <w:rPr>
                <w:rFonts w:ascii="宋体" w:hAnsi="宋体" w:eastAsia="宋体" w:cs="Times New Roman"/>
                <w:szCs w:val="21"/>
              </w:rPr>
              <w:t xml:space="preserve"> </w:t>
            </w:r>
            <w:r>
              <w:rPr>
                <w:rFonts w:hint="eastAsia" w:ascii="宋体" w:hAnsi="宋体" w:eastAsia="宋体" w:cs="Times New Roman"/>
                <w:szCs w:val="21"/>
              </w:rPr>
              <w:t>课程建设的本质、模式及特征</w:t>
            </w:r>
            <w:r>
              <w:rPr>
                <w:rFonts w:ascii="宋体" w:hAnsi="宋体" w:eastAsia="宋体" w:cs="Times New Roman"/>
                <w:szCs w:val="21"/>
              </w:rPr>
              <w:br w:type="textWrapping"/>
            </w:r>
            <w:r>
              <w:rPr>
                <w:rFonts w:hint="eastAsia" w:ascii="宋体" w:hAnsi="宋体" w:eastAsia="宋体" w:cs="Times New Roman"/>
                <w:szCs w:val="21"/>
              </w:rPr>
              <w:t>（3）STEAM</w:t>
            </w:r>
            <w:r>
              <w:rPr>
                <w:rFonts w:ascii="宋体" w:hAnsi="宋体" w:eastAsia="宋体" w:cs="Times New Roman"/>
                <w:szCs w:val="21"/>
              </w:rPr>
              <w:t xml:space="preserve"> </w:t>
            </w:r>
            <w:r>
              <w:rPr>
                <w:rFonts w:hint="eastAsia" w:ascii="宋体" w:hAnsi="宋体" w:eastAsia="宋体" w:cs="Times New Roman"/>
                <w:szCs w:val="21"/>
              </w:rPr>
              <w:t>课程建设的问题与对策</w:t>
            </w:r>
          </w:p>
        </w:tc>
        <w:tc>
          <w:tcPr>
            <w:tcW w:w="850" w:type="dxa"/>
          </w:tcPr>
          <w:p w14:paraId="08AA0E86">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目标1</w:t>
            </w:r>
          </w:p>
        </w:tc>
        <w:tc>
          <w:tcPr>
            <w:tcW w:w="1985" w:type="dxa"/>
          </w:tcPr>
          <w:p w14:paraId="1D4E3345">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理解STEAM教育的背景与挑战，掌握课程建设的本质和特征，能够识别问题并提出对策</w:t>
            </w:r>
          </w:p>
        </w:tc>
        <w:tc>
          <w:tcPr>
            <w:tcW w:w="1495" w:type="dxa"/>
          </w:tcPr>
          <w:p w14:paraId="228A919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课堂讨论</w:t>
            </w:r>
          </w:p>
          <w:p w14:paraId="2BFF8E2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案例分析</w:t>
            </w:r>
          </w:p>
          <w:p w14:paraId="026E27B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小组活动</w:t>
            </w:r>
          </w:p>
        </w:tc>
        <w:tc>
          <w:tcPr>
            <w:tcW w:w="578" w:type="dxa"/>
            <w:vAlign w:val="center"/>
          </w:tcPr>
          <w:p w14:paraId="7FC5FE1A">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2</w:t>
            </w:r>
          </w:p>
        </w:tc>
      </w:tr>
      <w:tr w14:paraId="6098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7EC7A993">
            <w:pPr>
              <w:spacing w:line="276" w:lineRule="auto"/>
              <w:jc w:val="center"/>
              <w:rPr>
                <w:rFonts w:hint="eastAsia" w:ascii="宋体" w:hAnsi="宋体" w:eastAsia="宋体" w:cs="Times New Roman"/>
                <w:color w:val="000000"/>
                <w:szCs w:val="21"/>
              </w:rPr>
            </w:pPr>
          </w:p>
        </w:tc>
        <w:tc>
          <w:tcPr>
            <w:tcW w:w="8310" w:type="dxa"/>
            <w:gridSpan w:val="5"/>
            <w:vAlign w:val="center"/>
          </w:tcPr>
          <w:p w14:paraId="20293FB3">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培养学生的社会责任感和创新精神，理解科技与社会发展的关系，树立正确的价值观念，认识STEAM课程建设在社会变迁与经济发展中的重要作用。</w:t>
            </w:r>
          </w:p>
        </w:tc>
      </w:tr>
      <w:tr w14:paraId="7E26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5B00A59F">
            <w:pPr>
              <w:spacing w:line="276" w:lineRule="auto"/>
              <w:jc w:val="center"/>
              <w:rPr>
                <w:rFonts w:hint="eastAsia" w:ascii="宋体" w:hAnsi="宋体" w:eastAsia="宋体" w:cs="Times New Roman"/>
                <w:color w:val="000000"/>
                <w:szCs w:val="21"/>
              </w:rPr>
            </w:pPr>
            <w:r>
              <w:rPr>
                <w:rFonts w:hint="eastAsia" w:ascii="宋体" w:hAnsi="宋体" w:eastAsia="宋体" w:cs="Times New Roman"/>
                <w:b/>
                <w:bCs/>
                <w:szCs w:val="21"/>
              </w:rPr>
              <w:t>第二章</w:t>
            </w:r>
            <w:r>
              <w:rPr>
                <w:rFonts w:ascii="宋体" w:hAnsi="宋体" w:eastAsia="宋体" w:cs="Times New Roman"/>
                <w:b/>
                <w:bCs/>
                <w:szCs w:val="21"/>
              </w:rPr>
              <w:t xml:space="preserve"> STEAM </w:t>
            </w:r>
            <w:r>
              <w:rPr>
                <w:rFonts w:hint="eastAsia" w:ascii="宋体" w:hAnsi="宋体" w:eastAsia="宋体" w:cs="Times New Roman"/>
                <w:b/>
                <w:bCs/>
                <w:szCs w:val="21"/>
              </w:rPr>
              <w:t>课程目标设计</w:t>
            </w:r>
          </w:p>
        </w:tc>
        <w:tc>
          <w:tcPr>
            <w:tcW w:w="3402" w:type="dxa"/>
            <w:vAlign w:val="center"/>
          </w:tcPr>
          <w:p w14:paraId="36861C90">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1"/>
              </w:rPr>
              <w:t>（1）STEAM</w:t>
            </w:r>
            <w:r>
              <w:rPr>
                <w:rFonts w:ascii="宋体" w:hAnsi="宋体" w:eastAsia="宋体" w:cs="Times New Roman"/>
                <w:szCs w:val="21"/>
              </w:rPr>
              <w:t xml:space="preserve"> </w:t>
            </w:r>
            <w:r>
              <w:rPr>
                <w:rFonts w:hint="eastAsia" w:ascii="宋体" w:hAnsi="宋体" w:eastAsia="宋体" w:cs="Times New Roman"/>
                <w:szCs w:val="21"/>
              </w:rPr>
              <w:t>课程目标设计：依据及框架</w:t>
            </w:r>
            <w:r>
              <w:rPr>
                <w:rFonts w:ascii="宋体" w:hAnsi="宋体" w:eastAsia="宋体" w:cs="Times New Roman"/>
                <w:szCs w:val="21"/>
              </w:rPr>
              <w:br w:type="textWrapping"/>
            </w:r>
            <w:r>
              <w:rPr>
                <w:rFonts w:hint="eastAsia" w:ascii="宋体" w:hAnsi="宋体" w:eastAsia="宋体" w:cs="Times New Roman"/>
                <w:szCs w:val="21"/>
              </w:rPr>
              <w:t>（2）STEAM</w:t>
            </w:r>
            <w:r>
              <w:rPr>
                <w:rFonts w:ascii="宋体" w:hAnsi="宋体" w:eastAsia="宋体" w:cs="Times New Roman"/>
                <w:szCs w:val="21"/>
              </w:rPr>
              <w:t xml:space="preserve"> </w:t>
            </w:r>
            <w:r>
              <w:rPr>
                <w:rFonts w:hint="eastAsia" w:ascii="宋体" w:hAnsi="宋体" w:eastAsia="宋体" w:cs="Times New Roman"/>
                <w:szCs w:val="21"/>
              </w:rPr>
              <w:t>课程目标设计：原则及要求</w:t>
            </w:r>
            <w:r>
              <w:rPr>
                <w:rFonts w:ascii="宋体" w:hAnsi="宋体" w:eastAsia="宋体" w:cs="Times New Roman"/>
                <w:szCs w:val="21"/>
              </w:rPr>
              <w:br w:type="textWrapping"/>
            </w:r>
            <w:r>
              <w:rPr>
                <w:rFonts w:hint="eastAsia" w:ascii="宋体" w:hAnsi="宋体" w:eastAsia="宋体" w:cs="Times New Roman"/>
                <w:szCs w:val="21"/>
              </w:rPr>
              <w:t>（3）STEAM</w:t>
            </w:r>
            <w:r>
              <w:rPr>
                <w:rFonts w:ascii="宋体" w:hAnsi="宋体" w:eastAsia="宋体" w:cs="Times New Roman"/>
                <w:szCs w:val="21"/>
              </w:rPr>
              <w:t xml:space="preserve"> </w:t>
            </w:r>
            <w:r>
              <w:rPr>
                <w:rFonts w:hint="eastAsia" w:ascii="宋体" w:hAnsi="宋体" w:eastAsia="宋体" w:cs="Times New Roman"/>
                <w:szCs w:val="21"/>
              </w:rPr>
              <w:t>课程目标设计：案例及示范</w:t>
            </w:r>
          </w:p>
        </w:tc>
        <w:tc>
          <w:tcPr>
            <w:tcW w:w="850" w:type="dxa"/>
          </w:tcPr>
          <w:p w14:paraId="75BFEE21">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目标2</w:t>
            </w:r>
          </w:p>
        </w:tc>
        <w:tc>
          <w:tcPr>
            <w:tcW w:w="1985" w:type="dxa"/>
          </w:tcPr>
          <w:p w14:paraId="5F052CDD">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理解课程目标设计的依据和框架，掌握设计原则及要求，能够分析案例并进行示范</w:t>
            </w:r>
          </w:p>
        </w:tc>
        <w:tc>
          <w:tcPr>
            <w:tcW w:w="1495" w:type="dxa"/>
          </w:tcPr>
          <w:p w14:paraId="7B6D5A2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课堂讲解</w:t>
            </w:r>
          </w:p>
          <w:p w14:paraId="1A5D6F0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小组讨论</w:t>
            </w:r>
          </w:p>
          <w:p w14:paraId="2389DE1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案例分析</w:t>
            </w:r>
          </w:p>
        </w:tc>
        <w:tc>
          <w:tcPr>
            <w:tcW w:w="578" w:type="dxa"/>
          </w:tcPr>
          <w:p w14:paraId="0D268940">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3+2</w:t>
            </w:r>
          </w:p>
        </w:tc>
      </w:tr>
      <w:tr w14:paraId="1476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418F1A9">
            <w:pPr>
              <w:spacing w:line="276" w:lineRule="auto"/>
              <w:jc w:val="center"/>
              <w:rPr>
                <w:rFonts w:hint="eastAsia" w:ascii="宋体" w:hAnsi="宋体" w:eastAsia="宋体" w:cs="Times New Roman"/>
                <w:color w:val="000000"/>
                <w:szCs w:val="21"/>
              </w:rPr>
            </w:pPr>
          </w:p>
        </w:tc>
        <w:tc>
          <w:tcPr>
            <w:tcW w:w="8310" w:type="dxa"/>
            <w:gridSpan w:val="5"/>
            <w:vAlign w:val="center"/>
          </w:tcPr>
          <w:p w14:paraId="299F6304">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增强学生的团队合作意识和沟通能力，培养集体荣誉感和协作精神，促进跨学科整合与教学设计中的社会责任感和解决问题的能力。</w:t>
            </w:r>
          </w:p>
        </w:tc>
      </w:tr>
      <w:tr w14:paraId="78F9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19E55A6E">
            <w:pPr>
              <w:spacing w:line="276" w:lineRule="auto"/>
              <w:jc w:val="center"/>
              <w:rPr>
                <w:rFonts w:hint="eastAsia" w:ascii="宋体" w:hAnsi="宋体" w:eastAsia="宋体" w:cs="Times New Roman"/>
                <w:color w:val="000000"/>
                <w:szCs w:val="21"/>
              </w:rPr>
            </w:pPr>
            <w:r>
              <w:rPr>
                <w:rFonts w:hint="eastAsia" w:ascii="宋体" w:hAnsi="宋体" w:eastAsia="宋体" w:cs="Times New Roman"/>
                <w:b/>
                <w:bCs/>
                <w:szCs w:val="21"/>
              </w:rPr>
              <w:t>第三章</w:t>
            </w:r>
            <w:r>
              <w:rPr>
                <w:rFonts w:ascii="宋体" w:hAnsi="宋体" w:eastAsia="宋体" w:cs="Times New Roman"/>
                <w:b/>
                <w:bCs/>
                <w:szCs w:val="21"/>
              </w:rPr>
              <w:t xml:space="preserve"> STEAM </w:t>
            </w:r>
            <w:r>
              <w:rPr>
                <w:rFonts w:hint="eastAsia" w:ascii="宋体" w:hAnsi="宋体" w:eastAsia="宋体" w:cs="Times New Roman"/>
                <w:b/>
                <w:bCs/>
                <w:szCs w:val="21"/>
              </w:rPr>
              <w:t>课程内容开发</w:t>
            </w:r>
          </w:p>
          <w:p w14:paraId="06C8FFC9">
            <w:pPr>
              <w:spacing w:line="276" w:lineRule="auto"/>
              <w:jc w:val="center"/>
              <w:rPr>
                <w:rFonts w:hint="eastAsia" w:ascii="宋体" w:hAnsi="宋体" w:eastAsia="宋体" w:cs="Times New Roman"/>
                <w:color w:val="000000"/>
                <w:szCs w:val="21"/>
              </w:rPr>
            </w:pPr>
          </w:p>
          <w:p w14:paraId="3714654E">
            <w:pPr>
              <w:spacing w:line="276" w:lineRule="auto"/>
              <w:rPr>
                <w:rFonts w:hint="eastAsia" w:ascii="宋体" w:hAnsi="宋体" w:eastAsia="宋体" w:cs="Times New Roman"/>
                <w:color w:val="000000"/>
                <w:szCs w:val="21"/>
              </w:rPr>
            </w:pPr>
          </w:p>
        </w:tc>
        <w:tc>
          <w:tcPr>
            <w:tcW w:w="3402" w:type="dxa"/>
            <w:vAlign w:val="center"/>
          </w:tcPr>
          <w:p w14:paraId="7B24F85E">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1"/>
              </w:rPr>
              <w:t>（1）STEAM</w:t>
            </w:r>
            <w:r>
              <w:rPr>
                <w:rFonts w:ascii="宋体" w:hAnsi="宋体" w:eastAsia="宋体" w:cs="Times New Roman"/>
                <w:szCs w:val="21"/>
              </w:rPr>
              <w:t xml:space="preserve"> </w:t>
            </w:r>
            <w:r>
              <w:rPr>
                <w:rFonts w:hint="eastAsia" w:ascii="宋体" w:hAnsi="宋体" w:eastAsia="宋体" w:cs="Times New Roman"/>
                <w:szCs w:val="21"/>
              </w:rPr>
              <w:t>课程内容开发原则</w:t>
            </w:r>
            <w:r>
              <w:rPr>
                <w:rFonts w:ascii="宋体" w:hAnsi="宋体" w:eastAsia="宋体" w:cs="Times New Roman"/>
                <w:szCs w:val="21"/>
              </w:rPr>
              <w:br w:type="textWrapping"/>
            </w:r>
            <w:r>
              <w:rPr>
                <w:rFonts w:hint="eastAsia" w:ascii="宋体" w:hAnsi="宋体" w:eastAsia="宋体" w:cs="Times New Roman"/>
                <w:szCs w:val="21"/>
              </w:rPr>
              <w:t>（2）STEAM</w:t>
            </w:r>
            <w:r>
              <w:rPr>
                <w:rFonts w:ascii="宋体" w:hAnsi="宋体" w:eastAsia="宋体" w:cs="Times New Roman"/>
                <w:szCs w:val="21"/>
              </w:rPr>
              <w:t xml:space="preserve"> </w:t>
            </w:r>
            <w:r>
              <w:rPr>
                <w:rFonts w:hint="eastAsia" w:ascii="宋体" w:hAnsi="宋体" w:eastAsia="宋体" w:cs="Times New Roman"/>
                <w:szCs w:val="21"/>
              </w:rPr>
              <w:t>课程内容来源与转化</w:t>
            </w:r>
            <w:r>
              <w:rPr>
                <w:rFonts w:ascii="宋体" w:hAnsi="宋体" w:eastAsia="宋体" w:cs="Times New Roman"/>
                <w:szCs w:val="21"/>
              </w:rPr>
              <w:br w:type="textWrapping"/>
            </w:r>
            <w:r>
              <w:rPr>
                <w:rFonts w:hint="eastAsia" w:ascii="宋体" w:hAnsi="宋体" w:eastAsia="宋体" w:cs="Times New Roman"/>
                <w:szCs w:val="21"/>
              </w:rPr>
              <w:t>（3）STEAM</w:t>
            </w:r>
            <w:r>
              <w:rPr>
                <w:rFonts w:ascii="宋体" w:hAnsi="宋体" w:eastAsia="宋体" w:cs="Times New Roman"/>
                <w:szCs w:val="21"/>
              </w:rPr>
              <w:t xml:space="preserve"> </w:t>
            </w:r>
            <w:r>
              <w:rPr>
                <w:rFonts w:hint="eastAsia" w:ascii="宋体" w:hAnsi="宋体" w:eastAsia="宋体" w:cs="Times New Roman"/>
                <w:szCs w:val="21"/>
              </w:rPr>
              <w:t>课程内容组织与呈现</w:t>
            </w:r>
          </w:p>
        </w:tc>
        <w:tc>
          <w:tcPr>
            <w:tcW w:w="850" w:type="dxa"/>
            <w:vAlign w:val="center"/>
          </w:tcPr>
          <w:p w14:paraId="11D8B162">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目标1、目标3</w:t>
            </w:r>
          </w:p>
        </w:tc>
        <w:tc>
          <w:tcPr>
            <w:tcW w:w="1985" w:type="dxa"/>
            <w:vAlign w:val="center"/>
          </w:tcPr>
          <w:p w14:paraId="33EBC4C8">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理解课程内容开发的基本原则，掌握内容来源与转化的方法，能够有效组织和呈现课程内容</w:t>
            </w:r>
          </w:p>
        </w:tc>
        <w:tc>
          <w:tcPr>
            <w:tcW w:w="1495" w:type="dxa"/>
            <w:vAlign w:val="center"/>
          </w:tcPr>
          <w:p w14:paraId="18BFD82A">
            <w:pPr>
              <w:spacing w:line="276" w:lineRule="auto"/>
              <w:jc w:val="left"/>
              <w:rPr>
                <w:rFonts w:hint="eastAsia" w:ascii="宋体" w:hAnsi="宋体" w:eastAsia="宋体" w:cs="Times New Roman"/>
                <w:color w:val="000000"/>
                <w:szCs w:val="21"/>
              </w:rPr>
            </w:pPr>
            <w:r>
              <w:rPr>
                <w:rFonts w:ascii="宋体" w:hAnsi="宋体" w:eastAsia="宋体" w:cs="Times New Roman"/>
                <w:szCs w:val="22"/>
              </w:rPr>
              <w:t>1.</w:t>
            </w:r>
            <w:r>
              <w:rPr>
                <w:rFonts w:hint="eastAsia" w:ascii="宋体" w:hAnsi="宋体" w:eastAsia="宋体" w:cs="Times New Roman"/>
                <w:szCs w:val="22"/>
              </w:rPr>
              <w:t>多媒体学习</w:t>
            </w:r>
            <w:r>
              <w:rPr>
                <w:rFonts w:ascii="宋体" w:hAnsi="宋体" w:eastAsia="宋体" w:cs="Times New Roman"/>
                <w:szCs w:val="22"/>
              </w:rPr>
              <w:br w:type="textWrapping"/>
            </w:r>
            <w:r>
              <w:rPr>
                <w:rFonts w:ascii="宋体" w:hAnsi="宋体" w:eastAsia="宋体" w:cs="Times New Roman"/>
                <w:color w:val="000000"/>
                <w:szCs w:val="21"/>
              </w:rPr>
              <w:t xml:space="preserve">2. 小组讨论 </w:t>
            </w:r>
          </w:p>
          <w:p w14:paraId="0218CE13">
            <w:pPr>
              <w:spacing w:line="276" w:lineRule="auto"/>
              <w:jc w:val="left"/>
              <w:rPr>
                <w:rFonts w:hint="eastAsia" w:ascii="宋体" w:hAnsi="宋体" w:eastAsia="宋体" w:cs="Times New Roman"/>
                <w:szCs w:val="22"/>
              </w:rPr>
            </w:pPr>
            <w:r>
              <w:rPr>
                <w:rFonts w:ascii="宋体" w:hAnsi="宋体" w:eastAsia="宋体" w:cs="Times New Roman"/>
                <w:color w:val="000000"/>
                <w:szCs w:val="21"/>
              </w:rPr>
              <w:t xml:space="preserve">3. </w:t>
            </w:r>
            <w:r>
              <w:rPr>
                <w:rFonts w:ascii="宋体" w:hAnsi="宋体" w:eastAsia="宋体" w:cs="Times New Roman"/>
                <w:szCs w:val="22"/>
              </w:rPr>
              <w:t>调研展示</w:t>
            </w:r>
          </w:p>
          <w:p w14:paraId="5C36CDF3">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4. 案例分析</w:t>
            </w:r>
          </w:p>
        </w:tc>
        <w:tc>
          <w:tcPr>
            <w:tcW w:w="578" w:type="dxa"/>
            <w:vAlign w:val="center"/>
          </w:tcPr>
          <w:p w14:paraId="588172C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3+3</w:t>
            </w:r>
          </w:p>
        </w:tc>
      </w:tr>
      <w:tr w14:paraId="2C14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3E79708D">
            <w:pPr>
              <w:spacing w:line="276" w:lineRule="auto"/>
              <w:jc w:val="center"/>
              <w:rPr>
                <w:rFonts w:hint="eastAsia" w:ascii="宋体" w:hAnsi="宋体" w:eastAsia="宋体" w:cs="Times New Roman"/>
                <w:color w:val="000000"/>
                <w:szCs w:val="21"/>
              </w:rPr>
            </w:pPr>
          </w:p>
        </w:tc>
        <w:tc>
          <w:tcPr>
            <w:tcW w:w="8310" w:type="dxa"/>
            <w:gridSpan w:val="5"/>
            <w:vAlign w:val="center"/>
          </w:tcPr>
          <w:p w14:paraId="13697B02">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引导学生关注可持续发展和环保理念，培养绿色思维和可持续发展的实践能力，促进绿色教育理念在课程设计中的应用。</w:t>
            </w:r>
          </w:p>
        </w:tc>
      </w:tr>
      <w:tr w14:paraId="40FA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42E89D40">
            <w:pPr>
              <w:spacing w:line="276" w:lineRule="auto"/>
              <w:jc w:val="center"/>
              <w:rPr>
                <w:rFonts w:hint="eastAsia" w:ascii="宋体" w:hAnsi="宋体" w:eastAsia="宋体" w:cs="Times New Roman"/>
                <w:color w:val="000000"/>
                <w:szCs w:val="21"/>
              </w:rPr>
            </w:pPr>
            <w:r>
              <w:rPr>
                <w:rFonts w:hint="eastAsia" w:ascii="宋体" w:hAnsi="宋体" w:eastAsia="宋体" w:cs="Times New Roman"/>
                <w:b/>
                <w:bCs/>
                <w:szCs w:val="21"/>
              </w:rPr>
              <w:t>第四章</w:t>
            </w:r>
            <w:r>
              <w:rPr>
                <w:rFonts w:ascii="宋体" w:hAnsi="宋体" w:eastAsia="宋体" w:cs="Times New Roman"/>
                <w:b/>
                <w:bCs/>
                <w:szCs w:val="21"/>
              </w:rPr>
              <w:t xml:space="preserve"> STEAM </w:t>
            </w:r>
            <w:r>
              <w:rPr>
                <w:rFonts w:hint="eastAsia" w:ascii="宋体" w:hAnsi="宋体" w:eastAsia="宋体" w:cs="Times New Roman"/>
                <w:b/>
                <w:bCs/>
                <w:szCs w:val="21"/>
              </w:rPr>
              <w:t>课程评价</w:t>
            </w:r>
          </w:p>
        </w:tc>
        <w:tc>
          <w:tcPr>
            <w:tcW w:w="3402" w:type="dxa"/>
          </w:tcPr>
          <w:p w14:paraId="3DF58B41">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1"/>
              </w:rPr>
              <w:t>（1）STEAM</w:t>
            </w:r>
            <w:r>
              <w:rPr>
                <w:rFonts w:ascii="宋体" w:hAnsi="宋体" w:eastAsia="宋体" w:cs="Times New Roman"/>
                <w:szCs w:val="21"/>
              </w:rPr>
              <w:t xml:space="preserve"> </w:t>
            </w:r>
            <w:r>
              <w:rPr>
                <w:rFonts w:hint="eastAsia" w:ascii="宋体" w:hAnsi="宋体" w:eastAsia="宋体" w:cs="Times New Roman"/>
                <w:szCs w:val="21"/>
              </w:rPr>
              <w:t>课程评价的特点和原则</w:t>
            </w:r>
            <w:r>
              <w:rPr>
                <w:rFonts w:ascii="宋体" w:hAnsi="宋体" w:eastAsia="宋体" w:cs="Times New Roman"/>
                <w:szCs w:val="21"/>
              </w:rPr>
              <w:br w:type="textWrapping"/>
            </w:r>
            <w:r>
              <w:rPr>
                <w:rFonts w:hint="eastAsia" w:ascii="宋体" w:hAnsi="宋体" w:eastAsia="宋体" w:cs="Times New Roman"/>
                <w:szCs w:val="21"/>
              </w:rPr>
              <w:t>（2）对课程的评价：提升教师课程知能</w:t>
            </w:r>
            <w:r>
              <w:rPr>
                <w:rFonts w:ascii="宋体" w:hAnsi="宋体" w:eastAsia="宋体" w:cs="Times New Roman"/>
                <w:szCs w:val="21"/>
              </w:rPr>
              <w:br w:type="textWrapping"/>
            </w:r>
            <w:r>
              <w:rPr>
                <w:rFonts w:hint="eastAsia" w:ascii="宋体" w:hAnsi="宋体" w:eastAsia="宋体" w:cs="Times New Roman"/>
                <w:szCs w:val="21"/>
              </w:rPr>
              <w:t>（3）对学生的评价：促进学生全面发展</w:t>
            </w:r>
          </w:p>
        </w:tc>
        <w:tc>
          <w:tcPr>
            <w:tcW w:w="850" w:type="dxa"/>
          </w:tcPr>
          <w:p w14:paraId="2A45DF0A">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目标3</w:t>
            </w:r>
          </w:p>
        </w:tc>
        <w:tc>
          <w:tcPr>
            <w:tcW w:w="1985" w:type="dxa"/>
            <w:vAlign w:val="center"/>
          </w:tcPr>
          <w:p w14:paraId="3D52DF9E">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理解课程评价的特点和原则，掌握教师自我评价方法，能够设计有效的学生评价体系</w:t>
            </w:r>
          </w:p>
        </w:tc>
        <w:tc>
          <w:tcPr>
            <w:tcW w:w="1495" w:type="dxa"/>
            <w:vAlign w:val="center"/>
          </w:tcPr>
          <w:p w14:paraId="7D5E9B08">
            <w:pPr>
              <w:spacing w:line="276" w:lineRule="auto"/>
              <w:jc w:val="left"/>
              <w:rPr>
                <w:rFonts w:hint="eastAsia" w:ascii="宋体" w:hAnsi="宋体" w:eastAsia="宋体" w:cs="Times New Roman"/>
                <w:szCs w:val="22"/>
              </w:rPr>
            </w:pPr>
            <w:r>
              <w:rPr>
                <w:rFonts w:ascii="宋体" w:hAnsi="宋体" w:eastAsia="宋体" w:cs="Times New Roman"/>
                <w:szCs w:val="22"/>
              </w:rPr>
              <w:t>1.评价案例分析</w:t>
            </w:r>
          </w:p>
          <w:p w14:paraId="6049267B">
            <w:pPr>
              <w:spacing w:line="276" w:lineRule="auto"/>
              <w:jc w:val="left"/>
              <w:rPr>
                <w:rFonts w:hint="eastAsia" w:ascii="宋体" w:hAnsi="宋体" w:eastAsia="宋体" w:cs="Times New Roman"/>
                <w:szCs w:val="22"/>
              </w:rPr>
            </w:pPr>
            <w:r>
              <w:rPr>
                <w:rFonts w:hint="eastAsia" w:ascii="宋体" w:hAnsi="宋体" w:eastAsia="宋体" w:cs="Times New Roman"/>
                <w:szCs w:val="22"/>
              </w:rPr>
              <w:t>2</w:t>
            </w:r>
            <w:r>
              <w:rPr>
                <w:rFonts w:ascii="宋体" w:hAnsi="宋体" w:eastAsia="宋体" w:cs="Times New Roman"/>
                <w:szCs w:val="22"/>
              </w:rPr>
              <w:t>.评价工具制作</w:t>
            </w:r>
          </w:p>
          <w:p w14:paraId="133E2ADE">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2"/>
              </w:rPr>
              <w:t>3</w:t>
            </w:r>
            <w:r>
              <w:rPr>
                <w:rFonts w:ascii="宋体" w:hAnsi="宋体" w:eastAsia="宋体" w:cs="Times New Roman"/>
                <w:szCs w:val="22"/>
              </w:rPr>
              <w:t>.反馈改进</w:t>
            </w:r>
            <w:r>
              <w:rPr>
                <w:rFonts w:hint="eastAsia" w:ascii="宋体" w:hAnsi="宋体" w:eastAsia="宋体" w:cs="Times New Roman"/>
                <w:szCs w:val="22"/>
              </w:rPr>
              <w:t>机制</w:t>
            </w:r>
          </w:p>
        </w:tc>
        <w:tc>
          <w:tcPr>
            <w:tcW w:w="578" w:type="dxa"/>
            <w:vAlign w:val="center"/>
          </w:tcPr>
          <w:p w14:paraId="16BAFD5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3+3</w:t>
            </w:r>
          </w:p>
        </w:tc>
      </w:tr>
      <w:tr w14:paraId="6457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0149C928">
            <w:pPr>
              <w:spacing w:line="276" w:lineRule="auto"/>
              <w:jc w:val="center"/>
              <w:rPr>
                <w:rFonts w:hint="eastAsia" w:ascii="宋体" w:hAnsi="宋体" w:eastAsia="宋体" w:cs="Times New Roman"/>
                <w:color w:val="000000"/>
                <w:szCs w:val="21"/>
              </w:rPr>
            </w:pPr>
          </w:p>
        </w:tc>
        <w:tc>
          <w:tcPr>
            <w:tcW w:w="8310" w:type="dxa"/>
            <w:gridSpan w:val="5"/>
            <w:vAlign w:val="center"/>
          </w:tcPr>
          <w:p w14:paraId="61A9E15C">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引导学生关注可持续发展和环保理念，培养绿色思维和可持续发展的实践能力，促进绿色教育理念在课程设计中的应用。</w:t>
            </w:r>
          </w:p>
        </w:tc>
      </w:tr>
      <w:tr w14:paraId="7811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0EE91E6D">
            <w:pPr>
              <w:spacing w:line="276" w:lineRule="auto"/>
              <w:jc w:val="center"/>
              <w:rPr>
                <w:rFonts w:hint="eastAsia" w:ascii="宋体" w:hAnsi="宋体" w:eastAsia="宋体" w:cs="Times New Roman"/>
                <w:color w:val="000000"/>
                <w:szCs w:val="21"/>
              </w:rPr>
            </w:pPr>
            <w:r>
              <w:rPr>
                <w:rFonts w:hint="eastAsia" w:ascii="宋体" w:hAnsi="宋体" w:eastAsia="宋体" w:cs="Times New Roman"/>
                <w:b/>
                <w:bCs/>
                <w:szCs w:val="21"/>
              </w:rPr>
              <w:t>第五章</w:t>
            </w:r>
            <w:r>
              <w:rPr>
                <w:rFonts w:ascii="宋体" w:hAnsi="宋体" w:eastAsia="宋体" w:cs="Times New Roman"/>
                <w:b/>
                <w:bCs/>
                <w:szCs w:val="21"/>
              </w:rPr>
              <w:t xml:space="preserve"> STEAM </w:t>
            </w:r>
            <w:r>
              <w:rPr>
                <w:rFonts w:hint="eastAsia" w:ascii="宋体" w:hAnsi="宋体" w:eastAsia="宋体" w:cs="Times New Roman"/>
                <w:b/>
                <w:bCs/>
                <w:szCs w:val="21"/>
              </w:rPr>
              <w:t>课程设计与实施案例</w:t>
            </w:r>
          </w:p>
        </w:tc>
        <w:tc>
          <w:tcPr>
            <w:tcW w:w="3402" w:type="dxa"/>
          </w:tcPr>
          <w:p w14:paraId="7223C2C4">
            <w:pPr>
              <w:spacing w:line="276" w:lineRule="auto"/>
              <w:jc w:val="left"/>
              <w:rPr>
                <w:rFonts w:hint="eastAsia" w:ascii="宋体" w:hAnsi="宋体" w:eastAsia="宋体" w:cs="Times New Roman"/>
                <w:color w:val="000000"/>
                <w:szCs w:val="21"/>
              </w:rPr>
            </w:pPr>
            <w:r>
              <w:rPr>
                <w:rFonts w:hint="eastAsia" w:ascii="宋体" w:hAnsi="宋体" w:eastAsia="宋体" w:cs="Times New Roman"/>
                <w:szCs w:val="21"/>
              </w:rPr>
              <w:t>（1）创意设计与科技结合——设计制作互动艺术装置</w:t>
            </w:r>
            <w:r>
              <w:rPr>
                <w:rFonts w:ascii="宋体" w:hAnsi="宋体" w:eastAsia="宋体" w:cs="Times New Roman"/>
                <w:szCs w:val="21"/>
              </w:rPr>
              <w:br w:type="textWrapping"/>
            </w:r>
            <w:r>
              <w:rPr>
                <w:rFonts w:hint="eastAsia" w:ascii="宋体" w:hAnsi="宋体" w:eastAsia="宋体" w:cs="Times New Roman"/>
                <w:szCs w:val="21"/>
              </w:rPr>
              <w:t>（2）环境艺术与工程技术——设计一种智能环境监测艺术装置</w:t>
            </w:r>
            <w:r>
              <w:rPr>
                <w:rFonts w:ascii="宋体" w:hAnsi="宋体" w:eastAsia="宋体" w:cs="Times New Roman"/>
                <w:szCs w:val="21"/>
              </w:rPr>
              <w:br w:type="textWrapping"/>
            </w:r>
            <w:r>
              <w:rPr>
                <w:rFonts w:hint="eastAsia" w:ascii="宋体" w:hAnsi="宋体" w:eastAsia="宋体" w:cs="Times New Roman"/>
                <w:szCs w:val="21"/>
              </w:rPr>
              <w:t>（3）艺术与生物技术融合——设计与搭建生态艺术系统</w:t>
            </w:r>
          </w:p>
        </w:tc>
        <w:tc>
          <w:tcPr>
            <w:tcW w:w="850" w:type="dxa"/>
          </w:tcPr>
          <w:p w14:paraId="07E54B81">
            <w:pPr>
              <w:spacing w:line="276" w:lineRule="auto"/>
              <w:jc w:val="center"/>
              <w:rPr>
                <w:rFonts w:hint="eastAsia" w:ascii="宋体" w:hAnsi="宋体" w:eastAsia="宋体" w:cs="Times New Roman"/>
                <w:color w:val="000000"/>
                <w:szCs w:val="21"/>
              </w:rPr>
            </w:pPr>
            <w:r>
              <w:rPr>
                <w:rFonts w:hint="eastAsia" w:ascii="宋体" w:hAnsi="宋体" w:eastAsia="宋体" w:cs="Times New Roman"/>
                <w:szCs w:val="21"/>
              </w:rPr>
              <w:t>目标1、目标3</w:t>
            </w:r>
          </w:p>
        </w:tc>
        <w:tc>
          <w:tcPr>
            <w:tcW w:w="1985" w:type="dxa"/>
            <w:vAlign w:val="center"/>
          </w:tcPr>
          <w:p w14:paraId="3B29CE8C">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理解创意设计与科技、环境艺术与工程技术、艺术与生物技术的融合方法，能够进行跨学科的创新设计</w:t>
            </w:r>
          </w:p>
        </w:tc>
        <w:tc>
          <w:tcPr>
            <w:tcW w:w="1495" w:type="dxa"/>
            <w:vAlign w:val="center"/>
          </w:tcPr>
          <w:p w14:paraId="1B991D85">
            <w:pPr>
              <w:spacing w:line="276" w:lineRule="auto"/>
              <w:jc w:val="left"/>
              <w:rPr>
                <w:rFonts w:hint="eastAsia" w:ascii="宋体" w:hAnsi="宋体" w:eastAsia="宋体" w:cs="Times New Roman"/>
                <w:szCs w:val="22"/>
              </w:rPr>
            </w:pPr>
            <w:r>
              <w:rPr>
                <w:rFonts w:ascii="宋体" w:hAnsi="宋体" w:eastAsia="宋体" w:cs="Times New Roman"/>
                <w:szCs w:val="22"/>
              </w:rPr>
              <w:t xml:space="preserve">1. </w:t>
            </w:r>
            <w:r>
              <w:rPr>
                <w:rFonts w:hint="eastAsia" w:ascii="宋体" w:hAnsi="宋体" w:eastAsia="宋体" w:cs="Times New Roman"/>
                <w:szCs w:val="22"/>
              </w:rPr>
              <w:t>小组</w:t>
            </w:r>
            <w:r>
              <w:rPr>
                <w:rFonts w:ascii="宋体" w:hAnsi="宋体" w:eastAsia="宋体" w:cs="Times New Roman"/>
                <w:szCs w:val="22"/>
              </w:rPr>
              <w:t xml:space="preserve">讨论 </w:t>
            </w:r>
          </w:p>
          <w:p w14:paraId="2896B481">
            <w:pPr>
              <w:spacing w:line="276" w:lineRule="auto"/>
              <w:jc w:val="left"/>
              <w:rPr>
                <w:rFonts w:hint="eastAsia" w:ascii="宋体" w:hAnsi="宋体" w:eastAsia="宋体" w:cs="Times New Roman"/>
                <w:szCs w:val="22"/>
              </w:rPr>
            </w:pPr>
            <w:r>
              <w:rPr>
                <w:rFonts w:ascii="宋体" w:hAnsi="宋体" w:eastAsia="宋体" w:cs="Times New Roman"/>
                <w:szCs w:val="22"/>
              </w:rPr>
              <w:t>2.</w:t>
            </w:r>
            <w:r>
              <w:rPr>
                <w:rFonts w:hint="eastAsia" w:ascii="宋体" w:hAnsi="宋体" w:eastAsia="宋体" w:cs="Times New Roman"/>
                <w:szCs w:val="22"/>
              </w:rPr>
              <w:t xml:space="preserve"> </w:t>
            </w:r>
            <w:r>
              <w:rPr>
                <w:rFonts w:ascii="宋体" w:hAnsi="宋体" w:eastAsia="宋体" w:cs="Times New Roman"/>
                <w:szCs w:val="22"/>
              </w:rPr>
              <w:t xml:space="preserve">方案展示 </w:t>
            </w:r>
          </w:p>
          <w:p w14:paraId="75B22E0D">
            <w:pPr>
              <w:spacing w:line="276" w:lineRule="auto"/>
              <w:jc w:val="left"/>
              <w:rPr>
                <w:rFonts w:hint="eastAsia" w:ascii="宋体" w:hAnsi="宋体" w:eastAsia="宋体" w:cs="Times New Roman"/>
                <w:szCs w:val="22"/>
              </w:rPr>
            </w:pPr>
            <w:r>
              <w:rPr>
                <w:rFonts w:ascii="宋体" w:hAnsi="宋体" w:eastAsia="宋体" w:cs="Times New Roman"/>
                <w:szCs w:val="22"/>
              </w:rPr>
              <w:t>3.</w:t>
            </w:r>
            <w:r>
              <w:rPr>
                <w:rFonts w:hint="eastAsia" w:ascii="宋体" w:hAnsi="宋体" w:eastAsia="宋体" w:cs="Times New Roman"/>
                <w:szCs w:val="22"/>
              </w:rPr>
              <w:t>STEAM</w:t>
            </w:r>
            <w:r>
              <w:rPr>
                <w:rFonts w:ascii="宋体" w:hAnsi="宋体" w:eastAsia="宋体" w:cs="Times New Roman"/>
                <w:szCs w:val="22"/>
              </w:rPr>
              <w:t xml:space="preserve">制作 </w:t>
            </w:r>
          </w:p>
          <w:p w14:paraId="6FBA4AD1">
            <w:pPr>
              <w:spacing w:line="276" w:lineRule="auto"/>
              <w:jc w:val="left"/>
              <w:rPr>
                <w:rFonts w:hint="eastAsia" w:ascii="宋体" w:hAnsi="宋体" w:eastAsia="宋体" w:cs="Times New Roman"/>
                <w:color w:val="000000"/>
                <w:szCs w:val="21"/>
              </w:rPr>
            </w:pPr>
            <w:r>
              <w:rPr>
                <w:rFonts w:ascii="宋体" w:hAnsi="宋体" w:eastAsia="宋体" w:cs="Times New Roman"/>
                <w:szCs w:val="22"/>
              </w:rPr>
              <w:t>4. 成果汇报与评价</w:t>
            </w:r>
          </w:p>
        </w:tc>
        <w:tc>
          <w:tcPr>
            <w:tcW w:w="578" w:type="dxa"/>
            <w:vAlign w:val="center"/>
          </w:tcPr>
          <w:p w14:paraId="0E1FC01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5+8</w:t>
            </w:r>
          </w:p>
        </w:tc>
      </w:tr>
      <w:tr w14:paraId="3AD8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6A1395E9">
            <w:pPr>
              <w:spacing w:line="276" w:lineRule="auto"/>
              <w:jc w:val="center"/>
              <w:rPr>
                <w:rFonts w:hint="eastAsia" w:ascii="宋体" w:hAnsi="宋体" w:eastAsia="宋体" w:cs="Times New Roman"/>
                <w:color w:val="000000"/>
                <w:szCs w:val="21"/>
              </w:rPr>
            </w:pPr>
          </w:p>
        </w:tc>
        <w:tc>
          <w:tcPr>
            <w:tcW w:w="8310" w:type="dxa"/>
            <w:gridSpan w:val="5"/>
            <w:vAlign w:val="center"/>
          </w:tcPr>
          <w:p w14:paraId="76CF625A">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培养学生的社会责任感和创新精神，理解科技与社会发展的关系，树立正确的价值观念，认识STEAM课程建设在社会变迁与经济发展中的重要作用。引导学生关注可持续发展和环保理念，培养绿色思维和可持续发展的实践能力，促进绿色教育理念在课程设计中的应用。</w:t>
            </w:r>
          </w:p>
        </w:tc>
      </w:tr>
    </w:tbl>
    <w:p w14:paraId="7729AEE6">
      <w:pPr>
        <w:spacing w:line="360" w:lineRule="auto"/>
        <w:jc w:val="left"/>
        <w:outlineLvl w:val="0"/>
        <w:rPr>
          <w:rFonts w:ascii="Times New Roman" w:hAnsi="Times New Roman" w:eastAsia="宋体" w:cs="Times New Roman"/>
          <w:sz w:val="24"/>
          <w:szCs w:val="24"/>
        </w:rPr>
      </w:pPr>
      <w:bookmarkStart w:id="2784" w:name="_Toc13160"/>
      <w:bookmarkStart w:id="2785" w:name="_Toc28007"/>
      <w:bookmarkStart w:id="2786" w:name="_Toc1737"/>
      <w:bookmarkStart w:id="2787" w:name="_Toc5976"/>
      <w:bookmarkStart w:id="2788" w:name="_Toc12032"/>
      <w:bookmarkStart w:id="2789" w:name="_Toc4654"/>
      <w:bookmarkStart w:id="2790" w:name="_Toc27792"/>
      <w:r>
        <w:rPr>
          <w:rFonts w:hint="eastAsia" w:ascii="宋体" w:hAnsi="宋体" w:eastAsia="宋体" w:cs="Times New Roman"/>
          <w:b/>
          <w:color w:val="000000"/>
          <w:sz w:val="24"/>
          <w:szCs w:val="24"/>
        </w:rPr>
        <w:t>四、目标评价与成绩评定</w:t>
      </w:r>
      <w:bookmarkEnd w:id="2784"/>
      <w:bookmarkEnd w:id="2785"/>
      <w:bookmarkEnd w:id="2786"/>
      <w:bookmarkEnd w:id="2787"/>
      <w:bookmarkEnd w:id="2788"/>
      <w:bookmarkEnd w:id="2789"/>
      <w:bookmarkEnd w:id="2790"/>
    </w:p>
    <w:p w14:paraId="64933B4F">
      <w:pPr>
        <w:spacing w:line="360" w:lineRule="auto"/>
        <w:jc w:val="left"/>
        <w:outlineLvl w:val="1"/>
        <w:rPr>
          <w:rFonts w:ascii="Times New Roman" w:hAnsi="Times New Roman" w:eastAsia="宋体" w:cs="Times New Roman"/>
          <w:b/>
          <w:szCs w:val="21"/>
        </w:rPr>
      </w:pPr>
      <w:bookmarkStart w:id="2791" w:name="_Toc26965"/>
      <w:r>
        <w:rPr>
          <w:rFonts w:hint="eastAsia" w:ascii="Times New Roman" w:hAnsi="Times New Roman" w:eastAsia="宋体" w:cs="Times New Roman"/>
          <w:b/>
          <w:szCs w:val="21"/>
        </w:rPr>
        <w:t>（一）课程目标评价方式</w:t>
      </w:r>
      <w:bookmarkEnd w:id="2791"/>
    </w:p>
    <w:p w14:paraId="36218EE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4166EC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900"/>
        <w:gridCol w:w="998"/>
        <w:gridCol w:w="998"/>
        <w:gridCol w:w="1380"/>
        <w:gridCol w:w="1380"/>
        <w:gridCol w:w="998"/>
        <w:gridCol w:w="626"/>
      </w:tblGrid>
      <w:tr w14:paraId="3B92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64FCA07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654" w:type="dxa"/>
            <w:gridSpan w:val="6"/>
            <w:vAlign w:val="center"/>
          </w:tcPr>
          <w:p w14:paraId="4D181C4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202D118F">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825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3C5D0B1E">
            <w:pPr>
              <w:spacing w:line="360" w:lineRule="auto"/>
              <w:jc w:val="center"/>
              <w:rPr>
                <w:rFonts w:hint="eastAsia" w:ascii="宋体" w:hAnsi="宋体" w:eastAsia="宋体" w:cs="Times New Roman"/>
                <w:szCs w:val="21"/>
              </w:rPr>
            </w:pPr>
          </w:p>
        </w:tc>
        <w:tc>
          <w:tcPr>
            <w:tcW w:w="900" w:type="dxa"/>
            <w:vAlign w:val="center"/>
          </w:tcPr>
          <w:p w14:paraId="20D60712">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4D0130D">
            <w:pPr>
              <w:jc w:val="center"/>
              <w:rPr>
                <w:rFonts w:hint="eastAsia" w:ascii="宋体" w:hAnsi="宋体" w:eastAsia="宋体" w:cs="Times New Roman"/>
                <w:szCs w:val="21"/>
              </w:rPr>
            </w:pPr>
            <w:r>
              <w:rPr>
                <w:rFonts w:hint="eastAsia" w:ascii="宋体" w:hAnsi="宋体" w:eastAsia="宋体" w:cs="Times New Roman"/>
                <w:szCs w:val="21"/>
              </w:rPr>
              <w:t>实验报告</w:t>
            </w:r>
          </w:p>
        </w:tc>
        <w:tc>
          <w:tcPr>
            <w:tcW w:w="0" w:type="auto"/>
            <w:vAlign w:val="center"/>
          </w:tcPr>
          <w:p w14:paraId="5599D822">
            <w:pPr>
              <w:jc w:val="center"/>
              <w:rPr>
                <w:rFonts w:hint="eastAsia" w:ascii="宋体" w:hAnsi="宋体" w:eastAsia="宋体" w:cs="Times New Roman"/>
                <w:szCs w:val="21"/>
              </w:rPr>
            </w:pPr>
            <w:r>
              <w:rPr>
                <w:rFonts w:hint="eastAsia" w:ascii="宋体" w:hAnsi="宋体" w:eastAsia="宋体" w:cs="Times New Roman"/>
                <w:szCs w:val="21"/>
              </w:rPr>
              <w:t>实验作品</w:t>
            </w:r>
          </w:p>
        </w:tc>
        <w:tc>
          <w:tcPr>
            <w:tcW w:w="0" w:type="auto"/>
            <w:vAlign w:val="center"/>
          </w:tcPr>
          <w:p w14:paraId="72D6AB45">
            <w:pPr>
              <w:jc w:val="center"/>
              <w:rPr>
                <w:rFonts w:hint="eastAsia" w:ascii="宋体" w:hAnsi="宋体" w:eastAsia="宋体" w:cs="Times New Roman"/>
                <w:szCs w:val="21"/>
              </w:rPr>
            </w:pPr>
            <w:r>
              <w:rPr>
                <w:rFonts w:hint="eastAsia" w:ascii="宋体" w:hAnsi="宋体" w:eastAsia="宋体" w:cs="Times New Roman"/>
                <w:szCs w:val="21"/>
              </w:rPr>
              <w:t>实验课程设计</w:t>
            </w:r>
          </w:p>
        </w:tc>
        <w:tc>
          <w:tcPr>
            <w:tcW w:w="0" w:type="auto"/>
            <w:vAlign w:val="center"/>
          </w:tcPr>
          <w:p w14:paraId="4EF67C44">
            <w:pPr>
              <w:jc w:val="center"/>
              <w:rPr>
                <w:rFonts w:hint="eastAsia" w:ascii="宋体" w:hAnsi="宋体" w:eastAsia="宋体" w:cs="Times New Roman"/>
                <w:szCs w:val="21"/>
              </w:rPr>
            </w:pPr>
            <w:r>
              <w:rPr>
                <w:rFonts w:hint="eastAsia" w:ascii="宋体" w:hAnsi="宋体" w:eastAsia="宋体" w:cs="Times New Roman"/>
                <w:szCs w:val="21"/>
              </w:rPr>
              <w:t>实验教学演示</w:t>
            </w:r>
          </w:p>
        </w:tc>
        <w:tc>
          <w:tcPr>
            <w:tcW w:w="0" w:type="auto"/>
          </w:tcPr>
          <w:p w14:paraId="40BE6DF1">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5F06EAC0">
            <w:pPr>
              <w:spacing w:line="360" w:lineRule="auto"/>
              <w:jc w:val="center"/>
              <w:rPr>
                <w:rFonts w:hint="eastAsia" w:ascii="宋体" w:hAnsi="宋体" w:eastAsia="宋体" w:cs="Times New Roman"/>
                <w:szCs w:val="21"/>
              </w:rPr>
            </w:pPr>
          </w:p>
        </w:tc>
      </w:tr>
      <w:tr w14:paraId="720C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F9FF37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900" w:type="dxa"/>
            <w:vAlign w:val="center"/>
          </w:tcPr>
          <w:p w14:paraId="62B42C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8BC2B7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DF143F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75B9193">
            <w:pPr>
              <w:spacing w:line="360" w:lineRule="auto"/>
              <w:jc w:val="center"/>
              <w:rPr>
                <w:rFonts w:hint="eastAsia" w:ascii="宋体" w:hAnsi="宋体" w:eastAsia="宋体" w:cs="Times New Roman"/>
                <w:szCs w:val="21"/>
              </w:rPr>
            </w:pPr>
          </w:p>
        </w:tc>
        <w:tc>
          <w:tcPr>
            <w:tcW w:w="0" w:type="auto"/>
            <w:vAlign w:val="center"/>
          </w:tcPr>
          <w:p w14:paraId="01393470">
            <w:pPr>
              <w:spacing w:line="360" w:lineRule="auto"/>
              <w:jc w:val="center"/>
              <w:rPr>
                <w:rFonts w:hint="eastAsia" w:ascii="宋体" w:hAnsi="宋体" w:eastAsia="宋体" w:cs="Times New Roman"/>
                <w:szCs w:val="21"/>
              </w:rPr>
            </w:pPr>
          </w:p>
        </w:tc>
        <w:tc>
          <w:tcPr>
            <w:tcW w:w="0" w:type="auto"/>
            <w:vAlign w:val="center"/>
          </w:tcPr>
          <w:p w14:paraId="6F7CFAF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563E07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FBA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53643E7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900" w:type="dxa"/>
            <w:vAlign w:val="center"/>
          </w:tcPr>
          <w:p w14:paraId="1A688B8A">
            <w:pPr>
              <w:spacing w:line="360" w:lineRule="auto"/>
              <w:jc w:val="center"/>
              <w:rPr>
                <w:rFonts w:hint="eastAsia" w:ascii="宋体" w:hAnsi="宋体" w:eastAsia="宋体" w:cs="Times New Roman"/>
                <w:szCs w:val="21"/>
              </w:rPr>
            </w:pPr>
          </w:p>
        </w:tc>
        <w:tc>
          <w:tcPr>
            <w:tcW w:w="0" w:type="auto"/>
            <w:vAlign w:val="center"/>
          </w:tcPr>
          <w:p w14:paraId="46DDD4F0">
            <w:pPr>
              <w:spacing w:line="360" w:lineRule="auto"/>
              <w:jc w:val="center"/>
              <w:rPr>
                <w:rFonts w:hint="eastAsia" w:ascii="宋体" w:hAnsi="宋体" w:eastAsia="宋体" w:cs="Times New Roman"/>
                <w:szCs w:val="21"/>
              </w:rPr>
            </w:pPr>
          </w:p>
        </w:tc>
        <w:tc>
          <w:tcPr>
            <w:tcW w:w="0" w:type="auto"/>
            <w:vAlign w:val="center"/>
          </w:tcPr>
          <w:p w14:paraId="6572BD0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C7790D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F7545E">
            <w:pPr>
              <w:spacing w:line="360" w:lineRule="auto"/>
              <w:jc w:val="center"/>
              <w:rPr>
                <w:rFonts w:hint="eastAsia" w:ascii="宋体" w:hAnsi="宋体" w:eastAsia="宋体" w:cs="Times New Roman"/>
                <w:szCs w:val="21"/>
              </w:rPr>
            </w:pPr>
          </w:p>
        </w:tc>
        <w:tc>
          <w:tcPr>
            <w:tcW w:w="0" w:type="auto"/>
            <w:vAlign w:val="center"/>
          </w:tcPr>
          <w:p w14:paraId="0CC0B7D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2CE2C9F">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FE7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6F17C6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900" w:type="dxa"/>
            <w:vAlign w:val="center"/>
          </w:tcPr>
          <w:p w14:paraId="56184856">
            <w:pPr>
              <w:spacing w:line="360" w:lineRule="auto"/>
              <w:jc w:val="center"/>
              <w:rPr>
                <w:rFonts w:hint="eastAsia" w:ascii="宋体" w:hAnsi="宋体" w:eastAsia="宋体" w:cs="Times New Roman"/>
                <w:szCs w:val="21"/>
              </w:rPr>
            </w:pPr>
          </w:p>
        </w:tc>
        <w:tc>
          <w:tcPr>
            <w:tcW w:w="0" w:type="auto"/>
            <w:vAlign w:val="center"/>
          </w:tcPr>
          <w:p w14:paraId="37F93311">
            <w:pPr>
              <w:spacing w:line="360" w:lineRule="auto"/>
              <w:jc w:val="center"/>
              <w:rPr>
                <w:rFonts w:hint="eastAsia" w:ascii="宋体" w:hAnsi="宋体" w:eastAsia="宋体" w:cs="Times New Roman"/>
                <w:szCs w:val="21"/>
              </w:rPr>
            </w:pPr>
          </w:p>
        </w:tc>
        <w:tc>
          <w:tcPr>
            <w:tcW w:w="0" w:type="auto"/>
            <w:vAlign w:val="center"/>
          </w:tcPr>
          <w:p w14:paraId="5E65F909">
            <w:pPr>
              <w:spacing w:line="360" w:lineRule="auto"/>
              <w:jc w:val="center"/>
              <w:rPr>
                <w:rFonts w:hint="eastAsia" w:ascii="宋体" w:hAnsi="宋体" w:eastAsia="宋体" w:cs="Times New Roman"/>
                <w:szCs w:val="21"/>
              </w:rPr>
            </w:pPr>
          </w:p>
        </w:tc>
        <w:tc>
          <w:tcPr>
            <w:tcW w:w="0" w:type="auto"/>
            <w:vAlign w:val="center"/>
          </w:tcPr>
          <w:p w14:paraId="7015DCF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8BFD74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7F2C5F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15AEF9E">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6D5A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0866CEC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900" w:type="dxa"/>
            <w:vAlign w:val="center"/>
          </w:tcPr>
          <w:p w14:paraId="2672626B">
            <w:pPr>
              <w:spacing w:line="360" w:lineRule="auto"/>
              <w:jc w:val="center"/>
              <w:rPr>
                <w:rFonts w:hint="eastAsia" w:ascii="宋体" w:hAnsi="宋体" w:eastAsia="宋体" w:cs="Times New Roman"/>
                <w:szCs w:val="21"/>
              </w:rPr>
            </w:pPr>
          </w:p>
        </w:tc>
        <w:tc>
          <w:tcPr>
            <w:tcW w:w="0" w:type="auto"/>
            <w:vAlign w:val="center"/>
          </w:tcPr>
          <w:p w14:paraId="18CF8F23">
            <w:pPr>
              <w:spacing w:line="360" w:lineRule="auto"/>
              <w:jc w:val="center"/>
              <w:rPr>
                <w:rFonts w:hint="eastAsia" w:ascii="宋体" w:hAnsi="宋体" w:eastAsia="宋体" w:cs="Times New Roman"/>
                <w:szCs w:val="21"/>
              </w:rPr>
            </w:pPr>
          </w:p>
        </w:tc>
        <w:tc>
          <w:tcPr>
            <w:tcW w:w="0" w:type="auto"/>
            <w:vAlign w:val="center"/>
          </w:tcPr>
          <w:p w14:paraId="3862B418">
            <w:pPr>
              <w:spacing w:line="360" w:lineRule="auto"/>
              <w:jc w:val="center"/>
              <w:rPr>
                <w:rFonts w:hint="eastAsia" w:ascii="宋体" w:hAnsi="宋体" w:eastAsia="宋体" w:cs="Times New Roman"/>
                <w:szCs w:val="21"/>
              </w:rPr>
            </w:pPr>
          </w:p>
        </w:tc>
        <w:tc>
          <w:tcPr>
            <w:tcW w:w="0" w:type="auto"/>
            <w:vAlign w:val="center"/>
          </w:tcPr>
          <w:p w14:paraId="43E5AE66">
            <w:pPr>
              <w:spacing w:line="360" w:lineRule="auto"/>
              <w:jc w:val="center"/>
              <w:rPr>
                <w:rFonts w:hint="eastAsia" w:ascii="宋体" w:hAnsi="宋体" w:eastAsia="宋体" w:cs="Times New Roman"/>
                <w:szCs w:val="21"/>
              </w:rPr>
            </w:pPr>
          </w:p>
        </w:tc>
        <w:tc>
          <w:tcPr>
            <w:tcW w:w="0" w:type="auto"/>
            <w:vAlign w:val="center"/>
          </w:tcPr>
          <w:p w14:paraId="16FA6701">
            <w:pPr>
              <w:spacing w:line="360" w:lineRule="auto"/>
              <w:jc w:val="center"/>
              <w:rPr>
                <w:rFonts w:hint="eastAsia" w:ascii="宋体" w:hAnsi="宋体" w:eastAsia="宋体" w:cs="Times New Roman"/>
                <w:szCs w:val="21"/>
              </w:rPr>
            </w:pPr>
          </w:p>
        </w:tc>
        <w:tc>
          <w:tcPr>
            <w:tcW w:w="0" w:type="auto"/>
          </w:tcPr>
          <w:p w14:paraId="3E1EFA15">
            <w:pPr>
              <w:spacing w:line="360" w:lineRule="auto"/>
              <w:jc w:val="center"/>
              <w:rPr>
                <w:rFonts w:hint="eastAsia" w:ascii="宋体" w:hAnsi="宋体" w:eastAsia="宋体" w:cs="Times New Roman"/>
                <w:szCs w:val="21"/>
              </w:rPr>
            </w:pPr>
          </w:p>
        </w:tc>
        <w:tc>
          <w:tcPr>
            <w:tcW w:w="0" w:type="auto"/>
            <w:vAlign w:val="center"/>
          </w:tcPr>
          <w:p w14:paraId="6019E68B">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0118BD2">
      <w:pPr>
        <w:spacing w:before="156" w:beforeLines="50" w:line="360" w:lineRule="auto"/>
        <w:jc w:val="left"/>
        <w:outlineLvl w:val="1"/>
        <w:rPr>
          <w:rFonts w:ascii="Times New Roman" w:hAnsi="Times New Roman" w:eastAsia="宋体" w:cs="Times New Roman"/>
          <w:b/>
          <w:szCs w:val="21"/>
        </w:rPr>
      </w:pPr>
      <w:bookmarkStart w:id="2792" w:name="_Toc19584"/>
      <w:r>
        <w:rPr>
          <w:rFonts w:hint="eastAsia" w:ascii="Times New Roman" w:hAnsi="Times New Roman" w:eastAsia="宋体" w:cs="Times New Roman"/>
          <w:b/>
          <w:szCs w:val="21"/>
        </w:rPr>
        <w:t>（二）成绩评定细则</w:t>
      </w:r>
      <w:bookmarkEnd w:id="2792"/>
    </w:p>
    <w:p w14:paraId="0CFD13A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6CB8CC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1AE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9FCEA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8AD25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17BE53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3A9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95882BB">
            <w:pPr>
              <w:rPr>
                <w:rFonts w:hint="eastAsia" w:ascii="宋体" w:hAnsi="宋体" w:eastAsia="宋体" w:cs="Times New Roman"/>
                <w:szCs w:val="21"/>
              </w:rPr>
            </w:pPr>
            <w:r>
              <w:rPr>
                <w:rFonts w:hint="eastAsia" w:ascii="宋体" w:hAnsi="宋体" w:eastAsia="宋体" w:cs="Times New Roman"/>
                <w:szCs w:val="22"/>
              </w:rPr>
              <w:t>课堂表现</w:t>
            </w:r>
          </w:p>
        </w:tc>
        <w:tc>
          <w:tcPr>
            <w:tcW w:w="7141" w:type="dxa"/>
          </w:tcPr>
          <w:p w14:paraId="636DE983">
            <w:pPr>
              <w:spacing w:line="264" w:lineRule="auto"/>
              <w:jc w:val="left"/>
              <w:rPr>
                <w:rFonts w:hint="eastAsia" w:ascii="宋体" w:hAnsi="宋体" w:eastAsia="宋体" w:cs="Times New Roman"/>
                <w:szCs w:val="21"/>
              </w:rPr>
            </w:pPr>
            <w:r>
              <w:rPr>
                <w:rFonts w:hint="eastAsia" w:ascii="宋体" w:hAnsi="宋体" w:eastAsia="宋体" w:cs="Times New Roman"/>
                <w:szCs w:val="22"/>
              </w:rPr>
              <w:t>包括课题考勤和课堂参与情况：迟到一次扣2分，无故缺席一次扣5分，累计达3次以上取消课程成绩；课堂参与情况通过实验操作、课堂讨论与交流表现进行综合评定。</w:t>
            </w:r>
          </w:p>
        </w:tc>
        <w:tc>
          <w:tcPr>
            <w:tcW w:w="0" w:type="auto"/>
          </w:tcPr>
          <w:p w14:paraId="468FADB4">
            <w:pPr>
              <w:jc w:val="center"/>
              <w:rPr>
                <w:rFonts w:hint="eastAsia" w:ascii="宋体" w:hAnsi="宋体" w:eastAsia="宋体" w:cs="Times New Roman"/>
                <w:szCs w:val="21"/>
              </w:rPr>
            </w:pPr>
            <w:r>
              <w:rPr>
                <w:rFonts w:hint="eastAsia" w:ascii="宋体" w:hAnsi="宋体" w:eastAsia="宋体" w:cs="Times New Roman"/>
                <w:szCs w:val="22"/>
              </w:rPr>
              <w:t>10%</w:t>
            </w:r>
          </w:p>
        </w:tc>
      </w:tr>
      <w:tr w14:paraId="7209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4423051">
            <w:pPr>
              <w:rPr>
                <w:rFonts w:hint="eastAsia" w:ascii="宋体" w:hAnsi="宋体" w:eastAsia="宋体" w:cs="Times New Roman"/>
                <w:szCs w:val="21"/>
              </w:rPr>
            </w:pPr>
            <w:r>
              <w:rPr>
                <w:rFonts w:hint="eastAsia" w:ascii="宋体" w:hAnsi="宋体" w:eastAsia="宋体" w:cs="Times New Roman"/>
                <w:szCs w:val="22"/>
              </w:rPr>
              <w:t>实验报告</w:t>
            </w:r>
          </w:p>
        </w:tc>
        <w:tc>
          <w:tcPr>
            <w:tcW w:w="7141" w:type="dxa"/>
          </w:tcPr>
          <w:p w14:paraId="5D776B07">
            <w:pPr>
              <w:widowControl/>
              <w:spacing w:line="264" w:lineRule="auto"/>
              <w:jc w:val="left"/>
              <w:rPr>
                <w:rFonts w:hint="eastAsia" w:ascii="宋体" w:hAnsi="宋体" w:eastAsia="宋体" w:cs="Times New Roman"/>
                <w:szCs w:val="21"/>
              </w:rPr>
            </w:pPr>
            <w:r>
              <w:rPr>
                <w:rFonts w:ascii="宋体" w:hAnsi="宋体" w:eastAsia="宋体" w:cs="Times New Roman"/>
                <w:szCs w:val="22"/>
              </w:rPr>
              <w:t>学生在项目过程中完成的实验报告，考核实验数据记录的完整性、分析的逻辑性及总结的科学性，报告需符合STEAM课程的目标和要求。</w:t>
            </w:r>
          </w:p>
        </w:tc>
        <w:tc>
          <w:tcPr>
            <w:tcW w:w="0" w:type="auto"/>
          </w:tcPr>
          <w:p w14:paraId="4BEBEEDE">
            <w:pPr>
              <w:jc w:val="center"/>
              <w:rPr>
                <w:rFonts w:hint="eastAsia" w:ascii="宋体" w:hAnsi="宋体" w:eastAsia="宋体" w:cs="Times New Roman"/>
                <w:szCs w:val="21"/>
              </w:rPr>
            </w:pPr>
            <w:r>
              <w:rPr>
                <w:rFonts w:hint="eastAsia" w:ascii="宋体" w:hAnsi="宋体" w:eastAsia="宋体" w:cs="Times New Roman"/>
                <w:szCs w:val="22"/>
              </w:rPr>
              <w:t>15%</w:t>
            </w:r>
          </w:p>
        </w:tc>
      </w:tr>
      <w:tr w14:paraId="5B61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0460C31">
            <w:pPr>
              <w:rPr>
                <w:rFonts w:hint="eastAsia" w:ascii="宋体" w:hAnsi="宋体" w:eastAsia="宋体" w:cs="Times New Roman"/>
                <w:szCs w:val="21"/>
              </w:rPr>
            </w:pPr>
            <w:r>
              <w:rPr>
                <w:rFonts w:hint="eastAsia" w:ascii="宋体" w:hAnsi="宋体" w:eastAsia="宋体" w:cs="Times New Roman"/>
                <w:szCs w:val="22"/>
              </w:rPr>
              <w:t>实验作品</w:t>
            </w:r>
          </w:p>
        </w:tc>
        <w:tc>
          <w:tcPr>
            <w:tcW w:w="7141" w:type="dxa"/>
          </w:tcPr>
          <w:p w14:paraId="4571DD66">
            <w:pPr>
              <w:widowControl/>
              <w:spacing w:line="264" w:lineRule="auto"/>
              <w:jc w:val="left"/>
              <w:rPr>
                <w:rFonts w:hint="eastAsia" w:ascii="宋体" w:hAnsi="宋体" w:eastAsia="宋体" w:cs="宋体"/>
                <w:color w:val="000000"/>
                <w:kern w:val="0"/>
                <w:szCs w:val="21"/>
                <w:lang w:bidi="ar"/>
              </w:rPr>
            </w:pPr>
            <w:r>
              <w:rPr>
                <w:rFonts w:ascii="宋体" w:hAnsi="宋体" w:eastAsia="宋体" w:cs="Times New Roman"/>
                <w:szCs w:val="22"/>
              </w:rPr>
              <w:t>针对STEAM课程设计并完成的作品，考查学生作品的科学性、创新性及教学适用性，包括实验模型制作或实验展示等成果，评分注重作品对教学的实际指导意义。</w:t>
            </w:r>
          </w:p>
        </w:tc>
        <w:tc>
          <w:tcPr>
            <w:tcW w:w="0" w:type="auto"/>
          </w:tcPr>
          <w:p w14:paraId="082C0234">
            <w:pPr>
              <w:jc w:val="center"/>
              <w:rPr>
                <w:rFonts w:hint="eastAsia" w:ascii="宋体" w:hAnsi="宋体" w:eastAsia="宋体" w:cs="Times New Roman"/>
                <w:szCs w:val="21"/>
              </w:rPr>
            </w:pPr>
            <w:r>
              <w:rPr>
                <w:rFonts w:hint="eastAsia" w:ascii="宋体" w:hAnsi="宋体" w:eastAsia="宋体" w:cs="Times New Roman"/>
                <w:szCs w:val="22"/>
              </w:rPr>
              <w:t>15%</w:t>
            </w:r>
          </w:p>
        </w:tc>
      </w:tr>
      <w:tr w14:paraId="62AD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D30ACCB">
            <w:pPr>
              <w:rPr>
                <w:rFonts w:hint="eastAsia" w:ascii="宋体" w:hAnsi="宋体" w:eastAsia="宋体" w:cs="Times New Roman"/>
                <w:szCs w:val="21"/>
              </w:rPr>
            </w:pPr>
            <w:r>
              <w:rPr>
                <w:rFonts w:hint="eastAsia" w:ascii="宋体" w:hAnsi="宋体" w:eastAsia="宋体" w:cs="Times New Roman"/>
                <w:szCs w:val="22"/>
              </w:rPr>
              <w:t>实验教学设计</w:t>
            </w:r>
          </w:p>
        </w:tc>
        <w:tc>
          <w:tcPr>
            <w:tcW w:w="7141" w:type="dxa"/>
          </w:tcPr>
          <w:p w14:paraId="4D4B1229">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Times New Roman"/>
                <w:szCs w:val="22"/>
              </w:rPr>
              <w:t>根据实验内容完成小学科学实验的教学设计，评分依据为设计的科学性、合理性、创新性及其在小学课堂中的实际应用价值，考察学生科学知识与教学方法的整合能力。</w:t>
            </w:r>
          </w:p>
        </w:tc>
        <w:tc>
          <w:tcPr>
            <w:tcW w:w="0" w:type="auto"/>
          </w:tcPr>
          <w:p w14:paraId="200333A7">
            <w:pPr>
              <w:jc w:val="center"/>
              <w:rPr>
                <w:rFonts w:hint="eastAsia" w:ascii="宋体" w:hAnsi="宋体" w:eastAsia="宋体" w:cs="Times New Roman"/>
                <w:szCs w:val="21"/>
              </w:rPr>
            </w:pPr>
            <w:r>
              <w:rPr>
                <w:rFonts w:hint="eastAsia" w:ascii="宋体" w:hAnsi="宋体" w:eastAsia="宋体" w:cs="Times New Roman"/>
                <w:szCs w:val="22"/>
              </w:rPr>
              <w:t>20%</w:t>
            </w:r>
          </w:p>
        </w:tc>
      </w:tr>
      <w:tr w14:paraId="5CDF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7FE7CD3">
            <w:pPr>
              <w:rPr>
                <w:rFonts w:hint="eastAsia" w:ascii="宋体" w:hAnsi="宋体" w:eastAsia="宋体" w:cs="Times New Roman"/>
                <w:szCs w:val="21"/>
              </w:rPr>
            </w:pPr>
            <w:r>
              <w:rPr>
                <w:rFonts w:hint="eastAsia" w:ascii="宋体" w:hAnsi="宋体" w:eastAsia="宋体" w:cs="Times New Roman"/>
                <w:szCs w:val="22"/>
              </w:rPr>
              <w:t>实验教学演示</w:t>
            </w:r>
          </w:p>
        </w:tc>
        <w:tc>
          <w:tcPr>
            <w:tcW w:w="7141" w:type="dxa"/>
          </w:tcPr>
          <w:p w14:paraId="438C17D6">
            <w:pPr>
              <w:spacing w:line="264" w:lineRule="auto"/>
              <w:jc w:val="left"/>
              <w:rPr>
                <w:rFonts w:hint="eastAsia" w:ascii="宋体" w:hAnsi="宋体" w:eastAsia="宋体" w:cs="Times New Roman"/>
                <w:szCs w:val="21"/>
              </w:rPr>
            </w:pPr>
            <w:r>
              <w:rPr>
                <w:rFonts w:ascii="宋体" w:hAnsi="宋体" w:eastAsia="宋体" w:cs="Times New Roman"/>
                <w:szCs w:val="22"/>
              </w:rPr>
              <w:t>通过模拟课堂或实验指导环节进行演示，考察学生的课堂教学组织能力、实验指导能力及与学生互动的表现，注重教学语言、表达逻辑和实验操作演示的流畅性。</w:t>
            </w:r>
          </w:p>
        </w:tc>
        <w:tc>
          <w:tcPr>
            <w:tcW w:w="0" w:type="auto"/>
          </w:tcPr>
          <w:p w14:paraId="4A14AC16">
            <w:pPr>
              <w:jc w:val="center"/>
              <w:rPr>
                <w:rFonts w:hint="eastAsia" w:ascii="宋体" w:hAnsi="宋体" w:eastAsia="宋体" w:cs="Times New Roman"/>
                <w:szCs w:val="21"/>
              </w:rPr>
            </w:pPr>
            <w:r>
              <w:rPr>
                <w:rFonts w:hint="eastAsia" w:ascii="宋体" w:hAnsi="宋体" w:eastAsia="宋体" w:cs="Times New Roman"/>
                <w:szCs w:val="22"/>
              </w:rPr>
              <w:t>20%</w:t>
            </w:r>
          </w:p>
        </w:tc>
      </w:tr>
      <w:tr w14:paraId="2508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73C7DF6">
            <w:pPr>
              <w:rPr>
                <w:rFonts w:hint="eastAsia" w:ascii="宋体" w:hAnsi="宋体" w:eastAsia="宋体" w:cs="Times New Roman"/>
                <w:szCs w:val="21"/>
              </w:rPr>
            </w:pPr>
            <w:r>
              <w:rPr>
                <w:rFonts w:hint="eastAsia" w:ascii="宋体" w:hAnsi="宋体" w:eastAsia="宋体" w:cs="Times New Roman"/>
                <w:szCs w:val="22"/>
              </w:rPr>
              <w:t>期末考试</w:t>
            </w:r>
          </w:p>
        </w:tc>
        <w:tc>
          <w:tcPr>
            <w:tcW w:w="7141" w:type="dxa"/>
          </w:tcPr>
          <w:p w14:paraId="408D5396">
            <w:pPr>
              <w:spacing w:line="264" w:lineRule="auto"/>
              <w:jc w:val="left"/>
              <w:rPr>
                <w:rFonts w:hint="eastAsia" w:ascii="宋体" w:hAnsi="宋体" w:eastAsia="宋体" w:cs="Times New Roman"/>
                <w:szCs w:val="21"/>
              </w:rPr>
            </w:pPr>
            <w:r>
              <w:rPr>
                <w:rFonts w:ascii="宋体" w:hAnsi="宋体" w:eastAsia="宋体" w:cs="Times New Roman"/>
                <w:szCs w:val="22"/>
              </w:rPr>
              <w:t>试卷题型包括STEAM课程设计、简答题和案例分析题，以卷面成绩的50%计入课程总成绩。具体分值分配如下：课程设计占60%，重点考核学生设计跨学科综合性课程的能力；</w:t>
            </w:r>
            <w:r>
              <w:rPr>
                <w:rFonts w:hint="eastAsia" w:ascii="宋体" w:hAnsi="宋体" w:eastAsia="宋体" w:cs="Times New Roman"/>
                <w:szCs w:val="22"/>
              </w:rPr>
              <w:t>简</w:t>
            </w:r>
            <w:r>
              <w:rPr>
                <w:rFonts w:ascii="宋体" w:hAnsi="宋体" w:eastAsia="宋体" w:cs="Times New Roman"/>
                <w:szCs w:val="22"/>
              </w:rPr>
              <w:t>答题占20%，重点考核学生对</w:t>
            </w:r>
            <w:r>
              <w:rPr>
                <w:rFonts w:hint="eastAsia" w:ascii="宋体" w:hAnsi="宋体" w:eastAsia="宋体" w:cs="Times New Roman"/>
                <w:szCs w:val="22"/>
              </w:rPr>
              <w:t>STEAM课程建设相关</w:t>
            </w:r>
            <w:r>
              <w:rPr>
                <w:rFonts w:ascii="宋体" w:hAnsi="宋体" w:eastAsia="宋体" w:cs="Times New Roman"/>
                <w:szCs w:val="22"/>
              </w:rPr>
              <w:t>知识、方法及其应用的理解；案例分析题占20%，评估学生的</w:t>
            </w:r>
            <w:r>
              <w:rPr>
                <w:rFonts w:hint="eastAsia" w:ascii="宋体" w:hAnsi="宋体" w:eastAsia="宋体" w:cs="Times New Roman"/>
                <w:szCs w:val="22"/>
              </w:rPr>
              <w:t>评价、</w:t>
            </w:r>
            <w:r>
              <w:rPr>
                <w:rFonts w:ascii="宋体" w:hAnsi="宋体" w:eastAsia="宋体" w:cs="Times New Roman"/>
                <w:szCs w:val="22"/>
              </w:rPr>
              <w:t>反思能力和设计优化能力。</w:t>
            </w:r>
          </w:p>
        </w:tc>
        <w:tc>
          <w:tcPr>
            <w:tcW w:w="0" w:type="auto"/>
          </w:tcPr>
          <w:p w14:paraId="7BB2485F">
            <w:pPr>
              <w:jc w:val="center"/>
              <w:rPr>
                <w:rFonts w:hint="eastAsia" w:ascii="宋体" w:hAnsi="宋体" w:eastAsia="宋体" w:cs="Times New Roman"/>
                <w:szCs w:val="21"/>
              </w:rPr>
            </w:pPr>
            <w:r>
              <w:rPr>
                <w:rFonts w:hint="eastAsia" w:ascii="宋体" w:hAnsi="宋体" w:eastAsia="宋体" w:cs="Times New Roman"/>
                <w:szCs w:val="22"/>
              </w:rPr>
              <w:t>30%</w:t>
            </w:r>
          </w:p>
        </w:tc>
      </w:tr>
      <w:tr w14:paraId="3E1D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43B234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BFFF6CD">
            <w:pPr>
              <w:jc w:val="left"/>
              <w:rPr>
                <w:rFonts w:ascii="Times New Roman" w:hAnsi="Times New Roman" w:eastAsia="宋体" w:cs="Times New Roman"/>
                <w:szCs w:val="21"/>
              </w:rPr>
            </w:pPr>
          </w:p>
        </w:tc>
        <w:tc>
          <w:tcPr>
            <w:tcW w:w="0" w:type="auto"/>
            <w:vAlign w:val="center"/>
          </w:tcPr>
          <w:p w14:paraId="67465DE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F5AE126">
      <w:pPr>
        <w:spacing w:line="360" w:lineRule="auto"/>
        <w:jc w:val="left"/>
        <w:rPr>
          <w:rFonts w:ascii="宋体" w:hAnsi="宋体" w:eastAsia="宋体" w:cs="Times New Roman"/>
          <w:b/>
          <w:color w:val="000000"/>
          <w:szCs w:val="21"/>
        </w:rPr>
      </w:pPr>
    </w:p>
    <w:p w14:paraId="097F581B">
      <w:pPr>
        <w:spacing w:line="360" w:lineRule="auto"/>
        <w:jc w:val="left"/>
        <w:outlineLvl w:val="1"/>
        <w:rPr>
          <w:rFonts w:hint="eastAsia" w:ascii="宋体" w:hAnsi="宋体" w:eastAsia="宋体" w:cs="Times New Roman"/>
          <w:b/>
          <w:color w:val="000000"/>
          <w:szCs w:val="21"/>
        </w:rPr>
      </w:pPr>
      <w:bookmarkStart w:id="2793" w:name="_Toc25480"/>
      <w:r>
        <w:rPr>
          <w:rFonts w:hint="eastAsia" w:ascii="宋体" w:hAnsi="宋体" w:eastAsia="宋体" w:cs="Times New Roman"/>
          <w:b/>
          <w:color w:val="000000"/>
          <w:szCs w:val="21"/>
        </w:rPr>
        <w:t>（三）课程目标达成度计算方法</w:t>
      </w:r>
      <w:bookmarkEnd w:id="2793"/>
    </w:p>
    <w:p w14:paraId="69AC1C5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835D9B1">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5" o:spt="75" type="#_x0000_t75" style="height:25.4pt;width:404.75pt;" o:ole="t" filled="f" o:preferrelative="t" stroked="f" coordsize="21600,21600">
            <v:path/>
            <v:fill on="f" focussize="0,0"/>
            <v:stroke on="f"/>
            <v:imagedata r:id="rId5" o:title=""/>
            <o:lock v:ext="edit" aspectratio="t"/>
            <w10:wrap type="none"/>
            <w10:anchorlock/>
          </v:shape>
          <o:OLEObject Type="Embed" ProgID="Equation.3" ShapeID="_x0000_i1075" DrawAspect="Content" ObjectID="_1468075775" r:id="rId58">
            <o:LockedField>false</o:LockedField>
          </o:OLEObject>
        </w:object>
      </w:r>
    </w:p>
    <w:p w14:paraId="5C0F9DEC">
      <w:pPr>
        <w:spacing w:before="156" w:beforeLines="50" w:line="360" w:lineRule="auto"/>
        <w:jc w:val="left"/>
        <w:rPr>
          <w:rFonts w:ascii="宋体" w:hAnsi="宋体" w:eastAsia="宋体" w:cs="Times New Roman"/>
          <w:b/>
          <w:color w:val="000000"/>
          <w:sz w:val="24"/>
          <w:szCs w:val="24"/>
        </w:rPr>
      </w:pPr>
    </w:p>
    <w:p w14:paraId="00E05A7B">
      <w:pPr>
        <w:spacing w:before="156" w:beforeLines="50" w:line="360" w:lineRule="auto"/>
        <w:jc w:val="left"/>
        <w:outlineLvl w:val="0"/>
        <w:rPr>
          <w:rFonts w:ascii="Times New Roman" w:hAnsi="Times New Roman" w:eastAsia="宋体" w:cs="Times New Roman"/>
          <w:b/>
          <w:sz w:val="24"/>
          <w:szCs w:val="24"/>
        </w:rPr>
      </w:pPr>
      <w:bookmarkStart w:id="2794" w:name="_Toc2181"/>
      <w:bookmarkStart w:id="2795" w:name="_Toc14596"/>
      <w:bookmarkStart w:id="2796" w:name="_Toc9049"/>
      <w:bookmarkStart w:id="2797" w:name="_Toc29563"/>
      <w:bookmarkStart w:id="2798" w:name="_Toc30370"/>
      <w:bookmarkStart w:id="2799" w:name="_Toc19895"/>
      <w:bookmarkStart w:id="2800" w:name="_Toc8319"/>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bookmarkEnd w:id="2794"/>
      <w:bookmarkEnd w:id="2795"/>
      <w:bookmarkEnd w:id="2796"/>
      <w:bookmarkEnd w:id="2797"/>
      <w:bookmarkEnd w:id="2798"/>
      <w:bookmarkEnd w:id="2799"/>
      <w:bookmarkEnd w:id="2800"/>
    </w:p>
    <w:p w14:paraId="74BC7FD3">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17A974F2">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91"/>
        <w:gridCol w:w="3544"/>
        <w:gridCol w:w="567"/>
        <w:gridCol w:w="1134"/>
        <w:gridCol w:w="567"/>
        <w:gridCol w:w="646"/>
      </w:tblGrid>
      <w:tr w14:paraId="6551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trPr>
        <w:tc>
          <w:tcPr>
            <w:tcW w:w="647" w:type="dxa"/>
            <w:tcBorders>
              <w:bottom w:val="single" w:color="auto" w:sz="0" w:space="0"/>
              <w:insideH w:val="single" w:sz="0" w:space="0"/>
            </w:tcBorders>
            <w:vAlign w:val="bottom"/>
          </w:tcPr>
          <w:p w14:paraId="231791BF">
            <w:pPr>
              <w:widowControl w:val="0"/>
              <w:spacing w:before="0" w:after="0" w:line="24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序号</w:t>
            </w:r>
          </w:p>
        </w:tc>
        <w:tc>
          <w:tcPr>
            <w:tcW w:w="1191" w:type="dxa"/>
            <w:tcBorders>
              <w:bottom w:val="single" w:color="auto" w:sz="0" w:space="0"/>
              <w:insideH w:val="single" w:sz="0" w:space="0"/>
            </w:tcBorders>
            <w:vAlign w:val="bottom"/>
          </w:tcPr>
          <w:p w14:paraId="2136C90A">
            <w:pPr>
              <w:widowControl w:val="0"/>
              <w:spacing w:before="0" w:after="0" w:line="24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实验项目名称</w:t>
            </w:r>
          </w:p>
        </w:tc>
        <w:tc>
          <w:tcPr>
            <w:tcW w:w="3544" w:type="dxa"/>
            <w:tcBorders>
              <w:bottom w:val="single" w:color="auto" w:sz="0" w:space="0"/>
              <w:insideH w:val="single" w:sz="0" w:space="0"/>
            </w:tcBorders>
            <w:vAlign w:val="bottom"/>
          </w:tcPr>
          <w:p w14:paraId="2C277286">
            <w:pPr>
              <w:widowControl w:val="0"/>
              <w:spacing w:before="0" w:after="0" w:line="24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实验内容及要求</w:t>
            </w:r>
          </w:p>
        </w:tc>
        <w:tc>
          <w:tcPr>
            <w:tcW w:w="567" w:type="dxa"/>
            <w:tcBorders>
              <w:bottom w:val="single" w:color="auto" w:sz="0" w:space="0"/>
              <w:insideH w:val="single" w:sz="0" w:space="0"/>
            </w:tcBorders>
            <w:vAlign w:val="bottom"/>
          </w:tcPr>
          <w:p w14:paraId="6E9D9966">
            <w:pPr>
              <w:widowControl w:val="0"/>
              <w:spacing w:before="0" w:after="0" w:line="24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学时</w:t>
            </w:r>
          </w:p>
        </w:tc>
        <w:tc>
          <w:tcPr>
            <w:tcW w:w="1134" w:type="dxa"/>
            <w:tcBorders>
              <w:bottom w:val="single" w:color="auto" w:sz="0" w:space="0"/>
              <w:insideH w:val="single" w:sz="0" w:space="0"/>
            </w:tcBorders>
            <w:vAlign w:val="center"/>
          </w:tcPr>
          <w:p w14:paraId="7B3BBA9B">
            <w:pPr>
              <w:widowControl w:val="0"/>
              <w:spacing w:before="0" w:after="0" w:line="24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对毕业要求的支撑</w:t>
            </w:r>
          </w:p>
        </w:tc>
        <w:tc>
          <w:tcPr>
            <w:tcW w:w="567" w:type="dxa"/>
            <w:tcBorders>
              <w:bottom w:val="single" w:color="auto" w:sz="0" w:space="0"/>
              <w:insideH w:val="single" w:sz="0" w:space="0"/>
            </w:tcBorders>
            <w:vAlign w:val="bottom"/>
          </w:tcPr>
          <w:p w14:paraId="20337A77">
            <w:pPr>
              <w:widowControl w:val="0"/>
              <w:spacing w:before="0" w:after="0" w:line="24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类型</w:t>
            </w:r>
          </w:p>
        </w:tc>
        <w:tc>
          <w:tcPr>
            <w:tcW w:w="646" w:type="dxa"/>
            <w:tcBorders>
              <w:bottom w:val="single" w:color="auto" w:sz="0" w:space="0"/>
              <w:insideH w:val="single" w:sz="0" w:space="0"/>
            </w:tcBorders>
            <w:vAlign w:val="bottom"/>
          </w:tcPr>
          <w:p w14:paraId="3E01BD83">
            <w:pPr>
              <w:widowControl w:val="0"/>
              <w:spacing w:before="0" w:after="0" w:line="240" w:lineRule="auto"/>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kern w:val="2"/>
                <w:sz w:val="21"/>
                <w:szCs w:val="21"/>
                <w:lang w:val="en-US" w:eastAsia="zh-CN" w:bidi="ar-SA"/>
              </w:rPr>
              <w:t>备注</w:t>
            </w:r>
          </w:p>
        </w:tc>
      </w:tr>
      <w:tr w14:paraId="02D9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49AB0C8B">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p>
        </w:tc>
        <w:tc>
          <w:tcPr>
            <w:tcW w:w="1191" w:type="dxa"/>
          </w:tcPr>
          <w:p w14:paraId="32F23EAF">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STEAM课程建设案例实施和分析</w:t>
            </w:r>
          </w:p>
        </w:tc>
        <w:tc>
          <w:tcPr>
            <w:tcW w:w="3544" w:type="dxa"/>
          </w:tcPr>
          <w:p w14:paraId="035BA101">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实施和分析一个成功的STEAM课程建设案例，识别其关键成功因素和面临的挑战，并撰写实施和分析报告。</w:t>
            </w:r>
          </w:p>
        </w:tc>
        <w:tc>
          <w:tcPr>
            <w:tcW w:w="567" w:type="dxa"/>
          </w:tcPr>
          <w:p w14:paraId="318B1314">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w:t>
            </w:r>
          </w:p>
        </w:tc>
        <w:tc>
          <w:tcPr>
            <w:tcW w:w="1134" w:type="dxa"/>
            <w:vAlign w:val="center"/>
          </w:tcPr>
          <w:p w14:paraId="4CC85A4A">
            <w:pPr>
              <w:widowControl w:val="0"/>
              <w:spacing w:before="0" w:after="0"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3-3</w:t>
            </w:r>
            <w:r>
              <w:rPr>
                <w:rFonts w:ascii="宋体" w:hAnsi="宋体" w:eastAsia="宋体" w:cs="Times New Roman"/>
                <w:kern w:val="2"/>
                <w:sz w:val="21"/>
                <w:szCs w:val="21"/>
                <w:lang w:val="en-US" w:eastAsia="zh-CN" w:bidi="ar-SA"/>
              </w:rPr>
              <w:br w:type="textWrapping"/>
            </w:r>
            <w:r>
              <w:rPr>
                <w:rFonts w:hint="eastAsia" w:ascii="宋体" w:hAnsi="宋体" w:eastAsia="宋体" w:cs="Times New Roman"/>
                <w:kern w:val="2"/>
                <w:sz w:val="21"/>
                <w:szCs w:val="21"/>
                <w:lang w:val="en-US" w:eastAsia="zh-CN" w:bidi="ar-SA"/>
              </w:rPr>
              <w:t>6-2</w:t>
            </w:r>
          </w:p>
        </w:tc>
        <w:tc>
          <w:tcPr>
            <w:tcW w:w="567" w:type="dxa"/>
          </w:tcPr>
          <w:p w14:paraId="4C1B3FE0">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综合性</w:t>
            </w:r>
          </w:p>
        </w:tc>
        <w:tc>
          <w:tcPr>
            <w:tcW w:w="646" w:type="dxa"/>
          </w:tcPr>
          <w:p w14:paraId="39137772">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必做</w:t>
            </w:r>
          </w:p>
        </w:tc>
      </w:tr>
      <w:tr w14:paraId="3061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5E516215">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w:t>
            </w:r>
          </w:p>
        </w:tc>
        <w:tc>
          <w:tcPr>
            <w:tcW w:w="1191" w:type="dxa"/>
          </w:tcPr>
          <w:p w14:paraId="180E09C7">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STEAM课程目标设计实践</w:t>
            </w:r>
          </w:p>
        </w:tc>
        <w:tc>
          <w:tcPr>
            <w:tcW w:w="3544" w:type="dxa"/>
          </w:tcPr>
          <w:p w14:paraId="61F5E99A">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根据课程设计原则，制定具体的STEAM课程目标，确保目标符合课程设计的框架和要求。</w:t>
            </w:r>
          </w:p>
        </w:tc>
        <w:tc>
          <w:tcPr>
            <w:tcW w:w="567" w:type="dxa"/>
          </w:tcPr>
          <w:p w14:paraId="56CE2F35">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w:t>
            </w:r>
          </w:p>
        </w:tc>
        <w:tc>
          <w:tcPr>
            <w:tcW w:w="1134" w:type="dxa"/>
            <w:vAlign w:val="center"/>
          </w:tcPr>
          <w:p w14:paraId="016BEA8C">
            <w:pPr>
              <w:widowControl w:val="0"/>
              <w:spacing w:before="0" w:after="0"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4-3</w:t>
            </w:r>
          </w:p>
        </w:tc>
        <w:tc>
          <w:tcPr>
            <w:tcW w:w="567" w:type="dxa"/>
          </w:tcPr>
          <w:p w14:paraId="4A579C71">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综合性</w:t>
            </w:r>
          </w:p>
        </w:tc>
        <w:tc>
          <w:tcPr>
            <w:tcW w:w="646" w:type="dxa"/>
          </w:tcPr>
          <w:p w14:paraId="709529C1">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必做</w:t>
            </w:r>
          </w:p>
        </w:tc>
      </w:tr>
      <w:tr w14:paraId="70EC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47AAD8C6">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w:t>
            </w:r>
          </w:p>
        </w:tc>
        <w:tc>
          <w:tcPr>
            <w:tcW w:w="1191" w:type="dxa"/>
          </w:tcPr>
          <w:p w14:paraId="17123795">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STEAM课程内容开发实验</w:t>
            </w:r>
          </w:p>
        </w:tc>
        <w:tc>
          <w:tcPr>
            <w:tcW w:w="3544" w:type="dxa"/>
          </w:tcPr>
          <w:p w14:paraId="69F44DD9">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设计一个涵盖科学、技术、工程、艺术和数学五个方面的STEAM课程模块，并进行展示。</w:t>
            </w:r>
          </w:p>
        </w:tc>
        <w:tc>
          <w:tcPr>
            <w:tcW w:w="567" w:type="dxa"/>
          </w:tcPr>
          <w:p w14:paraId="78BABCB9">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w:t>
            </w:r>
          </w:p>
        </w:tc>
        <w:tc>
          <w:tcPr>
            <w:tcW w:w="1134" w:type="dxa"/>
            <w:vAlign w:val="center"/>
          </w:tcPr>
          <w:p w14:paraId="2C963827">
            <w:pPr>
              <w:spacing w:after="0"/>
              <w:jc w:val="center"/>
              <w:rPr>
                <w:rFonts w:hint="eastAsia" w:ascii="宋体" w:hAnsi="宋体" w:eastAsia="宋体" w:cs="Times New Roman"/>
                <w:szCs w:val="21"/>
                <w:lang w:eastAsia="zh-CN"/>
              </w:rPr>
            </w:pPr>
            <w:r>
              <w:rPr>
                <w:rFonts w:hint="eastAsia" w:ascii="宋体" w:hAnsi="宋体" w:eastAsia="宋体" w:cs="Times New Roman"/>
                <w:szCs w:val="21"/>
                <w:lang w:eastAsia="zh-CN"/>
              </w:rPr>
              <w:t>3-3</w:t>
            </w:r>
          </w:p>
          <w:p w14:paraId="2E6219B4">
            <w:pPr>
              <w:spacing w:after="0"/>
              <w:jc w:val="center"/>
              <w:rPr>
                <w:rFonts w:hint="eastAsia" w:ascii="宋体" w:hAnsi="宋体" w:eastAsia="宋体" w:cs="Times New Roman"/>
                <w:szCs w:val="21"/>
                <w:lang w:eastAsia="zh-CN"/>
              </w:rPr>
            </w:pPr>
            <w:r>
              <w:rPr>
                <w:rFonts w:hint="eastAsia" w:ascii="宋体" w:hAnsi="宋体" w:eastAsia="宋体" w:cs="Times New Roman"/>
                <w:szCs w:val="21"/>
                <w:lang w:eastAsia="zh-CN"/>
              </w:rPr>
              <w:t>6-2</w:t>
            </w:r>
          </w:p>
        </w:tc>
        <w:tc>
          <w:tcPr>
            <w:tcW w:w="567" w:type="dxa"/>
          </w:tcPr>
          <w:p w14:paraId="541011F6">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综合性</w:t>
            </w:r>
          </w:p>
        </w:tc>
        <w:tc>
          <w:tcPr>
            <w:tcW w:w="646" w:type="dxa"/>
          </w:tcPr>
          <w:p w14:paraId="2F68A438">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必做</w:t>
            </w:r>
          </w:p>
        </w:tc>
      </w:tr>
      <w:tr w14:paraId="4282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7DEC018D">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w:t>
            </w:r>
          </w:p>
        </w:tc>
        <w:tc>
          <w:tcPr>
            <w:tcW w:w="1191" w:type="dxa"/>
          </w:tcPr>
          <w:p w14:paraId="26A79BAA">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STEAM课程评价模拟</w:t>
            </w:r>
          </w:p>
        </w:tc>
        <w:tc>
          <w:tcPr>
            <w:tcW w:w="3544" w:type="dxa"/>
          </w:tcPr>
          <w:p w14:paraId="496DC484">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制定并应用一个STEAM课程评价方案，评估课程的实施效果，并提出改进建议。</w:t>
            </w:r>
          </w:p>
        </w:tc>
        <w:tc>
          <w:tcPr>
            <w:tcW w:w="567" w:type="dxa"/>
          </w:tcPr>
          <w:p w14:paraId="5F2AEC7A">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w:t>
            </w:r>
          </w:p>
        </w:tc>
        <w:tc>
          <w:tcPr>
            <w:tcW w:w="1134" w:type="dxa"/>
            <w:vAlign w:val="center"/>
          </w:tcPr>
          <w:p w14:paraId="529E12B8">
            <w:pPr>
              <w:widowControl w:val="0"/>
              <w:spacing w:before="0" w:after="0" w:line="24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6-2</w:t>
            </w:r>
          </w:p>
        </w:tc>
        <w:tc>
          <w:tcPr>
            <w:tcW w:w="567" w:type="dxa"/>
          </w:tcPr>
          <w:p w14:paraId="2AEB1BC4">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综合性</w:t>
            </w:r>
          </w:p>
        </w:tc>
        <w:tc>
          <w:tcPr>
            <w:tcW w:w="646" w:type="dxa"/>
          </w:tcPr>
          <w:p w14:paraId="7993B42D">
            <w:pPr>
              <w:widowControl w:val="0"/>
              <w:spacing w:before="0" w:after="0" w:line="240" w:lineRule="auto"/>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必做</w:t>
            </w:r>
          </w:p>
        </w:tc>
      </w:tr>
    </w:tbl>
    <w:p w14:paraId="3446A443">
      <w:pPr>
        <w:spacing w:line="360" w:lineRule="auto"/>
        <w:jc w:val="left"/>
        <w:rPr>
          <w:rFonts w:ascii="宋体" w:hAnsi="宋体" w:eastAsia="宋体" w:cs="Times New Roman"/>
          <w:b/>
          <w:color w:val="000000"/>
          <w:sz w:val="24"/>
          <w:szCs w:val="24"/>
        </w:rPr>
      </w:pPr>
    </w:p>
    <w:p w14:paraId="346F529F">
      <w:pPr>
        <w:spacing w:line="360" w:lineRule="auto"/>
        <w:jc w:val="left"/>
        <w:outlineLvl w:val="0"/>
        <w:rPr>
          <w:rFonts w:ascii="Times New Roman" w:hAnsi="Times New Roman" w:eastAsia="宋体" w:cs="Times New Roman"/>
          <w:b/>
          <w:bCs/>
          <w:sz w:val="24"/>
          <w:szCs w:val="24"/>
        </w:rPr>
      </w:pPr>
      <w:bookmarkStart w:id="2801" w:name="_Toc16849"/>
      <w:bookmarkStart w:id="2802" w:name="_Toc29879"/>
      <w:bookmarkStart w:id="2803" w:name="_Toc5188"/>
      <w:bookmarkStart w:id="2804" w:name="_Toc21925"/>
      <w:bookmarkStart w:id="2805" w:name="_Toc24586"/>
      <w:bookmarkStart w:id="2806" w:name="_Toc14496"/>
      <w:bookmarkStart w:id="2807" w:name="_Toc11371"/>
      <w:r>
        <w:rPr>
          <w:rFonts w:hint="eastAsia" w:ascii="宋体" w:hAnsi="宋体" w:eastAsia="宋体" w:cs="Times New Roman"/>
          <w:b/>
          <w:color w:val="000000"/>
          <w:sz w:val="24"/>
          <w:szCs w:val="24"/>
        </w:rPr>
        <w:t>六、有关说明</w:t>
      </w:r>
      <w:bookmarkEnd w:id="2801"/>
      <w:bookmarkEnd w:id="2802"/>
      <w:bookmarkEnd w:id="2803"/>
      <w:bookmarkEnd w:id="2804"/>
      <w:bookmarkEnd w:id="2805"/>
      <w:bookmarkEnd w:id="2806"/>
      <w:bookmarkEnd w:id="2807"/>
    </w:p>
    <w:p w14:paraId="34D2FE39">
      <w:pPr>
        <w:spacing w:line="360" w:lineRule="auto"/>
        <w:jc w:val="left"/>
        <w:outlineLvl w:val="1"/>
        <w:rPr>
          <w:rFonts w:ascii="Times New Roman" w:hAnsi="Times New Roman" w:eastAsia="宋体" w:cs="Times New Roman"/>
          <w:b/>
          <w:szCs w:val="21"/>
        </w:rPr>
      </w:pPr>
      <w:bookmarkStart w:id="2808" w:name="_Toc11547"/>
      <w:r>
        <w:rPr>
          <w:rFonts w:hint="eastAsia" w:ascii="Times New Roman" w:hAnsi="Times New Roman" w:eastAsia="宋体" w:cs="Times New Roman"/>
          <w:b/>
          <w:szCs w:val="21"/>
        </w:rPr>
        <w:t>（一）持续改进</w:t>
      </w:r>
      <w:bookmarkEnd w:id="2808"/>
    </w:p>
    <w:p w14:paraId="75DB236E">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本课程根据学生作业、实验环节和学生、教学督导等的反馈，及时对教学中的不足之处进行改进，并在下一轮课程教学中整改完善，确保相应毕业要求指标点达成。</w:t>
      </w:r>
    </w:p>
    <w:p w14:paraId="681D4C5C">
      <w:pPr>
        <w:spacing w:line="360" w:lineRule="auto"/>
        <w:jc w:val="left"/>
        <w:outlineLvl w:val="1"/>
        <w:rPr>
          <w:rFonts w:ascii="Times New Roman" w:hAnsi="Times New Roman" w:eastAsia="宋体" w:cs="Times New Roman"/>
          <w:b/>
          <w:szCs w:val="21"/>
        </w:rPr>
      </w:pPr>
      <w:bookmarkStart w:id="2809" w:name="_Toc27078"/>
      <w:r>
        <w:rPr>
          <w:rFonts w:hint="eastAsia" w:ascii="Times New Roman" w:hAnsi="Times New Roman" w:eastAsia="宋体" w:cs="Times New Roman"/>
          <w:b/>
          <w:szCs w:val="21"/>
        </w:rPr>
        <w:t>（二）建议教材</w:t>
      </w:r>
      <w:bookmarkEnd w:id="2809"/>
    </w:p>
    <w:p w14:paraId="45B866B5">
      <w:pPr>
        <w:spacing w:line="360" w:lineRule="auto"/>
        <w:ind w:firstLine="210" w:firstLineChars="100"/>
        <w:jc w:val="left"/>
        <w:rPr>
          <w:rFonts w:ascii="Times New Roman" w:hAnsi="Times New Roman" w:eastAsia="宋体" w:cs="Times New Roman"/>
          <w:bCs/>
          <w:color w:val="000000"/>
          <w:szCs w:val="21"/>
        </w:rPr>
      </w:pPr>
      <w:r>
        <w:rPr>
          <w:rFonts w:ascii="Times New Roman" w:hAnsi="Times New Roman" w:eastAsia="宋体" w:cs="Times New Roman"/>
          <w:bCs/>
          <w:color w:val="000000"/>
          <w:szCs w:val="21"/>
        </w:rPr>
        <w:t>印霞, 主编. 《STEAM课程的设计与实施》. 北京：华东师范大学出版社, 2021.</w:t>
      </w:r>
    </w:p>
    <w:p w14:paraId="635C22DD">
      <w:pPr>
        <w:spacing w:line="360" w:lineRule="auto"/>
        <w:jc w:val="left"/>
        <w:rPr>
          <w:rFonts w:ascii="Times New Roman" w:hAnsi="Times New Roman" w:eastAsia="宋体" w:cs="Times New Roman"/>
          <w:b/>
          <w:szCs w:val="21"/>
        </w:rPr>
      </w:pPr>
    </w:p>
    <w:p w14:paraId="02E531FA">
      <w:pPr>
        <w:spacing w:line="360" w:lineRule="auto"/>
        <w:jc w:val="left"/>
        <w:outlineLvl w:val="1"/>
        <w:rPr>
          <w:rFonts w:ascii="Times New Roman" w:hAnsi="Times New Roman" w:eastAsia="宋体" w:cs="Times New Roman"/>
          <w:b/>
          <w:szCs w:val="21"/>
        </w:rPr>
      </w:pPr>
      <w:bookmarkStart w:id="2810" w:name="_Toc18784"/>
      <w:r>
        <w:rPr>
          <w:rFonts w:hint="eastAsia" w:ascii="Times New Roman" w:hAnsi="Times New Roman" w:eastAsia="宋体" w:cs="Times New Roman"/>
          <w:b/>
          <w:szCs w:val="21"/>
        </w:rPr>
        <w:t>（三）参考书目</w:t>
      </w:r>
      <w:bookmarkEnd w:id="2810"/>
    </w:p>
    <w:p w14:paraId="0F17D00F">
      <w:pPr>
        <w:numPr>
          <w:ilvl w:val="0"/>
          <w:numId w:val="88"/>
        </w:numPr>
        <w:spacing w:line="360" w:lineRule="auto"/>
        <w:ind w:left="720" w:hanging="360"/>
        <w:jc w:val="left"/>
        <w:rPr>
          <w:rFonts w:ascii="宋体" w:hAnsi="宋体" w:eastAsia="宋体" w:cs="Times New Roman"/>
          <w:szCs w:val="22"/>
        </w:rPr>
      </w:pPr>
      <w:r>
        <w:rPr>
          <w:rFonts w:ascii="宋体" w:hAnsi="宋体" w:eastAsia="宋体" w:cs="Times New Roman"/>
          <w:szCs w:val="22"/>
        </w:rPr>
        <w:t>范曾丽. 《设计实践创新STEAM课程案例》. 北京：中国纺织出版社, 2023.</w:t>
      </w:r>
    </w:p>
    <w:p w14:paraId="6C1A6D10">
      <w:pPr>
        <w:numPr>
          <w:ilvl w:val="0"/>
          <w:numId w:val="88"/>
        </w:numPr>
        <w:spacing w:line="360" w:lineRule="auto"/>
        <w:ind w:left="720" w:hanging="360"/>
        <w:jc w:val="left"/>
        <w:rPr>
          <w:rFonts w:ascii="宋体" w:hAnsi="宋体" w:eastAsia="宋体" w:cs="Times New Roman"/>
          <w:szCs w:val="22"/>
        </w:rPr>
      </w:pPr>
      <w:r>
        <w:rPr>
          <w:rFonts w:ascii="宋体" w:hAnsi="宋体" w:eastAsia="宋体" w:cs="Times New Roman"/>
          <w:szCs w:val="22"/>
        </w:rPr>
        <w:t>管光海. 《STEM教学设计与评价》. 北京：教育科学出版社, 2022.</w:t>
      </w:r>
    </w:p>
    <w:p w14:paraId="3BA3A6D8">
      <w:pPr>
        <w:numPr>
          <w:ilvl w:val="0"/>
          <w:numId w:val="88"/>
        </w:numPr>
        <w:spacing w:line="360" w:lineRule="auto"/>
        <w:ind w:left="720" w:hanging="360"/>
        <w:jc w:val="left"/>
        <w:rPr>
          <w:rFonts w:ascii="宋体" w:hAnsi="宋体" w:eastAsia="宋体" w:cs="Times New Roman"/>
          <w:szCs w:val="22"/>
        </w:rPr>
      </w:pPr>
      <w:r>
        <w:rPr>
          <w:rFonts w:ascii="宋体" w:hAnsi="宋体" w:eastAsia="宋体" w:cs="Times New Roman"/>
          <w:szCs w:val="22"/>
        </w:rPr>
        <w:t>王素, 李正福. 《STEM教育这样做》. 北京：教育科学出版社, 2019.</w:t>
      </w:r>
    </w:p>
    <w:p w14:paraId="49FFA98B">
      <w:pPr>
        <w:numPr>
          <w:ilvl w:val="0"/>
          <w:numId w:val="88"/>
        </w:numPr>
        <w:spacing w:line="360" w:lineRule="auto"/>
        <w:ind w:left="720" w:hanging="360"/>
        <w:jc w:val="left"/>
        <w:rPr>
          <w:rFonts w:ascii="宋体" w:hAnsi="宋体" w:eastAsia="宋体" w:cs="Times New Roman"/>
          <w:szCs w:val="22"/>
        </w:rPr>
      </w:pPr>
      <w:r>
        <w:rPr>
          <w:rFonts w:ascii="宋体" w:hAnsi="宋体" w:eastAsia="宋体" w:cs="Times New Roman"/>
          <w:szCs w:val="22"/>
        </w:rPr>
        <w:t>杜娟, 石雪飞, 邹丽娜. 《核心素养导向的STEM教育》. 北京：清华大学出版社, 2021.</w:t>
      </w:r>
    </w:p>
    <w:p w14:paraId="7BB81557">
      <w:pPr>
        <w:spacing w:line="360" w:lineRule="auto"/>
        <w:jc w:val="right"/>
        <w:rPr>
          <w:rFonts w:hint="eastAsia" w:ascii="宋体" w:hAnsi="宋体" w:eastAsia="宋体" w:cs="Times New Roman"/>
          <w:sz w:val="24"/>
          <w:szCs w:val="28"/>
        </w:rPr>
      </w:pPr>
      <w:r>
        <w:rPr>
          <w:rFonts w:hint="eastAsia" w:ascii="宋体" w:hAnsi="宋体" w:eastAsia="宋体" w:cs="Times New Roman"/>
          <w:sz w:val="24"/>
          <w:szCs w:val="28"/>
        </w:rPr>
        <w:t xml:space="preserve">执笔人：金玉宏 </w:t>
      </w:r>
    </w:p>
    <w:p w14:paraId="2A998EE5">
      <w:pPr>
        <w:spacing w:line="360" w:lineRule="auto"/>
        <w:jc w:val="right"/>
        <w:rPr>
          <w:rFonts w:hint="eastAsia" w:ascii="宋体" w:hAnsi="宋体" w:eastAsia="宋体" w:cs="Times New Roman"/>
          <w:sz w:val="24"/>
          <w:szCs w:val="28"/>
        </w:rPr>
      </w:pPr>
      <w:r>
        <w:rPr>
          <w:rFonts w:hint="eastAsia" w:ascii="宋体" w:hAnsi="宋体" w:eastAsia="宋体" w:cs="Times New Roman"/>
          <w:sz w:val="24"/>
          <w:szCs w:val="28"/>
        </w:rPr>
        <w:t>审定人：王健</w:t>
      </w:r>
    </w:p>
    <w:p w14:paraId="22BFF770">
      <w:pPr>
        <w:spacing w:line="360" w:lineRule="auto"/>
        <w:jc w:val="right"/>
        <w:rPr>
          <w:rFonts w:hint="eastAsia" w:ascii="宋体" w:hAnsi="宋体" w:eastAsia="宋体" w:cs="Times New Roman"/>
          <w:sz w:val="24"/>
          <w:szCs w:val="28"/>
        </w:rPr>
      </w:pPr>
      <w:r>
        <w:rPr>
          <w:rFonts w:hint="eastAsia" w:ascii="宋体" w:hAnsi="宋体" w:eastAsia="宋体" w:cs="Times New Roman"/>
          <w:sz w:val="24"/>
          <w:szCs w:val="28"/>
        </w:rPr>
        <w:t>审批人：张志欣</w:t>
      </w:r>
    </w:p>
    <w:p w14:paraId="7808C0EF">
      <w:pPr>
        <w:spacing w:line="360" w:lineRule="auto"/>
        <w:jc w:val="right"/>
        <w:rPr>
          <w:rFonts w:hint="eastAsia" w:ascii="宋体" w:hAnsi="宋体" w:eastAsia="宋体" w:cs="Times New Roman"/>
          <w:sz w:val="24"/>
          <w:szCs w:val="28"/>
        </w:rPr>
      </w:pPr>
      <w:r>
        <w:rPr>
          <w:rFonts w:hint="eastAsia" w:ascii="宋体" w:hAnsi="宋体" w:eastAsia="宋体" w:cs="Times New Roman"/>
          <w:sz w:val="24"/>
          <w:szCs w:val="28"/>
        </w:rPr>
        <w:t>批准时间：2024年9月1日</w:t>
      </w:r>
    </w:p>
    <w:p w14:paraId="5729E8FE">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6D045FFC">
      <w:pPr>
        <w:pStyle w:val="2"/>
        <w:bidi w:val="0"/>
        <w:rPr>
          <w:lang w:val="en-US" w:eastAsia="zh-CN"/>
        </w:rPr>
      </w:pPr>
      <w:bookmarkStart w:id="2811" w:name="_Toc10386"/>
      <w:bookmarkStart w:id="2812" w:name="_Toc783"/>
      <w:bookmarkStart w:id="2813" w:name="_Toc16144"/>
      <w:bookmarkStart w:id="2814" w:name="_Toc32689"/>
      <w:r>
        <w:rPr>
          <w:rFonts w:hint="eastAsia"/>
          <w:lang w:val="en-US" w:eastAsia="zh-CN"/>
        </w:rPr>
        <w:t>《综合实践活动设计》课程教学大纲</w:t>
      </w:r>
      <w:bookmarkEnd w:id="2811"/>
      <w:bookmarkEnd w:id="2812"/>
      <w:bookmarkEnd w:id="2813"/>
      <w:bookmarkEnd w:id="2814"/>
    </w:p>
    <w:p w14:paraId="0A8B0FAE">
      <w:pPr>
        <w:pStyle w:val="2"/>
        <w:bidi w:val="0"/>
        <w:rPr>
          <w:lang w:val="en-US" w:eastAsia="zh-CN"/>
        </w:rPr>
      </w:pPr>
      <w:bookmarkStart w:id="2815" w:name="_Toc27564"/>
      <w:bookmarkStart w:id="2816" w:name="_Toc5508"/>
      <w:bookmarkStart w:id="2817" w:name="_Toc28008"/>
      <w:bookmarkStart w:id="2818" w:name="_Toc12944"/>
      <w:bookmarkStart w:id="2819" w:name="_Toc27205"/>
      <w:bookmarkStart w:id="2820" w:name="_Toc16710"/>
      <w:bookmarkStart w:id="2821" w:name="_Toc25329"/>
      <w:r>
        <w:rPr>
          <w:lang w:val="en-US" w:eastAsia="zh-CN"/>
        </w:rPr>
        <w:t>（</w:t>
      </w:r>
      <w:r>
        <w:rPr>
          <w:rFonts w:hint="eastAsia"/>
          <w:lang w:val="en-US" w:eastAsia="zh-CN"/>
        </w:rPr>
        <w:t>Comprehensive Activity Design</w:t>
      </w:r>
      <w:r>
        <w:rPr>
          <w:lang w:val="en-US" w:eastAsia="zh-CN"/>
        </w:rPr>
        <w:t>）</w:t>
      </w:r>
      <w:bookmarkEnd w:id="2815"/>
      <w:bookmarkEnd w:id="2816"/>
      <w:bookmarkEnd w:id="2817"/>
      <w:bookmarkEnd w:id="2818"/>
      <w:bookmarkEnd w:id="2819"/>
      <w:bookmarkEnd w:id="2820"/>
      <w:bookmarkEnd w:id="2821"/>
    </w:p>
    <w:p w14:paraId="21033968">
      <w:pPr>
        <w:spacing w:line="360" w:lineRule="auto"/>
        <w:jc w:val="center"/>
        <w:rPr>
          <w:rFonts w:ascii="Times New Roman" w:hAnsi="Times New Roman" w:eastAsia="宋体" w:cs="Times New Roman"/>
          <w:bCs/>
          <w:sz w:val="30"/>
          <w:szCs w:val="30"/>
        </w:rPr>
      </w:pPr>
    </w:p>
    <w:p w14:paraId="59F1F27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课程名称：综合实践活动设计</w:t>
      </w:r>
    </w:p>
    <w:p w14:paraId="55B958B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24010</w:t>
      </w:r>
      <w:r>
        <w:rPr>
          <w:rFonts w:hint="eastAsia" w:ascii="Times New Roman" w:hAnsi="Times New Roman" w:eastAsia="宋体" w:cs="Times New Roman"/>
          <w:b/>
          <w:sz w:val="24"/>
          <w:szCs w:val="24"/>
        </w:rPr>
        <w:t>24</w:t>
      </w:r>
    </w:p>
    <w:p w14:paraId="180F9F8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分：2</w:t>
      </w:r>
    </w:p>
    <w:p w14:paraId="740A086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时：32 （其中：讲授学时16， 实践学时16）</w:t>
      </w:r>
    </w:p>
    <w:p w14:paraId="26CE6EA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先修课程：教育原理、教育心理学、课程与教学论</w:t>
      </w:r>
    </w:p>
    <w:p w14:paraId="6125E99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适用专业：小学教育（文、理）</w:t>
      </w:r>
    </w:p>
    <w:p w14:paraId="7A8ED7EA">
      <w:pPr>
        <w:spacing w:line="360" w:lineRule="auto"/>
        <w:jc w:val="left"/>
        <w:rPr>
          <w:rFonts w:ascii="Times New Roman" w:hAnsi="Times New Roman" w:eastAsia="宋体" w:cs="Times New Roman"/>
          <w:b/>
          <w:sz w:val="24"/>
          <w:szCs w:val="24"/>
        </w:rPr>
      </w:pPr>
    </w:p>
    <w:p w14:paraId="61BAFB3F">
      <w:pPr>
        <w:spacing w:line="360" w:lineRule="auto"/>
        <w:jc w:val="left"/>
        <w:outlineLvl w:val="0"/>
        <w:rPr>
          <w:rFonts w:ascii="Times New Roman" w:hAnsi="Times New Roman" w:eastAsia="宋体" w:cs="Times New Roman"/>
          <w:sz w:val="24"/>
          <w:szCs w:val="24"/>
        </w:rPr>
      </w:pPr>
      <w:bookmarkStart w:id="2822" w:name="_Toc32343"/>
      <w:bookmarkStart w:id="2823" w:name="_Toc5946"/>
      <w:bookmarkStart w:id="2824" w:name="_Toc24748"/>
      <w:bookmarkStart w:id="2825" w:name="_Toc2209"/>
      <w:bookmarkStart w:id="2826" w:name="_Toc13623"/>
      <w:bookmarkStart w:id="2827" w:name="_Toc16678"/>
      <w:bookmarkStart w:id="2828" w:name="_Toc8313"/>
      <w:r>
        <w:rPr>
          <w:rFonts w:hint="eastAsia" w:ascii="Times New Roman" w:hAnsi="Times New Roman" w:eastAsia="宋体" w:cs="Times New Roman"/>
          <w:b/>
          <w:sz w:val="24"/>
          <w:szCs w:val="24"/>
        </w:rPr>
        <w:t>一、课程简介</w:t>
      </w:r>
      <w:bookmarkEnd w:id="2822"/>
      <w:bookmarkEnd w:id="2823"/>
      <w:bookmarkEnd w:id="2824"/>
      <w:bookmarkEnd w:id="2825"/>
      <w:bookmarkEnd w:id="2826"/>
      <w:bookmarkEnd w:id="2827"/>
      <w:bookmarkEnd w:id="2828"/>
    </w:p>
    <w:p w14:paraId="75BEA8BF">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小学教育（文、理）专业的一门专业选修课程。通过本课程的学习，全面认识综合实践活动课程在小学开设的重要意义，了解综合实践活动课程的基本内容，明确综合实践活动的理念、性质、目标和内容范围，掌握小学综合实践活动设计的基本原理和方法，激发从事实践活动的兴趣和意识，具有指导小学生开展综合实践活动的能力。</w:t>
      </w:r>
    </w:p>
    <w:p w14:paraId="37D6A997">
      <w:pPr>
        <w:spacing w:line="360" w:lineRule="auto"/>
        <w:jc w:val="left"/>
        <w:outlineLvl w:val="0"/>
        <w:rPr>
          <w:rFonts w:ascii="Times New Roman" w:hAnsi="Times New Roman" w:eastAsia="宋体" w:cs="Times New Roman"/>
          <w:sz w:val="24"/>
          <w:szCs w:val="24"/>
        </w:rPr>
      </w:pPr>
      <w:bookmarkStart w:id="2829" w:name="_Toc19793"/>
      <w:bookmarkStart w:id="2830" w:name="_Toc29677"/>
      <w:bookmarkStart w:id="2831" w:name="_Toc24648"/>
      <w:bookmarkStart w:id="2832" w:name="_Toc12102"/>
      <w:bookmarkStart w:id="2833" w:name="_Toc21847"/>
      <w:bookmarkStart w:id="2834" w:name="_Toc27471"/>
      <w:bookmarkStart w:id="2835" w:name="_Toc19953"/>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2829"/>
      <w:bookmarkEnd w:id="2830"/>
      <w:bookmarkEnd w:id="2831"/>
      <w:bookmarkEnd w:id="2832"/>
      <w:bookmarkEnd w:id="2833"/>
      <w:bookmarkEnd w:id="2834"/>
      <w:bookmarkEnd w:id="2835"/>
    </w:p>
    <w:p w14:paraId="0FCC2DAD">
      <w:pPr>
        <w:spacing w:line="360" w:lineRule="auto"/>
        <w:ind w:firstLine="422" w:firstLineChars="200"/>
        <w:outlineLvl w:val="1"/>
        <w:rPr>
          <w:rFonts w:hint="eastAsia" w:ascii="宋体" w:hAnsi="宋体" w:eastAsia="宋体" w:cs="Times New Roman"/>
          <w:b/>
          <w:color w:val="000000"/>
          <w:szCs w:val="21"/>
        </w:rPr>
      </w:pPr>
      <w:bookmarkStart w:id="2836" w:name="_Toc29942"/>
      <w:r>
        <w:rPr>
          <w:rFonts w:hint="eastAsia" w:ascii="宋体" w:hAnsi="宋体" w:eastAsia="宋体" w:cs="Times New Roman"/>
          <w:b/>
          <w:color w:val="000000"/>
          <w:szCs w:val="21"/>
        </w:rPr>
        <w:t>（一）课程具体目标</w:t>
      </w:r>
      <w:bookmarkEnd w:id="2836"/>
    </w:p>
    <w:p w14:paraId="4602BEB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1.理解综合实践活动课程产生的理论与社会背景，明确综合实践活动课程在基础教育课程体系中的作用，理解综合实践活动课程的现实意义。理解综合实践活动课程的特征与价值，理解综合实践活动课程的基本理念，明确综合实践活动课程的目标，了解综合实践活动课程的内容。</w:t>
      </w:r>
    </w:p>
    <w:p w14:paraId="597A1D1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目标2.理解小学综合实践活动设计的基本原则，明确小学综合实践活动设计的基本要求。能够运用所学理论独立设计综合实践活动方案，能够对综合实践活动方案进行全面的评价和优化。</w:t>
      </w:r>
    </w:p>
    <w:p w14:paraId="358E19E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目标3.明确综合实践活动课程实施的特点，明确综合实践活动指导教师的职责，能具体指导小学生开展综合实践活动，具备开发和利用综合实践活动课程资源的能力.</w:t>
      </w:r>
    </w:p>
    <w:p w14:paraId="6B38141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目标4.具有较强的合作与沟通能力，具有在活动中育人的意识和能力，具有一定的研究与反思能力。</w:t>
      </w:r>
    </w:p>
    <w:p w14:paraId="3D49B62F">
      <w:pPr>
        <w:spacing w:before="156" w:beforeLines="50" w:after="156" w:afterLines="50" w:line="360" w:lineRule="auto"/>
        <w:jc w:val="left"/>
        <w:outlineLvl w:val="1"/>
        <w:rPr>
          <w:rFonts w:ascii="Times New Roman" w:hAnsi="Times New Roman" w:eastAsia="宋体" w:cs="Times New Roman"/>
          <w:b/>
          <w:bCs/>
          <w:szCs w:val="21"/>
        </w:rPr>
      </w:pPr>
      <w:bookmarkStart w:id="2837" w:name="_Toc8334"/>
      <w:r>
        <w:rPr>
          <w:rFonts w:hint="eastAsia" w:ascii="Times New Roman" w:hAnsi="Times New Roman" w:eastAsia="宋体" w:cs="Times New Roman"/>
          <w:b/>
          <w:bCs/>
          <w:szCs w:val="21"/>
        </w:rPr>
        <w:t>（二）课程目标及其对毕业要求指标点的支撑</w:t>
      </w:r>
      <w:bookmarkEnd w:id="2837"/>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5812"/>
        <w:gridCol w:w="1327"/>
      </w:tblGrid>
      <w:tr w14:paraId="6726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0590B8D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812" w:type="dxa"/>
            <w:vAlign w:val="center"/>
          </w:tcPr>
          <w:p w14:paraId="1A431B7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58BEC1B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26A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1FF01BD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4. 教学能力</w:t>
            </w:r>
          </w:p>
        </w:tc>
        <w:tc>
          <w:tcPr>
            <w:tcW w:w="5812" w:type="dxa"/>
            <w:vAlign w:val="center"/>
          </w:tcPr>
          <w:p w14:paraId="1F8A8A0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64C2F37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p w14:paraId="4A68894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41C2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95E166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6. 综合育人</w:t>
            </w:r>
          </w:p>
        </w:tc>
        <w:tc>
          <w:tcPr>
            <w:tcW w:w="5812" w:type="dxa"/>
            <w:vAlign w:val="center"/>
          </w:tcPr>
          <w:p w14:paraId="1DFF3247">
            <w:pPr>
              <w:spacing w:line="276" w:lineRule="auto"/>
              <w:jc w:val="left"/>
              <w:rPr>
                <w:rFonts w:ascii="Times New Roman" w:hAnsi="Times New Roman" w:eastAsia="宋体" w:cs="Times New Roman"/>
                <w:szCs w:val="21"/>
              </w:rPr>
            </w:pPr>
            <w:r>
              <w:rPr>
                <w:rFonts w:hint="eastAsia" w:ascii="宋体" w:hAnsi="宋体" w:eastAsia="等线" w:cs="宋体"/>
                <w:kern w:val="0"/>
                <w:sz w:val="20"/>
                <w:szCs w:val="20"/>
              </w:rPr>
              <w:t>指标点</w:t>
            </w:r>
            <w:r>
              <w:rPr>
                <w:rFonts w:hint="eastAsia" w:ascii="宋体" w:hAnsi="宋体" w:eastAsia="等线" w:cs="宋体"/>
                <w:sz w:val="20"/>
                <w:szCs w:val="20"/>
              </w:rPr>
              <w:t>6-3：</w:t>
            </w:r>
            <w:r>
              <w:rPr>
                <w:rFonts w:hint="eastAsia" w:ascii="Times New Roman" w:hAnsi="Times New Roman" w:eastAsia="宋体" w:cs="Times New Roman"/>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327" w:type="dxa"/>
            <w:vAlign w:val="center"/>
          </w:tcPr>
          <w:p w14:paraId="71B45DE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787E04E2">
      <w:pPr>
        <w:spacing w:before="156" w:beforeLines="50" w:line="360" w:lineRule="auto"/>
        <w:jc w:val="left"/>
        <w:outlineLvl w:val="1"/>
        <w:rPr>
          <w:rFonts w:hint="eastAsia" w:ascii="宋体" w:hAnsi="宋体" w:eastAsia="宋体" w:cs="Times New Roman"/>
          <w:b/>
          <w:color w:val="000000"/>
          <w:szCs w:val="21"/>
        </w:rPr>
      </w:pPr>
      <w:bookmarkStart w:id="2838" w:name="_Toc28414"/>
      <w:r>
        <w:rPr>
          <w:rFonts w:hint="eastAsia" w:ascii="宋体" w:hAnsi="宋体" w:eastAsia="宋体" w:cs="Times New Roman"/>
          <w:b/>
          <w:color w:val="000000"/>
          <w:szCs w:val="21"/>
        </w:rPr>
        <w:t>（三）课程思政目标</w:t>
      </w:r>
      <w:bookmarkEnd w:id="2838"/>
    </w:p>
    <w:p w14:paraId="17D0AF9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养成严谨治学的态度，掌握科学、严谨的学习方法，注重创新精神和实践能力的提升，树立以学生为主体的设计理念和全面的评价理念，</w:t>
      </w:r>
      <w:r>
        <w:rPr>
          <w:rFonts w:ascii="宋体" w:hAnsi="宋体" w:eastAsia="宋体" w:cs="Times New Roman"/>
          <w:color w:val="000000"/>
          <w:szCs w:val="21"/>
        </w:rPr>
        <w:t>增强专业自信心</w:t>
      </w:r>
      <w:r>
        <w:rPr>
          <w:rFonts w:hint="eastAsia" w:ascii="宋体" w:hAnsi="宋体" w:eastAsia="宋体" w:cs="Times New Roman"/>
          <w:color w:val="000000"/>
          <w:szCs w:val="21"/>
        </w:rPr>
        <w:t>，</w:t>
      </w:r>
      <w:r>
        <w:rPr>
          <w:rFonts w:ascii="宋体" w:hAnsi="宋体" w:eastAsia="宋体" w:cs="Times New Roman"/>
          <w:color w:val="000000"/>
          <w:szCs w:val="21"/>
        </w:rPr>
        <w:t>增强团队合作意识与沟通表达能力。</w:t>
      </w:r>
    </w:p>
    <w:p w14:paraId="00648C35">
      <w:pPr>
        <w:spacing w:line="360" w:lineRule="auto"/>
        <w:jc w:val="left"/>
        <w:outlineLvl w:val="0"/>
        <w:rPr>
          <w:rFonts w:hint="eastAsia" w:ascii="宋体" w:hAnsi="宋体" w:eastAsia="宋体" w:cs="Times New Roman"/>
          <w:b/>
          <w:color w:val="000000"/>
          <w:sz w:val="24"/>
          <w:szCs w:val="24"/>
        </w:rPr>
      </w:pPr>
      <w:bookmarkStart w:id="2839" w:name="_Toc19356"/>
      <w:bookmarkStart w:id="2840" w:name="_Toc10299"/>
      <w:bookmarkStart w:id="2841" w:name="_Toc28240"/>
      <w:bookmarkStart w:id="2842" w:name="_Toc19926"/>
      <w:bookmarkStart w:id="2843" w:name="_Toc30621"/>
      <w:bookmarkStart w:id="2844" w:name="_Toc31350"/>
      <w:bookmarkStart w:id="2845" w:name="_Toc9731"/>
      <w:r>
        <w:rPr>
          <w:rFonts w:hint="eastAsia" w:ascii="宋体" w:hAnsi="宋体" w:eastAsia="宋体" w:cs="Times New Roman"/>
          <w:b/>
          <w:color w:val="000000"/>
          <w:sz w:val="24"/>
          <w:szCs w:val="24"/>
        </w:rPr>
        <w:t>三、教学内容与预期学习成效</w:t>
      </w:r>
      <w:bookmarkEnd w:id="2839"/>
      <w:bookmarkEnd w:id="2840"/>
      <w:bookmarkEnd w:id="2841"/>
      <w:bookmarkEnd w:id="2842"/>
      <w:bookmarkEnd w:id="2843"/>
      <w:bookmarkEnd w:id="2844"/>
      <w:bookmarkEnd w:id="2845"/>
    </w:p>
    <w:tbl>
      <w:tblPr>
        <w:tblStyle w:val="11"/>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701"/>
        <w:gridCol w:w="1134"/>
        <w:gridCol w:w="3260"/>
        <w:gridCol w:w="1560"/>
        <w:gridCol w:w="438"/>
      </w:tblGrid>
      <w:tr w14:paraId="1D30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7" w:type="dxa"/>
            <w:vAlign w:val="center"/>
          </w:tcPr>
          <w:p w14:paraId="2D5FB054">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09785AD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ACAA11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1125741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23E25C4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6216BB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3C49F8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21811D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92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270DAD9">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综合实践活动课程概述</w:t>
            </w:r>
          </w:p>
        </w:tc>
        <w:tc>
          <w:tcPr>
            <w:tcW w:w="1701" w:type="dxa"/>
            <w:vAlign w:val="center"/>
          </w:tcPr>
          <w:p w14:paraId="3FA54EA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（1）综合实践活动课程产生的基础</w:t>
            </w:r>
          </w:p>
          <w:p w14:paraId="2B15257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（2）综合实践活动课程的产生</w:t>
            </w:r>
          </w:p>
          <w:p w14:paraId="421078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（3）国外和我国台湾地区的综合实践活动课程</w:t>
            </w:r>
          </w:p>
        </w:tc>
        <w:tc>
          <w:tcPr>
            <w:tcW w:w="1134" w:type="dxa"/>
            <w:vAlign w:val="center"/>
          </w:tcPr>
          <w:p w14:paraId="1AD6414D">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0104598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（1）理解综合实践活动课程产生的理论和社会背景</w:t>
            </w:r>
          </w:p>
          <w:p w14:paraId="548307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（2）初步熟悉综合实践活动课程的产生过程</w:t>
            </w:r>
          </w:p>
          <w:p w14:paraId="28DFE12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（3）了解国内外综合实践活动课程概况</w:t>
            </w:r>
          </w:p>
        </w:tc>
        <w:tc>
          <w:tcPr>
            <w:tcW w:w="1560" w:type="dxa"/>
            <w:vAlign w:val="center"/>
          </w:tcPr>
          <w:p w14:paraId="7B61438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53D0BC4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FFB8813">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38" w:type="dxa"/>
            <w:vAlign w:val="center"/>
          </w:tcPr>
          <w:p w14:paraId="270796E6">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r>
      <w:tr w14:paraId="6DE3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7D732E9">
            <w:pPr>
              <w:spacing w:line="264" w:lineRule="auto"/>
              <w:jc w:val="center"/>
              <w:rPr>
                <w:rFonts w:hint="eastAsia" w:ascii="宋体" w:hAnsi="宋体" w:eastAsia="宋体" w:cs="Times New Roman"/>
                <w:color w:val="000000"/>
                <w:szCs w:val="21"/>
              </w:rPr>
            </w:pPr>
          </w:p>
        </w:tc>
        <w:tc>
          <w:tcPr>
            <w:tcW w:w="8093" w:type="dxa"/>
            <w:gridSpan w:val="5"/>
            <w:vAlign w:val="center"/>
          </w:tcPr>
          <w:p w14:paraId="082C527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养成严谨治学的态度，掌握科学、严谨的学习方法，注重创新精神和实践能力的提升，增强专业自信心；增强团队合作意识与沟通表达能力。</w:t>
            </w:r>
          </w:p>
        </w:tc>
      </w:tr>
      <w:tr w14:paraId="6597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1730E4E">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综合实践活动课程的特性、价值及理念</w:t>
            </w:r>
          </w:p>
        </w:tc>
        <w:tc>
          <w:tcPr>
            <w:tcW w:w="1701" w:type="dxa"/>
            <w:vAlign w:val="center"/>
          </w:tcPr>
          <w:p w14:paraId="0FE3393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（1）综合实践活动课程的特性及价值</w:t>
            </w:r>
          </w:p>
          <w:p w14:paraId="465FC55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（2）综合实践活动课程的基本理念</w:t>
            </w:r>
          </w:p>
        </w:tc>
        <w:tc>
          <w:tcPr>
            <w:tcW w:w="1134" w:type="dxa"/>
            <w:vAlign w:val="center"/>
          </w:tcPr>
          <w:p w14:paraId="35D5AD8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685272A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（1）理解综合实践活动课程的特性和价值</w:t>
            </w:r>
          </w:p>
          <w:p w14:paraId="7BBE35B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（2）掌握综合实践活动课程的理念</w:t>
            </w:r>
          </w:p>
        </w:tc>
        <w:tc>
          <w:tcPr>
            <w:tcW w:w="1560" w:type="dxa"/>
            <w:vAlign w:val="center"/>
          </w:tcPr>
          <w:p w14:paraId="312FB10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74DB9C2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91935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3.课内实践</w:t>
            </w:r>
          </w:p>
          <w:p w14:paraId="3C2909D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4.自主学习</w:t>
            </w:r>
          </w:p>
        </w:tc>
        <w:tc>
          <w:tcPr>
            <w:tcW w:w="438" w:type="dxa"/>
            <w:vAlign w:val="center"/>
          </w:tcPr>
          <w:p w14:paraId="70599BEA">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p>
        </w:tc>
      </w:tr>
      <w:tr w14:paraId="533C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ED884E7">
            <w:pPr>
              <w:spacing w:line="264" w:lineRule="auto"/>
              <w:jc w:val="center"/>
              <w:rPr>
                <w:rFonts w:hint="eastAsia" w:ascii="宋体" w:hAnsi="宋体" w:eastAsia="宋体" w:cs="Times New Roman"/>
                <w:color w:val="000000"/>
                <w:szCs w:val="21"/>
              </w:rPr>
            </w:pPr>
          </w:p>
        </w:tc>
        <w:tc>
          <w:tcPr>
            <w:tcW w:w="8093" w:type="dxa"/>
            <w:gridSpan w:val="5"/>
            <w:vAlign w:val="center"/>
          </w:tcPr>
          <w:p w14:paraId="1CAE594D">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养成严谨治学的态度，掌握科学、严谨的学习方法，注重创新精神和实践能力的提升，增强专业自信心；增强团队合作意识与沟通表达能力。</w:t>
            </w:r>
          </w:p>
        </w:tc>
      </w:tr>
      <w:tr w14:paraId="7FC6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E1493F4">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小学综合实践活动课程的目标与内容</w:t>
            </w:r>
          </w:p>
        </w:tc>
        <w:tc>
          <w:tcPr>
            <w:tcW w:w="1701" w:type="dxa"/>
            <w:vAlign w:val="center"/>
          </w:tcPr>
          <w:p w14:paraId="4EDA51B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（1）课程目标及其分类</w:t>
            </w:r>
          </w:p>
          <w:p w14:paraId="6472ACA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（2）小学综合实践活动课程的目标及具体化</w:t>
            </w:r>
          </w:p>
          <w:p w14:paraId="6FA5671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（3）小学综合实践活动课程的内容</w:t>
            </w:r>
          </w:p>
        </w:tc>
        <w:tc>
          <w:tcPr>
            <w:tcW w:w="1134" w:type="dxa"/>
            <w:vAlign w:val="center"/>
          </w:tcPr>
          <w:p w14:paraId="3836CA9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406DAD3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（1）熟悉综合实践活动课程的总体目标与学段目标的具体要求</w:t>
            </w:r>
          </w:p>
          <w:p w14:paraId="698C9D6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（2）初步具备设计小学综合实践活动课程具体目标的意识和能力</w:t>
            </w:r>
          </w:p>
          <w:p w14:paraId="4C03281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（3）熟悉小学综合实践活动课程各领域的基本内容及其开发</w:t>
            </w:r>
          </w:p>
        </w:tc>
        <w:tc>
          <w:tcPr>
            <w:tcW w:w="1560" w:type="dxa"/>
            <w:vAlign w:val="center"/>
          </w:tcPr>
          <w:p w14:paraId="160F608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DB63A9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694FEEA0">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38" w:type="dxa"/>
            <w:vAlign w:val="center"/>
          </w:tcPr>
          <w:p w14:paraId="1F0A654B">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6366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06CC314B">
            <w:pPr>
              <w:spacing w:line="264" w:lineRule="auto"/>
              <w:jc w:val="center"/>
              <w:rPr>
                <w:rFonts w:hint="eastAsia" w:ascii="宋体" w:hAnsi="宋体" w:eastAsia="宋体" w:cs="Times New Roman"/>
                <w:color w:val="000000"/>
                <w:szCs w:val="21"/>
              </w:rPr>
            </w:pPr>
          </w:p>
        </w:tc>
        <w:tc>
          <w:tcPr>
            <w:tcW w:w="8093" w:type="dxa"/>
            <w:gridSpan w:val="5"/>
            <w:vAlign w:val="center"/>
          </w:tcPr>
          <w:p w14:paraId="3BFA1D40">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养成严谨治学的态度，掌握科学、严谨的学习方法，注重创新精神和实践能力的提升，增强专业自信心；增强团队合作意识与沟通表达能力。</w:t>
            </w:r>
          </w:p>
        </w:tc>
      </w:tr>
      <w:tr w14:paraId="71D2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790D6BB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小学综合实践活动设计的原则</w:t>
            </w:r>
          </w:p>
        </w:tc>
        <w:tc>
          <w:tcPr>
            <w:tcW w:w="1701" w:type="dxa"/>
            <w:vAlign w:val="center"/>
          </w:tcPr>
          <w:p w14:paraId="56E51C4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（1）影响小学综合实践活动设计的主要因素</w:t>
            </w:r>
          </w:p>
          <w:p w14:paraId="10BA263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（2）小学综合实践活动设计的基本要求</w:t>
            </w:r>
          </w:p>
          <w:p w14:paraId="303F13D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（3）小学综合实践活动设计的一般原则</w:t>
            </w:r>
          </w:p>
        </w:tc>
        <w:tc>
          <w:tcPr>
            <w:tcW w:w="1134" w:type="dxa"/>
            <w:vAlign w:val="center"/>
          </w:tcPr>
          <w:p w14:paraId="6CC70A2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课程目标2、4</w:t>
            </w:r>
          </w:p>
        </w:tc>
        <w:tc>
          <w:tcPr>
            <w:tcW w:w="3260" w:type="dxa"/>
            <w:vAlign w:val="center"/>
          </w:tcPr>
          <w:p w14:paraId="1D658F1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（1）了解并能结合实例分析影响小学综合实践活动设计的主要因素</w:t>
            </w:r>
          </w:p>
          <w:p w14:paraId="7841650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（2）初步掌握小学综合实践活动设计的基本要求及一般原则</w:t>
            </w:r>
          </w:p>
        </w:tc>
        <w:tc>
          <w:tcPr>
            <w:tcW w:w="1560" w:type="dxa"/>
            <w:vAlign w:val="center"/>
          </w:tcPr>
          <w:p w14:paraId="48A0F75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398FE5C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1E0D69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38" w:type="dxa"/>
            <w:vAlign w:val="center"/>
          </w:tcPr>
          <w:p w14:paraId="6945A01D">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BF2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1A4770A6">
            <w:pPr>
              <w:spacing w:line="276" w:lineRule="auto"/>
              <w:jc w:val="center"/>
              <w:rPr>
                <w:rFonts w:hint="eastAsia" w:ascii="宋体" w:hAnsi="宋体" w:eastAsia="宋体" w:cs="Times New Roman"/>
                <w:color w:val="000000"/>
                <w:szCs w:val="21"/>
              </w:rPr>
            </w:pPr>
          </w:p>
        </w:tc>
        <w:tc>
          <w:tcPr>
            <w:tcW w:w="8093" w:type="dxa"/>
            <w:gridSpan w:val="5"/>
            <w:vAlign w:val="center"/>
          </w:tcPr>
          <w:p w14:paraId="2E6FEBF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养成严谨治学的态度，掌握科学、严谨的学习方法，强化学习意识，注重创新精神和实践能力的提升，树立以学生为主体的设计理念，增强团队合作意识与沟通表达能力。</w:t>
            </w:r>
          </w:p>
        </w:tc>
      </w:tr>
      <w:tr w14:paraId="5768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6A532C2">
            <w:pPr>
              <w:spacing w:line="276" w:lineRule="auto"/>
              <w:jc w:val="center"/>
              <w:rPr>
                <w:rFonts w:hint="eastAsia" w:ascii="宋体" w:hAnsi="宋体" w:eastAsia="宋体" w:cs="Times New Roman"/>
                <w:color w:val="000000"/>
                <w:szCs w:val="21"/>
              </w:rPr>
            </w:pPr>
            <w:bookmarkStart w:id="2846" w:name="_Hlk183762484"/>
            <w:r>
              <w:rPr>
                <w:rFonts w:hint="eastAsia" w:ascii="宋体" w:hAnsi="宋体" w:eastAsia="宋体" w:cs="Times New Roman"/>
                <w:color w:val="000000"/>
                <w:szCs w:val="21"/>
              </w:rPr>
              <w:t>5</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小学综合实践活动设计的过程</w:t>
            </w:r>
          </w:p>
        </w:tc>
        <w:tc>
          <w:tcPr>
            <w:tcW w:w="1701" w:type="dxa"/>
            <w:vAlign w:val="center"/>
          </w:tcPr>
          <w:p w14:paraId="57F6CDB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（1）小学综合实践活动设计的一般过程</w:t>
            </w:r>
          </w:p>
          <w:p w14:paraId="33A0302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（2）小学综合实践活动方案的生成</w:t>
            </w:r>
          </w:p>
          <w:p w14:paraId="43A7C5B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（3）小学综合实践活动方案的撰写及呈现形式</w:t>
            </w:r>
          </w:p>
        </w:tc>
        <w:tc>
          <w:tcPr>
            <w:tcW w:w="1134" w:type="dxa"/>
            <w:vAlign w:val="center"/>
          </w:tcPr>
          <w:p w14:paraId="4C20077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课程目标2、4</w:t>
            </w:r>
          </w:p>
        </w:tc>
        <w:tc>
          <w:tcPr>
            <w:tcW w:w="3260" w:type="dxa"/>
            <w:vAlign w:val="center"/>
          </w:tcPr>
          <w:p w14:paraId="3445D1B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（1）理解小学综合实践活动设计的一般过程</w:t>
            </w:r>
          </w:p>
          <w:p w14:paraId="748D1CB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（2）掌握小学综合实践活动设计方案的设计方法</w:t>
            </w:r>
          </w:p>
          <w:p w14:paraId="22620DD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（3）会独立撰写小学综合实践活动设计方案，并能用恰当的方式呈现</w:t>
            </w:r>
          </w:p>
        </w:tc>
        <w:tc>
          <w:tcPr>
            <w:tcW w:w="1560" w:type="dxa"/>
            <w:vAlign w:val="center"/>
          </w:tcPr>
          <w:p w14:paraId="438928B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5FB67E7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486636E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3.方案设计</w:t>
            </w:r>
          </w:p>
          <w:p w14:paraId="4C3D27B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4.自主学习</w:t>
            </w:r>
          </w:p>
        </w:tc>
        <w:tc>
          <w:tcPr>
            <w:tcW w:w="438" w:type="dxa"/>
            <w:vAlign w:val="center"/>
          </w:tcPr>
          <w:p w14:paraId="2072EFF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1278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57C986FF">
            <w:pPr>
              <w:spacing w:line="276" w:lineRule="auto"/>
              <w:jc w:val="center"/>
              <w:rPr>
                <w:rFonts w:hint="eastAsia" w:ascii="宋体" w:hAnsi="宋体" w:eastAsia="宋体" w:cs="Times New Roman"/>
                <w:color w:val="000000"/>
                <w:szCs w:val="21"/>
              </w:rPr>
            </w:pPr>
          </w:p>
        </w:tc>
        <w:tc>
          <w:tcPr>
            <w:tcW w:w="8093" w:type="dxa"/>
            <w:gridSpan w:val="5"/>
            <w:vAlign w:val="center"/>
          </w:tcPr>
          <w:p w14:paraId="2125AD7E">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养成严谨治学的态度，掌握科学、严谨的学习方法，强化学习意识，注重创新精神和实践能力的提升，树立以学生为主体的设计理念，增强团队合作意识与沟通表达能力。</w:t>
            </w:r>
          </w:p>
        </w:tc>
      </w:tr>
      <w:tr w14:paraId="090C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49B15E1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小学综合实践活动设计的方法</w:t>
            </w:r>
          </w:p>
        </w:tc>
        <w:tc>
          <w:tcPr>
            <w:tcW w:w="1701" w:type="dxa"/>
            <w:vAlign w:val="center"/>
          </w:tcPr>
          <w:p w14:paraId="1CD7628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（1）小学综合实践活动总体规划及其方法</w:t>
            </w:r>
          </w:p>
          <w:p w14:paraId="098A224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（2）小学综合实践活动系列主题活动的设计</w:t>
            </w:r>
          </w:p>
          <w:p w14:paraId="11E797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（3）小学综合实践活动单一主题活动的设计</w:t>
            </w:r>
          </w:p>
        </w:tc>
        <w:tc>
          <w:tcPr>
            <w:tcW w:w="1134" w:type="dxa"/>
            <w:vAlign w:val="center"/>
          </w:tcPr>
          <w:p w14:paraId="7A0A0E7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课程目标2、4</w:t>
            </w:r>
          </w:p>
        </w:tc>
        <w:tc>
          <w:tcPr>
            <w:tcW w:w="3260" w:type="dxa"/>
            <w:vAlign w:val="center"/>
          </w:tcPr>
          <w:p w14:paraId="564A03F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（1）理解综合实践活动总体规划的含义、内容及方法</w:t>
            </w:r>
          </w:p>
          <w:p w14:paraId="1AC1607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（2）学会系列主题活动和单一主题活动方案的设计</w:t>
            </w:r>
          </w:p>
          <w:p w14:paraId="7571FEE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（3）理解综合实践主题活动设计的整合思路和方法</w:t>
            </w:r>
          </w:p>
        </w:tc>
        <w:tc>
          <w:tcPr>
            <w:tcW w:w="1560" w:type="dxa"/>
            <w:vAlign w:val="center"/>
          </w:tcPr>
          <w:p w14:paraId="2A8F909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2DA01AA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04FDDB4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3.方案设计</w:t>
            </w:r>
          </w:p>
          <w:p w14:paraId="7486649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4.自主学习</w:t>
            </w:r>
          </w:p>
        </w:tc>
        <w:tc>
          <w:tcPr>
            <w:tcW w:w="438" w:type="dxa"/>
            <w:vAlign w:val="center"/>
          </w:tcPr>
          <w:p w14:paraId="475B9DB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bookmarkEnd w:id="2846"/>
      <w:tr w14:paraId="3064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42C365E0">
            <w:pPr>
              <w:spacing w:line="276" w:lineRule="auto"/>
              <w:jc w:val="center"/>
              <w:rPr>
                <w:rFonts w:hint="eastAsia" w:ascii="宋体" w:hAnsi="宋体" w:eastAsia="宋体" w:cs="Times New Roman"/>
                <w:color w:val="000000"/>
                <w:szCs w:val="21"/>
              </w:rPr>
            </w:pPr>
          </w:p>
        </w:tc>
        <w:tc>
          <w:tcPr>
            <w:tcW w:w="8093" w:type="dxa"/>
            <w:gridSpan w:val="5"/>
            <w:vAlign w:val="center"/>
          </w:tcPr>
          <w:p w14:paraId="2CCAA9C7">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养成严谨治学的态度，掌握科学、严谨的学习方法，强化学习意识，注重创新精神和实践能力的提升，树立以学生为主体的设计理念，增强团队合作意识与沟通表达能力。</w:t>
            </w:r>
          </w:p>
        </w:tc>
      </w:tr>
      <w:tr w14:paraId="118C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7E81234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小学综合实践活动方案的优化</w:t>
            </w:r>
          </w:p>
        </w:tc>
        <w:tc>
          <w:tcPr>
            <w:tcW w:w="1701" w:type="dxa"/>
            <w:vAlign w:val="center"/>
          </w:tcPr>
          <w:p w14:paraId="319856D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（1）小学综合实践活动方案的评价</w:t>
            </w:r>
          </w:p>
          <w:p w14:paraId="771C2DC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（2）小学综合实践活动方案的优化</w:t>
            </w:r>
          </w:p>
        </w:tc>
        <w:tc>
          <w:tcPr>
            <w:tcW w:w="1134" w:type="dxa"/>
            <w:vAlign w:val="center"/>
          </w:tcPr>
          <w:p w14:paraId="43859CD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课程目标2、4</w:t>
            </w:r>
          </w:p>
        </w:tc>
        <w:tc>
          <w:tcPr>
            <w:tcW w:w="3260" w:type="dxa"/>
            <w:vAlign w:val="center"/>
          </w:tcPr>
          <w:p w14:paraId="2362C54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（1）理解综合实践活动方案评价的依据、内容及方法</w:t>
            </w:r>
          </w:p>
          <w:p w14:paraId="72A2DAE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（2）能对综合实践活动方案进行优化处理</w:t>
            </w:r>
          </w:p>
        </w:tc>
        <w:tc>
          <w:tcPr>
            <w:tcW w:w="1560" w:type="dxa"/>
            <w:vAlign w:val="center"/>
          </w:tcPr>
          <w:p w14:paraId="0ABC850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8FAC7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36DC4A6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.方案设计</w:t>
            </w:r>
          </w:p>
          <w:p w14:paraId="3F389A0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38" w:type="dxa"/>
            <w:vAlign w:val="center"/>
          </w:tcPr>
          <w:p w14:paraId="45A2A70B">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21CC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68CDA28D">
            <w:pPr>
              <w:spacing w:line="276" w:lineRule="auto"/>
              <w:jc w:val="center"/>
              <w:rPr>
                <w:rFonts w:hint="eastAsia" w:ascii="宋体" w:hAnsi="宋体" w:eastAsia="宋体" w:cs="Times New Roman"/>
                <w:color w:val="000000"/>
                <w:szCs w:val="21"/>
              </w:rPr>
            </w:pPr>
          </w:p>
        </w:tc>
        <w:tc>
          <w:tcPr>
            <w:tcW w:w="8093" w:type="dxa"/>
            <w:gridSpan w:val="5"/>
            <w:vAlign w:val="center"/>
          </w:tcPr>
          <w:p w14:paraId="4F1AD23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养成严谨治学的态度，掌握科学、严谨的学习方法，树立全面的评价理念，增强专业自信心；增强团队合作意识与沟通表达能力。</w:t>
            </w:r>
          </w:p>
        </w:tc>
      </w:tr>
      <w:tr w14:paraId="0065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1083DFE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小学综合实践活动课程的实施</w:t>
            </w:r>
          </w:p>
        </w:tc>
        <w:tc>
          <w:tcPr>
            <w:tcW w:w="1701" w:type="dxa"/>
            <w:vAlign w:val="center"/>
          </w:tcPr>
          <w:p w14:paraId="5892E37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（1）综合实践活动课程实施的特点</w:t>
            </w:r>
          </w:p>
          <w:p w14:paraId="24ABAA1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（2）小学综合实践活动课程实施的主体、任务及过程</w:t>
            </w:r>
          </w:p>
          <w:p w14:paraId="31A74D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（3）小学综合实践活动课程实施中的问题</w:t>
            </w:r>
          </w:p>
        </w:tc>
        <w:tc>
          <w:tcPr>
            <w:tcW w:w="1134" w:type="dxa"/>
            <w:vAlign w:val="center"/>
          </w:tcPr>
          <w:p w14:paraId="7D60EAD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课程目标3、4</w:t>
            </w:r>
          </w:p>
        </w:tc>
        <w:tc>
          <w:tcPr>
            <w:tcW w:w="3260" w:type="dxa"/>
            <w:vAlign w:val="center"/>
          </w:tcPr>
          <w:p w14:paraId="01BA836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（1）了解小学综合实践活动课程实施的特点、主体、任务与过程</w:t>
            </w:r>
          </w:p>
          <w:p w14:paraId="3A2AA3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（2）正确对待小学综合实践活动课程中的问题</w:t>
            </w:r>
          </w:p>
          <w:p w14:paraId="44DFE03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（3）具备初步实施综合实践活动课程的能力</w:t>
            </w:r>
          </w:p>
        </w:tc>
        <w:tc>
          <w:tcPr>
            <w:tcW w:w="1560" w:type="dxa"/>
            <w:vAlign w:val="center"/>
          </w:tcPr>
          <w:p w14:paraId="53B897A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76148B4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1143A51">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.课内实践</w:t>
            </w:r>
          </w:p>
          <w:p w14:paraId="59D83C6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自主学习</w:t>
            </w:r>
          </w:p>
        </w:tc>
        <w:tc>
          <w:tcPr>
            <w:tcW w:w="438" w:type="dxa"/>
            <w:vAlign w:val="center"/>
          </w:tcPr>
          <w:p w14:paraId="7953E83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14</w:t>
            </w:r>
          </w:p>
        </w:tc>
      </w:tr>
      <w:tr w14:paraId="5BD1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17BEC58E">
            <w:pPr>
              <w:spacing w:line="276" w:lineRule="auto"/>
              <w:jc w:val="center"/>
              <w:rPr>
                <w:rFonts w:hint="eastAsia" w:ascii="宋体" w:hAnsi="宋体" w:eastAsia="宋体" w:cs="Times New Roman"/>
                <w:color w:val="000000"/>
                <w:szCs w:val="21"/>
              </w:rPr>
            </w:pPr>
          </w:p>
        </w:tc>
        <w:tc>
          <w:tcPr>
            <w:tcW w:w="8093" w:type="dxa"/>
            <w:gridSpan w:val="5"/>
            <w:vAlign w:val="center"/>
          </w:tcPr>
          <w:p w14:paraId="386E6573">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养成严谨治学的态度，掌握科学、严谨的学习方法，注重创新精神和实践能力的提升，树立全面的评价理念，增强团队合作意识与沟通表达能力。</w:t>
            </w:r>
          </w:p>
        </w:tc>
      </w:tr>
      <w:tr w14:paraId="2DF8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4AB1A3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w:t>
            </w:r>
            <w:r>
              <w:rPr>
                <w:rFonts w:hint="eastAsia" w:ascii="宋体" w:hAnsi="宋体" w:eastAsia="宋体" w:cs="Times New Roman"/>
                <w:color w:val="000000"/>
                <w:szCs w:val="21"/>
              </w:rPr>
              <w:t xml:space="preserve"> 小学综合实践活动课程的管理</w:t>
            </w:r>
          </w:p>
        </w:tc>
        <w:tc>
          <w:tcPr>
            <w:tcW w:w="1701" w:type="dxa"/>
            <w:vAlign w:val="center"/>
          </w:tcPr>
          <w:p w14:paraId="4A0FF68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（1）综合实践活动管理概述</w:t>
            </w:r>
          </w:p>
          <w:p w14:paraId="0F04E93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（2）综合实践活动课程资源的开发与利用</w:t>
            </w:r>
          </w:p>
          <w:p w14:paraId="37419AB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（3）综合实践活动中的指导教师</w:t>
            </w:r>
          </w:p>
          <w:p w14:paraId="24E58ED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（4）小学综合实践活动课程的评价</w:t>
            </w:r>
          </w:p>
        </w:tc>
        <w:tc>
          <w:tcPr>
            <w:tcW w:w="1134" w:type="dxa"/>
            <w:vAlign w:val="center"/>
          </w:tcPr>
          <w:p w14:paraId="7823D5E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课程目标3、4</w:t>
            </w:r>
          </w:p>
        </w:tc>
        <w:tc>
          <w:tcPr>
            <w:tcW w:w="3260" w:type="dxa"/>
            <w:vAlign w:val="center"/>
          </w:tcPr>
          <w:p w14:paraId="0A33FDF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（1）明确学校在综合实践活动管理中的作用及管理要求</w:t>
            </w:r>
          </w:p>
          <w:p w14:paraId="4D41E95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（2）知道如何进行综合实践活动课程资源的开发和利用</w:t>
            </w:r>
          </w:p>
          <w:p w14:paraId="1DCDB18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（3）理解指导教师在综合实践活动中的职责和义务</w:t>
            </w:r>
          </w:p>
          <w:p w14:paraId="16A78D2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（4）明确担任综合实践活动指导教师的资格条件</w:t>
            </w:r>
          </w:p>
        </w:tc>
        <w:tc>
          <w:tcPr>
            <w:tcW w:w="1560" w:type="dxa"/>
            <w:vAlign w:val="center"/>
          </w:tcPr>
          <w:p w14:paraId="5989A92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1.理论讲解</w:t>
            </w:r>
          </w:p>
          <w:p w14:paraId="0A062B1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2.课堂讨论</w:t>
            </w:r>
          </w:p>
          <w:p w14:paraId="2055EBDD">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38" w:type="dxa"/>
            <w:vAlign w:val="center"/>
          </w:tcPr>
          <w:p w14:paraId="1438D65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r>
      <w:tr w14:paraId="7EFE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CA0FB21">
            <w:pPr>
              <w:spacing w:line="276" w:lineRule="auto"/>
              <w:jc w:val="center"/>
              <w:rPr>
                <w:rFonts w:hint="eastAsia" w:ascii="宋体" w:hAnsi="宋体" w:eastAsia="宋体" w:cs="Times New Roman"/>
                <w:color w:val="000000"/>
                <w:szCs w:val="21"/>
              </w:rPr>
            </w:pPr>
          </w:p>
        </w:tc>
        <w:tc>
          <w:tcPr>
            <w:tcW w:w="8093" w:type="dxa"/>
            <w:gridSpan w:val="5"/>
            <w:vAlign w:val="center"/>
          </w:tcPr>
          <w:p w14:paraId="7DF46A3C">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养成严谨治学的态度，掌握科学、严谨的学习方法，注重创新精神和实践能力的提升，增强团队合作意识与沟通表达能力。</w:t>
            </w:r>
          </w:p>
        </w:tc>
      </w:tr>
    </w:tbl>
    <w:p w14:paraId="7904BD84">
      <w:pPr>
        <w:spacing w:line="360" w:lineRule="auto"/>
        <w:jc w:val="left"/>
        <w:rPr>
          <w:rFonts w:ascii="Times New Roman" w:hAnsi="Times New Roman" w:eastAsia="宋体" w:cs="Times New Roman"/>
          <w:sz w:val="24"/>
          <w:szCs w:val="24"/>
        </w:rPr>
      </w:pPr>
    </w:p>
    <w:p w14:paraId="3B63882C">
      <w:pPr>
        <w:spacing w:line="360" w:lineRule="auto"/>
        <w:jc w:val="left"/>
        <w:outlineLvl w:val="0"/>
        <w:rPr>
          <w:rFonts w:ascii="Times New Roman" w:hAnsi="Times New Roman" w:eastAsia="宋体" w:cs="Times New Roman"/>
          <w:sz w:val="24"/>
          <w:szCs w:val="24"/>
        </w:rPr>
      </w:pPr>
      <w:bookmarkStart w:id="2847" w:name="_Toc29798"/>
      <w:bookmarkStart w:id="2848" w:name="_Toc4524"/>
      <w:bookmarkStart w:id="2849" w:name="_Toc16551"/>
      <w:bookmarkStart w:id="2850" w:name="_Toc388"/>
      <w:bookmarkStart w:id="2851" w:name="_Toc15120"/>
      <w:bookmarkStart w:id="2852" w:name="_Toc15706"/>
      <w:bookmarkStart w:id="2853" w:name="_Toc27343"/>
      <w:r>
        <w:rPr>
          <w:rFonts w:hint="eastAsia" w:ascii="宋体" w:hAnsi="宋体" w:eastAsia="宋体" w:cs="Times New Roman"/>
          <w:b/>
          <w:color w:val="000000"/>
          <w:sz w:val="24"/>
          <w:szCs w:val="24"/>
        </w:rPr>
        <w:t>四、目标评价与成绩评定</w:t>
      </w:r>
      <w:bookmarkEnd w:id="2847"/>
      <w:bookmarkEnd w:id="2848"/>
      <w:bookmarkEnd w:id="2849"/>
      <w:bookmarkEnd w:id="2850"/>
      <w:bookmarkEnd w:id="2851"/>
      <w:bookmarkEnd w:id="2852"/>
      <w:bookmarkEnd w:id="2853"/>
    </w:p>
    <w:p w14:paraId="4C4EC9BE">
      <w:pPr>
        <w:spacing w:line="360" w:lineRule="auto"/>
        <w:jc w:val="left"/>
        <w:outlineLvl w:val="1"/>
        <w:rPr>
          <w:rFonts w:ascii="Times New Roman" w:hAnsi="Times New Roman" w:eastAsia="宋体" w:cs="Times New Roman"/>
          <w:b/>
          <w:szCs w:val="21"/>
        </w:rPr>
      </w:pPr>
      <w:bookmarkStart w:id="2854" w:name="_Toc28544"/>
      <w:r>
        <w:rPr>
          <w:rFonts w:hint="eastAsia" w:ascii="Times New Roman" w:hAnsi="Times New Roman" w:eastAsia="宋体" w:cs="Times New Roman"/>
          <w:b/>
          <w:szCs w:val="21"/>
        </w:rPr>
        <w:t>（一）课程目标评价方式</w:t>
      </w:r>
      <w:bookmarkEnd w:id="2854"/>
    </w:p>
    <w:p w14:paraId="367BCEA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A21E05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6A5A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2930B52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0D63997C">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86F6882">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279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31EEE06F">
            <w:pPr>
              <w:spacing w:line="360" w:lineRule="auto"/>
              <w:jc w:val="center"/>
              <w:rPr>
                <w:rFonts w:hint="eastAsia" w:ascii="宋体" w:hAnsi="宋体" w:eastAsia="宋体" w:cs="Times New Roman"/>
                <w:szCs w:val="21"/>
              </w:rPr>
            </w:pPr>
          </w:p>
        </w:tc>
        <w:tc>
          <w:tcPr>
            <w:tcW w:w="0" w:type="auto"/>
            <w:vAlign w:val="center"/>
          </w:tcPr>
          <w:p w14:paraId="5B1E261B">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50433DDE">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1383DAD5">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0" w:type="auto"/>
            <w:vAlign w:val="center"/>
          </w:tcPr>
          <w:p w14:paraId="538549CC">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47759FFF">
            <w:pPr>
              <w:spacing w:line="360" w:lineRule="auto"/>
              <w:jc w:val="center"/>
              <w:rPr>
                <w:rFonts w:hint="eastAsia" w:ascii="宋体" w:hAnsi="宋体" w:eastAsia="宋体" w:cs="Times New Roman"/>
                <w:szCs w:val="21"/>
              </w:rPr>
            </w:pPr>
          </w:p>
        </w:tc>
      </w:tr>
      <w:tr w14:paraId="732B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5098CB9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BD627A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E6D6EE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FEA56B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190A4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80C471C">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5</w:t>
            </w:r>
          </w:p>
        </w:tc>
      </w:tr>
      <w:tr w14:paraId="4C71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B7EFAB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637B08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D9523A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B134E5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AFB9C5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F2B67CA">
            <w:pPr>
              <w:spacing w:line="360" w:lineRule="auto"/>
              <w:jc w:val="center"/>
              <w:rPr>
                <w:rFonts w:hint="eastAsia" w:ascii="宋体" w:hAnsi="宋体" w:eastAsia="宋体" w:cs="Times New Roman"/>
                <w:szCs w:val="21"/>
              </w:rPr>
            </w:pPr>
            <w:r>
              <w:rPr>
                <w:rFonts w:ascii="宋体" w:hAnsi="宋体" w:eastAsia="宋体" w:cs="Times New Roman"/>
                <w:szCs w:val="21"/>
              </w:rPr>
              <w:t>35</w:t>
            </w:r>
          </w:p>
        </w:tc>
      </w:tr>
      <w:tr w14:paraId="7105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46C1FF2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65E3A33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03B233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375E61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E7BCF7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BA2D06">
            <w:pPr>
              <w:spacing w:line="360" w:lineRule="auto"/>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5</w:t>
            </w:r>
          </w:p>
        </w:tc>
      </w:tr>
      <w:tr w14:paraId="18F1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1FBD336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0" w:type="auto"/>
            <w:vAlign w:val="center"/>
          </w:tcPr>
          <w:p w14:paraId="7D5F4B0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793942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830B5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256D3CC">
            <w:pPr>
              <w:spacing w:line="360" w:lineRule="auto"/>
              <w:jc w:val="center"/>
              <w:rPr>
                <w:rFonts w:hint="eastAsia" w:ascii="宋体" w:hAnsi="宋体" w:eastAsia="宋体" w:cs="Times New Roman"/>
                <w:szCs w:val="21"/>
              </w:rPr>
            </w:pPr>
          </w:p>
        </w:tc>
        <w:tc>
          <w:tcPr>
            <w:tcW w:w="0" w:type="auto"/>
            <w:vAlign w:val="center"/>
          </w:tcPr>
          <w:p w14:paraId="2D87982F">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7816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5B798CF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1775964">
            <w:pPr>
              <w:spacing w:line="360" w:lineRule="auto"/>
              <w:jc w:val="center"/>
              <w:rPr>
                <w:rFonts w:hint="eastAsia" w:ascii="宋体" w:hAnsi="宋体" w:eastAsia="宋体" w:cs="Times New Roman"/>
                <w:szCs w:val="21"/>
              </w:rPr>
            </w:pPr>
            <w:r>
              <w:rPr>
                <w:rFonts w:ascii="宋体" w:hAnsi="宋体" w:eastAsia="宋体" w:cs="Times New Roman"/>
                <w:szCs w:val="21"/>
              </w:rPr>
              <w:t>20</w:t>
            </w:r>
          </w:p>
        </w:tc>
        <w:tc>
          <w:tcPr>
            <w:tcW w:w="0" w:type="auto"/>
            <w:vAlign w:val="center"/>
          </w:tcPr>
          <w:p w14:paraId="2C637631">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430697CF">
            <w:pPr>
              <w:spacing w:line="360" w:lineRule="auto"/>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0" w:type="auto"/>
            <w:vAlign w:val="center"/>
          </w:tcPr>
          <w:p w14:paraId="78C9141D">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3DB81ED0">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89F02A2">
      <w:pPr>
        <w:spacing w:before="156" w:beforeLines="50" w:line="360" w:lineRule="auto"/>
        <w:jc w:val="left"/>
        <w:outlineLvl w:val="1"/>
        <w:rPr>
          <w:rFonts w:ascii="Times New Roman" w:hAnsi="Times New Roman" w:eastAsia="宋体" w:cs="Times New Roman"/>
          <w:b/>
          <w:szCs w:val="21"/>
        </w:rPr>
      </w:pPr>
      <w:bookmarkStart w:id="2855" w:name="_Toc18848"/>
      <w:r>
        <w:rPr>
          <w:rFonts w:hint="eastAsia" w:ascii="Times New Roman" w:hAnsi="Times New Roman" w:eastAsia="宋体" w:cs="Times New Roman"/>
          <w:b/>
          <w:szCs w:val="21"/>
        </w:rPr>
        <w:t>（二）成绩评定细则</w:t>
      </w:r>
      <w:bookmarkEnd w:id="2855"/>
    </w:p>
    <w:p w14:paraId="2E531BF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DB0E1B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6B1F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D6F6C6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7A74869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586984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C7F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4D15B9D">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5ABBDF2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4C5EA1FF">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267C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0C35709">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4175F96C">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课堂表现。</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F512F3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DA4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ED04F36">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6924" w:type="dxa"/>
            <w:vAlign w:val="center"/>
          </w:tcPr>
          <w:p w14:paraId="7E12719D">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认真完成</w:t>
            </w:r>
            <w:r>
              <w:rPr>
                <w:rFonts w:ascii="宋体" w:hAnsi="宋体" w:eastAsia="宋体" w:cs="宋体"/>
                <w:color w:val="000000"/>
                <w:kern w:val="0"/>
                <w:szCs w:val="21"/>
                <w:lang w:bidi="ar"/>
              </w:rPr>
              <w:t>4个项目的课内实践，</w:t>
            </w:r>
            <w:r>
              <w:rPr>
                <w:rFonts w:hint="eastAsia" w:ascii="宋体" w:hAnsi="宋体" w:eastAsia="宋体" w:cs="宋体"/>
                <w:color w:val="000000"/>
                <w:kern w:val="0"/>
                <w:szCs w:val="21"/>
                <w:lang w:bidi="ar"/>
              </w:rPr>
              <w:t>在认真学习综合实践设计理论的基础上</w:t>
            </w:r>
            <w:r>
              <w:rPr>
                <w:rFonts w:ascii="宋体" w:hAnsi="宋体" w:eastAsia="宋体" w:cs="宋体"/>
                <w:color w:val="000000"/>
                <w:kern w:val="0"/>
                <w:szCs w:val="21"/>
                <w:lang w:bidi="ar"/>
              </w:rPr>
              <w:t>，尝试进行</w:t>
            </w:r>
            <w:r>
              <w:rPr>
                <w:rFonts w:hint="eastAsia" w:ascii="宋体" w:hAnsi="宋体" w:eastAsia="宋体" w:cs="宋体"/>
                <w:color w:val="000000"/>
                <w:kern w:val="0"/>
                <w:szCs w:val="21"/>
                <w:lang w:bidi="ar"/>
              </w:rPr>
              <w:t>相关内容的综合实践活动设计并付诸实施</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实行组内互评与教师评价相结合的方式。</w:t>
            </w:r>
            <w:r>
              <w:rPr>
                <w:rFonts w:ascii="宋体" w:hAnsi="宋体" w:eastAsia="宋体" w:cs="宋体"/>
                <w:color w:val="000000"/>
                <w:kern w:val="0"/>
                <w:szCs w:val="21"/>
                <w:lang w:bidi="ar"/>
              </w:rPr>
              <w:t>4个项目成绩取平均分作为课内实践分。</w:t>
            </w:r>
          </w:p>
        </w:tc>
        <w:tc>
          <w:tcPr>
            <w:tcW w:w="0" w:type="auto"/>
            <w:vAlign w:val="center"/>
          </w:tcPr>
          <w:p w14:paraId="6A7E26A8">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644E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A37FE4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69D16CFB">
            <w:pPr>
              <w:spacing w:line="264" w:lineRule="auto"/>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本课程考核的方式为开卷笔试。有下列情况之一者，总评成绩为不及格：</w:t>
            </w:r>
          </w:p>
          <w:p w14:paraId="41D62814">
            <w:pPr>
              <w:spacing w:line="264" w:lineRule="auto"/>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（1）缺交作业次数达1/3以上者。</w:t>
            </w:r>
          </w:p>
          <w:p w14:paraId="3263BDCF">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（2）缺课次数达本学期总授课学时的1/3以上者。</w:t>
            </w:r>
          </w:p>
        </w:tc>
        <w:tc>
          <w:tcPr>
            <w:tcW w:w="0" w:type="auto"/>
            <w:vAlign w:val="center"/>
          </w:tcPr>
          <w:p w14:paraId="2BB3F540">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1166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717D9C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2698B37">
            <w:pPr>
              <w:jc w:val="left"/>
              <w:rPr>
                <w:rFonts w:ascii="Times New Roman" w:hAnsi="Times New Roman" w:eastAsia="宋体" w:cs="Times New Roman"/>
                <w:szCs w:val="21"/>
              </w:rPr>
            </w:pPr>
          </w:p>
        </w:tc>
        <w:tc>
          <w:tcPr>
            <w:tcW w:w="0" w:type="auto"/>
            <w:vAlign w:val="center"/>
          </w:tcPr>
          <w:p w14:paraId="702B3D2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84B9B28">
      <w:pPr>
        <w:spacing w:line="360" w:lineRule="auto"/>
        <w:jc w:val="left"/>
        <w:rPr>
          <w:rFonts w:hint="eastAsia" w:ascii="宋体" w:hAnsi="宋体" w:eastAsia="宋体" w:cs="Times New Roman"/>
          <w:b/>
          <w:color w:val="000000"/>
          <w:szCs w:val="21"/>
        </w:rPr>
      </w:pPr>
    </w:p>
    <w:p w14:paraId="091F9CC8">
      <w:pPr>
        <w:spacing w:line="360" w:lineRule="auto"/>
        <w:jc w:val="left"/>
        <w:outlineLvl w:val="1"/>
        <w:rPr>
          <w:rFonts w:hint="eastAsia" w:ascii="宋体" w:hAnsi="宋体" w:eastAsia="宋体" w:cs="Times New Roman"/>
          <w:b/>
          <w:color w:val="000000"/>
          <w:szCs w:val="21"/>
        </w:rPr>
      </w:pPr>
      <w:bookmarkStart w:id="2856" w:name="_Toc1641"/>
      <w:r>
        <w:rPr>
          <w:rFonts w:hint="eastAsia" w:ascii="宋体" w:hAnsi="宋体" w:eastAsia="宋体" w:cs="Times New Roman"/>
          <w:b/>
          <w:color w:val="000000"/>
          <w:szCs w:val="21"/>
        </w:rPr>
        <w:t>（三）课程目标达成度计算方法</w:t>
      </w:r>
      <w:bookmarkEnd w:id="2856"/>
    </w:p>
    <w:p w14:paraId="56611D3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0269C96">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76" o:spt="75" type="#_x0000_t75" style="height:25.05pt;width:404.75pt;" o:ole="t" filled="f" o:preferrelative="t" stroked="f" coordsize="21600,21600">
            <v:path/>
            <v:fill on="f" focussize="0,0"/>
            <v:stroke on="f" joinstyle="miter"/>
            <v:imagedata r:id="rId5" o:title=""/>
            <o:lock v:ext="edit" aspectratio="t"/>
            <w10:wrap type="none"/>
            <w10:anchorlock/>
          </v:shape>
          <o:OLEObject Type="Embed" ProgID="Equation.3" ShapeID="_x0000_i1076" DrawAspect="Content" ObjectID="_1468075776" r:id="rId59">
            <o:LockedField>false</o:LockedField>
          </o:OLEObject>
        </w:object>
      </w:r>
    </w:p>
    <w:p w14:paraId="59E46FA8">
      <w:pPr>
        <w:spacing w:before="156" w:beforeLines="50" w:line="360" w:lineRule="auto"/>
        <w:jc w:val="left"/>
        <w:outlineLvl w:val="0"/>
        <w:rPr>
          <w:rFonts w:ascii="Times New Roman" w:hAnsi="Times New Roman" w:eastAsia="宋体" w:cs="Times New Roman"/>
          <w:b/>
          <w:sz w:val="24"/>
          <w:szCs w:val="24"/>
        </w:rPr>
      </w:pPr>
      <w:bookmarkStart w:id="2857" w:name="_Toc3145"/>
      <w:bookmarkStart w:id="2858" w:name="_Toc5082"/>
      <w:bookmarkStart w:id="2859" w:name="_Toc10699"/>
      <w:bookmarkStart w:id="2860" w:name="_Toc9793"/>
      <w:bookmarkStart w:id="2861" w:name="_Toc10934"/>
      <w:bookmarkStart w:id="2862" w:name="_Toc6907"/>
      <w:bookmarkStart w:id="2863" w:name="_Toc32710"/>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bookmarkEnd w:id="2857"/>
      <w:bookmarkEnd w:id="2858"/>
      <w:bookmarkEnd w:id="2859"/>
      <w:bookmarkEnd w:id="2860"/>
      <w:bookmarkEnd w:id="2861"/>
      <w:bookmarkEnd w:id="2862"/>
      <w:bookmarkEnd w:id="2863"/>
    </w:p>
    <w:p w14:paraId="72490C54">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本课程在理论教学的基础上，安排了4个课内实践项目（共</w:t>
      </w:r>
      <w:r>
        <w:rPr>
          <w:rFonts w:ascii="宋体" w:hAnsi="宋体" w:eastAsia="宋体" w:cs="Times New Roman"/>
          <w:szCs w:val="21"/>
        </w:rPr>
        <w:t>16</w:t>
      </w:r>
      <w:r>
        <w:rPr>
          <w:rFonts w:hint="eastAsia" w:ascii="宋体" w:hAnsi="宋体" w:eastAsia="宋体" w:cs="Times New Roman"/>
          <w:szCs w:val="21"/>
        </w:rPr>
        <w:t>学时），体现了理论与实践的结合，强化对学生的课程思政。</w:t>
      </w:r>
    </w:p>
    <w:p w14:paraId="2EBF3D93">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过程学习及考核与思政教育</w:t>
      </w:r>
    </w:p>
    <w:tbl>
      <w:tblPr>
        <w:tblStyle w:val="1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6FA6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86E219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6EFC227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60B44AC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2B369BC">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260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8B208B3">
            <w:pPr>
              <w:rPr>
                <w:rFonts w:hint="eastAsia" w:ascii="宋体" w:hAnsi="宋体" w:eastAsia="宋体" w:cs="Times New Roman"/>
                <w:szCs w:val="21"/>
              </w:rPr>
            </w:pPr>
            <w:r>
              <w:rPr>
                <w:rFonts w:hint="eastAsia" w:ascii="宋体" w:hAnsi="宋体" w:eastAsia="宋体" w:cs="Times New Roman"/>
                <w:szCs w:val="21"/>
              </w:rPr>
              <w:t>《中小学综合实践活动课程指导纲要》研读</w:t>
            </w:r>
          </w:p>
        </w:tc>
        <w:tc>
          <w:tcPr>
            <w:tcW w:w="3407" w:type="dxa"/>
            <w:vAlign w:val="center"/>
          </w:tcPr>
          <w:p w14:paraId="42435544">
            <w:pPr>
              <w:rPr>
                <w:rFonts w:hint="eastAsia" w:ascii="宋体" w:hAnsi="宋体" w:eastAsia="宋体" w:cs="Times New Roman"/>
                <w:szCs w:val="21"/>
              </w:rPr>
            </w:pPr>
            <w:r>
              <w:rPr>
                <w:rFonts w:hint="eastAsia" w:ascii="宋体" w:hAnsi="宋体" w:eastAsia="宋体" w:cs="Times New Roman"/>
                <w:szCs w:val="21"/>
              </w:rPr>
              <w:t>认真学习《中小学综合实践活动课程指导纲要》，</w:t>
            </w:r>
            <w:r>
              <w:rPr>
                <w:rFonts w:ascii="宋体" w:hAnsi="宋体" w:eastAsia="宋体" w:cs="Times New Roman"/>
                <w:szCs w:val="21"/>
              </w:rPr>
              <w:t>撰写一份</w:t>
            </w:r>
            <w:r>
              <w:rPr>
                <w:rFonts w:hint="eastAsia" w:ascii="宋体" w:hAnsi="宋体" w:eastAsia="宋体" w:cs="Times New Roman"/>
                <w:szCs w:val="21"/>
              </w:rPr>
              <w:t>学习报告</w:t>
            </w:r>
            <w:r>
              <w:rPr>
                <w:rFonts w:ascii="宋体" w:hAnsi="宋体" w:eastAsia="宋体" w:cs="Times New Roman"/>
                <w:szCs w:val="21"/>
              </w:rPr>
              <w:t>，并</w:t>
            </w:r>
            <w:r>
              <w:rPr>
                <w:rFonts w:hint="eastAsia" w:ascii="宋体" w:hAnsi="宋体" w:eastAsia="宋体" w:cs="Times New Roman"/>
                <w:szCs w:val="21"/>
              </w:rPr>
              <w:t>与</w:t>
            </w:r>
            <w:r>
              <w:rPr>
                <w:rFonts w:ascii="宋体" w:hAnsi="宋体" w:eastAsia="宋体" w:cs="Times New Roman"/>
                <w:szCs w:val="21"/>
              </w:rPr>
              <w:t>同学交流</w:t>
            </w:r>
          </w:p>
        </w:tc>
        <w:tc>
          <w:tcPr>
            <w:tcW w:w="740" w:type="dxa"/>
            <w:vAlign w:val="center"/>
          </w:tcPr>
          <w:p w14:paraId="16A8FFE2">
            <w:pPr>
              <w:spacing w:line="276" w:lineRule="auto"/>
              <w:jc w:val="center"/>
              <w:rPr>
                <w:rFonts w:hint="eastAsia" w:ascii="宋体" w:hAnsi="宋体" w:eastAsia="宋体" w:cs="Times New Roman"/>
                <w:szCs w:val="21"/>
              </w:rPr>
            </w:pPr>
            <w:r>
              <w:rPr>
                <w:rFonts w:hint="eastAsia" w:ascii="宋体" w:hAnsi="宋体" w:eastAsia="宋体" w:cs="Times New Roman"/>
                <w:szCs w:val="21"/>
              </w:rPr>
              <w:t>研讨</w:t>
            </w:r>
          </w:p>
          <w:p w14:paraId="5E14F012">
            <w:pPr>
              <w:spacing w:line="276" w:lineRule="auto"/>
              <w:jc w:val="center"/>
              <w:rPr>
                <w:rFonts w:hint="eastAsia" w:ascii="宋体" w:hAnsi="宋体" w:eastAsia="宋体" w:cs="Times New Roman"/>
                <w:szCs w:val="21"/>
              </w:rPr>
            </w:pPr>
            <w:r>
              <w:rPr>
                <w:rFonts w:hint="eastAsia" w:ascii="宋体" w:hAnsi="宋体" w:eastAsia="宋体" w:cs="Times New Roman"/>
                <w:szCs w:val="21"/>
              </w:rPr>
              <w:t>交流</w:t>
            </w:r>
          </w:p>
        </w:tc>
        <w:tc>
          <w:tcPr>
            <w:tcW w:w="3160" w:type="dxa"/>
          </w:tcPr>
          <w:p w14:paraId="0B141B5B">
            <w:pPr>
              <w:rPr>
                <w:rFonts w:hint="eastAsia" w:ascii="宋体" w:hAnsi="宋体" w:eastAsia="宋体" w:cs="Times New Roman"/>
                <w:szCs w:val="21"/>
              </w:rPr>
            </w:pPr>
            <w:r>
              <w:rPr>
                <w:rFonts w:hint="eastAsia" w:ascii="宋体" w:hAnsi="宋体" w:eastAsia="宋体" w:cs="Times New Roman"/>
                <w:szCs w:val="21"/>
              </w:rPr>
              <w:t>养成严谨治学的态度，掌握科学、严谨的学习方法，注重创新精神和实践能力的提升，增强专业自信心，增强团队合作意识与沟通表达能力。</w:t>
            </w:r>
          </w:p>
        </w:tc>
      </w:tr>
      <w:tr w14:paraId="0459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04F1FA1">
            <w:pPr>
              <w:rPr>
                <w:rFonts w:hint="eastAsia" w:ascii="宋体" w:hAnsi="宋体" w:eastAsia="宋体" w:cs="Times New Roman"/>
                <w:szCs w:val="21"/>
              </w:rPr>
            </w:pPr>
            <w:r>
              <w:rPr>
                <w:rFonts w:hint="eastAsia" w:ascii="宋体" w:hAnsi="宋体" w:eastAsia="宋体" w:cs="Times New Roman"/>
                <w:szCs w:val="21"/>
              </w:rPr>
              <w:t>研究性学习的设计与实施</w:t>
            </w:r>
          </w:p>
        </w:tc>
        <w:tc>
          <w:tcPr>
            <w:tcW w:w="3407" w:type="dxa"/>
            <w:vAlign w:val="center"/>
          </w:tcPr>
          <w:p w14:paraId="4911223A">
            <w:pPr>
              <w:rPr>
                <w:rFonts w:hint="eastAsia" w:ascii="宋体" w:hAnsi="宋体" w:eastAsia="宋体" w:cs="Times New Roman"/>
                <w:szCs w:val="21"/>
              </w:rPr>
            </w:pPr>
            <w:r>
              <w:rPr>
                <w:rFonts w:hint="eastAsia" w:ascii="宋体" w:hAnsi="宋体" w:eastAsia="宋体" w:cs="Times New Roman"/>
                <w:szCs w:val="21"/>
              </w:rPr>
              <w:t>选择</w:t>
            </w:r>
            <w:r>
              <w:rPr>
                <w:rFonts w:ascii="宋体" w:hAnsi="宋体" w:eastAsia="宋体" w:cs="Times New Roman"/>
                <w:szCs w:val="21"/>
              </w:rPr>
              <w:t>一个</w:t>
            </w:r>
            <w:r>
              <w:rPr>
                <w:rFonts w:hint="eastAsia" w:ascii="宋体" w:hAnsi="宋体" w:eastAsia="宋体" w:cs="Times New Roman"/>
                <w:szCs w:val="21"/>
              </w:rPr>
              <w:t>研究</w:t>
            </w:r>
            <w:r>
              <w:rPr>
                <w:rFonts w:ascii="宋体" w:hAnsi="宋体" w:eastAsia="宋体" w:cs="Times New Roman"/>
                <w:szCs w:val="21"/>
              </w:rPr>
              <w:t>性学习课题，</w:t>
            </w:r>
            <w:r>
              <w:rPr>
                <w:rFonts w:hint="eastAsia" w:ascii="宋体" w:hAnsi="宋体" w:eastAsia="宋体" w:cs="Times New Roman"/>
                <w:szCs w:val="21"/>
              </w:rPr>
              <w:t>设计</w:t>
            </w:r>
            <w:r>
              <w:rPr>
                <w:rFonts w:ascii="宋体" w:hAnsi="宋体" w:eastAsia="宋体" w:cs="Times New Roman"/>
                <w:szCs w:val="21"/>
              </w:rPr>
              <w:t>研究性学习方案，并具体开展</w:t>
            </w:r>
            <w:r>
              <w:rPr>
                <w:rFonts w:hint="eastAsia" w:ascii="宋体" w:hAnsi="宋体" w:eastAsia="宋体" w:cs="Times New Roman"/>
                <w:szCs w:val="21"/>
              </w:rPr>
              <w:t>进行一次专题研究</w:t>
            </w:r>
          </w:p>
        </w:tc>
        <w:tc>
          <w:tcPr>
            <w:tcW w:w="740" w:type="dxa"/>
            <w:vAlign w:val="center"/>
          </w:tcPr>
          <w:p w14:paraId="170E91EF">
            <w:pPr>
              <w:spacing w:line="276" w:lineRule="auto"/>
              <w:jc w:val="center"/>
              <w:rPr>
                <w:rFonts w:hint="eastAsia" w:ascii="宋体" w:hAnsi="宋体" w:eastAsia="宋体" w:cs="Times New Roman"/>
                <w:szCs w:val="21"/>
              </w:rPr>
            </w:pPr>
            <w:r>
              <w:rPr>
                <w:rFonts w:hint="eastAsia" w:ascii="宋体" w:hAnsi="宋体" w:eastAsia="宋体" w:cs="Times New Roman"/>
                <w:szCs w:val="21"/>
              </w:rPr>
              <w:t>设计</w:t>
            </w:r>
          </w:p>
          <w:p w14:paraId="48ABCAE9">
            <w:pPr>
              <w:spacing w:line="276" w:lineRule="auto"/>
              <w:jc w:val="center"/>
              <w:rPr>
                <w:rFonts w:hint="eastAsia" w:ascii="宋体" w:hAnsi="宋体" w:eastAsia="宋体" w:cs="Times New Roman"/>
                <w:szCs w:val="21"/>
              </w:rPr>
            </w:pPr>
            <w:r>
              <w:rPr>
                <w:rFonts w:hint="eastAsia" w:ascii="宋体" w:hAnsi="宋体" w:eastAsia="宋体" w:cs="Times New Roman"/>
                <w:szCs w:val="21"/>
              </w:rPr>
              <w:t>实践</w:t>
            </w:r>
          </w:p>
        </w:tc>
        <w:tc>
          <w:tcPr>
            <w:tcW w:w="3160" w:type="dxa"/>
          </w:tcPr>
          <w:p w14:paraId="541D668C">
            <w:pPr>
              <w:rPr>
                <w:rFonts w:hint="eastAsia" w:ascii="宋体" w:hAnsi="宋体" w:eastAsia="宋体" w:cs="Times New Roman"/>
                <w:szCs w:val="21"/>
              </w:rPr>
            </w:pPr>
            <w:r>
              <w:rPr>
                <w:rFonts w:hint="eastAsia" w:ascii="宋体" w:hAnsi="宋体" w:eastAsia="宋体" w:cs="Times New Roman"/>
                <w:szCs w:val="21"/>
              </w:rPr>
              <w:t>注重创新精神和实践能力的提升，树立以学生为主体的设计理念和全面的评价理念，增强专业自信心，增强团队合作意识与沟通表达能力。</w:t>
            </w:r>
          </w:p>
        </w:tc>
      </w:tr>
      <w:tr w14:paraId="0477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7CBFB7C">
            <w:pPr>
              <w:rPr>
                <w:rFonts w:hint="eastAsia" w:ascii="宋体" w:hAnsi="宋体" w:eastAsia="宋体" w:cs="Times New Roman"/>
                <w:szCs w:val="21"/>
              </w:rPr>
            </w:pPr>
            <w:r>
              <w:rPr>
                <w:rFonts w:hint="eastAsia" w:ascii="宋体" w:hAnsi="宋体" w:eastAsia="宋体" w:cs="Times New Roman"/>
                <w:szCs w:val="21"/>
              </w:rPr>
              <w:t>社区服务与社会实践的设计与实施</w:t>
            </w:r>
          </w:p>
        </w:tc>
        <w:tc>
          <w:tcPr>
            <w:tcW w:w="3407" w:type="dxa"/>
            <w:vAlign w:val="center"/>
          </w:tcPr>
          <w:p w14:paraId="526BD7BF">
            <w:pPr>
              <w:rPr>
                <w:rFonts w:hint="eastAsia" w:ascii="宋体" w:hAnsi="宋体" w:eastAsia="宋体" w:cs="Times New Roman"/>
                <w:szCs w:val="21"/>
              </w:rPr>
            </w:pPr>
            <w:r>
              <w:rPr>
                <w:rFonts w:hint="eastAsia" w:ascii="宋体" w:hAnsi="宋体" w:eastAsia="宋体" w:cs="Times New Roman"/>
                <w:szCs w:val="21"/>
              </w:rPr>
              <w:t>选择</w:t>
            </w:r>
            <w:r>
              <w:rPr>
                <w:rFonts w:ascii="宋体" w:hAnsi="宋体" w:eastAsia="宋体" w:cs="Times New Roman"/>
                <w:szCs w:val="21"/>
              </w:rPr>
              <w:t>一个</w:t>
            </w:r>
            <w:r>
              <w:rPr>
                <w:rFonts w:hint="eastAsia" w:ascii="宋体" w:hAnsi="宋体" w:eastAsia="宋体" w:cs="Times New Roman"/>
                <w:szCs w:val="21"/>
              </w:rPr>
              <w:t>社区服务或社会实践活动主题</w:t>
            </w:r>
            <w:r>
              <w:rPr>
                <w:rFonts w:ascii="宋体" w:hAnsi="宋体" w:eastAsia="宋体" w:cs="Times New Roman"/>
                <w:szCs w:val="21"/>
              </w:rPr>
              <w:t>，设计活动方案并具体</w:t>
            </w:r>
            <w:r>
              <w:rPr>
                <w:rFonts w:hint="eastAsia" w:ascii="宋体" w:hAnsi="宋体" w:eastAsia="宋体" w:cs="Times New Roman"/>
                <w:szCs w:val="21"/>
              </w:rPr>
              <w:t>开展</w:t>
            </w:r>
            <w:r>
              <w:rPr>
                <w:rFonts w:ascii="宋体" w:hAnsi="宋体" w:eastAsia="宋体" w:cs="Times New Roman"/>
                <w:szCs w:val="21"/>
              </w:rPr>
              <w:t>活动</w:t>
            </w:r>
          </w:p>
        </w:tc>
        <w:tc>
          <w:tcPr>
            <w:tcW w:w="740" w:type="dxa"/>
            <w:vAlign w:val="center"/>
          </w:tcPr>
          <w:p w14:paraId="53DD0A2F">
            <w:pPr>
              <w:spacing w:line="276" w:lineRule="auto"/>
              <w:jc w:val="center"/>
              <w:rPr>
                <w:rFonts w:hint="eastAsia" w:ascii="宋体" w:hAnsi="宋体" w:eastAsia="宋体" w:cs="Times New Roman"/>
                <w:szCs w:val="21"/>
              </w:rPr>
            </w:pPr>
            <w:r>
              <w:rPr>
                <w:rFonts w:hint="eastAsia" w:ascii="宋体" w:hAnsi="宋体" w:eastAsia="宋体" w:cs="Times New Roman"/>
                <w:szCs w:val="21"/>
              </w:rPr>
              <w:t>设计</w:t>
            </w:r>
          </w:p>
          <w:p w14:paraId="375DE328">
            <w:pPr>
              <w:spacing w:line="276" w:lineRule="auto"/>
              <w:jc w:val="center"/>
              <w:rPr>
                <w:rFonts w:hint="eastAsia" w:ascii="宋体" w:hAnsi="宋体" w:eastAsia="宋体" w:cs="Times New Roman"/>
                <w:szCs w:val="21"/>
              </w:rPr>
            </w:pPr>
            <w:r>
              <w:rPr>
                <w:rFonts w:hint="eastAsia" w:ascii="宋体" w:hAnsi="宋体" w:eastAsia="宋体" w:cs="Times New Roman"/>
                <w:szCs w:val="21"/>
              </w:rPr>
              <w:t>实践</w:t>
            </w:r>
          </w:p>
        </w:tc>
        <w:tc>
          <w:tcPr>
            <w:tcW w:w="3160" w:type="dxa"/>
          </w:tcPr>
          <w:p w14:paraId="62D3253D">
            <w:pPr>
              <w:rPr>
                <w:rFonts w:hint="eastAsia" w:ascii="宋体" w:hAnsi="宋体" w:eastAsia="宋体" w:cs="Times New Roman"/>
                <w:szCs w:val="21"/>
              </w:rPr>
            </w:pPr>
            <w:r>
              <w:rPr>
                <w:rFonts w:hint="eastAsia" w:ascii="宋体" w:hAnsi="宋体" w:eastAsia="宋体" w:cs="Times New Roman"/>
                <w:szCs w:val="21"/>
              </w:rPr>
              <w:t>注重创新精神和实践能力的提升，树立以学生为主体的设计理念和全面的评价理念，增强专业自信心，增强团队合作意识与沟通表达能力。</w:t>
            </w:r>
          </w:p>
        </w:tc>
      </w:tr>
      <w:tr w14:paraId="176B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514DC52D">
            <w:pPr>
              <w:rPr>
                <w:rFonts w:hint="eastAsia" w:ascii="宋体" w:hAnsi="宋体" w:eastAsia="宋体" w:cs="Times New Roman"/>
                <w:szCs w:val="21"/>
              </w:rPr>
            </w:pPr>
            <w:r>
              <w:rPr>
                <w:rFonts w:hint="eastAsia" w:ascii="宋体" w:hAnsi="宋体" w:eastAsia="宋体" w:cs="Times New Roman"/>
                <w:szCs w:val="21"/>
              </w:rPr>
              <w:t>劳动与技术教育和信息技术教育的设计与实施</w:t>
            </w:r>
          </w:p>
        </w:tc>
        <w:tc>
          <w:tcPr>
            <w:tcW w:w="3407" w:type="dxa"/>
            <w:vAlign w:val="center"/>
          </w:tcPr>
          <w:p w14:paraId="67A60A30">
            <w:pPr>
              <w:rPr>
                <w:rFonts w:hint="eastAsia" w:ascii="宋体" w:hAnsi="宋体" w:eastAsia="宋体" w:cs="Times New Roman"/>
                <w:szCs w:val="21"/>
              </w:rPr>
            </w:pPr>
            <w:r>
              <w:rPr>
                <w:rFonts w:hint="eastAsia" w:ascii="宋体" w:hAnsi="宋体" w:eastAsia="宋体" w:cs="Times New Roman"/>
                <w:szCs w:val="21"/>
              </w:rPr>
              <w:t>设计一份劳技制作活动方案并提交劳技</w:t>
            </w:r>
            <w:r>
              <w:rPr>
                <w:rFonts w:ascii="宋体" w:hAnsi="宋体" w:eastAsia="宋体" w:cs="Times New Roman"/>
                <w:szCs w:val="21"/>
              </w:rPr>
              <w:t>作品一件</w:t>
            </w:r>
          </w:p>
        </w:tc>
        <w:tc>
          <w:tcPr>
            <w:tcW w:w="740" w:type="dxa"/>
            <w:vAlign w:val="center"/>
          </w:tcPr>
          <w:p w14:paraId="007EE126">
            <w:pPr>
              <w:spacing w:line="276" w:lineRule="auto"/>
              <w:jc w:val="center"/>
              <w:rPr>
                <w:rFonts w:hint="eastAsia" w:ascii="宋体" w:hAnsi="宋体" w:eastAsia="宋体" w:cs="Times New Roman"/>
                <w:szCs w:val="21"/>
              </w:rPr>
            </w:pPr>
            <w:r>
              <w:rPr>
                <w:rFonts w:hint="eastAsia" w:ascii="宋体" w:hAnsi="宋体" w:eastAsia="宋体" w:cs="Times New Roman"/>
                <w:szCs w:val="21"/>
              </w:rPr>
              <w:t>设计</w:t>
            </w:r>
          </w:p>
          <w:p w14:paraId="48CD75B6">
            <w:pPr>
              <w:spacing w:line="276" w:lineRule="auto"/>
              <w:jc w:val="center"/>
              <w:rPr>
                <w:rFonts w:hint="eastAsia" w:ascii="宋体" w:hAnsi="宋体" w:eastAsia="宋体" w:cs="Times New Roman"/>
                <w:szCs w:val="21"/>
              </w:rPr>
            </w:pPr>
            <w:r>
              <w:rPr>
                <w:rFonts w:hint="eastAsia" w:ascii="宋体" w:hAnsi="宋体" w:eastAsia="宋体" w:cs="Times New Roman"/>
                <w:szCs w:val="21"/>
              </w:rPr>
              <w:t>实践</w:t>
            </w:r>
          </w:p>
        </w:tc>
        <w:tc>
          <w:tcPr>
            <w:tcW w:w="3160" w:type="dxa"/>
          </w:tcPr>
          <w:p w14:paraId="4D9F71A0">
            <w:pPr>
              <w:rPr>
                <w:rFonts w:hint="eastAsia" w:ascii="宋体" w:hAnsi="宋体" w:eastAsia="宋体" w:cs="Times New Roman"/>
                <w:szCs w:val="21"/>
              </w:rPr>
            </w:pPr>
            <w:r>
              <w:rPr>
                <w:rFonts w:hint="eastAsia" w:ascii="宋体" w:hAnsi="宋体" w:eastAsia="宋体" w:cs="Times New Roman"/>
                <w:szCs w:val="21"/>
              </w:rPr>
              <w:t>注重创新精神和实践能力的提升，树立以学生为主体的设计理念和全面的评价理念，增强专业自信心，增强团队合作意识与沟通表达能力。</w:t>
            </w:r>
          </w:p>
        </w:tc>
      </w:tr>
    </w:tbl>
    <w:p w14:paraId="53FF642D">
      <w:pPr>
        <w:spacing w:line="360" w:lineRule="auto"/>
        <w:ind w:firstLine="551" w:firstLineChars="196"/>
        <w:jc w:val="left"/>
        <w:rPr>
          <w:rFonts w:hint="eastAsia" w:ascii="宋体" w:hAnsi="宋体" w:eastAsia="宋体" w:cs="Times New Roman"/>
          <w:b/>
          <w:color w:val="000000"/>
          <w:sz w:val="28"/>
          <w:szCs w:val="28"/>
        </w:rPr>
      </w:pPr>
    </w:p>
    <w:p w14:paraId="73DAA8C6">
      <w:pPr>
        <w:spacing w:line="360" w:lineRule="auto"/>
        <w:jc w:val="left"/>
        <w:outlineLvl w:val="0"/>
        <w:rPr>
          <w:rFonts w:ascii="Times New Roman" w:hAnsi="Times New Roman" w:eastAsia="宋体" w:cs="Times New Roman"/>
          <w:b/>
          <w:bCs/>
          <w:sz w:val="24"/>
          <w:szCs w:val="24"/>
        </w:rPr>
      </w:pPr>
      <w:bookmarkStart w:id="2864" w:name="_Toc7460"/>
      <w:bookmarkStart w:id="2865" w:name="_Toc10167"/>
      <w:bookmarkStart w:id="2866" w:name="_Toc21081"/>
      <w:bookmarkStart w:id="2867" w:name="_Toc23828"/>
      <w:bookmarkStart w:id="2868" w:name="_Toc24243"/>
      <w:bookmarkStart w:id="2869" w:name="_Toc14578"/>
      <w:bookmarkStart w:id="2870" w:name="_Toc3372"/>
      <w:r>
        <w:rPr>
          <w:rFonts w:hint="eastAsia" w:ascii="宋体" w:hAnsi="宋体" w:eastAsia="宋体" w:cs="Times New Roman"/>
          <w:b/>
          <w:color w:val="000000"/>
          <w:sz w:val="24"/>
          <w:szCs w:val="24"/>
        </w:rPr>
        <w:t>六、有关说明</w:t>
      </w:r>
      <w:bookmarkEnd w:id="2864"/>
      <w:bookmarkEnd w:id="2865"/>
      <w:bookmarkEnd w:id="2866"/>
      <w:bookmarkEnd w:id="2867"/>
      <w:bookmarkEnd w:id="2868"/>
      <w:bookmarkEnd w:id="2869"/>
      <w:bookmarkEnd w:id="2870"/>
    </w:p>
    <w:p w14:paraId="4AE1137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350C59D">
      <w:pPr>
        <w:spacing w:line="360" w:lineRule="auto"/>
        <w:ind w:firstLine="315" w:firstLineChars="150"/>
        <w:jc w:val="left"/>
        <w:rPr>
          <w:rFonts w:ascii="Times New Roman" w:hAnsi="Times New Roman" w:eastAsia="宋体" w:cs="Times New Roman"/>
          <w:b/>
          <w:szCs w:val="21"/>
        </w:rPr>
      </w:pPr>
      <w:r>
        <w:rPr>
          <w:rFonts w:hint="eastAsia" w:ascii="Times New Roman" w:hAnsi="Times New Roman" w:eastAsia="宋体" w:cs="Times New Roman"/>
          <w:szCs w:val="21"/>
        </w:rPr>
        <w:t>本课程根据学生作业、课堂讨论、实践环节和学生、教学督导等的反馈，及时对教学中的不足之处进行改进，并在下一轮课程教学中整改完善，确保相应毕业要求指标点达成。</w:t>
      </w:r>
      <w:r>
        <w:rPr>
          <w:rFonts w:hint="eastAsia" w:ascii="Times New Roman" w:hAnsi="Times New Roman" w:eastAsia="宋体" w:cs="Times New Roman"/>
          <w:b/>
          <w:szCs w:val="21"/>
        </w:rPr>
        <w:t>（二）建议教材</w:t>
      </w:r>
    </w:p>
    <w:p w14:paraId="5DFB4EB2">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顾建军．小学综合实践活动设计（第3版）．北京：高等教育出版社，2020．</w:t>
      </w:r>
    </w:p>
    <w:p w14:paraId="570C244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8A3B48C">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1.柳夕浪.</w:t>
      </w:r>
      <w:r>
        <w:rPr>
          <w:rFonts w:hint="eastAsia" w:ascii="等线" w:hAnsi="等线" w:eastAsia="等线" w:cs="Times New Roman"/>
          <w:szCs w:val="22"/>
        </w:rPr>
        <w:t xml:space="preserve"> </w:t>
      </w:r>
      <w:r>
        <w:rPr>
          <w:rFonts w:hint="eastAsia" w:ascii="宋体" w:hAnsi="宋体" w:eastAsia="宋体" w:cs="Times New Roman"/>
          <w:szCs w:val="21"/>
        </w:rPr>
        <w:t>《中小学综合实践活动课程指导纲要》解读.石家庄：河北教育出版社，2019.</w:t>
      </w:r>
    </w:p>
    <w:p w14:paraId="0E1CD7B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2.胡扬洋，白欣.综合实践活动课程与教学.北京：北京师范大学出版社，2023.</w:t>
      </w:r>
    </w:p>
    <w:p w14:paraId="7BE489D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3.刘道溶.中小学综合实践活动教学活动设计案例精选.北京：北京大学出版社，2012.</w:t>
      </w:r>
    </w:p>
    <w:p w14:paraId="6FFE415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4.郭元祥．综合实践活动课程——设计与实施．首都师范大学出版社，2001．</w:t>
      </w:r>
    </w:p>
    <w:p w14:paraId="623EE7BE">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5.郭元祥．综合实践活动课程的实施．高等教育出版社，2003．</w:t>
      </w:r>
    </w:p>
    <w:p w14:paraId="349FFE5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6.教育部基础教育司．走进新课程——与课程实施者对话．北京师范大学出版社，2002．</w:t>
      </w:r>
    </w:p>
    <w:p w14:paraId="1355170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7.姜平．综合实践活动教学设计与特色案例评析．首都师范大学出版社，2003．</w:t>
      </w:r>
    </w:p>
    <w:p w14:paraId="5797AC3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8.姜平．综合实践活动课程的整体推进与校本化实施．首都师范大学出版社，2006．</w:t>
      </w:r>
    </w:p>
    <w:p w14:paraId="4D355815">
      <w:pPr>
        <w:rPr>
          <w:rFonts w:hint="eastAsia" w:ascii="等线" w:hAnsi="等线" w:eastAsia="等线" w:cs="Times New Roman"/>
          <w:szCs w:val="22"/>
        </w:rPr>
      </w:pPr>
    </w:p>
    <w:p w14:paraId="4B1E4189">
      <w:pPr>
        <w:rPr>
          <w:rFonts w:hint="eastAsia" w:ascii="等线" w:hAnsi="等线" w:eastAsia="等线" w:cs="Times New Roman"/>
          <w:szCs w:val="22"/>
        </w:rPr>
      </w:pPr>
    </w:p>
    <w:p w14:paraId="335B0E13">
      <w:pPr>
        <w:rPr>
          <w:rFonts w:hint="eastAsia" w:ascii="等线" w:hAnsi="等线" w:eastAsia="等线" w:cs="Times New Roman"/>
          <w:szCs w:val="22"/>
        </w:rPr>
      </w:pPr>
    </w:p>
    <w:p w14:paraId="624878D1">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执 笔 人：谢国忠</w:t>
      </w:r>
    </w:p>
    <w:p w14:paraId="186779B9">
      <w:pPr>
        <w:wordWrap w:val="0"/>
        <w:spacing w:line="360" w:lineRule="auto"/>
        <w:ind w:right="144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定 人：王 健</w:t>
      </w:r>
    </w:p>
    <w:p w14:paraId="2FD93A0A">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6679C28B">
      <w:pPr>
        <w:spacing w:line="360" w:lineRule="auto"/>
        <w:ind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229CA14">
      <w:pPr>
        <w:rPr>
          <w:rFonts w:hint="eastAsia" w:ascii="等线" w:hAnsi="等线" w:eastAsia="等线" w:cs="Times New Roman"/>
          <w:szCs w:val="22"/>
        </w:rPr>
      </w:pPr>
    </w:p>
    <w:p w14:paraId="04E0B870">
      <w:pPr>
        <w:rPr>
          <w:rFonts w:hint="eastAsia" w:ascii="等线" w:hAnsi="等线" w:eastAsia="等线" w:cs="Times New Roman"/>
          <w:szCs w:val="22"/>
        </w:rPr>
      </w:pPr>
    </w:p>
    <w:p w14:paraId="6F782EE6">
      <w:pPr>
        <w:widowControl/>
        <w:jc w:val="left"/>
        <w:rPr>
          <w:rFonts w:ascii="Calibri" w:hAnsi="Calibri" w:eastAsia="宋体" w:cs="Times New Roman"/>
          <w:kern w:val="0"/>
          <w:sz w:val="24"/>
          <w:szCs w:val="21"/>
        </w:rPr>
      </w:pPr>
      <w:r>
        <w:rPr>
          <w:rFonts w:ascii="Calibri" w:hAnsi="Calibri" w:eastAsia="宋体" w:cs="Times New Roman"/>
          <w:kern w:val="0"/>
          <w:sz w:val="24"/>
          <w:szCs w:val="21"/>
        </w:rPr>
        <w:br w:type="page"/>
      </w:r>
    </w:p>
    <w:p w14:paraId="3394F488">
      <w:pPr>
        <w:pStyle w:val="2"/>
        <w:bidi w:val="0"/>
        <w:rPr>
          <w:rFonts w:hint="eastAsia"/>
          <w:lang w:val="en-US" w:eastAsia="zh-CN"/>
        </w:rPr>
      </w:pPr>
      <w:bookmarkStart w:id="2871" w:name="_Toc7421"/>
      <w:bookmarkStart w:id="2872" w:name="_Toc467181529"/>
      <w:bookmarkStart w:id="2873" w:name="_Toc14553"/>
      <w:bookmarkStart w:id="2874" w:name="_Toc88340357"/>
      <w:bookmarkStart w:id="2875" w:name="_Toc86623530"/>
      <w:bookmarkStart w:id="2876" w:name="_Toc4971"/>
      <w:bookmarkStart w:id="2877" w:name="_Toc13223"/>
      <w:r>
        <w:rPr>
          <w:rFonts w:hint="eastAsia"/>
          <w:lang w:val="en-US" w:eastAsia="zh-CN"/>
        </w:rPr>
        <w:t>《影视文学》课程教学大纲</w:t>
      </w:r>
      <w:bookmarkEnd w:id="2871"/>
      <w:bookmarkEnd w:id="2872"/>
      <w:bookmarkEnd w:id="2873"/>
      <w:bookmarkEnd w:id="2874"/>
      <w:bookmarkEnd w:id="2875"/>
      <w:bookmarkEnd w:id="2876"/>
      <w:bookmarkEnd w:id="2877"/>
    </w:p>
    <w:p w14:paraId="27CDCAE1">
      <w:pPr>
        <w:pStyle w:val="2"/>
        <w:bidi w:val="0"/>
        <w:rPr>
          <w:lang w:val="en-US" w:eastAsia="zh-CN"/>
        </w:rPr>
      </w:pPr>
      <w:bookmarkStart w:id="2878" w:name="_Toc29915"/>
      <w:bookmarkStart w:id="2879" w:name="_Toc31590"/>
      <w:bookmarkStart w:id="2880" w:name="_Toc28542"/>
      <w:bookmarkStart w:id="2881" w:name="_Toc22409"/>
      <w:bookmarkStart w:id="2882" w:name="_Toc30657"/>
      <w:bookmarkStart w:id="2883" w:name="_Toc1573577279"/>
      <w:bookmarkStart w:id="2884" w:name="_Toc17733"/>
      <w:bookmarkStart w:id="2885" w:name="_Toc32344"/>
      <w:r>
        <w:rPr>
          <w:lang w:val="en-US" w:eastAsia="zh-CN"/>
        </w:rPr>
        <w:t>（Film and Television Literacy）</w:t>
      </w:r>
      <w:bookmarkEnd w:id="2878"/>
      <w:bookmarkEnd w:id="2879"/>
      <w:bookmarkEnd w:id="2880"/>
      <w:bookmarkEnd w:id="2881"/>
      <w:bookmarkEnd w:id="2882"/>
      <w:bookmarkEnd w:id="2883"/>
      <w:bookmarkEnd w:id="2884"/>
      <w:bookmarkEnd w:id="2885"/>
    </w:p>
    <w:p w14:paraId="11752755">
      <w:pPr>
        <w:spacing w:line="360" w:lineRule="auto"/>
        <w:ind w:firstLine="482" w:firstLineChars="200"/>
        <w:rPr>
          <w:rFonts w:hint="default" w:ascii="宋体" w:hAnsi="宋体" w:eastAsia="宋体" w:cs="宋体"/>
          <w:b/>
          <w:bCs/>
          <w:color w:val="000000"/>
          <w:kern w:val="0"/>
          <w:sz w:val="24"/>
          <w:szCs w:val="22"/>
          <w:lang w:val="en-US" w:eastAsia="zh-CN" w:bidi="ar"/>
        </w:rPr>
      </w:pPr>
      <w:r>
        <w:rPr>
          <w:rFonts w:hint="eastAsia" w:ascii="宋体" w:hAnsi="宋体" w:eastAsia="宋体" w:cs="宋体"/>
          <w:b/>
          <w:bCs/>
          <w:color w:val="000000"/>
          <w:kern w:val="0"/>
          <w:sz w:val="24"/>
          <w:szCs w:val="22"/>
          <w:lang w:val="en-US" w:eastAsia="zh-CN" w:bidi="ar"/>
        </w:rPr>
        <w:t>课程名称：影视文学</w:t>
      </w:r>
    </w:p>
    <w:p w14:paraId="0E921F47">
      <w:pPr>
        <w:spacing w:line="360" w:lineRule="auto"/>
        <w:ind w:firstLine="482" w:firstLineChars="200"/>
        <w:rPr>
          <w:rFonts w:hint="eastAsia" w:ascii="宋体" w:hAnsi="宋体" w:eastAsia="宋体" w:cs="宋体"/>
          <w:b/>
          <w:color w:val="000000"/>
          <w:sz w:val="24"/>
          <w:szCs w:val="22"/>
        </w:rPr>
      </w:pPr>
      <w:r>
        <w:rPr>
          <w:rFonts w:hint="eastAsia" w:ascii="宋体" w:hAnsi="宋体" w:eastAsia="宋体" w:cs="宋体"/>
          <w:b/>
          <w:bCs/>
          <w:color w:val="000000"/>
          <w:kern w:val="0"/>
          <w:sz w:val="24"/>
          <w:szCs w:val="22"/>
          <w:lang w:bidi="ar"/>
        </w:rPr>
        <w:t>课程代码</w:t>
      </w:r>
      <w:r>
        <w:rPr>
          <w:rFonts w:hint="eastAsia" w:ascii="宋体" w:hAnsi="宋体" w:eastAsia="宋体" w:cs="宋体"/>
          <w:b/>
          <w:color w:val="000000"/>
          <w:kern w:val="0"/>
          <w:sz w:val="24"/>
          <w:szCs w:val="22"/>
          <w:lang w:bidi="ar"/>
        </w:rPr>
        <w:t>：0705078</w:t>
      </w:r>
    </w:p>
    <w:p w14:paraId="74881FB0">
      <w:pPr>
        <w:spacing w:line="360" w:lineRule="auto"/>
        <w:ind w:firstLine="482" w:firstLineChars="200"/>
        <w:rPr>
          <w:rFonts w:hint="eastAsia" w:ascii="宋体" w:hAnsi="宋体" w:eastAsia="宋体" w:cs="宋体"/>
          <w:b/>
          <w:color w:val="000000"/>
          <w:kern w:val="0"/>
          <w:sz w:val="24"/>
          <w:szCs w:val="22"/>
        </w:rPr>
      </w:pPr>
      <w:r>
        <w:rPr>
          <w:rFonts w:hint="eastAsia" w:ascii="宋体" w:hAnsi="宋体" w:eastAsia="宋体" w:cs="宋体"/>
          <w:b/>
          <w:bCs/>
          <w:color w:val="000000"/>
          <w:kern w:val="0"/>
          <w:sz w:val="24"/>
          <w:szCs w:val="22"/>
          <w:lang w:bidi="ar"/>
        </w:rPr>
        <w:t>学    分</w:t>
      </w:r>
      <w:r>
        <w:rPr>
          <w:rFonts w:hint="eastAsia" w:ascii="宋体" w:hAnsi="宋体" w:eastAsia="宋体" w:cs="宋体"/>
          <w:b/>
          <w:color w:val="000000"/>
          <w:kern w:val="0"/>
          <w:sz w:val="24"/>
          <w:szCs w:val="22"/>
          <w:lang w:bidi="ar"/>
        </w:rPr>
        <w:t>：</w:t>
      </w:r>
      <w:r>
        <w:rPr>
          <w:rFonts w:hint="eastAsia" w:ascii="宋体" w:hAnsi="宋体" w:eastAsia="宋体" w:cs="宋体"/>
          <w:color w:val="000000"/>
          <w:kern w:val="0"/>
          <w:sz w:val="24"/>
          <w:szCs w:val="22"/>
          <w:lang w:bidi="ar"/>
        </w:rPr>
        <w:t>2</w:t>
      </w:r>
    </w:p>
    <w:p w14:paraId="6246FDC6">
      <w:pPr>
        <w:spacing w:line="360" w:lineRule="auto"/>
        <w:ind w:firstLine="482" w:firstLineChars="200"/>
        <w:rPr>
          <w:rFonts w:hint="eastAsia" w:ascii="宋体" w:hAnsi="宋体" w:eastAsia="宋体" w:cs="宋体"/>
          <w:color w:val="000000"/>
          <w:kern w:val="0"/>
          <w:sz w:val="24"/>
          <w:szCs w:val="22"/>
          <w:lang w:bidi="ar"/>
        </w:rPr>
      </w:pPr>
      <w:r>
        <w:rPr>
          <w:rFonts w:hint="eastAsia" w:ascii="宋体" w:hAnsi="宋体" w:eastAsia="宋体" w:cs="宋体"/>
          <w:b/>
          <w:bCs/>
          <w:color w:val="000000"/>
          <w:kern w:val="0"/>
          <w:sz w:val="24"/>
          <w:szCs w:val="22"/>
          <w:lang w:bidi="ar"/>
        </w:rPr>
        <w:t>学    时</w:t>
      </w:r>
      <w:r>
        <w:rPr>
          <w:rFonts w:hint="eastAsia" w:ascii="宋体" w:hAnsi="宋体" w:eastAsia="宋体" w:cs="宋体"/>
          <w:b/>
          <w:color w:val="000000"/>
          <w:kern w:val="0"/>
          <w:sz w:val="24"/>
          <w:szCs w:val="22"/>
          <w:lang w:bidi="ar"/>
        </w:rPr>
        <w:t>：</w:t>
      </w:r>
      <w:r>
        <w:rPr>
          <w:rFonts w:hint="eastAsia" w:ascii="宋体" w:hAnsi="宋体" w:eastAsia="宋体" w:cs="宋体"/>
          <w:color w:val="000000"/>
          <w:kern w:val="0"/>
          <w:sz w:val="24"/>
          <w:szCs w:val="22"/>
          <w:lang w:bidi="ar"/>
        </w:rPr>
        <w:t>32</w:t>
      </w:r>
    </w:p>
    <w:p w14:paraId="6D717EC1">
      <w:pPr>
        <w:spacing w:line="360" w:lineRule="auto"/>
        <w:ind w:firstLine="482" w:firstLineChars="200"/>
        <w:rPr>
          <w:rFonts w:hint="eastAsia" w:ascii="宋体" w:hAnsi="宋体" w:eastAsia="宋体" w:cs="宋体"/>
          <w:b/>
          <w:bCs/>
          <w:color w:val="000000"/>
          <w:kern w:val="0"/>
          <w:sz w:val="24"/>
          <w:szCs w:val="22"/>
        </w:rPr>
      </w:pPr>
      <w:r>
        <w:rPr>
          <w:rFonts w:hint="eastAsia" w:ascii="宋体" w:hAnsi="宋体" w:eastAsia="宋体" w:cs="宋体"/>
          <w:b/>
          <w:bCs/>
          <w:color w:val="000000"/>
          <w:kern w:val="0"/>
          <w:sz w:val="24"/>
          <w:szCs w:val="22"/>
          <w:lang w:bidi="ar"/>
        </w:rPr>
        <w:t>先修课程</w:t>
      </w:r>
      <w:r>
        <w:rPr>
          <w:rFonts w:hint="eastAsia" w:ascii="宋体" w:hAnsi="宋体" w:eastAsia="宋体" w:cs="宋体"/>
          <w:b/>
          <w:color w:val="000000"/>
          <w:kern w:val="0"/>
          <w:sz w:val="24"/>
          <w:szCs w:val="22"/>
          <w:lang w:bidi="ar"/>
        </w:rPr>
        <w:t>：</w:t>
      </w:r>
      <w:r>
        <w:rPr>
          <w:rFonts w:hint="eastAsia" w:ascii="宋体" w:hAnsi="宋体" w:eastAsia="宋体" w:cs="宋体"/>
          <w:color w:val="000000"/>
          <w:kern w:val="0"/>
          <w:sz w:val="24"/>
          <w:szCs w:val="22"/>
          <w:lang w:bidi="ar"/>
        </w:rPr>
        <w:t>无</w:t>
      </w:r>
    </w:p>
    <w:p w14:paraId="1A0A31F1">
      <w:pPr>
        <w:spacing w:line="360" w:lineRule="auto"/>
        <w:ind w:firstLine="482" w:firstLineChars="200"/>
        <w:rPr>
          <w:rFonts w:hint="eastAsia" w:ascii="宋体" w:hAnsi="宋体" w:eastAsia="宋体" w:cs="宋体"/>
          <w:color w:val="000000"/>
          <w:kern w:val="0"/>
          <w:sz w:val="24"/>
          <w:szCs w:val="22"/>
        </w:rPr>
      </w:pPr>
      <w:r>
        <w:rPr>
          <w:rFonts w:hint="eastAsia" w:ascii="宋体" w:hAnsi="宋体" w:eastAsia="宋体" w:cs="宋体"/>
          <w:b/>
          <w:bCs/>
          <w:color w:val="000000"/>
          <w:kern w:val="0"/>
          <w:sz w:val="24"/>
          <w:szCs w:val="22"/>
          <w:lang w:bidi="ar"/>
        </w:rPr>
        <w:t>适用专业</w:t>
      </w:r>
      <w:r>
        <w:rPr>
          <w:rFonts w:hint="eastAsia" w:ascii="宋体" w:hAnsi="宋体" w:eastAsia="宋体" w:cs="宋体"/>
          <w:b/>
          <w:color w:val="000000"/>
          <w:kern w:val="0"/>
          <w:sz w:val="24"/>
          <w:szCs w:val="22"/>
          <w:lang w:bidi="ar"/>
        </w:rPr>
        <w:t>：</w:t>
      </w:r>
      <w:r>
        <w:rPr>
          <w:rFonts w:hint="eastAsia" w:ascii="宋体" w:hAnsi="宋体" w:eastAsia="宋体" w:cs="宋体"/>
          <w:color w:val="000000"/>
          <w:kern w:val="0"/>
          <w:sz w:val="24"/>
          <w:szCs w:val="24"/>
          <w:lang w:bidi="ar"/>
        </w:rPr>
        <w:t>小学教育（文）专业</w:t>
      </w:r>
    </w:p>
    <w:p w14:paraId="75D30743">
      <w:pPr>
        <w:numPr>
          <w:ilvl w:val="0"/>
          <w:numId w:val="89"/>
        </w:numPr>
        <w:spacing w:line="360" w:lineRule="auto"/>
        <w:ind w:left="361" w:leftChars="0" w:firstLine="0" w:firstLineChars="0"/>
        <w:rPr>
          <w:rFonts w:hint="eastAsia" w:ascii="宋体" w:hAnsi="宋体" w:eastAsia="宋体" w:cs="Helvetica"/>
          <w:b/>
          <w:color w:val="000000"/>
          <w:sz w:val="24"/>
          <w:szCs w:val="22"/>
          <w:shd w:val="clear" w:color="auto" w:fill="FFFFFF"/>
          <w:lang w:val="en-US" w:eastAsia="zh-CN" w:bidi="ar"/>
        </w:rPr>
      </w:pPr>
      <w:r>
        <w:rPr>
          <w:rFonts w:hint="eastAsia" w:ascii="宋体" w:hAnsi="宋体" w:eastAsia="宋体" w:cs="Helvetica"/>
          <w:b/>
          <w:color w:val="000000"/>
          <w:sz w:val="24"/>
          <w:szCs w:val="22"/>
          <w:shd w:val="clear" w:color="auto" w:fill="FFFFFF"/>
          <w:lang w:val="en-US" w:eastAsia="zh-CN" w:bidi="ar"/>
        </w:rPr>
        <w:t>课程简介</w:t>
      </w:r>
    </w:p>
    <w:p w14:paraId="4993F6B7">
      <w:pPr>
        <w:numPr>
          <w:ilvl w:val="0"/>
          <w:numId w:val="0"/>
        </w:numPr>
        <w:spacing w:line="360" w:lineRule="auto"/>
        <w:ind w:left="361" w:leftChars="0" w:firstLine="480" w:firstLineChars="200"/>
        <w:rPr>
          <w:rFonts w:hint="eastAsia" w:ascii="宋体" w:hAnsi="宋体" w:eastAsia="宋体" w:cs="Helvetica"/>
          <w:color w:val="000000"/>
          <w:sz w:val="24"/>
          <w:szCs w:val="22"/>
          <w:shd w:val="clear" w:color="auto" w:fill="FFFFFF"/>
        </w:rPr>
      </w:pPr>
      <w:r>
        <w:rPr>
          <w:rFonts w:hint="eastAsia" w:ascii="宋体" w:hAnsi="宋体" w:eastAsia="宋体" w:cs="Helvetica"/>
          <w:color w:val="000000"/>
          <w:sz w:val="24"/>
          <w:szCs w:val="22"/>
          <w:shd w:val="clear" w:color="auto" w:fill="FFFFFF"/>
          <w:lang w:bidi="ar"/>
        </w:rPr>
        <w:t>本课程是</w:t>
      </w:r>
      <w:r>
        <w:rPr>
          <w:rFonts w:hint="eastAsia" w:ascii="宋体" w:hAnsi="宋体" w:eastAsia="宋体" w:cs="宋体"/>
          <w:color w:val="000000"/>
          <w:kern w:val="0"/>
          <w:sz w:val="24"/>
          <w:szCs w:val="24"/>
          <w:lang w:bidi="ar"/>
        </w:rPr>
        <w:t>小学教育（文）</w:t>
      </w:r>
      <w:r>
        <w:rPr>
          <w:rFonts w:hint="eastAsia" w:ascii="宋体" w:hAnsi="宋体" w:eastAsia="宋体" w:cs="Helvetica"/>
          <w:color w:val="000000"/>
          <w:sz w:val="24"/>
          <w:szCs w:val="22"/>
          <w:shd w:val="clear" w:color="auto" w:fill="FFFFFF"/>
          <w:lang w:bidi="ar"/>
        </w:rPr>
        <w:t>专业的专业选修课程。本课程从“历史”“本体”“语言”“创作”“接受”等方面建构影视文学的理论系统，从影视文学本质、影视语言艺术、影视创作技巧、影视接受理论等方面提高学生对影视文学的基本认知，重视理论与实践的结合。通过教学，使学生了解影视文学的本质及生产规律，培养学生影视文学方面的知识和技能，让学生学会鉴赏不同的影视作品，拓展学生的艺术思维空间，提高学生的综合素质。</w:t>
      </w:r>
    </w:p>
    <w:p w14:paraId="0846B9A1">
      <w:pPr>
        <w:numPr>
          <w:ilvl w:val="0"/>
          <w:numId w:val="89"/>
        </w:numPr>
        <w:spacing w:line="360" w:lineRule="auto"/>
        <w:ind w:left="361" w:leftChars="0" w:firstLine="0" w:firstLineChars="0"/>
        <w:rPr>
          <w:rFonts w:hint="eastAsia" w:ascii="宋体" w:hAnsi="宋体" w:eastAsia="宋体" w:cs="宋体"/>
          <w:b/>
          <w:color w:val="000000"/>
          <w:sz w:val="24"/>
          <w:szCs w:val="22"/>
          <w:lang w:bidi="ar"/>
        </w:rPr>
      </w:pPr>
      <w:bookmarkStart w:id="2886" w:name="_Toc1614911993"/>
      <w:r>
        <w:rPr>
          <w:rFonts w:hint="eastAsia" w:ascii="宋体" w:hAnsi="宋体" w:eastAsia="宋体" w:cs="宋体"/>
          <w:b/>
          <w:color w:val="000000"/>
          <w:sz w:val="24"/>
          <w:szCs w:val="22"/>
          <w:lang w:bidi="ar"/>
        </w:rPr>
        <w:t>课程目标</w:t>
      </w:r>
      <w:bookmarkEnd w:id="2886"/>
    </w:p>
    <w:p w14:paraId="758DF4FE">
      <w:pPr>
        <w:spacing w:line="360" w:lineRule="auto"/>
        <w:ind w:firstLine="422" w:firstLineChars="200"/>
        <w:rPr>
          <w:rFonts w:hint="eastAsia" w:ascii="宋体" w:hAnsi="宋体" w:eastAsia="宋体" w:cs="宋体"/>
          <w:b/>
          <w:color w:val="000000"/>
          <w:sz w:val="24"/>
          <w:szCs w:val="22"/>
          <w:lang w:bidi="ar"/>
        </w:rPr>
      </w:pPr>
      <w:r>
        <w:rPr>
          <w:rFonts w:hint="eastAsia" w:ascii="宋体" w:hAnsi="宋体" w:eastAsia="宋体" w:cs="Times New Roman"/>
          <w:b/>
          <w:color w:val="000000"/>
          <w:szCs w:val="21"/>
        </w:rPr>
        <w:t>（一）课程具体目标</w:t>
      </w:r>
    </w:p>
    <w:p w14:paraId="4C6EDF14">
      <w:pPr>
        <w:spacing w:line="360" w:lineRule="auto"/>
        <w:ind w:firstLine="482"/>
        <w:jc w:val="left"/>
        <w:rPr>
          <w:rFonts w:hint="eastAsia" w:ascii="宋体" w:hAnsi="宋体" w:eastAsia="宋体" w:cs="宋体"/>
          <w:color w:val="000000"/>
          <w:sz w:val="24"/>
          <w:szCs w:val="22"/>
        </w:rPr>
      </w:pPr>
      <w:r>
        <w:rPr>
          <w:rFonts w:hint="eastAsia" w:ascii="宋体" w:hAnsi="宋体" w:eastAsia="宋体" w:cs="宋体"/>
          <w:color w:val="000000"/>
          <w:sz w:val="24"/>
          <w:szCs w:val="22"/>
          <w:lang w:bidi="ar"/>
        </w:rPr>
        <w:t>目标1. 了解</w:t>
      </w:r>
      <w:r>
        <w:rPr>
          <w:rFonts w:hint="eastAsia" w:ascii="宋体" w:hAnsi="宋体" w:eastAsia="宋体" w:cs="Helvetica"/>
          <w:color w:val="000000"/>
          <w:sz w:val="24"/>
          <w:szCs w:val="22"/>
          <w:shd w:val="clear" w:color="auto" w:fill="FFFFFF"/>
          <w:lang w:bidi="ar"/>
        </w:rPr>
        <w:t>电影的基本原理、目标、原则和形式</w:t>
      </w:r>
      <w:r>
        <w:rPr>
          <w:rFonts w:hint="eastAsia" w:ascii="宋体" w:hAnsi="宋体" w:eastAsia="宋体" w:cs="宋体"/>
          <w:color w:val="000000"/>
          <w:sz w:val="24"/>
          <w:szCs w:val="22"/>
          <w:lang w:bidi="ar"/>
        </w:rPr>
        <w:t>。</w:t>
      </w:r>
    </w:p>
    <w:p w14:paraId="21CE0994">
      <w:pPr>
        <w:spacing w:line="360" w:lineRule="auto"/>
        <w:ind w:firstLine="482"/>
        <w:jc w:val="left"/>
        <w:rPr>
          <w:rFonts w:hint="eastAsia" w:ascii="宋体" w:hAnsi="宋体" w:eastAsia="宋体" w:cs="宋体"/>
          <w:color w:val="000000"/>
          <w:sz w:val="24"/>
          <w:szCs w:val="22"/>
        </w:rPr>
      </w:pPr>
      <w:r>
        <w:rPr>
          <w:rFonts w:hint="eastAsia" w:ascii="宋体" w:hAnsi="宋体" w:eastAsia="宋体" w:cs="宋体"/>
          <w:color w:val="000000"/>
          <w:sz w:val="24"/>
          <w:szCs w:val="22"/>
          <w:lang w:bidi="ar"/>
        </w:rPr>
        <w:t>目标2. 掌握</w:t>
      </w:r>
      <w:r>
        <w:rPr>
          <w:rFonts w:hint="eastAsia" w:ascii="宋体" w:hAnsi="宋体" w:eastAsia="宋体" w:cs="Helvetica"/>
          <w:color w:val="000000"/>
          <w:sz w:val="24"/>
          <w:szCs w:val="22"/>
          <w:shd w:val="clear" w:color="auto" w:fill="FFFFFF"/>
          <w:lang w:bidi="ar"/>
        </w:rPr>
        <w:t>欣赏电影</w:t>
      </w:r>
      <w:r>
        <w:rPr>
          <w:rFonts w:hint="eastAsia" w:ascii="宋体" w:hAnsi="宋体" w:eastAsia="宋体" w:cs="宋体"/>
          <w:color w:val="000000"/>
          <w:sz w:val="24"/>
          <w:szCs w:val="22"/>
          <w:lang w:bidi="ar"/>
        </w:rPr>
        <w:t>的要求规范、策略技能。</w:t>
      </w:r>
    </w:p>
    <w:p w14:paraId="3A5B1DE4">
      <w:pPr>
        <w:spacing w:line="360" w:lineRule="auto"/>
        <w:ind w:firstLine="482"/>
        <w:jc w:val="left"/>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目标3. 培养学生的影视鉴赏、写作、拍摄等方面的能力。</w:t>
      </w:r>
    </w:p>
    <w:p w14:paraId="5E879789">
      <w:pPr>
        <w:spacing w:before="156" w:beforeLines="50" w:after="156" w:afterLines="50" w:line="360" w:lineRule="auto"/>
        <w:jc w:val="left"/>
        <w:rPr>
          <w:rFonts w:hint="eastAsia" w:ascii="宋体" w:hAnsi="宋体" w:eastAsia="宋体" w:cs="宋体"/>
          <w:color w:val="000000"/>
          <w:sz w:val="24"/>
          <w:szCs w:val="22"/>
          <w:lang w:bidi="ar"/>
        </w:rPr>
      </w:pPr>
      <w:r>
        <w:rPr>
          <w:rFonts w:hint="eastAsia" w:ascii="Times New Roman" w:hAnsi="Times New Roman" w:eastAsia="宋体" w:cs="Times New Roman"/>
          <w:b/>
          <w:bCs/>
          <w:szCs w:val="21"/>
        </w:rPr>
        <w:t>（二）课程目标及其对毕业要求指标点的支撑</w:t>
      </w:r>
    </w:p>
    <w:tbl>
      <w:tblPr>
        <w:tblStyle w:val="11"/>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5864"/>
        <w:gridCol w:w="1228"/>
      </w:tblGrid>
      <w:tr w14:paraId="6312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vAlign w:val="center"/>
          </w:tcPr>
          <w:p w14:paraId="1AA68C9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864" w:type="dxa"/>
            <w:vAlign w:val="center"/>
          </w:tcPr>
          <w:p w14:paraId="46862AE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28" w:type="dxa"/>
            <w:vAlign w:val="center"/>
          </w:tcPr>
          <w:p w14:paraId="5FB6696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A81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vMerge w:val="restart"/>
            <w:vAlign w:val="center"/>
          </w:tcPr>
          <w:p w14:paraId="2633A5E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3</w:t>
            </w:r>
          </w:p>
        </w:tc>
        <w:tc>
          <w:tcPr>
            <w:tcW w:w="5864" w:type="dxa"/>
            <w:vAlign w:val="center"/>
          </w:tcPr>
          <w:p w14:paraId="67FE7024">
            <w:pPr>
              <w:autoSpaceDE w:val="0"/>
              <w:autoSpaceDN w:val="0"/>
              <w:adjustRightInd w:val="0"/>
              <w:snapToGrid w:val="0"/>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指标点</w:t>
            </w:r>
            <w:r>
              <w:rPr>
                <w:rFonts w:hint="eastAsia" w:ascii="Times New Roman" w:hAnsi="Times New Roman" w:eastAsia="宋体" w:cs="Times New Roman"/>
                <w:szCs w:val="21"/>
                <w:lang w:val="en-US" w:eastAsia="zh-CN"/>
              </w:rPr>
              <w:t>3-1</w:t>
            </w:r>
            <w:r>
              <w:rPr>
                <w:rFonts w:ascii="Times New Roman" w:hAnsi="Times New Roman" w:eastAsia="宋体" w:cs="Times New Roman"/>
                <w:szCs w:val="21"/>
              </w:rPr>
              <w:t>：</w:t>
            </w:r>
            <w:r>
              <w:rPr>
                <w:rFonts w:hint="eastAsia" w:ascii="宋体" w:hAnsi="宋体" w:eastAsia="等线" w:cs="宋体"/>
                <w:sz w:val="20"/>
                <w:szCs w:val="20"/>
              </w:rPr>
              <w:t>【通识知识广博】具有小学教育本科专业相应的自然科学和人文社会科学知识素养。</w:t>
            </w:r>
          </w:p>
        </w:tc>
        <w:tc>
          <w:tcPr>
            <w:tcW w:w="1228" w:type="dxa"/>
            <w:vAlign w:val="center"/>
          </w:tcPr>
          <w:p w14:paraId="62458757">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w:t>
            </w:r>
          </w:p>
        </w:tc>
      </w:tr>
      <w:tr w14:paraId="3BDB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vMerge w:val="continue"/>
            <w:vAlign w:val="center"/>
          </w:tcPr>
          <w:p w14:paraId="799B1C98">
            <w:pPr>
              <w:spacing w:line="276" w:lineRule="auto"/>
              <w:jc w:val="left"/>
              <w:rPr>
                <w:rFonts w:ascii="Times New Roman" w:hAnsi="Times New Roman" w:eastAsia="宋体" w:cs="Times New Roman"/>
                <w:szCs w:val="21"/>
              </w:rPr>
            </w:pPr>
          </w:p>
        </w:tc>
        <w:tc>
          <w:tcPr>
            <w:tcW w:w="5864" w:type="dxa"/>
            <w:vAlign w:val="center"/>
          </w:tcPr>
          <w:p w14:paraId="09D8E11B">
            <w:pPr>
              <w:autoSpaceDE w:val="0"/>
              <w:autoSpaceDN w:val="0"/>
              <w:adjustRightInd w:val="0"/>
              <w:snapToGrid w:val="0"/>
              <w:spacing w:line="336" w:lineRule="auto"/>
              <w:ind w:firstLine="428" w:firstLineChars="200"/>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hint="eastAsia" w:ascii="宋体" w:hAnsi="宋体" w:eastAsia="宋体" w:cs="Times New Roman"/>
                <w:color w:val="000000"/>
                <w:spacing w:val="2"/>
                <w:kern w:val="0"/>
                <w:szCs w:val="21"/>
                <w:lang w:val="en-US" w:eastAsia="zh-CN"/>
              </w:rPr>
              <w:t>3-2</w:t>
            </w:r>
            <w:r>
              <w:rPr>
                <w:rFonts w:ascii="宋体" w:hAnsi="宋体" w:eastAsia="宋体" w:cs="Times New Roman"/>
                <w:color w:val="000000"/>
                <w:spacing w:val="2"/>
                <w:kern w:val="0"/>
                <w:szCs w:val="21"/>
              </w:rPr>
              <w:t>：</w:t>
            </w:r>
            <w:r>
              <w:rPr>
                <w:rFonts w:hint="eastAsia" w:ascii="宋体" w:hAnsi="宋体" w:eastAsia="等线"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r>
              <w:rPr>
                <w:rFonts w:hint="eastAsia" w:ascii="宋体" w:hAnsi="宋体" w:eastAsia="等线" w:cs="宋体"/>
                <w:szCs w:val="21"/>
              </w:rPr>
              <w:t>事业心，工作细心、耐心，做学生</w:t>
            </w:r>
            <w:r>
              <w:rPr>
                <w:rFonts w:hint="eastAsia" w:ascii="等线" w:hAnsi="等线" w:eastAsia="等线" w:cs="宋体"/>
                <w:szCs w:val="21"/>
              </w:rPr>
              <w:t>锤炼品格、学习知识、创新思维、奉献祖国</w:t>
            </w:r>
            <w:r>
              <w:rPr>
                <w:rFonts w:hint="eastAsia" w:ascii="宋体" w:hAnsi="宋体" w:eastAsia="等线" w:cs="宋体"/>
                <w:szCs w:val="21"/>
              </w:rPr>
              <w:t>的引路人。</w:t>
            </w:r>
          </w:p>
        </w:tc>
        <w:tc>
          <w:tcPr>
            <w:tcW w:w="1228" w:type="dxa"/>
            <w:vAlign w:val="center"/>
          </w:tcPr>
          <w:p w14:paraId="7A6F8FE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26429E86">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42718261">
      <w:pPr>
        <w:spacing w:line="360" w:lineRule="auto"/>
        <w:ind w:firstLine="411" w:firstLineChars="196"/>
        <w:jc w:val="left"/>
        <w:rPr>
          <w:rFonts w:hint="eastAsia" w:ascii="宋体" w:hAnsi="宋体" w:eastAsia="宋体" w:cs="宋体"/>
          <w:color w:val="000000"/>
          <w:sz w:val="24"/>
          <w:szCs w:val="22"/>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BFB106B">
      <w:pPr>
        <w:spacing w:line="360" w:lineRule="auto"/>
        <w:jc w:val="left"/>
        <w:rPr>
          <w:rFonts w:hint="eastAsia" w:ascii="宋体" w:hAnsi="宋体" w:eastAsia="宋体" w:cs="宋体"/>
          <w:b/>
          <w:sz w:val="28"/>
          <w:szCs w:val="28"/>
          <w:lang w:eastAsia="zh-CN"/>
        </w:rPr>
      </w:pPr>
      <w:bookmarkStart w:id="2887" w:name="_Toc1927535565"/>
      <w:r>
        <w:rPr>
          <w:rFonts w:hint="eastAsia" w:ascii="宋体" w:hAnsi="宋体" w:eastAsia="宋体" w:cs="宋体"/>
          <w:b/>
          <w:sz w:val="28"/>
          <w:szCs w:val="28"/>
          <w:lang w:val="en-US" w:eastAsia="zh-CN" w:bidi="ar"/>
        </w:rPr>
        <w:t>三</w:t>
      </w:r>
      <w:r>
        <w:rPr>
          <w:rFonts w:hint="eastAsia" w:ascii="宋体" w:hAnsi="宋体" w:eastAsia="宋体" w:cs="宋体"/>
          <w:b/>
          <w:sz w:val="28"/>
          <w:szCs w:val="28"/>
          <w:lang w:bidi="ar"/>
        </w:rPr>
        <w:t>、教学内容</w:t>
      </w:r>
      <w:bookmarkEnd w:id="2887"/>
      <w:r>
        <w:rPr>
          <w:rFonts w:hint="eastAsia" w:ascii="宋体" w:hAnsi="宋体" w:eastAsia="宋体" w:cs="宋体"/>
          <w:b/>
          <w:sz w:val="28"/>
          <w:szCs w:val="28"/>
          <w:lang w:val="en-US" w:eastAsia="zh-CN" w:bidi="ar"/>
        </w:rPr>
        <w:t>与</w:t>
      </w:r>
      <w:r>
        <w:rPr>
          <w:rFonts w:hint="eastAsia" w:ascii="宋体" w:hAnsi="宋体" w:eastAsia="宋体" w:cs="Times New Roman"/>
          <w:b/>
          <w:color w:val="000000"/>
          <w:sz w:val="24"/>
          <w:szCs w:val="24"/>
        </w:rPr>
        <w:t>预期学习成效</w:t>
      </w:r>
    </w:p>
    <w:p w14:paraId="1D67EB0E">
      <w:pPr>
        <w:rPr>
          <w:rFonts w:hint="default" w:ascii="等线" w:hAnsi="等线" w:eastAsia="等线" w:cs="Times New Roman"/>
          <w:szCs w:val="22"/>
          <w:lang w:val="en-US" w:eastAsia="zh-CN"/>
        </w:rPr>
      </w:pPr>
      <w:bookmarkStart w:id="2888" w:name="_Toc1299425960"/>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856"/>
        <w:gridCol w:w="823"/>
        <w:gridCol w:w="3082"/>
        <w:gridCol w:w="905"/>
        <w:gridCol w:w="474"/>
      </w:tblGrid>
      <w:tr w14:paraId="797B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AF834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3088278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0" w:type="auto"/>
            <w:vAlign w:val="center"/>
          </w:tcPr>
          <w:p w14:paraId="39DAE8CA">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0" w:type="auto"/>
            <w:vAlign w:val="center"/>
          </w:tcPr>
          <w:p w14:paraId="08892BF6">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698F45B">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0" w:type="auto"/>
            <w:vAlign w:val="center"/>
          </w:tcPr>
          <w:p w14:paraId="3B9A0E02">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0" w:type="auto"/>
            <w:vAlign w:val="center"/>
          </w:tcPr>
          <w:p w14:paraId="5FE054BB">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0" w:type="auto"/>
            <w:vAlign w:val="center"/>
          </w:tcPr>
          <w:p w14:paraId="09757EFC">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49A5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D6C6917">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1．电影的诞生与发展</w:t>
            </w:r>
          </w:p>
          <w:p w14:paraId="024F8B80">
            <w:pPr>
              <w:spacing w:line="360" w:lineRule="auto"/>
              <w:ind w:firstLine="480" w:firstLineChars="200"/>
              <w:rPr>
                <w:rFonts w:hint="eastAsia" w:ascii="宋体" w:hAnsi="宋体" w:eastAsia="宋体" w:cs="宋体"/>
                <w:color w:val="000000"/>
                <w:sz w:val="24"/>
                <w:szCs w:val="22"/>
              </w:rPr>
            </w:pPr>
          </w:p>
          <w:p w14:paraId="07C2EA5B">
            <w:pPr>
              <w:spacing w:line="264" w:lineRule="auto"/>
              <w:jc w:val="center"/>
              <w:rPr>
                <w:rFonts w:ascii="宋体" w:hAnsi="宋体" w:eastAsia="宋体" w:cs="Times New Roman"/>
                <w:color w:val="000000"/>
                <w:szCs w:val="21"/>
              </w:rPr>
            </w:pPr>
          </w:p>
        </w:tc>
        <w:tc>
          <w:tcPr>
            <w:tcW w:w="0" w:type="auto"/>
            <w:vAlign w:val="center"/>
          </w:tcPr>
          <w:p w14:paraId="4B0A8B36">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1</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电影的概念</w:t>
            </w:r>
          </w:p>
          <w:p w14:paraId="6286E220">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电影的发明和诞生。</w:t>
            </w:r>
          </w:p>
          <w:p w14:paraId="62C09040">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电影的发展和特征。</w:t>
            </w:r>
          </w:p>
          <w:p w14:paraId="6EAD59EA">
            <w:pPr>
              <w:spacing w:line="269" w:lineRule="auto"/>
              <w:jc w:val="left"/>
              <w:rPr>
                <w:rFonts w:ascii="宋体" w:hAnsi="宋体" w:eastAsia="宋体" w:cs="Times New Roman"/>
                <w:color w:val="000000"/>
                <w:szCs w:val="21"/>
              </w:rPr>
            </w:pPr>
          </w:p>
        </w:tc>
        <w:tc>
          <w:tcPr>
            <w:tcW w:w="0" w:type="auto"/>
            <w:vAlign w:val="center"/>
          </w:tcPr>
          <w:p w14:paraId="6B891C1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0" w:type="auto"/>
            <w:vAlign w:val="center"/>
          </w:tcPr>
          <w:p w14:paraId="0A4A813C">
            <w:pPr>
              <w:numPr>
                <w:ilvl w:val="0"/>
                <w:numId w:val="90"/>
              </w:numPr>
              <w:spacing w:line="360" w:lineRule="auto"/>
              <w:ind w:firstLine="480" w:firstLineChars="200"/>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了解电影的发明者及诞生历程</w:t>
            </w:r>
          </w:p>
          <w:p w14:paraId="5FB1CB98">
            <w:pPr>
              <w:numPr>
                <w:ilvl w:val="0"/>
                <w:numId w:val="90"/>
              </w:num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熟悉电影诞生初期的重要作品</w:t>
            </w:r>
          </w:p>
          <w:p w14:paraId="4999A59D">
            <w:pPr>
              <w:numPr>
                <w:ilvl w:val="0"/>
                <w:numId w:val="90"/>
              </w:num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掌握电影的各类概念。</w:t>
            </w:r>
          </w:p>
          <w:p w14:paraId="03EAEC8E">
            <w:pPr>
              <w:spacing w:line="269" w:lineRule="auto"/>
              <w:jc w:val="left"/>
              <w:rPr>
                <w:rFonts w:ascii="宋体" w:hAnsi="宋体" w:eastAsia="宋体" w:cs="Times New Roman"/>
                <w:color w:val="000000"/>
                <w:szCs w:val="21"/>
              </w:rPr>
            </w:pPr>
          </w:p>
        </w:tc>
        <w:tc>
          <w:tcPr>
            <w:tcW w:w="0" w:type="auto"/>
            <w:vAlign w:val="center"/>
          </w:tcPr>
          <w:p w14:paraId="5E230AE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556E8CF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39E072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0" w:type="auto"/>
            <w:vAlign w:val="center"/>
          </w:tcPr>
          <w:p w14:paraId="2E28EFF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5753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9852C38">
            <w:pPr>
              <w:spacing w:line="264" w:lineRule="auto"/>
              <w:jc w:val="center"/>
              <w:rPr>
                <w:rFonts w:ascii="宋体" w:hAnsi="宋体" w:eastAsia="宋体" w:cs="Times New Roman"/>
                <w:color w:val="000000"/>
                <w:szCs w:val="21"/>
              </w:rPr>
            </w:pPr>
          </w:p>
        </w:tc>
        <w:tc>
          <w:tcPr>
            <w:tcW w:w="0" w:type="auto"/>
            <w:gridSpan w:val="5"/>
            <w:vAlign w:val="center"/>
          </w:tcPr>
          <w:p w14:paraId="06ABC154">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在马克思主义思想指导下学习和研究教育学，运用辩证唯物主义和历史唯物主义的思想方法，结合我国教育改革和发展的具体实践，与时俱进，开拓创新</w:t>
            </w:r>
            <w:r>
              <w:rPr>
                <w:rFonts w:hint="eastAsia" w:ascii="宋体" w:hAnsi="宋体" w:eastAsia="宋体" w:cs="Times New Roman"/>
                <w:color w:val="000000"/>
                <w:szCs w:val="21"/>
                <w:lang w:eastAsia="zh-CN"/>
              </w:rPr>
              <w:t>。</w:t>
            </w:r>
          </w:p>
        </w:tc>
      </w:tr>
      <w:tr w14:paraId="1501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AC336C6">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2．世界电影的流派</w:t>
            </w:r>
          </w:p>
          <w:p w14:paraId="6D72D281">
            <w:pPr>
              <w:spacing w:line="360" w:lineRule="auto"/>
              <w:ind w:firstLine="480" w:firstLineChars="200"/>
              <w:rPr>
                <w:rFonts w:hint="eastAsia" w:ascii="宋体" w:hAnsi="宋体" w:eastAsia="宋体" w:cs="宋体"/>
                <w:color w:val="000000"/>
                <w:sz w:val="24"/>
                <w:szCs w:val="22"/>
              </w:rPr>
            </w:pPr>
          </w:p>
          <w:p w14:paraId="2BD2D3DA">
            <w:pPr>
              <w:spacing w:line="264" w:lineRule="auto"/>
              <w:jc w:val="center"/>
              <w:rPr>
                <w:rFonts w:ascii="宋体" w:hAnsi="宋体" w:eastAsia="宋体" w:cs="Times New Roman"/>
                <w:color w:val="000000"/>
                <w:szCs w:val="21"/>
              </w:rPr>
            </w:pPr>
          </w:p>
        </w:tc>
        <w:tc>
          <w:tcPr>
            <w:tcW w:w="0" w:type="auto"/>
            <w:vAlign w:val="center"/>
          </w:tcPr>
          <w:p w14:paraId="40DCD4C4">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美国好莱坞电影。</w:t>
            </w:r>
          </w:p>
          <w:p w14:paraId="7E2BEDBB">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法国新浪潮电影。</w:t>
            </w:r>
          </w:p>
          <w:p w14:paraId="44FCB1FB">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意大利新现实主义电影。</w:t>
            </w:r>
          </w:p>
          <w:p w14:paraId="7CBDD416">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4</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德国表现主义电影。</w:t>
            </w:r>
          </w:p>
          <w:p w14:paraId="54DCC3B4">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5</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前苏联黄金时代的电影。</w:t>
            </w:r>
          </w:p>
          <w:p w14:paraId="286BD961">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6</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日本电影的三个流派。</w:t>
            </w:r>
          </w:p>
          <w:p w14:paraId="0E8B2614">
            <w:pPr>
              <w:spacing w:line="269" w:lineRule="auto"/>
              <w:jc w:val="left"/>
              <w:rPr>
                <w:rFonts w:ascii="宋体" w:hAnsi="宋体" w:eastAsia="宋体" w:cs="Times New Roman"/>
                <w:color w:val="000000"/>
                <w:szCs w:val="21"/>
              </w:rPr>
            </w:pPr>
          </w:p>
        </w:tc>
        <w:tc>
          <w:tcPr>
            <w:tcW w:w="0" w:type="auto"/>
            <w:vAlign w:val="center"/>
          </w:tcPr>
          <w:p w14:paraId="30F8610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0" w:type="auto"/>
            <w:vAlign w:val="center"/>
          </w:tcPr>
          <w:p w14:paraId="0D5690D1">
            <w:pPr>
              <w:numPr>
                <w:ilvl w:val="0"/>
                <w:numId w:val="91"/>
              </w:numPr>
              <w:spacing w:line="360" w:lineRule="auto"/>
              <w:ind w:firstLine="480" w:firstLineChars="200"/>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了解电影发展史上主要的电影流派</w:t>
            </w:r>
          </w:p>
          <w:p w14:paraId="02C2BCD9">
            <w:pPr>
              <w:numPr>
                <w:ilvl w:val="0"/>
                <w:numId w:val="91"/>
              </w:num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通过对电影流派的学习，加深对电影的理解。</w:t>
            </w:r>
          </w:p>
          <w:p w14:paraId="30F0CBB0">
            <w:pPr>
              <w:spacing w:line="269" w:lineRule="auto"/>
              <w:jc w:val="left"/>
              <w:rPr>
                <w:rFonts w:ascii="宋体" w:hAnsi="宋体" w:eastAsia="宋体" w:cs="Times New Roman"/>
                <w:color w:val="000000"/>
                <w:szCs w:val="21"/>
              </w:rPr>
            </w:pPr>
          </w:p>
        </w:tc>
        <w:tc>
          <w:tcPr>
            <w:tcW w:w="0" w:type="auto"/>
            <w:vAlign w:val="center"/>
          </w:tcPr>
          <w:p w14:paraId="57A8F5B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14EB19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F2DBD3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0" w:type="auto"/>
            <w:vAlign w:val="center"/>
          </w:tcPr>
          <w:p w14:paraId="313D66B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56E2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C04E308">
            <w:pPr>
              <w:spacing w:line="264" w:lineRule="auto"/>
              <w:jc w:val="center"/>
              <w:rPr>
                <w:rFonts w:ascii="宋体" w:hAnsi="宋体" w:eastAsia="宋体" w:cs="Times New Roman"/>
                <w:color w:val="000000"/>
                <w:szCs w:val="21"/>
              </w:rPr>
            </w:pPr>
          </w:p>
        </w:tc>
        <w:tc>
          <w:tcPr>
            <w:tcW w:w="0" w:type="auto"/>
            <w:gridSpan w:val="5"/>
            <w:vAlign w:val="center"/>
          </w:tcPr>
          <w:p w14:paraId="4D53B98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w:t>
            </w:r>
          </w:p>
        </w:tc>
      </w:tr>
      <w:tr w14:paraId="193E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8178463">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3．中国电影的历史步履</w:t>
            </w:r>
          </w:p>
          <w:p w14:paraId="19D00BBC">
            <w:pPr>
              <w:spacing w:line="264" w:lineRule="auto"/>
              <w:jc w:val="center"/>
              <w:rPr>
                <w:rFonts w:ascii="宋体" w:hAnsi="宋体" w:eastAsia="宋体" w:cs="Times New Roman"/>
                <w:color w:val="000000"/>
                <w:szCs w:val="21"/>
              </w:rPr>
            </w:pPr>
          </w:p>
        </w:tc>
        <w:tc>
          <w:tcPr>
            <w:tcW w:w="0" w:type="auto"/>
            <w:vAlign w:val="center"/>
          </w:tcPr>
          <w:p w14:paraId="34D005B1">
            <w:pPr>
              <w:numPr>
                <w:ilvl w:val="0"/>
                <w:numId w:val="92"/>
              </w:numPr>
              <w:spacing w:line="360" w:lineRule="auto"/>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早期电影。</w:t>
            </w:r>
          </w:p>
          <w:p w14:paraId="0977B44A">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20世纪20年代的电影。</w:t>
            </w:r>
          </w:p>
          <w:p w14:paraId="530F212A">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左翼电影运动。</w:t>
            </w:r>
          </w:p>
          <w:p w14:paraId="4A16A489">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4</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抗战时期电影。</w:t>
            </w:r>
          </w:p>
          <w:p w14:paraId="43B42996">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5</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战后电影。</w:t>
            </w:r>
          </w:p>
          <w:p w14:paraId="7F471097">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6</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新中国电影。</w:t>
            </w:r>
          </w:p>
          <w:p w14:paraId="4B4BE04E">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7</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文化大革命时期电影。</w:t>
            </w:r>
          </w:p>
          <w:p w14:paraId="5157C990">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8</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中国现代主义电影。</w:t>
            </w:r>
          </w:p>
          <w:p w14:paraId="0901354E">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9</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当代多元化电影。</w:t>
            </w:r>
          </w:p>
          <w:p w14:paraId="4A1CCC26">
            <w:pPr>
              <w:spacing w:line="269" w:lineRule="auto"/>
              <w:jc w:val="left"/>
              <w:rPr>
                <w:rFonts w:ascii="宋体" w:hAnsi="宋体" w:eastAsia="宋体" w:cs="Times New Roman"/>
                <w:color w:val="000000"/>
                <w:szCs w:val="21"/>
              </w:rPr>
            </w:pPr>
          </w:p>
        </w:tc>
        <w:tc>
          <w:tcPr>
            <w:tcW w:w="0" w:type="auto"/>
            <w:vAlign w:val="center"/>
          </w:tcPr>
          <w:p w14:paraId="3C4CDC3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0" w:type="auto"/>
            <w:vAlign w:val="center"/>
          </w:tcPr>
          <w:p w14:paraId="1CBAD608">
            <w:pPr>
              <w:numPr>
                <w:ilvl w:val="0"/>
                <w:numId w:val="93"/>
              </w:numPr>
              <w:spacing w:line="360" w:lineRule="auto"/>
              <w:ind w:firstLine="480" w:firstLineChars="200"/>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了解中国电影的发展历程</w:t>
            </w:r>
          </w:p>
          <w:p w14:paraId="10BB189A">
            <w:pPr>
              <w:numPr>
                <w:ilvl w:val="0"/>
                <w:numId w:val="93"/>
              </w:num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熟悉不同阶段的主要代表人物、作品</w:t>
            </w:r>
          </w:p>
          <w:p w14:paraId="222E470A">
            <w:pPr>
              <w:numPr>
                <w:ilvl w:val="0"/>
                <w:numId w:val="93"/>
              </w:num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掌握不同电影发展阶段的相关概念，理解代表作品具有的时代特征。</w:t>
            </w:r>
          </w:p>
          <w:p w14:paraId="7A2416EE">
            <w:pPr>
              <w:spacing w:line="269" w:lineRule="auto"/>
              <w:jc w:val="left"/>
              <w:rPr>
                <w:rFonts w:ascii="宋体" w:hAnsi="宋体" w:eastAsia="宋体" w:cs="Times New Roman"/>
                <w:color w:val="000000"/>
                <w:szCs w:val="21"/>
              </w:rPr>
            </w:pPr>
          </w:p>
        </w:tc>
        <w:tc>
          <w:tcPr>
            <w:tcW w:w="0" w:type="auto"/>
            <w:vAlign w:val="center"/>
          </w:tcPr>
          <w:p w14:paraId="59E245B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F9CABE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D3B945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66A8AB2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7B44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F7E5557">
            <w:pPr>
              <w:spacing w:line="264" w:lineRule="auto"/>
              <w:jc w:val="center"/>
              <w:rPr>
                <w:rFonts w:ascii="宋体" w:hAnsi="宋体" w:eastAsia="宋体" w:cs="Times New Roman"/>
                <w:color w:val="000000"/>
                <w:szCs w:val="21"/>
              </w:rPr>
            </w:pPr>
          </w:p>
        </w:tc>
        <w:tc>
          <w:tcPr>
            <w:tcW w:w="0" w:type="auto"/>
            <w:gridSpan w:val="5"/>
            <w:vAlign w:val="center"/>
          </w:tcPr>
          <w:p w14:paraId="4DFD1F79">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44BE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8C50E67">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4.</w:t>
            </w:r>
            <w:r>
              <w:rPr>
                <w:rFonts w:hint="eastAsia" w:ascii="宋体" w:hAnsi="宋体" w:eastAsia="宋体" w:cs="宋体"/>
                <w:color w:val="000000"/>
                <w:sz w:val="24"/>
                <w:szCs w:val="22"/>
                <w:lang w:bidi="ar"/>
              </w:rPr>
              <w:t>电视艺术与文化</w:t>
            </w:r>
          </w:p>
          <w:p w14:paraId="45C8B354">
            <w:pPr>
              <w:spacing w:line="264" w:lineRule="auto"/>
              <w:jc w:val="center"/>
              <w:rPr>
                <w:rFonts w:ascii="宋体" w:hAnsi="宋体" w:eastAsia="宋体" w:cs="Times New Roman"/>
                <w:color w:val="000000"/>
                <w:szCs w:val="21"/>
              </w:rPr>
            </w:pPr>
          </w:p>
        </w:tc>
        <w:tc>
          <w:tcPr>
            <w:tcW w:w="0" w:type="auto"/>
            <w:vAlign w:val="center"/>
          </w:tcPr>
          <w:p w14:paraId="1EBFF706">
            <w:pPr>
              <w:spacing w:line="360" w:lineRule="auto"/>
              <w:rPr>
                <w:rFonts w:hint="eastAsia" w:ascii="宋体" w:hAnsi="宋体" w:eastAsia="宋体" w:cs="宋体"/>
                <w:color w:val="000000"/>
                <w:sz w:val="24"/>
                <w:szCs w:val="22"/>
              </w:rPr>
            </w:pPr>
            <w:r>
              <w:rPr>
                <w:rFonts w:hint="eastAsia" w:ascii="宋体" w:hAnsi="宋体" w:eastAsia="宋体" w:cs="Times New Roman"/>
                <w:color w:val="000000"/>
                <w:szCs w:val="21"/>
              </w:rPr>
              <w:t>（1）</w:t>
            </w:r>
            <w:r>
              <w:rPr>
                <w:rFonts w:hint="eastAsia" w:ascii="宋体" w:hAnsi="宋体" w:eastAsia="宋体" w:cs="宋体"/>
                <w:color w:val="000000"/>
                <w:sz w:val="24"/>
                <w:szCs w:val="22"/>
                <w:lang w:bidi="ar"/>
              </w:rPr>
              <w:t>电视的诞生与发展成熟。</w:t>
            </w:r>
          </w:p>
          <w:p w14:paraId="5589640A">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作为大众消费文化的电视艺术。</w:t>
            </w:r>
          </w:p>
          <w:p w14:paraId="18C1B8F5">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电视文化对消费社会的引领和建构。</w:t>
            </w:r>
          </w:p>
          <w:p w14:paraId="7BAC191C">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4</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电视艺术的接受。</w:t>
            </w:r>
          </w:p>
          <w:p w14:paraId="56890E45">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5</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电视观众的接受动机。</w:t>
            </w:r>
          </w:p>
          <w:p w14:paraId="526522A0">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6</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文本期待。</w:t>
            </w:r>
          </w:p>
          <w:p w14:paraId="5CE14BE0">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7</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电视观众接受心理的演变。</w:t>
            </w:r>
          </w:p>
          <w:p w14:paraId="6590A120">
            <w:pPr>
              <w:spacing w:line="264" w:lineRule="auto"/>
              <w:jc w:val="left"/>
              <w:rPr>
                <w:rFonts w:ascii="宋体" w:hAnsi="宋体" w:eastAsia="宋体" w:cs="Times New Roman"/>
                <w:color w:val="000000"/>
                <w:szCs w:val="21"/>
              </w:rPr>
            </w:pPr>
          </w:p>
        </w:tc>
        <w:tc>
          <w:tcPr>
            <w:tcW w:w="0" w:type="auto"/>
            <w:vAlign w:val="center"/>
          </w:tcPr>
          <w:p w14:paraId="7081D5B5">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13C702C1">
            <w:pPr>
              <w:numPr>
                <w:ilvl w:val="0"/>
                <w:numId w:val="94"/>
              </w:numPr>
              <w:spacing w:line="360" w:lineRule="auto"/>
              <w:ind w:firstLine="480" w:firstLineChars="200"/>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了解电视的诞生与发展成熟的过程，熟悉电视艺术的接受</w:t>
            </w:r>
          </w:p>
          <w:p w14:paraId="2DCE54D8">
            <w:pPr>
              <w:numPr>
                <w:ilvl w:val="0"/>
                <w:numId w:val="94"/>
              </w:num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掌握电视文化的概念，理解电视文化的大众消费特点。</w:t>
            </w:r>
          </w:p>
          <w:p w14:paraId="32D4338D">
            <w:pPr>
              <w:spacing w:line="264" w:lineRule="auto"/>
              <w:jc w:val="left"/>
              <w:rPr>
                <w:rFonts w:ascii="宋体" w:hAnsi="宋体" w:eastAsia="宋体" w:cs="Times New Roman"/>
                <w:color w:val="000000"/>
                <w:szCs w:val="21"/>
              </w:rPr>
            </w:pPr>
          </w:p>
        </w:tc>
        <w:tc>
          <w:tcPr>
            <w:tcW w:w="0" w:type="auto"/>
            <w:vAlign w:val="center"/>
          </w:tcPr>
          <w:p w14:paraId="2E260952">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3DBACF4">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9E7A81D">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0A2D644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5549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FF8DB0E">
            <w:pPr>
              <w:spacing w:line="264" w:lineRule="auto"/>
              <w:jc w:val="center"/>
              <w:rPr>
                <w:rFonts w:ascii="宋体" w:hAnsi="宋体" w:eastAsia="宋体" w:cs="Times New Roman"/>
                <w:color w:val="000000"/>
                <w:szCs w:val="21"/>
              </w:rPr>
            </w:pPr>
          </w:p>
        </w:tc>
        <w:tc>
          <w:tcPr>
            <w:tcW w:w="0" w:type="auto"/>
            <w:gridSpan w:val="5"/>
            <w:vAlign w:val="center"/>
          </w:tcPr>
          <w:p w14:paraId="6DDF4D46">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学会遵循马克思主义的立场、观点和方法、遵循当代社会的伦理规范来实施教学，同时形成教育公平、民主、法治等的正确理念。</w:t>
            </w:r>
          </w:p>
        </w:tc>
      </w:tr>
      <w:tr w14:paraId="354C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8C00E2F">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5.</w:t>
            </w:r>
            <w:r>
              <w:rPr>
                <w:rFonts w:hint="eastAsia" w:ascii="宋体" w:hAnsi="宋体" w:eastAsia="宋体" w:cs="宋体"/>
                <w:color w:val="000000"/>
                <w:sz w:val="24"/>
                <w:szCs w:val="22"/>
                <w:lang w:bidi="ar"/>
              </w:rPr>
              <w:t>影视艺术的语言</w:t>
            </w:r>
          </w:p>
          <w:p w14:paraId="4ECEBAC2">
            <w:pPr>
              <w:spacing w:line="264" w:lineRule="auto"/>
              <w:jc w:val="center"/>
              <w:rPr>
                <w:rFonts w:ascii="宋体" w:hAnsi="宋体" w:eastAsia="宋体" w:cs="Times New Roman"/>
                <w:color w:val="000000"/>
                <w:szCs w:val="21"/>
              </w:rPr>
            </w:pPr>
          </w:p>
        </w:tc>
        <w:tc>
          <w:tcPr>
            <w:tcW w:w="0" w:type="auto"/>
            <w:vAlign w:val="center"/>
          </w:tcPr>
          <w:p w14:paraId="212F5614">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影视的画面。</w:t>
            </w:r>
          </w:p>
          <w:p w14:paraId="753EF3AA">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影视的镜头。</w:t>
            </w:r>
          </w:p>
          <w:p w14:paraId="540153C7">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影视的构图、光影与色彩。</w:t>
            </w:r>
          </w:p>
          <w:p w14:paraId="6453F1D7">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4</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影视的声音。</w:t>
            </w:r>
          </w:p>
          <w:p w14:paraId="73734382">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5</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声与画的结合。</w:t>
            </w:r>
          </w:p>
          <w:p w14:paraId="6819B796">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6</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蒙太奇的由来与发展。</w:t>
            </w:r>
          </w:p>
          <w:p w14:paraId="7D394A95">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7</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蒙太奇的分类。</w:t>
            </w:r>
          </w:p>
          <w:p w14:paraId="7487C76B">
            <w:pPr>
              <w:spacing w:line="264" w:lineRule="auto"/>
              <w:jc w:val="left"/>
              <w:rPr>
                <w:rFonts w:ascii="宋体" w:hAnsi="宋体" w:eastAsia="宋体" w:cs="Times New Roman"/>
                <w:color w:val="000000"/>
                <w:szCs w:val="21"/>
              </w:rPr>
            </w:pPr>
          </w:p>
        </w:tc>
        <w:tc>
          <w:tcPr>
            <w:tcW w:w="0" w:type="auto"/>
            <w:vAlign w:val="center"/>
          </w:tcPr>
          <w:p w14:paraId="11DA080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411B2C07">
            <w:pPr>
              <w:spacing w:line="264" w:lineRule="auto"/>
              <w:jc w:val="center"/>
              <w:rPr>
                <w:rFonts w:ascii="宋体" w:hAnsi="宋体" w:eastAsia="宋体" w:cs="Times New Roman"/>
                <w:color w:val="000000"/>
                <w:szCs w:val="21"/>
              </w:rPr>
            </w:pPr>
          </w:p>
        </w:tc>
        <w:tc>
          <w:tcPr>
            <w:tcW w:w="0" w:type="auto"/>
            <w:vAlign w:val="center"/>
          </w:tcPr>
          <w:p w14:paraId="5D8DD7DC">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bidi="ar"/>
              </w:rPr>
              <w:t>了解构图要素、色彩配置，</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bidi="ar"/>
              </w:rPr>
              <w:t>熟悉声画结合的主要形式，理解决定光影造型的因素。</w:t>
            </w:r>
          </w:p>
          <w:p w14:paraId="1EE8E311">
            <w:pPr>
              <w:spacing w:line="264" w:lineRule="auto"/>
              <w:jc w:val="left"/>
              <w:rPr>
                <w:rFonts w:ascii="宋体" w:hAnsi="宋体" w:eastAsia="宋体" w:cs="Times New Roman"/>
                <w:color w:val="000000"/>
                <w:szCs w:val="21"/>
              </w:rPr>
            </w:pPr>
          </w:p>
        </w:tc>
        <w:tc>
          <w:tcPr>
            <w:tcW w:w="0" w:type="auto"/>
            <w:vAlign w:val="center"/>
          </w:tcPr>
          <w:p w14:paraId="023355C9">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B935E39">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B2FF9AB">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4C88633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7BB3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0BA3182">
            <w:pPr>
              <w:spacing w:line="264" w:lineRule="auto"/>
              <w:jc w:val="center"/>
              <w:rPr>
                <w:rFonts w:ascii="宋体" w:hAnsi="宋体" w:eastAsia="宋体" w:cs="Times New Roman"/>
                <w:color w:val="000000"/>
                <w:szCs w:val="21"/>
              </w:rPr>
            </w:pPr>
          </w:p>
        </w:tc>
        <w:tc>
          <w:tcPr>
            <w:tcW w:w="0" w:type="auto"/>
            <w:gridSpan w:val="5"/>
            <w:vAlign w:val="center"/>
          </w:tcPr>
          <w:p w14:paraId="52504AC6">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r w14:paraId="1CD2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1FB725">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6.</w:t>
            </w:r>
            <w:r>
              <w:rPr>
                <w:rFonts w:hint="eastAsia" w:ascii="宋体" w:hAnsi="宋体" w:eastAsia="宋体" w:cs="宋体"/>
                <w:color w:val="000000"/>
                <w:sz w:val="24"/>
                <w:szCs w:val="22"/>
                <w:lang w:bidi="ar"/>
              </w:rPr>
              <w:t>影视作品的内容配置</w:t>
            </w:r>
          </w:p>
          <w:p w14:paraId="31FE470A">
            <w:pPr>
              <w:spacing w:line="360" w:lineRule="auto"/>
              <w:ind w:firstLine="480" w:firstLineChars="200"/>
              <w:rPr>
                <w:rFonts w:hint="eastAsia" w:ascii="宋体" w:hAnsi="宋体" w:eastAsia="宋体" w:cs="宋体"/>
                <w:color w:val="000000"/>
                <w:sz w:val="24"/>
                <w:szCs w:val="22"/>
              </w:rPr>
            </w:pPr>
          </w:p>
          <w:p w14:paraId="013DA535">
            <w:pPr>
              <w:spacing w:line="264" w:lineRule="auto"/>
              <w:jc w:val="center"/>
              <w:rPr>
                <w:rFonts w:ascii="宋体" w:hAnsi="宋体" w:eastAsia="宋体" w:cs="Times New Roman"/>
                <w:color w:val="000000"/>
                <w:szCs w:val="21"/>
              </w:rPr>
            </w:pPr>
          </w:p>
        </w:tc>
        <w:tc>
          <w:tcPr>
            <w:tcW w:w="0" w:type="auto"/>
            <w:vAlign w:val="center"/>
          </w:tcPr>
          <w:p w14:paraId="5832ABE2">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商业美学。</w:t>
            </w:r>
          </w:p>
          <w:p w14:paraId="4EF3AC82">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大制作电影（大片）的创作。</w:t>
            </w:r>
          </w:p>
          <w:p w14:paraId="28C1E6EC">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母题。</w:t>
            </w:r>
          </w:p>
          <w:p w14:paraId="4E38ED62">
            <w:pPr>
              <w:spacing w:line="264" w:lineRule="auto"/>
              <w:jc w:val="left"/>
              <w:rPr>
                <w:rFonts w:ascii="宋体" w:hAnsi="宋体" w:eastAsia="宋体" w:cs="Times New Roman"/>
                <w:color w:val="000000"/>
                <w:szCs w:val="21"/>
              </w:rPr>
            </w:pPr>
          </w:p>
        </w:tc>
        <w:tc>
          <w:tcPr>
            <w:tcW w:w="0" w:type="auto"/>
            <w:vAlign w:val="center"/>
          </w:tcPr>
          <w:p w14:paraId="682AAAB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43480477">
            <w:pPr>
              <w:spacing w:line="264" w:lineRule="auto"/>
              <w:jc w:val="center"/>
              <w:rPr>
                <w:rFonts w:ascii="宋体" w:hAnsi="宋体" w:eastAsia="宋体" w:cs="Times New Roman"/>
                <w:color w:val="000000"/>
                <w:szCs w:val="21"/>
              </w:rPr>
            </w:pPr>
          </w:p>
        </w:tc>
        <w:tc>
          <w:tcPr>
            <w:tcW w:w="0" w:type="auto"/>
            <w:vAlign w:val="center"/>
          </w:tcPr>
          <w:p w14:paraId="2A7E765A">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bidi="ar"/>
              </w:rPr>
              <w:t>了解商业美学、大片的概念，理解母题的基本特征。</w:t>
            </w:r>
          </w:p>
          <w:p w14:paraId="2D7FD1A5">
            <w:pPr>
              <w:spacing w:line="264" w:lineRule="auto"/>
              <w:jc w:val="left"/>
              <w:rPr>
                <w:rFonts w:ascii="宋体" w:hAnsi="宋体" w:eastAsia="宋体" w:cs="Times New Roman"/>
                <w:color w:val="000000"/>
                <w:szCs w:val="21"/>
              </w:rPr>
            </w:pPr>
          </w:p>
        </w:tc>
        <w:tc>
          <w:tcPr>
            <w:tcW w:w="0" w:type="auto"/>
            <w:vAlign w:val="center"/>
          </w:tcPr>
          <w:p w14:paraId="12C29F40">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839C906">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F36DDD2">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6AAF9DF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323C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8868C0">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7.</w:t>
            </w:r>
            <w:r>
              <w:rPr>
                <w:rFonts w:hint="eastAsia" w:ascii="宋体" w:hAnsi="宋体" w:eastAsia="宋体" w:cs="宋体"/>
                <w:color w:val="000000"/>
                <w:sz w:val="24"/>
                <w:szCs w:val="22"/>
                <w:lang w:bidi="ar"/>
              </w:rPr>
              <w:t>电影的类型</w:t>
            </w:r>
          </w:p>
          <w:p w14:paraId="26ABE93B">
            <w:pPr>
              <w:spacing w:line="264" w:lineRule="auto"/>
              <w:jc w:val="center"/>
              <w:rPr>
                <w:rFonts w:ascii="宋体" w:hAnsi="宋体" w:eastAsia="宋体" w:cs="Times New Roman"/>
                <w:color w:val="000000"/>
                <w:szCs w:val="21"/>
              </w:rPr>
            </w:pPr>
          </w:p>
        </w:tc>
        <w:tc>
          <w:tcPr>
            <w:tcW w:w="0" w:type="auto"/>
            <w:vAlign w:val="center"/>
          </w:tcPr>
          <w:p w14:paraId="0AC1865E">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纪录片的概念及特点。</w:t>
            </w:r>
          </w:p>
          <w:p w14:paraId="6D596CCD">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故事片的概念及分类。</w:t>
            </w:r>
          </w:p>
          <w:p w14:paraId="682A374A">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西部片、科幻片。</w:t>
            </w:r>
          </w:p>
          <w:p w14:paraId="47EF9FD0">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4</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惊悚恐怖片。</w:t>
            </w:r>
          </w:p>
          <w:p w14:paraId="0524ED96">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5</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歌舞片、犯罪片、伦理片。</w:t>
            </w:r>
          </w:p>
          <w:p w14:paraId="27683AFF">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6</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真人电影与动画片。</w:t>
            </w:r>
          </w:p>
          <w:p w14:paraId="6BA53111">
            <w:pPr>
              <w:spacing w:line="264" w:lineRule="auto"/>
              <w:jc w:val="left"/>
              <w:rPr>
                <w:rFonts w:ascii="宋体" w:hAnsi="宋体" w:eastAsia="宋体" w:cs="Times New Roman"/>
                <w:color w:val="000000"/>
                <w:szCs w:val="21"/>
              </w:rPr>
            </w:pPr>
          </w:p>
        </w:tc>
        <w:tc>
          <w:tcPr>
            <w:tcW w:w="0" w:type="auto"/>
            <w:vAlign w:val="center"/>
          </w:tcPr>
          <w:p w14:paraId="254A35D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7D5C7E3E">
            <w:pPr>
              <w:spacing w:line="264" w:lineRule="auto"/>
              <w:jc w:val="center"/>
              <w:rPr>
                <w:rFonts w:ascii="宋体" w:hAnsi="宋体" w:eastAsia="宋体" w:cs="Times New Roman"/>
                <w:color w:val="000000"/>
                <w:szCs w:val="21"/>
              </w:rPr>
            </w:pPr>
          </w:p>
        </w:tc>
        <w:tc>
          <w:tcPr>
            <w:tcW w:w="0" w:type="auto"/>
            <w:vAlign w:val="center"/>
          </w:tcPr>
          <w:p w14:paraId="55B09193">
            <w:pPr>
              <w:numPr>
                <w:ilvl w:val="0"/>
                <w:numId w:val="95"/>
              </w:numPr>
              <w:spacing w:line="360" w:lineRule="auto"/>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了解电影的类型，熟悉类型片的概念</w:t>
            </w:r>
          </w:p>
          <w:p w14:paraId="108512D6">
            <w:pPr>
              <w:numPr>
                <w:ilvl w:val="0"/>
                <w:numId w:val="95"/>
              </w:num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bidi="ar"/>
              </w:rPr>
              <w:t>掌握纪录片、故事片和动画片的概念及特点，理解类型片的特点。</w:t>
            </w:r>
          </w:p>
          <w:p w14:paraId="0CDFE819">
            <w:pPr>
              <w:spacing w:line="264" w:lineRule="auto"/>
              <w:jc w:val="left"/>
              <w:rPr>
                <w:rFonts w:ascii="宋体" w:hAnsi="宋体" w:eastAsia="宋体" w:cs="Times New Roman"/>
                <w:color w:val="000000"/>
                <w:szCs w:val="21"/>
              </w:rPr>
            </w:pPr>
          </w:p>
        </w:tc>
        <w:tc>
          <w:tcPr>
            <w:tcW w:w="0" w:type="auto"/>
            <w:vAlign w:val="center"/>
          </w:tcPr>
          <w:p w14:paraId="71B0066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FA31767">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9409E1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0F95AB7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5D72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38F3FE">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8.</w:t>
            </w:r>
            <w:r>
              <w:rPr>
                <w:rFonts w:hint="eastAsia" w:ascii="宋体" w:hAnsi="宋体" w:eastAsia="宋体" w:cs="宋体"/>
                <w:color w:val="000000"/>
                <w:sz w:val="24"/>
                <w:szCs w:val="22"/>
                <w:lang w:bidi="ar"/>
              </w:rPr>
              <w:t>电视艺术节目分类</w:t>
            </w:r>
          </w:p>
          <w:p w14:paraId="4A7A202A">
            <w:pPr>
              <w:spacing w:line="264" w:lineRule="auto"/>
              <w:jc w:val="center"/>
              <w:rPr>
                <w:rFonts w:ascii="宋体" w:hAnsi="宋体" w:eastAsia="宋体" w:cs="Times New Roman"/>
                <w:color w:val="000000"/>
                <w:szCs w:val="21"/>
              </w:rPr>
            </w:pPr>
          </w:p>
        </w:tc>
        <w:tc>
          <w:tcPr>
            <w:tcW w:w="0" w:type="auto"/>
            <w:vAlign w:val="center"/>
          </w:tcPr>
          <w:p w14:paraId="61CBEC23">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电视剧。</w:t>
            </w:r>
          </w:p>
          <w:p w14:paraId="554252B3">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电视艺术节目。</w:t>
            </w:r>
          </w:p>
          <w:p w14:paraId="4BCFDAB5">
            <w:pPr>
              <w:spacing w:line="264" w:lineRule="auto"/>
              <w:jc w:val="left"/>
              <w:rPr>
                <w:rFonts w:ascii="宋体" w:hAnsi="宋体" w:eastAsia="宋体" w:cs="Times New Roman"/>
                <w:color w:val="000000"/>
                <w:szCs w:val="21"/>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电视纪实节目。</w:t>
            </w:r>
          </w:p>
        </w:tc>
        <w:tc>
          <w:tcPr>
            <w:tcW w:w="0" w:type="auto"/>
            <w:vAlign w:val="center"/>
          </w:tcPr>
          <w:p w14:paraId="60E43165">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79B01F47">
            <w:pPr>
              <w:spacing w:line="264" w:lineRule="auto"/>
              <w:jc w:val="center"/>
              <w:rPr>
                <w:rFonts w:ascii="宋体" w:hAnsi="宋体" w:eastAsia="宋体" w:cs="Times New Roman"/>
                <w:color w:val="000000"/>
                <w:szCs w:val="21"/>
              </w:rPr>
            </w:pPr>
          </w:p>
        </w:tc>
        <w:tc>
          <w:tcPr>
            <w:tcW w:w="0" w:type="auto"/>
            <w:vAlign w:val="center"/>
          </w:tcPr>
          <w:p w14:paraId="7123FAF9">
            <w:pPr>
              <w:numPr>
                <w:ilvl w:val="0"/>
                <w:numId w:val="96"/>
              </w:numPr>
              <w:spacing w:line="360" w:lineRule="auto"/>
              <w:rPr>
                <w:rFonts w:hint="eastAsia" w:ascii="宋体" w:hAnsi="宋体" w:eastAsia="宋体" w:cs="宋体"/>
                <w:color w:val="000000"/>
                <w:sz w:val="24"/>
                <w:szCs w:val="22"/>
                <w:lang w:bidi="ar"/>
              </w:rPr>
            </w:pPr>
            <w:r>
              <w:rPr>
                <w:rFonts w:hint="eastAsia" w:ascii="宋体" w:hAnsi="宋体" w:eastAsia="宋体" w:cs="宋体"/>
                <w:color w:val="000000"/>
                <w:sz w:val="24"/>
                <w:szCs w:val="22"/>
                <w:lang w:bidi="ar"/>
              </w:rPr>
              <w:t>了解电视艺术节目的主要代表作品，掌握各类节目的特征</w:t>
            </w:r>
          </w:p>
          <w:p w14:paraId="2B36F25A">
            <w:pPr>
              <w:numPr>
                <w:ilvl w:val="0"/>
                <w:numId w:val="96"/>
              </w:num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bidi="ar"/>
              </w:rPr>
              <w:t>理解电视综艺节目的发展和演变。</w:t>
            </w:r>
          </w:p>
          <w:p w14:paraId="6249D636">
            <w:pPr>
              <w:spacing w:line="264" w:lineRule="auto"/>
              <w:jc w:val="left"/>
              <w:rPr>
                <w:rFonts w:ascii="宋体" w:hAnsi="宋体" w:eastAsia="宋体" w:cs="Times New Roman"/>
                <w:color w:val="000000"/>
                <w:szCs w:val="21"/>
              </w:rPr>
            </w:pPr>
          </w:p>
        </w:tc>
        <w:tc>
          <w:tcPr>
            <w:tcW w:w="0" w:type="auto"/>
            <w:vAlign w:val="center"/>
          </w:tcPr>
          <w:p w14:paraId="3407CF8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B99EE07">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E6D5EA0">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2D290AA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384B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BCB219">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9.</w:t>
            </w:r>
            <w:r>
              <w:rPr>
                <w:rFonts w:hint="eastAsia" w:ascii="宋体" w:hAnsi="宋体" w:eastAsia="宋体" w:cs="宋体"/>
                <w:color w:val="000000"/>
                <w:sz w:val="24"/>
                <w:szCs w:val="22"/>
                <w:lang w:bidi="ar"/>
              </w:rPr>
              <w:t>新媒体与影视艺术的发展</w:t>
            </w:r>
          </w:p>
          <w:p w14:paraId="2F0CB73F">
            <w:pPr>
              <w:spacing w:line="264" w:lineRule="auto"/>
              <w:jc w:val="center"/>
              <w:rPr>
                <w:rFonts w:ascii="宋体" w:hAnsi="宋体" w:eastAsia="宋体" w:cs="Times New Roman"/>
                <w:color w:val="000000"/>
                <w:szCs w:val="21"/>
              </w:rPr>
            </w:pPr>
          </w:p>
        </w:tc>
        <w:tc>
          <w:tcPr>
            <w:tcW w:w="0" w:type="auto"/>
            <w:vAlign w:val="center"/>
          </w:tcPr>
          <w:p w14:paraId="6CE34B9C">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新媒体的概念。</w:t>
            </w:r>
          </w:p>
          <w:p w14:paraId="36AF3AA9">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2</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新媒体给传统媒体带来的挑战。</w:t>
            </w:r>
          </w:p>
          <w:p w14:paraId="1CE59352">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3</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媒介融合。</w:t>
            </w:r>
          </w:p>
          <w:p w14:paraId="79980932">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val="en-US" w:eastAsia="zh-CN" w:bidi="ar"/>
              </w:rPr>
              <w:t>4</w:t>
            </w:r>
            <w:r>
              <w:rPr>
                <w:rFonts w:hint="eastAsia" w:ascii="宋体" w:hAnsi="宋体" w:eastAsia="宋体" w:cs="宋体"/>
                <w:color w:val="000000"/>
                <w:sz w:val="24"/>
                <w:szCs w:val="22"/>
                <w:lang w:eastAsia="zh-CN" w:bidi="ar"/>
              </w:rPr>
              <w:t>）</w:t>
            </w:r>
            <w:r>
              <w:rPr>
                <w:rFonts w:hint="eastAsia" w:ascii="宋体" w:hAnsi="宋体" w:eastAsia="宋体" w:cs="宋体"/>
                <w:color w:val="000000"/>
                <w:sz w:val="24"/>
                <w:szCs w:val="22"/>
                <w:lang w:bidi="ar"/>
              </w:rPr>
              <w:t>手机电视的概念与内容。</w:t>
            </w:r>
          </w:p>
          <w:p w14:paraId="58550E1A">
            <w:pPr>
              <w:spacing w:line="264" w:lineRule="auto"/>
              <w:jc w:val="left"/>
              <w:rPr>
                <w:rFonts w:ascii="宋体" w:hAnsi="宋体" w:eastAsia="宋体" w:cs="Times New Roman"/>
                <w:color w:val="000000"/>
                <w:szCs w:val="21"/>
              </w:rPr>
            </w:pPr>
          </w:p>
        </w:tc>
        <w:tc>
          <w:tcPr>
            <w:tcW w:w="0" w:type="auto"/>
            <w:vAlign w:val="center"/>
          </w:tcPr>
          <w:p w14:paraId="09742A4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3BA42906">
            <w:pPr>
              <w:spacing w:line="264" w:lineRule="auto"/>
              <w:jc w:val="center"/>
              <w:rPr>
                <w:rFonts w:ascii="宋体" w:hAnsi="宋体" w:eastAsia="宋体" w:cs="Times New Roman"/>
                <w:color w:val="000000"/>
                <w:szCs w:val="21"/>
              </w:rPr>
            </w:pPr>
          </w:p>
        </w:tc>
        <w:tc>
          <w:tcPr>
            <w:tcW w:w="0" w:type="auto"/>
            <w:vAlign w:val="center"/>
          </w:tcPr>
          <w:p w14:paraId="0123DEBC">
            <w:pPr>
              <w:spacing w:line="360" w:lineRule="auto"/>
              <w:rPr>
                <w:rFonts w:hint="eastAsia" w:ascii="宋体" w:hAnsi="宋体" w:eastAsia="宋体" w:cs="宋体"/>
                <w:color w:val="000000"/>
                <w:sz w:val="24"/>
                <w:szCs w:val="22"/>
              </w:rPr>
            </w:pPr>
            <w:r>
              <w:rPr>
                <w:rFonts w:hint="eastAsia" w:ascii="宋体" w:hAnsi="宋体" w:eastAsia="宋体" w:cs="宋体"/>
                <w:color w:val="000000"/>
                <w:sz w:val="24"/>
                <w:szCs w:val="22"/>
                <w:lang w:val="en-US" w:eastAsia="zh-CN" w:bidi="ar"/>
              </w:rPr>
              <w:t>1.</w:t>
            </w:r>
            <w:r>
              <w:rPr>
                <w:rFonts w:hint="eastAsia" w:ascii="宋体" w:hAnsi="宋体" w:eastAsia="宋体" w:cs="宋体"/>
                <w:color w:val="000000"/>
                <w:sz w:val="24"/>
                <w:szCs w:val="22"/>
                <w:lang w:bidi="ar"/>
              </w:rPr>
              <w:t>了解新媒体特征，掌握新媒体的概念和播客的特点。</w:t>
            </w:r>
          </w:p>
          <w:p w14:paraId="0A61C538">
            <w:pPr>
              <w:spacing w:line="264" w:lineRule="auto"/>
              <w:jc w:val="left"/>
              <w:rPr>
                <w:rFonts w:ascii="宋体" w:hAnsi="宋体" w:eastAsia="宋体" w:cs="Times New Roman"/>
                <w:color w:val="000000"/>
                <w:szCs w:val="21"/>
              </w:rPr>
            </w:pPr>
          </w:p>
        </w:tc>
        <w:tc>
          <w:tcPr>
            <w:tcW w:w="0" w:type="auto"/>
            <w:vAlign w:val="center"/>
          </w:tcPr>
          <w:p w14:paraId="6165B70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46DCDF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BAAAA3A">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0084371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bookmarkEnd w:id="2888"/>
    </w:tbl>
    <w:p w14:paraId="68FFB53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240CA8E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9AAC83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3107DC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056"/>
        <w:gridCol w:w="1056"/>
        <w:gridCol w:w="1056"/>
        <w:gridCol w:w="767"/>
      </w:tblGrid>
      <w:tr w14:paraId="6ED2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78526907">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168" w:type="dxa"/>
            <w:gridSpan w:val="3"/>
            <w:vAlign w:val="center"/>
          </w:tcPr>
          <w:p w14:paraId="04A61FF1">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767" w:type="dxa"/>
            <w:vMerge w:val="restart"/>
            <w:vAlign w:val="center"/>
          </w:tcPr>
          <w:p w14:paraId="697DFA9D">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668E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2842916A">
            <w:pPr>
              <w:spacing w:line="360" w:lineRule="auto"/>
              <w:jc w:val="center"/>
              <w:rPr>
                <w:rFonts w:ascii="宋体" w:hAnsi="宋体" w:eastAsia="宋体" w:cs="Times New Roman"/>
                <w:szCs w:val="21"/>
              </w:rPr>
            </w:pPr>
          </w:p>
        </w:tc>
        <w:tc>
          <w:tcPr>
            <w:tcW w:w="1056" w:type="dxa"/>
            <w:vAlign w:val="center"/>
          </w:tcPr>
          <w:p w14:paraId="13D7647C">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5BDF5E76">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3C8E6F56">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767" w:type="dxa"/>
            <w:vMerge w:val="continue"/>
            <w:vAlign w:val="center"/>
          </w:tcPr>
          <w:p w14:paraId="5DD65CF8">
            <w:pPr>
              <w:spacing w:line="360" w:lineRule="auto"/>
              <w:jc w:val="center"/>
              <w:rPr>
                <w:rFonts w:ascii="宋体" w:hAnsi="宋体" w:eastAsia="宋体" w:cs="Times New Roman"/>
                <w:szCs w:val="21"/>
              </w:rPr>
            </w:pPr>
          </w:p>
        </w:tc>
      </w:tr>
      <w:tr w14:paraId="1B1E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D54E124">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056" w:type="dxa"/>
            <w:vAlign w:val="center"/>
          </w:tcPr>
          <w:p w14:paraId="3EBD15D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76F2495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175FFF5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60CBD4AC">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3713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3C79EB0">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056" w:type="dxa"/>
            <w:vAlign w:val="center"/>
          </w:tcPr>
          <w:p w14:paraId="3426D5D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7080784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638213C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46E7FF98">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3209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0CBE76E">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056" w:type="dxa"/>
            <w:vAlign w:val="center"/>
          </w:tcPr>
          <w:p w14:paraId="2852CD4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5E21C69">
            <w:pPr>
              <w:spacing w:line="360" w:lineRule="auto"/>
              <w:jc w:val="center"/>
              <w:rPr>
                <w:rFonts w:ascii="宋体" w:hAnsi="宋体" w:eastAsia="宋体" w:cs="Times New Roman"/>
                <w:szCs w:val="21"/>
              </w:rPr>
            </w:pPr>
          </w:p>
        </w:tc>
        <w:tc>
          <w:tcPr>
            <w:tcW w:w="1056" w:type="dxa"/>
            <w:vAlign w:val="center"/>
          </w:tcPr>
          <w:p w14:paraId="5F83808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1888CF45">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76D7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6525E7D">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056" w:type="dxa"/>
            <w:vAlign w:val="center"/>
          </w:tcPr>
          <w:p w14:paraId="6529CCE2">
            <w:pPr>
              <w:spacing w:line="360" w:lineRule="auto"/>
              <w:jc w:val="center"/>
              <w:rPr>
                <w:rFonts w:ascii="宋体" w:hAnsi="宋体" w:eastAsia="宋体" w:cs="Times New Roman"/>
                <w:szCs w:val="21"/>
              </w:rPr>
            </w:pPr>
          </w:p>
        </w:tc>
        <w:tc>
          <w:tcPr>
            <w:tcW w:w="1056" w:type="dxa"/>
            <w:vAlign w:val="center"/>
          </w:tcPr>
          <w:p w14:paraId="552E33FF">
            <w:pPr>
              <w:spacing w:line="360" w:lineRule="auto"/>
              <w:jc w:val="center"/>
              <w:rPr>
                <w:rFonts w:ascii="宋体" w:hAnsi="宋体" w:eastAsia="宋体" w:cs="Times New Roman"/>
                <w:szCs w:val="21"/>
              </w:rPr>
            </w:pPr>
          </w:p>
        </w:tc>
        <w:tc>
          <w:tcPr>
            <w:tcW w:w="1056" w:type="dxa"/>
            <w:vAlign w:val="center"/>
          </w:tcPr>
          <w:p w14:paraId="16640763">
            <w:pPr>
              <w:spacing w:line="360" w:lineRule="auto"/>
              <w:jc w:val="center"/>
              <w:rPr>
                <w:rFonts w:ascii="宋体" w:hAnsi="宋体" w:eastAsia="宋体" w:cs="Times New Roman"/>
                <w:szCs w:val="21"/>
              </w:rPr>
            </w:pPr>
          </w:p>
        </w:tc>
        <w:tc>
          <w:tcPr>
            <w:tcW w:w="767" w:type="dxa"/>
            <w:vAlign w:val="center"/>
          </w:tcPr>
          <w:p w14:paraId="79AB330E">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646E7D40">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EC2B6C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555B6B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6FE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5741C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CB4FA8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FB2A2B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9DC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CB1A7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6F8EBF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7A61D15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25</w:t>
            </w:r>
            <w:r>
              <w:rPr>
                <w:rFonts w:hint="eastAsia" w:ascii="Times New Roman" w:hAnsi="Times New Roman" w:eastAsia="宋体" w:cs="Times New Roman"/>
                <w:szCs w:val="21"/>
              </w:rPr>
              <w:t>%</w:t>
            </w:r>
          </w:p>
        </w:tc>
      </w:tr>
      <w:tr w14:paraId="5BDC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DC7B2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39E2984">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7F01EE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1290F14">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25</w:t>
            </w:r>
            <w:r>
              <w:rPr>
                <w:rFonts w:hint="eastAsia" w:ascii="Times New Roman" w:hAnsi="Times New Roman" w:eastAsia="宋体" w:cs="Times New Roman"/>
                <w:szCs w:val="21"/>
              </w:rPr>
              <w:t>%</w:t>
            </w:r>
          </w:p>
        </w:tc>
      </w:tr>
      <w:tr w14:paraId="292C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1612C1">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C2A8AE4">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6D966099">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713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DD95CA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FA7B722">
            <w:pPr>
              <w:jc w:val="left"/>
              <w:rPr>
                <w:rFonts w:ascii="Times New Roman" w:hAnsi="Times New Roman" w:eastAsia="宋体" w:cs="Times New Roman"/>
                <w:szCs w:val="21"/>
              </w:rPr>
            </w:pPr>
          </w:p>
        </w:tc>
        <w:tc>
          <w:tcPr>
            <w:tcW w:w="0" w:type="auto"/>
            <w:vAlign w:val="center"/>
          </w:tcPr>
          <w:p w14:paraId="6261B72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A49815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4EC7BA8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42EB213">
      <w:pPr>
        <w:spacing w:line="360" w:lineRule="auto"/>
        <w:rPr>
          <w:rFonts w:hint="eastAsia" w:ascii="宋体" w:hAnsi="宋体" w:eastAsia="宋体" w:cs="宋体"/>
          <w:b/>
          <w:sz w:val="28"/>
          <w:szCs w:val="28"/>
          <w:lang w:bidi="ar"/>
        </w:rPr>
      </w:pPr>
      <w:r>
        <w:rPr>
          <w:rFonts w:ascii="宋体" w:hAnsi="宋体" w:eastAsia="宋体" w:cs="Times New Roman"/>
          <w:color w:val="000000"/>
          <w:szCs w:val="21"/>
        </w:rPr>
        <w:object>
          <v:shape id="_x0000_i1077"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77" DrawAspect="Content" ObjectID="_1468075777" r:id="rId60">
            <o:LockedField>false</o:LockedField>
          </o:OLEObject>
        </w:object>
      </w:r>
      <w:bookmarkStart w:id="2889" w:name="_Toc1361956488"/>
      <w:r>
        <w:rPr>
          <w:rFonts w:hint="eastAsia" w:ascii="宋体" w:hAnsi="宋体" w:eastAsia="宋体" w:cs="宋体"/>
          <w:b/>
          <w:sz w:val="28"/>
          <w:szCs w:val="28"/>
          <w:lang w:bidi="ar"/>
        </w:rPr>
        <w:t>五、有关说明</w:t>
      </w:r>
      <w:bookmarkEnd w:id="2889"/>
    </w:p>
    <w:p w14:paraId="7C002DCC">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w:t>
      </w:r>
      <w:r>
        <w:rPr>
          <w:rFonts w:hint="eastAsia" w:ascii="宋体" w:hAnsi="宋体" w:eastAsia="宋体" w:cs="宋体"/>
          <w:color w:val="000000"/>
          <w:sz w:val="24"/>
          <w:szCs w:val="22"/>
          <w:lang w:val="en-US" w:eastAsia="zh-CN" w:bidi="ar"/>
        </w:rPr>
        <w:t>一</w:t>
      </w:r>
      <w:r>
        <w:rPr>
          <w:rFonts w:hint="eastAsia" w:ascii="宋体" w:hAnsi="宋体" w:eastAsia="宋体" w:cs="宋体"/>
          <w:color w:val="000000"/>
          <w:sz w:val="24"/>
          <w:szCs w:val="22"/>
          <w:lang w:bidi="ar"/>
        </w:rPr>
        <w:t>）教学建议</w:t>
      </w:r>
    </w:p>
    <w:p w14:paraId="7582BA1D">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1. 本课程的主要教学方法是理论联系实际的案例式教学和启发式教学，广泛应用小组讨论、小组辩论的方式进行。尽可能用生动具象的电影作品或影视片段来进行很好的说明。</w:t>
      </w:r>
    </w:p>
    <w:p w14:paraId="7EBBBE3E">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2.指导学生阅读相关书籍和音像资料。结合思考题布置作业和训练。</w:t>
      </w:r>
    </w:p>
    <w:p w14:paraId="7D301EF1">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3. 以培养专业能力为核心，将案例分析或赏析教学相结合，积极探索教学方法与成绩评价方法的创新，保证课程目标的实现。</w:t>
      </w:r>
    </w:p>
    <w:p w14:paraId="6DF8255F">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w:t>
      </w:r>
      <w:r>
        <w:rPr>
          <w:rFonts w:hint="eastAsia" w:ascii="宋体" w:hAnsi="宋体" w:eastAsia="宋体" w:cs="宋体"/>
          <w:color w:val="000000"/>
          <w:sz w:val="24"/>
          <w:szCs w:val="22"/>
          <w:lang w:val="en-US" w:eastAsia="zh-CN" w:bidi="ar"/>
        </w:rPr>
        <w:t>二</w:t>
      </w:r>
      <w:r>
        <w:rPr>
          <w:rFonts w:hint="eastAsia" w:ascii="宋体" w:hAnsi="宋体" w:eastAsia="宋体" w:cs="宋体"/>
          <w:color w:val="000000"/>
          <w:sz w:val="24"/>
          <w:szCs w:val="22"/>
          <w:lang w:bidi="ar"/>
        </w:rPr>
        <w:t>）教学参考书</w:t>
      </w:r>
    </w:p>
    <w:p w14:paraId="3A16EFCE">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1．《影视艺术概论》，梁颐编著，北京大学出版社。</w:t>
      </w:r>
    </w:p>
    <w:p w14:paraId="1913F480">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2．《影视艺术概论》，张凤铸编著，北京广播学院出版社。</w:t>
      </w:r>
    </w:p>
    <w:p w14:paraId="7F6B67EC">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3．《中国电影文化史》，李道新编著，北京大学出版社。</w:t>
      </w:r>
    </w:p>
    <w:p w14:paraId="44B26C2E">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4．《影视艺术欣赏与批评》，陈卫平编著，上海古籍出版社。</w:t>
      </w:r>
    </w:p>
    <w:p w14:paraId="49AD5EA9">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5.《影视鉴赏》，彭吉象编著，中国高校出版社。</w:t>
      </w:r>
    </w:p>
    <w:p w14:paraId="097E877D">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6.《影视类型学》，郝建编著，北京大学出版社。</w:t>
      </w:r>
    </w:p>
    <w:p w14:paraId="3F1093BE">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7.《影视艺术教程》 作者：王光祖编著，高等教育出版社。</w:t>
      </w:r>
    </w:p>
    <w:p w14:paraId="67D221EE">
      <w:pPr>
        <w:spacing w:line="360" w:lineRule="auto"/>
        <w:rPr>
          <w:rFonts w:hint="eastAsia" w:ascii="宋体" w:hAnsi="宋体" w:eastAsia="宋体" w:cs="宋体"/>
          <w:color w:val="000000"/>
          <w:sz w:val="24"/>
          <w:szCs w:val="22"/>
        </w:rPr>
      </w:pPr>
    </w:p>
    <w:p w14:paraId="61D25510">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 xml:space="preserve">                                              执笔人：朱鹏杰</w:t>
      </w:r>
    </w:p>
    <w:p w14:paraId="257AA4B0">
      <w:pPr>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 xml:space="preserve">                                              审定人：王振军</w:t>
      </w:r>
    </w:p>
    <w:p w14:paraId="41B843C3">
      <w:pPr>
        <w:spacing w:line="360" w:lineRule="auto"/>
        <w:ind w:firstLine="480" w:firstLineChars="200"/>
        <w:rPr>
          <w:rFonts w:hint="eastAsia" w:ascii="宋体" w:hAnsi="宋体" w:eastAsia="宋体" w:cs="宋体"/>
          <w:color w:val="000000"/>
          <w:szCs w:val="21"/>
        </w:rPr>
      </w:pPr>
      <w:r>
        <w:rPr>
          <w:rFonts w:hint="eastAsia" w:ascii="宋体" w:hAnsi="宋体" w:eastAsia="宋体" w:cs="宋体"/>
          <w:color w:val="000000"/>
          <w:sz w:val="24"/>
          <w:szCs w:val="22"/>
          <w:lang w:bidi="ar"/>
        </w:rPr>
        <w:t xml:space="preserve">                                              批准人：陈建忠</w:t>
      </w:r>
    </w:p>
    <w:p w14:paraId="39D8996E">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审批时间：2024年9月1日</w:t>
      </w:r>
    </w:p>
    <w:p w14:paraId="356DCF92">
      <w:pPr>
        <w:rPr>
          <w:rFonts w:hint="eastAsia"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2F79674C">
      <w:pPr>
        <w:pStyle w:val="2"/>
        <w:bidi w:val="0"/>
      </w:pPr>
      <w:bookmarkStart w:id="2890" w:name="_Toc3073"/>
      <w:r>
        <w:rPr>
          <w:rFonts w:hint="eastAsia"/>
        </w:rPr>
        <w:t>《</w:t>
      </w:r>
      <w:r>
        <w:rPr>
          <w:rFonts w:hint="eastAsia"/>
          <w:lang w:val="en-US" w:eastAsia="zh-CN"/>
        </w:rPr>
        <w:t>美学基础</w:t>
      </w:r>
      <w:r>
        <w:rPr>
          <w:rFonts w:hint="eastAsia"/>
        </w:rPr>
        <w:t>》课程教学大纲</w:t>
      </w:r>
      <w:bookmarkEnd w:id="2890"/>
    </w:p>
    <w:p w14:paraId="3B470A98">
      <w:pPr>
        <w:pStyle w:val="2"/>
        <w:bidi w:val="0"/>
      </w:pPr>
      <w:bookmarkStart w:id="2891" w:name="_Toc10098"/>
      <w:r>
        <w:t>（</w:t>
      </w:r>
      <w:r>
        <w:rPr>
          <w:rFonts w:hint="eastAsia"/>
        </w:rPr>
        <w:t>Syllabus of Esthetical Basic Theory Course</w:t>
      </w:r>
      <w:r>
        <w:t>）</w:t>
      </w:r>
      <w:bookmarkEnd w:id="2891"/>
    </w:p>
    <w:p w14:paraId="7BD36F9E">
      <w:pPr>
        <w:pStyle w:val="2"/>
        <w:bidi w:val="0"/>
      </w:pPr>
    </w:p>
    <w:p w14:paraId="4E4F76F8">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美学基础</w:t>
      </w:r>
    </w:p>
    <w:p w14:paraId="4AEB84A9">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w:t>
      </w:r>
      <w:r>
        <w:rPr>
          <w:rFonts w:hint="eastAsia" w:ascii="Times New Roman" w:hAnsi="Times New Roman" w:eastAsia="宋体" w:cs="Times New Roman"/>
          <w:b/>
          <w:sz w:val="24"/>
          <w:szCs w:val="24"/>
          <w:lang w:val="en-US" w:eastAsia="zh-CN"/>
        </w:rPr>
        <w:t>0705040</w:t>
      </w:r>
    </w:p>
    <w:p w14:paraId="181AE00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6D87FB2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272CA9D6">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美术基础</w:t>
      </w:r>
    </w:p>
    <w:p w14:paraId="0E0686D0">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适用专业：小学教育</w:t>
      </w:r>
      <w:r>
        <w:rPr>
          <w:rFonts w:hint="eastAsia" w:ascii="Times New Roman" w:hAnsi="Times New Roman" w:eastAsia="宋体" w:cs="Times New Roman"/>
          <w:b/>
          <w:sz w:val="24"/>
          <w:szCs w:val="24"/>
          <w:lang w:eastAsia="zh-CN"/>
        </w:rPr>
        <w:t>（</w:t>
      </w:r>
      <w:r>
        <w:rPr>
          <w:rFonts w:hint="eastAsia" w:ascii="Times New Roman" w:hAnsi="Times New Roman" w:eastAsia="宋体" w:cs="Times New Roman"/>
          <w:b/>
          <w:sz w:val="24"/>
          <w:szCs w:val="24"/>
          <w:lang w:val="en-US" w:eastAsia="zh-CN"/>
        </w:rPr>
        <w:t>文</w:t>
      </w:r>
      <w:r>
        <w:rPr>
          <w:rFonts w:hint="eastAsia" w:ascii="Times New Roman" w:hAnsi="Times New Roman" w:eastAsia="宋体" w:cs="Times New Roman"/>
          <w:b/>
          <w:sz w:val="24"/>
          <w:szCs w:val="24"/>
          <w:lang w:eastAsia="zh-CN"/>
        </w:rPr>
        <w:t>）</w:t>
      </w:r>
    </w:p>
    <w:p w14:paraId="1C61E251">
      <w:pPr>
        <w:spacing w:line="360" w:lineRule="auto"/>
        <w:jc w:val="left"/>
        <w:rPr>
          <w:rFonts w:ascii="Times New Roman" w:hAnsi="Times New Roman" w:eastAsia="宋体" w:cs="Times New Roman"/>
          <w:b/>
          <w:sz w:val="24"/>
          <w:szCs w:val="24"/>
        </w:rPr>
      </w:pPr>
    </w:p>
    <w:p w14:paraId="086C9B1B">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3EE69702">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是小学教育（文）专业的专业基础选修课。通过本课程的学习，培养学生系统地理解和掌握美学的基本理论和基础知识，理解美学的基本特性与问题，把握与理解审美活动的结构与特点，了解美的类型或形态，体悟美的文化意蕴以及审美活动的人类学起源与宇宙学根据，从而增强学生的美学修养，开启学生的人文智慧。树立健康的审美观，正确地分析古今中外的各种文学现象，为学生学习其他文学课程、从事语文教育工作奠定初步的理论基础。</w:t>
      </w:r>
    </w:p>
    <w:p w14:paraId="6A230F1B">
      <w:pPr>
        <w:spacing w:line="360" w:lineRule="auto"/>
        <w:jc w:val="left"/>
        <w:rPr>
          <w:rFonts w:ascii="宋体" w:hAnsi="宋体" w:eastAsia="宋体" w:cs="Times New Roman"/>
          <w:b/>
          <w:color w:val="000000"/>
          <w:szCs w:val="21"/>
        </w:rPr>
      </w:pPr>
    </w:p>
    <w:p w14:paraId="311CA22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2CBC79D0">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562B007">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目标1. 使学生系统学习美学理论的基础知识，梳理中西方美学史，了解美的本质。</w:t>
      </w:r>
    </w:p>
    <w:p w14:paraId="70881D26">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目标2. 帮助学生树立马克思主义的美学观。</w:t>
      </w:r>
    </w:p>
    <w:p w14:paraId="147245BF">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目标3. 培养和提高学生的审美鉴赏和艺术创造的能力。</w:t>
      </w:r>
    </w:p>
    <w:p w14:paraId="1DC6AA4B">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目标4. 锻炼学生学会体验和感悟生活中形形色色的美，并通过小组合作及课堂的讨论形式，交流自己对美的理解。</w:t>
      </w:r>
    </w:p>
    <w:p w14:paraId="08B7032D">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目标5. 提高学生的理论思维水平、审美情操，促进精神文明建设。</w:t>
      </w:r>
    </w:p>
    <w:p w14:paraId="2D44CE47">
      <w:pPr>
        <w:spacing w:before="156" w:beforeLines="50" w:after="156" w:afterLines="50" w:line="360" w:lineRule="auto"/>
        <w:ind w:firstLine="420" w:firstLineChars="200"/>
        <w:jc w:val="left"/>
        <w:rPr>
          <w:rFonts w:hint="eastAsia" w:ascii="Times New Roman" w:hAnsi="Times New Roman" w:eastAsia="宋体" w:cs="Times New Roman"/>
          <w:b w:val="0"/>
          <w:bCs/>
          <w:szCs w:val="21"/>
        </w:rPr>
      </w:pPr>
      <w:r>
        <w:rPr>
          <w:rFonts w:hint="eastAsia" w:ascii="Times New Roman" w:hAnsi="Times New Roman" w:eastAsia="宋体" w:cs="Times New Roman"/>
          <w:b w:val="0"/>
          <w:bCs/>
          <w:szCs w:val="21"/>
        </w:rPr>
        <w:t>目标6. 帮助学生理解包括文学艺术在内的各种审美现象。</w:t>
      </w:r>
    </w:p>
    <w:p w14:paraId="39F01493">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EB8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31D7A3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63C824B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277145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8E5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866DA6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14D18C8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26B5AD30">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2</w:t>
            </w:r>
          </w:p>
        </w:tc>
      </w:tr>
      <w:tr w14:paraId="2183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E2C67B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0515E39F">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指标点2-3：【自身修养良好】具有较好的人文艺术底蕴与科学精神，言行举止符合教师职业标准，情感积极，人格健全，身心健康。</w:t>
            </w:r>
          </w:p>
        </w:tc>
        <w:tc>
          <w:tcPr>
            <w:tcW w:w="1191" w:type="dxa"/>
            <w:vAlign w:val="center"/>
          </w:tcPr>
          <w:p w14:paraId="45447C77">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1、5</w:t>
            </w:r>
          </w:p>
        </w:tc>
      </w:tr>
      <w:tr w14:paraId="2916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C51360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0F7B9506">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指标点3-1：【通识知识广博】具有小学教育本科专业相应的自然科学和人文社会科学知识素养。</w:t>
            </w:r>
          </w:p>
          <w:p w14:paraId="7A7BF90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指标点3-2：【学科知识扎实】具有学科专业能力，掌握小学数学学科的基本知识、原理和技能。熟悉小学科学的知识体系，掌握小学科学的基本知识、原理和技能。</w:t>
            </w:r>
          </w:p>
        </w:tc>
        <w:tc>
          <w:tcPr>
            <w:tcW w:w="1191" w:type="dxa"/>
            <w:vAlign w:val="center"/>
          </w:tcPr>
          <w:p w14:paraId="652D735A">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课程目标1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3、5、6</w:t>
            </w:r>
          </w:p>
        </w:tc>
      </w:tr>
      <w:tr w14:paraId="6F88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9CA64C2">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6综合育人</w:t>
            </w:r>
          </w:p>
        </w:tc>
        <w:tc>
          <w:tcPr>
            <w:tcW w:w="5688" w:type="dxa"/>
            <w:vAlign w:val="center"/>
          </w:tcPr>
          <w:p w14:paraId="469D90CE">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指标点6-2：【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28EA53DC">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课程目标</w:t>
            </w:r>
            <w:r>
              <w:rPr>
                <w:rFonts w:hint="eastAsia" w:ascii="Times New Roman" w:hAnsi="Times New Roman" w:eastAsia="宋体" w:cs="Times New Roman"/>
                <w:szCs w:val="21"/>
                <w:lang w:val="en-US" w:eastAsia="zh-CN"/>
              </w:rPr>
              <w:t>4</w:t>
            </w:r>
          </w:p>
        </w:tc>
      </w:tr>
    </w:tbl>
    <w:p w14:paraId="62ED9918">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32F277C">
      <w:pPr>
        <w:spacing w:line="360" w:lineRule="auto"/>
        <w:ind w:firstLine="420" w:firstLineChars="200"/>
        <w:jc w:val="left"/>
        <w:rPr>
          <w:rFonts w:ascii="宋体" w:hAnsi="宋体" w:eastAsia="宋体" w:cs="Times New Roman"/>
          <w:b/>
          <w:color w:val="000000"/>
          <w:sz w:val="28"/>
          <w:szCs w:val="28"/>
        </w:rPr>
      </w:pPr>
      <w:r>
        <w:rPr>
          <w:rFonts w:hint="eastAsia" w:ascii="宋体" w:hAnsi="宋体" w:eastAsia="宋体" w:cs="Times New Roman"/>
          <w:color w:val="000000"/>
          <w:szCs w:val="21"/>
        </w:rPr>
        <w:t>通过小学教育文美学基础的教学，引导学生认识和理解美学的基本原理，培养审美情趣和文化素养。结合小学教育实际，融入思政教育元素，培养学生热爱祖国文化的情感，增强文化自信。通过实践活动，锻炼学生的审美鉴赏和创造能力，树立正确的审美观念，为成为具有高尚品德、审美情趣和全面发展的社会主义建设者和接班人打下基础。</w:t>
      </w:r>
    </w:p>
    <w:p w14:paraId="33D19B2B">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4E9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3721484">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EE7FA23">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2F442DC">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52F522FC">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6189A74">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2FF7D624">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89CBB09">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06F3F185">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1867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CAE504">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导论</w:t>
            </w:r>
          </w:p>
        </w:tc>
        <w:tc>
          <w:tcPr>
            <w:tcW w:w="1701" w:type="dxa"/>
            <w:vAlign w:val="center"/>
          </w:tcPr>
          <w:p w14:paraId="48CC762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（（1）美学的历史</w:t>
            </w:r>
          </w:p>
          <w:p w14:paraId="296861B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（2）美学研究的对象</w:t>
            </w:r>
          </w:p>
          <w:p w14:paraId="257D642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（3）美学的学科特性</w:t>
            </w:r>
          </w:p>
          <w:p w14:paraId="30DF43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（4）美学的研究方法</w:t>
            </w:r>
          </w:p>
        </w:tc>
        <w:tc>
          <w:tcPr>
            <w:tcW w:w="1134" w:type="dxa"/>
            <w:vAlign w:val="center"/>
          </w:tcPr>
          <w:p w14:paraId="5C3F61D7">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2、5</w:t>
            </w:r>
          </w:p>
        </w:tc>
        <w:tc>
          <w:tcPr>
            <w:tcW w:w="3260" w:type="dxa"/>
            <w:vAlign w:val="center"/>
          </w:tcPr>
          <w:p w14:paraId="7F38BE0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使学生明确美学课程的性质、学习美学的意义和方法。</w:t>
            </w:r>
          </w:p>
          <w:p w14:paraId="1B2AD7C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提高学生的学习兴趣，为学好美学课程奠定基础。</w:t>
            </w:r>
          </w:p>
          <w:p w14:paraId="48E0CA6C">
            <w:pPr>
              <w:spacing w:line="269" w:lineRule="auto"/>
              <w:jc w:val="left"/>
              <w:rPr>
                <w:rFonts w:ascii="宋体" w:hAnsi="宋体" w:eastAsia="宋体" w:cs="Times New Roman"/>
                <w:color w:val="000000"/>
                <w:szCs w:val="21"/>
              </w:rPr>
            </w:pPr>
          </w:p>
        </w:tc>
        <w:tc>
          <w:tcPr>
            <w:tcW w:w="1560" w:type="dxa"/>
            <w:vAlign w:val="center"/>
          </w:tcPr>
          <w:p w14:paraId="1EEB259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213CEF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8958F8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3AC0E1F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7C2D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ADD5292">
            <w:pPr>
              <w:spacing w:line="264" w:lineRule="auto"/>
              <w:jc w:val="center"/>
              <w:rPr>
                <w:rFonts w:ascii="宋体" w:hAnsi="宋体" w:eastAsia="宋体" w:cs="Times New Roman"/>
                <w:color w:val="000000"/>
                <w:szCs w:val="21"/>
              </w:rPr>
            </w:pPr>
          </w:p>
        </w:tc>
        <w:tc>
          <w:tcPr>
            <w:tcW w:w="8093" w:type="dxa"/>
            <w:gridSpan w:val="5"/>
            <w:vAlign w:val="center"/>
          </w:tcPr>
          <w:p w14:paraId="17C98A6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美学导论教学，使学生明确美学课程性质，理解学习美学的意义与方法。激发学生学习兴趣，奠定美学学习基础。重点引导学生认识美学作为古老又年轻学科的价值，理解马克思主义美学的重要性，培养学生辩证唯物主义思维，树立正确的美学观念，为全面发展奠定基础。</w:t>
            </w:r>
          </w:p>
        </w:tc>
      </w:tr>
      <w:tr w14:paraId="1B57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B09B37">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审美的本质</w:t>
            </w:r>
          </w:p>
        </w:tc>
        <w:tc>
          <w:tcPr>
            <w:tcW w:w="1701" w:type="dxa"/>
            <w:vAlign w:val="center"/>
          </w:tcPr>
          <w:p w14:paraId="443D5E4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（1）西方关于美本质的追寻历史</w:t>
            </w:r>
          </w:p>
          <w:p w14:paraId="11683BD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（2）中国关于美的本质问题的讨论</w:t>
            </w:r>
          </w:p>
          <w:p w14:paraId="6C2B047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（3）言说美的几种新的方式</w:t>
            </w:r>
          </w:p>
          <w:p w14:paraId="717918CB">
            <w:pPr>
              <w:spacing w:line="269" w:lineRule="auto"/>
              <w:jc w:val="left"/>
              <w:rPr>
                <w:rFonts w:ascii="宋体" w:hAnsi="宋体" w:eastAsia="宋体" w:cs="Times New Roman"/>
                <w:color w:val="000000"/>
                <w:szCs w:val="21"/>
              </w:rPr>
            </w:pPr>
          </w:p>
        </w:tc>
        <w:tc>
          <w:tcPr>
            <w:tcW w:w="1134" w:type="dxa"/>
            <w:vAlign w:val="center"/>
          </w:tcPr>
          <w:p w14:paraId="2F71D3E6">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2</w:t>
            </w:r>
          </w:p>
        </w:tc>
        <w:tc>
          <w:tcPr>
            <w:tcW w:w="3260" w:type="dxa"/>
            <w:vAlign w:val="center"/>
          </w:tcPr>
          <w:p w14:paraId="52D28DC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使学生能从辩证唯物主义的实践观点去认识美根源于劳动。</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能够理解美是人的本质力量感性显现的实质，同时了解美的本质和人</w:t>
            </w:r>
          </w:p>
        </w:tc>
        <w:tc>
          <w:tcPr>
            <w:tcW w:w="1560" w:type="dxa"/>
            <w:vAlign w:val="center"/>
          </w:tcPr>
          <w:p w14:paraId="1F1223D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234D903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49B251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2A762E0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4866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08CE5D6">
            <w:pPr>
              <w:spacing w:line="264" w:lineRule="auto"/>
              <w:jc w:val="center"/>
              <w:rPr>
                <w:rFonts w:ascii="宋体" w:hAnsi="宋体" w:eastAsia="宋体" w:cs="Times New Roman"/>
                <w:color w:val="000000"/>
                <w:szCs w:val="21"/>
              </w:rPr>
            </w:pPr>
          </w:p>
        </w:tc>
        <w:tc>
          <w:tcPr>
            <w:tcW w:w="8093" w:type="dxa"/>
            <w:gridSpan w:val="5"/>
            <w:vAlign w:val="center"/>
          </w:tcPr>
          <w:p w14:paraId="341964C4">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旨在引导学生从辩证唯物主义实践观点出发，认识美根源于劳动，理解美是人本质力量的感性显现。通过梳理中西方对美的本质的不同理解，培养学生跨文化视野和批判性思维。重点难点在于深化学生对美的本质的认识，树立文化自信，为成为具有深厚人文素养的人才打下基础。</w:t>
            </w:r>
          </w:p>
        </w:tc>
      </w:tr>
      <w:tr w14:paraId="7F25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15A5A9">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审美活动经验</w:t>
            </w:r>
          </w:p>
        </w:tc>
        <w:tc>
          <w:tcPr>
            <w:tcW w:w="1701" w:type="dxa"/>
            <w:vAlign w:val="center"/>
          </w:tcPr>
          <w:p w14:paraId="7914CDA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（1）审美经验的根源</w:t>
            </w:r>
          </w:p>
          <w:p w14:paraId="6FE11A0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（2）审美心理结构与审美感受特性</w:t>
            </w:r>
          </w:p>
          <w:p w14:paraId="296BE1F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（3）审美心理要素</w:t>
            </w:r>
          </w:p>
          <w:p w14:paraId="7959FEF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（4）审美经验模式</w:t>
            </w:r>
          </w:p>
          <w:p w14:paraId="707CE94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（5）审美经验的历史演变与文化差异</w:t>
            </w:r>
          </w:p>
          <w:p w14:paraId="4D20314B">
            <w:pPr>
              <w:spacing w:line="269" w:lineRule="auto"/>
              <w:jc w:val="left"/>
              <w:rPr>
                <w:rFonts w:ascii="宋体" w:hAnsi="宋体" w:eastAsia="宋体" w:cs="Times New Roman"/>
                <w:color w:val="000000"/>
                <w:szCs w:val="21"/>
              </w:rPr>
            </w:pPr>
          </w:p>
        </w:tc>
        <w:tc>
          <w:tcPr>
            <w:tcW w:w="1134" w:type="dxa"/>
            <w:vAlign w:val="center"/>
          </w:tcPr>
          <w:p w14:paraId="2FA005B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、3</w:t>
            </w:r>
          </w:p>
        </w:tc>
        <w:tc>
          <w:tcPr>
            <w:tcW w:w="3260" w:type="dxa"/>
            <w:vAlign w:val="center"/>
          </w:tcPr>
          <w:p w14:paraId="6B972A0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使学生了解审美经验的根源和特性。</w:t>
            </w:r>
          </w:p>
          <w:p w14:paraId="531CDBE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使学生了解审美经验的历史演变与文化差异。</w:t>
            </w:r>
          </w:p>
          <w:p w14:paraId="7D90079D">
            <w:pPr>
              <w:spacing w:line="269" w:lineRule="auto"/>
              <w:jc w:val="left"/>
              <w:rPr>
                <w:rFonts w:ascii="宋体" w:hAnsi="宋体" w:eastAsia="宋体" w:cs="Times New Roman"/>
                <w:color w:val="000000"/>
                <w:szCs w:val="21"/>
              </w:rPr>
            </w:pPr>
          </w:p>
        </w:tc>
        <w:tc>
          <w:tcPr>
            <w:tcW w:w="1560" w:type="dxa"/>
            <w:vAlign w:val="center"/>
          </w:tcPr>
          <w:p w14:paraId="689184F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0A501B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6F4B98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497CB1B">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0A9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773565">
            <w:pPr>
              <w:spacing w:line="264" w:lineRule="auto"/>
              <w:jc w:val="center"/>
              <w:rPr>
                <w:rFonts w:ascii="宋体" w:hAnsi="宋体" w:eastAsia="宋体" w:cs="Times New Roman"/>
                <w:color w:val="000000"/>
                <w:szCs w:val="21"/>
              </w:rPr>
            </w:pPr>
          </w:p>
        </w:tc>
        <w:tc>
          <w:tcPr>
            <w:tcW w:w="8093" w:type="dxa"/>
            <w:gridSpan w:val="5"/>
            <w:vAlign w:val="center"/>
          </w:tcPr>
          <w:p w14:paraId="2EE36A64">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旨在使学生了解审美经验的根源、特性及历史演变与文化差异。通过深入学习审美心理结构与感受特性，培养学生敏锐的审美洞察力和审美鉴赏力。重点难点在于引导学生掌握审美经验的特性与模式，促进其在多元文化背景下形成独特的审美观念，为全面发展奠定坚实基础。</w:t>
            </w:r>
          </w:p>
        </w:tc>
      </w:tr>
      <w:tr w14:paraId="4F60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BD269C8">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不同领域的审美活动</w:t>
            </w:r>
          </w:p>
        </w:tc>
        <w:tc>
          <w:tcPr>
            <w:tcW w:w="1701" w:type="dxa"/>
            <w:vAlign w:val="center"/>
          </w:tcPr>
          <w:p w14:paraId="708E144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（1）形式美</w:t>
            </w:r>
          </w:p>
          <w:p w14:paraId="20BF38B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（2）技术美</w:t>
            </w:r>
          </w:p>
          <w:p w14:paraId="69EFAE9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（3）社会美</w:t>
            </w:r>
          </w:p>
          <w:p w14:paraId="25F3C38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（4）自然美</w:t>
            </w:r>
          </w:p>
          <w:p w14:paraId="465CC81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（5）艺术美</w:t>
            </w:r>
          </w:p>
        </w:tc>
        <w:tc>
          <w:tcPr>
            <w:tcW w:w="1134" w:type="dxa"/>
            <w:vAlign w:val="center"/>
          </w:tcPr>
          <w:p w14:paraId="37892BAC">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val="en-US" w:eastAsia="zh-CN"/>
              </w:rPr>
              <w:t>4</w:t>
            </w:r>
          </w:p>
        </w:tc>
        <w:tc>
          <w:tcPr>
            <w:tcW w:w="3260" w:type="dxa"/>
            <w:vAlign w:val="center"/>
          </w:tcPr>
          <w:p w14:paraId="6C50870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掌握不同的审美活动的内涵及特征。</w:t>
            </w:r>
          </w:p>
          <w:p w14:paraId="7F58E4E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能够联系生活和学习的实践辨别不同的审美活动。</w:t>
            </w:r>
          </w:p>
        </w:tc>
        <w:tc>
          <w:tcPr>
            <w:tcW w:w="1560" w:type="dxa"/>
            <w:vAlign w:val="center"/>
          </w:tcPr>
          <w:p w14:paraId="6CFB657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375550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D2D0DD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631F8B4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w:t>
            </w:r>
          </w:p>
        </w:tc>
      </w:tr>
      <w:tr w14:paraId="6432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F9A66B">
            <w:pPr>
              <w:spacing w:line="276" w:lineRule="auto"/>
              <w:jc w:val="center"/>
              <w:rPr>
                <w:rFonts w:ascii="宋体" w:hAnsi="宋体" w:eastAsia="宋体" w:cs="Times New Roman"/>
                <w:color w:val="000000"/>
                <w:szCs w:val="21"/>
              </w:rPr>
            </w:pPr>
          </w:p>
        </w:tc>
        <w:tc>
          <w:tcPr>
            <w:tcW w:w="8093" w:type="dxa"/>
            <w:gridSpan w:val="5"/>
            <w:vAlign w:val="center"/>
          </w:tcPr>
          <w:p w14:paraId="54C7A57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旨在使学生掌握不同审美活动的内涵及特征，能够联系生活实践辨别并欣赏形式美、技术美、社会美、自然美和艺术美。重点难点在于引导学生深入理解天然美作为中国美学核心自然美的范畴，以及艺术美与人生艺术化的内在联系，培养学生的审美情趣和创造力。</w:t>
            </w:r>
          </w:p>
        </w:tc>
      </w:tr>
      <w:tr w14:paraId="1FF2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031431">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不同审美范畴</w:t>
            </w:r>
          </w:p>
        </w:tc>
        <w:tc>
          <w:tcPr>
            <w:tcW w:w="1701" w:type="dxa"/>
            <w:vAlign w:val="center"/>
          </w:tcPr>
          <w:p w14:paraId="76DBADB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（1）作为审美范畴的优美与崇高</w:t>
            </w:r>
          </w:p>
          <w:p w14:paraId="7E1A181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（2）作为审美范畴的悲剧与喜剧</w:t>
            </w:r>
          </w:p>
          <w:p w14:paraId="1B98EC3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（3）作为审美范畴的丑</w:t>
            </w:r>
          </w:p>
          <w:p w14:paraId="42B8F06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（4）作为审美范畴的意境</w:t>
            </w:r>
          </w:p>
        </w:tc>
        <w:tc>
          <w:tcPr>
            <w:tcW w:w="1134" w:type="dxa"/>
            <w:vAlign w:val="center"/>
          </w:tcPr>
          <w:p w14:paraId="05527761">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3、4、6</w:t>
            </w:r>
          </w:p>
        </w:tc>
        <w:tc>
          <w:tcPr>
            <w:tcW w:w="3260" w:type="dxa"/>
            <w:vAlign w:val="center"/>
          </w:tcPr>
          <w:p w14:paraId="754D0A4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理解不同审美范畴的本质及特征。</w:t>
            </w:r>
          </w:p>
          <w:p w14:paraId="63F0E31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中西方侧重审美范畴的差异。</w:t>
            </w:r>
          </w:p>
          <w:p w14:paraId="455F6B9C">
            <w:pPr>
              <w:spacing w:line="276" w:lineRule="auto"/>
              <w:jc w:val="left"/>
              <w:rPr>
                <w:rFonts w:ascii="宋体" w:hAnsi="宋体" w:eastAsia="宋体" w:cs="Times New Roman"/>
                <w:color w:val="000000"/>
                <w:szCs w:val="21"/>
              </w:rPr>
            </w:pPr>
          </w:p>
        </w:tc>
        <w:tc>
          <w:tcPr>
            <w:tcW w:w="1560" w:type="dxa"/>
            <w:vAlign w:val="center"/>
          </w:tcPr>
          <w:p w14:paraId="2575398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DCCCCC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F4EB54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B32D86B">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tc>
      </w:tr>
      <w:tr w14:paraId="30C8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C7C5D95">
            <w:pPr>
              <w:spacing w:line="276" w:lineRule="auto"/>
              <w:jc w:val="center"/>
              <w:rPr>
                <w:rFonts w:ascii="宋体" w:hAnsi="宋体" w:eastAsia="宋体" w:cs="Times New Roman"/>
                <w:color w:val="000000"/>
                <w:szCs w:val="21"/>
              </w:rPr>
            </w:pPr>
          </w:p>
        </w:tc>
        <w:tc>
          <w:tcPr>
            <w:tcW w:w="8093" w:type="dxa"/>
            <w:gridSpan w:val="5"/>
            <w:vAlign w:val="center"/>
          </w:tcPr>
          <w:p w14:paraId="32C38E3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旨在使学生深入理解优美、崇高、悲剧、喜剧、丑和意境等不同审美范畴的本质及特征。通过比较中西方侧重审美范畴的差异，培养学生的跨文化交流能力和批判性思维。重点难点在于引导学生理解中西方对悲剧理解的异同，以及如何以丑为美，树立正确的审美价值观。</w:t>
            </w:r>
          </w:p>
        </w:tc>
      </w:tr>
      <w:tr w14:paraId="0E92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E1E3C6">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en-US" w:eastAsia="zh-CN"/>
              </w:rPr>
              <w:t>审美教育</w:t>
            </w:r>
          </w:p>
        </w:tc>
        <w:tc>
          <w:tcPr>
            <w:tcW w:w="1701" w:type="dxa"/>
            <w:vAlign w:val="center"/>
          </w:tcPr>
          <w:p w14:paraId="333CA58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（1）美育的内涵和功能</w:t>
            </w:r>
          </w:p>
          <w:p w14:paraId="00BD952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（2）美育的实施途径</w:t>
            </w:r>
          </w:p>
        </w:tc>
        <w:tc>
          <w:tcPr>
            <w:tcW w:w="1134" w:type="dxa"/>
            <w:vAlign w:val="center"/>
          </w:tcPr>
          <w:p w14:paraId="5913D6E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5</w:t>
            </w:r>
          </w:p>
        </w:tc>
        <w:tc>
          <w:tcPr>
            <w:tcW w:w="3260" w:type="dxa"/>
            <w:vAlign w:val="center"/>
          </w:tcPr>
          <w:p w14:paraId="2D6DFF2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使学生了解美育的内涵和功能。</w:t>
            </w:r>
          </w:p>
          <w:p w14:paraId="1171683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掌握美育的实施途径。</w:t>
            </w:r>
          </w:p>
          <w:p w14:paraId="60132A38">
            <w:pPr>
              <w:spacing w:line="276" w:lineRule="auto"/>
              <w:jc w:val="left"/>
              <w:rPr>
                <w:rFonts w:ascii="宋体" w:hAnsi="宋体" w:eastAsia="宋体" w:cs="Times New Roman"/>
                <w:color w:val="000000"/>
                <w:szCs w:val="21"/>
              </w:rPr>
            </w:pPr>
          </w:p>
        </w:tc>
        <w:tc>
          <w:tcPr>
            <w:tcW w:w="1560" w:type="dxa"/>
            <w:vAlign w:val="center"/>
          </w:tcPr>
          <w:p w14:paraId="5416AA8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057096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967BCB7">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01D7C9EB">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091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754151">
            <w:pPr>
              <w:spacing w:line="276" w:lineRule="auto"/>
              <w:jc w:val="center"/>
              <w:rPr>
                <w:rFonts w:ascii="宋体" w:hAnsi="宋体" w:eastAsia="宋体" w:cs="Times New Roman"/>
                <w:color w:val="000000"/>
                <w:szCs w:val="21"/>
              </w:rPr>
            </w:pPr>
          </w:p>
        </w:tc>
        <w:tc>
          <w:tcPr>
            <w:tcW w:w="8093" w:type="dxa"/>
            <w:gridSpan w:val="5"/>
            <w:vAlign w:val="center"/>
          </w:tcPr>
          <w:p w14:paraId="5C7C94B4">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旨在使学生了解美育的内涵和功能，掌握美育的实施途径。通过深入学习“以美育代宗教”的理念，培养学生的美学修养和人文精神。重点难点在于引导学生通过多种途径提升自我美学修养，将美育融入日常生活，成为具有高尚品德和审美情趣的社会主义建设者和接班人。</w:t>
            </w:r>
          </w:p>
        </w:tc>
      </w:tr>
    </w:tbl>
    <w:p w14:paraId="6C3E4AF7">
      <w:pPr>
        <w:spacing w:line="360" w:lineRule="auto"/>
        <w:jc w:val="left"/>
        <w:rPr>
          <w:rFonts w:ascii="Times New Roman" w:hAnsi="Times New Roman" w:eastAsia="宋体" w:cs="Times New Roman"/>
          <w:sz w:val="24"/>
          <w:szCs w:val="24"/>
        </w:rPr>
      </w:pPr>
    </w:p>
    <w:p w14:paraId="259D9359">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7637C5A">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F80D51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5E8F31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989"/>
        <w:gridCol w:w="1803"/>
        <w:gridCol w:w="2197"/>
      </w:tblGrid>
      <w:tr w14:paraId="6778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Merge w:val="restart"/>
            <w:vAlign w:val="center"/>
          </w:tcPr>
          <w:p w14:paraId="52A5C91B">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792" w:type="dxa"/>
            <w:gridSpan w:val="2"/>
            <w:vAlign w:val="center"/>
          </w:tcPr>
          <w:p w14:paraId="384ACD91">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2197" w:type="dxa"/>
            <w:vMerge w:val="restart"/>
            <w:vAlign w:val="center"/>
          </w:tcPr>
          <w:p w14:paraId="24D13FAA">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7296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Merge w:val="continue"/>
            <w:vAlign w:val="center"/>
          </w:tcPr>
          <w:p w14:paraId="41D2AFE5">
            <w:pPr>
              <w:spacing w:line="360" w:lineRule="auto"/>
              <w:jc w:val="center"/>
              <w:rPr>
                <w:rFonts w:ascii="宋体" w:hAnsi="宋体" w:eastAsia="宋体" w:cs="Times New Roman"/>
                <w:szCs w:val="21"/>
              </w:rPr>
            </w:pPr>
          </w:p>
        </w:tc>
        <w:tc>
          <w:tcPr>
            <w:tcW w:w="1989" w:type="dxa"/>
            <w:vAlign w:val="center"/>
          </w:tcPr>
          <w:p w14:paraId="725A2A15">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p w14:paraId="5CABFD58">
            <w:pPr>
              <w:spacing w:line="360" w:lineRule="auto"/>
              <w:jc w:val="center"/>
              <w:rPr>
                <w:rFonts w:ascii="宋体" w:hAnsi="宋体" w:eastAsia="宋体" w:cs="Times New Roman"/>
                <w:szCs w:val="21"/>
              </w:rPr>
            </w:pPr>
          </w:p>
        </w:tc>
        <w:tc>
          <w:tcPr>
            <w:tcW w:w="1803" w:type="dxa"/>
          </w:tcPr>
          <w:p w14:paraId="7D9D03DF">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p w14:paraId="1A243DF0">
            <w:pPr>
              <w:spacing w:line="360" w:lineRule="auto"/>
              <w:jc w:val="center"/>
              <w:rPr>
                <w:rFonts w:ascii="宋体" w:hAnsi="宋体" w:eastAsia="宋体" w:cs="Times New Roman"/>
                <w:szCs w:val="21"/>
              </w:rPr>
            </w:pPr>
          </w:p>
        </w:tc>
        <w:tc>
          <w:tcPr>
            <w:tcW w:w="2197" w:type="dxa"/>
            <w:vMerge w:val="continue"/>
            <w:vAlign w:val="center"/>
          </w:tcPr>
          <w:p w14:paraId="25347376">
            <w:pPr>
              <w:spacing w:line="360" w:lineRule="auto"/>
              <w:jc w:val="center"/>
              <w:rPr>
                <w:rFonts w:ascii="宋体" w:hAnsi="宋体" w:eastAsia="宋体" w:cs="Times New Roman"/>
                <w:szCs w:val="21"/>
              </w:rPr>
            </w:pPr>
          </w:p>
        </w:tc>
      </w:tr>
      <w:tr w14:paraId="2FE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310A3CBD">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989" w:type="dxa"/>
            <w:vAlign w:val="center"/>
          </w:tcPr>
          <w:p w14:paraId="4C6F9F1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803" w:type="dxa"/>
          </w:tcPr>
          <w:p w14:paraId="41E726F0">
            <w:pPr>
              <w:spacing w:line="360" w:lineRule="auto"/>
              <w:jc w:val="both"/>
              <w:rPr>
                <w:rFonts w:ascii="宋体" w:hAnsi="宋体" w:eastAsia="宋体" w:cs="Times New Roman"/>
                <w:szCs w:val="21"/>
              </w:rPr>
            </w:pPr>
          </w:p>
        </w:tc>
        <w:tc>
          <w:tcPr>
            <w:tcW w:w="2197" w:type="dxa"/>
            <w:vAlign w:val="center"/>
          </w:tcPr>
          <w:p w14:paraId="4C1C226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35FA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4C8A0FE1">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989" w:type="dxa"/>
            <w:vAlign w:val="center"/>
          </w:tcPr>
          <w:p w14:paraId="7B7C4CF6">
            <w:pPr>
              <w:spacing w:line="360" w:lineRule="auto"/>
              <w:jc w:val="center"/>
              <w:rPr>
                <w:lang w:val="en-US" w:eastAsia="zh-CN"/>
              </w:rPr>
            </w:pPr>
            <w:r>
              <w:rPr>
                <w:rFonts w:ascii="宋体" w:hAnsi="宋体" w:eastAsia="宋体" w:cs="Times New Roman"/>
                <w:szCs w:val="21"/>
              </w:rPr>
              <w:sym w:font="Wingdings 2" w:char="F050"/>
            </w:r>
          </w:p>
        </w:tc>
        <w:tc>
          <w:tcPr>
            <w:tcW w:w="1803" w:type="dxa"/>
          </w:tcPr>
          <w:p w14:paraId="333EE1A2">
            <w:pPr>
              <w:bidi w:val="0"/>
              <w:jc w:val="left"/>
              <w:rPr>
                <w:rFonts w:asciiTheme="minorHAnsi" w:hAnsiTheme="minorHAnsi" w:eastAsiaTheme="minorEastAsia" w:cstheme="minorBidi"/>
                <w:kern w:val="2"/>
                <w:sz w:val="21"/>
                <w:szCs w:val="22"/>
                <w:lang w:val="en-US" w:eastAsia="zh-CN" w:bidi="ar-SA"/>
              </w:rPr>
            </w:pPr>
          </w:p>
        </w:tc>
        <w:tc>
          <w:tcPr>
            <w:tcW w:w="2197" w:type="dxa"/>
            <w:vAlign w:val="center"/>
          </w:tcPr>
          <w:p w14:paraId="5F12BE8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r>
      <w:tr w14:paraId="3624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24" w:type="dxa"/>
            <w:vAlign w:val="center"/>
          </w:tcPr>
          <w:p w14:paraId="083249F5">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989" w:type="dxa"/>
            <w:vAlign w:val="center"/>
          </w:tcPr>
          <w:p w14:paraId="4522D7A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803" w:type="dxa"/>
          </w:tcPr>
          <w:p w14:paraId="15B2316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197" w:type="dxa"/>
            <w:vAlign w:val="center"/>
          </w:tcPr>
          <w:p w14:paraId="71B59E81">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r>
      <w:tr w14:paraId="4EAF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7132888D">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课程目标4</w:t>
            </w:r>
          </w:p>
        </w:tc>
        <w:tc>
          <w:tcPr>
            <w:tcW w:w="1989" w:type="dxa"/>
            <w:vAlign w:val="center"/>
          </w:tcPr>
          <w:p w14:paraId="24E763E3">
            <w:pPr>
              <w:spacing w:line="360" w:lineRule="auto"/>
              <w:jc w:val="center"/>
              <w:rPr>
                <w:rFonts w:ascii="宋体" w:hAnsi="宋体" w:eastAsia="宋体" w:cs="Times New Roman"/>
                <w:szCs w:val="21"/>
              </w:rPr>
            </w:pPr>
          </w:p>
        </w:tc>
        <w:tc>
          <w:tcPr>
            <w:tcW w:w="1803" w:type="dxa"/>
          </w:tcPr>
          <w:p w14:paraId="3F05AC17">
            <w:pPr>
              <w:spacing w:line="360" w:lineRule="auto"/>
              <w:jc w:val="center"/>
              <w:rPr>
                <w:rFonts w:ascii="宋体" w:hAnsi="宋体" w:eastAsia="宋体" w:cs="Times New Roman"/>
                <w:szCs w:val="21"/>
              </w:rPr>
            </w:pPr>
          </w:p>
        </w:tc>
        <w:tc>
          <w:tcPr>
            <w:tcW w:w="2197" w:type="dxa"/>
            <w:vAlign w:val="center"/>
          </w:tcPr>
          <w:p w14:paraId="27C82E2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r>
      <w:tr w14:paraId="1785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69E662E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课程目标5</w:t>
            </w:r>
          </w:p>
        </w:tc>
        <w:tc>
          <w:tcPr>
            <w:tcW w:w="1989" w:type="dxa"/>
            <w:vAlign w:val="center"/>
          </w:tcPr>
          <w:p w14:paraId="77B0800F">
            <w:pPr>
              <w:spacing w:line="360" w:lineRule="auto"/>
              <w:jc w:val="center"/>
              <w:rPr>
                <w:rFonts w:ascii="宋体" w:hAnsi="宋体" w:eastAsia="宋体" w:cs="Times New Roman"/>
                <w:szCs w:val="21"/>
              </w:rPr>
            </w:pPr>
          </w:p>
        </w:tc>
        <w:tc>
          <w:tcPr>
            <w:tcW w:w="1803" w:type="dxa"/>
          </w:tcPr>
          <w:p w14:paraId="600A49D4">
            <w:pPr>
              <w:spacing w:line="360" w:lineRule="auto"/>
              <w:jc w:val="center"/>
              <w:rPr>
                <w:rFonts w:ascii="宋体" w:hAnsi="宋体" w:eastAsia="宋体" w:cs="Times New Roman"/>
                <w:szCs w:val="21"/>
              </w:rPr>
            </w:pPr>
          </w:p>
        </w:tc>
        <w:tc>
          <w:tcPr>
            <w:tcW w:w="2197" w:type="dxa"/>
            <w:vAlign w:val="center"/>
          </w:tcPr>
          <w:p w14:paraId="3E1EFF13">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r>
      <w:tr w14:paraId="3D41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245B140E">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课程目标6</w:t>
            </w:r>
          </w:p>
        </w:tc>
        <w:tc>
          <w:tcPr>
            <w:tcW w:w="1989" w:type="dxa"/>
            <w:vAlign w:val="center"/>
          </w:tcPr>
          <w:p w14:paraId="28D5C02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803" w:type="dxa"/>
          </w:tcPr>
          <w:p w14:paraId="0296B3C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197" w:type="dxa"/>
            <w:vAlign w:val="center"/>
          </w:tcPr>
          <w:p w14:paraId="24DDD541">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3857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015DB42A">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989" w:type="dxa"/>
            <w:vAlign w:val="center"/>
          </w:tcPr>
          <w:p w14:paraId="5919BDC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40</w:t>
            </w:r>
          </w:p>
        </w:tc>
        <w:tc>
          <w:tcPr>
            <w:tcW w:w="1803" w:type="dxa"/>
          </w:tcPr>
          <w:p w14:paraId="2D05474C">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60</w:t>
            </w:r>
          </w:p>
        </w:tc>
        <w:tc>
          <w:tcPr>
            <w:tcW w:w="2197" w:type="dxa"/>
            <w:vAlign w:val="center"/>
          </w:tcPr>
          <w:p w14:paraId="05195739">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0B9E350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29C8C1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431AE5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AF8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37E2D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118D76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02FEC9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F45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86BFD9">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C7489B5">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后完成3次作业，主要考核学生对重要知识点的理解和掌握程度，计算全部以分组形式，在部分章节内容中进行课堂讨论，主要考核学生课堂的听课效果和课后及时复习消化本章知识的能力，结合平时考勤，最后按20%计入课程总成绩。</w:t>
            </w:r>
          </w:p>
          <w:p w14:paraId="35DE5F0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作业的平均成绩再按20%计入总成绩。</w:t>
            </w:r>
          </w:p>
        </w:tc>
        <w:tc>
          <w:tcPr>
            <w:tcW w:w="0" w:type="auto"/>
            <w:vAlign w:val="center"/>
          </w:tcPr>
          <w:p w14:paraId="28F5F4A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0%</w:t>
            </w:r>
          </w:p>
        </w:tc>
      </w:tr>
      <w:tr w14:paraId="3B95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C40B33">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CC9D54D">
            <w:pPr>
              <w:spacing w:line="264" w:lineRule="auto"/>
              <w:jc w:val="left"/>
              <w:rPr>
                <w:rFonts w:ascii="Times New Roman" w:hAnsi="Times New Roman" w:eastAsia="宋体" w:cs="Times New Roman"/>
                <w:szCs w:val="21"/>
              </w:rPr>
            </w:pPr>
            <w:r>
              <w:rPr>
                <w:rFonts w:hint="eastAsia" w:ascii="Times New Roman" w:hAnsi="Times New Roman" w:eastAsia="宋体" w:cs="Times New Roman"/>
                <w:color w:val="000000"/>
                <w:szCs w:val="21"/>
              </w:rPr>
              <w:t>以命题论文的形式进行，综合考核学生对于基本理论的理解和掌握、运用程度。</w:t>
            </w:r>
          </w:p>
        </w:tc>
        <w:tc>
          <w:tcPr>
            <w:tcW w:w="0" w:type="auto"/>
            <w:vAlign w:val="center"/>
          </w:tcPr>
          <w:p w14:paraId="7C5BF92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6</w:t>
            </w:r>
            <w:r>
              <w:rPr>
                <w:rFonts w:hint="eastAsia" w:ascii="Times New Roman" w:hAnsi="Times New Roman" w:eastAsia="宋体" w:cs="Times New Roman"/>
                <w:szCs w:val="21"/>
              </w:rPr>
              <w:t>0%</w:t>
            </w:r>
          </w:p>
        </w:tc>
      </w:tr>
      <w:tr w14:paraId="52BA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4EA035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4829B56">
            <w:pPr>
              <w:jc w:val="left"/>
              <w:rPr>
                <w:rFonts w:ascii="Times New Roman" w:hAnsi="Times New Roman" w:eastAsia="宋体" w:cs="Times New Roman"/>
                <w:szCs w:val="21"/>
              </w:rPr>
            </w:pPr>
          </w:p>
        </w:tc>
        <w:tc>
          <w:tcPr>
            <w:tcW w:w="0" w:type="auto"/>
            <w:vAlign w:val="center"/>
          </w:tcPr>
          <w:p w14:paraId="4876464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941400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127192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A05A58C">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78"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78" DrawAspect="Content" ObjectID="_1468075778" r:id="rId61">
            <o:LockedField>false</o:LockedField>
          </o:OLEObject>
        </w:object>
      </w:r>
    </w:p>
    <w:p w14:paraId="0AFA7379">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7C65C3C2">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660874F9">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1D0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216FC5E">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913B89A">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C449D6E">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F326A55">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3DA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0994464">
            <w:pPr>
              <w:spacing w:line="276" w:lineRule="auto"/>
              <w:jc w:val="left"/>
              <w:rPr>
                <w:rFonts w:ascii="宋体" w:hAnsi="宋体" w:eastAsia="宋体" w:cs="宋体"/>
                <w:szCs w:val="21"/>
              </w:rPr>
            </w:pPr>
            <w:r>
              <w:rPr>
                <w:rFonts w:hint="eastAsia" w:ascii="宋体" w:hAnsi="宋体" w:eastAsia="宋体" w:cs="宋体"/>
                <w:szCs w:val="21"/>
              </w:rPr>
              <w:t>教育家精神与传统纹样艺术创作</w:t>
            </w:r>
          </w:p>
        </w:tc>
        <w:tc>
          <w:tcPr>
            <w:tcW w:w="3407" w:type="dxa"/>
            <w:vAlign w:val="center"/>
          </w:tcPr>
          <w:p w14:paraId="4C2390B9">
            <w:pPr>
              <w:spacing w:line="276" w:lineRule="auto"/>
              <w:jc w:val="left"/>
              <w:rPr>
                <w:rFonts w:ascii="宋体" w:hAnsi="宋体" w:eastAsia="宋体" w:cs="宋体"/>
                <w:szCs w:val="21"/>
              </w:rPr>
            </w:pPr>
            <w:r>
              <w:rPr>
                <w:rFonts w:hint="eastAsia" w:ascii="宋体" w:hAnsi="宋体" w:eastAsia="宋体" w:cs="宋体"/>
                <w:szCs w:val="21"/>
              </w:rPr>
              <w:t xml:space="preserve">阅读陶行知、叶圣陶等教育家的经典著作，结合传统纹样（如剪纸、青花瓷纹饰）设计“教育家精神”主题文创作品。  </w:t>
            </w:r>
          </w:p>
        </w:tc>
        <w:tc>
          <w:tcPr>
            <w:tcW w:w="740" w:type="dxa"/>
            <w:vAlign w:val="center"/>
          </w:tcPr>
          <w:p w14:paraId="44C0B4D6">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文创作品</w:t>
            </w:r>
          </w:p>
        </w:tc>
        <w:tc>
          <w:tcPr>
            <w:tcW w:w="3160" w:type="dxa"/>
            <w:vAlign w:val="center"/>
          </w:tcPr>
          <w:p w14:paraId="28EFD072">
            <w:pPr>
              <w:spacing w:line="276" w:lineRule="auto"/>
              <w:jc w:val="left"/>
              <w:rPr>
                <w:rFonts w:hint="eastAsia" w:ascii="宋体" w:hAnsi="宋体" w:eastAsia="宋体" w:cs="宋体"/>
                <w:szCs w:val="21"/>
              </w:rPr>
            </w:pPr>
            <w:r>
              <w:rPr>
                <w:rFonts w:hint="eastAsia" w:ascii="宋体" w:hAnsi="宋体" w:eastAsia="宋体" w:cs="宋体"/>
                <w:szCs w:val="21"/>
              </w:rPr>
              <w:t xml:space="preserve">感悟教育家“以美育人”的初心，培养“四有”好教师的理想信念  </w:t>
            </w:r>
          </w:p>
          <w:p w14:paraId="6D3BEE1C">
            <w:pPr>
              <w:spacing w:line="276" w:lineRule="auto"/>
              <w:jc w:val="left"/>
              <w:rPr>
                <w:rFonts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rPr>
              <w:t xml:space="preserve">通过艺术实践强化对师德内涵的具象化理解  </w:t>
            </w:r>
          </w:p>
        </w:tc>
      </w:tr>
      <w:tr w14:paraId="11F7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3143A92">
            <w:pPr>
              <w:spacing w:line="276" w:lineRule="auto"/>
              <w:jc w:val="left"/>
              <w:rPr>
                <w:rFonts w:ascii="宋体" w:hAnsi="宋体" w:eastAsia="宋体" w:cs="宋体"/>
                <w:szCs w:val="21"/>
              </w:rPr>
            </w:pPr>
            <w:r>
              <w:rPr>
                <w:rFonts w:hint="eastAsia" w:ascii="宋体" w:hAnsi="宋体" w:eastAsia="宋体" w:cs="宋体"/>
                <w:szCs w:val="21"/>
              </w:rPr>
              <w:t>最美教师故事绘本创作</w:t>
            </w:r>
          </w:p>
        </w:tc>
        <w:tc>
          <w:tcPr>
            <w:tcW w:w="3407" w:type="dxa"/>
            <w:vAlign w:val="center"/>
          </w:tcPr>
          <w:p w14:paraId="0C5D8BE8">
            <w:pPr>
              <w:spacing w:line="276" w:lineRule="auto"/>
              <w:jc w:val="left"/>
              <w:rPr>
                <w:rFonts w:ascii="宋体" w:hAnsi="宋体" w:eastAsia="宋体" w:cs="宋体"/>
                <w:szCs w:val="21"/>
              </w:rPr>
            </w:pPr>
            <w:r>
              <w:rPr>
                <w:rFonts w:hint="eastAsia" w:ascii="宋体" w:hAnsi="宋体" w:eastAsia="宋体" w:cs="宋体"/>
                <w:szCs w:val="21"/>
              </w:rPr>
              <w:t xml:space="preserve">访谈基础教育一线优秀教师，将其教育故事改编为儿童绘本，融入地方非遗艺术元素（如年画、泥塑）。  </w:t>
            </w:r>
          </w:p>
        </w:tc>
        <w:tc>
          <w:tcPr>
            <w:tcW w:w="740" w:type="dxa"/>
            <w:vAlign w:val="center"/>
          </w:tcPr>
          <w:p w14:paraId="0A030DA9">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课程实践作业</w:t>
            </w:r>
          </w:p>
        </w:tc>
        <w:tc>
          <w:tcPr>
            <w:tcW w:w="3160" w:type="dxa"/>
            <w:vAlign w:val="center"/>
          </w:tcPr>
          <w:p w14:paraId="406294E4">
            <w:pPr>
              <w:spacing w:line="276" w:lineRule="auto"/>
              <w:jc w:val="left"/>
              <w:rPr>
                <w:rFonts w:hint="eastAsia" w:ascii="宋体" w:hAnsi="宋体" w:eastAsia="宋体" w:cs="宋体"/>
                <w:szCs w:val="21"/>
              </w:rPr>
            </w:pPr>
            <w:r>
              <w:rPr>
                <w:rFonts w:hint="eastAsia" w:ascii="宋体" w:hAnsi="宋体" w:eastAsia="宋体" w:cs="宋体"/>
                <w:szCs w:val="21"/>
              </w:rPr>
              <w:t xml:space="preserve">通过真实事迹增强职业认同感，树立“扎根基层”的教育志向  </w:t>
            </w:r>
          </w:p>
          <w:p w14:paraId="0616BCD3">
            <w:pPr>
              <w:spacing w:line="276" w:lineRule="auto"/>
              <w:jc w:val="left"/>
              <w:rPr>
                <w:rFonts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rPr>
              <w:t xml:space="preserve">在艺术转化中体会“仁爱之心”的美学表达方式  </w:t>
            </w:r>
          </w:p>
        </w:tc>
      </w:tr>
      <w:tr w14:paraId="46B7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DAFA6B0">
            <w:pPr>
              <w:spacing w:line="276" w:lineRule="auto"/>
              <w:jc w:val="left"/>
              <w:rPr>
                <w:rFonts w:ascii="宋体" w:hAnsi="宋体" w:eastAsia="宋体" w:cs="宋体"/>
                <w:szCs w:val="21"/>
              </w:rPr>
            </w:pPr>
            <w:r>
              <w:rPr>
                <w:rFonts w:hint="eastAsia" w:ascii="宋体" w:hAnsi="宋体" w:eastAsia="宋体" w:cs="宋体"/>
                <w:szCs w:val="21"/>
              </w:rPr>
              <w:t>师范生教育誓言艺术墙设计</w:t>
            </w:r>
          </w:p>
        </w:tc>
        <w:tc>
          <w:tcPr>
            <w:tcW w:w="3407" w:type="dxa"/>
            <w:vAlign w:val="center"/>
          </w:tcPr>
          <w:p w14:paraId="49EA3CB1">
            <w:pPr>
              <w:spacing w:line="276" w:lineRule="auto"/>
              <w:jc w:val="left"/>
              <w:rPr>
                <w:rFonts w:ascii="宋体" w:hAnsi="宋体" w:eastAsia="宋体" w:cs="宋体"/>
                <w:szCs w:val="21"/>
              </w:rPr>
            </w:pPr>
            <w:r>
              <w:rPr>
                <w:rFonts w:hint="eastAsia" w:ascii="宋体" w:hAnsi="宋体" w:eastAsia="宋体" w:cs="宋体"/>
                <w:szCs w:val="21"/>
              </w:rPr>
              <w:t xml:space="preserve">以班级为单位，共同设计校园文化墙，用书法、篆刻、壁画等形式呈现教师誓词与中华美育经典语句。  </w:t>
            </w:r>
          </w:p>
        </w:tc>
        <w:tc>
          <w:tcPr>
            <w:tcW w:w="740" w:type="dxa"/>
            <w:vAlign w:val="center"/>
          </w:tcPr>
          <w:p w14:paraId="10F6568A">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课程实践作业</w:t>
            </w:r>
          </w:p>
        </w:tc>
        <w:tc>
          <w:tcPr>
            <w:tcW w:w="3160" w:type="dxa"/>
            <w:vAlign w:val="center"/>
          </w:tcPr>
          <w:p w14:paraId="07F8D9B3">
            <w:pPr>
              <w:spacing w:line="276" w:lineRule="auto"/>
              <w:jc w:val="left"/>
              <w:rPr>
                <w:rFonts w:ascii="宋体" w:hAnsi="宋体" w:eastAsia="宋体" w:cs="宋体"/>
                <w:szCs w:val="21"/>
              </w:rPr>
            </w:pPr>
            <w:r>
              <w:rPr>
                <w:rFonts w:hint="eastAsia" w:ascii="宋体" w:hAnsi="宋体" w:eastAsia="宋体" w:cs="宋体"/>
                <w:szCs w:val="21"/>
              </w:rPr>
              <w:t xml:space="preserve">通过艺术仪式强化职业神圣感与使命感  </w:t>
            </w:r>
            <w:r>
              <w:rPr>
                <w:rFonts w:hint="eastAsia" w:ascii="宋体" w:hAnsi="宋体" w:eastAsia="宋体" w:cs="宋体"/>
                <w:szCs w:val="21"/>
                <w:lang w:eastAsia="zh-CN"/>
              </w:rPr>
              <w:t>，</w:t>
            </w:r>
            <w:r>
              <w:rPr>
                <w:rFonts w:hint="eastAsia" w:ascii="宋体" w:hAnsi="宋体" w:eastAsia="宋体" w:cs="宋体"/>
                <w:szCs w:val="21"/>
              </w:rPr>
              <w:t xml:space="preserve">在协作中践行“以文化人、以美铸魂”的教育理念  </w:t>
            </w:r>
          </w:p>
        </w:tc>
      </w:tr>
    </w:tbl>
    <w:p w14:paraId="68945709">
      <w:pPr>
        <w:spacing w:line="360" w:lineRule="auto"/>
        <w:ind w:firstLine="551" w:firstLineChars="196"/>
        <w:jc w:val="left"/>
        <w:rPr>
          <w:rFonts w:ascii="宋体" w:hAnsi="宋体" w:eastAsia="宋体" w:cs="Times New Roman"/>
          <w:b/>
          <w:color w:val="000000"/>
          <w:sz w:val="28"/>
          <w:szCs w:val="28"/>
        </w:rPr>
      </w:pPr>
    </w:p>
    <w:p w14:paraId="23C78EC7">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1EE705A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C7DB80D">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本课程根据学生作业、课堂讨论、平时考核情况和学生、教学督导等的反馈，及时对教学中的不足之处进行改进，并在下一轮课程教学中整改完善，确保相应毕业要求指标点达成。</w:t>
      </w:r>
    </w:p>
    <w:p w14:paraId="4776E49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二</w:t>
      </w:r>
      <w:r>
        <w:rPr>
          <w:rFonts w:hint="eastAsia" w:ascii="Times New Roman" w:hAnsi="Times New Roman" w:eastAsia="宋体" w:cs="Times New Roman"/>
          <w:b/>
          <w:szCs w:val="21"/>
        </w:rPr>
        <w:t>）参考书目</w:t>
      </w:r>
    </w:p>
    <w:p w14:paraId="55FEC24E">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1. [美]赫伯特·马尔库塞：《审美之维》，桂林：广西师范大学出版社，2001年10月。</w:t>
      </w:r>
    </w:p>
    <w:p w14:paraId="2BE9C3FB">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2. 王国维：《人间词话》，上海：上海古籍出版社，2009年8月。</w:t>
      </w:r>
    </w:p>
    <w:p w14:paraId="28A778FD">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3. [古希腊]亚里士多德、[古罗马]贺拉斯：《诗学·诗艺》，北京：中国社会科学出版社，2009年12月。</w:t>
      </w:r>
    </w:p>
    <w:p w14:paraId="040182E1">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4. [古希腊]柏拉图：《柏拉图文艺对话集》，北京：商务印书馆，2013年5月。</w:t>
      </w:r>
    </w:p>
    <w:p w14:paraId="7B8B281A">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5. 李泽厚：《美的历程》，北京：生活·读书·新知三联书店，2014年3月。</w:t>
      </w:r>
    </w:p>
    <w:p w14:paraId="12F0FE09">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6. 朱光潜:《朱光潜全集》，上海：华东师范大学出版社，2016年12月。</w:t>
      </w:r>
    </w:p>
    <w:p w14:paraId="04BD5A81">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7. [德]康德：《判断力批判》，北京：人民出版社，2017年1月。</w:t>
      </w:r>
    </w:p>
    <w:p w14:paraId="19CBC9CB">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8. 宗白华：《美学散步》，上海：上海人民出版社，2017年3月。</w:t>
      </w:r>
    </w:p>
    <w:p w14:paraId="55E88C6B">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9. 叶朗：《美学原理》，北京：北京大学出版社，2018年7月。</w:t>
      </w:r>
    </w:p>
    <w:p w14:paraId="45F9B35F">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10. [德国]黑格尔：《美学》，北京：外语教学与研究出版社，2018年11月。</w:t>
      </w:r>
    </w:p>
    <w:p w14:paraId="2BE18A5F"/>
    <w:p w14:paraId="6F6A1433"/>
    <w:p w14:paraId="07A388E1"/>
    <w:p w14:paraId="12E5804F"/>
    <w:p w14:paraId="26A33A7D"/>
    <w:p w14:paraId="194C11E5">
      <w:pPr>
        <w:spacing w:line="360" w:lineRule="auto"/>
        <w:ind w:right="192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岳芬</w:t>
      </w:r>
    </w:p>
    <w:p w14:paraId="78DF7054">
      <w:pPr>
        <w:wordWrap w:val="0"/>
        <w:spacing w:line="360" w:lineRule="auto"/>
        <w:ind w:right="1920"/>
        <w:jc w:val="righ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谢燕红</w:t>
      </w:r>
    </w:p>
    <w:p w14:paraId="496A7424">
      <w:pPr>
        <w:spacing w:line="360" w:lineRule="auto"/>
        <w:ind w:right="1200"/>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53BD3010">
      <w:pPr>
        <w:spacing w:line="360" w:lineRule="auto"/>
        <w:jc w:val="cente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7C921A10">
      <w:pPr>
        <w:jc w:val="right"/>
        <w:rPr>
          <w:rFonts w:hint="eastAsia" w:ascii="宋体" w:hAnsi="宋体" w:eastAsia="宋体" w:cs="宋体"/>
          <w:sz w:val="24"/>
          <w:szCs w:val="24"/>
          <w:lang w:val="en-US" w:eastAsia="zh-CN"/>
        </w:rPr>
      </w:pPr>
    </w:p>
    <w:p w14:paraId="5B45385F">
      <w:pPr>
        <w:widowControl/>
        <w:jc w:val="left"/>
        <w:rPr>
          <w:rFonts w:ascii="宋体" w:hAnsi="宋体" w:eastAsia="宋体" w:cs="宋体"/>
          <w:color w:val="000000"/>
          <w:sz w:val="24"/>
          <w:szCs w:val="22"/>
        </w:rPr>
      </w:pPr>
      <w:r>
        <w:rPr>
          <w:rFonts w:ascii="宋体" w:hAnsi="宋体" w:eastAsia="宋体" w:cs="宋体"/>
          <w:color w:val="000000"/>
          <w:sz w:val="24"/>
          <w:szCs w:val="22"/>
        </w:rPr>
        <w:br w:type="page"/>
      </w:r>
    </w:p>
    <w:p w14:paraId="5FBD04EC">
      <w:pPr>
        <w:pStyle w:val="2"/>
        <w:bidi w:val="0"/>
        <w:rPr>
          <w:lang w:val="en-US" w:eastAsia="zh-CN"/>
        </w:rPr>
      </w:pPr>
      <w:bookmarkStart w:id="2892" w:name="_Toc27685"/>
      <w:bookmarkStart w:id="2893" w:name="_Toc15144"/>
      <w:bookmarkStart w:id="2894" w:name="_Toc17308"/>
      <w:bookmarkStart w:id="2895" w:name="_Toc86623525"/>
      <w:bookmarkStart w:id="2896" w:name="_Toc27016"/>
      <w:r>
        <w:rPr>
          <w:rFonts w:hint="eastAsia"/>
          <w:lang w:val="en-US" w:eastAsia="zh-CN"/>
        </w:rPr>
        <w:t>《中国古代文学名家选讲》课程教学大纲</w:t>
      </w:r>
      <w:bookmarkEnd w:id="2892"/>
      <w:bookmarkEnd w:id="2893"/>
      <w:bookmarkEnd w:id="2894"/>
      <w:bookmarkEnd w:id="2895"/>
      <w:bookmarkEnd w:id="2896"/>
    </w:p>
    <w:p w14:paraId="5ED0BDE3">
      <w:pPr>
        <w:pStyle w:val="2"/>
        <w:bidi w:val="0"/>
        <w:rPr>
          <w:rFonts w:ascii="Times New Roman" w:hAnsi="Times New Roman" w:eastAsia="宋体" w:cs="Arial"/>
          <w:b/>
          <w:bCs/>
          <w:kern w:val="2"/>
          <w:szCs w:val="24"/>
          <w:lang w:val="en-US" w:eastAsia="zh-CN" w:bidi="ar-SA"/>
        </w:rPr>
      </w:pPr>
      <w:bookmarkStart w:id="2897" w:name="_Toc306852097"/>
      <w:bookmarkStart w:id="2898" w:name="_Toc26201"/>
      <w:bookmarkStart w:id="2899" w:name="_Toc18554"/>
      <w:bookmarkStart w:id="2900" w:name="_Toc17317"/>
      <w:bookmarkStart w:id="2901" w:name="_Toc31525"/>
      <w:bookmarkStart w:id="2902" w:name="_Toc7948"/>
      <w:bookmarkStart w:id="2903" w:name="_Toc5539"/>
      <w:bookmarkStart w:id="2904" w:name="_Toc27621"/>
      <w:r>
        <w:rPr>
          <w:lang w:val="en-US" w:eastAsia="zh-CN"/>
        </w:rPr>
        <w:t>（Selected Studies of Ancient Litterateurs）</w:t>
      </w:r>
      <w:bookmarkEnd w:id="2897"/>
      <w:bookmarkEnd w:id="2898"/>
      <w:bookmarkEnd w:id="2899"/>
      <w:bookmarkEnd w:id="2900"/>
      <w:bookmarkEnd w:id="2901"/>
      <w:bookmarkEnd w:id="2902"/>
      <w:bookmarkEnd w:id="2903"/>
      <w:bookmarkEnd w:id="2904"/>
    </w:p>
    <w:p w14:paraId="13BAEA46">
      <w:pPr>
        <w:spacing w:line="276" w:lineRule="auto"/>
        <w:jc w:val="center"/>
        <w:rPr>
          <w:rFonts w:ascii="宋体" w:hAnsi="宋体" w:eastAsia="宋体" w:cs="宋体"/>
          <w:color w:val="000000"/>
          <w:szCs w:val="24"/>
        </w:rPr>
      </w:pPr>
    </w:p>
    <w:p w14:paraId="3E9CE53D">
      <w:pPr>
        <w:spacing w:line="360" w:lineRule="auto"/>
        <w:rPr>
          <w:rFonts w:ascii="宋体" w:hAnsi="宋体" w:eastAsia="宋体" w:cs="宋体"/>
          <w:b/>
          <w:sz w:val="28"/>
          <w:szCs w:val="28"/>
        </w:rPr>
      </w:pPr>
      <w:bookmarkStart w:id="2905" w:name="_Toc1154957832"/>
      <w:r>
        <w:rPr>
          <w:rFonts w:hint="eastAsia" w:ascii="宋体" w:hAnsi="宋体" w:eastAsia="宋体" w:cs="宋体"/>
          <w:b/>
          <w:sz w:val="28"/>
          <w:szCs w:val="28"/>
          <w:lang w:bidi="ar"/>
        </w:rPr>
        <w:t>一、课程概况</w:t>
      </w:r>
      <w:bookmarkEnd w:id="2905"/>
    </w:p>
    <w:p w14:paraId="2CCD84BB">
      <w:pPr>
        <w:adjustRightInd w:val="0"/>
        <w:snapToGri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lang w:bidi="ar"/>
        </w:rPr>
        <w:t>课程代码：0705076</w:t>
      </w:r>
    </w:p>
    <w:p w14:paraId="58D07B97">
      <w:pPr>
        <w:adjustRightInd w:val="0"/>
        <w:snapToGri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lang w:bidi="ar"/>
        </w:rPr>
        <w:t>学　　分：</w:t>
      </w:r>
      <w:r>
        <w:rPr>
          <w:rFonts w:hint="eastAsia" w:ascii="宋体" w:hAnsi="宋体" w:eastAsia="宋体" w:cs="宋体"/>
          <w:color w:val="000000"/>
          <w:kern w:val="0"/>
          <w:sz w:val="24"/>
          <w:szCs w:val="24"/>
          <w:lang w:bidi="ar"/>
        </w:rPr>
        <w:t>2</w:t>
      </w:r>
    </w:p>
    <w:p w14:paraId="2F9030CB">
      <w:pPr>
        <w:adjustRightInd w:val="0"/>
        <w:snapToGri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lang w:bidi="ar"/>
        </w:rPr>
        <w:t>学　　时：</w:t>
      </w:r>
      <w:r>
        <w:rPr>
          <w:rFonts w:hint="eastAsia" w:ascii="宋体" w:hAnsi="宋体" w:eastAsia="宋体" w:cs="宋体"/>
          <w:color w:val="000000"/>
          <w:kern w:val="0"/>
          <w:sz w:val="24"/>
          <w:szCs w:val="24"/>
          <w:lang w:bidi="ar"/>
        </w:rPr>
        <w:t>32（其中：讲授学时32，实验学时0，上机学时0）</w:t>
      </w:r>
    </w:p>
    <w:p w14:paraId="2BF69015">
      <w:pPr>
        <w:adjustRightInd w:val="0"/>
        <w:snapToGrid w:val="0"/>
        <w:spacing w:line="360" w:lineRule="auto"/>
        <w:ind w:firstLine="482" w:firstLineChars="200"/>
        <w:rPr>
          <w:rFonts w:ascii="宋体" w:hAnsi="宋体" w:eastAsia="宋体" w:cs="宋体"/>
          <w:bCs/>
          <w:color w:val="000000"/>
          <w:kern w:val="0"/>
          <w:sz w:val="24"/>
          <w:szCs w:val="24"/>
        </w:rPr>
      </w:pPr>
      <w:r>
        <w:rPr>
          <w:rFonts w:hint="eastAsia" w:ascii="宋体" w:hAnsi="宋体" w:eastAsia="宋体" w:cs="宋体"/>
          <w:b/>
          <w:color w:val="000000"/>
          <w:kern w:val="0"/>
          <w:sz w:val="24"/>
          <w:szCs w:val="24"/>
          <w:lang w:bidi="ar"/>
        </w:rPr>
        <w:t>先修课程：</w:t>
      </w:r>
      <w:r>
        <w:rPr>
          <w:rFonts w:hint="eastAsia" w:ascii="宋体" w:hAnsi="宋体" w:eastAsia="宋体" w:cs="宋体"/>
          <w:color w:val="000000"/>
          <w:kern w:val="0"/>
          <w:sz w:val="24"/>
          <w:szCs w:val="24"/>
          <w:lang w:bidi="ar"/>
        </w:rPr>
        <w:t>无</w:t>
      </w:r>
    </w:p>
    <w:p w14:paraId="4CAD5FB7">
      <w:pPr>
        <w:adjustRightInd w:val="0"/>
        <w:snapToGrid w:val="0"/>
        <w:spacing w:line="360" w:lineRule="auto"/>
        <w:ind w:firstLine="482" w:firstLineChars="200"/>
        <w:rPr>
          <w:rFonts w:ascii="宋体" w:hAnsi="宋体" w:eastAsia="宋体" w:cs="宋体"/>
          <w:color w:val="000000"/>
          <w:kern w:val="0"/>
          <w:sz w:val="24"/>
          <w:szCs w:val="24"/>
        </w:rPr>
      </w:pPr>
      <w:r>
        <w:rPr>
          <w:rFonts w:hint="eastAsia" w:ascii="宋体" w:hAnsi="宋体" w:eastAsia="宋体" w:cs="宋体"/>
          <w:b/>
          <w:color w:val="000000"/>
          <w:kern w:val="0"/>
          <w:sz w:val="24"/>
          <w:szCs w:val="24"/>
          <w:lang w:bidi="ar"/>
        </w:rPr>
        <w:t>适用专业：</w:t>
      </w:r>
      <w:r>
        <w:rPr>
          <w:rFonts w:hint="eastAsia" w:ascii="宋体" w:hAnsi="宋体" w:eastAsia="宋体" w:cs="宋体"/>
          <w:color w:val="000000"/>
          <w:kern w:val="0"/>
          <w:sz w:val="24"/>
          <w:szCs w:val="24"/>
          <w:lang w:bidi="ar"/>
        </w:rPr>
        <w:t>小学教育（文）专业</w:t>
      </w:r>
    </w:p>
    <w:p w14:paraId="231EBA1B">
      <w:pPr>
        <w:adjustRightInd w:val="0"/>
        <w:snapToGrid w:val="0"/>
        <w:spacing w:line="360" w:lineRule="auto"/>
        <w:ind w:firstLine="482" w:firstLineChars="200"/>
        <w:rPr>
          <w:rFonts w:ascii="宋体" w:hAnsi="宋体" w:eastAsia="宋体" w:cs="宋体"/>
          <w:bCs/>
          <w:color w:val="000000"/>
          <w:kern w:val="0"/>
          <w:sz w:val="24"/>
          <w:szCs w:val="24"/>
        </w:rPr>
      </w:pPr>
      <w:r>
        <w:rPr>
          <w:rFonts w:hint="eastAsia" w:ascii="宋体" w:hAnsi="宋体" w:eastAsia="宋体" w:cs="宋体"/>
          <w:b/>
          <w:color w:val="000000"/>
          <w:kern w:val="0"/>
          <w:sz w:val="24"/>
          <w:szCs w:val="24"/>
          <w:lang w:bidi="ar"/>
        </w:rPr>
        <w:t>教　　材：</w:t>
      </w:r>
      <w:r>
        <w:rPr>
          <w:rFonts w:hint="eastAsia" w:ascii="宋体" w:hAnsi="宋体" w:eastAsia="宋体" w:cs="宋体"/>
          <w:bCs/>
          <w:color w:val="000000"/>
          <w:kern w:val="0"/>
          <w:sz w:val="24"/>
          <w:szCs w:val="24"/>
          <w:lang w:bidi="ar"/>
        </w:rPr>
        <w:t>《唐诗宋词十五讲》，葛晓音，北京大学出版社，2003.6年</w:t>
      </w:r>
    </w:p>
    <w:p w14:paraId="46F33910">
      <w:pPr>
        <w:adjustRightInd w:val="0"/>
        <w:snapToGrid w:val="0"/>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kern w:val="0"/>
          <w:sz w:val="24"/>
          <w:szCs w:val="24"/>
          <w:lang w:bidi="ar"/>
        </w:rPr>
        <w:t>课程归口：</w:t>
      </w:r>
      <w:r>
        <w:rPr>
          <w:rFonts w:hint="eastAsia" w:ascii="宋体" w:hAnsi="宋体" w:eastAsia="宋体" w:cs="宋体"/>
          <w:bCs/>
          <w:color w:val="000000"/>
          <w:kern w:val="0"/>
          <w:sz w:val="24"/>
          <w:szCs w:val="24"/>
          <w:lang w:bidi="ar"/>
        </w:rPr>
        <w:t>人文</w:t>
      </w:r>
      <w:r>
        <w:rPr>
          <w:rFonts w:hint="eastAsia" w:ascii="宋体" w:hAnsi="宋体" w:eastAsia="宋体" w:cs="宋体"/>
          <w:color w:val="000000"/>
          <w:kern w:val="0"/>
          <w:sz w:val="24"/>
          <w:szCs w:val="24"/>
          <w:lang w:bidi="ar"/>
        </w:rPr>
        <w:t>学院</w:t>
      </w:r>
    </w:p>
    <w:p w14:paraId="269EEFCC">
      <w:pPr>
        <w:adjustRightInd w:val="0"/>
        <w:snapToGrid w:val="0"/>
        <w:spacing w:line="360" w:lineRule="auto"/>
        <w:ind w:firstLine="482" w:firstLineChars="200"/>
        <w:rPr>
          <w:rFonts w:ascii="宋体" w:hAnsi="宋体" w:eastAsia="宋体" w:cs="宋体"/>
          <w:b/>
          <w:color w:val="000000"/>
          <w:kern w:val="0"/>
          <w:sz w:val="24"/>
          <w:szCs w:val="24"/>
        </w:rPr>
      </w:pPr>
      <w:r>
        <w:rPr>
          <w:rFonts w:hint="eastAsia" w:ascii="宋体" w:hAnsi="宋体" w:eastAsia="宋体" w:cs="宋体"/>
          <w:b/>
          <w:color w:val="000000"/>
          <w:kern w:val="0"/>
          <w:sz w:val="24"/>
          <w:szCs w:val="24"/>
          <w:lang w:bidi="ar"/>
        </w:rPr>
        <w:t>课程的性质与任务</w:t>
      </w:r>
    </w:p>
    <w:p w14:paraId="501E7DB5">
      <w:pPr>
        <w:autoSpaceDE w:val="0"/>
        <w:autoSpaceDN w:val="0"/>
        <w:adjustRightInd w:val="0"/>
        <w:snapToGrid w:val="0"/>
        <w:spacing w:line="360" w:lineRule="auto"/>
        <w:ind w:firstLine="480" w:firstLineChars="200"/>
        <w:jc w:val="left"/>
        <w:rPr>
          <w:rFonts w:ascii="宋体" w:hAnsi="宋体" w:eastAsia="宋体" w:cs="宋体"/>
          <w:smallCaps/>
          <w:color w:val="000000"/>
          <w:kern w:val="44"/>
          <w:sz w:val="24"/>
          <w:szCs w:val="22"/>
        </w:rPr>
      </w:pPr>
      <w:r>
        <w:rPr>
          <w:rFonts w:hint="eastAsia" w:ascii="宋体" w:hAnsi="宋体" w:eastAsia="宋体" w:cs="宋体"/>
          <w:smallCaps/>
          <w:color w:val="000000"/>
          <w:kern w:val="44"/>
          <w:sz w:val="24"/>
          <w:szCs w:val="22"/>
          <w:lang w:bidi="ar"/>
        </w:rPr>
        <w:t>本课程为小学教育（文）专业本科生专业选修课。课程秉持立德树人的教育理念，将课程思政与专业教学有机结合，注意将知识传授、能力培养和价值观引领有机统一。</w:t>
      </w:r>
    </w:p>
    <w:p w14:paraId="2419C160">
      <w:pPr>
        <w:autoSpaceDE w:val="0"/>
        <w:autoSpaceDN w:val="0"/>
        <w:adjustRightInd w:val="0"/>
        <w:snapToGrid w:val="0"/>
        <w:spacing w:line="360" w:lineRule="auto"/>
        <w:ind w:firstLine="480" w:firstLineChars="200"/>
        <w:jc w:val="left"/>
        <w:rPr>
          <w:rFonts w:ascii="宋体" w:hAnsi="宋体" w:eastAsia="宋体" w:cs="宋体"/>
          <w:smallCaps/>
          <w:color w:val="000000"/>
          <w:kern w:val="44"/>
          <w:sz w:val="24"/>
          <w:szCs w:val="22"/>
        </w:rPr>
      </w:pPr>
      <w:r>
        <w:rPr>
          <w:rFonts w:hint="eastAsia" w:ascii="宋体" w:hAnsi="宋体" w:eastAsia="宋体" w:cs="宋体"/>
          <w:smallCaps/>
          <w:color w:val="000000"/>
          <w:kern w:val="44"/>
          <w:sz w:val="24"/>
          <w:szCs w:val="22"/>
          <w:lang w:bidi="ar"/>
        </w:rPr>
        <w:t>本课程旨在使学生通过学习唐宋诗词知识以及相关理论，以获得较为全面系统的知识框架，从而更好地传承并弘扬中国文化，进一步坚定文化自信，增强中华民族的向心力和凝聚力。</w:t>
      </w:r>
    </w:p>
    <w:p w14:paraId="55127CE3">
      <w:pPr>
        <w:adjustRightInd w:val="0"/>
        <w:snapToGrid w:val="0"/>
        <w:spacing w:line="360" w:lineRule="auto"/>
        <w:ind w:firstLine="480" w:firstLineChars="200"/>
        <w:rPr>
          <w:rFonts w:ascii="宋体" w:hAnsi="宋体" w:eastAsia="宋体" w:cs="宋体"/>
          <w:color w:val="000000"/>
          <w:sz w:val="24"/>
          <w:szCs w:val="22"/>
        </w:rPr>
      </w:pPr>
      <w:r>
        <w:rPr>
          <w:rFonts w:hint="eastAsia" w:ascii="宋体" w:hAnsi="宋体" w:eastAsia="宋体" w:cs="宋体"/>
          <w:color w:val="000000"/>
          <w:sz w:val="24"/>
          <w:szCs w:val="22"/>
          <w:lang w:bidi="ar"/>
        </w:rPr>
        <w:t>通过学习，使学生了解中国唐诗宋词中的名家名篇名作，对古代诗歌批评有一定的认识，掌握唐诗宋词的文化意蕴、审美属性及审美特点，从而提高自身的诗歌研究能力及人文素质。</w:t>
      </w:r>
    </w:p>
    <w:p w14:paraId="51FF1768">
      <w:pPr>
        <w:numPr>
          <w:ilvl w:val="0"/>
          <w:numId w:val="97"/>
        </w:numPr>
        <w:spacing w:line="360" w:lineRule="auto"/>
        <w:rPr>
          <w:rFonts w:hint="eastAsia" w:ascii="宋体" w:hAnsi="宋体" w:eastAsia="宋体" w:cs="宋体"/>
          <w:b/>
          <w:sz w:val="28"/>
          <w:szCs w:val="28"/>
          <w:lang w:bidi="ar"/>
        </w:rPr>
      </w:pPr>
      <w:bookmarkStart w:id="2906" w:name="_Toc271597191"/>
      <w:r>
        <w:rPr>
          <w:rFonts w:hint="eastAsia" w:ascii="宋体" w:hAnsi="宋体" w:eastAsia="宋体" w:cs="宋体"/>
          <w:b/>
          <w:sz w:val="28"/>
          <w:szCs w:val="28"/>
          <w:lang w:bidi="ar"/>
        </w:rPr>
        <w:t>课程目标</w:t>
      </w:r>
      <w:bookmarkEnd w:id="2906"/>
    </w:p>
    <w:p w14:paraId="54C05C08">
      <w:pPr>
        <w:spacing w:line="360" w:lineRule="auto"/>
        <w:ind w:firstLine="422" w:firstLineChars="200"/>
        <w:rPr>
          <w:rFonts w:hint="eastAsia" w:ascii="宋体" w:hAnsi="宋体" w:eastAsia="宋体" w:cs="宋体"/>
          <w:b/>
          <w:sz w:val="28"/>
          <w:szCs w:val="28"/>
          <w:lang w:bidi="ar"/>
        </w:rPr>
      </w:pPr>
      <w:r>
        <w:rPr>
          <w:rFonts w:hint="eastAsia" w:ascii="宋体" w:hAnsi="宋体" w:eastAsia="宋体" w:cs="Times New Roman"/>
          <w:b/>
          <w:color w:val="000000"/>
          <w:szCs w:val="21"/>
        </w:rPr>
        <w:t>（一）课程具体目标</w:t>
      </w:r>
    </w:p>
    <w:p w14:paraId="45BAAB22">
      <w:pPr>
        <w:autoSpaceDE w:val="0"/>
        <w:autoSpaceDN w:val="0"/>
        <w:adjustRightInd w:val="0"/>
        <w:snapToGrid w:val="0"/>
        <w:spacing w:line="360" w:lineRule="auto"/>
        <w:ind w:firstLine="480" w:firstLineChars="20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bidi="ar"/>
        </w:rPr>
        <w:t>目标1. 能对唐诗宋词的发展历程和脉络有清晰的了解</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培养学生对中华优秀传统文化的热爱和文化自信。</w:t>
      </w:r>
    </w:p>
    <w:p w14:paraId="64440BDB">
      <w:pPr>
        <w:autoSpaceDE w:val="0"/>
        <w:autoSpaceDN w:val="0"/>
        <w:adjustRightInd w:val="0"/>
        <w:snapToGrid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bidi="ar"/>
        </w:rPr>
        <w:t>目标2. 能对唐宋诗歌史上的重要文学现象、代表性作家、作品有重点的掌握</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提升学生的人文素养和传承中华优秀传统文化的自觉性。</w:t>
      </w:r>
    </w:p>
    <w:p w14:paraId="1ADBD0A1">
      <w:pPr>
        <w:autoSpaceDE w:val="0"/>
        <w:autoSpaceDN w:val="0"/>
        <w:adjustRightInd w:val="0"/>
        <w:snapToGrid w:val="0"/>
        <w:spacing w:line="360" w:lineRule="auto"/>
        <w:ind w:firstLine="480" w:firstLineChars="200"/>
        <w:jc w:val="left"/>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目标</w:t>
      </w:r>
      <w:r>
        <w:rPr>
          <w:rFonts w:hint="eastAsia"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bidi="ar"/>
        </w:rPr>
        <w:t>. 能阅读、欣赏、评析以及进一步研究唐诗宋词的名家名篇，理解作品的基本内容、艺术特点和艺术价值等</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 xml:space="preserve"> 能运用多种批评方法阅读、分析作品，开展初步的学术研究。 </w:t>
      </w:r>
    </w:p>
    <w:p w14:paraId="75726AE7">
      <w:pPr>
        <w:spacing w:before="156" w:beforeLines="50" w:after="156" w:afterLines="50" w:line="360" w:lineRule="auto"/>
        <w:jc w:val="left"/>
        <w:rPr>
          <w:rFonts w:hint="eastAsia" w:ascii="宋体" w:hAnsi="宋体" w:eastAsia="宋体" w:cs="宋体"/>
          <w:color w:val="000000"/>
          <w:kern w:val="0"/>
          <w:sz w:val="24"/>
          <w:szCs w:val="24"/>
          <w:lang w:eastAsia="zh-CN" w:bidi="ar"/>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833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FBC71D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931A5C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13F125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BBA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39E204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190C7586">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w:t>
            </w:r>
            <w:r>
              <w:rPr>
                <w:rFonts w:hint="eastAsia" w:ascii="宋体" w:hAnsi="宋体" w:eastAsia="宋体" w:cs="Times New Roman"/>
                <w:color w:val="000000"/>
                <w:spacing w:val="2"/>
                <w:kern w:val="0"/>
                <w:szCs w:val="21"/>
                <w:lang w:val="en-US" w:eastAsia="zh-CN"/>
              </w:rPr>
              <w:t>3</w:t>
            </w:r>
            <w:r>
              <w:rPr>
                <w:rFonts w:ascii="宋体" w:hAnsi="宋体" w:eastAsia="宋体" w:cs="Times New Roman"/>
                <w:color w:val="000000"/>
                <w:spacing w:val="2"/>
                <w:kern w:val="0"/>
                <w:szCs w:val="21"/>
              </w:rPr>
              <w:t>：</w:t>
            </w:r>
            <w:r>
              <w:rPr>
                <w:rFonts w:hint="eastAsia" w:ascii="宋体" w:hAnsi="宋体" w:eastAsia="等线" w:cs="宋体"/>
                <w:sz w:val="20"/>
                <w:szCs w:val="20"/>
              </w:rPr>
              <w:t>【自身修养良好】具有较好的人文</w:t>
            </w:r>
            <w:r>
              <w:rPr>
                <w:rFonts w:hint="eastAsia" w:ascii="等线" w:hAnsi="等线" w:eastAsia="等线" w:cs="宋体"/>
                <w:sz w:val="20"/>
                <w:szCs w:val="20"/>
              </w:rPr>
              <w:t>艺术</w:t>
            </w:r>
            <w:r>
              <w:rPr>
                <w:rFonts w:hint="eastAsia" w:ascii="宋体" w:hAnsi="宋体" w:eastAsia="等线" w:cs="宋体"/>
                <w:sz w:val="20"/>
                <w:szCs w:val="20"/>
              </w:rPr>
              <w:t>底蕴与科学精神，言行举止符合教师职业标准，情感积极，人格健全，身心健康。</w:t>
            </w:r>
          </w:p>
        </w:tc>
        <w:tc>
          <w:tcPr>
            <w:tcW w:w="1191" w:type="dxa"/>
            <w:vAlign w:val="center"/>
          </w:tcPr>
          <w:p w14:paraId="3CA0B1F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293C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901647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6400511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lang w:val="en-US" w:eastAsia="zh-CN"/>
              </w:rPr>
              <w:t>2</w:t>
            </w:r>
            <w:r>
              <w:rPr>
                <w:rFonts w:ascii="宋体" w:hAnsi="宋体" w:eastAsia="宋体" w:cs="Times New Roman"/>
                <w:color w:val="000000"/>
                <w:spacing w:val="2"/>
                <w:kern w:val="0"/>
                <w:szCs w:val="21"/>
              </w:rPr>
              <w:t>：</w:t>
            </w:r>
            <w:r>
              <w:rPr>
                <w:rFonts w:hint="eastAsia" w:ascii="宋体" w:hAnsi="宋体" w:eastAsia="等线"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2279236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59EE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4317331">
            <w:pPr>
              <w:spacing w:line="276" w:lineRule="auto"/>
              <w:jc w:val="left"/>
              <w:rPr>
                <w:rFonts w:hint="default" w:ascii="Times New Roman" w:hAnsi="Times New Roman" w:eastAsia="宋体" w:cs="Times New Roman"/>
                <w:szCs w:val="21"/>
                <w:lang w:val="en-US"/>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4教学能力</w:t>
            </w:r>
          </w:p>
        </w:tc>
        <w:tc>
          <w:tcPr>
            <w:tcW w:w="5688" w:type="dxa"/>
            <w:vAlign w:val="center"/>
          </w:tcPr>
          <w:p w14:paraId="40BE870F">
            <w:pPr>
              <w:spacing w:line="276" w:lineRule="auto"/>
              <w:jc w:val="left"/>
              <w:rPr>
                <w:rFonts w:ascii="Times New Roman" w:hAnsi="Times New Roman" w:eastAsia="宋体" w:cs="Times New Roman"/>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lang w:val="en-US" w:eastAsia="zh-CN"/>
              </w:rPr>
              <w:t>4</w:t>
            </w:r>
            <w:r>
              <w:rPr>
                <w:rFonts w:ascii="宋体" w:hAnsi="宋体" w:eastAsia="宋体" w:cs="Times New Roman"/>
                <w:color w:val="000000"/>
                <w:kern w:val="0"/>
                <w:szCs w:val="21"/>
              </w:rPr>
              <w:t>-1：</w:t>
            </w:r>
            <w:r>
              <w:rPr>
                <w:rFonts w:hint="eastAsia" w:ascii="宋体" w:hAnsi="宋体" w:eastAsia="等线"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1B2BEA2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799D17C9">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4B9AB48">
      <w:pPr>
        <w:spacing w:line="360" w:lineRule="auto"/>
        <w:ind w:firstLine="411" w:firstLineChars="196"/>
        <w:jc w:val="left"/>
        <w:rPr>
          <w:rFonts w:hint="eastAsia" w:ascii="宋体" w:hAnsi="宋体" w:eastAsia="宋体" w:cs="宋体"/>
          <w:color w:val="000000"/>
          <w:sz w:val="24"/>
          <w:szCs w:val="22"/>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5C98165">
      <w:pPr>
        <w:adjustRightInd w:val="0"/>
        <w:snapToGrid w:val="0"/>
        <w:spacing w:line="360" w:lineRule="auto"/>
        <w:rPr>
          <w:rFonts w:hint="default" w:ascii="宋体" w:hAnsi="宋体" w:eastAsia="宋体" w:cs="宋体"/>
          <w:b/>
          <w:sz w:val="28"/>
          <w:szCs w:val="28"/>
          <w:lang w:val="en-US" w:eastAsia="zh-CN"/>
        </w:rPr>
      </w:pPr>
      <w:bookmarkStart w:id="2907" w:name="_Toc1331239262"/>
      <w:r>
        <w:rPr>
          <w:rFonts w:hint="eastAsia" w:ascii="宋体" w:hAnsi="宋体" w:eastAsia="宋体" w:cs="宋体"/>
          <w:b/>
          <w:sz w:val="28"/>
          <w:szCs w:val="28"/>
          <w:lang w:bidi="ar"/>
        </w:rPr>
        <w:t>三、课程内容</w:t>
      </w:r>
      <w:bookmarkEnd w:id="2907"/>
      <w:r>
        <w:rPr>
          <w:rFonts w:hint="eastAsia" w:ascii="宋体" w:hAnsi="宋体" w:eastAsia="宋体" w:cs="宋体"/>
          <w:b/>
          <w:sz w:val="28"/>
          <w:szCs w:val="28"/>
          <w:lang w:val="en-US" w:eastAsia="zh-CN" w:bidi="ar"/>
        </w:rPr>
        <w:t>与预期学习成果</w:t>
      </w:r>
    </w:p>
    <w:p w14:paraId="2AA41D27">
      <w:pPr>
        <w:rPr>
          <w:rFonts w:hint="default" w:ascii="等线" w:hAnsi="等线" w:eastAsia="等线" w:cs="Times New Roman"/>
          <w:szCs w:val="22"/>
          <w:lang w:val="en-US" w:eastAsia="zh-CN"/>
        </w:rPr>
      </w:pPr>
      <w:r>
        <w:rPr>
          <w:rFonts w:hint="eastAsia" w:ascii="等线" w:hAnsi="等线" w:eastAsia="等线" w:cs="Times New Roman"/>
          <w:szCs w:val="22"/>
          <w:lang w:val="en-US" w:eastAsia="zh-CN"/>
        </w:rPr>
        <w:t xml:space="preserve">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252"/>
        <w:gridCol w:w="695"/>
        <w:gridCol w:w="2522"/>
        <w:gridCol w:w="1062"/>
        <w:gridCol w:w="453"/>
      </w:tblGrid>
      <w:tr w14:paraId="4F12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CC5DEB">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1996D3A">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0" w:type="auto"/>
            <w:vAlign w:val="center"/>
          </w:tcPr>
          <w:p w14:paraId="138BD72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0" w:type="auto"/>
            <w:vAlign w:val="center"/>
          </w:tcPr>
          <w:p w14:paraId="482BA147">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F16C104">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0" w:type="auto"/>
            <w:vAlign w:val="center"/>
          </w:tcPr>
          <w:p w14:paraId="7BB4098D">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0" w:type="auto"/>
            <w:vAlign w:val="center"/>
          </w:tcPr>
          <w:p w14:paraId="10EB52EB">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0" w:type="auto"/>
            <w:vAlign w:val="center"/>
          </w:tcPr>
          <w:p w14:paraId="0420D541">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2DA6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89379F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宋体"/>
                <w:b/>
                <w:bCs/>
                <w:color w:val="000000"/>
                <w:sz w:val="24"/>
                <w:szCs w:val="24"/>
                <w:lang w:bidi="ar"/>
              </w:rPr>
              <w:t>唐诗概述</w:t>
            </w:r>
          </w:p>
        </w:tc>
        <w:tc>
          <w:tcPr>
            <w:tcW w:w="0" w:type="auto"/>
            <w:vAlign w:val="center"/>
          </w:tcPr>
          <w:p w14:paraId="44AE173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（1）唐朝的历史概况。</w:t>
            </w:r>
          </w:p>
          <w:p w14:paraId="04B861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（2）唐代诗歌发展概况。</w:t>
            </w:r>
          </w:p>
          <w:p w14:paraId="4A5EC1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（3）唐诗繁荣的原因。</w:t>
            </w:r>
          </w:p>
          <w:p w14:paraId="16BC8981">
            <w:pPr>
              <w:spacing w:line="269" w:lineRule="auto"/>
              <w:jc w:val="left"/>
              <w:rPr>
                <w:rFonts w:ascii="宋体" w:hAnsi="宋体" w:eastAsia="宋体" w:cs="Times New Roman"/>
                <w:color w:val="000000"/>
                <w:szCs w:val="21"/>
              </w:rPr>
            </w:pPr>
          </w:p>
        </w:tc>
        <w:tc>
          <w:tcPr>
            <w:tcW w:w="0" w:type="auto"/>
            <w:vAlign w:val="center"/>
          </w:tcPr>
          <w:p w14:paraId="5E19701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0" w:type="auto"/>
            <w:vAlign w:val="center"/>
          </w:tcPr>
          <w:p w14:paraId="4569D9A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（1）了解唐诗的艺术特征及发展脉络。</w:t>
            </w:r>
          </w:p>
          <w:p w14:paraId="4B61FE7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（2）掌握唐诗繁荣的原因。</w:t>
            </w:r>
          </w:p>
          <w:p w14:paraId="08E8DE3B">
            <w:pPr>
              <w:spacing w:line="269" w:lineRule="auto"/>
              <w:jc w:val="left"/>
              <w:rPr>
                <w:rFonts w:ascii="宋体" w:hAnsi="宋体" w:eastAsia="宋体" w:cs="Times New Roman"/>
                <w:color w:val="000000"/>
                <w:szCs w:val="21"/>
              </w:rPr>
            </w:pPr>
          </w:p>
        </w:tc>
        <w:tc>
          <w:tcPr>
            <w:tcW w:w="0" w:type="auto"/>
            <w:vAlign w:val="center"/>
          </w:tcPr>
          <w:p w14:paraId="2863608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2438368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0FDC82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0" w:type="auto"/>
            <w:vAlign w:val="center"/>
          </w:tcPr>
          <w:p w14:paraId="50BD943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3D2B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6462C64">
            <w:pPr>
              <w:spacing w:line="264" w:lineRule="auto"/>
              <w:jc w:val="center"/>
              <w:rPr>
                <w:rFonts w:ascii="宋体" w:hAnsi="宋体" w:eastAsia="宋体" w:cs="Times New Roman"/>
                <w:color w:val="000000"/>
                <w:szCs w:val="21"/>
              </w:rPr>
            </w:pPr>
          </w:p>
        </w:tc>
        <w:tc>
          <w:tcPr>
            <w:tcW w:w="0" w:type="auto"/>
            <w:gridSpan w:val="5"/>
            <w:vAlign w:val="center"/>
          </w:tcPr>
          <w:p w14:paraId="7012C1B5">
            <w:pPr>
              <w:autoSpaceDE w:val="0"/>
              <w:autoSpaceDN w:val="0"/>
              <w:adjustRightInd w:val="0"/>
              <w:snapToGrid w:val="0"/>
              <w:spacing w:line="360" w:lineRule="auto"/>
              <w:ind w:firstLine="422" w:firstLineChars="200"/>
              <w:jc w:val="left"/>
              <w:rPr>
                <w:rFonts w:hint="eastAsia" w:ascii="宋体" w:hAnsi="宋体" w:eastAsia="宋体" w:cs="宋体"/>
                <w:color w:val="000000"/>
                <w:kern w:val="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kern w:val="0"/>
                <w:sz w:val="24"/>
                <w:szCs w:val="24"/>
                <w:lang w:bidi="ar"/>
              </w:rPr>
              <w:t>将马克思主义文艺理论及方法论融入课程内容，对古代文学作品进行深入分析。对学生进行信念教育，让学生充分感受中华民族悠久的历史和灿烂的文化，树立文化的自信心和自豪感。</w:t>
            </w:r>
          </w:p>
          <w:p w14:paraId="678F8E2A">
            <w:pPr>
              <w:spacing w:line="269" w:lineRule="auto"/>
              <w:jc w:val="left"/>
              <w:rPr>
                <w:rFonts w:ascii="宋体" w:hAnsi="宋体" w:eastAsia="宋体" w:cs="Times New Roman"/>
                <w:color w:val="000000"/>
                <w:szCs w:val="21"/>
              </w:rPr>
            </w:pPr>
          </w:p>
        </w:tc>
      </w:tr>
      <w:tr w14:paraId="2A61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E08CA14">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2.</w:t>
            </w:r>
            <w:r>
              <w:rPr>
                <w:rFonts w:hint="eastAsia" w:ascii="宋体" w:hAnsi="宋体" w:eastAsia="宋体" w:cs="宋体"/>
                <w:b/>
                <w:bCs/>
                <w:color w:val="000000"/>
                <w:sz w:val="24"/>
                <w:szCs w:val="24"/>
                <w:lang w:bidi="ar"/>
              </w:rPr>
              <w:t>开启唐诗高峰的奇葩——初唐诗</w:t>
            </w:r>
          </w:p>
          <w:p w14:paraId="00C8E296">
            <w:pPr>
              <w:spacing w:line="264" w:lineRule="auto"/>
              <w:jc w:val="center"/>
              <w:rPr>
                <w:rFonts w:ascii="宋体" w:hAnsi="宋体" w:eastAsia="宋体" w:cs="Times New Roman"/>
                <w:color w:val="000000"/>
                <w:szCs w:val="21"/>
              </w:rPr>
            </w:pPr>
          </w:p>
        </w:tc>
        <w:tc>
          <w:tcPr>
            <w:tcW w:w="0" w:type="auto"/>
            <w:vAlign w:val="center"/>
          </w:tcPr>
          <w:p w14:paraId="55BAFB6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（1）初唐诗概述。</w:t>
            </w:r>
          </w:p>
          <w:p w14:paraId="317E457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（2）王绩与初唐四杰。</w:t>
            </w:r>
          </w:p>
          <w:p w14:paraId="350153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（3）从文章四友到吴中四杰。</w:t>
            </w:r>
          </w:p>
          <w:p w14:paraId="76A3C08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（4）陈子昂与张说。</w:t>
            </w:r>
          </w:p>
          <w:p w14:paraId="40236B64">
            <w:pPr>
              <w:spacing w:line="269" w:lineRule="auto"/>
              <w:jc w:val="left"/>
              <w:rPr>
                <w:rFonts w:ascii="宋体" w:hAnsi="宋体" w:eastAsia="宋体" w:cs="Times New Roman"/>
                <w:color w:val="000000"/>
                <w:szCs w:val="21"/>
              </w:rPr>
            </w:pPr>
          </w:p>
        </w:tc>
        <w:tc>
          <w:tcPr>
            <w:tcW w:w="0" w:type="auto"/>
            <w:vAlign w:val="center"/>
          </w:tcPr>
          <w:p w14:paraId="12CB25D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0" w:type="auto"/>
            <w:vAlign w:val="center"/>
          </w:tcPr>
          <w:p w14:paraId="6140DA6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（1）了解唐代律诗的体式及诗歌鉴赏的相关理论。</w:t>
            </w:r>
          </w:p>
          <w:p w14:paraId="692D9DA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（2）了解初唐四杰及陈子昂诗歌的思想性及艺术特征。</w:t>
            </w:r>
          </w:p>
          <w:p w14:paraId="47BA19F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（3）认真阅读诗歌作品，尤其是王绩、初唐四杰及陈子昂的作品及相关的研究论著。</w:t>
            </w:r>
          </w:p>
          <w:p w14:paraId="7F9637D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（4）讨论积极，提高诗歌鉴赏研究的能力。</w:t>
            </w:r>
          </w:p>
          <w:p w14:paraId="38DD5DFA">
            <w:pPr>
              <w:spacing w:line="269" w:lineRule="auto"/>
              <w:jc w:val="left"/>
              <w:rPr>
                <w:rFonts w:hint="eastAsia" w:ascii="宋体" w:hAnsi="宋体" w:eastAsia="宋体" w:cs="Times New Roman"/>
                <w:color w:val="000000"/>
                <w:szCs w:val="21"/>
                <w:lang w:eastAsia="zh-CN"/>
              </w:rPr>
            </w:pPr>
          </w:p>
        </w:tc>
        <w:tc>
          <w:tcPr>
            <w:tcW w:w="0" w:type="auto"/>
            <w:vAlign w:val="center"/>
          </w:tcPr>
          <w:p w14:paraId="103456F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682C22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B4FE3C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0" w:type="auto"/>
            <w:vAlign w:val="center"/>
          </w:tcPr>
          <w:p w14:paraId="378278B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6D63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719488D">
            <w:pPr>
              <w:spacing w:line="264" w:lineRule="auto"/>
              <w:jc w:val="center"/>
              <w:rPr>
                <w:rFonts w:ascii="宋体" w:hAnsi="宋体" w:eastAsia="宋体" w:cs="Times New Roman"/>
                <w:color w:val="000000"/>
                <w:szCs w:val="21"/>
              </w:rPr>
            </w:pPr>
          </w:p>
        </w:tc>
        <w:tc>
          <w:tcPr>
            <w:tcW w:w="0" w:type="auto"/>
            <w:gridSpan w:val="5"/>
            <w:vAlign w:val="center"/>
          </w:tcPr>
          <w:p w14:paraId="1EDBC624">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结合陈子昂的诗学理论对其诗歌创作进行细致深入的分析，使学生进一步认识艺术源于生活的艺术观念，树立以诗歌反映社会现实的马克思主义诗学观。</w:t>
            </w:r>
          </w:p>
          <w:p w14:paraId="50E45926">
            <w:pPr>
              <w:spacing w:line="269" w:lineRule="auto"/>
              <w:jc w:val="left"/>
              <w:rPr>
                <w:rFonts w:ascii="宋体" w:hAnsi="宋体" w:eastAsia="宋体" w:cs="Times New Roman"/>
                <w:color w:val="000000"/>
                <w:szCs w:val="21"/>
              </w:rPr>
            </w:pPr>
          </w:p>
        </w:tc>
      </w:tr>
      <w:tr w14:paraId="1D7B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F83CE58">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3.</w:t>
            </w:r>
            <w:r>
              <w:rPr>
                <w:rFonts w:hint="eastAsia" w:ascii="宋体" w:hAnsi="宋体" w:eastAsia="宋体" w:cs="宋体"/>
                <w:b/>
                <w:bCs/>
                <w:color w:val="000000"/>
                <w:sz w:val="24"/>
                <w:szCs w:val="24"/>
                <w:lang w:bidi="ar"/>
              </w:rPr>
              <w:t>盛唐气象——山水田园诗与边塞诗</w:t>
            </w:r>
          </w:p>
          <w:p w14:paraId="55B02E40">
            <w:pPr>
              <w:spacing w:line="264" w:lineRule="auto"/>
              <w:jc w:val="center"/>
              <w:rPr>
                <w:rFonts w:ascii="宋体" w:hAnsi="宋体" w:eastAsia="宋体" w:cs="Times New Roman"/>
                <w:color w:val="000000"/>
                <w:szCs w:val="21"/>
              </w:rPr>
            </w:pPr>
          </w:p>
        </w:tc>
        <w:tc>
          <w:tcPr>
            <w:tcW w:w="0" w:type="auto"/>
            <w:vAlign w:val="center"/>
          </w:tcPr>
          <w:p w14:paraId="6E19A51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（1）盛唐诗概述。</w:t>
            </w:r>
          </w:p>
          <w:p w14:paraId="0253243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（2）盛唐山水田园诗歌与边塞诗歌产生的原因，及诗歌的内容、体裁、总体风貌。</w:t>
            </w:r>
          </w:p>
          <w:p w14:paraId="496706F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（3）山水田园诗派及其诗歌创作。</w:t>
            </w:r>
          </w:p>
          <w:p w14:paraId="1181E0E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（4）边塞诗派及其诗歌创作。</w:t>
            </w:r>
          </w:p>
          <w:p w14:paraId="7E640CB6">
            <w:pPr>
              <w:spacing w:line="269" w:lineRule="auto"/>
              <w:jc w:val="left"/>
              <w:rPr>
                <w:rFonts w:ascii="宋体" w:hAnsi="宋体" w:eastAsia="宋体" w:cs="Times New Roman"/>
                <w:color w:val="000000"/>
                <w:szCs w:val="21"/>
              </w:rPr>
            </w:pPr>
          </w:p>
        </w:tc>
        <w:tc>
          <w:tcPr>
            <w:tcW w:w="0" w:type="auto"/>
            <w:vAlign w:val="center"/>
          </w:tcPr>
          <w:p w14:paraId="35B8ECD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0" w:type="auto"/>
            <w:vAlign w:val="center"/>
          </w:tcPr>
          <w:p w14:paraId="4EF279E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（1）了解诗歌鉴赏的相关理论。</w:t>
            </w:r>
          </w:p>
          <w:p w14:paraId="3AACE85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（2）了解盛唐诗的划定及艺术特征；掌握山水田园诗派、边塞诗派的诗风。</w:t>
            </w:r>
          </w:p>
          <w:p w14:paraId="4C024FF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（3）认真阅读诗歌作品，尤其是孟浩然、王维、高适、岑参等盛唐诗人的作品及相关的研究论著。</w:t>
            </w:r>
          </w:p>
          <w:p w14:paraId="0ADBE00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（4）讨论积极，提高诗歌鉴赏能力。</w:t>
            </w:r>
          </w:p>
          <w:p w14:paraId="5DA3BF22">
            <w:pPr>
              <w:spacing w:line="269" w:lineRule="auto"/>
              <w:jc w:val="left"/>
              <w:rPr>
                <w:rFonts w:ascii="宋体" w:hAnsi="宋体" w:eastAsia="宋体" w:cs="Times New Roman"/>
                <w:color w:val="000000"/>
                <w:szCs w:val="21"/>
              </w:rPr>
            </w:pPr>
          </w:p>
        </w:tc>
        <w:tc>
          <w:tcPr>
            <w:tcW w:w="0" w:type="auto"/>
            <w:vAlign w:val="center"/>
          </w:tcPr>
          <w:p w14:paraId="272E3DD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FAFB49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470338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6AC23D2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758D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4AE9412">
            <w:pPr>
              <w:spacing w:line="264" w:lineRule="auto"/>
              <w:jc w:val="center"/>
              <w:rPr>
                <w:rFonts w:ascii="宋体" w:hAnsi="宋体" w:eastAsia="宋体" w:cs="Times New Roman"/>
                <w:color w:val="000000"/>
                <w:szCs w:val="21"/>
              </w:rPr>
            </w:pPr>
          </w:p>
        </w:tc>
        <w:tc>
          <w:tcPr>
            <w:tcW w:w="0" w:type="auto"/>
            <w:gridSpan w:val="5"/>
            <w:vAlign w:val="center"/>
          </w:tcPr>
          <w:p w14:paraId="067BF0FF">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让学生充分理解古代诗人关注人民生活状态，重视人民意愿的人文情怀，从而培养学生正确的世界观、人生观与价值观。</w:t>
            </w:r>
          </w:p>
          <w:p w14:paraId="13961196">
            <w:pPr>
              <w:spacing w:line="269" w:lineRule="auto"/>
              <w:jc w:val="left"/>
              <w:rPr>
                <w:rFonts w:ascii="宋体" w:hAnsi="宋体" w:eastAsia="宋体" w:cs="Times New Roman"/>
                <w:color w:val="000000"/>
                <w:szCs w:val="21"/>
              </w:rPr>
            </w:pPr>
          </w:p>
        </w:tc>
      </w:tr>
      <w:tr w14:paraId="2515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0C02A74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宋体"/>
                <w:b/>
                <w:bCs/>
                <w:color w:val="000000"/>
                <w:sz w:val="24"/>
                <w:szCs w:val="24"/>
                <w:lang w:bidi="ar"/>
              </w:rPr>
              <w:t>盛唐诗歌的双子星座——李白与杜甫</w:t>
            </w:r>
          </w:p>
        </w:tc>
        <w:tc>
          <w:tcPr>
            <w:tcW w:w="0" w:type="auto"/>
            <w:vAlign w:val="center"/>
          </w:tcPr>
          <w:p w14:paraId="55FDE1F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（1）李白及其诗歌创作。</w:t>
            </w:r>
          </w:p>
          <w:p w14:paraId="7D70AAA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（2）杜甫及其诗歌创作。</w:t>
            </w:r>
          </w:p>
          <w:p w14:paraId="0B7EAA51">
            <w:pPr>
              <w:spacing w:line="276" w:lineRule="auto"/>
              <w:jc w:val="left"/>
              <w:rPr>
                <w:rFonts w:ascii="宋体" w:hAnsi="宋体" w:eastAsia="宋体" w:cs="Times New Roman"/>
                <w:color w:val="000000"/>
                <w:szCs w:val="21"/>
              </w:rPr>
            </w:pPr>
          </w:p>
        </w:tc>
        <w:tc>
          <w:tcPr>
            <w:tcW w:w="0" w:type="auto"/>
            <w:vAlign w:val="center"/>
          </w:tcPr>
          <w:p w14:paraId="38976A6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5E18D1E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（1）了解诗歌鉴赏的相关理论。</w:t>
            </w:r>
          </w:p>
          <w:p w14:paraId="32CD0E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（2）了解李白、杜甫的生平思想与诗歌创作的关系。</w:t>
            </w:r>
          </w:p>
          <w:p w14:paraId="2D699B8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（3）认真阅读李白、杜甫诗歌作品及相关的研究论著。</w:t>
            </w:r>
          </w:p>
          <w:p w14:paraId="4E20360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（4）讨论积极，提高诗歌鉴赏能力。</w:t>
            </w:r>
          </w:p>
          <w:p w14:paraId="049E1331">
            <w:pPr>
              <w:spacing w:line="276" w:lineRule="auto"/>
              <w:jc w:val="left"/>
              <w:rPr>
                <w:rFonts w:ascii="宋体" w:hAnsi="宋体" w:eastAsia="宋体" w:cs="Times New Roman"/>
                <w:color w:val="000000"/>
                <w:szCs w:val="21"/>
              </w:rPr>
            </w:pPr>
          </w:p>
        </w:tc>
        <w:tc>
          <w:tcPr>
            <w:tcW w:w="0" w:type="auto"/>
            <w:vAlign w:val="center"/>
          </w:tcPr>
          <w:p w14:paraId="79CEC26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5EBE9B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C515B8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36339AD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6884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F5941FA">
            <w:pPr>
              <w:spacing w:line="276" w:lineRule="auto"/>
              <w:jc w:val="center"/>
              <w:rPr>
                <w:rFonts w:ascii="宋体" w:hAnsi="宋体" w:eastAsia="宋体" w:cs="Times New Roman"/>
                <w:color w:val="000000"/>
                <w:szCs w:val="21"/>
              </w:rPr>
            </w:pPr>
          </w:p>
        </w:tc>
        <w:tc>
          <w:tcPr>
            <w:tcW w:w="0" w:type="auto"/>
            <w:gridSpan w:val="5"/>
            <w:vAlign w:val="center"/>
          </w:tcPr>
          <w:p w14:paraId="378B6F64">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通过学习李白、杜甫诗歌，培养学生蔑视权贵的独立人格与兼济天下的</w:t>
            </w:r>
            <w:r>
              <w:rPr>
                <w:rFonts w:hint="eastAsia" w:ascii="宋体" w:hAnsi="宋体" w:eastAsia="宋体" w:cs="宋体"/>
                <w:color w:val="000000"/>
                <w:kern w:val="0"/>
                <w:sz w:val="24"/>
                <w:szCs w:val="24"/>
                <w:lang w:bidi="ar"/>
              </w:rPr>
              <w:t>社会责任感。</w:t>
            </w:r>
          </w:p>
          <w:p w14:paraId="740F90F6">
            <w:pPr>
              <w:spacing w:line="276" w:lineRule="auto"/>
              <w:jc w:val="left"/>
              <w:rPr>
                <w:rFonts w:ascii="宋体" w:hAnsi="宋体" w:eastAsia="宋体" w:cs="Times New Roman"/>
                <w:color w:val="000000"/>
                <w:szCs w:val="21"/>
              </w:rPr>
            </w:pPr>
          </w:p>
        </w:tc>
      </w:tr>
      <w:tr w14:paraId="7F5E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DAAEEF2">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5.</w:t>
            </w:r>
            <w:r>
              <w:rPr>
                <w:rFonts w:hint="eastAsia" w:ascii="宋体" w:hAnsi="宋体" w:eastAsia="宋体" w:cs="宋体"/>
                <w:b/>
                <w:bCs/>
                <w:color w:val="000000"/>
                <w:sz w:val="24"/>
                <w:szCs w:val="24"/>
                <w:lang w:bidi="ar"/>
              </w:rPr>
              <w:t>诗风大变的中唐诗坛——元白乐府与韩孟诗派</w:t>
            </w:r>
          </w:p>
          <w:p w14:paraId="1BF11230">
            <w:pPr>
              <w:spacing w:line="276" w:lineRule="auto"/>
              <w:jc w:val="center"/>
              <w:rPr>
                <w:rFonts w:ascii="宋体" w:hAnsi="宋体" w:eastAsia="宋体" w:cs="Times New Roman"/>
                <w:color w:val="000000"/>
                <w:szCs w:val="21"/>
              </w:rPr>
            </w:pPr>
          </w:p>
        </w:tc>
        <w:tc>
          <w:tcPr>
            <w:tcW w:w="0" w:type="auto"/>
            <w:vAlign w:val="center"/>
          </w:tcPr>
          <w:p w14:paraId="214889D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（1）中唐诗歌概况。</w:t>
            </w:r>
          </w:p>
          <w:p w14:paraId="326DC78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（2）柳宗元及其诗歌创作。</w:t>
            </w:r>
          </w:p>
          <w:p w14:paraId="5CD752E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（3）韦应物及其诗歌创作。</w:t>
            </w:r>
          </w:p>
          <w:p w14:paraId="183FB40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（4）刘禹锡及其诗歌创作。</w:t>
            </w:r>
          </w:p>
          <w:p w14:paraId="0D4239C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（5）白居易及其诗歌创作。</w:t>
            </w:r>
          </w:p>
          <w:p w14:paraId="24A834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（6）元稹及其诗歌创作。</w:t>
            </w:r>
          </w:p>
          <w:p w14:paraId="559EB7F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（7）韩孟诗派及其诗歌创作。</w:t>
            </w:r>
          </w:p>
          <w:p w14:paraId="57D6825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（8）李贺及其诗歌创作。</w:t>
            </w:r>
          </w:p>
          <w:p w14:paraId="6E8B9AA6">
            <w:pPr>
              <w:spacing w:line="276" w:lineRule="auto"/>
              <w:jc w:val="left"/>
              <w:rPr>
                <w:rFonts w:ascii="宋体" w:hAnsi="宋体" w:eastAsia="宋体" w:cs="Times New Roman"/>
                <w:color w:val="000000"/>
                <w:szCs w:val="21"/>
              </w:rPr>
            </w:pPr>
          </w:p>
        </w:tc>
        <w:tc>
          <w:tcPr>
            <w:tcW w:w="0" w:type="auto"/>
            <w:vAlign w:val="center"/>
          </w:tcPr>
          <w:p w14:paraId="6450E65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6FB1E3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（1）了解诗歌鉴赏的相关理论。</w:t>
            </w:r>
          </w:p>
          <w:p w14:paraId="0B91CF2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（2）了解中唐诗的艺术特征。</w:t>
            </w:r>
          </w:p>
          <w:p w14:paraId="013D911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（3）认真阅读诗歌作品，尤其是柳宗元、白居易、韩愈、李贺等盛唐诗人的作品及相关的研究论著。</w:t>
            </w:r>
          </w:p>
          <w:p w14:paraId="6402E32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（4）讨论积极，提高诗歌鉴赏能力。</w:t>
            </w:r>
          </w:p>
          <w:p w14:paraId="1E54E7E6">
            <w:pPr>
              <w:spacing w:line="276" w:lineRule="auto"/>
              <w:jc w:val="left"/>
              <w:rPr>
                <w:rFonts w:ascii="宋体" w:hAnsi="宋体" w:eastAsia="宋体" w:cs="Times New Roman"/>
                <w:color w:val="000000"/>
                <w:szCs w:val="21"/>
              </w:rPr>
            </w:pPr>
          </w:p>
        </w:tc>
        <w:tc>
          <w:tcPr>
            <w:tcW w:w="0" w:type="auto"/>
            <w:vAlign w:val="center"/>
          </w:tcPr>
          <w:p w14:paraId="19F2854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469660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06B4C6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0D233EA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7727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0C5AC60">
            <w:pPr>
              <w:spacing w:line="276" w:lineRule="auto"/>
              <w:jc w:val="center"/>
              <w:rPr>
                <w:rFonts w:ascii="宋体" w:hAnsi="宋体" w:eastAsia="宋体" w:cs="Times New Roman"/>
                <w:color w:val="000000"/>
                <w:szCs w:val="21"/>
              </w:rPr>
            </w:pPr>
          </w:p>
        </w:tc>
        <w:tc>
          <w:tcPr>
            <w:tcW w:w="0" w:type="auto"/>
            <w:gridSpan w:val="5"/>
            <w:vAlign w:val="center"/>
          </w:tcPr>
          <w:p w14:paraId="1D019A58">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培养学生马克思主义历史观，正确认识个人利益和国家利益的关系，把个人前途和祖国命运联系起来，时刻关注国家命运及民生疾苦，并自觉承担社会责任。</w:t>
            </w:r>
          </w:p>
          <w:p w14:paraId="6DAB002D">
            <w:pPr>
              <w:spacing w:line="276" w:lineRule="auto"/>
              <w:jc w:val="left"/>
              <w:rPr>
                <w:rFonts w:ascii="宋体" w:hAnsi="宋体" w:eastAsia="宋体" w:cs="Times New Roman"/>
                <w:color w:val="000000"/>
                <w:szCs w:val="21"/>
              </w:rPr>
            </w:pPr>
          </w:p>
        </w:tc>
      </w:tr>
      <w:tr w14:paraId="6FFE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C5EE32D">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6.</w:t>
            </w:r>
            <w:r>
              <w:rPr>
                <w:rFonts w:hint="eastAsia" w:ascii="宋体" w:hAnsi="宋体" w:eastAsia="宋体" w:cs="宋体"/>
                <w:b/>
                <w:bCs/>
                <w:color w:val="000000"/>
                <w:sz w:val="24"/>
                <w:szCs w:val="24"/>
                <w:lang w:bidi="ar"/>
              </w:rPr>
              <w:t>末世哀音，惆怅彩笔——咏古诗与讽喻诗</w:t>
            </w:r>
          </w:p>
          <w:p w14:paraId="315B5766">
            <w:pPr>
              <w:spacing w:line="276" w:lineRule="auto"/>
              <w:jc w:val="center"/>
              <w:rPr>
                <w:rFonts w:ascii="宋体" w:hAnsi="宋体" w:eastAsia="宋体" w:cs="Times New Roman"/>
                <w:color w:val="000000"/>
                <w:szCs w:val="21"/>
              </w:rPr>
            </w:pPr>
          </w:p>
        </w:tc>
        <w:tc>
          <w:tcPr>
            <w:tcW w:w="0" w:type="auto"/>
            <w:vAlign w:val="center"/>
          </w:tcPr>
          <w:p w14:paraId="7EE5EB7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（1）晚唐诗歌概况。</w:t>
            </w:r>
          </w:p>
          <w:p w14:paraId="722026E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（2）杜牧及其诗歌创作。</w:t>
            </w:r>
          </w:p>
          <w:p w14:paraId="1BC57BF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（3）温庭筠及其诗歌创作。</w:t>
            </w:r>
          </w:p>
          <w:p w14:paraId="2436892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（4）李商隐及其诗歌创作。</w:t>
            </w:r>
          </w:p>
          <w:p w14:paraId="58FB2BAA">
            <w:pPr>
              <w:spacing w:line="276" w:lineRule="auto"/>
              <w:jc w:val="left"/>
              <w:rPr>
                <w:rFonts w:ascii="宋体" w:hAnsi="宋体" w:eastAsia="宋体" w:cs="Times New Roman"/>
                <w:color w:val="000000"/>
                <w:szCs w:val="21"/>
              </w:rPr>
            </w:pPr>
          </w:p>
        </w:tc>
        <w:tc>
          <w:tcPr>
            <w:tcW w:w="0" w:type="auto"/>
            <w:vAlign w:val="center"/>
          </w:tcPr>
          <w:p w14:paraId="0573B07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4E369C8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（1）了解诗歌鉴赏的相关理论。</w:t>
            </w:r>
          </w:p>
          <w:p w14:paraId="319C628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（2）了解晚唐诗的艺术特征。</w:t>
            </w:r>
          </w:p>
          <w:p w14:paraId="14A2661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（3）认真阅读诗歌作品，尤其是杜牧、李商隐等盛唐诗人的作品及相关的研究论著。</w:t>
            </w:r>
          </w:p>
          <w:p w14:paraId="745FDD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（4）讨论积极，提高诗歌鉴赏能力。</w:t>
            </w:r>
          </w:p>
          <w:p w14:paraId="75B3FA23">
            <w:pPr>
              <w:spacing w:line="276" w:lineRule="auto"/>
              <w:jc w:val="left"/>
              <w:rPr>
                <w:rFonts w:ascii="宋体" w:hAnsi="宋体" w:eastAsia="宋体" w:cs="Times New Roman"/>
                <w:color w:val="000000"/>
                <w:szCs w:val="21"/>
              </w:rPr>
            </w:pPr>
          </w:p>
        </w:tc>
        <w:tc>
          <w:tcPr>
            <w:tcW w:w="0" w:type="auto"/>
            <w:vAlign w:val="center"/>
          </w:tcPr>
          <w:p w14:paraId="60CCAE6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8D0C51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B9EDCED">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4630BDC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1482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0B1F3D9">
            <w:pPr>
              <w:spacing w:line="276" w:lineRule="auto"/>
              <w:jc w:val="center"/>
              <w:rPr>
                <w:rFonts w:ascii="宋体" w:hAnsi="宋体" w:eastAsia="宋体" w:cs="Times New Roman"/>
                <w:color w:val="000000"/>
                <w:szCs w:val="21"/>
              </w:rPr>
            </w:pPr>
          </w:p>
        </w:tc>
        <w:tc>
          <w:tcPr>
            <w:tcW w:w="0" w:type="auto"/>
            <w:gridSpan w:val="5"/>
            <w:vAlign w:val="center"/>
          </w:tcPr>
          <w:p w14:paraId="596CCD1C">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运用马克思主义文艺理论批评晚唐诗人的作品，加深对作品主旨的认识。由此培养学生的忧患意识，增强其历史责任感。</w:t>
            </w:r>
          </w:p>
          <w:p w14:paraId="493154BC">
            <w:pPr>
              <w:spacing w:line="276" w:lineRule="auto"/>
              <w:jc w:val="left"/>
              <w:rPr>
                <w:rFonts w:ascii="宋体" w:hAnsi="宋体" w:eastAsia="宋体" w:cs="Times New Roman"/>
                <w:color w:val="000000"/>
                <w:szCs w:val="21"/>
              </w:rPr>
            </w:pPr>
          </w:p>
        </w:tc>
      </w:tr>
      <w:tr w14:paraId="5F7B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8487334">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szCs w:val="21"/>
              </w:rPr>
              <w:t>7.</w:t>
            </w:r>
            <w:r>
              <w:rPr>
                <w:rFonts w:hint="eastAsia" w:ascii="宋体" w:hAnsi="宋体" w:eastAsia="宋体" w:cs="宋体"/>
                <w:b/>
                <w:bCs/>
                <w:color w:val="000000"/>
                <w:sz w:val="24"/>
                <w:szCs w:val="24"/>
                <w:lang w:bidi="ar"/>
              </w:rPr>
              <w:t>唐五代两宋词概述</w:t>
            </w:r>
          </w:p>
          <w:p w14:paraId="683F2CC3">
            <w:pPr>
              <w:spacing w:line="276" w:lineRule="auto"/>
              <w:jc w:val="center"/>
              <w:rPr>
                <w:rFonts w:ascii="宋体" w:hAnsi="宋体" w:eastAsia="宋体" w:cs="Times New Roman"/>
                <w:szCs w:val="21"/>
              </w:rPr>
            </w:pPr>
          </w:p>
        </w:tc>
        <w:tc>
          <w:tcPr>
            <w:tcW w:w="0" w:type="auto"/>
            <w:vAlign w:val="center"/>
          </w:tcPr>
          <w:p w14:paraId="3E44715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（1）词的界义、分类。</w:t>
            </w:r>
          </w:p>
          <w:p w14:paraId="00E6944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（2）词的发展阶段。</w:t>
            </w:r>
          </w:p>
          <w:p w14:paraId="669EC4D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（3）宋词兴盛的原因。</w:t>
            </w:r>
          </w:p>
          <w:p w14:paraId="241FD781">
            <w:pPr>
              <w:spacing w:line="276" w:lineRule="auto"/>
              <w:jc w:val="left"/>
              <w:rPr>
                <w:rFonts w:ascii="宋体" w:hAnsi="宋体" w:eastAsia="宋体" w:cs="Times New Roman"/>
                <w:szCs w:val="21"/>
              </w:rPr>
            </w:pPr>
          </w:p>
        </w:tc>
        <w:tc>
          <w:tcPr>
            <w:tcW w:w="0" w:type="auto"/>
            <w:vAlign w:val="center"/>
          </w:tcPr>
          <w:p w14:paraId="391185E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3759F15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（1）了解词的艺术特征及发展脉络。</w:t>
            </w:r>
          </w:p>
          <w:p w14:paraId="1E2914F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（2）了解词在宋代的演变及其原因。</w:t>
            </w:r>
          </w:p>
          <w:p w14:paraId="5F4DB917">
            <w:pPr>
              <w:spacing w:line="276" w:lineRule="auto"/>
              <w:jc w:val="left"/>
              <w:rPr>
                <w:rFonts w:ascii="宋体" w:hAnsi="宋体" w:eastAsia="宋体" w:cs="Times New Roman"/>
                <w:color w:val="000000"/>
                <w:szCs w:val="21"/>
              </w:rPr>
            </w:pPr>
          </w:p>
        </w:tc>
        <w:tc>
          <w:tcPr>
            <w:tcW w:w="0" w:type="auto"/>
            <w:vAlign w:val="center"/>
          </w:tcPr>
          <w:p w14:paraId="49AE878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092FBC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FF9ADE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3E052A7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11AC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9ECDC52">
            <w:pPr>
              <w:spacing w:line="276" w:lineRule="auto"/>
              <w:jc w:val="center"/>
              <w:rPr>
                <w:rFonts w:ascii="宋体" w:hAnsi="宋体" w:eastAsia="宋体" w:cs="Times New Roman"/>
                <w:color w:val="000000"/>
                <w:szCs w:val="21"/>
              </w:rPr>
            </w:pPr>
          </w:p>
        </w:tc>
        <w:tc>
          <w:tcPr>
            <w:tcW w:w="0" w:type="auto"/>
            <w:gridSpan w:val="5"/>
            <w:vAlign w:val="center"/>
          </w:tcPr>
          <w:p w14:paraId="57B6FF87">
            <w:pPr>
              <w:adjustRightInd w:val="0"/>
              <w:snapToGrid w:val="0"/>
              <w:spacing w:line="360" w:lineRule="auto"/>
              <w:ind w:firstLine="422" w:firstLineChars="200"/>
              <w:rPr>
                <w:rFonts w:hint="eastAsia" w:ascii="宋体" w:hAnsi="宋体" w:eastAsia="宋体" w:cs="宋体"/>
                <w:color w:val="000000"/>
                <w:kern w:val="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kern w:val="0"/>
                <w:sz w:val="24"/>
                <w:szCs w:val="24"/>
                <w:lang w:bidi="ar"/>
              </w:rPr>
              <w:t>将马克思主义文艺理论及方法论融入课程内容，对古代文学作品进行深入分析。对学生进行信念教育，让学生充分</w:t>
            </w:r>
            <w:r>
              <w:rPr>
                <w:rFonts w:hint="eastAsia" w:ascii="宋体" w:hAnsi="宋体" w:eastAsia="宋体" w:cs="宋体"/>
                <w:color w:val="000000"/>
                <w:sz w:val="24"/>
                <w:szCs w:val="24"/>
                <w:lang w:bidi="ar"/>
              </w:rPr>
              <w:t>感受两宋词独特的艺术魅力，增强文化自信力与自豪感。</w:t>
            </w:r>
          </w:p>
          <w:p w14:paraId="3F9A51A9">
            <w:pPr>
              <w:spacing w:line="276" w:lineRule="auto"/>
              <w:jc w:val="left"/>
              <w:rPr>
                <w:rFonts w:ascii="宋体" w:hAnsi="宋体" w:eastAsia="宋体" w:cs="Times New Roman"/>
                <w:color w:val="000000"/>
                <w:szCs w:val="21"/>
              </w:rPr>
            </w:pPr>
          </w:p>
        </w:tc>
      </w:tr>
      <w:tr w14:paraId="20FC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A826763">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8.</w:t>
            </w:r>
            <w:r>
              <w:rPr>
                <w:rFonts w:hint="eastAsia" w:ascii="宋体" w:hAnsi="宋体" w:eastAsia="宋体" w:cs="宋体"/>
                <w:b/>
                <w:bCs/>
                <w:color w:val="000000"/>
                <w:sz w:val="24"/>
                <w:szCs w:val="24"/>
                <w:lang w:bidi="ar"/>
              </w:rPr>
              <w:t>从花间低吟走向自抒性灵——花间词派与李煜</w:t>
            </w:r>
          </w:p>
          <w:p w14:paraId="5C4B0D65">
            <w:pPr>
              <w:spacing w:line="264" w:lineRule="auto"/>
              <w:jc w:val="center"/>
              <w:rPr>
                <w:rFonts w:ascii="宋体" w:hAnsi="宋体" w:eastAsia="宋体" w:cs="Times New Roman"/>
                <w:color w:val="000000"/>
                <w:szCs w:val="21"/>
              </w:rPr>
            </w:pPr>
          </w:p>
        </w:tc>
        <w:tc>
          <w:tcPr>
            <w:tcW w:w="0" w:type="auto"/>
            <w:vAlign w:val="center"/>
          </w:tcPr>
          <w:p w14:paraId="44FB883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（1）唐五代词概述。</w:t>
            </w:r>
          </w:p>
          <w:p w14:paraId="02F9D56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（2）花间词派及其创作。</w:t>
            </w:r>
          </w:p>
          <w:p w14:paraId="5C3BE8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（4）李煜及其词的创作。</w:t>
            </w:r>
          </w:p>
          <w:p w14:paraId="197F9139">
            <w:pPr>
              <w:spacing w:line="264" w:lineRule="auto"/>
              <w:jc w:val="left"/>
              <w:rPr>
                <w:rFonts w:ascii="宋体" w:hAnsi="宋体" w:eastAsia="宋体" w:cs="Times New Roman"/>
                <w:color w:val="000000"/>
                <w:szCs w:val="21"/>
              </w:rPr>
            </w:pPr>
          </w:p>
        </w:tc>
        <w:tc>
          <w:tcPr>
            <w:tcW w:w="0" w:type="auto"/>
            <w:vAlign w:val="center"/>
          </w:tcPr>
          <w:p w14:paraId="56F2F92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664C5EF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（1）了解词的鉴赏的相关理论。</w:t>
            </w:r>
          </w:p>
          <w:p w14:paraId="7F28E3A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（2）了解唐五代词的发展。</w:t>
            </w:r>
          </w:p>
          <w:p w14:paraId="353C58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（3）认真阅读冯延巳、温庭筠、韦庄、李璟、李煜等词人的作品及相关的研究论著。</w:t>
            </w:r>
          </w:p>
          <w:p w14:paraId="453BF10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（4）认真讨论，提高诗歌鉴赏能力。</w:t>
            </w:r>
          </w:p>
          <w:p w14:paraId="32A3D93A">
            <w:pPr>
              <w:spacing w:line="264" w:lineRule="auto"/>
              <w:jc w:val="left"/>
              <w:rPr>
                <w:rFonts w:ascii="宋体" w:hAnsi="宋体" w:eastAsia="宋体" w:cs="Times New Roman"/>
                <w:color w:val="000000"/>
                <w:szCs w:val="21"/>
              </w:rPr>
            </w:pPr>
          </w:p>
        </w:tc>
        <w:tc>
          <w:tcPr>
            <w:tcW w:w="0" w:type="auto"/>
            <w:vAlign w:val="center"/>
          </w:tcPr>
          <w:p w14:paraId="32D93697">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5168F9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63845C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4D52FCC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57AD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E633EFB">
            <w:pPr>
              <w:spacing w:line="264" w:lineRule="auto"/>
              <w:jc w:val="center"/>
              <w:rPr>
                <w:rFonts w:ascii="宋体" w:hAnsi="宋体" w:eastAsia="宋体" w:cs="Times New Roman"/>
                <w:color w:val="000000"/>
                <w:szCs w:val="21"/>
              </w:rPr>
            </w:pPr>
          </w:p>
        </w:tc>
        <w:tc>
          <w:tcPr>
            <w:tcW w:w="0" w:type="auto"/>
            <w:gridSpan w:val="5"/>
            <w:vAlign w:val="center"/>
          </w:tcPr>
          <w:p w14:paraId="3C9395A5">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让学生充分感受李煜词的家国情怀，从而培养学生深沉的文化使命感与关怀现实的人文情怀。</w:t>
            </w:r>
          </w:p>
          <w:p w14:paraId="604CA60F">
            <w:pPr>
              <w:spacing w:line="264" w:lineRule="auto"/>
              <w:jc w:val="left"/>
              <w:rPr>
                <w:rFonts w:ascii="宋体" w:hAnsi="宋体" w:eastAsia="宋体" w:cs="Times New Roman"/>
                <w:color w:val="000000"/>
                <w:szCs w:val="21"/>
              </w:rPr>
            </w:pPr>
          </w:p>
        </w:tc>
      </w:tr>
      <w:tr w14:paraId="5B37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D8FA4EF">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9.</w:t>
            </w:r>
            <w:r>
              <w:rPr>
                <w:rFonts w:hint="eastAsia" w:ascii="宋体" w:hAnsi="宋体" w:eastAsia="宋体" w:cs="宋体"/>
                <w:b/>
                <w:bCs/>
                <w:color w:val="000000"/>
                <w:sz w:val="24"/>
                <w:szCs w:val="24"/>
                <w:lang w:bidi="ar"/>
              </w:rPr>
              <w:t>从慢词到赋化之词——柳永、秦观与周邦彦</w:t>
            </w:r>
          </w:p>
          <w:p w14:paraId="0F4A99FB">
            <w:pPr>
              <w:spacing w:line="264" w:lineRule="auto"/>
              <w:jc w:val="center"/>
              <w:rPr>
                <w:rFonts w:ascii="宋体" w:hAnsi="宋体" w:eastAsia="宋体" w:cs="Times New Roman"/>
                <w:color w:val="000000"/>
                <w:szCs w:val="21"/>
              </w:rPr>
            </w:pPr>
          </w:p>
        </w:tc>
        <w:tc>
          <w:tcPr>
            <w:tcW w:w="0" w:type="auto"/>
            <w:vAlign w:val="center"/>
          </w:tcPr>
          <w:p w14:paraId="13D44D8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（1）北宋词概述。</w:t>
            </w:r>
          </w:p>
          <w:p w14:paraId="2D80D25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（2）柳永及其词的创作。</w:t>
            </w:r>
          </w:p>
          <w:p w14:paraId="533348F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（3）秦观及其词的创作。</w:t>
            </w:r>
          </w:p>
          <w:p w14:paraId="7A31AA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（4）周邦彦及其词的创作。</w:t>
            </w:r>
          </w:p>
          <w:p w14:paraId="05A5474C">
            <w:pPr>
              <w:spacing w:line="264" w:lineRule="auto"/>
              <w:jc w:val="left"/>
              <w:rPr>
                <w:rFonts w:ascii="宋体" w:hAnsi="宋体" w:eastAsia="宋体" w:cs="Times New Roman"/>
                <w:color w:val="000000"/>
                <w:szCs w:val="21"/>
              </w:rPr>
            </w:pPr>
          </w:p>
        </w:tc>
        <w:tc>
          <w:tcPr>
            <w:tcW w:w="0" w:type="auto"/>
            <w:vAlign w:val="center"/>
          </w:tcPr>
          <w:p w14:paraId="1E4627E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07965E1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（1）了解词的鉴赏的相关理论。</w:t>
            </w:r>
          </w:p>
          <w:p w14:paraId="1007E58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（2）了解宋代初中期词的发展。</w:t>
            </w:r>
          </w:p>
          <w:p w14:paraId="5CE236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（3）认真阅读柳永、秦观、周邦彦等词人的作品及相关的研究论著。</w:t>
            </w:r>
          </w:p>
          <w:p w14:paraId="1AC7DDC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（4）认真讨论，提高诗歌鉴赏能力。</w:t>
            </w:r>
          </w:p>
          <w:p w14:paraId="44BB463A">
            <w:pPr>
              <w:spacing w:line="264" w:lineRule="auto"/>
              <w:jc w:val="left"/>
              <w:rPr>
                <w:rFonts w:ascii="宋体" w:hAnsi="宋体" w:eastAsia="宋体" w:cs="Times New Roman"/>
                <w:color w:val="000000"/>
                <w:szCs w:val="21"/>
              </w:rPr>
            </w:pPr>
          </w:p>
        </w:tc>
        <w:tc>
          <w:tcPr>
            <w:tcW w:w="0" w:type="auto"/>
            <w:vAlign w:val="center"/>
          </w:tcPr>
          <w:p w14:paraId="7E014F34">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57E98F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285E37E">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663BD43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3F3B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95D5140">
            <w:pPr>
              <w:spacing w:line="264" w:lineRule="auto"/>
              <w:jc w:val="center"/>
              <w:rPr>
                <w:rFonts w:ascii="宋体" w:hAnsi="宋体" w:eastAsia="宋体" w:cs="Times New Roman"/>
                <w:color w:val="000000"/>
                <w:szCs w:val="21"/>
              </w:rPr>
            </w:pPr>
          </w:p>
        </w:tc>
        <w:tc>
          <w:tcPr>
            <w:tcW w:w="0" w:type="auto"/>
            <w:gridSpan w:val="5"/>
            <w:vAlign w:val="center"/>
          </w:tcPr>
          <w:p w14:paraId="233461B5">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通过对周、柳羁旅词思想意蕴的深入分析，让学生体会古代社会才人倦客的悲怨心绪，认识个人命运与社会环境的复杂关系，从而培养学生的历史使命感与社会责任感。</w:t>
            </w:r>
          </w:p>
          <w:p w14:paraId="492394E5">
            <w:pPr>
              <w:spacing w:line="264" w:lineRule="auto"/>
              <w:jc w:val="left"/>
              <w:rPr>
                <w:rFonts w:ascii="宋体" w:hAnsi="宋体" w:eastAsia="宋体" w:cs="Times New Roman"/>
                <w:color w:val="000000"/>
                <w:szCs w:val="21"/>
              </w:rPr>
            </w:pPr>
          </w:p>
        </w:tc>
      </w:tr>
      <w:tr w14:paraId="57C7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E2F2165">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10.</w:t>
            </w:r>
            <w:r>
              <w:rPr>
                <w:rFonts w:hint="eastAsia" w:ascii="宋体" w:hAnsi="宋体" w:eastAsia="宋体" w:cs="宋体"/>
                <w:b/>
                <w:bCs/>
                <w:color w:val="000000"/>
                <w:sz w:val="24"/>
                <w:szCs w:val="24"/>
                <w:lang w:bidi="ar"/>
              </w:rPr>
              <w:t>从诗化之词到文化之词——苏轼与辛弃疾</w:t>
            </w:r>
          </w:p>
          <w:p w14:paraId="5E47934D">
            <w:pPr>
              <w:spacing w:line="264" w:lineRule="auto"/>
              <w:jc w:val="center"/>
              <w:rPr>
                <w:rFonts w:ascii="宋体" w:hAnsi="宋体" w:eastAsia="宋体" w:cs="Times New Roman"/>
                <w:color w:val="000000"/>
                <w:szCs w:val="21"/>
              </w:rPr>
            </w:pPr>
          </w:p>
        </w:tc>
        <w:tc>
          <w:tcPr>
            <w:tcW w:w="0" w:type="auto"/>
            <w:vAlign w:val="center"/>
          </w:tcPr>
          <w:p w14:paraId="384471F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（1）苏轼及其词的创作。</w:t>
            </w:r>
          </w:p>
          <w:p w14:paraId="53E9A9F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（2）辛弃疾及其词的创作。</w:t>
            </w:r>
          </w:p>
          <w:p w14:paraId="527C71D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（3）辛派词人及其创作。</w:t>
            </w:r>
          </w:p>
          <w:p w14:paraId="658D3855">
            <w:pPr>
              <w:spacing w:line="264" w:lineRule="auto"/>
              <w:jc w:val="left"/>
              <w:rPr>
                <w:rFonts w:ascii="宋体" w:hAnsi="宋体" w:eastAsia="宋体" w:cs="Times New Roman"/>
                <w:color w:val="000000"/>
                <w:szCs w:val="21"/>
              </w:rPr>
            </w:pPr>
          </w:p>
        </w:tc>
        <w:tc>
          <w:tcPr>
            <w:tcW w:w="0" w:type="auto"/>
            <w:vAlign w:val="center"/>
          </w:tcPr>
          <w:p w14:paraId="07E68BD7">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1B9C50B3">
            <w:pPr>
              <w:spacing w:line="264" w:lineRule="auto"/>
              <w:jc w:val="center"/>
              <w:rPr>
                <w:rFonts w:ascii="宋体" w:hAnsi="宋体" w:eastAsia="宋体" w:cs="Times New Roman"/>
                <w:color w:val="000000"/>
                <w:szCs w:val="21"/>
              </w:rPr>
            </w:pPr>
          </w:p>
        </w:tc>
        <w:tc>
          <w:tcPr>
            <w:tcW w:w="0" w:type="auto"/>
            <w:vAlign w:val="center"/>
          </w:tcPr>
          <w:p w14:paraId="782E316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（1）了解词的鉴赏的相关理论。</w:t>
            </w:r>
          </w:p>
          <w:p w14:paraId="309FD32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（2）了解两宋词的发展。</w:t>
            </w:r>
          </w:p>
          <w:p w14:paraId="7E84E21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（3）认真阅读苏轼、辛弃疾、刘辰翁等词人的作品及相关的研究论著。</w:t>
            </w:r>
          </w:p>
          <w:p w14:paraId="6E9E40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（4）认真讨论，提高诗歌鉴赏能力。</w:t>
            </w:r>
          </w:p>
          <w:p w14:paraId="6C25075A">
            <w:pPr>
              <w:spacing w:line="264" w:lineRule="auto"/>
              <w:jc w:val="left"/>
              <w:rPr>
                <w:rFonts w:ascii="宋体" w:hAnsi="宋体" w:eastAsia="宋体" w:cs="Times New Roman"/>
                <w:color w:val="000000"/>
                <w:szCs w:val="21"/>
              </w:rPr>
            </w:pPr>
          </w:p>
        </w:tc>
        <w:tc>
          <w:tcPr>
            <w:tcW w:w="0" w:type="auto"/>
            <w:vAlign w:val="center"/>
          </w:tcPr>
          <w:p w14:paraId="6CB233D6">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60BBEB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B6E41E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667D4C3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7837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7BD7217">
            <w:pPr>
              <w:spacing w:line="264" w:lineRule="auto"/>
              <w:jc w:val="center"/>
              <w:rPr>
                <w:rFonts w:ascii="宋体" w:hAnsi="宋体" w:eastAsia="宋体" w:cs="Times New Roman"/>
                <w:color w:val="000000"/>
                <w:szCs w:val="21"/>
              </w:rPr>
            </w:pPr>
          </w:p>
        </w:tc>
        <w:tc>
          <w:tcPr>
            <w:tcW w:w="0" w:type="auto"/>
            <w:gridSpan w:val="5"/>
            <w:vAlign w:val="center"/>
          </w:tcPr>
          <w:p w14:paraId="555C379C">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kern w:val="0"/>
                <w:sz w:val="24"/>
                <w:szCs w:val="24"/>
                <w:lang w:bidi="ar"/>
              </w:rPr>
              <w:t>让学生</w:t>
            </w:r>
            <w:r>
              <w:rPr>
                <w:rFonts w:hint="eastAsia" w:ascii="宋体" w:hAnsi="宋体" w:eastAsia="宋体" w:cs="宋体"/>
                <w:color w:val="000000"/>
                <w:sz w:val="24"/>
                <w:szCs w:val="24"/>
                <w:lang w:bidi="ar"/>
              </w:rPr>
              <w:t>感受苏轼虽身处逆境却能积极进取人格魅力与人生智慧；通过学习陆游、辛弃疾等人的作品，努力塑造高尚的人格、美好的情操和自觉的爱国主义精神。</w:t>
            </w:r>
          </w:p>
          <w:p w14:paraId="7D027EE1">
            <w:pPr>
              <w:spacing w:line="264" w:lineRule="auto"/>
              <w:jc w:val="left"/>
              <w:rPr>
                <w:rFonts w:ascii="宋体" w:hAnsi="宋体" w:eastAsia="宋体" w:cs="Times New Roman"/>
                <w:color w:val="000000"/>
                <w:szCs w:val="21"/>
              </w:rPr>
            </w:pPr>
          </w:p>
        </w:tc>
      </w:tr>
      <w:tr w14:paraId="500E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47A2AC5">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宋体"/>
                <w:b/>
                <w:bCs/>
                <w:color w:val="000000"/>
                <w:sz w:val="24"/>
                <w:szCs w:val="24"/>
                <w:lang w:bidi="ar"/>
              </w:rPr>
              <w:t>别是一家之词——李清照</w:t>
            </w:r>
          </w:p>
          <w:p w14:paraId="7CF90A11">
            <w:pPr>
              <w:adjustRightInd w:val="0"/>
              <w:snapToGrid w:val="0"/>
              <w:spacing w:line="360" w:lineRule="auto"/>
              <w:ind w:firstLine="482" w:firstLineChars="200"/>
              <w:rPr>
                <w:rFonts w:hint="eastAsia" w:ascii="宋体" w:hAnsi="宋体" w:eastAsia="宋体" w:cs="宋体"/>
                <w:b/>
                <w:bCs/>
                <w:color w:val="000000"/>
                <w:sz w:val="24"/>
                <w:szCs w:val="24"/>
              </w:rPr>
            </w:pPr>
          </w:p>
          <w:p w14:paraId="1E221633">
            <w:pPr>
              <w:spacing w:line="264" w:lineRule="auto"/>
              <w:jc w:val="center"/>
              <w:rPr>
                <w:rFonts w:ascii="宋体" w:hAnsi="宋体" w:eastAsia="宋体" w:cs="Times New Roman"/>
                <w:color w:val="000000"/>
                <w:szCs w:val="21"/>
              </w:rPr>
            </w:pPr>
          </w:p>
        </w:tc>
        <w:tc>
          <w:tcPr>
            <w:tcW w:w="0" w:type="auto"/>
            <w:vAlign w:val="center"/>
          </w:tcPr>
          <w:p w14:paraId="50B6269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（1）李清照及其词的创作。</w:t>
            </w:r>
          </w:p>
          <w:p w14:paraId="76667A3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（2）李清照词论。</w:t>
            </w:r>
          </w:p>
          <w:p w14:paraId="6AD7E6EA">
            <w:pPr>
              <w:spacing w:line="264" w:lineRule="auto"/>
              <w:jc w:val="left"/>
              <w:rPr>
                <w:rFonts w:ascii="宋体" w:hAnsi="宋体" w:eastAsia="宋体" w:cs="Times New Roman"/>
                <w:color w:val="000000"/>
                <w:szCs w:val="21"/>
              </w:rPr>
            </w:pPr>
          </w:p>
        </w:tc>
        <w:tc>
          <w:tcPr>
            <w:tcW w:w="0" w:type="auto"/>
            <w:vAlign w:val="center"/>
          </w:tcPr>
          <w:p w14:paraId="27D78AD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06B5CD26">
            <w:pPr>
              <w:spacing w:line="264" w:lineRule="auto"/>
              <w:jc w:val="center"/>
              <w:rPr>
                <w:rFonts w:ascii="宋体" w:hAnsi="宋体" w:eastAsia="宋体" w:cs="Times New Roman"/>
                <w:color w:val="000000"/>
                <w:szCs w:val="21"/>
              </w:rPr>
            </w:pPr>
          </w:p>
        </w:tc>
        <w:tc>
          <w:tcPr>
            <w:tcW w:w="0" w:type="auto"/>
            <w:vAlign w:val="center"/>
          </w:tcPr>
          <w:p w14:paraId="2B266A0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（1）了解词的鉴赏的相关理论。</w:t>
            </w:r>
          </w:p>
          <w:p w14:paraId="7410B97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（2）掌握李清照的词论。</w:t>
            </w:r>
          </w:p>
          <w:p w14:paraId="336FFC1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（3）认真阅读李清照的诗与词作品，结合其诗歌创作，理解其“诗词之别”的主张及相关的研究论著。</w:t>
            </w:r>
          </w:p>
          <w:p w14:paraId="7885074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（4）认真讨论，提高诗歌鉴赏能力。</w:t>
            </w:r>
          </w:p>
          <w:p w14:paraId="106E854F">
            <w:pPr>
              <w:spacing w:line="264" w:lineRule="auto"/>
              <w:jc w:val="left"/>
              <w:rPr>
                <w:rFonts w:ascii="宋体" w:hAnsi="宋体" w:eastAsia="宋体" w:cs="Times New Roman"/>
                <w:color w:val="000000"/>
                <w:szCs w:val="21"/>
              </w:rPr>
            </w:pPr>
          </w:p>
        </w:tc>
        <w:tc>
          <w:tcPr>
            <w:tcW w:w="0" w:type="auto"/>
            <w:vAlign w:val="center"/>
          </w:tcPr>
          <w:p w14:paraId="7B214E53">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1C36EFE">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DA35C6B">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1391FE2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401D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3897881">
            <w:pPr>
              <w:spacing w:line="264" w:lineRule="auto"/>
              <w:jc w:val="center"/>
              <w:rPr>
                <w:rFonts w:ascii="宋体" w:hAnsi="宋体" w:eastAsia="宋体" w:cs="Times New Roman"/>
                <w:color w:val="000000"/>
                <w:szCs w:val="21"/>
              </w:rPr>
            </w:pPr>
          </w:p>
        </w:tc>
        <w:tc>
          <w:tcPr>
            <w:tcW w:w="0" w:type="auto"/>
            <w:gridSpan w:val="5"/>
            <w:vAlign w:val="center"/>
          </w:tcPr>
          <w:p w14:paraId="7D32653F">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通过对比李清照前后期的作品，让学生认识个人与国家的紧密关系，培养学生的爱国主义情操。</w:t>
            </w:r>
          </w:p>
        </w:tc>
      </w:tr>
      <w:tr w14:paraId="7641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FD0D0BE">
            <w:pPr>
              <w:adjustRightInd w:val="0"/>
              <w:snapToGrid w:val="0"/>
              <w:spacing w:line="360" w:lineRule="auto"/>
              <w:ind w:firstLine="420" w:firstLineChars="200"/>
              <w:rPr>
                <w:rFonts w:hint="eastAsia" w:ascii="宋体" w:hAnsi="宋体" w:eastAsia="宋体" w:cs="宋体"/>
                <w:b/>
                <w:bCs/>
                <w:color w:val="000000"/>
                <w:sz w:val="24"/>
                <w:szCs w:val="24"/>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w:t>
            </w:r>
            <w:r>
              <w:rPr>
                <w:rFonts w:hint="eastAsia" w:ascii="宋体" w:hAnsi="宋体" w:eastAsia="宋体" w:cs="宋体"/>
                <w:b/>
                <w:bCs/>
                <w:color w:val="000000"/>
                <w:sz w:val="24"/>
                <w:szCs w:val="24"/>
                <w:lang w:bidi="ar"/>
              </w:rPr>
              <w:t>南宋词的雅化——姜夔与吴文英</w:t>
            </w:r>
          </w:p>
          <w:p w14:paraId="62DFBFDA">
            <w:pPr>
              <w:adjustRightInd w:val="0"/>
              <w:snapToGrid w:val="0"/>
              <w:spacing w:line="360" w:lineRule="auto"/>
              <w:ind w:firstLine="482" w:firstLineChars="200"/>
              <w:rPr>
                <w:rFonts w:hint="eastAsia" w:ascii="宋体" w:hAnsi="宋体" w:eastAsia="宋体" w:cs="宋体"/>
                <w:b/>
                <w:bCs/>
                <w:color w:val="000000"/>
                <w:sz w:val="24"/>
                <w:szCs w:val="24"/>
              </w:rPr>
            </w:pPr>
          </w:p>
          <w:p w14:paraId="544276B7">
            <w:pPr>
              <w:spacing w:line="264" w:lineRule="auto"/>
              <w:jc w:val="center"/>
              <w:rPr>
                <w:rFonts w:ascii="宋体" w:hAnsi="宋体" w:eastAsia="宋体" w:cs="Times New Roman"/>
                <w:color w:val="000000"/>
                <w:szCs w:val="21"/>
              </w:rPr>
            </w:pPr>
          </w:p>
        </w:tc>
        <w:tc>
          <w:tcPr>
            <w:tcW w:w="0" w:type="auto"/>
            <w:vAlign w:val="center"/>
          </w:tcPr>
          <w:p w14:paraId="6FCC26D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（1）南宋词的新发展。</w:t>
            </w:r>
          </w:p>
          <w:p w14:paraId="07C4747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（2）格律词派的创作风貌。</w:t>
            </w:r>
          </w:p>
          <w:p w14:paraId="1C4ECA2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（3）姜夔及其词的创作。</w:t>
            </w:r>
          </w:p>
          <w:p w14:paraId="6B65B00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（4）吴文英及其词的创作。</w:t>
            </w:r>
          </w:p>
          <w:p w14:paraId="71E2F5CC">
            <w:pPr>
              <w:spacing w:line="264" w:lineRule="auto"/>
              <w:jc w:val="left"/>
              <w:rPr>
                <w:rFonts w:ascii="宋体" w:hAnsi="宋体" w:eastAsia="宋体" w:cs="Times New Roman"/>
                <w:color w:val="000000"/>
                <w:szCs w:val="21"/>
              </w:rPr>
            </w:pPr>
          </w:p>
        </w:tc>
        <w:tc>
          <w:tcPr>
            <w:tcW w:w="0" w:type="auto"/>
            <w:vAlign w:val="center"/>
          </w:tcPr>
          <w:p w14:paraId="2A192B0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349B4067">
            <w:pPr>
              <w:spacing w:line="264" w:lineRule="auto"/>
              <w:jc w:val="center"/>
              <w:rPr>
                <w:rFonts w:ascii="宋体" w:hAnsi="宋体" w:eastAsia="宋体" w:cs="Times New Roman"/>
                <w:color w:val="000000"/>
                <w:szCs w:val="21"/>
              </w:rPr>
            </w:pPr>
          </w:p>
        </w:tc>
        <w:tc>
          <w:tcPr>
            <w:tcW w:w="0" w:type="auto"/>
            <w:vAlign w:val="center"/>
          </w:tcPr>
          <w:p w14:paraId="122785B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（1）了解词的鉴赏的相关理论。</w:t>
            </w:r>
          </w:p>
          <w:p w14:paraId="18B9F32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（2）了解南宋词的发展。</w:t>
            </w:r>
          </w:p>
          <w:p w14:paraId="4F5D63E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（3）认真阅读姜夔、吴文英等词人的作品及相关的研究论著。</w:t>
            </w:r>
          </w:p>
          <w:p w14:paraId="336A025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（4）认真讨论，提高诗歌鉴赏能力。</w:t>
            </w:r>
          </w:p>
          <w:p w14:paraId="2673E89C">
            <w:pPr>
              <w:spacing w:line="264" w:lineRule="auto"/>
              <w:jc w:val="left"/>
              <w:rPr>
                <w:rFonts w:ascii="宋体" w:hAnsi="宋体" w:eastAsia="宋体" w:cs="Times New Roman"/>
                <w:color w:val="000000"/>
                <w:szCs w:val="21"/>
              </w:rPr>
            </w:pPr>
          </w:p>
        </w:tc>
        <w:tc>
          <w:tcPr>
            <w:tcW w:w="0" w:type="auto"/>
            <w:vAlign w:val="center"/>
          </w:tcPr>
          <w:p w14:paraId="6939928A">
            <w:pPr>
              <w:spacing w:line="264" w:lineRule="auto"/>
              <w:jc w:val="left"/>
              <w:rPr>
                <w:rFonts w:ascii="宋体" w:hAnsi="宋体" w:eastAsia="宋体" w:cs="Times New Roman"/>
                <w:color w:val="000000"/>
                <w:szCs w:val="21"/>
              </w:rPr>
            </w:pPr>
            <w:r>
              <w:rPr>
                <w:rFonts w:hint="eastAsia" w:ascii="宋体" w:hAnsi="宋体" w:eastAsia="宋体" w:cs="宋体"/>
                <w:color w:val="000000"/>
                <w:kern w:val="0"/>
                <w:sz w:val="24"/>
                <w:szCs w:val="24"/>
                <w:lang w:bidi="ar"/>
              </w:rPr>
              <w:t>让</w:t>
            </w:r>
            <w:r>
              <w:rPr>
                <w:rFonts w:ascii="宋体" w:hAnsi="宋体" w:eastAsia="宋体" w:cs="Times New Roman"/>
                <w:color w:val="000000"/>
                <w:szCs w:val="21"/>
              </w:rPr>
              <w:t>1.线上学习</w:t>
            </w:r>
          </w:p>
          <w:p w14:paraId="4E293958">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86FFBF1">
            <w:pPr>
              <w:adjustRightInd w:val="0"/>
              <w:snapToGrid w:val="0"/>
              <w:spacing w:line="360" w:lineRule="auto"/>
              <w:ind w:firstLine="420" w:firstLineChars="200"/>
              <w:rPr>
                <w:rFonts w:hint="eastAsia" w:ascii="宋体" w:hAnsi="宋体" w:eastAsia="宋体" w:cs="宋体"/>
                <w:color w:val="000000"/>
                <w:sz w:val="24"/>
                <w:szCs w:val="24"/>
              </w:rPr>
            </w:pPr>
            <w:r>
              <w:rPr>
                <w:rFonts w:ascii="宋体" w:hAnsi="宋体" w:eastAsia="宋体" w:cs="Times New Roman"/>
                <w:color w:val="000000"/>
                <w:szCs w:val="21"/>
              </w:rPr>
              <w:t>4.单元测验</w:t>
            </w:r>
          </w:p>
          <w:p w14:paraId="0E840453">
            <w:pPr>
              <w:spacing w:line="264" w:lineRule="auto"/>
              <w:jc w:val="left"/>
              <w:rPr>
                <w:rFonts w:ascii="宋体" w:hAnsi="宋体" w:eastAsia="宋体" w:cs="Times New Roman"/>
                <w:color w:val="000000"/>
                <w:szCs w:val="21"/>
              </w:rPr>
            </w:pPr>
          </w:p>
        </w:tc>
        <w:tc>
          <w:tcPr>
            <w:tcW w:w="0" w:type="auto"/>
            <w:vAlign w:val="center"/>
          </w:tcPr>
          <w:p w14:paraId="514154E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3590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C15D974">
            <w:pPr>
              <w:spacing w:line="264" w:lineRule="auto"/>
              <w:jc w:val="center"/>
              <w:rPr>
                <w:rFonts w:ascii="宋体" w:hAnsi="宋体" w:eastAsia="宋体" w:cs="Times New Roman"/>
                <w:color w:val="000000"/>
                <w:szCs w:val="21"/>
              </w:rPr>
            </w:pPr>
          </w:p>
        </w:tc>
        <w:tc>
          <w:tcPr>
            <w:tcW w:w="0" w:type="auto"/>
            <w:gridSpan w:val="5"/>
            <w:vAlign w:val="center"/>
          </w:tcPr>
          <w:p w14:paraId="7775FE45">
            <w:pPr>
              <w:adjustRightInd w:val="0"/>
              <w:snapToGrid w:val="0"/>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lang w:bidi="ar"/>
              </w:rPr>
              <w:t>将江湖词人在南宋灭亡前后的词作进行比对分析，让学生认识世变与文学创作的关系，从而树立舍弃小我，成就大我的价值观。</w:t>
            </w:r>
          </w:p>
          <w:p w14:paraId="117BFF3E">
            <w:pPr>
              <w:spacing w:line="264" w:lineRule="auto"/>
              <w:jc w:val="left"/>
              <w:rPr>
                <w:rFonts w:ascii="宋体" w:hAnsi="宋体" w:eastAsia="宋体" w:cs="Times New Roman"/>
                <w:color w:val="000000"/>
                <w:szCs w:val="21"/>
              </w:rPr>
            </w:pPr>
          </w:p>
        </w:tc>
      </w:tr>
    </w:tbl>
    <w:p w14:paraId="6B9D1C7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74B633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7DFAD4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B9A7C51">
      <w:pPr>
        <w:spacing w:line="360" w:lineRule="auto"/>
        <w:ind w:firstLine="2108" w:firstLineChars="1000"/>
        <w:jc w:val="left"/>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056"/>
        <w:gridCol w:w="1056"/>
        <w:gridCol w:w="1056"/>
        <w:gridCol w:w="767"/>
      </w:tblGrid>
      <w:tr w14:paraId="5117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79C0EF7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168" w:type="dxa"/>
            <w:gridSpan w:val="3"/>
            <w:vAlign w:val="center"/>
          </w:tcPr>
          <w:p w14:paraId="5A1E30A2">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767" w:type="dxa"/>
            <w:vMerge w:val="restart"/>
            <w:vAlign w:val="center"/>
          </w:tcPr>
          <w:p w14:paraId="72FBB296">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7C17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6E1E7B60">
            <w:pPr>
              <w:spacing w:line="360" w:lineRule="auto"/>
              <w:jc w:val="center"/>
              <w:rPr>
                <w:rFonts w:ascii="宋体" w:hAnsi="宋体" w:eastAsia="宋体" w:cs="Times New Roman"/>
                <w:szCs w:val="21"/>
              </w:rPr>
            </w:pPr>
          </w:p>
        </w:tc>
        <w:tc>
          <w:tcPr>
            <w:tcW w:w="1056" w:type="dxa"/>
            <w:vAlign w:val="center"/>
          </w:tcPr>
          <w:p w14:paraId="0CEA1740">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1C73CE4E">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5A312E33">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767" w:type="dxa"/>
            <w:vMerge w:val="continue"/>
            <w:vAlign w:val="center"/>
          </w:tcPr>
          <w:p w14:paraId="2D62EA4D">
            <w:pPr>
              <w:spacing w:line="360" w:lineRule="auto"/>
              <w:jc w:val="center"/>
              <w:rPr>
                <w:rFonts w:ascii="宋体" w:hAnsi="宋体" w:eastAsia="宋体" w:cs="Times New Roman"/>
                <w:szCs w:val="21"/>
              </w:rPr>
            </w:pPr>
          </w:p>
        </w:tc>
      </w:tr>
      <w:tr w14:paraId="0EF8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0DA312D">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056" w:type="dxa"/>
            <w:vAlign w:val="center"/>
          </w:tcPr>
          <w:p w14:paraId="6D569E5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2D7CFBA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64E9FA9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72A08538">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30F2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BFB35B6">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056" w:type="dxa"/>
            <w:vAlign w:val="center"/>
          </w:tcPr>
          <w:p w14:paraId="7106D3B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15F31F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4C9AA6B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5F5A4976">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6288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80F3654">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056" w:type="dxa"/>
            <w:vAlign w:val="center"/>
          </w:tcPr>
          <w:p w14:paraId="2205054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4B418D41">
            <w:pPr>
              <w:spacing w:line="360" w:lineRule="auto"/>
              <w:jc w:val="center"/>
              <w:rPr>
                <w:rFonts w:ascii="宋体" w:hAnsi="宋体" w:eastAsia="宋体" w:cs="Times New Roman"/>
                <w:szCs w:val="21"/>
              </w:rPr>
            </w:pPr>
          </w:p>
        </w:tc>
        <w:tc>
          <w:tcPr>
            <w:tcW w:w="1056" w:type="dxa"/>
            <w:vAlign w:val="center"/>
          </w:tcPr>
          <w:p w14:paraId="3C200AF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24CC4DF6">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7C3A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58D0649">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056" w:type="dxa"/>
            <w:vAlign w:val="center"/>
          </w:tcPr>
          <w:p w14:paraId="3B0E8DFC">
            <w:pPr>
              <w:spacing w:line="360" w:lineRule="auto"/>
              <w:jc w:val="center"/>
              <w:rPr>
                <w:rFonts w:ascii="宋体" w:hAnsi="宋体" w:eastAsia="宋体" w:cs="Times New Roman"/>
                <w:szCs w:val="21"/>
              </w:rPr>
            </w:pPr>
          </w:p>
        </w:tc>
        <w:tc>
          <w:tcPr>
            <w:tcW w:w="1056" w:type="dxa"/>
            <w:vAlign w:val="center"/>
          </w:tcPr>
          <w:p w14:paraId="58203B42">
            <w:pPr>
              <w:spacing w:line="360" w:lineRule="auto"/>
              <w:jc w:val="center"/>
              <w:rPr>
                <w:rFonts w:ascii="宋体" w:hAnsi="宋体" w:eastAsia="宋体" w:cs="Times New Roman"/>
                <w:szCs w:val="21"/>
              </w:rPr>
            </w:pPr>
          </w:p>
        </w:tc>
        <w:tc>
          <w:tcPr>
            <w:tcW w:w="1056" w:type="dxa"/>
            <w:vAlign w:val="center"/>
          </w:tcPr>
          <w:p w14:paraId="3CF66D6A">
            <w:pPr>
              <w:spacing w:line="360" w:lineRule="auto"/>
              <w:jc w:val="center"/>
              <w:rPr>
                <w:rFonts w:ascii="宋体" w:hAnsi="宋体" w:eastAsia="宋体" w:cs="Times New Roman"/>
                <w:szCs w:val="21"/>
              </w:rPr>
            </w:pPr>
          </w:p>
        </w:tc>
        <w:tc>
          <w:tcPr>
            <w:tcW w:w="767" w:type="dxa"/>
            <w:vAlign w:val="center"/>
          </w:tcPr>
          <w:p w14:paraId="454CE70A">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0793E65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250F81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5DEAA2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B76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24F93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48AA59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2B9FA4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96E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7AC33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2275BD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510A1E4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25</w:t>
            </w:r>
            <w:r>
              <w:rPr>
                <w:rFonts w:hint="eastAsia" w:ascii="Times New Roman" w:hAnsi="Times New Roman" w:eastAsia="宋体" w:cs="Times New Roman"/>
                <w:szCs w:val="21"/>
              </w:rPr>
              <w:t>%</w:t>
            </w:r>
          </w:p>
        </w:tc>
      </w:tr>
      <w:tr w14:paraId="752E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2DFB2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94D284E">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355268C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C820B09">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25</w:t>
            </w:r>
            <w:r>
              <w:rPr>
                <w:rFonts w:hint="eastAsia" w:ascii="Times New Roman" w:hAnsi="Times New Roman" w:eastAsia="宋体" w:cs="Times New Roman"/>
                <w:szCs w:val="21"/>
              </w:rPr>
              <w:t>%</w:t>
            </w:r>
          </w:p>
        </w:tc>
      </w:tr>
      <w:tr w14:paraId="3F81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B22BA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FB5BB07">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74527B2A">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2AD5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5B9094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63D460D">
            <w:pPr>
              <w:jc w:val="left"/>
              <w:rPr>
                <w:rFonts w:ascii="Times New Roman" w:hAnsi="Times New Roman" w:eastAsia="宋体" w:cs="Times New Roman"/>
                <w:szCs w:val="21"/>
              </w:rPr>
            </w:pPr>
          </w:p>
        </w:tc>
        <w:tc>
          <w:tcPr>
            <w:tcW w:w="0" w:type="auto"/>
            <w:vAlign w:val="center"/>
          </w:tcPr>
          <w:p w14:paraId="4CC6E5B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79AFD21">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3B0B44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AD16EE5">
      <w:pPr>
        <w:spacing w:line="360" w:lineRule="auto"/>
        <w:ind w:firstLine="2100" w:firstLineChars="1000"/>
        <w:jc w:val="left"/>
        <w:rPr>
          <w:rFonts w:hint="eastAsia" w:ascii="宋体" w:hAnsi="宋体" w:eastAsia="宋体" w:cs="宋体"/>
          <w:b/>
          <w:sz w:val="28"/>
          <w:szCs w:val="28"/>
        </w:rPr>
      </w:pPr>
      <w:r>
        <w:rPr>
          <w:rFonts w:ascii="宋体" w:hAnsi="宋体" w:eastAsia="宋体" w:cs="Times New Roman"/>
          <w:color w:val="000000"/>
          <w:szCs w:val="21"/>
        </w:rPr>
        <w:object>
          <v:shape id="_x0000_i1079"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79" DrawAspect="Content" ObjectID="_1468075779" r:id="rId62">
            <o:LockedField>false</o:LockedField>
          </o:OLEObject>
        </w:object>
      </w:r>
      <w:bookmarkStart w:id="2908" w:name="_Toc1035491389"/>
      <w:r>
        <w:rPr>
          <w:rFonts w:hint="eastAsia" w:ascii="宋体" w:hAnsi="宋体" w:eastAsia="宋体" w:cs="宋体"/>
          <w:b/>
          <w:sz w:val="28"/>
          <w:szCs w:val="28"/>
          <w:lang w:val="en-US" w:eastAsia="zh-CN" w:bidi="ar"/>
        </w:rPr>
        <w:t>五</w:t>
      </w:r>
      <w:r>
        <w:rPr>
          <w:rFonts w:hint="eastAsia" w:ascii="宋体" w:hAnsi="宋体" w:eastAsia="宋体" w:cs="宋体"/>
          <w:b/>
          <w:sz w:val="28"/>
          <w:szCs w:val="28"/>
          <w:lang w:bidi="ar"/>
        </w:rPr>
        <w:t>、有关说明</w:t>
      </w:r>
      <w:bookmarkEnd w:id="2908"/>
    </w:p>
    <w:p w14:paraId="73E80C05">
      <w:pPr>
        <w:adjustRightInd w:val="0"/>
        <w:snapToGrid w:val="0"/>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lang w:bidi="ar"/>
        </w:rPr>
        <w:t>（一）持续改进</w:t>
      </w:r>
    </w:p>
    <w:p w14:paraId="42CF66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bidi="ar"/>
        </w:rPr>
        <w:t>本课程根据学生作业、课堂讨论情况和学生、教学督导等方面的反馈意见，及时对唐诗宋词研究教学中的不足之处进行改进，并在下一轮课程教学中整改完善，确保相应毕业要求指标点达成。</w:t>
      </w:r>
    </w:p>
    <w:p w14:paraId="737C91CA">
      <w:pPr>
        <w:adjustRightInd w:val="0"/>
        <w:snapToGrid w:val="0"/>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bidi="ar"/>
        </w:rPr>
        <w:t>（二）建议教材</w:t>
      </w:r>
    </w:p>
    <w:p w14:paraId="6B9E6B4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2"/>
          <w:lang w:bidi="ar"/>
        </w:rPr>
        <w:t>葛晓音编：《唐诗宋词十五讲》，北京：北京大学出版社，2003.6</w:t>
      </w:r>
    </w:p>
    <w:p w14:paraId="71493BE8">
      <w:pPr>
        <w:adjustRightInd w:val="0"/>
        <w:snapToGrid w:val="0"/>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lang w:bidi="ar"/>
        </w:rPr>
        <w:t>（三）参考书目及学习资料</w:t>
      </w:r>
    </w:p>
    <w:p w14:paraId="11241673">
      <w:pPr>
        <w:adjustRightInd w:val="0"/>
        <w:snapToGrid w:val="0"/>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1.萧涤非著：《</w:t>
      </w:r>
      <w:r>
        <w:rPr>
          <w:rFonts w:hint="eastAsia" w:ascii="宋体" w:hAnsi="宋体" w:eastAsia="宋体" w:cs="宋体"/>
          <w:color w:val="000000"/>
          <w:sz w:val="24"/>
          <w:szCs w:val="24"/>
          <w:lang w:bidi="ar"/>
        </w:rPr>
        <w:t>唐诗</w:t>
      </w:r>
      <w:r>
        <w:rPr>
          <w:rFonts w:hint="eastAsia" w:ascii="宋体" w:hAnsi="宋体" w:eastAsia="宋体" w:cs="宋体"/>
          <w:color w:val="000000"/>
          <w:sz w:val="24"/>
          <w:szCs w:val="22"/>
          <w:lang w:bidi="ar"/>
        </w:rPr>
        <w:t>鉴赏大辞典》，上海：上海辞书出版社，2005.3</w:t>
      </w:r>
    </w:p>
    <w:p w14:paraId="520124D0">
      <w:pPr>
        <w:adjustRightInd w:val="0"/>
        <w:snapToGrid w:val="0"/>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2.唐圭璋编：《</w:t>
      </w:r>
      <w:r>
        <w:rPr>
          <w:rFonts w:hint="eastAsia" w:ascii="宋体" w:hAnsi="宋体" w:eastAsia="宋体" w:cs="宋体"/>
          <w:color w:val="000000"/>
          <w:sz w:val="24"/>
          <w:szCs w:val="24"/>
          <w:lang w:bidi="ar"/>
        </w:rPr>
        <w:t>唐宋词</w:t>
      </w:r>
      <w:r>
        <w:rPr>
          <w:rFonts w:hint="eastAsia" w:ascii="宋体" w:hAnsi="宋体" w:eastAsia="宋体" w:cs="宋体"/>
          <w:color w:val="000000"/>
          <w:sz w:val="24"/>
          <w:szCs w:val="22"/>
          <w:lang w:bidi="ar"/>
        </w:rPr>
        <w:t>鉴赏辞典》，南京：江苏古籍出版社，1997.5</w:t>
      </w:r>
    </w:p>
    <w:p w14:paraId="63E346A7">
      <w:pPr>
        <w:adjustRightInd w:val="0"/>
        <w:snapToGrid w:val="0"/>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3.袁行霈著：《中国</w:t>
      </w:r>
      <w:r>
        <w:rPr>
          <w:rFonts w:hint="eastAsia" w:ascii="宋体" w:hAnsi="宋体" w:eastAsia="宋体" w:cs="宋体"/>
          <w:color w:val="000000"/>
          <w:sz w:val="24"/>
          <w:szCs w:val="24"/>
          <w:lang w:bidi="ar"/>
        </w:rPr>
        <w:t>诗歌</w:t>
      </w:r>
      <w:r>
        <w:rPr>
          <w:rFonts w:hint="eastAsia" w:ascii="宋体" w:hAnsi="宋体" w:eastAsia="宋体" w:cs="宋体"/>
          <w:color w:val="000000"/>
          <w:sz w:val="24"/>
          <w:szCs w:val="22"/>
          <w:lang w:bidi="ar"/>
        </w:rPr>
        <w:t>艺术研究》，北京：北京大学出版社，1987.1</w:t>
      </w:r>
    </w:p>
    <w:p w14:paraId="4A5FEA73">
      <w:pPr>
        <w:adjustRightInd w:val="0"/>
        <w:snapToGrid w:val="0"/>
        <w:spacing w:line="360" w:lineRule="auto"/>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lang w:bidi="ar"/>
        </w:rPr>
        <w:t>4.吴调公著：《古典</w:t>
      </w:r>
      <w:r>
        <w:rPr>
          <w:rFonts w:hint="eastAsia" w:ascii="宋体" w:hAnsi="宋体" w:eastAsia="宋体" w:cs="宋体"/>
          <w:color w:val="000000"/>
          <w:sz w:val="24"/>
          <w:szCs w:val="24"/>
          <w:lang w:bidi="ar"/>
        </w:rPr>
        <w:t>文论</w:t>
      </w:r>
      <w:r>
        <w:rPr>
          <w:rFonts w:hint="eastAsia" w:ascii="宋体" w:hAnsi="宋体" w:eastAsia="宋体" w:cs="宋体"/>
          <w:color w:val="000000"/>
          <w:sz w:val="24"/>
          <w:szCs w:val="22"/>
          <w:lang w:bidi="ar"/>
        </w:rPr>
        <w:t>与审美鉴赏》，济南：齐鲁书社，1985.8</w:t>
      </w:r>
    </w:p>
    <w:p w14:paraId="376EF462">
      <w:pPr>
        <w:spacing w:line="360" w:lineRule="auto"/>
        <w:rPr>
          <w:rFonts w:hint="eastAsia" w:ascii="宋体" w:hAnsi="宋体" w:eastAsia="宋体" w:cs="宋体"/>
          <w:color w:val="000000"/>
          <w:sz w:val="24"/>
          <w:szCs w:val="22"/>
        </w:rPr>
      </w:pPr>
    </w:p>
    <w:p w14:paraId="13853769">
      <w:pPr>
        <w:spacing w:line="360" w:lineRule="auto"/>
        <w:rPr>
          <w:rFonts w:hint="eastAsia" w:ascii="宋体" w:hAnsi="宋体" w:eastAsia="宋体" w:cs="宋体"/>
          <w:color w:val="000000"/>
          <w:sz w:val="24"/>
          <w:szCs w:val="22"/>
        </w:rPr>
      </w:pPr>
    </w:p>
    <w:p w14:paraId="04E8F765">
      <w:pPr>
        <w:spacing w:line="360" w:lineRule="auto"/>
        <w:ind w:left="420" w:leftChars="200" w:firstLine="5760" w:firstLineChars="2400"/>
        <w:rPr>
          <w:rFonts w:hint="eastAsia" w:ascii="宋体" w:hAnsi="宋体" w:eastAsia="宋体" w:cs="宋体"/>
          <w:color w:val="000000"/>
          <w:sz w:val="24"/>
          <w:szCs w:val="22"/>
        </w:rPr>
      </w:pPr>
      <w:r>
        <w:rPr>
          <w:rFonts w:hint="eastAsia" w:ascii="宋体" w:hAnsi="宋体" w:eastAsia="宋体" w:cs="宋体"/>
          <w:color w:val="000000"/>
          <w:sz w:val="24"/>
          <w:szCs w:val="22"/>
          <w:lang w:bidi="ar"/>
        </w:rPr>
        <w:t>执笔人：周焕卿</w:t>
      </w:r>
    </w:p>
    <w:p w14:paraId="2DC98802">
      <w:pPr>
        <w:spacing w:line="360" w:lineRule="auto"/>
        <w:ind w:left="420" w:leftChars="200" w:firstLine="5760" w:firstLineChars="2400"/>
        <w:rPr>
          <w:rFonts w:hint="eastAsia" w:ascii="宋体" w:hAnsi="宋体" w:eastAsia="宋体" w:cs="宋体"/>
          <w:color w:val="000000"/>
          <w:sz w:val="24"/>
          <w:szCs w:val="22"/>
        </w:rPr>
      </w:pPr>
      <w:r>
        <w:rPr>
          <w:rFonts w:hint="eastAsia" w:ascii="宋体" w:hAnsi="宋体" w:eastAsia="宋体" w:cs="宋体"/>
          <w:color w:val="000000"/>
          <w:sz w:val="24"/>
          <w:szCs w:val="22"/>
          <w:lang w:bidi="ar"/>
        </w:rPr>
        <w:t>审定人：王振军</w:t>
      </w:r>
    </w:p>
    <w:p w14:paraId="6296E62F">
      <w:pPr>
        <w:spacing w:line="360" w:lineRule="auto"/>
        <w:ind w:left="420" w:leftChars="200" w:firstLine="5760" w:firstLineChars="2400"/>
        <w:rPr>
          <w:rFonts w:ascii="宋体" w:hAnsi="宋体" w:eastAsia="宋体" w:cs="宋体"/>
          <w:color w:val="000000"/>
          <w:sz w:val="24"/>
          <w:szCs w:val="22"/>
        </w:rPr>
      </w:pPr>
      <w:r>
        <w:rPr>
          <w:rFonts w:hint="eastAsia" w:ascii="宋体" w:hAnsi="宋体" w:eastAsia="宋体" w:cs="宋体"/>
          <w:color w:val="000000"/>
          <w:sz w:val="24"/>
          <w:szCs w:val="22"/>
          <w:lang w:bidi="ar"/>
        </w:rPr>
        <w:t>批准人：陈建忠</w:t>
      </w:r>
    </w:p>
    <w:p w14:paraId="3AD84FA8">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5C444B63">
      <w:pPr>
        <w:widowControl/>
        <w:jc w:val="left"/>
        <w:rPr>
          <w:rFonts w:ascii="宋体" w:hAnsi="宋体" w:eastAsia="宋体" w:cs="宋体"/>
          <w:color w:val="000000"/>
          <w:sz w:val="24"/>
          <w:szCs w:val="22"/>
        </w:rPr>
      </w:pPr>
      <w:r>
        <w:rPr>
          <w:rFonts w:ascii="宋体" w:hAnsi="宋体" w:eastAsia="宋体" w:cs="宋体"/>
          <w:color w:val="000000"/>
          <w:sz w:val="24"/>
          <w:szCs w:val="22"/>
        </w:rPr>
        <w:br w:type="page"/>
      </w:r>
    </w:p>
    <w:p w14:paraId="6A6E4C9B">
      <w:pPr>
        <w:pStyle w:val="2"/>
        <w:bidi w:val="0"/>
        <w:rPr>
          <w:lang w:val="en-US" w:eastAsia="zh-CN"/>
        </w:rPr>
      </w:pPr>
      <w:bookmarkStart w:id="2909" w:name="_Toc30768"/>
      <w:bookmarkStart w:id="2910" w:name="_Toc16721"/>
      <w:bookmarkStart w:id="2911" w:name="_Toc2636"/>
      <w:bookmarkStart w:id="2912" w:name="_Toc16806"/>
      <w:bookmarkStart w:id="2913" w:name="_Toc21424"/>
      <w:bookmarkStart w:id="2914" w:name="_Toc88340356"/>
      <w:bookmarkStart w:id="2915" w:name="_Toc399584737"/>
      <w:r>
        <w:rPr>
          <w:rFonts w:hint="eastAsia"/>
          <w:lang w:val="en-US" w:eastAsia="zh-CN"/>
        </w:rPr>
        <w:t>《中国现当代文学名家选讲》课程教学大纲</w:t>
      </w:r>
      <w:bookmarkEnd w:id="2909"/>
      <w:bookmarkEnd w:id="2910"/>
      <w:bookmarkEnd w:id="2911"/>
      <w:bookmarkEnd w:id="2912"/>
      <w:bookmarkEnd w:id="2913"/>
      <w:bookmarkEnd w:id="2914"/>
      <w:bookmarkEnd w:id="2915"/>
    </w:p>
    <w:p w14:paraId="37061449">
      <w:pPr>
        <w:pStyle w:val="2"/>
        <w:bidi w:val="0"/>
        <w:rPr>
          <w:lang w:val="en-US" w:eastAsia="zh-CN"/>
        </w:rPr>
      </w:pPr>
      <w:bookmarkStart w:id="2916" w:name="_Toc19111"/>
      <w:bookmarkStart w:id="2917" w:name="_Toc28602"/>
      <w:bookmarkStart w:id="2918" w:name="_Toc143"/>
      <w:bookmarkStart w:id="2919" w:name="_Toc7333"/>
      <w:bookmarkStart w:id="2920" w:name="_Toc27302"/>
      <w:bookmarkStart w:id="2921" w:name="_Toc10781"/>
      <w:bookmarkStart w:id="2922" w:name="_Toc12993"/>
      <w:r>
        <w:rPr>
          <w:rFonts w:hint="eastAsia"/>
          <w:lang w:val="en-US" w:eastAsia="zh-CN"/>
        </w:rPr>
        <w:t>（Selected Studies of Contemporary Litterateurs）</w:t>
      </w:r>
      <w:bookmarkEnd w:id="2916"/>
      <w:bookmarkEnd w:id="2917"/>
      <w:bookmarkEnd w:id="2918"/>
      <w:bookmarkEnd w:id="2919"/>
      <w:bookmarkEnd w:id="2920"/>
      <w:bookmarkEnd w:id="2921"/>
      <w:bookmarkEnd w:id="2922"/>
    </w:p>
    <w:p w14:paraId="22098B29">
      <w:pPr>
        <w:spacing w:line="360" w:lineRule="auto"/>
        <w:jc w:val="center"/>
        <w:rPr>
          <w:rFonts w:ascii="Times New Roman" w:hAnsi="Times New Roman" w:eastAsia="宋体" w:cs="Times New Roman"/>
          <w:sz w:val="24"/>
          <w:szCs w:val="24"/>
        </w:rPr>
      </w:pPr>
    </w:p>
    <w:p w14:paraId="61EB0062">
      <w:pPr>
        <w:spacing w:line="360" w:lineRule="auto"/>
        <w:ind w:firstLine="562" w:firstLineChars="200"/>
        <w:rPr>
          <w:rFonts w:hint="default" w:ascii="Times New Roman" w:hAnsi="Times New Roman" w:eastAsia="宋体" w:cs="Times New Roman"/>
          <w:b/>
          <w:sz w:val="28"/>
          <w:szCs w:val="28"/>
          <w:lang w:val="en-US" w:eastAsia="zh-CN"/>
        </w:rPr>
      </w:pPr>
      <w:r>
        <w:rPr>
          <w:rFonts w:hint="eastAsia" w:ascii="Times New Roman" w:hAnsi="Times New Roman" w:eastAsia="宋体" w:cs="Times New Roman"/>
          <w:b/>
          <w:sz w:val="28"/>
          <w:szCs w:val="28"/>
          <w:lang w:val="en-US" w:eastAsia="zh-CN"/>
        </w:rPr>
        <w:t>课程名称：中国现当代文学</w:t>
      </w:r>
    </w:p>
    <w:p w14:paraId="04C321DE">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kern w:val="0"/>
          <w:sz w:val="24"/>
          <w:szCs w:val="24"/>
        </w:rPr>
        <w:t>课程代码</w:t>
      </w:r>
      <w:r>
        <w:rPr>
          <w:rFonts w:hint="eastAsia" w:ascii="Times New Roman" w:hAnsi="Times New Roman" w:eastAsia="宋体" w:cs="Times New Roman"/>
          <w:b/>
          <w:kern w:val="0"/>
          <w:sz w:val="24"/>
          <w:szCs w:val="24"/>
        </w:rPr>
        <w:t>：</w:t>
      </w:r>
      <w:r>
        <w:rPr>
          <w:rFonts w:hint="eastAsia" w:ascii="Times New Roman" w:hAnsi="Times New Roman" w:eastAsia="宋体" w:cs="Times New Roman"/>
          <w:sz w:val="24"/>
          <w:szCs w:val="24"/>
        </w:rPr>
        <w:t>0705077</w:t>
      </w:r>
    </w:p>
    <w:p w14:paraId="0C88808E">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学</w:t>
      </w:r>
      <w:r>
        <w:rPr>
          <w:rFonts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rPr>
        <w:t>分</w:t>
      </w:r>
      <w:r>
        <w:rPr>
          <w:rFonts w:hint="eastAsia" w:ascii="Times New Roman" w:hAnsi="Times New Roman" w:eastAsia="宋体" w:cs="Times New Roman"/>
          <w:b/>
          <w:kern w:val="0"/>
          <w:sz w:val="24"/>
          <w:szCs w:val="24"/>
        </w:rPr>
        <w:t>：</w:t>
      </w:r>
      <w:r>
        <w:rPr>
          <w:rFonts w:ascii="Times New Roman" w:hAnsi="Times New Roman" w:eastAsia="宋体" w:cs="Times New Roman"/>
          <w:kern w:val="0"/>
          <w:sz w:val="24"/>
          <w:szCs w:val="24"/>
        </w:rPr>
        <w:t>2</w:t>
      </w:r>
    </w:p>
    <w:p w14:paraId="19574026">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学</w:t>
      </w:r>
      <w:r>
        <w:rPr>
          <w:rFonts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rPr>
        <w:t>时</w:t>
      </w:r>
      <w:r>
        <w:rPr>
          <w:rFonts w:hint="eastAsia" w:ascii="Times New Roman" w:hAnsi="Times New Roman" w:eastAsia="宋体" w:cs="Times New Roman"/>
          <w:b/>
          <w:kern w:val="0"/>
          <w:sz w:val="24"/>
          <w:szCs w:val="24"/>
        </w:rPr>
        <w:t>：</w:t>
      </w:r>
      <w:r>
        <w:rPr>
          <w:rFonts w:ascii="Times New Roman" w:hAnsi="Times New Roman" w:eastAsia="宋体" w:cs="Times New Roman"/>
          <w:kern w:val="0"/>
          <w:sz w:val="24"/>
          <w:szCs w:val="24"/>
        </w:rPr>
        <w:t>32</w:t>
      </w:r>
    </w:p>
    <w:p w14:paraId="61E799DB">
      <w:pPr>
        <w:spacing w:line="360" w:lineRule="auto"/>
        <w:ind w:firstLine="482" w:firstLineChars="200"/>
        <w:rPr>
          <w:rFonts w:ascii="Times New Roman" w:hAnsi="Times New Roman" w:eastAsia="宋体" w:cs="Times New Roman"/>
          <w:bCs/>
          <w:kern w:val="0"/>
          <w:sz w:val="24"/>
          <w:szCs w:val="24"/>
        </w:rPr>
      </w:pPr>
      <w:r>
        <w:rPr>
          <w:rFonts w:hint="eastAsia" w:ascii="Times New Roman" w:hAnsi="Times New Roman" w:eastAsia="宋体" w:cs="Times New Roman"/>
          <w:b/>
          <w:bCs/>
          <w:kern w:val="0"/>
          <w:sz w:val="24"/>
          <w:szCs w:val="24"/>
        </w:rPr>
        <w:t>先修课程</w:t>
      </w:r>
      <w:r>
        <w:rPr>
          <w:rFonts w:hint="eastAsia" w:ascii="Times New Roman" w:hAnsi="Times New Roman" w:eastAsia="宋体" w:cs="Times New Roman"/>
          <w:b/>
          <w:kern w:val="0"/>
          <w:sz w:val="24"/>
          <w:szCs w:val="24"/>
        </w:rPr>
        <w:t>：</w:t>
      </w:r>
      <w:r>
        <w:rPr>
          <w:rFonts w:hint="eastAsia" w:ascii="Times New Roman" w:hAnsi="Times New Roman" w:eastAsia="宋体" w:cs="Times New Roman"/>
          <w:kern w:val="0"/>
          <w:sz w:val="24"/>
          <w:szCs w:val="24"/>
        </w:rPr>
        <w:t>中国现当代文学I，中国现当代文学II</w:t>
      </w:r>
    </w:p>
    <w:p w14:paraId="0E6CFB5A">
      <w:pPr>
        <w:spacing w:line="360" w:lineRule="auto"/>
        <w:ind w:firstLine="482"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b/>
          <w:kern w:val="0"/>
          <w:sz w:val="24"/>
          <w:szCs w:val="24"/>
        </w:rPr>
        <w:t>适用专业：</w:t>
      </w:r>
      <w:r>
        <w:rPr>
          <w:rFonts w:hint="eastAsia" w:ascii="Times New Roman" w:hAnsi="Times New Roman" w:eastAsia="宋体" w:cs="Times New Roman"/>
          <w:kern w:val="0"/>
          <w:sz w:val="24"/>
          <w:szCs w:val="24"/>
        </w:rPr>
        <w:t>小学教育（文）</w:t>
      </w:r>
      <w:r>
        <w:rPr>
          <w:rFonts w:ascii="Times New Roman" w:hAnsi="Times New Roman" w:eastAsia="宋体" w:cs="Times New Roman"/>
          <w:kern w:val="0"/>
          <w:sz w:val="24"/>
          <w:szCs w:val="24"/>
        </w:rPr>
        <w:t xml:space="preserve">                       </w:t>
      </w:r>
    </w:p>
    <w:p w14:paraId="60BA97BE">
      <w:pPr>
        <w:numPr>
          <w:ilvl w:val="0"/>
          <w:numId w:val="98"/>
        </w:numPr>
        <w:spacing w:line="360" w:lineRule="auto"/>
        <w:ind w:firstLine="482" w:firstLineChars="200"/>
        <w:rPr>
          <w:rFonts w:hint="eastAsia" w:ascii="Times New Roman" w:hAnsi="Times New Roman" w:eastAsia="宋体" w:cs="Times New Roman"/>
          <w:b/>
          <w:kern w:val="0"/>
          <w:sz w:val="24"/>
          <w:szCs w:val="24"/>
          <w:lang w:val="en-US" w:eastAsia="zh-CN"/>
        </w:rPr>
      </w:pPr>
      <w:r>
        <w:rPr>
          <w:rFonts w:hint="eastAsia" w:ascii="Times New Roman" w:hAnsi="Times New Roman" w:eastAsia="宋体" w:cs="Times New Roman"/>
          <w:b/>
          <w:kern w:val="0"/>
          <w:sz w:val="24"/>
          <w:szCs w:val="24"/>
          <w:lang w:val="en-US" w:eastAsia="zh-CN"/>
        </w:rPr>
        <w:t>课程简介</w:t>
      </w:r>
    </w:p>
    <w:p w14:paraId="394D052A">
      <w:pPr>
        <w:numPr>
          <w:ilvl w:val="0"/>
          <w:numId w:val="0"/>
        </w:num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kern w:val="0"/>
          <w:sz w:val="24"/>
          <w:szCs w:val="24"/>
        </w:rPr>
        <w:t>本</w:t>
      </w:r>
      <w:r>
        <w:rPr>
          <w:rFonts w:hint="eastAsia" w:ascii="Times New Roman" w:hAnsi="Times New Roman" w:eastAsia="宋体" w:cs="Times New Roman"/>
          <w:color w:val="000000"/>
          <w:sz w:val="24"/>
          <w:szCs w:val="24"/>
        </w:rPr>
        <w:t>课程是</w:t>
      </w:r>
      <w:r>
        <w:rPr>
          <w:rFonts w:hint="eastAsia" w:ascii="Times New Roman" w:hAnsi="Times New Roman" w:eastAsia="宋体" w:cs="Times New Roman"/>
          <w:kern w:val="0"/>
          <w:sz w:val="24"/>
          <w:szCs w:val="24"/>
        </w:rPr>
        <w:t>小学教育（文）</w:t>
      </w:r>
      <w:r>
        <w:rPr>
          <w:rFonts w:ascii="Times New Roman" w:hAnsi="Times New Roman" w:eastAsia="宋体" w:cs="Times New Roman"/>
          <w:kern w:val="0"/>
          <w:sz w:val="24"/>
          <w:szCs w:val="24"/>
        </w:rPr>
        <w:t xml:space="preserve"> </w:t>
      </w:r>
      <w:r>
        <w:rPr>
          <w:rFonts w:hint="eastAsia" w:ascii="Times New Roman" w:hAnsi="Times New Roman" w:eastAsia="宋体" w:cs="Times New Roman"/>
          <w:color w:val="000000"/>
          <w:sz w:val="24"/>
          <w:szCs w:val="24"/>
        </w:rPr>
        <w:t>专业本科生的一门专业选修课程。</w:t>
      </w:r>
      <w:r>
        <w:rPr>
          <w:rFonts w:ascii="Times New Roman" w:hAnsi="Times New Roman" w:eastAsia="宋体" w:cs="Times New Roman"/>
          <w:color w:val="000000"/>
          <w:sz w:val="24"/>
          <w:szCs w:val="24"/>
        </w:rPr>
        <w:t>课程秉持立德树人的教育理念，将思政</w:t>
      </w:r>
      <w:r>
        <w:rPr>
          <w:rFonts w:hint="eastAsia" w:ascii="Times New Roman" w:hAnsi="Times New Roman" w:eastAsia="宋体" w:cs="Times New Roman"/>
          <w:color w:val="000000"/>
          <w:sz w:val="24"/>
          <w:szCs w:val="24"/>
        </w:rPr>
        <w:t>元素</w:t>
      </w:r>
      <w:r>
        <w:rPr>
          <w:rFonts w:ascii="Times New Roman" w:hAnsi="Times New Roman" w:eastAsia="宋体" w:cs="Times New Roman"/>
          <w:color w:val="000000"/>
          <w:sz w:val="24"/>
          <w:szCs w:val="24"/>
        </w:rPr>
        <w:t>与专业教学有机结合，注</w:t>
      </w:r>
      <w:r>
        <w:rPr>
          <w:rFonts w:hint="eastAsia" w:ascii="Times New Roman" w:hAnsi="Times New Roman" w:eastAsia="宋体" w:cs="Times New Roman"/>
          <w:color w:val="000000"/>
          <w:sz w:val="24"/>
          <w:szCs w:val="24"/>
        </w:rPr>
        <w:t>重</w:t>
      </w:r>
      <w:r>
        <w:rPr>
          <w:rFonts w:ascii="Times New Roman" w:hAnsi="Times New Roman" w:eastAsia="宋体" w:cs="Times New Roman"/>
          <w:color w:val="000000"/>
          <w:sz w:val="24"/>
          <w:szCs w:val="24"/>
        </w:rPr>
        <w:t>知识传授、能力培养和价值观引领</w:t>
      </w:r>
      <w:r>
        <w:rPr>
          <w:rFonts w:hint="eastAsia" w:ascii="Times New Roman" w:hAnsi="Times New Roman" w:eastAsia="宋体" w:cs="Times New Roman"/>
          <w:color w:val="000000"/>
          <w:sz w:val="24"/>
          <w:szCs w:val="24"/>
        </w:rPr>
        <w:t>的</w:t>
      </w:r>
      <w:r>
        <w:rPr>
          <w:rFonts w:ascii="Times New Roman" w:hAnsi="Times New Roman" w:eastAsia="宋体" w:cs="Times New Roman"/>
          <w:color w:val="000000"/>
          <w:sz w:val="24"/>
          <w:szCs w:val="24"/>
        </w:rPr>
        <w:t>有机统一。</w:t>
      </w:r>
      <w:r>
        <w:rPr>
          <w:rFonts w:hint="eastAsia" w:ascii="Times New Roman" w:hAnsi="Times New Roman" w:eastAsia="宋体" w:cs="Times New Roman"/>
          <w:color w:val="000000"/>
          <w:sz w:val="24"/>
          <w:szCs w:val="24"/>
          <w:lang w:val="en-US" w:eastAsia="zh-CN"/>
        </w:rPr>
        <w:t>通过本课程的学习，首先，</w:t>
      </w:r>
      <w:r>
        <w:rPr>
          <w:rFonts w:hint="eastAsia" w:ascii="Times New Roman" w:hAnsi="Times New Roman" w:eastAsia="宋体" w:cs="Times New Roman"/>
          <w:color w:val="000000"/>
          <w:sz w:val="24"/>
          <w:szCs w:val="24"/>
        </w:rPr>
        <w:t>使学生深度感悟名家名作的思想艺术魅力，提升文学审美能力；研讨有关现当代经典作家作品的重要研究文献，了解中国现当代文学名家创作批评概况；学会从不同的视角（视域）评论现当代重要作家及其作品，初步训练学生的学术能力，为今后专业学术研究夯实基础；加强现代中国先进文化教育，引导学生厚植爱国主义情怀，弘扬中国现代文学优秀传统，培育大学生人文精神。</w:t>
      </w:r>
    </w:p>
    <w:p w14:paraId="15049FE1">
      <w:pPr>
        <w:numPr>
          <w:ilvl w:val="0"/>
          <w:numId w:val="98"/>
        </w:numPr>
        <w:spacing w:line="360" w:lineRule="auto"/>
        <w:ind w:left="0" w:leftChars="0" w:firstLine="562" w:firstLineChars="200"/>
        <w:rPr>
          <w:rFonts w:ascii="宋体" w:hAnsi="宋体" w:eastAsia="宋体" w:cs="Times New Roman"/>
          <w:b/>
          <w:sz w:val="28"/>
          <w:szCs w:val="28"/>
        </w:rPr>
      </w:pPr>
      <w:r>
        <w:rPr>
          <w:rFonts w:ascii="宋体" w:hAnsi="宋体" w:eastAsia="宋体" w:cs="Times New Roman"/>
          <w:b/>
          <w:sz w:val="28"/>
          <w:szCs w:val="28"/>
        </w:rPr>
        <w:t>课程目标</w:t>
      </w:r>
    </w:p>
    <w:p w14:paraId="21AD0DD9">
      <w:pPr>
        <w:spacing w:line="360" w:lineRule="auto"/>
        <w:ind w:firstLine="422" w:firstLineChars="200"/>
        <w:rPr>
          <w:rFonts w:ascii="宋体" w:hAnsi="宋体" w:eastAsia="宋体" w:cs="Times New Roman"/>
          <w:b/>
          <w:sz w:val="28"/>
          <w:szCs w:val="28"/>
        </w:rPr>
      </w:pPr>
      <w:r>
        <w:rPr>
          <w:rFonts w:hint="eastAsia" w:ascii="宋体" w:hAnsi="宋体" w:eastAsia="宋体" w:cs="Times New Roman"/>
          <w:b/>
          <w:color w:val="000000"/>
          <w:szCs w:val="21"/>
        </w:rPr>
        <w:t>（一）课程具体目标</w:t>
      </w:r>
    </w:p>
    <w:p w14:paraId="3682AE13">
      <w:p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rPr>
        <w:t>目标1：深度把握中国现当代经典（重要）作家的文学成就及其文学史意义</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rPr>
        <w:t>领略中国现当代文学创作的艺术经验，传承中国现代文学创作的优秀传统，弘扬中华民族坚强不屈、锐意进取和改革创新的时代精神。</w:t>
      </w:r>
    </w:p>
    <w:p w14:paraId="19A0B3E0">
      <w:pPr>
        <w:spacing w:line="360" w:lineRule="auto"/>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目标2：了解有关中国现当代经典（重要）作家创作的批评概况。具备基本的文学批评能力。</w:t>
      </w:r>
    </w:p>
    <w:p w14:paraId="7193BFD5">
      <w:pPr>
        <w:spacing w:line="360" w:lineRule="auto"/>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 xml:space="preserve">目标3：正学会确运用马克思主义文艺思想和方法，能从不同角度（视域）评论现当代重要作家及其作品。   </w:t>
      </w:r>
    </w:p>
    <w:p w14:paraId="4575CD44">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44D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AA2828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42C5A0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A179F5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B8F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B61276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7A4262F9">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w:t>
            </w:r>
            <w:r>
              <w:rPr>
                <w:rFonts w:hint="eastAsia" w:ascii="宋体" w:hAnsi="宋体" w:eastAsia="宋体" w:cs="Times New Roman"/>
                <w:color w:val="000000"/>
                <w:spacing w:val="2"/>
                <w:kern w:val="0"/>
                <w:szCs w:val="21"/>
                <w:lang w:val="en-US" w:eastAsia="zh-CN"/>
              </w:rPr>
              <w:t>3</w:t>
            </w:r>
            <w:r>
              <w:rPr>
                <w:rFonts w:ascii="宋体" w:hAnsi="宋体" w:eastAsia="宋体" w:cs="Times New Roman"/>
                <w:color w:val="000000"/>
                <w:spacing w:val="2"/>
                <w:kern w:val="0"/>
                <w:szCs w:val="21"/>
              </w:rPr>
              <w:t>：</w:t>
            </w:r>
            <w:r>
              <w:rPr>
                <w:rFonts w:hint="eastAsia" w:ascii="宋体" w:hAnsi="宋体" w:eastAsia="等线" w:cs="宋体"/>
                <w:sz w:val="20"/>
                <w:szCs w:val="20"/>
              </w:rPr>
              <w:t>【自身修养良好】具有较好的人文</w:t>
            </w:r>
            <w:r>
              <w:rPr>
                <w:rFonts w:hint="eastAsia" w:ascii="等线" w:hAnsi="等线" w:eastAsia="等线" w:cs="宋体"/>
                <w:sz w:val="20"/>
                <w:szCs w:val="20"/>
              </w:rPr>
              <w:t>艺术</w:t>
            </w:r>
            <w:r>
              <w:rPr>
                <w:rFonts w:hint="eastAsia" w:ascii="宋体" w:hAnsi="宋体" w:eastAsia="等线" w:cs="宋体"/>
                <w:sz w:val="20"/>
                <w:szCs w:val="20"/>
              </w:rPr>
              <w:t>底蕴与科学精神，言行举止符合教师职业标准，情感积极，人格健全，身心健康。</w:t>
            </w:r>
          </w:p>
        </w:tc>
        <w:tc>
          <w:tcPr>
            <w:tcW w:w="1191" w:type="dxa"/>
            <w:vAlign w:val="center"/>
          </w:tcPr>
          <w:p w14:paraId="7084F54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5A55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949AE2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7B3E786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lang w:val="en-US" w:eastAsia="zh-CN"/>
              </w:rPr>
              <w:t>2</w:t>
            </w:r>
            <w:r>
              <w:rPr>
                <w:rFonts w:ascii="宋体" w:hAnsi="宋体" w:eastAsia="宋体" w:cs="Times New Roman"/>
                <w:color w:val="000000"/>
                <w:spacing w:val="2"/>
                <w:kern w:val="0"/>
                <w:szCs w:val="21"/>
              </w:rPr>
              <w:t>：</w:t>
            </w:r>
            <w:r>
              <w:rPr>
                <w:rFonts w:hint="eastAsia" w:ascii="宋体" w:hAnsi="宋体" w:eastAsia="等线"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67B05C2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0DAF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38E4C82">
            <w:pPr>
              <w:spacing w:line="276" w:lineRule="auto"/>
              <w:jc w:val="left"/>
              <w:rPr>
                <w:rFonts w:hint="default" w:ascii="Times New Roman" w:hAnsi="Times New Roman" w:eastAsia="宋体" w:cs="Times New Roman"/>
                <w:szCs w:val="21"/>
                <w:lang w:val="en-US"/>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4教学能力</w:t>
            </w:r>
          </w:p>
        </w:tc>
        <w:tc>
          <w:tcPr>
            <w:tcW w:w="5688" w:type="dxa"/>
            <w:vAlign w:val="center"/>
          </w:tcPr>
          <w:p w14:paraId="16CC5D1B">
            <w:pPr>
              <w:spacing w:line="276" w:lineRule="auto"/>
              <w:jc w:val="left"/>
              <w:rPr>
                <w:rFonts w:ascii="宋体" w:hAnsi="宋体" w:eastAsia="宋体" w:cs="Times New Roman"/>
                <w:color w:val="000000"/>
                <w:kern w:val="0"/>
                <w:szCs w:val="21"/>
              </w:rPr>
            </w:pPr>
            <w:r>
              <w:rPr>
                <w:rFonts w:ascii="宋体" w:hAnsi="宋体" w:eastAsia="宋体" w:cs="Times New Roman"/>
                <w:color w:val="000000"/>
                <w:kern w:val="0"/>
                <w:szCs w:val="21"/>
              </w:rPr>
              <w:t>指标点</w:t>
            </w:r>
            <w:r>
              <w:rPr>
                <w:rFonts w:hint="eastAsia" w:ascii="宋体" w:hAnsi="宋体" w:eastAsia="宋体" w:cs="Times New Roman"/>
                <w:color w:val="000000"/>
                <w:kern w:val="0"/>
                <w:szCs w:val="21"/>
                <w:lang w:val="en-US" w:eastAsia="zh-CN"/>
              </w:rPr>
              <w:t>4</w:t>
            </w:r>
            <w:r>
              <w:rPr>
                <w:rFonts w:ascii="宋体" w:hAnsi="宋体" w:eastAsia="宋体" w:cs="Times New Roman"/>
                <w:color w:val="000000"/>
                <w:kern w:val="0"/>
                <w:szCs w:val="21"/>
              </w:rPr>
              <w:t>-1：</w:t>
            </w:r>
            <w:r>
              <w:rPr>
                <w:rFonts w:hint="eastAsia" w:ascii="宋体" w:hAnsi="宋体" w:eastAsia="等线"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p w14:paraId="35F14B0E">
            <w:pPr>
              <w:spacing w:line="276" w:lineRule="auto"/>
              <w:jc w:val="left"/>
              <w:rPr>
                <w:rFonts w:ascii="Times New Roman" w:hAnsi="Times New Roman" w:eastAsia="宋体" w:cs="Times New Roman"/>
                <w:szCs w:val="21"/>
              </w:rPr>
            </w:pPr>
          </w:p>
        </w:tc>
        <w:tc>
          <w:tcPr>
            <w:tcW w:w="1191" w:type="dxa"/>
            <w:vAlign w:val="center"/>
          </w:tcPr>
          <w:p w14:paraId="286C7F4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09B46779">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4F7F3961">
      <w:pPr>
        <w:spacing w:line="360" w:lineRule="auto"/>
        <w:ind w:firstLine="411" w:firstLineChars="196"/>
        <w:jc w:val="left"/>
        <w:rPr>
          <w:rFonts w:hint="eastAsia" w:ascii="Times New Roman" w:hAnsi="Times New Roman" w:eastAsia="宋体" w:cs="Times New Roman"/>
          <w:color w:val="000000"/>
          <w:sz w:val="24"/>
          <w:szCs w:val="24"/>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C84E4D8">
      <w:pPr>
        <w:spacing w:line="360" w:lineRule="auto"/>
        <w:ind w:firstLine="562" w:firstLineChars="200"/>
        <w:rPr>
          <w:rFonts w:hint="default" w:ascii="宋体" w:hAnsi="宋体" w:eastAsia="宋体" w:cs="Times New Roman"/>
          <w:b/>
          <w:sz w:val="28"/>
          <w:szCs w:val="28"/>
          <w:lang w:val="en-US"/>
        </w:rPr>
      </w:pPr>
      <w:r>
        <w:rPr>
          <w:rFonts w:hint="eastAsia" w:ascii="宋体" w:hAnsi="宋体" w:eastAsia="宋体" w:cs="Times New Roman"/>
          <w:b/>
          <w:sz w:val="28"/>
          <w:szCs w:val="28"/>
        </w:rPr>
        <w:t>三、课程内容</w:t>
      </w:r>
      <w:r>
        <w:rPr>
          <w:rFonts w:hint="eastAsia" w:ascii="宋体" w:hAnsi="宋体" w:eastAsia="宋体" w:cs="Times New Roman"/>
          <w:b/>
          <w:sz w:val="28"/>
          <w:szCs w:val="28"/>
          <w:lang w:val="en-US" w:eastAsia="zh-CN"/>
        </w:rPr>
        <w:t>与预期学习</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2550"/>
        <w:gridCol w:w="863"/>
        <w:gridCol w:w="3013"/>
        <w:gridCol w:w="950"/>
        <w:gridCol w:w="497"/>
      </w:tblGrid>
      <w:tr w14:paraId="1853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5AF18B">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228AF2C">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0" w:type="auto"/>
            <w:vAlign w:val="center"/>
          </w:tcPr>
          <w:p w14:paraId="14F5348D">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0" w:type="auto"/>
            <w:vAlign w:val="center"/>
          </w:tcPr>
          <w:p w14:paraId="02A5EA3A">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391B2C9B">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0" w:type="auto"/>
            <w:vAlign w:val="center"/>
          </w:tcPr>
          <w:p w14:paraId="0E184080">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0" w:type="auto"/>
            <w:vAlign w:val="center"/>
          </w:tcPr>
          <w:p w14:paraId="078F6056">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0" w:type="auto"/>
            <w:vAlign w:val="center"/>
          </w:tcPr>
          <w:p w14:paraId="0B2169AE">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3699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11F2D96">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鲁迅</w:t>
            </w:r>
          </w:p>
        </w:tc>
        <w:tc>
          <w:tcPr>
            <w:tcW w:w="0" w:type="auto"/>
            <w:vAlign w:val="center"/>
          </w:tcPr>
          <w:p w14:paraId="4C54DFFB">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鲁迅小说《呐喊》与《彷徨》</w:t>
            </w:r>
          </w:p>
          <w:p w14:paraId="3E8E2B9F">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鲁迅散文《野草》与《朝花夕拾》</w:t>
            </w:r>
          </w:p>
          <w:p w14:paraId="334F821B">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有关鲁迅研究之重要文献介绍</w:t>
            </w:r>
          </w:p>
          <w:p w14:paraId="7AFC851D">
            <w:pPr>
              <w:spacing w:line="269" w:lineRule="auto"/>
              <w:jc w:val="left"/>
              <w:rPr>
                <w:rFonts w:ascii="宋体" w:hAnsi="宋体" w:eastAsia="宋体" w:cs="Times New Roman"/>
                <w:color w:val="000000"/>
                <w:szCs w:val="21"/>
              </w:rPr>
            </w:pPr>
          </w:p>
        </w:tc>
        <w:tc>
          <w:tcPr>
            <w:tcW w:w="0" w:type="auto"/>
            <w:vAlign w:val="center"/>
          </w:tcPr>
          <w:p w14:paraId="46D4B8D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0" w:type="auto"/>
            <w:vAlign w:val="center"/>
          </w:tcPr>
          <w:p w14:paraId="18BFD69C">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了解《呐喊》与《彷徨》对中国传统小说的革命性突破</w:t>
            </w:r>
          </w:p>
          <w:p w14:paraId="6E1AFF7D">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把握鲁迅散文的思想意涵和艺术风格</w:t>
            </w:r>
          </w:p>
          <w:p w14:paraId="5D49C391">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理解鲁迅对传统的“偏激</w:t>
            </w:r>
            <w:r>
              <w:rPr>
                <w:rFonts w:ascii="宋体" w:hAnsi="宋体" w:eastAsia="宋体" w:cs="宋体"/>
                <w:color w:val="000000"/>
                <w:sz w:val="24"/>
                <w:szCs w:val="24"/>
              </w:rPr>
              <w:t xml:space="preserve"> </w:t>
            </w:r>
            <w:r>
              <w:rPr>
                <w:rFonts w:hint="eastAsia" w:ascii="宋体" w:hAnsi="宋体" w:eastAsia="宋体" w:cs="宋体"/>
                <w:color w:val="000000"/>
                <w:sz w:val="24"/>
                <w:szCs w:val="24"/>
              </w:rPr>
              <w:t>”与时代语境</w:t>
            </w:r>
          </w:p>
          <w:p w14:paraId="5C342955">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了解鲁迅的国民性批判思想与启蒙精神</w:t>
            </w:r>
          </w:p>
          <w:p w14:paraId="223752DC">
            <w:pPr>
              <w:spacing w:line="269" w:lineRule="auto"/>
              <w:jc w:val="left"/>
              <w:rPr>
                <w:rFonts w:ascii="宋体" w:hAnsi="宋体" w:eastAsia="宋体" w:cs="Times New Roman"/>
                <w:color w:val="000000"/>
                <w:szCs w:val="21"/>
              </w:rPr>
            </w:pPr>
          </w:p>
        </w:tc>
        <w:tc>
          <w:tcPr>
            <w:tcW w:w="0" w:type="auto"/>
            <w:vAlign w:val="center"/>
          </w:tcPr>
          <w:p w14:paraId="0489BDE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0CE89C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9DAD08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0" w:type="auto"/>
            <w:vAlign w:val="center"/>
          </w:tcPr>
          <w:p w14:paraId="2FEFA0A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5993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73418C6">
            <w:pPr>
              <w:spacing w:line="264" w:lineRule="auto"/>
              <w:jc w:val="center"/>
              <w:rPr>
                <w:rFonts w:ascii="宋体" w:hAnsi="宋体" w:eastAsia="宋体" w:cs="Times New Roman"/>
                <w:color w:val="000000"/>
                <w:szCs w:val="21"/>
              </w:rPr>
            </w:pPr>
          </w:p>
        </w:tc>
        <w:tc>
          <w:tcPr>
            <w:tcW w:w="0" w:type="auto"/>
            <w:gridSpan w:val="5"/>
            <w:vAlign w:val="center"/>
          </w:tcPr>
          <w:p w14:paraId="40DEA6A2">
            <w:pPr>
              <w:spacing w:line="360" w:lineRule="auto"/>
              <w:ind w:firstLine="422" w:firstLineChars="200"/>
              <w:rPr>
                <w:rFonts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让学生充分理解鲁迅关注民众的生活状态和精神面貌，关心人民疾苦的博大胸怀,从而培养学生正确的世界观、人生观与价值观。</w:t>
            </w:r>
          </w:p>
          <w:p w14:paraId="118CC044">
            <w:pPr>
              <w:spacing w:line="269" w:lineRule="auto"/>
              <w:jc w:val="left"/>
              <w:rPr>
                <w:rFonts w:ascii="宋体" w:hAnsi="宋体" w:eastAsia="宋体" w:cs="Times New Roman"/>
                <w:color w:val="000000"/>
                <w:szCs w:val="21"/>
              </w:rPr>
            </w:pPr>
          </w:p>
        </w:tc>
      </w:tr>
      <w:tr w14:paraId="302A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6DDBCE4">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周作人</w:t>
            </w:r>
          </w:p>
        </w:tc>
        <w:tc>
          <w:tcPr>
            <w:tcW w:w="0" w:type="auto"/>
            <w:vAlign w:val="center"/>
          </w:tcPr>
          <w:p w14:paraId="6E0C531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周作人的文学观：“人的文学”</w:t>
            </w:r>
          </w:p>
          <w:p w14:paraId="129E828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“言志”和“自己的园地”：对“载道文学”的否定</w:t>
            </w:r>
          </w:p>
          <w:p w14:paraId="4CEBFDAD">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周作人散文的涩味、简单味和趣味</w:t>
            </w:r>
          </w:p>
          <w:p w14:paraId="5D76F0CB">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周作人对中国现代散文的影响</w:t>
            </w:r>
          </w:p>
          <w:p w14:paraId="08AFC857">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5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⑸</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郁达夫等对周作人散文的评价</w:t>
            </w:r>
          </w:p>
          <w:p w14:paraId="46E56EDB">
            <w:pPr>
              <w:spacing w:line="269" w:lineRule="auto"/>
              <w:jc w:val="left"/>
              <w:rPr>
                <w:rFonts w:ascii="宋体" w:hAnsi="宋体" w:eastAsia="宋体" w:cs="Times New Roman"/>
                <w:color w:val="000000"/>
                <w:szCs w:val="21"/>
              </w:rPr>
            </w:pPr>
          </w:p>
        </w:tc>
        <w:tc>
          <w:tcPr>
            <w:tcW w:w="0" w:type="auto"/>
            <w:vAlign w:val="center"/>
          </w:tcPr>
          <w:p w14:paraId="51F39EB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0" w:type="auto"/>
            <w:vAlign w:val="center"/>
          </w:tcPr>
          <w:p w14:paraId="46C713E3">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了解周作人“人的文学”之文学观</w:t>
            </w:r>
          </w:p>
          <w:p w14:paraId="1D6BBEBB">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理解并掌握周作人散文“言志”意涵</w:t>
            </w:r>
          </w:p>
          <w:p w14:paraId="6A0F225C">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了解周作人散文涩味、简单味和趣味的个性特质</w:t>
            </w:r>
          </w:p>
          <w:p w14:paraId="7C42FC15">
            <w:pPr>
              <w:spacing w:line="269" w:lineRule="auto"/>
              <w:jc w:val="left"/>
              <w:rPr>
                <w:rFonts w:ascii="宋体" w:hAnsi="宋体" w:eastAsia="宋体" w:cs="Times New Roman"/>
                <w:color w:val="000000"/>
                <w:szCs w:val="21"/>
              </w:rPr>
            </w:pPr>
          </w:p>
        </w:tc>
        <w:tc>
          <w:tcPr>
            <w:tcW w:w="0" w:type="auto"/>
            <w:vAlign w:val="center"/>
          </w:tcPr>
          <w:p w14:paraId="5B938AD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CFFC58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3F3AAF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0" w:type="auto"/>
            <w:vAlign w:val="center"/>
          </w:tcPr>
          <w:p w14:paraId="4F3774D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5F8E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F797FF8">
            <w:pPr>
              <w:spacing w:line="264" w:lineRule="auto"/>
              <w:jc w:val="center"/>
              <w:rPr>
                <w:rFonts w:ascii="宋体" w:hAnsi="宋体" w:eastAsia="宋体" w:cs="Times New Roman"/>
                <w:color w:val="000000"/>
                <w:szCs w:val="21"/>
              </w:rPr>
            </w:pPr>
          </w:p>
        </w:tc>
        <w:tc>
          <w:tcPr>
            <w:tcW w:w="0" w:type="auto"/>
            <w:gridSpan w:val="5"/>
            <w:vAlign w:val="center"/>
          </w:tcPr>
          <w:p w14:paraId="6BE10CA6">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w:t>
            </w:r>
          </w:p>
        </w:tc>
      </w:tr>
      <w:tr w14:paraId="70D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63BAEAC">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巴金</w:t>
            </w:r>
          </w:p>
        </w:tc>
        <w:tc>
          <w:tcPr>
            <w:tcW w:w="0" w:type="auto"/>
            <w:vAlign w:val="center"/>
          </w:tcPr>
          <w:p w14:paraId="6F572AFA">
            <w:pPr>
              <w:spacing w:line="360" w:lineRule="auto"/>
              <w:ind w:firstLine="480" w:firstLineChars="200"/>
              <w:jc w:val="left"/>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从青春激情到悲哀忧郁：巴金的前后期小说</w:t>
            </w:r>
          </w:p>
          <w:p w14:paraId="36DB039F">
            <w:pPr>
              <w:spacing w:line="360" w:lineRule="auto"/>
              <w:ind w:firstLine="480" w:firstLineChars="200"/>
              <w:jc w:val="left"/>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《激流三部曲》与《红楼梦》的比较</w:t>
            </w:r>
          </w:p>
          <w:p w14:paraId="6AA1D8D6">
            <w:pPr>
              <w:spacing w:line="360" w:lineRule="auto"/>
              <w:ind w:firstLine="480" w:firstLineChars="200"/>
              <w:jc w:val="left"/>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“家”和“激流”的寓意及文学中“家”的叙事向度</w:t>
            </w:r>
          </w:p>
          <w:p w14:paraId="66513DE6">
            <w:pPr>
              <w:spacing w:line="360" w:lineRule="auto"/>
              <w:ind w:firstLine="480" w:firstLineChars="200"/>
              <w:jc w:val="left"/>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一部说真话的大书：《随想录》</w:t>
            </w:r>
          </w:p>
          <w:p w14:paraId="3ED492EF">
            <w:pPr>
              <w:spacing w:line="360" w:lineRule="auto"/>
              <w:ind w:firstLine="480" w:firstLineChars="200"/>
              <w:jc w:val="left"/>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5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⑸</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陈思和等当代学者的巴金研究概况</w:t>
            </w:r>
          </w:p>
          <w:p w14:paraId="020E3C37">
            <w:pPr>
              <w:spacing w:line="269" w:lineRule="auto"/>
              <w:jc w:val="left"/>
              <w:rPr>
                <w:rFonts w:ascii="宋体" w:hAnsi="宋体" w:eastAsia="宋体" w:cs="Times New Roman"/>
                <w:color w:val="000000"/>
                <w:szCs w:val="21"/>
              </w:rPr>
            </w:pPr>
          </w:p>
        </w:tc>
        <w:tc>
          <w:tcPr>
            <w:tcW w:w="0" w:type="auto"/>
            <w:vAlign w:val="center"/>
          </w:tcPr>
          <w:p w14:paraId="45EC571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课程目标2、3</w:t>
            </w:r>
          </w:p>
        </w:tc>
        <w:tc>
          <w:tcPr>
            <w:tcW w:w="0" w:type="auto"/>
            <w:vAlign w:val="center"/>
          </w:tcPr>
          <w:p w14:paraId="53CC0E75">
            <w:pPr>
              <w:spacing w:line="360" w:lineRule="auto"/>
              <w:ind w:firstLine="480" w:firstLineChars="200"/>
              <w:jc w:val="left"/>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理解“家”的寓意及文学中“家”的叙事向度</w:t>
            </w:r>
          </w:p>
          <w:p w14:paraId="4A008AC5">
            <w:pPr>
              <w:spacing w:line="360" w:lineRule="auto"/>
              <w:ind w:firstLine="480" w:firstLineChars="200"/>
              <w:jc w:val="left"/>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了解巴金的前后期小说创作风格的转变</w:t>
            </w:r>
          </w:p>
          <w:p w14:paraId="2F4CEE08">
            <w:pPr>
              <w:spacing w:line="360" w:lineRule="auto"/>
              <w:ind w:firstLine="480" w:firstLineChars="200"/>
              <w:jc w:val="left"/>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理解《随想录》对历史的反思与自省意识</w:t>
            </w:r>
          </w:p>
          <w:p w14:paraId="6F0946F9">
            <w:pPr>
              <w:spacing w:line="269" w:lineRule="auto"/>
              <w:jc w:val="left"/>
              <w:rPr>
                <w:rFonts w:ascii="宋体" w:hAnsi="宋体" w:eastAsia="宋体" w:cs="Times New Roman"/>
                <w:color w:val="000000"/>
                <w:szCs w:val="21"/>
              </w:rPr>
            </w:pPr>
          </w:p>
        </w:tc>
        <w:tc>
          <w:tcPr>
            <w:tcW w:w="0" w:type="auto"/>
            <w:vAlign w:val="center"/>
          </w:tcPr>
          <w:p w14:paraId="51C174B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F02987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70F329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5E5096A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4CFE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5594660">
            <w:pPr>
              <w:spacing w:line="264" w:lineRule="auto"/>
              <w:jc w:val="center"/>
              <w:rPr>
                <w:rFonts w:ascii="宋体" w:hAnsi="宋体" w:eastAsia="宋体" w:cs="Times New Roman"/>
                <w:color w:val="000000"/>
                <w:szCs w:val="21"/>
              </w:rPr>
            </w:pPr>
          </w:p>
        </w:tc>
        <w:tc>
          <w:tcPr>
            <w:tcW w:w="0" w:type="auto"/>
            <w:gridSpan w:val="5"/>
            <w:vAlign w:val="center"/>
          </w:tcPr>
          <w:p w14:paraId="7D40EF15">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118C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460AAAB6">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老舍</w:t>
            </w:r>
          </w:p>
        </w:tc>
        <w:tc>
          <w:tcPr>
            <w:tcW w:w="0" w:type="auto"/>
            <w:vAlign w:val="center"/>
          </w:tcPr>
          <w:p w14:paraId="32122037">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老舍的市民世界和文化反思</w:t>
            </w:r>
          </w:p>
          <w:p w14:paraId="17A19C00">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《骆驼祥子》：</w:t>
            </w:r>
            <w:r>
              <w:rPr>
                <w:rFonts w:ascii="宋体" w:hAnsi="宋体" w:eastAsia="宋体" w:cs="宋体"/>
                <w:color w:val="000000"/>
                <w:sz w:val="24"/>
                <w:szCs w:val="24"/>
              </w:rPr>
              <w:t>Nothing</w:t>
            </w:r>
            <w:r>
              <w:rPr>
                <w:rFonts w:hint="eastAsia" w:ascii="宋体" w:hAnsi="宋体" w:eastAsia="宋体" w:cs="宋体"/>
                <w:color w:val="000000"/>
                <w:sz w:val="24"/>
                <w:szCs w:val="24"/>
              </w:rPr>
              <w:t>：康拉德式的主题结构</w:t>
            </w:r>
          </w:p>
          <w:p w14:paraId="23B04EC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老舍作品的京味和幽默</w:t>
            </w:r>
          </w:p>
          <w:p w14:paraId="6B41CAEB">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《茶馆》与老舍的戏剧观</w:t>
            </w:r>
          </w:p>
          <w:p w14:paraId="3954AEA5">
            <w:pPr>
              <w:spacing w:line="276" w:lineRule="auto"/>
              <w:jc w:val="left"/>
              <w:rPr>
                <w:rFonts w:ascii="宋体" w:hAnsi="宋体" w:eastAsia="宋体" w:cs="Times New Roman"/>
                <w:color w:val="000000"/>
                <w:szCs w:val="21"/>
              </w:rPr>
            </w:pPr>
          </w:p>
        </w:tc>
        <w:tc>
          <w:tcPr>
            <w:tcW w:w="0" w:type="auto"/>
            <w:vAlign w:val="center"/>
          </w:tcPr>
          <w:p w14:paraId="489988A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4BDAFA01">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了解《骆驼祥子》的主题意涵</w:t>
            </w:r>
          </w:p>
          <w:p w14:paraId="7B2140C3">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理解《茶馆》戏剧结构和老舍的戏剧观</w:t>
            </w:r>
          </w:p>
          <w:p w14:paraId="3C5BD11E">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GB1</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⒊</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课程思政育人目标</w:t>
            </w:r>
          </w:p>
          <w:p w14:paraId="717E4665">
            <w:pPr>
              <w:spacing w:line="276" w:lineRule="auto"/>
              <w:jc w:val="left"/>
              <w:rPr>
                <w:rFonts w:ascii="宋体" w:hAnsi="宋体" w:eastAsia="宋体" w:cs="Times New Roman"/>
                <w:color w:val="000000"/>
                <w:szCs w:val="21"/>
              </w:rPr>
            </w:pPr>
          </w:p>
        </w:tc>
        <w:tc>
          <w:tcPr>
            <w:tcW w:w="0" w:type="auto"/>
            <w:vAlign w:val="center"/>
          </w:tcPr>
          <w:p w14:paraId="69AD094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A28E3A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3A03CC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56D4E7A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274C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A1FE836">
            <w:pPr>
              <w:spacing w:line="276" w:lineRule="auto"/>
              <w:jc w:val="center"/>
              <w:rPr>
                <w:rFonts w:ascii="宋体" w:hAnsi="宋体" w:eastAsia="宋体" w:cs="Times New Roman"/>
                <w:color w:val="000000"/>
                <w:szCs w:val="21"/>
              </w:rPr>
            </w:pPr>
          </w:p>
        </w:tc>
        <w:tc>
          <w:tcPr>
            <w:tcW w:w="0" w:type="auto"/>
            <w:gridSpan w:val="5"/>
            <w:vAlign w:val="center"/>
          </w:tcPr>
          <w:p w14:paraId="6518C4C0">
            <w:pPr>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让学生充分认识老舍对下层平民生活的关心，树立社会主义理想，增强社会主义使命意识和社会责任感。</w:t>
            </w:r>
          </w:p>
          <w:p w14:paraId="50961276">
            <w:pPr>
              <w:spacing w:line="276" w:lineRule="auto"/>
              <w:jc w:val="left"/>
              <w:rPr>
                <w:rFonts w:ascii="宋体" w:hAnsi="宋体" w:eastAsia="宋体" w:cs="Times New Roman"/>
                <w:color w:val="000000"/>
                <w:szCs w:val="21"/>
              </w:rPr>
            </w:pPr>
          </w:p>
        </w:tc>
      </w:tr>
      <w:tr w14:paraId="221D7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44E8271">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沈从文</w:t>
            </w:r>
          </w:p>
        </w:tc>
        <w:tc>
          <w:tcPr>
            <w:tcW w:w="0" w:type="auto"/>
            <w:vAlign w:val="center"/>
          </w:tcPr>
          <w:p w14:paraId="3D6CAAE9">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沈从文与“京派文学”</w:t>
            </w:r>
          </w:p>
          <w:p w14:paraId="6DDA6C84">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沈从文的“湘西世界”小说创作</w:t>
            </w:r>
          </w:p>
          <w:p w14:paraId="0F3E8B69">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沈从文散文《湘行散记》和《湘西》</w:t>
            </w:r>
          </w:p>
          <w:p w14:paraId="2962BD0D">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沈从文的文体风格和语言特征</w:t>
            </w:r>
          </w:p>
          <w:p w14:paraId="438DCFC1">
            <w:pPr>
              <w:spacing w:line="276" w:lineRule="auto"/>
              <w:jc w:val="left"/>
              <w:rPr>
                <w:rFonts w:ascii="宋体" w:hAnsi="宋体" w:eastAsia="宋体" w:cs="Times New Roman"/>
                <w:color w:val="000000"/>
                <w:szCs w:val="21"/>
              </w:rPr>
            </w:pPr>
          </w:p>
        </w:tc>
        <w:tc>
          <w:tcPr>
            <w:tcW w:w="0" w:type="auto"/>
            <w:vAlign w:val="center"/>
          </w:tcPr>
          <w:p w14:paraId="5D377D5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1FC7CB21">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了解沈从文及“京派”的文学观</w:t>
            </w:r>
          </w:p>
          <w:p w14:paraId="012F85CB">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理解沈从文的“湘西世界”审美及其文学理想</w:t>
            </w:r>
          </w:p>
          <w:p w14:paraId="489C27DB">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了解沈从文的文体风格和语言特征</w:t>
            </w:r>
          </w:p>
          <w:p w14:paraId="395AF1C9">
            <w:pPr>
              <w:spacing w:line="276" w:lineRule="auto"/>
              <w:jc w:val="left"/>
              <w:rPr>
                <w:rFonts w:ascii="宋体" w:hAnsi="宋体" w:eastAsia="宋体" w:cs="Times New Roman"/>
                <w:color w:val="000000"/>
                <w:szCs w:val="21"/>
              </w:rPr>
            </w:pPr>
          </w:p>
        </w:tc>
        <w:tc>
          <w:tcPr>
            <w:tcW w:w="0" w:type="auto"/>
            <w:vAlign w:val="center"/>
          </w:tcPr>
          <w:p w14:paraId="2A576E4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6DE457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B03908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1D757B9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76CC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1C252DE">
            <w:pPr>
              <w:spacing w:line="276" w:lineRule="auto"/>
              <w:jc w:val="center"/>
              <w:rPr>
                <w:rFonts w:ascii="宋体" w:hAnsi="宋体" w:eastAsia="宋体" w:cs="Times New Roman"/>
                <w:color w:val="000000"/>
                <w:szCs w:val="21"/>
              </w:rPr>
            </w:pPr>
          </w:p>
        </w:tc>
        <w:tc>
          <w:tcPr>
            <w:tcW w:w="0" w:type="auto"/>
            <w:gridSpan w:val="5"/>
            <w:vAlign w:val="center"/>
          </w:tcPr>
          <w:p w14:paraId="24B35556">
            <w:pPr>
              <w:spacing w:line="360" w:lineRule="auto"/>
              <w:ind w:firstLine="422" w:firstLineChars="200"/>
              <w:rPr>
                <w:rFonts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把绿水青山就是金山银山的重要发展理念和习近平总书记关于生态文明的重要论述与授课内容有机融合，加强生态文明教育，引导学生树立崇尚自然、尊重自然的理念，切实增强学生投身生态文明建设的责任感、使命感。</w:t>
            </w:r>
          </w:p>
          <w:p w14:paraId="52EAB6CC">
            <w:pPr>
              <w:spacing w:line="276" w:lineRule="auto"/>
              <w:jc w:val="left"/>
              <w:rPr>
                <w:rFonts w:ascii="宋体" w:hAnsi="宋体" w:eastAsia="宋体" w:cs="Times New Roman"/>
                <w:color w:val="000000"/>
                <w:szCs w:val="21"/>
              </w:rPr>
            </w:pPr>
          </w:p>
        </w:tc>
      </w:tr>
      <w:tr w14:paraId="3234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BA46DC5">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6.</w:t>
            </w:r>
            <w:r>
              <w:rPr>
                <w:rFonts w:hint="eastAsia" w:ascii="宋体" w:hAnsi="宋体" w:eastAsia="宋体" w:cs="Times New Roman"/>
                <w:color w:val="000000"/>
                <w:szCs w:val="21"/>
                <w:lang w:val="en-US" w:eastAsia="zh-CN"/>
              </w:rPr>
              <w:t>曹禺</w:t>
            </w:r>
          </w:p>
        </w:tc>
        <w:tc>
          <w:tcPr>
            <w:tcW w:w="0" w:type="auto"/>
            <w:vAlign w:val="center"/>
          </w:tcPr>
          <w:p w14:paraId="78536532">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曹禺的人生阅历和艺术渊源</w:t>
            </w:r>
          </w:p>
          <w:p w14:paraId="389EFCA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《雷雨》创作的“本意”与“误读”</w:t>
            </w:r>
          </w:p>
          <w:p w14:paraId="203E9D7F">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《日出》及曹禺戏剧风格的转型</w:t>
            </w:r>
          </w:p>
          <w:p w14:paraId="215B5724">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曹禺研究中的不同视角和观点</w:t>
            </w:r>
          </w:p>
          <w:p w14:paraId="4BD91094">
            <w:pPr>
              <w:spacing w:line="276" w:lineRule="auto"/>
              <w:jc w:val="left"/>
              <w:rPr>
                <w:rFonts w:ascii="宋体" w:hAnsi="宋体" w:eastAsia="宋体" w:cs="Times New Roman"/>
                <w:color w:val="000000"/>
                <w:szCs w:val="21"/>
              </w:rPr>
            </w:pPr>
          </w:p>
        </w:tc>
        <w:tc>
          <w:tcPr>
            <w:tcW w:w="0" w:type="auto"/>
            <w:vAlign w:val="center"/>
          </w:tcPr>
          <w:p w14:paraId="3F782FA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395F8859">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了解《雷雨》创作的“本意”与“误读”</w:t>
            </w:r>
          </w:p>
          <w:p w14:paraId="05457C5D">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了解曹禺戏剧风格的转型</w:t>
            </w:r>
          </w:p>
          <w:p w14:paraId="7E4970AE">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了解曹禺话剧创作对中国现代话剧的巨大贡献</w:t>
            </w:r>
          </w:p>
          <w:p w14:paraId="5C4FDCE1">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了解曹禺研究中的不同视角和观点</w:t>
            </w:r>
          </w:p>
          <w:p w14:paraId="7358A964">
            <w:pPr>
              <w:spacing w:line="276" w:lineRule="auto"/>
              <w:jc w:val="left"/>
              <w:rPr>
                <w:rFonts w:ascii="宋体" w:hAnsi="宋体" w:eastAsia="宋体" w:cs="Times New Roman"/>
                <w:color w:val="000000"/>
                <w:szCs w:val="21"/>
              </w:rPr>
            </w:pPr>
          </w:p>
        </w:tc>
        <w:tc>
          <w:tcPr>
            <w:tcW w:w="0" w:type="auto"/>
            <w:vAlign w:val="center"/>
          </w:tcPr>
          <w:p w14:paraId="690533F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94D02C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66829F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195B416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3088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E11AD76">
            <w:pPr>
              <w:spacing w:line="276" w:lineRule="auto"/>
              <w:jc w:val="center"/>
              <w:rPr>
                <w:rFonts w:ascii="宋体" w:hAnsi="宋体" w:eastAsia="宋体" w:cs="Times New Roman"/>
                <w:color w:val="000000"/>
                <w:szCs w:val="21"/>
              </w:rPr>
            </w:pPr>
          </w:p>
        </w:tc>
        <w:tc>
          <w:tcPr>
            <w:tcW w:w="0" w:type="auto"/>
            <w:gridSpan w:val="5"/>
            <w:vAlign w:val="center"/>
          </w:tcPr>
          <w:p w14:paraId="67511D1E">
            <w:pPr>
              <w:spacing w:line="360" w:lineRule="auto"/>
              <w:ind w:firstLine="422" w:firstLineChars="200"/>
              <w:rPr>
                <w:rFonts w:hint="eastAsia"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通过对曹禺现代戏剧冲突和戏剧人物分析，培育学生的国家意识、法治意识、社会责任意识和个人诚信意识，从而提升自身的社会公德、职业道德、家庭美德和个人品德。</w:t>
            </w:r>
          </w:p>
          <w:p w14:paraId="0D7F8F66">
            <w:pPr>
              <w:spacing w:line="360" w:lineRule="auto"/>
              <w:ind w:firstLine="480" w:firstLineChars="200"/>
              <w:rPr>
                <w:rFonts w:ascii="宋体" w:hAnsi="宋体" w:eastAsia="宋体" w:cs="宋体"/>
                <w:color w:val="000000"/>
                <w:sz w:val="24"/>
                <w:szCs w:val="24"/>
              </w:rPr>
            </w:pPr>
          </w:p>
          <w:p w14:paraId="47CF27A4">
            <w:pPr>
              <w:spacing w:line="276" w:lineRule="auto"/>
              <w:jc w:val="left"/>
              <w:rPr>
                <w:rFonts w:ascii="宋体" w:hAnsi="宋体" w:eastAsia="宋体" w:cs="Times New Roman"/>
                <w:color w:val="000000"/>
                <w:szCs w:val="21"/>
              </w:rPr>
            </w:pPr>
          </w:p>
        </w:tc>
      </w:tr>
      <w:tr w14:paraId="5031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3F44A2B">
            <w:pPr>
              <w:spacing w:line="276" w:lineRule="auto"/>
              <w:jc w:val="center"/>
              <w:rPr>
                <w:rFonts w:hint="eastAsia" w:ascii="宋体" w:hAnsi="宋体" w:eastAsia="宋体" w:cs="Times New Roman"/>
                <w:szCs w:val="21"/>
                <w:lang w:val="en-US" w:eastAsia="zh-CN"/>
              </w:rPr>
            </w:pPr>
            <w:r>
              <w:rPr>
                <w:rFonts w:hint="eastAsia" w:ascii="宋体" w:hAnsi="宋体" w:eastAsia="宋体" w:cs="Times New Roman"/>
                <w:szCs w:val="21"/>
              </w:rPr>
              <w:t>7.</w:t>
            </w:r>
            <w:r>
              <w:rPr>
                <w:rFonts w:hint="eastAsia" w:ascii="宋体" w:hAnsi="宋体" w:eastAsia="宋体" w:cs="Times New Roman"/>
                <w:szCs w:val="21"/>
                <w:lang w:val="en-US" w:eastAsia="zh-CN"/>
              </w:rPr>
              <w:t>戴望舒</w:t>
            </w:r>
          </w:p>
        </w:tc>
        <w:tc>
          <w:tcPr>
            <w:tcW w:w="0" w:type="auto"/>
            <w:vAlign w:val="center"/>
          </w:tcPr>
          <w:p w14:paraId="41DB1A5C">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戴望舒和现代诗派</w:t>
            </w:r>
          </w:p>
          <w:p w14:paraId="6FC539EE">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从《雨巷》到《我的记忆》</w:t>
            </w:r>
          </w:p>
          <w:p w14:paraId="5EF94E87">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《寻梦者》和《乐园鸟》的内蕴</w:t>
            </w:r>
          </w:p>
          <w:p w14:paraId="22C3DAD1">
            <w:pPr>
              <w:spacing w:line="276" w:lineRule="auto"/>
              <w:jc w:val="left"/>
              <w:rPr>
                <w:rFonts w:ascii="宋体" w:hAnsi="宋体" w:eastAsia="宋体" w:cs="Times New Roman"/>
                <w:szCs w:val="21"/>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西方象征派诗歌与中国传统诗学的融合</w:t>
            </w:r>
          </w:p>
        </w:tc>
        <w:tc>
          <w:tcPr>
            <w:tcW w:w="0" w:type="auto"/>
            <w:vAlign w:val="center"/>
          </w:tcPr>
          <w:p w14:paraId="774DB1B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6DDF6C17">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了解戴望舒和现代诗派的诗艺探索</w:t>
            </w:r>
          </w:p>
          <w:p w14:paraId="0A052675">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理解《寻梦者》和《乐园鸟》的内蕴</w:t>
            </w:r>
          </w:p>
          <w:p w14:paraId="579086DB">
            <w:pPr>
              <w:spacing w:line="276" w:lineRule="auto"/>
              <w:jc w:val="left"/>
              <w:rPr>
                <w:rFonts w:ascii="宋体" w:hAnsi="宋体" w:eastAsia="宋体" w:cs="Times New Roman"/>
                <w:color w:val="000000"/>
                <w:szCs w:val="21"/>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理解西方象征派诗歌与中国传统诗学的融合</w:t>
            </w:r>
          </w:p>
        </w:tc>
        <w:tc>
          <w:tcPr>
            <w:tcW w:w="0" w:type="auto"/>
            <w:vAlign w:val="center"/>
          </w:tcPr>
          <w:p w14:paraId="6369542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05A632D">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E5979B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12DEA54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379A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D323AB1">
            <w:pPr>
              <w:spacing w:line="276" w:lineRule="auto"/>
              <w:jc w:val="center"/>
              <w:rPr>
                <w:rFonts w:ascii="宋体" w:hAnsi="宋体" w:eastAsia="宋体" w:cs="Times New Roman"/>
                <w:color w:val="000000"/>
                <w:szCs w:val="21"/>
              </w:rPr>
            </w:pPr>
          </w:p>
        </w:tc>
        <w:tc>
          <w:tcPr>
            <w:tcW w:w="0" w:type="auto"/>
            <w:gridSpan w:val="5"/>
            <w:vAlign w:val="center"/>
          </w:tcPr>
          <w:p w14:paraId="7C741685">
            <w:pPr>
              <w:spacing w:line="360" w:lineRule="auto"/>
              <w:ind w:firstLine="422" w:firstLineChars="200"/>
              <w:rPr>
                <w:rFonts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结合现代诗学理论对现代派诗歌创作进行细致深入的分析，使学生进一步认识艺术源于生活的艺术观念，树立以诗歌反映社会现实的马克思主义诗学观。</w:t>
            </w:r>
          </w:p>
          <w:p w14:paraId="6597361C">
            <w:pPr>
              <w:spacing w:line="276" w:lineRule="auto"/>
              <w:jc w:val="left"/>
              <w:rPr>
                <w:rFonts w:ascii="宋体" w:hAnsi="宋体" w:eastAsia="宋体" w:cs="Times New Roman"/>
                <w:color w:val="000000"/>
                <w:szCs w:val="21"/>
              </w:rPr>
            </w:pPr>
          </w:p>
        </w:tc>
      </w:tr>
      <w:tr w14:paraId="4C20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1C8FDEA">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8.</w:t>
            </w:r>
            <w:r>
              <w:rPr>
                <w:rFonts w:hint="eastAsia" w:ascii="宋体" w:hAnsi="宋体" w:eastAsia="宋体" w:cs="Times New Roman"/>
                <w:color w:val="000000"/>
                <w:szCs w:val="21"/>
                <w:lang w:val="en-US" w:eastAsia="zh-CN"/>
              </w:rPr>
              <w:t>张爱玲</w:t>
            </w:r>
          </w:p>
        </w:tc>
        <w:tc>
          <w:tcPr>
            <w:tcW w:w="0" w:type="auto"/>
            <w:vAlign w:val="center"/>
          </w:tcPr>
          <w:p w14:paraId="62F7F812">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张爱玲的《传奇》和《流言》</w:t>
            </w:r>
          </w:p>
          <w:p w14:paraId="5F289DE4">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《金锁记》的人性原欲叙述</w:t>
            </w:r>
          </w:p>
          <w:p w14:paraId="376915F4">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张爱玲小说艺术的“创新”与“袭旧”</w:t>
            </w:r>
          </w:p>
          <w:p w14:paraId="75D1F73D">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“张爱玲热”与张爱玲研究概况</w:t>
            </w:r>
          </w:p>
          <w:p w14:paraId="56A09593">
            <w:pPr>
              <w:spacing w:line="264" w:lineRule="auto"/>
              <w:jc w:val="left"/>
              <w:rPr>
                <w:rFonts w:ascii="宋体" w:hAnsi="宋体" w:eastAsia="宋体" w:cs="Times New Roman"/>
                <w:color w:val="000000"/>
                <w:szCs w:val="21"/>
              </w:rPr>
            </w:pPr>
          </w:p>
        </w:tc>
        <w:tc>
          <w:tcPr>
            <w:tcW w:w="0" w:type="auto"/>
            <w:vAlign w:val="center"/>
          </w:tcPr>
          <w:p w14:paraId="69BA60A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0B9E2C56">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了解张爱玲的《传奇》和《流言》概况</w:t>
            </w:r>
          </w:p>
          <w:p w14:paraId="595EAA6C">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把握《金锁记》的主题意蕴和艺术特质</w:t>
            </w:r>
          </w:p>
          <w:p w14:paraId="66E8F05F">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理解张爱玲小说艺术的“创新”和“袭旧”</w:t>
            </w:r>
          </w:p>
          <w:p w14:paraId="787580B7">
            <w:pPr>
              <w:spacing w:line="264" w:lineRule="auto"/>
              <w:jc w:val="left"/>
              <w:rPr>
                <w:rFonts w:ascii="宋体" w:hAnsi="宋体" w:eastAsia="宋体" w:cs="Times New Roman"/>
                <w:color w:val="000000"/>
                <w:szCs w:val="21"/>
              </w:rPr>
            </w:pPr>
          </w:p>
        </w:tc>
        <w:tc>
          <w:tcPr>
            <w:tcW w:w="0" w:type="auto"/>
            <w:vAlign w:val="center"/>
          </w:tcPr>
          <w:p w14:paraId="1AA8CDA2">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8FDBAD0">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6D9D74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5D42F27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5FE9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35322D0">
            <w:pPr>
              <w:spacing w:line="264" w:lineRule="auto"/>
              <w:jc w:val="center"/>
              <w:rPr>
                <w:rFonts w:ascii="宋体" w:hAnsi="宋体" w:eastAsia="宋体" w:cs="Times New Roman"/>
                <w:color w:val="000000"/>
                <w:szCs w:val="21"/>
              </w:rPr>
            </w:pPr>
          </w:p>
        </w:tc>
        <w:tc>
          <w:tcPr>
            <w:tcW w:w="0" w:type="auto"/>
            <w:gridSpan w:val="5"/>
            <w:vAlign w:val="center"/>
          </w:tcPr>
          <w:p w14:paraId="57B8353E">
            <w:pPr>
              <w:spacing w:line="360" w:lineRule="auto"/>
              <w:ind w:firstLine="422" w:firstLineChars="200"/>
              <w:rPr>
                <w:rFonts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培养学生马克思主义历史观，正确认识个人利益和国家利益的关系，把个人前途和祖国命运联系起来，时刻关注国家命运及民生疾苦，并自觉承担社会责任。</w:t>
            </w:r>
          </w:p>
          <w:p w14:paraId="7704DB6E">
            <w:pPr>
              <w:spacing w:line="264" w:lineRule="auto"/>
              <w:jc w:val="left"/>
              <w:rPr>
                <w:rFonts w:ascii="宋体" w:hAnsi="宋体" w:eastAsia="宋体" w:cs="Times New Roman"/>
                <w:color w:val="000000"/>
                <w:szCs w:val="21"/>
              </w:rPr>
            </w:pPr>
          </w:p>
        </w:tc>
      </w:tr>
      <w:tr w14:paraId="679F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823D438">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9.</w:t>
            </w:r>
            <w:r>
              <w:rPr>
                <w:rFonts w:hint="eastAsia" w:ascii="宋体" w:hAnsi="宋体" w:eastAsia="宋体" w:cs="Times New Roman"/>
                <w:color w:val="000000"/>
                <w:szCs w:val="21"/>
                <w:lang w:val="en-US" w:eastAsia="zh-CN"/>
              </w:rPr>
              <w:t>汪曾祺</w:t>
            </w:r>
          </w:p>
        </w:tc>
        <w:tc>
          <w:tcPr>
            <w:tcW w:w="0" w:type="auto"/>
            <w:vAlign w:val="center"/>
          </w:tcPr>
          <w:p w14:paraId="584E1160">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汪曾祺小说的审美世界</w:t>
            </w:r>
          </w:p>
          <w:p w14:paraId="5FF32379">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《受戒》和《大淖记事》</w:t>
            </w:r>
          </w:p>
          <w:p w14:paraId="2E8F1CF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汪曾祺小说的文学史意义</w:t>
            </w:r>
          </w:p>
          <w:p w14:paraId="77B3B1E6">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从平淡到苍凉：艺术风格的转型</w:t>
            </w:r>
          </w:p>
          <w:p w14:paraId="1D000307">
            <w:pPr>
              <w:spacing w:line="264" w:lineRule="auto"/>
              <w:jc w:val="left"/>
              <w:rPr>
                <w:rFonts w:ascii="宋体" w:hAnsi="宋体" w:eastAsia="宋体" w:cs="Times New Roman"/>
                <w:color w:val="000000"/>
                <w:szCs w:val="21"/>
              </w:rPr>
            </w:pPr>
          </w:p>
        </w:tc>
        <w:tc>
          <w:tcPr>
            <w:tcW w:w="0" w:type="auto"/>
            <w:vAlign w:val="center"/>
          </w:tcPr>
          <w:p w14:paraId="54FF3EDA">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0" w:type="auto"/>
            <w:vAlign w:val="center"/>
          </w:tcPr>
          <w:p w14:paraId="54825B1C">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把握《受戒》《大淖记事》等呈现的汪曾祺小说审美世界</w:t>
            </w:r>
          </w:p>
          <w:p w14:paraId="2198FA4A">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了解汪曾祺小说的文学史意义</w:t>
            </w:r>
          </w:p>
          <w:p w14:paraId="284786C3">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了解汪曾祺前后期小说艺术风格的转型</w:t>
            </w:r>
          </w:p>
          <w:p w14:paraId="1A4EDF61">
            <w:pPr>
              <w:spacing w:line="264" w:lineRule="auto"/>
              <w:jc w:val="left"/>
              <w:rPr>
                <w:rFonts w:ascii="宋体" w:hAnsi="宋体" w:eastAsia="宋体" w:cs="Times New Roman"/>
                <w:color w:val="000000"/>
                <w:szCs w:val="21"/>
              </w:rPr>
            </w:pPr>
          </w:p>
        </w:tc>
        <w:tc>
          <w:tcPr>
            <w:tcW w:w="0" w:type="auto"/>
            <w:vAlign w:val="center"/>
          </w:tcPr>
          <w:p w14:paraId="36FC584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DF07348">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DF2E94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76DB46F5">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19A5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B406883">
            <w:pPr>
              <w:spacing w:line="264" w:lineRule="auto"/>
              <w:jc w:val="center"/>
              <w:rPr>
                <w:rFonts w:ascii="宋体" w:hAnsi="宋体" w:eastAsia="宋体" w:cs="Times New Roman"/>
                <w:color w:val="000000"/>
                <w:szCs w:val="21"/>
              </w:rPr>
            </w:pPr>
          </w:p>
        </w:tc>
        <w:tc>
          <w:tcPr>
            <w:tcW w:w="0" w:type="auto"/>
            <w:gridSpan w:val="5"/>
            <w:vAlign w:val="center"/>
          </w:tcPr>
          <w:p w14:paraId="481D92FE">
            <w:pPr>
              <w:spacing w:line="360" w:lineRule="auto"/>
              <w:ind w:firstLine="422" w:firstLineChars="200"/>
              <w:rPr>
                <w:rFonts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引导学生树立崇尚自然、尊重自然的理念，切实增强学生投身生态文明建设的责任感、使命感。</w:t>
            </w:r>
          </w:p>
          <w:p w14:paraId="7E3BCBCB">
            <w:pPr>
              <w:spacing w:line="264" w:lineRule="auto"/>
              <w:jc w:val="left"/>
              <w:rPr>
                <w:rFonts w:ascii="宋体" w:hAnsi="宋体" w:eastAsia="宋体" w:cs="Times New Roman"/>
                <w:color w:val="000000"/>
                <w:szCs w:val="21"/>
              </w:rPr>
            </w:pPr>
          </w:p>
        </w:tc>
      </w:tr>
      <w:tr w14:paraId="7B95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12746C3">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10.</w:t>
            </w:r>
            <w:r>
              <w:rPr>
                <w:rFonts w:hint="eastAsia" w:ascii="宋体" w:hAnsi="宋体" w:eastAsia="宋体" w:cs="Times New Roman"/>
                <w:color w:val="000000"/>
                <w:szCs w:val="21"/>
                <w:lang w:val="en-US" w:eastAsia="zh-CN"/>
              </w:rPr>
              <w:t>莫言</w:t>
            </w:r>
          </w:p>
        </w:tc>
        <w:tc>
          <w:tcPr>
            <w:tcW w:w="0" w:type="auto"/>
            <w:vAlign w:val="center"/>
          </w:tcPr>
          <w:p w14:paraId="1955CE6F">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“高密东北乡”：莫言的中国民间故事和历史</w:t>
            </w:r>
          </w:p>
          <w:p w14:paraId="5093D7A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《红高粱》和《丰乳肥臀》</w:t>
            </w:r>
          </w:p>
          <w:p w14:paraId="06629EC9">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《蛙》</w:t>
            </w:r>
          </w:p>
          <w:p w14:paraId="1C265097">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莫言小说的艺术贡献</w:t>
            </w:r>
          </w:p>
          <w:p w14:paraId="09EDF26A">
            <w:pPr>
              <w:spacing w:line="264" w:lineRule="auto"/>
              <w:jc w:val="left"/>
              <w:rPr>
                <w:rFonts w:ascii="宋体" w:hAnsi="宋体" w:eastAsia="宋体" w:cs="Times New Roman"/>
                <w:color w:val="000000"/>
                <w:szCs w:val="21"/>
              </w:rPr>
            </w:pPr>
          </w:p>
        </w:tc>
        <w:tc>
          <w:tcPr>
            <w:tcW w:w="0" w:type="auto"/>
            <w:vAlign w:val="center"/>
          </w:tcPr>
          <w:p w14:paraId="30606AC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1374D59C">
            <w:pPr>
              <w:spacing w:line="264" w:lineRule="auto"/>
              <w:jc w:val="center"/>
              <w:rPr>
                <w:rFonts w:ascii="宋体" w:hAnsi="宋体" w:eastAsia="宋体" w:cs="Times New Roman"/>
                <w:color w:val="000000"/>
                <w:szCs w:val="21"/>
              </w:rPr>
            </w:pPr>
          </w:p>
        </w:tc>
        <w:tc>
          <w:tcPr>
            <w:tcW w:w="0" w:type="auto"/>
            <w:vAlign w:val="center"/>
          </w:tcPr>
          <w:p w14:paraId="07B0DF69">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了解“高密东北乡</w:t>
            </w:r>
            <w:r>
              <w:rPr>
                <w:rFonts w:ascii="宋体" w:hAnsi="宋体" w:eastAsia="宋体" w:cs="宋体"/>
                <w:color w:val="000000"/>
                <w:sz w:val="24"/>
                <w:szCs w:val="24"/>
              </w:rPr>
              <w:t>”</w:t>
            </w:r>
            <w:r>
              <w:rPr>
                <w:rFonts w:hint="eastAsia" w:ascii="宋体" w:hAnsi="宋体" w:eastAsia="宋体" w:cs="宋体"/>
                <w:color w:val="000000"/>
                <w:sz w:val="24"/>
                <w:szCs w:val="24"/>
              </w:rPr>
              <w:t>对莫言创作的影响</w:t>
            </w:r>
          </w:p>
          <w:p w14:paraId="1CE96CD2">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理解《红高粱》和《丰乳肥臀》的思想意蕴</w:t>
            </w:r>
          </w:p>
          <w:p w14:paraId="7301221C">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理解《蛙》中乡土蛮荒的文学景观和人性的畸变</w:t>
            </w:r>
          </w:p>
          <w:p w14:paraId="06B03F94">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知晓莫言小说的艺术贡献：“以魔幻现实主义融合民间故事、历史和现实”</w:t>
            </w:r>
          </w:p>
          <w:p w14:paraId="6198B6DD">
            <w:pPr>
              <w:spacing w:line="264" w:lineRule="auto"/>
              <w:jc w:val="left"/>
              <w:rPr>
                <w:rFonts w:ascii="宋体" w:hAnsi="宋体" w:eastAsia="宋体" w:cs="Times New Roman"/>
                <w:color w:val="000000"/>
                <w:szCs w:val="21"/>
              </w:rPr>
            </w:pPr>
          </w:p>
        </w:tc>
        <w:tc>
          <w:tcPr>
            <w:tcW w:w="0" w:type="auto"/>
            <w:vAlign w:val="center"/>
          </w:tcPr>
          <w:p w14:paraId="6892DC8E">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57D3628">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F701EB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4AEC2D8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1E9D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464E9B5">
            <w:pPr>
              <w:spacing w:line="264" w:lineRule="auto"/>
              <w:jc w:val="center"/>
              <w:rPr>
                <w:rFonts w:ascii="宋体" w:hAnsi="宋体" w:eastAsia="宋体" w:cs="Times New Roman"/>
                <w:color w:val="000000"/>
                <w:szCs w:val="21"/>
              </w:rPr>
            </w:pPr>
          </w:p>
        </w:tc>
        <w:tc>
          <w:tcPr>
            <w:tcW w:w="0" w:type="auto"/>
            <w:gridSpan w:val="5"/>
            <w:vAlign w:val="center"/>
          </w:tcPr>
          <w:p w14:paraId="4A860783">
            <w:pPr>
              <w:spacing w:line="360" w:lineRule="auto"/>
              <w:ind w:firstLine="422" w:firstLineChars="200"/>
              <w:rPr>
                <w:rFonts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通过对莫言小说的深入解读，让学生认识个人与国家的紧密关系，培养学生的爱国主义情操。</w:t>
            </w:r>
          </w:p>
          <w:p w14:paraId="1DF5CEEA">
            <w:pPr>
              <w:spacing w:line="264" w:lineRule="auto"/>
              <w:jc w:val="left"/>
              <w:rPr>
                <w:rFonts w:ascii="宋体" w:hAnsi="宋体" w:eastAsia="宋体" w:cs="Times New Roman"/>
                <w:color w:val="000000"/>
                <w:szCs w:val="21"/>
              </w:rPr>
            </w:pPr>
          </w:p>
        </w:tc>
      </w:tr>
      <w:tr w14:paraId="1F5B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0886C35">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贾平凹</w:t>
            </w:r>
          </w:p>
        </w:tc>
        <w:tc>
          <w:tcPr>
            <w:tcW w:w="0" w:type="auto"/>
            <w:vAlign w:val="center"/>
          </w:tcPr>
          <w:p w14:paraId="658A86EB">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《商州初录》</w:t>
            </w:r>
          </w:p>
          <w:p w14:paraId="0DBD6DEA">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《废都》</w:t>
            </w:r>
          </w:p>
          <w:p w14:paraId="3F6DE08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《秦腔》</w:t>
            </w:r>
          </w:p>
          <w:p w14:paraId="1701ABBC">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《带灯》</w:t>
            </w:r>
          </w:p>
          <w:p w14:paraId="54ECAB68">
            <w:pPr>
              <w:spacing w:line="264" w:lineRule="auto"/>
              <w:jc w:val="left"/>
              <w:rPr>
                <w:rFonts w:ascii="宋体" w:hAnsi="宋体" w:eastAsia="宋体" w:cs="Times New Roman"/>
                <w:color w:val="000000"/>
                <w:szCs w:val="21"/>
              </w:rPr>
            </w:pPr>
          </w:p>
        </w:tc>
        <w:tc>
          <w:tcPr>
            <w:tcW w:w="0" w:type="auto"/>
            <w:vAlign w:val="center"/>
          </w:tcPr>
          <w:p w14:paraId="07B964BD">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3A96811F">
            <w:pPr>
              <w:spacing w:line="264" w:lineRule="auto"/>
              <w:jc w:val="center"/>
              <w:rPr>
                <w:rFonts w:ascii="宋体" w:hAnsi="宋体" w:eastAsia="宋体" w:cs="Times New Roman"/>
                <w:color w:val="000000"/>
                <w:szCs w:val="21"/>
              </w:rPr>
            </w:pPr>
          </w:p>
        </w:tc>
        <w:tc>
          <w:tcPr>
            <w:tcW w:w="0" w:type="auto"/>
            <w:vAlign w:val="center"/>
          </w:tcPr>
          <w:p w14:paraId="7CA21656">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理解《商州初录》有关陕南山区风土人情的诗性叙写</w:t>
            </w:r>
          </w:p>
          <w:p w14:paraId="32128435">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了解《废都》有关古城西京的生活世相叙述和“世纪末”意蕴</w:t>
            </w:r>
          </w:p>
          <w:p w14:paraId="427C9682">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了解《秦腔》对中国乡村和传统文化的哀歌表现</w:t>
            </w:r>
          </w:p>
          <w:p w14:paraId="4CD7A0E3">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理解《带灯》的“在现实与梦境中穿行”之人生形式</w:t>
            </w:r>
          </w:p>
          <w:p w14:paraId="22E3020D">
            <w:pPr>
              <w:spacing w:line="264" w:lineRule="auto"/>
              <w:jc w:val="left"/>
              <w:rPr>
                <w:rFonts w:ascii="宋体" w:hAnsi="宋体" w:eastAsia="宋体" w:cs="Times New Roman"/>
                <w:color w:val="000000"/>
                <w:szCs w:val="21"/>
              </w:rPr>
            </w:pPr>
          </w:p>
        </w:tc>
        <w:tc>
          <w:tcPr>
            <w:tcW w:w="0" w:type="auto"/>
            <w:vAlign w:val="center"/>
          </w:tcPr>
          <w:p w14:paraId="1518C8A6">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54EA41D">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D9BFE38">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04CD442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6BE3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E044C6C">
            <w:pPr>
              <w:spacing w:line="264" w:lineRule="auto"/>
              <w:jc w:val="center"/>
              <w:rPr>
                <w:rFonts w:ascii="宋体" w:hAnsi="宋体" w:eastAsia="宋体" w:cs="Times New Roman"/>
                <w:color w:val="000000"/>
                <w:szCs w:val="21"/>
              </w:rPr>
            </w:pPr>
          </w:p>
        </w:tc>
        <w:tc>
          <w:tcPr>
            <w:tcW w:w="0" w:type="auto"/>
            <w:gridSpan w:val="5"/>
            <w:vAlign w:val="center"/>
          </w:tcPr>
          <w:p w14:paraId="0CC23BDB">
            <w:pPr>
              <w:spacing w:line="360" w:lineRule="auto"/>
              <w:ind w:firstLine="422" w:firstLineChars="200"/>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通过对贾平凹重要小说的析评，让学生感受文本中人物积极进取的人格魅力与人生智慧，从而努力塑造高尚的人格、美好的情操和自觉的爱国主义精神。</w:t>
            </w:r>
          </w:p>
        </w:tc>
      </w:tr>
      <w:tr w14:paraId="674D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4989CD6">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2.余华</w:t>
            </w:r>
          </w:p>
        </w:tc>
        <w:tc>
          <w:tcPr>
            <w:tcW w:w="0" w:type="auto"/>
            <w:vAlign w:val="center"/>
          </w:tcPr>
          <w:p w14:paraId="0D1E2767">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余华与中国先锋小说的艺术探索</w:t>
            </w:r>
          </w:p>
          <w:p w14:paraId="40289BE4">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《十八岁出门远行》和《现实一种》</w:t>
            </w:r>
          </w:p>
          <w:p w14:paraId="77062B92">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 xml:space="preserve"> 20世纪</w:t>
            </w:r>
            <w:r>
              <w:rPr>
                <w:rFonts w:ascii="宋体" w:hAnsi="宋体" w:eastAsia="宋体" w:cs="宋体"/>
                <w:color w:val="000000"/>
                <w:sz w:val="24"/>
                <w:szCs w:val="24"/>
              </w:rPr>
              <w:t>90</w:t>
            </w:r>
            <w:r>
              <w:rPr>
                <w:rFonts w:hint="eastAsia" w:ascii="宋体" w:hAnsi="宋体" w:eastAsia="宋体" w:cs="宋体"/>
                <w:color w:val="000000"/>
                <w:sz w:val="24"/>
                <w:szCs w:val="24"/>
              </w:rPr>
              <w:t>年代余华小说的转型</w:t>
            </w:r>
          </w:p>
          <w:p w14:paraId="40ABEEBF">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《活着》和《许三观卖血记》</w:t>
            </w:r>
          </w:p>
          <w:p w14:paraId="2ED6FCD0">
            <w:pPr>
              <w:spacing w:line="264" w:lineRule="auto"/>
              <w:jc w:val="left"/>
              <w:rPr>
                <w:rFonts w:ascii="宋体" w:hAnsi="宋体" w:eastAsia="宋体" w:cs="Times New Roman"/>
                <w:color w:val="000000"/>
                <w:szCs w:val="21"/>
              </w:rPr>
            </w:pPr>
          </w:p>
        </w:tc>
        <w:tc>
          <w:tcPr>
            <w:tcW w:w="0" w:type="auto"/>
            <w:vAlign w:val="center"/>
          </w:tcPr>
          <w:p w14:paraId="20B43E7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0B18FE04">
            <w:pPr>
              <w:spacing w:line="264" w:lineRule="auto"/>
              <w:jc w:val="center"/>
              <w:rPr>
                <w:rFonts w:ascii="宋体" w:hAnsi="宋体" w:eastAsia="宋体" w:cs="Times New Roman"/>
                <w:color w:val="000000"/>
                <w:szCs w:val="21"/>
              </w:rPr>
            </w:pPr>
          </w:p>
        </w:tc>
        <w:tc>
          <w:tcPr>
            <w:tcW w:w="0" w:type="auto"/>
            <w:vAlign w:val="center"/>
          </w:tcPr>
          <w:p w14:paraId="7802CC83">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了解当代中国先锋小说的艺术探索概况</w:t>
            </w:r>
          </w:p>
          <w:p w14:paraId="195FEF87">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理解余华早期小说的创作主旨和艺术特征</w:t>
            </w:r>
          </w:p>
          <w:p w14:paraId="3EEF6559">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了解20世纪</w:t>
            </w:r>
            <w:r>
              <w:rPr>
                <w:rFonts w:ascii="宋体" w:hAnsi="宋体" w:eastAsia="宋体" w:cs="宋体"/>
                <w:color w:val="000000"/>
                <w:sz w:val="24"/>
                <w:szCs w:val="24"/>
              </w:rPr>
              <w:t>90</w:t>
            </w:r>
            <w:r>
              <w:rPr>
                <w:rFonts w:hint="eastAsia" w:ascii="宋体" w:hAnsi="宋体" w:eastAsia="宋体" w:cs="宋体"/>
                <w:color w:val="000000"/>
                <w:sz w:val="24"/>
                <w:szCs w:val="24"/>
              </w:rPr>
              <w:t>年代余华小说的转型情况及其意义</w:t>
            </w:r>
          </w:p>
          <w:p w14:paraId="2574A3D5">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理解《活着》和《许三观卖血记》叙事主题和艺术特征</w:t>
            </w:r>
          </w:p>
          <w:p w14:paraId="67CFBAEC">
            <w:pPr>
              <w:spacing w:line="264" w:lineRule="auto"/>
              <w:jc w:val="left"/>
              <w:rPr>
                <w:rFonts w:ascii="宋体" w:hAnsi="宋体" w:eastAsia="宋体" w:cs="Times New Roman"/>
                <w:color w:val="000000"/>
                <w:szCs w:val="21"/>
              </w:rPr>
            </w:pPr>
          </w:p>
        </w:tc>
        <w:tc>
          <w:tcPr>
            <w:tcW w:w="0" w:type="auto"/>
            <w:vAlign w:val="center"/>
          </w:tcPr>
          <w:p w14:paraId="3CF82FD3">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BD67D3F">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292615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0973870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2A80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52BD0BB">
            <w:pPr>
              <w:spacing w:line="264" w:lineRule="auto"/>
              <w:jc w:val="center"/>
              <w:rPr>
                <w:rFonts w:ascii="宋体" w:hAnsi="宋体" w:eastAsia="宋体" w:cs="Times New Roman"/>
                <w:color w:val="000000"/>
                <w:szCs w:val="21"/>
              </w:rPr>
            </w:pPr>
          </w:p>
        </w:tc>
        <w:tc>
          <w:tcPr>
            <w:tcW w:w="0" w:type="auto"/>
            <w:gridSpan w:val="5"/>
            <w:vAlign w:val="center"/>
          </w:tcPr>
          <w:p w14:paraId="16F806E1">
            <w:pPr>
              <w:spacing w:line="360" w:lineRule="auto"/>
              <w:ind w:firstLine="422" w:firstLineChars="200"/>
              <w:rPr>
                <w:rFonts w:ascii="宋体" w:hAnsi="宋体" w:eastAsia="宋体" w:cs="宋体"/>
                <w:color w:val="000000"/>
                <w:sz w:val="24"/>
                <w:szCs w:val="24"/>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通过对余华重要小说的深入分析，让学生认识到个人命运与社会环境的复杂关系，从而培养学生的历史使命感与社会责任感。</w:t>
            </w:r>
          </w:p>
          <w:p w14:paraId="207221D3">
            <w:pPr>
              <w:spacing w:line="360" w:lineRule="auto"/>
              <w:ind w:firstLine="480" w:firstLineChars="200"/>
              <w:rPr>
                <w:rFonts w:ascii="宋体" w:hAnsi="宋体" w:eastAsia="宋体" w:cs="宋体"/>
                <w:color w:val="000000"/>
                <w:sz w:val="24"/>
                <w:szCs w:val="24"/>
              </w:rPr>
            </w:pPr>
          </w:p>
          <w:p w14:paraId="427C2B99">
            <w:pPr>
              <w:spacing w:line="264" w:lineRule="auto"/>
              <w:jc w:val="left"/>
              <w:rPr>
                <w:rFonts w:ascii="宋体" w:hAnsi="宋体" w:eastAsia="宋体" w:cs="Times New Roman"/>
                <w:color w:val="000000"/>
                <w:szCs w:val="21"/>
              </w:rPr>
            </w:pPr>
          </w:p>
        </w:tc>
      </w:tr>
      <w:tr w14:paraId="4083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F14BA6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3.阎连科</w:t>
            </w:r>
          </w:p>
        </w:tc>
        <w:tc>
          <w:tcPr>
            <w:tcW w:w="0" w:type="auto"/>
            <w:vAlign w:val="center"/>
          </w:tcPr>
          <w:p w14:paraId="49AAB5D8">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 xml:space="preserve"> 阎连科——“上天和生活选定那个感受黑暗的人”</w:t>
            </w:r>
          </w:p>
          <w:p w14:paraId="5812BC59">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《日光流年》</w:t>
            </w:r>
          </w:p>
          <w:p w14:paraId="0FF5F1C5">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《受活》</w:t>
            </w:r>
          </w:p>
          <w:p w14:paraId="4A47E1A3">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4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⑷</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 xml:space="preserve"> 阎连科小说的美学风貌</w:t>
            </w:r>
          </w:p>
          <w:p w14:paraId="64E80B93">
            <w:pPr>
              <w:spacing w:line="264" w:lineRule="auto"/>
              <w:jc w:val="left"/>
              <w:rPr>
                <w:rFonts w:ascii="宋体" w:hAnsi="宋体" w:eastAsia="宋体" w:cs="Times New Roman"/>
                <w:color w:val="000000"/>
                <w:szCs w:val="21"/>
              </w:rPr>
            </w:pPr>
          </w:p>
        </w:tc>
        <w:tc>
          <w:tcPr>
            <w:tcW w:w="0" w:type="auto"/>
            <w:vAlign w:val="center"/>
          </w:tcPr>
          <w:p w14:paraId="5EDEEEA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p w14:paraId="65685091">
            <w:pPr>
              <w:spacing w:line="264" w:lineRule="auto"/>
              <w:jc w:val="center"/>
              <w:rPr>
                <w:rFonts w:ascii="宋体" w:hAnsi="宋体" w:eastAsia="宋体" w:cs="Times New Roman"/>
                <w:color w:val="000000"/>
                <w:szCs w:val="21"/>
              </w:rPr>
            </w:pPr>
          </w:p>
        </w:tc>
        <w:tc>
          <w:tcPr>
            <w:tcW w:w="0" w:type="auto"/>
            <w:vAlign w:val="center"/>
          </w:tcPr>
          <w:p w14:paraId="58C73FF5">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1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⑴</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理解《日光流年》中有关中国农民苦难命运的极致书写</w:t>
            </w:r>
          </w:p>
          <w:p w14:paraId="461D6D92">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2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⑵</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了解《受活》的寓言化写作与“荒诞现实主义”特点</w:t>
            </w:r>
          </w:p>
          <w:p w14:paraId="5A47FF0F">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fldChar w:fldCharType="begin"/>
            </w:r>
            <w:r>
              <w:rPr>
                <w:rFonts w:ascii="宋体" w:hAnsi="宋体" w:eastAsia="宋体" w:cs="宋体"/>
                <w:color w:val="000000"/>
                <w:sz w:val="24"/>
                <w:szCs w:val="24"/>
              </w:rPr>
              <w:instrText xml:space="preserve"> </w:instrText>
            </w:r>
            <w:r>
              <w:rPr>
                <w:rFonts w:hint="eastAsia" w:ascii="宋体" w:hAnsi="宋体" w:eastAsia="宋体" w:cs="宋体"/>
                <w:color w:val="000000"/>
                <w:sz w:val="24"/>
                <w:szCs w:val="24"/>
              </w:rPr>
              <w:instrText xml:space="preserve">= 3 \* GB2</w:instrText>
            </w:r>
            <w:r>
              <w:rPr>
                <w:rFonts w:ascii="宋体" w:hAnsi="宋体" w:eastAsia="宋体" w:cs="宋体"/>
                <w:color w:val="000000"/>
                <w:sz w:val="24"/>
                <w:szCs w:val="24"/>
              </w:rPr>
              <w:instrText xml:space="preserve"> </w:instrText>
            </w:r>
            <w:r>
              <w:rPr>
                <w:rFonts w:ascii="宋体" w:hAnsi="宋体" w:eastAsia="宋体" w:cs="宋体"/>
                <w:color w:val="000000"/>
                <w:sz w:val="24"/>
                <w:szCs w:val="24"/>
              </w:rPr>
              <w:fldChar w:fldCharType="separate"/>
            </w:r>
            <w:r>
              <w:rPr>
                <w:rFonts w:hint="eastAsia" w:ascii="宋体" w:hAnsi="宋体" w:eastAsia="宋体" w:cs="宋体"/>
                <w:color w:val="000000"/>
                <w:sz w:val="24"/>
                <w:szCs w:val="24"/>
                <w:lang w:val="en-US" w:eastAsia="zh-CN"/>
              </w:rPr>
              <w:t>⑶</w:t>
            </w:r>
            <w:r>
              <w:rPr>
                <w:rFonts w:ascii="宋体" w:hAnsi="宋体" w:eastAsia="宋体" w:cs="宋体"/>
                <w:color w:val="000000"/>
                <w:sz w:val="24"/>
                <w:szCs w:val="24"/>
              </w:rPr>
              <w:fldChar w:fldCharType="end"/>
            </w:r>
            <w:r>
              <w:rPr>
                <w:rFonts w:hint="eastAsia" w:ascii="宋体" w:hAnsi="宋体" w:eastAsia="宋体" w:cs="宋体"/>
                <w:color w:val="000000"/>
                <w:sz w:val="24"/>
                <w:szCs w:val="24"/>
              </w:rPr>
              <w:t>了解阎连科小说的美学风貌——“接地气的想象”</w:t>
            </w:r>
          </w:p>
          <w:p w14:paraId="3D4EDE39">
            <w:pPr>
              <w:spacing w:line="264" w:lineRule="auto"/>
              <w:jc w:val="left"/>
              <w:rPr>
                <w:rFonts w:ascii="宋体" w:hAnsi="宋体" w:eastAsia="宋体" w:cs="Times New Roman"/>
                <w:color w:val="000000"/>
                <w:szCs w:val="21"/>
              </w:rPr>
            </w:pPr>
          </w:p>
        </w:tc>
        <w:tc>
          <w:tcPr>
            <w:tcW w:w="0" w:type="auto"/>
            <w:vAlign w:val="center"/>
          </w:tcPr>
          <w:p w14:paraId="6A2B79FD">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072198B">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6EE2566">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0" w:type="auto"/>
            <w:vAlign w:val="center"/>
          </w:tcPr>
          <w:p w14:paraId="206484A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0739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95AC38E">
            <w:pPr>
              <w:spacing w:line="264" w:lineRule="auto"/>
              <w:jc w:val="center"/>
              <w:rPr>
                <w:rFonts w:ascii="宋体" w:hAnsi="宋体" w:eastAsia="宋体" w:cs="Times New Roman"/>
                <w:color w:val="000000"/>
                <w:szCs w:val="21"/>
              </w:rPr>
            </w:pPr>
          </w:p>
        </w:tc>
        <w:tc>
          <w:tcPr>
            <w:tcW w:w="0" w:type="auto"/>
            <w:gridSpan w:val="5"/>
            <w:vAlign w:val="center"/>
          </w:tcPr>
          <w:p w14:paraId="68FA3F0B">
            <w:pPr>
              <w:spacing w:line="360" w:lineRule="auto"/>
              <w:ind w:firstLine="422" w:firstLineChars="200"/>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宋体"/>
                <w:color w:val="000000"/>
                <w:sz w:val="24"/>
                <w:szCs w:val="24"/>
              </w:rPr>
              <w:t>通过解读作品，帮助学生了解中国社会发展的苦难历程，加强革命文化和社会主义先进文化教育，引导学生厚植爱国主义情怀和社会主义使命感。</w:t>
            </w:r>
          </w:p>
        </w:tc>
      </w:tr>
    </w:tbl>
    <w:p w14:paraId="130F4DB7">
      <w:pPr>
        <w:spacing w:line="360" w:lineRule="auto"/>
        <w:rPr>
          <w:rFonts w:hint="eastAsia" w:ascii="Times New Roman" w:hAnsi="Times New Roman" w:eastAsia="宋体" w:cs="Times New Roman"/>
          <w:color w:val="000000"/>
          <w:sz w:val="24"/>
          <w:szCs w:val="24"/>
        </w:rPr>
      </w:pPr>
    </w:p>
    <w:p w14:paraId="40F74959">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FF9088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4FAF10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B9F66C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056"/>
        <w:gridCol w:w="1056"/>
        <w:gridCol w:w="1056"/>
        <w:gridCol w:w="767"/>
      </w:tblGrid>
      <w:tr w14:paraId="5BDF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487EBB6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3168" w:type="dxa"/>
            <w:gridSpan w:val="3"/>
            <w:vAlign w:val="center"/>
          </w:tcPr>
          <w:p w14:paraId="78427588">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767" w:type="dxa"/>
            <w:vMerge w:val="restart"/>
            <w:vAlign w:val="center"/>
          </w:tcPr>
          <w:p w14:paraId="56CDD840">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236C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46923F27">
            <w:pPr>
              <w:spacing w:line="360" w:lineRule="auto"/>
              <w:jc w:val="center"/>
              <w:rPr>
                <w:rFonts w:ascii="宋体" w:hAnsi="宋体" w:eastAsia="宋体" w:cs="Times New Roman"/>
                <w:szCs w:val="21"/>
              </w:rPr>
            </w:pPr>
          </w:p>
        </w:tc>
        <w:tc>
          <w:tcPr>
            <w:tcW w:w="1056" w:type="dxa"/>
            <w:vAlign w:val="center"/>
          </w:tcPr>
          <w:p w14:paraId="06A5B89B">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1775989D">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53269550">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767" w:type="dxa"/>
            <w:vMerge w:val="continue"/>
            <w:vAlign w:val="center"/>
          </w:tcPr>
          <w:p w14:paraId="6AC35A3B">
            <w:pPr>
              <w:spacing w:line="360" w:lineRule="auto"/>
              <w:jc w:val="center"/>
              <w:rPr>
                <w:rFonts w:ascii="宋体" w:hAnsi="宋体" w:eastAsia="宋体" w:cs="Times New Roman"/>
                <w:szCs w:val="21"/>
              </w:rPr>
            </w:pPr>
          </w:p>
        </w:tc>
      </w:tr>
      <w:tr w14:paraId="76F9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9E315E5">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056" w:type="dxa"/>
            <w:vAlign w:val="center"/>
          </w:tcPr>
          <w:p w14:paraId="4A4107C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08BB4BA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1251720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42F4E5E2">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3883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6B10D72E">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056" w:type="dxa"/>
            <w:vAlign w:val="center"/>
          </w:tcPr>
          <w:p w14:paraId="11FC17A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4B9F7EB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DDFA26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63C9EF4A">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3229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808A738">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056" w:type="dxa"/>
            <w:vAlign w:val="center"/>
          </w:tcPr>
          <w:p w14:paraId="7246BF0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06B777C9">
            <w:pPr>
              <w:spacing w:line="360" w:lineRule="auto"/>
              <w:jc w:val="center"/>
              <w:rPr>
                <w:rFonts w:ascii="宋体" w:hAnsi="宋体" w:eastAsia="宋体" w:cs="Times New Roman"/>
                <w:szCs w:val="21"/>
              </w:rPr>
            </w:pPr>
          </w:p>
        </w:tc>
        <w:tc>
          <w:tcPr>
            <w:tcW w:w="1056" w:type="dxa"/>
            <w:vAlign w:val="center"/>
          </w:tcPr>
          <w:p w14:paraId="6833AE5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4754815E">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4E92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Align w:val="center"/>
          </w:tcPr>
          <w:p w14:paraId="0BFCB227">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056" w:type="dxa"/>
            <w:vAlign w:val="center"/>
          </w:tcPr>
          <w:p w14:paraId="325FD327">
            <w:pPr>
              <w:spacing w:line="360" w:lineRule="auto"/>
              <w:jc w:val="center"/>
              <w:rPr>
                <w:rFonts w:ascii="宋体" w:hAnsi="宋体" w:eastAsia="宋体" w:cs="Times New Roman"/>
                <w:szCs w:val="21"/>
              </w:rPr>
            </w:pPr>
          </w:p>
        </w:tc>
        <w:tc>
          <w:tcPr>
            <w:tcW w:w="1056" w:type="dxa"/>
            <w:vAlign w:val="center"/>
          </w:tcPr>
          <w:p w14:paraId="2016ADB3">
            <w:pPr>
              <w:spacing w:line="360" w:lineRule="auto"/>
              <w:jc w:val="center"/>
              <w:rPr>
                <w:rFonts w:ascii="宋体" w:hAnsi="宋体" w:eastAsia="宋体" w:cs="Times New Roman"/>
                <w:szCs w:val="21"/>
              </w:rPr>
            </w:pPr>
          </w:p>
        </w:tc>
        <w:tc>
          <w:tcPr>
            <w:tcW w:w="1056" w:type="dxa"/>
            <w:vAlign w:val="center"/>
          </w:tcPr>
          <w:p w14:paraId="7C3237E5">
            <w:pPr>
              <w:spacing w:line="360" w:lineRule="auto"/>
              <w:jc w:val="center"/>
              <w:rPr>
                <w:rFonts w:ascii="宋体" w:hAnsi="宋体" w:eastAsia="宋体" w:cs="Times New Roman"/>
                <w:szCs w:val="21"/>
              </w:rPr>
            </w:pPr>
          </w:p>
        </w:tc>
        <w:tc>
          <w:tcPr>
            <w:tcW w:w="767" w:type="dxa"/>
            <w:vAlign w:val="center"/>
          </w:tcPr>
          <w:p w14:paraId="56A3E645">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D24FA3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8762CC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BE151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82C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86BC2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8D8190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BDC2E7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CCA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7E9A0DD">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33017A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26130D93">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25</w:t>
            </w:r>
            <w:r>
              <w:rPr>
                <w:rFonts w:hint="eastAsia" w:ascii="Times New Roman" w:hAnsi="Times New Roman" w:eastAsia="宋体" w:cs="Times New Roman"/>
                <w:szCs w:val="21"/>
              </w:rPr>
              <w:t>%</w:t>
            </w:r>
          </w:p>
        </w:tc>
      </w:tr>
      <w:tr w14:paraId="03BB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7B3CE9">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1CE2A4C">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951E6B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9F98FF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25</w:t>
            </w:r>
            <w:r>
              <w:rPr>
                <w:rFonts w:hint="eastAsia" w:ascii="Times New Roman" w:hAnsi="Times New Roman" w:eastAsia="宋体" w:cs="Times New Roman"/>
                <w:szCs w:val="21"/>
              </w:rPr>
              <w:t>%</w:t>
            </w:r>
          </w:p>
        </w:tc>
      </w:tr>
      <w:tr w14:paraId="7BDB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7557A9">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AF99F1B">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1479CCEA">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359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E152AD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75497EC">
            <w:pPr>
              <w:jc w:val="left"/>
              <w:rPr>
                <w:rFonts w:ascii="Times New Roman" w:hAnsi="Times New Roman" w:eastAsia="宋体" w:cs="Times New Roman"/>
                <w:szCs w:val="21"/>
              </w:rPr>
            </w:pPr>
          </w:p>
        </w:tc>
        <w:tc>
          <w:tcPr>
            <w:tcW w:w="0" w:type="auto"/>
            <w:vAlign w:val="center"/>
          </w:tcPr>
          <w:p w14:paraId="65B2E0B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BD9D580">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A9815A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DA24613">
      <w:pPr>
        <w:spacing w:line="360" w:lineRule="auto"/>
        <w:rPr>
          <w:rFonts w:hint="eastAsia" w:ascii="Times New Roman" w:hAnsi="Times New Roman" w:eastAsia="宋体" w:cs="Times New Roman"/>
          <w:color w:val="000000"/>
          <w:sz w:val="24"/>
          <w:szCs w:val="24"/>
        </w:rPr>
      </w:pPr>
      <w:r>
        <w:rPr>
          <w:rFonts w:ascii="宋体" w:hAnsi="宋体" w:eastAsia="宋体" w:cs="Times New Roman"/>
          <w:color w:val="000000"/>
          <w:szCs w:val="21"/>
        </w:rPr>
        <w:object>
          <v:shape id="_x0000_i1080"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80" DrawAspect="Content" ObjectID="_1468075780" r:id="rId63">
            <o:LockedField>false</o:LockedField>
          </o:OLEObject>
        </w:object>
      </w:r>
    </w:p>
    <w:p w14:paraId="27C9F21E">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lang w:val="en-US" w:eastAsia="zh-CN"/>
        </w:rPr>
        <w:t>五</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7D038994">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（一）持续改进</w:t>
      </w:r>
    </w:p>
    <w:p w14:paraId="55D3410E">
      <w:pPr>
        <w:spacing w:line="360" w:lineRule="auto"/>
        <w:ind w:firstLine="480" w:firstLineChars="200"/>
        <w:rPr>
          <w:rFonts w:hint="eastAsia" w:ascii="宋体" w:hAnsi="宋体" w:eastAsia="宋体" w:cs="Times New Roman"/>
          <w:color w:val="FF0000"/>
          <w:sz w:val="24"/>
          <w:szCs w:val="24"/>
        </w:rPr>
      </w:pPr>
      <w:r>
        <w:rPr>
          <w:rFonts w:ascii="宋体" w:hAnsi="宋体" w:eastAsia="宋体" w:cs="Times New Roman"/>
          <w:sz w:val="24"/>
          <w:szCs w:val="24"/>
        </w:rPr>
        <w:t>本课程根据学生作业、课堂讨论情况和学生、教学督导等方面</w:t>
      </w:r>
      <w:r>
        <w:rPr>
          <w:rFonts w:hint="eastAsia" w:ascii="宋体" w:hAnsi="宋体" w:eastAsia="宋体" w:cs="Times New Roman"/>
          <w:sz w:val="24"/>
          <w:szCs w:val="24"/>
        </w:rPr>
        <w:t>的</w:t>
      </w:r>
      <w:r>
        <w:rPr>
          <w:rFonts w:ascii="宋体" w:hAnsi="宋体" w:eastAsia="宋体" w:cs="Times New Roman"/>
          <w:sz w:val="24"/>
          <w:szCs w:val="24"/>
        </w:rPr>
        <w:t>反馈意见及时对教学中</w:t>
      </w:r>
      <w:r>
        <w:rPr>
          <w:rFonts w:hint="eastAsia" w:ascii="宋体" w:hAnsi="宋体" w:eastAsia="宋体" w:cs="Times New Roman"/>
          <w:sz w:val="24"/>
          <w:szCs w:val="24"/>
        </w:rPr>
        <w:t>的</w:t>
      </w:r>
      <w:r>
        <w:rPr>
          <w:rFonts w:ascii="宋体" w:hAnsi="宋体" w:eastAsia="宋体" w:cs="Times New Roman"/>
          <w:sz w:val="24"/>
          <w:szCs w:val="24"/>
        </w:rPr>
        <w:t>不足之处进行改进，并在下一轮课程教学中</w:t>
      </w:r>
      <w:r>
        <w:rPr>
          <w:rFonts w:hint="eastAsia" w:ascii="宋体" w:hAnsi="宋体" w:eastAsia="宋体" w:cs="Times New Roman"/>
          <w:sz w:val="24"/>
          <w:szCs w:val="24"/>
        </w:rPr>
        <w:t>整改完善</w:t>
      </w:r>
      <w:r>
        <w:rPr>
          <w:rFonts w:ascii="宋体" w:hAnsi="宋体" w:eastAsia="宋体" w:cs="Times New Roman"/>
          <w:sz w:val="24"/>
          <w:szCs w:val="24"/>
        </w:rPr>
        <w:t>，确保相应毕业要求指标点达成。</w:t>
      </w:r>
    </w:p>
    <w:p w14:paraId="5EF34B39">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参考书目及学习资料</w:t>
      </w:r>
    </w:p>
    <w:p w14:paraId="7797099E">
      <w:pPr>
        <w:spacing w:line="360" w:lineRule="auto"/>
        <w:ind w:firstLine="480" w:firstLineChars="200"/>
        <w:rPr>
          <w:rFonts w:ascii="宋体" w:hAnsi="宋体" w:eastAsia="宋体" w:cs="Times New Roman"/>
          <w:color w:val="000000"/>
          <w:sz w:val="24"/>
          <w:szCs w:val="24"/>
        </w:rPr>
      </w:pPr>
      <w:r>
        <w:rPr>
          <w:rFonts w:hint="eastAsia" w:ascii="宋体" w:hAnsi="宋体" w:eastAsia="宋体" w:cs="宋体"/>
          <w:color w:val="000000"/>
          <w:sz w:val="24"/>
          <w:szCs w:val="24"/>
        </w:rPr>
        <w:t>夏志清：《中国现代小说史》，复旦大学出版社，</w:t>
      </w:r>
      <w:r>
        <w:rPr>
          <w:rFonts w:ascii="宋体" w:hAnsi="宋体" w:eastAsia="宋体" w:cs="宋体"/>
          <w:color w:val="000000"/>
          <w:sz w:val="24"/>
          <w:szCs w:val="24"/>
        </w:rPr>
        <w:t>2005</w:t>
      </w:r>
      <w:r>
        <w:rPr>
          <w:rFonts w:hint="eastAsia" w:ascii="宋体" w:hAnsi="宋体" w:eastAsia="宋体" w:cs="宋体"/>
          <w:color w:val="000000"/>
          <w:sz w:val="24"/>
          <w:szCs w:val="24"/>
        </w:rPr>
        <w:t>年版。</w:t>
      </w:r>
    </w:p>
    <w:p w14:paraId="16E8C098">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 xml:space="preserve">. </w:t>
      </w:r>
    </w:p>
    <w:p w14:paraId="313DA76E">
      <w:pPr>
        <w:spacing w:line="360" w:lineRule="auto"/>
        <w:ind w:firstLine="480" w:firstLineChars="200"/>
        <w:rPr>
          <w:rFonts w:hint="eastAsia" w:ascii="宋体" w:hAnsi="宋体" w:eastAsia="宋体" w:cs="Times New Roman"/>
          <w:sz w:val="24"/>
          <w:szCs w:val="24"/>
        </w:rPr>
      </w:pPr>
    </w:p>
    <w:p w14:paraId="0C516AB1">
      <w:pPr>
        <w:spacing w:line="360" w:lineRule="auto"/>
        <w:ind w:firstLine="480" w:firstLineChars="200"/>
        <w:rPr>
          <w:rFonts w:hint="eastAsia" w:ascii="宋体" w:hAnsi="宋体" w:eastAsia="宋体" w:cs="Times New Roman"/>
          <w:sz w:val="24"/>
          <w:szCs w:val="24"/>
        </w:rPr>
      </w:pPr>
    </w:p>
    <w:p w14:paraId="0A694AF5">
      <w:pPr>
        <w:spacing w:line="360" w:lineRule="auto"/>
        <w:ind w:right="1320" w:firstLine="4320"/>
        <w:jc w:val="right"/>
        <w:rPr>
          <w:rFonts w:hint="eastAsia" w:ascii="宋体" w:hAnsi="宋体" w:eastAsia="宋体" w:cs="Times New Roman"/>
          <w:sz w:val="24"/>
          <w:szCs w:val="24"/>
        </w:rPr>
      </w:pPr>
      <w:r>
        <w:rPr>
          <w:rFonts w:hint="eastAsia" w:ascii="宋体" w:hAnsi="宋体" w:eastAsia="宋体" w:cs="Times New Roman"/>
          <w:sz w:val="24"/>
          <w:szCs w:val="24"/>
        </w:rPr>
        <w:t>执笔人：钱亚玲</w:t>
      </w:r>
    </w:p>
    <w:p w14:paraId="50B89DE7">
      <w:pPr>
        <w:spacing w:line="360" w:lineRule="auto"/>
        <w:ind w:right="1320" w:firstLine="4320"/>
        <w:jc w:val="right"/>
        <w:rPr>
          <w:rFonts w:hint="eastAsia" w:ascii="宋体" w:hAnsi="宋体" w:eastAsia="宋体" w:cs="Times New Roman"/>
          <w:sz w:val="24"/>
          <w:szCs w:val="24"/>
        </w:rPr>
      </w:pPr>
      <w:r>
        <w:rPr>
          <w:rFonts w:hint="eastAsia" w:ascii="宋体" w:hAnsi="宋体" w:eastAsia="宋体" w:cs="Times New Roman"/>
          <w:sz w:val="24"/>
          <w:szCs w:val="24"/>
        </w:rPr>
        <w:t>审定人：王振军</w:t>
      </w:r>
    </w:p>
    <w:p w14:paraId="7AE90580">
      <w:pPr>
        <w:spacing w:line="360" w:lineRule="auto"/>
        <w:ind w:right="1320" w:firstLine="4320"/>
        <w:jc w:val="right"/>
        <w:rPr>
          <w:rFonts w:hint="eastAsia" w:ascii="宋体" w:hAnsi="宋体" w:eastAsia="宋体" w:cs="Times New Roman"/>
          <w:sz w:val="24"/>
          <w:szCs w:val="24"/>
        </w:rPr>
      </w:pPr>
      <w:r>
        <w:rPr>
          <w:rFonts w:hint="eastAsia" w:ascii="宋体" w:hAnsi="宋体" w:eastAsia="宋体" w:cs="Times New Roman"/>
          <w:sz w:val="24"/>
          <w:szCs w:val="24"/>
        </w:rPr>
        <w:t>审批人：陈建忠</w:t>
      </w:r>
    </w:p>
    <w:p w14:paraId="3466368A">
      <w:pPr>
        <w:jc w:val="right"/>
        <w:rPr>
          <w:rFonts w:hint="default" w:ascii="等线" w:hAnsi="等线" w:eastAsia="等线" w:cs="Times New Roman"/>
          <w:szCs w:val="22"/>
          <w:lang w:val="en-US" w:eastAsia="zh-CN"/>
        </w:rPr>
      </w:pPr>
      <w:r>
        <w:rPr>
          <w:rFonts w:hint="eastAsia" w:ascii="等线" w:hAnsi="等线" w:eastAsia="等线" w:cs="等线"/>
          <w:sz w:val="24"/>
          <w:szCs w:val="24"/>
          <w:lang w:val="en-US" w:eastAsia="zh-CN"/>
        </w:rPr>
        <w:t>审批时间：2024年9月1日</w:t>
      </w:r>
    </w:p>
    <w:p w14:paraId="3B0647B8">
      <w:pPr>
        <w:widowControl/>
        <w:jc w:val="left"/>
        <w:rPr>
          <w:rFonts w:ascii="宋体" w:hAnsi="宋体" w:eastAsia="宋体" w:cs="宋体"/>
          <w:color w:val="000000"/>
          <w:sz w:val="24"/>
          <w:szCs w:val="22"/>
        </w:rPr>
      </w:pPr>
      <w:r>
        <w:rPr>
          <w:rFonts w:ascii="宋体" w:hAnsi="宋体" w:eastAsia="宋体" w:cs="宋体"/>
          <w:color w:val="000000"/>
          <w:sz w:val="24"/>
          <w:szCs w:val="22"/>
        </w:rPr>
        <w:br w:type="page"/>
      </w:r>
    </w:p>
    <w:p w14:paraId="426F083B">
      <w:pPr>
        <w:pStyle w:val="2"/>
        <w:bidi w:val="0"/>
        <w:rPr>
          <w:lang w:val="en-US" w:eastAsia="zh-CN"/>
        </w:rPr>
      </w:pPr>
      <w:bookmarkStart w:id="2923" w:name="_Toc28317"/>
      <w:bookmarkStart w:id="2924" w:name="_Toc10695"/>
      <w:bookmarkStart w:id="2925" w:name="_Toc3382"/>
      <w:bookmarkStart w:id="2926" w:name="_Toc27150"/>
      <w:r>
        <w:rPr>
          <w:rFonts w:hint="eastAsia"/>
          <w:lang w:val="en-US" w:eastAsia="zh-CN"/>
        </w:rPr>
        <w:t>《小学道德与法治教学案例研究》课程教学大纲</w:t>
      </w:r>
      <w:bookmarkEnd w:id="2923"/>
      <w:bookmarkEnd w:id="2924"/>
      <w:bookmarkEnd w:id="2925"/>
      <w:bookmarkEnd w:id="2926"/>
    </w:p>
    <w:p w14:paraId="76D4255A">
      <w:pPr>
        <w:pStyle w:val="2"/>
        <w:bidi w:val="0"/>
        <w:rPr>
          <w:rFonts w:ascii="Times New Roman" w:hAnsi="Times New Roman" w:eastAsia="宋体" w:cs="Arial"/>
          <w:b/>
          <w:bCs/>
          <w:kern w:val="2"/>
          <w:szCs w:val="24"/>
          <w:lang w:val="en-US" w:eastAsia="zh-CN" w:bidi="ar-SA"/>
        </w:rPr>
      </w:pPr>
      <w:bookmarkStart w:id="2927" w:name="_Toc29194"/>
      <w:bookmarkStart w:id="2928" w:name="_Toc29577"/>
      <w:bookmarkStart w:id="2929" w:name="_Toc18093"/>
      <w:bookmarkStart w:id="2930" w:name="_Toc19776"/>
      <w:bookmarkStart w:id="2931" w:name="_Toc5825"/>
      <w:bookmarkStart w:id="2932" w:name="_Toc4279"/>
      <w:bookmarkStart w:id="2933" w:name="_Toc24217"/>
      <w:r>
        <w:rPr>
          <w:rFonts w:hint="eastAsia"/>
          <w:lang w:val="en-US" w:eastAsia="zh-CN"/>
        </w:rPr>
        <w:t>（</w:t>
      </w:r>
      <w:r>
        <w:rPr>
          <w:lang w:val="en-US" w:eastAsia="zh-CN"/>
        </w:rPr>
        <w:t>Case Study of Moral and Rule of Law Teaching in Primary Schools</w:t>
      </w:r>
      <w:r>
        <w:rPr>
          <w:rFonts w:hint="eastAsia"/>
          <w:lang w:val="en-US" w:eastAsia="zh-CN"/>
        </w:rPr>
        <w:t>）</w:t>
      </w:r>
      <w:bookmarkEnd w:id="2927"/>
      <w:bookmarkEnd w:id="2928"/>
      <w:bookmarkEnd w:id="2929"/>
      <w:bookmarkEnd w:id="2930"/>
      <w:bookmarkEnd w:id="2931"/>
      <w:bookmarkEnd w:id="2932"/>
      <w:bookmarkEnd w:id="2933"/>
    </w:p>
    <w:p w14:paraId="135FECEB">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课程名称：小学道德与法治教学案例研究</w:t>
      </w:r>
    </w:p>
    <w:p w14:paraId="204CA6DC">
      <w:pPr>
        <w:spacing w:line="360" w:lineRule="auto"/>
        <w:ind w:firstLine="482" w:firstLineChars="200"/>
        <w:rPr>
          <w:rFonts w:ascii="宋体" w:hAnsi="等线" w:eastAsia="宋体" w:cs="Times New Roman"/>
          <w:b/>
          <w:bCs/>
          <w:color w:val="000000"/>
          <w:kern w:val="0"/>
          <w:sz w:val="24"/>
          <w:szCs w:val="22"/>
        </w:rPr>
      </w:pPr>
      <w:r>
        <w:rPr>
          <w:rFonts w:hint="eastAsia" w:ascii="宋体" w:hAnsi="宋体" w:eastAsia="宋体" w:cs="Times New Roman"/>
          <w:b/>
          <w:bCs/>
          <w:color w:val="000000"/>
          <w:kern w:val="0"/>
          <w:sz w:val="24"/>
          <w:szCs w:val="24"/>
        </w:rPr>
        <w:t>课程代码：</w:t>
      </w:r>
      <w:r>
        <w:rPr>
          <w:rFonts w:ascii="宋体" w:hAnsi="宋体" w:eastAsia="宋体" w:cs="Times New Roman"/>
          <w:b/>
          <w:bCs/>
          <w:color w:val="000000"/>
          <w:kern w:val="0"/>
          <w:sz w:val="24"/>
          <w:szCs w:val="22"/>
        </w:rPr>
        <w:t>2401070</w:t>
      </w:r>
    </w:p>
    <w:p w14:paraId="071971FB">
      <w:pPr>
        <w:spacing w:line="360" w:lineRule="auto"/>
        <w:ind w:firstLine="482" w:firstLineChars="200"/>
        <w:rPr>
          <w:rFonts w:ascii="宋体" w:hAnsi="等线" w:eastAsia="宋体" w:cs="Times New Roman"/>
          <w:b/>
          <w:bCs/>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ascii="宋体" w:hAnsi="宋体" w:eastAsia="宋体" w:cs="Times New Roman"/>
          <w:b/>
          <w:bCs/>
          <w:color w:val="000000"/>
          <w:kern w:val="0"/>
          <w:sz w:val="24"/>
          <w:szCs w:val="22"/>
        </w:rPr>
        <w:t>2</w:t>
      </w:r>
    </w:p>
    <w:p w14:paraId="7516CF60">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w:t>
      </w:r>
      <w:r>
        <w:rPr>
          <w:rFonts w:ascii="宋体" w:hAnsi="宋体" w:eastAsia="宋体" w:cs="Times New Roman"/>
          <w:b/>
          <w:bCs/>
          <w:color w:val="000000"/>
          <w:kern w:val="0"/>
          <w:sz w:val="24"/>
          <w:szCs w:val="24"/>
        </w:rPr>
        <w:t>32</w:t>
      </w:r>
      <w:r>
        <w:rPr>
          <w:rFonts w:hint="eastAsia" w:ascii="宋体" w:hAnsi="宋体" w:eastAsia="宋体" w:cs="Times New Roman"/>
          <w:b/>
          <w:bCs/>
          <w:color w:val="000000"/>
          <w:kern w:val="0"/>
          <w:sz w:val="24"/>
          <w:szCs w:val="24"/>
        </w:rPr>
        <w:t>（其中，讲授学时1</w:t>
      </w:r>
      <w:r>
        <w:rPr>
          <w:rFonts w:ascii="宋体" w:hAnsi="宋体" w:eastAsia="宋体" w:cs="Times New Roman"/>
          <w:b/>
          <w:bCs/>
          <w:color w:val="000000"/>
          <w:kern w:val="0"/>
          <w:sz w:val="24"/>
          <w:szCs w:val="24"/>
        </w:rPr>
        <w:t>6</w:t>
      </w:r>
      <w:r>
        <w:rPr>
          <w:rFonts w:hint="eastAsia" w:ascii="宋体" w:hAnsi="宋体" w:eastAsia="宋体" w:cs="Times New Roman"/>
          <w:b/>
          <w:bCs/>
          <w:color w:val="000000"/>
          <w:kern w:val="0"/>
          <w:sz w:val="24"/>
          <w:szCs w:val="24"/>
        </w:rPr>
        <w:t>，课内实践学时1</w:t>
      </w:r>
      <w:r>
        <w:rPr>
          <w:rFonts w:ascii="宋体" w:hAnsi="宋体" w:eastAsia="宋体" w:cs="Times New Roman"/>
          <w:b/>
          <w:bCs/>
          <w:color w:val="000000"/>
          <w:kern w:val="0"/>
          <w:sz w:val="24"/>
          <w:szCs w:val="24"/>
        </w:rPr>
        <w:t>6</w:t>
      </w:r>
      <w:r>
        <w:rPr>
          <w:rFonts w:hint="eastAsia" w:ascii="宋体" w:hAnsi="宋体" w:eastAsia="宋体" w:cs="Times New Roman"/>
          <w:b/>
          <w:bCs/>
          <w:color w:val="000000"/>
          <w:kern w:val="0"/>
          <w:sz w:val="24"/>
          <w:szCs w:val="24"/>
        </w:rPr>
        <w:t>）</w:t>
      </w:r>
    </w:p>
    <w:p w14:paraId="5BBA6A87">
      <w:pPr>
        <w:spacing w:line="360" w:lineRule="auto"/>
        <w:ind w:firstLine="482" w:firstLineChars="200"/>
        <w:jc w:val="left"/>
        <w:rPr>
          <w:rFonts w:ascii="宋体" w:hAnsi="等线" w:eastAsia="宋体" w:cs="Times New Roman"/>
          <w:b/>
          <w:color w:val="000000"/>
          <w:sz w:val="24"/>
          <w:szCs w:val="22"/>
        </w:rPr>
      </w:pPr>
      <w:r>
        <w:rPr>
          <w:rFonts w:hint="eastAsia" w:ascii="宋体" w:hAnsi="宋体" w:eastAsia="宋体" w:cs="Times New Roman"/>
          <w:b/>
          <w:bCs/>
          <w:color w:val="000000"/>
          <w:kern w:val="0"/>
          <w:sz w:val="24"/>
          <w:szCs w:val="24"/>
        </w:rPr>
        <w:t>先修课程</w:t>
      </w:r>
      <w:r>
        <w:rPr>
          <w:rFonts w:hint="eastAsia" w:ascii="宋体" w:hAnsi="宋体" w:eastAsia="宋体" w:cs="Times New Roman"/>
          <w:b/>
          <w:color w:val="000000"/>
          <w:kern w:val="0"/>
          <w:sz w:val="24"/>
          <w:szCs w:val="24"/>
        </w:rPr>
        <w:t>：小学道德与法治课程与教学论</w:t>
      </w:r>
    </w:p>
    <w:p w14:paraId="59CDD39A">
      <w:pPr>
        <w:spacing w:line="360" w:lineRule="auto"/>
        <w:ind w:firstLine="482" w:firstLineChars="200"/>
        <w:rPr>
          <w:rFonts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b/>
          <w:color w:val="000000"/>
          <w:kern w:val="0"/>
          <w:sz w:val="24"/>
          <w:szCs w:val="24"/>
        </w:rPr>
        <w:t>：</w:t>
      </w:r>
      <w:r>
        <w:rPr>
          <w:rFonts w:hint="eastAsia" w:ascii="宋体" w:hAnsi="宋体" w:eastAsia="宋体" w:cs="Times New Roman"/>
          <w:b/>
          <w:bCs/>
          <w:color w:val="000000"/>
          <w:kern w:val="0"/>
          <w:sz w:val="24"/>
          <w:szCs w:val="24"/>
        </w:rPr>
        <w:t>小学教育（文）</w:t>
      </w:r>
    </w:p>
    <w:p w14:paraId="7FFE55B2">
      <w:pPr>
        <w:spacing w:line="360" w:lineRule="auto"/>
        <w:ind w:firstLine="482" w:firstLineChars="200"/>
        <w:rPr>
          <w:rFonts w:ascii="宋体" w:hAnsi="宋体" w:eastAsia="宋体" w:cs="Times New Roman"/>
          <w:b/>
          <w:bCs/>
          <w:color w:val="000000"/>
          <w:sz w:val="24"/>
          <w:szCs w:val="22"/>
        </w:rPr>
      </w:pPr>
    </w:p>
    <w:p w14:paraId="0D9E7C67">
      <w:pPr>
        <w:spacing w:line="360" w:lineRule="auto"/>
        <w:ind w:firstLine="482" w:firstLineChars="200"/>
        <w:outlineLvl w:val="0"/>
        <w:rPr>
          <w:rFonts w:ascii="宋体" w:hAnsi="宋体" w:eastAsia="宋体" w:cs="Times New Roman"/>
          <w:b/>
          <w:bCs/>
          <w:color w:val="000000"/>
          <w:sz w:val="24"/>
          <w:szCs w:val="22"/>
        </w:rPr>
      </w:pPr>
      <w:bookmarkStart w:id="2934" w:name="_Toc12139"/>
      <w:bookmarkStart w:id="2935" w:name="_Toc13671"/>
      <w:bookmarkStart w:id="2936" w:name="_Toc11182"/>
      <w:bookmarkStart w:id="2937" w:name="_Toc19968"/>
      <w:bookmarkStart w:id="2938" w:name="_Toc26021"/>
      <w:bookmarkStart w:id="2939" w:name="_Toc5886"/>
      <w:bookmarkStart w:id="2940" w:name="_Toc1091"/>
      <w:r>
        <w:rPr>
          <w:rFonts w:hint="eastAsia" w:ascii="宋体" w:hAnsi="宋体" w:eastAsia="宋体" w:cs="Times New Roman"/>
          <w:b/>
          <w:bCs/>
          <w:color w:val="000000"/>
          <w:sz w:val="24"/>
          <w:szCs w:val="22"/>
        </w:rPr>
        <w:t>一、课程简介</w:t>
      </w:r>
      <w:bookmarkEnd w:id="2934"/>
      <w:bookmarkEnd w:id="2935"/>
      <w:bookmarkEnd w:id="2936"/>
      <w:bookmarkEnd w:id="2937"/>
      <w:bookmarkEnd w:id="2938"/>
      <w:bookmarkEnd w:id="2939"/>
      <w:bookmarkEnd w:id="2940"/>
    </w:p>
    <w:p w14:paraId="17C6ED01">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本课程是小学教育专业选修课程。课程的主要任务是通过研析小学道德与法治经典教学案例，组织小学道德与法治模拟教学等活动，帮助学生掌握小学道德与法治教学的基本规律、特点和方式方法，提高学生独立设计教学、反思教学的能力，培养学生主动的德育意识和开展小学生道德教育的能力，以及养成将理论学习与实际相结合的思维习惯，能主动分析和反思实践教学中的各种问题，提高教学研究能力。</w:t>
      </w:r>
    </w:p>
    <w:p w14:paraId="178ED153">
      <w:pPr>
        <w:spacing w:line="360" w:lineRule="auto"/>
        <w:ind w:firstLine="482" w:firstLineChars="200"/>
        <w:outlineLvl w:val="0"/>
        <w:rPr>
          <w:rFonts w:ascii="宋体" w:hAnsi="等线" w:eastAsia="宋体" w:cs="Times New Roman"/>
          <w:b/>
          <w:color w:val="000000"/>
          <w:sz w:val="24"/>
          <w:szCs w:val="24"/>
        </w:rPr>
      </w:pPr>
      <w:bookmarkStart w:id="2941" w:name="_Toc19884"/>
      <w:bookmarkStart w:id="2942" w:name="_Toc4386"/>
      <w:bookmarkStart w:id="2943" w:name="_Toc3066"/>
      <w:bookmarkStart w:id="2944" w:name="_Toc30878"/>
      <w:bookmarkStart w:id="2945" w:name="_Toc27298"/>
      <w:bookmarkStart w:id="2946" w:name="_Toc7640"/>
      <w:bookmarkStart w:id="2947" w:name="_Toc26707"/>
      <w:r>
        <w:rPr>
          <w:rFonts w:hint="eastAsia" w:ascii="宋体" w:hAnsi="宋体" w:eastAsia="宋体" w:cs="Times New Roman"/>
          <w:b/>
          <w:color w:val="000000"/>
          <w:sz w:val="24"/>
          <w:szCs w:val="24"/>
        </w:rPr>
        <w:t>二、课程目标</w:t>
      </w:r>
      <w:bookmarkEnd w:id="2941"/>
      <w:bookmarkEnd w:id="2942"/>
      <w:bookmarkEnd w:id="2943"/>
      <w:bookmarkEnd w:id="2944"/>
      <w:bookmarkEnd w:id="2945"/>
      <w:bookmarkEnd w:id="2946"/>
      <w:bookmarkEnd w:id="2947"/>
    </w:p>
    <w:p w14:paraId="3075F668">
      <w:pPr>
        <w:spacing w:line="360" w:lineRule="auto"/>
        <w:ind w:firstLine="482" w:firstLineChars="200"/>
        <w:outlineLvl w:val="1"/>
        <w:rPr>
          <w:rFonts w:ascii="宋体" w:hAnsi="等线" w:eastAsia="宋体" w:cs="Times New Roman"/>
          <w:b/>
          <w:color w:val="000000"/>
          <w:sz w:val="24"/>
          <w:szCs w:val="22"/>
        </w:rPr>
      </w:pPr>
      <w:bookmarkStart w:id="2948" w:name="_Toc14840"/>
      <w:r>
        <w:rPr>
          <w:rFonts w:hint="eastAsia" w:ascii="宋体" w:hAnsi="宋体" w:eastAsia="宋体" w:cs="Times New Roman"/>
          <w:b/>
          <w:color w:val="000000"/>
          <w:sz w:val="24"/>
          <w:szCs w:val="22"/>
        </w:rPr>
        <w:t>（一）课程具体目标</w:t>
      </w:r>
      <w:bookmarkEnd w:id="2948"/>
    </w:p>
    <w:p w14:paraId="0D568BDA">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1.</w:t>
      </w:r>
      <w:r>
        <w:rPr>
          <w:rFonts w:hint="eastAsia" w:ascii="宋体" w:hAnsi="宋体" w:eastAsia="宋体" w:cs="Times New Roman"/>
          <w:color w:val="000000"/>
          <w:sz w:val="24"/>
          <w:szCs w:val="22"/>
        </w:rPr>
        <w:t>进一步认识小学道德与法治课程的性质、目的、任务和根本特点，熟悉小学道德与法治教学的基本要求与流程。</w:t>
      </w:r>
    </w:p>
    <w:p w14:paraId="07BC036A">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2.</w:t>
      </w:r>
      <w:r>
        <w:rPr>
          <w:rFonts w:hint="eastAsia" w:ascii="宋体" w:hAnsi="宋体" w:eastAsia="宋体" w:cs="Times New Roman"/>
          <w:color w:val="000000"/>
          <w:sz w:val="24"/>
          <w:szCs w:val="22"/>
        </w:rPr>
        <w:t>掌握小学道德与法治基本的教学主题，熟悉课程标准，明确教学目标设计要求。</w:t>
      </w:r>
    </w:p>
    <w:p w14:paraId="6A133884">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3.</w:t>
      </w:r>
      <w:r>
        <w:rPr>
          <w:rFonts w:hint="eastAsia" w:ascii="宋体" w:hAnsi="宋体" w:eastAsia="宋体" w:cs="Times New Roman"/>
          <w:color w:val="000000"/>
          <w:sz w:val="24"/>
          <w:szCs w:val="22"/>
        </w:rPr>
        <w:t>掌握小学道德与法治教学过程的组织、实施等环节，有独立开展教学和分析教学的能力。</w:t>
      </w:r>
    </w:p>
    <w:p w14:paraId="5E481A61">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目标4</w:t>
      </w:r>
      <w:r>
        <w:rPr>
          <w:rFonts w:ascii="宋体" w:hAnsi="宋体" w:eastAsia="宋体" w:cs="Times New Roman"/>
          <w:color w:val="000000"/>
          <w:sz w:val="24"/>
          <w:szCs w:val="22"/>
        </w:rPr>
        <w:t>.</w:t>
      </w:r>
      <w:r>
        <w:rPr>
          <w:rFonts w:hint="eastAsia" w:ascii="宋体" w:hAnsi="宋体" w:eastAsia="宋体" w:cs="Times New Roman"/>
          <w:color w:val="000000"/>
          <w:sz w:val="24"/>
          <w:szCs w:val="22"/>
        </w:rPr>
        <w:t>掌握小学道德与法治主要教学方法，具备拓展资源的意识，会创造性的设计适宜的教学过程。</w:t>
      </w:r>
    </w:p>
    <w:p w14:paraId="4CB01343">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rPr>
        <w:t>目标</w:t>
      </w:r>
      <w:r>
        <w:rPr>
          <w:rFonts w:ascii="宋体" w:hAnsi="宋体" w:eastAsia="宋体" w:cs="Times New Roman"/>
          <w:color w:val="000000"/>
          <w:sz w:val="24"/>
          <w:szCs w:val="22"/>
        </w:rPr>
        <w:t>5.</w:t>
      </w:r>
      <w:r>
        <w:rPr>
          <w:rFonts w:hint="eastAsia" w:ascii="宋体" w:hAnsi="宋体" w:eastAsia="宋体" w:cs="Times New Roman"/>
          <w:color w:val="000000"/>
          <w:sz w:val="24"/>
          <w:szCs w:val="22"/>
        </w:rPr>
        <w:t>养成反思性学习的习惯，有研究教学和改进教学的意识。善于通过合作扩展对问题的认识深度。</w:t>
      </w:r>
    </w:p>
    <w:p w14:paraId="167B7456">
      <w:pPr>
        <w:spacing w:line="360" w:lineRule="auto"/>
        <w:ind w:firstLine="482" w:firstLineChars="200"/>
        <w:outlineLvl w:val="1"/>
        <w:rPr>
          <w:rFonts w:hint="eastAsia" w:ascii="宋体" w:hAnsi="宋体" w:eastAsia="宋体" w:cs="Times New Roman"/>
          <w:b/>
          <w:color w:val="000000"/>
          <w:sz w:val="24"/>
          <w:szCs w:val="22"/>
        </w:rPr>
      </w:pPr>
      <w:bookmarkStart w:id="2949" w:name="_Toc31950"/>
      <w:r>
        <w:rPr>
          <w:rFonts w:hint="eastAsia" w:ascii="宋体" w:hAnsi="宋体" w:eastAsia="宋体" w:cs="Times New Roman"/>
          <w:b/>
          <w:color w:val="000000"/>
          <w:sz w:val="24"/>
          <w:szCs w:val="22"/>
        </w:rPr>
        <w:t>（二）课程目标与专业毕业要求的关系</w:t>
      </w:r>
      <w:bookmarkEnd w:id="2949"/>
    </w:p>
    <w:tbl>
      <w:tblPr>
        <w:tblStyle w:val="1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5431"/>
        <w:gridCol w:w="1748"/>
      </w:tblGrid>
      <w:tr w14:paraId="796B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677" w:type="dxa"/>
            <w:vAlign w:val="center"/>
          </w:tcPr>
          <w:p w14:paraId="4D24B27E">
            <w:pPr>
              <w:spacing w:line="276" w:lineRule="auto"/>
              <w:jc w:val="center"/>
              <w:rPr>
                <w:rFonts w:ascii="宋体" w:hAnsi="等线" w:eastAsia="宋体" w:cs="Times New Roman"/>
                <w:b/>
                <w:color w:val="000000"/>
                <w:kern w:val="0"/>
                <w:sz w:val="24"/>
                <w:szCs w:val="24"/>
              </w:rPr>
            </w:pPr>
            <w:r>
              <w:rPr>
                <w:rFonts w:hint="eastAsia" w:ascii="宋体" w:hAnsi="等线" w:eastAsia="宋体" w:cs="Times New Roman"/>
                <w:b/>
                <w:color w:val="000000"/>
                <w:kern w:val="0"/>
                <w:sz w:val="24"/>
                <w:szCs w:val="24"/>
              </w:rPr>
              <w:t>毕业要求</w:t>
            </w:r>
          </w:p>
        </w:tc>
        <w:tc>
          <w:tcPr>
            <w:tcW w:w="5431" w:type="dxa"/>
            <w:vAlign w:val="center"/>
          </w:tcPr>
          <w:p w14:paraId="71BDE3BF">
            <w:pPr>
              <w:spacing w:line="276" w:lineRule="auto"/>
              <w:jc w:val="center"/>
              <w:rPr>
                <w:rFonts w:ascii="宋体" w:hAnsi="等线" w:eastAsia="宋体" w:cs="Times New Roman"/>
                <w:b/>
                <w:color w:val="000000"/>
                <w:kern w:val="0"/>
                <w:sz w:val="24"/>
                <w:szCs w:val="24"/>
              </w:rPr>
            </w:pPr>
            <w:r>
              <w:rPr>
                <w:rFonts w:hint="eastAsia" w:ascii="宋体" w:hAnsi="等线" w:eastAsia="宋体" w:cs="Times New Roman"/>
                <w:b/>
                <w:color w:val="000000"/>
                <w:kern w:val="0"/>
                <w:sz w:val="24"/>
                <w:szCs w:val="24"/>
              </w:rPr>
              <w:t>毕业要求指标点</w:t>
            </w:r>
          </w:p>
        </w:tc>
        <w:tc>
          <w:tcPr>
            <w:tcW w:w="1748" w:type="dxa"/>
            <w:vAlign w:val="center"/>
          </w:tcPr>
          <w:p w14:paraId="37D6C051">
            <w:pPr>
              <w:spacing w:line="276" w:lineRule="auto"/>
              <w:jc w:val="center"/>
              <w:rPr>
                <w:rFonts w:ascii="宋体" w:hAnsi="等线" w:eastAsia="宋体" w:cs="Times New Roman"/>
                <w:b/>
                <w:color w:val="000000"/>
                <w:kern w:val="0"/>
                <w:sz w:val="24"/>
                <w:szCs w:val="24"/>
              </w:rPr>
            </w:pPr>
            <w:r>
              <w:rPr>
                <w:rFonts w:hint="eastAsia" w:ascii="宋体" w:hAnsi="等线" w:eastAsia="宋体" w:cs="Times New Roman"/>
                <w:b/>
                <w:color w:val="000000"/>
                <w:kern w:val="0"/>
                <w:sz w:val="24"/>
                <w:szCs w:val="24"/>
              </w:rPr>
              <w:t>课程目标</w:t>
            </w:r>
          </w:p>
        </w:tc>
      </w:tr>
      <w:tr w14:paraId="1FBB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trPr>
        <w:tc>
          <w:tcPr>
            <w:tcW w:w="1677" w:type="dxa"/>
            <w:vAlign w:val="center"/>
          </w:tcPr>
          <w:p w14:paraId="13AC6C0F">
            <w:pPr>
              <w:spacing w:line="276" w:lineRule="auto"/>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毕业要求4：</w:t>
            </w:r>
          </w:p>
          <w:p w14:paraId="628319E9">
            <w:pPr>
              <w:spacing w:line="276" w:lineRule="auto"/>
              <w:jc w:val="center"/>
              <w:rPr>
                <w:rFonts w:ascii="宋体" w:hAnsi="等线" w:eastAsia="宋体" w:cs="Times New Roman"/>
                <w:b/>
                <w:color w:val="000000"/>
                <w:kern w:val="0"/>
                <w:sz w:val="24"/>
                <w:szCs w:val="24"/>
              </w:rPr>
            </w:pPr>
            <w:r>
              <w:rPr>
                <w:rFonts w:hint="eastAsia" w:ascii="宋体" w:hAnsi="等线" w:eastAsia="宋体" w:cs="Times New Roman"/>
                <w:b/>
                <w:color w:val="000000"/>
                <w:kern w:val="0"/>
                <w:sz w:val="24"/>
                <w:szCs w:val="24"/>
              </w:rPr>
              <w:t>教学能力</w:t>
            </w:r>
          </w:p>
        </w:tc>
        <w:tc>
          <w:tcPr>
            <w:tcW w:w="5431" w:type="dxa"/>
          </w:tcPr>
          <w:p w14:paraId="2901F36C">
            <w:pPr>
              <w:widowControl/>
              <w:shd w:val="clear" w:color="auto" w:fill="FFFFFF"/>
              <w:spacing w:before="0" w:beforeAutospacing="0" w:after="0" w:afterAutospacing="0"/>
              <w:jc w:val="left"/>
              <w:rPr>
                <w:rFonts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指标点4-1：【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p w14:paraId="33EF35F5">
            <w:pPr>
              <w:widowControl/>
              <w:shd w:val="clear" w:color="auto" w:fill="FFFFFF"/>
              <w:spacing w:before="0" w:beforeAutospacing="0" w:after="0" w:afterAutospacing="0"/>
              <w:jc w:val="left"/>
              <w:rPr>
                <w:rFonts w:hint="eastAsia" w:ascii="宋体" w:hAnsi="宋体" w:eastAsia="宋体" w:cs="宋体"/>
                <w:bCs/>
                <w:color w:val="000000"/>
                <w:kern w:val="0"/>
                <w:sz w:val="21"/>
                <w:szCs w:val="21"/>
                <w:lang w:val="en-US" w:eastAsia="zh-CN" w:bidi="ar-SA"/>
              </w:rPr>
            </w:pPr>
            <w:r>
              <w:rPr>
                <w:rFonts w:hint="eastAsia" w:ascii="宋体" w:hAnsi="宋体" w:eastAsia="宋体" w:cs="宋体"/>
                <w:bCs/>
                <w:color w:val="000000"/>
                <w:kern w:val="0"/>
                <w:sz w:val="21"/>
                <w:szCs w:val="21"/>
                <w:lang w:val="en-US" w:eastAsia="zh-CN" w:bidi="ar-SA"/>
              </w:rPr>
              <w:t>指标点4</w:t>
            </w:r>
            <w:r>
              <w:rPr>
                <w:rFonts w:ascii="宋体" w:hAnsi="宋体" w:eastAsia="宋体" w:cs="宋体"/>
                <w:bCs/>
                <w:color w:val="000000"/>
                <w:kern w:val="0"/>
                <w:sz w:val="21"/>
                <w:szCs w:val="21"/>
                <w:lang w:val="en-US" w:eastAsia="zh-CN" w:bidi="ar-SA"/>
              </w:rPr>
              <w:t>-3</w:t>
            </w:r>
            <w:r>
              <w:rPr>
                <w:rFonts w:hint="eastAsia" w:ascii="宋体" w:hAnsi="宋体" w:eastAsia="宋体" w:cs="宋体"/>
                <w:bCs/>
                <w:color w:val="000000"/>
                <w:kern w:val="0"/>
                <w:sz w:val="21"/>
                <w:szCs w:val="21"/>
                <w:lang w:val="en-US" w:eastAsia="zh-CN" w:bidi="ar-SA"/>
              </w:rPr>
              <w:t>：</w:t>
            </w:r>
            <w:r>
              <w:rPr>
                <w:rFonts w:ascii="宋体" w:hAnsi="宋体" w:eastAsia="宋体" w:cs="宋体"/>
                <w:bCs/>
                <w:color w:val="000000"/>
                <w:kern w:val="0"/>
                <w:sz w:val="21"/>
                <w:szCs w:val="21"/>
                <w:lang w:val="en-US" w:eastAsia="zh-CN" w:bidi="ar-SA"/>
              </w:rPr>
              <w:t>【教学实施与评价科学】掌握小学教师基本功技能，包括书写技能、沟通与表达技能、信息技术运用技能等。获得全面的小学教学体验，掌握学科教学的基本方法与策略，能独立进行教学实施和评价。</w:t>
            </w:r>
          </w:p>
        </w:tc>
        <w:tc>
          <w:tcPr>
            <w:tcW w:w="1748" w:type="dxa"/>
            <w:vAlign w:val="center"/>
          </w:tcPr>
          <w:p w14:paraId="0B100D29">
            <w:pPr>
              <w:spacing w:line="276" w:lineRule="auto"/>
              <w:jc w:val="center"/>
              <w:rPr>
                <w:rFonts w:ascii="宋体" w:hAnsi="等线" w:eastAsia="宋体" w:cs="Times New Roman"/>
                <w:bCs/>
                <w:color w:val="000000"/>
                <w:kern w:val="0"/>
                <w:sz w:val="24"/>
                <w:szCs w:val="24"/>
              </w:rPr>
            </w:pPr>
            <w:r>
              <w:rPr>
                <w:rFonts w:hint="eastAsia" w:ascii="宋体" w:hAnsi="等线" w:eastAsia="宋体" w:cs="Times New Roman"/>
                <w:bCs/>
                <w:color w:val="000000"/>
                <w:kern w:val="0"/>
                <w:sz w:val="24"/>
                <w:szCs w:val="24"/>
              </w:rPr>
              <w:t>课程目标1</w:t>
            </w:r>
          </w:p>
          <w:p w14:paraId="6C0ABC34">
            <w:pPr>
              <w:spacing w:line="276" w:lineRule="auto"/>
              <w:jc w:val="center"/>
              <w:rPr>
                <w:rFonts w:ascii="宋体" w:hAnsi="等线" w:eastAsia="宋体" w:cs="Times New Roman"/>
                <w:bCs/>
                <w:color w:val="000000"/>
                <w:kern w:val="0"/>
                <w:sz w:val="24"/>
                <w:szCs w:val="24"/>
              </w:rPr>
            </w:pPr>
            <w:r>
              <w:rPr>
                <w:rFonts w:hint="eastAsia" w:ascii="宋体" w:hAnsi="等线" w:eastAsia="宋体" w:cs="Times New Roman"/>
                <w:bCs/>
                <w:color w:val="000000"/>
                <w:kern w:val="0"/>
                <w:sz w:val="24"/>
                <w:szCs w:val="24"/>
              </w:rPr>
              <w:t>课程目标2</w:t>
            </w:r>
          </w:p>
          <w:p w14:paraId="13B5AE29">
            <w:pPr>
              <w:spacing w:line="276" w:lineRule="auto"/>
              <w:jc w:val="center"/>
              <w:rPr>
                <w:rFonts w:ascii="宋体" w:hAnsi="等线" w:eastAsia="宋体" w:cs="Times New Roman"/>
                <w:bCs/>
                <w:color w:val="000000"/>
                <w:kern w:val="0"/>
                <w:sz w:val="24"/>
                <w:szCs w:val="24"/>
              </w:rPr>
            </w:pPr>
            <w:r>
              <w:rPr>
                <w:rFonts w:hint="eastAsia" w:ascii="宋体" w:hAnsi="等线" w:eastAsia="宋体" w:cs="Times New Roman"/>
                <w:bCs/>
                <w:color w:val="000000"/>
                <w:kern w:val="0"/>
                <w:sz w:val="24"/>
                <w:szCs w:val="24"/>
              </w:rPr>
              <w:t>课程目标3</w:t>
            </w:r>
          </w:p>
        </w:tc>
      </w:tr>
      <w:tr w14:paraId="454E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1677" w:type="dxa"/>
            <w:vAlign w:val="center"/>
          </w:tcPr>
          <w:p w14:paraId="19D6DA95">
            <w:pPr>
              <w:spacing w:line="276" w:lineRule="auto"/>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毕业要求6：</w:t>
            </w:r>
          </w:p>
          <w:p w14:paraId="5F63FC86">
            <w:pPr>
              <w:spacing w:line="276" w:lineRule="auto"/>
              <w:jc w:val="center"/>
              <w:rPr>
                <w:rFonts w:ascii="宋体" w:hAnsi="等线" w:eastAsia="宋体" w:cs="Times New Roman"/>
                <w:b/>
                <w:color w:val="000000"/>
                <w:kern w:val="0"/>
                <w:sz w:val="24"/>
                <w:szCs w:val="24"/>
              </w:rPr>
            </w:pPr>
            <w:r>
              <w:rPr>
                <w:rFonts w:hint="eastAsia" w:ascii="宋体" w:hAnsi="宋体" w:eastAsia="宋体" w:cs="宋体"/>
                <w:b/>
                <w:color w:val="000000"/>
                <w:kern w:val="0"/>
                <w:sz w:val="24"/>
                <w:szCs w:val="24"/>
              </w:rPr>
              <w:t>综合育人</w:t>
            </w:r>
          </w:p>
        </w:tc>
        <w:tc>
          <w:tcPr>
            <w:tcW w:w="5431" w:type="dxa"/>
          </w:tcPr>
          <w:p w14:paraId="67F0F70F">
            <w:pPr>
              <w:widowControl/>
              <w:spacing w:before="0" w:beforeAutospacing="0" w:after="0" w:afterAutospacing="0"/>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指标点6-2：【胜任学科育人】具有教书育人的意识，理解学科 核心素养和拟任教学科课程独特的育人功能，在教育教学实践 中，能够结合课程内容与特点，挖掘课程的育人要素与资源，合 理设计育人目标、主题、内容和活动，将知识学习、能力发展与 品德养成有机结合。</w:t>
            </w:r>
          </w:p>
        </w:tc>
        <w:tc>
          <w:tcPr>
            <w:tcW w:w="1748" w:type="dxa"/>
            <w:vAlign w:val="center"/>
          </w:tcPr>
          <w:p w14:paraId="6A76A310">
            <w:pPr>
              <w:spacing w:line="276" w:lineRule="auto"/>
              <w:jc w:val="center"/>
              <w:rPr>
                <w:rFonts w:ascii="宋体" w:hAnsi="等线" w:eastAsia="宋体" w:cs="Times New Roman"/>
                <w:bCs/>
                <w:color w:val="000000"/>
                <w:kern w:val="0"/>
                <w:sz w:val="24"/>
                <w:szCs w:val="24"/>
              </w:rPr>
            </w:pPr>
            <w:r>
              <w:rPr>
                <w:rFonts w:hint="eastAsia" w:ascii="宋体" w:hAnsi="等线" w:eastAsia="宋体" w:cs="Times New Roman"/>
                <w:bCs/>
                <w:color w:val="000000"/>
                <w:kern w:val="0"/>
                <w:sz w:val="24"/>
                <w:szCs w:val="24"/>
              </w:rPr>
              <w:t>课程目标2</w:t>
            </w:r>
          </w:p>
          <w:p w14:paraId="33AEAA4D">
            <w:pPr>
              <w:spacing w:line="276" w:lineRule="auto"/>
              <w:jc w:val="center"/>
              <w:rPr>
                <w:rFonts w:ascii="宋体" w:hAnsi="等线" w:eastAsia="宋体" w:cs="Times New Roman"/>
                <w:bCs/>
                <w:color w:val="000000"/>
                <w:kern w:val="0"/>
                <w:sz w:val="24"/>
                <w:szCs w:val="24"/>
              </w:rPr>
            </w:pPr>
            <w:r>
              <w:rPr>
                <w:rFonts w:hint="eastAsia" w:ascii="宋体" w:hAnsi="等线" w:eastAsia="宋体" w:cs="Times New Roman"/>
                <w:bCs/>
                <w:color w:val="000000"/>
                <w:kern w:val="0"/>
                <w:sz w:val="24"/>
                <w:szCs w:val="24"/>
              </w:rPr>
              <w:t>课程目标3</w:t>
            </w:r>
          </w:p>
          <w:p w14:paraId="68704F33">
            <w:pPr>
              <w:spacing w:line="276" w:lineRule="auto"/>
              <w:jc w:val="center"/>
              <w:rPr>
                <w:rFonts w:ascii="宋体" w:hAnsi="等线" w:eastAsia="宋体" w:cs="Times New Roman"/>
                <w:bCs/>
                <w:color w:val="000000"/>
                <w:kern w:val="0"/>
                <w:sz w:val="24"/>
                <w:szCs w:val="24"/>
              </w:rPr>
            </w:pPr>
            <w:r>
              <w:rPr>
                <w:rFonts w:hint="eastAsia" w:ascii="宋体" w:hAnsi="等线" w:eastAsia="宋体" w:cs="Times New Roman"/>
                <w:bCs/>
                <w:color w:val="000000"/>
                <w:kern w:val="0"/>
                <w:sz w:val="24"/>
                <w:szCs w:val="24"/>
              </w:rPr>
              <w:t>课程目标4</w:t>
            </w:r>
          </w:p>
        </w:tc>
      </w:tr>
      <w:tr w14:paraId="04BF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1677" w:type="dxa"/>
          </w:tcPr>
          <w:p w14:paraId="6AC60D7A">
            <w:pPr>
              <w:spacing w:line="276" w:lineRule="auto"/>
              <w:jc w:val="center"/>
              <w:rPr>
                <w:rFonts w:ascii="宋体" w:hAnsi="等线" w:eastAsia="宋体" w:cs="Times New Roman"/>
                <w:b/>
                <w:color w:val="000000"/>
                <w:kern w:val="0"/>
                <w:sz w:val="24"/>
                <w:szCs w:val="24"/>
              </w:rPr>
            </w:pPr>
            <w:r>
              <w:rPr>
                <w:rFonts w:hint="eastAsia" w:ascii="宋体" w:hAnsi="等线" w:eastAsia="宋体" w:cs="Times New Roman"/>
                <w:b/>
                <w:color w:val="000000"/>
                <w:kern w:val="0"/>
                <w:sz w:val="24"/>
                <w:szCs w:val="24"/>
              </w:rPr>
              <w:t>毕业要求7：学会反思</w:t>
            </w:r>
          </w:p>
        </w:tc>
        <w:tc>
          <w:tcPr>
            <w:tcW w:w="5431" w:type="dxa"/>
            <w:vAlign w:val="center"/>
          </w:tcPr>
          <w:p w14:paraId="205D45E4">
            <w:pPr>
              <w:spacing w:line="276" w:lineRule="auto"/>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指标点7</w:t>
            </w:r>
            <w:r>
              <w:rPr>
                <w:rFonts w:ascii="宋体" w:hAnsi="宋体" w:eastAsia="宋体" w:cs="宋体"/>
                <w:bCs/>
                <w:color w:val="000000"/>
                <w:kern w:val="0"/>
                <w:sz w:val="24"/>
                <w:szCs w:val="24"/>
              </w:rPr>
              <w:t>-3</w:t>
            </w:r>
            <w:r>
              <w:rPr>
                <w:rFonts w:hint="eastAsia" w:ascii="宋体" w:hAnsi="宋体" w:eastAsia="宋体" w:cs="宋体"/>
                <w:bCs/>
                <w:color w:val="000000"/>
                <w:kern w:val="0"/>
                <w:sz w:val="24"/>
                <w:szCs w:val="24"/>
              </w:rPr>
              <w:t>：</w:t>
            </w:r>
            <w:r>
              <w:rPr>
                <w:rFonts w:ascii="宋体" w:hAnsi="宋体" w:eastAsia="宋体" w:cs="宋体"/>
                <w:bCs/>
                <w:color w:val="000000"/>
                <w:kern w:val="0"/>
                <w:sz w:val="24"/>
                <w:szCs w:val="24"/>
              </w:rPr>
              <w:t>【反思改进良好】具有反思意识和批判性思维素养，初步掌握反思方法和技能，具有一定创新意识，掌握收集和挖掘教育教学实践中的案例、关键事件的方法，不断进行反思，启发 教育教学工作。对在日常学习和教育实践中发现的教育现象和问题，进行探索和研究，有自己的思考和见解。</w:t>
            </w:r>
          </w:p>
        </w:tc>
        <w:tc>
          <w:tcPr>
            <w:tcW w:w="1748" w:type="dxa"/>
            <w:vAlign w:val="center"/>
          </w:tcPr>
          <w:p w14:paraId="46D113D9">
            <w:pPr>
              <w:spacing w:line="276" w:lineRule="auto"/>
              <w:jc w:val="center"/>
              <w:rPr>
                <w:rFonts w:ascii="宋体" w:hAnsi="等线" w:eastAsia="宋体" w:cs="Times New Roman"/>
                <w:bCs/>
                <w:color w:val="000000"/>
                <w:kern w:val="0"/>
                <w:sz w:val="24"/>
                <w:szCs w:val="24"/>
              </w:rPr>
            </w:pPr>
            <w:r>
              <w:rPr>
                <w:rFonts w:hint="eastAsia" w:ascii="宋体" w:hAnsi="等线" w:eastAsia="宋体" w:cs="Times New Roman"/>
                <w:bCs/>
                <w:color w:val="000000"/>
                <w:kern w:val="0"/>
                <w:sz w:val="24"/>
                <w:szCs w:val="24"/>
              </w:rPr>
              <w:t>课程目标5</w:t>
            </w:r>
          </w:p>
        </w:tc>
      </w:tr>
    </w:tbl>
    <w:p w14:paraId="6CC01E4D">
      <w:pPr>
        <w:spacing w:line="360" w:lineRule="auto"/>
        <w:ind w:firstLine="482" w:firstLineChars="200"/>
        <w:rPr>
          <w:rFonts w:ascii="宋体" w:hAnsi="等线" w:eastAsia="宋体" w:cs="Times New Roman"/>
          <w:b/>
          <w:color w:val="000000"/>
          <w:sz w:val="24"/>
          <w:szCs w:val="22"/>
        </w:rPr>
      </w:pPr>
    </w:p>
    <w:p w14:paraId="5CF44D4C">
      <w:pPr>
        <w:adjustRightInd w:val="0"/>
        <w:snapToGrid w:val="0"/>
        <w:spacing w:line="360" w:lineRule="auto"/>
        <w:ind w:firstLine="482" w:firstLineChars="200"/>
        <w:outlineLvl w:val="1"/>
        <w:rPr>
          <w:rFonts w:ascii="宋体" w:hAnsi="宋体" w:eastAsia="宋体" w:cs="Times New Roman"/>
          <w:b/>
          <w:color w:val="000000"/>
          <w:sz w:val="24"/>
          <w:szCs w:val="24"/>
        </w:rPr>
      </w:pPr>
      <w:bookmarkStart w:id="2950" w:name="_Toc26"/>
      <w:r>
        <w:rPr>
          <w:rFonts w:hint="eastAsia" w:ascii="宋体" w:hAnsi="宋体" w:eastAsia="宋体" w:cs="Times New Roman"/>
          <w:b/>
          <w:color w:val="000000"/>
          <w:sz w:val="24"/>
          <w:szCs w:val="24"/>
        </w:rPr>
        <w:t>（三）课程思政目标</w:t>
      </w:r>
      <w:bookmarkEnd w:id="2950"/>
    </w:p>
    <w:p w14:paraId="393EE715">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加深对儿童道德发展规律的认识，学会科学开展教育教学工作，巩固专业思想，增强社会责任感和教育情怀，在更高的知识层面上理解教育的本质。</w:t>
      </w:r>
    </w:p>
    <w:p w14:paraId="37FA6FB0">
      <w:pPr>
        <w:adjustRightInd w:val="0"/>
        <w:snapToGrid w:val="0"/>
        <w:spacing w:line="360" w:lineRule="auto"/>
        <w:ind w:firstLine="482" w:firstLineChars="200"/>
        <w:outlineLvl w:val="0"/>
        <w:rPr>
          <w:rFonts w:ascii="宋体" w:hAnsi="等线" w:eastAsia="宋体" w:cs="Times New Roman"/>
          <w:b/>
          <w:color w:val="000000"/>
          <w:sz w:val="24"/>
          <w:szCs w:val="24"/>
        </w:rPr>
      </w:pPr>
      <w:bookmarkStart w:id="2951" w:name="_Toc20291"/>
      <w:bookmarkStart w:id="2952" w:name="_Toc1075"/>
      <w:bookmarkStart w:id="2953" w:name="_Toc8148"/>
      <w:bookmarkStart w:id="2954" w:name="_Toc7801"/>
      <w:bookmarkStart w:id="2955" w:name="_Toc16633"/>
      <w:bookmarkStart w:id="2956" w:name="_Toc18289"/>
      <w:bookmarkStart w:id="2957" w:name="_Toc16394"/>
      <w:r>
        <w:rPr>
          <w:rFonts w:hint="eastAsia" w:ascii="宋体" w:hAnsi="宋体" w:eastAsia="宋体" w:cs="Times New Roman"/>
          <w:b/>
          <w:color w:val="000000"/>
          <w:sz w:val="24"/>
          <w:szCs w:val="24"/>
        </w:rPr>
        <w:t>三、教学内容与预期学习成效</w:t>
      </w:r>
      <w:bookmarkEnd w:id="2951"/>
      <w:bookmarkEnd w:id="2952"/>
      <w:bookmarkEnd w:id="2953"/>
      <w:bookmarkEnd w:id="2954"/>
      <w:bookmarkEnd w:id="2955"/>
      <w:bookmarkEnd w:id="2956"/>
      <w:bookmarkEnd w:id="2957"/>
    </w:p>
    <w:tbl>
      <w:tblPr>
        <w:tblStyle w:val="11"/>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126"/>
        <w:gridCol w:w="1559"/>
        <w:gridCol w:w="1985"/>
        <w:gridCol w:w="1559"/>
        <w:gridCol w:w="709"/>
      </w:tblGrid>
      <w:tr w14:paraId="2696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413" w:type="dxa"/>
            <w:vAlign w:val="center"/>
          </w:tcPr>
          <w:p w14:paraId="66CB861B">
            <w:pPr>
              <w:adjustRightInd w:val="0"/>
              <w:snapToGrid w:val="0"/>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知识单元</w:t>
            </w:r>
          </w:p>
        </w:tc>
        <w:tc>
          <w:tcPr>
            <w:tcW w:w="2126" w:type="dxa"/>
            <w:vAlign w:val="center"/>
          </w:tcPr>
          <w:p w14:paraId="3246CDA6">
            <w:pPr>
              <w:adjustRightInd w:val="0"/>
              <w:snapToGrid w:val="0"/>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知识点</w:t>
            </w:r>
          </w:p>
        </w:tc>
        <w:tc>
          <w:tcPr>
            <w:tcW w:w="1559" w:type="dxa"/>
            <w:vAlign w:val="center"/>
          </w:tcPr>
          <w:p w14:paraId="0C8A5B9A">
            <w:pPr>
              <w:adjustRightInd w:val="0"/>
              <w:snapToGrid w:val="0"/>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对应课程目标</w:t>
            </w:r>
          </w:p>
        </w:tc>
        <w:tc>
          <w:tcPr>
            <w:tcW w:w="1985" w:type="dxa"/>
            <w:vAlign w:val="center"/>
          </w:tcPr>
          <w:p w14:paraId="57A3671E">
            <w:pPr>
              <w:adjustRightInd w:val="0"/>
              <w:snapToGrid w:val="0"/>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预期学习成效</w:t>
            </w:r>
          </w:p>
        </w:tc>
        <w:tc>
          <w:tcPr>
            <w:tcW w:w="1559" w:type="dxa"/>
            <w:vAlign w:val="center"/>
          </w:tcPr>
          <w:p w14:paraId="611D05E6">
            <w:pPr>
              <w:adjustRightInd w:val="0"/>
              <w:snapToGrid w:val="0"/>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实现环节</w:t>
            </w:r>
          </w:p>
        </w:tc>
        <w:tc>
          <w:tcPr>
            <w:tcW w:w="709" w:type="dxa"/>
            <w:vAlign w:val="center"/>
          </w:tcPr>
          <w:p w14:paraId="69D6B5B5">
            <w:pPr>
              <w:adjustRightInd w:val="0"/>
              <w:snapToGrid w:val="0"/>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学时</w:t>
            </w:r>
          </w:p>
        </w:tc>
      </w:tr>
      <w:tr w14:paraId="5046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2D889490">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第一章</w:t>
            </w:r>
          </w:p>
          <w:p w14:paraId="6F54255C">
            <w:pPr>
              <w:adjustRightInd w:val="0"/>
              <w:snapToGrid w:val="0"/>
              <w:spacing w:line="276" w:lineRule="auto"/>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小学道德与法治教学设计概述</w:t>
            </w:r>
          </w:p>
        </w:tc>
        <w:tc>
          <w:tcPr>
            <w:tcW w:w="2126" w:type="dxa"/>
          </w:tcPr>
          <w:p w14:paraId="0DB990E1">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.小学道德与法治教学设计的内涵与特点</w:t>
            </w:r>
          </w:p>
          <w:p w14:paraId="440B6AE8">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.小学道德与法治教学设计的理论依据</w:t>
            </w:r>
          </w:p>
          <w:p w14:paraId="5235C583">
            <w:pPr>
              <w:adjustRightInd w:val="0"/>
              <w:snapToGrid w:val="0"/>
              <w:spacing w:line="276" w:lineRule="auto"/>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3.小学道德与法治教学设计的原则</w:t>
            </w:r>
          </w:p>
          <w:p w14:paraId="01C34D1D">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4</w:t>
            </w:r>
            <w:r>
              <w:rPr>
                <w:rFonts w:ascii="宋体" w:hAnsi="宋体" w:eastAsia="宋体" w:cs="Times New Roman"/>
                <w:bCs/>
                <w:color w:val="000000"/>
                <w:kern w:val="0"/>
                <w:sz w:val="21"/>
                <w:szCs w:val="21"/>
              </w:rPr>
              <w:t>.小学道德与法治教学设计的内容与方法</w:t>
            </w:r>
          </w:p>
        </w:tc>
        <w:tc>
          <w:tcPr>
            <w:tcW w:w="1559" w:type="dxa"/>
            <w:vAlign w:val="center"/>
          </w:tcPr>
          <w:p w14:paraId="7AF5608F">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课程目标1</w:t>
            </w:r>
          </w:p>
        </w:tc>
        <w:tc>
          <w:tcPr>
            <w:tcW w:w="1985" w:type="dxa"/>
          </w:tcPr>
          <w:p w14:paraId="49C8CA96">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.了解小学道德与法治学科的性质、目的、根本任务</w:t>
            </w:r>
            <w:r>
              <w:rPr>
                <w:rFonts w:hint="eastAsia" w:ascii="宋体" w:hAnsi="宋体" w:eastAsia="宋体" w:cs="Times New Roman"/>
                <w:bCs/>
                <w:color w:val="000000"/>
                <w:kern w:val="0"/>
                <w:sz w:val="21"/>
                <w:szCs w:val="21"/>
              </w:rPr>
              <w:t>。</w:t>
            </w:r>
          </w:p>
          <w:p w14:paraId="6BD5FBB6">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.理解小学道德与法治教学设计的原则和要求</w:t>
            </w:r>
            <w:r>
              <w:rPr>
                <w:rFonts w:hint="eastAsia" w:ascii="宋体" w:hAnsi="宋体" w:eastAsia="宋体" w:cs="Times New Roman"/>
                <w:bCs/>
                <w:color w:val="000000"/>
                <w:kern w:val="0"/>
                <w:sz w:val="21"/>
                <w:szCs w:val="21"/>
              </w:rPr>
              <w:t>。</w:t>
            </w:r>
          </w:p>
          <w:p w14:paraId="208890C8">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.掌握小学道德与法治教学设计的内容和基本方法</w:t>
            </w:r>
            <w:r>
              <w:rPr>
                <w:rFonts w:hint="eastAsia" w:ascii="宋体" w:hAnsi="宋体" w:eastAsia="宋体" w:cs="Times New Roman"/>
                <w:bCs/>
                <w:color w:val="000000"/>
                <w:kern w:val="0"/>
                <w:sz w:val="21"/>
                <w:szCs w:val="21"/>
              </w:rPr>
              <w:t>。</w:t>
            </w:r>
          </w:p>
        </w:tc>
        <w:tc>
          <w:tcPr>
            <w:tcW w:w="1559" w:type="dxa"/>
          </w:tcPr>
          <w:p w14:paraId="0D7EBBF4">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1.多媒体教学</w:t>
            </w:r>
          </w:p>
          <w:p w14:paraId="5689737B">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2.课堂讨论</w:t>
            </w:r>
          </w:p>
        </w:tc>
        <w:tc>
          <w:tcPr>
            <w:tcW w:w="709" w:type="dxa"/>
            <w:vAlign w:val="center"/>
          </w:tcPr>
          <w:p w14:paraId="24A79453">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p>
        </w:tc>
      </w:tr>
      <w:tr w14:paraId="2D9A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0593578F">
            <w:pPr>
              <w:adjustRightInd w:val="0"/>
              <w:snapToGrid w:val="0"/>
              <w:spacing w:line="360" w:lineRule="auto"/>
              <w:rPr>
                <w:rFonts w:ascii="宋体" w:hAnsi="宋体" w:eastAsia="宋体" w:cs="Times New Roman"/>
                <w:b/>
                <w:color w:val="000000"/>
                <w:kern w:val="0"/>
                <w:sz w:val="20"/>
                <w:szCs w:val="21"/>
              </w:rPr>
            </w:pPr>
          </w:p>
        </w:tc>
        <w:tc>
          <w:tcPr>
            <w:tcW w:w="7938" w:type="dxa"/>
            <w:gridSpan w:val="5"/>
            <w:vAlign w:val="center"/>
          </w:tcPr>
          <w:p w14:paraId="3D34A875">
            <w:pPr>
              <w:widowControl/>
              <w:tabs>
                <w:tab w:val="left" w:pos="312"/>
              </w:tabs>
              <w:adjustRightInd w:val="0"/>
              <w:snapToGrid w:val="0"/>
              <w:spacing w:line="276" w:lineRule="auto"/>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1"/>
                <w:szCs w:val="21"/>
              </w:rPr>
              <w:t>课程思政目标：</w:t>
            </w:r>
            <w:r>
              <w:rPr>
                <w:rFonts w:hint="eastAsia" w:ascii="宋体" w:hAnsi="宋体" w:eastAsia="宋体" w:cs="宋体"/>
                <w:color w:val="000000"/>
                <w:kern w:val="0"/>
                <w:sz w:val="21"/>
                <w:szCs w:val="21"/>
              </w:rPr>
              <w:t>通过本章内容学习，使学生理解道德与法治学习在人的发展过程中的作用，逐步加深对儿童道德教育的价值认识，能够在更高的知识层面上理解教育的本质。</w:t>
            </w:r>
          </w:p>
        </w:tc>
      </w:tr>
      <w:tr w14:paraId="7842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413" w:type="dxa"/>
            <w:vMerge w:val="restart"/>
          </w:tcPr>
          <w:p w14:paraId="6E7D7196">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第二章</w:t>
            </w:r>
          </w:p>
          <w:p w14:paraId="244F5034">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小学道德与法治教学微观设计</w:t>
            </w:r>
          </w:p>
        </w:tc>
        <w:tc>
          <w:tcPr>
            <w:tcW w:w="2126" w:type="dxa"/>
          </w:tcPr>
          <w:p w14:paraId="73990508">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.教学一般流程</w:t>
            </w:r>
          </w:p>
          <w:p w14:paraId="417094A3">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.导入环节设计</w:t>
            </w:r>
          </w:p>
          <w:p w14:paraId="7747A18C">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.提问设计设计</w:t>
            </w:r>
          </w:p>
          <w:p w14:paraId="19DD7160">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4</w:t>
            </w:r>
            <w:r>
              <w:rPr>
                <w:rFonts w:ascii="宋体" w:hAnsi="宋体" w:eastAsia="宋体" w:cs="Times New Roman"/>
                <w:bCs/>
                <w:color w:val="000000"/>
                <w:kern w:val="0"/>
                <w:sz w:val="21"/>
                <w:szCs w:val="21"/>
              </w:rPr>
              <w:t>.评价环节设计</w:t>
            </w:r>
          </w:p>
          <w:p w14:paraId="20311868">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5</w:t>
            </w:r>
            <w:r>
              <w:rPr>
                <w:rFonts w:ascii="宋体" w:hAnsi="宋体" w:eastAsia="宋体" w:cs="Times New Roman"/>
                <w:bCs/>
                <w:color w:val="000000"/>
                <w:kern w:val="0"/>
                <w:sz w:val="21"/>
                <w:szCs w:val="21"/>
              </w:rPr>
              <w:t>.实践环节设计</w:t>
            </w:r>
          </w:p>
        </w:tc>
        <w:tc>
          <w:tcPr>
            <w:tcW w:w="1559" w:type="dxa"/>
            <w:vAlign w:val="center"/>
          </w:tcPr>
          <w:p w14:paraId="65C390F5">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课程目标2</w:t>
            </w:r>
          </w:p>
        </w:tc>
        <w:tc>
          <w:tcPr>
            <w:tcW w:w="1985" w:type="dxa"/>
          </w:tcPr>
          <w:p w14:paraId="5D211C4B">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.掌握小学道德与法治教学设计的一般流程</w:t>
            </w:r>
            <w:r>
              <w:rPr>
                <w:rFonts w:hint="eastAsia" w:ascii="宋体" w:hAnsi="宋体" w:eastAsia="宋体" w:cs="Times New Roman"/>
                <w:bCs/>
                <w:color w:val="000000"/>
                <w:kern w:val="0"/>
                <w:sz w:val="21"/>
                <w:szCs w:val="21"/>
              </w:rPr>
              <w:t>。</w:t>
            </w:r>
          </w:p>
          <w:p w14:paraId="1B802192">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.掌握教学过程中重点环节的灵活智慧处理</w:t>
            </w:r>
            <w:r>
              <w:rPr>
                <w:rFonts w:hint="eastAsia" w:ascii="宋体" w:hAnsi="宋体" w:eastAsia="宋体" w:cs="Times New Roman"/>
                <w:bCs/>
                <w:color w:val="000000"/>
                <w:kern w:val="0"/>
                <w:sz w:val="21"/>
                <w:szCs w:val="21"/>
              </w:rPr>
              <w:t>。</w:t>
            </w:r>
          </w:p>
        </w:tc>
        <w:tc>
          <w:tcPr>
            <w:tcW w:w="1559" w:type="dxa"/>
          </w:tcPr>
          <w:p w14:paraId="2EECC70C">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1.多媒体教学2.课堂讨论</w:t>
            </w:r>
          </w:p>
          <w:p w14:paraId="316234F8">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w:t>
            </w:r>
            <w:r>
              <w:rPr>
                <w:rFonts w:hint="eastAsia" w:ascii="宋体" w:hAnsi="宋体" w:eastAsia="宋体" w:cs="Times New Roman"/>
                <w:kern w:val="0"/>
                <w:sz w:val="21"/>
                <w:szCs w:val="21"/>
              </w:rPr>
              <w:t>教学观摩</w:t>
            </w:r>
          </w:p>
        </w:tc>
        <w:tc>
          <w:tcPr>
            <w:tcW w:w="709" w:type="dxa"/>
            <w:vAlign w:val="center"/>
          </w:tcPr>
          <w:p w14:paraId="0506D4D9">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p>
        </w:tc>
      </w:tr>
      <w:tr w14:paraId="708D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21F9678A">
            <w:pPr>
              <w:adjustRightInd w:val="0"/>
              <w:snapToGrid w:val="0"/>
              <w:spacing w:line="360" w:lineRule="auto"/>
              <w:rPr>
                <w:rFonts w:ascii="宋体" w:hAnsi="宋体" w:eastAsia="宋体" w:cs="Times New Roman"/>
                <w:b/>
                <w:color w:val="000000"/>
                <w:kern w:val="0"/>
                <w:sz w:val="21"/>
                <w:szCs w:val="21"/>
              </w:rPr>
            </w:pPr>
          </w:p>
        </w:tc>
        <w:tc>
          <w:tcPr>
            <w:tcW w:w="7938" w:type="dxa"/>
            <w:gridSpan w:val="5"/>
            <w:vAlign w:val="center"/>
          </w:tcPr>
          <w:p w14:paraId="6986E3BD">
            <w:pPr>
              <w:adjustRightInd w:val="0"/>
              <w:snapToGrid w:val="0"/>
              <w:spacing w:line="276" w:lineRule="auto"/>
              <w:jc w:val="left"/>
              <w:rPr>
                <w:rFonts w:ascii="宋体" w:hAnsi="宋体" w:eastAsia="宋体" w:cs="Times New Roman"/>
                <w:b/>
                <w:color w:val="000000"/>
                <w:kern w:val="0"/>
                <w:sz w:val="21"/>
                <w:szCs w:val="21"/>
              </w:rPr>
            </w:pPr>
            <w:r>
              <w:rPr>
                <w:rFonts w:ascii="宋体" w:hAnsi="宋体" w:eastAsia="宋体" w:cs="Times New Roman"/>
                <w:b/>
                <w:color w:val="000000"/>
                <w:kern w:val="0"/>
                <w:sz w:val="21"/>
                <w:szCs w:val="21"/>
              </w:rPr>
              <w:t>课程思政目标</w:t>
            </w:r>
            <w:r>
              <w:rPr>
                <w:rFonts w:hint="eastAsia" w:ascii="宋体" w:hAnsi="宋体" w:eastAsia="宋体" w:cs="Times New Roman"/>
                <w:b/>
                <w:color w:val="000000"/>
                <w:kern w:val="0"/>
                <w:sz w:val="21"/>
                <w:szCs w:val="21"/>
              </w:rPr>
              <w:t>：</w:t>
            </w:r>
            <w:r>
              <w:rPr>
                <w:rFonts w:ascii="宋体" w:hAnsi="宋体" w:eastAsia="宋体" w:cs="Times New Roman"/>
                <w:bCs/>
                <w:color w:val="000000"/>
                <w:kern w:val="0"/>
                <w:sz w:val="21"/>
                <w:szCs w:val="21"/>
              </w:rPr>
              <w:t>通过本章内容的学习，使学生辩证认识道德与法治课程与其他课程在设计上的差异，把马克思主义经典理论和习近平新时代中国特色社会主义思想等马克思主义中国化的最新理论成果融入到课程理解中。</w:t>
            </w:r>
          </w:p>
        </w:tc>
      </w:tr>
      <w:tr w14:paraId="60F4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2A20051E">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第三章</w:t>
            </w:r>
          </w:p>
          <w:p w14:paraId="582D31DD">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习惯养成课教学设计与案例研究</w:t>
            </w:r>
          </w:p>
        </w:tc>
        <w:tc>
          <w:tcPr>
            <w:tcW w:w="2126" w:type="dxa"/>
          </w:tcPr>
          <w:p w14:paraId="384670C6">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.习惯养成课的内涵</w:t>
            </w:r>
          </w:p>
          <w:p w14:paraId="7245C84A">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.习惯养成课的特点</w:t>
            </w:r>
          </w:p>
          <w:p w14:paraId="3E538419">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.习惯养成课的设计过程与注意事项</w:t>
            </w:r>
          </w:p>
          <w:p w14:paraId="7845876A">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4</w:t>
            </w:r>
            <w:r>
              <w:rPr>
                <w:rFonts w:ascii="宋体" w:hAnsi="宋体" w:eastAsia="宋体" w:cs="Times New Roman"/>
                <w:bCs/>
                <w:color w:val="000000"/>
                <w:kern w:val="0"/>
                <w:sz w:val="21"/>
                <w:szCs w:val="21"/>
              </w:rPr>
              <w:t>.习惯养成课精品案例研究</w:t>
            </w:r>
          </w:p>
        </w:tc>
        <w:tc>
          <w:tcPr>
            <w:tcW w:w="1559" w:type="dxa"/>
            <w:vAlign w:val="center"/>
          </w:tcPr>
          <w:p w14:paraId="25AB025C">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w:t>
            </w:r>
            <w:r>
              <w:rPr>
                <w:rFonts w:ascii="宋体" w:hAnsi="宋体" w:eastAsia="宋体" w:cs="Times New Roman"/>
                <w:bCs/>
                <w:color w:val="000000"/>
                <w:kern w:val="0"/>
                <w:sz w:val="21"/>
                <w:szCs w:val="21"/>
              </w:rPr>
              <w:t>3</w:t>
            </w:r>
          </w:p>
          <w:p w14:paraId="0065C773">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课程目标4</w:t>
            </w:r>
          </w:p>
        </w:tc>
        <w:tc>
          <w:tcPr>
            <w:tcW w:w="1985" w:type="dxa"/>
          </w:tcPr>
          <w:p w14:paraId="104CFDFA">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.掌握习惯养成课的教学特点与一般流程</w:t>
            </w:r>
            <w:r>
              <w:rPr>
                <w:rFonts w:hint="eastAsia" w:ascii="宋体" w:hAnsi="宋体" w:eastAsia="宋体" w:cs="Times New Roman"/>
                <w:bCs/>
                <w:color w:val="000000"/>
                <w:kern w:val="0"/>
                <w:sz w:val="21"/>
                <w:szCs w:val="21"/>
              </w:rPr>
              <w:t>。</w:t>
            </w:r>
          </w:p>
          <w:p w14:paraId="18C39E59">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.掌握习惯养成课教学设计注意方面</w:t>
            </w:r>
            <w:r>
              <w:rPr>
                <w:rFonts w:hint="eastAsia" w:ascii="宋体" w:hAnsi="宋体" w:eastAsia="宋体" w:cs="Times New Roman"/>
                <w:bCs/>
                <w:color w:val="000000"/>
                <w:kern w:val="0"/>
                <w:sz w:val="21"/>
                <w:szCs w:val="21"/>
              </w:rPr>
              <w:t>。</w:t>
            </w:r>
          </w:p>
        </w:tc>
        <w:tc>
          <w:tcPr>
            <w:tcW w:w="1559" w:type="dxa"/>
          </w:tcPr>
          <w:p w14:paraId="4C398D98">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1.多媒体教学2.课堂讨论</w:t>
            </w:r>
          </w:p>
          <w:p w14:paraId="0026D0E7">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w:t>
            </w:r>
            <w:r>
              <w:rPr>
                <w:rFonts w:hint="eastAsia" w:ascii="宋体" w:hAnsi="宋体" w:eastAsia="宋体" w:cs="Times New Roman"/>
                <w:kern w:val="0"/>
                <w:sz w:val="21"/>
                <w:szCs w:val="21"/>
              </w:rPr>
              <w:t>教学观摩</w:t>
            </w:r>
          </w:p>
          <w:p w14:paraId="5ECD0B01">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4</w:t>
            </w:r>
            <w:r>
              <w:rPr>
                <w:rFonts w:ascii="宋体" w:hAnsi="宋体" w:eastAsia="宋体" w:cs="Times New Roman"/>
                <w:kern w:val="0"/>
                <w:sz w:val="21"/>
                <w:szCs w:val="21"/>
              </w:rPr>
              <w:t>.</w:t>
            </w:r>
            <w:r>
              <w:rPr>
                <w:rFonts w:hint="eastAsia" w:ascii="宋体" w:hAnsi="宋体" w:eastAsia="宋体" w:cs="Times New Roman"/>
                <w:kern w:val="0"/>
                <w:sz w:val="21"/>
                <w:szCs w:val="21"/>
              </w:rPr>
              <w:t>教学设计</w:t>
            </w:r>
          </w:p>
          <w:p w14:paraId="1E2D15AD">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kern w:val="0"/>
                <w:sz w:val="21"/>
                <w:szCs w:val="21"/>
              </w:rPr>
              <w:t>5</w:t>
            </w:r>
            <w:r>
              <w:rPr>
                <w:rFonts w:ascii="宋体" w:hAnsi="宋体" w:eastAsia="宋体" w:cs="Times New Roman"/>
                <w:kern w:val="0"/>
                <w:sz w:val="21"/>
                <w:szCs w:val="21"/>
              </w:rPr>
              <w:t>.</w:t>
            </w:r>
            <w:r>
              <w:rPr>
                <w:rFonts w:hint="eastAsia" w:ascii="宋体" w:hAnsi="宋体" w:eastAsia="宋体" w:cs="Times New Roman"/>
                <w:kern w:val="0"/>
                <w:sz w:val="21"/>
                <w:szCs w:val="21"/>
              </w:rPr>
              <w:t>课内实践</w:t>
            </w:r>
          </w:p>
        </w:tc>
        <w:tc>
          <w:tcPr>
            <w:tcW w:w="709" w:type="dxa"/>
            <w:vAlign w:val="center"/>
          </w:tcPr>
          <w:p w14:paraId="53AA7620">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6</w:t>
            </w:r>
          </w:p>
        </w:tc>
      </w:tr>
      <w:tr w14:paraId="0D66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49E3630B">
            <w:pPr>
              <w:adjustRightInd w:val="0"/>
              <w:snapToGrid w:val="0"/>
              <w:spacing w:line="360" w:lineRule="auto"/>
              <w:rPr>
                <w:rFonts w:ascii="宋体" w:hAnsi="宋体" w:eastAsia="宋体" w:cs="Times New Roman"/>
                <w:b/>
                <w:color w:val="000000"/>
                <w:kern w:val="0"/>
                <w:sz w:val="20"/>
                <w:szCs w:val="21"/>
              </w:rPr>
            </w:pPr>
          </w:p>
        </w:tc>
        <w:tc>
          <w:tcPr>
            <w:tcW w:w="7938" w:type="dxa"/>
            <w:gridSpan w:val="5"/>
            <w:vAlign w:val="center"/>
          </w:tcPr>
          <w:p w14:paraId="068631A1">
            <w:pPr>
              <w:adjustRightInd w:val="0"/>
              <w:snapToGrid w:val="0"/>
              <w:spacing w:line="276" w:lineRule="auto"/>
              <w:jc w:val="left"/>
              <w:rPr>
                <w:rFonts w:ascii="宋体" w:hAnsi="宋体" w:eastAsia="宋体" w:cs="Times New Roman"/>
                <w:b/>
                <w:color w:val="000000"/>
                <w:kern w:val="0"/>
                <w:sz w:val="21"/>
                <w:szCs w:val="21"/>
              </w:rPr>
            </w:pPr>
            <w:r>
              <w:rPr>
                <w:rFonts w:ascii="宋体" w:hAnsi="宋体" w:eastAsia="宋体" w:cs="Times New Roman"/>
                <w:b/>
                <w:color w:val="000000"/>
                <w:kern w:val="0"/>
                <w:sz w:val="21"/>
                <w:szCs w:val="21"/>
              </w:rPr>
              <w:t>课程思政目标</w:t>
            </w:r>
            <w:r>
              <w:rPr>
                <w:rFonts w:hint="eastAsia" w:ascii="宋体" w:hAnsi="宋体" w:eastAsia="宋体" w:cs="Times New Roman"/>
                <w:b/>
                <w:color w:val="000000"/>
                <w:kern w:val="0"/>
                <w:sz w:val="21"/>
                <w:szCs w:val="21"/>
              </w:rPr>
              <w:t>：</w:t>
            </w:r>
            <w:r>
              <w:rPr>
                <w:rFonts w:ascii="宋体" w:hAnsi="宋体" w:eastAsia="宋体" w:cs="Times New Roman"/>
                <w:bCs/>
                <w:color w:val="000000"/>
                <w:kern w:val="0"/>
                <w:sz w:val="21"/>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49FF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71FF959B">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第四章 游戏活动课教学设计与案例研究</w:t>
            </w:r>
          </w:p>
        </w:tc>
        <w:tc>
          <w:tcPr>
            <w:tcW w:w="2126" w:type="dxa"/>
          </w:tcPr>
          <w:p w14:paraId="27966D2E">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.游戏活动课的内涵</w:t>
            </w:r>
          </w:p>
          <w:p w14:paraId="3FEA8404">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.游戏活动课的特点</w:t>
            </w:r>
          </w:p>
          <w:p w14:paraId="3D801087">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.游戏活动课的设计过程与注意事项</w:t>
            </w:r>
          </w:p>
          <w:p w14:paraId="779B96EF">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4</w:t>
            </w:r>
            <w:r>
              <w:rPr>
                <w:rFonts w:ascii="宋体" w:hAnsi="宋体" w:eastAsia="宋体" w:cs="Times New Roman"/>
                <w:bCs/>
                <w:color w:val="000000"/>
                <w:kern w:val="0"/>
                <w:sz w:val="21"/>
                <w:szCs w:val="21"/>
              </w:rPr>
              <w:t>.游戏活动课精品案例研究</w:t>
            </w:r>
          </w:p>
        </w:tc>
        <w:tc>
          <w:tcPr>
            <w:tcW w:w="1559" w:type="dxa"/>
            <w:vAlign w:val="center"/>
          </w:tcPr>
          <w:p w14:paraId="1D9D690C">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w:t>
            </w:r>
            <w:r>
              <w:rPr>
                <w:rFonts w:ascii="宋体" w:hAnsi="宋体" w:eastAsia="宋体" w:cs="Times New Roman"/>
                <w:bCs/>
                <w:color w:val="000000"/>
                <w:kern w:val="0"/>
                <w:sz w:val="21"/>
                <w:szCs w:val="21"/>
              </w:rPr>
              <w:t>3</w:t>
            </w:r>
          </w:p>
          <w:p w14:paraId="664A3C30">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课程目标4</w:t>
            </w:r>
          </w:p>
        </w:tc>
        <w:tc>
          <w:tcPr>
            <w:tcW w:w="1985" w:type="dxa"/>
          </w:tcPr>
          <w:p w14:paraId="40A94BDE">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.掌握游戏活动课的教学特点与一般流程</w:t>
            </w:r>
            <w:r>
              <w:rPr>
                <w:rFonts w:hint="eastAsia" w:ascii="宋体" w:hAnsi="宋体" w:eastAsia="宋体" w:cs="Times New Roman"/>
                <w:bCs/>
                <w:color w:val="000000"/>
                <w:kern w:val="0"/>
                <w:sz w:val="21"/>
                <w:szCs w:val="21"/>
              </w:rPr>
              <w:t>。</w:t>
            </w:r>
          </w:p>
          <w:p w14:paraId="5409DA7C">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.掌握游戏活动课教学设计注意方面</w:t>
            </w:r>
            <w:r>
              <w:rPr>
                <w:rFonts w:hint="eastAsia" w:ascii="宋体" w:hAnsi="宋体" w:eastAsia="宋体" w:cs="Times New Roman"/>
                <w:bCs/>
                <w:color w:val="000000"/>
                <w:kern w:val="0"/>
                <w:sz w:val="21"/>
                <w:szCs w:val="21"/>
              </w:rPr>
              <w:t>。</w:t>
            </w:r>
          </w:p>
        </w:tc>
        <w:tc>
          <w:tcPr>
            <w:tcW w:w="1559" w:type="dxa"/>
          </w:tcPr>
          <w:p w14:paraId="055A4E57">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1.多媒体教学2.课堂讨论</w:t>
            </w:r>
          </w:p>
          <w:p w14:paraId="01D4BA18">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w:t>
            </w:r>
            <w:r>
              <w:rPr>
                <w:rFonts w:hint="eastAsia" w:ascii="宋体" w:hAnsi="宋体" w:eastAsia="宋体" w:cs="Times New Roman"/>
                <w:kern w:val="0"/>
                <w:sz w:val="21"/>
                <w:szCs w:val="21"/>
              </w:rPr>
              <w:t>教学观摩</w:t>
            </w:r>
          </w:p>
          <w:p w14:paraId="68FAC302">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4</w:t>
            </w:r>
            <w:r>
              <w:rPr>
                <w:rFonts w:ascii="宋体" w:hAnsi="宋体" w:eastAsia="宋体" w:cs="Times New Roman"/>
                <w:kern w:val="0"/>
                <w:sz w:val="21"/>
                <w:szCs w:val="21"/>
              </w:rPr>
              <w:t>.</w:t>
            </w:r>
            <w:r>
              <w:rPr>
                <w:rFonts w:hint="eastAsia" w:ascii="宋体" w:hAnsi="宋体" w:eastAsia="宋体" w:cs="Times New Roman"/>
                <w:kern w:val="0"/>
                <w:sz w:val="21"/>
                <w:szCs w:val="21"/>
              </w:rPr>
              <w:t>教学设计</w:t>
            </w:r>
          </w:p>
          <w:p w14:paraId="77CE7086">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kern w:val="0"/>
                <w:sz w:val="21"/>
                <w:szCs w:val="21"/>
              </w:rPr>
              <w:t>5</w:t>
            </w:r>
            <w:r>
              <w:rPr>
                <w:rFonts w:ascii="宋体" w:hAnsi="宋体" w:eastAsia="宋体" w:cs="Times New Roman"/>
                <w:kern w:val="0"/>
                <w:sz w:val="21"/>
                <w:szCs w:val="21"/>
              </w:rPr>
              <w:t>.</w:t>
            </w:r>
            <w:r>
              <w:rPr>
                <w:rFonts w:hint="eastAsia" w:ascii="宋体" w:hAnsi="宋体" w:eastAsia="宋体" w:cs="Times New Roman"/>
                <w:kern w:val="0"/>
                <w:sz w:val="21"/>
                <w:szCs w:val="21"/>
              </w:rPr>
              <w:t>课内实践</w:t>
            </w:r>
          </w:p>
        </w:tc>
        <w:tc>
          <w:tcPr>
            <w:tcW w:w="709" w:type="dxa"/>
            <w:vAlign w:val="center"/>
          </w:tcPr>
          <w:p w14:paraId="634C222B">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6</w:t>
            </w:r>
          </w:p>
        </w:tc>
      </w:tr>
      <w:tr w14:paraId="5913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33750869">
            <w:pPr>
              <w:adjustRightInd w:val="0"/>
              <w:snapToGrid w:val="0"/>
              <w:spacing w:line="360" w:lineRule="auto"/>
              <w:rPr>
                <w:rFonts w:ascii="宋体" w:hAnsi="宋体" w:eastAsia="宋体" w:cs="Times New Roman"/>
                <w:b/>
                <w:color w:val="000000"/>
                <w:kern w:val="0"/>
                <w:sz w:val="20"/>
                <w:szCs w:val="21"/>
              </w:rPr>
            </w:pPr>
          </w:p>
        </w:tc>
        <w:tc>
          <w:tcPr>
            <w:tcW w:w="7938" w:type="dxa"/>
            <w:gridSpan w:val="5"/>
            <w:vAlign w:val="center"/>
          </w:tcPr>
          <w:p w14:paraId="00289371">
            <w:pPr>
              <w:adjustRightInd w:val="0"/>
              <w:snapToGrid w:val="0"/>
              <w:spacing w:line="276" w:lineRule="auto"/>
              <w:rPr>
                <w:rFonts w:ascii="宋体" w:hAnsi="宋体" w:eastAsia="宋体" w:cs="Times New Roman"/>
                <w:bCs/>
                <w:color w:val="000000"/>
                <w:kern w:val="0"/>
                <w:sz w:val="21"/>
                <w:szCs w:val="21"/>
              </w:rPr>
            </w:pPr>
            <w:r>
              <w:rPr>
                <w:rFonts w:ascii="宋体" w:hAnsi="宋体" w:eastAsia="宋体" w:cs="Times New Roman"/>
                <w:b/>
                <w:color w:val="000000"/>
                <w:kern w:val="0"/>
                <w:sz w:val="21"/>
                <w:szCs w:val="21"/>
              </w:rPr>
              <w:t>课程思政目标</w:t>
            </w:r>
            <w:r>
              <w:rPr>
                <w:rFonts w:hint="eastAsia" w:ascii="宋体" w:hAnsi="宋体" w:eastAsia="宋体" w:cs="Times New Roman"/>
                <w:bCs/>
                <w:color w:val="000000"/>
                <w:kern w:val="0"/>
                <w:sz w:val="21"/>
                <w:szCs w:val="21"/>
              </w:rPr>
              <w:t>：</w:t>
            </w:r>
            <w:r>
              <w:rPr>
                <w:rFonts w:ascii="宋体" w:hAnsi="宋体" w:eastAsia="宋体" w:cs="Times New Roman"/>
                <w:bCs/>
                <w:color w:val="000000"/>
                <w:kern w:val="0"/>
                <w:sz w:val="21"/>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01D5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3EEA5604">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第五章 社会探究课教学设计与案例研究</w:t>
            </w:r>
          </w:p>
        </w:tc>
        <w:tc>
          <w:tcPr>
            <w:tcW w:w="2126" w:type="dxa"/>
          </w:tcPr>
          <w:p w14:paraId="77F82BFD">
            <w:pPr>
              <w:widowControl/>
              <w:adjustRightInd w:val="0"/>
              <w:snapToGrid w:val="0"/>
              <w:spacing w:line="276" w:lineRule="auto"/>
              <w:jc w:val="left"/>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w:t>
            </w:r>
            <w:r>
              <w:rPr>
                <w:rFonts w:hint="eastAsia" w:ascii="宋体" w:hAnsi="宋体" w:eastAsia="宋体" w:cs="Times New Roman"/>
                <w:bCs/>
                <w:color w:val="000000"/>
                <w:kern w:val="0"/>
                <w:sz w:val="21"/>
                <w:szCs w:val="21"/>
              </w:rPr>
              <w:t>社会探究课的内涵</w:t>
            </w:r>
          </w:p>
          <w:p w14:paraId="35E0A8F3">
            <w:pPr>
              <w:widowControl/>
              <w:adjustRightInd w:val="0"/>
              <w:snapToGrid w:val="0"/>
              <w:spacing w:line="276" w:lineRule="auto"/>
              <w:jc w:val="left"/>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w:t>
            </w:r>
            <w:r>
              <w:rPr>
                <w:rFonts w:hint="eastAsia" w:ascii="宋体" w:hAnsi="宋体" w:eastAsia="宋体" w:cs="Times New Roman"/>
                <w:bCs/>
                <w:color w:val="000000"/>
                <w:kern w:val="0"/>
                <w:sz w:val="21"/>
                <w:szCs w:val="21"/>
              </w:rPr>
              <w:t>社会探究课的特点</w:t>
            </w:r>
          </w:p>
          <w:p w14:paraId="7EC13449">
            <w:pPr>
              <w:widowControl/>
              <w:adjustRightInd w:val="0"/>
              <w:snapToGrid w:val="0"/>
              <w:spacing w:line="276" w:lineRule="auto"/>
              <w:jc w:val="left"/>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w:t>
            </w:r>
            <w:r>
              <w:rPr>
                <w:rFonts w:hint="eastAsia" w:ascii="宋体" w:hAnsi="宋体" w:eastAsia="宋体" w:cs="Times New Roman"/>
                <w:bCs/>
                <w:color w:val="000000"/>
                <w:kern w:val="0"/>
                <w:sz w:val="21"/>
                <w:szCs w:val="21"/>
              </w:rPr>
              <w:t>社会探究课的设计过程与注意事项</w:t>
            </w:r>
          </w:p>
          <w:p w14:paraId="20FB96A5">
            <w:pPr>
              <w:widowControl/>
              <w:adjustRightInd w:val="0"/>
              <w:snapToGrid w:val="0"/>
              <w:spacing w:line="276" w:lineRule="auto"/>
              <w:jc w:val="left"/>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4</w:t>
            </w:r>
            <w:r>
              <w:rPr>
                <w:rFonts w:ascii="宋体" w:hAnsi="宋体" w:eastAsia="宋体" w:cs="Times New Roman"/>
                <w:bCs/>
                <w:color w:val="000000"/>
                <w:kern w:val="0"/>
                <w:sz w:val="21"/>
                <w:szCs w:val="21"/>
              </w:rPr>
              <w:t>.</w:t>
            </w:r>
            <w:r>
              <w:rPr>
                <w:rFonts w:hint="eastAsia" w:ascii="宋体" w:hAnsi="宋体" w:eastAsia="宋体" w:cs="Times New Roman"/>
                <w:bCs/>
                <w:color w:val="000000"/>
                <w:kern w:val="0"/>
                <w:sz w:val="21"/>
                <w:szCs w:val="21"/>
              </w:rPr>
              <w:t>社会探究课精品案例研究</w:t>
            </w:r>
          </w:p>
        </w:tc>
        <w:tc>
          <w:tcPr>
            <w:tcW w:w="1559" w:type="dxa"/>
            <w:vAlign w:val="center"/>
          </w:tcPr>
          <w:p w14:paraId="21F21056">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w:t>
            </w:r>
            <w:r>
              <w:rPr>
                <w:rFonts w:ascii="宋体" w:hAnsi="宋体" w:eastAsia="宋体" w:cs="Times New Roman"/>
                <w:bCs/>
                <w:color w:val="000000"/>
                <w:kern w:val="0"/>
                <w:sz w:val="21"/>
                <w:szCs w:val="21"/>
              </w:rPr>
              <w:t>3</w:t>
            </w:r>
          </w:p>
          <w:p w14:paraId="286BBB2C">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课程目标4</w:t>
            </w:r>
          </w:p>
        </w:tc>
        <w:tc>
          <w:tcPr>
            <w:tcW w:w="1985" w:type="dxa"/>
          </w:tcPr>
          <w:p w14:paraId="0B63BD91">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w:t>
            </w:r>
            <w:r>
              <w:rPr>
                <w:rFonts w:hint="eastAsia" w:ascii="宋体" w:hAnsi="宋体" w:eastAsia="宋体" w:cs="Times New Roman"/>
                <w:bCs/>
                <w:color w:val="000000"/>
                <w:kern w:val="0"/>
                <w:sz w:val="21"/>
                <w:szCs w:val="21"/>
              </w:rPr>
              <w:t>掌握社会探究课的教学特点与一般流程。</w:t>
            </w:r>
          </w:p>
          <w:p w14:paraId="6FB1DE0F">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w:t>
            </w:r>
            <w:r>
              <w:rPr>
                <w:rFonts w:hint="eastAsia" w:ascii="宋体" w:hAnsi="宋体" w:eastAsia="宋体" w:cs="Times New Roman"/>
                <w:bCs/>
                <w:color w:val="000000"/>
                <w:kern w:val="0"/>
                <w:sz w:val="21"/>
                <w:szCs w:val="21"/>
              </w:rPr>
              <w:t>掌握社会探究课教学设计注意方面。</w:t>
            </w:r>
          </w:p>
        </w:tc>
        <w:tc>
          <w:tcPr>
            <w:tcW w:w="1559" w:type="dxa"/>
          </w:tcPr>
          <w:p w14:paraId="3C26307B">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1.多媒体教学2.课堂讨论</w:t>
            </w:r>
          </w:p>
          <w:p w14:paraId="1D66B9E0">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w:t>
            </w:r>
            <w:r>
              <w:rPr>
                <w:rFonts w:hint="eastAsia" w:ascii="宋体" w:hAnsi="宋体" w:eastAsia="宋体" w:cs="Times New Roman"/>
                <w:kern w:val="0"/>
                <w:sz w:val="21"/>
                <w:szCs w:val="21"/>
              </w:rPr>
              <w:t>教学观摩</w:t>
            </w:r>
          </w:p>
          <w:p w14:paraId="4D692D0D">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4</w:t>
            </w:r>
            <w:r>
              <w:rPr>
                <w:rFonts w:ascii="宋体" w:hAnsi="宋体" w:eastAsia="宋体" w:cs="Times New Roman"/>
                <w:kern w:val="0"/>
                <w:sz w:val="21"/>
                <w:szCs w:val="21"/>
              </w:rPr>
              <w:t>.</w:t>
            </w:r>
            <w:r>
              <w:rPr>
                <w:rFonts w:hint="eastAsia" w:ascii="宋体" w:hAnsi="宋体" w:eastAsia="宋体" w:cs="Times New Roman"/>
                <w:kern w:val="0"/>
                <w:sz w:val="21"/>
                <w:szCs w:val="21"/>
              </w:rPr>
              <w:t>教学设计</w:t>
            </w:r>
          </w:p>
          <w:p w14:paraId="2ACCB3CA">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kern w:val="0"/>
                <w:sz w:val="21"/>
                <w:szCs w:val="21"/>
              </w:rPr>
              <w:t>5</w:t>
            </w:r>
            <w:r>
              <w:rPr>
                <w:rFonts w:ascii="宋体" w:hAnsi="宋体" w:eastAsia="宋体" w:cs="Times New Roman"/>
                <w:kern w:val="0"/>
                <w:sz w:val="21"/>
                <w:szCs w:val="21"/>
              </w:rPr>
              <w:t>.</w:t>
            </w:r>
            <w:r>
              <w:rPr>
                <w:rFonts w:hint="eastAsia" w:ascii="宋体" w:hAnsi="宋体" w:eastAsia="宋体" w:cs="Times New Roman"/>
                <w:kern w:val="0"/>
                <w:sz w:val="21"/>
                <w:szCs w:val="21"/>
              </w:rPr>
              <w:t>课内实践</w:t>
            </w:r>
          </w:p>
        </w:tc>
        <w:tc>
          <w:tcPr>
            <w:tcW w:w="709" w:type="dxa"/>
            <w:vAlign w:val="center"/>
          </w:tcPr>
          <w:p w14:paraId="3A295C6B">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6</w:t>
            </w:r>
          </w:p>
        </w:tc>
      </w:tr>
      <w:tr w14:paraId="7514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442A78DB">
            <w:pPr>
              <w:adjustRightInd w:val="0"/>
              <w:snapToGrid w:val="0"/>
              <w:spacing w:line="360" w:lineRule="auto"/>
              <w:rPr>
                <w:rFonts w:ascii="宋体" w:hAnsi="宋体" w:eastAsia="宋体" w:cs="Times New Roman"/>
                <w:b/>
                <w:color w:val="000000"/>
                <w:kern w:val="0"/>
                <w:sz w:val="20"/>
                <w:szCs w:val="21"/>
              </w:rPr>
            </w:pPr>
          </w:p>
        </w:tc>
        <w:tc>
          <w:tcPr>
            <w:tcW w:w="7938" w:type="dxa"/>
            <w:gridSpan w:val="5"/>
            <w:vAlign w:val="center"/>
          </w:tcPr>
          <w:p w14:paraId="0C2B2C4F">
            <w:pPr>
              <w:adjustRightInd w:val="0"/>
              <w:snapToGrid w:val="0"/>
              <w:spacing w:line="276" w:lineRule="auto"/>
              <w:jc w:val="left"/>
              <w:rPr>
                <w:rFonts w:ascii="宋体" w:hAnsi="宋体" w:eastAsia="宋体" w:cs="Times New Roman"/>
                <w:bCs/>
                <w:color w:val="000000"/>
                <w:kern w:val="0"/>
                <w:sz w:val="21"/>
                <w:szCs w:val="21"/>
              </w:rPr>
            </w:pPr>
            <w:r>
              <w:rPr>
                <w:rFonts w:ascii="宋体" w:hAnsi="宋体" w:eastAsia="宋体" w:cs="Times New Roman"/>
                <w:b/>
                <w:color w:val="000000"/>
                <w:kern w:val="0"/>
                <w:sz w:val="21"/>
                <w:szCs w:val="21"/>
              </w:rPr>
              <w:t>课程思政目标</w:t>
            </w:r>
            <w:r>
              <w:rPr>
                <w:rFonts w:hint="eastAsia" w:ascii="宋体" w:hAnsi="宋体" w:eastAsia="宋体" w:cs="Times New Roman"/>
                <w:b/>
                <w:color w:val="000000"/>
                <w:kern w:val="0"/>
                <w:sz w:val="21"/>
                <w:szCs w:val="21"/>
              </w:rPr>
              <w:t>：</w:t>
            </w:r>
            <w:r>
              <w:rPr>
                <w:rFonts w:ascii="宋体" w:hAnsi="宋体" w:eastAsia="宋体" w:cs="Times New Roman"/>
                <w:bCs/>
                <w:color w:val="000000"/>
                <w:kern w:val="0"/>
                <w:sz w:val="21"/>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0D4F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03F52ACD">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宋体"/>
                <w:color w:val="000000"/>
                <w:kern w:val="0"/>
                <w:sz w:val="21"/>
                <w:szCs w:val="21"/>
              </w:rPr>
              <w:t>第六章 思辨说理课教学设计与案例研究</w:t>
            </w:r>
          </w:p>
        </w:tc>
        <w:tc>
          <w:tcPr>
            <w:tcW w:w="2126" w:type="dxa"/>
          </w:tcPr>
          <w:p w14:paraId="3FDAD792">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w:t>
            </w:r>
            <w:r>
              <w:rPr>
                <w:rFonts w:ascii="宋体" w:hAnsi="宋体" w:eastAsia="宋体" w:cs="Times New Roman"/>
                <w:color w:val="000000"/>
                <w:kern w:val="0"/>
                <w:sz w:val="21"/>
                <w:szCs w:val="21"/>
              </w:rPr>
              <w:t>.思辨说理课的内涵</w:t>
            </w:r>
          </w:p>
          <w:p w14:paraId="628433B7">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r>
              <w:rPr>
                <w:rFonts w:ascii="宋体" w:hAnsi="宋体" w:eastAsia="宋体" w:cs="Times New Roman"/>
                <w:color w:val="000000"/>
                <w:kern w:val="0"/>
                <w:sz w:val="21"/>
                <w:szCs w:val="21"/>
              </w:rPr>
              <w:t>.思辨说理课的特点</w:t>
            </w:r>
          </w:p>
          <w:p w14:paraId="72126024">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3</w:t>
            </w:r>
            <w:r>
              <w:rPr>
                <w:rFonts w:ascii="宋体" w:hAnsi="宋体" w:eastAsia="宋体" w:cs="Times New Roman"/>
                <w:color w:val="000000"/>
                <w:kern w:val="0"/>
                <w:sz w:val="21"/>
                <w:szCs w:val="21"/>
              </w:rPr>
              <w:t>.思辨说理课的设计过程与注意事项</w:t>
            </w:r>
          </w:p>
          <w:p w14:paraId="4E71005F">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4</w:t>
            </w:r>
            <w:r>
              <w:rPr>
                <w:rFonts w:ascii="宋体" w:hAnsi="宋体" w:eastAsia="宋体" w:cs="Times New Roman"/>
                <w:color w:val="000000"/>
                <w:kern w:val="0"/>
                <w:sz w:val="21"/>
                <w:szCs w:val="21"/>
              </w:rPr>
              <w:t>.思辨说理课精品案例研究</w:t>
            </w:r>
          </w:p>
        </w:tc>
        <w:tc>
          <w:tcPr>
            <w:tcW w:w="1559" w:type="dxa"/>
            <w:vAlign w:val="center"/>
          </w:tcPr>
          <w:p w14:paraId="750B872A">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w:t>
            </w:r>
            <w:r>
              <w:rPr>
                <w:rFonts w:ascii="宋体" w:hAnsi="宋体" w:eastAsia="宋体" w:cs="Times New Roman"/>
                <w:bCs/>
                <w:color w:val="000000"/>
                <w:kern w:val="0"/>
                <w:sz w:val="21"/>
                <w:szCs w:val="21"/>
              </w:rPr>
              <w:t>3</w:t>
            </w:r>
          </w:p>
          <w:p w14:paraId="38A4AEE5">
            <w:pPr>
              <w:adjustRightInd w:val="0"/>
              <w:snapToGrid w:val="0"/>
              <w:spacing w:line="276" w:lineRule="auto"/>
              <w:jc w:val="center"/>
              <w:rPr>
                <w:rFonts w:ascii="宋体" w:hAnsi="宋体" w:eastAsia="宋体" w:cs="Times New Roman"/>
                <w:color w:val="000000"/>
                <w:kern w:val="0"/>
                <w:sz w:val="21"/>
                <w:szCs w:val="21"/>
              </w:rPr>
            </w:pPr>
            <w:r>
              <w:rPr>
                <w:rFonts w:hint="eastAsia" w:ascii="宋体" w:hAnsi="宋体" w:eastAsia="宋体" w:cs="Times New Roman"/>
                <w:bCs/>
                <w:color w:val="000000"/>
                <w:kern w:val="0"/>
                <w:sz w:val="21"/>
                <w:szCs w:val="21"/>
              </w:rPr>
              <w:t>课程目标4</w:t>
            </w:r>
          </w:p>
        </w:tc>
        <w:tc>
          <w:tcPr>
            <w:tcW w:w="1985" w:type="dxa"/>
          </w:tcPr>
          <w:p w14:paraId="72AB38C9">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w:t>
            </w:r>
            <w:r>
              <w:rPr>
                <w:rFonts w:ascii="宋体" w:hAnsi="宋体" w:eastAsia="宋体" w:cs="Times New Roman"/>
                <w:color w:val="000000"/>
                <w:kern w:val="0"/>
                <w:sz w:val="21"/>
                <w:szCs w:val="21"/>
              </w:rPr>
              <w:t>.掌握思辨说理课的教学特点与一般流程</w:t>
            </w:r>
            <w:r>
              <w:rPr>
                <w:rFonts w:hint="eastAsia" w:ascii="宋体" w:hAnsi="宋体" w:eastAsia="宋体" w:cs="Times New Roman"/>
                <w:color w:val="000000"/>
                <w:kern w:val="0"/>
                <w:sz w:val="21"/>
                <w:szCs w:val="21"/>
              </w:rPr>
              <w:t>。</w:t>
            </w:r>
          </w:p>
          <w:p w14:paraId="385624E3">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r>
              <w:rPr>
                <w:rFonts w:ascii="宋体" w:hAnsi="宋体" w:eastAsia="宋体" w:cs="Times New Roman"/>
                <w:color w:val="000000"/>
                <w:kern w:val="0"/>
                <w:sz w:val="21"/>
                <w:szCs w:val="21"/>
              </w:rPr>
              <w:t>.掌握思辨说理课教学设计注意方面</w:t>
            </w:r>
            <w:r>
              <w:rPr>
                <w:rFonts w:hint="eastAsia" w:ascii="宋体" w:hAnsi="宋体" w:eastAsia="宋体" w:cs="Times New Roman"/>
                <w:color w:val="000000"/>
                <w:kern w:val="0"/>
                <w:sz w:val="21"/>
                <w:szCs w:val="21"/>
              </w:rPr>
              <w:t>。</w:t>
            </w:r>
          </w:p>
        </w:tc>
        <w:tc>
          <w:tcPr>
            <w:tcW w:w="1559" w:type="dxa"/>
          </w:tcPr>
          <w:p w14:paraId="5FA4EDB9">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1.多媒体教学2.课堂讨论</w:t>
            </w:r>
          </w:p>
          <w:p w14:paraId="18F55221">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w:t>
            </w:r>
            <w:r>
              <w:rPr>
                <w:rFonts w:hint="eastAsia" w:ascii="宋体" w:hAnsi="宋体" w:eastAsia="宋体" w:cs="Times New Roman"/>
                <w:kern w:val="0"/>
                <w:sz w:val="21"/>
                <w:szCs w:val="21"/>
              </w:rPr>
              <w:t>教学观摩</w:t>
            </w:r>
          </w:p>
          <w:p w14:paraId="68105782">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4</w:t>
            </w:r>
            <w:r>
              <w:rPr>
                <w:rFonts w:ascii="宋体" w:hAnsi="宋体" w:eastAsia="宋体" w:cs="Times New Roman"/>
                <w:kern w:val="0"/>
                <w:sz w:val="21"/>
                <w:szCs w:val="21"/>
              </w:rPr>
              <w:t>.</w:t>
            </w:r>
            <w:r>
              <w:rPr>
                <w:rFonts w:hint="eastAsia" w:ascii="宋体" w:hAnsi="宋体" w:eastAsia="宋体" w:cs="Times New Roman"/>
                <w:kern w:val="0"/>
                <w:sz w:val="21"/>
                <w:szCs w:val="21"/>
              </w:rPr>
              <w:t>教学设计</w:t>
            </w:r>
          </w:p>
          <w:p w14:paraId="150C6861">
            <w:pPr>
              <w:adjustRightInd w:val="0"/>
              <w:snapToGrid w:val="0"/>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5</w:t>
            </w:r>
            <w:r>
              <w:rPr>
                <w:rFonts w:ascii="宋体" w:hAnsi="宋体" w:eastAsia="宋体" w:cs="Times New Roman"/>
                <w:color w:val="000000"/>
                <w:kern w:val="0"/>
                <w:sz w:val="21"/>
                <w:szCs w:val="21"/>
              </w:rPr>
              <w:t>.</w:t>
            </w:r>
            <w:r>
              <w:rPr>
                <w:rFonts w:hint="eastAsia" w:ascii="宋体" w:hAnsi="宋体" w:eastAsia="宋体" w:cs="Times New Roman"/>
                <w:color w:val="000000"/>
                <w:kern w:val="0"/>
                <w:sz w:val="21"/>
                <w:szCs w:val="21"/>
              </w:rPr>
              <w:t>课内实践</w:t>
            </w:r>
          </w:p>
        </w:tc>
        <w:tc>
          <w:tcPr>
            <w:tcW w:w="709" w:type="dxa"/>
            <w:vAlign w:val="center"/>
          </w:tcPr>
          <w:p w14:paraId="7F36FDA2">
            <w:pPr>
              <w:adjustRightInd w:val="0"/>
              <w:snapToGrid w:val="0"/>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6</w:t>
            </w:r>
          </w:p>
        </w:tc>
      </w:tr>
      <w:tr w14:paraId="2CC9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58C5301B">
            <w:pPr>
              <w:adjustRightInd w:val="0"/>
              <w:snapToGrid w:val="0"/>
              <w:spacing w:line="276" w:lineRule="auto"/>
              <w:rPr>
                <w:rFonts w:ascii="宋体" w:hAnsi="宋体" w:eastAsia="宋体" w:cs="Times New Roman"/>
                <w:color w:val="000000"/>
                <w:kern w:val="0"/>
                <w:sz w:val="21"/>
                <w:szCs w:val="21"/>
              </w:rPr>
            </w:pPr>
          </w:p>
        </w:tc>
        <w:tc>
          <w:tcPr>
            <w:tcW w:w="7938" w:type="dxa"/>
            <w:gridSpan w:val="5"/>
            <w:vAlign w:val="center"/>
          </w:tcPr>
          <w:p w14:paraId="79DCAB31">
            <w:pPr>
              <w:adjustRightInd w:val="0"/>
              <w:snapToGrid w:val="0"/>
              <w:spacing w:line="276" w:lineRule="auto"/>
              <w:jc w:val="left"/>
              <w:rPr>
                <w:rFonts w:ascii="宋体" w:hAnsi="宋体" w:eastAsia="宋体" w:cs="Times New Roman"/>
                <w:color w:val="000000"/>
                <w:kern w:val="0"/>
                <w:sz w:val="21"/>
                <w:szCs w:val="21"/>
              </w:rPr>
            </w:pPr>
            <w:r>
              <w:rPr>
                <w:rFonts w:ascii="宋体" w:hAnsi="宋体" w:eastAsia="宋体" w:cs="Times New Roman"/>
                <w:b/>
                <w:bCs/>
                <w:color w:val="000000"/>
                <w:kern w:val="0"/>
                <w:sz w:val="21"/>
                <w:szCs w:val="21"/>
              </w:rPr>
              <w:t>课程思政目标</w:t>
            </w:r>
            <w:r>
              <w:rPr>
                <w:rFonts w:hint="eastAsia" w:ascii="宋体" w:hAnsi="宋体" w:eastAsia="宋体" w:cs="Times New Roman"/>
                <w:b/>
                <w:bCs/>
                <w:color w:val="000000"/>
                <w:kern w:val="0"/>
                <w:sz w:val="21"/>
                <w:szCs w:val="21"/>
              </w:rPr>
              <w:t>：</w:t>
            </w:r>
            <w:r>
              <w:rPr>
                <w:rFonts w:ascii="宋体" w:hAnsi="宋体" w:eastAsia="宋体" w:cs="Times New Roman"/>
                <w:color w:val="000000"/>
                <w:kern w:val="0"/>
                <w:sz w:val="21"/>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7A04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01EBE1AE">
            <w:pPr>
              <w:adjustRightInd w:val="0"/>
              <w:snapToGrid w:val="0"/>
              <w:spacing w:line="276" w:lineRule="auto"/>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第七章 小学道德与法治典型教学模式</w:t>
            </w:r>
          </w:p>
        </w:tc>
        <w:tc>
          <w:tcPr>
            <w:tcW w:w="2126" w:type="dxa"/>
          </w:tcPr>
          <w:p w14:paraId="6B0AEFA9">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.议题式教学</w:t>
            </w:r>
          </w:p>
          <w:p w14:paraId="1AE12BB4">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.项目式教学</w:t>
            </w:r>
          </w:p>
          <w:p w14:paraId="5575C4BB">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.体验式教学</w:t>
            </w:r>
          </w:p>
          <w:p w14:paraId="3C123C06">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4</w:t>
            </w:r>
            <w:r>
              <w:rPr>
                <w:rFonts w:ascii="宋体" w:hAnsi="宋体" w:eastAsia="宋体" w:cs="Times New Roman"/>
                <w:bCs/>
                <w:color w:val="000000"/>
                <w:kern w:val="0"/>
                <w:sz w:val="21"/>
                <w:szCs w:val="21"/>
              </w:rPr>
              <w:t>.精品案例评析</w:t>
            </w:r>
          </w:p>
        </w:tc>
        <w:tc>
          <w:tcPr>
            <w:tcW w:w="1559" w:type="dxa"/>
            <w:vAlign w:val="center"/>
          </w:tcPr>
          <w:p w14:paraId="5E8611B1">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课程目标4</w:t>
            </w:r>
          </w:p>
          <w:p w14:paraId="7DC84183">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课程目标5</w:t>
            </w:r>
          </w:p>
        </w:tc>
        <w:tc>
          <w:tcPr>
            <w:tcW w:w="1985" w:type="dxa"/>
          </w:tcPr>
          <w:p w14:paraId="46FFAB63">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.掌握不同教学模式的特点与操作方式</w:t>
            </w:r>
            <w:r>
              <w:rPr>
                <w:rFonts w:hint="eastAsia" w:ascii="宋体" w:hAnsi="宋体" w:eastAsia="宋体" w:cs="Times New Roman"/>
                <w:bCs/>
                <w:color w:val="000000"/>
                <w:kern w:val="0"/>
                <w:sz w:val="21"/>
                <w:szCs w:val="21"/>
              </w:rPr>
              <w:t>。</w:t>
            </w:r>
          </w:p>
          <w:p w14:paraId="302788F8">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.掌握不同教学模式的优点，灵活运用于教学设计中</w:t>
            </w:r>
            <w:r>
              <w:rPr>
                <w:rFonts w:hint="eastAsia" w:ascii="宋体" w:hAnsi="宋体" w:eastAsia="宋体" w:cs="Times New Roman"/>
                <w:bCs/>
                <w:color w:val="000000"/>
                <w:kern w:val="0"/>
                <w:sz w:val="21"/>
                <w:szCs w:val="21"/>
              </w:rPr>
              <w:t>。</w:t>
            </w:r>
          </w:p>
        </w:tc>
        <w:tc>
          <w:tcPr>
            <w:tcW w:w="1559" w:type="dxa"/>
          </w:tcPr>
          <w:p w14:paraId="114D590B">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1.多媒体教学2.课堂讨论</w:t>
            </w:r>
          </w:p>
          <w:p w14:paraId="3CC3EC01">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w:t>
            </w:r>
            <w:r>
              <w:rPr>
                <w:rFonts w:hint="eastAsia" w:ascii="宋体" w:hAnsi="宋体" w:eastAsia="宋体" w:cs="Times New Roman"/>
                <w:kern w:val="0"/>
                <w:sz w:val="21"/>
                <w:szCs w:val="21"/>
              </w:rPr>
              <w:t>教学观摩</w:t>
            </w:r>
          </w:p>
          <w:p w14:paraId="50BD6C32">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kern w:val="0"/>
                <w:sz w:val="21"/>
                <w:szCs w:val="21"/>
              </w:rPr>
              <w:t>4</w:t>
            </w:r>
            <w:r>
              <w:rPr>
                <w:rFonts w:ascii="宋体" w:hAnsi="宋体" w:eastAsia="宋体" w:cs="Times New Roman"/>
                <w:kern w:val="0"/>
                <w:sz w:val="21"/>
                <w:szCs w:val="21"/>
              </w:rPr>
              <w:t>.</w:t>
            </w:r>
            <w:r>
              <w:rPr>
                <w:rFonts w:hint="eastAsia" w:ascii="宋体" w:hAnsi="宋体" w:eastAsia="宋体" w:cs="Times New Roman"/>
                <w:kern w:val="0"/>
                <w:sz w:val="21"/>
                <w:szCs w:val="21"/>
              </w:rPr>
              <w:t>教学设计</w:t>
            </w:r>
          </w:p>
        </w:tc>
        <w:tc>
          <w:tcPr>
            <w:tcW w:w="709" w:type="dxa"/>
            <w:vAlign w:val="center"/>
          </w:tcPr>
          <w:p w14:paraId="753AA250">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p>
        </w:tc>
      </w:tr>
      <w:tr w14:paraId="2D79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03326326">
            <w:pPr>
              <w:adjustRightInd w:val="0"/>
              <w:snapToGrid w:val="0"/>
              <w:spacing w:line="276" w:lineRule="auto"/>
              <w:rPr>
                <w:rFonts w:ascii="宋体" w:hAnsi="宋体" w:eastAsia="宋体" w:cs="Times New Roman"/>
                <w:bCs/>
                <w:color w:val="000000"/>
                <w:kern w:val="0"/>
                <w:sz w:val="21"/>
                <w:szCs w:val="21"/>
              </w:rPr>
            </w:pPr>
          </w:p>
        </w:tc>
        <w:tc>
          <w:tcPr>
            <w:tcW w:w="7938" w:type="dxa"/>
            <w:gridSpan w:val="5"/>
            <w:vAlign w:val="center"/>
          </w:tcPr>
          <w:p w14:paraId="7DC8208D">
            <w:pPr>
              <w:adjustRightInd w:val="0"/>
              <w:snapToGrid w:val="0"/>
              <w:spacing w:line="276" w:lineRule="auto"/>
              <w:jc w:val="left"/>
              <w:rPr>
                <w:rFonts w:ascii="宋体" w:hAnsi="宋体" w:eastAsia="宋体" w:cs="Times New Roman"/>
                <w:bCs/>
                <w:color w:val="000000"/>
                <w:kern w:val="0"/>
                <w:sz w:val="21"/>
                <w:szCs w:val="21"/>
              </w:rPr>
            </w:pPr>
            <w:r>
              <w:rPr>
                <w:rFonts w:ascii="宋体" w:hAnsi="宋体" w:eastAsia="宋体" w:cs="Times New Roman"/>
                <w:b/>
                <w:color w:val="000000"/>
                <w:kern w:val="0"/>
                <w:sz w:val="21"/>
                <w:szCs w:val="21"/>
              </w:rPr>
              <w:t>课程思政目标</w:t>
            </w:r>
            <w:r>
              <w:rPr>
                <w:rFonts w:hint="eastAsia" w:ascii="宋体" w:hAnsi="宋体" w:eastAsia="宋体" w:cs="Times New Roman"/>
                <w:b/>
                <w:color w:val="000000"/>
                <w:kern w:val="0"/>
                <w:sz w:val="21"/>
                <w:szCs w:val="21"/>
              </w:rPr>
              <w:t>：</w:t>
            </w:r>
            <w:r>
              <w:rPr>
                <w:rFonts w:ascii="宋体" w:hAnsi="宋体" w:eastAsia="宋体" w:cs="Times New Roman"/>
                <w:bCs/>
                <w:color w:val="000000"/>
                <w:kern w:val="0"/>
                <w:sz w:val="21"/>
                <w:szCs w:val="21"/>
              </w:rPr>
              <w:t>通过本章内容的学习，使学生了解不同教学模式背后的育人指向，增强对道德与法治教学模式的思想理念的认识，提高人文素养和文化底蕴，增强教育智慧，具备根据不同道德与法治教学主题设计形成适宜教学风格的能力。</w:t>
            </w:r>
          </w:p>
        </w:tc>
      </w:tr>
      <w:tr w14:paraId="5DAF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tcPr>
          <w:p w14:paraId="19F5137B">
            <w:pPr>
              <w:adjustRightInd w:val="0"/>
              <w:snapToGrid w:val="0"/>
              <w:spacing w:line="276" w:lineRule="auto"/>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第八章 小学道德与法治教学资源的搜集和利用</w:t>
            </w:r>
          </w:p>
        </w:tc>
        <w:tc>
          <w:tcPr>
            <w:tcW w:w="2126" w:type="dxa"/>
          </w:tcPr>
          <w:p w14:paraId="0962B611">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.小学道德与法治教学资源的类型</w:t>
            </w:r>
          </w:p>
          <w:p w14:paraId="0BB29CDE">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.小学道德与法治教学资源开发路径</w:t>
            </w:r>
          </w:p>
          <w:p w14:paraId="13056408">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.小学道德与法治教学资源使用方式</w:t>
            </w:r>
          </w:p>
        </w:tc>
        <w:tc>
          <w:tcPr>
            <w:tcW w:w="1559" w:type="dxa"/>
            <w:vAlign w:val="center"/>
          </w:tcPr>
          <w:p w14:paraId="468C464C">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课程目标4</w:t>
            </w:r>
          </w:p>
          <w:p w14:paraId="767A468F">
            <w:pPr>
              <w:adjustRightInd w:val="0"/>
              <w:snapToGrid w:val="0"/>
              <w:spacing w:line="276"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课程目标5</w:t>
            </w:r>
          </w:p>
        </w:tc>
        <w:tc>
          <w:tcPr>
            <w:tcW w:w="1985" w:type="dxa"/>
          </w:tcPr>
          <w:p w14:paraId="0DA02AAB">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.掌握不同教学资源的选用方式与教学设计</w:t>
            </w:r>
            <w:r>
              <w:rPr>
                <w:rFonts w:hint="eastAsia" w:ascii="宋体" w:hAnsi="宋体" w:eastAsia="宋体" w:cs="Times New Roman"/>
                <w:bCs/>
                <w:color w:val="000000"/>
                <w:kern w:val="0"/>
                <w:sz w:val="21"/>
                <w:szCs w:val="21"/>
              </w:rPr>
              <w:t>。</w:t>
            </w:r>
          </w:p>
          <w:p w14:paraId="4EC59FEA">
            <w:pPr>
              <w:adjustRightInd w:val="0"/>
              <w:snapToGrid w:val="0"/>
              <w:spacing w:line="276" w:lineRule="auto"/>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.掌握开发多样化教学资源的途径，能根据教学需要灵活开发</w:t>
            </w:r>
            <w:r>
              <w:rPr>
                <w:rFonts w:hint="eastAsia" w:ascii="宋体" w:hAnsi="宋体" w:eastAsia="宋体" w:cs="Times New Roman"/>
                <w:bCs/>
                <w:color w:val="000000"/>
                <w:kern w:val="0"/>
                <w:sz w:val="21"/>
                <w:szCs w:val="21"/>
              </w:rPr>
              <w:t>。</w:t>
            </w:r>
          </w:p>
        </w:tc>
        <w:tc>
          <w:tcPr>
            <w:tcW w:w="1559" w:type="dxa"/>
          </w:tcPr>
          <w:p w14:paraId="1E4C54B7">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1.多媒体教学2.课堂讨论</w:t>
            </w:r>
          </w:p>
          <w:p w14:paraId="3FA95C40">
            <w:pPr>
              <w:adjustRightInd w:val="0"/>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w:t>
            </w:r>
            <w:r>
              <w:rPr>
                <w:rFonts w:hint="eastAsia" w:ascii="宋体" w:hAnsi="宋体" w:eastAsia="宋体" w:cs="Times New Roman"/>
                <w:kern w:val="0"/>
                <w:sz w:val="21"/>
                <w:szCs w:val="21"/>
              </w:rPr>
              <w:t>教学观摩</w:t>
            </w:r>
          </w:p>
        </w:tc>
        <w:tc>
          <w:tcPr>
            <w:tcW w:w="709" w:type="dxa"/>
            <w:vAlign w:val="center"/>
          </w:tcPr>
          <w:p w14:paraId="67019E59">
            <w:pPr>
              <w:adjustRightInd w:val="0"/>
              <w:snapToGrid w:val="0"/>
              <w:spacing w:line="360" w:lineRule="auto"/>
              <w:jc w:val="center"/>
              <w:rPr>
                <w:rFonts w:ascii="宋体" w:hAnsi="宋体" w:eastAsia="宋体" w:cs="Times New Roman"/>
                <w:bCs/>
                <w:color w:val="000000"/>
                <w:kern w:val="0"/>
                <w:sz w:val="20"/>
                <w:szCs w:val="21"/>
              </w:rPr>
            </w:pPr>
            <w:r>
              <w:rPr>
                <w:rFonts w:hint="eastAsia" w:ascii="宋体" w:hAnsi="宋体" w:eastAsia="宋体" w:cs="Times New Roman"/>
                <w:bCs/>
                <w:color w:val="000000"/>
                <w:kern w:val="0"/>
                <w:sz w:val="20"/>
                <w:szCs w:val="21"/>
              </w:rPr>
              <w:t>2</w:t>
            </w:r>
          </w:p>
        </w:tc>
      </w:tr>
      <w:tr w14:paraId="242D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1FD9F918">
            <w:pPr>
              <w:adjustRightInd w:val="0"/>
              <w:snapToGrid w:val="0"/>
              <w:spacing w:line="360" w:lineRule="auto"/>
              <w:rPr>
                <w:rFonts w:ascii="宋体" w:hAnsi="宋体" w:eastAsia="宋体" w:cs="Times New Roman"/>
                <w:b/>
                <w:color w:val="000000"/>
                <w:kern w:val="0"/>
                <w:sz w:val="20"/>
                <w:szCs w:val="21"/>
              </w:rPr>
            </w:pPr>
          </w:p>
        </w:tc>
        <w:tc>
          <w:tcPr>
            <w:tcW w:w="7938" w:type="dxa"/>
            <w:gridSpan w:val="5"/>
            <w:vAlign w:val="center"/>
          </w:tcPr>
          <w:p w14:paraId="0B4ADFF5">
            <w:pPr>
              <w:adjustRightInd w:val="0"/>
              <w:snapToGrid w:val="0"/>
              <w:spacing w:line="276" w:lineRule="auto"/>
              <w:jc w:val="left"/>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课程思政目标</w:t>
            </w:r>
            <w:r>
              <w:rPr>
                <w:rFonts w:hint="eastAsia" w:ascii="宋体" w:hAnsi="宋体" w:eastAsia="宋体" w:cs="Times New Roman"/>
                <w:bCs/>
                <w:color w:val="000000"/>
                <w:kern w:val="0"/>
                <w:sz w:val="21"/>
                <w:szCs w:val="21"/>
              </w:rPr>
              <w:t>：</w:t>
            </w:r>
            <w:r>
              <w:rPr>
                <w:rFonts w:ascii="宋体" w:hAnsi="宋体" w:eastAsia="宋体" w:cs="Times New Roman"/>
                <w:bCs/>
                <w:color w:val="000000"/>
                <w:kern w:val="0"/>
                <w:sz w:val="21"/>
                <w:szCs w:val="21"/>
              </w:rPr>
              <w:t>通过本章内容的学习，使学生掌握使用联系的观点看问题，能够看到不同资源内在的教育价值联系，善于将生活中的事物事件转化为有效教学资源，增益教学设计。</w:t>
            </w:r>
          </w:p>
        </w:tc>
      </w:tr>
    </w:tbl>
    <w:p w14:paraId="4A248851">
      <w:pPr>
        <w:adjustRightInd w:val="0"/>
        <w:snapToGrid w:val="0"/>
        <w:spacing w:line="360" w:lineRule="auto"/>
        <w:ind w:firstLine="482" w:firstLineChars="200"/>
        <w:rPr>
          <w:rFonts w:ascii="宋体" w:hAnsi="宋体" w:eastAsia="宋体" w:cs="Times New Roman"/>
          <w:b/>
          <w:color w:val="000000"/>
          <w:sz w:val="24"/>
          <w:szCs w:val="24"/>
        </w:rPr>
      </w:pPr>
    </w:p>
    <w:p w14:paraId="6EF26816">
      <w:pPr>
        <w:adjustRightInd w:val="0"/>
        <w:snapToGrid w:val="0"/>
        <w:spacing w:line="360" w:lineRule="auto"/>
        <w:ind w:firstLine="482" w:firstLineChars="200"/>
        <w:outlineLvl w:val="0"/>
        <w:rPr>
          <w:rFonts w:ascii="宋体" w:hAnsi="宋体" w:eastAsia="宋体" w:cs="Times New Roman"/>
          <w:b/>
          <w:color w:val="000000"/>
          <w:sz w:val="24"/>
          <w:szCs w:val="24"/>
        </w:rPr>
      </w:pPr>
      <w:bookmarkStart w:id="2958" w:name="_Toc13745"/>
      <w:bookmarkStart w:id="2959" w:name="_Toc9881"/>
      <w:bookmarkStart w:id="2960" w:name="_Toc26501"/>
      <w:bookmarkStart w:id="2961" w:name="_Toc10316"/>
      <w:bookmarkStart w:id="2962" w:name="_Toc18935"/>
      <w:bookmarkStart w:id="2963" w:name="_Toc2587"/>
      <w:bookmarkStart w:id="2964" w:name="_Toc27779"/>
      <w:r>
        <w:rPr>
          <w:rFonts w:hint="eastAsia" w:ascii="宋体" w:hAnsi="宋体" w:eastAsia="宋体" w:cs="Times New Roman"/>
          <w:b/>
          <w:color w:val="000000"/>
          <w:sz w:val="24"/>
          <w:szCs w:val="24"/>
        </w:rPr>
        <w:t>四、目标评价与成绩评定</w:t>
      </w:r>
      <w:bookmarkEnd w:id="2958"/>
      <w:bookmarkEnd w:id="2959"/>
      <w:bookmarkEnd w:id="2960"/>
      <w:bookmarkEnd w:id="2961"/>
      <w:bookmarkEnd w:id="2962"/>
      <w:bookmarkEnd w:id="2963"/>
      <w:bookmarkEnd w:id="2964"/>
    </w:p>
    <w:p w14:paraId="0A56D4AF">
      <w:pPr>
        <w:adjustRightInd w:val="0"/>
        <w:snapToGrid w:val="0"/>
        <w:spacing w:line="360" w:lineRule="auto"/>
        <w:ind w:firstLine="482" w:firstLineChars="200"/>
        <w:outlineLvl w:val="1"/>
        <w:rPr>
          <w:rFonts w:ascii="宋体" w:hAnsi="宋体" w:eastAsia="宋体" w:cs="Times New Roman"/>
          <w:b/>
          <w:color w:val="000000"/>
          <w:sz w:val="24"/>
          <w:szCs w:val="24"/>
        </w:rPr>
      </w:pPr>
      <w:bookmarkStart w:id="2965" w:name="_Toc2328"/>
      <w:r>
        <w:rPr>
          <w:rFonts w:hint="eastAsia" w:ascii="宋体" w:hAnsi="宋体" w:eastAsia="宋体" w:cs="Times New Roman"/>
          <w:b/>
          <w:color w:val="000000"/>
          <w:sz w:val="24"/>
          <w:szCs w:val="24"/>
        </w:rPr>
        <w:t>（一）课程目标评价方式</w:t>
      </w:r>
      <w:bookmarkEnd w:id="2965"/>
    </w:p>
    <w:p w14:paraId="52C92A29">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根据总体设计，用于评价各课程目标的评价方式如表3所示。</w:t>
      </w:r>
    </w:p>
    <w:p w14:paraId="166EBB7C">
      <w:pPr>
        <w:adjustRightInd w:val="0"/>
        <w:snapToGrid w:val="0"/>
        <w:spacing w:line="360" w:lineRule="auto"/>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表3</w:t>
      </w:r>
      <w:r>
        <w:rPr>
          <w:rFonts w:ascii="宋体" w:hAnsi="宋体" w:eastAsia="宋体" w:cs="Times New Roman"/>
          <w:b/>
          <w:color w:val="000000"/>
          <w:sz w:val="24"/>
          <w:szCs w:val="24"/>
        </w:rPr>
        <w:t xml:space="preserve"> </w:t>
      </w:r>
      <w:r>
        <w:rPr>
          <w:rFonts w:hint="eastAsia" w:ascii="宋体" w:hAnsi="宋体" w:eastAsia="宋体" w:cs="Times New Roman"/>
          <w:b/>
          <w:color w:val="000000"/>
          <w:sz w:val="24"/>
          <w:szCs w:val="24"/>
        </w:rPr>
        <w:t>课程教学评价设计总表</w:t>
      </w:r>
    </w:p>
    <w:tbl>
      <w:tblPr>
        <w:tblStyle w:val="11"/>
        <w:tblW w:w="8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456"/>
        <w:gridCol w:w="1456"/>
        <w:gridCol w:w="1456"/>
        <w:gridCol w:w="1458"/>
        <w:gridCol w:w="1402"/>
      </w:tblGrid>
      <w:tr w14:paraId="6844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56" w:type="dxa"/>
            <w:vMerge w:val="restart"/>
            <w:vAlign w:val="center"/>
          </w:tcPr>
          <w:p w14:paraId="2DE6BB08">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w:t>
            </w:r>
          </w:p>
        </w:tc>
        <w:tc>
          <w:tcPr>
            <w:tcW w:w="5826" w:type="dxa"/>
            <w:gridSpan w:val="4"/>
            <w:vAlign w:val="center"/>
          </w:tcPr>
          <w:p w14:paraId="12160960">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评价与成绩评定方法</w:t>
            </w:r>
          </w:p>
        </w:tc>
        <w:tc>
          <w:tcPr>
            <w:tcW w:w="1402" w:type="dxa"/>
            <w:vMerge w:val="restart"/>
            <w:vAlign w:val="center"/>
          </w:tcPr>
          <w:p w14:paraId="38496802">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分值</w:t>
            </w:r>
          </w:p>
        </w:tc>
      </w:tr>
      <w:tr w14:paraId="2CE5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56" w:type="dxa"/>
            <w:vMerge w:val="continue"/>
          </w:tcPr>
          <w:p w14:paraId="63C6C03D">
            <w:pPr>
              <w:adjustRightInd w:val="0"/>
              <w:snapToGrid w:val="0"/>
              <w:spacing w:line="360" w:lineRule="auto"/>
              <w:jc w:val="center"/>
              <w:rPr>
                <w:rFonts w:ascii="宋体" w:hAnsi="宋体" w:eastAsia="宋体" w:cs="Times New Roman"/>
                <w:bCs/>
                <w:color w:val="000000"/>
                <w:kern w:val="0"/>
                <w:sz w:val="21"/>
                <w:szCs w:val="21"/>
              </w:rPr>
            </w:pPr>
          </w:p>
        </w:tc>
        <w:tc>
          <w:tcPr>
            <w:tcW w:w="1456" w:type="dxa"/>
          </w:tcPr>
          <w:p w14:paraId="60885550">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平时作业</w:t>
            </w:r>
          </w:p>
        </w:tc>
        <w:tc>
          <w:tcPr>
            <w:tcW w:w="1456" w:type="dxa"/>
          </w:tcPr>
          <w:p w14:paraId="35000239">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课堂表现</w:t>
            </w:r>
          </w:p>
        </w:tc>
        <w:tc>
          <w:tcPr>
            <w:tcW w:w="1456" w:type="dxa"/>
          </w:tcPr>
          <w:p w14:paraId="7DD76438">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课内实践</w:t>
            </w:r>
          </w:p>
        </w:tc>
        <w:tc>
          <w:tcPr>
            <w:tcW w:w="1457" w:type="dxa"/>
          </w:tcPr>
          <w:p w14:paraId="6ACFAEA5">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期末考试</w:t>
            </w:r>
          </w:p>
        </w:tc>
        <w:tc>
          <w:tcPr>
            <w:tcW w:w="1402" w:type="dxa"/>
            <w:vMerge w:val="continue"/>
          </w:tcPr>
          <w:p w14:paraId="0E781CE1">
            <w:pPr>
              <w:adjustRightInd w:val="0"/>
              <w:snapToGrid w:val="0"/>
              <w:spacing w:line="360" w:lineRule="auto"/>
              <w:jc w:val="center"/>
              <w:rPr>
                <w:rFonts w:ascii="宋体" w:hAnsi="宋体" w:eastAsia="宋体" w:cs="Times New Roman"/>
                <w:bCs/>
                <w:color w:val="000000"/>
                <w:kern w:val="0"/>
                <w:sz w:val="21"/>
                <w:szCs w:val="21"/>
              </w:rPr>
            </w:pPr>
          </w:p>
        </w:tc>
      </w:tr>
      <w:tr w14:paraId="421E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56" w:type="dxa"/>
          </w:tcPr>
          <w:p w14:paraId="3F3C4A2D">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课程目标1</w:t>
            </w:r>
          </w:p>
        </w:tc>
        <w:tc>
          <w:tcPr>
            <w:tcW w:w="1456" w:type="dxa"/>
          </w:tcPr>
          <w:p w14:paraId="6613F87E">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41BA69AC">
            <w:pPr>
              <w:adjustRightInd w:val="0"/>
              <w:snapToGrid w:val="0"/>
              <w:spacing w:line="360" w:lineRule="auto"/>
              <w:jc w:val="center"/>
              <w:rPr>
                <w:rFonts w:ascii="宋体" w:hAnsi="宋体" w:eastAsia="宋体" w:cs="Times New Roman"/>
                <w:bCs/>
                <w:color w:val="000000"/>
                <w:kern w:val="0"/>
                <w:sz w:val="21"/>
                <w:szCs w:val="21"/>
              </w:rPr>
            </w:pPr>
          </w:p>
        </w:tc>
        <w:tc>
          <w:tcPr>
            <w:tcW w:w="1456" w:type="dxa"/>
          </w:tcPr>
          <w:p w14:paraId="3429E209">
            <w:pPr>
              <w:adjustRightInd w:val="0"/>
              <w:snapToGrid w:val="0"/>
              <w:spacing w:line="360" w:lineRule="auto"/>
              <w:jc w:val="center"/>
              <w:rPr>
                <w:rFonts w:ascii="宋体" w:hAnsi="宋体" w:eastAsia="宋体" w:cs="Times New Roman"/>
                <w:bCs/>
                <w:color w:val="000000"/>
                <w:kern w:val="0"/>
                <w:sz w:val="21"/>
                <w:szCs w:val="21"/>
              </w:rPr>
            </w:pPr>
          </w:p>
        </w:tc>
        <w:tc>
          <w:tcPr>
            <w:tcW w:w="1457" w:type="dxa"/>
          </w:tcPr>
          <w:p w14:paraId="2DAAA3B3">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02" w:type="dxa"/>
          </w:tcPr>
          <w:p w14:paraId="2FB3CA3B">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10</w:t>
            </w:r>
          </w:p>
        </w:tc>
      </w:tr>
      <w:tr w14:paraId="4700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56" w:type="dxa"/>
          </w:tcPr>
          <w:p w14:paraId="0F0510FE">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课程目标2</w:t>
            </w:r>
          </w:p>
        </w:tc>
        <w:tc>
          <w:tcPr>
            <w:tcW w:w="1456" w:type="dxa"/>
          </w:tcPr>
          <w:p w14:paraId="600D8F38">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6B752C22">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437830EE">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7" w:type="dxa"/>
          </w:tcPr>
          <w:p w14:paraId="5C1BB180">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02" w:type="dxa"/>
          </w:tcPr>
          <w:p w14:paraId="589D1C5D">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2</w:t>
            </w:r>
            <w:r>
              <w:rPr>
                <w:rFonts w:ascii="宋体" w:hAnsi="宋体" w:eastAsia="宋体" w:cs="Times New Roman"/>
                <w:bCs/>
                <w:color w:val="000000"/>
                <w:kern w:val="0"/>
                <w:sz w:val="21"/>
                <w:szCs w:val="21"/>
              </w:rPr>
              <w:t>0</w:t>
            </w:r>
          </w:p>
        </w:tc>
      </w:tr>
      <w:tr w14:paraId="7EDF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56" w:type="dxa"/>
          </w:tcPr>
          <w:p w14:paraId="47BFEF8E">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课程目标3</w:t>
            </w:r>
          </w:p>
        </w:tc>
        <w:tc>
          <w:tcPr>
            <w:tcW w:w="1456" w:type="dxa"/>
          </w:tcPr>
          <w:p w14:paraId="04B2237E">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02CE050A">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0A456DD3">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7" w:type="dxa"/>
          </w:tcPr>
          <w:p w14:paraId="494841FE">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02" w:type="dxa"/>
          </w:tcPr>
          <w:p w14:paraId="4301D49A">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30</w:t>
            </w:r>
          </w:p>
        </w:tc>
      </w:tr>
      <w:tr w14:paraId="49F9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56" w:type="dxa"/>
          </w:tcPr>
          <w:p w14:paraId="7A29E9CE">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课程目标4</w:t>
            </w:r>
          </w:p>
        </w:tc>
        <w:tc>
          <w:tcPr>
            <w:tcW w:w="1456" w:type="dxa"/>
          </w:tcPr>
          <w:p w14:paraId="7B77DDE1">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14110573">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19B2F909">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7" w:type="dxa"/>
          </w:tcPr>
          <w:p w14:paraId="628A8DFB">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02" w:type="dxa"/>
          </w:tcPr>
          <w:p w14:paraId="2D36FE17">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color w:val="000000"/>
                <w:kern w:val="0"/>
                <w:sz w:val="21"/>
                <w:szCs w:val="21"/>
              </w:rPr>
              <w:t>30</w:t>
            </w:r>
          </w:p>
        </w:tc>
      </w:tr>
      <w:tr w14:paraId="000B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56" w:type="dxa"/>
          </w:tcPr>
          <w:p w14:paraId="64C05E47">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课程目标5</w:t>
            </w:r>
          </w:p>
        </w:tc>
        <w:tc>
          <w:tcPr>
            <w:tcW w:w="1456" w:type="dxa"/>
          </w:tcPr>
          <w:p w14:paraId="66ABACB2">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56" w:type="dxa"/>
          </w:tcPr>
          <w:p w14:paraId="40DC8B12">
            <w:pPr>
              <w:adjustRightInd w:val="0"/>
              <w:snapToGrid w:val="0"/>
              <w:spacing w:line="360" w:lineRule="auto"/>
              <w:jc w:val="center"/>
              <w:rPr>
                <w:rFonts w:ascii="宋体" w:hAnsi="宋体" w:eastAsia="宋体" w:cs="Times New Roman"/>
                <w:bCs/>
                <w:color w:val="000000"/>
                <w:kern w:val="0"/>
                <w:sz w:val="21"/>
                <w:szCs w:val="21"/>
              </w:rPr>
            </w:pPr>
          </w:p>
        </w:tc>
        <w:tc>
          <w:tcPr>
            <w:tcW w:w="1456" w:type="dxa"/>
          </w:tcPr>
          <w:p w14:paraId="0447D5D3">
            <w:pPr>
              <w:adjustRightInd w:val="0"/>
              <w:snapToGrid w:val="0"/>
              <w:spacing w:line="360" w:lineRule="auto"/>
              <w:jc w:val="center"/>
              <w:rPr>
                <w:rFonts w:ascii="宋体" w:hAnsi="宋体" w:eastAsia="宋体" w:cs="Times New Roman"/>
                <w:bCs/>
                <w:color w:val="000000"/>
                <w:kern w:val="0"/>
                <w:sz w:val="21"/>
                <w:szCs w:val="21"/>
              </w:rPr>
            </w:pPr>
          </w:p>
        </w:tc>
        <w:tc>
          <w:tcPr>
            <w:tcW w:w="1457" w:type="dxa"/>
          </w:tcPr>
          <w:p w14:paraId="542849E6">
            <w:pPr>
              <w:adjustRightInd w:val="0"/>
              <w:snapToGrid w:val="0"/>
              <w:spacing w:line="360" w:lineRule="auto"/>
              <w:jc w:val="center"/>
              <w:rPr>
                <w:rFonts w:ascii="宋体" w:hAnsi="宋体" w:eastAsia="宋体" w:cs="Times New Roman"/>
                <w:bCs/>
                <w:color w:val="000000"/>
                <w:kern w:val="0"/>
                <w:sz w:val="21"/>
                <w:szCs w:val="21"/>
              </w:rPr>
            </w:pPr>
            <w:r>
              <w:rPr>
                <w:rFonts w:ascii="宋体" w:hAnsi="宋体" w:eastAsia="宋体" w:cs="Times New Roman"/>
                <w:bCs/>
                <w:kern w:val="0"/>
                <w:sz w:val="21"/>
                <w:szCs w:val="21"/>
              </w:rPr>
              <w:sym w:font="Wingdings 2" w:char="F050"/>
            </w:r>
          </w:p>
        </w:tc>
        <w:tc>
          <w:tcPr>
            <w:tcW w:w="1402" w:type="dxa"/>
          </w:tcPr>
          <w:p w14:paraId="33D55B10">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0</w:t>
            </w:r>
          </w:p>
        </w:tc>
      </w:tr>
      <w:tr w14:paraId="2DBE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56" w:type="dxa"/>
          </w:tcPr>
          <w:p w14:paraId="4DC8CA9F">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合计</w:t>
            </w:r>
          </w:p>
        </w:tc>
        <w:tc>
          <w:tcPr>
            <w:tcW w:w="1456" w:type="dxa"/>
          </w:tcPr>
          <w:p w14:paraId="19442606">
            <w:pPr>
              <w:adjustRightInd w:val="0"/>
              <w:snapToGrid w:val="0"/>
              <w:spacing w:line="360" w:lineRule="auto"/>
              <w:jc w:val="center"/>
              <w:rPr>
                <w:rFonts w:ascii="宋体" w:hAnsi="宋体" w:eastAsia="宋体" w:cs="Times New Roman"/>
                <w:bCs/>
                <w:kern w:val="0"/>
                <w:sz w:val="21"/>
                <w:szCs w:val="21"/>
              </w:rPr>
            </w:pPr>
            <w:r>
              <w:rPr>
                <w:rFonts w:hint="eastAsia" w:ascii="宋体" w:hAnsi="宋体" w:eastAsia="宋体" w:cs="Times New Roman"/>
                <w:bCs/>
                <w:kern w:val="0"/>
                <w:sz w:val="21"/>
                <w:szCs w:val="21"/>
              </w:rPr>
              <w:t>1</w:t>
            </w:r>
            <w:r>
              <w:rPr>
                <w:rFonts w:ascii="宋体" w:hAnsi="宋体" w:eastAsia="宋体" w:cs="Times New Roman"/>
                <w:bCs/>
                <w:kern w:val="0"/>
                <w:sz w:val="21"/>
                <w:szCs w:val="21"/>
              </w:rPr>
              <w:t>0</w:t>
            </w:r>
          </w:p>
        </w:tc>
        <w:tc>
          <w:tcPr>
            <w:tcW w:w="1456" w:type="dxa"/>
          </w:tcPr>
          <w:p w14:paraId="14C49A41">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0</w:t>
            </w:r>
          </w:p>
        </w:tc>
        <w:tc>
          <w:tcPr>
            <w:tcW w:w="1456" w:type="dxa"/>
          </w:tcPr>
          <w:p w14:paraId="0F57009A">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3</w:t>
            </w:r>
            <w:r>
              <w:rPr>
                <w:rFonts w:ascii="宋体" w:hAnsi="宋体" w:eastAsia="宋体" w:cs="Times New Roman"/>
                <w:bCs/>
                <w:color w:val="000000"/>
                <w:kern w:val="0"/>
                <w:sz w:val="21"/>
                <w:szCs w:val="21"/>
              </w:rPr>
              <w:t>0</w:t>
            </w:r>
          </w:p>
        </w:tc>
        <w:tc>
          <w:tcPr>
            <w:tcW w:w="1457" w:type="dxa"/>
          </w:tcPr>
          <w:p w14:paraId="3FA1646A">
            <w:pPr>
              <w:adjustRightInd w:val="0"/>
              <w:snapToGrid w:val="0"/>
              <w:spacing w:line="360" w:lineRule="auto"/>
              <w:jc w:val="center"/>
              <w:rPr>
                <w:rFonts w:ascii="宋体" w:hAnsi="宋体" w:eastAsia="宋体" w:cs="Times New Roman"/>
                <w:bCs/>
                <w:kern w:val="0"/>
                <w:sz w:val="21"/>
                <w:szCs w:val="21"/>
              </w:rPr>
            </w:pPr>
            <w:r>
              <w:rPr>
                <w:rFonts w:hint="eastAsia" w:ascii="宋体" w:hAnsi="宋体" w:eastAsia="宋体" w:cs="Times New Roman"/>
                <w:bCs/>
                <w:kern w:val="0"/>
                <w:sz w:val="21"/>
                <w:szCs w:val="21"/>
              </w:rPr>
              <w:t>5</w:t>
            </w:r>
            <w:r>
              <w:rPr>
                <w:rFonts w:ascii="宋体" w:hAnsi="宋体" w:eastAsia="宋体" w:cs="Times New Roman"/>
                <w:bCs/>
                <w:kern w:val="0"/>
                <w:sz w:val="21"/>
                <w:szCs w:val="21"/>
              </w:rPr>
              <w:t>0</w:t>
            </w:r>
          </w:p>
        </w:tc>
        <w:tc>
          <w:tcPr>
            <w:tcW w:w="1402" w:type="dxa"/>
          </w:tcPr>
          <w:p w14:paraId="0F6AA915">
            <w:pPr>
              <w:adjustRightInd w:val="0"/>
              <w:snapToGrid w:val="0"/>
              <w:spacing w:line="360" w:lineRule="auto"/>
              <w:jc w:val="center"/>
              <w:rPr>
                <w:rFonts w:ascii="宋体" w:hAnsi="宋体" w:eastAsia="宋体" w:cs="Times New Roman"/>
                <w:bCs/>
                <w:color w:val="000000"/>
                <w:kern w:val="0"/>
                <w:sz w:val="21"/>
                <w:szCs w:val="21"/>
              </w:rPr>
            </w:pPr>
            <w:r>
              <w:rPr>
                <w:rFonts w:hint="eastAsia" w:ascii="宋体" w:hAnsi="宋体" w:eastAsia="宋体" w:cs="Times New Roman"/>
                <w:bCs/>
                <w:color w:val="000000"/>
                <w:kern w:val="0"/>
                <w:sz w:val="21"/>
                <w:szCs w:val="21"/>
              </w:rPr>
              <w:t>1</w:t>
            </w:r>
            <w:r>
              <w:rPr>
                <w:rFonts w:ascii="宋体" w:hAnsi="宋体" w:eastAsia="宋体" w:cs="Times New Roman"/>
                <w:bCs/>
                <w:color w:val="000000"/>
                <w:kern w:val="0"/>
                <w:sz w:val="21"/>
                <w:szCs w:val="21"/>
              </w:rPr>
              <w:t>00</w:t>
            </w:r>
          </w:p>
        </w:tc>
      </w:tr>
    </w:tbl>
    <w:p w14:paraId="7E09A29F">
      <w:pPr>
        <w:adjustRightInd w:val="0"/>
        <w:snapToGrid w:val="0"/>
        <w:spacing w:line="360" w:lineRule="auto"/>
        <w:ind w:firstLine="482" w:firstLineChars="200"/>
        <w:jc w:val="center"/>
        <w:rPr>
          <w:rFonts w:ascii="宋体" w:hAnsi="宋体" w:eastAsia="宋体" w:cs="Times New Roman"/>
          <w:b/>
          <w:color w:val="000000"/>
          <w:sz w:val="24"/>
          <w:szCs w:val="24"/>
        </w:rPr>
      </w:pPr>
    </w:p>
    <w:p w14:paraId="711338FC">
      <w:pPr>
        <w:widowControl/>
        <w:spacing w:line="360" w:lineRule="auto"/>
        <w:jc w:val="left"/>
        <w:outlineLvl w:val="1"/>
        <w:rPr>
          <w:rFonts w:ascii="Calibri" w:hAnsi="Calibri" w:eastAsia="宋体" w:cs="Times New Roman"/>
          <w:b/>
          <w:szCs w:val="21"/>
        </w:rPr>
      </w:pPr>
      <w:bookmarkStart w:id="2966" w:name="_Toc12971"/>
      <w:r>
        <w:rPr>
          <w:rFonts w:hint="eastAsia" w:ascii="Calibri" w:hAnsi="Calibri" w:eastAsia="宋体" w:cs="Times New Roman"/>
          <w:b/>
          <w:szCs w:val="21"/>
        </w:rPr>
        <w:t>（二）成绩评定细则</w:t>
      </w:r>
      <w:bookmarkEnd w:id="2966"/>
    </w:p>
    <w:p w14:paraId="528222B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07C829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6611"/>
        <w:gridCol w:w="729"/>
      </w:tblGrid>
      <w:tr w14:paraId="031E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333" w:type="dxa"/>
            <w:vAlign w:val="center"/>
          </w:tcPr>
          <w:p w14:paraId="74EED400">
            <w:pPr>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评价方式</w:t>
            </w:r>
          </w:p>
        </w:tc>
        <w:tc>
          <w:tcPr>
            <w:tcW w:w="6611" w:type="dxa"/>
            <w:vAlign w:val="center"/>
          </w:tcPr>
          <w:p w14:paraId="483DAEF6">
            <w:pPr>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评定细则</w:t>
            </w:r>
          </w:p>
        </w:tc>
        <w:tc>
          <w:tcPr>
            <w:tcW w:w="0" w:type="auto"/>
            <w:vAlign w:val="center"/>
          </w:tcPr>
          <w:p w14:paraId="11D2CD21">
            <w:pPr>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占比</w:t>
            </w:r>
          </w:p>
        </w:tc>
      </w:tr>
      <w:tr w14:paraId="0611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795C2FBF">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平时作业</w:t>
            </w:r>
          </w:p>
        </w:tc>
        <w:tc>
          <w:tcPr>
            <w:tcW w:w="6611" w:type="dxa"/>
            <w:tcBorders>
              <w:top w:val="single" w:color="auto" w:sz="4" w:space="0"/>
              <w:left w:val="single" w:color="auto" w:sz="4" w:space="0"/>
              <w:bottom w:val="single" w:color="auto" w:sz="4" w:space="0"/>
              <w:right w:val="single" w:color="auto" w:sz="4" w:space="0"/>
            </w:tcBorders>
            <w:vAlign w:val="center"/>
          </w:tcPr>
          <w:p w14:paraId="406A9F2E">
            <w:pPr>
              <w:snapToGrid w:val="0"/>
              <w:spacing w:line="276" w:lineRule="auto"/>
              <w:rPr>
                <w:rFonts w:ascii="宋体" w:hAnsi="宋体" w:eastAsia="宋体" w:cs="Times New Roman"/>
                <w:kern w:val="0"/>
                <w:sz w:val="21"/>
                <w:szCs w:val="21"/>
              </w:rPr>
            </w:pPr>
            <w:r>
              <w:rPr>
                <w:rFonts w:ascii="宋体" w:hAnsi="宋体" w:eastAsia="宋体" w:cs="Times New Roman"/>
                <w:kern w:val="0"/>
                <w:sz w:val="21"/>
                <w:szCs w:val="21"/>
              </w:rPr>
              <w:t>主要考核学生</w:t>
            </w:r>
            <w:r>
              <w:rPr>
                <w:rFonts w:hint="eastAsia" w:ascii="宋体" w:hAnsi="宋体" w:eastAsia="宋体" w:cs="Times New Roman"/>
                <w:kern w:val="0"/>
                <w:sz w:val="21"/>
                <w:szCs w:val="21"/>
              </w:rPr>
              <w:t>对道德与法治教学目标、教材解读和教学方法的理解与掌握情况，本课程安排不少于3次的书面作业。</w:t>
            </w:r>
          </w:p>
        </w:tc>
        <w:tc>
          <w:tcPr>
            <w:tcW w:w="0" w:type="auto"/>
            <w:tcBorders>
              <w:top w:val="single" w:color="auto" w:sz="4" w:space="0"/>
              <w:left w:val="single" w:color="auto" w:sz="4" w:space="0"/>
              <w:bottom w:val="single" w:color="auto" w:sz="4" w:space="0"/>
              <w:right w:val="single" w:color="auto" w:sz="4" w:space="0"/>
            </w:tcBorders>
            <w:vAlign w:val="center"/>
          </w:tcPr>
          <w:p w14:paraId="45BBF798">
            <w:pPr>
              <w:snapToGrid w:val="0"/>
              <w:spacing w:line="276" w:lineRule="auto"/>
              <w:rPr>
                <w:rFonts w:ascii="宋体" w:hAnsi="宋体" w:eastAsia="宋体" w:cs="Times New Roman"/>
                <w:kern w:val="0"/>
                <w:sz w:val="21"/>
                <w:szCs w:val="21"/>
              </w:rPr>
            </w:pPr>
            <w:r>
              <w:rPr>
                <w:rFonts w:ascii="宋体" w:hAnsi="宋体" w:eastAsia="宋体" w:cs="Times New Roman"/>
                <w:kern w:val="0"/>
                <w:sz w:val="21"/>
                <w:szCs w:val="21"/>
              </w:rPr>
              <w:t>10%</w:t>
            </w:r>
          </w:p>
        </w:tc>
      </w:tr>
      <w:tr w14:paraId="2DFF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6686564F">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课堂表现</w:t>
            </w:r>
          </w:p>
        </w:tc>
        <w:tc>
          <w:tcPr>
            <w:tcW w:w="6611" w:type="dxa"/>
            <w:tcBorders>
              <w:top w:val="single" w:color="auto" w:sz="4" w:space="0"/>
              <w:left w:val="single" w:color="auto" w:sz="4" w:space="0"/>
              <w:bottom w:val="single" w:color="auto" w:sz="4" w:space="0"/>
              <w:right w:val="single" w:color="auto" w:sz="4" w:space="0"/>
            </w:tcBorders>
            <w:vAlign w:val="center"/>
          </w:tcPr>
          <w:p w14:paraId="253F4BF1">
            <w:pPr>
              <w:widowControl/>
              <w:adjustRightInd w:val="0"/>
              <w:snapToGrid w:val="0"/>
              <w:spacing w:before="0" w:beforeAutospacing="0" w:after="0" w:afterAutospacing="0"/>
              <w:jc w:val="left"/>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根据章节内容的学习需要，</w:t>
            </w:r>
            <w:r>
              <w:rPr>
                <w:rFonts w:hint="eastAsia" w:ascii="宋体" w:hAnsi="宋体" w:eastAsia="宋体" w:cs="宋体"/>
                <w:color w:val="000000"/>
                <w:kern w:val="0"/>
                <w:sz w:val="21"/>
                <w:szCs w:val="21"/>
                <w:lang w:val="en-US" w:eastAsia="zh-CN" w:bidi="ar-SA"/>
              </w:rPr>
              <w:t>组织课堂讨论，</w:t>
            </w:r>
            <w:r>
              <w:rPr>
                <w:rFonts w:ascii="宋体" w:hAnsi="宋体" w:eastAsia="宋体" w:cs="宋体"/>
                <w:color w:val="000000"/>
                <w:kern w:val="0"/>
                <w:sz w:val="21"/>
                <w:szCs w:val="21"/>
                <w:lang w:val="en-US" w:eastAsia="zh-CN" w:bidi="ar-SA"/>
              </w:rPr>
              <w:t>主要考核学生</w:t>
            </w:r>
            <w:r>
              <w:rPr>
                <w:rFonts w:hint="eastAsia" w:ascii="宋体" w:hAnsi="宋体" w:eastAsia="宋体" w:cs="宋体"/>
                <w:color w:val="000000"/>
                <w:kern w:val="0"/>
                <w:sz w:val="21"/>
                <w:szCs w:val="21"/>
                <w:lang w:val="en-US" w:eastAsia="zh-CN" w:bidi="ar-SA"/>
              </w:rPr>
              <w:t>对知识</w:t>
            </w:r>
            <w:r>
              <w:rPr>
                <w:rFonts w:ascii="宋体" w:hAnsi="宋体" w:eastAsia="宋体" w:cs="宋体"/>
                <w:color w:val="000000"/>
                <w:kern w:val="0"/>
                <w:sz w:val="21"/>
                <w:szCs w:val="21"/>
                <w:lang w:val="en-US" w:eastAsia="zh-CN" w:bidi="ar-SA"/>
              </w:rPr>
              <w:t>的</w:t>
            </w:r>
            <w:r>
              <w:rPr>
                <w:rFonts w:hint="eastAsia" w:ascii="宋体" w:hAnsi="宋体" w:eastAsia="宋体" w:cs="宋体"/>
                <w:color w:val="000000"/>
                <w:kern w:val="0"/>
                <w:sz w:val="21"/>
                <w:szCs w:val="21"/>
                <w:lang w:val="en-US" w:eastAsia="zh-CN" w:bidi="ar-SA"/>
              </w:rPr>
              <w:t>理解与思考情况，根据学生回答质量进行相应评分。</w:t>
            </w:r>
          </w:p>
        </w:tc>
        <w:tc>
          <w:tcPr>
            <w:tcW w:w="0" w:type="auto"/>
            <w:tcBorders>
              <w:top w:val="single" w:color="auto" w:sz="4" w:space="0"/>
              <w:left w:val="single" w:color="auto" w:sz="4" w:space="0"/>
              <w:bottom w:val="single" w:color="auto" w:sz="4" w:space="0"/>
              <w:right w:val="single" w:color="auto" w:sz="4" w:space="0"/>
            </w:tcBorders>
            <w:vAlign w:val="center"/>
          </w:tcPr>
          <w:p w14:paraId="75F58737">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w:t>
            </w:r>
            <w:r>
              <w:rPr>
                <w:rFonts w:ascii="宋体" w:hAnsi="宋体" w:eastAsia="宋体" w:cs="Times New Roman"/>
                <w:kern w:val="0"/>
                <w:sz w:val="21"/>
                <w:szCs w:val="21"/>
              </w:rPr>
              <w:t>0%</w:t>
            </w:r>
          </w:p>
        </w:tc>
      </w:tr>
      <w:tr w14:paraId="0BA3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4D54A424">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课内实践</w:t>
            </w:r>
          </w:p>
        </w:tc>
        <w:tc>
          <w:tcPr>
            <w:tcW w:w="6611" w:type="dxa"/>
            <w:tcBorders>
              <w:top w:val="single" w:color="auto" w:sz="4" w:space="0"/>
              <w:left w:val="single" w:color="auto" w:sz="4" w:space="0"/>
              <w:bottom w:val="single" w:color="auto" w:sz="4" w:space="0"/>
              <w:right w:val="single" w:color="auto" w:sz="4" w:space="0"/>
            </w:tcBorders>
            <w:vAlign w:val="center"/>
          </w:tcPr>
          <w:p w14:paraId="6E038512">
            <w:pPr>
              <w:snapToGrid w:val="0"/>
              <w:spacing w:line="276" w:lineRule="auto"/>
              <w:rPr>
                <w:rFonts w:ascii="宋体" w:hAnsi="宋体" w:eastAsia="宋体" w:cs="Times New Roman"/>
                <w:kern w:val="0"/>
                <w:sz w:val="21"/>
                <w:szCs w:val="21"/>
              </w:rPr>
            </w:pPr>
            <w:r>
              <w:rPr>
                <w:rFonts w:ascii="宋体" w:hAnsi="宋体" w:eastAsia="宋体" w:cs="宋体"/>
                <w:color w:val="000000"/>
                <w:kern w:val="0"/>
                <w:sz w:val="21"/>
                <w:szCs w:val="21"/>
              </w:rPr>
              <w:t>考核学生</w:t>
            </w:r>
            <w:r>
              <w:rPr>
                <w:rFonts w:hint="eastAsia" w:ascii="宋体" w:hAnsi="宋体" w:eastAsia="宋体" w:cs="宋体"/>
                <w:color w:val="000000"/>
                <w:kern w:val="0"/>
                <w:sz w:val="21"/>
                <w:szCs w:val="21"/>
              </w:rPr>
              <w:t>运用小学道德与法治教学理论开展教学设计、教学实施、教学评价和反思的综合能力，</w:t>
            </w:r>
            <w:r>
              <w:rPr>
                <w:rFonts w:ascii="宋体" w:hAnsi="宋体" w:eastAsia="宋体" w:cs="宋体"/>
                <w:color w:val="000000"/>
                <w:kern w:val="0"/>
                <w:sz w:val="21"/>
                <w:szCs w:val="21"/>
              </w:rPr>
              <w:t>完成</w:t>
            </w:r>
            <w:r>
              <w:rPr>
                <w:rFonts w:hint="eastAsia" w:ascii="宋体" w:hAnsi="宋体" w:eastAsia="宋体" w:cs="宋体"/>
                <w:color w:val="000000"/>
                <w:kern w:val="0"/>
                <w:sz w:val="21"/>
                <w:szCs w:val="21"/>
              </w:rPr>
              <w:t>至少4</w:t>
            </w:r>
            <w:r>
              <w:rPr>
                <w:rFonts w:ascii="宋体" w:hAnsi="宋体" w:eastAsia="宋体" w:cs="宋体"/>
                <w:color w:val="000000"/>
                <w:kern w:val="0"/>
                <w:sz w:val="21"/>
                <w:szCs w:val="21"/>
              </w:rPr>
              <w:t>个</w:t>
            </w:r>
            <w:r>
              <w:rPr>
                <w:rFonts w:hint="eastAsia" w:ascii="宋体" w:hAnsi="宋体" w:eastAsia="宋体" w:cs="宋体"/>
                <w:color w:val="000000"/>
                <w:kern w:val="0"/>
                <w:sz w:val="21"/>
                <w:szCs w:val="21"/>
              </w:rPr>
              <w:t>实践主题活动。</w:t>
            </w:r>
          </w:p>
        </w:tc>
        <w:tc>
          <w:tcPr>
            <w:tcW w:w="0" w:type="auto"/>
            <w:tcBorders>
              <w:top w:val="single" w:color="auto" w:sz="4" w:space="0"/>
              <w:left w:val="single" w:color="auto" w:sz="4" w:space="0"/>
              <w:bottom w:val="single" w:color="auto" w:sz="4" w:space="0"/>
              <w:right w:val="single" w:color="auto" w:sz="4" w:space="0"/>
            </w:tcBorders>
            <w:vAlign w:val="center"/>
          </w:tcPr>
          <w:p w14:paraId="13E945A9">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3</w:t>
            </w:r>
            <w:r>
              <w:rPr>
                <w:rFonts w:ascii="宋体" w:hAnsi="宋体" w:eastAsia="宋体" w:cs="Times New Roman"/>
                <w:kern w:val="0"/>
                <w:sz w:val="21"/>
                <w:szCs w:val="21"/>
              </w:rPr>
              <w:t>0%</w:t>
            </w:r>
          </w:p>
        </w:tc>
      </w:tr>
      <w:tr w14:paraId="4DBA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6050B5D3">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期末考试</w:t>
            </w:r>
          </w:p>
        </w:tc>
        <w:tc>
          <w:tcPr>
            <w:tcW w:w="6611" w:type="dxa"/>
            <w:tcBorders>
              <w:top w:val="single" w:color="auto" w:sz="4" w:space="0"/>
              <w:left w:val="single" w:color="auto" w:sz="4" w:space="0"/>
              <w:bottom w:val="single" w:color="auto" w:sz="4" w:space="0"/>
              <w:right w:val="single" w:color="auto" w:sz="4" w:space="0"/>
            </w:tcBorders>
            <w:vAlign w:val="center"/>
          </w:tcPr>
          <w:p w14:paraId="342714AF">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考试形式由教师确定。</w:t>
            </w:r>
            <w:r>
              <w:rPr>
                <w:rFonts w:ascii="宋体" w:hAnsi="宋体" w:eastAsia="宋体" w:cs="Times New Roman"/>
                <w:kern w:val="0"/>
                <w:sz w:val="21"/>
                <w:szCs w:val="21"/>
              </w:rPr>
              <w:t>试卷题型包括填空题、简答题、论述题和教学设计题等，其中：考核基本概念知识型题目</w:t>
            </w:r>
            <w:r>
              <w:rPr>
                <w:rFonts w:hint="eastAsia" w:ascii="宋体" w:hAnsi="宋体" w:eastAsia="宋体" w:cs="Times New Roman"/>
                <w:kern w:val="0"/>
                <w:sz w:val="21"/>
                <w:szCs w:val="21"/>
              </w:rPr>
              <w:t>不少于</w:t>
            </w:r>
            <w:r>
              <w:rPr>
                <w:rFonts w:ascii="宋体" w:hAnsi="宋体" w:eastAsia="宋体" w:cs="Times New Roman"/>
                <w:kern w:val="0"/>
                <w:sz w:val="21"/>
                <w:szCs w:val="21"/>
              </w:rPr>
              <w:t>30%；考核道德与法治学习方式</w:t>
            </w:r>
            <w:r>
              <w:rPr>
                <w:rFonts w:hint="eastAsia" w:ascii="宋体" w:hAnsi="宋体" w:eastAsia="宋体" w:cs="Times New Roman"/>
                <w:kern w:val="0"/>
                <w:sz w:val="21"/>
                <w:szCs w:val="21"/>
              </w:rPr>
              <w:t>不少于</w:t>
            </w:r>
            <w:r>
              <w:rPr>
                <w:rFonts w:ascii="宋体" w:hAnsi="宋体" w:eastAsia="宋体" w:cs="Times New Roman"/>
                <w:kern w:val="0"/>
                <w:sz w:val="21"/>
                <w:szCs w:val="21"/>
              </w:rPr>
              <w:t>30%；考核教材分析与教学设计</w:t>
            </w:r>
            <w:r>
              <w:rPr>
                <w:rFonts w:hint="eastAsia" w:ascii="宋体" w:hAnsi="宋体" w:eastAsia="宋体" w:cs="Times New Roman"/>
                <w:kern w:val="0"/>
                <w:sz w:val="21"/>
                <w:szCs w:val="21"/>
              </w:rPr>
              <w:t>不少于</w:t>
            </w:r>
            <w:r>
              <w:rPr>
                <w:rFonts w:ascii="宋体" w:hAnsi="宋体" w:eastAsia="宋体" w:cs="Times New Roman"/>
                <w:kern w:val="0"/>
                <w:sz w:val="21"/>
                <w:szCs w:val="21"/>
              </w:rPr>
              <w:t>40%。</w:t>
            </w:r>
          </w:p>
        </w:tc>
        <w:tc>
          <w:tcPr>
            <w:tcW w:w="0" w:type="auto"/>
            <w:tcBorders>
              <w:top w:val="single" w:color="auto" w:sz="4" w:space="0"/>
              <w:left w:val="single" w:color="auto" w:sz="4" w:space="0"/>
              <w:bottom w:val="single" w:color="auto" w:sz="4" w:space="0"/>
              <w:right w:val="single" w:color="auto" w:sz="4" w:space="0"/>
            </w:tcBorders>
            <w:vAlign w:val="center"/>
          </w:tcPr>
          <w:p w14:paraId="490C8564">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5</w:t>
            </w:r>
            <w:r>
              <w:rPr>
                <w:rFonts w:ascii="宋体" w:hAnsi="宋体" w:eastAsia="宋体" w:cs="Times New Roman"/>
                <w:kern w:val="0"/>
                <w:sz w:val="21"/>
                <w:szCs w:val="21"/>
              </w:rPr>
              <w:t>0</w:t>
            </w:r>
            <w:r>
              <w:rPr>
                <w:rFonts w:hint="eastAsia" w:ascii="宋体" w:hAnsi="宋体" w:eastAsia="宋体" w:cs="Times New Roman"/>
                <w:kern w:val="0"/>
                <w:sz w:val="21"/>
                <w:szCs w:val="21"/>
              </w:rPr>
              <w:t>%</w:t>
            </w:r>
          </w:p>
        </w:tc>
      </w:tr>
      <w:tr w14:paraId="6CB5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33" w:type="dxa"/>
            <w:tcBorders>
              <w:top w:val="single" w:color="auto" w:sz="4" w:space="0"/>
              <w:left w:val="single" w:color="auto" w:sz="4" w:space="0"/>
              <w:bottom w:val="single" w:color="auto" w:sz="4" w:space="0"/>
              <w:right w:val="single" w:color="auto" w:sz="4" w:space="0"/>
            </w:tcBorders>
            <w:vAlign w:val="center"/>
          </w:tcPr>
          <w:p w14:paraId="4DABD91F">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合计</w:t>
            </w:r>
          </w:p>
        </w:tc>
        <w:tc>
          <w:tcPr>
            <w:tcW w:w="6611" w:type="dxa"/>
            <w:tcBorders>
              <w:top w:val="single" w:color="auto" w:sz="4" w:space="0"/>
              <w:left w:val="single" w:color="auto" w:sz="4" w:space="0"/>
              <w:bottom w:val="single" w:color="auto" w:sz="4" w:space="0"/>
              <w:right w:val="single" w:color="auto" w:sz="4" w:space="0"/>
            </w:tcBorders>
            <w:vAlign w:val="center"/>
          </w:tcPr>
          <w:p w14:paraId="62F99378">
            <w:pPr>
              <w:snapToGrid w:val="0"/>
              <w:spacing w:line="276" w:lineRule="auto"/>
              <w:rPr>
                <w:rFonts w:ascii="宋体" w:hAnsi="宋体" w:eastAsia="宋体" w:cs="Times New Roman"/>
                <w:kern w:val="0"/>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7BCFB906">
            <w:pPr>
              <w:snapToGrid w:val="0"/>
              <w:spacing w:line="276" w:lineRule="auto"/>
              <w:rPr>
                <w:rFonts w:ascii="宋体" w:hAnsi="宋体" w:eastAsia="宋体" w:cs="Times New Roman"/>
                <w:kern w:val="0"/>
                <w:sz w:val="21"/>
                <w:szCs w:val="21"/>
              </w:rPr>
            </w:pPr>
            <w:r>
              <w:rPr>
                <w:rFonts w:hint="eastAsia" w:ascii="宋体" w:hAnsi="宋体" w:eastAsia="宋体" w:cs="Times New Roman"/>
                <w:kern w:val="0"/>
                <w:sz w:val="21"/>
                <w:szCs w:val="21"/>
              </w:rPr>
              <w:t>1</w:t>
            </w:r>
            <w:r>
              <w:rPr>
                <w:rFonts w:ascii="宋体" w:hAnsi="宋体" w:eastAsia="宋体" w:cs="Times New Roman"/>
                <w:kern w:val="0"/>
                <w:sz w:val="21"/>
                <w:szCs w:val="21"/>
              </w:rPr>
              <w:t>00%</w:t>
            </w:r>
          </w:p>
        </w:tc>
      </w:tr>
    </w:tbl>
    <w:p w14:paraId="5EEA6629">
      <w:pPr>
        <w:widowControl/>
        <w:spacing w:line="360" w:lineRule="auto"/>
        <w:jc w:val="left"/>
        <w:outlineLvl w:val="1"/>
        <w:rPr>
          <w:rFonts w:ascii="Calibri" w:hAnsi="Calibri" w:eastAsia="宋体" w:cs="Times New Roman"/>
          <w:b/>
          <w:szCs w:val="21"/>
        </w:rPr>
      </w:pPr>
      <w:bookmarkStart w:id="2967" w:name="_Toc15804"/>
      <w:r>
        <w:rPr>
          <w:rFonts w:hint="eastAsia" w:ascii="Calibri" w:hAnsi="Calibri" w:eastAsia="宋体" w:cs="Times New Roman"/>
          <w:b/>
          <w:szCs w:val="21"/>
        </w:rPr>
        <w:t>（三）课程目标达成度计算方法</w:t>
      </w:r>
      <w:bookmarkEnd w:id="2967"/>
    </w:p>
    <w:p w14:paraId="5771041A">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所有课程目标均需大于等</w:t>
      </w:r>
      <w:r>
        <w:rPr>
          <w:rFonts w:hint="eastAsia" w:ascii="宋体" w:hAnsi="宋体" w:eastAsia="宋体" w:cs="Times New Roman"/>
          <w:sz w:val="24"/>
          <w:szCs w:val="24"/>
        </w:rPr>
        <w:t>于0</w:t>
      </w:r>
      <w:r>
        <w:rPr>
          <w:rFonts w:ascii="宋体" w:hAnsi="宋体" w:eastAsia="宋体" w:cs="Times New Roman"/>
          <w:sz w:val="24"/>
          <w:szCs w:val="24"/>
        </w:rPr>
        <w:t>.6</w:t>
      </w:r>
      <w:r>
        <w:rPr>
          <w:rFonts w:hint="eastAsia" w:ascii="Calibri" w:hAnsi="Calibri" w:eastAsia="宋体" w:cs="Times New Roman"/>
          <w:sz w:val="24"/>
          <w:szCs w:val="24"/>
        </w:rPr>
        <w:t>，否则总评成绩不及格，需要补考或重修。每门课程目标总体达成度计算方法如下：</w:t>
      </w:r>
    </w:p>
    <w:p w14:paraId="53F14172">
      <w:pPr>
        <w:spacing w:line="360"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64C27DC4">
      <w:pPr>
        <w:widowControl/>
        <w:spacing w:line="360" w:lineRule="auto"/>
        <w:jc w:val="left"/>
        <w:rPr>
          <w:rFonts w:ascii="Calibri" w:hAnsi="Calibri" w:eastAsia="宋体" w:cs="Times New Roman"/>
          <w:b/>
          <w:szCs w:val="21"/>
        </w:rPr>
      </w:pPr>
    </w:p>
    <w:p w14:paraId="3D005FF1">
      <w:pPr>
        <w:widowControl/>
        <w:spacing w:line="360" w:lineRule="auto"/>
        <w:ind w:firstLine="482" w:firstLineChars="200"/>
        <w:jc w:val="left"/>
        <w:outlineLvl w:val="0"/>
        <w:rPr>
          <w:rFonts w:ascii="Calibri" w:hAnsi="Calibri" w:eastAsia="宋体" w:cs="Times New Roman"/>
          <w:b/>
          <w:sz w:val="24"/>
          <w:szCs w:val="24"/>
        </w:rPr>
      </w:pPr>
      <w:bookmarkStart w:id="2968" w:name="_Toc711"/>
      <w:bookmarkStart w:id="2969" w:name="_Toc32610"/>
      <w:bookmarkStart w:id="2970" w:name="_Toc4523"/>
      <w:bookmarkStart w:id="2971" w:name="_Toc11548"/>
      <w:bookmarkStart w:id="2972" w:name="_Toc2764"/>
      <w:bookmarkStart w:id="2973" w:name="_Toc31058"/>
      <w:bookmarkStart w:id="2974" w:name="_Toc5790"/>
      <w:r>
        <w:rPr>
          <w:rFonts w:hint="eastAsia" w:ascii="Calibri" w:hAnsi="Calibri" w:eastAsia="宋体" w:cs="Times New Roman"/>
          <w:b/>
          <w:sz w:val="24"/>
          <w:szCs w:val="24"/>
        </w:rPr>
        <w:t>五、课内实践</w:t>
      </w:r>
      <w:bookmarkEnd w:id="2968"/>
      <w:bookmarkEnd w:id="2969"/>
      <w:bookmarkEnd w:id="2970"/>
      <w:bookmarkEnd w:id="2971"/>
      <w:bookmarkEnd w:id="2972"/>
      <w:bookmarkEnd w:id="2973"/>
      <w:bookmarkEnd w:id="2974"/>
    </w:p>
    <w:p w14:paraId="55878374">
      <w:pPr>
        <w:spacing w:line="360" w:lineRule="auto"/>
        <w:ind w:firstLine="480" w:firstLineChars="200"/>
        <w:rPr>
          <w:rFonts w:ascii="Calibri" w:hAnsi="Calibri" w:eastAsia="宋体" w:cs="Times New Roman"/>
          <w:bCs/>
          <w:sz w:val="24"/>
          <w:szCs w:val="24"/>
        </w:rPr>
      </w:pPr>
      <w:r>
        <w:rPr>
          <w:rFonts w:hint="eastAsia" w:ascii="Calibri" w:hAnsi="Calibri" w:eastAsia="宋体" w:cs="Times New Roman"/>
          <w:bCs/>
          <w:sz w:val="24"/>
          <w:szCs w:val="24"/>
        </w:rPr>
        <w:t>本课程含有课内教学实践16学时，根据章节教学主题，安排如下：</w:t>
      </w:r>
    </w:p>
    <w:tbl>
      <w:tblPr>
        <w:tblStyle w:val="11"/>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317"/>
        <w:gridCol w:w="4473"/>
        <w:gridCol w:w="649"/>
        <w:gridCol w:w="1464"/>
      </w:tblGrid>
      <w:tr w14:paraId="0B0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6" w:type="dxa"/>
            <w:vAlign w:val="center"/>
          </w:tcPr>
          <w:p w14:paraId="0D75044D">
            <w:pPr>
              <w:spacing w:line="276" w:lineRule="auto"/>
              <w:jc w:val="center"/>
              <w:rPr>
                <w:rFonts w:ascii="Calibri" w:hAnsi="Calibri" w:eastAsia="宋体" w:cs="Times New Roman"/>
                <w:b/>
                <w:kern w:val="0"/>
                <w:sz w:val="21"/>
                <w:szCs w:val="21"/>
              </w:rPr>
            </w:pPr>
            <w:r>
              <w:rPr>
                <w:rFonts w:hint="eastAsia" w:ascii="Calibri" w:hAnsi="Calibri" w:eastAsia="宋体" w:cs="Times New Roman"/>
                <w:b/>
                <w:kern w:val="0"/>
                <w:sz w:val="21"/>
                <w:szCs w:val="21"/>
              </w:rPr>
              <w:t>序号</w:t>
            </w:r>
          </w:p>
        </w:tc>
        <w:tc>
          <w:tcPr>
            <w:tcW w:w="1317" w:type="dxa"/>
            <w:vAlign w:val="center"/>
          </w:tcPr>
          <w:p w14:paraId="5DE244A3">
            <w:pPr>
              <w:spacing w:line="276" w:lineRule="auto"/>
              <w:jc w:val="center"/>
              <w:rPr>
                <w:rFonts w:ascii="Calibri" w:hAnsi="Calibri" w:eastAsia="宋体" w:cs="Times New Roman"/>
                <w:b/>
                <w:kern w:val="0"/>
                <w:sz w:val="21"/>
                <w:szCs w:val="21"/>
              </w:rPr>
            </w:pPr>
            <w:r>
              <w:rPr>
                <w:rFonts w:hint="eastAsia" w:ascii="Calibri" w:hAnsi="Calibri" w:eastAsia="宋体" w:cs="Times New Roman"/>
                <w:b/>
                <w:kern w:val="0"/>
                <w:sz w:val="21"/>
                <w:szCs w:val="21"/>
              </w:rPr>
              <w:t>实践项目</w:t>
            </w:r>
          </w:p>
          <w:p w14:paraId="09D7D993">
            <w:pPr>
              <w:spacing w:line="276" w:lineRule="auto"/>
              <w:jc w:val="center"/>
              <w:rPr>
                <w:rFonts w:ascii="Calibri" w:hAnsi="Calibri" w:eastAsia="宋体" w:cs="Times New Roman"/>
                <w:b/>
                <w:kern w:val="0"/>
                <w:sz w:val="21"/>
                <w:szCs w:val="21"/>
              </w:rPr>
            </w:pPr>
            <w:r>
              <w:rPr>
                <w:rFonts w:hint="eastAsia" w:ascii="Calibri" w:hAnsi="Calibri" w:eastAsia="宋体" w:cs="Times New Roman"/>
                <w:b/>
                <w:kern w:val="0"/>
                <w:sz w:val="21"/>
                <w:szCs w:val="21"/>
              </w:rPr>
              <w:t>主题</w:t>
            </w:r>
          </w:p>
        </w:tc>
        <w:tc>
          <w:tcPr>
            <w:tcW w:w="4473" w:type="dxa"/>
            <w:vAlign w:val="center"/>
          </w:tcPr>
          <w:p w14:paraId="752D8F79">
            <w:pPr>
              <w:spacing w:line="276" w:lineRule="auto"/>
              <w:jc w:val="center"/>
              <w:rPr>
                <w:rFonts w:ascii="Calibri" w:hAnsi="Calibri" w:eastAsia="宋体" w:cs="Times New Roman"/>
                <w:b/>
                <w:kern w:val="0"/>
                <w:sz w:val="21"/>
                <w:szCs w:val="21"/>
              </w:rPr>
            </w:pPr>
            <w:r>
              <w:rPr>
                <w:rFonts w:hint="eastAsia" w:ascii="Calibri" w:hAnsi="Calibri" w:eastAsia="宋体" w:cs="Times New Roman"/>
                <w:b/>
                <w:kern w:val="0"/>
                <w:sz w:val="21"/>
                <w:szCs w:val="21"/>
              </w:rPr>
              <w:t>实践内容及要求</w:t>
            </w:r>
          </w:p>
        </w:tc>
        <w:tc>
          <w:tcPr>
            <w:tcW w:w="649" w:type="dxa"/>
            <w:vAlign w:val="center"/>
          </w:tcPr>
          <w:p w14:paraId="2B12E428">
            <w:pPr>
              <w:spacing w:line="276" w:lineRule="auto"/>
              <w:jc w:val="center"/>
              <w:rPr>
                <w:rFonts w:ascii="Calibri" w:hAnsi="Calibri" w:eastAsia="宋体" w:cs="Times New Roman"/>
                <w:b/>
                <w:kern w:val="0"/>
                <w:sz w:val="21"/>
                <w:szCs w:val="21"/>
              </w:rPr>
            </w:pPr>
            <w:r>
              <w:rPr>
                <w:rFonts w:hint="eastAsia" w:ascii="Calibri" w:hAnsi="Calibri" w:eastAsia="宋体" w:cs="Times New Roman"/>
                <w:b/>
                <w:kern w:val="0"/>
                <w:sz w:val="21"/>
                <w:szCs w:val="21"/>
              </w:rPr>
              <w:t>学时</w:t>
            </w:r>
          </w:p>
        </w:tc>
        <w:tc>
          <w:tcPr>
            <w:tcW w:w="1464" w:type="dxa"/>
            <w:vAlign w:val="center"/>
          </w:tcPr>
          <w:p w14:paraId="2751AD21">
            <w:pPr>
              <w:spacing w:line="276" w:lineRule="auto"/>
              <w:jc w:val="center"/>
              <w:rPr>
                <w:rFonts w:ascii="Calibri" w:hAnsi="Calibri" w:eastAsia="宋体" w:cs="Times New Roman"/>
                <w:b/>
                <w:kern w:val="0"/>
                <w:sz w:val="21"/>
                <w:szCs w:val="21"/>
              </w:rPr>
            </w:pPr>
            <w:r>
              <w:rPr>
                <w:rFonts w:hint="eastAsia" w:ascii="Calibri" w:hAnsi="Calibri" w:eastAsia="宋体" w:cs="Times New Roman"/>
                <w:b/>
                <w:kern w:val="0"/>
                <w:sz w:val="21"/>
                <w:szCs w:val="21"/>
              </w:rPr>
              <w:t>对应</w:t>
            </w:r>
          </w:p>
          <w:p w14:paraId="174CE79C">
            <w:pPr>
              <w:spacing w:line="276" w:lineRule="auto"/>
              <w:jc w:val="center"/>
              <w:rPr>
                <w:rFonts w:ascii="Calibri" w:hAnsi="Calibri" w:eastAsia="宋体" w:cs="Times New Roman"/>
                <w:b/>
                <w:kern w:val="0"/>
                <w:sz w:val="21"/>
                <w:szCs w:val="21"/>
              </w:rPr>
            </w:pPr>
            <w:r>
              <w:rPr>
                <w:rFonts w:hint="eastAsia" w:ascii="Calibri" w:hAnsi="Calibri" w:eastAsia="宋体" w:cs="Times New Roman"/>
                <w:b/>
                <w:kern w:val="0"/>
                <w:sz w:val="21"/>
                <w:szCs w:val="21"/>
              </w:rPr>
              <w:t>课程目标</w:t>
            </w:r>
          </w:p>
        </w:tc>
      </w:tr>
      <w:tr w14:paraId="1101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726" w:type="dxa"/>
            <w:vAlign w:val="center"/>
          </w:tcPr>
          <w:p w14:paraId="1ADF265E">
            <w:pPr>
              <w:spacing w:line="276" w:lineRule="auto"/>
              <w:jc w:val="center"/>
              <w:rPr>
                <w:rFonts w:ascii="Calibri" w:hAnsi="Calibri" w:eastAsia="宋体" w:cs="Times New Roman"/>
                <w:b/>
                <w:kern w:val="0"/>
                <w:sz w:val="21"/>
                <w:szCs w:val="21"/>
              </w:rPr>
            </w:pPr>
            <w:r>
              <w:rPr>
                <w:rFonts w:ascii="宋体" w:hAnsi="宋体" w:eastAsia="宋体" w:cs="Times New Roman"/>
                <w:bCs/>
                <w:color w:val="000000"/>
                <w:kern w:val="0"/>
                <w:sz w:val="21"/>
                <w:szCs w:val="21"/>
              </w:rPr>
              <w:t>1</w:t>
            </w:r>
          </w:p>
        </w:tc>
        <w:tc>
          <w:tcPr>
            <w:tcW w:w="1317" w:type="dxa"/>
            <w:vAlign w:val="center"/>
          </w:tcPr>
          <w:p w14:paraId="571D12FF">
            <w:pPr>
              <w:spacing w:line="276" w:lineRule="auto"/>
              <w:jc w:val="center"/>
              <w:rPr>
                <w:rFonts w:ascii="Calibri" w:hAnsi="Calibri" w:eastAsia="宋体" w:cs="Times New Roman"/>
                <w:b/>
                <w:kern w:val="0"/>
                <w:sz w:val="21"/>
                <w:szCs w:val="21"/>
              </w:rPr>
            </w:pPr>
            <w:r>
              <w:rPr>
                <w:rFonts w:hint="eastAsia" w:ascii="宋体" w:hAnsi="宋体" w:eastAsia="宋体" w:cs="宋体"/>
                <w:color w:val="000000"/>
                <w:kern w:val="0"/>
                <w:sz w:val="21"/>
                <w:szCs w:val="21"/>
              </w:rPr>
              <w:t>习惯养成课案例研究</w:t>
            </w:r>
          </w:p>
        </w:tc>
        <w:tc>
          <w:tcPr>
            <w:tcW w:w="4473" w:type="dxa"/>
            <w:vAlign w:val="center"/>
          </w:tcPr>
          <w:p w14:paraId="49234A1C">
            <w:pPr>
              <w:adjustRightInd w:val="0"/>
              <w:snapToGrid w:val="0"/>
              <w:spacing w:line="276" w:lineRule="auto"/>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实践</w:t>
            </w:r>
            <w:r>
              <w:rPr>
                <w:rFonts w:ascii="宋体" w:hAnsi="宋体" w:eastAsia="宋体" w:cs="Times New Roman"/>
                <w:b/>
                <w:bCs/>
                <w:color w:val="000000"/>
                <w:kern w:val="0"/>
                <w:sz w:val="21"/>
                <w:szCs w:val="21"/>
              </w:rPr>
              <w:t>内容</w:t>
            </w:r>
            <w:r>
              <w:rPr>
                <w:rFonts w:hint="eastAsia" w:ascii="宋体" w:hAnsi="宋体" w:eastAsia="宋体" w:cs="Times New Roman"/>
                <w:b/>
                <w:bCs/>
                <w:color w:val="000000"/>
                <w:kern w:val="0"/>
                <w:sz w:val="21"/>
                <w:szCs w:val="21"/>
              </w:rPr>
              <w:t>：</w:t>
            </w:r>
            <w:r>
              <w:rPr>
                <w:rFonts w:hint="eastAsia" w:ascii="宋体" w:hAnsi="宋体" w:eastAsia="宋体" w:cs="Times New Roman"/>
                <w:color w:val="000000"/>
                <w:kern w:val="0"/>
                <w:sz w:val="21"/>
                <w:szCs w:val="21"/>
              </w:rPr>
              <w:t>在课例包中选择一节习惯养成课，分别从教学目标、教学方法、教学过程、教学评价、板书设计等方面进行评析。</w:t>
            </w:r>
          </w:p>
          <w:p w14:paraId="51E8387B">
            <w:pPr>
              <w:spacing w:line="276" w:lineRule="auto"/>
              <w:rPr>
                <w:rFonts w:ascii="Calibri" w:hAnsi="Calibri" w:eastAsia="宋体" w:cs="Times New Roman"/>
                <w:b/>
                <w:kern w:val="0"/>
                <w:sz w:val="21"/>
                <w:szCs w:val="21"/>
              </w:rPr>
            </w:pPr>
            <w:r>
              <w:rPr>
                <w:rFonts w:hint="eastAsia" w:ascii="宋体" w:hAnsi="宋体" w:eastAsia="宋体" w:cs="Times New Roman"/>
                <w:b/>
                <w:bCs/>
                <w:color w:val="000000"/>
                <w:kern w:val="0"/>
                <w:sz w:val="21"/>
                <w:szCs w:val="21"/>
              </w:rPr>
              <w:t>实践要求：</w:t>
            </w:r>
            <w:r>
              <w:rPr>
                <w:rFonts w:hint="eastAsia" w:ascii="宋体" w:hAnsi="宋体" w:eastAsia="宋体" w:cs="Times New Roman"/>
                <w:bCs/>
                <w:color w:val="000000"/>
                <w:kern w:val="0"/>
                <w:sz w:val="21"/>
                <w:szCs w:val="21"/>
              </w:rPr>
              <w:t>小组合作，完成对若干节课例的分析，形成分析报告。</w:t>
            </w:r>
          </w:p>
        </w:tc>
        <w:tc>
          <w:tcPr>
            <w:tcW w:w="649" w:type="dxa"/>
            <w:vAlign w:val="center"/>
          </w:tcPr>
          <w:p w14:paraId="02B0A65A">
            <w:pPr>
              <w:spacing w:line="276" w:lineRule="auto"/>
              <w:jc w:val="center"/>
              <w:rPr>
                <w:rFonts w:ascii="Calibri" w:hAnsi="Calibri" w:eastAsia="宋体" w:cs="Times New Roman"/>
                <w:b/>
                <w:kern w:val="0"/>
                <w:sz w:val="21"/>
                <w:szCs w:val="21"/>
              </w:rPr>
            </w:pPr>
            <w:r>
              <w:rPr>
                <w:rFonts w:ascii="宋体" w:hAnsi="宋体" w:eastAsia="宋体" w:cs="Times New Roman"/>
                <w:bCs/>
                <w:color w:val="000000"/>
                <w:kern w:val="0"/>
                <w:sz w:val="21"/>
                <w:szCs w:val="21"/>
              </w:rPr>
              <w:t>4</w:t>
            </w:r>
          </w:p>
        </w:tc>
        <w:tc>
          <w:tcPr>
            <w:tcW w:w="1464" w:type="dxa"/>
            <w:vAlign w:val="center"/>
          </w:tcPr>
          <w:p w14:paraId="78905FD9">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课程目标2</w:t>
            </w:r>
          </w:p>
          <w:p w14:paraId="1C61536E">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课程目标3</w:t>
            </w:r>
          </w:p>
          <w:p w14:paraId="5B6AA51A">
            <w:pPr>
              <w:spacing w:line="276" w:lineRule="auto"/>
              <w:jc w:val="center"/>
              <w:rPr>
                <w:rFonts w:ascii="Calibri" w:hAnsi="Calibri" w:eastAsia="宋体" w:cs="Times New Roman"/>
                <w:b/>
                <w:kern w:val="0"/>
                <w:sz w:val="21"/>
                <w:szCs w:val="21"/>
              </w:rPr>
            </w:pPr>
            <w:r>
              <w:rPr>
                <w:rFonts w:hint="eastAsia" w:ascii="Calibri" w:hAnsi="Calibri" w:eastAsia="宋体" w:cs="Times New Roman"/>
                <w:bCs/>
                <w:kern w:val="0"/>
                <w:sz w:val="21"/>
                <w:szCs w:val="21"/>
              </w:rPr>
              <w:t>课程目标4</w:t>
            </w:r>
          </w:p>
        </w:tc>
      </w:tr>
      <w:tr w14:paraId="32F6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726" w:type="dxa"/>
            <w:vAlign w:val="center"/>
          </w:tcPr>
          <w:p w14:paraId="5749B338">
            <w:pPr>
              <w:spacing w:line="276" w:lineRule="auto"/>
              <w:jc w:val="center"/>
              <w:rPr>
                <w:rFonts w:ascii="Calibri" w:hAnsi="Calibri" w:eastAsia="宋体" w:cs="Times New Roman"/>
                <w:b/>
                <w:kern w:val="0"/>
                <w:sz w:val="21"/>
                <w:szCs w:val="21"/>
              </w:rPr>
            </w:pPr>
            <w:r>
              <w:rPr>
                <w:rFonts w:hint="eastAsia" w:ascii="宋体" w:hAnsi="宋体" w:eastAsia="宋体" w:cs="宋体"/>
                <w:color w:val="000000"/>
                <w:kern w:val="0"/>
                <w:sz w:val="21"/>
                <w:szCs w:val="21"/>
              </w:rPr>
              <w:t>2</w:t>
            </w:r>
          </w:p>
        </w:tc>
        <w:tc>
          <w:tcPr>
            <w:tcW w:w="1317" w:type="dxa"/>
            <w:vAlign w:val="center"/>
          </w:tcPr>
          <w:p w14:paraId="1FDBD725">
            <w:pPr>
              <w:spacing w:line="276" w:lineRule="auto"/>
              <w:jc w:val="center"/>
              <w:rPr>
                <w:rFonts w:ascii="Calibri" w:hAnsi="Calibri" w:eastAsia="宋体" w:cs="Times New Roman"/>
                <w:b/>
                <w:kern w:val="0"/>
                <w:sz w:val="21"/>
                <w:szCs w:val="21"/>
              </w:rPr>
            </w:pPr>
            <w:r>
              <w:rPr>
                <w:rFonts w:hint="eastAsia" w:ascii="宋体" w:hAnsi="宋体" w:eastAsia="宋体" w:cs="宋体"/>
                <w:color w:val="000000"/>
                <w:kern w:val="0"/>
                <w:sz w:val="21"/>
                <w:szCs w:val="21"/>
              </w:rPr>
              <w:t>游戏活动课案例研究</w:t>
            </w:r>
          </w:p>
        </w:tc>
        <w:tc>
          <w:tcPr>
            <w:tcW w:w="4473" w:type="dxa"/>
            <w:vAlign w:val="center"/>
          </w:tcPr>
          <w:p w14:paraId="6947A246">
            <w:pPr>
              <w:adjustRightInd w:val="0"/>
              <w:snapToGrid w:val="0"/>
              <w:spacing w:line="276" w:lineRule="auto"/>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实践</w:t>
            </w:r>
            <w:r>
              <w:rPr>
                <w:rFonts w:ascii="宋体" w:hAnsi="宋体" w:eastAsia="宋体" w:cs="Times New Roman"/>
                <w:b/>
                <w:bCs/>
                <w:color w:val="000000"/>
                <w:kern w:val="0"/>
                <w:sz w:val="21"/>
                <w:szCs w:val="21"/>
              </w:rPr>
              <w:t>内容</w:t>
            </w:r>
            <w:r>
              <w:rPr>
                <w:rFonts w:hint="eastAsia" w:ascii="宋体" w:hAnsi="宋体" w:eastAsia="宋体" w:cs="Times New Roman"/>
                <w:b/>
                <w:bCs/>
                <w:color w:val="000000"/>
                <w:kern w:val="0"/>
                <w:sz w:val="21"/>
                <w:szCs w:val="21"/>
              </w:rPr>
              <w:t>：</w:t>
            </w:r>
            <w:r>
              <w:rPr>
                <w:rFonts w:hint="eastAsia" w:ascii="宋体" w:hAnsi="宋体" w:eastAsia="宋体" w:cs="Times New Roman"/>
                <w:color w:val="000000"/>
                <w:kern w:val="0"/>
                <w:sz w:val="21"/>
                <w:szCs w:val="21"/>
              </w:rPr>
              <w:t>在课例包中选择一节游戏活动课，分别从教学目标、教学方法、教学过程、教学评价、板书设计等方面进行评析。</w:t>
            </w:r>
          </w:p>
          <w:p w14:paraId="7F608804">
            <w:pPr>
              <w:spacing w:line="276" w:lineRule="auto"/>
              <w:rPr>
                <w:rFonts w:ascii="Calibri" w:hAnsi="Calibri" w:eastAsia="宋体" w:cs="Times New Roman"/>
                <w:b/>
                <w:kern w:val="0"/>
                <w:sz w:val="21"/>
                <w:szCs w:val="21"/>
              </w:rPr>
            </w:pPr>
            <w:r>
              <w:rPr>
                <w:rFonts w:hint="eastAsia" w:ascii="宋体" w:hAnsi="宋体" w:eastAsia="宋体" w:cs="Times New Roman"/>
                <w:b/>
                <w:bCs/>
                <w:color w:val="000000"/>
                <w:kern w:val="0"/>
                <w:sz w:val="21"/>
                <w:szCs w:val="21"/>
              </w:rPr>
              <w:t>实践要求：</w:t>
            </w:r>
            <w:r>
              <w:rPr>
                <w:rFonts w:hint="eastAsia" w:ascii="宋体" w:hAnsi="宋体" w:eastAsia="宋体" w:cs="Times New Roman"/>
                <w:bCs/>
                <w:color w:val="000000"/>
                <w:kern w:val="0"/>
                <w:sz w:val="21"/>
                <w:szCs w:val="21"/>
              </w:rPr>
              <w:t>小组合作，完成对若干节课例的分析，形成分析报告。</w:t>
            </w:r>
          </w:p>
        </w:tc>
        <w:tc>
          <w:tcPr>
            <w:tcW w:w="649" w:type="dxa"/>
            <w:vAlign w:val="center"/>
          </w:tcPr>
          <w:p w14:paraId="55DF3D39">
            <w:pPr>
              <w:spacing w:line="276" w:lineRule="auto"/>
              <w:jc w:val="center"/>
              <w:rPr>
                <w:rFonts w:ascii="Calibri" w:hAnsi="Calibri" w:eastAsia="宋体" w:cs="Times New Roman"/>
                <w:b/>
                <w:kern w:val="0"/>
                <w:sz w:val="21"/>
                <w:szCs w:val="21"/>
              </w:rPr>
            </w:pPr>
            <w:r>
              <w:rPr>
                <w:rFonts w:ascii="宋体" w:hAnsi="宋体" w:eastAsia="宋体" w:cs="宋体"/>
                <w:color w:val="000000"/>
                <w:kern w:val="0"/>
                <w:sz w:val="21"/>
                <w:szCs w:val="21"/>
              </w:rPr>
              <w:t>4</w:t>
            </w:r>
          </w:p>
        </w:tc>
        <w:tc>
          <w:tcPr>
            <w:tcW w:w="1464" w:type="dxa"/>
            <w:vAlign w:val="center"/>
          </w:tcPr>
          <w:p w14:paraId="21A2761B">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课程目标2</w:t>
            </w:r>
          </w:p>
          <w:p w14:paraId="09DF571D">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课程目标3</w:t>
            </w:r>
          </w:p>
          <w:p w14:paraId="4D2474C9">
            <w:pPr>
              <w:spacing w:line="276" w:lineRule="auto"/>
              <w:jc w:val="center"/>
              <w:rPr>
                <w:rFonts w:ascii="Calibri" w:hAnsi="Calibri" w:eastAsia="宋体" w:cs="Times New Roman"/>
                <w:b/>
                <w:kern w:val="0"/>
                <w:sz w:val="21"/>
                <w:szCs w:val="21"/>
              </w:rPr>
            </w:pPr>
            <w:r>
              <w:rPr>
                <w:rFonts w:hint="eastAsia" w:ascii="Calibri" w:hAnsi="Calibri" w:eastAsia="宋体" w:cs="Times New Roman"/>
                <w:bCs/>
                <w:kern w:val="0"/>
                <w:sz w:val="21"/>
                <w:szCs w:val="21"/>
              </w:rPr>
              <w:t>课程目标4</w:t>
            </w:r>
          </w:p>
        </w:tc>
      </w:tr>
      <w:tr w14:paraId="4BCC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26" w:type="dxa"/>
            <w:vAlign w:val="center"/>
          </w:tcPr>
          <w:p w14:paraId="4976A88D">
            <w:pPr>
              <w:spacing w:line="276" w:lineRule="auto"/>
              <w:jc w:val="center"/>
              <w:rPr>
                <w:rFonts w:ascii="Calibri" w:hAnsi="Calibri" w:eastAsia="宋体" w:cs="Times New Roman"/>
                <w:b/>
                <w:kern w:val="0"/>
                <w:sz w:val="21"/>
                <w:szCs w:val="21"/>
              </w:rPr>
            </w:pPr>
            <w:r>
              <w:rPr>
                <w:rFonts w:hint="eastAsia" w:ascii="宋体" w:hAnsi="宋体" w:eastAsia="宋体" w:cs="宋体"/>
                <w:color w:val="000000"/>
                <w:kern w:val="0"/>
                <w:sz w:val="21"/>
                <w:szCs w:val="21"/>
              </w:rPr>
              <w:t>3</w:t>
            </w:r>
          </w:p>
        </w:tc>
        <w:tc>
          <w:tcPr>
            <w:tcW w:w="1317" w:type="dxa"/>
            <w:vAlign w:val="center"/>
          </w:tcPr>
          <w:p w14:paraId="17663130">
            <w:pPr>
              <w:spacing w:line="276" w:lineRule="auto"/>
              <w:jc w:val="center"/>
              <w:rPr>
                <w:rFonts w:ascii="Calibri" w:hAnsi="Calibri" w:eastAsia="宋体" w:cs="Times New Roman"/>
                <w:b/>
                <w:kern w:val="0"/>
                <w:sz w:val="21"/>
                <w:szCs w:val="21"/>
              </w:rPr>
            </w:pPr>
            <w:r>
              <w:rPr>
                <w:rFonts w:hint="eastAsia" w:ascii="宋体" w:hAnsi="宋体" w:eastAsia="宋体" w:cs="宋体"/>
                <w:color w:val="000000"/>
                <w:kern w:val="0"/>
                <w:sz w:val="21"/>
                <w:szCs w:val="21"/>
              </w:rPr>
              <w:t>社会探究课案例研究</w:t>
            </w:r>
          </w:p>
        </w:tc>
        <w:tc>
          <w:tcPr>
            <w:tcW w:w="4473" w:type="dxa"/>
            <w:vAlign w:val="center"/>
          </w:tcPr>
          <w:p w14:paraId="68243F3F">
            <w:pPr>
              <w:adjustRightInd w:val="0"/>
              <w:snapToGrid w:val="0"/>
              <w:spacing w:line="276" w:lineRule="auto"/>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实践</w:t>
            </w:r>
            <w:r>
              <w:rPr>
                <w:rFonts w:ascii="宋体" w:hAnsi="宋体" w:eastAsia="宋体" w:cs="Times New Roman"/>
                <w:b/>
                <w:bCs/>
                <w:color w:val="000000"/>
                <w:kern w:val="0"/>
                <w:sz w:val="21"/>
                <w:szCs w:val="21"/>
              </w:rPr>
              <w:t>内容</w:t>
            </w:r>
            <w:r>
              <w:rPr>
                <w:rFonts w:hint="eastAsia" w:ascii="宋体" w:hAnsi="宋体" w:eastAsia="宋体" w:cs="Times New Roman"/>
                <w:b/>
                <w:bCs/>
                <w:color w:val="000000"/>
                <w:kern w:val="0"/>
                <w:sz w:val="21"/>
                <w:szCs w:val="21"/>
              </w:rPr>
              <w:t>：</w:t>
            </w:r>
            <w:r>
              <w:rPr>
                <w:rFonts w:hint="eastAsia" w:ascii="宋体" w:hAnsi="宋体" w:eastAsia="宋体" w:cs="Times New Roman"/>
                <w:color w:val="000000"/>
                <w:kern w:val="0"/>
                <w:sz w:val="21"/>
                <w:szCs w:val="21"/>
              </w:rPr>
              <w:t>在课例包中选择一节社会探究课，分别从教学目标、教学方法、教学过程、教学评价、板书设计等方面进行评析。</w:t>
            </w:r>
          </w:p>
          <w:p w14:paraId="2B603BB5">
            <w:pPr>
              <w:spacing w:line="276" w:lineRule="auto"/>
              <w:rPr>
                <w:rFonts w:ascii="Calibri" w:hAnsi="Calibri" w:eastAsia="宋体" w:cs="Times New Roman"/>
                <w:b/>
                <w:kern w:val="0"/>
                <w:sz w:val="21"/>
                <w:szCs w:val="21"/>
              </w:rPr>
            </w:pPr>
            <w:r>
              <w:rPr>
                <w:rFonts w:hint="eastAsia" w:ascii="宋体" w:hAnsi="宋体" w:eastAsia="宋体" w:cs="Times New Roman"/>
                <w:b/>
                <w:bCs/>
                <w:color w:val="000000"/>
                <w:kern w:val="0"/>
                <w:sz w:val="21"/>
                <w:szCs w:val="21"/>
              </w:rPr>
              <w:t>实践要求：</w:t>
            </w:r>
            <w:r>
              <w:rPr>
                <w:rFonts w:hint="eastAsia" w:ascii="宋体" w:hAnsi="宋体" w:eastAsia="宋体" w:cs="Times New Roman"/>
                <w:bCs/>
                <w:color w:val="000000"/>
                <w:kern w:val="0"/>
                <w:sz w:val="21"/>
                <w:szCs w:val="21"/>
              </w:rPr>
              <w:t>小组合作，完成对若干节课例的分析，形成分析报告。</w:t>
            </w:r>
          </w:p>
        </w:tc>
        <w:tc>
          <w:tcPr>
            <w:tcW w:w="649" w:type="dxa"/>
            <w:vAlign w:val="center"/>
          </w:tcPr>
          <w:p w14:paraId="706DF6BB">
            <w:pPr>
              <w:spacing w:line="276" w:lineRule="auto"/>
              <w:jc w:val="center"/>
              <w:rPr>
                <w:rFonts w:ascii="Calibri" w:hAnsi="Calibri" w:eastAsia="宋体" w:cs="Times New Roman"/>
                <w:b/>
                <w:kern w:val="0"/>
                <w:sz w:val="21"/>
                <w:szCs w:val="21"/>
              </w:rPr>
            </w:pPr>
            <w:r>
              <w:rPr>
                <w:rFonts w:ascii="宋体" w:hAnsi="宋体" w:eastAsia="宋体" w:cs="宋体"/>
                <w:color w:val="000000"/>
                <w:kern w:val="0"/>
                <w:sz w:val="21"/>
                <w:szCs w:val="21"/>
              </w:rPr>
              <w:t>4</w:t>
            </w:r>
          </w:p>
        </w:tc>
        <w:tc>
          <w:tcPr>
            <w:tcW w:w="1464" w:type="dxa"/>
            <w:vAlign w:val="center"/>
          </w:tcPr>
          <w:p w14:paraId="7059E8BA">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课程目标2</w:t>
            </w:r>
          </w:p>
          <w:p w14:paraId="17C8CBA6">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课程目标3</w:t>
            </w:r>
          </w:p>
          <w:p w14:paraId="408FE652">
            <w:pPr>
              <w:spacing w:line="276" w:lineRule="auto"/>
              <w:jc w:val="center"/>
              <w:rPr>
                <w:rFonts w:ascii="Calibri" w:hAnsi="Calibri" w:eastAsia="宋体" w:cs="Times New Roman"/>
                <w:b/>
                <w:kern w:val="0"/>
                <w:sz w:val="21"/>
                <w:szCs w:val="21"/>
              </w:rPr>
            </w:pPr>
            <w:r>
              <w:rPr>
                <w:rFonts w:hint="eastAsia" w:ascii="Calibri" w:hAnsi="Calibri" w:eastAsia="宋体" w:cs="Times New Roman"/>
                <w:bCs/>
                <w:kern w:val="0"/>
                <w:sz w:val="21"/>
                <w:szCs w:val="21"/>
              </w:rPr>
              <w:t>课程目标4</w:t>
            </w:r>
          </w:p>
        </w:tc>
      </w:tr>
      <w:tr w14:paraId="5F26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726" w:type="dxa"/>
            <w:vAlign w:val="center"/>
          </w:tcPr>
          <w:p w14:paraId="38AC3CDA">
            <w:pPr>
              <w:spacing w:line="276" w:lineRule="auto"/>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317" w:type="dxa"/>
            <w:vAlign w:val="center"/>
          </w:tcPr>
          <w:p w14:paraId="2929093E">
            <w:pPr>
              <w:spacing w:line="276" w:lineRule="auto"/>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思辨说理课案例研究</w:t>
            </w:r>
          </w:p>
        </w:tc>
        <w:tc>
          <w:tcPr>
            <w:tcW w:w="4473" w:type="dxa"/>
            <w:vAlign w:val="center"/>
          </w:tcPr>
          <w:p w14:paraId="1C914A3F">
            <w:pPr>
              <w:adjustRightInd w:val="0"/>
              <w:snapToGrid w:val="0"/>
              <w:spacing w:line="276" w:lineRule="auto"/>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实践</w:t>
            </w:r>
            <w:r>
              <w:rPr>
                <w:rFonts w:ascii="宋体" w:hAnsi="宋体" w:eastAsia="宋体" w:cs="Times New Roman"/>
                <w:b/>
                <w:bCs/>
                <w:color w:val="000000"/>
                <w:kern w:val="0"/>
                <w:sz w:val="21"/>
                <w:szCs w:val="21"/>
              </w:rPr>
              <w:t>内容</w:t>
            </w:r>
            <w:r>
              <w:rPr>
                <w:rFonts w:hint="eastAsia" w:ascii="宋体" w:hAnsi="宋体" w:eastAsia="宋体" w:cs="Times New Roman"/>
                <w:b/>
                <w:bCs/>
                <w:color w:val="000000"/>
                <w:kern w:val="0"/>
                <w:sz w:val="21"/>
                <w:szCs w:val="21"/>
              </w:rPr>
              <w:t>：</w:t>
            </w:r>
            <w:r>
              <w:rPr>
                <w:rFonts w:hint="eastAsia" w:ascii="宋体" w:hAnsi="宋体" w:eastAsia="宋体" w:cs="Times New Roman"/>
                <w:color w:val="000000"/>
                <w:kern w:val="0"/>
                <w:sz w:val="21"/>
                <w:szCs w:val="21"/>
              </w:rPr>
              <w:t>在课例包中选择一节思辨说理课，分别从教学目标、教学方法、教学过程、教学评价、板书设计等方面进行评析。</w:t>
            </w:r>
          </w:p>
          <w:p w14:paraId="6FD9AFC0">
            <w:pPr>
              <w:adjustRightInd w:val="0"/>
              <w:snapToGrid w:val="0"/>
              <w:spacing w:line="276" w:lineRule="auto"/>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实践要求：</w:t>
            </w:r>
            <w:r>
              <w:rPr>
                <w:rFonts w:hint="eastAsia" w:ascii="宋体" w:hAnsi="宋体" w:eastAsia="宋体" w:cs="Times New Roman"/>
                <w:bCs/>
                <w:color w:val="000000"/>
                <w:kern w:val="0"/>
                <w:sz w:val="21"/>
                <w:szCs w:val="21"/>
              </w:rPr>
              <w:t>小组合作，完成对若干节课例的分析，形成分析报告。</w:t>
            </w:r>
          </w:p>
        </w:tc>
        <w:tc>
          <w:tcPr>
            <w:tcW w:w="649" w:type="dxa"/>
            <w:vAlign w:val="center"/>
          </w:tcPr>
          <w:p w14:paraId="3E3D941E">
            <w:pPr>
              <w:spacing w:line="276" w:lineRule="auto"/>
              <w:jc w:val="center"/>
              <w:rPr>
                <w:rFonts w:ascii="宋体" w:hAnsi="宋体" w:eastAsia="宋体" w:cs="宋体"/>
                <w:color w:val="000000"/>
                <w:kern w:val="0"/>
                <w:sz w:val="21"/>
                <w:szCs w:val="21"/>
              </w:rPr>
            </w:pPr>
            <w:r>
              <w:rPr>
                <w:rFonts w:ascii="宋体" w:hAnsi="宋体" w:eastAsia="宋体" w:cs="宋体"/>
                <w:color w:val="000000"/>
                <w:kern w:val="0"/>
                <w:sz w:val="21"/>
                <w:szCs w:val="21"/>
              </w:rPr>
              <w:t>4</w:t>
            </w:r>
          </w:p>
        </w:tc>
        <w:tc>
          <w:tcPr>
            <w:tcW w:w="1464" w:type="dxa"/>
            <w:vAlign w:val="center"/>
          </w:tcPr>
          <w:p w14:paraId="32064CC9">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课程目标2</w:t>
            </w:r>
          </w:p>
          <w:p w14:paraId="7A4544EC">
            <w:pPr>
              <w:spacing w:line="276" w:lineRule="auto"/>
              <w:jc w:val="center"/>
              <w:rPr>
                <w:rFonts w:ascii="Calibri" w:hAnsi="Calibri" w:eastAsia="宋体" w:cs="Times New Roman"/>
                <w:bCs/>
                <w:kern w:val="0"/>
                <w:sz w:val="21"/>
                <w:szCs w:val="21"/>
              </w:rPr>
            </w:pPr>
            <w:r>
              <w:rPr>
                <w:rFonts w:hint="eastAsia" w:ascii="Calibri" w:hAnsi="Calibri" w:eastAsia="宋体" w:cs="Times New Roman"/>
                <w:bCs/>
                <w:kern w:val="0"/>
                <w:sz w:val="21"/>
                <w:szCs w:val="21"/>
              </w:rPr>
              <w:t>课程目标3</w:t>
            </w:r>
          </w:p>
          <w:p w14:paraId="7B33372A">
            <w:pPr>
              <w:spacing w:line="276" w:lineRule="auto"/>
              <w:jc w:val="center"/>
              <w:rPr>
                <w:rFonts w:ascii="Calibri" w:hAnsi="Calibri" w:eastAsia="宋体" w:cs="Times New Roman"/>
                <w:b/>
                <w:kern w:val="0"/>
                <w:sz w:val="21"/>
                <w:szCs w:val="21"/>
              </w:rPr>
            </w:pPr>
            <w:r>
              <w:rPr>
                <w:rFonts w:hint="eastAsia" w:ascii="Calibri" w:hAnsi="Calibri" w:eastAsia="宋体" w:cs="Times New Roman"/>
                <w:bCs/>
                <w:kern w:val="0"/>
                <w:sz w:val="21"/>
                <w:szCs w:val="21"/>
              </w:rPr>
              <w:t>课程目标4</w:t>
            </w:r>
          </w:p>
        </w:tc>
      </w:tr>
    </w:tbl>
    <w:p w14:paraId="02B82967">
      <w:pPr>
        <w:spacing w:line="360" w:lineRule="auto"/>
        <w:ind w:firstLine="482" w:firstLineChars="200"/>
        <w:rPr>
          <w:rFonts w:ascii="Calibri" w:hAnsi="Calibri" w:eastAsia="宋体" w:cs="Times New Roman"/>
          <w:b/>
          <w:sz w:val="24"/>
          <w:szCs w:val="24"/>
        </w:rPr>
      </w:pPr>
    </w:p>
    <w:p w14:paraId="6AE6713F">
      <w:pPr>
        <w:spacing w:line="360" w:lineRule="auto"/>
        <w:ind w:firstLine="422" w:firstLineChars="200"/>
        <w:outlineLvl w:val="0"/>
        <w:rPr>
          <w:rFonts w:ascii="Calibri" w:hAnsi="Calibri" w:eastAsia="宋体" w:cs="Times New Roman"/>
          <w:b/>
          <w:szCs w:val="21"/>
        </w:rPr>
      </w:pPr>
      <w:bookmarkStart w:id="2975" w:name="_Toc30065"/>
      <w:bookmarkStart w:id="2976" w:name="_Toc16708"/>
      <w:bookmarkStart w:id="2977" w:name="_Toc11239"/>
      <w:bookmarkStart w:id="2978" w:name="_Toc29185"/>
      <w:bookmarkStart w:id="2979" w:name="_Toc12224"/>
      <w:bookmarkStart w:id="2980" w:name="_Toc21923"/>
      <w:bookmarkStart w:id="2981" w:name="_Toc17084"/>
      <w:r>
        <w:rPr>
          <w:rFonts w:hint="eastAsia" w:ascii="Calibri" w:hAnsi="Calibri" w:eastAsia="宋体" w:cs="Times New Roman"/>
          <w:b/>
          <w:szCs w:val="21"/>
        </w:rPr>
        <w:t>六</w:t>
      </w:r>
      <w:r>
        <w:rPr>
          <w:rFonts w:ascii="Calibri" w:hAnsi="Calibri" w:eastAsia="宋体" w:cs="Times New Roman"/>
          <w:b/>
          <w:szCs w:val="21"/>
        </w:rPr>
        <w:t>、</w:t>
      </w:r>
      <w:r>
        <w:rPr>
          <w:rFonts w:hint="eastAsia" w:ascii="Calibri" w:hAnsi="Calibri" w:eastAsia="宋体" w:cs="Times New Roman"/>
          <w:b/>
          <w:szCs w:val="21"/>
        </w:rPr>
        <w:t>有关说明</w:t>
      </w:r>
      <w:bookmarkEnd w:id="2975"/>
      <w:bookmarkEnd w:id="2976"/>
      <w:bookmarkEnd w:id="2977"/>
      <w:bookmarkEnd w:id="2978"/>
      <w:bookmarkEnd w:id="2979"/>
      <w:bookmarkEnd w:id="2980"/>
      <w:bookmarkEnd w:id="2981"/>
    </w:p>
    <w:p w14:paraId="0DFC9580">
      <w:pPr>
        <w:spacing w:line="360" w:lineRule="auto"/>
        <w:ind w:firstLine="422" w:firstLineChars="200"/>
        <w:outlineLvl w:val="1"/>
        <w:rPr>
          <w:rFonts w:ascii="Calibri" w:hAnsi="Calibri" w:eastAsia="宋体" w:cs="Times New Roman"/>
          <w:b/>
          <w:color w:val="000000"/>
          <w:szCs w:val="21"/>
        </w:rPr>
      </w:pPr>
      <w:bookmarkStart w:id="2982" w:name="_Toc16521"/>
      <w:r>
        <w:rPr>
          <w:rFonts w:hint="eastAsia" w:ascii="Calibri" w:hAnsi="Calibri" w:eastAsia="宋体" w:cs="Times New Roman"/>
          <w:b/>
          <w:color w:val="000000"/>
          <w:szCs w:val="21"/>
        </w:rPr>
        <w:t>（一）持续改进</w:t>
      </w:r>
      <w:bookmarkEnd w:id="2982"/>
    </w:p>
    <w:p w14:paraId="438F3C0D">
      <w:pPr>
        <w:spacing w:line="360" w:lineRule="auto"/>
        <w:ind w:firstLine="420" w:firstLineChars="200"/>
        <w:rPr>
          <w:rFonts w:ascii="Calibri" w:hAnsi="Calibri" w:eastAsia="宋体" w:cs="Times New Roman"/>
          <w:szCs w:val="21"/>
        </w:rPr>
      </w:pPr>
      <w:r>
        <w:rPr>
          <w:rFonts w:ascii="Calibri" w:hAnsi="Calibri" w:eastAsia="宋体" w:cs="Times New Roman"/>
          <w:szCs w:val="21"/>
        </w:rPr>
        <w:t>本课程根据学生作业、课堂讨论、</w:t>
      </w:r>
      <w:r>
        <w:rPr>
          <w:rFonts w:hint="eastAsia" w:ascii="Calibri" w:hAnsi="Calibri" w:eastAsia="宋体" w:cs="Times New Roman"/>
          <w:szCs w:val="21"/>
        </w:rPr>
        <w:t>教学</w:t>
      </w:r>
      <w:r>
        <w:rPr>
          <w:rFonts w:ascii="Calibri" w:hAnsi="Calibri" w:eastAsia="宋体" w:cs="Times New Roman"/>
          <w:szCs w:val="21"/>
        </w:rPr>
        <w:t>环节、平时考核情况和学生、教学督导等</w:t>
      </w:r>
      <w:r>
        <w:rPr>
          <w:rFonts w:hint="eastAsia" w:ascii="Calibri" w:hAnsi="Calibri" w:eastAsia="宋体" w:cs="Times New Roman"/>
          <w:szCs w:val="21"/>
        </w:rPr>
        <w:t>的</w:t>
      </w:r>
      <w:r>
        <w:rPr>
          <w:rFonts w:ascii="Calibri" w:hAnsi="Calibri" w:eastAsia="宋体" w:cs="Times New Roman"/>
          <w:szCs w:val="21"/>
        </w:rPr>
        <w:t>反馈，及时对教学中</w:t>
      </w:r>
      <w:r>
        <w:rPr>
          <w:rFonts w:hint="eastAsia" w:ascii="Calibri" w:hAnsi="Calibri" w:eastAsia="宋体" w:cs="Times New Roman"/>
          <w:szCs w:val="21"/>
        </w:rPr>
        <w:t>的</w:t>
      </w:r>
      <w:r>
        <w:rPr>
          <w:rFonts w:ascii="Calibri" w:hAnsi="Calibri" w:eastAsia="宋体" w:cs="Times New Roman"/>
          <w:szCs w:val="21"/>
        </w:rPr>
        <w:t>不足之处进行改进，并在下一轮课程教学中</w:t>
      </w:r>
      <w:r>
        <w:rPr>
          <w:rFonts w:hint="eastAsia" w:ascii="Calibri" w:hAnsi="Calibri" w:eastAsia="宋体" w:cs="Times New Roman"/>
          <w:szCs w:val="21"/>
        </w:rPr>
        <w:t>整改完善</w:t>
      </w:r>
      <w:r>
        <w:rPr>
          <w:rFonts w:ascii="Calibri" w:hAnsi="Calibri" w:eastAsia="宋体" w:cs="Times New Roman"/>
          <w:szCs w:val="21"/>
        </w:rPr>
        <w:t>，确保相应毕业要求指标点达成。</w:t>
      </w:r>
    </w:p>
    <w:p w14:paraId="413D2EDA">
      <w:pPr>
        <w:spacing w:line="360" w:lineRule="auto"/>
        <w:ind w:firstLine="422" w:firstLineChars="200"/>
        <w:outlineLvl w:val="1"/>
        <w:rPr>
          <w:rFonts w:ascii="Calibri" w:hAnsi="Calibri" w:eastAsia="宋体" w:cs="Times New Roman"/>
          <w:b/>
          <w:color w:val="000000"/>
          <w:szCs w:val="21"/>
        </w:rPr>
      </w:pPr>
      <w:bookmarkStart w:id="2983" w:name="_Toc31917"/>
      <w:r>
        <w:rPr>
          <w:rFonts w:hint="eastAsia" w:ascii="Calibri" w:hAnsi="Calibri" w:eastAsia="宋体" w:cs="Times New Roman"/>
          <w:b/>
          <w:color w:val="000000"/>
          <w:szCs w:val="21"/>
        </w:rPr>
        <w:t>（二）建议教材</w:t>
      </w:r>
      <w:bookmarkEnd w:id="2983"/>
    </w:p>
    <w:p w14:paraId="7A61EC65">
      <w:pPr>
        <w:spacing w:line="360" w:lineRule="auto"/>
        <w:ind w:firstLine="420" w:firstLineChars="200"/>
        <w:rPr>
          <w:rFonts w:ascii="宋体" w:hAnsi="宋体" w:eastAsia="宋体" w:cs="Times New Roman"/>
          <w:color w:val="000000"/>
          <w:szCs w:val="21"/>
        </w:rPr>
      </w:pPr>
      <w:r>
        <w:rPr>
          <w:rFonts w:hint="eastAsia" w:ascii="宋体" w:hAnsi="宋体" w:eastAsia="宋体" w:cs="Times New Roman"/>
          <w:bCs/>
          <w:color w:val="000000"/>
          <w:kern w:val="0"/>
          <w:szCs w:val="21"/>
        </w:rPr>
        <w:t>陈美兰</w:t>
      </w:r>
      <w:r>
        <w:rPr>
          <w:rFonts w:hint="eastAsia" w:ascii="宋体" w:hAnsi="宋体" w:eastAsia="宋体" w:cs="Times New Roman"/>
          <w:color w:val="000000"/>
          <w:kern w:val="0"/>
          <w:szCs w:val="21"/>
        </w:rPr>
        <w:t>《小学道德与法治教学设计及案例研究</w:t>
      </w:r>
      <w:r>
        <w:rPr>
          <w:rFonts w:hint="eastAsia" w:ascii="宋体" w:hAnsi="宋体" w:eastAsia="宋体" w:cs="Times New Roman"/>
          <w:color w:val="000000"/>
          <w:szCs w:val="21"/>
        </w:rPr>
        <w:t>》，北京师范大学出版社，2</w:t>
      </w:r>
      <w:r>
        <w:rPr>
          <w:rFonts w:ascii="宋体" w:hAnsi="宋体" w:eastAsia="宋体" w:cs="Times New Roman"/>
          <w:color w:val="000000"/>
          <w:szCs w:val="21"/>
        </w:rPr>
        <w:t>023</w:t>
      </w:r>
      <w:r>
        <w:rPr>
          <w:rFonts w:hint="eastAsia" w:ascii="宋体" w:hAnsi="宋体" w:eastAsia="宋体" w:cs="Times New Roman"/>
          <w:color w:val="000000"/>
          <w:szCs w:val="21"/>
        </w:rPr>
        <w:t>年4月。</w:t>
      </w:r>
    </w:p>
    <w:p w14:paraId="14A9F90B">
      <w:pPr>
        <w:spacing w:line="360" w:lineRule="auto"/>
        <w:ind w:firstLine="422" w:firstLineChars="200"/>
        <w:outlineLvl w:val="1"/>
        <w:rPr>
          <w:rFonts w:ascii="宋体" w:hAnsi="宋体" w:eastAsia="宋体" w:cs="Times New Roman"/>
          <w:b/>
          <w:bCs/>
          <w:color w:val="000000"/>
          <w:szCs w:val="21"/>
        </w:rPr>
      </w:pPr>
      <w:bookmarkStart w:id="2984" w:name="_Toc4845"/>
      <w:r>
        <w:rPr>
          <w:rFonts w:hint="eastAsia" w:ascii="宋体" w:hAnsi="宋体" w:eastAsia="宋体" w:cs="Times New Roman"/>
          <w:b/>
          <w:bCs/>
          <w:color w:val="000000"/>
          <w:szCs w:val="21"/>
        </w:rPr>
        <w:t>（三）参考书目</w:t>
      </w:r>
      <w:bookmarkEnd w:id="2984"/>
    </w:p>
    <w:p w14:paraId="6D9AC2EA">
      <w:pPr>
        <w:spacing w:line="360" w:lineRule="auto"/>
        <w:ind w:firstLine="420" w:firstLineChars="200"/>
        <w:rPr>
          <w:rFonts w:ascii="宋体" w:hAnsi="宋体" w:eastAsia="宋体" w:cs="宋体"/>
          <w:color w:val="000000"/>
          <w:kern w:val="0"/>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教育部编.义务教育小学品德与生活、品德与社会课程标准.2011.</w:t>
      </w:r>
    </w:p>
    <w:p w14:paraId="35F9CA83">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张茂聪.儿童品德发展与道德教育.济南：山东人民出版社.2012.</w:t>
      </w:r>
    </w:p>
    <w:p w14:paraId="171DC9BE">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沈</w:t>
      </w:r>
      <w:r>
        <w:rPr>
          <w:rFonts w:hint="eastAsia" w:ascii="Calibri" w:hAnsi="Calibri" w:eastAsia="宋体" w:cs="Times New Roman"/>
          <w:szCs w:val="21"/>
        </w:rPr>
        <w:t>晓敏.小学品德与社会（生活）课程研究.上海：华东师</w:t>
      </w:r>
      <w:r>
        <w:rPr>
          <w:rFonts w:hint="eastAsia" w:ascii="宋体" w:hAnsi="宋体" w:eastAsia="宋体" w:cs="Times New Roman"/>
          <w:szCs w:val="21"/>
        </w:rPr>
        <w:t>范大学出版社.2016.</w:t>
      </w:r>
    </w:p>
    <w:p w14:paraId="269465AB">
      <w:pPr>
        <w:spacing w:line="360" w:lineRule="auto"/>
        <w:ind w:firstLine="480" w:firstLineChars="200"/>
        <w:rPr>
          <w:rFonts w:ascii="宋体" w:hAnsi="宋体" w:eastAsia="宋体" w:cs="Times New Roman"/>
          <w:sz w:val="24"/>
          <w:szCs w:val="24"/>
        </w:rPr>
      </w:pPr>
    </w:p>
    <w:p w14:paraId="2224BE2B">
      <w:pPr>
        <w:autoSpaceDE w:val="0"/>
        <w:autoSpaceDN w:val="0"/>
        <w:adjustRightInd w:val="0"/>
        <w:spacing w:line="360" w:lineRule="auto"/>
        <w:ind w:right="1440"/>
        <w:jc w:val="right"/>
        <w:rPr>
          <w:rFonts w:ascii="Calibri" w:hAnsi="Calibri" w:eastAsia="宋体" w:cs="Times New Roman"/>
          <w:kern w:val="0"/>
          <w:sz w:val="24"/>
          <w:szCs w:val="21"/>
        </w:rPr>
      </w:pPr>
      <w:r>
        <w:rPr>
          <w:rFonts w:ascii="Calibri" w:hAnsi="Calibri" w:eastAsia="宋体" w:cs="Times New Roman"/>
          <w:kern w:val="0"/>
          <w:sz w:val="24"/>
          <w:szCs w:val="21"/>
        </w:rPr>
        <w:t>执笔人：</w:t>
      </w:r>
      <w:r>
        <w:rPr>
          <w:rFonts w:hint="eastAsia" w:ascii="Calibri" w:hAnsi="Calibri" w:eastAsia="宋体" w:cs="Times New Roman"/>
          <w:kern w:val="0"/>
          <w:sz w:val="24"/>
          <w:szCs w:val="21"/>
        </w:rPr>
        <w:t>王雅丽</w:t>
      </w:r>
      <w:r>
        <w:rPr>
          <w:rFonts w:ascii="Calibri" w:hAnsi="Calibri" w:eastAsia="宋体" w:cs="Times New Roman"/>
          <w:kern w:val="0"/>
          <w:sz w:val="24"/>
          <w:szCs w:val="21"/>
        </w:rPr>
        <w:t xml:space="preserve"> </w:t>
      </w:r>
    </w:p>
    <w:p w14:paraId="2354555C">
      <w:pPr>
        <w:autoSpaceDE w:val="0"/>
        <w:autoSpaceDN w:val="0"/>
        <w:adjustRightInd w:val="0"/>
        <w:spacing w:line="360" w:lineRule="auto"/>
        <w:ind w:right="1680"/>
        <w:jc w:val="right"/>
        <w:rPr>
          <w:rFonts w:ascii="Calibri" w:hAnsi="Calibri" w:eastAsia="宋体" w:cs="Times New Roman"/>
          <w:kern w:val="0"/>
          <w:sz w:val="24"/>
          <w:szCs w:val="21"/>
        </w:rPr>
      </w:pPr>
      <w:r>
        <w:rPr>
          <w:rFonts w:ascii="Calibri" w:hAnsi="Calibri" w:eastAsia="宋体" w:cs="Times New Roman"/>
          <w:kern w:val="0"/>
          <w:sz w:val="24"/>
          <w:szCs w:val="21"/>
        </w:rPr>
        <w:t>审定人：</w:t>
      </w:r>
      <w:r>
        <w:rPr>
          <w:rFonts w:hint="eastAsia" w:ascii="Calibri" w:hAnsi="Calibri" w:eastAsia="宋体" w:cs="Times New Roman"/>
          <w:kern w:val="0"/>
          <w:sz w:val="24"/>
          <w:szCs w:val="21"/>
        </w:rPr>
        <w:t>王健</w:t>
      </w:r>
      <w:r>
        <w:rPr>
          <w:rFonts w:ascii="Calibri" w:hAnsi="Calibri" w:eastAsia="宋体" w:cs="Times New Roman"/>
          <w:kern w:val="0"/>
          <w:sz w:val="24"/>
          <w:szCs w:val="21"/>
        </w:rPr>
        <w:t xml:space="preserve"> </w:t>
      </w:r>
    </w:p>
    <w:p w14:paraId="3C19A5AB">
      <w:pPr>
        <w:autoSpaceDE w:val="0"/>
        <w:autoSpaceDN w:val="0"/>
        <w:adjustRightIn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审批</w:t>
      </w:r>
      <w:r>
        <w:rPr>
          <w:rFonts w:ascii="Calibri" w:hAnsi="Calibri" w:eastAsia="宋体" w:cs="Times New Roman"/>
          <w:kern w:val="0"/>
          <w:sz w:val="24"/>
          <w:szCs w:val="21"/>
        </w:rPr>
        <w:t>人：</w:t>
      </w:r>
      <w:r>
        <w:rPr>
          <w:rFonts w:hint="eastAsia" w:ascii="Calibri" w:hAnsi="Calibri" w:eastAsia="宋体" w:cs="Times New Roman"/>
          <w:kern w:val="0"/>
          <w:sz w:val="24"/>
          <w:szCs w:val="21"/>
        </w:rPr>
        <w:t>张志欣</w:t>
      </w:r>
    </w:p>
    <w:p w14:paraId="41C63DF4">
      <w:pPr>
        <w:ind w:right="480"/>
        <w:jc w:val="right"/>
        <w:rPr>
          <w:rFonts w:ascii="宋体" w:hAnsi="宋体" w:eastAsia="宋体" w:cs="Times New Roman"/>
          <w:szCs w:val="24"/>
        </w:rPr>
      </w:pPr>
      <w:r>
        <w:rPr>
          <w:rFonts w:hint="eastAsia" w:ascii="宋体" w:hAnsi="宋体" w:eastAsia="宋体" w:cs="Times New Roman"/>
          <w:kern w:val="0"/>
          <w:sz w:val="24"/>
          <w:szCs w:val="21"/>
        </w:rPr>
        <w:t>批准时间：2</w:t>
      </w:r>
      <w:r>
        <w:rPr>
          <w:rFonts w:ascii="宋体" w:hAnsi="宋体" w:eastAsia="宋体" w:cs="Times New Roman"/>
          <w:kern w:val="0"/>
          <w:sz w:val="24"/>
          <w:szCs w:val="21"/>
        </w:rPr>
        <w:t>024</w:t>
      </w:r>
      <w:r>
        <w:rPr>
          <w:rFonts w:hint="eastAsia" w:ascii="宋体" w:hAnsi="宋体" w:eastAsia="宋体" w:cs="Times New Roman"/>
          <w:kern w:val="0"/>
          <w:sz w:val="24"/>
          <w:szCs w:val="21"/>
        </w:rPr>
        <w:t>年</w:t>
      </w:r>
      <w:r>
        <w:rPr>
          <w:rFonts w:ascii="宋体" w:hAnsi="宋体" w:eastAsia="宋体" w:cs="Times New Roman"/>
          <w:kern w:val="0"/>
          <w:sz w:val="24"/>
          <w:szCs w:val="21"/>
        </w:rPr>
        <w:t>9</w:t>
      </w:r>
      <w:r>
        <w:rPr>
          <w:rFonts w:hint="eastAsia" w:ascii="宋体" w:hAnsi="宋体" w:eastAsia="宋体" w:cs="Times New Roman"/>
          <w:kern w:val="0"/>
          <w:sz w:val="24"/>
          <w:szCs w:val="21"/>
        </w:rPr>
        <w:t>月1日</w:t>
      </w:r>
    </w:p>
    <w:p w14:paraId="6989D57B">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3F7BDF41">
      <w:pPr>
        <w:pStyle w:val="2"/>
        <w:bidi w:val="0"/>
        <w:rPr>
          <w:lang w:val="en-US" w:eastAsia="zh-CN"/>
        </w:rPr>
      </w:pPr>
      <w:bookmarkStart w:id="2985" w:name="_Toc17209"/>
      <w:bookmarkStart w:id="2986" w:name="_Toc11939"/>
      <w:bookmarkStart w:id="2987" w:name="_Toc18263"/>
      <w:bookmarkStart w:id="2988" w:name="_Toc32283"/>
      <w:r>
        <w:rPr>
          <w:rFonts w:hint="eastAsia"/>
          <w:lang w:val="en-US" w:eastAsia="zh-CN"/>
        </w:rPr>
        <w:t>《小学语文教学案例研究》课程教学大纲</w:t>
      </w:r>
      <w:bookmarkEnd w:id="2985"/>
      <w:bookmarkEnd w:id="2986"/>
      <w:bookmarkEnd w:id="2987"/>
      <w:bookmarkEnd w:id="2988"/>
    </w:p>
    <w:p w14:paraId="68BB6487">
      <w:pPr>
        <w:pStyle w:val="2"/>
        <w:bidi w:val="0"/>
        <w:rPr>
          <w:lang w:val="en-US" w:eastAsia="zh-CN"/>
        </w:rPr>
      </w:pPr>
      <w:bookmarkStart w:id="2989" w:name="_Toc21155"/>
      <w:bookmarkStart w:id="2990" w:name="_Toc20835"/>
      <w:bookmarkStart w:id="2991" w:name="_Toc7369"/>
      <w:bookmarkStart w:id="2992" w:name="_Toc29812"/>
      <w:bookmarkStart w:id="2993" w:name="_Toc30968"/>
      <w:bookmarkStart w:id="2994" w:name="_Toc32519"/>
      <w:bookmarkStart w:id="2995" w:name="_Toc22764"/>
      <w:r>
        <w:rPr>
          <w:lang w:val="en-US" w:eastAsia="zh-CN"/>
        </w:rPr>
        <w:t>（</w:t>
      </w:r>
      <w:r>
        <w:rPr>
          <w:rFonts w:hint="eastAsia"/>
          <w:lang w:val="en-US" w:eastAsia="zh-CN"/>
        </w:rPr>
        <w:t>Case Studies in Primary School Chinese Language Teaching</w:t>
      </w:r>
      <w:r>
        <w:rPr>
          <w:lang w:val="en-US" w:eastAsia="zh-CN"/>
        </w:rPr>
        <w:t>）</w:t>
      </w:r>
      <w:bookmarkEnd w:id="2989"/>
      <w:bookmarkEnd w:id="2990"/>
      <w:bookmarkEnd w:id="2991"/>
      <w:bookmarkEnd w:id="2992"/>
      <w:bookmarkEnd w:id="2993"/>
      <w:bookmarkEnd w:id="2994"/>
      <w:bookmarkEnd w:id="2995"/>
    </w:p>
    <w:p w14:paraId="75BFC32A">
      <w:pPr>
        <w:spacing w:line="360" w:lineRule="auto"/>
        <w:jc w:val="center"/>
        <w:rPr>
          <w:rFonts w:ascii="Times New Roman" w:hAnsi="Times New Roman" w:eastAsia="宋体" w:cs="Times New Roman"/>
          <w:bCs/>
          <w:sz w:val="30"/>
          <w:szCs w:val="30"/>
        </w:rPr>
      </w:pPr>
    </w:p>
    <w:p w14:paraId="1DA656F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小学语文教学</w:t>
      </w:r>
      <w:r>
        <w:rPr>
          <w:rFonts w:hint="eastAsia" w:ascii="Times New Roman" w:hAnsi="Times New Roman" w:eastAsia="宋体" w:cs="Times New Roman"/>
          <w:b/>
          <w:sz w:val="24"/>
          <w:szCs w:val="24"/>
          <w:lang w:val="en-US" w:eastAsia="zh-CN"/>
        </w:rPr>
        <w:t>案例研究</w:t>
      </w:r>
    </w:p>
    <w:p w14:paraId="4A462D7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宋体" w:hAnsi="宋体" w:eastAsia="宋体" w:cs="Times New Roman"/>
          <w:kern w:val="0"/>
          <w:sz w:val="24"/>
          <w:szCs w:val="22"/>
        </w:rPr>
        <w:t>24010</w:t>
      </w:r>
      <w:r>
        <w:rPr>
          <w:rFonts w:hint="eastAsia" w:ascii="宋体" w:hAnsi="宋体" w:eastAsia="宋体" w:cs="Times New Roman"/>
          <w:kern w:val="0"/>
          <w:sz w:val="24"/>
          <w:szCs w:val="22"/>
          <w:lang w:val="en-US" w:eastAsia="zh-CN"/>
        </w:rPr>
        <w:t>56</w:t>
      </w:r>
    </w:p>
    <w:p w14:paraId="2D165467">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2</w:t>
      </w:r>
    </w:p>
    <w:p w14:paraId="4085E630">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32</w:t>
      </w:r>
    </w:p>
    <w:p w14:paraId="2E7DCEF5">
      <w:pPr>
        <w:spacing w:line="360" w:lineRule="auto"/>
        <w:ind w:firstLine="482" w:firstLineChars="200"/>
        <w:jc w:val="left"/>
        <w:rPr>
          <w:rFonts w:hint="default" w:ascii="宋体" w:hAnsi="宋体" w:eastAsia="宋体" w:cs="Calibri"/>
          <w:kern w:val="0"/>
          <w:sz w:val="24"/>
          <w:szCs w:val="21"/>
          <w:lang w:val="en-US" w:eastAsia="zh-CN"/>
        </w:rPr>
      </w:pPr>
      <w:r>
        <w:rPr>
          <w:rFonts w:hint="eastAsia" w:ascii="Times New Roman" w:hAnsi="Times New Roman" w:eastAsia="宋体" w:cs="Times New Roman"/>
          <w:b/>
          <w:sz w:val="24"/>
          <w:szCs w:val="24"/>
        </w:rPr>
        <w:t>先修课程：</w:t>
      </w:r>
      <w:r>
        <w:rPr>
          <w:rFonts w:ascii="宋体" w:hAnsi="宋体" w:eastAsia="宋体" w:cs="Calibri"/>
          <w:kern w:val="0"/>
          <w:sz w:val="24"/>
          <w:szCs w:val="21"/>
        </w:rPr>
        <w:t>课程与教学论</w:t>
      </w:r>
      <w:r>
        <w:rPr>
          <w:rFonts w:hint="eastAsia" w:ascii="宋体" w:hAnsi="宋体" w:eastAsia="宋体" w:cs="Calibri"/>
          <w:kern w:val="0"/>
          <w:sz w:val="24"/>
          <w:szCs w:val="21"/>
        </w:rPr>
        <w:t>、小学语文课程标准与教材分析</w:t>
      </w:r>
      <w:r>
        <w:rPr>
          <w:rFonts w:hint="eastAsia" w:ascii="宋体" w:hAnsi="宋体" w:eastAsia="宋体" w:cs="Calibri"/>
          <w:kern w:val="0"/>
          <w:sz w:val="24"/>
          <w:szCs w:val="21"/>
          <w:lang w:eastAsia="zh-CN"/>
        </w:rPr>
        <w:t>、</w:t>
      </w:r>
      <w:r>
        <w:rPr>
          <w:rFonts w:hint="eastAsia" w:ascii="宋体" w:hAnsi="宋体" w:eastAsia="宋体" w:cs="Calibri"/>
          <w:kern w:val="0"/>
          <w:sz w:val="24"/>
          <w:szCs w:val="21"/>
          <w:lang w:val="en-US" w:eastAsia="zh-CN"/>
        </w:rPr>
        <w:t>小学语文教学设计与实施</w:t>
      </w:r>
    </w:p>
    <w:p w14:paraId="42B6E61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17147725">
      <w:pPr>
        <w:spacing w:line="360" w:lineRule="auto"/>
        <w:jc w:val="left"/>
        <w:rPr>
          <w:rFonts w:ascii="Times New Roman" w:hAnsi="Times New Roman" w:eastAsia="宋体" w:cs="Times New Roman"/>
          <w:b/>
          <w:sz w:val="24"/>
          <w:szCs w:val="24"/>
        </w:rPr>
      </w:pPr>
    </w:p>
    <w:p w14:paraId="4BF8BFA7">
      <w:pPr>
        <w:spacing w:line="360" w:lineRule="auto"/>
        <w:ind w:firstLine="482" w:firstLineChars="200"/>
        <w:jc w:val="left"/>
        <w:outlineLvl w:val="0"/>
        <w:rPr>
          <w:rFonts w:ascii="Times New Roman" w:hAnsi="Times New Roman" w:eastAsia="宋体" w:cs="Times New Roman"/>
          <w:sz w:val="24"/>
          <w:szCs w:val="24"/>
        </w:rPr>
      </w:pPr>
      <w:bookmarkStart w:id="2996" w:name="_Toc18508"/>
      <w:bookmarkStart w:id="2997" w:name="_Toc11777"/>
      <w:bookmarkStart w:id="2998" w:name="_Toc27828"/>
      <w:bookmarkStart w:id="2999" w:name="_Toc27106"/>
      <w:bookmarkStart w:id="3000" w:name="_Toc21688"/>
      <w:bookmarkStart w:id="3001" w:name="_Toc30564"/>
      <w:bookmarkStart w:id="3002" w:name="_Toc23244"/>
      <w:r>
        <w:rPr>
          <w:rFonts w:hint="eastAsia" w:ascii="Times New Roman" w:hAnsi="Times New Roman" w:eastAsia="宋体" w:cs="Times New Roman"/>
          <w:b/>
          <w:sz w:val="24"/>
          <w:szCs w:val="24"/>
        </w:rPr>
        <w:t>一、课程简介</w:t>
      </w:r>
      <w:bookmarkEnd w:id="2996"/>
      <w:bookmarkEnd w:id="2997"/>
      <w:bookmarkEnd w:id="2998"/>
      <w:bookmarkEnd w:id="2999"/>
      <w:bookmarkEnd w:id="3000"/>
      <w:bookmarkEnd w:id="3001"/>
      <w:bookmarkEnd w:id="3002"/>
    </w:p>
    <w:p w14:paraId="72D76720">
      <w:pPr>
        <w:spacing w:line="360" w:lineRule="auto"/>
        <w:ind w:firstLine="420" w:firstLineChars="200"/>
        <w:jc w:val="left"/>
        <w:rPr>
          <w:rFonts w:hint="eastAsia" w:ascii="宋体" w:hAnsi="宋体" w:eastAsia="宋体" w:cs="Times New Roman"/>
          <w:b/>
          <w:color w:val="000000"/>
          <w:szCs w:val="21"/>
        </w:rPr>
      </w:pPr>
      <w:r>
        <w:rPr>
          <w:rFonts w:hint="eastAsia" w:ascii="Times New Roman" w:hAnsi="Times New Roman" w:eastAsia="宋体" w:cs="Times New Roman"/>
          <w:szCs w:val="21"/>
        </w:rPr>
        <w:t>本课程是面向大四师范生的专业选修课程，本课程的性质在于将理论与实践相结合，通过深入分析和研究小学语文教学案例，进一步提升教学设计、实施与评价能力。课程的主要任务是学生能够通过小学语文教学的基本理论和方法的学习，提高对教学案例的分析与应用能力，从而为将来从事小学语文教学工作打下坚实的基础，使他们能够更加自信和有效地应对实际教学中的挑战。</w:t>
      </w:r>
    </w:p>
    <w:p w14:paraId="774555EF">
      <w:pPr>
        <w:spacing w:line="360" w:lineRule="auto"/>
        <w:ind w:firstLine="482" w:firstLineChars="200"/>
        <w:jc w:val="left"/>
        <w:outlineLvl w:val="0"/>
        <w:rPr>
          <w:rFonts w:ascii="Times New Roman" w:hAnsi="Times New Roman" w:eastAsia="宋体" w:cs="Times New Roman"/>
          <w:sz w:val="24"/>
          <w:szCs w:val="24"/>
        </w:rPr>
      </w:pPr>
      <w:bookmarkStart w:id="3003" w:name="_Toc383"/>
      <w:bookmarkStart w:id="3004" w:name="_Toc24521"/>
      <w:bookmarkStart w:id="3005" w:name="_Toc11076"/>
      <w:bookmarkStart w:id="3006" w:name="_Toc9419"/>
      <w:bookmarkStart w:id="3007" w:name="_Toc25888"/>
      <w:bookmarkStart w:id="3008" w:name="_Toc8800"/>
      <w:bookmarkStart w:id="3009" w:name="_Toc10514"/>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3003"/>
      <w:bookmarkEnd w:id="3004"/>
      <w:bookmarkEnd w:id="3005"/>
      <w:bookmarkEnd w:id="3006"/>
      <w:bookmarkEnd w:id="3007"/>
      <w:bookmarkEnd w:id="3008"/>
      <w:bookmarkEnd w:id="3009"/>
    </w:p>
    <w:p w14:paraId="6EB78DA3">
      <w:pPr>
        <w:spacing w:line="360" w:lineRule="auto"/>
        <w:ind w:firstLine="422" w:firstLineChars="200"/>
        <w:outlineLvl w:val="1"/>
        <w:rPr>
          <w:rFonts w:hint="eastAsia" w:ascii="宋体" w:hAnsi="宋体" w:eastAsia="宋体" w:cs="Times New Roman"/>
          <w:b/>
          <w:color w:val="000000"/>
          <w:szCs w:val="21"/>
        </w:rPr>
      </w:pPr>
      <w:bookmarkStart w:id="3010" w:name="_Toc18506"/>
      <w:r>
        <w:rPr>
          <w:rFonts w:hint="eastAsia" w:ascii="宋体" w:hAnsi="宋体" w:eastAsia="宋体" w:cs="Times New Roman"/>
          <w:b/>
          <w:color w:val="000000"/>
          <w:szCs w:val="21"/>
        </w:rPr>
        <w:t>（一）课程具体目标</w:t>
      </w:r>
      <w:bookmarkEnd w:id="3010"/>
    </w:p>
    <w:p w14:paraId="57D1D585">
      <w:pPr>
        <w:autoSpaceDE w:val="0"/>
        <w:autoSpaceDN w:val="0"/>
        <w:adjustRightInd w:val="0"/>
        <w:spacing w:line="360" w:lineRule="auto"/>
        <w:ind w:firstLine="422" w:firstLineChars="200"/>
        <w:jc w:val="left"/>
        <w:rPr>
          <w:rFonts w:hint="eastAsia" w:ascii="宋体" w:hAnsi="宋体" w:eastAsia="宋体" w:cs="Times New Roman"/>
          <w:kern w:val="0"/>
          <w:sz w:val="24"/>
          <w:szCs w:val="24"/>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kern w:val="0"/>
          <w:sz w:val="24"/>
          <w:szCs w:val="24"/>
          <w:lang w:val="en-US" w:eastAsia="zh-CN"/>
        </w:rPr>
        <w:t>能正确</w:t>
      </w:r>
      <w:r>
        <w:rPr>
          <w:rFonts w:hint="default" w:ascii="宋体" w:hAnsi="宋体" w:eastAsia="宋体" w:cs="Times New Roman"/>
          <w:kern w:val="0"/>
          <w:sz w:val="24"/>
          <w:szCs w:val="24"/>
        </w:rPr>
        <w:t>理解和</w:t>
      </w:r>
      <w:r>
        <w:rPr>
          <w:rFonts w:hint="eastAsia" w:ascii="宋体" w:hAnsi="宋体" w:eastAsia="宋体" w:cs="Times New Roman"/>
          <w:kern w:val="0"/>
          <w:sz w:val="24"/>
          <w:szCs w:val="24"/>
          <w:lang w:val="en-US" w:eastAsia="zh-CN"/>
        </w:rPr>
        <w:t>运用</w:t>
      </w:r>
      <w:r>
        <w:rPr>
          <w:rFonts w:hint="default" w:ascii="宋体" w:hAnsi="宋体" w:eastAsia="宋体" w:cs="Times New Roman"/>
          <w:kern w:val="0"/>
          <w:sz w:val="24"/>
          <w:szCs w:val="24"/>
        </w:rPr>
        <w:t>小学语文教学设计的基本原则和方法，包括确定教学目标、设计教学活动、选择教学资源和评估教学效果。根据</w:t>
      </w:r>
      <w:r>
        <w:rPr>
          <w:rFonts w:hint="eastAsia" w:ascii="宋体" w:hAnsi="宋体" w:eastAsia="宋体" w:cs="Times New Roman"/>
          <w:kern w:val="0"/>
          <w:sz w:val="24"/>
          <w:szCs w:val="24"/>
          <w:lang w:val="en-US" w:eastAsia="zh-CN"/>
        </w:rPr>
        <w:t>课标、教材及学情</w:t>
      </w:r>
      <w:r>
        <w:rPr>
          <w:rFonts w:hint="default" w:ascii="宋体" w:hAnsi="宋体" w:eastAsia="宋体" w:cs="Times New Roman"/>
          <w:kern w:val="0"/>
          <w:sz w:val="24"/>
          <w:szCs w:val="24"/>
        </w:rPr>
        <w:t>，制定切实可行的教学计划，并能够整合多种教学手段和策略，以提高教学</w:t>
      </w:r>
      <w:r>
        <w:rPr>
          <w:rFonts w:hint="eastAsia" w:ascii="宋体" w:hAnsi="宋体" w:eastAsia="宋体" w:cs="Times New Roman"/>
          <w:kern w:val="0"/>
          <w:sz w:val="24"/>
          <w:szCs w:val="24"/>
          <w:lang w:val="en-US" w:eastAsia="zh-CN"/>
        </w:rPr>
        <w:t>有效性</w:t>
      </w:r>
      <w:r>
        <w:rPr>
          <w:rFonts w:hint="default" w:ascii="宋体" w:hAnsi="宋体" w:eastAsia="宋体" w:cs="Times New Roman"/>
          <w:kern w:val="0"/>
          <w:sz w:val="24"/>
          <w:szCs w:val="24"/>
        </w:rPr>
        <w:t>。</w:t>
      </w:r>
    </w:p>
    <w:p w14:paraId="7972B377">
      <w:pPr>
        <w:autoSpaceDE w:val="0"/>
        <w:autoSpaceDN w:val="0"/>
        <w:adjustRightInd w:val="0"/>
        <w:spacing w:line="360" w:lineRule="auto"/>
        <w:ind w:firstLine="482" w:firstLineChars="200"/>
        <w:jc w:val="left"/>
        <w:rPr>
          <w:rFonts w:hint="eastAsia" w:ascii="宋体" w:hAnsi="宋体" w:eastAsia="宋体" w:cs="Times New Roman"/>
          <w:kern w:val="0"/>
          <w:sz w:val="24"/>
          <w:szCs w:val="24"/>
        </w:rPr>
      </w:pPr>
      <w:r>
        <w:rPr>
          <w:rFonts w:hint="eastAsia" w:ascii="宋体" w:hAnsi="宋体" w:eastAsia="宋体" w:cs="Times New Roman"/>
          <w:b/>
          <w:bCs/>
          <w:kern w:val="0"/>
          <w:sz w:val="24"/>
          <w:szCs w:val="24"/>
          <w:lang w:val="en-US" w:eastAsia="zh-CN"/>
        </w:rPr>
        <w:t>目标2.</w:t>
      </w:r>
      <w:r>
        <w:rPr>
          <w:rFonts w:hint="eastAsia" w:ascii="宋体" w:hAnsi="宋体" w:eastAsia="宋体" w:cs="Times New Roman"/>
          <w:kern w:val="0"/>
          <w:sz w:val="24"/>
          <w:szCs w:val="24"/>
          <w:lang w:val="en-US" w:eastAsia="zh-CN"/>
        </w:rPr>
        <w:t>具有</w:t>
      </w:r>
      <w:r>
        <w:rPr>
          <w:rFonts w:hint="default" w:ascii="宋体" w:hAnsi="宋体" w:eastAsia="宋体" w:cs="Times New Roman"/>
          <w:kern w:val="0"/>
          <w:sz w:val="24"/>
          <w:szCs w:val="24"/>
        </w:rPr>
        <w:t>将教学设计方案有效转化为课堂教学实践的能力。通过模拟教学、微格教学等实践活动，学会运用多样化的教学方法</w:t>
      </w:r>
      <w:r>
        <w:rPr>
          <w:rFonts w:hint="eastAsia" w:ascii="宋体" w:hAnsi="宋体" w:eastAsia="宋体" w:cs="Times New Roman"/>
          <w:kern w:val="0"/>
          <w:sz w:val="24"/>
          <w:szCs w:val="24"/>
          <w:lang w:eastAsia="zh-CN"/>
        </w:rPr>
        <w:t>，</w:t>
      </w:r>
      <w:r>
        <w:rPr>
          <w:rFonts w:hint="eastAsia" w:ascii="宋体" w:hAnsi="宋体" w:eastAsia="宋体" w:cs="Times New Roman"/>
          <w:kern w:val="0"/>
          <w:sz w:val="24"/>
          <w:szCs w:val="24"/>
          <w:lang w:val="en-US" w:eastAsia="zh-CN"/>
        </w:rPr>
        <w:t>提升教学实施能力</w:t>
      </w:r>
      <w:r>
        <w:rPr>
          <w:rFonts w:hint="default" w:ascii="宋体" w:hAnsi="宋体" w:eastAsia="宋体" w:cs="Times New Roman"/>
          <w:kern w:val="0"/>
          <w:sz w:val="24"/>
          <w:szCs w:val="24"/>
        </w:rPr>
        <w:t>。</w:t>
      </w:r>
    </w:p>
    <w:p w14:paraId="0DEA1A4E">
      <w:pPr>
        <w:autoSpaceDE w:val="0"/>
        <w:autoSpaceDN w:val="0"/>
        <w:adjustRightInd w:val="0"/>
        <w:spacing w:line="360" w:lineRule="auto"/>
        <w:ind w:firstLine="482" w:firstLineChars="200"/>
        <w:jc w:val="left"/>
        <w:rPr>
          <w:rFonts w:hint="eastAsia" w:ascii="宋体" w:hAnsi="宋体" w:eastAsia="宋体" w:cs="Times New Roman"/>
          <w:kern w:val="0"/>
          <w:sz w:val="24"/>
          <w:szCs w:val="24"/>
        </w:rPr>
      </w:pPr>
      <w:r>
        <w:rPr>
          <w:rFonts w:hint="eastAsia" w:ascii="宋体" w:hAnsi="宋体" w:eastAsia="宋体" w:cs="Times New Roman"/>
          <w:b/>
          <w:bCs/>
          <w:kern w:val="0"/>
          <w:sz w:val="24"/>
          <w:szCs w:val="24"/>
          <w:lang w:val="en-US" w:eastAsia="zh-CN"/>
        </w:rPr>
        <w:t>目标3.</w:t>
      </w:r>
      <w:r>
        <w:rPr>
          <w:rFonts w:hint="default" w:ascii="宋体" w:hAnsi="宋体" w:eastAsia="宋体" w:cs="Times New Roman"/>
          <w:kern w:val="0"/>
          <w:sz w:val="24"/>
          <w:szCs w:val="24"/>
        </w:rPr>
        <w:t>通过</w:t>
      </w:r>
      <w:r>
        <w:rPr>
          <w:rFonts w:hint="eastAsia" w:ascii="宋体" w:hAnsi="宋体" w:eastAsia="宋体" w:cs="Times New Roman"/>
          <w:kern w:val="0"/>
          <w:sz w:val="24"/>
          <w:szCs w:val="24"/>
          <w:lang w:val="en-US" w:eastAsia="zh-CN"/>
        </w:rPr>
        <w:t>小学语文教学</w:t>
      </w:r>
      <w:r>
        <w:rPr>
          <w:rFonts w:hint="default" w:ascii="宋体" w:hAnsi="宋体" w:eastAsia="宋体" w:cs="Times New Roman"/>
          <w:kern w:val="0"/>
          <w:sz w:val="24"/>
          <w:szCs w:val="24"/>
        </w:rPr>
        <w:t>案例研究和</w:t>
      </w:r>
      <w:r>
        <w:rPr>
          <w:rFonts w:hint="eastAsia" w:ascii="宋体" w:hAnsi="宋体" w:eastAsia="宋体" w:cs="Times New Roman"/>
          <w:kern w:val="0"/>
          <w:sz w:val="24"/>
          <w:szCs w:val="24"/>
          <w:lang w:val="en-US" w:eastAsia="zh-CN"/>
        </w:rPr>
        <w:t>小组</w:t>
      </w:r>
      <w:r>
        <w:rPr>
          <w:rFonts w:hint="default" w:ascii="宋体" w:hAnsi="宋体" w:eastAsia="宋体" w:cs="Times New Roman"/>
          <w:kern w:val="0"/>
          <w:sz w:val="24"/>
          <w:szCs w:val="24"/>
        </w:rPr>
        <w:t>评议，</w:t>
      </w:r>
      <w:r>
        <w:rPr>
          <w:rFonts w:hint="eastAsia" w:ascii="宋体" w:hAnsi="宋体" w:eastAsia="宋体" w:cs="Times New Roman"/>
          <w:kern w:val="0"/>
          <w:sz w:val="24"/>
          <w:szCs w:val="24"/>
          <w:lang w:val="en-US" w:eastAsia="zh-CN"/>
        </w:rPr>
        <w:t>提升</w:t>
      </w:r>
      <w:r>
        <w:rPr>
          <w:rFonts w:hint="default" w:ascii="宋体" w:hAnsi="宋体" w:eastAsia="宋体" w:cs="Times New Roman"/>
          <w:kern w:val="0"/>
          <w:sz w:val="24"/>
          <w:szCs w:val="24"/>
        </w:rPr>
        <w:t>批判性思维能力，以促进自身教学实践的持续改进和专业成长。</w:t>
      </w:r>
    </w:p>
    <w:p w14:paraId="7D79D070">
      <w:pPr>
        <w:spacing w:before="156" w:beforeLines="50" w:after="156" w:afterLines="50" w:line="360" w:lineRule="auto"/>
        <w:jc w:val="left"/>
        <w:outlineLvl w:val="1"/>
        <w:rPr>
          <w:rFonts w:ascii="Times New Roman" w:hAnsi="Times New Roman" w:eastAsia="宋体" w:cs="Times New Roman"/>
          <w:b/>
          <w:bCs/>
          <w:szCs w:val="21"/>
        </w:rPr>
      </w:pPr>
      <w:bookmarkStart w:id="3011" w:name="_Toc18550"/>
      <w:r>
        <w:rPr>
          <w:rFonts w:hint="eastAsia" w:ascii="Times New Roman" w:hAnsi="Times New Roman" w:eastAsia="宋体" w:cs="Times New Roman"/>
          <w:b/>
          <w:bCs/>
          <w:szCs w:val="21"/>
        </w:rPr>
        <w:t>（二）课程目标及其对毕业要求指标点的支撑</w:t>
      </w:r>
      <w:bookmarkEnd w:id="3011"/>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5134"/>
        <w:gridCol w:w="1191"/>
      </w:tblGrid>
      <w:tr w14:paraId="44A6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14:paraId="18853CB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134" w:type="dxa"/>
            <w:vAlign w:val="center"/>
          </w:tcPr>
          <w:p w14:paraId="170140A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B46464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D08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14:paraId="0CBC1192">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4.教学能力</w:t>
            </w:r>
          </w:p>
        </w:tc>
        <w:tc>
          <w:tcPr>
            <w:tcW w:w="5134" w:type="dxa"/>
            <w:vAlign w:val="center"/>
          </w:tcPr>
          <w:p w14:paraId="58DDDFCB">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4-2：</w:t>
            </w:r>
            <w:r>
              <w:rPr>
                <w:rFonts w:hint="eastAsia" w:ascii="宋体" w:hAnsi="宋体" w:eastAsia="宋体" w:cs="Times New Roman"/>
                <w:color w:val="000000"/>
                <w:kern w:val="0"/>
                <w:szCs w:val="21"/>
              </w:rPr>
              <w:t>能针对小学生已有的知识水平、学习经验和兴趣特点，依据课标确定恰当的学习目标和学习重点，设计学习活动。能依据单元内容进行整体设计，科学合理地依据教学目标及内容设计作业。</w:t>
            </w:r>
          </w:p>
          <w:p w14:paraId="624FE294">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4-3：</w:t>
            </w:r>
            <w:r>
              <w:rPr>
                <w:rFonts w:hint="eastAsia" w:ascii="宋体" w:hAnsi="宋体" w:eastAsia="宋体" w:cs="Times New Roman"/>
                <w:color w:val="000000"/>
                <w:kern w:val="0"/>
                <w:szCs w:val="21"/>
              </w:rPr>
              <w:t>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152C94CD">
            <w:pPr>
              <w:spacing w:line="276"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课程目标1</w:t>
            </w:r>
          </w:p>
          <w:p w14:paraId="1C786ABF">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课程目标2</w:t>
            </w:r>
          </w:p>
        </w:tc>
      </w:tr>
      <w:tr w14:paraId="1B0D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2" w:type="dxa"/>
            <w:vAlign w:val="center"/>
          </w:tcPr>
          <w:p w14:paraId="15D5D54E">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毕业要求</w:t>
            </w:r>
            <w:r>
              <w:rPr>
                <w:rFonts w:hint="eastAsia" w:ascii="宋体" w:hAnsi="宋体" w:eastAsia="宋体" w:cs="Times New Roman"/>
                <w:color w:val="000000"/>
                <w:spacing w:val="2"/>
                <w:kern w:val="0"/>
                <w:szCs w:val="21"/>
                <w:lang w:val="en-US" w:eastAsia="zh-CN"/>
              </w:rPr>
              <w:t>8</w:t>
            </w:r>
            <w:r>
              <w:rPr>
                <w:rFonts w:hint="eastAsia" w:ascii="宋体" w:hAnsi="宋体" w:eastAsia="宋体" w:cs="Times New Roman"/>
                <w:color w:val="000000"/>
                <w:spacing w:val="2"/>
                <w:kern w:val="0"/>
                <w:szCs w:val="21"/>
              </w:rPr>
              <w:t>.学会反思</w:t>
            </w:r>
          </w:p>
        </w:tc>
        <w:tc>
          <w:tcPr>
            <w:tcW w:w="5134" w:type="dxa"/>
            <w:vAlign w:val="center"/>
          </w:tcPr>
          <w:p w14:paraId="6ED24D37">
            <w:pPr>
              <w:spacing w:line="276" w:lineRule="auto"/>
              <w:jc w:val="left"/>
              <w:rPr>
                <w:rFonts w:ascii="Times New Roman" w:hAnsi="Times New Roman" w:eastAsia="宋体" w:cs="Times New Roman"/>
                <w:szCs w:val="21"/>
              </w:rPr>
            </w:pPr>
            <w:r>
              <w:rPr>
                <w:rFonts w:hint="eastAsia" w:ascii="宋体" w:hAnsi="宋体" w:eastAsia="宋体" w:cs="Times New Roman"/>
                <w:color w:val="000000"/>
                <w:kern w:val="0"/>
                <w:szCs w:val="21"/>
                <w:lang w:val="en-US" w:eastAsia="zh-CN"/>
              </w:rPr>
              <w:t>8</w:t>
            </w:r>
            <w:r>
              <w:rPr>
                <w:rFonts w:hint="eastAsia" w:ascii="宋体" w:hAnsi="宋体" w:eastAsia="宋体" w:cs="Times New Roman"/>
                <w:color w:val="000000"/>
                <w:kern w:val="0"/>
                <w:szCs w:val="21"/>
              </w:rPr>
              <w:t>-</w:t>
            </w:r>
            <w:r>
              <w:rPr>
                <w:rFonts w:hint="eastAsia" w:ascii="宋体" w:hAnsi="宋体" w:eastAsia="宋体" w:cs="Times New Roman"/>
                <w:color w:val="000000"/>
                <w:kern w:val="0"/>
                <w:szCs w:val="21"/>
                <w:lang w:val="en-US" w:eastAsia="zh-CN"/>
              </w:rPr>
              <w:t>1</w:t>
            </w:r>
            <w:r>
              <w:rPr>
                <w:rFonts w:hint="eastAsia" w:ascii="宋体" w:hAnsi="宋体" w:eastAsia="宋体" w:cs="Times New Roman"/>
                <w:color w:val="000000"/>
                <w:kern w:val="0"/>
                <w:szCs w:val="21"/>
              </w:rPr>
              <w:t>：理解学习共同体的本质和价值，掌握团队协作的基本策略，在课堂学习与教育实践中获得合作学习体验，形成团队协作精神。</w:t>
            </w:r>
          </w:p>
        </w:tc>
        <w:tc>
          <w:tcPr>
            <w:tcW w:w="1191" w:type="dxa"/>
            <w:vAlign w:val="center"/>
          </w:tcPr>
          <w:p w14:paraId="4E19B34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课程目标3</w:t>
            </w:r>
          </w:p>
        </w:tc>
      </w:tr>
    </w:tbl>
    <w:p w14:paraId="07DD11EC">
      <w:pPr>
        <w:spacing w:before="156" w:beforeLines="50" w:line="360" w:lineRule="auto"/>
        <w:jc w:val="left"/>
        <w:outlineLvl w:val="1"/>
        <w:rPr>
          <w:rFonts w:hint="eastAsia" w:ascii="宋体" w:hAnsi="宋体" w:eastAsia="宋体" w:cs="宋体"/>
          <w:b/>
          <w:color w:val="000000"/>
          <w:sz w:val="24"/>
          <w:szCs w:val="24"/>
        </w:rPr>
      </w:pPr>
      <w:bookmarkStart w:id="3012" w:name="_Toc4601"/>
      <w:r>
        <w:rPr>
          <w:rFonts w:hint="eastAsia" w:ascii="宋体" w:hAnsi="宋体" w:eastAsia="宋体" w:cs="宋体"/>
          <w:b/>
          <w:color w:val="000000"/>
          <w:sz w:val="24"/>
          <w:szCs w:val="24"/>
        </w:rPr>
        <w:t>（三）课程思政目标</w:t>
      </w:r>
      <w:bookmarkEnd w:id="3012"/>
    </w:p>
    <w:p w14:paraId="73FFFAFA">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深入理解和掌握小学语文教学内容中的思政教育元素，学习如何巧妙地将社会主义核心价值观融入到普通阅读、阅读策略、习作和口语交际等教学单元的设计中。学生将通过案例分析，提升在教学实践中引导小学生形成正面价值观的能力。学会设计具有教育意义的教学活动，以培养学生的道德素养、文化自信、批判性思维和团队合作精神，为成为具有教育家精神的小学语文教师打下坚实的基础。</w:t>
      </w:r>
    </w:p>
    <w:p w14:paraId="2D68EFB1">
      <w:pPr>
        <w:spacing w:line="360" w:lineRule="auto"/>
        <w:jc w:val="left"/>
        <w:outlineLvl w:val="0"/>
        <w:rPr>
          <w:rFonts w:hint="eastAsia" w:ascii="宋体" w:hAnsi="宋体" w:eastAsia="宋体" w:cs="Times New Roman"/>
          <w:b/>
          <w:color w:val="000000"/>
          <w:sz w:val="24"/>
          <w:szCs w:val="24"/>
        </w:rPr>
      </w:pPr>
      <w:bookmarkStart w:id="3013" w:name="_Toc21094"/>
      <w:bookmarkStart w:id="3014" w:name="_Toc5245"/>
      <w:bookmarkStart w:id="3015" w:name="_Toc14312"/>
      <w:bookmarkStart w:id="3016" w:name="_Toc13574"/>
      <w:bookmarkStart w:id="3017" w:name="_Toc24509"/>
      <w:bookmarkStart w:id="3018" w:name="_Toc26152"/>
      <w:bookmarkStart w:id="3019" w:name="_Toc16463"/>
      <w:r>
        <w:rPr>
          <w:rFonts w:hint="eastAsia" w:ascii="宋体" w:hAnsi="宋体" w:eastAsia="宋体" w:cs="Times New Roman"/>
          <w:b/>
          <w:color w:val="000000"/>
          <w:sz w:val="24"/>
          <w:szCs w:val="24"/>
        </w:rPr>
        <w:t>三、教学内容与预期学习成效</w:t>
      </w:r>
      <w:bookmarkEnd w:id="3013"/>
      <w:bookmarkEnd w:id="3014"/>
      <w:bookmarkEnd w:id="3015"/>
      <w:bookmarkEnd w:id="3016"/>
      <w:bookmarkEnd w:id="3017"/>
      <w:bookmarkEnd w:id="3018"/>
      <w:bookmarkEnd w:id="3019"/>
    </w:p>
    <w:tbl>
      <w:tblPr>
        <w:tblStyle w:val="11"/>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593"/>
        <w:gridCol w:w="1242"/>
        <w:gridCol w:w="3361"/>
        <w:gridCol w:w="1307"/>
        <w:gridCol w:w="658"/>
      </w:tblGrid>
      <w:tr w14:paraId="2C48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EA1113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1E42136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593" w:type="dxa"/>
            <w:vAlign w:val="center"/>
          </w:tcPr>
          <w:p w14:paraId="47BF289A">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242" w:type="dxa"/>
            <w:vAlign w:val="center"/>
          </w:tcPr>
          <w:p w14:paraId="4037709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7F95459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61" w:type="dxa"/>
            <w:vAlign w:val="center"/>
          </w:tcPr>
          <w:p w14:paraId="51F794F6">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29A73D80">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58" w:type="dxa"/>
            <w:vAlign w:val="center"/>
          </w:tcPr>
          <w:p w14:paraId="7AE0709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3385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7" w:hRule="atLeast"/>
          <w:jc w:val="center"/>
        </w:trPr>
        <w:tc>
          <w:tcPr>
            <w:tcW w:w="1205" w:type="dxa"/>
            <w:vMerge w:val="restart"/>
            <w:vAlign w:val="center"/>
          </w:tcPr>
          <w:p w14:paraId="67F34AD5">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第一章</w:t>
            </w:r>
          </w:p>
          <w:p w14:paraId="36B38400">
            <w:pPr>
              <w:spacing w:line="264" w:lineRule="auto"/>
              <w:jc w:val="center"/>
              <w:rPr>
                <w:rFonts w:ascii="宋体" w:hAnsi="宋体" w:eastAsia="宋体" w:cs="Times New Roman"/>
                <w:color w:val="000000"/>
                <w:szCs w:val="21"/>
              </w:rPr>
            </w:pPr>
            <w:r>
              <w:rPr>
                <w:rFonts w:hint="eastAsia" w:ascii="宋体" w:hAnsi="宋体" w:eastAsia="宋体" w:cs="宋体"/>
                <w:color w:val="000000"/>
                <w:kern w:val="0"/>
                <w:sz w:val="24"/>
                <w:szCs w:val="24"/>
              </w:rPr>
              <w:t>小学语文教学</w:t>
            </w:r>
            <w:r>
              <w:rPr>
                <w:rFonts w:hint="eastAsia" w:ascii="宋体" w:hAnsi="宋体" w:eastAsia="宋体" w:cs="宋体"/>
                <w:color w:val="000000"/>
                <w:kern w:val="0"/>
                <w:sz w:val="24"/>
                <w:szCs w:val="24"/>
                <w:lang w:val="en-US" w:eastAsia="zh-CN"/>
              </w:rPr>
              <w:t>案例分析概述</w:t>
            </w:r>
          </w:p>
          <w:p w14:paraId="393BEE90">
            <w:pPr>
              <w:spacing w:line="264" w:lineRule="auto"/>
              <w:jc w:val="center"/>
              <w:rPr>
                <w:rFonts w:hint="eastAsia" w:ascii="宋体" w:hAnsi="宋体" w:eastAsia="宋体" w:cs="Times New Roman"/>
                <w:color w:val="000000"/>
                <w:szCs w:val="21"/>
              </w:rPr>
            </w:pPr>
          </w:p>
        </w:tc>
        <w:tc>
          <w:tcPr>
            <w:tcW w:w="1593" w:type="dxa"/>
            <w:vAlign w:val="center"/>
          </w:tcPr>
          <w:p w14:paraId="5E8FBEE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1.单元统整的教学设计与案例分析</w:t>
            </w:r>
          </w:p>
          <w:p w14:paraId="031573C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2.教师说课设计与案例分析</w:t>
            </w:r>
          </w:p>
        </w:tc>
        <w:tc>
          <w:tcPr>
            <w:tcW w:w="1242" w:type="dxa"/>
            <w:vAlign w:val="center"/>
          </w:tcPr>
          <w:p w14:paraId="1EF9AC3C">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p w14:paraId="4B8CD6EA">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课程目标2</w:t>
            </w:r>
          </w:p>
        </w:tc>
        <w:tc>
          <w:tcPr>
            <w:tcW w:w="3361" w:type="dxa"/>
            <w:vAlign w:val="center"/>
          </w:tcPr>
          <w:p w14:paraId="43BFF48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能够熟练地设计</w:t>
            </w:r>
            <w:r>
              <w:rPr>
                <w:rFonts w:hint="eastAsia" w:ascii="宋体" w:hAnsi="宋体" w:eastAsia="宋体" w:cs="Times New Roman"/>
                <w:color w:val="000000"/>
                <w:szCs w:val="21"/>
                <w:lang w:val="en-US" w:eastAsia="zh-CN"/>
              </w:rPr>
              <w:t>单元统整的方案</w:t>
            </w:r>
            <w:r>
              <w:rPr>
                <w:rFonts w:hint="eastAsia" w:ascii="宋体" w:hAnsi="宋体" w:eastAsia="宋体" w:cs="Times New Roman"/>
                <w:color w:val="000000"/>
                <w:szCs w:val="21"/>
              </w:rPr>
              <w:t>，明确教学目标，</w:t>
            </w:r>
            <w:r>
              <w:rPr>
                <w:rFonts w:hint="eastAsia" w:ascii="宋体" w:hAnsi="宋体" w:eastAsia="宋体" w:cs="Times New Roman"/>
                <w:color w:val="000000"/>
                <w:szCs w:val="21"/>
                <w:lang w:val="en-US" w:eastAsia="zh-CN"/>
              </w:rPr>
              <w:t>合理设计单元情境任务，</w:t>
            </w:r>
            <w:r>
              <w:rPr>
                <w:rFonts w:hint="eastAsia" w:ascii="宋体" w:hAnsi="宋体" w:eastAsia="宋体" w:cs="Times New Roman"/>
                <w:color w:val="000000"/>
                <w:szCs w:val="21"/>
              </w:rPr>
              <w:t>有效整合教学内容和活动。</w:t>
            </w:r>
          </w:p>
          <w:p w14:paraId="2DFAA04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掌握清晰表达教学设计意图的能力，并能有效地使用辅助材料来增强说课的说服力。学会系统地说</w:t>
            </w:r>
            <w:r>
              <w:rPr>
                <w:rFonts w:hint="eastAsia" w:ascii="宋体" w:hAnsi="宋体" w:eastAsia="宋体" w:cs="Times New Roman"/>
                <w:color w:val="000000"/>
                <w:szCs w:val="21"/>
                <w:lang w:val="en-US" w:eastAsia="zh-CN"/>
              </w:rPr>
              <w:t>教材、学情、教学目标、教学方法和教学流程等，</w:t>
            </w:r>
            <w:r>
              <w:rPr>
                <w:rFonts w:hint="eastAsia" w:ascii="宋体" w:hAnsi="宋体" w:eastAsia="宋体" w:cs="Times New Roman"/>
                <w:color w:val="000000"/>
                <w:szCs w:val="21"/>
              </w:rPr>
              <w:t>并</w:t>
            </w:r>
            <w:r>
              <w:rPr>
                <w:rFonts w:hint="eastAsia" w:ascii="宋体" w:hAnsi="宋体" w:eastAsia="宋体" w:cs="Times New Roman"/>
                <w:color w:val="000000"/>
                <w:szCs w:val="21"/>
                <w:lang w:val="en-US" w:eastAsia="zh-CN"/>
              </w:rPr>
              <w:t>设计评价标准</w:t>
            </w:r>
            <w:r>
              <w:rPr>
                <w:rFonts w:hint="eastAsia" w:ascii="宋体" w:hAnsi="宋体" w:eastAsia="宋体" w:cs="Times New Roman"/>
                <w:color w:val="000000"/>
                <w:szCs w:val="21"/>
              </w:rPr>
              <w:t>。通过案例分析，学生能够进一步提升说课技巧，确保在真实教学环境中能够自信且专业地展示和辩护自己的教学设计。</w:t>
            </w:r>
          </w:p>
        </w:tc>
        <w:tc>
          <w:tcPr>
            <w:tcW w:w="1307" w:type="dxa"/>
            <w:vAlign w:val="center"/>
          </w:tcPr>
          <w:p w14:paraId="62C13E4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1.多媒体教学</w:t>
            </w:r>
          </w:p>
          <w:p w14:paraId="386C08E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2.案例教学</w:t>
            </w:r>
          </w:p>
          <w:p w14:paraId="6D7F233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3.小组学习</w:t>
            </w:r>
          </w:p>
        </w:tc>
        <w:tc>
          <w:tcPr>
            <w:tcW w:w="658" w:type="dxa"/>
            <w:vAlign w:val="center"/>
          </w:tcPr>
          <w:p w14:paraId="003764FB">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136D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205" w:type="dxa"/>
            <w:vMerge w:val="continue"/>
            <w:vAlign w:val="center"/>
          </w:tcPr>
          <w:p w14:paraId="5D7609BB">
            <w:pPr>
              <w:spacing w:line="264" w:lineRule="auto"/>
              <w:jc w:val="center"/>
              <w:rPr>
                <w:rFonts w:hint="eastAsia" w:ascii="宋体" w:hAnsi="宋体" w:eastAsia="宋体" w:cs="Times New Roman"/>
                <w:color w:val="000000"/>
                <w:szCs w:val="21"/>
              </w:rPr>
            </w:pPr>
          </w:p>
        </w:tc>
        <w:tc>
          <w:tcPr>
            <w:tcW w:w="8161" w:type="dxa"/>
            <w:gridSpan w:val="5"/>
            <w:vAlign w:val="center"/>
          </w:tcPr>
          <w:p w14:paraId="7A14D1D7">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w:t>
            </w:r>
            <w:r>
              <w:rPr>
                <w:rFonts w:hint="eastAsia" w:ascii="宋体" w:hAnsi="宋体" w:eastAsia="宋体" w:cs="Times New Roman"/>
                <w:color w:val="000000"/>
                <w:sz w:val="24"/>
                <w:szCs w:val="22"/>
                <w:lang w:val="en-US" w:eastAsia="zh-CN"/>
              </w:rPr>
              <w:t>通过单元统整的教学设计和教师说课技能的培养，强化对小学语文教学中德育元素的融入和价值引领能力。</w:t>
            </w:r>
          </w:p>
        </w:tc>
      </w:tr>
      <w:tr w14:paraId="0621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43D3A0">
            <w:pPr>
              <w:spacing w:line="264" w:lineRule="auto"/>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第2章</w:t>
            </w:r>
          </w:p>
          <w:p w14:paraId="22E49992">
            <w:pPr>
              <w:spacing w:line="264" w:lineRule="auto"/>
              <w:jc w:val="center"/>
              <w:rPr>
                <w:rFonts w:hint="eastAsia" w:ascii="宋体" w:hAnsi="宋体" w:eastAsia="宋体" w:cs="Times New Roman"/>
                <w:color w:val="000000"/>
                <w:szCs w:val="21"/>
              </w:rPr>
            </w:pPr>
            <w:r>
              <w:rPr>
                <w:rFonts w:hint="eastAsia" w:ascii="宋体" w:hAnsi="宋体" w:eastAsia="宋体" w:cs="宋体"/>
                <w:color w:val="000000"/>
                <w:kern w:val="0"/>
                <w:sz w:val="24"/>
                <w:szCs w:val="24"/>
                <w:lang w:val="en-US" w:eastAsia="zh-CN"/>
              </w:rPr>
              <w:t>识字教学设计案例</w:t>
            </w:r>
          </w:p>
        </w:tc>
        <w:tc>
          <w:tcPr>
            <w:tcW w:w="1593" w:type="dxa"/>
            <w:vAlign w:val="center"/>
          </w:tcPr>
          <w:p w14:paraId="2B4AB8BC">
            <w:pPr>
              <w:numPr>
                <w:ilvl w:val="0"/>
                <w:numId w:val="0"/>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1.汉语拼音教学设计案例</w:t>
            </w:r>
          </w:p>
          <w:p w14:paraId="24D7451C">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识字写字教学设计</w:t>
            </w:r>
            <w:r>
              <w:rPr>
                <w:rFonts w:hint="eastAsia" w:ascii="宋体" w:hAnsi="宋体" w:eastAsia="宋体" w:cs="Times New Roman"/>
                <w:color w:val="000000"/>
                <w:szCs w:val="21"/>
                <w:lang w:val="en-US" w:eastAsia="zh-CN"/>
              </w:rPr>
              <w:t>案例</w:t>
            </w:r>
          </w:p>
        </w:tc>
        <w:tc>
          <w:tcPr>
            <w:tcW w:w="1242" w:type="dxa"/>
            <w:vAlign w:val="center"/>
          </w:tcPr>
          <w:p w14:paraId="75A70039">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课程目标1课程目标2</w:t>
            </w:r>
          </w:p>
          <w:p w14:paraId="5874540D">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课程目标3</w:t>
            </w:r>
          </w:p>
        </w:tc>
        <w:tc>
          <w:tcPr>
            <w:tcW w:w="3361" w:type="dxa"/>
            <w:vAlign w:val="center"/>
          </w:tcPr>
          <w:p w14:paraId="1783CFF7">
            <w:pPr>
              <w:numPr>
                <w:ilvl w:val="0"/>
                <w:numId w:val="99"/>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能够独立设计出符合小学生认知特点的教学方案。掌握汉语拼音教学的系统方法，以及如何有效引导学生识字和写字。</w:t>
            </w:r>
          </w:p>
          <w:p w14:paraId="217BD32E">
            <w:pPr>
              <w:numPr>
                <w:ilvl w:val="0"/>
                <w:numId w:val="99"/>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能够通过案例分析，评估教学策略的效果，并针对发现的问题提出创新的解决方案，提升教学质量</w:t>
            </w:r>
            <w:r>
              <w:rPr>
                <w:rFonts w:hint="eastAsia" w:ascii="宋体" w:hAnsi="宋体" w:eastAsia="宋体" w:cs="Times New Roman"/>
                <w:color w:val="000000"/>
                <w:szCs w:val="21"/>
                <w:lang w:eastAsia="zh-CN"/>
              </w:rPr>
              <w:t>。</w:t>
            </w:r>
          </w:p>
        </w:tc>
        <w:tc>
          <w:tcPr>
            <w:tcW w:w="1307" w:type="dxa"/>
            <w:vAlign w:val="center"/>
          </w:tcPr>
          <w:p w14:paraId="3DF7C8F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1.多媒体教学</w:t>
            </w:r>
          </w:p>
          <w:p w14:paraId="145DE1B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2.案例教学</w:t>
            </w:r>
          </w:p>
          <w:p w14:paraId="58DCAFF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3.小组学习</w:t>
            </w:r>
          </w:p>
        </w:tc>
        <w:tc>
          <w:tcPr>
            <w:tcW w:w="658" w:type="dxa"/>
            <w:vAlign w:val="center"/>
          </w:tcPr>
          <w:p w14:paraId="022D4B52">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4DE2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DF1BE3">
            <w:pPr>
              <w:spacing w:line="264" w:lineRule="auto"/>
              <w:jc w:val="center"/>
              <w:rPr>
                <w:rFonts w:hint="eastAsia" w:ascii="宋体" w:hAnsi="宋体" w:eastAsia="宋体" w:cs="Times New Roman"/>
                <w:color w:val="000000"/>
                <w:szCs w:val="21"/>
              </w:rPr>
            </w:pPr>
          </w:p>
        </w:tc>
        <w:tc>
          <w:tcPr>
            <w:tcW w:w="8161" w:type="dxa"/>
            <w:gridSpan w:val="5"/>
            <w:vAlign w:val="center"/>
          </w:tcPr>
          <w:p w14:paraId="6D20DD29">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通过汉语拼音、识字与写字教学案例的分析，培养热爱祖国语言言文字的情感，形成传承汉字文化的使命感，坚持文化自信。</w:t>
            </w:r>
          </w:p>
        </w:tc>
      </w:tr>
      <w:tr w14:paraId="6D3D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CB3824">
            <w:pPr>
              <w:spacing w:line="264"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第3章</w:t>
            </w:r>
          </w:p>
          <w:p w14:paraId="2D8E3650">
            <w:pPr>
              <w:spacing w:line="264"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阅读教学设计与案例分析</w:t>
            </w:r>
          </w:p>
          <w:p w14:paraId="46BF0773">
            <w:pPr>
              <w:spacing w:line="264" w:lineRule="auto"/>
              <w:jc w:val="center"/>
              <w:rPr>
                <w:rFonts w:hint="eastAsia" w:ascii="宋体" w:hAnsi="宋体" w:eastAsia="宋体" w:cs="Times New Roman"/>
                <w:color w:val="000000"/>
                <w:szCs w:val="21"/>
              </w:rPr>
            </w:pPr>
          </w:p>
        </w:tc>
        <w:tc>
          <w:tcPr>
            <w:tcW w:w="1593" w:type="dxa"/>
            <w:vAlign w:val="center"/>
          </w:tcPr>
          <w:p w14:paraId="36AD786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普通阅读单元的教学设计与案例分析</w:t>
            </w:r>
          </w:p>
          <w:p w14:paraId="4B8B563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阅读策略单元的教学设计与案例分析</w:t>
            </w:r>
          </w:p>
          <w:p w14:paraId="6F0F49C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习作单元教学设计与案例分析</w:t>
            </w:r>
          </w:p>
        </w:tc>
        <w:tc>
          <w:tcPr>
            <w:tcW w:w="1242" w:type="dxa"/>
            <w:vAlign w:val="center"/>
          </w:tcPr>
          <w:p w14:paraId="3F44C512">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课程目标1课程目标2</w:t>
            </w:r>
          </w:p>
          <w:p w14:paraId="4EA1BEFF">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课程目标3</w:t>
            </w:r>
          </w:p>
        </w:tc>
        <w:tc>
          <w:tcPr>
            <w:tcW w:w="3361" w:type="dxa"/>
            <w:vAlign w:val="center"/>
          </w:tcPr>
          <w:p w14:paraId="5CDDEE46">
            <w:pPr>
              <w:numPr>
                <w:ilvl w:val="0"/>
                <w:numId w:val="10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掌握普通阅读、阅读策略和习作单元的教学设计与案例分析能力。能够根据</w:t>
            </w:r>
            <w:r>
              <w:rPr>
                <w:rFonts w:hint="eastAsia" w:ascii="宋体" w:hAnsi="宋体" w:eastAsia="宋体" w:cs="Times New Roman"/>
                <w:color w:val="000000"/>
                <w:szCs w:val="21"/>
                <w:lang w:val="en-US" w:eastAsia="zh-CN"/>
              </w:rPr>
              <w:t>学情</w:t>
            </w:r>
            <w:r>
              <w:rPr>
                <w:rFonts w:hint="eastAsia" w:ascii="宋体" w:hAnsi="宋体" w:eastAsia="宋体" w:cs="Times New Roman"/>
                <w:color w:val="000000"/>
                <w:szCs w:val="21"/>
              </w:rPr>
              <w:t>，设计</w:t>
            </w:r>
            <w:r>
              <w:rPr>
                <w:rFonts w:hint="eastAsia" w:ascii="宋体" w:hAnsi="宋体" w:eastAsia="宋体" w:cs="Times New Roman"/>
                <w:color w:val="000000"/>
                <w:szCs w:val="21"/>
                <w:lang w:val="en-US" w:eastAsia="zh-CN"/>
              </w:rPr>
              <w:t>单元统整和单篇课文教学方案</w:t>
            </w:r>
            <w:r>
              <w:rPr>
                <w:rFonts w:hint="eastAsia" w:ascii="宋体" w:hAnsi="宋体" w:eastAsia="宋体" w:cs="Times New Roman"/>
                <w:color w:val="000000"/>
                <w:szCs w:val="21"/>
              </w:rPr>
              <w:t>。</w:t>
            </w:r>
          </w:p>
          <w:p w14:paraId="4A4FE24D">
            <w:pPr>
              <w:numPr>
                <w:ilvl w:val="0"/>
                <w:numId w:val="10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设计</w:t>
            </w:r>
            <w:r>
              <w:rPr>
                <w:rFonts w:hint="eastAsia" w:ascii="宋体" w:hAnsi="宋体" w:eastAsia="宋体" w:cs="Times New Roman"/>
                <w:color w:val="000000"/>
                <w:szCs w:val="21"/>
              </w:rPr>
              <w:t>不同的阅读策略</w:t>
            </w:r>
            <w:r>
              <w:rPr>
                <w:rFonts w:hint="eastAsia" w:ascii="宋体" w:hAnsi="宋体" w:eastAsia="宋体" w:cs="Times New Roman"/>
                <w:color w:val="000000"/>
                <w:szCs w:val="21"/>
                <w:lang w:val="en-US" w:eastAsia="zh-CN"/>
              </w:rPr>
              <w:t>单元和习作教学方案。</w:t>
            </w:r>
            <w:r>
              <w:rPr>
                <w:rFonts w:hint="eastAsia" w:ascii="宋体" w:hAnsi="宋体" w:eastAsia="宋体" w:cs="Times New Roman"/>
                <w:color w:val="000000"/>
                <w:szCs w:val="21"/>
              </w:rPr>
              <w:t>通过案例分析，评估和优化教学方案，提高教学的互动性和有效性。</w:t>
            </w:r>
          </w:p>
        </w:tc>
        <w:tc>
          <w:tcPr>
            <w:tcW w:w="1307" w:type="dxa"/>
            <w:vAlign w:val="center"/>
          </w:tcPr>
          <w:p w14:paraId="478FFEB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1.多媒体教学</w:t>
            </w:r>
          </w:p>
          <w:p w14:paraId="4B94D1D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2.案例教学</w:t>
            </w:r>
          </w:p>
          <w:p w14:paraId="346CC7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3.小组学习</w:t>
            </w:r>
          </w:p>
        </w:tc>
        <w:tc>
          <w:tcPr>
            <w:tcW w:w="658" w:type="dxa"/>
            <w:vAlign w:val="center"/>
          </w:tcPr>
          <w:p w14:paraId="164A57EA">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6782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F31379">
            <w:pPr>
              <w:spacing w:line="264" w:lineRule="auto"/>
              <w:jc w:val="center"/>
              <w:rPr>
                <w:rFonts w:hint="eastAsia" w:ascii="宋体" w:hAnsi="宋体" w:eastAsia="宋体" w:cs="Times New Roman"/>
                <w:color w:val="000000"/>
                <w:szCs w:val="21"/>
              </w:rPr>
            </w:pPr>
          </w:p>
        </w:tc>
        <w:tc>
          <w:tcPr>
            <w:tcW w:w="8161" w:type="dxa"/>
            <w:gridSpan w:val="5"/>
            <w:vAlign w:val="center"/>
          </w:tcPr>
          <w:p w14:paraId="60B198F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通过阅读教学设计与案例分析，理解和传承中华优秀传统文化，学会在阅读教学中自然融入思想政治教育，引导学生形成正确的世界观、人生观和价值观。</w:t>
            </w:r>
          </w:p>
        </w:tc>
      </w:tr>
      <w:tr w14:paraId="5B4D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05" w:type="dxa"/>
            <w:vMerge w:val="restart"/>
            <w:vAlign w:val="center"/>
          </w:tcPr>
          <w:p w14:paraId="78CF30DB">
            <w:pPr>
              <w:spacing w:line="276"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第4章</w:t>
            </w:r>
          </w:p>
          <w:p w14:paraId="1D09F5C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写话和习作教学设计与案例分析</w:t>
            </w:r>
          </w:p>
        </w:tc>
        <w:tc>
          <w:tcPr>
            <w:tcW w:w="1593" w:type="dxa"/>
            <w:vAlign w:val="center"/>
          </w:tcPr>
          <w:p w14:paraId="54B1EDD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写话教学设计与案例分析</w:t>
            </w:r>
          </w:p>
          <w:p w14:paraId="68B3DD7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习作教学设计与案例分析</w:t>
            </w:r>
          </w:p>
        </w:tc>
        <w:tc>
          <w:tcPr>
            <w:tcW w:w="1242" w:type="dxa"/>
            <w:vAlign w:val="center"/>
          </w:tcPr>
          <w:p w14:paraId="3B37B0A1">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课程目标1课程目标2</w:t>
            </w:r>
          </w:p>
          <w:p w14:paraId="259CBCA5">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课程目标3</w:t>
            </w:r>
          </w:p>
        </w:tc>
        <w:tc>
          <w:tcPr>
            <w:tcW w:w="3361" w:type="dxa"/>
            <w:vAlign w:val="center"/>
          </w:tcPr>
          <w:p w14:paraId="0743E77D">
            <w:pPr>
              <w:numPr>
                <w:ilvl w:val="0"/>
                <w:numId w:val="101"/>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能够熟练设计写话和习作教学</w:t>
            </w:r>
            <w:r>
              <w:rPr>
                <w:rFonts w:hint="eastAsia" w:ascii="宋体" w:hAnsi="宋体" w:eastAsia="宋体" w:cs="Times New Roman"/>
                <w:color w:val="000000"/>
                <w:szCs w:val="21"/>
                <w:lang w:val="en-US" w:eastAsia="zh-CN"/>
              </w:rPr>
              <w:t>方案</w:t>
            </w:r>
            <w:r>
              <w:rPr>
                <w:rFonts w:hint="eastAsia" w:ascii="宋体" w:hAnsi="宋体" w:eastAsia="宋体" w:cs="Times New Roman"/>
                <w:color w:val="000000"/>
                <w:szCs w:val="21"/>
              </w:rPr>
              <w:t>，掌握引导小学生从基础表达到复杂写作的技巧。学会如何激发学生的写作兴趣，提供有效的写作支架，并评估学生的写作发展。</w:t>
            </w:r>
          </w:p>
          <w:p w14:paraId="4491EFFD">
            <w:pPr>
              <w:numPr>
                <w:ilvl w:val="0"/>
                <w:numId w:val="101"/>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通过案例分析，识别并改进教学中的问题，提高写话和习作教学的针对性和趣味性，从而有效提升学生的语言表达和书面写作能力。</w:t>
            </w:r>
          </w:p>
        </w:tc>
        <w:tc>
          <w:tcPr>
            <w:tcW w:w="1307" w:type="dxa"/>
            <w:vAlign w:val="center"/>
          </w:tcPr>
          <w:p w14:paraId="0DC653B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1.多媒体教学</w:t>
            </w:r>
          </w:p>
          <w:p w14:paraId="78B1570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2.案例教学</w:t>
            </w:r>
          </w:p>
          <w:p w14:paraId="76DEAE5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3.小组学习</w:t>
            </w:r>
          </w:p>
        </w:tc>
        <w:tc>
          <w:tcPr>
            <w:tcW w:w="658" w:type="dxa"/>
            <w:vAlign w:val="center"/>
          </w:tcPr>
          <w:p w14:paraId="74526CD0">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25B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DF9389C">
            <w:pPr>
              <w:spacing w:line="276" w:lineRule="auto"/>
              <w:jc w:val="center"/>
              <w:rPr>
                <w:rFonts w:hint="eastAsia" w:ascii="宋体" w:hAnsi="宋体" w:eastAsia="宋体" w:cs="Times New Roman"/>
                <w:color w:val="000000"/>
                <w:szCs w:val="21"/>
              </w:rPr>
            </w:pPr>
          </w:p>
        </w:tc>
        <w:tc>
          <w:tcPr>
            <w:tcW w:w="8161" w:type="dxa"/>
            <w:gridSpan w:val="5"/>
            <w:vAlign w:val="center"/>
          </w:tcPr>
          <w:p w14:paraId="7D6C2046">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在写话与习作教学设计与案例分析过程中学习在习作教学中有效融入思政元素的方法，促进学生形成积极向上的人生观和价值观。</w:t>
            </w:r>
          </w:p>
        </w:tc>
      </w:tr>
      <w:tr w14:paraId="641D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205" w:type="dxa"/>
            <w:vMerge w:val="restart"/>
            <w:vAlign w:val="center"/>
          </w:tcPr>
          <w:p w14:paraId="01771427">
            <w:pPr>
              <w:spacing w:line="276"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第5章</w:t>
            </w:r>
          </w:p>
          <w:p w14:paraId="60498D3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口语交际教学设计与案例分析</w:t>
            </w:r>
          </w:p>
        </w:tc>
        <w:tc>
          <w:tcPr>
            <w:tcW w:w="1593" w:type="dxa"/>
            <w:vAlign w:val="center"/>
          </w:tcPr>
          <w:p w14:paraId="2F4C6F3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口语交际教学设计</w:t>
            </w:r>
          </w:p>
          <w:p w14:paraId="3A15849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口语交际教学案例分析</w:t>
            </w:r>
          </w:p>
        </w:tc>
        <w:tc>
          <w:tcPr>
            <w:tcW w:w="1242" w:type="dxa"/>
            <w:vAlign w:val="center"/>
          </w:tcPr>
          <w:p w14:paraId="23B0DB06">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课程目标1课程目标2</w:t>
            </w:r>
          </w:p>
          <w:p w14:paraId="2ECD1724">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课程目标3</w:t>
            </w:r>
          </w:p>
        </w:tc>
        <w:tc>
          <w:tcPr>
            <w:tcW w:w="3361" w:type="dxa"/>
            <w:vAlign w:val="center"/>
          </w:tcPr>
          <w:p w14:paraId="241AE9B4">
            <w:pPr>
              <w:numPr>
                <w:ilvl w:val="0"/>
                <w:numId w:val="102"/>
              </w:num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掌握口语交际教学的设计原则和方法</w:t>
            </w:r>
            <w:r>
              <w:rPr>
                <w:rFonts w:hint="eastAsia" w:ascii="宋体" w:hAnsi="宋体" w:eastAsia="宋体" w:cs="Times New Roman"/>
                <w:color w:val="000000"/>
                <w:szCs w:val="21"/>
                <w:lang w:eastAsia="zh-CN"/>
              </w:rPr>
              <w:t>。</w:t>
            </w:r>
          </w:p>
          <w:p w14:paraId="0ADA4028">
            <w:pPr>
              <w:numPr>
                <w:ilvl w:val="0"/>
                <w:numId w:val="102"/>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学会通过案例分析评估教学策略的有效性，并提出改进措施。</w:t>
            </w:r>
          </w:p>
        </w:tc>
        <w:tc>
          <w:tcPr>
            <w:tcW w:w="1307" w:type="dxa"/>
            <w:vAlign w:val="center"/>
          </w:tcPr>
          <w:p w14:paraId="1BFF924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1.多媒体教学</w:t>
            </w:r>
          </w:p>
          <w:p w14:paraId="4D144AE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2.案例教学</w:t>
            </w:r>
          </w:p>
          <w:p w14:paraId="0F44605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3.小组学习</w:t>
            </w:r>
          </w:p>
        </w:tc>
        <w:tc>
          <w:tcPr>
            <w:tcW w:w="658" w:type="dxa"/>
            <w:vAlign w:val="center"/>
          </w:tcPr>
          <w:p w14:paraId="7690A633">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0600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CCB99A">
            <w:pPr>
              <w:spacing w:line="276" w:lineRule="auto"/>
              <w:jc w:val="center"/>
              <w:rPr>
                <w:rFonts w:hint="eastAsia" w:ascii="宋体" w:hAnsi="宋体" w:eastAsia="宋体" w:cs="Times New Roman"/>
                <w:color w:val="000000"/>
                <w:szCs w:val="21"/>
              </w:rPr>
            </w:pPr>
          </w:p>
        </w:tc>
        <w:tc>
          <w:tcPr>
            <w:tcW w:w="8161" w:type="dxa"/>
            <w:gridSpan w:val="5"/>
            <w:vAlign w:val="center"/>
          </w:tcPr>
          <w:p w14:paraId="6D6AEE6F">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掌握有效的口语交际教学方法，能够案例分析强化立德树人意识，在教学中引导小学生形成正确的价值观念和社会责任感。</w:t>
            </w:r>
          </w:p>
        </w:tc>
      </w:tr>
    </w:tbl>
    <w:p w14:paraId="41A9CEEB">
      <w:pPr>
        <w:spacing w:line="360" w:lineRule="auto"/>
        <w:jc w:val="left"/>
        <w:rPr>
          <w:rFonts w:ascii="Times New Roman" w:hAnsi="Times New Roman" w:eastAsia="宋体" w:cs="Times New Roman"/>
          <w:sz w:val="24"/>
          <w:szCs w:val="24"/>
        </w:rPr>
      </w:pPr>
    </w:p>
    <w:p w14:paraId="4F3E0B8B">
      <w:pPr>
        <w:spacing w:line="360" w:lineRule="auto"/>
        <w:jc w:val="left"/>
        <w:outlineLvl w:val="0"/>
        <w:rPr>
          <w:rFonts w:ascii="Times New Roman" w:hAnsi="Times New Roman" w:eastAsia="宋体" w:cs="Times New Roman"/>
          <w:sz w:val="24"/>
          <w:szCs w:val="24"/>
        </w:rPr>
      </w:pPr>
      <w:bookmarkStart w:id="3020" w:name="_Toc15961"/>
      <w:bookmarkStart w:id="3021" w:name="_Toc9931"/>
      <w:bookmarkStart w:id="3022" w:name="_Toc9611"/>
      <w:bookmarkStart w:id="3023" w:name="_Toc27124"/>
      <w:bookmarkStart w:id="3024" w:name="_Toc6623"/>
      <w:bookmarkStart w:id="3025" w:name="_Toc4551"/>
      <w:bookmarkStart w:id="3026" w:name="_Toc23352"/>
      <w:r>
        <w:rPr>
          <w:rFonts w:hint="eastAsia" w:ascii="宋体" w:hAnsi="宋体" w:eastAsia="宋体" w:cs="Times New Roman"/>
          <w:b/>
          <w:color w:val="000000"/>
          <w:sz w:val="24"/>
          <w:szCs w:val="24"/>
        </w:rPr>
        <w:t>四、目标评价与成绩评定</w:t>
      </w:r>
      <w:bookmarkEnd w:id="3020"/>
      <w:bookmarkEnd w:id="3021"/>
      <w:bookmarkEnd w:id="3022"/>
      <w:bookmarkEnd w:id="3023"/>
      <w:bookmarkEnd w:id="3024"/>
      <w:bookmarkEnd w:id="3025"/>
      <w:bookmarkEnd w:id="3026"/>
    </w:p>
    <w:p w14:paraId="5FAF8799">
      <w:pPr>
        <w:spacing w:line="360" w:lineRule="auto"/>
        <w:jc w:val="left"/>
        <w:outlineLvl w:val="1"/>
        <w:rPr>
          <w:rFonts w:ascii="Times New Roman" w:hAnsi="Times New Roman" w:eastAsia="宋体" w:cs="Times New Roman"/>
          <w:b/>
          <w:szCs w:val="21"/>
        </w:rPr>
      </w:pPr>
      <w:bookmarkStart w:id="3027" w:name="_Toc4075"/>
      <w:r>
        <w:rPr>
          <w:rFonts w:hint="eastAsia" w:ascii="Times New Roman" w:hAnsi="Times New Roman" w:eastAsia="宋体" w:cs="Times New Roman"/>
          <w:b/>
          <w:szCs w:val="21"/>
        </w:rPr>
        <w:t>（一）课程目标评价方式</w:t>
      </w:r>
      <w:bookmarkEnd w:id="3027"/>
    </w:p>
    <w:p w14:paraId="284F94F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2BBA7C4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937"/>
      </w:tblGrid>
      <w:tr w14:paraId="0719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393C51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2A5060BD">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37" w:type="dxa"/>
            <w:vMerge w:val="restart"/>
            <w:vAlign w:val="center"/>
          </w:tcPr>
          <w:p w14:paraId="07599D2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BED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58F5E98">
            <w:pPr>
              <w:spacing w:line="360" w:lineRule="auto"/>
              <w:jc w:val="center"/>
              <w:rPr>
                <w:rFonts w:hint="eastAsia" w:ascii="宋体" w:hAnsi="宋体" w:eastAsia="宋体" w:cs="Times New Roman"/>
                <w:szCs w:val="21"/>
              </w:rPr>
            </w:pPr>
          </w:p>
        </w:tc>
        <w:tc>
          <w:tcPr>
            <w:tcW w:w="0" w:type="auto"/>
            <w:vAlign w:val="center"/>
          </w:tcPr>
          <w:p w14:paraId="16D4E62C">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492C740">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825BD1A">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课内实践</w:t>
            </w:r>
          </w:p>
        </w:tc>
        <w:tc>
          <w:tcPr>
            <w:tcW w:w="0" w:type="auto"/>
            <w:vAlign w:val="center"/>
          </w:tcPr>
          <w:p w14:paraId="3588A0F9">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937" w:type="dxa"/>
            <w:vMerge w:val="continue"/>
            <w:vAlign w:val="center"/>
          </w:tcPr>
          <w:p w14:paraId="1D6044B2">
            <w:pPr>
              <w:spacing w:line="360" w:lineRule="auto"/>
              <w:jc w:val="center"/>
              <w:rPr>
                <w:rFonts w:hint="eastAsia" w:ascii="宋体" w:hAnsi="宋体" w:eastAsia="宋体" w:cs="Times New Roman"/>
                <w:szCs w:val="21"/>
              </w:rPr>
            </w:pPr>
          </w:p>
        </w:tc>
      </w:tr>
      <w:tr w14:paraId="55A4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6C821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058B6F1">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428FE74D">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1761A7E0">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0183B43A">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937" w:type="dxa"/>
            <w:vAlign w:val="center"/>
          </w:tcPr>
          <w:p w14:paraId="7901DD7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40</w:t>
            </w:r>
          </w:p>
        </w:tc>
      </w:tr>
      <w:tr w14:paraId="78D6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FEB0F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3199039A">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5A6BF529">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0F61B9B6">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7618E14E">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937" w:type="dxa"/>
            <w:vAlign w:val="center"/>
          </w:tcPr>
          <w:p w14:paraId="391F089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40</w:t>
            </w:r>
          </w:p>
        </w:tc>
      </w:tr>
      <w:tr w14:paraId="6D37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599FF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4C646147">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5A581C10">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100BF1F4">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0" w:type="auto"/>
            <w:vAlign w:val="center"/>
          </w:tcPr>
          <w:p w14:paraId="30C24490">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937" w:type="dxa"/>
            <w:vAlign w:val="center"/>
          </w:tcPr>
          <w:p w14:paraId="39345C2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2326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48864E">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40530AD9">
            <w:pPr>
              <w:spacing w:line="360" w:lineRule="auto"/>
              <w:jc w:val="center"/>
              <w:rPr>
                <w:rFonts w:hint="eastAsia" w:ascii="宋体" w:hAnsi="宋体" w:eastAsia="宋体" w:cs="Times New Roman"/>
                <w:szCs w:val="21"/>
              </w:rPr>
            </w:pPr>
          </w:p>
        </w:tc>
        <w:tc>
          <w:tcPr>
            <w:tcW w:w="0" w:type="auto"/>
            <w:vAlign w:val="center"/>
          </w:tcPr>
          <w:p w14:paraId="781CCFE8">
            <w:pPr>
              <w:spacing w:line="360" w:lineRule="auto"/>
              <w:jc w:val="center"/>
              <w:rPr>
                <w:rFonts w:hint="eastAsia" w:ascii="宋体" w:hAnsi="宋体" w:eastAsia="宋体" w:cs="Times New Roman"/>
                <w:szCs w:val="21"/>
              </w:rPr>
            </w:pPr>
          </w:p>
        </w:tc>
        <w:tc>
          <w:tcPr>
            <w:tcW w:w="0" w:type="auto"/>
            <w:vAlign w:val="center"/>
          </w:tcPr>
          <w:p w14:paraId="7F21E056">
            <w:pPr>
              <w:spacing w:line="360" w:lineRule="auto"/>
              <w:jc w:val="center"/>
              <w:rPr>
                <w:rFonts w:hint="eastAsia" w:ascii="宋体" w:hAnsi="宋体" w:eastAsia="宋体" w:cs="Times New Roman"/>
                <w:szCs w:val="21"/>
              </w:rPr>
            </w:pPr>
          </w:p>
        </w:tc>
        <w:tc>
          <w:tcPr>
            <w:tcW w:w="1056" w:type="dxa"/>
            <w:vAlign w:val="center"/>
          </w:tcPr>
          <w:p w14:paraId="405B82FB">
            <w:pPr>
              <w:spacing w:line="360" w:lineRule="auto"/>
              <w:jc w:val="center"/>
              <w:rPr>
                <w:rFonts w:hint="eastAsia" w:ascii="宋体" w:hAnsi="宋体" w:eastAsia="宋体" w:cs="Times New Roman"/>
                <w:szCs w:val="21"/>
              </w:rPr>
            </w:pPr>
          </w:p>
        </w:tc>
        <w:tc>
          <w:tcPr>
            <w:tcW w:w="937" w:type="dxa"/>
            <w:vAlign w:val="center"/>
          </w:tcPr>
          <w:p w14:paraId="370EF2C5">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CBE3ACA">
      <w:pPr>
        <w:spacing w:before="156" w:beforeLines="50" w:line="360" w:lineRule="auto"/>
        <w:jc w:val="left"/>
        <w:outlineLvl w:val="1"/>
        <w:rPr>
          <w:rFonts w:ascii="Times New Roman" w:hAnsi="Times New Roman" w:eastAsia="宋体" w:cs="Times New Roman"/>
          <w:b/>
          <w:szCs w:val="21"/>
        </w:rPr>
      </w:pPr>
      <w:bookmarkStart w:id="3028" w:name="_Toc21570"/>
      <w:r>
        <w:rPr>
          <w:rFonts w:hint="eastAsia" w:ascii="Times New Roman" w:hAnsi="Times New Roman" w:eastAsia="宋体" w:cs="Times New Roman"/>
          <w:b/>
          <w:szCs w:val="21"/>
        </w:rPr>
        <w:t>（二）成绩评定细则</w:t>
      </w:r>
      <w:bookmarkEnd w:id="3028"/>
    </w:p>
    <w:p w14:paraId="26A4FF1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9E649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7156"/>
        <w:gridCol w:w="706"/>
      </w:tblGrid>
      <w:tr w14:paraId="1DDB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676" w:type="dxa"/>
            <w:vAlign w:val="center"/>
          </w:tcPr>
          <w:p w14:paraId="7992E1A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56" w:type="dxa"/>
            <w:vAlign w:val="center"/>
          </w:tcPr>
          <w:p w14:paraId="42518CF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013E72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AE7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6" w:type="dxa"/>
            <w:vAlign w:val="center"/>
          </w:tcPr>
          <w:p w14:paraId="79E11C07">
            <w:pPr>
              <w:rPr>
                <w:rFonts w:ascii="Times New Roman" w:hAnsi="Times New Roman" w:eastAsia="宋体" w:cs="Times New Roman"/>
                <w:szCs w:val="21"/>
              </w:rPr>
            </w:pPr>
            <w:r>
              <w:rPr>
                <w:rFonts w:hint="eastAsia" w:ascii="宋体" w:hAnsi="宋体" w:eastAsia="宋体" w:cs="Times New Roman"/>
                <w:szCs w:val="21"/>
              </w:rPr>
              <w:t>平时作业</w:t>
            </w:r>
          </w:p>
        </w:tc>
        <w:tc>
          <w:tcPr>
            <w:tcW w:w="7156" w:type="dxa"/>
            <w:vAlign w:val="center"/>
          </w:tcPr>
          <w:p w14:paraId="008C0246">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三次阅读教学设计：</w:t>
            </w:r>
          </w:p>
          <w:p w14:paraId="5A9035E7">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en-US" w:eastAsia="zh-CN"/>
              </w:rPr>
              <w:t>普通阅读单元课文教学设计评分标准：</w:t>
            </w:r>
          </w:p>
          <w:p w14:paraId="289ED5C3">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教学目标的明确性和对课程标准的符合度（20%）：目标具体、可衡量，与课程标准紧密对应。</w:t>
            </w:r>
          </w:p>
          <w:p w14:paraId="3DBA76C0">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教学内容的组织逻辑性和覆盖度（20%）：内容逻辑清晰，全面覆盖必要的教学点。</w:t>
            </w:r>
          </w:p>
          <w:p w14:paraId="69CC6C77">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教学方法和活动创新性及学生兴趣激发效果（20%）：方法和活动创新，有效提升学生兴趣。</w:t>
            </w:r>
          </w:p>
          <w:p w14:paraId="0238907E">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学生参与度和互动性的设计质量（20%）：设计促进学生积极参与和有效互动。</w:t>
            </w:r>
          </w:p>
          <w:p w14:paraId="74307609">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评估和反馈机制的明确性和实用性（20%）：评价标准明确，反馈策略实用。</w:t>
            </w:r>
          </w:p>
          <w:p w14:paraId="2F892C19">
            <w:pPr>
              <w:spacing w:line="264" w:lineRule="auto"/>
              <w:jc w:val="left"/>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2.</w:t>
            </w:r>
            <w:r>
              <w:rPr>
                <w:rFonts w:hint="default" w:ascii="Times New Roman" w:hAnsi="Times New Roman" w:eastAsia="宋体" w:cs="Times New Roman"/>
                <w:b/>
                <w:bCs/>
                <w:szCs w:val="21"/>
                <w:lang w:val="en-US" w:eastAsia="zh-CN"/>
              </w:rPr>
              <w:t>阅读策略单元单篇课文教学设计评分标准：</w:t>
            </w:r>
          </w:p>
          <w:p w14:paraId="587C3373">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阅读策略</w:t>
            </w:r>
            <w:r>
              <w:rPr>
                <w:rFonts w:hint="eastAsia" w:ascii="Times New Roman" w:hAnsi="Times New Roman" w:eastAsia="宋体" w:cs="Times New Roman"/>
                <w:szCs w:val="21"/>
                <w:lang w:val="en-US" w:eastAsia="zh-CN"/>
              </w:rPr>
              <w:t>重点突出</w:t>
            </w:r>
            <w:r>
              <w:rPr>
                <w:rFonts w:hint="default" w:ascii="Times New Roman" w:hAnsi="Times New Roman" w:eastAsia="宋体" w:cs="Times New Roman"/>
                <w:szCs w:val="21"/>
                <w:lang w:val="en-US" w:eastAsia="zh-CN"/>
              </w:rPr>
              <w:t>和教学清晰度（25%）：</w:t>
            </w:r>
            <w:r>
              <w:rPr>
                <w:rFonts w:hint="eastAsia" w:ascii="Times New Roman" w:hAnsi="Times New Roman" w:eastAsia="宋体" w:cs="Times New Roman"/>
                <w:szCs w:val="21"/>
                <w:lang w:val="en-US" w:eastAsia="zh-CN"/>
              </w:rPr>
              <w:t>紧扣阅读</w:t>
            </w:r>
            <w:r>
              <w:rPr>
                <w:rFonts w:hint="default" w:ascii="Times New Roman" w:hAnsi="Times New Roman" w:eastAsia="宋体" w:cs="Times New Roman"/>
                <w:szCs w:val="21"/>
                <w:lang w:val="en-US" w:eastAsia="zh-CN"/>
              </w:rPr>
              <w:t>策略</w:t>
            </w:r>
            <w:r>
              <w:rPr>
                <w:rFonts w:hint="eastAsia" w:ascii="Times New Roman" w:hAnsi="Times New Roman" w:eastAsia="宋体" w:cs="Times New Roman"/>
                <w:szCs w:val="21"/>
                <w:lang w:val="en-US" w:eastAsia="zh-CN"/>
              </w:rPr>
              <w:t>目标</w:t>
            </w:r>
            <w:r>
              <w:rPr>
                <w:rFonts w:hint="default" w:ascii="Times New Roman" w:hAnsi="Times New Roman" w:eastAsia="宋体" w:cs="Times New Roman"/>
                <w:szCs w:val="21"/>
                <w:lang w:val="en-US" w:eastAsia="zh-CN"/>
              </w:rPr>
              <w:t>和</w:t>
            </w:r>
            <w:r>
              <w:rPr>
                <w:rFonts w:hint="eastAsia" w:ascii="Times New Roman" w:hAnsi="Times New Roman" w:eastAsia="宋体" w:cs="Times New Roman"/>
                <w:szCs w:val="21"/>
                <w:lang w:val="en-US" w:eastAsia="zh-CN"/>
              </w:rPr>
              <w:t>学情</w:t>
            </w:r>
            <w:r>
              <w:rPr>
                <w:rFonts w:hint="default" w:ascii="Times New Roman" w:hAnsi="Times New Roman" w:eastAsia="宋体" w:cs="Times New Roman"/>
                <w:szCs w:val="21"/>
                <w:lang w:val="en-US" w:eastAsia="zh-CN"/>
              </w:rPr>
              <w:t>，教学步骤清晰。</w:t>
            </w:r>
          </w:p>
          <w:p w14:paraId="017D13E5">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实施步骤详细性和可操作性（25%）：步骤详细，易于实施。</w:t>
            </w:r>
          </w:p>
          <w:p w14:paraId="48DBEAAF">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学生参与和实践机会的提供程度（20%）：学生有充分机会实践和应用阅读策略。</w:t>
            </w:r>
          </w:p>
          <w:p w14:paraId="02A68209">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教学材料和资源的利用效率（15%）：材料和资源得到高效利用。</w:t>
            </w:r>
          </w:p>
          <w:p w14:paraId="35D65ED1">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评估方法的合理性和有效性（15%）：评估方法准确反映学生对策略的掌握。</w:t>
            </w:r>
          </w:p>
          <w:p w14:paraId="217B708A">
            <w:pPr>
              <w:spacing w:line="264" w:lineRule="auto"/>
              <w:jc w:val="left"/>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3.</w:t>
            </w:r>
            <w:r>
              <w:rPr>
                <w:rFonts w:hint="default" w:ascii="Times New Roman" w:hAnsi="Times New Roman" w:eastAsia="宋体" w:cs="Times New Roman"/>
                <w:b/>
                <w:bCs/>
                <w:szCs w:val="21"/>
                <w:lang w:val="en-US" w:eastAsia="zh-CN"/>
              </w:rPr>
              <w:t>习作单元单篇课文教学设计评分标准：</w:t>
            </w:r>
          </w:p>
          <w:p w14:paraId="6B4D451B">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教学目标的相关性和实现可能性（25%）：</w:t>
            </w:r>
            <w:r>
              <w:rPr>
                <w:rFonts w:hint="eastAsia" w:ascii="Times New Roman" w:hAnsi="Times New Roman" w:eastAsia="宋体" w:cs="Times New Roman"/>
                <w:szCs w:val="21"/>
                <w:lang w:val="en-US" w:eastAsia="zh-CN"/>
              </w:rPr>
              <w:t>教学</w:t>
            </w:r>
            <w:r>
              <w:rPr>
                <w:rFonts w:hint="default" w:ascii="Times New Roman" w:hAnsi="Times New Roman" w:eastAsia="宋体" w:cs="Times New Roman"/>
                <w:szCs w:val="21"/>
                <w:lang w:val="en-US" w:eastAsia="zh-CN"/>
              </w:rPr>
              <w:t>目标</w:t>
            </w:r>
            <w:r>
              <w:rPr>
                <w:rFonts w:hint="eastAsia" w:ascii="Times New Roman" w:hAnsi="Times New Roman" w:eastAsia="宋体" w:cs="Times New Roman"/>
                <w:szCs w:val="21"/>
                <w:lang w:val="en-US" w:eastAsia="zh-CN"/>
              </w:rPr>
              <w:t>指向习作方法，</w:t>
            </w:r>
            <w:r>
              <w:rPr>
                <w:rFonts w:hint="default" w:ascii="Times New Roman" w:hAnsi="Times New Roman" w:eastAsia="宋体" w:cs="Times New Roman"/>
                <w:szCs w:val="21"/>
                <w:lang w:val="en-US" w:eastAsia="zh-CN"/>
              </w:rPr>
              <w:t>与学生</w:t>
            </w:r>
            <w:r>
              <w:rPr>
                <w:rFonts w:hint="eastAsia" w:ascii="Times New Roman" w:hAnsi="Times New Roman" w:eastAsia="宋体" w:cs="Times New Roman"/>
                <w:szCs w:val="21"/>
                <w:lang w:val="en-US" w:eastAsia="zh-CN"/>
              </w:rPr>
              <w:t>习作</w:t>
            </w:r>
            <w:r>
              <w:rPr>
                <w:rFonts w:hint="default" w:ascii="Times New Roman" w:hAnsi="Times New Roman" w:eastAsia="宋体" w:cs="Times New Roman"/>
                <w:szCs w:val="21"/>
                <w:lang w:val="en-US" w:eastAsia="zh-CN"/>
              </w:rPr>
              <w:t>能力发展紧密相关，切实可行。</w:t>
            </w:r>
          </w:p>
          <w:p w14:paraId="71B8669B">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过程的指导和支持力度（25%）：教学设计提供清晰的</w:t>
            </w:r>
            <w:r>
              <w:rPr>
                <w:rFonts w:hint="eastAsia" w:ascii="Times New Roman" w:hAnsi="Times New Roman" w:eastAsia="宋体" w:cs="Times New Roman"/>
                <w:szCs w:val="21"/>
                <w:lang w:val="en-US" w:eastAsia="zh-CN"/>
              </w:rPr>
              <w:t>习作</w:t>
            </w:r>
            <w:r>
              <w:rPr>
                <w:rFonts w:hint="default" w:ascii="Times New Roman" w:hAnsi="Times New Roman" w:eastAsia="宋体" w:cs="Times New Roman"/>
                <w:szCs w:val="21"/>
                <w:lang w:val="en-US" w:eastAsia="zh-CN"/>
              </w:rPr>
              <w:t>指导和充分支持。</w:t>
            </w:r>
          </w:p>
          <w:p w14:paraId="5B01FE85">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学生创造力和表达能力的培养效果（20%）：设计有效促进学生创造力和表达。</w:t>
            </w:r>
          </w:p>
          <w:p w14:paraId="178522A0">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反馈和修改机制的实用性和有效性（15%）：反馈和修改策略有助于学生</w:t>
            </w:r>
            <w:r>
              <w:rPr>
                <w:rFonts w:hint="eastAsia" w:ascii="Times New Roman" w:hAnsi="Times New Roman" w:eastAsia="宋体" w:cs="Times New Roman"/>
                <w:szCs w:val="21"/>
                <w:lang w:val="en-US" w:eastAsia="zh-CN"/>
              </w:rPr>
              <w:t>习作</w:t>
            </w:r>
            <w:r>
              <w:rPr>
                <w:rFonts w:hint="default" w:ascii="Times New Roman" w:hAnsi="Times New Roman" w:eastAsia="宋体" w:cs="Times New Roman"/>
                <w:szCs w:val="21"/>
                <w:lang w:val="en-US" w:eastAsia="zh-CN"/>
              </w:rPr>
              <w:t>改进。</w:t>
            </w:r>
          </w:p>
          <w:p w14:paraId="0DBF375F">
            <w:pPr>
              <w:spacing w:line="264" w:lineRule="auto"/>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教学活动和评估的创新性和吸引力（15%）：活动和评估方法新颖，能够吸引学生参与。</w:t>
            </w:r>
          </w:p>
        </w:tc>
        <w:tc>
          <w:tcPr>
            <w:tcW w:w="0" w:type="auto"/>
            <w:vAlign w:val="center"/>
          </w:tcPr>
          <w:p w14:paraId="0AE48CC4">
            <w:pPr>
              <w:jc w:val="center"/>
              <w:rPr>
                <w:rFonts w:ascii="Times New Roman" w:hAnsi="Times New Roman" w:eastAsia="宋体" w:cs="Times New Roman"/>
                <w:szCs w:val="21"/>
              </w:rPr>
            </w:pPr>
          </w:p>
        </w:tc>
      </w:tr>
      <w:tr w14:paraId="5D3C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6" w:type="dxa"/>
            <w:vAlign w:val="center"/>
          </w:tcPr>
          <w:p w14:paraId="2199945E">
            <w:pPr>
              <w:rPr>
                <w:rFonts w:ascii="Times New Roman" w:hAnsi="Times New Roman" w:eastAsia="宋体" w:cs="Times New Roman"/>
                <w:szCs w:val="21"/>
              </w:rPr>
            </w:pPr>
            <w:r>
              <w:rPr>
                <w:rFonts w:hint="eastAsia" w:ascii="宋体" w:hAnsi="宋体" w:eastAsia="宋体" w:cs="Times New Roman"/>
                <w:szCs w:val="21"/>
              </w:rPr>
              <w:t>课堂表现</w:t>
            </w:r>
          </w:p>
        </w:tc>
        <w:tc>
          <w:tcPr>
            <w:tcW w:w="7156" w:type="dxa"/>
            <w:vAlign w:val="center"/>
          </w:tcPr>
          <w:p w14:paraId="45A473D4">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rPr>
              <w:t>出勤情况（30%）：</w:t>
            </w:r>
          </w:p>
          <w:p w14:paraId="79F5CF6F">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准时出席每次课程，无迟到、早退现象。</w:t>
            </w:r>
          </w:p>
          <w:p w14:paraId="607DDEBC">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缺勤次数极少，病假和事假有正当理由并提前告知。</w:t>
            </w:r>
          </w:p>
          <w:p w14:paraId="603B91FE">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课堂参与讨论（25%）：</w:t>
            </w:r>
          </w:p>
          <w:p w14:paraId="64C4B0C7">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在课堂上积极参与讨论，展现出对课程内容的理解和思考。</w:t>
            </w:r>
          </w:p>
          <w:p w14:paraId="0654AFEF">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能够提出有深度的问题或见解，促进课堂交流。</w:t>
            </w:r>
          </w:p>
          <w:p w14:paraId="7C14E8E1">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参与提问情况（20%）：</w:t>
            </w:r>
          </w:p>
          <w:p w14:paraId="6C6EC31E">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主动提出问题，表现出对教学内容的深入探究和好奇心。</w:t>
            </w:r>
          </w:p>
          <w:p w14:paraId="171D42BE">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提出的问题具有相关性和建设性，有助于深化课堂讨论。</w:t>
            </w:r>
          </w:p>
          <w:p w14:paraId="5C68AED5">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小组</w:t>
            </w:r>
            <w:r>
              <w:rPr>
                <w:rFonts w:hint="eastAsia" w:ascii="Times New Roman" w:hAnsi="Times New Roman" w:eastAsia="宋体" w:cs="Times New Roman"/>
                <w:szCs w:val="21"/>
                <w:lang w:val="en-US" w:eastAsia="zh-CN"/>
              </w:rPr>
              <w:t>学习</w:t>
            </w:r>
            <w:r>
              <w:rPr>
                <w:rFonts w:hint="eastAsia" w:ascii="Times New Roman" w:hAnsi="Times New Roman" w:eastAsia="宋体" w:cs="Times New Roman"/>
                <w:szCs w:val="21"/>
              </w:rPr>
              <w:t>情况（25%）：</w:t>
            </w:r>
          </w:p>
          <w:p w14:paraId="7C8E9A95">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在小组备课中积极参与，贡献想法和资源。</w:t>
            </w:r>
          </w:p>
          <w:p w14:paraId="1328EBA3">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与小组成员有效合作，共同完成备课任务，展现出团队精神和协作能力。</w:t>
            </w:r>
          </w:p>
          <w:p w14:paraId="4543FE64">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评分细则：</w:t>
            </w:r>
          </w:p>
          <w:p w14:paraId="7F9B7124">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每个类别的评分基于学生在课堂上的具体表现和参与度。</w:t>
            </w:r>
          </w:p>
          <w:p w14:paraId="39D01078">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出勤情况将根据实际出勤记录进行评分。</w:t>
            </w:r>
          </w:p>
          <w:p w14:paraId="1A4212DB">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课堂参与讨论和提问情况将根据学生的主动性、问题的质量以及对课堂讨论的贡献进行评分。</w:t>
            </w:r>
          </w:p>
          <w:p w14:paraId="46B9902F">
            <w:pPr>
              <w:widowControl/>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小组</w:t>
            </w:r>
            <w:r>
              <w:rPr>
                <w:rFonts w:hint="eastAsia" w:ascii="Times New Roman" w:hAnsi="Times New Roman" w:eastAsia="宋体" w:cs="Times New Roman"/>
                <w:szCs w:val="21"/>
                <w:lang w:val="en-US" w:eastAsia="zh-CN"/>
              </w:rPr>
              <w:t>学习</w:t>
            </w:r>
            <w:r>
              <w:rPr>
                <w:rFonts w:hint="eastAsia" w:ascii="Times New Roman" w:hAnsi="Times New Roman" w:eastAsia="宋体" w:cs="Times New Roman"/>
                <w:szCs w:val="21"/>
              </w:rPr>
              <w:t>情况将根据学生在小组中的角色、参与度和小组最终表现进行评分。</w:t>
            </w:r>
          </w:p>
          <w:p w14:paraId="2DEBA9DC">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教师将根据这些标准，结合学生的实际表现，给出综合评分。</w:t>
            </w:r>
          </w:p>
        </w:tc>
        <w:tc>
          <w:tcPr>
            <w:tcW w:w="0" w:type="auto"/>
            <w:vAlign w:val="center"/>
          </w:tcPr>
          <w:p w14:paraId="370102F0">
            <w:pPr>
              <w:jc w:val="center"/>
              <w:rPr>
                <w:rFonts w:ascii="Times New Roman" w:hAnsi="Times New Roman" w:eastAsia="宋体" w:cs="Times New Roman"/>
                <w:szCs w:val="21"/>
              </w:rPr>
            </w:pPr>
          </w:p>
        </w:tc>
      </w:tr>
      <w:tr w14:paraId="63E1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6" w:type="dxa"/>
            <w:vAlign w:val="center"/>
          </w:tcPr>
          <w:p w14:paraId="16DA7552">
            <w:pPr>
              <w:rPr>
                <w:rFonts w:ascii="Times New Roman" w:hAnsi="Times New Roman" w:eastAsia="宋体" w:cs="Times New Roman"/>
                <w:szCs w:val="21"/>
              </w:rPr>
            </w:pPr>
            <w:r>
              <w:rPr>
                <w:rFonts w:hint="eastAsia" w:ascii="宋体" w:hAnsi="宋体" w:eastAsia="宋体" w:cs="Times New Roman"/>
                <w:szCs w:val="21"/>
                <w:lang w:val="en-US" w:eastAsia="zh-CN"/>
              </w:rPr>
              <w:t>课内实践</w:t>
            </w:r>
          </w:p>
        </w:tc>
        <w:tc>
          <w:tcPr>
            <w:tcW w:w="7156" w:type="dxa"/>
            <w:vAlign w:val="center"/>
          </w:tcPr>
          <w:p w14:paraId="4A6A90B1">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微格教学的教学设计（60%）：</w:t>
            </w:r>
          </w:p>
          <w:p w14:paraId="7F3A3191">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目标明确性与内容适切性（20%）：教学目标具体明确，内容与学生实际水平和学习需求相匹配。</w:t>
            </w:r>
          </w:p>
          <w:p w14:paraId="33E686B2">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设计创新性与教学策略（20%）：教学方法新颖，策略运用得当，能有效促进学生学习。</w:t>
            </w:r>
          </w:p>
          <w:p w14:paraId="079F38E6">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评估与反馈机制（20%）：包含有效的评估工具和反馈方法，以促进学生学习进步。</w:t>
            </w:r>
          </w:p>
          <w:p w14:paraId="694B49A3">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val="en-US" w:eastAsia="zh-CN" w:bidi="ar"/>
              </w:rPr>
              <w:t>2.</w:t>
            </w:r>
            <w:r>
              <w:rPr>
                <w:rFonts w:hint="eastAsia" w:ascii="宋体" w:hAnsi="宋体" w:eastAsia="宋体" w:cs="宋体"/>
                <w:color w:val="000000"/>
                <w:kern w:val="0"/>
                <w:szCs w:val="21"/>
                <w:lang w:bidi="ar"/>
              </w:rPr>
              <w:t>表现力（40%）：</w:t>
            </w:r>
          </w:p>
          <w:p w14:paraId="0B94AFB6">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语言表达清晰度（15%）：语言准确，表达流畅，发音清晰，语速适中。</w:t>
            </w:r>
          </w:p>
          <w:p w14:paraId="0A08927E">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教学互动与课堂管理（15%）：互动自然，能够有效引导学生参与，课堂管理得当。</w:t>
            </w:r>
          </w:p>
          <w:p w14:paraId="05FA2859">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非语言沟通与教态（10%）：肢体语言得体，教态自然，能够吸引和维持学生注意力。</w:t>
            </w:r>
          </w:p>
          <w:p w14:paraId="6CBDACB9">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评分细则：</w:t>
            </w:r>
          </w:p>
          <w:p w14:paraId="06F43CEB">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教学设计的评分基于教案的完整性、创新性以及教学策略的适应性和有效性。</w:t>
            </w:r>
          </w:p>
          <w:p w14:paraId="43FB1000">
            <w:pPr>
              <w:widowControl/>
              <w:spacing w:line="264" w:lineRule="auto"/>
              <w:jc w:val="left"/>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表现力的评分基于教师在模拟教学过程中的语言表达、互动能力、课堂管理和非语言沟通技巧。</w:t>
            </w:r>
          </w:p>
        </w:tc>
        <w:tc>
          <w:tcPr>
            <w:tcW w:w="0" w:type="auto"/>
            <w:vAlign w:val="center"/>
          </w:tcPr>
          <w:p w14:paraId="1FEC3815">
            <w:pPr>
              <w:jc w:val="center"/>
              <w:rPr>
                <w:rFonts w:ascii="Times New Roman" w:hAnsi="Times New Roman" w:eastAsia="宋体" w:cs="Times New Roman"/>
                <w:szCs w:val="21"/>
              </w:rPr>
            </w:pPr>
          </w:p>
        </w:tc>
      </w:tr>
      <w:tr w14:paraId="3EE8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6" w:type="dxa"/>
            <w:vAlign w:val="center"/>
          </w:tcPr>
          <w:p w14:paraId="17742A16">
            <w:pPr>
              <w:rPr>
                <w:rFonts w:ascii="Times New Roman" w:hAnsi="Times New Roman" w:eastAsia="宋体" w:cs="Times New Roman"/>
                <w:szCs w:val="21"/>
              </w:rPr>
            </w:pPr>
            <w:r>
              <w:rPr>
                <w:rFonts w:hint="eastAsia" w:ascii="宋体" w:hAnsi="宋体" w:eastAsia="宋体" w:cs="Times New Roman"/>
                <w:szCs w:val="21"/>
              </w:rPr>
              <w:t>期末考试</w:t>
            </w:r>
          </w:p>
        </w:tc>
        <w:tc>
          <w:tcPr>
            <w:tcW w:w="7156" w:type="dxa"/>
            <w:vAlign w:val="center"/>
          </w:tcPr>
          <w:p w14:paraId="68679E26">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期末教学设计考核评分标准：</w:t>
            </w:r>
            <w:r>
              <w:rPr>
                <w:rFonts w:hint="eastAsia" w:ascii="宋体" w:hAnsi="宋体" w:eastAsia="宋体" w:cs="宋体"/>
                <w:color w:val="000000"/>
                <w:kern w:val="0"/>
                <w:szCs w:val="21"/>
                <w:lang w:val="en-US" w:eastAsia="zh-CN" w:bidi="ar"/>
              </w:rPr>
              <w:t>中高段</w:t>
            </w:r>
            <w:r>
              <w:rPr>
                <w:rFonts w:hint="default" w:ascii="宋体" w:hAnsi="宋体" w:eastAsia="宋体" w:cs="宋体"/>
                <w:color w:val="000000"/>
                <w:kern w:val="0"/>
                <w:szCs w:val="21"/>
                <w:lang w:val="en-US" w:eastAsia="zh-CN" w:bidi="ar"/>
              </w:rPr>
              <w:t>阅读单元单篇课文教学设计</w:t>
            </w:r>
          </w:p>
          <w:p w14:paraId="09DC64CF">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w:t>
            </w:r>
            <w:r>
              <w:rPr>
                <w:rFonts w:hint="default" w:ascii="宋体" w:hAnsi="宋体" w:eastAsia="宋体" w:cs="宋体"/>
                <w:color w:val="000000"/>
                <w:kern w:val="0"/>
                <w:szCs w:val="21"/>
                <w:lang w:val="en-US" w:eastAsia="zh-CN" w:bidi="ar"/>
              </w:rPr>
              <w:t>教学目标设定（20%）：</w:t>
            </w:r>
          </w:p>
          <w:p w14:paraId="63072B18">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目标明确、具体，与五年级学生的认知水平和学习需求相符。</w:t>
            </w:r>
          </w:p>
          <w:p w14:paraId="756D7D73">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目标涵盖</w:t>
            </w:r>
            <w:r>
              <w:rPr>
                <w:rFonts w:hint="eastAsia" w:ascii="宋体" w:hAnsi="宋体" w:eastAsia="宋体" w:cs="宋体"/>
                <w:color w:val="000000"/>
                <w:kern w:val="0"/>
                <w:szCs w:val="21"/>
                <w:lang w:val="en-US" w:eastAsia="zh-CN" w:bidi="ar"/>
              </w:rPr>
              <w:t>核心素养</w:t>
            </w:r>
            <w:r>
              <w:rPr>
                <w:rFonts w:hint="default" w:ascii="宋体" w:hAnsi="宋体" w:eastAsia="宋体" w:cs="宋体"/>
                <w:color w:val="000000"/>
                <w:kern w:val="0"/>
                <w:szCs w:val="21"/>
                <w:lang w:val="en-US" w:eastAsia="zh-CN" w:bidi="ar"/>
              </w:rPr>
              <w:t>多个维度。</w:t>
            </w:r>
          </w:p>
          <w:p w14:paraId="6A413E1C">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2.</w:t>
            </w:r>
            <w:r>
              <w:rPr>
                <w:rFonts w:hint="default" w:ascii="宋体" w:hAnsi="宋体" w:eastAsia="宋体" w:cs="宋体"/>
                <w:color w:val="000000"/>
                <w:kern w:val="0"/>
                <w:szCs w:val="21"/>
                <w:lang w:val="en-US" w:eastAsia="zh-CN" w:bidi="ar"/>
              </w:rPr>
              <w:t>教学内容分析（20%）：</w:t>
            </w:r>
          </w:p>
          <w:p w14:paraId="692441D5">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对课文内容的分析深入，能够准确把握文本的核心思想和教育价值。</w:t>
            </w:r>
          </w:p>
          <w:p w14:paraId="1F2FB085">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教学内容安排合理，重点突出，难点得到有效处理。</w:t>
            </w:r>
          </w:p>
          <w:p w14:paraId="273FC1F9">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3.</w:t>
            </w:r>
            <w:r>
              <w:rPr>
                <w:rFonts w:hint="default" w:ascii="宋体" w:hAnsi="宋体" w:eastAsia="宋体" w:cs="宋体"/>
                <w:color w:val="000000"/>
                <w:kern w:val="0"/>
                <w:szCs w:val="21"/>
                <w:lang w:val="en-US" w:eastAsia="zh-CN" w:bidi="ar"/>
              </w:rPr>
              <w:t>教学策略与方法（20%）：</w:t>
            </w:r>
          </w:p>
          <w:p w14:paraId="43A99C36">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采用的教学策略和方法能够有效促进学生的阅读理解和思维发展。</w:t>
            </w:r>
          </w:p>
          <w:p w14:paraId="6A592B25">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教学活动设计创新，能够激发学生的阅读兴趣和参与度。</w:t>
            </w:r>
          </w:p>
          <w:p w14:paraId="47309FC7">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r>
              <w:rPr>
                <w:rFonts w:hint="default" w:ascii="宋体" w:hAnsi="宋体" w:eastAsia="宋体" w:cs="宋体"/>
                <w:color w:val="000000"/>
                <w:kern w:val="0"/>
                <w:szCs w:val="21"/>
                <w:lang w:val="en-US" w:eastAsia="zh-CN" w:bidi="ar"/>
              </w:rPr>
              <w:t>学生参与度与互动性（15%）：</w:t>
            </w:r>
          </w:p>
          <w:p w14:paraId="5074C8B6">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教学设计中包含多种互动环节，鼓励学生积极参与和表达。</w:t>
            </w:r>
          </w:p>
          <w:p w14:paraId="08E1C620">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考虑不同学习风格的学生，设计多样化的学习活动。</w:t>
            </w:r>
          </w:p>
          <w:p w14:paraId="47E4DC4A">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r>
              <w:rPr>
                <w:rFonts w:hint="default" w:ascii="宋体" w:hAnsi="宋体" w:eastAsia="宋体" w:cs="宋体"/>
                <w:color w:val="000000"/>
                <w:kern w:val="0"/>
                <w:szCs w:val="21"/>
                <w:lang w:val="en-US" w:eastAsia="zh-CN" w:bidi="ar"/>
              </w:rPr>
              <w:t>评估与反馈（15%）：</w:t>
            </w:r>
          </w:p>
          <w:p w14:paraId="6D5F3F8E">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设计包含有效的评估工具和方法，能够全面评价学生的学习成果。</w:t>
            </w:r>
          </w:p>
          <w:p w14:paraId="3C2D7067">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提供明确、及时的反馈，帮助学生理解学习进展和改进方向。</w:t>
            </w:r>
          </w:p>
          <w:p w14:paraId="1B6C91C3">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6.教材分析与学情分析</w:t>
            </w:r>
            <w:r>
              <w:rPr>
                <w:rFonts w:hint="default" w:ascii="宋体" w:hAnsi="宋体" w:eastAsia="宋体" w:cs="宋体"/>
                <w:color w:val="000000"/>
                <w:kern w:val="0"/>
                <w:szCs w:val="21"/>
                <w:lang w:val="en-US" w:eastAsia="zh-CN" w:bidi="ar"/>
              </w:rPr>
              <w:t>（10%）：</w:t>
            </w:r>
          </w:p>
          <w:p w14:paraId="3BBCEA74">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立足单元进行整体分析、单篇课文分析结构完整、内容准确</w:t>
            </w:r>
            <w:r>
              <w:rPr>
                <w:rFonts w:hint="default" w:ascii="宋体" w:hAnsi="宋体" w:eastAsia="宋体" w:cs="宋体"/>
                <w:color w:val="000000"/>
                <w:kern w:val="0"/>
                <w:szCs w:val="21"/>
                <w:lang w:val="en-US" w:eastAsia="zh-CN" w:bidi="ar"/>
              </w:rPr>
              <w:t>。</w:t>
            </w:r>
          </w:p>
          <w:p w14:paraId="09E9F215">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依据学生相关知识基础和生活经验等进行准确分析</w:t>
            </w:r>
            <w:r>
              <w:rPr>
                <w:rFonts w:hint="default" w:ascii="宋体" w:hAnsi="宋体" w:eastAsia="宋体" w:cs="宋体"/>
                <w:color w:val="000000"/>
                <w:kern w:val="0"/>
                <w:szCs w:val="21"/>
                <w:lang w:val="en-US" w:eastAsia="zh-CN" w:bidi="ar"/>
              </w:rPr>
              <w:t>。</w:t>
            </w:r>
          </w:p>
          <w:p w14:paraId="160E089B">
            <w:pPr>
              <w:widowControl/>
              <w:spacing w:line="264" w:lineRule="auto"/>
              <w:jc w:val="left"/>
              <w:rPr>
                <w:rFonts w:hint="default" w:ascii="宋体" w:hAnsi="宋体" w:eastAsia="宋体" w:cs="宋体"/>
                <w:color w:val="000000"/>
                <w:kern w:val="0"/>
                <w:szCs w:val="21"/>
                <w:lang w:val="en-US" w:eastAsia="zh-CN" w:bidi="ar"/>
              </w:rPr>
            </w:pPr>
            <w:r>
              <w:rPr>
                <w:rFonts w:hint="default" w:ascii="宋体" w:hAnsi="宋体" w:eastAsia="宋体" w:cs="宋体"/>
                <w:color w:val="000000"/>
                <w:kern w:val="0"/>
                <w:szCs w:val="21"/>
                <w:lang w:val="en-US" w:eastAsia="zh-CN" w:bidi="ar"/>
              </w:rPr>
              <w:t>教师将根据学生的教学设计文档和可能的教学实践展示，结合上述标准，给出综合评分。</w:t>
            </w:r>
          </w:p>
        </w:tc>
        <w:tc>
          <w:tcPr>
            <w:tcW w:w="0" w:type="auto"/>
            <w:vAlign w:val="center"/>
          </w:tcPr>
          <w:p w14:paraId="479406DF">
            <w:pPr>
              <w:jc w:val="center"/>
              <w:rPr>
                <w:rFonts w:ascii="Times New Roman" w:hAnsi="Times New Roman" w:eastAsia="宋体" w:cs="Times New Roman"/>
                <w:szCs w:val="21"/>
              </w:rPr>
            </w:pPr>
          </w:p>
        </w:tc>
      </w:tr>
      <w:tr w14:paraId="37E8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676" w:type="dxa"/>
            <w:vAlign w:val="center"/>
          </w:tcPr>
          <w:p w14:paraId="2C3E92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56" w:type="dxa"/>
            <w:vAlign w:val="center"/>
          </w:tcPr>
          <w:p w14:paraId="6D4EB352">
            <w:pPr>
              <w:jc w:val="left"/>
              <w:rPr>
                <w:rFonts w:ascii="Times New Roman" w:hAnsi="Times New Roman" w:eastAsia="宋体" w:cs="Times New Roman"/>
                <w:szCs w:val="21"/>
              </w:rPr>
            </w:pPr>
          </w:p>
        </w:tc>
        <w:tc>
          <w:tcPr>
            <w:tcW w:w="0" w:type="auto"/>
            <w:vAlign w:val="center"/>
          </w:tcPr>
          <w:p w14:paraId="548EA383">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B6E7ED3">
      <w:pPr>
        <w:spacing w:line="360" w:lineRule="auto"/>
        <w:jc w:val="left"/>
        <w:outlineLvl w:val="1"/>
        <w:rPr>
          <w:rFonts w:hint="eastAsia" w:ascii="宋体" w:hAnsi="宋体" w:eastAsia="宋体" w:cs="Times New Roman"/>
          <w:b/>
          <w:color w:val="000000"/>
          <w:szCs w:val="21"/>
        </w:rPr>
      </w:pPr>
      <w:bookmarkStart w:id="3029" w:name="_Toc18362"/>
      <w:r>
        <w:rPr>
          <w:rFonts w:hint="eastAsia" w:ascii="宋体" w:hAnsi="宋体" w:eastAsia="宋体" w:cs="Times New Roman"/>
          <w:b/>
          <w:color w:val="000000"/>
          <w:szCs w:val="21"/>
        </w:rPr>
        <w:t>（三）课程目标达成度计算方法</w:t>
      </w:r>
      <w:bookmarkEnd w:id="3029"/>
    </w:p>
    <w:p w14:paraId="349487A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F169317">
      <w:pPr>
        <w:spacing w:before="156" w:beforeLines="50" w:line="360" w:lineRule="auto"/>
        <w:ind w:firstLine="420" w:firstLineChars="200"/>
        <w:jc w:val="left"/>
        <w:rPr>
          <w:rFonts w:ascii="Times New Roman" w:hAnsi="Times New Roman" w:eastAsia="宋体" w:cs="Times New Roman"/>
          <w:b/>
          <w:sz w:val="24"/>
          <w:szCs w:val="24"/>
        </w:rPr>
      </w:pPr>
      <w:r>
        <w:rPr>
          <w:rFonts w:ascii="宋体" w:hAnsi="宋体" w:eastAsia="宋体" w:cs="Times New Roman"/>
          <w:color w:val="000000"/>
          <w:szCs w:val="21"/>
        </w:rPr>
        <w:object>
          <v:shape id="_x0000_i1081"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81" DrawAspect="Content" ObjectID="_1468075781" r:id="rId64">
            <o:LockedField>false</o:LockedField>
          </o:OLEObject>
        </w:object>
      </w: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p>
    <w:p w14:paraId="3CE3A7E2">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19D19C8E">
      <w:pPr>
        <w:spacing w:line="276" w:lineRule="auto"/>
        <w:ind w:firstLine="422" w:firstLineChars="200"/>
        <w:jc w:val="center"/>
        <w:outlineLvl w:val="1"/>
        <w:rPr>
          <w:rFonts w:hint="eastAsia" w:ascii="宋体" w:hAnsi="宋体" w:eastAsia="宋体" w:cs="宋体"/>
          <w:b/>
          <w:bCs/>
          <w:szCs w:val="21"/>
        </w:rPr>
      </w:pPr>
      <w:bookmarkStart w:id="3030" w:name="_Toc20496"/>
      <w:r>
        <w:rPr>
          <w:rFonts w:hint="eastAsia" w:ascii="宋体" w:hAnsi="宋体" w:eastAsia="宋体" w:cs="宋体"/>
          <w:b/>
          <w:bCs/>
          <w:szCs w:val="21"/>
        </w:rPr>
        <w:t>过程学习及考核与思政教育</w:t>
      </w:r>
      <w:bookmarkEnd w:id="303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1364"/>
        <w:gridCol w:w="2536"/>
      </w:tblGrid>
      <w:tr w14:paraId="45C8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0A1DEF36">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395AA3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1364" w:type="dxa"/>
            <w:vAlign w:val="center"/>
          </w:tcPr>
          <w:p w14:paraId="00954E1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2536" w:type="dxa"/>
            <w:vAlign w:val="center"/>
          </w:tcPr>
          <w:p w14:paraId="6DB9D474">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C50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2DF2AFD">
            <w:pPr>
              <w:spacing w:line="276" w:lineRule="auto"/>
              <w:jc w:val="left"/>
              <w:rPr>
                <w:rFonts w:hint="eastAsia" w:ascii="宋体" w:hAnsi="宋体" w:eastAsia="宋体" w:cs="宋体"/>
                <w:szCs w:val="21"/>
              </w:rPr>
            </w:pPr>
            <w:r>
              <w:rPr>
                <w:rFonts w:hint="eastAsia" w:ascii="宋体" w:hAnsi="宋体" w:eastAsia="宋体" w:cs="宋体"/>
                <w:color w:val="000000"/>
                <w:kern w:val="0"/>
                <w:szCs w:val="21"/>
                <w:lang w:val="en-US" w:eastAsia="zh-CN"/>
              </w:rPr>
              <w:t>单元统整教学设计</w:t>
            </w:r>
          </w:p>
        </w:tc>
        <w:tc>
          <w:tcPr>
            <w:tcW w:w="3407" w:type="dxa"/>
            <w:vAlign w:val="center"/>
          </w:tcPr>
          <w:p w14:paraId="09A0E4C0">
            <w:pPr>
              <w:adjustRightInd w:val="0"/>
              <w:snapToGrid w:val="0"/>
              <w:spacing w:line="276" w:lineRule="auto"/>
              <w:rPr>
                <w:rFonts w:hint="default" w:ascii="宋体" w:hAnsi="宋体" w:eastAsia="宋体" w:cs="Times New Roman"/>
                <w:color w:val="000000"/>
                <w:szCs w:val="21"/>
                <w:lang w:val="en-US" w:eastAsia="zh-CN"/>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color w:val="000000"/>
                <w:szCs w:val="21"/>
                <w:lang w:val="en-US" w:eastAsia="zh-CN"/>
              </w:rPr>
              <w:t>以三上第一单元为例，进行单元统整教学设计</w:t>
            </w:r>
          </w:p>
          <w:p w14:paraId="5A3D5EA1">
            <w:pPr>
              <w:spacing w:line="276" w:lineRule="auto"/>
              <w:jc w:val="left"/>
              <w:rPr>
                <w:rFonts w:hint="eastAsia" w:ascii="宋体" w:hAnsi="宋体" w:eastAsia="宋体" w:cs="宋体"/>
                <w:szCs w:val="21"/>
              </w:rPr>
            </w:pPr>
            <w:r>
              <w:rPr>
                <w:rFonts w:hint="eastAsia" w:ascii="宋体" w:hAnsi="宋体" w:eastAsia="宋体" w:cs="Times New Roman"/>
                <w:b/>
                <w:bCs/>
                <w:color w:val="000000"/>
                <w:szCs w:val="21"/>
              </w:rPr>
              <w:t>实践要求：</w:t>
            </w:r>
            <w:r>
              <w:rPr>
                <w:rFonts w:hint="eastAsia" w:ascii="宋体" w:hAnsi="宋体" w:eastAsia="宋体" w:cs="Times New Roman"/>
                <w:color w:val="000000"/>
                <w:szCs w:val="21"/>
                <w:lang w:val="en-US" w:eastAsia="zh-CN"/>
              </w:rPr>
              <w:t>小组汇报：以说课形式汇报；基本内容：单元教材分析、学情分析、单元目标、情境任务设计，单篇课文教学设计。</w:t>
            </w:r>
          </w:p>
        </w:tc>
        <w:tc>
          <w:tcPr>
            <w:tcW w:w="1364" w:type="dxa"/>
            <w:vAlign w:val="center"/>
          </w:tcPr>
          <w:p w14:paraId="3A0F67C2">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小组备课</w:t>
            </w:r>
          </w:p>
        </w:tc>
        <w:tc>
          <w:tcPr>
            <w:tcW w:w="2536" w:type="dxa"/>
            <w:vAlign w:val="center"/>
          </w:tcPr>
          <w:p w14:paraId="4592596F">
            <w:pPr>
              <w:spacing w:line="276" w:lineRule="auto"/>
              <w:jc w:val="left"/>
              <w:rPr>
                <w:rFonts w:hint="eastAsia" w:ascii="宋体" w:hAnsi="宋体" w:eastAsia="宋体" w:cs="宋体"/>
                <w:szCs w:val="21"/>
              </w:rPr>
            </w:pPr>
            <w:r>
              <w:rPr>
                <w:rFonts w:hint="eastAsia" w:ascii="宋体" w:hAnsi="宋体" w:eastAsia="宋体" w:cs="宋体"/>
                <w:szCs w:val="21"/>
              </w:rPr>
              <w:t>学会在单元统整教学设计中融入社会主义核心价值观，通过备课和汇报展示其设计体现</w:t>
            </w:r>
            <w:r>
              <w:rPr>
                <w:rFonts w:hint="eastAsia" w:ascii="宋体" w:hAnsi="宋体" w:eastAsia="宋体" w:cs="宋体"/>
                <w:szCs w:val="21"/>
                <w:lang w:val="en-US" w:eastAsia="zh-CN"/>
              </w:rPr>
              <w:t>小学语文普通阅读单元教学</w:t>
            </w:r>
            <w:r>
              <w:rPr>
                <w:rFonts w:hint="eastAsia" w:ascii="宋体" w:hAnsi="宋体" w:eastAsia="宋体" w:cs="宋体"/>
                <w:szCs w:val="21"/>
              </w:rPr>
              <w:t>目标的教学活动的能力。练习如何在教学中传递正能量，以</w:t>
            </w:r>
            <w:r>
              <w:rPr>
                <w:rFonts w:hint="eastAsia" w:ascii="宋体" w:hAnsi="宋体" w:eastAsia="宋体" w:cs="宋体"/>
                <w:szCs w:val="21"/>
                <w:lang w:val="en-US" w:eastAsia="zh-CN"/>
              </w:rPr>
              <w:t>立德树人</w:t>
            </w:r>
            <w:r>
              <w:rPr>
                <w:rFonts w:hint="eastAsia" w:ascii="宋体" w:hAnsi="宋体" w:eastAsia="宋体" w:cs="宋体"/>
                <w:szCs w:val="21"/>
              </w:rPr>
              <w:t>。</w:t>
            </w:r>
          </w:p>
        </w:tc>
      </w:tr>
      <w:tr w14:paraId="3ECF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44B32FE">
            <w:pPr>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识字、写字教学设计与案例分析</w:t>
            </w:r>
          </w:p>
        </w:tc>
        <w:tc>
          <w:tcPr>
            <w:tcW w:w="3407" w:type="dxa"/>
            <w:vAlign w:val="center"/>
          </w:tcPr>
          <w:p w14:paraId="24B43758">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color w:val="000000"/>
                <w:szCs w:val="21"/>
              </w:rPr>
              <w:t>观摩</w:t>
            </w:r>
            <w:r>
              <w:rPr>
                <w:rFonts w:hint="eastAsia" w:ascii="宋体" w:hAnsi="宋体" w:eastAsia="宋体" w:cs="Times New Roman"/>
                <w:color w:val="000000"/>
                <w:szCs w:val="21"/>
                <w:lang w:val="en-US" w:eastAsia="zh-CN"/>
              </w:rPr>
              <w:t>名师课例</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选择一二年级课文，小组备课，</w:t>
            </w:r>
          </w:p>
          <w:p w14:paraId="4438AE50">
            <w:pPr>
              <w:spacing w:line="276" w:lineRule="auto"/>
              <w:jc w:val="left"/>
              <w:rPr>
                <w:rFonts w:hint="eastAsia" w:ascii="宋体" w:hAnsi="宋体" w:eastAsia="宋体" w:cs="Times New Roman"/>
                <w:b/>
                <w:bCs/>
                <w:szCs w:val="21"/>
              </w:rPr>
            </w:pPr>
            <w:r>
              <w:rPr>
                <w:rFonts w:hint="eastAsia" w:ascii="宋体" w:hAnsi="宋体" w:eastAsia="宋体" w:cs="Times New Roman"/>
                <w:b/>
                <w:bCs/>
                <w:szCs w:val="21"/>
              </w:rPr>
              <w:t>实践要求：</w:t>
            </w:r>
            <w:r>
              <w:rPr>
                <w:rFonts w:hint="eastAsia" w:ascii="宋体" w:hAnsi="宋体" w:eastAsia="宋体" w:cs="Times New Roman"/>
                <w:bCs/>
                <w:szCs w:val="21"/>
              </w:rPr>
              <w:t>每人</w:t>
            </w:r>
            <w:r>
              <w:rPr>
                <w:rFonts w:hint="eastAsia" w:ascii="宋体" w:hAnsi="宋体" w:eastAsia="宋体" w:cs="Times New Roman"/>
                <w:color w:val="000000"/>
                <w:szCs w:val="21"/>
              </w:rPr>
              <w:t>提交一节</w:t>
            </w:r>
            <w:r>
              <w:rPr>
                <w:rFonts w:hint="eastAsia" w:ascii="宋体" w:hAnsi="宋体" w:eastAsia="宋体" w:cs="Times New Roman"/>
                <w:color w:val="000000"/>
                <w:szCs w:val="21"/>
                <w:lang w:val="en-US" w:eastAsia="zh-CN"/>
              </w:rPr>
              <w:t>试讲视频</w:t>
            </w:r>
            <w:r>
              <w:rPr>
                <w:rFonts w:hint="eastAsia" w:ascii="宋体" w:hAnsi="宋体" w:eastAsia="宋体" w:cs="Times New Roman"/>
                <w:color w:val="000000"/>
                <w:szCs w:val="21"/>
              </w:rPr>
              <w:t>，教学</w:t>
            </w:r>
            <w:r>
              <w:rPr>
                <w:rFonts w:hint="eastAsia" w:ascii="宋体" w:hAnsi="宋体" w:eastAsia="宋体" w:cs="宋体"/>
                <w:color w:val="000000"/>
                <w:kern w:val="0"/>
                <w:szCs w:val="21"/>
              </w:rPr>
              <w:t>设计方案</w:t>
            </w:r>
            <w:r>
              <w:rPr>
                <w:rFonts w:ascii="宋体" w:hAnsi="宋体" w:eastAsia="宋体" w:cs="宋体"/>
                <w:color w:val="000000"/>
                <w:kern w:val="0"/>
                <w:szCs w:val="21"/>
              </w:rPr>
              <w:t>。</w:t>
            </w:r>
          </w:p>
        </w:tc>
        <w:tc>
          <w:tcPr>
            <w:tcW w:w="1364" w:type="dxa"/>
            <w:vAlign w:val="center"/>
          </w:tcPr>
          <w:p w14:paraId="4ADF199E">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小组备课</w:t>
            </w:r>
          </w:p>
        </w:tc>
        <w:tc>
          <w:tcPr>
            <w:tcW w:w="2536" w:type="dxa"/>
            <w:vAlign w:val="center"/>
          </w:tcPr>
          <w:p w14:paraId="3FCE1FB3">
            <w:pPr>
              <w:spacing w:line="276" w:lineRule="auto"/>
              <w:jc w:val="left"/>
              <w:rPr>
                <w:rFonts w:hint="eastAsia" w:ascii="宋体" w:hAnsi="宋体" w:eastAsia="宋体" w:cs="宋体"/>
                <w:szCs w:val="21"/>
              </w:rPr>
            </w:pPr>
            <w:r>
              <w:rPr>
                <w:rFonts w:hint="eastAsia" w:ascii="宋体" w:hAnsi="宋体" w:eastAsia="宋体" w:cs="宋体"/>
                <w:szCs w:val="21"/>
                <w:lang w:val="en-US" w:eastAsia="zh-CN"/>
              </w:rPr>
              <w:t>学习将文化自信融入识字写字教学中</w:t>
            </w:r>
            <w:r>
              <w:rPr>
                <w:rFonts w:hint="eastAsia" w:ascii="宋体" w:hAnsi="宋体" w:eastAsia="宋体" w:cs="宋体"/>
                <w:szCs w:val="21"/>
              </w:rPr>
              <w:t>，同时培养自己的教育家精神。</w:t>
            </w:r>
          </w:p>
        </w:tc>
      </w:tr>
      <w:tr w14:paraId="4B46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8927EAC">
            <w:pPr>
              <w:spacing w:line="276" w:lineRule="auto"/>
              <w:jc w:val="left"/>
              <w:rPr>
                <w:rFonts w:hint="eastAsia" w:ascii="宋体" w:hAnsi="宋体" w:eastAsia="宋体" w:cs="宋体"/>
                <w:szCs w:val="21"/>
              </w:rPr>
            </w:pPr>
            <w:r>
              <w:rPr>
                <w:rFonts w:hint="eastAsia" w:ascii="宋体" w:hAnsi="宋体" w:eastAsia="宋体" w:cs="宋体"/>
                <w:color w:val="000000"/>
                <w:kern w:val="0"/>
                <w:szCs w:val="21"/>
              </w:rPr>
              <w:t>阅读教学设计与</w:t>
            </w:r>
            <w:r>
              <w:rPr>
                <w:rFonts w:hint="eastAsia" w:ascii="宋体" w:hAnsi="宋体" w:eastAsia="宋体" w:cs="宋体"/>
                <w:color w:val="000000"/>
                <w:kern w:val="0"/>
                <w:szCs w:val="21"/>
                <w:lang w:val="en-US" w:eastAsia="zh-CN"/>
              </w:rPr>
              <w:t>案例分析</w:t>
            </w:r>
          </w:p>
        </w:tc>
        <w:tc>
          <w:tcPr>
            <w:tcW w:w="3407" w:type="dxa"/>
            <w:vAlign w:val="center"/>
          </w:tcPr>
          <w:p w14:paraId="43ECFAFB">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color w:val="000000"/>
                <w:szCs w:val="21"/>
              </w:rPr>
              <w:t>观摩</w:t>
            </w:r>
            <w:r>
              <w:rPr>
                <w:rFonts w:hint="eastAsia" w:ascii="宋体" w:hAnsi="宋体" w:eastAsia="宋体" w:cs="Times New Roman"/>
                <w:color w:val="000000"/>
                <w:szCs w:val="21"/>
                <w:lang w:val="en-US" w:eastAsia="zh-CN"/>
              </w:rPr>
              <w:t>名师</w:t>
            </w:r>
            <w:r>
              <w:rPr>
                <w:rFonts w:hint="eastAsia" w:ascii="宋体" w:hAnsi="宋体" w:eastAsia="宋体" w:cs="Times New Roman"/>
                <w:color w:val="000000"/>
                <w:szCs w:val="21"/>
              </w:rPr>
              <w:t>阅读课。</w:t>
            </w:r>
            <w:r>
              <w:rPr>
                <w:rFonts w:hint="eastAsia" w:ascii="宋体" w:hAnsi="宋体" w:eastAsia="宋体" w:cs="Times New Roman"/>
                <w:color w:val="000000"/>
                <w:szCs w:val="21"/>
                <w:lang w:val="en-US" w:eastAsia="zh-CN"/>
              </w:rPr>
              <w:t>小组备课，普通阅读单元、阅读策略单元、习作单元，</w:t>
            </w:r>
            <w:r>
              <w:rPr>
                <w:rFonts w:hint="eastAsia" w:ascii="宋体" w:hAnsi="宋体" w:eastAsia="宋体" w:cs="Times New Roman"/>
                <w:color w:val="000000"/>
                <w:szCs w:val="21"/>
              </w:rPr>
              <w:t>每人设计一节阅读课教案，在微格教室</w:t>
            </w:r>
            <w:r>
              <w:rPr>
                <w:rFonts w:ascii="宋体" w:hAnsi="宋体" w:eastAsia="宋体" w:cs="Times New Roman"/>
                <w:color w:val="000000"/>
                <w:szCs w:val="21"/>
              </w:rPr>
              <w:t>完成试讲后评课</w:t>
            </w:r>
            <w:r>
              <w:rPr>
                <w:rFonts w:hint="eastAsia" w:ascii="宋体" w:hAnsi="宋体" w:eastAsia="宋体" w:cs="Times New Roman"/>
                <w:color w:val="000000"/>
                <w:szCs w:val="21"/>
              </w:rPr>
              <w:t>。</w:t>
            </w:r>
          </w:p>
          <w:p w14:paraId="3EB16C9D">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每人</w:t>
            </w:r>
            <w:r>
              <w:rPr>
                <w:rFonts w:hint="eastAsia" w:ascii="宋体" w:hAnsi="宋体" w:eastAsia="宋体" w:cs="Times New Roman"/>
                <w:color w:val="000000"/>
                <w:szCs w:val="21"/>
              </w:rPr>
              <w:t>提交一节</w:t>
            </w:r>
            <w:r>
              <w:rPr>
                <w:rFonts w:hint="eastAsia" w:ascii="宋体" w:hAnsi="宋体" w:eastAsia="宋体" w:cs="Times New Roman"/>
                <w:color w:val="000000"/>
                <w:szCs w:val="21"/>
                <w:lang w:val="en-US" w:eastAsia="zh-CN"/>
              </w:rPr>
              <w:t>试讲</w:t>
            </w:r>
            <w:r>
              <w:rPr>
                <w:rFonts w:ascii="宋体" w:hAnsi="宋体" w:eastAsia="宋体" w:cs="Times New Roman"/>
                <w:color w:val="000000"/>
                <w:szCs w:val="21"/>
              </w:rPr>
              <w:t>教学</w:t>
            </w:r>
            <w:r>
              <w:rPr>
                <w:rFonts w:hint="eastAsia" w:ascii="宋体" w:hAnsi="宋体" w:eastAsia="宋体" w:cs="Times New Roman"/>
                <w:color w:val="000000"/>
                <w:szCs w:val="21"/>
                <w:lang w:val="en-US" w:eastAsia="zh-CN"/>
              </w:rPr>
              <w:t>视频</w:t>
            </w:r>
            <w:r>
              <w:rPr>
                <w:rFonts w:hint="eastAsia" w:ascii="宋体" w:hAnsi="宋体" w:eastAsia="宋体" w:cs="Times New Roman"/>
                <w:color w:val="000000"/>
                <w:szCs w:val="21"/>
              </w:rPr>
              <w:t>，阅读教学</w:t>
            </w:r>
            <w:r>
              <w:rPr>
                <w:rFonts w:hint="eastAsia" w:ascii="宋体" w:hAnsi="宋体" w:eastAsia="宋体" w:cs="宋体"/>
                <w:color w:val="000000"/>
                <w:kern w:val="0"/>
                <w:szCs w:val="21"/>
              </w:rPr>
              <w:t>设计方案</w:t>
            </w:r>
            <w:r>
              <w:rPr>
                <w:rFonts w:ascii="宋体" w:hAnsi="宋体" w:eastAsia="宋体" w:cs="宋体"/>
                <w:color w:val="000000"/>
                <w:kern w:val="0"/>
                <w:szCs w:val="21"/>
              </w:rPr>
              <w:t>。</w:t>
            </w:r>
          </w:p>
        </w:tc>
        <w:tc>
          <w:tcPr>
            <w:tcW w:w="1364" w:type="dxa"/>
            <w:vAlign w:val="center"/>
          </w:tcPr>
          <w:p w14:paraId="7E798095">
            <w:pPr>
              <w:spacing w:line="276"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小组备课</w:t>
            </w:r>
          </w:p>
          <w:p w14:paraId="2CF9FFC1">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微格教学</w:t>
            </w:r>
          </w:p>
        </w:tc>
        <w:tc>
          <w:tcPr>
            <w:tcW w:w="2536" w:type="dxa"/>
            <w:vAlign w:val="center"/>
          </w:tcPr>
          <w:p w14:paraId="2237F527">
            <w:pPr>
              <w:spacing w:line="276" w:lineRule="auto"/>
              <w:jc w:val="left"/>
              <w:rPr>
                <w:rFonts w:hint="eastAsia" w:ascii="宋体" w:hAnsi="宋体" w:eastAsia="宋体" w:cs="宋体"/>
                <w:szCs w:val="21"/>
              </w:rPr>
            </w:pPr>
            <w:r>
              <w:rPr>
                <w:rFonts w:hint="eastAsia" w:ascii="宋体" w:hAnsi="宋体" w:eastAsia="宋体" w:cs="宋体"/>
                <w:szCs w:val="21"/>
              </w:rPr>
              <w:t>学习有效地将思政元素融入语文课堂。练习设计和实施能够提升小学生</w:t>
            </w:r>
            <w:r>
              <w:rPr>
                <w:rFonts w:hint="eastAsia" w:ascii="宋体" w:hAnsi="宋体" w:eastAsia="宋体" w:cs="宋体"/>
                <w:szCs w:val="21"/>
                <w:lang w:val="en-US" w:eastAsia="zh-CN"/>
              </w:rPr>
              <w:t>文化自信</w:t>
            </w:r>
            <w:r>
              <w:rPr>
                <w:rFonts w:hint="eastAsia" w:ascii="宋体" w:hAnsi="宋体" w:eastAsia="宋体" w:cs="宋体"/>
                <w:szCs w:val="21"/>
              </w:rPr>
              <w:t>的教学活动，同时培养自己的教育家精神。</w:t>
            </w:r>
          </w:p>
        </w:tc>
      </w:tr>
      <w:tr w14:paraId="471B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12" w:type="dxa"/>
            <w:vAlign w:val="center"/>
          </w:tcPr>
          <w:p w14:paraId="726DAE9C">
            <w:pPr>
              <w:spacing w:line="276" w:lineRule="auto"/>
              <w:jc w:val="left"/>
              <w:rPr>
                <w:rFonts w:hint="eastAsia" w:ascii="宋体" w:hAnsi="宋体" w:eastAsia="宋体" w:cs="宋体"/>
                <w:szCs w:val="21"/>
              </w:rPr>
            </w:pPr>
            <w:r>
              <w:rPr>
                <w:rFonts w:hint="eastAsia" w:ascii="宋体" w:hAnsi="宋体" w:eastAsia="宋体" w:cs="宋体"/>
                <w:color w:val="000000"/>
                <w:kern w:val="0"/>
                <w:szCs w:val="21"/>
              </w:rPr>
              <w:t>写话和习作教学设计与</w:t>
            </w:r>
            <w:r>
              <w:rPr>
                <w:rFonts w:hint="eastAsia" w:ascii="宋体" w:hAnsi="宋体" w:eastAsia="宋体" w:cs="宋体"/>
                <w:color w:val="000000"/>
                <w:kern w:val="0"/>
                <w:szCs w:val="21"/>
                <w:lang w:val="en-US" w:eastAsia="zh-CN"/>
              </w:rPr>
              <w:t>案例分析</w:t>
            </w:r>
          </w:p>
        </w:tc>
        <w:tc>
          <w:tcPr>
            <w:tcW w:w="3407" w:type="dxa"/>
            <w:vAlign w:val="center"/>
          </w:tcPr>
          <w:p w14:paraId="54DE8802">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color w:val="000000"/>
                <w:szCs w:val="21"/>
              </w:rPr>
              <w:t>观摩</w:t>
            </w:r>
            <w:r>
              <w:rPr>
                <w:rFonts w:hint="eastAsia" w:ascii="宋体" w:hAnsi="宋体" w:eastAsia="宋体" w:cs="Times New Roman"/>
                <w:color w:val="000000"/>
                <w:szCs w:val="21"/>
              </w:rPr>
              <w:t>习作教学。</w:t>
            </w:r>
            <w:r>
              <w:rPr>
                <w:rFonts w:ascii="宋体" w:hAnsi="宋体" w:eastAsia="宋体" w:cs="Times New Roman"/>
                <w:color w:val="000000"/>
                <w:szCs w:val="21"/>
              </w:rPr>
              <w:t>小组</w:t>
            </w:r>
            <w:r>
              <w:rPr>
                <w:rFonts w:hint="eastAsia" w:ascii="宋体" w:hAnsi="宋体" w:eastAsia="宋体" w:cs="Times New Roman"/>
                <w:color w:val="000000"/>
                <w:szCs w:val="21"/>
              </w:rPr>
              <w:t>合作完成</w:t>
            </w:r>
            <w:r>
              <w:rPr>
                <w:rFonts w:ascii="宋体" w:hAnsi="宋体" w:eastAsia="宋体" w:cs="Times New Roman"/>
                <w:color w:val="000000"/>
                <w:szCs w:val="21"/>
              </w:rPr>
              <w:t>习作教学</w:t>
            </w:r>
            <w:r>
              <w:rPr>
                <w:rFonts w:hint="eastAsia" w:ascii="宋体" w:hAnsi="宋体" w:eastAsia="宋体" w:cs="Times New Roman"/>
                <w:color w:val="000000"/>
                <w:szCs w:val="21"/>
                <w:lang w:val="en-US" w:eastAsia="zh-CN"/>
              </w:rPr>
              <w:t>设计。</w:t>
            </w:r>
          </w:p>
          <w:p w14:paraId="108C8108">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小组</w:t>
            </w:r>
            <w:r>
              <w:rPr>
                <w:rFonts w:hint="eastAsia" w:ascii="宋体" w:hAnsi="宋体" w:eastAsia="宋体" w:cs="Times New Roman"/>
                <w:color w:val="000000"/>
                <w:szCs w:val="21"/>
              </w:rPr>
              <w:t>提交教学设计方案</w:t>
            </w:r>
            <w:r>
              <w:rPr>
                <w:rFonts w:ascii="宋体" w:hAnsi="宋体" w:eastAsia="宋体" w:cs="宋体"/>
                <w:color w:val="000000"/>
                <w:kern w:val="0"/>
                <w:szCs w:val="21"/>
              </w:rPr>
              <w:t>。</w:t>
            </w:r>
          </w:p>
        </w:tc>
        <w:tc>
          <w:tcPr>
            <w:tcW w:w="1364" w:type="dxa"/>
            <w:vAlign w:val="center"/>
          </w:tcPr>
          <w:p w14:paraId="64908A0E">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小组备课</w:t>
            </w:r>
          </w:p>
        </w:tc>
        <w:tc>
          <w:tcPr>
            <w:tcW w:w="2536" w:type="dxa"/>
            <w:vAlign w:val="center"/>
          </w:tcPr>
          <w:p w14:paraId="58A90726">
            <w:pPr>
              <w:spacing w:line="276" w:lineRule="auto"/>
              <w:jc w:val="left"/>
              <w:rPr>
                <w:rFonts w:hint="eastAsia" w:ascii="宋体" w:hAnsi="宋体" w:eastAsia="宋体" w:cs="宋体"/>
                <w:szCs w:val="21"/>
              </w:rPr>
            </w:pPr>
            <w:r>
              <w:rPr>
                <w:rFonts w:hint="eastAsia" w:ascii="宋体" w:hAnsi="宋体" w:eastAsia="宋体" w:cs="宋体"/>
                <w:szCs w:val="21"/>
              </w:rPr>
              <w:t>学会在</w:t>
            </w:r>
            <w:r>
              <w:rPr>
                <w:rFonts w:hint="eastAsia" w:ascii="宋体" w:hAnsi="宋体" w:eastAsia="宋体" w:cs="宋体"/>
                <w:szCs w:val="21"/>
                <w:lang w:val="en-US" w:eastAsia="zh-CN"/>
              </w:rPr>
              <w:t>写话与习作</w:t>
            </w:r>
            <w:r>
              <w:rPr>
                <w:rFonts w:hint="eastAsia" w:ascii="宋体" w:hAnsi="宋体" w:eastAsia="宋体" w:cs="宋体"/>
                <w:szCs w:val="21"/>
              </w:rPr>
              <w:t>教学中融入思政元素。练习引导小学生通过写作表达正面价值观，培养社会责任感。</w:t>
            </w:r>
          </w:p>
        </w:tc>
      </w:tr>
      <w:tr w14:paraId="4D48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0313AF9">
            <w:pPr>
              <w:spacing w:line="276" w:lineRule="auto"/>
              <w:jc w:val="left"/>
              <w:rPr>
                <w:rFonts w:hint="eastAsia" w:ascii="宋体" w:hAnsi="宋体" w:eastAsia="宋体" w:cs="宋体"/>
                <w:szCs w:val="21"/>
              </w:rPr>
            </w:pPr>
            <w:r>
              <w:rPr>
                <w:rFonts w:hint="eastAsia" w:ascii="宋体" w:hAnsi="宋体" w:eastAsia="宋体" w:cs="宋体"/>
                <w:color w:val="000000"/>
                <w:kern w:val="0"/>
                <w:szCs w:val="21"/>
                <w:lang w:val="en-US" w:eastAsia="zh-CN"/>
              </w:rPr>
              <w:t>口语交际教学设计与案例分析（选做）</w:t>
            </w:r>
          </w:p>
        </w:tc>
        <w:tc>
          <w:tcPr>
            <w:tcW w:w="3407" w:type="dxa"/>
            <w:vAlign w:val="center"/>
          </w:tcPr>
          <w:p w14:paraId="425FE1C5">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color w:val="000000"/>
                <w:szCs w:val="21"/>
              </w:rPr>
              <w:t>观摩</w:t>
            </w:r>
            <w:r>
              <w:rPr>
                <w:rFonts w:hint="eastAsia" w:ascii="宋体" w:hAnsi="宋体" w:eastAsia="宋体" w:cs="Times New Roman"/>
                <w:color w:val="000000"/>
                <w:szCs w:val="21"/>
                <w:lang w:val="en-US" w:eastAsia="zh-CN"/>
              </w:rPr>
              <w:t>口语交际</w:t>
            </w:r>
            <w:r>
              <w:rPr>
                <w:rFonts w:hint="eastAsia" w:ascii="宋体" w:hAnsi="宋体" w:eastAsia="宋体" w:cs="Times New Roman"/>
                <w:color w:val="000000"/>
                <w:szCs w:val="21"/>
              </w:rPr>
              <w:t>教学。</w:t>
            </w:r>
            <w:r>
              <w:rPr>
                <w:rFonts w:ascii="宋体" w:hAnsi="宋体" w:eastAsia="宋体" w:cs="Times New Roman"/>
                <w:color w:val="000000"/>
                <w:szCs w:val="21"/>
              </w:rPr>
              <w:t>小组</w:t>
            </w:r>
            <w:r>
              <w:rPr>
                <w:rFonts w:hint="eastAsia" w:ascii="宋体" w:hAnsi="宋体" w:eastAsia="宋体" w:cs="Times New Roman"/>
                <w:color w:val="000000"/>
                <w:szCs w:val="21"/>
              </w:rPr>
              <w:t>合作完成</w:t>
            </w:r>
            <w:r>
              <w:rPr>
                <w:rFonts w:ascii="宋体" w:hAnsi="宋体" w:eastAsia="宋体" w:cs="Times New Roman"/>
                <w:color w:val="000000"/>
                <w:szCs w:val="21"/>
              </w:rPr>
              <w:t>教学</w:t>
            </w:r>
            <w:r>
              <w:rPr>
                <w:rFonts w:hint="eastAsia" w:ascii="宋体" w:hAnsi="宋体" w:eastAsia="宋体" w:cs="Times New Roman"/>
                <w:color w:val="000000"/>
                <w:szCs w:val="21"/>
                <w:lang w:val="en-US" w:eastAsia="zh-CN"/>
              </w:rPr>
              <w:t>设计。</w:t>
            </w:r>
          </w:p>
          <w:p w14:paraId="41DE3F42">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小组</w:t>
            </w:r>
            <w:r>
              <w:rPr>
                <w:rFonts w:hint="eastAsia" w:ascii="宋体" w:hAnsi="宋体" w:eastAsia="宋体" w:cs="Times New Roman"/>
                <w:color w:val="000000"/>
                <w:szCs w:val="21"/>
              </w:rPr>
              <w:t>提交教学设计方案</w:t>
            </w:r>
            <w:r>
              <w:rPr>
                <w:rFonts w:ascii="宋体" w:hAnsi="宋体" w:eastAsia="宋体" w:cs="宋体"/>
                <w:color w:val="000000"/>
                <w:kern w:val="0"/>
                <w:szCs w:val="21"/>
              </w:rPr>
              <w:t>。</w:t>
            </w:r>
          </w:p>
        </w:tc>
        <w:tc>
          <w:tcPr>
            <w:tcW w:w="1364" w:type="dxa"/>
            <w:vAlign w:val="center"/>
          </w:tcPr>
          <w:p w14:paraId="0ABC1FFB">
            <w:pPr>
              <w:spacing w:line="276"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小组备课</w:t>
            </w:r>
          </w:p>
        </w:tc>
        <w:tc>
          <w:tcPr>
            <w:tcW w:w="2536" w:type="dxa"/>
            <w:vAlign w:val="center"/>
          </w:tcPr>
          <w:p w14:paraId="747AE4DD">
            <w:pPr>
              <w:spacing w:line="276" w:lineRule="auto"/>
              <w:jc w:val="left"/>
              <w:rPr>
                <w:rFonts w:hint="eastAsia" w:ascii="宋体" w:hAnsi="宋体" w:eastAsia="宋体" w:cs="宋体"/>
                <w:szCs w:val="21"/>
              </w:rPr>
            </w:pPr>
            <w:r>
              <w:rPr>
                <w:rFonts w:hint="eastAsia" w:ascii="宋体" w:hAnsi="宋体" w:eastAsia="宋体" w:cs="宋体"/>
                <w:szCs w:val="21"/>
              </w:rPr>
              <w:t>学习将社会主义核心价值观融入口语教学中。</w:t>
            </w:r>
            <w:r>
              <w:rPr>
                <w:rFonts w:hint="eastAsia" w:ascii="宋体" w:hAnsi="宋体" w:eastAsia="宋体" w:cs="宋体"/>
                <w:szCs w:val="21"/>
                <w:lang w:val="en-US" w:eastAsia="zh-CN"/>
              </w:rPr>
              <w:t>小组</w:t>
            </w:r>
            <w:r>
              <w:rPr>
                <w:rFonts w:hint="eastAsia" w:ascii="宋体" w:hAnsi="宋体" w:eastAsia="宋体" w:cs="宋体"/>
                <w:szCs w:val="21"/>
              </w:rPr>
              <w:t>合作设计促进学生沟通能力和团队精神的教学活动，同时在实践中提升自己的思政教学能力。</w:t>
            </w:r>
          </w:p>
        </w:tc>
      </w:tr>
    </w:tbl>
    <w:p w14:paraId="423B10AC">
      <w:pPr>
        <w:spacing w:line="360" w:lineRule="auto"/>
        <w:ind w:firstLine="551" w:firstLineChars="196"/>
        <w:jc w:val="left"/>
        <w:rPr>
          <w:rFonts w:hint="eastAsia" w:ascii="宋体" w:hAnsi="宋体" w:eastAsia="宋体" w:cs="Times New Roman"/>
          <w:b/>
          <w:color w:val="000000"/>
          <w:sz w:val="28"/>
          <w:szCs w:val="28"/>
        </w:rPr>
      </w:pPr>
    </w:p>
    <w:p w14:paraId="092B541D">
      <w:pPr>
        <w:spacing w:line="360" w:lineRule="auto"/>
        <w:jc w:val="left"/>
        <w:outlineLvl w:val="0"/>
        <w:rPr>
          <w:rFonts w:ascii="Times New Roman" w:hAnsi="Times New Roman" w:eastAsia="宋体" w:cs="Times New Roman"/>
          <w:b/>
          <w:bCs/>
          <w:sz w:val="24"/>
          <w:szCs w:val="24"/>
        </w:rPr>
      </w:pPr>
      <w:bookmarkStart w:id="3031" w:name="_Toc4068"/>
      <w:bookmarkStart w:id="3032" w:name="_Toc25155"/>
      <w:bookmarkStart w:id="3033" w:name="_Toc19205"/>
      <w:bookmarkStart w:id="3034" w:name="_Toc5326"/>
      <w:bookmarkStart w:id="3035" w:name="_Toc24651"/>
      <w:bookmarkStart w:id="3036" w:name="_Toc29533"/>
      <w:bookmarkStart w:id="3037" w:name="_Toc16569"/>
      <w:r>
        <w:rPr>
          <w:rFonts w:hint="eastAsia" w:ascii="宋体" w:hAnsi="宋体" w:eastAsia="宋体" w:cs="Times New Roman"/>
          <w:b/>
          <w:color w:val="000000"/>
          <w:sz w:val="24"/>
          <w:szCs w:val="24"/>
        </w:rPr>
        <w:t>六、有关说明</w:t>
      </w:r>
      <w:bookmarkEnd w:id="3031"/>
      <w:bookmarkEnd w:id="3032"/>
      <w:bookmarkEnd w:id="3033"/>
      <w:bookmarkEnd w:id="3034"/>
      <w:bookmarkEnd w:id="3035"/>
      <w:bookmarkEnd w:id="3036"/>
      <w:bookmarkEnd w:id="3037"/>
    </w:p>
    <w:p w14:paraId="660D8072">
      <w:pPr>
        <w:spacing w:line="360" w:lineRule="auto"/>
        <w:ind w:firstLine="482" w:firstLineChars="200"/>
        <w:outlineLvl w:val="1"/>
        <w:rPr>
          <w:rFonts w:ascii="宋体" w:hAnsi="宋体" w:eastAsia="宋体" w:cs="Times New Roman"/>
          <w:b/>
          <w:sz w:val="24"/>
          <w:szCs w:val="22"/>
        </w:rPr>
      </w:pPr>
      <w:bookmarkStart w:id="3038" w:name="_Toc28600"/>
      <w:r>
        <w:rPr>
          <w:rFonts w:hint="eastAsia" w:ascii="宋体" w:hAnsi="宋体" w:eastAsia="宋体" w:cs="Times New Roman"/>
          <w:b/>
          <w:sz w:val="24"/>
          <w:szCs w:val="22"/>
        </w:rPr>
        <w:t>（一）持续改进</w:t>
      </w:r>
      <w:bookmarkEnd w:id="3038"/>
    </w:p>
    <w:p w14:paraId="38845E93">
      <w:pPr>
        <w:spacing w:line="360" w:lineRule="auto"/>
        <w:ind w:firstLine="480" w:firstLineChars="200"/>
        <w:rPr>
          <w:rFonts w:ascii="宋体" w:hAnsi="宋体" w:eastAsia="宋体" w:cs="Times New Roman"/>
          <w:sz w:val="24"/>
          <w:szCs w:val="22"/>
        </w:rPr>
      </w:pPr>
      <w:r>
        <w:rPr>
          <w:rFonts w:ascii="宋体" w:hAnsi="宋体" w:eastAsia="宋体" w:cs="Times New Roman"/>
          <w:sz w:val="24"/>
          <w:szCs w:val="22"/>
        </w:rPr>
        <w:t>本课程根据学生作业、课堂讨论、模拟教学、说课、平时考核情况和学生、教学督导等</w:t>
      </w:r>
      <w:r>
        <w:rPr>
          <w:rFonts w:hint="eastAsia" w:ascii="宋体" w:hAnsi="宋体" w:eastAsia="宋体" w:cs="Times New Roman"/>
          <w:sz w:val="24"/>
          <w:szCs w:val="22"/>
        </w:rPr>
        <w:t>的</w:t>
      </w:r>
      <w:r>
        <w:rPr>
          <w:rFonts w:ascii="宋体" w:hAnsi="宋体" w:eastAsia="宋体" w:cs="Times New Roman"/>
          <w:sz w:val="24"/>
          <w:szCs w:val="22"/>
        </w:rPr>
        <w:t>反馈，及时对教学中</w:t>
      </w:r>
      <w:r>
        <w:rPr>
          <w:rFonts w:hint="eastAsia" w:ascii="宋体" w:hAnsi="宋体" w:eastAsia="宋体" w:cs="Times New Roman"/>
          <w:sz w:val="24"/>
          <w:szCs w:val="22"/>
        </w:rPr>
        <w:t>的</w:t>
      </w:r>
      <w:r>
        <w:rPr>
          <w:rFonts w:ascii="宋体" w:hAnsi="宋体" w:eastAsia="宋体" w:cs="Times New Roman"/>
          <w:sz w:val="24"/>
          <w:szCs w:val="22"/>
        </w:rPr>
        <w:t>不足之处进行改进，并在下一轮课程教学中</w:t>
      </w:r>
      <w:r>
        <w:rPr>
          <w:rFonts w:hint="eastAsia" w:ascii="宋体" w:hAnsi="宋体" w:eastAsia="宋体" w:cs="Times New Roman"/>
          <w:sz w:val="24"/>
          <w:szCs w:val="22"/>
        </w:rPr>
        <w:t>整改完善</w:t>
      </w:r>
      <w:r>
        <w:rPr>
          <w:rFonts w:ascii="宋体" w:hAnsi="宋体" w:eastAsia="宋体" w:cs="Times New Roman"/>
          <w:sz w:val="24"/>
          <w:szCs w:val="22"/>
        </w:rPr>
        <w:t>，确保相应毕业要求指标点达成。</w:t>
      </w:r>
    </w:p>
    <w:p w14:paraId="53903967">
      <w:pPr>
        <w:spacing w:line="360" w:lineRule="auto"/>
        <w:ind w:firstLine="482" w:firstLineChars="200"/>
        <w:outlineLvl w:val="1"/>
        <w:rPr>
          <w:rFonts w:ascii="宋体" w:hAnsi="宋体" w:eastAsia="宋体" w:cs="Times New Roman"/>
          <w:b/>
          <w:sz w:val="24"/>
          <w:szCs w:val="22"/>
        </w:rPr>
      </w:pPr>
      <w:bookmarkStart w:id="3039" w:name="_Toc27164"/>
      <w:r>
        <w:rPr>
          <w:rFonts w:hint="eastAsia" w:ascii="宋体" w:hAnsi="宋体" w:eastAsia="宋体" w:cs="Times New Roman"/>
          <w:b/>
          <w:sz w:val="24"/>
          <w:szCs w:val="22"/>
        </w:rPr>
        <w:t>（二）</w:t>
      </w:r>
      <w:r>
        <w:rPr>
          <w:rFonts w:ascii="宋体" w:hAnsi="宋体" w:eastAsia="宋体" w:cs="Times New Roman"/>
          <w:b/>
          <w:sz w:val="24"/>
          <w:szCs w:val="22"/>
        </w:rPr>
        <w:t>参考书目及学习资料</w:t>
      </w:r>
      <w:bookmarkEnd w:id="3039"/>
    </w:p>
    <w:p w14:paraId="2873A532">
      <w:pPr>
        <w:spacing w:line="360" w:lineRule="auto"/>
        <w:ind w:firstLine="480" w:firstLineChars="200"/>
        <w:rPr>
          <w:rFonts w:hint="default" w:ascii="宋体" w:hAnsi="宋体" w:eastAsia="宋体" w:cs="Times New Roman"/>
          <w:color w:val="000000"/>
          <w:sz w:val="24"/>
          <w:szCs w:val="22"/>
          <w:lang w:val="en-US" w:eastAsia="zh-CN"/>
        </w:rPr>
      </w:pPr>
      <w:r>
        <w:rPr>
          <w:rFonts w:hint="eastAsia" w:ascii="宋体" w:hAnsi="宋体" w:eastAsia="宋体" w:cs="Times New Roman"/>
          <w:color w:val="000000"/>
          <w:sz w:val="24"/>
          <w:szCs w:val="22"/>
          <w:lang w:val="en-US" w:eastAsia="zh-CN"/>
        </w:rPr>
        <w:t>1.</w:t>
      </w:r>
      <w:r>
        <w:rPr>
          <w:rFonts w:hint="eastAsia" w:ascii="宋体" w:hAnsi="宋体" w:eastAsia="宋体" w:cs="Times New Roman"/>
          <w:sz w:val="24"/>
          <w:szCs w:val="22"/>
          <w:lang w:val="en-US" w:eastAsia="zh-CN"/>
        </w:rPr>
        <w:t>吴忠豪、丁炜主编.小学语文教学设计.</w:t>
      </w:r>
      <w:r>
        <w:rPr>
          <w:rFonts w:hint="eastAsia" w:ascii="宋体" w:hAnsi="宋体" w:eastAsia="宋体" w:cs="Times New Roman"/>
          <w:sz w:val="24"/>
          <w:szCs w:val="22"/>
        </w:rPr>
        <w:t>中国人民大学</w:t>
      </w:r>
      <w:r>
        <w:rPr>
          <w:rFonts w:ascii="宋体" w:hAnsi="宋体" w:eastAsia="宋体" w:cs="Times New Roman"/>
          <w:sz w:val="24"/>
          <w:szCs w:val="22"/>
        </w:rPr>
        <w:t>出版社，</w:t>
      </w:r>
      <w:r>
        <w:rPr>
          <w:rFonts w:ascii="宋体" w:hAnsi="宋体" w:eastAsia="宋体" w:cs="Times New Roman"/>
          <w:kern w:val="0"/>
          <w:sz w:val="24"/>
          <w:szCs w:val="24"/>
        </w:rPr>
        <w:t>20</w:t>
      </w:r>
      <w:r>
        <w:rPr>
          <w:rFonts w:hint="eastAsia" w:ascii="宋体" w:hAnsi="宋体" w:eastAsia="宋体" w:cs="Times New Roman"/>
          <w:kern w:val="0"/>
          <w:sz w:val="24"/>
          <w:szCs w:val="24"/>
          <w:lang w:val="en-US" w:eastAsia="zh-CN"/>
        </w:rPr>
        <w:t>23</w:t>
      </w:r>
      <w:r>
        <w:rPr>
          <w:rFonts w:hint="eastAsia" w:ascii="宋体" w:hAnsi="宋体" w:eastAsia="宋体" w:cs="Times New Roman"/>
          <w:kern w:val="0"/>
          <w:sz w:val="24"/>
          <w:szCs w:val="24"/>
        </w:rPr>
        <w:t>.</w:t>
      </w:r>
    </w:p>
    <w:p w14:paraId="204D0043">
      <w:pPr>
        <w:spacing w:line="360" w:lineRule="auto"/>
        <w:ind w:firstLine="480" w:firstLineChars="200"/>
        <w:rPr>
          <w:rFonts w:ascii="宋体" w:hAnsi="宋体" w:eastAsia="宋体" w:cs="Times New Roman"/>
          <w:color w:val="000000"/>
          <w:sz w:val="24"/>
          <w:szCs w:val="22"/>
        </w:rPr>
      </w:pPr>
      <w:r>
        <w:rPr>
          <w:rFonts w:hint="eastAsia" w:ascii="宋体" w:hAnsi="宋体" w:eastAsia="宋体" w:cs="Times New Roman"/>
          <w:color w:val="000000"/>
          <w:sz w:val="24"/>
          <w:szCs w:val="22"/>
          <w:lang w:val="en-US" w:eastAsia="zh-CN"/>
        </w:rPr>
        <w:t>2.</w:t>
      </w:r>
      <w:r>
        <w:rPr>
          <w:rFonts w:ascii="宋体" w:hAnsi="宋体" w:eastAsia="宋体" w:cs="Times New Roman"/>
          <w:color w:val="000000"/>
          <w:sz w:val="24"/>
          <w:szCs w:val="22"/>
        </w:rPr>
        <w:t>夏家发</w:t>
      </w:r>
      <w:r>
        <w:rPr>
          <w:rFonts w:hint="eastAsia" w:ascii="宋体" w:hAnsi="宋体" w:eastAsia="宋体" w:cs="Times New Roman"/>
          <w:color w:val="000000"/>
          <w:sz w:val="24"/>
          <w:szCs w:val="22"/>
        </w:rPr>
        <w:t>.小学语文教学设计与案例研究.北京：科学出版社，2018.</w:t>
      </w:r>
    </w:p>
    <w:p w14:paraId="6BBABE45">
      <w:pPr>
        <w:spacing w:line="360" w:lineRule="auto"/>
        <w:ind w:firstLine="480" w:firstLineChars="200"/>
        <w:rPr>
          <w:rFonts w:hint="eastAsia" w:ascii="宋体" w:hAnsi="宋体" w:eastAsia="宋体" w:cs="Times New Roman"/>
          <w:color w:val="000000"/>
          <w:sz w:val="24"/>
          <w:szCs w:val="22"/>
        </w:rPr>
      </w:pPr>
      <w:r>
        <w:rPr>
          <w:rFonts w:hint="eastAsia" w:ascii="宋体" w:hAnsi="宋体" w:eastAsia="宋体" w:cs="Times New Roman"/>
          <w:color w:val="000000"/>
          <w:sz w:val="24"/>
          <w:szCs w:val="22"/>
          <w:lang w:val="en-US" w:eastAsia="zh-CN"/>
        </w:rPr>
        <w:t>3.</w:t>
      </w:r>
      <w:r>
        <w:rPr>
          <w:rFonts w:hint="eastAsia" w:ascii="宋体" w:hAnsi="宋体" w:eastAsia="宋体" w:cs="Times New Roman"/>
          <w:color w:val="000000"/>
          <w:sz w:val="24"/>
          <w:szCs w:val="22"/>
        </w:rPr>
        <w:t>汪潮.小学语文部编版教材文本解读及学习设计.福山：福建教育出版社，2017.</w:t>
      </w:r>
    </w:p>
    <w:p w14:paraId="182CFAF0">
      <w:pPr>
        <w:spacing w:line="360" w:lineRule="auto"/>
        <w:ind w:firstLine="480" w:firstLineChars="200"/>
        <w:rPr>
          <w:rFonts w:hint="eastAsia" w:ascii="宋体" w:hAnsi="宋体" w:eastAsia="宋体" w:cs="Times New Roman"/>
          <w:color w:val="000000"/>
          <w:sz w:val="24"/>
          <w:szCs w:val="22"/>
          <w:lang w:val="en-US" w:eastAsia="zh-CN"/>
        </w:rPr>
      </w:pPr>
      <w:r>
        <w:rPr>
          <w:rFonts w:hint="eastAsia" w:ascii="宋体" w:hAnsi="宋体" w:eastAsia="宋体" w:cs="Times New Roman"/>
          <w:color w:val="000000"/>
          <w:sz w:val="24"/>
          <w:szCs w:val="22"/>
          <w:lang w:val="en-US" w:eastAsia="zh-CN"/>
        </w:rPr>
        <w:t>4.孙建龙.小学语文教学案例.中国人民大学出版社，2017年.</w:t>
      </w:r>
    </w:p>
    <w:p w14:paraId="7060F2CA">
      <w:pPr>
        <w:spacing w:line="360" w:lineRule="auto"/>
        <w:ind w:firstLine="480" w:firstLineChars="200"/>
        <w:rPr>
          <w:rFonts w:hint="eastAsia" w:ascii="宋体" w:hAnsi="宋体" w:eastAsia="宋体" w:cs="Times New Roman"/>
          <w:color w:val="000000"/>
          <w:sz w:val="24"/>
          <w:szCs w:val="22"/>
          <w:lang w:val="en-US" w:eastAsia="zh-CN"/>
        </w:rPr>
      </w:pPr>
      <w:r>
        <w:rPr>
          <w:rFonts w:hint="eastAsia" w:ascii="宋体" w:hAnsi="宋体" w:eastAsia="宋体" w:cs="Times New Roman"/>
          <w:color w:val="000000"/>
          <w:sz w:val="24"/>
          <w:szCs w:val="22"/>
          <w:lang w:val="en-US" w:eastAsia="zh-CN"/>
        </w:rPr>
        <w:t>5.罗晓辉.方法与案例 语文经典篇目文本解读.华东师范大学出版社，2022年.</w:t>
      </w:r>
    </w:p>
    <w:p w14:paraId="275B08BB">
      <w:pPr>
        <w:spacing w:line="360" w:lineRule="auto"/>
        <w:ind w:left="1260" w:leftChars="0" w:firstLine="4238" w:firstLineChars="1766"/>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周冬梅</w:t>
      </w:r>
    </w:p>
    <w:p w14:paraId="4FA196E6">
      <w:pPr>
        <w:spacing w:line="360" w:lineRule="auto"/>
        <w:ind w:left="1260" w:leftChars="0" w:firstLine="4238" w:firstLineChars="1766"/>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王健</w:t>
      </w:r>
    </w:p>
    <w:p w14:paraId="7A6F8352">
      <w:pPr>
        <w:spacing w:line="360" w:lineRule="auto"/>
        <w:ind w:left="1260" w:leftChars="0" w:firstLine="4238" w:firstLineChars="1766"/>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张志欣</w:t>
      </w:r>
    </w:p>
    <w:p w14:paraId="211C358A">
      <w:pPr>
        <w:spacing w:line="360" w:lineRule="auto"/>
        <w:ind w:firstLine="5520" w:firstLineChars="2300"/>
        <w:jc w:val="both"/>
        <w:rPr>
          <w:rFonts w:hint="eastAsia" w:ascii="等线" w:hAnsi="等线" w:eastAsia="等线" w:cs="Times New Roman"/>
          <w:szCs w:val="22"/>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p>
    <w:p w14:paraId="04043F9F">
      <w:pPr>
        <w:widowControl/>
        <w:ind w:firstLine="4800" w:firstLineChars="2000"/>
        <w:jc w:val="left"/>
        <w:rPr>
          <w:rFonts w:ascii="宋体" w:hAnsi="宋体" w:eastAsia="宋体" w:cs="Times New Roman"/>
          <w:color w:val="000000"/>
          <w:kern w:val="0"/>
          <w:sz w:val="24"/>
          <w:szCs w:val="21"/>
        </w:rPr>
      </w:pPr>
      <w:r>
        <w:rPr>
          <w:rFonts w:ascii="宋体" w:hAnsi="宋体" w:eastAsia="宋体" w:cs="Times New Roman"/>
          <w:color w:val="000000"/>
          <w:kern w:val="0"/>
          <w:sz w:val="24"/>
          <w:szCs w:val="21"/>
        </w:rPr>
        <w:br w:type="page"/>
      </w:r>
    </w:p>
    <w:p w14:paraId="620E72E9">
      <w:pPr>
        <w:pStyle w:val="2"/>
        <w:bidi w:val="0"/>
        <w:rPr>
          <w:lang w:val="en-US" w:eastAsia="zh-CN"/>
        </w:rPr>
      </w:pPr>
      <w:bookmarkStart w:id="3040" w:name="_Toc4077"/>
      <w:bookmarkStart w:id="3041" w:name="_Toc16487"/>
      <w:bookmarkStart w:id="3042" w:name="_Toc5383"/>
      <w:bookmarkStart w:id="3043" w:name="_Toc24247"/>
      <w:r>
        <w:rPr>
          <w:rFonts w:hint="eastAsia"/>
          <w:lang w:val="en-US" w:eastAsia="zh-CN"/>
        </w:rPr>
        <w:t>《认知实习》课程教学大纲</w:t>
      </w:r>
      <w:bookmarkEnd w:id="3040"/>
      <w:bookmarkEnd w:id="3041"/>
      <w:bookmarkEnd w:id="3042"/>
      <w:bookmarkEnd w:id="3043"/>
    </w:p>
    <w:p w14:paraId="49937010">
      <w:pPr>
        <w:pStyle w:val="2"/>
        <w:bidi w:val="0"/>
        <w:rPr>
          <w:lang w:val="en-US" w:eastAsia="zh-CN"/>
        </w:rPr>
      </w:pPr>
      <w:bookmarkStart w:id="3044" w:name="_Toc5294"/>
      <w:bookmarkStart w:id="3045" w:name="_Toc12171"/>
      <w:bookmarkStart w:id="3046" w:name="_Toc20264"/>
      <w:bookmarkStart w:id="3047" w:name="_Toc19207"/>
      <w:bookmarkStart w:id="3048" w:name="_Toc22042"/>
      <w:bookmarkStart w:id="3049" w:name="_Toc15010"/>
      <w:bookmarkStart w:id="3050" w:name="_Toc1502"/>
      <w:r>
        <w:rPr>
          <w:lang w:val="en-US" w:eastAsia="zh-CN"/>
        </w:rPr>
        <w:t>（</w:t>
      </w:r>
      <w:r>
        <w:rPr>
          <w:rFonts w:hint="eastAsia"/>
          <w:lang w:val="en-US" w:eastAsia="zh-CN"/>
        </w:rPr>
        <w:t>Cognitive Practice</w:t>
      </w:r>
      <w:r>
        <w:rPr>
          <w:lang w:val="en-US" w:eastAsia="zh-CN"/>
        </w:rPr>
        <w:t>）</w:t>
      </w:r>
      <w:bookmarkEnd w:id="3044"/>
      <w:bookmarkEnd w:id="3045"/>
      <w:bookmarkEnd w:id="3046"/>
      <w:bookmarkEnd w:id="3047"/>
      <w:bookmarkEnd w:id="3048"/>
      <w:bookmarkEnd w:id="3049"/>
      <w:bookmarkEnd w:id="3050"/>
    </w:p>
    <w:p w14:paraId="4CE5656F">
      <w:pPr>
        <w:spacing w:line="360" w:lineRule="auto"/>
        <w:jc w:val="center"/>
        <w:rPr>
          <w:rFonts w:ascii="Times New Roman" w:hAnsi="Times New Roman" w:eastAsia="宋体" w:cs="Times New Roman"/>
          <w:bCs/>
          <w:sz w:val="30"/>
          <w:szCs w:val="30"/>
        </w:rPr>
      </w:pPr>
    </w:p>
    <w:p w14:paraId="1659E49C">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认知实习</w:t>
      </w:r>
    </w:p>
    <w:p w14:paraId="2D5FE7E3">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hint="eastAsia" w:ascii="宋体" w:hAnsi="宋体" w:eastAsia="宋体" w:cs="Times New Roman"/>
          <w:kern w:val="0"/>
          <w:sz w:val="24"/>
          <w:szCs w:val="24"/>
          <w14:ligatures w14:val="none"/>
        </w:rPr>
        <w:t>2401066</w:t>
      </w:r>
    </w:p>
    <w:p w14:paraId="627F422D">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不计入总学分</w:t>
      </w:r>
    </w:p>
    <w:p w14:paraId="748E28B9">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两周</w:t>
      </w:r>
    </w:p>
    <w:p w14:paraId="6333B362">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无</w:t>
      </w:r>
    </w:p>
    <w:p w14:paraId="5378083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13F3C7B4">
      <w:pPr>
        <w:spacing w:line="360" w:lineRule="auto"/>
        <w:ind w:firstLine="482" w:firstLineChars="200"/>
        <w:jc w:val="left"/>
        <w:outlineLvl w:val="0"/>
        <w:rPr>
          <w:rFonts w:ascii="Times New Roman" w:hAnsi="Times New Roman" w:eastAsia="宋体" w:cs="Times New Roman"/>
          <w:sz w:val="24"/>
          <w:szCs w:val="24"/>
        </w:rPr>
      </w:pPr>
      <w:bookmarkStart w:id="3051" w:name="_Toc3025"/>
      <w:bookmarkStart w:id="3052" w:name="_Toc23079"/>
      <w:bookmarkStart w:id="3053" w:name="_Toc18449"/>
      <w:bookmarkStart w:id="3054" w:name="_Toc30372"/>
      <w:bookmarkStart w:id="3055" w:name="_Toc6832"/>
      <w:bookmarkStart w:id="3056" w:name="_Toc23502"/>
      <w:bookmarkStart w:id="3057" w:name="_Toc27069"/>
      <w:r>
        <w:rPr>
          <w:rFonts w:hint="eastAsia" w:ascii="Times New Roman" w:hAnsi="Times New Roman" w:eastAsia="宋体" w:cs="Times New Roman"/>
          <w:b/>
          <w:sz w:val="24"/>
          <w:szCs w:val="24"/>
        </w:rPr>
        <w:t>一、课程简介</w:t>
      </w:r>
      <w:bookmarkEnd w:id="3051"/>
      <w:bookmarkEnd w:id="3052"/>
      <w:bookmarkEnd w:id="3053"/>
      <w:bookmarkEnd w:id="3054"/>
      <w:bookmarkEnd w:id="3055"/>
      <w:bookmarkEnd w:id="3056"/>
      <w:bookmarkEnd w:id="3057"/>
    </w:p>
    <w:p w14:paraId="65497B4C">
      <w:pPr>
        <w:spacing w:line="360" w:lineRule="auto"/>
        <w:ind w:firstLine="480" w:firstLineChars="200"/>
        <w:jc w:val="left"/>
        <w:rPr>
          <w:rFonts w:ascii="Times New Roman" w:hAnsi="Times New Roman" w:eastAsia="宋体" w:cs="Times New Roman"/>
          <w:szCs w:val="21"/>
        </w:rPr>
      </w:pPr>
      <w:r>
        <w:rPr>
          <w:rFonts w:hint="eastAsia" w:ascii="Times New Roman" w:hAnsi="Times New Roman" w:eastAsia="宋体" w:cs="Times New Roman"/>
          <w:sz w:val="24"/>
          <w:szCs w:val="24"/>
          <w14:ligatures w14:val="none"/>
        </w:rPr>
        <w:t>《认知实习》是师范类专业重要的实践教学环节。本课程通过名师讲座、</w:t>
      </w:r>
      <w:r>
        <w:rPr>
          <w:rFonts w:hint="eastAsia" w:ascii="Times New Roman" w:hAnsi="Times New Roman" w:eastAsia="宋体" w:cs="Times New Roman"/>
          <w:sz w:val="24"/>
          <w:szCs w:val="24"/>
          <w:lang w:val="en-US" w:eastAsia="zh-CN"/>
          <w14:ligatures w14:val="none"/>
        </w:rPr>
        <w:t>教学基本功训练、教学观摩</w:t>
      </w:r>
      <w:r>
        <w:rPr>
          <w:rFonts w:hint="eastAsia" w:ascii="Times New Roman" w:hAnsi="Times New Roman" w:eastAsia="宋体" w:cs="Times New Roman"/>
          <w:sz w:val="24"/>
          <w:szCs w:val="24"/>
          <w14:ligatures w14:val="none"/>
        </w:rPr>
        <w:t>等活动，旨在帮助学生建立对教育教学工作的初步认知与实践感知，为后续专业课程的学习奠定坚实基础，初步形成教育教学思维与实践能力体系，培养学生对教育事业的热爱与责任感，逐步具备成为一名合格教育工作者的基本素养。</w:t>
      </w:r>
    </w:p>
    <w:p w14:paraId="7D390574">
      <w:pPr>
        <w:spacing w:line="360" w:lineRule="auto"/>
        <w:ind w:firstLine="482" w:firstLineChars="200"/>
        <w:jc w:val="left"/>
        <w:outlineLvl w:val="0"/>
        <w:rPr>
          <w:rFonts w:ascii="Times New Roman" w:hAnsi="Times New Roman" w:eastAsia="宋体" w:cs="Times New Roman"/>
          <w:sz w:val="24"/>
          <w:szCs w:val="24"/>
        </w:rPr>
      </w:pPr>
      <w:bookmarkStart w:id="3058" w:name="_Toc22570"/>
      <w:bookmarkStart w:id="3059" w:name="_Toc9316"/>
      <w:bookmarkStart w:id="3060" w:name="_Toc7277"/>
      <w:bookmarkStart w:id="3061" w:name="_Toc17520"/>
      <w:bookmarkStart w:id="3062" w:name="_Toc1948"/>
      <w:bookmarkStart w:id="3063" w:name="_Toc23361"/>
      <w:bookmarkStart w:id="3064" w:name="_Toc15376"/>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3058"/>
      <w:bookmarkEnd w:id="3059"/>
      <w:bookmarkEnd w:id="3060"/>
      <w:bookmarkEnd w:id="3061"/>
      <w:bookmarkEnd w:id="3062"/>
      <w:bookmarkEnd w:id="3063"/>
      <w:bookmarkEnd w:id="3064"/>
    </w:p>
    <w:p w14:paraId="2081A3C8">
      <w:pPr>
        <w:spacing w:line="360" w:lineRule="auto"/>
        <w:ind w:firstLine="422" w:firstLineChars="200"/>
        <w:outlineLvl w:val="1"/>
        <w:rPr>
          <w:rFonts w:hint="eastAsia" w:ascii="宋体" w:hAnsi="宋体" w:eastAsia="宋体" w:cs="Times New Roman"/>
          <w:b/>
          <w:color w:val="000000"/>
          <w:szCs w:val="21"/>
        </w:rPr>
      </w:pPr>
      <w:bookmarkStart w:id="3065" w:name="_Toc26235"/>
      <w:r>
        <w:rPr>
          <w:rFonts w:hint="eastAsia" w:ascii="宋体" w:hAnsi="宋体" w:eastAsia="宋体" w:cs="Times New Roman"/>
          <w:b/>
          <w:color w:val="000000"/>
          <w:szCs w:val="21"/>
        </w:rPr>
        <w:t>（一）课程具体目标</w:t>
      </w:r>
      <w:bookmarkEnd w:id="3065"/>
    </w:p>
    <w:p w14:paraId="21C1E80C">
      <w:pPr>
        <w:widowControl w:val="0"/>
        <w:autoSpaceDE w:val="0"/>
        <w:autoSpaceDN w:val="0"/>
        <w:adjustRightInd w:val="0"/>
        <w:spacing w:line="360" w:lineRule="auto"/>
        <w:ind w:firstLine="482" w:firstLineChars="200"/>
        <w:jc w:val="left"/>
        <w:rPr>
          <w:rFonts w:ascii="Times New Roman" w:hAnsi="Times New Roman" w:eastAsia="宋体" w:cs="Times New Roman"/>
          <w:kern w:val="2"/>
          <w:sz w:val="24"/>
          <w:szCs w:val="24"/>
          <w:lang w:bidi="ar-SA"/>
        </w:rPr>
      </w:pPr>
      <w:r>
        <w:rPr>
          <w:rFonts w:hint="eastAsia" w:ascii="Times New Roman" w:hAnsi="Times New Roman" w:eastAsia="宋体" w:cs="Times New Roman"/>
          <w:b/>
          <w:sz w:val="24"/>
          <w:szCs w:val="24"/>
          <w14:ligatures w14:val="none"/>
        </w:rPr>
        <w:t>目标</w:t>
      </w:r>
      <w:r>
        <w:rPr>
          <w:rFonts w:ascii="Times New Roman" w:hAnsi="Times New Roman" w:eastAsia="宋体" w:cs="Times New Roman"/>
          <w:b/>
          <w:sz w:val="24"/>
          <w:szCs w:val="24"/>
          <w14:ligatures w14:val="none"/>
        </w:rPr>
        <w:t>1.</w:t>
      </w:r>
      <w:r>
        <w:rPr>
          <w:rFonts w:ascii="Times New Roman" w:hAnsi="Times New Roman" w:eastAsia="宋体" w:cs="Times New Roman"/>
          <w:kern w:val="2"/>
          <w:sz w:val="24"/>
          <w:szCs w:val="24"/>
          <w:lang w:bidi="ar-SA"/>
        </w:rPr>
        <w:t>能够深入理解前沿教育理念、教学方法及职业素养要求，通过名师讲座及教学观摩，积累</w:t>
      </w:r>
      <w:r>
        <w:rPr>
          <w:rFonts w:hint="eastAsia" w:ascii="Times New Roman" w:hAnsi="Times New Roman" w:eastAsia="宋体" w:cs="Times New Roman"/>
          <w:kern w:val="2"/>
          <w:sz w:val="24"/>
          <w:szCs w:val="24"/>
          <w:lang w:val="en-US" w:eastAsia="zh-CN" w:bidi="ar-SA"/>
        </w:rPr>
        <w:t>丰富的</w:t>
      </w:r>
      <w:r>
        <w:rPr>
          <w:rFonts w:ascii="Times New Roman" w:hAnsi="Times New Roman" w:eastAsia="宋体" w:cs="Times New Roman"/>
          <w:kern w:val="2"/>
          <w:sz w:val="24"/>
          <w:szCs w:val="24"/>
          <w:lang w:bidi="ar-SA"/>
        </w:rPr>
        <w:t>教育教学理论知识</w:t>
      </w:r>
      <w:r>
        <w:rPr>
          <w:rFonts w:hint="eastAsia" w:ascii="Times New Roman" w:hAnsi="Times New Roman" w:eastAsia="宋体" w:cs="Times New Roman"/>
          <w:kern w:val="2"/>
          <w:sz w:val="24"/>
          <w:szCs w:val="24"/>
          <w:lang w:val="en-US" w:eastAsia="zh-CN" w:bidi="ar-SA"/>
        </w:rPr>
        <w:t>与案例知识，培养教育教学反思能力</w:t>
      </w:r>
      <w:r>
        <w:rPr>
          <w:rFonts w:ascii="Times New Roman" w:hAnsi="Times New Roman" w:eastAsia="宋体" w:cs="Times New Roman"/>
          <w:kern w:val="2"/>
          <w:sz w:val="24"/>
          <w:szCs w:val="24"/>
          <w:lang w:bidi="ar-SA"/>
        </w:rPr>
        <w:t>。</w:t>
      </w:r>
    </w:p>
    <w:p w14:paraId="6BBE88F2">
      <w:pPr>
        <w:widowControl w:val="0"/>
        <w:autoSpaceDE w:val="0"/>
        <w:autoSpaceDN w:val="0"/>
        <w:adjustRightInd w:val="0"/>
        <w:spacing w:line="360" w:lineRule="auto"/>
        <w:ind w:firstLine="482" w:firstLineChars="200"/>
        <w:jc w:val="left"/>
        <w:rPr>
          <w:rFonts w:ascii="Times New Roman" w:hAnsi="Times New Roman" w:eastAsia="宋体" w:cs="Times New Roman"/>
          <w:kern w:val="2"/>
          <w:sz w:val="24"/>
          <w:szCs w:val="24"/>
          <w:lang w:bidi="ar-SA"/>
        </w:rPr>
      </w:pPr>
      <w:r>
        <w:rPr>
          <w:rFonts w:hint="eastAsia" w:ascii="Times New Roman" w:hAnsi="Times New Roman" w:eastAsia="宋体" w:cs="Times New Roman"/>
          <w:b/>
          <w:sz w:val="24"/>
          <w:szCs w:val="24"/>
          <w14:ligatures w14:val="none"/>
        </w:rPr>
        <w:t>目标2</w:t>
      </w:r>
      <w:r>
        <w:rPr>
          <w:rFonts w:ascii="Times New Roman" w:hAnsi="Times New Roman" w:eastAsia="宋体" w:cs="Times New Roman"/>
          <w:b/>
          <w:sz w:val="24"/>
          <w:szCs w:val="24"/>
          <w14:ligatures w14:val="none"/>
        </w:rPr>
        <w:t>.</w:t>
      </w:r>
      <w:r>
        <w:rPr>
          <w:rFonts w:hint="eastAsia" w:ascii="Times New Roman" w:hAnsi="Times New Roman" w:eastAsia="宋体" w:cs="Times New Roman"/>
          <w:kern w:val="2"/>
          <w:sz w:val="24"/>
          <w:szCs w:val="24"/>
          <w:lang w:val="en-US" w:eastAsia="zh-CN" w:bidi="ar-SA"/>
        </w:rPr>
        <w:t>学习</w:t>
      </w:r>
      <w:r>
        <w:rPr>
          <w:rFonts w:hint="default" w:ascii="Times New Roman" w:hAnsi="Times New Roman" w:eastAsia="宋体" w:cs="Times New Roman"/>
          <w:kern w:val="2"/>
          <w:sz w:val="24"/>
          <w:szCs w:val="24"/>
          <w:lang w:bidi="ar-SA"/>
        </w:rPr>
        <w:t>掌握课堂表达、</w:t>
      </w:r>
      <w:r>
        <w:rPr>
          <w:rFonts w:hint="eastAsia" w:ascii="Times New Roman" w:hAnsi="Times New Roman" w:eastAsia="宋体" w:cs="Times New Roman"/>
          <w:kern w:val="2"/>
          <w:sz w:val="24"/>
          <w:szCs w:val="24"/>
          <w:lang w:val="en-US" w:eastAsia="zh-CN" w:bidi="ar-SA"/>
        </w:rPr>
        <w:t>钢笔字、粉笔字</w:t>
      </w:r>
      <w:r>
        <w:rPr>
          <w:rFonts w:hint="default" w:ascii="Times New Roman" w:hAnsi="Times New Roman" w:eastAsia="宋体" w:cs="Times New Roman"/>
          <w:kern w:val="2"/>
          <w:sz w:val="24"/>
          <w:szCs w:val="24"/>
          <w:lang w:bidi="ar-SA"/>
        </w:rPr>
        <w:t>书写等教学基本功，在教学基本功训练过程中不断打磨自身教学技能。</w:t>
      </w:r>
    </w:p>
    <w:p w14:paraId="3B6DA951">
      <w:pPr>
        <w:widowControl w:val="0"/>
        <w:autoSpaceDE w:val="0"/>
        <w:autoSpaceDN w:val="0"/>
        <w:adjustRightInd w:val="0"/>
        <w:spacing w:line="360" w:lineRule="auto"/>
        <w:ind w:firstLine="482" w:firstLineChars="200"/>
        <w:jc w:val="left"/>
        <w:rPr>
          <w:rFonts w:ascii="Times New Roman" w:hAnsi="Times New Roman" w:eastAsia="宋体" w:cs="Times New Roman"/>
          <w:szCs w:val="21"/>
        </w:rPr>
      </w:pPr>
      <w:r>
        <w:rPr>
          <w:rFonts w:hint="eastAsia" w:ascii="Times New Roman" w:hAnsi="Times New Roman" w:eastAsia="宋体" w:cs="Times New Roman"/>
          <w:b/>
          <w:sz w:val="24"/>
          <w:szCs w:val="24"/>
          <w14:ligatures w14:val="none"/>
        </w:rPr>
        <w:t>目标3</w:t>
      </w:r>
      <w:r>
        <w:rPr>
          <w:rFonts w:ascii="Times New Roman" w:hAnsi="Times New Roman" w:eastAsia="宋体" w:cs="Times New Roman"/>
          <w:b/>
          <w:sz w:val="24"/>
          <w:szCs w:val="24"/>
          <w14:ligatures w14:val="none"/>
        </w:rPr>
        <w:t>.</w:t>
      </w:r>
      <w:r>
        <w:rPr>
          <w:rFonts w:ascii="Times New Roman" w:hAnsi="Times New Roman" w:eastAsia="宋体" w:cs="Times New Roman"/>
          <w:sz w:val="24"/>
          <w:szCs w:val="24"/>
          <w14:ligatures w14:val="none"/>
        </w:rPr>
        <w:t xml:space="preserve"> </w:t>
      </w:r>
      <w:r>
        <w:rPr>
          <w:rFonts w:hint="default" w:ascii="Times New Roman" w:hAnsi="Times New Roman" w:eastAsia="宋体" w:cs="Times New Roman"/>
          <w:kern w:val="2"/>
          <w:sz w:val="24"/>
          <w:szCs w:val="24"/>
          <w:lang w:bidi="ar-SA"/>
        </w:rPr>
        <w:t>建立对教育教学工作的正确认知与情感认同，培养教育教学思维，增强对教育事业的热爱与责任感，塑造积极向上的</w:t>
      </w:r>
      <w:r>
        <w:rPr>
          <w:rFonts w:hint="eastAsia" w:ascii="Times New Roman" w:hAnsi="Times New Roman" w:eastAsia="宋体" w:cs="Times New Roman"/>
          <w:kern w:val="2"/>
          <w:sz w:val="24"/>
          <w:szCs w:val="24"/>
          <w:lang w:val="en-US" w:eastAsia="zh-CN" w:bidi="ar-SA"/>
        </w:rPr>
        <w:t>教师家</w:t>
      </w:r>
      <w:r>
        <w:rPr>
          <w:rFonts w:hint="default" w:ascii="Times New Roman" w:hAnsi="Times New Roman" w:eastAsia="宋体" w:cs="Times New Roman"/>
          <w:kern w:val="2"/>
          <w:sz w:val="24"/>
          <w:szCs w:val="24"/>
          <w:lang w:bidi="ar-SA"/>
        </w:rPr>
        <w:t>精神与道德素养，为投身教育事业做好充分的心理与思想准备。</w:t>
      </w:r>
    </w:p>
    <w:p w14:paraId="6793DC88">
      <w:pPr>
        <w:spacing w:before="156" w:beforeLines="50" w:after="156" w:afterLines="50" w:line="360" w:lineRule="auto"/>
        <w:jc w:val="left"/>
        <w:outlineLvl w:val="1"/>
        <w:rPr>
          <w:rFonts w:ascii="Times New Roman" w:hAnsi="Times New Roman" w:eastAsia="宋体" w:cs="Times New Roman"/>
          <w:b/>
          <w:bCs/>
          <w:szCs w:val="21"/>
        </w:rPr>
      </w:pPr>
      <w:bookmarkStart w:id="3066" w:name="_Toc17269"/>
      <w:r>
        <w:rPr>
          <w:rFonts w:hint="eastAsia" w:ascii="Times New Roman" w:hAnsi="Times New Roman" w:eastAsia="宋体" w:cs="Times New Roman"/>
          <w:b/>
          <w:bCs/>
          <w:szCs w:val="21"/>
        </w:rPr>
        <w:t>（二）课程目标及其对毕业要求指标点的支撑</w:t>
      </w:r>
      <w:bookmarkEnd w:id="3066"/>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9E4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4B540F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44360E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7E6B9E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874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56EA669">
            <w:pPr>
              <w:spacing w:line="276" w:lineRule="auto"/>
              <w:jc w:val="left"/>
              <w:rPr>
                <w:rFonts w:hint="eastAsia" w:ascii="宋体" w:hAnsi="宋体" w:eastAsia="宋体" w:cs="宋体"/>
                <w:sz w:val="21"/>
                <w:szCs w:val="21"/>
              </w:rPr>
            </w:pPr>
            <w:r>
              <w:rPr>
                <w:rFonts w:hint="eastAsia" w:ascii="宋体" w:hAnsi="宋体" w:eastAsia="宋体" w:cs="宋体"/>
                <w:sz w:val="21"/>
                <w:szCs w:val="21"/>
              </w:rPr>
              <w:t>毕业要求1：师德规范</w:t>
            </w:r>
          </w:p>
          <w:p w14:paraId="3E10DCEF">
            <w:pPr>
              <w:spacing w:line="276" w:lineRule="auto"/>
              <w:jc w:val="left"/>
              <w:rPr>
                <w:rFonts w:hint="eastAsia" w:ascii="Times New Roman" w:hAnsi="Times New Roman" w:eastAsia="宋体" w:cs="Times New Roman"/>
                <w:kern w:val="2"/>
                <w:sz w:val="24"/>
                <w:szCs w:val="24"/>
                <w:lang w:bidi="ar-SA"/>
              </w:rPr>
            </w:pPr>
            <w:r>
              <w:rPr>
                <w:rFonts w:hint="eastAsia" w:ascii="宋体" w:hAnsi="宋体" w:eastAsia="宋体" w:cs="Times New Roman"/>
                <w:szCs w:val="21"/>
                <w14:ligatures w14:val="none"/>
              </w:rPr>
              <w:t>毕业要求7</w:t>
            </w:r>
            <w:r>
              <w:rPr>
                <w:rFonts w:hint="eastAsia" w:ascii="宋体" w:hAnsi="宋体" w:eastAsia="宋体" w:cs="Times New Roman"/>
                <w:szCs w:val="21"/>
                <w:lang w:val="en-US" w:eastAsia="zh-CN"/>
                <w14:ligatures w14:val="none"/>
              </w:rPr>
              <w:t>.</w:t>
            </w:r>
            <w:r>
              <w:rPr>
                <w:rFonts w:hint="eastAsia" w:ascii="宋体" w:hAnsi="宋体" w:eastAsia="宋体" w:cs="Times New Roman"/>
                <w:szCs w:val="21"/>
                <w14:ligatures w14:val="none"/>
              </w:rPr>
              <w:t>学会反思</w:t>
            </w:r>
          </w:p>
        </w:tc>
        <w:tc>
          <w:tcPr>
            <w:tcW w:w="5688" w:type="dxa"/>
            <w:vAlign w:val="center"/>
          </w:tcPr>
          <w:p w14:paraId="66AFC5B0">
            <w:pPr>
              <w:spacing w:line="276" w:lineRule="auto"/>
              <w:jc w:val="left"/>
              <w:rPr>
                <w:rFonts w:ascii="Times New Roman" w:hAnsi="Times New Roman" w:eastAsia="宋体" w:cs="Times New Roman"/>
                <w:szCs w:val="21"/>
              </w:rPr>
            </w:pPr>
            <w:r>
              <w:rPr>
                <w:rFonts w:hint="eastAsia" w:ascii="宋体" w:hAnsi="宋体" w:eastAsia="宋体" w:cs="宋体"/>
                <w:kern w:val="0"/>
                <w:sz w:val="21"/>
                <w:szCs w:val="21"/>
              </w:rPr>
              <w:t>指标点</w:t>
            </w:r>
            <w:r>
              <w:rPr>
                <w:rFonts w:hint="eastAsia" w:ascii="宋体" w:hAnsi="宋体" w:eastAsia="宋体" w:cs="宋体"/>
                <w:sz w:val="21"/>
                <w:szCs w:val="21"/>
              </w:rPr>
              <w:t>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2820E667">
            <w:pPr>
              <w:spacing w:line="276" w:lineRule="auto"/>
              <w:jc w:val="left"/>
              <w:rPr>
                <w:rFonts w:ascii="Times New Roman" w:hAnsi="Times New Roman" w:eastAsia="宋体" w:cs="Times New Roman"/>
                <w:szCs w:val="21"/>
              </w:rPr>
            </w:pPr>
          </w:p>
          <w:p w14:paraId="1A33A77F">
            <w:pPr>
              <w:spacing w:line="276"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课程目标1</w:t>
            </w:r>
          </w:p>
        </w:tc>
      </w:tr>
      <w:tr w14:paraId="6367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9CAE778">
            <w:pPr>
              <w:spacing w:line="276" w:lineRule="auto"/>
              <w:jc w:val="left"/>
              <w:rPr>
                <w:rFonts w:ascii="Times New Roman" w:hAnsi="Times New Roman" w:eastAsia="宋体" w:cs="Times New Roman"/>
                <w:szCs w:val="21"/>
              </w:rPr>
            </w:pPr>
            <w:r>
              <w:rPr>
                <w:rFonts w:hint="eastAsia" w:ascii="宋体" w:hAnsi="宋体" w:eastAsia="宋体" w:cs="Times New Roman"/>
                <w:szCs w:val="21"/>
                <w14:ligatures w14:val="none"/>
              </w:rPr>
              <w:t>毕业要求2</w:t>
            </w:r>
            <w:r>
              <w:rPr>
                <w:rFonts w:hint="eastAsia" w:ascii="宋体" w:hAnsi="宋体" w:eastAsia="宋体" w:cs="Times New Roman"/>
                <w:szCs w:val="21"/>
                <w:lang w:val="en-US" w:eastAsia="zh-CN"/>
                <w14:ligatures w14:val="none"/>
              </w:rPr>
              <w:t>.</w:t>
            </w:r>
            <w:r>
              <w:rPr>
                <w:rFonts w:hint="eastAsia" w:ascii="宋体" w:hAnsi="宋体" w:eastAsia="宋体" w:cs="Times New Roman"/>
                <w:szCs w:val="21"/>
                <w14:ligatures w14:val="none"/>
              </w:rPr>
              <w:t>教育情怀</w:t>
            </w:r>
          </w:p>
        </w:tc>
        <w:tc>
          <w:tcPr>
            <w:tcW w:w="5688" w:type="dxa"/>
            <w:vAlign w:val="center"/>
          </w:tcPr>
          <w:p w14:paraId="3890EF58">
            <w:pPr>
              <w:spacing w:line="276" w:lineRule="auto"/>
              <w:jc w:val="left"/>
              <w:rPr>
                <w:rFonts w:ascii="Times New Roman" w:hAnsi="Times New Roman" w:eastAsia="宋体" w:cs="Times New Roman"/>
                <w:szCs w:val="21"/>
              </w:rPr>
            </w:pPr>
            <w:r>
              <w:rPr>
                <w:rFonts w:hint="eastAsia" w:ascii="宋体" w:hAnsi="宋体" w:eastAsia="宋体" w:cs="宋体"/>
                <w:kern w:val="0"/>
                <w:sz w:val="21"/>
                <w:szCs w:val="21"/>
              </w:rPr>
              <w:t>指标点</w:t>
            </w:r>
            <w:r>
              <w:rPr>
                <w:rFonts w:hint="eastAsia" w:ascii="宋体" w:hAnsi="宋体" w:eastAsia="等线" w:cs="宋体"/>
                <w:sz w:val="20"/>
                <w:szCs w:val="20"/>
              </w:rPr>
              <w:t>2-1</w:t>
            </w:r>
            <w:r>
              <w:rPr>
                <w:rFonts w:hint="eastAsia" w:ascii="宋体" w:hAnsi="宋体" w:eastAsia="等线" w:cs="宋体"/>
                <w:sz w:val="20"/>
                <w:szCs w:val="20"/>
                <w:lang w:eastAsia="zh-CN"/>
              </w:rPr>
              <w:t>：</w:t>
            </w:r>
            <w:r>
              <w:rPr>
                <w:rFonts w:hint="eastAsia" w:ascii="宋体" w:hAnsi="宋体" w:eastAsia="宋体" w:cs="Times New Roman"/>
                <w:szCs w:val="21"/>
                <w14:ligatures w14:val="none"/>
              </w:rPr>
              <w:t>【职业认同感强】具有家国情怀，乐于从教，热爱教育事业，具有较高的教师职业认同感，认同教师职业的专业性与意义性。</w:t>
            </w:r>
          </w:p>
        </w:tc>
        <w:tc>
          <w:tcPr>
            <w:tcW w:w="1191" w:type="dxa"/>
            <w:vAlign w:val="center"/>
          </w:tcPr>
          <w:p w14:paraId="23213E3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课程目标2</w:t>
            </w:r>
          </w:p>
        </w:tc>
      </w:tr>
      <w:tr w14:paraId="34C8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7E0AC21">
            <w:pPr>
              <w:spacing w:line="276" w:lineRule="auto"/>
              <w:jc w:val="left"/>
              <w:rPr>
                <w:rFonts w:ascii="Times New Roman" w:hAnsi="Times New Roman" w:eastAsia="宋体" w:cs="Times New Roman"/>
                <w:szCs w:val="21"/>
              </w:rPr>
            </w:pPr>
            <w:r>
              <w:rPr>
                <w:rFonts w:hint="eastAsia" w:ascii="宋体" w:hAnsi="宋体" w:eastAsia="宋体" w:cs="Times New Roman"/>
                <w:szCs w:val="21"/>
                <w14:ligatures w14:val="none"/>
              </w:rPr>
              <w:t>毕业要求2</w:t>
            </w:r>
            <w:r>
              <w:rPr>
                <w:rFonts w:hint="eastAsia" w:ascii="宋体" w:hAnsi="宋体" w:eastAsia="宋体" w:cs="Times New Roman"/>
                <w:szCs w:val="21"/>
                <w:lang w:val="en-US" w:eastAsia="zh-CN"/>
                <w14:ligatures w14:val="none"/>
              </w:rPr>
              <w:t>.</w:t>
            </w:r>
            <w:r>
              <w:rPr>
                <w:rFonts w:hint="eastAsia" w:ascii="宋体" w:hAnsi="宋体" w:eastAsia="宋体" w:cs="Times New Roman"/>
                <w:szCs w:val="21"/>
                <w14:ligatures w14:val="none"/>
              </w:rPr>
              <w:t>教育情怀</w:t>
            </w:r>
          </w:p>
        </w:tc>
        <w:tc>
          <w:tcPr>
            <w:tcW w:w="5688" w:type="dxa"/>
            <w:vAlign w:val="center"/>
          </w:tcPr>
          <w:p w14:paraId="0CE3CEDD">
            <w:pPr>
              <w:spacing w:line="276" w:lineRule="auto"/>
              <w:jc w:val="left"/>
              <w:rPr>
                <w:rFonts w:ascii="Times New Roman" w:hAnsi="Times New Roman" w:eastAsia="宋体" w:cs="Times New Roman"/>
                <w:szCs w:val="21"/>
              </w:rPr>
            </w:pPr>
            <w:r>
              <w:rPr>
                <w:rFonts w:hint="eastAsia" w:ascii="宋体" w:hAnsi="宋体" w:eastAsia="宋体" w:cs="Times New Roman"/>
                <w:szCs w:val="21"/>
                <w14:ligatures w14:val="none"/>
              </w:rPr>
              <w:t>2-2：【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1BD6D5D1">
            <w:pPr>
              <w:spacing w:line="276" w:lineRule="auto"/>
              <w:jc w:val="left"/>
              <w:rPr>
                <w:rFonts w:ascii="Times New Roman" w:hAnsi="Times New Roman" w:eastAsia="宋体" w:cs="Times New Roman"/>
                <w:szCs w:val="21"/>
              </w:rPr>
            </w:pPr>
            <w:r>
              <w:rPr>
                <w:rFonts w:hint="eastAsia" w:ascii="宋体" w:hAnsi="宋体" w:eastAsia="宋体" w:cs="宋体"/>
                <w:color w:val="000000"/>
                <w:szCs w:val="21"/>
                <w14:ligatures w14:val="none"/>
              </w:rPr>
              <w:t>课程目标3</w:t>
            </w:r>
          </w:p>
        </w:tc>
      </w:tr>
    </w:tbl>
    <w:p w14:paraId="37827377">
      <w:pPr>
        <w:spacing w:before="156" w:beforeLines="50" w:line="360" w:lineRule="auto"/>
        <w:ind w:firstLine="422" w:firstLineChars="200"/>
        <w:jc w:val="left"/>
        <w:outlineLvl w:val="1"/>
        <w:rPr>
          <w:rFonts w:hint="eastAsia" w:ascii="宋体" w:hAnsi="宋体" w:eastAsia="宋体" w:cs="Times New Roman"/>
          <w:b/>
          <w:color w:val="000000"/>
          <w:szCs w:val="21"/>
        </w:rPr>
      </w:pPr>
      <w:bookmarkStart w:id="3067" w:name="_Toc17975"/>
      <w:r>
        <w:rPr>
          <w:rFonts w:hint="eastAsia" w:ascii="宋体" w:hAnsi="宋体" w:eastAsia="宋体" w:cs="Times New Roman"/>
          <w:b/>
          <w:color w:val="000000"/>
          <w:szCs w:val="21"/>
        </w:rPr>
        <w:t>（三）课程思政目标</w:t>
      </w:r>
      <w:bookmarkEnd w:id="3067"/>
    </w:p>
    <w:p w14:paraId="22ECCAC4">
      <w:pPr>
        <w:spacing w:line="276" w:lineRule="auto"/>
        <w:ind w:firstLine="420" w:firstLineChars="200"/>
        <w:jc w:val="both"/>
        <w:rPr>
          <w:rFonts w:hint="eastAsia" w:ascii="宋体" w:hAnsi="宋体" w:eastAsia="宋体" w:cs="Times New Roman"/>
          <w:szCs w:val="21"/>
          <w14:ligatures w14:val="none"/>
        </w:rPr>
      </w:pPr>
      <w:r>
        <w:rPr>
          <w:rFonts w:hint="eastAsia" w:ascii="宋体" w:hAnsi="宋体" w:eastAsia="宋体" w:cs="Times New Roman"/>
          <w:szCs w:val="21"/>
          <w14:ligatures w14:val="none"/>
        </w:rPr>
        <w:t>领会教育对国家、民族与个人的意义，激发投身教育使命感，树立长期从教信念，融入教育强国梦，在实习里感悟教育魅力，增强职业认同与归属。在教育教学</w:t>
      </w:r>
      <w:r>
        <w:rPr>
          <w:rFonts w:hint="eastAsia" w:ascii="宋体" w:hAnsi="宋体" w:eastAsia="宋体" w:cs="Times New Roman"/>
          <w:szCs w:val="21"/>
          <w:lang w:val="en-US" w:eastAsia="zh-CN"/>
          <w14:ligatures w14:val="none"/>
        </w:rPr>
        <w:t>观摩和名师讲座</w:t>
      </w:r>
      <w:r>
        <w:rPr>
          <w:rFonts w:hint="eastAsia" w:ascii="宋体" w:hAnsi="宋体" w:eastAsia="宋体" w:cs="Times New Roman"/>
          <w:szCs w:val="21"/>
          <w14:ligatures w14:val="none"/>
        </w:rPr>
        <w:t>中自觉</w:t>
      </w:r>
      <w:r>
        <w:rPr>
          <w:rFonts w:hint="eastAsia" w:ascii="宋体" w:hAnsi="宋体" w:eastAsia="宋体" w:cs="Times New Roman"/>
          <w:szCs w:val="21"/>
          <w:lang w:val="en-US" w:eastAsia="zh-CN"/>
          <w14:ligatures w14:val="none"/>
        </w:rPr>
        <w:t>树立</w:t>
      </w:r>
      <w:r>
        <w:rPr>
          <w:rFonts w:hint="eastAsia" w:ascii="宋体" w:hAnsi="宋体" w:eastAsia="宋体" w:cs="Times New Roman"/>
          <w:szCs w:val="21"/>
          <w14:ligatures w14:val="none"/>
        </w:rPr>
        <w:t>文化自信和民族自豪感</w:t>
      </w:r>
      <w:r>
        <w:rPr>
          <w:rFonts w:hint="eastAsia" w:ascii="宋体" w:hAnsi="宋体" w:eastAsia="宋体" w:cs="Times New Roman"/>
          <w:szCs w:val="21"/>
          <w:lang w:eastAsia="zh-CN"/>
          <w14:ligatures w14:val="none"/>
        </w:rPr>
        <w:t>，</w:t>
      </w:r>
      <w:r>
        <w:rPr>
          <w:rFonts w:hint="eastAsia" w:ascii="宋体" w:hAnsi="宋体" w:eastAsia="宋体" w:cs="Times New Roman"/>
          <w:szCs w:val="21"/>
          <w14:ligatures w14:val="none"/>
        </w:rPr>
        <w:t>了解中华文化的博大精深和独特魅力。</w:t>
      </w:r>
    </w:p>
    <w:p w14:paraId="07716BBB">
      <w:pPr>
        <w:spacing w:line="360" w:lineRule="auto"/>
        <w:ind w:firstLine="482" w:firstLineChars="200"/>
        <w:jc w:val="left"/>
        <w:outlineLvl w:val="0"/>
        <w:rPr>
          <w:rFonts w:hint="eastAsia" w:ascii="宋体" w:hAnsi="宋体" w:eastAsia="宋体" w:cs="Times New Roman"/>
          <w:b/>
          <w:color w:val="000000"/>
          <w:sz w:val="24"/>
          <w:szCs w:val="24"/>
        </w:rPr>
      </w:pPr>
      <w:bookmarkStart w:id="3068" w:name="_Toc6606"/>
      <w:bookmarkStart w:id="3069" w:name="_Toc27158"/>
      <w:bookmarkStart w:id="3070" w:name="_Toc21191"/>
      <w:bookmarkStart w:id="3071" w:name="_Toc14279"/>
      <w:bookmarkStart w:id="3072" w:name="_Toc522"/>
      <w:bookmarkStart w:id="3073" w:name="_Toc4392"/>
      <w:bookmarkStart w:id="3074" w:name="_Toc14666"/>
      <w:r>
        <w:rPr>
          <w:rFonts w:hint="eastAsia" w:ascii="宋体" w:hAnsi="宋体" w:eastAsia="宋体" w:cs="Times New Roman"/>
          <w:b/>
          <w:color w:val="000000"/>
          <w:sz w:val="24"/>
          <w:szCs w:val="24"/>
        </w:rPr>
        <w:t>三、教学内容与预期学习成效</w:t>
      </w:r>
      <w:bookmarkEnd w:id="3068"/>
      <w:bookmarkEnd w:id="3069"/>
      <w:bookmarkEnd w:id="3070"/>
      <w:bookmarkEnd w:id="3071"/>
      <w:bookmarkEnd w:id="3072"/>
      <w:bookmarkEnd w:id="3073"/>
      <w:bookmarkEnd w:id="3074"/>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265"/>
        <w:gridCol w:w="733"/>
      </w:tblGrid>
      <w:tr w14:paraId="1C72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AEC330E">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374825A1">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684A10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1DDC9A7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330950D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11087F83">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65" w:type="dxa"/>
            <w:vAlign w:val="center"/>
          </w:tcPr>
          <w:p w14:paraId="6D832B2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33" w:type="dxa"/>
            <w:vAlign w:val="center"/>
          </w:tcPr>
          <w:p w14:paraId="1AE2D3D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4302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B6CA39">
            <w:pPr>
              <w:spacing w:line="264" w:lineRule="auto"/>
              <w:jc w:val="both"/>
              <w:rPr>
                <w:rFonts w:hint="eastAsia" w:ascii="宋体" w:hAnsi="宋体" w:eastAsia="宋体" w:cs="Times New Roman"/>
                <w:color w:val="000000"/>
                <w:szCs w:val="21"/>
              </w:rPr>
            </w:pPr>
            <w:r>
              <w:rPr>
                <w:rFonts w:hint="eastAsia" w:ascii="宋体" w:hAnsi="宋体" w:eastAsia="宋体" w:cs="宋体"/>
                <w:color w:val="000000"/>
                <w:kern w:val="0"/>
                <w:szCs w:val="21"/>
                <w:lang w:val="en-US" w:eastAsia="zh-CN"/>
                <w14:ligatures w14:val="none"/>
              </w:rPr>
              <w:t>小学教育教学观摩</w:t>
            </w:r>
          </w:p>
        </w:tc>
        <w:tc>
          <w:tcPr>
            <w:tcW w:w="1701" w:type="dxa"/>
            <w:vAlign w:val="center"/>
          </w:tcPr>
          <w:p w14:paraId="11E60FF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课堂教学观摩</w:t>
            </w:r>
          </w:p>
          <w:p w14:paraId="74EDBF6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教育经典影视作品赏析</w:t>
            </w:r>
          </w:p>
        </w:tc>
        <w:tc>
          <w:tcPr>
            <w:tcW w:w="1134" w:type="dxa"/>
            <w:vAlign w:val="center"/>
          </w:tcPr>
          <w:p w14:paraId="19056C90">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08439428">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在课堂教学观摩中，深入理解小学教育教学的核心要素，明晰教师角色重要性，坚定从业信念；赏析教育经典影视作品时，感知教育多元呈现与深远影响，强化教育情怀</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内化教育精神品质，将其转化为行动驱力，传承教育精神，并挖掘教育文化内涵，融入教学实践，推动文化传承与创新，为小学教育事业筑牢根基。</w:t>
            </w:r>
          </w:p>
        </w:tc>
        <w:tc>
          <w:tcPr>
            <w:tcW w:w="1265" w:type="dxa"/>
            <w:vAlign w:val="center"/>
          </w:tcPr>
          <w:p w14:paraId="4B070A0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案例分析</w:t>
            </w:r>
          </w:p>
          <w:p w14:paraId="1D738A7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直观教学</w:t>
            </w:r>
          </w:p>
        </w:tc>
        <w:tc>
          <w:tcPr>
            <w:tcW w:w="733" w:type="dxa"/>
            <w:vAlign w:val="center"/>
          </w:tcPr>
          <w:p w14:paraId="4BD4D67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w:t>
            </w:r>
          </w:p>
        </w:tc>
      </w:tr>
      <w:tr w14:paraId="01C6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F0BF8F">
            <w:pPr>
              <w:spacing w:line="264" w:lineRule="auto"/>
              <w:jc w:val="center"/>
              <w:rPr>
                <w:rFonts w:hint="eastAsia" w:ascii="宋体" w:hAnsi="宋体" w:eastAsia="宋体" w:cs="Times New Roman"/>
                <w:color w:val="000000"/>
                <w:szCs w:val="21"/>
              </w:rPr>
            </w:pPr>
          </w:p>
        </w:tc>
        <w:tc>
          <w:tcPr>
            <w:tcW w:w="8093" w:type="dxa"/>
            <w:gridSpan w:val="5"/>
            <w:vAlign w:val="center"/>
          </w:tcPr>
          <w:p w14:paraId="4504856F">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借课堂观摩</w:t>
            </w:r>
            <w:r>
              <w:rPr>
                <w:rFonts w:hint="eastAsia" w:ascii="宋体" w:hAnsi="宋体" w:eastAsia="宋体" w:cs="Times New Roman"/>
                <w:color w:val="000000"/>
                <w:szCs w:val="21"/>
                <w:lang w:val="en-US" w:eastAsia="zh-CN"/>
              </w:rPr>
              <w:t>领会</w:t>
            </w:r>
            <w:r>
              <w:rPr>
                <w:rFonts w:hint="eastAsia" w:ascii="宋体" w:hAnsi="宋体" w:eastAsia="宋体" w:cs="Times New Roman"/>
                <w:color w:val="000000"/>
                <w:szCs w:val="21"/>
              </w:rPr>
              <w:t>小学教育</w:t>
            </w:r>
            <w:r>
              <w:rPr>
                <w:rFonts w:hint="eastAsia" w:ascii="宋体" w:hAnsi="宋体" w:eastAsia="宋体" w:cs="Times New Roman"/>
                <w:color w:val="000000"/>
                <w:szCs w:val="21"/>
                <w:lang w:val="en-US" w:eastAsia="zh-CN"/>
              </w:rPr>
              <w:t>教学常规</w:t>
            </w: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坚定</w:t>
            </w:r>
            <w:r>
              <w:rPr>
                <w:rFonts w:hint="eastAsia" w:ascii="宋体" w:hAnsi="宋体" w:eastAsia="宋体" w:cs="Times New Roman"/>
                <w:color w:val="000000"/>
                <w:szCs w:val="21"/>
              </w:rPr>
              <w:t>执教信念，</w:t>
            </w:r>
            <w:r>
              <w:rPr>
                <w:rFonts w:hint="eastAsia" w:ascii="宋体" w:hAnsi="宋体" w:eastAsia="宋体" w:cs="Times New Roman"/>
                <w:color w:val="000000"/>
                <w:szCs w:val="21"/>
                <w:lang w:val="en-US" w:eastAsia="zh-CN"/>
              </w:rPr>
              <w:t>明确</w:t>
            </w:r>
            <w:r>
              <w:rPr>
                <w:rFonts w:hint="eastAsia" w:ascii="宋体" w:hAnsi="宋体" w:eastAsia="宋体" w:cs="Times New Roman"/>
                <w:color w:val="000000"/>
                <w:szCs w:val="21"/>
              </w:rPr>
              <w:t>使命担当；赏</w:t>
            </w:r>
            <w:r>
              <w:rPr>
                <w:rFonts w:hint="eastAsia" w:ascii="宋体" w:hAnsi="宋体" w:eastAsia="宋体" w:cs="Times New Roman"/>
                <w:color w:val="000000"/>
                <w:szCs w:val="21"/>
                <w:lang w:val="en-US" w:eastAsia="zh-CN"/>
              </w:rPr>
              <w:t>教育</w:t>
            </w:r>
            <w:r>
              <w:rPr>
                <w:rFonts w:hint="eastAsia" w:ascii="宋体" w:hAnsi="宋体" w:eastAsia="宋体" w:cs="Times New Roman"/>
                <w:color w:val="000000"/>
                <w:szCs w:val="21"/>
              </w:rPr>
              <w:t>经典影视，</w:t>
            </w:r>
            <w:r>
              <w:rPr>
                <w:rFonts w:hint="eastAsia" w:ascii="宋体" w:hAnsi="宋体" w:eastAsia="宋体" w:cs="Times New Roman"/>
                <w:color w:val="000000"/>
                <w:szCs w:val="21"/>
                <w:lang w:val="en-US" w:eastAsia="zh-CN"/>
              </w:rPr>
              <w:t>梳理</w:t>
            </w:r>
            <w:r>
              <w:rPr>
                <w:rFonts w:hint="eastAsia" w:ascii="宋体" w:hAnsi="宋体" w:eastAsia="宋体" w:cs="Times New Roman"/>
                <w:color w:val="000000"/>
                <w:szCs w:val="21"/>
              </w:rPr>
              <w:t>以生为本</w:t>
            </w:r>
            <w:r>
              <w:rPr>
                <w:rFonts w:hint="eastAsia" w:ascii="宋体" w:hAnsi="宋体" w:eastAsia="宋体" w:cs="Times New Roman"/>
                <w:color w:val="000000"/>
                <w:szCs w:val="21"/>
                <w:lang w:eastAsia="zh-CN"/>
              </w:rPr>
              <w:t>的</w:t>
            </w:r>
            <w:r>
              <w:rPr>
                <w:rFonts w:hint="eastAsia" w:ascii="宋体" w:hAnsi="宋体" w:eastAsia="宋体" w:cs="Times New Roman"/>
                <w:color w:val="000000"/>
                <w:szCs w:val="21"/>
              </w:rPr>
              <w:t>教育观</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形成立德树人的责任感</w:t>
            </w:r>
            <w:r>
              <w:rPr>
                <w:rFonts w:hint="eastAsia" w:ascii="宋体" w:hAnsi="宋体" w:eastAsia="宋体" w:cs="Times New Roman"/>
                <w:color w:val="000000"/>
                <w:szCs w:val="21"/>
                <w:lang w:eastAsia="zh-CN"/>
              </w:rPr>
              <w:t>。</w:t>
            </w:r>
          </w:p>
        </w:tc>
      </w:tr>
      <w:tr w14:paraId="4BB5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A39936">
            <w:pPr>
              <w:spacing w:line="264"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“三字一话”教学基本功训练</w:t>
            </w:r>
          </w:p>
        </w:tc>
        <w:tc>
          <w:tcPr>
            <w:tcW w:w="1701" w:type="dxa"/>
            <w:vAlign w:val="center"/>
          </w:tcPr>
          <w:p w14:paraId="07192CBF">
            <w:pPr>
              <w:spacing w:line="269" w:lineRule="auto"/>
              <w:jc w:val="left"/>
              <w:rPr>
                <w:rFonts w:ascii="宋体" w:hAnsi="宋体" w:eastAsia="宋体" w:cs="Times New Roman"/>
                <w:color w:val="000000"/>
                <w:szCs w:val="21"/>
              </w:rPr>
            </w:pPr>
          </w:p>
          <w:p w14:paraId="5CF21F6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粉笔字训练</w:t>
            </w:r>
          </w:p>
          <w:p w14:paraId="5DADCB2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钢笔字训练</w:t>
            </w:r>
          </w:p>
          <w:p w14:paraId="0218DBD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（3）主题演讲</w:t>
            </w:r>
          </w:p>
          <w:p w14:paraId="061CF77C">
            <w:pPr>
              <w:spacing w:line="269" w:lineRule="auto"/>
              <w:jc w:val="left"/>
              <w:rPr>
                <w:rFonts w:ascii="宋体" w:hAnsi="宋体" w:eastAsia="宋体" w:cs="Times New Roman"/>
                <w:color w:val="000000"/>
                <w:szCs w:val="21"/>
              </w:rPr>
            </w:pPr>
          </w:p>
          <w:p w14:paraId="2D07FAB4">
            <w:pPr>
              <w:spacing w:line="269" w:lineRule="auto"/>
              <w:jc w:val="left"/>
              <w:rPr>
                <w:rFonts w:hint="eastAsia" w:ascii="宋体" w:hAnsi="宋体" w:eastAsia="宋体" w:cs="Times New Roman"/>
                <w:color w:val="000000"/>
                <w:szCs w:val="21"/>
              </w:rPr>
            </w:pPr>
          </w:p>
        </w:tc>
        <w:tc>
          <w:tcPr>
            <w:tcW w:w="1134" w:type="dxa"/>
            <w:vAlign w:val="center"/>
          </w:tcPr>
          <w:p w14:paraId="49FBF638">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2</w:t>
            </w:r>
          </w:p>
        </w:tc>
        <w:tc>
          <w:tcPr>
            <w:tcW w:w="3260" w:type="dxa"/>
            <w:vAlign w:val="center"/>
          </w:tcPr>
          <w:p w14:paraId="0D36631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通过</w:t>
            </w:r>
            <w:r>
              <w:rPr>
                <w:rFonts w:hint="eastAsia" w:ascii="宋体" w:hAnsi="宋体" w:eastAsia="宋体" w:cs="Times New Roman"/>
                <w:color w:val="000000"/>
                <w:szCs w:val="21"/>
              </w:rPr>
              <w:t>粉笔字与钢笔字训练，学生能够熟练掌握汉字书写规范与技巧，粉笔字书写时笔画清晰、结构合理、板面布局美观，钢笔字则达到字体端正、书写流畅、富有美感的水平，显著提升教师基本功中的书写能力，为教学板书和书面交流奠定良好基础。而通过主题演讲训练，学生能够克服怯场心理，具备清晰的逻辑思维与出色的语言表达能力，能够以饱满的情感、恰当的语速语调，围绕教育相关主题展开有深度、有感染力的演讲，增强在教育教学中的沟通与引导能力。</w:t>
            </w:r>
          </w:p>
        </w:tc>
        <w:tc>
          <w:tcPr>
            <w:tcW w:w="1265" w:type="dxa"/>
            <w:vAlign w:val="center"/>
          </w:tcPr>
          <w:p w14:paraId="668B9BB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实践教学</w:t>
            </w:r>
          </w:p>
          <w:p w14:paraId="638DAFF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小组学习</w:t>
            </w:r>
          </w:p>
        </w:tc>
        <w:tc>
          <w:tcPr>
            <w:tcW w:w="733" w:type="dxa"/>
            <w:vAlign w:val="center"/>
          </w:tcPr>
          <w:p w14:paraId="44C98BE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w:t>
            </w:r>
          </w:p>
        </w:tc>
      </w:tr>
      <w:tr w14:paraId="0FAC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EAE823D">
            <w:pPr>
              <w:spacing w:line="264" w:lineRule="auto"/>
              <w:jc w:val="center"/>
              <w:rPr>
                <w:rFonts w:hint="eastAsia" w:ascii="宋体" w:hAnsi="宋体" w:eastAsia="宋体" w:cs="Times New Roman"/>
                <w:color w:val="000000"/>
                <w:szCs w:val="21"/>
              </w:rPr>
            </w:pPr>
          </w:p>
        </w:tc>
        <w:tc>
          <w:tcPr>
            <w:tcW w:w="8093" w:type="dxa"/>
            <w:gridSpan w:val="5"/>
            <w:vAlign w:val="center"/>
          </w:tcPr>
          <w:p w14:paraId="2375AFEA">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通过钢笔字、粉笔字训练，</w:t>
            </w:r>
            <w:r>
              <w:rPr>
                <w:rFonts w:hint="eastAsia" w:ascii="宋体" w:hAnsi="宋体" w:eastAsia="宋体" w:cs="Times New Roman"/>
                <w:color w:val="000000"/>
                <w:szCs w:val="21"/>
                <w:lang w:val="en-US" w:eastAsia="zh-CN"/>
              </w:rPr>
              <w:t>培养</w:t>
            </w:r>
            <w:r>
              <w:rPr>
                <w:rFonts w:hint="eastAsia" w:ascii="宋体" w:hAnsi="宋体" w:eastAsia="宋体" w:cs="Times New Roman"/>
                <w:color w:val="000000"/>
                <w:szCs w:val="21"/>
              </w:rPr>
              <w:t>严谨认真、专注执着的学习态度与审美情趣，使其领悟汉字书写背后的文化底蕴，传承中华书法文化。主题演讲中，引导学生树立正确价值观，以自信表达传播正能量，增强社会责任感与教育使命感，塑造积极向上的教育者形象。</w:t>
            </w:r>
          </w:p>
        </w:tc>
      </w:tr>
      <w:tr w14:paraId="35EB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24AE658">
            <w:pPr>
              <w:spacing w:line="264"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rPr>
              <w:t>名师专题讲座</w:t>
            </w:r>
          </w:p>
        </w:tc>
        <w:tc>
          <w:tcPr>
            <w:tcW w:w="1701" w:type="dxa"/>
            <w:vAlign w:val="center"/>
          </w:tcPr>
          <w:p w14:paraId="43D812A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（1）教育观主题</w:t>
            </w:r>
          </w:p>
          <w:p w14:paraId="50A17FF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（2）教师职业主题</w:t>
            </w:r>
          </w:p>
          <w:p w14:paraId="601D80C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（3）教育强国主题</w:t>
            </w:r>
          </w:p>
        </w:tc>
        <w:tc>
          <w:tcPr>
            <w:tcW w:w="1134" w:type="dxa"/>
            <w:vAlign w:val="center"/>
          </w:tcPr>
          <w:p w14:paraId="19BF76DF">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3</w:t>
            </w:r>
          </w:p>
        </w:tc>
        <w:tc>
          <w:tcPr>
            <w:tcW w:w="3260" w:type="dxa"/>
            <w:vAlign w:val="center"/>
          </w:tcPr>
          <w:p w14:paraId="4324107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在</w:t>
            </w:r>
            <w:r>
              <w:rPr>
                <w:rFonts w:hint="eastAsia" w:ascii="宋体" w:hAnsi="宋体" w:eastAsia="宋体" w:cs="Times New Roman"/>
                <w:color w:val="000000"/>
                <w:szCs w:val="21"/>
                <w:lang w:val="en-US" w:eastAsia="zh-CN"/>
              </w:rPr>
              <w:t>名师专题讲座中</w:t>
            </w:r>
            <w:r>
              <w:rPr>
                <w:rFonts w:hint="eastAsia" w:ascii="宋体" w:hAnsi="宋体" w:eastAsia="宋体" w:cs="Times New Roman"/>
                <w:color w:val="000000"/>
                <w:szCs w:val="21"/>
              </w:rPr>
              <w:t>，学生能深刻理解并形成科学全面的教育观，明晰教师角色定位与职业道德要求，树立敬业爱生、奉献担当的职业精神，提升职业认同感与归属感。可洞察教育在国家发展战略中的核心地位，激发为教育事业拼搏的热情，积极探索创新教育模式与方法，以助力国家教育现代化进程，为培养德智体美劳全面发展的时代新人而努力。</w:t>
            </w:r>
          </w:p>
        </w:tc>
        <w:tc>
          <w:tcPr>
            <w:tcW w:w="1265" w:type="dxa"/>
            <w:vAlign w:val="center"/>
          </w:tcPr>
          <w:p w14:paraId="7AE1F13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实践教学</w:t>
            </w:r>
          </w:p>
        </w:tc>
        <w:tc>
          <w:tcPr>
            <w:tcW w:w="733" w:type="dxa"/>
            <w:vAlign w:val="center"/>
          </w:tcPr>
          <w:p w14:paraId="1C11294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10</w:t>
            </w:r>
          </w:p>
        </w:tc>
      </w:tr>
      <w:tr w14:paraId="77BA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60F4CFA">
            <w:pPr>
              <w:spacing w:line="264" w:lineRule="auto"/>
              <w:jc w:val="center"/>
              <w:rPr>
                <w:rFonts w:hint="eastAsia" w:ascii="宋体" w:hAnsi="宋体" w:eastAsia="宋体" w:cs="Times New Roman"/>
                <w:color w:val="000000"/>
                <w:szCs w:val="21"/>
              </w:rPr>
            </w:pPr>
          </w:p>
        </w:tc>
        <w:tc>
          <w:tcPr>
            <w:tcW w:w="8093" w:type="dxa"/>
            <w:gridSpan w:val="5"/>
            <w:vAlign w:val="center"/>
          </w:tcPr>
          <w:p w14:paraId="12E28F91">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 xml:space="preserve"> 通过教育观主题学习，引导学生树立以人为本、全面发展的教育理念，厚植教育情怀。教师职业主题助力学生形成高尚师德与职业操守，增强使命感。教育强国主题则激发学生爱国情与报国志，使其明白教育担当，为教育强国梦努力奋进。</w:t>
            </w:r>
          </w:p>
        </w:tc>
      </w:tr>
    </w:tbl>
    <w:p w14:paraId="0B62B618">
      <w:pPr>
        <w:spacing w:line="360" w:lineRule="auto"/>
        <w:jc w:val="left"/>
        <w:rPr>
          <w:rFonts w:ascii="Times New Roman" w:hAnsi="Times New Roman" w:eastAsia="宋体" w:cs="Times New Roman"/>
          <w:sz w:val="24"/>
          <w:szCs w:val="24"/>
        </w:rPr>
      </w:pPr>
    </w:p>
    <w:p w14:paraId="6E1DD72F">
      <w:pPr>
        <w:spacing w:line="360" w:lineRule="auto"/>
        <w:jc w:val="left"/>
        <w:outlineLvl w:val="0"/>
        <w:rPr>
          <w:rFonts w:ascii="Times New Roman" w:hAnsi="Times New Roman" w:eastAsia="宋体" w:cs="Times New Roman"/>
          <w:sz w:val="24"/>
          <w:szCs w:val="24"/>
        </w:rPr>
      </w:pPr>
      <w:bookmarkStart w:id="3075" w:name="_Toc6010"/>
      <w:bookmarkStart w:id="3076" w:name="_Toc8998"/>
      <w:bookmarkStart w:id="3077" w:name="_Toc6271"/>
      <w:bookmarkStart w:id="3078" w:name="_Toc16094"/>
      <w:bookmarkStart w:id="3079" w:name="_Toc26507"/>
      <w:bookmarkStart w:id="3080" w:name="_Toc6088"/>
      <w:bookmarkStart w:id="3081" w:name="_Toc3770"/>
      <w:r>
        <w:rPr>
          <w:rFonts w:hint="eastAsia" w:ascii="宋体" w:hAnsi="宋体" w:eastAsia="宋体" w:cs="Times New Roman"/>
          <w:b/>
          <w:color w:val="000000"/>
          <w:sz w:val="24"/>
          <w:szCs w:val="24"/>
        </w:rPr>
        <w:t>四、目标评价与成绩评定</w:t>
      </w:r>
      <w:bookmarkEnd w:id="3075"/>
      <w:bookmarkEnd w:id="3076"/>
      <w:bookmarkEnd w:id="3077"/>
      <w:bookmarkEnd w:id="3078"/>
      <w:bookmarkEnd w:id="3079"/>
      <w:bookmarkEnd w:id="3080"/>
      <w:bookmarkEnd w:id="3081"/>
    </w:p>
    <w:p w14:paraId="113BA31B">
      <w:pPr>
        <w:spacing w:line="360" w:lineRule="auto"/>
        <w:jc w:val="left"/>
        <w:outlineLvl w:val="1"/>
        <w:rPr>
          <w:rFonts w:ascii="Times New Roman" w:hAnsi="Times New Roman" w:eastAsia="宋体" w:cs="Times New Roman"/>
          <w:b/>
          <w:szCs w:val="21"/>
        </w:rPr>
      </w:pPr>
      <w:bookmarkStart w:id="3082" w:name="_Toc17124"/>
      <w:r>
        <w:rPr>
          <w:rFonts w:hint="eastAsia" w:ascii="Times New Roman" w:hAnsi="Times New Roman" w:eastAsia="宋体" w:cs="Times New Roman"/>
          <w:b/>
          <w:szCs w:val="21"/>
        </w:rPr>
        <w:t>（一）课程目标评价方式</w:t>
      </w:r>
      <w:bookmarkEnd w:id="3082"/>
    </w:p>
    <w:p w14:paraId="18BD2BE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6CBFDE1">
      <w:pPr>
        <w:spacing w:line="360" w:lineRule="auto"/>
        <w:ind w:firstLine="420" w:firstLineChars="200"/>
        <w:jc w:val="left"/>
        <w:rPr>
          <w:rFonts w:hint="eastAsia" w:ascii="Times New Roman" w:hAnsi="Times New Roman" w:eastAsia="宋体" w:cs="Times New Roman"/>
          <w:szCs w:val="21"/>
        </w:rPr>
      </w:pPr>
    </w:p>
    <w:p w14:paraId="3AFB65C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446"/>
        <w:gridCol w:w="1113"/>
        <w:gridCol w:w="944"/>
        <w:gridCol w:w="1091"/>
        <w:gridCol w:w="1109"/>
        <w:gridCol w:w="1396"/>
        <w:gridCol w:w="586"/>
      </w:tblGrid>
      <w:tr w14:paraId="2F5C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restart"/>
            <w:vAlign w:val="center"/>
          </w:tcPr>
          <w:p w14:paraId="50BDC15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7099" w:type="dxa"/>
            <w:gridSpan w:val="6"/>
            <w:vAlign w:val="center"/>
          </w:tcPr>
          <w:p w14:paraId="3DE84305">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586" w:type="dxa"/>
            <w:vMerge w:val="restart"/>
            <w:vAlign w:val="center"/>
          </w:tcPr>
          <w:p w14:paraId="53216E5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396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Merge w:val="continue"/>
            <w:vAlign w:val="center"/>
          </w:tcPr>
          <w:p w14:paraId="503405BB">
            <w:pPr>
              <w:spacing w:line="360" w:lineRule="auto"/>
              <w:jc w:val="center"/>
              <w:rPr>
                <w:rFonts w:hint="eastAsia" w:ascii="宋体" w:hAnsi="宋体" w:eastAsia="宋体" w:cs="Times New Roman"/>
                <w:szCs w:val="21"/>
              </w:rPr>
            </w:pPr>
          </w:p>
        </w:tc>
        <w:tc>
          <w:tcPr>
            <w:tcW w:w="1446" w:type="dxa"/>
            <w:vAlign w:val="center"/>
          </w:tcPr>
          <w:p w14:paraId="71AF7716">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教育类视频观看心得</w:t>
            </w:r>
          </w:p>
        </w:tc>
        <w:tc>
          <w:tcPr>
            <w:tcW w:w="1113" w:type="dxa"/>
            <w:vAlign w:val="center"/>
          </w:tcPr>
          <w:p w14:paraId="0A524CB2">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钢笔字</w:t>
            </w:r>
          </w:p>
          <w:p w14:paraId="3A31322D">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书写</w:t>
            </w:r>
          </w:p>
        </w:tc>
        <w:tc>
          <w:tcPr>
            <w:tcW w:w="944" w:type="dxa"/>
            <w:vAlign w:val="center"/>
          </w:tcPr>
          <w:p w14:paraId="6A80A7C6">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粉笔字</w:t>
            </w:r>
          </w:p>
          <w:p w14:paraId="71F4EA73">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书写</w:t>
            </w:r>
          </w:p>
        </w:tc>
        <w:tc>
          <w:tcPr>
            <w:tcW w:w="1091" w:type="dxa"/>
            <w:vAlign w:val="center"/>
          </w:tcPr>
          <w:p w14:paraId="057BDCC3">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主题演讲提纲</w:t>
            </w:r>
          </w:p>
        </w:tc>
        <w:tc>
          <w:tcPr>
            <w:tcW w:w="1109" w:type="dxa"/>
            <w:vAlign w:val="center"/>
          </w:tcPr>
          <w:p w14:paraId="16A60D4C">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名师专题讲座记录</w:t>
            </w:r>
          </w:p>
        </w:tc>
        <w:tc>
          <w:tcPr>
            <w:tcW w:w="1396" w:type="dxa"/>
          </w:tcPr>
          <w:p w14:paraId="3CDAD464">
            <w:pPr>
              <w:spacing w:line="360" w:lineRule="auto"/>
              <w:jc w:val="center"/>
              <w:rPr>
                <w:rFonts w:hint="eastAsia" w:ascii="宋体" w:hAnsi="宋体" w:eastAsia="宋体" w:cs="Times New Roman"/>
                <w:szCs w:val="21"/>
              </w:rPr>
            </w:pPr>
            <w:r>
              <w:rPr>
                <w:rFonts w:hint="eastAsia" w:ascii="宋体" w:hAnsi="宋体" w:eastAsia="宋体" w:cs="Times New Roman"/>
                <w:szCs w:val="21"/>
                <w:lang w:val="en-US" w:eastAsia="zh-CN"/>
              </w:rPr>
              <w:t>认知实习日记和总结</w:t>
            </w:r>
          </w:p>
        </w:tc>
        <w:tc>
          <w:tcPr>
            <w:tcW w:w="586" w:type="dxa"/>
            <w:vMerge w:val="continue"/>
            <w:vAlign w:val="center"/>
          </w:tcPr>
          <w:p w14:paraId="3ECF9B71">
            <w:pPr>
              <w:spacing w:line="360" w:lineRule="auto"/>
              <w:jc w:val="center"/>
              <w:rPr>
                <w:rFonts w:hint="eastAsia" w:ascii="宋体" w:hAnsi="宋体" w:eastAsia="宋体" w:cs="Times New Roman"/>
                <w:szCs w:val="21"/>
              </w:rPr>
            </w:pPr>
          </w:p>
        </w:tc>
      </w:tr>
      <w:tr w14:paraId="0505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837" w:type="dxa"/>
            <w:vAlign w:val="center"/>
          </w:tcPr>
          <w:p w14:paraId="3DF9D3D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46" w:type="dxa"/>
            <w:vAlign w:val="center"/>
          </w:tcPr>
          <w:p w14:paraId="3B98D40F">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1113" w:type="dxa"/>
            <w:vAlign w:val="center"/>
          </w:tcPr>
          <w:p w14:paraId="3E3AAEE3">
            <w:pPr>
              <w:spacing w:line="360" w:lineRule="auto"/>
              <w:jc w:val="center"/>
              <w:rPr>
                <w:rFonts w:hint="eastAsia" w:ascii="宋体" w:hAnsi="宋体" w:eastAsia="宋体" w:cs="Times New Roman"/>
                <w:szCs w:val="21"/>
              </w:rPr>
            </w:pPr>
          </w:p>
        </w:tc>
        <w:tc>
          <w:tcPr>
            <w:tcW w:w="944" w:type="dxa"/>
            <w:vAlign w:val="center"/>
          </w:tcPr>
          <w:p w14:paraId="14A1EF46">
            <w:pPr>
              <w:spacing w:line="360" w:lineRule="auto"/>
              <w:jc w:val="center"/>
              <w:rPr>
                <w:rFonts w:hint="eastAsia" w:ascii="宋体" w:hAnsi="宋体" w:eastAsia="宋体" w:cs="Times New Roman"/>
                <w:szCs w:val="21"/>
              </w:rPr>
            </w:pPr>
          </w:p>
        </w:tc>
        <w:tc>
          <w:tcPr>
            <w:tcW w:w="1091" w:type="dxa"/>
            <w:vAlign w:val="center"/>
          </w:tcPr>
          <w:p w14:paraId="2B015989">
            <w:pPr>
              <w:spacing w:line="360" w:lineRule="auto"/>
              <w:jc w:val="center"/>
              <w:rPr>
                <w:rFonts w:hint="eastAsia" w:ascii="宋体" w:hAnsi="宋体" w:eastAsia="宋体" w:cs="Times New Roman"/>
                <w:szCs w:val="21"/>
              </w:rPr>
            </w:pPr>
          </w:p>
        </w:tc>
        <w:tc>
          <w:tcPr>
            <w:tcW w:w="1109" w:type="dxa"/>
            <w:vAlign w:val="center"/>
          </w:tcPr>
          <w:p w14:paraId="6A89AD86">
            <w:pPr>
              <w:spacing w:line="360" w:lineRule="auto"/>
              <w:jc w:val="center"/>
              <w:rPr>
                <w:rFonts w:hint="eastAsia" w:ascii="宋体" w:hAnsi="宋体" w:eastAsia="宋体" w:cs="Times New Roman"/>
                <w:szCs w:val="21"/>
              </w:rPr>
            </w:pPr>
          </w:p>
        </w:tc>
        <w:tc>
          <w:tcPr>
            <w:tcW w:w="1396" w:type="dxa"/>
            <w:vAlign w:val="center"/>
          </w:tcPr>
          <w:p w14:paraId="7C98A745">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586" w:type="dxa"/>
            <w:vAlign w:val="center"/>
          </w:tcPr>
          <w:p w14:paraId="25A26714">
            <w:pPr>
              <w:spacing w:line="360" w:lineRule="auto"/>
              <w:jc w:val="center"/>
              <w:rPr>
                <w:rFonts w:hint="eastAsia" w:ascii="宋体" w:hAnsi="宋体" w:eastAsia="宋体" w:cs="Times New Roman"/>
                <w:szCs w:val="21"/>
              </w:rPr>
            </w:pPr>
            <w:r>
              <w:rPr>
                <w:rFonts w:hint="eastAsia" w:ascii="宋体" w:hAnsi="宋体" w:eastAsia="宋体" w:cs="Times New Roman"/>
                <w:color w:val="auto"/>
                <w:kern w:val="0"/>
                <w:sz w:val="21"/>
                <w:szCs w:val="21"/>
                <w:lang w:val="en-US" w:eastAsia="zh-CN"/>
                <w14:ligatures w14:val="none"/>
              </w:rPr>
              <w:t>3</w:t>
            </w:r>
            <w:r>
              <w:rPr>
                <w:rFonts w:hint="eastAsia" w:ascii="宋体" w:hAnsi="宋体" w:eastAsia="宋体" w:cs="Times New Roman"/>
                <w:color w:val="auto"/>
                <w:kern w:val="0"/>
                <w:sz w:val="21"/>
                <w:szCs w:val="21"/>
                <w14:ligatures w14:val="none"/>
              </w:rPr>
              <w:t>0%</w:t>
            </w:r>
          </w:p>
        </w:tc>
      </w:tr>
      <w:tr w14:paraId="7BB8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14:paraId="0918C45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46" w:type="dxa"/>
            <w:vAlign w:val="center"/>
          </w:tcPr>
          <w:p w14:paraId="02086A4D">
            <w:pPr>
              <w:spacing w:line="360" w:lineRule="auto"/>
              <w:jc w:val="center"/>
              <w:rPr>
                <w:rFonts w:hint="eastAsia" w:ascii="宋体" w:hAnsi="宋体" w:eastAsia="宋体" w:cs="Times New Roman"/>
                <w:szCs w:val="21"/>
              </w:rPr>
            </w:pPr>
          </w:p>
        </w:tc>
        <w:tc>
          <w:tcPr>
            <w:tcW w:w="1113" w:type="dxa"/>
            <w:vAlign w:val="center"/>
          </w:tcPr>
          <w:p w14:paraId="7868DA5E">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944" w:type="dxa"/>
            <w:vAlign w:val="center"/>
          </w:tcPr>
          <w:p w14:paraId="6DBC0112">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1091" w:type="dxa"/>
            <w:vAlign w:val="center"/>
          </w:tcPr>
          <w:p w14:paraId="7544C182">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1109" w:type="dxa"/>
            <w:vAlign w:val="center"/>
          </w:tcPr>
          <w:p w14:paraId="4823E8FF">
            <w:pPr>
              <w:spacing w:line="360" w:lineRule="auto"/>
              <w:jc w:val="center"/>
              <w:rPr>
                <w:rFonts w:hint="eastAsia" w:ascii="宋体" w:hAnsi="宋体" w:eastAsia="宋体" w:cs="Times New Roman"/>
                <w:szCs w:val="21"/>
              </w:rPr>
            </w:pPr>
          </w:p>
        </w:tc>
        <w:tc>
          <w:tcPr>
            <w:tcW w:w="1396" w:type="dxa"/>
            <w:vAlign w:val="center"/>
          </w:tcPr>
          <w:p w14:paraId="68377A91">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586" w:type="dxa"/>
            <w:vAlign w:val="center"/>
          </w:tcPr>
          <w:p w14:paraId="34F053C4">
            <w:pPr>
              <w:spacing w:line="360" w:lineRule="auto"/>
              <w:jc w:val="center"/>
              <w:rPr>
                <w:rFonts w:hint="eastAsia" w:ascii="宋体" w:hAnsi="宋体" w:eastAsia="宋体" w:cs="Times New Roman"/>
                <w:szCs w:val="21"/>
              </w:rPr>
            </w:pPr>
            <w:r>
              <w:rPr>
                <w:rFonts w:hint="eastAsia" w:ascii="宋体" w:hAnsi="宋体" w:eastAsia="宋体" w:cs="Times New Roman"/>
                <w:color w:val="auto"/>
                <w:kern w:val="0"/>
                <w:sz w:val="21"/>
                <w:szCs w:val="21"/>
                <w:lang w:val="en-US" w:eastAsia="zh-CN"/>
                <w14:ligatures w14:val="none"/>
              </w:rPr>
              <w:t>4</w:t>
            </w:r>
            <w:r>
              <w:rPr>
                <w:rFonts w:hint="eastAsia" w:ascii="宋体" w:hAnsi="宋体" w:eastAsia="宋体" w:cs="Times New Roman"/>
                <w:color w:val="auto"/>
                <w:kern w:val="0"/>
                <w:sz w:val="21"/>
                <w:szCs w:val="21"/>
                <w14:ligatures w14:val="none"/>
              </w:rPr>
              <w:t>0%</w:t>
            </w:r>
          </w:p>
        </w:tc>
      </w:tr>
      <w:tr w14:paraId="0D87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14:paraId="7CC1E8D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46" w:type="dxa"/>
            <w:vAlign w:val="center"/>
          </w:tcPr>
          <w:p w14:paraId="637382FF">
            <w:pPr>
              <w:spacing w:line="360" w:lineRule="auto"/>
              <w:jc w:val="center"/>
              <w:rPr>
                <w:rFonts w:hint="eastAsia" w:ascii="宋体" w:hAnsi="宋体" w:eastAsia="宋体" w:cs="Times New Roman"/>
                <w:szCs w:val="21"/>
              </w:rPr>
            </w:pPr>
          </w:p>
        </w:tc>
        <w:tc>
          <w:tcPr>
            <w:tcW w:w="1113" w:type="dxa"/>
            <w:vAlign w:val="center"/>
          </w:tcPr>
          <w:p w14:paraId="31FFAFFE">
            <w:pPr>
              <w:spacing w:line="360" w:lineRule="auto"/>
              <w:jc w:val="center"/>
              <w:rPr>
                <w:rFonts w:hint="eastAsia" w:ascii="宋体" w:hAnsi="宋体" w:eastAsia="宋体" w:cs="Times New Roman"/>
                <w:szCs w:val="21"/>
              </w:rPr>
            </w:pPr>
          </w:p>
        </w:tc>
        <w:tc>
          <w:tcPr>
            <w:tcW w:w="944" w:type="dxa"/>
            <w:vAlign w:val="center"/>
          </w:tcPr>
          <w:p w14:paraId="2A49C4DC">
            <w:pPr>
              <w:spacing w:line="360" w:lineRule="auto"/>
              <w:jc w:val="center"/>
              <w:rPr>
                <w:rFonts w:hint="eastAsia" w:ascii="宋体" w:hAnsi="宋体" w:eastAsia="宋体" w:cs="Times New Roman"/>
                <w:szCs w:val="21"/>
              </w:rPr>
            </w:pPr>
          </w:p>
        </w:tc>
        <w:tc>
          <w:tcPr>
            <w:tcW w:w="1091" w:type="dxa"/>
            <w:vAlign w:val="center"/>
          </w:tcPr>
          <w:p w14:paraId="5B5369AD">
            <w:pPr>
              <w:spacing w:line="360" w:lineRule="auto"/>
              <w:jc w:val="center"/>
              <w:rPr>
                <w:rFonts w:hint="eastAsia" w:ascii="宋体" w:hAnsi="宋体" w:eastAsia="宋体" w:cs="Times New Roman"/>
                <w:szCs w:val="21"/>
              </w:rPr>
            </w:pPr>
          </w:p>
        </w:tc>
        <w:tc>
          <w:tcPr>
            <w:tcW w:w="1109" w:type="dxa"/>
            <w:vAlign w:val="center"/>
          </w:tcPr>
          <w:p w14:paraId="5175DF5A">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1396" w:type="dxa"/>
            <w:vAlign w:val="center"/>
          </w:tcPr>
          <w:p w14:paraId="7F1A21E7">
            <w:pPr>
              <w:spacing w:line="360" w:lineRule="auto"/>
              <w:jc w:val="center"/>
              <w:rPr>
                <w:rFonts w:hint="eastAsia" w:ascii="宋体" w:hAnsi="宋体" w:eastAsia="宋体" w:cs="Times New Roman"/>
                <w:szCs w:val="21"/>
              </w:rPr>
            </w:pPr>
            <w:r>
              <w:rPr>
                <w:rFonts w:hint="default" w:ascii="Arial" w:hAnsi="Arial" w:eastAsia="宋体" w:cs="Arial"/>
                <w:szCs w:val="21"/>
              </w:rPr>
              <w:t>√</w:t>
            </w:r>
          </w:p>
        </w:tc>
        <w:tc>
          <w:tcPr>
            <w:tcW w:w="586" w:type="dxa"/>
            <w:vAlign w:val="center"/>
          </w:tcPr>
          <w:p w14:paraId="5172D43E">
            <w:pPr>
              <w:spacing w:line="360" w:lineRule="auto"/>
              <w:jc w:val="center"/>
              <w:rPr>
                <w:rFonts w:hint="eastAsia" w:ascii="宋体" w:hAnsi="宋体" w:eastAsia="宋体" w:cs="Times New Roman"/>
                <w:szCs w:val="21"/>
              </w:rPr>
            </w:pPr>
            <w:r>
              <w:rPr>
                <w:rFonts w:hint="eastAsia" w:ascii="宋体" w:hAnsi="宋体" w:eastAsia="宋体" w:cs="Times New Roman"/>
                <w:color w:val="auto"/>
                <w:kern w:val="0"/>
                <w:sz w:val="21"/>
                <w:szCs w:val="21"/>
                <w:lang w:val="en-US" w:eastAsia="zh-CN"/>
                <w14:ligatures w14:val="none"/>
              </w:rPr>
              <w:t>3</w:t>
            </w:r>
            <w:r>
              <w:rPr>
                <w:rFonts w:hint="eastAsia" w:ascii="宋体" w:hAnsi="宋体" w:eastAsia="宋体" w:cs="Times New Roman"/>
                <w:color w:val="auto"/>
                <w:kern w:val="0"/>
                <w:sz w:val="21"/>
                <w:szCs w:val="21"/>
                <w14:ligatures w14:val="none"/>
              </w:rPr>
              <w:t>0%</w:t>
            </w:r>
          </w:p>
        </w:tc>
      </w:tr>
      <w:tr w14:paraId="57B7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vAlign w:val="center"/>
          </w:tcPr>
          <w:p w14:paraId="3D2E3B62">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46" w:type="dxa"/>
            <w:vAlign w:val="center"/>
          </w:tcPr>
          <w:p w14:paraId="03791A21">
            <w:pPr>
              <w:spacing w:line="360" w:lineRule="auto"/>
              <w:jc w:val="center"/>
              <w:rPr>
                <w:rFonts w:hint="eastAsia" w:ascii="宋体" w:hAnsi="宋体" w:eastAsia="宋体" w:cs="Times New Roman"/>
                <w:szCs w:val="21"/>
              </w:rPr>
            </w:pPr>
          </w:p>
        </w:tc>
        <w:tc>
          <w:tcPr>
            <w:tcW w:w="1113" w:type="dxa"/>
            <w:vAlign w:val="center"/>
          </w:tcPr>
          <w:p w14:paraId="05C959B0">
            <w:pPr>
              <w:spacing w:line="360" w:lineRule="auto"/>
              <w:jc w:val="center"/>
              <w:rPr>
                <w:rFonts w:hint="eastAsia" w:ascii="宋体" w:hAnsi="宋体" w:eastAsia="宋体" w:cs="Times New Roman"/>
                <w:szCs w:val="21"/>
              </w:rPr>
            </w:pPr>
          </w:p>
        </w:tc>
        <w:tc>
          <w:tcPr>
            <w:tcW w:w="944" w:type="dxa"/>
            <w:vAlign w:val="center"/>
          </w:tcPr>
          <w:p w14:paraId="5812C531">
            <w:pPr>
              <w:spacing w:line="360" w:lineRule="auto"/>
              <w:jc w:val="center"/>
              <w:rPr>
                <w:rFonts w:hint="eastAsia" w:ascii="宋体" w:hAnsi="宋体" w:eastAsia="宋体" w:cs="Times New Roman"/>
                <w:szCs w:val="21"/>
              </w:rPr>
            </w:pPr>
          </w:p>
        </w:tc>
        <w:tc>
          <w:tcPr>
            <w:tcW w:w="1091" w:type="dxa"/>
            <w:vAlign w:val="center"/>
          </w:tcPr>
          <w:p w14:paraId="3E62EA68">
            <w:pPr>
              <w:spacing w:line="360" w:lineRule="auto"/>
              <w:jc w:val="center"/>
              <w:rPr>
                <w:rFonts w:hint="eastAsia" w:ascii="宋体" w:hAnsi="宋体" w:eastAsia="宋体" w:cs="Times New Roman"/>
                <w:szCs w:val="21"/>
              </w:rPr>
            </w:pPr>
          </w:p>
        </w:tc>
        <w:tc>
          <w:tcPr>
            <w:tcW w:w="1109" w:type="dxa"/>
            <w:vAlign w:val="center"/>
          </w:tcPr>
          <w:p w14:paraId="00E18D1C">
            <w:pPr>
              <w:spacing w:line="360" w:lineRule="auto"/>
              <w:jc w:val="center"/>
              <w:rPr>
                <w:rFonts w:hint="eastAsia" w:ascii="宋体" w:hAnsi="宋体" w:eastAsia="宋体" w:cs="Times New Roman"/>
                <w:szCs w:val="21"/>
              </w:rPr>
            </w:pPr>
          </w:p>
        </w:tc>
        <w:tc>
          <w:tcPr>
            <w:tcW w:w="1396" w:type="dxa"/>
            <w:vAlign w:val="center"/>
          </w:tcPr>
          <w:p w14:paraId="4E6C4010">
            <w:pPr>
              <w:spacing w:line="360" w:lineRule="auto"/>
              <w:jc w:val="center"/>
              <w:rPr>
                <w:rFonts w:hint="eastAsia" w:ascii="宋体" w:hAnsi="宋体" w:eastAsia="宋体" w:cs="Times New Roman"/>
                <w:szCs w:val="21"/>
              </w:rPr>
            </w:pPr>
          </w:p>
        </w:tc>
        <w:tc>
          <w:tcPr>
            <w:tcW w:w="586" w:type="dxa"/>
            <w:vAlign w:val="center"/>
          </w:tcPr>
          <w:p w14:paraId="0257C56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99E18D8">
      <w:pPr>
        <w:spacing w:before="156" w:beforeLines="50" w:line="360" w:lineRule="auto"/>
        <w:jc w:val="left"/>
        <w:outlineLvl w:val="1"/>
        <w:rPr>
          <w:rFonts w:ascii="Times New Roman" w:hAnsi="Times New Roman" w:eastAsia="宋体" w:cs="Times New Roman"/>
          <w:b/>
          <w:szCs w:val="21"/>
        </w:rPr>
      </w:pPr>
      <w:bookmarkStart w:id="3083" w:name="_Toc1957"/>
      <w:r>
        <w:rPr>
          <w:rFonts w:hint="eastAsia" w:ascii="Times New Roman" w:hAnsi="Times New Roman" w:eastAsia="宋体" w:cs="Times New Roman"/>
          <w:b/>
          <w:szCs w:val="21"/>
        </w:rPr>
        <w:t>（二）成绩评定细则</w:t>
      </w:r>
      <w:bookmarkEnd w:id="3083"/>
    </w:p>
    <w:p w14:paraId="6713466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A82D73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6608"/>
        <w:gridCol w:w="706"/>
      </w:tblGrid>
      <w:tr w14:paraId="6469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38A1CF0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608" w:type="dxa"/>
            <w:vAlign w:val="center"/>
          </w:tcPr>
          <w:p w14:paraId="1C2D9C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352B70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E35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2E8E5FDE">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观看教育类视频</w:t>
            </w:r>
          </w:p>
        </w:tc>
        <w:tc>
          <w:tcPr>
            <w:tcW w:w="6608" w:type="dxa"/>
            <w:vAlign w:val="center"/>
          </w:tcPr>
          <w:p w14:paraId="6B3AF0DA">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1.理解深度：能够准确理解视频资源所传达的教育理念、教学方法等核心内容，并进行深入分析。</w:t>
            </w:r>
          </w:p>
          <w:p w14:paraId="4504CFC1">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2.结合实际：心得紧密结合自身认知实习经历或未来教育教学实践，阐述视频内容对自身的启发与应用价值。</w:t>
            </w:r>
          </w:p>
          <w:p w14:paraId="2463D63B">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3.思考与感悟：有独立的思考与感悟，能够对视频中的观点提出自己的见解或疑问，并进行一定的反思。</w:t>
            </w:r>
          </w:p>
          <w:p w14:paraId="588626CC">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4.文字表达：语言通顺、表达清晰，无明显语病和错别字。</w:t>
            </w:r>
          </w:p>
        </w:tc>
        <w:tc>
          <w:tcPr>
            <w:tcW w:w="0" w:type="auto"/>
            <w:vAlign w:val="center"/>
          </w:tcPr>
          <w:p w14:paraId="61F22EF9">
            <w:pPr>
              <w:jc w:val="center"/>
              <w:rPr>
                <w:rFonts w:ascii="Times New Roman" w:hAnsi="Times New Roman" w:eastAsia="宋体" w:cs="Times New Roman"/>
                <w:szCs w:val="21"/>
              </w:rPr>
            </w:pPr>
            <w:r>
              <w:rPr>
                <w:rFonts w:hint="eastAsia" w:ascii="宋体" w:hAnsi="宋体" w:eastAsia="宋体" w:cs="Times New Roman"/>
                <w:sz w:val="24"/>
                <w:szCs w:val="22"/>
                <w:lang w:val="en-US" w:eastAsia="zh-CN"/>
                <w14:ligatures w14:val="none"/>
              </w:rPr>
              <w:t>10%</w:t>
            </w:r>
          </w:p>
        </w:tc>
      </w:tr>
      <w:tr w14:paraId="37B5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767AF3BA">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钢笔字书写</w:t>
            </w:r>
          </w:p>
        </w:tc>
        <w:tc>
          <w:tcPr>
            <w:tcW w:w="6608" w:type="dxa"/>
            <w:vAlign w:val="center"/>
          </w:tcPr>
          <w:p w14:paraId="700E99B2">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1.书写规范：笔画清晰、笔顺正确，字体结构合理，无错别字、潦草字。符合汉字书写规范要求。</w:t>
            </w:r>
          </w:p>
          <w:p w14:paraId="39EAE84D">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2.整体美观：行列整齐，字间距、行间距适中，页面整洁，整体视觉效果舒适。</w:t>
            </w:r>
          </w:p>
          <w:p w14:paraId="1C4F91A3">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3.书写速度：在规定时间内完成规定字数，书写速度适中，不影响书写质量。</w:t>
            </w:r>
          </w:p>
          <w:p w14:paraId="0634663D">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4.书写风格：字体风格统一，有一定的个性与艺术性，能够展现对书法美感的基本把握。</w:t>
            </w:r>
          </w:p>
        </w:tc>
        <w:tc>
          <w:tcPr>
            <w:tcW w:w="0" w:type="auto"/>
            <w:vAlign w:val="center"/>
          </w:tcPr>
          <w:p w14:paraId="7AFAA2F1">
            <w:pPr>
              <w:jc w:val="center"/>
              <w:rPr>
                <w:rFonts w:ascii="Times New Roman" w:hAnsi="Times New Roman" w:eastAsia="宋体" w:cs="Times New Roman"/>
                <w:szCs w:val="21"/>
              </w:rPr>
            </w:pPr>
            <w:r>
              <w:rPr>
                <w:rFonts w:hint="eastAsia" w:ascii="宋体" w:hAnsi="宋体" w:eastAsia="宋体" w:cs="Times New Roman"/>
                <w:sz w:val="24"/>
                <w:szCs w:val="22"/>
                <w:lang w:val="en-US" w:eastAsia="zh-CN"/>
                <w14:ligatures w14:val="none"/>
              </w:rPr>
              <w:t>2</w:t>
            </w:r>
            <w:r>
              <w:rPr>
                <w:rFonts w:hint="eastAsia" w:ascii="宋体" w:hAnsi="宋体" w:eastAsia="宋体" w:cs="Times New Roman"/>
                <w:sz w:val="24"/>
                <w:szCs w:val="22"/>
                <w14:ligatures w14:val="none"/>
              </w:rPr>
              <w:t>0</w:t>
            </w:r>
            <w:r>
              <w:rPr>
                <w:rFonts w:ascii="宋体" w:hAnsi="宋体" w:eastAsia="宋体" w:cs="Times New Roman"/>
                <w:sz w:val="24"/>
                <w:szCs w:val="22"/>
                <w14:ligatures w14:val="none"/>
              </w:rPr>
              <w:t>%</w:t>
            </w:r>
          </w:p>
        </w:tc>
      </w:tr>
      <w:tr w14:paraId="2BEF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2CD8DB15">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粉笔字书写</w:t>
            </w:r>
          </w:p>
        </w:tc>
        <w:tc>
          <w:tcPr>
            <w:tcW w:w="6608" w:type="dxa"/>
            <w:vAlign w:val="center"/>
          </w:tcPr>
          <w:p w14:paraId="5C74640B">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1.笔画与结构：粉笔字笔画起止分明、粗细得当，在黑板上能够清晰呈现。字体结构严谨、重心平稳，每个字的间架结构合理。</w:t>
            </w:r>
          </w:p>
          <w:p w14:paraId="459102F8">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2.书写力度与流畅性： 书写时力度均匀，线条流畅自然，无明显断点或颤抖痕迹。</w:t>
            </w:r>
          </w:p>
          <w:p w14:paraId="0EAD3EDC">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3.板面布局：在黑板规定区域内书写，排版整齐，字的大小适中、行列整齐。</w:t>
            </w:r>
          </w:p>
          <w:p w14:paraId="0C503809">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4.书写熟练程度：能够较为熟练地在黑板上书写，无需频繁停顿思考笔画或结构。</w:t>
            </w:r>
          </w:p>
        </w:tc>
        <w:tc>
          <w:tcPr>
            <w:tcW w:w="0" w:type="auto"/>
            <w:vAlign w:val="center"/>
          </w:tcPr>
          <w:p w14:paraId="15F593BA">
            <w:pPr>
              <w:jc w:val="center"/>
              <w:rPr>
                <w:rFonts w:ascii="Times New Roman" w:hAnsi="Times New Roman" w:eastAsia="宋体" w:cs="Times New Roman"/>
                <w:szCs w:val="21"/>
              </w:rPr>
            </w:pPr>
            <w:r>
              <w:rPr>
                <w:rFonts w:hint="eastAsia" w:ascii="宋体" w:hAnsi="宋体" w:eastAsia="宋体" w:cs="Times New Roman"/>
                <w:sz w:val="24"/>
                <w:szCs w:val="22"/>
                <w:lang w:val="en-US" w:eastAsia="zh-CN"/>
                <w14:ligatures w14:val="none"/>
              </w:rPr>
              <w:t>2</w:t>
            </w:r>
            <w:r>
              <w:rPr>
                <w:rFonts w:hint="eastAsia" w:ascii="宋体" w:hAnsi="宋体" w:eastAsia="宋体" w:cs="Times New Roman"/>
                <w:sz w:val="24"/>
                <w:szCs w:val="22"/>
                <w14:ligatures w14:val="none"/>
              </w:rPr>
              <w:t>0</w:t>
            </w:r>
            <w:r>
              <w:rPr>
                <w:rFonts w:ascii="宋体" w:hAnsi="宋体" w:eastAsia="宋体" w:cs="Times New Roman"/>
                <w:sz w:val="24"/>
                <w:szCs w:val="22"/>
                <w14:ligatures w14:val="none"/>
              </w:rPr>
              <w:t>%</w:t>
            </w:r>
          </w:p>
        </w:tc>
      </w:tr>
      <w:tr w14:paraId="0BA9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524D7217">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主题演讲</w:t>
            </w:r>
          </w:p>
        </w:tc>
        <w:tc>
          <w:tcPr>
            <w:tcW w:w="6608" w:type="dxa"/>
            <w:vAlign w:val="center"/>
          </w:tcPr>
          <w:p w14:paraId="421B94DC">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1.主题明确：演讲主题清晰突出，能够准确概括演讲核心内容，不偏离教育相关主题范围。</w:t>
            </w:r>
          </w:p>
          <w:p w14:paraId="0025D22D">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2.逻辑结构：提纲具有清晰的逻辑层次，开场、主体内容和结尾各部分衔接自然，论点与论据合理搭配，能够有条理地展开论述。</w:t>
            </w:r>
          </w:p>
          <w:p w14:paraId="7D7768A4">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3.内容完整性：涵盖演讲所需的关键要素，如主要观点、支撑事例、数据等，内容丰富完整，能够支撑起整个演讲的架构。</w:t>
            </w:r>
          </w:p>
          <w:p w14:paraId="2C9788C4">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4.创新性： 在观点或论述方式上有一定的创新性，能够展现对主题独特的思考与见解。</w:t>
            </w:r>
          </w:p>
        </w:tc>
        <w:tc>
          <w:tcPr>
            <w:tcW w:w="0" w:type="auto"/>
            <w:vAlign w:val="center"/>
          </w:tcPr>
          <w:p w14:paraId="6B29C69B">
            <w:pPr>
              <w:jc w:val="center"/>
              <w:rPr>
                <w:rFonts w:ascii="Times New Roman" w:hAnsi="Times New Roman" w:eastAsia="宋体" w:cs="Times New Roman"/>
                <w:szCs w:val="21"/>
              </w:rPr>
            </w:pPr>
          </w:p>
        </w:tc>
      </w:tr>
      <w:tr w14:paraId="2C12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4D557F4E">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专题讲座笔记</w:t>
            </w:r>
          </w:p>
        </w:tc>
        <w:tc>
          <w:tcPr>
            <w:tcW w:w="6608" w:type="dxa"/>
            <w:vAlign w:val="center"/>
          </w:tcPr>
          <w:p w14:paraId="13208975">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讲座笔记记录完整、层次清晰、页面整洁、有反思或心得</w:t>
            </w:r>
            <w:r>
              <w:rPr>
                <w:rFonts w:hint="eastAsia" w:ascii="Times New Roman" w:hAnsi="Times New Roman" w:eastAsia="宋体" w:cs="Times New Roman"/>
                <w:szCs w:val="21"/>
              </w:rPr>
              <w:t>。</w:t>
            </w:r>
          </w:p>
        </w:tc>
        <w:tc>
          <w:tcPr>
            <w:tcW w:w="0" w:type="auto"/>
            <w:vAlign w:val="center"/>
          </w:tcPr>
          <w:p w14:paraId="05EE45E8">
            <w:pPr>
              <w:jc w:val="center"/>
              <w:rPr>
                <w:rFonts w:ascii="Times New Roman" w:hAnsi="Times New Roman" w:eastAsia="宋体" w:cs="Times New Roman"/>
                <w:szCs w:val="21"/>
              </w:rPr>
            </w:pPr>
            <w:r>
              <w:rPr>
                <w:rFonts w:hint="eastAsia" w:ascii="宋体" w:hAnsi="宋体" w:eastAsia="宋体" w:cs="Times New Roman"/>
                <w:sz w:val="24"/>
                <w:szCs w:val="22"/>
                <w:lang w:val="en-US" w:eastAsia="zh-CN"/>
                <w14:ligatures w14:val="none"/>
              </w:rPr>
              <w:t>15</w:t>
            </w:r>
            <w:r>
              <w:rPr>
                <w:rFonts w:ascii="宋体" w:hAnsi="宋体" w:eastAsia="宋体" w:cs="Times New Roman"/>
                <w:sz w:val="24"/>
                <w:szCs w:val="22"/>
                <w14:ligatures w14:val="none"/>
              </w:rPr>
              <w:t>%</w:t>
            </w:r>
          </w:p>
        </w:tc>
      </w:tr>
      <w:tr w14:paraId="29EE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83A1313">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认知实习日记和总结</w:t>
            </w:r>
          </w:p>
        </w:tc>
        <w:tc>
          <w:tcPr>
            <w:tcW w:w="6608" w:type="dxa"/>
            <w:vAlign w:val="center"/>
          </w:tcPr>
          <w:p w14:paraId="12D66AD7">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1.记录完整性：每天如实记录实习过程中的重要事件、活动、观察与思考，内容完整无明显遗漏。</w:t>
            </w:r>
          </w:p>
          <w:p w14:paraId="08B171AF">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2.细节与感悟：对实习细节有详细描述，包括实习场景、人物互动等，并能在记录过程中融入自己的感悟、收获与疑问，展现出对实习经历的深度体验与思考。</w:t>
            </w:r>
          </w:p>
          <w:p w14:paraId="4A2E2B26">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3.书写规范：文字书写规范、工整，格式统一。</w:t>
            </w:r>
          </w:p>
          <w:p w14:paraId="6408281F">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4.全面性：总结涵盖整个认知实习过程的各个方面，包括实习内容、收获体会、自我反思以及对未来学习和职业发展的影响等，内容全面系统。</w:t>
            </w:r>
          </w:p>
          <w:p w14:paraId="0A83D485">
            <w:pPr>
              <w:spacing w:line="264"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5.语言表达：语言流畅、条理清晰，能够准确传达总结意图，无明显语病和错别字。</w:t>
            </w:r>
          </w:p>
        </w:tc>
        <w:tc>
          <w:tcPr>
            <w:tcW w:w="0" w:type="auto"/>
            <w:vAlign w:val="center"/>
          </w:tcPr>
          <w:p w14:paraId="65D82EE3">
            <w:pPr>
              <w:jc w:val="center"/>
              <w:rPr>
                <w:rFonts w:ascii="Times New Roman" w:hAnsi="Times New Roman" w:eastAsia="宋体" w:cs="Times New Roman"/>
                <w:szCs w:val="21"/>
              </w:rPr>
            </w:pPr>
            <w:r>
              <w:rPr>
                <w:rFonts w:hint="eastAsia" w:ascii="宋体" w:hAnsi="宋体" w:eastAsia="宋体" w:cs="Times New Roman"/>
                <w:sz w:val="24"/>
                <w:szCs w:val="22"/>
                <w:lang w:val="en-US" w:eastAsia="zh-CN"/>
                <w14:ligatures w14:val="none"/>
              </w:rPr>
              <w:t>15%</w:t>
            </w:r>
          </w:p>
        </w:tc>
      </w:tr>
      <w:tr w14:paraId="391C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8" w:type="dxa"/>
            <w:vAlign w:val="center"/>
          </w:tcPr>
          <w:p w14:paraId="4E3BF6D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608" w:type="dxa"/>
            <w:vAlign w:val="center"/>
          </w:tcPr>
          <w:p w14:paraId="6A5479D9">
            <w:pPr>
              <w:jc w:val="left"/>
              <w:rPr>
                <w:rFonts w:ascii="Times New Roman" w:hAnsi="Times New Roman" w:eastAsia="宋体" w:cs="Times New Roman"/>
                <w:szCs w:val="21"/>
              </w:rPr>
            </w:pPr>
          </w:p>
        </w:tc>
        <w:tc>
          <w:tcPr>
            <w:tcW w:w="0" w:type="auto"/>
            <w:vAlign w:val="center"/>
          </w:tcPr>
          <w:p w14:paraId="1EC12EE3">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FE6B6B0">
      <w:pPr>
        <w:spacing w:line="360" w:lineRule="auto"/>
        <w:jc w:val="left"/>
        <w:outlineLvl w:val="1"/>
        <w:rPr>
          <w:rFonts w:hint="eastAsia" w:ascii="宋体" w:hAnsi="宋体" w:eastAsia="宋体" w:cs="Times New Roman"/>
          <w:b/>
          <w:color w:val="000000"/>
          <w:szCs w:val="21"/>
        </w:rPr>
      </w:pPr>
      <w:bookmarkStart w:id="3084" w:name="_Toc1495"/>
      <w:r>
        <w:rPr>
          <w:rFonts w:hint="eastAsia" w:ascii="宋体" w:hAnsi="宋体" w:eastAsia="宋体" w:cs="Times New Roman"/>
          <w:b/>
          <w:color w:val="000000"/>
          <w:szCs w:val="21"/>
        </w:rPr>
        <w:t>（三）课程目标达成度计算方法</w:t>
      </w:r>
      <w:bookmarkEnd w:id="3084"/>
    </w:p>
    <w:p w14:paraId="0E46ADF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6780FE7">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82"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82" DrawAspect="Content" ObjectID="_1468075782" r:id="rId65">
            <o:LockedField>false</o:LockedField>
          </o:OLEObject>
        </w:object>
      </w:r>
    </w:p>
    <w:p w14:paraId="661F8C8A">
      <w:pPr>
        <w:spacing w:line="360" w:lineRule="auto"/>
        <w:ind w:firstLine="241" w:firstLineChars="100"/>
        <w:jc w:val="left"/>
        <w:outlineLvl w:val="0"/>
        <w:rPr>
          <w:rFonts w:ascii="Times New Roman" w:hAnsi="Times New Roman" w:eastAsia="宋体" w:cs="Times New Roman"/>
          <w:b/>
          <w:bCs/>
          <w:sz w:val="24"/>
          <w:szCs w:val="24"/>
        </w:rPr>
      </w:pPr>
      <w:bookmarkStart w:id="3085" w:name="_Toc5457"/>
      <w:bookmarkStart w:id="3086" w:name="_Toc4651"/>
      <w:bookmarkStart w:id="3087" w:name="_Toc482"/>
      <w:bookmarkStart w:id="3088" w:name="_Toc19228"/>
      <w:bookmarkStart w:id="3089" w:name="_Toc7242"/>
      <w:bookmarkStart w:id="3090" w:name="_Toc30289"/>
      <w:bookmarkStart w:id="3091" w:name="_Toc13849"/>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bookmarkEnd w:id="3085"/>
      <w:bookmarkEnd w:id="3086"/>
      <w:bookmarkEnd w:id="3087"/>
      <w:bookmarkEnd w:id="3088"/>
      <w:bookmarkEnd w:id="3089"/>
      <w:bookmarkEnd w:id="3090"/>
      <w:bookmarkEnd w:id="3091"/>
    </w:p>
    <w:p w14:paraId="74CE498E">
      <w:pPr>
        <w:spacing w:line="360" w:lineRule="auto"/>
        <w:ind w:firstLine="211" w:firstLineChars="100"/>
        <w:jc w:val="left"/>
        <w:outlineLvl w:val="1"/>
        <w:rPr>
          <w:rFonts w:ascii="Times New Roman" w:hAnsi="Times New Roman" w:eastAsia="宋体" w:cs="Times New Roman"/>
          <w:b/>
          <w:szCs w:val="21"/>
        </w:rPr>
      </w:pPr>
      <w:bookmarkStart w:id="3092" w:name="_Toc14944"/>
      <w:r>
        <w:rPr>
          <w:rFonts w:hint="eastAsia" w:ascii="Times New Roman" w:hAnsi="Times New Roman" w:eastAsia="宋体" w:cs="Times New Roman"/>
          <w:b/>
          <w:szCs w:val="21"/>
        </w:rPr>
        <w:t>（一）持续改进</w:t>
      </w:r>
      <w:bookmarkEnd w:id="3092"/>
    </w:p>
    <w:p w14:paraId="39C0C1AE">
      <w:pPr>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1. 提倡改革教学方法，强调应用现代化教学手段，如课件、互联网教学和网络答疑。</w:t>
      </w:r>
    </w:p>
    <w:p w14:paraId="3160EA85">
      <w:pPr>
        <w:spacing w:line="360" w:lineRule="auto"/>
        <w:ind w:firstLine="480" w:firstLineChars="200"/>
        <w:rPr>
          <w:rFonts w:ascii="Times New Roman" w:hAnsi="Times New Roman" w:eastAsia="宋体" w:cs="Times New Roman"/>
          <w:sz w:val="24"/>
          <w:szCs w:val="24"/>
          <w14:ligatures w14:val="none"/>
        </w:rPr>
      </w:pPr>
      <w:r>
        <w:rPr>
          <w:rFonts w:ascii="Times New Roman" w:hAnsi="Times New Roman" w:eastAsia="宋体" w:cs="Times New Roman"/>
          <w:sz w:val="24"/>
          <w:szCs w:val="24"/>
          <w14:ligatures w14:val="none"/>
        </w:rPr>
        <w:t>2.</w:t>
      </w:r>
      <w:r>
        <w:rPr>
          <w:rFonts w:hint="eastAsia" w:ascii="Times New Roman" w:hAnsi="Times New Roman" w:eastAsia="宋体" w:cs="Times New Roman"/>
          <w:sz w:val="24"/>
          <w:szCs w:val="24"/>
          <w14:ligatures w14:val="none"/>
        </w:rPr>
        <w:t xml:space="preserve"> </w:t>
      </w:r>
      <w:r>
        <w:rPr>
          <w:rFonts w:ascii="Times New Roman" w:hAnsi="Times New Roman" w:eastAsia="宋体" w:cs="Times New Roman"/>
          <w:sz w:val="24"/>
          <w:szCs w:val="24"/>
          <w14:ligatures w14:val="none"/>
        </w:rPr>
        <w:t>合理安排课时，加强小组讨论等旨在督促学生自主学习的教学环节</w:t>
      </w:r>
      <w:r>
        <w:rPr>
          <w:rFonts w:hint="eastAsia" w:ascii="Times New Roman" w:hAnsi="Times New Roman" w:eastAsia="宋体" w:cs="Times New Roman"/>
          <w:sz w:val="24"/>
          <w:szCs w:val="24"/>
          <w14:ligatures w14:val="none"/>
        </w:rPr>
        <w:t>，完成理论学习。</w:t>
      </w:r>
      <w:r>
        <w:rPr>
          <w:rFonts w:hint="eastAsia" w:ascii="Times New Roman" w:hAnsi="Times New Roman" w:eastAsia="宋体" w:cs="Times New Roman"/>
          <w:sz w:val="24"/>
          <w:szCs w:val="24"/>
          <w:lang w:val="en-US" w:eastAsia="zh-CN"/>
          <w14:ligatures w14:val="none"/>
        </w:rPr>
        <w:t>有条件情况下</w:t>
      </w:r>
      <w:r>
        <w:rPr>
          <w:rFonts w:hint="eastAsia" w:ascii="Times New Roman" w:hAnsi="Times New Roman" w:eastAsia="宋体" w:cs="Times New Roman"/>
          <w:sz w:val="24"/>
          <w:szCs w:val="24"/>
          <w14:ligatures w14:val="none"/>
        </w:rPr>
        <w:t>到小学</w:t>
      </w:r>
      <w:r>
        <w:rPr>
          <w:rFonts w:ascii="Times New Roman" w:hAnsi="Times New Roman" w:eastAsia="宋体" w:cs="Times New Roman"/>
          <w:sz w:val="24"/>
          <w:szCs w:val="24"/>
          <w14:ligatures w14:val="none"/>
        </w:rPr>
        <w:t>观摩语文教学</w:t>
      </w:r>
      <w:r>
        <w:rPr>
          <w:rFonts w:hint="eastAsia" w:ascii="Times New Roman" w:hAnsi="Times New Roman" w:eastAsia="宋体" w:cs="Times New Roman"/>
          <w:sz w:val="24"/>
          <w:szCs w:val="24"/>
          <w:lang w:eastAsia="zh-CN"/>
          <w14:ligatures w14:val="none"/>
        </w:rPr>
        <w:t>，</w:t>
      </w:r>
      <w:r>
        <w:rPr>
          <w:rFonts w:hint="eastAsia" w:ascii="Times New Roman" w:hAnsi="Times New Roman" w:eastAsia="宋体" w:cs="Times New Roman"/>
          <w:sz w:val="24"/>
          <w:szCs w:val="24"/>
          <w:lang w:val="en-US" w:eastAsia="zh-CN"/>
          <w14:ligatures w14:val="none"/>
        </w:rPr>
        <w:t>进行现场教学</w:t>
      </w:r>
      <w:r>
        <w:rPr>
          <w:rFonts w:ascii="Times New Roman" w:hAnsi="Times New Roman" w:eastAsia="宋体" w:cs="Times New Roman"/>
          <w:sz w:val="24"/>
          <w:szCs w:val="24"/>
          <w14:ligatures w14:val="none"/>
        </w:rPr>
        <w:t>。</w:t>
      </w:r>
    </w:p>
    <w:p w14:paraId="4423DFE9">
      <w:pPr>
        <w:spacing w:line="360" w:lineRule="auto"/>
        <w:ind w:firstLine="480" w:firstLineChars="200"/>
        <w:rPr>
          <w:rFonts w:ascii="宋体" w:hAnsi="宋体" w:eastAsia="宋体" w:cs="Times New Roman"/>
          <w:sz w:val="24"/>
          <w:szCs w:val="22"/>
          <w14:ligatures w14:val="none"/>
        </w:rPr>
      </w:pPr>
      <w:r>
        <w:rPr>
          <w:rFonts w:ascii="Times New Roman" w:hAnsi="Times New Roman" w:eastAsia="宋体" w:cs="Times New Roman"/>
          <w:sz w:val="24"/>
          <w:szCs w:val="24"/>
          <w14:ligatures w14:val="none"/>
        </w:rPr>
        <w:t>3．</w:t>
      </w:r>
      <w:r>
        <w:rPr>
          <w:rFonts w:hint="eastAsia" w:ascii="Times New Roman" w:hAnsi="Times New Roman" w:eastAsia="宋体" w:cs="Times New Roman"/>
          <w:sz w:val="24"/>
          <w:szCs w:val="24"/>
          <w:lang w:val="en-US" w:eastAsia="zh-CN"/>
          <w14:ligatures w14:val="none"/>
        </w:rPr>
        <w:t>实习</w:t>
      </w:r>
      <w:r>
        <w:rPr>
          <w:rFonts w:ascii="Times New Roman" w:hAnsi="Times New Roman" w:eastAsia="宋体" w:cs="Times New Roman"/>
          <w:sz w:val="24"/>
          <w:szCs w:val="24"/>
          <w14:ligatures w14:val="none"/>
        </w:rPr>
        <w:t>内容密切联系</w:t>
      </w:r>
      <w:r>
        <w:rPr>
          <w:rFonts w:hint="eastAsia" w:ascii="Times New Roman" w:hAnsi="Times New Roman" w:eastAsia="宋体" w:cs="Times New Roman"/>
          <w:sz w:val="24"/>
          <w:szCs w:val="24"/>
          <w14:ligatures w14:val="none"/>
        </w:rPr>
        <w:t>当前</w:t>
      </w:r>
      <w:r>
        <w:rPr>
          <w:rFonts w:ascii="Times New Roman" w:hAnsi="Times New Roman" w:eastAsia="宋体" w:cs="Times New Roman"/>
          <w:sz w:val="24"/>
          <w:szCs w:val="24"/>
          <w14:ligatures w14:val="none"/>
        </w:rPr>
        <w:t>的社会热点。</w:t>
      </w:r>
    </w:p>
    <w:p w14:paraId="700DBB4D">
      <w:pPr>
        <w:spacing w:line="360" w:lineRule="auto"/>
        <w:jc w:val="left"/>
        <w:rPr>
          <w:rFonts w:ascii="Times New Roman" w:hAnsi="Times New Roman" w:eastAsia="宋体" w:cs="Times New Roman"/>
          <w:b/>
          <w:szCs w:val="21"/>
        </w:rPr>
      </w:pPr>
    </w:p>
    <w:p w14:paraId="04FB7F06">
      <w:pPr>
        <w:spacing w:line="360" w:lineRule="auto"/>
        <w:ind w:firstLine="422" w:firstLineChars="200"/>
        <w:jc w:val="left"/>
        <w:outlineLvl w:val="1"/>
        <w:rPr>
          <w:rFonts w:hint="eastAsia" w:ascii="Times New Roman" w:hAnsi="Times New Roman" w:eastAsia="宋体" w:cs="Times New Roman"/>
          <w:b/>
          <w:szCs w:val="21"/>
          <w:lang w:eastAsia="zh-CN"/>
        </w:rPr>
      </w:pPr>
      <w:bookmarkStart w:id="3093" w:name="_Toc15274"/>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二</w:t>
      </w:r>
      <w:r>
        <w:rPr>
          <w:rFonts w:hint="eastAsia" w:ascii="Times New Roman" w:hAnsi="Times New Roman" w:eastAsia="宋体" w:cs="Times New Roman"/>
          <w:b/>
          <w:szCs w:val="21"/>
        </w:rPr>
        <w:t>）参考</w:t>
      </w:r>
      <w:r>
        <w:rPr>
          <w:rFonts w:hint="eastAsia" w:ascii="Times New Roman" w:hAnsi="Times New Roman" w:eastAsia="宋体" w:cs="Times New Roman"/>
          <w:b/>
          <w:szCs w:val="21"/>
          <w:lang w:val="en-US" w:eastAsia="zh-CN"/>
        </w:rPr>
        <w:t>资源</w:t>
      </w:r>
      <w:bookmarkEnd w:id="3093"/>
    </w:p>
    <w:p w14:paraId="5234813B">
      <w:pPr>
        <w:jc w:val="left"/>
        <w:rPr>
          <w:rFonts w:hint="default" w:ascii="Times New Roman" w:hAnsi="Times New Roman" w:eastAsia="等线" w:cs="Times New Roman"/>
          <w:szCs w:val="22"/>
          <w:lang w:val="en-US" w:eastAsia="zh-CN"/>
        </w:rPr>
      </w:pPr>
      <w:r>
        <w:rPr>
          <w:rFonts w:hint="eastAsia" w:ascii="等线" w:hAnsi="等线" w:eastAsia="等线" w:cs="Times New Roman"/>
          <w:szCs w:val="22"/>
          <w:lang w:val="en-US" w:eastAsia="zh-CN"/>
        </w:rPr>
        <w:t xml:space="preserve">     </w:t>
      </w:r>
      <w:r>
        <w:rPr>
          <w:rFonts w:hint="eastAsia" w:ascii="Times New Roman" w:hAnsi="Times New Roman" w:eastAsia="宋体" w:cs="Times New Roman"/>
          <w:sz w:val="24"/>
          <w:szCs w:val="24"/>
          <w:lang w:val="en-US" w:eastAsia="zh-CN"/>
          <w14:ligatures w14:val="none"/>
        </w:rPr>
        <w:t>1.《放牛班的春天》</w:t>
      </w:r>
      <w:r>
        <w:rPr>
          <w:rFonts w:hint="default" w:ascii="Times New Roman" w:hAnsi="Times New Roman" w:eastAsia="等线" w:cs="Times New Roman"/>
          <w:szCs w:val="22"/>
          <w:lang w:val="en-US" w:eastAsia="zh-CN"/>
        </w:rPr>
        <w:t>https://www.bilibili.com/video/BV1rZ421M7QS/?spm_id_from=333.337.search-card.all.click</w:t>
      </w:r>
    </w:p>
    <w:p w14:paraId="0CCFCDC7">
      <w:pPr>
        <w:jc w:val="left"/>
        <w:rPr>
          <w:rFonts w:hint="default" w:ascii="Times New Roman" w:hAnsi="Times New Roman" w:eastAsia="宋体" w:cs="Times New Roman"/>
          <w:sz w:val="24"/>
          <w:szCs w:val="24"/>
          <w:lang w:val="en-US" w:eastAsia="zh-CN"/>
          <w14:ligatures w14:val="none"/>
        </w:rPr>
      </w:pPr>
      <w:r>
        <w:rPr>
          <w:rFonts w:hint="eastAsia" w:ascii="Times New Roman" w:hAnsi="Times New Roman" w:eastAsia="等线" w:cs="Times New Roman"/>
          <w:szCs w:val="22"/>
          <w:lang w:val="en-US" w:eastAsia="zh-CN"/>
        </w:rPr>
        <w:t xml:space="preserve">     </w:t>
      </w:r>
      <w:r>
        <w:rPr>
          <w:rFonts w:hint="eastAsia" w:ascii="Times New Roman" w:hAnsi="Times New Roman" w:eastAsia="宋体" w:cs="Times New Roman"/>
          <w:sz w:val="24"/>
          <w:szCs w:val="24"/>
          <w:lang w:val="en-US" w:eastAsia="zh-CN"/>
          <w14:ligatures w14:val="none"/>
        </w:rPr>
        <w:t>2.《</w:t>
      </w:r>
      <w:r>
        <w:rPr>
          <w:rFonts w:hint="default" w:ascii="Times New Roman" w:hAnsi="Times New Roman" w:eastAsia="宋体" w:cs="Times New Roman"/>
          <w:sz w:val="24"/>
          <w:szCs w:val="24"/>
          <w:lang w:val="en-US" w:eastAsia="zh-CN"/>
          <w14:ligatures w14:val="none"/>
        </w:rPr>
        <w:t>风雨哈佛路</w:t>
      </w:r>
      <w:r>
        <w:rPr>
          <w:rFonts w:hint="eastAsia" w:ascii="Times New Roman" w:hAnsi="Times New Roman" w:eastAsia="宋体" w:cs="Times New Roman"/>
          <w:sz w:val="24"/>
          <w:szCs w:val="24"/>
          <w:lang w:val="en-US" w:eastAsia="zh-CN"/>
          <w14:ligatures w14:val="none"/>
        </w:rPr>
        <w:t>》</w:t>
      </w:r>
    </w:p>
    <w:p w14:paraId="6E2E5E6E">
      <w:pPr>
        <w:jc w:val="left"/>
        <w:rPr>
          <w:rFonts w:hint="eastAsia" w:ascii="Times New Roman" w:hAnsi="Times New Roman" w:eastAsia="等线" w:cs="Times New Roman"/>
          <w:szCs w:val="22"/>
          <w:lang w:val="en-US" w:eastAsia="zh-CN"/>
        </w:rPr>
      </w:pPr>
      <w:r>
        <w:rPr>
          <w:rFonts w:hint="eastAsia" w:ascii="Times New Roman" w:hAnsi="Times New Roman" w:eastAsia="等线" w:cs="Times New Roman"/>
          <w:szCs w:val="22"/>
          <w:lang w:val="en-US" w:eastAsia="zh-CN"/>
        </w:rPr>
        <w:t>https://www.bilibili.com/video/BV1w7yWYRESs/?spm_id_from=333.337.search-card.all.click</w:t>
      </w:r>
    </w:p>
    <w:p w14:paraId="7684AB03">
      <w:pPr>
        <w:jc w:val="left"/>
        <w:rPr>
          <w:rFonts w:hint="default" w:ascii="Times New Roman" w:hAnsi="Times New Roman" w:eastAsia="等线" w:cs="Times New Roman"/>
          <w:szCs w:val="22"/>
          <w:lang w:val="en-US" w:eastAsia="zh-CN"/>
        </w:rPr>
      </w:pPr>
      <w:r>
        <w:rPr>
          <w:rFonts w:hint="eastAsia" w:ascii="Times New Roman" w:hAnsi="Times New Roman" w:eastAsia="等线" w:cs="Times New Roman"/>
          <w:szCs w:val="22"/>
          <w:lang w:val="en-US" w:eastAsia="zh-CN"/>
        </w:rPr>
        <w:t xml:space="preserve">     </w:t>
      </w:r>
      <w:r>
        <w:rPr>
          <w:rFonts w:hint="eastAsia" w:ascii="Times New Roman" w:hAnsi="Times New Roman" w:eastAsia="宋体" w:cs="Times New Roman"/>
          <w:sz w:val="24"/>
          <w:szCs w:val="24"/>
          <w:lang w:val="en-US" w:eastAsia="zh-CN"/>
          <w14:ligatures w14:val="none"/>
        </w:rPr>
        <w:t>3.《美丽的大脚》</w:t>
      </w:r>
    </w:p>
    <w:p w14:paraId="5220E85E">
      <w:pPr>
        <w:jc w:val="left"/>
        <w:rPr>
          <w:rFonts w:hint="eastAsia" w:ascii="Times New Roman" w:hAnsi="Times New Roman" w:eastAsia="等线" w:cs="Times New Roman"/>
          <w:szCs w:val="22"/>
          <w:lang w:val="en-US" w:eastAsia="zh-CN"/>
        </w:rPr>
      </w:pPr>
      <w:r>
        <w:rPr>
          <w:rFonts w:hint="eastAsia" w:ascii="Times New Roman" w:hAnsi="Times New Roman" w:eastAsia="等线" w:cs="Times New Roman"/>
          <w:szCs w:val="22"/>
          <w:lang w:val="en-US" w:eastAsia="zh-CN"/>
        </w:rPr>
        <w:t>https://www.bilibili.com/video/BV1Zu4y1z7DN/?spm_id_from=333.337.search-card.all.click</w:t>
      </w:r>
    </w:p>
    <w:p w14:paraId="580C171A">
      <w:pPr>
        <w:numPr>
          <w:ilvl w:val="0"/>
          <w:numId w:val="0"/>
        </w:numPr>
        <w:ind w:left="525" w:leftChars="0" w:firstLine="0" w:firstLineChars="0"/>
        <w:jc w:val="left"/>
        <w:rPr>
          <w:rFonts w:hint="eastAsia" w:ascii="Times New Roman" w:hAnsi="Times New Roman" w:eastAsia="等线" w:cs="Times New Roman"/>
          <w:szCs w:val="22"/>
          <w:lang w:val="en-US" w:eastAsia="zh-CN"/>
        </w:rPr>
      </w:pPr>
      <w:r>
        <w:rPr>
          <w:rFonts w:hint="eastAsia" w:ascii="Times New Roman" w:hAnsi="Times New Roman" w:eastAsia="等线" w:cs="Times New Roman"/>
          <w:kern w:val="2"/>
          <w:sz w:val="21"/>
          <w:szCs w:val="22"/>
          <w:lang w:val="en-US" w:eastAsia="zh-CN" w:bidi="ar-SA"/>
        </w:rPr>
        <w:t>4.</w:t>
      </w:r>
      <w:r>
        <w:rPr>
          <w:rFonts w:hint="eastAsia" w:ascii="Times New Roman" w:hAnsi="Times New Roman" w:eastAsia="等线" w:cs="Times New Roman"/>
          <w:szCs w:val="22"/>
          <w:lang w:val="en-US" w:eastAsia="zh-CN"/>
        </w:rPr>
        <w:t>《一个都不能少》</w:t>
      </w:r>
    </w:p>
    <w:p w14:paraId="2B8FC0BD">
      <w:pPr>
        <w:numPr>
          <w:ilvl w:val="0"/>
          <w:numId w:val="0"/>
        </w:numPr>
        <w:jc w:val="left"/>
        <w:rPr>
          <w:rFonts w:hint="default" w:ascii="Times New Roman" w:hAnsi="Times New Roman" w:eastAsia="等线" w:cs="Times New Roman"/>
          <w:szCs w:val="22"/>
          <w:lang w:val="en-US" w:eastAsia="zh-CN"/>
        </w:rPr>
      </w:pPr>
      <w:r>
        <w:rPr>
          <w:rFonts w:hint="default" w:ascii="Times New Roman" w:hAnsi="Times New Roman" w:eastAsia="等线" w:cs="Times New Roman"/>
          <w:szCs w:val="22"/>
          <w:lang w:val="en-US" w:eastAsia="zh-CN"/>
        </w:rPr>
        <w:t>https://www.bilibili.com/video/BV1mo4y1S74L/?spm_id_from=333.337.search-card.all.click</w:t>
      </w:r>
    </w:p>
    <w:p w14:paraId="6BA4D02D">
      <w:pPr>
        <w:numPr>
          <w:ilvl w:val="0"/>
          <w:numId w:val="0"/>
        </w:numPr>
        <w:ind w:left="525" w:leftChars="0" w:firstLine="0" w:firstLineChars="0"/>
        <w:jc w:val="left"/>
        <w:rPr>
          <w:rFonts w:hint="eastAsia" w:ascii="Times New Roman" w:hAnsi="Times New Roman" w:eastAsia="等线" w:cs="Times New Roman"/>
          <w:szCs w:val="22"/>
          <w:lang w:val="en-US" w:eastAsia="zh-CN"/>
        </w:rPr>
      </w:pPr>
      <w:r>
        <w:rPr>
          <w:rFonts w:hint="eastAsia" w:ascii="Times New Roman" w:hAnsi="Times New Roman" w:eastAsia="等线" w:cs="Times New Roman"/>
          <w:kern w:val="2"/>
          <w:sz w:val="21"/>
          <w:szCs w:val="22"/>
          <w:lang w:val="en-US" w:eastAsia="zh-CN" w:bidi="ar-SA"/>
        </w:rPr>
        <w:t>5.</w:t>
      </w:r>
      <w:r>
        <w:rPr>
          <w:rFonts w:hint="eastAsia" w:ascii="Times New Roman" w:hAnsi="Times New Roman" w:eastAsia="等线" w:cs="Times New Roman"/>
          <w:szCs w:val="22"/>
          <w:lang w:val="en-US" w:eastAsia="zh-CN"/>
        </w:rPr>
        <w:t>《大先生——中国教育名家列传》</w:t>
      </w:r>
    </w:p>
    <w:p w14:paraId="05326F3A">
      <w:pPr>
        <w:numPr>
          <w:ilvl w:val="0"/>
          <w:numId w:val="0"/>
        </w:numPr>
        <w:jc w:val="left"/>
        <w:rPr>
          <w:rFonts w:hint="default" w:ascii="Times New Roman" w:hAnsi="Times New Roman" w:eastAsia="等线" w:cs="Times New Roman"/>
          <w:szCs w:val="22"/>
          <w:lang w:val="en-US" w:eastAsia="zh-CN"/>
        </w:rPr>
      </w:pPr>
      <w:r>
        <w:rPr>
          <w:rFonts w:hint="default" w:ascii="Times New Roman" w:hAnsi="Times New Roman" w:eastAsia="等线" w:cs="Times New Roman"/>
          <w:szCs w:val="22"/>
          <w:lang w:val="en-US" w:eastAsia="zh-CN"/>
        </w:rPr>
        <w:t>https://tv.cctv.com/2024/09/02/VIDAGbvf42qxA4rNvKWdHujS240902.shtml</w:t>
      </w:r>
    </w:p>
    <w:p w14:paraId="45D24D9A">
      <w:pPr>
        <w:ind w:left="5880" w:leftChars="0" w:firstLine="420" w:firstLineChars="0"/>
        <w:rPr>
          <w:rFonts w:hint="eastAsia" w:ascii="宋体" w:hAnsi="宋体" w:eastAsia="宋体" w:cs="宋体"/>
          <w:szCs w:val="22"/>
        </w:rPr>
      </w:pPr>
    </w:p>
    <w:p w14:paraId="248CCA1E">
      <w:pPr>
        <w:ind w:firstLine="5280" w:firstLineChars="2200"/>
        <w:jc w:val="both"/>
        <w:rPr>
          <w:rFonts w:hint="eastAsia" w:ascii="宋体" w:hAnsi="宋体" w:eastAsia="宋体" w:cs="宋体"/>
          <w:sz w:val="24"/>
          <w:szCs w:val="24"/>
          <w:lang w:val="en-US" w:eastAsia="zh-CN"/>
        </w:rPr>
      </w:pPr>
      <w:r>
        <w:rPr>
          <w:rFonts w:hint="eastAsia" w:ascii="宋体" w:hAnsi="宋体" w:eastAsia="宋体" w:cs="宋体"/>
          <w:sz w:val="24"/>
          <w:szCs w:val="24"/>
        </w:rPr>
        <w:t>执 笔 人：</w:t>
      </w:r>
      <w:r>
        <w:rPr>
          <w:rFonts w:hint="eastAsia" w:ascii="宋体" w:hAnsi="宋体" w:eastAsia="宋体" w:cs="宋体"/>
          <w:sz w:val="24"/>
          <w:szCs w:val="24"/>
          <w:lang w:val="en-US" w:eastAsia="zh-CN"/>
        </w:rPr>
        <w:t>周冬梅</w:t>
      </w:r>
    </w:p>
    <w:p w14:paraId="49B98A66">
      <w:pPr>
        <w:ind w:firstLine="5280" w:firstLineChars="2200"/>
        <w:jc w:val="both"/>
        <w:rPr>
          <w:rFonts w:hint="eastAsia" w:ascii="宋体" w:hAnsi="宋体" w:eastAsia="宋体" w:cs="宋体"/>
          <w:sz w:val="24"/>
          <w:szCs w:val="24"/>
          <w:lang w:val="en-US" w:eastAsia="zh-CN"/>
        </w:rPr>
      </w:pPr>
      <w:r>
        <w:rPr>
          <w:rFonts w:hint="eastAsia" w:ascii="宋体" w:hAnsi="宋体" w:eastAsia="宋体" w:cs="宋体"/>
          <w:sz w:val="24"/>
          <w:szCs w:val="24"/>
        </w:rPr>
        <w:t>审 定 人：</w:t>
      </w:r>
      <w:r>
        <w:rPr>
          <w:rFonts w:hint="eastAsia" w:ascii="宋体" w:hAnsi="宋体" w:eastAsia="宋体" w:cs="宋体"/>
          <w:sz w:val="24"/>
          <w:szCs w:val="24"/>
          <w:lang w:val="en-US" w:eastAsia="zh-CN"/>
        </w:rPr>
        <w:t>王健</w:t>
      </w:r>
    </w:p>
    <w:p w14:paraId="0C963995">
      <w:pPr>
        <w:ind w:firstLine="5280" w:firstLineChars="2200"/>
        <w:jc w:val="both"/>
        <w:rPr>
          <w:rFonts w:hint="eastAsia" w:ascii="宋体" w:hAnsi="宋体" w:eastAsia="宋体" w:cs="宋体"/>
          <w:sz w:val="24"/>
          <w:szCs w:val="24"/>
          <w:lang w:val="en-US" w:eastAsia="zh-CN"/>
        </w:rPr>
      </w:pPr>
      <w:r>
        <w:rPr>
          <w:rFonts w:hint="eastAsia" w:ascii="宋体" w:hAnsi="宋体" w:eastAsia="宋体" w:cs="宋体"/>
          <w:sz w:val="24"/>
          <w:szCs w:val="24"/>
        </w:rPr>
        <w:t>审 批 人：</w:t>
      </w:r>
      <w:r>
        <w:rPr>
          <w:rFonts w:hint="eastAsia" w:ascii="宋体" w:hAnsi="宋体" w:eastAsia="宋体" w:cs="宋体"/>
          <w:sz w:val="24"/>
          <w:szCs w:val="24"/>
          <w:lang w:val="en-US" w:eastAsia="zh-CN"/>
        </w:rPr>
        <w:t>张志欣</w:t>
      </w:r>
    </w:p>
    <w:p w14:paraId="68B5226B">
      <w:pPr>
        <w:ind w:firstLine="5280" w:firstLineChars="2200"/>
        <w:jc w:val="both"/>
        <w:rPr>
          <w:rFonts w:hint="eastAsia" w:ascii="宋体" w:hAnsi="宋体" w:eastAsia="宋体" w:cs="宋体"/>
          <w:sz w:val="24"/>
          <w:szCs w:val="24"/>
        </w:rPr>
      </w:pPr>
      <w:r>
        <w:rPr>
          <w:rFonts w:hint="eastAsia" w:ascii="宋体" w:hAnsi="宋体" w:eastAsia="宋体" w:cs="宋体"/>
          <w:sz w:val="24"/>
          <w:szCs w:val="24"/>
        </w:rPr>
        <w:t>批准时间： 2024年 9月1 日</w:t>
      </w:r>
    </w:p>
    <w:p w14:paraId="721643B9">
      <w:pPr>
        <w:ind w:firstLine="5280" w:firstLineChars="2200"/>
        <w:jc w:val="both"/>
        <w:rPr>
          <w:rFonts w:hint="eastAsia" w:ascii="宋体" w:hAnsi="宋体" w:eastAsia="宋体" w:cs="宋体"/>
          <w:sz w:val="24"/>
          <w:szCs w:val="24"/>
        </w:rPr>
      </w:pPr>
    </w:p>
    <w:p w14:paraId="3D66B631">
      <w:pPr>
        <w:pStyle w:val="2"/>
        <w:bidi w:val="0"/>
      </w:pPr>
      <w:r>
        <w:rPr>
          <w:rFonts w:hint="eastAsia" w:ascii="宋体" w:hAnsi="宋体" w:eastAsia="宋体" w:cs="宋体"/>
          <w:szCs w:val="24"/>
        </w:rPr>
        <w:br w:type="page"/>
      </w:r>
      <w:bookmarkStart w:id="3094" w:name="_Toc26010"/>
      <w:bookmarkStart w:id="3095" w:name="_Toc28697"/>
      <w:bookmarkStart w:id="3096" w:name="_Toc8985"/>
      <w:bookmarkStart w:id="3097" w:name="_Toc6857"/>
      <w:r>
        <w:rPr>
          <w:rFonts w:hint="eastAsia"/>
        </w:rPr>
        <w:t>《教育见习I》课程</w:t>
      </w:r>
      <w:r>
        <w:t>教学大纲</w:t>
      </w:r>
      <w:bookmarkEnd w:id="3094"/>
      <w:bookmarkEnd w:id="3095"/>
      <w:bookmarkEnd w:id="3096"/>
      <w:bookmarkEnd w:id="3097"/>
    </w:p>
    <w:p w14:paraId="2748012B">
      <w:pPr>
        <w:pStyle w:val="2"/>
        <w:bidi w:val="0"/>
      </w:pPr>
      <w:bookmarkStart w:id="3098" w:name="_Toc27847454"/>
      <w:bookmarkStart w:id="3099" w:name="_Toc13655"/>
      <w:bookmarkStart w:id="3100" w:name="_Toc29807"/>
      <w:bookmarkStart w:id="3101" w:name="_Toc17355"/>
      <w:bookmarkStart w:id="3102" w:name="_Toc2146"/>
      <w:bookmarkStart w:id="3103" w:name="_Toc19874"/>
      <w:r>
        <w:t>（Educational Probation I）</w:t>
      </w:r>
      <w:bookmarkEnd w:id="3098"/>
      <w:bookmarkEnd w:id="3099"/>
      <w:bookmarkEnd w:id="3100"/>
      <w:bookmarkEnd w:id="3101"/>
      <w:bookmarkEnd w:id="3102"/>
      <w:bookmarkEnd w:id="3103"/>
    </w:p>
    <w:p w14:paraId="441DA4DF">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课程名称：教育见习</w:t>
      </w:r>
      <w:r>
        <w:rPr>
          <w:rFonts w:ascii="宋体" w:hAnsi="宋体" w:eastAsia="宋体" w:cs="Times New Roman"/>
          <w:b/>
          <w:color w:val="000000"/>
          <w:sz w:val="24"/>
          <w:szCs w:val="24"/>
        </w:rPr>
        <w:t>I</w:t>
      </w:r>
    </w:p>
    <w:p w14:paraId="427ED9D8">
      <w:pPr>
        <w:spacing w:line="360" w:lineRule="auto"/>
        <w:ind w:firstLine="482" w:firstLineChars="200"/>
        <w:rPr>
          <w:rFonts w:ascii="宋体" w:hAnsi="Times New Roman" w:eastAsia="宋体" w:cs="Times New Roman"/>
          <w:b/>
          <w:color w:val="000000"/>
          <w:sz w:val="24"/>
          <w:szCs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：2401046</w:t>
      </w:r>
    </w:p>
    <w:p w14:paraId="6B38212E">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b/>
          <w:color w:val="000000"/>
          <w:kern w:val="0"/>
          <w:sz w:val="24"/>
          <w:szCs w:val="24"/>
        </w:rPr>
        <w:t>1</w:t>
      </w:r>
    </w:p>
    <w:p w14:paraId="4D2BADED">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时：2周</w:t>
      </w:r>
    </w:p>
    <w:p w14:paraId="159A8F55">
      <w:pPr>
        <w:spacing w:line="360" w:lineRule="auto"/>
        <w:ind w:firstLine="482" w:firstLineChars="200"/>
        <w:rPr>
          <w:rFonts w:ascii="宋体" w:hAnsi="宋体" w:eastAsia="宋体" w:cs="Times New Roman"/>
          <w:b/>
          <w:bCs/>
          <w:color w:val="000000"/>
          <w:kern w:val="0"/>
          <w:sz w:val="24"/>
          <w:szCs w:val="24"/>
        </w:rPr>
      </w:pPr>
      <w:r>
        <w:rPr>
          <w:rFonts w:hint="eastAsia" w:ascii="宋体" w:hAnsi="宋体" w:eastAsia="宋体" w:cs="Times New Roman"/>
          <w:b/>
          <w:bCs/>
          <w:color w:val="000000"/>
          <w:kern w:val="0"/>
          <w:sz w:val="24"/>
          <w:szCs w:val="24"/>
        </w:rPr>
        <w:t>先修课程：</w:t>
      </w:r>
      <w:r>
        <w:rPr>
          <w:rFonts w:ascii="宋体" w:hAnsi="宋体" w:eastAsia="宋体" w:cs="Times New Roman"/>
          <w:b/>
          <w:bCs/>
          <w:color w:val="000000"/>
          <w:kern w:val="0"/>
          <w:sz w:val="24"/>
          <w:szCs w:val="24"/>
        </w:rPr>
        <w:t xml:space="preserve">小学心理学、 </w:t>
      </w:r>
      <w:r>
        <w:rPr>
          <w:rFonts w:hint="eastAsia" w:ascii="宋体" w:hAnsi="宋体" w:eastAsia="宋体" w:cs="Times New Roman"/>
          <w:b/>
          <w:bCs/>
          <w:color w:val="000000"/>
          <w:kern w:val="0"/>
          <w:sz w:val="24"/>
          <w:szCs w:val="24"/>
        </w:rPr>
        <w:t>书</w:t>
      </w:r>
      <w:r>
        <w:rPr>
          <w:rFonts w:ascii="宋体" w:hAnsi="宋体" w:eastAsia="宋体" w:cs="Times New Roman"/>
          <w:b/>
          <w:bCs/>
          <w:color w:val="000000"/>
          <w:kern w:val="0"/>
          <w:sz w:val="24"/>
          <w:szCs w:val="24"/>
        </w:rPr>
        <w:t>写技能、教育原理、 教师职业道德，以及部分数学/中文类课程</w:t>
      </w:r>
    </w:p>
    <w:p w14:paraId="2B5B6972">
      <w:pPr>
        <w:spacing w:line="360" w:lineRule="auto"/>
        <w:ind w:firstLine="482" w:firstLineChars="200"/>
        <w:rPr>
          <w:rFonts w:ascii="宋体" w:hAnsi="宋体" w:eastAsia="宋体" w:cs="Times New Roman"/>
          <w:b/>
          <w:bCs/>
          <w:color w:val="000000"/>
          <w:kern w:val="0"/>
          <w:sz w:val="24"/>
          <w:szCs w:val="24"/>
        </w:rPr>
      </w:pPr>
      <w:r>
        <w:rPr>
          <w:rFonts w:hint="eastAsia" w:ascii="宋体" w:hAnsi="宋体" w:eastAsia="宋体" w:cs="Times New Roman"/>
          <w:b/>
          <w:bCs/>
          <w:color w:val="000000"/>
          <w:kern w:val="0"/>
          <w:sz w:val="24"/>
          <w:szCs w:val="24"/>
        </w:rPr>
        <w:t>适用专业：小学教育（文）、小学教育（理）</w:t>
      </w:r>
      <w:r>
        <w:rPr>
          <w:rFonts w:ascii="宋体" w:hAnsi="宋体" w:eastAsia="宋体" w:cs="Times New Roman"/>
          <w:b/>
          <w:bCs/>
          <w:color w:val="000000"/>
          <w:kern w:val="0"/>
          <w:sz w:val="24"/>
          <w:szCs w:val="24"/>
        </w:rPr>
        <w:t xml:space="preserve"> </w:t>
      </w:r>
    </w:p>
    <w:p w14:paraId="368E0D58">
      <w:pPr>
        <w:spacing w:line="360" w:lineRule="auto"/>
        <w:ind w:firstLine="482" w:firstLineChars="200"/>
        <w:rPr>
          <w:rFonts w:ascii="宋体" w:hAnsi="宋体" w:eastAsia="宋体" w:cs="Times New Roman"/>
          <w:b/>
          <w:bCs/>
          <w:color w:val="000000"/>
          <w:kern w:val="0"/>
          <w:sz w:val="24"/>
          <w:szCs w:val="24"/>
        </w:rPr>
      </w:pPr>
    </w:p>
    <w:p w14:paraId="1F2C56B8">
      <w:pPr>
        <w:spacing w:line="360" w:lineRule="auto"/>
        <w:ind w:firstLine="482" w:firstLineChars="200"/>
        <w:outlineLvl w:val="0"/>
        <w:rPr>
          <w:rFonts w:ascii="宋体" w:hAnsi="宋体" w:eastAsia="宋体" w:cs="Times New Roman"/>
          <w:b/>
          <w:bCs/>
          <w:color w:val="000000"/>
          <w:kern w:val="0"/>
          <w:sz w:val="24"/>
          <w:szCs w:val="24"/>
        </w:rPr>
      </w:pPr>
      <w:bookmarkStart w:id="3104" w:name="_Toc11706"/>
      <w:bookmarkStart w:id="3105" w:name="_Toc5857"/>
      <w:bookmarkStart w:id="3106" w:name="_Toc9770"/>
      <w:bookmarkStart w:id="3107" w:name="_Toc8401"/>
      <w:bookmarkStart w:id="3108" w:name="_Toc26306"/>
      <w:bookmarkStart w:id="3109" w:name="_Toc5914"/>
      <w:bookmarkStart w:id="3110" w:name="_Toc5235"/>
      <w:r>
        <w:rPr>
          <w:rFonts w:hint="eastAsia" w:ascii="宋体" w:hAnsi="宋体" w:eastAsia="宋体" w:cs="Times New Roman"/>
          <w:b/>
          <w:bCs/>
          <w:color w:val="000000"/>
          <w:kern w:val="0"/>
          <w:sz w:val="24"/>
          <w:szCs w:val="24"/>
        </w:rPr>
        <w:t>一、课程简介</w:t>
      </w:r>
      <w:bookmarkEnd w:id="3104"/>
      <w:bookmarkEnd w:id="3105"/>
      <w:bookmarkEnd w:id="3106"/>
      <w:bookmarkEnd w:id="3107"/>
      <w:bookmarkEnd w:id="3108"/>
      <w:bookmarkEnd w:id="3109"/>
      <w:bookmarkEnd w:id="3110"/>
    </w:p>
    <w:p w14:paraId="4756E3DD">
      <w:pPr>
        <w:spacing w:line="360" w:lineRule="auto"/>
        <w:ind w:firstLine="480" w:firstLineChars="200"/>
        <w:rPr>
          <w:rFonts w:ascii="宋体" w:hAnsi="Times New Roman" w:eastAsia="宋体" w:cs="Times New Roman"/>
          <w:color w:val="000000"/>
          <w:kern w:val="0"/>
          <w:sz w:val="24"/>
          <w:szCs w:val="24"/>
        </w:rPr>
      </w:pPr>
      <w:r>
        <w:rPr>
          <w:rFonts w:hint="eastAsia" w:ascii="宋体" w:hAnsi="宋体" w:eastAsia="宋体" w:cs="Times New Roman"/>
          <w:color w:val="000000"/>
          <w:kern w:val="0"/>
          <w:sz w:val="24"/>
          <w:szCs w:val="24"/>
        </w:rPr>
        <w:t>教育见习</w:t>
      </w:r>
      <w:r>
        <w:rPr>
          <w:rFonts w:ascii="宋体" w:hAnsi="宋体" w:eastAsia="宋体" w:cs="Times New Roman"/>
          <w:color w:val="000000"/>
          <w:kern w:val="0"/>
          <w:sz w:val="24"/>
          <w:szCs w:val="24"/>
        </w:rPr>
        <w:t>I</w:t>
      </w:r>
      <w:r>
        <w:rPr>
          <w:rFonts w:hint="eastAsia" w:ascii="宋体" w:hAnsi="宋体" w:eastAsia="宋体" w:cs="Times New Roman"/>
          <w:color w:val="000000"/>
          <w:kern w:val="0"/>
          <w:sz w:val="24"/>
          <w:szCs w:val="24"/>
        </w:rPr>
        <w:t>是小学教育专业重要的实践类课程。本课程的任务和目的是使学生充分接触小学日常生活，了解小学教育教学工作的特点，体会教师职业价值，树立从教理想；初步训练听课、评课和小学班主任工作的技能，巩固所学的专业知识和技能；培养研究小学教育教学问题的兴趣，养成正确的专业态度。</w:t>
      </w:r>
    </w:p>
    <w:p w14:paraId="0DDD1C8D">
      <w:pPr>
        <w:spacing w:line="360" w:lineRule="auto"/>
        <w:ind w:firstLine="482" w:firstLineChars="200"/>
        <w:outlineLvl w:val="0"/>
        <w:rPr>
          <w:rFonts w:ascii="宋体" w:hAnsi="Times New Roman" w:eastAsia="宋体" w:cs="Times New Roman"/>
          <w:b/>
          <w:color w:val="000000"/>
          <w:sz w:val="24"/>
          <w:szCs w:val="24"/>
        </w:rPr>
      </w:pPr>
      <w:bookmarkStart w:id="3111" w:name="_Toc5975"/>
      <w:bookmarkStart w:id="3112" w:name="_Toc16035"/>
      <w:bookmarkStart w:id="3113" w:name="_Toc15561"/>
      <w:bookmarkStart w:id="3114" w:name="_Toc17922"/>
      <w:bookmarkStart w:id="3115" w:name="_Toc19480"/>
      <w:bookmarkStart w:id="3116" w:name="_Toc26136"/>
      <w:bookmarkStart w:id="3117" w:name="_Toc17692"/>
      <w:r>
        <w:rPr>
          <w:rFonts w:hint="eastAsia" w:ascii="宋体" w:hAnsi="宋体" w:eastAsia="宋体" w:cs="Times New Roman"/>
          <w:b/>
          <w:color w:val="000000"/>
          <w:sz w:val="24"/>
          <w:szCs w:val="24"/>
        </w:rPr>
        <w:t>二、课程目标</w:t>
      </w:r>
      <w:bookmarkEnd w:id="3111"/>
      <w:bookmarkEnd w:id="3112"/>
      <w:bookmarkEnd w:id="3113"/>
      <w:bookmarkEnd w:id="3114"/>
      <w:bookmarkEnd w:id="3115"/>
      <w:bookmarkEnd w:id="3116"/>
      <w:bookmarkEnd w:id="3117"/>
    </w:p>
    <w:p w14:paraId="62FBFB61">
      <w:pPr>
        <w:spacing w:line="360" w:lineRule="auto"/>
        <w:ind w:firstLine="482" w:firstLineChars="200"/>
        <w:jc w:val="left"/>
        <w:outlineLvl w:val="1"/>
        <w:rPr>
          <w:rFonts w:ascii="宋体" w:hAnsi="宋体" w:eastAsia="宋体" w:cs="Times New Roman"/>
          <w:b/>
          <w:bCs/>
          <w:color w:val="000000"/>
          <w:sz w:val="24"/>
          <w:szCs w:val="24"/>
        </w:rPr>
      </w:pPr>
      <w:bookmarkStart w:id="3118" w:name="_Toc22011"/>
      <w:r>
        <w:rPr>
          <w:rFonts w:hint="eastAsia" w:ascii="宋体" w:hAnsi="宋体" w:eastAsia="宋体" w:cs="Times New Roman"/>
          <w:b/>
          <w:bCs/>
          <w:color w:val="000000"/>
          <w:sz w:val="24"/>
          <w:szCs w:val="24"/>
        </w:rPr>
        <w:t>（一）课程具体目标</w:t>
      </w:r>
      <w:bookmarkEnd w:id="3118"/>
    </w:p>
    <w:p w14:paraId="655F9CBB">
      <w:pPr>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1.</w:t>
      </w:r>
      <w:r>
        <w:rPr>
          <w:rFonts w:hint="eastAsia" w:ascii="宋体" w:hAnsi="宋体" w:eastAsia="宋体" w:cs="Times New Roman"/>
          <w:color w:val="000000"/>
          <w:sz w:val="24"/>
          <w:szCs w:val="24"/>
        </w:rPr>
        <w:t>了解小学日常生活，体验教师工作岗位，初步具有教师角色意识，认同教师职业，具有良好的学生观，尊重学生、关心学生，具有从事教师的理想信念。</w:t>
      </w:r>
    </w:p>
    <w:p w14:paraId="0CD8F81B">
      <w:pPr>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2.</w:t>
      </w:r>
      <w:r>
        <w:rPr>
          <w:rFonts w:hint="eastAsia" w:ascii="宋体" w:hAnsi="宋体" w:eastAsia="宋体" w:cs="Times New Roman"/>
          <w:color w:val="000000"/>
          <w:sz w:val="24"/>
          <w:szCs w:val="24"/>
        </w:rPr>
        <w:t>通过课堂教学和班队工作见习，了解小学教学与管理过程，理解所学知识与实践的关系，形成主动研究教育教学问题的意识。了解班级管理与班队活动的内容，认识到小学生德育工作、心理健康教育工作的重要性。</w:t>
      </w:r>
    </w:p>
    <w:p w14:paraId="165B67CF">
      <w:pPr>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3.</w:t>
      </w:r>
      <w:r>
        <w:rPr>
          <w:rFonts w:hint="eastAsia" w:ascii="宋体" w:hAnsi="宋体" w:eastAsia="宋体" w:cs="Times New Roman"/>
          <w:color w:val="000000"/>
          <w:sz w:val="24"/>
          <w:szCs w:val="24"/>
        </w:rPr>
        <w:t>通过与小学生相处，了解小学生心理发展的特点，愿意亲近学生，理解学科育人、管理育人、活动育人，建立综合育人的基本观念。</w:t>
      </w:r>
    </w:p>
    <w:p w14:paraId="12493C9E">
      <w:pPr>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4.</w:t>
      </w:r>
      <w:r>
        <w:rPr>
          <w:rFonts w:hint="eastAsia" w:ascii="宋体" w:hAnsi="宋体" w:eastAsia="宋体" w:cs="Times New Roman"/>
          <w:color w:val="000000"/>
          <w:sz w:val="24"/>
          <w:szCs w:val="24"/>
        </w:rPr>
        <w:t>通过分组实习，主动与他人合作学习，主动与指导教师、小学生、学生家长进行积极沟通，了解沟通交流的一些方法。</w:t>
      </w:r>
    </w:p>
    <w:p w14:paraId="33ECE877">
      <w:pPr>
        <w:spacing w:line="360" w:lineRule="auto"/>
        <w:ind w:firstLine="482" w:firstLineChars="200"/>
        <w:jc w:val="left"/>
        <w:outlineLvl w:val="1"/>
        <w:rPr>
          <w:rFonts w:ascii="宋体" w:hAnsi="宋体" w:eastAsia="宋体" w:cs="Times New Roman"/>
          <w:b/>
          <w:bCs/>
          <w:color w:val="000000"/>
          <w:sz w:val="24"/>
          <w:szCs w:val="24"/>
        </w:rPr>
      </w:pPr>
      <w:bookmarkStart w:id="3119" w:name="_Toc328"/>
      <w:r>
        <w:rPr>
          <w:rFonts w:hint="eastAsia" w:ascii="宋体" w:hAnsi="宋体" w:eastAsia="宋体" w:cs="Times New Roman"/>
          <w:b/>
          <w:bCs/>
          <w:color w:val="000000"/>
          <w:sz w:val="24"/>
          <w:szCs w:val="24"/>
        </w:rPr>
        <w:t>（二）课程目标及其对毕业要求指标点的支撑</w:t>
      </w:r>
      <w:bookmarkEnd w:id="3119"/>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0D64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76610A5B">
            <w:pPr>
              <w:spacing w:line="360" w:lineRule="auto"/>
              <w:jc w:val="center"/>
              <w:rPr>
                <w:rFonts w:ascii="宋体" w:hAnsi="宋体" w:eastAsia="宋体" w:cs="Times New Roman"/>
                <w:b/>
                <w:bCs/>
                <w:kern w:val="0"/>
                <w:sz w:val="21"/>
                <w:szCs w:val="21"/>
              </w:rPr>
            </w:pPr>
            <w:r>
              <w:rPr>
                <w:rFonts w:hint="eastAsia" w:ascii="宋体" w:hAnsi="宋体" w:eastAsia="宋体" w:cs="Times New Roman"/>
                <w:b/>
                <w:bCs/>
                <w:kern w:val="0"/>
                <w:sz w:val="21"/>
                <w:szCs w:val="21"/>
              </w:rPr>
              <w:t>毕业要求</w:t>
            </w:r>
          </w:p>
        </w:tc>
        <w:tc>
          <w:tcPr>
            <w:tcW w:w="6095" w:type="dxa"/>
            <w:vAlign w:val="center"/>
          </w:tcPr>
          <w:p w14:paraId="314AA907">
            <w:pPr>
              <w:spacing w:line="360" w:lineRule="auto"/>
              <w:jc w:val="center"/>
              <w:rPr>
                <w:rFonts w:ascii="宋体" w:hAnsi="宋体" w:eastAsia="宋体" w:cs="Times New Roman"/>
                <w:b/>
                <w:bCs/>
                <w:kern w:val="0"/>
                <w:sz w:val="21"/>
                <w:szCs w:val="21"/>
              </w:rPr>
            </w:pPr>
            <w:r>
              <w:rPr>
                <w:rFonts w:hint="eastAsia" w:ascii="宋体" w:hAnsi="宋体" w:eastAsia="宋体" w:cs="Times New Roman"/>
                <w:b/>
                <w:bCs/>
                <w:kern w:val="0"/>
                <w:sz w:val="21"/>
                <w:szCs w:val="21"/>
              </w:rPr>
              <w:t>毕业要求指标点</w:t>
            </w:r>
          </w:p>
        </w:tc>
        <w:tc>
          <w:tcPr>
            <w:tcW w:w="1327" w:type="dxa"/>
            <w:vAlign w:val="center"/>
          </w:tcPr>
          <w:p w14:paraId="20AE7785">
            <w:pPr>
              <w:spacing w:line="360" w:lineRule="auto"/>
              <w:jc w:val="center"/>
              <w:rPr>
                <w:rFonts w:ascii="宋体" w:hAnsi="宋体" w:eastAsia="宋体" w:cs="Times New Roman"/>
                <w:b/>
                <w:bCs/>
                <w:kern w:val="0"/>
                <w:sz w:val="21"/>
                <w:szCs w:val="21"/>
              </w:rPr>
            </w:pPr>
            <w:r>
              <w:rPr>
                <w:rFonts w:hint="eastAsia" w:ascii="宋体" w:hAnsi="宋体" w:eastAsia="宋体" w:cs="Times New Roman"/>
                <w:b/>
                <w:bCs/>
                <w:kern w:val="0"/>
                <w:sz w:val="21"/>
                <w:szCs w:val="21"/>
              </w:rPr>
              <w:t>课程目标</w:t>
            </w:r>
          </w:p>
        </w:tc>
      </w:tr>
      <w:tr w14:paraId="254A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42D674F">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毕业要求1</w:t>
            </w:r>
            <w:r>
              <w:rPr>
                <w:rFonts w:ascii="宋体" w:hAnsi="宋体" w:eastAsia="宋体" w:cs="Times New Roman"/>
                <w:kern w:val="0"/>
                <w:sz w:val="21"/>
                <w:szCs w:val="21"/>
              </w:rPr>
              <w:t>：</w:t>
            </w:r>
          </w:p>
        </w:tc>
        <w:tc>
          <w:tcPr>
            <w:tcW w:w="6095" w:type="dxa"/>
            <w:vAlign w:val="center"/>
          </w:tcPr>
          <w:p w14:paraId="1917E9D9">
            <w:pPr>
              <w:widowControl/>
              <w:shd w:val="clear" w:color="auto" w:fill="FFFFFF"/>
              <w:spacing w:before="100" w:beforeAutospacing="1" w:after="100" w:afterAutospacing="1"/>
              <w:jc w:val="both"/>
              <w:rPr>
                <w:rFonts w:hint="eastAsia" w:ascii="宋体" w:hAnsi="宋体" w:eastAsia="宋体" w:cs="宋体"/>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指标点</w:t>
            </w:r>
            <w:r>
              <w:rPr>
                <w:rFonts w:ascii="宋体" w:hAnsi="宋体" w:eastAsia="宋体" w:cs="宋体"/>
                <w:color w:val="000000"/>
                <w:spacing w:val="2"/>
                <w:kern w:val="0"/>
                <w:sz w:val="21"/>
                <w:szCs w:val="21"/>
                <w:lang w:val="en-US" w:eastAsia="zh-CN" w:bidi="ar-SA"/>
              </w:rPr>
              <w:t>1-2:</w:t>
            </w:r>
            <w:r>
              <w:rPr>
                <w:rFonts w:hint="eastAsia" w:ascii="宋体" w:hAnsi="宋体" w:eastAsia="宋体" w:cs="宋体"/>
                <w:kern w:val="0"/>
                <w:sz w:val="21"/>
                <w:szCs w:val="21"/>
                <w:lang w:val="en-US" w:eastAsia="zh-CN" w:bidi="ar-SA"/>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02DF9195">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w:t>
            </w:r>
            <w:r>
              <w:rPr>
                <w:rFonts w:ascii="宋体" w:hAnsi="宋体" w:eastAsia="宋体" w:cs="Times New Roman"/>
                <w:kern w:val="0"/>
                <w:sz w:val="21"/>
                <w:szCs w:val="21"/>
              </w:rPr>
              <w:t>1</w:t>
            </w:r>
          </w:p>
        </w:tc>
      </w:tr>
      <w:tr w14:paraId="1F71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77DF8CBB">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毕业要求2</w:t>
            </w:r>
            <w:r>
              <w:rPr>
                <w:rFonts w:ascii="宋体" w:hAnsi="宋体" w:eastAsia="宋体" w:cs="Times New Roman"/>
                <w:kern w:val="0"/>
                <w:sz w:val="21"/>
                <w:szCs w:val="21"/>
              </w:rPr>
              <w:t>:</w:t>
            </w:r>
          </w:p>
        </w:tc>
        <w:tc>
          <w:tcPr>
            <w:tcW w:w="6095" w:type="dxa"/>
            <w:vAlign w:val="center"/>
          </w:tcPr>
          <w:p w14:paraId="2ED7B41F">
            <w:pPr>
              <w:widowControl/>
              <w:shd w:val="clear" w:color="auto" w:fill="FFFFFF"/>
              <w:spacing w:before="100" w:beforeAutospacing="1" w:after="100" w:afterAutospacing="1"/>
              <w:jc w:val="left"/>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指标点2</w:t>
            </w:r>
            <w:r>
              <w:rPr>
                <w:rFonts w:ascii="宋体" w:hAnsi="宋体" w:eastAsia="宋体" w:cs="宋体"/>
                <w:color w:val="000000"/>
                <w:spacing w:val="2"/>
                <w:kern w:val="0"/>
                <w:sz w:val="21"/>
                <w:szCs w:val="21"/>
                <w:lang w:val="en-US" w:eastAsia="zh-CN" w:bidi="ar-SA"/>
              </w:rPr>
              <w:t>-2</w:t>
            </w:r>
            <w:r>
              <w:rPr>
                <w:rFonts w:hint="eastAsia" w:ascii="宋体" w:hAnsi="宋体" w:eastAsia="宋体" w:cs="宋体"/>
                <w:color w:val="000000"/>
                <w:spacing w:val="2"/>
                <w:kern w:val="0"/>
                <w:sz w:val="21"/>
                <w:szCs w:val="21"/>
                <w:lang w:val="en-US" w:eastAsia="zh-CN" w:bidi="ar-SA"/>
              </w:rPr>
              <w:t>：</w:t>
            </w:r>
            <w:r>
              <w:rPr>
                <w:rFonts w:hint="eastAsia" w:ascii="宋体" w:hAnsi="宋体" w:eastAsia="宋体" w:cs="宋体"/>
                <w:kern w:val="0"/>
                <w:sz w:val="21"/>
                <w:szCs w:val="21"/>
                <w:lang w:val="en-US" w:eastAsia="zh-CN" w:bidi="ar-SA"/>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33AE7B3A">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2C61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55" w:type="dxa"/>
            <w:vMerge w:val="restart"/>
            <w:vAlign w:val="center"/>
          </w:tcPr>
          <w:p w14:paraId="5E2EEF48">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毕业要求4</w:t>
            </w:r>
            <w:r>
              <w:rPr>
                <w:rFonts w:ascii="宋体" w:hAnsi="宋体" w:eastAsia="宋体" w:cs="Times New Roman"/>
                <w:kern w:val="0"/>
                <w:sz w:val="21"/>
                <w:szCs w:val="21"/>
              </w:rPr>
              <w:t>:</w:t>
            </w:r>
          </w:p>
        </w:tc>
        <w:tc>
          <w:tcPr>
            <w:tcW w:w="6095" w:type="dxa"/>
            <w:vAlign w:val="center"/>
          </w:tcPr>
          <w:p w14:paraId="0D39F626">
            <w:pPr>
              <w:widowControl/>
              <w:spacing w:before="100" w:beforeAutospacing="1" w:after="100" w:afterAutospacing="1"/>
              <w:jc w:val="both"/>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指标点4</w:t>
            </w:r>
            <w:r>
              <w:rPr>
                <w:rFonts w:ascii="宋体" w:hAnsi="宋体" w:eastAsia="宋体" w:cs="宋体"/>
                <w:color w:val="000000"/>
                <w:spacing w:val="2"/>
                <w:kern w:val="0"/>
                <w:sz w:val="21"/>
                <w:szCs w:val="21"/>
                <w:lang w:val="en-US" w:eastAsia="zh-CN" w:bidi="ar-SA"/>
              </w:rPr>
              <w:t>-2</w:t>
            </w:r>
            <w:r>
              <w:rPr>
                <w:rFonts w:hint="eastAsia" w:ascii="宋体" w:hAnsi="宋体" w:eastAsia="宋体" w:cs="宋体"/>
                <w:color w:val="000000"/>
                <w:spacing w:val="2"/>
                <w:kern w:val="0"/>
                <w:sz w:val="21"/>
                <w:szCs w:val="21"/>
                <w:lang w:val="en-US" w:eastAsia="zh-CN" w:bidi="ar-SA"/>
              </w:rPr>
              <w:t>：</w:t>
            </w:r>
            <w:r>
              <w:rPr>
                <w:rFonts w:hint="eastAsia" w:ascii="宋体" w:hAnsi="宋体" w:eastAsia="宋体" w:cs="宋体"/>
                <w:kern w:val="0"/>
                <w:sz w:val="21"/>
                <w:szCs w:val="21"/>
                <w:lang w:val="en-US" w:eastAsia="zh-CN" w:bidi="ar-SA"/>
              </w:rPr>
              <w:t>【教学设计恰当】能针对小学生已有的知识水平、 学习经验和兴趣特点，依据课标确定恰当的学习目标和学习重 点，设计学习活动。能依据单元内容进行整体设计，科学合理地依据教学目标及内容设计作业。</w:t>
            </w:r>
          </w:p>
        </w:tc>
        <w:tc>
          <w:tcPr>
            <w:tcW w:w="1327" w:type="dxa"/>
            <w:vMerge w:val="restart"/>
            <w:vAlign w:val="center"/>
          </w:tcPr>
          <w:p w14:paraId="5AF3D754">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33C3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55" w:type="dxa"/>
            <w:vMerge w:val="continue"/>
            <w:vAlign w:val="center"/>
          </w:tcPr>
          <w:p w14:paraId="4A9679E0">
            <w:pPr>
              <w:spacing w:line="276" w:lineRule="auto"/>
              <w:jc w:val="center"/>
              <w:rPr>
                <w:rFonts w:hint="eastAsia" w:ascii="宋体" w:hAnsi="宋体" w:eastAsia="宋体" w:cs="Times New Roman"/>
                <w:kern w:val="0"/>
                <w:sz w:val="21"/>
                <w:szCs w:val="21"/>
              </w:rPr>
            </w:pPr>
          </w:p>
        </w:tc>
        <w:tc>
          <w:tcPr>
            <w:tcW w:w="6095" w:type="dxa"/>
            <w:vAlign w:val="center"/>
          </w:tcPr>
          <w:p w14:paraId="436DC134">
            <w:pPr>
              <w:widowControl/>
              <w:spacing w:before="100" w:beforeAutospacing="1" w:after="100" w:afterAutospacing="1"/>
              <w:jc w:val="both"/>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指标点4</w:t>
            </w:r>
            <w:r>
              <w:rPr>
                <w:rFonts w:ascii="宋体" w:hAnsi="宋体" w:eastAsia="宋体" w:cs="宋体"/>
                <w:color w:val="000000"/>
                <w:spacing w:val="2"/>
                <w:kern w:val="0"/>
                <w:sz w:val="21"/>
                <w:szCs w:val="21"/>
                <w:lang w:val="en-US" w:eastAsia="zh-CN" w:bidi="ar-SA"/>
              </w:rPr>
              <w:t>-3</w:t>
            </w:r>
            <w:r>
              <w:rPr>
                <w:rFonts w:hint="eastAsia" w:ascii="宋体" w:hAnsi="宋体" w:eastAsia="宋体" w:cs="宋体"/>
                <w:color w:val="000000"/>
                <w:spacing w:val="2"/>
                <w:kern w:val="0"/>
                <w:sz w:val="21"/>
                <w:szCs w:val="21"/>
                <w:lang w:val="en-US" w:eastAsia="zh-CN" w:bidi="ar-SA"/>
              </w:rPr>
              <w:t>：</w:t>
            </w:r>
            <w:r>
              <w:rPr>
                <w:rFonts w:hint="eastAsia" w:ascii="宋体" w:hAnsi="宋体" w:eastAsia="宋体" w:cs="宋体"/>
                <w:kern w:val="0"/>
                <w:sz w:val="21"/>
                <w:szCs w:val="21"/>
                <w:lang w:val="en-US" w:eastAsia="zh-CN" w:bidi="ar-SA"/>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79EE5AD2">
            <w:pPr>
              <w:spacing w:line="276" w:lineRule="auto"/>
              <w:jc w:val="left"/>
              <w:rPr>
                <w:rFonts w:hint="eastAsia" w:ascii="宋体" w:hAnsi="宋体" w:eastAsia="宋体" w:cs="Times New Roman"/>
                <w:kern w:val="0"/>
                <w:sz w:val="21"/>
                <w:szCs w:val="21"/>
              </w:rPr>
            </w:pPr>
          </w:p>
        </w:tc>
      </w:tr>
      <w:tr w14:paraId="326E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2B6AE39">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毕业要求5</w:t>
            </w:r>
            <w:r>
              <w:rPr>
                <w:rFonts w:ascii="宋体" w:hAnsi="宋体" w:eastAsia="宋体" w:cs="Times New Roman"/>
                <w:kern w:val="0"/>
                <w:sz w:val="21"/>
                <w:szCs w:val="21"/>
              </w:rPr>
              <w:t>:</w:t>
            </w:r>
          </w:p>
        </w:tc>
        <w:tc>
          <w:tcPr>
            <w:tcW w:w="6095" w:type="dxa"/>
            <w:vAlign w:val="center"/>
          </w:tcPr>
          <w:p w14:paraId="2A228795">
            <w:pPr>
              <w:widowControl/>
              <w:spacing w:before="100" w:beforeAutospacing="1" w:after="100" w:afterAutospacing="1"/>
              <w:jc w:val="both"/>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指标点5</w:t>
            </w:r>
            <w:r>
              <w:rPr>
                <w:rFonts w:ascii="宋体" w:hAnsi="宋体" w:eastAsia="宋体" w:cs="宋体"/>
                <w:color w:val="000000"/>
                <w:spacing w:val="2"/>
                <w:kern w:val="0"/>
                <w:sz w:val="21"/>
                <w:szCs w:val="21"/>
                <w:lang w:val="en-US" w:eastAsia="zh-CN" w:bidi="ar-SA"/>
              </w:rPr>
              <w:t>-1:</w:t>
            </w:r>
            <w:r>
              <w:rPr>
                <w:rFonts w:hint="eastAsia" w:ascii="宋体" w:hAnsi="宋体" w:eastAsia="宋体" w:cs="宋体"/>
                <w:kern w:val="0"/>
                <w:sz w:val="21"/>
                <w:szCs w:val="21"/>
                <w:lang w:val="en-US" w:eastAsia="zh-CN" w:bidi="ar-SA"/>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3BD3EA39">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课程目标3</w:t>
            </w:r>
          </w:p>
        </w:tc>
      </w:tr>
      <w:tr w14:paraId="28AA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1A85B737">
            <w:pPr>
              <w:spacing w:line="276" w:lineRule="auto"/>
              <w:jc w:val="center"/>
              <w:rPr>
                <w:rFonts w:hint="eastAsia" w:ascii="宋体" w:hAnsi="宋体" w:eastAsia="宋体" w:cs="Times New Roman"/>
                <w:kern w:val="0"/>
                <w:sz w:val="21"/>
                <w:szCs w:val="21"/>
              </w:rPr>
            </w:pPr>
          </w:p>
        </w:tc>
        <w:tc>
          <w:tcPr>
            <w:tcW w:w="6095" w:type="dxa"/>
            <w:vAlign w:val="center"/>
          </w:tcPr>
          <w:p w14:paraId="24A3AEE7">
            <w:pPr>
              <w:widowControl/>
              <w:spacing w:before="100" w:beforeAutospacing="1" w:after="100" w:afterAutospacing="1"/>
              <w:jc w:val="left"/>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指标点5</w:t>
            </w:r>
            <w:r>
              <w:rPr>
                <w:rFonts w:ascii="宋体" w:hAnsi="宋体" w:eastAsia="宋体" w:cs="宋体"/>
                <w:color w:val="000000"/>
                <w:spacing w:val="2"/>
                <w:kern w:val="0"/>
                <w:sz w:val="21"/>
                <w:szCs w:val="21"/>
                <w:lang w:val="en-US" w:eastAsia="zh-CN" w:bidi="ar-SA"/>
              </w:rPr>
              <w:t>-2:</w:t>
            </w:r>
            <w:r>
              <w:rPr>
                <w:rFonts w:hint="eastAsia" w:ascii="宋体" w:hAnsi="宋体" w:eastAsia="宋体" w:cs="宋体"/>
                <w:kern w:val="0"/>
                <w:sz w:val="21"/>
                <w:szCs w:val="21"/>
                <w:lang w:val="en-US" w:eastAsia="zh-CN" w:bidi="ar-SA"/>
              </w:rPr>
              <w:t>【重视身心健康教育】了解小学生身体、情感发展 的特性和差异性，包括小学生日常卫生保健、传染病预防、意外 伤害事故处理等相关知识，掌握面临特殊事件发生时保护学生的 基本方法。获得小学心理健康教育指导体验，在教育教学实践中， 参与组织与指导对小学生心理健康教育的科普宣传及心理辅导， 掌握小学心理健康教育的基本方法。</w:t>
            </w:r>
          </w:p>
        </w:tc>
        <w:tc>
          <w:tcPr>
            <w:tcW w:w="1327" w:type="dxa"/>
            <w:vAlign w:val="center"/>
          </w:tcPr>
          <w:p w14:paraId="64A18DA3">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课程目标3</w:t>
            </w:r>
          </w:p>
        </w:tc>
      </w:tr>
      <w:tr w14:paraId="02AE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43CAB3C">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毕业要求6</w:t>
            </w:r>
            <w:r>
              <w:rPr>
                <w:rFonts w:ascii="宋体" w:hAnsi="宋体" w:eastAsia="宋体" w:cs="Times New Roman"/>
                <w:kern w:val="0"/>
                <w:sz w:val="21"/>
                <w:szCs w:val="21"/>
              </w:rPr>
              <w:t>:</w:t>
            </w:r>
          </w:p>
        </w:tc>
        <w:tc>
          <w:tcPr>
            <w:tcW w:w="6095" w:type="dxa"/>
            <w:vAlign w:val="center"/>
          </w:tcPr>
          <w:p w14:paraId="7F1FAF13">
            <w:pPr>
              <w:widowControl/>
              <w:spacing w:before="100" w:beforeAutospacing="1" w:after="100" w:afterAutospacing="1"/>
              <w:jc w:val="both"/>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指标点6</w:t>
            </w:r>
            <w:r>
              <w:rPr>
                <w:rFonts w:ascii="宋体" w:hAnsi="宋体" w:eastAsia="宋体" w:cs="宋体"/>
                <w:color w:val="000000"/>
                <w:spacing w:val="2"/>
                <w:kern w:val="0"/>
                <w:sz w:val="21"/>
                <w:szCs w:val="21"/>
                <w:lang w:val="en-US" w:eastAsia="zh-CN" w:bidi="ar-SA"/>
              </w:rPr>
              <w:t>-1:</w:t>
            </w:r>
            <w:r>
              <w:rPr>
                <w:rFonts w:hint="eastAsia" w:ascii="宋体" w:hAnsi="宋体" w:eastAsia="宋体" w:cs="宋体"/>
                <w:kern w:val="0"/>
                <w:sz w:val="21"/>
                <w:szCs w:val="21"/>
                <w:lang w:val="en-US" w:eastAsia="zh-CN" w:bidi="ar-SA"/>
              </w:rPr>
              <w:t>【遵循身心规律】了解不同年龄以及有特殊需要的小学生的身心发展特点和规律、不同年龄小学生学习的特点，掌 握小学生良好行为习惯养成的知识。</w:t>
            </w:r>
          </w:p>
        </w:tc>
        <w:tc>
          <w:tcPr>
            <w:tcW w:w="1327" w:type="dxa"/>
            <w:vAlign w:val="center"/>
          </w:tcPr>
          <w:p w14:paraId="13366DD5">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课程目标3</w:t>
            </w:r>
          </w:p>
        </w:tc>
      </w:tr>
      <w:tr w14:paraId="3183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7CEA372E">
            <w:pPr>
              <w:spacing w:line="276" w:lineRule="auto"/>
              <w:jc w:val="center"/>
              <w:rPr>
                <w:rFonts w:hint="eastAsia" w:ascii="宋体" w:hAnsi="宋体" w:eastAsia="宋体" w:cs="Times New Roman"/>
                <w:kern w:val="0"/>
                <w:sz w:val="21"/>
                <w:szCs w:val="21"/>
              </w:rPr>
            </w:pPr>
          </w:p>
        </w:tc>
        <w:tc>
          <w:tcPr>
            <w:tcW w:w="6095" w:type="dxa"/>
            <w:vAlign w:val="center"/>
          </w:tcPr>
          <w:p w14:paraId="69D08186">
            <w:pPr>
              <w:widowControl/>
              <w:spacing w:before="100" w:beforeAutospacing="1" w:after="100" w:afterAutospacing="1"/>
              <w:jc w:val="both"/>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指标点6</w:t>
            </w:r>
            <w:r>
              <w:rPr>
                <w:rFonts w:ascii="宋体" w:hAnsi="宋体" w:eastAsia="宋体" w:cs="宋体"/>
                <w:color w:val="000000"/>
                <w:spacing w:val="2"/>
                <w:kern w:val="0"/>
                <w:sz w:val="21"/>
                <w:szCs w:val="21"/>
                <w:lang w:val="en-US" w:eastAsia="zh-CN" w:bidi="ar-SA"/>
              </w:rPr>
              <w:t>-2:</w:t>
            </w:r>
            <w:r>
              <w:rPr>
                <w:rFonts w:hint="eastAsia" w:ascii="宋体" w:hAnsi="宋体" w:eastAsia="宋体" w:cs="宋体"/>
                <w:kern w:val="0"/>
                <w:sz w:val="21"/>
                <w:szCs w:val="21"/>
                <w:lang w:val="en-US" w:eastAsia="zh-CN" w:bidi="ar-SA"/>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7336A988">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课程目标1</w:t>
            </w:r>
          </w:p>
        </w:tc>
      </w:tr>
      <w:tr w14:paraId="4796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3DD0D605">
            <w:pPr>
              <w:spacing w:line="276" w:lineRule="auto"/>
              <w:jc w:val="center"/>
              <w:rPr>
                <w:rFonts w:hint="eastAsia" w:ascii="宋体" w:hAnsi="宋体" w:eastAsia="宋体" w:cs="Times New Roman"/>
                <w:kern w:val="0"/>
                <w:sz w:val="21"/>
                <w:szCs w:val="21"/>
              </w:rPr>
            </w:pPr>
          </w:p>
        </w:tc>
        <w:tc>
          <w:tcPr>
            <w:tcW w:w="6095" w:type="dxa"/>
            <w:vAlign w:val="center"/>
          </w:tcPr>
          <w:p w14:paraId="5A571745">
            <w:pPr>
              <w:widowControl/>
              <w:spacing w:before="100" w:beforeAutospacing="1" w:after="100" w:afterAutospacing="1"/>
              <w:jc w:val="both"/>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指标点6</w:t>
            </w:r>
            <w:r>
              <w:rPr>
                <w:rFonts w:ascii="宋体" w:hAnsi="宋体" w:eastAsia="宋体" w:cs="宋体"/>
                <w:color w:val="000000"/>
                <w:spacing w:val="2"/>
                <w:kern w:val="0"/>
                <w:sz w:val="21"/>
                <w:szCs w:val="21"/>
                <w:lang w:val="en-US" w:eastAsia="zh-CN" w:bidi="ar-SA"/>
              </w:rPr>
              <w:t>-3:</w:t>
            </w:r>
            <w:r>
              <w:rPr>
                <w:rFonts w:hint="eastAsia" w:ascii="宋体" w:hAnsi="宋体" w:eastAsia="宋体" w:cs="宋体"/>
                <w:kern w:val="0"/>
                <w:sz w:val="21"/>
                <w:szCs w:val="21"/>
                <w:lang w:val="en-US" w:eastAsia="zh-CN" w:bidi="ar-SA"/>
              </w:rPr>
              <w:t xml:space="preserve"> 【善于文化与活动育人】了解课外活动组织和管理 知识，掌握学校文化和各类课外教育活动的育人内涵和方法，在 教育教学实践中，参与组织主题教育、少先队活动和社团活动， 促进小学生全面、健康发展。</w:t>
            </w:r>
          </w:p>
        </w:tc>
        <w:tc>
          <w:tcPr>
            <w:tcW w:w="1327" w:type="dxa"/>
            <w:vAlign w:val="center"/>
          </w:tcPr>
          <w:p w14:paraId="32DF1778">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6B11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1C5FC02">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毕业要求7</w:t>
            </w:r>
            <w:r>
              <w:rPr>
                <w:rFonts w:ascii="宋体" w:hAnsi="宋体" w:eastAsia="宋体" w:cs="Times New Roman"/>
                <w:kern w:val="0"/>
                <w:sz w:val="21"/>
                <w:szCs w:val="21"/>
              </w:rPr>
              <w:t>:</w:t>
            </w:r>
          </w:p>
        </w:tc>
        <w:tc>
          <w:tcPr>
            <w:tcW w:w="6095" w:type="dxa"/>
            <w:vAlign w:val="center"/>
          </w:tcPr>
          <w:p w14:paraId="048214D0">
            <w:pPr>
              <w:widowControl/>
              <w:spacing w:before="100" w:beforeAutospacing="1" w:after="100" w:afterAutospacing="1"/>
              <w:jc w:val="left"/>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指标点7</w:t>
            </w:r>
            <w:r>
              <w:rPr>
                <w:rFonts w:ascii="宋体" w:hAnsi="宋体" w:eastAsia="宋体" w:cs="宋体"/>
                <w:color w:val="000000"/>
                <w:spacing w:val="2"/>
                <w:kern w:val="0"/>
                <w:sz w:val="21"/>
                <w:szCs w:val="21"/>
                <w:lang w:val="en-US" w:eastAsia="zh-CN" w:bidi="ar-SA"/>
              </w:rPr>
              <w:t>-3:</w:t>
            </w:r>
            <w:r>
              <w:rPr>
                <w:rFonts w:hint="eastAsia" w:ascii="宋体" w:hAnsi="宋体" w:eastAsia="宋体" w:cs="宋体"/>
                <w:kern w:val="0"/>
                <w:sz w:val="21"/>
                <w:szCs w:val="21"/>
                <w:lang w:val="en-US" w:eastAsia="zh-CN" w:bidi="ar-SA"/>
              </w:rPr>
              <w:t xml:space="preserve"> 【反思改进良好】具有反思意识和批判性思维素养， 初步掌握反思方法和技能，具有一定创新意识，掌握收集和挖掘 教育教学实践中的案例、关键事件的方法，不断进行反思，启发 教育教学工作。对在日常学习和教育实践中发现的教育现象和问 题，进行探索和研究，有自己的思考和见解。</w:t>
            </w:r>
          </w:p>
        </w:tc>
        <w:tc>
          <w:tcPr>
            <w:tcW w:w="1327" w:type="dxa"/>
            <w:vAlign w:val="center"/>
          </w:tcPr>
          <w:p w14:paraId="3E5791D3">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355E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41E632E">
            <w:pPr>
              <w:spacing w:line="276" w:lineRule="auto"/>
              <w:jc w:val="center"/>
              <w:rPr>
                <w:rFonts w:hint="eastAsia" w:ascii="宋体" w:hAnsi="宋体" w:eastAsia="宋体" w:cs="Times New Roman"/>
                <w:kern w:val="0"/>
                <w:sz w:val="21"/>
                <w:szCs w:val="21"/>
              </w:rPr>
            </w:pPr>
            <w:r>
              <w:rPr>
                <w:rFonts w:hint="eastAsia" w:ascii="宋体" w:hAnsi="宋体" w:eastAsia="宋体" w:cs="Times New Roman"/>
                <w:kern w:val="0"/>
                <w:sz w:val="21"/>
                <w:szCs w:val="21"/>
              </w:rPr>
              <w:t>毕业要求8</w:t>
            </w:r>
            <w:r>
              <w:rPr>
                <w:rFonts w:ascii="宋体" w:hAnsi="宋体" w:eastAsia="宋体" w:cs="Times New Roman"/>
                <w:kern w:val="0"/>
                <w:sz w:val="21"/>
                <w:szCs w:val="21"/>
              </w:rPr>
              <w:t>:</w:t>
            </w:r>
          </w:p>
        </w:tc>
        <w:tc>
          <w:tcPr>
            <w:tcW w:w="6095" w:type="dxa"/>
            <w:vAlign w:val="center"/>
          </w:tcPr>
          <w:p w14:paraId="6AE99061">
            <w:pPr>
              <w:widowControl/>
              <w:spacing w:before="100" w:beforeAutospacing="1" w:after="100" w:afterAutospacing="1"/>
              <w:jc w:val="left"/>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指标点8</w:t>
            </w:r>
            <w:r>
              <w:rPr>
                <w:rFonts w:ascii="宋体" w:hAnsi="宋体" w:eastAsia="宋体" w:cs="宋体"/>
                <w:color w:val="000000"/>
                <w:spacing w:val="2"/>
                <w:kern w:val="0"/>
                <w:sz w:val="21"/>
                <w:szCs w:val="21"/>
                <w:lang w:val="en-US" w:eastAsia="zh-CN" w:bidi="ar-SA"/>
              </w:rPr>
              <w:t>-1:</w:t>
            </w:r>
            <w:r>
              <w:rPr>
                <w:rFonts w:hint="eastAsia" w:ascii="宋体" w:hAnsi="宋体" w:eastAsia="宋体" w:cs="宋体"/>
                <w:kern w:val="0"/>
                <w:sz w:val="21"/>
                <w:szCs w:val="21"/>
                <w:lang w:val="en-US" w:eastAsia="zh-CN" w:bidi="ar-SA"/>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74A5BB24">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课程目标4</w:t>
            </w:r>
          </w:p>
        </w:tc>
      </w:tr>
      <w:tr w14:paraId="2C9A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41D1DFCD">
            <w:pPr>
              <w:spacing w:line="276" w:lineRule="auto"/>
              <w:jc w:val="center"/>
              <w:rPr>
                <w:rFonts w:hint="eastAsia" w:ascii="宋体" w:hAnsi="宋体" w:eastAsia="宋体" w:cs="Times New Roman"/>
                <w:kern w:val="0"/>
                <w:sz w:val="21"/>
                <w:szCs w:val="21"/>
              </w:rPr>
            </w:pPr>
          </w:p>
        </w:tc>
        <w:tc>
          <w:tcPr>
            <w:tcW w:w="6095" w:type="dxa"/>
            <w:vAlign w:val="center"/>
          </w:tcPr>
          <w:p w14:paraId="7A863A11">
            <w:pPr>
              <w:widowControl/>
              <w:spacing w:before="100" w:beforeAutospacing="1" w:after="100" w:afterAutospacing="1"/>
              <w:jc w:val="left"/>
              <w:rPr>
                <w:rFonts w:hint="eastAsia"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指标点8</w:t>
            </w:r>
            <w:r>
              <w:rPr>
                <w:rFonts w:ascii="宋体" w:hAnsi="宋体" w:eastAsia="宋体" w:cs="宋体"/>
                <w:color w:val="000000"/>
                <w:spacing w:val="2"/>
                <w:kern w:val="0"/>
                <w:sz w:val="21"/>
                <w:szCs w:val="21"/>
                <w:lang w:val="en-US" w:eastAsia="zh-CN" w:bidi="ar-SA"/>
              </w:rPr>
              <w:t>-2:</w:t>
            </w:r>
            <w:r>
              <w:rPr>
                <w:rFonts w:hint="eastAsia" w:ascii="宋体" w:hAnsi="宋体" w:eastAsia="宋体" w:cs="宋体"/>
                <w:kern w:val="0"/>
                <w:sz w:val="21"/>
                <w:szCs w:val="21"/>
                <w:lang w:val="en-US" w:eastAsia="zh-CN" w:bidi="ar-SA"/>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0F743CDD">
            <w:pPr>
              <w:spacing w:line="276" w:lineRule="auto"/>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课程目标4</w:t>
            </w:r>
          </w:p>
        </w:tc>
      </w:tr>
    </w:tbl>
    <w:p w14:paraId="1EB181D4">
      <w:pPr>
        <w:spacing w:line="360" w:lineRule="auto"/>
        <w:ind w:firstLine="482" w:firstLineChars="200"/>
        <w:jc w:val="left"/>
        <w:outlineLvl w:val="1"/>
        <w:rPr>
          <w:rFonts w:ascii="宋体" w:hAnsi="宋体" w:eastAsia="宋体" w:cs="Times New Roman"/>
          <w:b/>
          <w:bCs/>
          <w:color w:val="000000"/>
          <w:sz w:val="24"/>
          <w:szCs w:val="24"/>
        </w:rPr>
      </w:pPr>
      <w:bookmarkStart w:id="3120" w:name="_Toc8232"/>
      <w:r>
        <w:rPr>
          <w:rFonts w:hint="eastAsia" w:ascii="宋体" w:hAnsi="宋体" w:eastAsia="宋体" w:cs="Times New Roman"/>
          <w:b/>
          <w:bCs/>
          <w:color w:val="000000"/>
          <w:sz w:val="24"/>
          <w:szCs w:val="24"/>
        </w:rPr>
        <w:t>（三）课程思政目标</w:t>
      </w:r>
      <w:bookmarkEnd w:id="3120"/>
    </w:p>
    <w:p w14:paraId="4152D624">
      <w:pPr>
        <w:spacing w:line="360" w:lineRule="auto"/>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坚定教育理念，增强教育情怀，在工作和实践中善于学习，正确认识教育规律，关心关爱学生，</w:t>
      </w:r>
      <w:r>
        <w:rPr>
          <w:rFonts w:ascii="宋体" w:hAnsi="宋体" w:eastAsia="宋体" w:cs="Times New Roman"/>
          <w:color w:val="000000"/>
          <w:szCs w:val="21"/>
        </w:rPr>
        <w:t>形成学科育人的意识，</w:t>
      </w:r>
      <w:r>
        <w:rPr>
          <w:rFonts w:hint="eastAsia" w:ascii="宋体" w:hAnsi="宋体" w:eastAsia="宋体" w:cs="Times New Roman"/>
          <w:color w:val="000000"/>
          <w:szCs w:val="21"/>
        </w:rPr>
        <w:t>初步</w:t>
      </w:r>
      <w:r>
        <w:rPr>
          <w:rFonts w:ascii="宋体" w:hAnsi="宋体" w:eastAsia="宋体" w:cs="Times New Roman"/>
          <w:color w:val="000000"/>
          <w:szCs w:val="21"/>
        </w:rPr>
        <w:t>掌握</w:t>
      </w:r>
      <w:r>
        <w:rPr>
          <w:rFonts w:hint="eastAsia" w:ascii="宋体" w:hAnsi="宋体" w:eastAsia="宋体" w:cs="Times New Roman"/>
          <w:color w:val="000000"/>
          <w:szCs w:val="21"/>
        </w:rPr>
        <w:t>教书</w:t>
      </w:r>
      <w:r>
        <w:rPr>
          <w:rFonts w:ascii="宋体" w:hAnsi="宋体" w:eastAsia="宋体" w:cs="Times New Roman"/>
          <w:color w:val="000000"/>
          <w:szCs w:val="21"/>
        </w:rPr>
        <w:t>育人的方法。</w:t>
      </w:r>
    </w:p>
    <w:p w14:paraId="13DAD277">
      <w:pPr>
        <w:spacing w:line="360" w:lineRule="auto"/>
        <w:ind w:firstLine="472" w:firstLineChars="196"/>
        <w:outlineLvl w:val="0"/>
        <w:rPr>
          <w:rFonts w:ascii="宋体" w:hAnsi="宋体" w:eastAsia="宋体" w:cs="Times New Roman"/>
          <w:b/>
          <w:color w:val="000000"/>
          <w:sz w:val="24"/>
          <w:szCs w:val="24"/>
        </w:rPr>
      </w:pPr>
      <w:bookmarkStart w:id="3121" w:name="_Toc752"/>
      <w:bookmarkStart w:id="3122" w:name="_Toc22179"/>
      <w:bookmarkStart w:id="3123" w:name="_Toc7254"/>
      <w:bookmarkStart w:id="3124" w:name="_Toc8542"/>
      <w:bookmarkStart w:id="3125" w:name="_Toc18151"/>
      <w:bookmarkStart w:id="3126" w:name="_Toc4319"/>
      <w:bookmarkStart w:id="3127" w:name="_Toc21617"/>
      <w:r>
        <w:rPr>
          <w:rFonts w:hint="eastAsia" w:ascii="宋体" w:hAnsi="宋体" w:eastAsia="宋体" w:cs="Times New Roman"/>
          <w:b/>
          <w:color w:val="000000"/>
          <w:sz w:val="24"/>
          <w:szCs w:val="24"/>
        </w:rPr>
        <w:t>三、教学内容与预期学习成效</w:t>
      </w:r>
      <w:bookmarkEnd w:id="3121"/>
      <w:bookmarkEnd w:id="3122"/>
      <w:bookmarkEnd w:id="3123"/>
      <w:bookmarkEnd w:id="3124"/>
      <w:bookmarkEnd w:id="3125"/>
      <w:bookmarkEnd w:id="3126"/>
      <w:bookmarkEnd w:id="3127"/>
    </w:p>
    <w:tbl>
      <w:tblPr>
        <w:tblStyle w:val="11"/>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758"/>
        <w:gridCol w:w="1276"/>
        <w:gridCol w:w="2071"/>
        <w:gridCol w:w="1563"/>
        <w:gridCol w:w="442"/>
      </w:tblGrid>
      <w:tr w14:paraId="6760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0673D345">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08B44C7A">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2758" w:type="dxa"/>
            <w:vAlign w:val="center"/>
          </w:tcPr>
          <w:p w14:paraId="1E133919">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276" w:type="dxa"/>
            <w:vAlign w:val="center"/>
          </w:tcPr>
          <w:p w14:paraId="3077DA92">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26049549">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2071" w:type="dxa"/>
            <w:vAlign w:val="center"/>
          </w:tcPr>
          <w:p w14:paraId="0122FE60">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c>
          <w:tcPr>
            <w:tcW w:w="1563" w:type="dxa"/>
            <w:vAlign w:val="center"/>
          </w:tcPr>
          <w:p w14:paraId="69722AB0">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实现环节</w:t>
            </w:r>
          </w:p>
        </w:tc>
        <w:tc>
          <w:tcPr>
            <w:tcW w:w="442" w:type="dxa"/>
            <w:vAlign w:val="center"/>
          </w:tcPr>
          <w:p w14:paraId="1870A217">
            <w:pPr>
              <w:jc w:val="center"/>
              <w:rPr>
                <w:rFonts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学时</w:t>
            </w:r>
          </w:p>
        </w:tc>
      </w:tr>
      <w:tr w14:paraId="7906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665B03D0">
            <w:pPr>
              <w:spacing w:line="264" w:lineRule="auto"/>
              <w:jc w:val="center"/>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w:t>
            </w:r>
            <w:r>
              <w:rPr>
                <w:rFonts w:hint="eastAsia" w:ascii="Times New Roman" w:hAnsi="Times New Roman" w:eastAsia="宋体" w:cs="Times New Roman"/>
                <w:kern w:val="0"/>
                <w:sz w:val="20"/>
                <w:szCs w:val="22"/>
              </w:rPr>
              <w:t>学校考察</w:t>
            </w:r>
          </w:p>
        </w:tc>
        <w:tc>
          <w:tcPr>
            <w:tcW w:w="2758" w:type="dxa"/>
            <w:vAlign w:val="center"/>
          </w:tcPr>
          <w:p w14:paraId="701BE093">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color w:val="000000"/>
                <w:kern w:val="0"/>
                <w:sz w:val="20"/>
                <w:szCs w:val="21"/>
              </w:rPr>
              <w:t>。</w:t>
            </w:r>
          </w:p>
        </w:tc>
        <w:tc>
          <w:tcPr>
            <w:tcW w:w="1276" w:type="dxa"/>
            <w:vAlign w:val="center"/>
          </w:tcPr>
          <w:p w14:paraId="11D3F2CE">
            <w:pPr>
              <w:spacing w:line="269" w:lineRule="auto"/>
              <w:jc w:val="center"/>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w:t>
            </w:r>
          </w:p>
        </w:tc>
        <w:tc>
          <w:tcPr>
            <w:tcW w:w="2071" w:type="dxa"/>
            <w:vAlign w:val="center"/>
          </w:tcPr>
          <w:p w14:paraId="28091794">
            <w:pPr>
              <w:spacing w:line="269" w:lineRule="auto"/>
              <w:jc w:val="left"/>
              <w:rPr>
                <w:rFonts w:ascii="宋体" w:hAnsi="宋体" w:eastAsia="宋体" w:cs="Times New Roman"/>
                <w:color w:val="000000"/>
                <w:kern w:val="0"/>
                <w:sz w:val="20"/>
                <w:szCs w:val="21"/>
              </w:rPr>
            </w:pPr>
            <w:r>
              <w:rPr>
                <w:rFonts w:ascii="宋体" w:hAnsi="宋体" w:eastAsia="宋体" w:cs="Times New Roman"/>
                <w:color w:val="000000"/>
                <w:kern w:val="0"/>
                <w:sz w:val="20"/>
                <w:szCs w:val="21"/>
              </w:rPr>
              <w:t>认真考察校园文化，听取学校专题介绍，与指导教师深入交流；完成1份教育调查报告</w:t>
            </w:r>
            <w:r>
              <w:rPr>
                <w:rFonts w:hint="eastAsia" w:ascii="宋体" w:hAnsi="宋体" w:eastAsia="宋体" w:cs="Times New Roman"/>
                <w:color w:val="000000"/>
                <w:kern w:val="0"/>
                <w:sz w:val="20"/>
                <w:szCs w:val="21"/>
              </w:rPr>
              <w:t>，</w:t>
            </w:r>
            <w:r>
              <w:rPr>
                <w:rFonts w:ascii="宋体" w:hAnsi="宋体" w:eastAsia="宋体" w:cs="Times New Roman"/>
                <w:color w:val="000000"/>
                <w:kern w:val="0"/>
                <w:sz w:val="20"/>
                <w:szCs w:val="21"/>
              </w:rPr>
              <w:t>报告内容完整、方法合理，重点突出，数据和内容真实。</w:t>
            </w:r>
          </w:p>
        </w:tc>
        <w:tc>
          <w:tcPr>
            <w:tcW w:w="1563" w:type="dxa"/>
            <w:vAlign w:val="center"/>
          </w:tcPr>
          <w:p w14:paraId="5B872BF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1.跟岗学习</w:t>
            </w:r>
          </w:p>
          <w:p w14:paraId="11CDCD8A">
            <w:pPr>
              <w:spacing w:line="269"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2.交流研讨</w:t>
            </w:r>
          </w:p>
          <w:p w14:paraId="04A5D03A">
            <w:pPr>
              <w:spacing w:line="269" w:lineRule="auto"/>
              <w:jc w:val="left"/>
              <w:rPr>
                <w:rFonts w:ascii="宋体" w:hAnsi="宋体" w:eastAsia="宋体" w:cs="Times New Roman"/>
                <w:color w:val="000000"/>
                <w:kern w:val="0"/>
                <w:sz w:val="20"/>
                <w:szCs w:val="21"/>
              </w:rPr>
            </w:pPr>
            <w:r>
              <w:rPr>
                <w:rFonts w:ascii="宋体" w:hAnsi="宋体" w:eastAsia="宋体" w:cs="Times New Roman"/>
                <w:color w:val="000000"/>
                <w:kern w:val="0"/>
                <w:sz w:val="20"/>
                <w:szCs w:val="21"/>
              </w:rPr>
              <w:t>3</w:t>
            </w:r>
            <w:r>
              <w:rPr>
                <w:rFonts w:hint="eastAsia" w:ascii="宋体" w:hAnsi="宋体" w:eastAsia="宋体" w:cs="Times New Roman"/>
                <w:color w:val="000000"/>
                <w:kern w:val="0"/>
                <w:sz w:val="20"/>
                <w:szCs w:val="21"/>
              </w:rPr>
              <w:t>.自主实践</w:t>
            </w:r>
          </w:p>
        </w:tc>
        <w:tc>
          <w:tcPr>
            <w:tcW w:w="442" w:type="dxa"/>
            <w:vAlign w:val="center"/>
          </w:tcPr>
          <w:p w14:paraId="2832E663">
            <w:pPr>
              <w:spacing w:line="269" w:lineRule="auto"/>
              <w:jc w:val="center"/>
              <w:rPr>
                <w:rFonts w:ascii="宋体" w:hAnsi="宋体" w:eastAsia="宋体" w:cs="Times New Roman"/>
                <w:color w:val="000000"/>
                <w:kern w:val="0"/>
                <w:sz w:val="20"/>
                <w:szCs w:val="21"/>
              </w:rPr>
            </w:pPr>
            <w:r>
              <w:rPr>
                <w:rFonts w:ascii="宋体" w:hAnsi="宋体" w:eastAsia="宋体" w:cs="Times New Roman"/>
                <w:color w:val="000000"/>
                <w:kern w:val="0"/>
                <w:sz w:val="20"/>
                <w:szCs w:val="21"/>
              </w:rPr>
              <w:t>2</w:t>
            </w:r>
            <w:r>
              <w:rPr>
                <w:rFonts w:hint="eastAsia" w:ascii="宋体" w:hAnsi="宋体" w:eastAsia="宋体" w:cs="Times New Roman"/>
                <w:color w:val="000000"/>
                <w:kern w:val="0"/>
                <w:sz w:val="20"/>
                <w:szCs w:val="21"/>
              </w:rPr>
              <w:t>天</w:t>
            </w:r>
          </w:p>
        </w:tc>
      </w:tr>
      <w:tr w14:paraId="15AC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051F720C">
            <w:pPr>
              <w:spacing w:line="264" w:lineRule="auto"/>
              <w:jc w:val="center"/>
              <w:rPr>
                <w:rFonts w:ascii="宋体" w:hAnsi="宋体" w:eastAsia="宋体" w:cs="Times New Roman"/>
                <w:color w:val="000000"/>
                <w:kern w:val="0"/>
                <w:sz w:val="20"/>
                <w:szCs w:val="21"/>
              </w:rPr>
            </w:pPr>
          </w:p>
        </w:tc>
        <w:tc>
          <w:tcPr>
            <w:tcW w:w="8110" w:type="dxa"/>
            <w:gridSpan w:val="5"/>
            <w:vAlign w:val="center"/>
          </w:tcPr>
          <w:p w14:paraId="6A946833">
            <w:pPr>
              <w:spacing w:line="269" w:lineRule="auto"/>
              <w:jc w:val="left"/>
              <w:rPr>
                <w:rFonts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ascii="宋体" w:hAnsi="宋体" w:eastAsia="宋体" w:cs="Times New Roman"/>
                <w:color w:val="000000"/>
                <w:kern w:val="0"/>
                <w:sz w:val="20"/>
                <w:szCs w:val="21"/>
              </w:rPr>
              <w:t>把“立德树人”教育目标融入实践过程中，领悟教师职业的价值，树立职业理想，立志成为有理想信念、有道德情操、有扎实学识、有仁爱之心的好教师。</w:t>
            </w:r>
          </w:p>
        </w:tc>
      </w:tr>
      <w:tr w14:paraId="13BD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4495A960">
            <w:pPr>
              <w:spacing w:line="264" w:lineRule="auto"/>
              <w:jc w:val="center"/>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r>
              <w:rPr>
                <w:rFonts w:ascii="宋体" w:hAnsi="宋体" w:eastAsia="宋体" w:cs="Times New Roman"/>
                <w:color w:val="000000"/>
                <w:kern w:val="0"/>
                <w:sz w:val="20"/>
                <w:szCs w:val="21"/>
              </w:rPr>
              <w:t>.</w:t>
            </w:r>
            <w:r>
              <w:rPr>
                <w:rFonts w:hint="eastAsia" w:ascii="Times New Roman" w:hAnsi="Times New Roman" w:eastAsia="宋体" w:cs="Times New Roman"/>
                <w:kern w:val="0"/>
                <w:sz w:val="20"/>
                <w:szCs w:val="22"/>
              </w:rPr>
              <w:t xml:space="preserve"> 教学观摩与研习</w:t>
            </w:r>
          </w:p>
        </w:tc>
        <w:tc>
          <w:tcPr>
            <w:tcW w:w="2758" w:type="dxa"/>
            <w:vAlign w:val="center"/>
          </w:tcPr>
          <w:p w14:paraId="334CAB76">
            <w:pPr>
              <w:spacing w:line="269" w:lineRule="auto"/>
              <w:jc w:val="left"/>
              <w:rPr>
                <w:rFonts w:ascii="宋体" w:hAnsi="宋体" w:eastAsia="宋体" w:cs="Times New Roman"/>
                <w:color w:val="000000"/>
                <w:kern w:val="0"/>
                <w:sz w:val="20"/>
                <w:szCs w:val="21"/>
              </w:rPr>
            </w:pPr>
            <w:r>
              <w:rPr>
                <w:rFonts w:ascii="宋体" w:hAnsi="宋体" w:eastAsia="宋体" w:cs="Times New Roman"/>
                <w:color w:val="000000"/>
                <w:kern w:val="0"/>
                <w:sz w:val="20"/>
                <w:szCs w:val="21"/>
              </w:rPr>
              <w:t>认真研读教材，备课，撰写教案，善于运用教学材料钻研教材，设计出形式要素齐全、比较规范合理的教案，认真学习实践导师的教学方法与教学经验。聆听学校优秀教师、优秀班主任(辅导员)工作教育教学经验的介绍。</w:t>
            </w:r>
          </w:p>
        </w:tc>
        <w:tc>
          <w:tcPr>
            <w:tcW w:w="1276" w:type="dxa"/>
            <w:vAlign w:val="center"/>
          </w:tcPr>
          <w:p w14:paraId="6693A254">
            <w:pPr>
              <w:spacing w:line="269" w:lineRule="auto"/>
              <w:jc w:val="center"/>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w:t>
            </w:r>
          </w:p>
        </w:tc>
        <w:tc>
          <w:tcPr>
            <w:tcW w:w="2071" w:type="dxa"/>
            <w:vAlign w:val="center"/>
          </w:tcPr>
          <w:p w14:paraId="14B87FA6">
            <w:pPr>
              <w:spacing w:line="269" w:lineRule="auto"/>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1</w:t>
            </w:r>
            <w:r>
              <w:rPr>
                <w:rFonts w:ascii="宋体" w:hAnsi="宋体" w:eastAsia="宋体" w:cs="Times New Roman"/>
                <w:color w:val="000000"/>
                <w:kern w:val="0"/>
                <w:sz w:val="20"/>
                <w:szCs w:val="21"/>
              </w:rPr>
              <w:t>.每天听课2-3节，总听课数不少于10节</w:t>
            </w:r>
            <w:r>
              <w:rPr>
                <w:rFonts w:hint="eastAsia" w:ascii="宋体" w:hAnsi="宋体" w:eastAsia="宋体" w:cs="Times New Roman"/>
                <w:color w:val="000000"/>
                <w:kern w:val="0"/>
                <w:sz w:val="20"/>
                <w:szCs w:val="21"/>
              </w:rPr>
              <w:t>。</w:t>
            </w:r>
          </w:p>
          <w:p w14:paraId="779BF57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w:t>
            </w:r>
            <w:r>
              <w:rPr>
                <w:rFonts w:ascii="宋体" w:hAnsi="宋体" w:eastAsia="宋体" w:cs="Times New Roman"/>
                <w:color w:val="000000"/>
                <w:kern w:val="0"/>
                <w:sz w:val="20"/>
                <w:szCs w:val="21"/>
              </w:rPr>
              <w:t>.</w:t>
            </w:r>
            <w:r>
              <w:rPr>
                <w:rFonts w:hint="eastAsia" w:ascii="宋体" w:hAnsi="宋体" w:eastAsia="宋体" w:cs="Times New Roman"/>
                <w:color w:val="000000"/>
                <w:kern w:val="0"/>
                <w:sz w:val="20"/>
                <w:szCs w:val="21"/>
              </w:rPr>
              <w:t>撰写</w:t>
            </w:r>
            <w:r>
              <w:rPr>
                <w:rFonts w:ascii="宋体" w:hAnsi="宋体" w:eastAsia="宋体" w:cs="Times New Roman"/>
                <w:color w:val="000000"/>
                <w:kern w:val="0"/>
                <w:sz w:val="20"/>
                <w:szCs w:val="21"/>
              </w:rPr>
              <w:t>教案</w:t>
            </w:r>
            <w:r>
              <w:rPr>
                <w:rFonts w:hint="eastAsia" w:ascii="宋体" w:hAnsi="宋体" w:eastAsia="宋体" w:cs="Times New Roman"/>
                <w:color w:val="000000"/>
                <w:kern w:val="0"/>
                <w:sz w:val="20"/>
                <w:szCs w:val="21"/>
              </w:rPr>
              <w:t>1篇。</w:t>
            </w:r>
          </w:p>
        </w:tc>
        <w:tc>
          <w:tcPr>
            <w:tcW w:w="1563" w:type="dxa"/>
            <w:vAlign w:val="center"/>
          </w:tcPr>
          <w:p w14:paraId="5EEFC20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1.跟岗学习</w:t>
            </w:r>
          </w:p>
          <w:p w14:paraId="5ED4238A">
            <w:pPr>
              <w:spacing w:line="269"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2.交流研讨</w:t>
            </w:r>
          </w:p>
          <w:p w14:paraId="770B0B16">
            <w:pPr>
              <w:spacing w:line="269" w:lineRule="auto"/>
              <w:jc w:val="left"/>
              <w:rPr>
                <w:rFonts w:ascii="宋体" w:hAnsi="宋体" w:eastAsia="宋体" w:cs="Times New Roman"/>
                <w:color w:val="000000"/>
                <w:kern w:val="0"/>
                <w:sz w:val="20"/>
                <w:szCs w:val="21"/>
              </w:rPr>
            </w:pPr>
            <w:r>
              <w:rPr>
                <w:rFonts w:ascii="宋体" w:hAnsi="宋体" w:eastAsia="宋体" w:cs="Times New Roman"/>
                <w:color w:val="000000"/>
                <w:kern w:val="0"/>
                <w:sz w:val="20"/>
                <w:szCs w:val="21"/>
              </w:rPr>
              <w:t>3</w:t>
            </w:r>
            <w:r>
              <w:rPr>
                <w:rFonts w:hint="eastAsia" w:ascii="宋体" w:hAnsi="宋体" w:eastAsia="宋体" w:cs="Times New Roman"/>
                <w:color w:val="000000"/>
                <w:kern w:val="0"/>
                <w:sz w:val="20"/>
                <w:szCs w:val="21"/>
              </w:rPr>
              <w:t>.自主实践</w:t>
            </w:r>
          </w:p>
        </w:tc>
        <w:tc>
          <w:tcPr>
            <w:tcW w:w="442" w:type="dxa"/>
            <w:vAlign w:val="center"/>
          </w:tcPr>
          <w:p w14:paraId="1BE7E4C7">
            <w:pPr>
              <w:spacing w:line="269" w:lineRule="auto"/>
              <w:jc w:val="center"/>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4天</w:t>
            </w:r>
          </w:p>
        </w:tc>
      </w:tr>
      <w:tr w14:paraId="05AB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13D2EBD4">
            <w:pPr>
              <w:spacing w:line="264" w:lineRule="auto"/>
              <w:jc w:val="center"/>
              <w:rPr>
                <w:rFonts w:hint="eastAsia" w:ascii="宋体" w:hAnsi="宋体" w:eastAsia="宋体" w:cs="Times New Roman"/>
                <w:color w:val="000000"/>
                <w:kern w:val="0"/>
                <w:sz w:val="20"/>
                <w:szCs w:val="21"/>
              </w:rPr>
            </w:pPr>
          </w:p>
        </w:tc>
        <w:tc>
          <w:tcPr>
            <w:tcW w:w="8110" w:type="dxa"/>
            <w:gridSpan w:val="5"/>
            <w:vAlign w:val="center"/>
          </w:tcPr>
          <w:p w14:paraId="6376A00D">
            <w:pPr>
              <w:spacing w:line="276" w:lineRule="auto"/>
              <w:jc w:val="left"/>
              <w:rPr>
                <w:rFonts w:hint="eastAsia" w:ascii="宋体" w:hAnsi="宋体" w:eastAsia="宋体" w:cs="Times New Roman"/>
                <w:color w:val="000000"/>
                <w:kern w:val="0"/>
                <w:sz w:val="24"/>
                <w:szCs w:val="24"/>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1"/>
                <w:szCs w:val="21"/>
              </w:rPr>
              <w:t>树立辩证统一的思维，能够科学合理的分析和评价教学，吸取教学中的经验与教训；理解教师工作的本质，认同教师工作的科学性和专业性。</w:t>
            </w:r>
          </w:p>
        </w:tc>
      </w:tr>
      <w:tr w14:paraId="4854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520E4586">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w:t>
            </w:r>
            <w:r>
              <w:rPr>
                <w:rFonts w:ascii="宋体" w:hAnsi="宋体" w:eastAsia="宋体" w:cs="Times New Roman"/>
                <w:color w:val="000000"/>
                <w:kern w:val="0"/>
                <w:sz w:val="20"/>
                <w:szCs w:val="21"/>
              </w:rPr>
              <w:t>.</w:t>
            </w:r>
            <w:r>
              <w:rPr>
                <w:rFonts w:hint="eastAsia" w:ascii="宋体" w:hAnsi="宋体" w:eastAsia="宋体" w:cs="Times New Roman"/>
                <w:color w:val="000000"/>
                <w:kern w:val="0"/>
                <w:sz w:val="20"/>
                <w:szCs w:val="21"/>
              </w:rPr>
              <w:t>班级管理和班队工作见习</w:t>
            </w:r>
          </w:p>
        </w:tc>
        <w:tc>
          <w:tcPr>
            <w:tcW w:w="2758" w:type="dxa"/>
            <w:vAlign w:val="center"/>
          </w:tcPr>
          <w:p w14:paraId="70CFB714">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全面观察班级常规管理工作，了解班主任日常工作的内容和方法，主动协助班主任进行班级管理；在班主任指导下尝试组织有主题的班会或班队活动</w:t>
            </w:r>
            <w:r>
              <w:rPr>
                <w:rFonts w:hint="eastAsia" w:ascii="宋体" w:hAnsi="宋体" w:eastAsia="宋体" w:cs="Times New Roman"/>
                <w:color w:val="000000"/>
                <w:kern w:val="0"/>
                <w:sz w:val="20"/>
                <w:szCs w:val="21"/>
              </w:rPr>
              <w:t>。</w:t>
            </w:r>
          </w:p>
        </w:tc>
        <w:tc>
          <w:tcPr>
            <w:tcW w:w="1276" w:type="dxa"/>
            <w:vAlign w:val="center"/>
          </w:tcPr>
          <w:p w14:paraId="6248DED0">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课程目标1、3、4</w:t>
            </w:r>
          </w:p>
        </w:tc>
        <w:tc>
          <w:tcPr>
            <w:tcW w:w="2071" w:type="dxa"/>
            <w:vAlign w:val="center"/>
          </w:tcPr>
          <w:p w14:paraId="6BADBAEE">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掌握小学生生活特点、心理特点</w:t>
            </w:r>
            <w:r>
              <w:rPr>
                <w:rFonts w:hint="eastAsia" w:ascii="宋体" w:hAnsi="宋体" w:eastAsia="宋体" w:cs="Times New Roman"/>
                <w:color w:val="000000"/>
                <w:kern w:val="0"/>
                <w:sz w:val="20"/>
                <w:szCs w:val="21"/>
              </w:rPr>
              <w:t>，</w:t>
            </w:r>
            <w:r>
              <w:rPr>
                <w:rFonts w:ascii="宋体" w:hAnsi="宋体" w:eastAsia="宋体" w:cs="Times New Roman"/>
                <w:color w:val="000000"/>
                <w:kern w:val="0"/>
                <w:sz w:val="20"/>
                <w:szCs w:val="21"/>
              </w:rPr>
              <w:t>善于在</w:t>
            </w:r>
            <w:r>
              <w:rPr>
                <w:rFonts w:hint="eastAsia" w:ascii="宋体" w:hAnsi="宋体" w:eastAsia="宋体" w:cs="Times New Roman"/>
                <w:color w:val="000000"/>
                <w:kern w:val="0"/>
                <w:sz w:val="20"/>
                <w:szCs w:val="21"/>
              </w:rPr>
              <w:t>班级</w:t>
            </w:r>
            <w:r>
              <w:rPr>
                <w:rFonts w:ascii="宋体" w:hAnsi="宋体" w:eastAsia="宋体" w:cs="Times New Roman"/>
                <w:color w:val="000000"/>
                <w:kern w:val="0"/>
                <w:sz w:val="20"/>
                <w:szCs w:val="21"/>
              </w:rPr>
              <w:t>管理案例中总结经验与教训。</w:t>
            </w:r>
            <w:r>
              <w:rPr>
                <w:rFonts w:hint="eastAsia" w:ascii="宋体" w:hAnsi="宋体" w:eastAsia="宋体" w:cs="Times New Roman"/>
                <w:color w:val="000000"/>
                <w:kern w:val="0"/>
                <w:sz w:val="20"/>
                <w:szCs w:val="21"/>
              </w:rPr>
              <w:t>完成</w:t>
            </w:r>
            <w:r>
              <w:rPr>
                <w:rFonts w:ascii="宋体" w:hAnsi="宋体" w:eastAsia="宋体" w:cs="Times New Roman"/>
                <w:color w:val="000000"/>
                <w:kern w:val="0"/>
                <w:sz w:val="20"/>
                <w:szCs w:val="21"/>
              </w:rPr>
              <w:t>班队活动观察记录1份。</w:t>
            </w:r>
          </w:p>
        </w:tc>
        <w:tc>
          <w:tcPr>
            <w:tcW w:w="1563" w:type="dxa"/>
            <w:vAlign w:val="center"/>
          </w:tcPr>
          <w:p w14:paraId="04E5E97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1.跟岗学习</w:t>
            </w:r>
          </w:p>
          <w:p w14:paraId="2089398E">
            <w:pPr>
              <w:spacing w:line="269" w:lineRule="auto"/>
              <w:jc w:val="left"/>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2.交流研讨</w:t>
            </w:r>
          </w:p>
          <w:p w14:paraId="6BAA6C5E">
            <w:pPr>
              <w:spacing w:line="269" w:lineRule="auto"/>
              <w:jc w:val="left"/>
              <w:rPr>
                <w:rFonts w:hint="eastAsia" w:ascii="宋体" w:hAnsi="宋体" w:eastAsia="宋体" w:cs="Times New Roman"/>
                <w:color w:val="000000"/>
                <w:kern w:val="0"/>
                <w:sz w:val="20"/>
                <w:szCs w:val="21"/>
              </w:rPr>
            </w:pPr>
            <w:r>
              <w:rPr>
                <w:rFonts w:ascii="宋体" w:hAnsi="宋体" w:eastAsia="宋体" w:cs="Times New Roman"/>
                <w:color w:val="000000"/>
                <w:kern w:val="0"/>
                <w:sz w:val="20"/>
                <w:szCs w:val="21"/>
              </w:rPr>
              <w:t>3</w:t>
            </w:r>
            <w:r>
              <w:rPr>
                <w:rFonts w:hint="eastAsia" w:ascii="宋体" w:hAnsi="宋体" w:eastAsia="宋体" w:cs="Times New Roman"/>
                <w:color w:val="000000"/>
                <w:kern w:val="0"/>
                <w:sz w:val="20"/>
                <w:szCs w:val="21"/>
              </w:rPr>
              <w:t>.自主实践</w:t>
            </w:r>
          </w:p>
        </w:tc>
        <w:tc>
          <w:tcPr>
            <w:tcW w:w="442" w:type="dxa"/>
            <w:vAlign w:val="center"/>
          </w:tcPr>
          <w:p w14:paraId="7C221796">
            <w:pPr>
              <w:spacing w:line="269" w:lineRule="auto"/>
              <w:jc w:val="center"/>
              <w:rPr>
                <w:rFonts w:ascii="宋体" w:hAnsi="宋体" w:eastAsia="宋体" w:cs="Times New Roman"/>
                <w:color w:val="000000"/>
                <w:kern w:val="0"/>
                <w:sz w:val="20"/>
                <w:szCs w:val="21"/>
              </w:rPr>
            </w:pPr>
            <w:r>
              <w:rPr>
                <w:rFonts w:hint="eastAsia" w:ascii="宋体" w:hAnsi="宋体" w:eastAsia="宋体" w:cs="Times New Roman"/>
                <w:color w:val="000000"/>
                <w:kern w:val="0"/>
                <w:sz w:val="20"/>
                <w:szCs w:val="21"/>
              </w:rPr>
              <w:t>4天</w:t>
            </w:r>
          </w:p>
        </w:tc>
      </w:tr>
      <w:tr w14:paraId="0E4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1BA43DC1">
            <w:pPr>
              <w:spacing w:line="264" w:lineRule="auto"/>
              <w:jc w:val="center"/>
              <w:rPr>
                <w:rFonts w:hint="eastAsia" w:ascii="宋体" w:hAnsi="宋体" w:eastAsia="宋体" w:cs="Times New Roman"/>
                <w:color w:val="000000"/>
                <w:kern w:val="0"/>
                <w:sz w:val="20"/>
                <w:szCs w:val="21"/>
              </w:rPr>
            </w:pPr>
          </w:p>
        </w:tc>
        <w:tc>
          <w:tcPr>
            <w:tcW w:w="8110" w:type="dxa"/>
            <w:gridSpan w:val="5"/>
            <w:vAlign w:val="center"/>
          </w:tcPr>
          <w:p w14:paraId="38F19EB0">
            <w:pPr>
              <w:spacing w:line="276" w:lineRule="auto"/>
              <w:ind w:firstLine="422" w:firstLineChars="200"/>
              <w:rPr>
                <w:rFonts w:hint="eastAsia"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课程思政目标：</w:t>
            </w:r>
            <w:r>
              <w:rPr>
                <w:rFonts w:hint="eastAsia" w:ascii="宋体" w:hAnsi="宋体" w:eastAsia="宋体" w:cs="Times New Roman"/>
                <w:color w:val="000000"/>
                <w:kern w:val="0"/>
                <w:sz w:val="21"/>
                <w:szCs w:val="21"/>
              </w:rPr>
              <w:t>理解培养全面发展的人这一教育理念，认识教育管理、班队活动的育人价值，提高教育修养，增强在教育过程中挖掘各个因素进行教育的意识和能力。</w:t>
            </w:r>
          </w:p>
        </w:tc>
      </w:tr>
    </w:tbl>
    <w:p w14:paraId="58F527E4">
      <w:pPr>
        <w:spacing w:line="360" w:lineRule="auto"/>
        <w:ind w:firstLine="562" w:firstLineChars="200"/>
        <w:rPr>
          <w:rFonts w:ascii="Times New Roman" w:hAnsi="Times New Roman" w:eastAsia="宋体" w:cs="Times New Roman"/>
          <w:b/>
          <w:sz w:val="28"/>
          <w:szCs w:val="28"/>
        </w:rPr>
      </w:pPr>
    </w:p>
    <w:p w14:paraId="17939A19">
      <w:pPr>
        <w:spacing w:line="360" w:lineRule="auto"/>
        <w:jc w:val="left"/>
        <w:outlineLvl w:val="0"/>
        <w:rPr>
          <w:rFonts w:ascii="Times New Roman" w:hAnsi="Times New Roman" w:eastAsia="宋体" w:cs="Times New Roman"/>
          <w:sz w:val="24"/>
          <w:szCs w:val="24"/>
        </w:rPr>
      </w:pPr>
      <w:bookmarkStart w:id="3128" w:name="_Toc1955"/>
      <w:bookmarkStart w:id="3129" w:name="_Toc16271"/>
      <w:bookmarkStart w:id="3130" w:name="_Toc32493"/>
      <w:bookmarkStart w:id="3131" w:name="_Toc29828"/>
      <w:bookmarkStart w:id="3132" w:name="_Toc12576"/>
      <w:bookmarkStart w:id="3133" w:name="_Toc7241"/>
      <w:bookmarkStart w:id="3134" w:name="_Toc25601"/>
      <w:r>
        <w:rPr>
          <w:rFonts w:hint="eastAsia" w:ascii="宋体" w:hAnsi="宋体" w:eastAsia="宋体" w:cs="Times New Roman"/>
          <w:b/>
          <w:color w:val="000000"/>
          <w:sz w:val="24"/>
          <w:szCs w:val="24"/>
        </w:rPr>
        <w:t>四、目标评价与成绩评定</w:t>
      </w:r>
      <w:bookmarkEnd w:id="3128"/>
      <w:bookmarkEnd w:id="3129"/>
      <w:bookmarkEnd w:id="3130"/>
      <w:bookmarkEnd w:id="3131"/>
      <w:bookmarkEnd w:id="3132"/>
      <w:bookmarkEnd w:id="3133"/>
      <w:bookmarkEnd w:id="3134"/>
    </w:p>
    <w:p w14:paraId="017B0DA0">
      <w:pPr>
        <w:spacing w:line="360" w:lineRule="auto"/>
        <w:jc w:val="left"/>
        <w:outlineLvl w:val="1"/>
        <w:rPr>
          <w:rFonts w:ascii="Times New Roman" w:hAnsi="Times New Roman" w:eastAsia="宋体" w:cs="Times New Roman"/>
          <w:b/>
          <w:szCs w:val="21"/>
        </w:rPr>
      </w:pPr>
      <w:bookmarkStart w:id="3135" w:name="_Toc30155"/>
      <w:r>
        <w:rPr>
          <w:rFonts w:hint="eastAsia" w:ascii="Times New Roman" w:hAnsi="Times New Roman" w:eastAsia="宋体" w:cs="Times New Roman"/>
          <w:b/>
          <w:szCs w:val="21"/>
        </w:rPr>
        <w:t>（一）课程目标评价方式</w:t>
      </w:r>
      <w:bookmarkEnd w:id="3135"/>
    </w:p>
    <w:p w14:paraId="2878A2C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7BD1E5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31F6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790EF334">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045" w:type="dxa"/>
            <w:gridSpan w:val="4"/>
          </w:tcPr>
          <w:p w14:paraId="0CDCFD5F">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255" w:type="dxa"/>
            <w:vMerge w:val="restart"/>
            <w:vAlign w:val="center"/>
          </w:tcPr>
          <w:p w14:paraId="4CF8D8E4">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分值</w:t>
            </w:r>
          </w:p>
        </w:tc>
      </w:tr>
      <w:tr w14:paraId="5650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4245E1D0">
            <w:pPr>
              <w:spacing w:line="360" w:lineRule="auto"/>
              <w:jc w:val="center"/>
              <w:rPr>
                <w:rFonts w:ascii="宋体" w:hAnsi="宋体" w:eastAsia="宋体" w:cs="Times New Roman"/>
                <w:kern w:val="0"/>
                <w:sz w:val="20"/>
                <w:szCs w:val="21"/>
              </w:rPr>
            </w:pPr>
          </w:p>
        </w:tc>
        <w:tc>
          <w:tcPr>
            <w:tcW w:w="1273" w:type="dxa"/>
            <w:vAlign w:val="center"/>
          </w:tcPr>
          <w:p w14:paraId="5FEA0FF9">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1268" w:type="dxa"/>
            <w:vAlign w:val="center"/>
          </w:tcPr>
          <w:p w14:paraId="46DFEDE3">
            <w:pPr>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学校考察</w:t>
            </w:r>
          </w:p>
          <w:p w14:paraId="1E4DFB5E">
            <w:pPr>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661" w:type="dxa"/>
            <w:vAlign w:val="center"/>
          </w:tcPr>
          <w:p w14:paraId="70524199">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1843" w:type="dxa"/>
            <w:vAlign w:val="center"/>
          </w:tcPr>
          <w:p w14:paraId="0C9ED536">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1255" w:type="dxa"/>
            <w:vMerge w:val="continue"/>
            <w:vAlign w:val="center"/>
          </w:tcPr>
          <w:p w14:paraId="6CD3B782">
            <w:pPr>
              <w:spacing w:line="360" w:lineRule="auto"/>
              <w:jc w:val="center"/>
              <w:rPr>
                <w:rFonts w:ascii="宋体" w:hAnsi="宋体" w:eastAsia="宋体" w:cs="Times New Roman"/>
                <w:kern w:val="0"/>
                <w:sz w:val="20"/>
                <w:szCs w:val="21"/>
              </w:rPr>
            </w:pPr>
          </w:p>
        </w:tc>
      </w:tr>
      <w:tr w14:paraId="700F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7ECB93F6">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73" w:type="dxa"/>
          </w:tcPr>
          <w:p w14:paraId="5D3D4EE9">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31F70B14">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5026EC3D">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751FE275">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1F36679C">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20</w:t>
            </w:r>
          </w:p>
        </w:tc>
      </w:tr>
      <w:tr w14:paraId="20DE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4D21B6B0">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73" w:type="dxa"/>
          </w:tcPr>
          <w:p w14:paraId="0DDD7919">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35DBF2C2">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7C2D0D2E">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5BFCE86A">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3024F8D4">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30</w:t>
            </w:r>
          </w:p>
        </w:tc>
      </w:tr>
      <w:tr w14:paraId="7178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52269EF5">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73" w:type="dxa"/>
          </w:tcPr>
          <w:p w14:paraId="2BD5CBEB">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758F938F">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56CB7C48">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6A4F1A3B">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1268033B">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30</w:t>
            </w:r>
          </w:p>
        </w:tc>
      </w:tr>
      <w:tr w14:paraId="2180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21C5893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73" w:type="dxa"/>
          </w:tcPr>
          <w:p w14:paraId="6943079B">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tcPr>
          <w:p w14:paraId="0E947422">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tcPr>
          <w:p w14:paraId="39C3C3A2">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tcPr>
          <w:p w14:paraId="18BE0922">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789DAC88">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58A8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2F7890E6">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73" w:type="dxa"/>
          </w:tcPr>
          <w:p w14:paraId="533CABF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w:t>
            </w:r>
          </w:p>
        </w:tc>
        <w:tc>
          <w:tcPr>
            <w:tcW w:w="1268" w:type="dxa"/>
            <w:vAlign w:val="center"/>
          </w:tcPr>
          <w:p w14:paraId="064629CD">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c>
          <w:tcPr>
            <w:tcW w:w="1661" w:type="dxa"/>
            <w:vAlign w:val="center"/>
          </w:tcPr>
          <w:p w14:paraId="22331330">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50</w:t>
            </w:r>
          </w:p>
        </w:tc>
        <w:tc>
          <w:tcPr>
            <w:tcW w:w="1843" w:type="dxa"/>
            <w:vAlign w:val="center"/>
          </w:tcPr>
          <w:p w14:paraId="473F8F19">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20</w:t>
            </w:r>
          </w:p>
        </w:tc>
        <w:tc>
          <w:tcPr>
            <w:tcW w:w="1255" w:type="dxa"/>
            <w:vAlign w:val="center"/>
          </w:tcPr>
          <w:p w14:paraId="43B9C685">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100</w:t>
            </w:r>
          </w:p>
        </w:tc>
      </w:tr>
    </w:tbl>
    <w:p w14:paraId="7E236BD7">
      <w:pPr>
        <w:spacing w:before="156" w:beforeLines="50" w:line="360" w:lineRule="auto"/>
        <w:jc w:val="left"/>
        <w:outlineLvl w:val="1"/>
        <w:rPr>
          <w:rFonts w:ascii="Times New Roman" w:hAnsi="Times New Roman" w:eastAsia="宋体" w:cs="Times New Roman"/>
          <w:b/>
          <w:szCs w:val="21"/>
        </w:rPr>
      </w:pPr>
      <w:bookmarkStart w:id="3136" w:name="_Toc27754"/>
      <w:r>
        <w:rPr>
          <w:rFonts w:hint="eastAsia" w:ascii="Times New Roman" w:hAnsi="Times New Roman" w:eastAsia="宋体" w:cs="Times New Roman"/>
          <w:b/>
          <w:szCs w:val="21"/>
        </w:rPr>
        <w:t>（二）成绩评定细则</w:t>
      </w:r>
      <w:bookmarkEnd w:id="3136"/>
    </w:p>
    <w:p w14:paraId="789A66E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4EA2F9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109"/>
        <w:gridCol w:w="682"/>
      </w:tblGrid>
      <w:tr w14:paraId="37ED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71" w:type="dxa"/>
            <w:vAlign w:val="center"/>
          </w:tcPr>
          <w:p w14:paraId="75949D5F">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7109" w:type="dxa"/>
            <w:vAlign w:val="center"/>
          </w:tcPr>
          <w:p w14:paraId="3FDFD055">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1EC714AC">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6AAD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3FF49806">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7109" w:type="dxa"/>
            <w:tcBorders>
              <w:top w:val="single" w:color="auto" w:sz="4" w:space="0"/>
              <w:left w:val="single" w:color="auto" w:sz="4" w:space="0"/>
              <w:bottom w:val="single" w:color="auto" w:sz="4" w:space="0"/>
              <w:right w:val="single" w:color="auto" w:sz="4" w:space="0"/>
            </w:tcBorders>
            <w:vAlign w:val="center"/>
          </w:tcPr>
          <w:p w14:paraId="2AA8B7EA">
            <w:pPr>
              <w:snapToGrid w:val="0"/>
              <w:spacing w:line="276" w:lineRule="auto"/>
              <w:rPr>
                <w:rFonts w:hint="eastAsia" w:ascii="宋体" w:hAnsi="宋体" w:eastAsia="宋体" w:cs="Times New Roman"/>
                <w:kern w:val="0"/>
                <w:sz w:val="20"/>
                <w:szCs w:val="21"/>
              </w:rPr>
            </w:pPr>
            <w:r>
              <w:rPr>
                <w:rFonts w:hint="eastAsia" w:ascii="Times New Roman" w:hAnsi="Times New Roman" w:eastAsia="宋体" w:cs="Times New Roman"/>
                <w:kern w:val="0"/>
                <w:sz w:val="20"/>
                <w:szCs w:val="21"/>
              </w:rPr>
              <w:t>根据学生在见习过程中的参与程度、主动学习情况等，结合</w:t>
            </w:r>
            <w:r>
              <w:rPr>
                <w:rFonts w:hint="eastAsia" w:ascii="宋体" w:hAnsi="宋体" w:eastAsia="宋体" w:cs="Times New Roman"/>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3AB69FE4">
            <w:pPr>
              <w:snapToGrid w:val="0"/>
              <w:spacing w:line="276" w:lineRule="auto"/>
              <w:rPr>
                <w:rFonts w:ascii="宋体" w:hAnsi="宋体" w:eastAsia="宋体" w:cs="Times New Roman"/>
                <w:kern w:val="0"/>
                <w:sz w:val="20"/>
                <w:szCs w:val="21"/>
              </w:rPr>
            </w:pPr>
            <w:r>
              <w:rPr>
                <w:rFonts w:ascii="宋体" w:hAnsi="宋体" w:eastAsia="宋体" w:cs="Times New Roman"/>
                <w:kern w:val="0"/>
                <w:sz w:val="20"/>
                <w:szCs w:val="21"/>
              </w:rPr>
              <w:t>10%</w:t>
            </w:r>
          </w:p>
        </w:tc>
      </w:tr>
      <w:tr w14:paraId="32F1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71" w:type="dxa"/>
            <w:tcBorders>
              <w:top w:val="single" w:color="auto" w:sz="4" w:space="0"/>
              <w:left w:val="single" w:color="auto" w:sz="4" w:space="0"/>
              <w:bottom w:val="single" w:color="auto" w:sz="4" w:space="0"/>
              <w:right w:val="single" w:color="auto" w:sz="4" w:space="0"/>
            </w:tcBorders>
            <w:vAlign w:val="center"/>
          </w:tcPr>
          <w:p w14:paraId="1DD64362">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学校考察调查报告</w:t>
            </w:r>
          </w:p>
        </w:tc>
        <w:tc>
          <w:tcPr>
            <w:tcW w:w="7109" w:type="dxa"/>
            <w:tcBorders>
              <w:top w:val="single" w:color="auto" w:sz="4" w:space="0"/>
              <w:left w:val="single" w:color="auto" w:sz="4" w:space="0"/>
              <w:bottom w:val="single" w:color="auto" w:sz="4" w:space="0"/>
              <w:right w:val="single" w:color="auto" w:sz="4" w:space="0"/>
            </w:tcBorders>
            <w:vAlign w:val="center"/>
          </w:tcPr>
          <w:p w14:paraId="25A1E66D">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根据考察情况，结合实际认识与思考，撰写教育调查报告。</w:t>
            </w:r>
            <w:r>
              <w:rPr>
                <w:rFonts w:hint="eastAsia" w:ascii="Times New Roman" w:hAnsi="Times New Roman" w:eastAsia="宋体" w:cs="Times New Roman"/>
                <w:kern w:val="0"/>
                <w:sz w:val="20"/>
                <w:szCs w:val="21"/>
              </w:rPr>
              <w:t>选题属于教育领域，问题意识清晰、方法设计可行，资料充实，内容撰写结构合理，形成明确的结论与观点。</w:t>
            </w:r>
            <w:r>
              <w:rPr>
                <w:rFonts w:hint="eastAsia" w:ascii="宋体" w:hAnsi="宋体" w:eastAsia="宋体" w:cs="Times New Roman"/>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18D8F44C">
            <w:pPr>
              <w:snapToGrid w:val="0"/>
              <w:spacing w:line="276" w:lineRule="auto"/>
              <w:rPr>
                <w:rFonts w:ascii="宋体" w:hAnsi="宋体" w:eastAsia="宋体" w:cs="Times New Roman"/>
                <w:kern w:val="0"/>
                <w:sz w:val="20"/>
                <w:szCs w:val="21"/>
              </w:rPr>
            </w:pPr>
            <w:r>
              <w:rPr>
                <w:rFonts w:ascii="宋体" w:hAnsi="宋体" w:eastAsia="宋体" w:cs="Times New Roman"/>
                <w:kern w:val="0"/>
                <w:sz w:val="20"/>
                <w:szCs w:val="21"/>
              </w:rPr>
              <w:t>20%</w:t>
            </w:r>
          </w:p>
        </w:tc>
      </w:tr>
      <w:tr w14:paraId="7DFA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tcBorders>
              <w:top w:val="single" w:color="auto" w:sz="4" w:space="0"/>
              <w:left w:val="single" w:color="auto" w:sz="4" w:space="0"/>
              <w:bottom w:val="single" w:color="auto" w:sz="4" w:space="0"/>
              <w:right w:val="single" w:color="auto" w:sz="4" w:space="0"/>
            </w:tcBorders>
            <w:vAlign w:val="center"/>
          </w:tcPr>
          <w:p w14:paraId="6ECA376E">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1571D37E">
            <w:pPr>
              <w:adjustRightInd w:val="0"/>
              <w:snapToGrid w:val="0"/>
              <w:rPr>
                <w:rFonts w:hint="eastAsia" w:ascii="Times New Roman" w:hAnsi="Times New Roman" w:eastAsia="宋体" w:cs="Times New Roman"/>
                <w:kern w:val="0"/>
                <w:sz w:val="20"/>
                <w:szCs w:val="21"/>
              </w:rPr>
            </w:pPr>
            <w:r>
              <w:rPr>
                <w:rFonts w:hint="eastAsia" w:ascii="Times New Roman" w:hAnsi="Times New Roman" w:eastAsia="宋体" w:cs="Times New Roman"/>
                <w:kern w:val="0"/>
                <w:sz w:val="20"/>
                <w:szCs w:val="21"/>
              </w:rPr>
              <w:t>认真观摩教学，做好听课记录，善于思考，总结教学经验与心得；与指导教师保持积极交流，虚心请教教学方法与教学经验；教案设计要素完整、表述规范，具备可操作性。</w:t>
            </w:r>
            <w:r>
              <w:rPr>
                <w:rFonts w:hint="eastAsia" w:ascii="宋体" w:hAnsi="宋体" w:eastAsia="宋体" w:cs="Times New Roman"/>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293D9B81">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5</w:t>
            </w:r>
            <w:r>
              <w:rPr>
                <w:rFonts w:ascii="宋体" w:hAnsi="宋体" w:eastAsia="宋体" w:cs="Times New Roman"/>
                <w:kern w:val="0"/>
                <w:sz w:val="20"/>
                <w:szCs w:val="21"/>
              </w:rPr>
              <w:t>0%</w:t>
            </w:r>
          </w:p>
        </w:tc>
      </w:tr>
      <w:tr w14:paraId="24EC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351CDAEC">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504B7F4F">
            <w:pPr>
              <w:adjustRightInd w:val="0"/>
              <w:snapToGrid w:val="0"/>
              <w:rPr>
                <w:rFonts w:hint="eastAsia" w:ascii="Times New Roman" w:hAnsi="Times New Roman" w:eastAsia="宋体" w:cs="Times New Roman"/>
                <w:kern w:val="0"/>
                <w:sz w:val="20"/>
                <w:szCs w:val="21"/>
              </w:rPr>
            </w:pPr>
            <w:r>
              <w:rPr>
                <w:rFonts w:hint="eastAsia" w:ascii="Times New Roman" w:hAnsi="Times New Roman" w:eastAsia="宋体" w:cs="Times New Roman"/>
                <w:kern w:val="0"/>
                <w:sz w:val="20"/>
                <w:szCs w:val="21"/>
              </w:rPr>
              <w:t>主动与小学生加深交流，掌握小学生心理特点；认真观察，主动与实践导师沟通班级管理的经验，善于在管理案例中总结经验与教训。</w:t>
            </w:r>
            <w:r>
              <w:rPr>
                <w:rFonts w:hint="eastAsia" w:ascii="宋体" w:hAnsi="宋体" w:eastAsia="宋体" w:cs="Times New Roman"/>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5564478B">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56B8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71" w:type="dxa"/>
            <w:tcBorders>
              <w:top w:val="single" w:color="auto" w:sz="4" w:space="0"/>
              <w:left w:val="single" w:color="auto" w:sz="4" w:space="0"/>
              <w:bottom w:val="single" w:color="auto" w:sz="4" w:space="0"/>
              <w:right w:val="single" w:color="auto" w:sz="4" w:space="0"/>
            </w:tcBorders>
            <w:vAlign w:val="center"/>
          </w:tcPr>
          <w:p w14:paraId="16F5A95A">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7791" w:type="dxa"/>
            <w:gridSpan w:val="2"/>
            <w:tcBorders>
              <w:top w:val="single" w:color="auto" w:sz="4" w:space="0"/>
              <w:left w:val="single" w:color="auto" w:sz="4" w:space="0"/>
              <w:bottom w:val="single" w:color="auto" w:sz="4" w:space="0"/>
              <w:right w:val="single" w:color="auto" w:sz="4" w:space="0"/>
            </w:tcBorders>
            <w:vAlign w:val="center"/>
          </w:tcPr>
          <w:p w14:paraId="6C4C2ED4">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bl>
    <w:p w14:paraId="130FDEF8">
      <w:pPr>
        <w:spacing w:line="360" w:lineRule="auto"/>
        <w:jc w:val="left"/>
        <w:outlineLvl w:val="1"/>
        <w:rPr>
          <w:rFonts w:ascii="宋体" w:hAnsi="宋体" w:eastAsia="宋体" w:cs="Times New Roman"/>
          <w:b/>
          <w:color w:val="000000"/>
          <w:szCs w:val="21"/>
        </w:rPr>
      </w:pPr>
      <w:bookmarkStart w:id="3137" w:name="_Toc23547"/>
      <w:r>
        <w:rPr>
          <w:rFonts w:hint="eastAsia" w:ascii="宋体" w:hAnsi="宋体" w:eastAsia="宋体" w:cs="Times New Roman"/>
          <w:b/>
          <w:color w:val="000000"/>
          <w:szCs w:val="21"/>
        </w:rPr>
        <w:t>（三）课程目标达成度计算方法</w:t>
      </w:r>
      <w:bookmarkEnd w:id="3137"/>
    </w:p>
    <w:p w14:paraId="5E9C0624">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320BFCE">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83" o:spt="75" type="#_x0000_t75" style="height:25.3pt;width:404.75pt;" o:ole="t" filled="f" o:preferrelative="t" stroked="f" coordsize="21600,21600">
            <v:path/>
            <v:fill on="f" focussize="0,0"/>
            <v:stroke on="f" joinstyle="miter"/>
            <v:imagedata r:id="rId5" o:title=""/>
            <o:lock v:ext="edit" aspectratio="t"/>
            <w10:wrap type="none"/>
            <w10:anchorlock/>
          </v:shape>
          <o:OLEObject Type="Embed" ProgID="Equation.3" ShapeID="_x0000_i1083" DrawAspect="Content" ObjectID="_1468075783" r:id="rId66">
            <o:LockedField>false</o:LockedField>
          </o:OLEObject>
        </w:object>
      </w:r>
    </w:p>
    <w:p w14:paraId="72602C9E">
      <w:pPr>
        <w:spacing w:before="156" w:beforeLines="50" w:line="360" w:lineRule="auto"/>
        <w:jc w:val="left"/>
        <w:outlineLvl w:val="0"/>
        <w:rPr>
          <w:rFonts w:ascii="Times New Roman" w:hAnsi="Times New Roman" w:eastAsia="宋体" w:cs="Times New Roman"/>
          <w:b/>
          <w:sz w:val="24"/>
          <w:szCs w:val="24"/>
        </w:rPr>
      </w:pPr>
      <w:bookmarkStart w:id="3138" w:name="_Toc6679"/>
      <w:bookmarkStart w:id="3139" w:name="_Toc25102"/>
      <w:bookmarkStart w:id="3140" w:name="_Toc659"/>
      <w:bookmarkStart w:id="3141" w:name="_Toc3822"/>
      <w:bookmarkStart w:id="3142" w:name="_Toc22568"/>
      <w:bookmarkStart w:id="3143" w:name="_Toc12551"/>
      <w:bookmarkStart w:id="3144" w:name="_Toc2403"/>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bookmarkEnd w:id="3138"/>
      <w:bookmarkEnd w:id="3139"/>
      <w:bookmarkEnd w:id="3140"/>
      <w:bookmarkEnd w:id="3141"/>
      <w:bookmarkEnd w:id="3142"/>
      <w:bookmarkEnd w:id="3143"/>
      <w:bookmarkEnd w:id="3144"/>
    </w:p>
    <w:p w14:paraId="1E297D54">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5F0E9991">
      <w:pPr>
        <w:spacing w:line="360" w:lineRule="auto"/>
        <w:ind w:firstLine="482" w:firstLineChars="200"/>
        <w:outlineLvl w:val="0"/>
        <w:rPr>
          <w:rFonts w:ascii="宋体" w:hAnsi="宋体" w:eastAsia="宋体" w:cs="Times New Roman"/>
          <w:b/>
          <w:color w:val="000000"/>
          <w:sz w:val="24"/>
          <w:szCs w:val="24"/>
        </w:rPr>
      </w:pPr>
      <w:bookmarkStart w:id="3145" w:name="_Toc2337"/>
      <w:bookmarkStart w:id="3146" w:name="_Toc14781"/>
      <w:bookmarkStart w:id="3147" w:name="_Toc3475"/>
      <w:bookmarkStart w:id="3148" w:name="_Toc5490"/>
      <w:bookmarkStart w:id="3149" w:name="_Toc22753"/>
      <w:bookmarkStart w:id="3150" w:name="_Toc15700"/>
      <w:bookmarkStart w:id="3151" w:name="_Toc30681"/>
      <w:r>
        <w:rPr>
          <w:rFonts w:hint="eastAsia" w:ascii="宋体" w:hAnsi="宋体" w:eastAsia="宋体" w:cs="Times New Roman"/>
          <w:b/>
          <w:color w:val="000000"/>
          <w:sz w:val="24"/>
          <w:szCs w:val="24"/>
        </w:rPr>
        <w:t>六、</w:t>
      </w:r>
      <w:bookmarkStart w:id="3152" w:name="_Hlk523329700"/>
      <w:bookmarkStart w:id="3153" w:name="_Toc31564"/>
      <w:r>
        <w:rPr>
          <w:rFonts w:hint="eastAsia" w:ascii="宋体" w:hAnsi="宋体" w:eastAsia="宋体" w:cs="Times New Roman"/>
          <w:b/>
          <w:color w:val="000000"/>
          <w:sz w:val="24"/>
          <w:szCs w:val="24"/>
        </w:rPr>
        <w:t>有关说明</w:t>
      </w:r>
      <w:bookmarkEnd w:id="3145"/>
      <w:bookmarkEnd w:id="3146"/>
      <w:bookmarkEnd w:id="3147"/>
      <w:bookmarkEnd w:id="3148"/>
      <w:bookmarkEnd w:id="3149"/>
      <w:bookmarkEnd w:id="3150"/>
      <w:bookmarkEnd w:id="3151"/>
    </w:p>
    <w:p w14:paraId="4D61E4A7">
      <w:pPr>
        <w:spacing w:line="360" w:lineRule="auto"/>
        <w:ind w:firstLine="422" w:firstLineChars="200"/>
        <w:jc w:val="left"/>
        <w:outlineLvl w:val="1"/>
        <w:rPr>
          <w:rFonts w:ascii="Times New Roman" w:hAnsi="Times New Roman" w:eastAsia="宋体" w:cs="Times New Roman"/>
          <w:b/>
          <w:szCs w:val="21"/>
        </w:rPr>
      </w:pPr>
      <w:bookmarkStart w:id="3154" w:name="_Toc14289"/>
      <w:r>
        <w:rPr>
          <w:rFonts w:hint="eastAsia" w:ascii="Times New Roman" w:hAnsi="Times New Roman" w:eastAsia="宋体" w:cs="Times New Roman"/>
          <w:b/>
          <w:szCs w:val="21"/>
        </w:rPr>
        <w:t>（一）持续改进</w:t>
      </w:r>
      <w:bookmarkEnd w:id="3154"/>
    </w:p>
    <w:p w14:paraId="08BA3514">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本课程根据学生见习情况、实践学校教师的反馈等，及时对教学见习中的不足之处进行改进，并在下一轮课程实施中整改完善，确保相应毕业要求指标点达成。</w:t>
      </w:r>
    </w:p>
    <w:p w14:paraId="7E27FBFF">
      <w:pPr>
        <w:spacing w:line="360" w:lineRule="auto"/>
        <w:ind w:firstLine="527" w:firstLineChars="250"/>
        <w:jc w:val="left"/>
        <w:outlineLvl w:val="1"/>
        <w:rPr>
          <w:rFonts w:ascii="Times New Roman" w:hAnsi="Times New Roman" w:eastAsia="宋体" w:cs="Times New Roman"/>
          <w:b/>
          <w:szCs w:val="21"/>
        </w:rPr>
      </w:pPr>
      <w:bookmarkStart w:id="3155" w:name="_Toc25853"/>
      <w:r>
        <w:rPr>
          <w:rFonts w:hint="eastAsia" w:ascii="Times New Roman" w:hAnsi="Times New Roman" w:eastAsia="宋体" w:cs="Times New Roman"/>
          <w:b/>
          <w:szCs w:val="21"/>
        </w:rPr>
        <w:t>（二）建议教材</w:t>
      </w:r>
      <w:bookmarkEnd w:id="3155"/>
    </w:p>
    <w:p w14:paraId="685E08D6">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教学见习手册（自编）</w:t>
      </w:r>
    </w:p>
    <w:p w14:paraId="56920EDD">
      <w:pPr>
        <w:spacing w:line="360" w:lineRule="auto"/>
        <w:ind w:firstLine="527" w:firstLineChars="250"/>
        <w:jc w:val="left"/>
        <w:outlineLvl w:val="1"/>
        <w:rPr>
          <w:rFonts w:hint="eastAsia" w:ascii="Times New Roman" w:hAnsi="Times New Roman" w:eastAsia="宋体" w:cs="Times New Roman"/>
          <w:b/>
          <w:szCs w:val="21"/>
        </w:rPr>
      </w:pPr>
      <w:bookmarkStart w:id="3156" w:name="_Toc10739"/>
      <w:r>
        <w:rPr>
          <w:rFonts w:hint="eastAsia" w:ascii="Times New Roman" w:hAnsi="Times New Roman" w:eastAsia="宋体" w:cs="Times New Roman"/>
          <w:b/>
          <w:szCs w:val="21"/>
        </w:rPr>
        <w:t>（三）参考书目</w:t>
      </w:r>
      <w:bookmarkEnd w:id="3156"/>
    </w:p>
    <w:bookmarkEnd w:id="3152"/>
    <w:p w14:paraId="34F6B0A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义务教育小学语文/数学学科课程标准，最新版。</w:t>
      </w:r>
    </w:p>
    <w:p w14:paraId="20BB41D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部编版小学语文/数学各年级教材。</w:t>
      </w:r>
    </w:p>
    <w:bookmarkEnd w:id="3153"/>
    <w:p w14:paraId="5DACC74F">
      <w:pPr>
        <w:spacing w:line="360" w:lineRule="auto"/>
        <w:ind w:firstLine="480" w:firstLineChars="200"/>
        <w:rPr>
          <w:rFonts w:ascii="宋体" w:hAnsi="Times New Roman" w:eastAsia="宋体" w:cs="Times New Roman"/>
          <w:sz w:val="24"/>
          <w:szCs w:val="24"/>
        </w:rPr>
      </w:pPr>
      <w:bookmarkStart w:id="3157" w:name="_Toc9564"/>
      <w:r>
        <w:rPr>
          <w:rFonts w:ascii="宋体" w:hAnsi="宋体" w:eastAsia="宋体" w:cs="Times New Roman"/>
          <w:sz w:val="24"/>
          <w:szCs w:val="24"/>
        </w:rPr>
        <w:t>3.</w:t>
      </w:r>
      <w:r>
        <w:rPr>
          <w:rFonts w:hint="eastAsia" w:ascii="宋体" w:hAnsi="宋体" w:eastAsia="宋体" w:cs="Times New Roman"/>
          <w:sz w:val="24"/>
          <w:szCs w:val="24"/>
        </w:rPr>
        <w:t>陈文涛、刘霄主编：《教育实习的实践与创新》，河南大学出版社，</w:t>
      </w:r>
      <w:r>
        <w:rPr>
          <w:rFonts w:ascii="宋体" w:hAnsi="宋体" w:eastAsia="宋体" w:cs="Times New Roman"/>
          <w:sz w:val="24"/>
          <w:szCs w:val="24"/>
        </w:rPr>
        <w:t>2015</w:t>
      </w:r>
      <w:bookmarkEnd w:id="3157"/>
    </w:p>
    <w:p w14:paraId="2342A699">
      <w:pPr>
        <w:spacing w:line="360" w:lineRule="auto"/>
        <w:rPr>
          <w:rFonts w:ascii="宋体" w:hAnsi="宋体" w:eastAsia="宋体" w:cs="Times New Roman"/>
          <w:color w:val="000000"/>
          <w:sz w:val="24"/>
          <w:szCs w:val="24"/>
        </w:rPr>
      </w:pPr>
    </w:p>
    <w:p w14:paraId="14CB02C7">
      <w:pPr>
        <w:spacing w:line="360" w:lineRule="auto"/>
        <w:rPr>
          <w:rFonts w:ascii="宋体" w:hAnsi="宋体" w:eastAsia="宋体" w:cs="Times New Roman"/>
          <w:color w:val="000000"/>
          <w:sz w:val="24"/>
          <w:szCs w:val="24"/>
        </w:rPr>
      </w:pPr>
    </w:p>
    <w:p w14:paraId="6FDBAFC6">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执笔人：王雅丽</w:t>
      </w:r>
      <w:r>
        <w:rPr>
          <w:rFonts w:ascii="宋体" w:hAnsi="Times New Roman" w:eastAsia="宋体" w:cs="Times New Roman"/>
          <w:color w:val="000000"/>
          <w:sz w:val="24"/>
          <w:szCs w:val="24"/>
        </w:rPr>
        <w:t xml:space="preserve"> </w:t>
      </w:r>
    </w:p>
    <w:p w14:paraId="49EF11DF">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审定人：王健</w:t>
      </w:r>
    </w:p>
    <w:p w14:paraId="0FA991D3">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审批人：张志欣</w:t>
      </w:r>
    </w:p>
    <w:p w14:paraId="1ABE6583">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w:t>
      </w:r>
      <w:r>
        <w:rPr>
          <w:rFonts w:ascii="宋体" w:hAnsi="宋体" w:eastAsia="宋体" w:cs="Times New Roman"/>
          <w:color w:val="000000"/>
          <w:sz w:val="24"/>
          <w:szCs w:val="24"/>
        </w:rPr>
        <w:t>2024</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8</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30</w:t>
      </w:r>
      <w:r>
        <w:rPr>
          <w:rFonts w:hint="eastAsia" w:ascii="宋体" w:hAnsi="宋体" w:eastAsia="宋体" w:cs="Times New Roman"/>
          <w:color w:val="000000"/>
          <w:sz w:val="24"/>
          <w:szCs w:val="24"/>
        </w:rPr>
        <w:t>日</w:t>
      </w:r>
    </w:p>
    <w:p w14:paraId="065917BF">
      <w:pPr>
        <w:rPr>
          <w:rFonts w:ascii="宋体" w:hAnsi="宋体" w:eastAsia="宋体" w:cs="Times New Roman"/>
          <w:color w:val="000000"/>
          <w:sz w:val="24"/>
          <w:szCs w:val="24"/>
        </w:rPr>
      </w:pPr>
    </w:p>
    <w:p w14:paraId="259F1B5C">
      <w:pPr>
        <w:rPr>
          <w:rFonts w:ascii="宋体" w:hAnsi="宋体" w:eastAsia="宋体" w:cs="Times New Roman"/>
          <w:color w:val="000000"/>
          <w:sz w:val="24"/>
          <w:szCs w:val="24"/>
        </w:rPr>
      </w:pPr>
      <w:r>
        <w:rPr>
          <w:rFonts w:ascii="宋体" w:hAnsi="宋体" w:eastAsia="宋体" w:cs="Times New Roman"/>
          <w:color w:val="000000"/>
          <w:sz w:val="24"/>
          <w:szCs w:val="24"/>
        </w:rPr>
        <w:br w:type="page"/>
      </w:r>
    </w:p>
    <w:p w14:paraId="468C05E3">
      <w:pPr>
        <w:pStyle w:val="2"/>
        <w:bidi w:val="0"/>
        <w:rPr>
          <w:lang w:val="en-US" w:eastAsia="zh-CN"/>
        </w:rPr>
      </w:pPr>
      <w:bookmarkStart w:id="3158" w:name="_Toc28829"/>
      <w:bookmarkStart w:id="3159" w:name="_Toc1165"/>
      <w:bookmarkStart w:id="3160" w:name="_Toc28162"/>
      <w:bookmarkStart w:id="3161" w:name="_Toc11800"/>
      <w:bookmarkStart w:id="3162" w:name="_Toc57017209"/>
      <w:r>
        <w:rPr>
          <w:rFonts w:hint="eastAsia"/>
          <w:lang w:val="en-US" w:eastAsia="zh-CN"/>
        </w:rPr>
        <w:t>《教育见习Ⅱ》教学大纲</w:t>
      </w:r>
      <w:bookmarkEnd w:id="3158"/>
      <w:bookmarkEnd w:id="3159"/>
      <w:bookmarkEnd w:id="3160"/>
      <w:bookmarkEnd w:id="3161"/>
    </w:p>
    <w:p w14:paraId="3C8EFDCC">
      <w:pPr>
        <w:pStyle w:val="2"/>
        <w:bidi w:val="0"/>
        <w:rPr>
          <w:rFonts w:ascii="Times New Roman" w:hAnsi="Times New Roman" w:eastAsia="宋体" w:cs="Arial"/>
          <w:b/>
          <w:bCs/>
          <w:kern w:val="2"/>
          <w:szCs w:val="24"/>
          <w:lang w:val="en-US" w:eastAsia="zh-CN" w:bidi="ar-SA"/>
        </w:rPr>
      </w:pPr>
      <w:bookmarkStart w:id="3163" w:name="_Toc28479"/>
      <w:bookmarkStart w:id="3164" w:name="_Toc7035"/>
      <w:bookmarkStart w:id="3165" w:name="_Toc15028"/>
      <w:bookmarkStart w:id="3166" w:name="_Toc18363"/>
      <w:bookmarkStart w:id="3167" w:name="_Toc31184"/>
      <w:bookmarkStart w:id="3168" w:name="_Toc839"/>
      <w:bookmarkStart w:id="3169" w:name="_Toc901"/>
      <w:r>
        <w:rPr>
          <w:rFonts w:hint="eastAsia"/>
          <w:lang w:val="en-US" w:eastAsia="zh-CN"/>
        </w:rPr>
        <w:t>（Educational Probation Ⅱ）</w:t>
      </w:r>
      <w:bookmarkEnd w:id="3163"/>
      <w:bookmarkEnd w:id="3164"/>
      <w:bookmarkEnd w:id="3165"/>
      <w:bookmarkEnd w:id="3166"/>
      <w:bookmarkEnd w:id="3167"/>
      <w:bookmarkEnd w:id="3168"/>
      <w:bookmarkEnd w:id="3169"/>
    </w:p>
    <w:p w14:paraId="2520076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课程名称：教育见习</w:t>
      </w:r>
      <w:r>
        <w:rPr>
          <w:rFonts w:ascii="宋体" w:hAnsi="宋体" w:eastAsia="宋体" w:cs="Times New Roman"/>
          <w:b/>
          <w:color w:val="000000"/>
          <w:sz w:val="24"/>
          <w:szCs w:val="24"/>
        </w:rPr>
        <w:t>II</w:t>
      </w:r>
    </w:p>
    <w:p w14:paraId="40DBB758">
      <w:pPr>
        <w:spacing w:line="360" w:lineRule="auto"/>
        <w:ind w:firstLine="482" w:firstLineChars="200"/>
        <w:rPr>
          <w:rFonts w:ascii="宋体" w:hAnsi="Times New Roman" w:eastAsia="宋体" w:cs="Times New Roman"/>
          <w:b/>
          <w:color w:val="000000"/>
          <w:sz w:val="24"/>
          <w:szCs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：240104</w:t>
      </w:r>
      <w:r>
        <w:rPr>
          <w:rFonts w:ascii="宋体" w:hAnsi="宋体" w:eastAsia="宋体" w:cs="Times New Roman"/>
          <w:b/>
          <w:color w:val="000000"/>
          <w:kern w:val="0"/>
          <w:sz w:val="24"/>
          <w:szCs w:val="24"/>
        </w:rPr>
        <w:t>7</w:t>
      </w:r>
    </w:p>
    <w:p w14:paraId="6BCD0C2B">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color w:val="000000"/>
          <w:kern w:val="0"/>
          <w:sz w:val="24"/>
          <w:szCs w:val="24"/>
        </w:rPr>
        <w:t>1</w:t>
      </w:r>
    </w:p>
    <w:p w14:paraId="6445E87D">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时：2周</w:t>
      </w:r>
    </w:p>
    <w:p w14:paraId="48F64EB3">
      <w:pPr>
        <w:spacing w:line="360" w:lineRule="auto"/>
        <w:ind w:firstLine="482" w:firstLineChars="200"/>
        <w:rPr>
          <w:rFonts w:ascii="宋体" w:hAnsi="宋体" w:eastAsia="宋体" w:cs="Times New Roman"/>
          <w:b/>
          <w:bCs/>
          <w:color w:val="000000"/>
          <w:kern w:val="0"/>
          <w:sz w:val="24"/>
          <w:szCs w:val="24"/>
        </w:rPr>
      </w:pPr>
      <w:r>
        <w:rPr>
          <w:rFonts w:hint="eastAsia" w:ascii="宋体" w:hAnsi="宋体" w:eastAsia="宋体" w:cs="Times New Roman"/>
          <w:b/>
          <w:bCs/>
          <w:color w:val="000000"/>
          <w:kern w:val="0"/>
          <w:sz w:val="24"/>
          <w:szCs w:val="24"/>
        </w:rPr>
        <w:t>先修课程：</w:t>
      </w:r>
      <w:r>
        <w:rPr>
          <w:rFonts w:ascii="宋体" w:hAnsi="宋体" w:eastAsia="宋体" w:cs="Times New Roman"/>
          <w:b/>
          <w:bCs/>
          <w:color w:val="000000"/>
          <w:kern w:val="0"/>
          <w:sz w:val="24"/>
          <w:szCs w:val="24"/>
        </w:rPr>
        <w:t>小学心理学、</w:t>
      </w:r>
      <w:r>
        <w:rPr>
          <w:rFonts w:hint="eastAsia" w:ascii="宋体" w:hAnsi="宋体" w:eastAsia="宋体" w:cs="Times New Roman"/>
          <w:b/>
          <w:bCs/>
          <w:color w:val="000000"/>
          <w:kern w:val="0"/>
          <w:sz w:val="24"/>
          <w:szCs w:val="24"/>
        </w:rPr>
        <w:t>书</w:t>
      </w:r>
      <w:r>
        <w:rPr>
          <w:rFonts w:ascii="宋体" w:hAnsi="宋体" w:eastAsia="宋体" w:cs="Times New Roman"/>
          <w:b/>
          <w:bCs/>
          <w:color w:val="000000"/>
          <w:kern w:val="0"/>
          <w:sz w:val="24"/>
          <w:szCs w:val="24"/>
        </w:rPr>
        <w:t>写技能、教育原理、 教师职业道德，以及部分数学/中文类课程</w:t>
      </w:r>
    </w:p>
    <w:p w14:paraId="177D538D">
      <w:pPr>
        <w:spacing w:line="360" w:lineRule="auto"/>
        <w:ind w:firstLine="482" w:firstLineChars="200"/>
        <w:rPr>
          <w:rFonts w:ascii="宋体" w:hAnsi="宋体" w:eastAsia="宋体" w:cs="Times New Roman"/>
          <w:b/>
          <w:bCs/>
          <w:color w:val="000000"/>
          <w:kern w:val="0"/>
          <w:sz w:val="24"/>
          <w:szCs w:val="24"/>
        </w:rPr>
      </w:pPr>
      <w:r>
        <w:rPr>
          <w:rFonts w:hint="eastAsia" w:ascii="宋体" w:hAnsi="宋体" w:eastAsia="宋体" w:cs="Times New Roman"/>
          <w:b/>
          <w:bCs/>
          <w:color w:val="000000"/>
          <w:kern w:val="0"/>
          <w:sz w:val="24"/>
          <w:szCs w:val="24"/>
        </w:rPr>
        <w:t>适用专业：小学教育（文）、小学教育（理）</w:t>
      </w:r>
      <w:r>
        <w:rPr>
          <w:rFonts w:ascii="宋体" w:hAnsi="宋体" w:eastAsia="宋体" w:cs="Times New Roman"/>
          <w:b/>
          <w:bCs/>
          <w:color w:val="000000"/>
          <w:kern w:val="0"/>
          <w:sz w:val="24"/>
          <w:szCs w:val="24"/>
        </w:rPr>
        <w:t xml:space="preserve"> </w:t>
      </w:r>
    </w:p>
    <w:p w14:paraId="1AAF63E7">
      <w:pPr>
        <w:spacing w:line="360" w:lineRule="auto"/>
        <w:ind w:firstLine="482" w:firstLineChars="200"/>
        <w:rPr>
          <w:rFonts w:ascii="宋体" w:hAnsi="宋体" w:eastAsia="宋体" w:cs="Times New Roman"/>
          <w:b/>
          <w:bCs/>
          <w:color w:val="000000"/>
          <w:kern w:val="0"/>
          <w:sz w:val="24"/>
          <w:szCs w:val="24"/>
        </w:rPr>
      </w:pPr>
      <w:r>
        <w:rPr>
          <w:rFonts w:hint="eastAsia" w:ascii="宋体" w:hAnsi="宋体" w:eastAsia="宋体" w:cs="Times New Roman"/>
          <w:b/>
          <w:bCs/>
          <w:color w:val="000000"/>
          <w:kern w:val="0"/>
          <w:sz w:val="24"/>
          <w:szCs w:val="24"/>
        </w:rPr>
        <w:t>一、课程简介</w:t>
      </w:r>
    </w:p>
    <w:p w14:paraId="678214B3">
      <w:pPr>
        <w:spacing w:line="360" w:lineRule="auto"/>
        <w:ind w:firstLine="480" w:firstLineChars="200"/>
        <w:rPr>
          <w:rFonts w:ascii="宋体" w:hAnsi="宋体" w:eastAsia="宋体" w:cs="Times New Roman"/>
          <w:color w:val="000000"/>
          <w:kern w:val="0"/>
          <w:sz w:val="24"/>
          <w:szCs w:val="24"/>
        </w:rPr>
      </w:pPr>
      <w:r>
        <w:rPr>
          <w:rFonts w:hint="eastAsia" w:ascii="宋体" w:hAnsi="宋体" w:eastAsia="宋体" w:cs="Times New Roman"/>
          <w:color w:val="000000"/>
          <w:kern w:val="0"/>
          <w:sz w:val="24"/>
          <w:szCs w:val="24"/>
        </w:rPr>
        <w:t>教育见习</w:t>
      </w:r>
      <w:r>
        <w:rPr>
          <w:rFonts w:ascii="宋体" w:hAnsi="宋体" w:eastAsia="宋体" w:cs="Times New Roman"/>
          <w:color w:val="000000"/>
          <w:kern w:val="0"/>
          <w:sz w:val="24"/>
          <w:szCs w:val="24"/>
        </w:rPr>
        <w:t>II</w:t>
      </w:r>
      <w:r>
        <w:rPr>
          <w:rFonts w:hint="eastAsia" w:ascii="宋体" w:hAnsi="宋体" w:eastAsia="宋体" w:cs="Times New Roman"/>
          <w:color w:val="000000"/>
          <w:kern w:val="0"/>
          <w:sz w:val="24"/>
          <w:szCs w:val="24"/>
        </w:rPr>
        <w:t>是小学教育专业重要的实践性环节。本课程的任务和目的是通过教育见习，使学生充分接触教育教学实际，</w:t>
      </w:r>
      <w:r>
        <w:rPr>
          <w:rFonts w:ascii="宋体" w:hAnsi="宋体" w:eastAsia="宋体" w:cs="Times New Roman"/>
          <w:color w:val="000000"/>
          <w:kern w:val="0"/>
          <w:sz w:val="24"/>
          <w:szCs w:val="24"/>
        </w:rPr>
        <w:t>适应学校日常生活，熟悉教师岗位职责，增强对教师职业价值和工作复杂性的认识</w:t>
      </w:r>
      <w:r>
        <w:rPr>
          <w:rFonts w:hint="eastAsia" w:ascii="宋体" w:hAnsi="宋体" w:eastAsia="宋体" w:cs="Times New Roman"/>
          <w:color w:val="000000"/>
          <w:kern w:val="0"/>
          <w:sz w:val="24"/>
          <w:szCs w:val="24"/>
        </w:rPr>
        <w:t>；进一步训练学生听课、上课、评课等教学技能、班级管理和班队活动组织的技能，</w:t>
      </w:r>
      <w:r>
        <w:rPr>
          <w:rFonts w:ascii="宋体" w:hAnsi="宋体" w:eastAsia="宋体" w:cs="Times New Roman"/>
          <w:color w:val="000000"/>
          <w:kern w:val="0"/>
          <w:sz w:val="24"/>
          <w:szCs w:val="24"/>
        </w:rPr>
        <w:t>将专业学习与实践学习建立</w:t>
      </w:r>
      <w:r>
        <w:rPr>
          <w:rFonts w:hint="eastAsia" w:ascii="宋体" w:hAnsi="宋体" w:eastAsia="宋体" w:cs="Times New Roman"/>
          <w:color w:val="000000"/>
          <w:kern w:val="0"/>
          <w:sz w:val="24"/>
          <w:szCs w:val="24"/>
        </w:rPr>
        <w:t>紧密</w:t>
      </w:r>
      <w:r>
        <w:rPr>
          <w:rFonts w:ascii="宋体" w:hAnsi="宋体" w:eastAsia="宋体" w:cs="Times New Roman"/>
          <w:color w:val="000000"/>
          <w:kern w:val="0"/>
          <w:sz w:val="24"/>
          <w:szCs w:val="24"/>
        </w:rPr>
        <w:t>联系</w:t>
      </w:r>
      <w:r>
        <w:rPr>
          <w:rFonts w:hint="eastAsia" w:ascii="宋体" w:hAnsi="宋体" w:eastAsia="宋体" w:cs="Times New Roman"/>
          <w:color w:val="000000"/>
          <w:kern w:val="0"/>
          <w:sz w:val="24"/>
          <w:szCs w:val="24"/>
        </w:rPr>
        <w:t>，巩固专业知识和职业技能；培养学生研究小学教育问题的兴趣，提升</w:t>
      </w:r>
      <w:r>
        <w:rPr>
          <w:rFonts w:ascii="宋体" w:hAnsi="宋体" w:eastAsia="宋体" w:cs="Times New Roman"/>
          <w:color w:val="000000"/>
          <w:kern w:val="0"/>
          <w:sz w:val="24"/>
          <w:szCs w:val="24"/>
        </w:rPr>
        <w:t>综合育人的意识</w:t>
      </w:r>
      <w:r>
        <w:rPr>
          <w:rFonts w:hint="eastAsia" w:ascii="宋体" w:hAnsi="宋体" w:eastAsia="宋体" w:cs="Times New Roman"/>
          <w:color w:val="000000"/>
          <w:kern w:val="0"/>
          <w:sz w:val="24"/>
          <w:szCs w:val="24"/>
        </w:rPr>
        <w:t>与能力</w:t>
      </w:r>
      <w:r>
        <w:rPr>
          <w:rFonts w:ascii="宋体" w:hAnsi="宋体" w:eastAsia="宋体" w:cs="Times New Roman"/>
          <w:color w:val="000000"/>
          <w:kern w:val="0"/>
          <w:sz w:val="24"/>
          <w:szCs w:val="24"/>
        </w:rPr>
        <w:t>。</w:t>
      </w:r>
    </w:p>
    <w:p w14:paraId="044D0A3B">
      <w:pPr>
        <w:spacing w:line="360" w:lineRule="auto"/>
        <w:ind w:firstLine="472" w:firstLineChars="196"/>
        <w:rPr>
          <w:rFonts w:ascii="宋体" w:hAnsi="Times New Roman" w:eastAsia="宋体" w:cs="Times New Roman"/>
          <w:b/>
          <w:color w:val="000000"/>
          <w:sz w:val="24"/>
          <w:szCs w:val="24"/>
        </w:rPr>
      </w:pPr>
      <w:r>
        <w:rPr>
          <w:rFonts w:hint="eastAsia" w:ascii="宋体" w:hAnsi="宋体" w:eastAsia="宋体" w:cs="Times New Roman"/>
          <w:b/>
          <w:color w:val="000000"/>
          <w:sz w:val="24"/>
          <w:szCs w:val="24"/>
        </w:rPr>
        <w:t>二、课程目标</w:t>
      </w:r>
    </w:p>
    <w:p w14:paraId="2EAF274A">
      <w:pPr>
        <w:spacing w:line="360" w:lineRule="auto"/>
        <w:ind w:firstLine="482" w:firstLineChars="200"/>
        <w:jc w:val="left"/>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（一）课程具体目标</w:t>
      </w:r>
    </w:p>
    <w:p w14:paraId="11BB06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1.</w:t>
      </w:r>
      <w:r>
        <w:rPr>
          <w:rFonts w:hint="eastAsia" w:ascii="宋体" w:hAnsi="宋体" w:eastAsia="宋体" w:cs="Times New Roman"/>
          <w:color w:val="000000"/>
          <w:sz w:val="24"/>
          <w:szCs w:val="24"/>
        </w:rPr>
        <w:t>通过教育见习</w:t>
      </w:r>
      <w:r>
        <w:rPr>
          <w:rFonts w:ascii="宋体" w:hAnsi="宋体" w:eastAsia="宋体" w:cs="Times New Roman"/>
          <w:color w:val="000000"/>
          <w:sz w:val="24"/>
          <w:szCs w:val="24"/>
        </w:rPr>
        <w:t>II</w:t>
      </w:r>
      <w:r>
        <w:rPr>
          <w:rFonts w:hint="eastAsia" w:ascii="宋体" w:hAnsi="宋体" w:eastAsia="宋体" w:cs="Times New Roman"/>
          <w:color w:val="000000"/>
          <w:sz w:val="24"/>
          <w:szCs w:val="24"/>
        </w:rPr>
        <w:t>，进一步</w:t>
      </w:r>
      <w:r>
        <w:rPr>
          <w:rFonts w:ascii="宋体" w:hAnsi="宋体" w:eastAsia="宋体" w:cs="Times New Roman"/>
          <w:color w:val="000000"/>
          <w:sz w:val="24"/>
          <w:szCs w:val="24"/>
        </w:rPr>
        <w:t>适应学校日常生活，熟悉教师岗位职责，</w:t>
      </w:r>
      <w:r>
        <w:rPr>
          <w:rFonts w:hint="eastAsia" w:ascii="宋体" w:hAnsi="宋体" w:eastAsia="宋体" w:cs="Times New Roman"/>
          <w:color w:val="000000"/>
          <w:sz w:val="24"/>
          <w:szCs w:val="24"/>
        </w:rPr>
        <w:t>体验和感受教师职业的光荣感、幸福感，</w:t>
      </w:r>
      <w:r>
        <w:rPr>
          <w:rFonts w:ascii="宋体" w:hAnsi="宋体" w:eastAsia="宋体" w:cs="Times New Roman"/>
          <w:color w:val="000000"/>
          <w:sz w:val="24"/>
          <w:szCs w:val="24"/>
        </w:rPr>
        <w:t>增强对教师职业</w:t>
      </w:r>
      <w:r>
        <w:rPr>
          <w:rFonts w:hint="eastAsia" w:ascii="宋体" w:hAnsi="宋体" w:eastAsia="宋体" w:cs="Times New Roman"/>
          <w:color w:val="000000"/>
          <w:sz w:val="24"/>
          <w:szCs w:val="24"/>
        </w:rPr>
        <w:t>的责任感，充分认识教师</w:t>
      </w:r>
      <w:r>
        <w:rPr>
          <w:rFonts w:ascii="宋体" w:hAnsi="宋体" w:eastAsia="宋体" w:cs="Times New Roman"/>
          <w:color w:val="000000"/>
          <w:sz w:val="24"/>
          <w:szCs w:val="24"/>
        </w:rPr>
        <w:t>工作</w:t>
      </w:r>
      <w:r>
        <w:rPr>
          <w:rFonts w:hint="eastAsia" w:ascii="宋体" w:hAnsi="宋体" w:eastAsia="宋体" w:cs="Times New Roman"/>
          <w:color w:val="000000"/>
          <w:sz w:val="24"/>
          <w:szCs w:val="24"/>
        </w:rPr>
        <w:t>内容的</w:t>
      </w:r>
      <w:r>
        <w:rPr>
          <w:rFonts w:ascii="宋体" w:hAnsi="宋体" w:eastAsia="宋体" w:cs="Times New Roman"/>
          <w:color w:val="000000"/>
          <w:sz w:val="24"/>
          <w:szCs w:val="24"/>
        </w:rPr>
        <w:t>复杂性</w:t>
      </w:r>
      <w:r>
        <w:rPr>
          <w:rFonts w:hint="eastAsia" w:ascii="宋体" w:hAnsi="宋体" w:eastAsia="宋体" w:cs="Times New Roman"/>
          <w:color w:val="000000"/>
          <w:sz w:val="24"/>
          <w:szCs w:val="24"/>
        </w:rPr>
        <w:t>。</w:t>
      </w:r>
    </w:p>
    <w:p w14:paraId="45D879E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2.</w:t>
      </w:r>
      <w:r>
        <w:rPr>
          <w:rFonts w:hint="eastAsia" w:ascii="宋体" w:hAnsi="宋体" w:eastAsia="宋体" w:cs="Times New Roman"/>
          <w:color w:val="000000"/>
          <w:sz w:val="24"/>
          <w:szCs w:val="24"/>
        </w:rPr>
        <w:t>通过课堂教学和班队工作见习，增进小学教学体验，积累课堂教学和班级管理的经验与方法，进一步了解小学生心理健康教育指导的要求，形成综合育人的意识。</w:t>
      </w:r>
    </w:p>
    <w:p w14:paraId="2C91E5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3.</w:t>
      </w:r>
      <w:r>
        <w:rPr>
          <w:rFonts w:hint="eastAsia" w:ascii="宋体" w:hAnsi="宋体" w:eastAsia="宋体" w:cs="Times New Roman"/>
          <w:color w:val="000000"/>
          <w:sz w:val="24"/>
          <w:szCs w:val="24"/>
        </w:rPr>
        <w:t>通过听课、上课等环节，熟悉小学教育工作规律，将</w:t>
      </w:r>
      <w:r>
        <w:rPr>
          <w:rFonts w:ascii="宋体" w:hAnsi="宋体" w:eastAsia="宋体" w:cs="Times New Roman"/>
          <w:color w:val="000000"/>
          <w:sz w:val="24"/>
          <w:szCs w:val="24"/>
        </w:rPr>
        <w:t>专业学习与实践学习建立</w:t>
      </w:r>
      <w:r>
        <w:rPr>
          <w:rFonts w:hint="eastAsia" w:ascii="宋体" w:hAnsi="宋体" w:eastAsia="宋体" w:cs="Times New Roman"/>
          <w:color w:val="000000"/>
          <w:sz w:val="24"/>
          <w:szCs w:val="24"/>
        </w:rPr>
        <w:t>紧密</w:t>
      </w:r>
      <w:r>
        <w:rPr>
          <w:rFonts w:ascii="宋体" w:hAnsi="宋体" w:eastAsia="宋体" w:cs="Times New Roman"/>
          <w:color w:val="000000"/>
          <w:sz w:val="24"/>
          <w:szCs w:val="24"/>
        </w:rPr>
        <w:t>联系，</w:t>
      </w:r>
      <w:r>
        <w:rPr>
          <w:rFonts w:hint="eastAsia" w:ascii="宋体" w:hAnsi="宋体" w:eastAsia="宋体" w:cs="Times New Roman"/>
          <w:color w:val="000000"/>
          <w:sz w:val="24"/>
          <w:szCs w:val="24"/>
        </w:rPr>
        <w:t>初步形成独立编写</w:t>
      </w:r>
      <w:r>
        <w:rPr>
          <w:rFonts w:ascii="宋体" w:hAnsi="宋体" w:eastAsia="宋体" w:cs="Times New Roman"/>
          <w:color w:val="000000"/>
          <w:sz w:val="24"/>
          <w:szCs w:val="24"/>
        </w:rPr>
        <w:t>教案</w:t>
      </w:r>
      <w:r>
        <w:rPr>
          <w:rFonts w:hint="eastAsia" w:ascii="宋体" w:hAnsi="宋体" w:eastAsia="宋体" w:cs="Times New Roman"/>
          <w:color w:val="000000"/>
          <w:sz w:val="24"/>
          <w:szCs w:val="24"/>
        </w:rPr>
        <w:t>和开展教学的能力，主动进行</w:t>
      </w:r>
      <w:r>
        <w:rPr>
          <w:rFonts w:ascii="宋体" w:hAnsi="宋体" w:eastAsia="宋体" w:cs="Times New Roman"/>
          <w:color w:val="000000"/>
          <w:sz w:val="24"/>
          <w:szCs w:val="24"/>
        </w:rPr>
        <w:t>教学反思</w:t>
      </w:r>
      <w:r>
        <w:rPr>
          <w:rFonts w:hint="eastAsia" w:ascii="宋体" w:hAnsi="宋体" w:eastAsia="宋体" w:cs="Times New Roman"/>
          <w:color w:val="000000"/>
          <w:sz w:val="24"/>
          <w:szCs w:val="24"/>
        </w:rPr>
        <w:t>，巩固已学的知识与能力。</w:t>
      </w:r>
    </w:p>
    <w:p w14:paraId="1F347898">
      <w:pPr>
        <w:spacing w:line="360" w:lineRule="auto"/>
        <w:ind w:firstLine="480" w:firstLineChars="200"/>
        <w:rPr>
          <w:rFonts w:ascii="宋体" w:hAnsi="宋体" w:eastAsia="宋体" w:cs="Times New Roman"/>
          <w:b/>
          <w:bCs/>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4.</w:t>
      </w:r>
      <w:r>
        <w:rPr>
          <w:rFonts w:hint="eastAsia" w:ascii="宋体" w:hAnsi="宋体" w:eastAsia="宋体" w:cs="Times New Roman"/>
          <w:color w:val="000000"/>
          <w:sz w:val="24"/>
          <w:szCs w:val="24"/>
        </w:rPr>
        <w:t>通过分组见习，学会与不同的交往对象和谐相处，了解课外活动组织和管理的知识，学会与其他教师、学生、家长沟通的方法，发展沟通合作的意识。</w:t>
      </w:r>
    </w:p>
    <w:p w14:paraId="604FBC5D">
      <w:pPr>
        <w:spacing w:line="360" w:lineRule="auto"/>
        <w:ind w:firstLine="482" w:firstLineChars="200"/>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课程目标与毕业要求的关系</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3AA9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61D74130">
            <w:pPr>
              <w:spacing w:line="360" w:lineRule="auto"/>
              <w:jc w:val="center"/>
              <w:rPr>
                <w:rFonts w:ascii="宋体" w:hAnsi="宋体" w:eastAsia="宋体" w:cs="Times New Roman"/>
                <w:b/>
                <w:bCs/>
                <w:kern w:val="0"/>
                <w:sz w:val="21"/>
                <w:szCs w:val="21"/>
              </w:rPr>
            </w:pPr>
            <w:r>
              <w:rPr>
                <w:rFonts w:hint="eastAsia" w:ascii="宋体" w:hAnsi="宋体" w:eastAsia="宋体" w:cs="Times New Roman"/>
                <w:b/>
                <w:bCs/>
                <w:kern w:val="0"/>
                <w:sz w:val="21"/>
                <w:szCs w:val="21"/>
              </w:rPr>
              <w:t>毕业要求</w:t>
            </w:r>
          </w:p>
        </w:tc>
        <w:tc>
          <w:tcPr>
            <w:tcW w:w="6095" w:type="dxa"/>
            <w:vAlign w:val="center"/>
          </w:tcPr>
          <w:p w14:paraId="03AE0B71">
            <w:pPr>
              <w:spacing w:line="360" w:lineRule="auto"/>
              <w:jc w:val="center"/>
              <w:rPr>
                <w:rFonts w:ascii="宋体" w:hAnsi="宋体" w:eastAsia="宋体" w:cs="Times New Roman"/>
                <w:b/>
                <w:bCs/>
                <w:kern w:val="0"/>
                <w:sz w:val="21"/>
                <w:szCs w:val="21"/>
              </w:rPr>
            </w:pPr>
            <w:r>
              <w:rPr>
                <w:rFonts w:hint="eastAsia" w:ascii="宋体" w:hAnsi="宋体" w:eastAsia="宋体" w:cs="Times New Roman"/>
                <w:b/>
                <w:bCs/>
                <w:kern w:val="0"/>
                <w:sz w:val="21"/>
                <w:szCs w:val="21"/>
              </w:rPr>
              <w:t>毕业要求指标点</w:t>
            </w:r>
          </w:p>
        </w:tc>
        <w:tc>
          <w:tcPr>
            <w:tcW w:w="1327" w:type="dxa"/>
            <w:vAlign w:val="center"/>
          </w:tcPr>
          <w:p w14:paraId="656A8A8F">
            <w:pPr>
              <w:spacing w:line="360" w:lineRule="auto"/>
              <w:jc w:val="center"/>
              <w:rPr>
                <w:rFonts w:ascii="宋体" w:hAnsi="宋体" w:eastAsia="宋体" w:cs="Times New Roman"/>
                <w:b/>
                <w:bCs/>
                <w:kern w:val="0"/>
                <w:sz w:val="21"/>
                <w:szCs w:val="21"/>
              </w:rPr>
            </w:pPr>
            <w:r>
              <w:rPr>
                <w:rFonts w:hint="eastAsia" w:ascii="宋体" w:hAnsi="宋体" w:eastAsia="宋体" w:cs="Times New Roman"/>
                <w:b/>
                <w:bCs/>
                <w:kern w:val="0"/>
                <w:sz w:val="21"/>
                <w:szCs w:val="21"/>
              </w:rPr>
              <w:t>课程目标</w:t>
            </w:r>
          </w:p>
        </w:tc>
      </w:tr>
      <w:tr w14:paraId="3DEE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AEED3B6">
            <w:pPr>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毕业要求1</w:t>
            </w:r>
            <w:r>
              <w:rPr>
                <w:rFonts w:ascii="宋体" w:hAnsi="宋体" w:eastAsia="宋体" w:cs="Times New Roman"/>
                <w:kern w:val="0"/>
                <w:sz w:val="21"/>
                <w:szCs w:val="21"/>
              </w:rPr>
              <w:t>：</w:t>
            </w:r>
            <w:r>
              <w:rPr>
                <w:rFonts w:hint="eastAsia" w:ascii="宋体" w:hAnsi="宋体" w:eastAsia="宋体" w:cs="Times New Roman"/>
                <w:kern w:val="0"/>
                <w:sz w:val="21"/>
                <w:szCs w:val="21"/>
              </w:rPr>
              <w:t>师德规范</w:t>
            </w:r>
          </w:p>
        </w:tc>
        <w:tc>
          <w:tcPr>
            <w:tcW w:w="6095" w:type="dxa"/>
            <w:vAlign w:val="center"/>
          </w:tcPr>
          <w:p w14:paraId="78E0E4EB">
            <w:pPr>
              <w:widowControl/>
              <w:shd w:val="clear" w:color="auto" w:fill="FFFFFF"/>
              <w:spacing w:before="100" w:beforeAutospacing="1" w:after="100" w:afterAutospacing="1"/>
              <w:jc w:val="both"/>
              <w:rPr>
                <w:rFonts w:ascii="宋体" w:hAnsi="宋体" w:eastAsia="宋体" w:cs="宋体"/>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指标点</w:t>
            </w:r>
            <w:r>
              <w:rPr>
                <w:rFonts w:ascii="宋体" w:hAnsi="宋体" w:eastAsia="宋体" w:cs="宋体"/>
                <w:color w:val="000000"/>
                <w:spacing w:val="2"/>
                <w:kern w:val="0"/>
                <w:sz w:val="21"/>
                <w:szCs w:val="21"/>
                <w:lang w:val="en-US" w:eastAsia="zh-CN" w:bidi="ar-SA"/>
              </w:rPr>
              <w:t>1-2:</w:t>
            </w:r>
            <w:r>
              <w:rPr>
                <w:rFonts w:hint="eastAsia" w:ascii="宋体" w:hAnsi="宋体" w:eastAsia="宋体" w:cs="宋体"/>
                <w:kern w:val="0"/>
                <w:sz w:val="21"/>
                <w:szCs w:val="21"/>
                <w:lang w:val="en-US" w:eastAsia="zh-CN" w:bidi="ar-SA"/>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2CF6122F">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w:t>
            </w:r>
            <w:r>
              <w:rPr>
                <w:rFonts w:ascii="宋体" w:hAnsi="宋体" w:eastAsia="宋体" w:cs="Times New Roman"/>
                <w:kern w:val="0"/>
                <w:sz w:val="21"/>
                <w:szCs w:val="21"/>
              </w:rPr>
              <w:t>1</w:t>
            </w:r>
          </w:p>
        </w:tc>
      </w:tr>
      <w:tr w14:paraId="378D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0DD5CAF">
            <w:pPr>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毕业要求2</w:t>
            </w:r>
            <w:r>
              <w:rPr>
                <w:rFonts w:ascii="宋体" w:hAnsi="宋体" w:eastAsia="宋体" w:cs="Times New Roman"/>
                <w:kern w:val="0"/>
                <w:sz w:val="21"/>
                <w:szCs w:val="21"/>
              </w:rPr>
              <w:t>:</w:t>
            </w:r>
            <w:r>
              <w:rPr>
                <w:rFonts w:hint="eastAsia" w:ascii="宋体" w:hAnsi="宋体" w:eastAsia="宋体" w:cs="Times New Roman"/>
                <w:kern w:val="0"/>
                <w:sz w:val="21"/>
                <w:szCs w:val="21"/>
              </w:rPr>
              <w:t>教育情怀</w:t>
            </w:r>
          </w:p>
        </w:tc>
        <w:tc>
          <w:tcPr>
            <w:tcW w:w="6095" w:type="dxa"/>
            <w:vAlign w:val="center"/>
          </w:tcPr>
          <w:p w14:paraId="665CB126">
            <w:pPr>
              <w:widowControl/>
              <w:shd w:val="clear" w:color="auto" w:fill="FFFFFF"/>
              <w:spacing w:before="100" w:beforeAutospacing="1" w:after="100" w:afterAutospacing="1"/>
              <w:jc w:val="left"/>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指标点2</w:t>
            </w:r>
            <w:r>
              <w:rPr>
                <w:rFonts w:ascii="宋体" w:hAnsi="宋体" w:eastAsia="宋体" w:cs="宋体"/>
                <w:color w:val="000000"/>
                <w:spacing w:val="2"/>
                <w:kern w:val="0"/>
                <w:sz w:val="21"/>
                <w:szCs w:val="21"/>
                <w:lang w:val="en-US" w:eastAsia="zh-CN" w:bidi="ar-SA"/>
              </w:rPr>
              <w:t>-2</w:t>
            </w:r>
            <w:r>
              <w:rPr>
                <w:rFonts w:hint="eastAsia" w:ascii="宋体" w:hAnsi="宋体" w:eastAsia="宋体" w:cs="宋体"/>
                <w:color w:val="000000"/>
                <w:spacing w:val="2"/>
                <w:kern w:val="0"/>
                <w:sz w:val="21"/>
                <w:szCs w:val="21"/>
                <w:lang w:val="en-US" w:eastAsia="zh-CN" w:bidi="ar-SA"/>
              </w:rPr>
              <w:t>：</w:t>
            </w:r>
            <w:r>
              <w:rPr>
                <w:rFonts w:hint="eastAsia" w:ascii="宋体" w:hAnsi="宋体" w:eastAsia="宋体" w:cs="宋体"/>
                <w:kern w:val="0"/>
                <w:sz w:val="21"/>
                <w:szCs w:val="21"/>
                <w:lang w:val="en-US" w:eastAsia="zh-CN" w:bidi="ar-SA"/>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099C4E58">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472A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55" w:type="dxa"/>
            <w:vMerge w:val="restart"/>
            <w:vAlign w:val="center"/>
          </w:tcPr>
          <w:p w14:paraId="3FB64AB3">
            <w:pPr>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毕业要求4</w:t>
            </w:r>
            <w:r>
              <w:rPr>
                <w:rFonts w:ascii="宋体" w:hAnsi="宋体" w:eastAsia="宋体" w:cs="Times New Roman"/>
                <w:kern w:val="0"/>
                <w:sz w:val="21"/>
                <w:szCs w:val="21"/>
              </w:rPr>
              <w:t>:</w:t>
            </w:r>
            <w:r>
              <w:rPr>
                <w:rFonts w:hint="eastAsia" w:ascii="宋体" w:hAnsi="宋体" w:eastAsia="宋体" w:cs="Times New Roman"/>
                <w:kern w:val="0"/>
                <w:sz w:val="21"/>
                <w:szCs w:val="21"/>
              </w:rPr>
              <w:t>教学能力</w:t>
            </w:r>
          </w:p>
        </w:tc>
        <w:tc>
          <w:tcPr>
            <w:tcW w:w="6095" w:type="dxa"/>
            <w:vAlign w:val="center"/>
          </w:tcPr>
          <w:p w14:paraId="27DE6565">
            <w:pPr>
              <w:widowControl/>
              <w:spacing w:before="100" w:beforeAutospacing="1" w:after="100" w:afterAutospacing="1"/>
              <w:jc w:val="both"/>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指标点4</w:t>
            </w:r>
            <w:r>
              <w:rPr>
                <w:rFonts w:ascii="宋体" w:hAnsi="宋体" w:eastAsia="宋体" w:cs="宋体"/>
                <w:color w:val="000000"/>
                <w:spacing w:val="2"/>
                <w:kern w:val="0"/>
                <w:sz w:val="21"/>
                <w:szCs w:val="21"/>
                <w:lang w:val="en-US" w:eastAsia="zh-CN" w:bidi="ar-SA"/>
              </w:rPr>
              <w:t>-2</w:t>
            </w:r>
            <w:r>
              <w:rPr>
                <w:rFonts w:hint="eastAsia" w:ascii="宋体" w:hAnsi="宋体" w:eastAsia="宋体" w:cs="宋体"/>
                <w:color w:val="000000"/>
                <w:spacing w:val="2"/>
                <w:kern w:val="0"/>
                <w:sz w:val="21"/>
                <w:szCs w:val="21"/>
                <w:lang w:val="en-US" w:eastAsia="zh-CN" w:bidi="ar-SA"/>
              </w:rPr>
              <w:t>：</w:t>
            </w:r>
            <w:r>
              <w:rPr>
                <w:rFonts w:hint="eastAsia" w:ascii="宋体" w:hAnsi="宋体" w:eastAsia="宋体" w:cs="宋体"/>
                <w:kern w:val="0"/>
                <w:sz w:val="21"/>
                <w:szCs w:val="21"/>
                <w:lang w:val="en-US" w:eastAsia="zh-CN" w:bidi="ar-SA"/>
              </w:rPr>
              <w:t>【教学设计恰当】能针对小学生已有的知识水平、 学习经验和兴趣特点，依据课标确定恰当的学习目标和学习重 点，设计学习活动。能依据单元内容进行整体设计，科学合理地依据教学目标及内容设计作业。</w:t>
            </w:r>
          </w:p>
        </w:tc>
        <w:tc>
          <w:tcPr>
            <w:tcW w:w="1327" w:type="dxa"/>
            <w:vMerge w:val="restart"/>
            <w:vAlign w:val="center"/>
          </w:tcPr>
          <w:p w14:paraId="6DB8491C">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7642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55" w:type="dxa"/>
            <w:vMerge w:val="continue"/>
            <w:vAlign w:val="center"/>
          </w:tcPr>
          <w:p w14:paraId="06960808">
            <w:pPr>
              <w:spacing w:line="276" w:lineRule="auto"/>
              <w:jc w:val="center"/>
              <w:rPr>
                <w:rFonts w:ascii="宋体" w:hAnsi="宋体" w:eastAsia="宋体" w:cs="Times New Roman"/>
                <w:kern w:val="0"/>
                <w:sz w:val="21"/>
                <w:szCs w:val="21"/>
              </w:rPr>
            </w:pPr>
          </w:p>
        </w:tc>
        <w:tc>
          <w:tcPr>
            <w:tcW w:w="6095" w:type="dxa"/>
            <w:vAlign w:val="center"/>
          </w:tcPr>
          <w:p w14:paraId="13D758C4">
            <w:pPr>
              <w:widowControl/>
              <w:spacing w:before="100" w:beforeAutospacing="1" w:after="100" w:afterAutospacing="1"/>
              <w:jc w:val="both"/>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指标点4</w:t>
            </w:r>
            <w:r>
              <w:rPr>
                <w:rFonts w:ascii="宋体" w:hAnsi="宋体" w:eastAsia="宋体" w:cs="宋体"/>
                <w:color w:val="000000"/>
                <w:spacing w:val="2"/>
                <w:kern w:val="0"/>
                <w:sz w:val="21"/>
                <w:szCs w:val="21"/>
                <w:lang w:val="en-US" w:eastAsia="zh-CN" w:bidi="ar-SA"/>
              </w:rPr>
              <w:t>-3</w:t>
            </w:r>
            <w:r>
              <w:rPr>
                <w:rFonts w:hint="eastAsia" w:ascii="宋体" w:hAnsi="宋体" w:eastAsia="宋体" w:cs="宋体"/>
                <w:color w:val="000000"/>
                <w:spacing w:val="2"/>
                <w:kern w:val="0"/>
                <w:sz w:val="21"/>
                <w:szCs w:val="21"/>
                <w:lang w:val="en-US" w:eastAsia="zh-CN" w:bidi="ar-SA"/>
              </w:rPr>
              <w:t>：</w:t>
            </w:r>
            <w:r>
              <w:rPr>
                <w:rFonts w:hint="eastAsia" w:ascii="宋体" w:hAnsi="宋体" w:eastAsia="宋体" w:cs="宋体"/>
                <w:kern w:val="0"/>
                <w:sz w:val="21"/>
                <w:szCs w:val="21"/>
                <w:lang w:val="en-US" w:eastAsia="zh-CN" w:bidi="ar-SA"/>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527C66D5">
            <w:pPr>
              <w:spacing w:line="276" w:lineRule="auto"/>
              <w:jc w:val="left"/>
              <w:rPr>
                <w:rFonts w:ascii="宋体" w:hAnsi="宋体" w:eastAsia="宋体" w:cs="Times New Roman"/>
                <w:kern w:val="0"/>
                <w:sz w:val="21"/>
                <w:szCs w:val="21"/>
              </w:rPr>
            </w:pPr>
          </w:p>
        </w:tc>
      </w:tr>
      <w:tr w14:paraId="7EC6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323E07DF">
            <w:pPr>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毕业要求5</w:t>
            </w:r>
            <w:r>
              <w:rPr>
                <w:rFonts w:ascii="宋体" w:hAnsi="宋体" w:eastAsia="宋体" w:cs="Times New Roman"/>
                <w:kern w:val="0"/>
                <w:sz w:val="21"/>
                <w:szCs w:val="21"/>
              </w:rPr>
              <w:t>:</w:t>
            </w:r>
            <w:r>
              <w:rPr>
                <w:rFonts w:hint="eastAsia" w:ascii="宋体" w:hAnsi="宋体" w:eastAsia="宋体" w:cs="Times New Roman"/>
                <w:kern w:val="0"/>
                <w:sz w:val="21"/>
                <w:szCs w:val="21"/>
              </w:rPr>
              <w:t>班级管理</w:t>
            </w:r>
          </w:p>
        </w:tc>
        <w:tc>
          <w:tcPr>
            <w:tcW w:w="6095" w:type="dxa"/>
            <w:vAlign w:val="center"/>
          </w:tcPr>
          <w:p w14:paraId="5F735565">
            <w:pPr>
              <w:widowControl/>
              <w:spacing w:before="100" w:beforeAutospacing="1" w:after="100" w:afterAutospacing="1"/>
              <w:jc w:val="both"/>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指标点5</w:t>
            </w:r>
            <w:r>
              <w:rPr>
                <w:rFonts w:ascii="宋体" w:hAnsi="宋体" w:eastAsia="宋体" w:cs="宋体"/>
                <w:color w:val="000000"/>
                <w:spacing w:val="2"/>
                <w:kern w:val="0"/>
                <w:sz w:val="21"/>
                <w:szCs w:val="21"/>
                <w:lang w:val="en-US" w:eastAsia="zh-CN" w:bidi="ar-SA"/>
              </w:rPr>
              <w:t>-1:</w:t>
            </w:r>
            <w:r>
              <w:rPr>
                <w:rFonts w:hint="eastAsia" w:ascii="宋体" w:hAnsi="宋体" w:eastAsia="宋体" w:cs="宋体"/>
                <w:kern w:val="0"/>
                <w:sz w:val="21"/>
                <w:szCs w:val="21"/>
                <w:lang w:val="en-US" w:eastAsia="zh-CN" w:bidi="ar-SA"/>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2556753C">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课程目标3</w:t>
            </w:r>
          </w:p>
        </w:tc>
      </w:tr>
      <w:tr w14:paraId="6EC6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3D15037C">
            <w:pPr>
              <w:spacing w:line="276" w:lineRule="auto"/>
              <w:jc w:val="center"/>
              <w:rPr>
                <w:rFonts w:ascii="宋体" w:hAnsi="宋体" w:eastAsia="宋体" w:cs="Times New Roman"/>
                <w:kern w:val="0"/>
                <w:sz w:val="21"/>
                <w:szCs w:val="21"/>
              </w:rPr>
            </w:pPr>
          </w:p>
        </w:tc>
        <w:tc>
          <w:tcPr>
            <w:tcW w:w="6095" w:type="dxa"/>
            <w:vAlign w:val="center"/>
          </w:tcPr>
          <w:p w14:paraId="3EFA2FEB">
            <w:pPr>
              <w:widowControl/>
              <w:spacing w:before="100" w:beforeAutospacing="1" w:after="100" w:afterAutospacing="1"/>
              <w:jc w:val="left"/>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指标点5</w:t>
            </w:r>
            <w:r>
              <w:rPr>
                <w:rFonts w:ascii="宋体" w:hAnsi="宋体" w:eastAsia="宋体" w:cs="宋体"/>
                <w:color w:val="000000"/>
                <w:spacing w:val="2"/>
                <w:kern w:val="0"/>
                <w:sz w:val="21"/>
                <w:szCs w:val="21"/>
                <w:lang w:val="en-US" w:eastAsia="zh-CN" w:bidi="ar-SA"/>
              </w:rPr>
              <w:t>-2:</w:t>
            </w:r>
            <w:r>
              <w:rPr>
                <w:rFonts w:hint="eastAsia" w:ascii="宋体" w:hAnsi="宋体" w:eastAsia="宋体" w:cs="宋体"/>
                <w:kern w:val="0"/>
                <w:sz w:val="21"/>
                <w:szCs w:val="21"/>
                <w:lang w:val="en-US" w:eastAsia="zh-CN" w:bidi="ar-SA"/>
              </w:rPr>
              <w:t>【重视身心健康教育】了解小学生身体、情感发展 的特性和差异性，包括小学生日常卫生保健、传染病预防、意外 伤害事故处理等相关知识，掌握面临特殊事件发生时保护学生的 基本方法。获得小学心理健康教育指导体验，在教育教学实践中， 参与组织与指导对小学生心理健康教育的科普宣传及心理辅导， 掌握小学心理健康教育的基本方法。</w:t>
            </w:r>
          </w:p>
        </w:tc>
        <w:tc>
          <w:tcPr>
            <w:tcW w:w="1327" w:type="dxa"/>
            <w:vAlign w:val="center"/>
          </w:tcPr>
          <w:p w14:paraId="402C2DC7">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课程目标3</w:t>
            </w:r>
          </w:p>
        </w:tc>
      </w:tr>
      <w:tr w14:paraId="7A6B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E44D0D8">
            <w:pPr>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毕业要求6</w:t>
            </w:r>
            <w:r>
              <w:rPr>
                <w:rFonts w:ascii="宋体" w:hAnsi="宋体" w:eastAsia="宋体" w:cs="Times New Roman"/>
                <w:kern w:val="0"/>
                <w:sz w:val="21"/>
                <w:szCs w:val="21"/>
              </w:rPr>
              <w:t>:</w:t>
            </w:r>
            <w:r>
              <w:rPr>
                <w:rFonts w:hint="eastAsia" w:ascii="宋体" w:hAnsi="宋体" w:eastAsia="宋体" w:cs="Times New Roman"/>
                <w:kern w:val="0"/>
                <w:sz w:val="21"/>
                <w:szCs w:val="21"/>
              </w:rPr>
              <w:t>综合育人</w:t>
            </w:r>
          </w:p>
        </w:tc>
        <w:tc>
          <w:tcPr>
            <w:tcW w:w="6095" w:type="dxa"/>
            <w:vAlign w:val="center"/>
          </w:tcPr>
          <w:p w14:paraId="1E9EBDF1">
            <w:pPr>
              <w:widowControl/>
              <w:spacing w:before="100" w:beforeAutospacing="1" w:after="100" w:afterAutospacing="1"/>
              <w:jc w:val="both"/>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指标点6</w:t>
            </w:r>
            <w:r>
              <w:rPr>
                <w:rFonts w:ascii="宋体" w:hAnsi="宋体" w:eastAsia="宋体" w:cs="宋体"/>
                <w:color w:val="000000"/>
                <w:spacing w:val="2"/>
                <w:kern w:val="0"/>
                <w:sz w:val="21"/>
                <w:szCs w:val="21"/>
                <w:lang w:val="en-US" w:eastAsia="zh-CN" w:bidi="ar-SA"/>
              </w:rPr>
              <w:t>-1:</w:t>
            </w:r>
            <w:r>
              <w:rPr>
                <w:rFonts w:hint="eastAsia" w:ascii="宋体" w:hAnsi="宋体" w:eastAsia="宋体" w:cs="宋体"/>
                <w:kern w:val="0"/>
                <w:sz w:val="21"/>
                <w:szCs w:val="21"/>
                <w:lang w:val="en-US" w:eastAsia="zh-CN" w:bidi="ar-SA"/>
              </w:rPr>
              <w:t>【遵循身心规律】了解不同年龄以及有特殊需要的小学生的身心发展特点和规律、不同年龄小学生学习的特点，掌 握小学生良好行为习惯养成的知识。</w:t>
            </w:r>
          </w:p>
        </w:tc>
        <w:tc>
          <w:tcPr>
            <w:tcW w:w="1327" w:type="dxa"/>
            <w:vAlign w:val="center"/>
          </w:tcPr>
          <w:p w14:paraId="12F36825">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课程目标3</w:t>
            </w:r>
          </w:p>
        </w:tc>
      </w:tr>
      <w:tr w14:paraId="5CF6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04CE7564">
            <w:pPr>
              <w:spacing w:line="276" w:lineRule="auto"/>
              <w:jc w:val="center"/>
              <w:rPr>
                <w:rFonts w:ascii="宋体" w:hAnsi="宋体" w:eastAsia="宋体" w:cs="Times New Roman"/>
                <w:kern w:val="0"/>
                <w:sz w:val="21"/>
                <w:szCs w:val="21"/>
              </w:rPr>
            </w:pPr>
          </w:p>
        </w:tc>
        <w:tc>
          <w:tcPr>
            <w:tcW w:w="6095" w:type="dxa"/>
            <w:vAlign w:val="center"/>
          </w:tcPr>
          <w:p w14:paraId="7A7F74AF">
            <w:pPr>
              <w:widowControl/>
              <w:spacing w:before="100" w:beforeAutospacing="1" w:after="100" w:afterAutospacing="1"/>
              <w:jc w:val="both"/>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指标点6</w:t>
            </w:r>
            <w:r>
              <w:rPr>
                <w:rFonts w:ascii="宋体" w:hAnsi="宋体" w:eastAsia="宋体" w:cs="宋体"/>
                <w:color w:val="000000"/>
                <w:spacing w:val="2"/>
                <w:kern w:val="0"/>
                <w:sz w:val="21"/>
                <w:szCs w:val="21"/>
                <w:lang w:val="en-US" w:eastAsia="zh-CN" w:bidi="ar-SA"/>
              </w:rPr>
              <w:t>-2:</w:t>
            </w:r>
            <w:r>
              <w:rPr>
                <w:rFonts w:hint="eastAsia" w:ascii="宋体" w:hAnsi="宋体" w:eastAsia="宋体" w:cs="宋体"/>
                <w:kern w:val="0"/>
                <w:sz w:val="21"/>
                <w:szCs w:val="21"/>
                <w:lang w:val="en-US" w:eastAsia="zh-CN" w:bidi="ar-SA"/>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10465676">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课程目标1</w:t>
            </w:r>
          </w:p>
        </w:tc>
      </w:tr>
      <w:tr w14:paraId="5AF0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20970304">
            <w:pPr>
              <w:spacing w:line="276" w:lineRule="auto"/>
              <w:jc w:val="center"/>
              <w:rPr>
                <w:rFonts w:ascii="宋体" w:hAnsi="宋体" w:eastAsia="宋体" w:cs="Times New Roman"/>
                <w:kern w:val="0"/>
                <w:sz w:val="21"/>
                <w:szCs w:val="21"/>
              </w:rPr>
            </w:pPr>
          </w:p>
        </w:tc>
        <w:tc>
          <w:tcPr>
            <w:tcW w:w="6095" w:type="dxa"/>
            <w:vAlign w:val="center"/>
          </w:tcPr>
          <w:p w14:paraId="13106317">
            <w:pPr>
              <w:widowControl/>
              <w:spacing w:before="100" w:beforeAutospacing="1" w:after="100" w:afterAutospacing="1"/>
              <w:jc w:val="both"/>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指标点6</w:t>
            </w:r>
            <w:r>
              <w:rPr>
                <w:rFonts w:ascii="宋体" w:hAnsi="宋体" w:eastAsia="宋体" w:cs="宋体"/>
                <w:color w:val="000000"/>
                <w:spacing w:val="2"/>
                <w:kern w:val="0"/>
                <w:sz w:val="21"/>
                <w:szCs w:val="21"/>
                <w:lang w:val="en-US" w:eastAsia="zh-CN" w:bidi="ar-SA"/>
              </w:rPr>
              <w:t>-3:</w:t>
            </w:r>
            <w:r>
              <w:rPr>
                <w:rFonts w:hint="eastAsia" w:ascii="宋体" w:hAnsi="宋体" w:eastAsia="宋体" w:cs="宋体"/>
                <w:kern w:val="0"/>
                <w:sz w:val="21"/>
                <w:szCs w:val="21"/>
                <w:lang w:val="en-US" w:eastAsia="zh-CN" w:bidi="ar-SA"/>
              </w:rPr>
              <w:t xml:space="preserve"> 【善于文化与活动育人】了解课外活动组织和管理 知识，掌握学校文化和各类课外教育活动的育人内涵和方法，在 教育教学实践中，参与组织主题教育、少先队活动和社团活动， 促进小学生全面、健康发展。</w:t>
            </w:r>
          </w:p>
        </w:tc>
        <w:tc>
          <w:tcPr>
            <w:tcW w:w="1327" w:type="dxa"/>
            <w:vAlign w:val="center"/>
          </w:tcPr>
          <w:p w14:paraId="5CF0A595">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55EB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361429C6">
            <w:pPr>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毕业要求7</w:t>
            </w:r>
            <w:r>
              <w:rPr>
                <w:rFonts w:ascii="宋体" w:hAnsi="宋体" w:eastAsia="宋体" w:cs="Times New Roman"/>
                <w:kern w:val="0"/>
                <w:sz w:val="21"/>
                <w:szCs w:val="21"/>
              </w:rPr>
              <w:t>:</w:t>
            </w:r>
            <w:r>
              <w:rPr>
                <w:rFonts w:hint="eastAsia" w:ascii="宋体" w:hAnsi="宋体" w:eastAsia="宋体" w:cs="Times New Roman"/>
                <w:kern w:val="0"/>
                <w:sz w:val="21"/>
                <w:szCs w:val="21"/>
              </w:rPr>
              <w:t>学会反思</w:t>
            </w:r>
          </w:p>
        </w:tc>
        <w:tc>
          <w:tcPr>
            <w:tcW w:w="6095" w:type="dxa"/>
            <w:vAlign w:val="center"/>
          </w:tcPr>
          <w:p w14:paraId="7024538D">
            <w:pPr>
              <w:widowControl/>
              <w:spacing w:before="100" w:beforeAutospacing="1" w:after="100" w:afterAutospacing="1"/>
              <w:jc w:val="left"/>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指标点7</w:t>
            </w:r>
            <w:r>
              <w:rPr>
                <w:rFonts w:ascii="宋体" w:hAnsi="宋体" w:eastAsia="宋体" w:cs="宋体"/>
                <w:color w:val="000000"/>
                <w:spacing w:val="2"/>
                <w:kern w:val="0"/>
                <w:sz w:val="21"/>
                <w:szCs w:val="21"/>
                <w:lang w:val="en-US" w:eastAsia="zh-CN" w:bidi="ar-SA"/>
              </w:rPr>
              <w:t>-3:</w:t>
            </w:r>
            <w:r>
              <w:rPr>
                <w:rFonts w:hint="eastAsia" w:ascii="宋体" w:hAnsi="宋体" w:eastAsia="宋体" w:cs="宋体"/>
                <w:kern w:val="0"/>
                <w:sz w:val="21"/>
                <w:szCs w:val="21"/>
                <w:lang w:val="en-US" w:eastAsia="zh-CN" w:bidi="ar-SA"/>
              </w:rPr>
              <w:t xml:space="preserve"> 【反思改进良好】具有反思意识和批判性思维素养， 初步掌握反思方法和技能，具有一定创新意识，掌握收集和挖掘 教育教学实践中的案例、关键事件的方法，不断进行反思，启发 教育教学工作。对在日常学习和教育实践中发现的教育现象和问 题，进行探索和研究，有自己的思考和见解。</w:t>
            </w:r>
          </w:p>
        </w:tc>
        <w:tc>
          <w:tcPr>
            <w:tcW w:w="1327" w:type="dxa"/>
            <w:vAlign w:val="center"/>
          </w:tcPr>
          <w:p w14:paraId="31F7ADB3">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课程目标2</w:t>
            </w:r>
          </w:p>
        </w:tc>
      </w:tr>
      <w:tr w14:paraId="5021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010AC589">
            <w:pPr>
              <w:spacing w:line="276" w:lineRule="auto"/>
              <w:jc w:val="center"/>
              <w:rPr>
                <w:rFonts w:ascii="宋体" w:hAnsi="宋体" w:eastAsia="宋体" w:cs="Times New Roman"/>
                <w:kern w:val="0"/>
                <w:sz w:val="21"/>
                <w:szCs w:val="21"/>
              </w:rPr>
            </w:pPr>
            <w:r>
              <w:rPr>
                <w:rFonts w:hint="eastAsia" w:ascii="宋体" w:hAnsi="宋体" w:eastAsia="宋体" w:cs="Times New Roman"/>
                <w:kern w:val="0"/>
                <w:sz w:val="21"/>
                <w:szCs w:val="21"/>
              </w:rPr>
              <w:t>毕业要求8</w:t>
            </w:r>
            <w:r>
              <w:rPr>
                <w:rFonts w:ascii="宋体" w:hAnsi="宋体" w:eastAsia="宋体" w:cs="Times New Roman"/>
                <w:kern w:val="0"/>
                <w:sz w:val="21"/>
                <w:szCs w:val="21"/>
              </w:rPr>
              <w:t>:</w:t>
            </w:r>
            <w:r>
              <w:rPr>
                <w:rFonts w:hint="eastAsia" w:ascii="宋体" w:hAnsi="宋体" w:eastAsia="宋体" w:cs="Times New Roman"/>
                <w:kern w:val="0"/>
                <w:sz w:val="21"/>
                <w:szCs w:val="21"/>
              </w:rPr>
              <w:t>沟通合作</w:t>
            </w:r>
          </w:p>
        </w:tc>
        <w:tc>
          <w:tcPr>
            <w:tcW w:w="6095" w:type="dxa"/>
            <w:vAlign w:val="center"/>
          </w:tcPr>
          <w:p w14:paraId="6CADD963">
            <w:pPr>
              <w:widowControl/>
              <w:spacing w:before="100" w:beforeAutospacing="1" w:after="100" w:afterAutospacing="1"/>
              <w:jc w:val="left"/>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指标点8</w:t>
            </w:r>
            <w:r>
              <w:rPr>
                <w:rFonts w:ascii="宋体" w:hAnsi="宋体" w:eastAsia="宋体" w:cs="宋体"/>
                <w:color w:val="000000"/>
                <w:spacing w:val="2"/>
                <w:kern w:val="0"/>
                <w:sz w:val="21"/>
                <w:szCs w:val="21"/>
                <w:lang w:val="en-US" w:eastAsia="zh-CN" w:bidi="ar-SA"/>
              </w:rPr>
              <w:t>-1:</w:t>
            </w:r>
            <w:r>
              <w:rPr>
                <w:rFonts w:hint="eastAsia" w:ascii="宋体" w:hAnsi="宋体" w:eastAsia="宋体" w:cs="宋体"/>
                <w:kern w:val="0"/>
                <w:sz w:val="21"/>
                <w:szCs w:val="21"/>
                <w:lang w:val="en-US" w:eastAsia="zh-CN" w:bidi="ar-SA"/>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1F893340">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课程目标4</w:t>
            </w:r>
          </w:p>
        </w:tc>
      </w:tr>
      <w:tr w14:paraId="720D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7872802E">
            <w:pPr>
              <w:spacing w:line="276" w:lineRule="auto"/>
              <w:jc w:val="center"/>
              <w:rPr>
                <w:rFonts w:ascii="宋体" w:hAnsi="宋体" w:eastAsia="宋体" w:cs="Times New Roman"/>
                <w:kern w:val="0"/>
                <w:sz w:val="21"/>
                <w:szCs w:val="21"/>
              </w:rPr>
            </w:pPr>
          </w:p>
        </w:tc>
        <w:tc>
          <w:tcPr>
            <w:tcW w:w="6095" w:type="dxa"/>
            <w:vAlign w:val="center"/>
          </w:tcPr>
          <w:p w14:paraId="4279A323">
            <w:pPr>
              <w:widowControl/>
              <w:spacing w:before="100" w:beforeAutospacing="1" w:after="100" w:afterAutospacing="1"/>
              <w:jc w:val="left"/>
              <w:rPr>
                <w:rFonts w:ascii="宋体" w:hAnsi="宋体" w:eastAsia="宋体" w:cs="宋体"/>
                <w:kern w:val="0"/>
                <w:sz w:val="21"/>
                <w:szCs w:val="21"/>
                <w:lang w:val="en-US" w:eastAsia="zh-CN" w:bidi="ar-SA"/>
              </w:rPr>
            </w:pPr>
            <w:r>
              <w:rPr>
                <w:rFonts w:hint="eastAsia" w:ascii="宋体" w:hAnsi="宋体" w:eastAsia="宋体" w:cs="宋体"/>
                <w:color w:val="000000"/>
                <w:spacing w:val="2"/>
                <w:kern w:val="0"/>
                <w:sz w:val="21"/>
                <w:szCs w:val="21"/>
                <w:lang w:val="en-US" w:eastAsia="zh-CN" w:bidi="ar-SA"/>
              </w:rPr>
              <w:t>指标点8</w:t>
            </w:r>
            <w:r>
              <w:rPr>
                <w:rFonts w:ascii="宋体" w:hAnsi="宋体" w:eastAsia="宋体" w:cs="宋体"/>
                <w:color w:val="000000"/>
                <w:spacing w:val="2"/>
                <w:kern w:val="0"/>
                <w:sz w:val="21"/>
                <w:szCs w:val="21"/>
                <w:lang w:val="en-US" w:eastAsia="zh-CN" w:bidi="ar-SA"/>
              </w:rPr>
              <w:t>-2:</w:t>
            </w:r>
            <w:r>
              <w:rPr>
                <w:rFonts w:hint="eastAsia" w:ascii="宋体" w:hAnsi="宋体" w:eastAsia="宋体" w:cs="宋体"/>
                <w:kern w:val="0"/>
                <w:sz w:val="21"/>
                <w:szCs w:val="21"/>
                <w:lang w:val="en-US" w:eastAsia="zh-CN" w:bidi="ar-SA"/>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5D37C837">
            <w:pPr>
              <w:spacing w:line="276"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课程目标4</w:t>
            </w:r>
          </w:p>
        </w:tc>
      </w:tr>
    </w:tbl>
    <w:p w14:paraId="1FA0EC3A">
      <w:pPr>
        <w:spacing w:line="360" w:lineRule="auto"/>
        <w:jc w:val="center"/>
        <w:rPr>
          <w:rFonts w:ascii="宋体" w:hAnsi="宋体" w:eastAsia="宋体" w:cs="Times New Roman"/>
          <w:b/>
          <w:bCs/>
          <w:color w:val="000000"/>
          <w:sz w:val="24"/>
          <w:szCs w:val="24"/>
        </w:rPr>
      </w:pPr>
    </w:p>
    <w:p w14:paraId="330725CC">
      <w:pPr>
        <w:spacing w:line="360" w:lineRule="auto"/>
        <w:ind w:firstLine="482" w:firstLineChars="200"/>
        <w:jc w:val="left"/>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（三）课程思政目标</w:t>
      </w:r>
    </w:p>
    <w:p w14:paraId="16888565">
      <w:pPr>
        <w:spacing w:line="360" w:lineRule="auto"/>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坚定教育理念，增强教育情怀，在工作和实践中善于学习，正确认识教育规律，关心关爱学生，</w:t>
      </w:r>
      <w:r>
        <w:rPr>
          <w:rFonts w:ascii="宋体" w:hAnsi="宋体" w:eastAsia="宋体" w:cs="Times New Roman"/>
          <w:color w:val="000000"/>
          <w:szCs w:val="21"/>
        </w:rPr>
        <w:t>形成学科育人的意识，</w:t>
      </w:r>
      <w:r>
        <w:rPr>
          <w:rFonts w:hint="eastAsia" w:ascii="宋体" w:hAnsi="宋体" w:eastAsia="宋体" w:cs="Times New Roman"/>
          <w:color w:val="000000"/>
          <w:szCs w:val="21"/>
        </w:rPr>
        <w:t>初步</w:t>
      </w:r>
      <w:r>
        <w:rPr>
          <w:rFonts w:ascii="宋体" w:hAnsi="宋体" w:eastAsia="宋体" w:cs="Times New Roman"/>
          <w:color w:val="000000"/>
          <w:szCs w:val="21"/>
        </w:rPr>
        <w:t>掌握</w:t>
      </w:r>
      <w:r>
        <w:rPr>
          <w:rFonts w:hint="eastAsia" w:ascii="宋体" w:hAnsi="宋体" w:eastAsia="宋体" w:cs="Times New Roman"/>
          <w:color w:val="000000"/>
          <w:szCs w:val="21"/>
        </w:rPr>
        <w:t>教书</w:t>
      </w:r>
      <w:r>
        <w:rPr>
          <w:rFonts w:ascii="宋体" w:hAnsi="宋体" w:eastAsia="宋体" w:cs="Times New Roman"/>
          <w:color w:val="000000"/>
          <w:szCs w:val="21"/>
        </w:rPr>
        <w:t>育人的方法。</w:t>
      </w:r>
    </w:p>
    <w:p w14:paraId="4A51DCCD">
      <w:pPr>
        <w:spacing w:line="360" w:lineRule="auto"/>
        <w:ind w:firstLine="472" w:firstLineChars="196"/>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758"/>
        <w:gridCol w:w="1560"/>
        <w:gridCol w:w="1984"/>
        <w:gridCol w:w="1366"/>
        <w:gridCol w:w="760"/>
      </w:tblGrid>
      <w:tr w14:paraId="2A82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47729F3F">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知识</w:t>
            </w:r>
          </w:p>
          <w:p w14:paraId="7564062F">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单元</w:t>
            </w:r>
          </w:p>
        </w:tc>
        <w:tc>
          <w:tcPr>
            <w:tcW w:w="2758" w:type="dxa"/>
            <w:vAlign w:val="center"/>
          </w:tcPr>
          <w:p w14:paraId="57921341">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知识点</w:t>
            </w:r>
          </w:p>
        </w:tc>
        <w:tc>
          <w:tcPr>
            <w:tcW w:w="1560" w:type="dxa"/>
            <w:vAlign w:val="center"/>
          </w:tcPr>
          <w:p w14:paraId="3DC2B8B3">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对应</w:t>
            </w:r>
          </w:p>
          <w:p w14:paraId="694FE7FC">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课程目标</w:t>
            </w:r>
          </w:p>
        </w:tc>
        <w:tc>
          <w:tcPr>
            <w:tcW w:w="1984" w:type="dxa"/>
            <w:vAlign w:val="center"/>
          </w:tcPr>
          <w:p w14:paraId="6EBDBF69">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预期学习成效</w:t>
            </w:r>
          </w:p>
        </w:tc>
        <w:tc>
          <w:tcPr>
            <w:tcW w:w="1366" w:type="dxa"/>
            <w:vAlign w:val="center"/>
          </w:tcPr>
          <w:p w14:paraId="21B8EAA5">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实现环节</w:t>
            </w:r>
          </w:p>
        </w:tc>
        <w:tc>
          <w:tcPr>
            <w:tcW w:w="760" w:type="dxa"/>
            <w:vAlign w:val="center"/>
          </w:tcPr>
          <w:p w14:paraId="33BC0C48">
            <w:pPr>
              <w:spacing w:line="276" w:lineRule="auto"/>
              <w:jc w:val="center"/>
              <w:rPr>
                <w:rFonts w:ascii="宋体" w:hAnsi="宋体" w:eastAsia="宋体" w:cs="Times New Roman"/>
                <w:b/>
                <w:color w:val="000000"/>
                <w:kern w:val="0"/>
                <w:sz w:val="21"/>
                <w:szCs w:val="21"/>
              </w:rPr>
            </w:pPr>
            <w:r>
              <w:rPr>
                <w:rFonts w:hint="eastAsia" w:ascii="宋体" w:hAnsi="宋体" w:eastAsia="宋体" w:cs="Times New Roman"/>
                <w:b/>
                <w:color w:val="000000"/>
                <w:kern w:val="0"/>
                <w:sz w:val="21"/>
                <w:szCs w:val="21"/>
              </w:rPr>
              <w:t>学时</w:t>
            </w:r>
          </w:p>
        </w:tc>
      </w:tr>
      <w:tr w14:paraId="1C74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715508E4">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w:t>
            </w:r>
            <w:r>
              <w:rPr>
                <w:rFonts w:ascii="宋体" w:hAnsi="宋体" w:eastAsia="宋体" w:cs="Times New Roman"/>
                <w:color w:val="000000"/>
                <w:kern w:val="0"/>
                <w:sz w:val="21"/>
                <w:szCs w:val="21"/>
              </w:rPr>
              <w:t>.</w:t>
            </w:r>
            <w:r>
              <w:rPr>
                <w:rFonts w:hint="eastAsia" w:ascii="Times New Roman" w:hAnsi="Times New Roman" w:eastAsia="宋体" w:cs="Times New Roman"/>
                <w:kern w:val="0"/>
                <w:sz w:val="21"/>
                <w:szCs w:val="21"/>
              </w:rPr>
              <w:t>学校考察</w:t>
            </w:r>
          </w:p>
        </w:tc>
        <w:tc>
          <w:tcPr>
            <w:tcW w:w="2758" w:type="dxa"/>
            <w:vAlign w:val="center"/>
          </w:tcPr>
          <w:p w14:paraId="22A3F34E">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color w:val="000000"/>
                <w:kern w:val="0"/>
                <w:sz w:val="21"/>
                <w:szCs w:val="21"/>
              </w:rPr>
              <w:t>。</w:t>
            </w:r>
          </w:p>
        </w:tc>
        <w:tc>
          <w:tcPr>
            <w:tcW w:w="1560" w:type="dxa"/>
            <w:vAlign w:val="center"/>
          </w:tcPr>
          <w:p w14:paraId="705964EB">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课程目标1、3</w:t>
            </w:r>
          </w:p>
        </w:tc>
        <w:tc>
          <w:tcPr>
            <w:tcW w:w="1984" w:type="dxa"/>
            <w:vAlign w:val="center"/>
          </w:tcPr>
          <w:p w14:paraId="1829B439">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认真考察校园文化，听取学校专题介绍，与指导教师深入交流</w:t>
            </w:r>
            <w:r>
              <w:rPr>
                <w:rFonts w:hint="eastAsia" w:ascii="宋体" w:hAnsi="宋体" w:eastAsia="宋体" w:cs="Times New Roman"/>
                <w:color w:val="000000"/>
                <w:kern w:val="0"/>
                <w:sz w:val="21"/>
                <w:szCs w:val="21"/>
              </w:rPr>
              <w:t>，</w:t>
            </w:r>
            <w:r>
              <w:rPr>
                <w:rFonts w:ascii="宋体" w:hAnsi="宋体" w:eastAsia="宋体" w:cs="Times New Roman"/>
                <w:color w:val="000000"/>
                <w:kern w:val="0"/>
                <w:sz w:val="21"/>
                <w:szCs w:val="21"/>
              </w:rPr>
              <w:t>完成1份教育调查报告。调查报告内容完整、方法合理，重点突出，数据和内容真实。</w:t>
            </w:r>
          </w:p>
        </w:tc>
        <w:tc>
          <w:tcPr>
            <w:tcW w:w="1366" w:type="dxa"/>
            <w:vAlign w:val="center"/>
          </w:tcPr>
          <w:p w14:paraId="21CA1DC2">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1.跟岗学习</w:t>
            </w:r>
          </w:p>
          <w:p w14:paraId="703F0A11">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2.交流研讨</w:t>
            </w:r>
          </w:p>
          <w:p w14:paraId="4B9D50C8">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3</w:t>
            </w:r>
            <w:r>
              <w:rPr>
                <w:rFonts w:hint="eastAsia" w:ascii="宋体" w:hAnsi="宋体" w:eastAsia="宋体" w:cs="Times New Roman"/>
                <w:color w:val="000000"/>
                <w:kern w:val="0"/>
                <w:sz w:val="21"/>
                <w:szCs w:val="21"/>
              </w:rPr>
              <w:t>.自主实践</w:t>
            </w:r>
          </w:p>
        </w:tc>
        <w:tc>
          <w:tcPr>
            <w:tcW w:w="760" w:type="dxa"/>
            <w:vAlign w:val="center"/>
          </w:tcPr>
          <w:p w14:paraId="3192272D">
            <w:pPr>
              <w:spacing w:line="276" w:lineRule="auto"/>
              <w:jc w:val="center"/>
              <w:rPr>
                <w:rFonts w:ascii="宋体" w:hAnsi="宋体" w:eastAsia="宋体" w:cs="Times New Roman"/>
                <w:color w:val="000000"/>
                <w:kern w:val="0"/>
                <w:sz w:val="21"/>
                <w:szCs w:val="21"/>
              </w:rPr>
            </w:pPr>
            <w:r>
              <w:rPr>
                <w:rFonts w:ascii="宋体" w:hAnsi="宋体" w:eastAsia="宋体" w:cs="Times New Roman"/>
                <w:color w:val="000000"/>
                <w:kern w:val="0"/>
                <w:sz w:val="21"/>
                <w:szCs w:val="21"/>
              </w:rPr>
              <w:t>2</w:t>
            </w:r>
            <w:r>
              <w:rPr>
                <w:rFonts w:hint="eastAsia" w:ascii="宋体" w:hAnsi="宋体" w:eastAsia="宋体" w:cs="Times New Roman"/>
                <w:color w:val="000000"/>
                <w:kern w:val="0"/>
                <w:sz w:val="21"/>
                <w:szCs w:val="21"/>
              </w:rPr>
              <w:t>天</w:t>
            </w:r>
          </w:p>
        </w:tc>
      </w:tr>
      <w:tr w14:paraId="343B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061ABFDF">
            <w:pPr>
              <w:spacing w:line="276" w:lineRule="auto"/>
              <w:jc w:val="center"/>
              <w:rPr>
                <w:rFonts w:ascii="宋体" w:hAnsi="宋体" w:eastAsia="宋体" w:cs="Times New Roman"/>
                <w:color w:val="000000"/>
                <w:kern w:val="0"/>
                <w:sz w:val="21"/>
                <w:szCs w:val="21"/>
              </w:rPr>
            </w:pPr>
          </w:p>
        </w:tc>
        <w:tc>
          <w:tcPr>
            <w:tcW w:w="8428" w:type="dxa"/>
            <w:gridSpan w:val="5"/>
            <w:vAlign w:val="center"/>
          </w:tcPr>
          <w:p w14:paraId="0F771A20">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ascii="宋体" w:hAnsi="宋体" w:eastAsia="宋体" w:cs="Times New Roman"/>
                <w:color w:val="000000"/>
                <w:kern w:val="0"/>
                <w:sz w:val="21"/>
                <w:szCs w:val="21"/>
              </w:rPr>
              <w:t>把“立德树人”教育目标融入实践过程中，领悟教师职业的价值，树立职业理想，立志成为有理想信念、有道德情操、有扎实学识、有仁爱之心的好教师。</w:t>
            </w:r>
          </w:p>
        </w:tc>
      </w:tr>
      <w:tr w14:paraId="753C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538E4283">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r>
              <w:rPr>
                <w:rFonts w:ascii="宋体" w:hAnsi="宋体" w:eastAsia="宋体" w:cs="Times New Roman"/>
                <w:color w:val="000000"/>
                <w:kern w:val="0"/>
                <w:sz w:val="21"/>
                <w:szCs w:val="21"/>
              </w:rPr>
              <w:t>.</w:t>
            </w:r>
            <w:r>
              <w:rPr>
                <w:rFonts w:hint="eastAsia" w:ascii="Times New Roman" w:hAnsi="Times New Roman" w:eastAsia="宋体" w:cs="Times New Roman"/>
                <w:kern w:val="0"/>
                <w:sz w:val="21"/>
                <w:szCs w:val="21"/>
              </w:rPr>
              <w:t xml:space="preserve"> 教学观摩与研习</w:t>
            </w:r>
          </w:p>
        </w:tc>
        <w:tc>
          <w:tcPr>
            <w:tcW w:w="2758" w:type="dxa"/>
            <w:vAlign w:val="center"/>
          </w:tcPr>
          <w:p w14:paraId="652653C3">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研读教材，备课，撰写教案，在实践导师指导下完成教案</w:t>
            </w:r>
            <w:r>
              <w:rPr>
                <w:rFonts w:hint="eastAsia" w:ascii="宋体" w:hAnsi="宋体" w:eastAsia="宋体" w:cs="Times New Roman"/>
                <w:color w:val="000000"/>
                <w:kern w:val="0"/>
                <w:sz w:val="21"/>
                <w:szCs w:val="21"/>
              </w:rPr>
              <w:t>设计</w:t>
            </w:r>
            <w:r>
              <w:rPr>
                <w:rFonts w:ascii="宋体" w:hAnsi="宋体" w:eastAsia="宋体" w:cs="Times New Roman"/>
                <w:color w:val="000000"/>
                <w:kern w:val="0"/>
                <w:sz w:val="21"/>
                <w:szCs w:val="21"/>
              </w:rPr>
              <w:t>，与导师合作实施教学</w:t>
            </w:r>
            <w:r>
              <w:rPr>
                <w:rFonts w:hint="eastAsia" w:ascii="宋体" w:hAnsi="宋体" w:eastAsia="宋体" w:cs="Times New Roman"/>
                <w:color w:val="000000"/>
                <w:kern w:val="0"/>
                <w:sz w:val="21"/>
                <w:szCs w:val="21"/>
              </w:rPr>
              <w:t>；</w:t>
            </w:r>
          </w:p>
          <w:p w14:paraId="0DB5F1C0">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了解兼教课程的特点，体验兼教课程的教学过程；</w:t>
            </w:r>
          </w:p>
          <w:p w14:paraId="48CE1E35">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全面体验小学校本课程、校际教研、校园建设等活动。</w:t>
            </w:r>
          </w:p>
        </w:tc>
        <w:tc>
          <w:tcPr>
            <w:tcW w:w="1560" w:type="dxa"/>
            <w:vAlign w:val="center"/>
          </w:tcPr>
          <w:p w14:paraId="5C0A7AC9">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课程目标1、2</w:t>
            </w:r>
          </w:p>
        </w:tc>
        <w:tc>
          <w:tcPr>
            <w:tcW w:w="1984" w:type="dxa"/>
            <w:vAlign w:val="center"/>
          </w:tcPr>
          <w:p w14:paraId="0EC9407D">
            <w:pPr>
              <w:spacing w:line="276" w:lineRule="auto"/>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w:t>
            </w:r>
            <w:r>
              <w:rPr>
                <w:rFonts w:ascii="宋体" w:hAnsi="宋体" w:eastAsia="宋体" w:cs="Times New Roman"/>
                <w:color w:val="000000"/>
                <w:kern w:val="0"/>
                <w:sz w:val="21"/>
                <w:szCs w:val="21"/>
              </w:rPr>
              <w:t>.善于观察，主动思考与提问，总结教学观摩心得，在实践导师帮助下形成对规范的课堂教学的系统认识；</w:t>
            </w:r>
          </w:p>
          <w:p w14:paraId="5D6789BD">
            <w:pPr>
              <w:spacing w:line="276" w:lineRule="auto"/>
              <w:rPr>
                <w:rFonts w:ascii="宋体" w:hAnsi="宋体" w:eastAsia="宋体" w:cs="Times New Roman"/>
                <w:color w:val="000000"/>
                <w:kern w:val="0"/>
                <w:sz w:val="21"/>
                <w:szCs w:val="21"/>
              </w:rPr>
            </w:pPr>
            <w:r>
              <w:rPr>
                <w:rFonts w:ascii="宋体" w:hAnsi="宋体" w:eastAsia="宋体" w:cs="Times New Roman"/>
                <w:color w:val="000000"/>
                <w:kern w:val="0"/>
                <w:sz w:val="21"/>
                <w:szCs w:val="21"/>
              </w:rPr>
              <w:t>2.能运用教学材料钻研教材，设计出比较规范、具备可操作性的教案；</w:t>
            </w:r>
          </w:p>
          <w:p w14:paraId="38D1AC83">
            <w:pPr>
              <w:spacing w:line="276" w:lineRule="auto"/>
              <w:rPr>
                <w:rFonts w:ascii="宋体" w:hAnsi="宋体" w:eastAsia="宋体" w:cs="Times New Roman"/>
                <w:color w:val="000000"/>
                <w:kern w:val="0"/>
                <w:sz w:val="21"/>
                <w:szCs w:val="21"/>
              </w:rPr>
            </w:pPr>
            <w:r>
              <w:rPr>
                <w:rFonts w:ascii="宋体" w:hAnsi="宋体" w:eastAsia="宋体" w:cs="Times New Roman"/>
                <w:color w:val="000000"/>
                <w:kern w:val="0"/>
                <w:sz w:val="21"/>
                <w:szCs w:val="21"/>
              </w:rPr>
              <w:t>3.有主动学习的意识，获得教师专业发展的体验。</w:t>
            </w:r>
          </w:p>
          <w:p w14:paraId="1FC4B4C1">
            <w:pPr>
              <w:spacing w:line="276" w:lineRule="auto"/>
              <w:rPr>
                <w:rFonts w:ascii="宋体" w:hAnsi="宋体" w:eastAsia="宋体" w:cs="Times New Roman"/>
                <w:color w:val="000000"/>
                <w:kern w:val="0"/>
                <w:sz w:val="21"/>
                <w:szCs w:val="21"/>
              </w:rPr>
            </w:pPr>
            <w:r>
              <w:rPr>
                <w:rFonts w:ascii="宋体" w:hAnsi="宋体" w:eastAsia="宋体" w:cs="Times New Roman"/>
                <w:color w:val="000000"/>
                <w:kern w:val="0"/>
                <w:sz w:val="21"/>
                <w:szCs w:val="21"/>
              </w:rPr>
              <w:t>4.每天听课2-3节，见习期总听课数不少于15节</w:t>
            </w:r>
            <w:r>
              <w:rPr>
                <w:rFonts w:hint="eastAsia" w:ascii="宋体" w:hAnsi="宋体" w:eastAsia="宋体" w:cs="Times New Roman"/>
                <w:color w:val="000000"/>
                <w:kern w:val="0"/>
                <w:sz w:val="21"/>
                <w:szCs w:val="21"/>
              </w:rPr>
              <w:t>。撰写</w:t>
            </w:r>
            <w:r>
              <w:rPr>
                <w:rFonts w:ascii="宋体" w:hAnsi="宋体" w:eastAsia="宋体" w:cs="Times New Roman"/>
                <w:color w:val="000000"/>
                <w:kern w:val="0"/>
                <w:sz w:val="21"/>
                <w:szCs w:val="21"/>
              </w:rPr>
              <w:t>教案</w:t>
            </w:r>
            <w:r>
              <w:rPr>
                <w:rFonts w:hint="eastAsia" w:ascii="宋体" w:hAnsi="宋体" w:eastAsia="宋体" w:cs="Times New Roman"/>
                <w:color w:val="000000"/>
                <w:kern w:val="0"/>
                <w:sz w:val="21"/>
                <w:szCs w:val="21"/>
              </w:rPr>
              <w:t>1篇。</w:t>
            </w:r>
          </w:p>
        </w:tc>
        <w:tc>
          <w:tcPr>
            <w:tcW w:w="1366" w:type="dxa"/>
            <w:vAlign w:val="center"/>
          </w:tcPr>
          <w:p w14:paraId="6A3BB95E">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1.跟岗学习</w:t>
            </w:r>
          </w:p>
          <w:p w14:paraId="653FB988">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2.交流研讨</w:t>
            </w:r>
          </w:p>
          <w:p w14:paraId="7F6F91C4">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3</w:t>
            </w:r>
            <w:r>
              <w:rPr>
                <w:rFonts w:hint="eastAsia" w:ascii="宋体" w:hAnsi="宋体" w:eastAsia="宋体" w:cs="Times New Roman"/>
                <w:color w:val="000000"/>
                <w:kern w:val="0"/>
                <w:sz w:val="21"/>
                <w:szCs w:val="21"/>
              </w:rPr>
              <w:t>.自主实践</w:t>
            </w:r>
          </w:p>
        </w:tc>
        <w:tc>
          <w:tcPr>
            <w:tcW w:w="760" w:type="dxa"/>
            <w:vAlign w:val="center"/>
          </w:tcPr>
          <w:p w14:paraId="7BC31F7F">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4天</w:t>
            </w:r>
          </w:p>
        </w:tc>
      </w:tr>
      <w:tr w14:paraId="3792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0AE93C33">
            <w:pPr>
              <w:spacing w:line="276" w:lineRule="auto"/>
              <w:jc w:val="center"/>
              <w:rPr>
                <w:rFonts w:ascii="宋体" w:hAnsi="宋体" w:eastAsia="宋体" w:cs="Times New Roman"/>
                <w:color w:val="000000"/>
                <w:kern w:val="0"/>
                <w:sz w:val="21"/>
                <w:szCs w:val="21"/>
              </w:rPr>
            </w:pPr>
          </w:p>
        </w:tc>
        <w:tc>
          <w:tcPr>
            <w:tcW w:w="8428" w:type="dxa"/>
            <w:gridSpan w:val="5"/>
            <w:vAlign w:val="center"/>
          </w:tcPr>
          <w:p w14:paraId="0E4FC96A">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b/>
                <w:color w:val="000000"/>
                <w:kern w:val="0"/>
                <w:sz w:val="21"/>
                <w:szCs w:val="21"/>
              </w:rPr>
              <w:t>课程思政目标：</w:t>
            </w:r>
            <w:r>
              <w:rPr>
                <w:rFonts w:ascii="宋体" w:hAnsi="宋体" w:eastAsia="宋体" w:cs="Times New Roman"/>
                <w:color w:val="000000"/>
                <w:kern w:val="0"/>
                <w:sz w:val="21"/>
                <w:szCs w:val="21"/>
              </w:rPr>
              <w:t>在教育实践中，充分运用自身所掌握的教育教学方法、学生心理规律，实事求是，从实践中总结发现，增进对所学知识的理解与认识。不忘初心，把立德树人作为教育使命，主动研究教育教学，积极影响小学生的发展。</w:t>
            </w:r>
          </w:p>
        </w:tc>
      </w:tr>
      <w:tr w14:paraId="0C84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215B967C">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3</w:t>
            </w:r>
            <w:r>
              <w:rPr>
                <w:rFonts w:ascii="宋体" w:hAnsi="宋体" w:eastAsia="宋体" w:cs="Times New Roman"/>
                <w:color w:val="000000"/>
                <w:kern w:val="0"/>
                <w:sz w:val="21"/>
                <w:szCs w:val="21"/>
              </w:rPr>
              <w:t>.</w:t>
            </w:r>
            <w:r>
              <w:rPr>
                <w:rFonts w:hint="eastAsia" w:ascii="宋体" w:hAnsi="宋体" w:eastAsia="宋体" w:cs="Times New Roman"/>
                <w:color w:val="000000"/>
                <w:kern w:val="0"/>
                <w:sz w:val="21"/>
                <w:szCs w:val="21"/>
              </w:rPr>
              <w:t>班级管理和班队工作见习</w:t>
            </w:r>
          </w:p>
        </w:tc>
        <w:tc>
          <w:tcPr>
            <w:tcW w:w="2758" w:type="dxa"/>
            <w:vAlign w:val="center"/>
          </w:tcPr>
          <w:p w14:paraId="1634BB93">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全面观察班级常规管理工作，了解班主任日常工作的内容和方法，协助班主任进行班级管理；在班主任指导下尝试组织有主题的班会或班队活动</w:t>
            </w:r>
            <w:r>
              <w:rPr>
                <w:rFonts w:hint="eastAsia" w:ascii="宋体" w:hAnsi="宋体" w:eastAsia="宋体" w:cs="Times New Roman"/>
                <w:color w:val="000000"/>
                <w:kern w:val="0"/>
                <w:sz w:val="21"/>
                <w:szCs w:val="21"/>
              </w:rPr>
              <w:t>。</w:t>
            </w:r>
          </w:p>
        </w:tc>
        <w:tc>
          <w:tcPr>
            <w:tcW w:w="1560" w:type="dxa"/>
            <w:vAlign w:val="center"/>
          </w:tcPr>
          <w:p w14:paraId="44530CE4">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课程目标1、3、4</w:t>
            </w:r>
          </w:p>
        </w:tc>
        <w:tc>
          <w:tcPr>
            <w:tcW w:w="1984" w:type="dxa"/>
            <w:vAlign w:val="center"/>
          </w:tcPr>
          <w:p w14:paraId="0FD8E50C">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w:t>
            </w:r>
            <w:r>
              <w:rPr>
                <w:rFonts w:ascii="宋体" w:hAnsi="宋体" w:eastAsia="宋体" w:cs="Times New Roman"/>
                <w:color w:val="000000"/>
                <w:kern w:val="0"/>
                <w:sz w:val="21"/>
                <w:szCs w:val="21"/>
              </w:rPr>
              <w:t>.主动与小学生加深交流，掌握小学生生活特点、心理发展特点；</w:t>
            </w:r>
          </w:p>
          <w:p w14:paraId="56150489">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2.认真观察教育实践，与实践导师开展积极的沟通，学习班级管理经验，善于在管理案例中总结教育教学规律。</w:t>
            </w:r>
          </w:p>
          <w:p w14:paraId="5D2D33E1">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3.</w:t>
            </w:r>
            <w:r>
              <w:rPr>
                <w:rFonts w:hint="eastAsia" w:ascii="宋体" w:hAnsi="宋体" w:eastAsia="宋体" w:cs="Times New Roman"/>
                <w:color w:val="000000"/>
                <w:kern w:val="0"/>
                <w:sz w:val="21"/>
                <w:szCs w:val="21"/>
              </w:rPr>
              <w:t>完成</w:t>
            </w:r>
            <w:r>
              <w:rPr>
                <w:rFonts w:ascii="宋体" w:hAnsi="宋体" w:eastAsia="宋体" w:cs="Times New Roman"/>
                <w:color w:val="000000"/>
                <w:kern w:val="0"/>
                <w:sz w:val="21"/>
                <w:szCs w:val="21"/>
              </w:rPr>
              <w:t>班队活动观察记录1份。</w:t>
            </w:r>
          </w:p>
        </w:tc>
        <w:tc>
          <w:tcPr>
            <w:tcW w:w="1366" w:type="dxa"/>
            <w:vAlign w:val="center"/>
          </w:tcPr>
          <w:p w14:paraId="6D1B9E7A">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1.跟岗学习</w:t>
            </w:r>
          </w:p>
          <w:p w14:paraId="5842949F">
            <w:pPr>
              <w:spacing w:line="276" w:lineRule="auto"/>
              <w:jc w:val="left"/>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2.交流研讨</w:t>
            </w:r>
          </w:p>
          <w:p w14:paraId="645035BD">
            <w:pPr>
              <w:spacing w:line="276" w:lineRule="auto"/>
              <w:jc w:val="left"/>
              <w:rPr>
                <w:rFonts w:ascii="宋体" w:hAnsi="宋体" w:eastAsia="宋体" w:cs="Times New Roman"/>
                <w:color w:val="000000"/>
                <w:kern w:val="0"/>
                <w:sz w:val="21"/>
                <w:szCs w:val="21"/>
              </w:rPr>
            </w:pPr>
            <w:r>
              <w:rPr>
                <w:rFonts w:ascii="宋体" w:hAnsi="宋体" w:eastAsia="宋体" w:cs="Times New Roman"/>
                <w:color w:val="000000"/>
                <w:kern w:val="0"/>
                <w:sz w:val="21"/>
                <w:szCs w:val="21"/>
              </w:rPr>
              <w:t>3</w:t>
            </w:r>
            <w:r>
              <w:rPr>
                <w:rFonts w:hint="eastAsia" w:ascii="宋体" w:hAnsi="宋体" w:eastAsia="宋体" w:cs="Times New Roman"/>
                <w:color w:val="000000"/>
                <w:kern w:val="0"/>
                <w:sz w:val="21"/>
                <w:szCs w:val="21"/>
              </w:rPr>
              <w:t>.自主实践</w:t>
            </w:r>
          </w:p>
        </w:tc>
        <w:tc>
          <w:tcPr>
            <w:tcW w:w="760" w:type="dxa"/>
            <w:vAlign w:val="center"/>
          </w:tcPr>
          <w:p w14:paraId="30F6EB44">
            <w:pPr>
              <w:spacing w:line="276" w:lineRule="auto"/>
              <w:jc w:val="center"/>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4天</w:t>
            </w:r>
          </w:p>
        </w:tc>
      </w:tr>
      <w:tr w14:paraId="2E36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28A96C4A">
            <w:pPr>
              <w:spacing w:line="276" w:lineRule="auto"/>
              <w:jc w:val="center"/>
              <w:rPr>
                <w:rFonts w:ascii="宋体" w:hAnsi="宋体" w:eastAsia="宋体" w:cs="Times New Roman"/>
                <w:color w:val="000000"/>
                <w:kern w:val="0"/>
                <w:sz w:val="21"/>
                <w:szCs w:val="21"/>
              </w:rPr>
            </w:pPr>
          </w:p>
        </w:tc>
        <w:tc>
          <w:tcPr>
            <w:tcW w:w="8428" w:type="dxa"/>
            <w:gridSpan w:val="5"/>
            <w:vAlign w:val="center"/>
          </w:tcPr>
          <w:p w14:paraId="400E84F9">
            <w:pPr>
              <w:spacing w:line="276" w:lineRule="auto"/>
              <w:ind w:firstLine="422" w:firstLineChars="200"/>
              <w:rPr>
                <w:rFonts w:ascii="宋体" w:hAnsi="宋体" w:eastAsia="宋体" w:cs="Times New Roman"/>
                <w:b/>
                <w:bCs/>
                <w:color w:val="000000"/>
                <w:kern w:val="0"/>
                <w:sz w:val="21"/>
                <w:szCs w:val="21"/>
              </w:rPr>
            </w:pPr>
            <w:r>
              <w:rPr>
                <w:rFonts w:hint="eastAsia" w:ascii="宋体" w:hAnsi="宋体" w:eastAsia="宋体" w:cs="Times New Roman"/>
                <w:b/>
                <w:bCs/>
                <w:color w:val="000000"/>
                <w:kern w:val="0"/>
                <w:sz w:val="21"/>
                <w:szCs w:val="21"/>
              </w:rPr>
              <w:t>课程思政目标：</w:t>
            </w:r>
            <w:r>
              <w:rPr>
                <w:rFonts w:hint="eastAsia" w:ascii="宋体" w:hAnsi="宋体" w:eastAsia="宋体" w:cs="Times New Roman"/>
                <w:color w:val="000000"/>
                <w:kern w:val="0"/>
                <w:sz w:val="21"/>
                <w:szCs w:val="21"/>
              </w:rPr>
              <w:t>理解培养全面发展的人这一教育理念，认识教育管理、班队活动的育人价值，提高教育修养，增强在教育过程中挖掘各个因素进行教育的意识和能力。</w:t>
            </w:r>
          </w:p>
        </w:tc>
      </w:tr>
    </w:tbl>
    <w:p w14:paraId="7F32819A">
      <w:pPr>
        <w:adjustRightInd w:val="0"/>
        <w:snapToGrid w:val="0"/>
        <w:spacing w:line="360" w:lineRule="auto"/>
        <w:ind w:firstLine="472" w:firstLineChars="196"/>
        <w:rPr>
          <w:rFonts w:ascii="宋体" w:hAnsi="宋体" w:eastAsia="宋体" w:cs="Times New Roman"/>
          <w:b/>
          <w:color w:val="000000"/>
          <w:sz w:val="24"/>
          <w:szCs w:val="24"/>
        </w:rPr>
      </w:pPr>
    </w:p>
    <w:p w14:paraId="3587C9D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7C9775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7E10AC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E5FECA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0A34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65DB7497">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045" w:type="dxa"/>
            <w:gridSpan w:val="4"/>
          </w:tcPr>
          <w:p w14:paraId="42DF6FF8">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255" w:type="dxa"/>
            <w:vMerge w:val="restart"/>
            <w:vAlign w:val="center"/>
          </w:tcPr>
          <w:p w14:paraId="2649C82C">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分值</w:t>
            </w:r>
          </w:p>
        </w:tc>
      </w:tr>
      <w:tr w14:paraId="176A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4373135C">
            <w:pPr>
              <w:spacing w:line="360" w:lineRule="auto"/>
              <w:jc w:val="center"/>
              <w:rPr>
                <w:rFonts w:ascii="宋体" w:hAnsi="宋体" w:eastAsia="宋体" w:cs="Times New Roman"/>
                <w:kern w:val="0"/>
                <w:sz w:val="20"/>
                <w:szCs w:val="21"/>
              </w:rPr>
            </w:pPr>
          </w:p>
        </w:tc>
        <w:tc>
          <w:tcPr>
            <w:tcW w:w="1273" w:type="dxa"/>
            <w:vAlign w:val="center"/>
          </w:tcPr>
          <w:p w14:paraId="016E0105">
            <w:pPr>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1268" w:type="dxa"/>
            <w:vAlign w:val="center"/>
          </w:tcPr>
          <w:p w14:paraId="1345F79A">
            <w:pPr>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学校考察</w:t>
            </w:r>
          </w:p>
          <w:p w14:paraId="63CF611C">
            <w:pPr>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661" w:type="dxa"/>
            <w:vAlign w:val="center"/>
          </w:tcPr>
          <w:p w14:paraId="5CCDC405">
            <w:pPr>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1843" w:type="dxa"/>
            <w:vAlign w:val="center"/>
          </w:tcPr>
          <w:p w14:paraId="0DAC8250">
            <w:pPr>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1255" w:type="dxa"/>
            <w:vMerge w:val="continue"/>
            <w:vAlign w:val="center"/>
          </w:tcPr>
          <w:p w14:paraId="1F55BBA7">
            <w:pPr>
              <w:spacing w:line="360" w:lineRule="auto"/>
              <w:jc w:val="center"/>
              <w:rPr>
                <w:rFonts w:ascii="宋体" w:hAnsi="宋体" w:eastAsia="宋体" w:cs="Times New Roman"/>
                <w:kern w:val="0"/>
                <w:sz w:val="20"/>
                <w:szCs w:val="21"/>
              </w:rPr>
            </w:pPr>
          </w:p>
        </w:tc>
      </w:tr>
      <w:tr w14:paraId="560A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6F89CA26">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73" w:type="dxa"/>
          </w:tcPr>
          <w:p w14:paraId="408DEEFF">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1C4AEE35">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261AC7A5">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204360F9">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265738E3">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20</w:t>
            </w:r>
          </w:p>
        </w:tc>
      </w:tr>
      <w:tr w14:paraId="08C0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1CE63574">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73" w:type="dxa"/>
          </w:tcPr>
          <w:p w14:paraId="24089CDE">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25FE0C9F">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5045C637">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62122051">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1F242A1C">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30</w:t>
            </w:r>
          </w:p>
        </w:tc>
      </w:tr>
      <w:tr w14:paraId="3667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56C4E000">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73" w:type="dxa"/>
          </w:tcPr>
          <w:p w14:paraId="48F3127A">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54863CE2">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59DB45B4">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4453AE2A">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4735290B">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t>30</w:t>
            </w:r>
          </w:p>
        </w:tc>
      </w:tr>
      <w:tr w14:paraId="352C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0B23F0B7">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73" w:type="dxa"/>
          </w:tcPr>
          <w:p w14:paraId="4B41DBE6">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tcPr>
          <w:p w14:paraId="3FB61F31">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tcPr>
          <w:p w14:paraId="582B4ED8">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tcPr>
          <w:p w14:paraId="45349436">
            <w:pPr>
              <w:spacing w:line="360" w:lineRule="auto"/>
              <w:jc w:val="center"/>
              <w:rPr>
                <w:rFonts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6F228771">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7AB3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4B9F7FAC">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73" w:type="dxa"/>
          </w:tcPr>
          <w:p w14:paraId="3D217E28">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268" w:type="dxa"/>
            <w:vAlign w:val="center"/>
          </w:tcPr>
          <w:p w14:paraId="1FF50CAF">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w:t>
            </w:r>
          </w:p>
        </w:tc>
        <w:tc>
          <w:tcPr>
            <w:tcW w:w="1661" w:type="dxa"/>
            <w:vAlign w:val="center"/>
          </w:tcPr>
          <w:p w14:paraId="3F2B3450">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843" w:type="dxa"/>
            <w:vAlign w:val="center"/>
          </w:tcPr>
          <w:p w14:paraId="3C9285DC">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255" w:type="dxa"/>
            <w:vAlign w:val="center"/>
          </w:tcPr>
          <w:p w14:paraId="33FCF44C">
            <w:pPr>
              <w:spacing w:line="360"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100</w:t>
            </w:r>
          </w:p>
        </w:tc>
      </w:tr>
    </w:tbl>
    <w:p w14:paraId="6005252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9C0C8C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8EE47D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109"/>
        <w:gridCol w:w="682"/>
      </w:tblGrid>
      <w:tr w14:paraId="6D5B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71" w:type="dxa"/>
            <w:vAlign w:val="center"/>
          </w:tcPr>
          <w:p w14:paraId="2D318ED0">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7109" w:type="dxa"/>
            <w:vAlign w:val="center"/>
          </w:tcPr>
          <w:p w14:paraId="3FD75AB7">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2C9A4394">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75DD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25422564">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7109" w:type="dxa"/>
            <w:tcBorders>
              <w:top w:val="single" w:color="auto" w:sz="4" w:space="0"/>
              <w:left w:val="single" w:color="auto" w:sz="4" w:space="0"/>
              <w:bottom w:val="single" w:color="auto" w:sz="4" w:space="0"/>
              <w:right w:val="single" w:color="auto" w:sz="4" w:space="0"/>
            </w:tcBorders>
            <w:vAlign w:val="center"/>
          </w:tcPr>
          <w:p w14:paraId="7BC5AC78">
            <w:pPr>
              <w:snapToGrid w:val="0"/>
              <w:spacing w:line="276" w:lineRule="auto"/>
              <w:rPr>
                <w:rFonts w:ascii="宋体" w:hAnsi="宋体" w:eastAsia="宋体" w:cs="Times New Roman"/>
                <w:kern w:val="0"/>
                <w:sz w:val="20"/>
                <w:szCs w:val="21"/>
              </w:rPr>
            </w:pPr>
            <w:r>
              <w:rPr>
                <w:rFonts w:hint="eastAsia" w:ascii="Times New Roman" w:hAnsi="Times New Roman" w:eastAsia="宋体" w:cs="Times New Roman"/>
                <w:kern w:val="0"/>
                <w:sz w:val="20"/>
                <w:szCs w:val="21"/>
              </w:rPr>
              <w:t>按要求参加见习，思想端正，学习态度积极；主动参与教学和班级管理，能够虚心请教、勤恳好学；与小学生交往热情，关爱小学生；见习总结认真，形成对自身教育实践比较全面客观的认识。结合</w:t>
            </w:r>
            <w:r>
              <w:rPr>
                <w:rFonts w:hint="eastAsia" w:ascii="宋体" w:hAnsi="宋体" w:eastAsia="宋体" w:cs="Times New Roman"/>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525CCA39">
            <w:pPr>
              <w:snapToGrid w:val="0"/>
              <w:spacing w:line="276" w:lineRule="auto"/>
              <w:rPr>
                <w:rFonts w:ascii="宋体" w:hAnsi="宋体" w:eastAsia="宋体" w:cs="Times New Roman"/>
                <w:kern w:val="0"/>
                <w:sz w:val="20"/>
                <w:szCs w:val="21"/>
              </w:rPr>
            </w:pPr>
            <w:r>
              <w:rPr>
                <w:rFonts w:ascii="宋体" w:hAnsi="宋体" w:eastAsia="宋体" w:cs="Times New Roman"/>
                <w:kern w:val="0"/>
                <w:sz w:val="20"/>
                <w:szCs w:val="21"/>
              </w:rPr>
              <w:t>30%</w:t>
            </w:r>
          </w:p>
        </w:tc>
      </w:tr>
      <w:tr w14:paraId="2251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71" w:type="dxa"/>
            <w:tcBorders>
              <w:top w:val="single" w:color="auto" w:sz="4" w:space="0"/>
              <w:left w:val="single" w:color="auto" w:sz="4" w:space="0"/>
              <w:bottom w:val="single" w:color="auto" w:sz="4" w:space="0"/>
              <w:right w:val="single" w:color="auto" w:sz="4" w:space="0"/>
            </w:tcBorders>
            <w:vAlign w:val="center"/>
          </w:tcPr>
          <w:p w14:paraId="3B6872AD">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学校考察调查报告</w:t>
            </w:r>
          </w:p>
        </w:tc>
        <w:tc>
          <w:tcPr>
            <w:tcW w:w="7109" w:type="dxa"/>
            <w:tcBorders>
              <w:top w:val="single" w:color="auto" w:sz="4" w:space="0"/>
              <w:left w:val="single" w:color="auto" w:sz="4" w:space="0"/>
              <w:bottom w:val="single" w:color="auto" w:sz="4" w:space="0"/>
              <w:right w:val="single" w:color="auto" w:sz="4" w:space="0"/>
            </w:tcBorders>
            <w:vAlign w:val="center"/>
          </w:tcPr>
          <w:p w14:paraId="614886D5">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根据考察情况，结合实际认识与思考，撰写教育调查报告。</w:t>
            </w:r>
            <w:r>
              <w:rPr>
                <w:rFonts w:hint="eastAsia" w:ascii="Times New Roman" w:hAnsi="Times New Roman" w:eastAsia="宋体" w:cs="Times New Roman"/>
                <w:kern w:val="0"/>
                <w:sz w:val="20"/>
                <w:szCs w:val="21"/>
              </w:rPr>
              <w:t>题属于教育领域，问题意识清晰、方法设计可行，资料充实，内容撰写结构合理，形成明确的结论与观点。</w:t>
            </w:r>
            <w:r>
              <w:rPr>
                <w:rFonts w:hint="eastAsia" w:ascii="宋体" w:hAnsi="宋体" w:eastAsia="宋体" w:cs="Times New Roman"/>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45AC84B8">
            <w:pPr>
              <w:snapToGrid w:val="0"/>
              <w:spacing w:line="276" w:lineRule="auto"/>
              <w:rPr>
                <w:rFonts w:ascii="宋体" w:hAnsi="宋体" w:eastAsia="宋体" w:cs="Times New Roman"/>
                <w:kern w:val="0"/>
                <w:sz w:val="20"/>
                <w:szCs w:val="21"/>
              </w:rPr>
            </w:pPr>
            <w:r>
              <w:rPr>
                <w:rFonts w:ascii="宋体" w:hAnsi="宋体" w:eastAsia="宋体" w:cs="Times New Roman"/>
                <w:kern w:val="0"/>
                <w:sz w:val="20"/>
                <w:szCs w:val="21"/>
              </w:rPr>
              <w:t>10%</w:t>
            </w:r>
          </w:p>
        </w:tc>
      </w:tr>
      <w:tr w14:paraId="1A18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tcBorders>
              <w:top w:val="single" w:color="auto" w:sz="4" w:space="0"/>
              <w:left w:val="single" w:color="auto" w:sz="4" w:space="0"/>
              <w:bottom w:val="single" w:color="auto" w:sz="4" w:space="0"/>
              <w:right w:val="single" w:color="auto" w:sz="4" w:space="0"/>
            </w:tcBorders>
            <w:vAlign w:val="center"/>
          </w:tcPr>
          <w:p w14:paraId="4A04F251">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53220CF2">
            <w:pPr>
              <w:adjustRightInd w:val="0"/>
              <w:snapToGrid w:val="0"/>
              <w:rPr>
                <w:rFonts w:ascii="Times New Roman" w:hAnsi="Times New Roman" w:eastAsia="宋体" w:cs="Times New Roman"/>
                <w:kern w:val="0"/>
                <w:sz w:val="20"/>
                <w:szCs w:val="21"/>
              </w:rPr>
            </w:pPr>
            <w:r>
              <w:rPr>
                <w:rFonts w:ascii="Times New Roman" w:hAnsi="Times New Roman" w:eastAsia="宋体" w:cs="Times New Roman"/>
                <w:kern w:val="0"/>
                <w:sz w:val="20"/>
                <w:szCs w:val="21"/>
              </w:rPr>
              <w:t>听课认真，记录完整，深入思考和总结教学，主动向实践导师请教教学方法与教学经验；教案设计要素完整、表述规范，具备可操作性；积极参与教研活动，主动拓宽学科知识范围。</w:t>
            </w:r>
            <w:r>
              <w:rPr>
                <w:rFonts w:hint="eastAsia" w:ascii="宋体" w:hAnsi="宋体" w:eastAsia="宋体" w:cs="Times New Roman"/>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2F58DDFB">
            <w:pPr>
              <w:snapToGrid w:val="0"/>
              <w:spacing w:line="276" w:lineRule="auto"/>
              <w:rPr>
                <w:rFonts w:ascii="宋体" w:hAnsi="宋体" w:eastAsia="宋体" w:cs="Times New Roman"/>
                <w:kern w:val="0"/>
                <w:sz w:val="20"/>
                <w:szCs w:val="21"/>
              </w:rPr>
            </w:pPr>
            <w:r>
              <w:rPr>
                <w:rFonts w:ascii="宋体" w:hAnsi="宋体" w:eastAsia="宋体" w:cs="Times New Roman"/>
                <w:kern w:val="0"/>
                <w:sz w:val="20"/>
                <w:szCs w:val="21"/>
              </w:rPr>
              <w:t>30%</w:t>
            </w:r>
          </w:p>
        </w:tc>
      </w:tr>
      <w:tr w14:paraId="02C6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641DCB16">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5BC5DFD0">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熟悉小学班级管理事务，掌握小学生生活特点、心理特点；主动积累班级管理的经验，善于总结和反思教育管理案例。</w:t>
            </w:r>
            <w:r>
              <w:rPr>
                <w:rFonts w:hint="eastAsia" w:ascii="宋体" w:hAnsi="宋体" w:eastAsia="宋体" w:cs="Times New Roman"/>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099993BA">
            <w:pPr>
              <w:snapToGrid w:val="0"/>
              <w:spacing w:line="276" w:lineRule="auto"/>
              <w:rPr>
                <w:rFonts w:ascii="宋体" w:hAnsi="宋体" w:eastAsia="宋体" w:cs="Times New Roman"/>
                <w:kern w:val="0"/>
                <w:sz w:val="20"/>
                <w:szCs w:val="21"/>
              </w:rPr>
            </w:pPr>
            <w:r>
              <w:rPr>
                <w:rFonts w:ascii="宋体" w:hAnsi="宋体" w:eastAsia="宋体" w:cs="Times New Roman"/>
                <w:kern w:val="0"/>
                <w:sz w:val="20"/>
                <w:szCs w:val="21"/>
              </w:rPr>
              <w:t>30%</w:t>
            </w:r>
          </w:p>
        </w:tc>
      </w:tr>
      <w:tr w14:paraId="14AC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71" w:type="dxa"/>
            <w:tcBorders>
              <w:top w:val="single" w:color="auto" w:sz="4" w:space="0"/>
              <w:left w:val="single" w:color="auto" w:sz="4" w:space="0"/>
              <w:bottom w:val="single" w:color="auto" w:sz="4" w:space="0"/>
              <w:right w:val="single" w:color="auto" w:sz="4" w:space="0"/>
            </w:tcBorders>
            <w:vAlign w:val="center"/>
          </w:tcPr>
          <w:p w14:paraId="06B485E0">
            <w:pPr>
              <w:snapToGrid w:val="0"/>
              <w:spacing w:line="276" w:lineRule="auto"/>
              <w:rPr>
                <w:rFonts w:ascii="宋体" w:hAnsi="宋体" w:eastAsia="宋体" w:cs="Times New Roman"/>
                <w:kern w:val="0"/>
                <w:sz w:val="20"/>
                <w:szCs w:val="21"/>
              </w:rPr>
            </w:pPr>
            <w:r>
              <w:rPr>
                <w:rFonts w:hint="eastAsia" w:ascii="宋体" w:hAnsi="宋体" w:eastAsia="宋体" w:cs="Times New Roman"/>
                <w:kern w:val="0"/>
                <w:sz w:val="20"/>
                <w:szCs w:val="21"/>
              </w:rPr>
              <w:t>合计</w:t>
            </w:r>
          </w:p>
        </w:tc>
        <w:tc>
          <w:tcPr>
            <w:tcW w:w="7791" w:type="dxa"/>
            <w:gridSpan w:val="2"/>
            <w:tcBorders>
              <w:top w:val="single" w:color="auto" w:sz="4" w:space="0"/>
              <w:left w:val="single" w:color="auto" w:sz="4" w:space="0"/>
              <w:bottom w:val="single" w:color="auto" w:sz="4" w:space="0"/>
              <w:right w:val="single" w:color="auto" w:sz="4" w:space="0"/>
            </w:tcBorders>
            <w:vAlign w:val="center"/>
          </w:tcPr>
          <w:p w14:paraId="4A9713A3">
            <w:pPr>
              <w:snapToGrid w:val="0"/>
              <w:spacing w:line="276" w:lineRule="auto"/>
              <w:jc w:val="center"/>
              <w:rPr>
                <w:rFonts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bl>
    <w:p w14:paraId="4838160A">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3271FF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FFA47BB">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84" o:spt="75" type="#_x0000_t75" style="height:25.3pt;width:404.75pt;" o:ole="t" filled="f" o:preferrelative="t" stroked="f" coordsize="21600,21600">
            <v:path/>
            <v:fill on="f" focussize="0,0"/>
            <v:stroke on="f" joinstyle="miter"/>
            <v:imagedata r:id="rId5" o:title=""/>
            <o:lock v:ext="edit" aspectratio="t"/>
            <w10:wrap type="none"/>
            <w10:anchorlock/>
          </v:shape>
          <o:OLEObject Type="Embed" ProgID="Equation.3" ShapeID="_x0000_i1084" DrawAspect="Content" ObjectID="_1468075784" r:id="rId67">
            <o:LockedField>false</o:LockedField>
          </o:OLEObject>
        </w:object>
      </w:r>
    </w:p>
    <w:p w14:paraId="13EDE4D2">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p>
    <w:p w14:paraId="36E8155F">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137DAC47">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43DEA81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998B62E">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本课程根据学生见习情况、实践学校教师的反馈等，及时对教学见习中的不足之处进行改进，并在下一轮课程实施中整改完善，确保相应毕业要求指标点达成。</w:t>
      </w:r>
    </w:p>
    <w:p w14:paraId="58607EC0">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8C294B0">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教学见习手册（自编）</w:t>
      </w:r>
    </w:p>
    <w:p w14:paraId="1A5C0732">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79FAD1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义务教育小学语文/数学学科课程标准，最新版。</w:t>
      </w:r>
    </w:p>
    <w:p w14:paraId="5DA16FEA">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部编版小学语文/数学各年级教材。</w:t>
      </w:r>
    </w:p>
    <w:p w14:paraId="3A5B81ED">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陈文涛、刘霄主编：《教育实习的实践与创新》，河南大学出版社，</w:t>
      </w:r>
      <w:r>
        <w:rPr>
          <w:rFonts w:ascii="宋体" w:hAnsi="宋体" w:eastAsia="宋体" w:cs="Times New Roman"/>
          <w:sz w:val="24"/>
          <w:szCs w:val="24"/>
        </w:rPr>
        <w:t>2015</w:t>
      </w:r>
    </w:p>
    <w:p w14:paraId="7F1F0FE2">
      <w:pPr>
        <w:spacing w:line="360" w:lineRule="auto"/>
        <w:rPr>
          <w:rFonts w:ascii="宋体" w:hAnsi="宋体" w:eastAsia="宋体" w:cs="Times New Roman"/>
          <w:color w:val="000000"/>
          <w:sz w:val="24"/>
          <w:szCs w:val="24"/>
        </w:rPr>
      </w:pPr>
    </w:p>
    <w:p w14:paraId="0FFE2C69">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执笔人：王雅丽</w:t>
      </w:r>
      <w:r>
        <w:rPr>
          <w:rFonts w:ascii="宋体" w:hAnsi="Times New Roman" w:eastAsia="宋体" w:cs="Times New Roman"/>
          <w:color w:val="000000"/>
          <w:sz w:val="24"/>
          <w:szCs w:val="24"/>
        </w:rPr>
        <w:t xml:space="preserve"> </w:t>
      </w:r>
    </w:p>
    <w:p w14:paraId="45B5815D">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审定人：王健</w:t>
      </w:r>
    </w:p>
    <w:p w14:paraId="5FF04720">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审批人：张志欣</w:t>
      </w:r>
    </w:p>
    <w:p w14:paraId="452D1E3D">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w:t>
      </w:r>
      <w:r>
        <w:rPr>
          <w:rFonts w:ascii="宋体" w:hAnsi="宋体" w:eastAsia="宋体" w:cs="Times New Roman"/>
          <w:color w:val="000000"/>
          <w:sz w:val="24"/>
          <w:szCs w:val="24"/>
        </w:rPr>
        <w:t>2024</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8</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30</w:t>
      </w:r>
      <w:r>
        <w:rPr>
          <w:rFonts w:hint="eastAsia" w:ascii="宋体" w:hAnsi="宋体" w:eastAsia="宋体" w:cs="Times New Roman"/>
          <w:color w:val="000000"/>
          <w:sz w:val="24"/>
          <w:szCs w:val="24"/>
        </w:rPr>
        <w:t>日</w:t>
      </w:r>
    </w:p>
    <w:p w14:paraId="2D08C96C">
      <w:pPr>
        <w:rPr>
          <w:rFonts w:ascii="宋体" w:hAnsi="宋体" w:eastAsia="宋体" w:cs="Times New Roman"/>
          <w:b/>
          <w:bCs/>
          <w:sz w:val="30"/>
          <w:szCs w:val="24"/>
        </w:rPr>
      </w:pPr>
      <w:r>
        <w:rPr>
          <w:rFonts w:hint="eastAsia" w:ascii="宋体" w:hAnsi="宋体" w:eastAsia="宋体" w:cs="Times New Roman"/>
          <w:b/>
          <w:bCs/>
          <w:sz w:val="30"/>
          <w:szCs w:val="24"/>
        </w:rPr>
        <w:br w:type="page"/>
      </w:r>
    </w:p>
    <w:bookmarkEnd w:id="3162"/>
    <w:p w14:paraId="6D7BD456">
      <w:pPr>
        <w:pStyle w:val="2"/>
        <w:bidi w:val="0"/>
        <w:rPr>
          <w:lang w:val="en-US" w:eastAsia="zh-CN"/>
        </w:rPr>
      </w:pPr>
      <w:bookmarkStart w:id="3170" w:name="_Toc17448"/>
      <w:bookmarkStart w:id="3171" w:name="_Toc8057"/>
      <w:bookmarkStart w:id="3172" w:name="_Toc18163"/>
      <w:bookmarkStart w:id="3173" w:name="_Toc10722"/>
      <w:r>
        <w:rPr>
          <w:rFonts w:hint="eastAsia"/>
          <w:lang w:val="en-US" w:eastAsia="zh-CN"/>
        </w:rPr>
        <w:t>《教学实训》课程教学大纲</w:t>
      </w:r>
      <w:bookmarkEnd w:id="3170"/>
      <w:bookmarkEnd w:id="3171"/>
      <w:bookmarkEnd w:id="3172"/>
      <w:bookmarkEnd w:id="3173"/>
    </w:p>
    <w:p w14:paraId="0DD300CA">
      <w:pPr>
        <w:pStyle w:val="2"/>
        <w:bidi w:val="0"/>
        <w:rPr>
          <w:lang w:val="en-US" w:eastAsia="zh-CN"/>
        </w:rPr>
      </w:pPr>
      <w:bookmarkStart w:id="3174" w:name="_Toc30143"/>
      <w:bookmarkStart w:id="3175" w:name="_Toc27768"/>
      <w:bookmarkStart w:id="3176" w:name="_Toc5381"/>
      <w:bookmarkStart w:id="3177" w:name="_Toc28227"/>
      <w:bookmarkStart w:id="3178" w:name="_Toc29158"/>
      <w:bookmarkStart w:id="3179" w:name="_Toc15280"/>
      <w:bookmarkStart w:id="3180" w:name="_Toc18647"/>
      <w:r>
        <w:rPr>
          <w:lang w:val="en-US" w:eastAsia="zh-CN"/>
        </w:rPr>
        <w:t>（Teaching Practice）</w:t>
      </w:r>
      <w:bookmarkEnd w:id="3174"/>
      <w:bookmarkEnd w:id="3175"/>
      <w:bookmarkEnd w:id="3176"/>
      <w:bookmarkEnd w:id="3177"/>
      <w:bookmarkEnd w:id="3178"/>
      <w:bookmarkEnd w:id="3179"/>
      <w:bookmarkEnd w:id="3180"/>
    </w:p>
    <w:p w14:paraId="5CDAB6E4">
      <w:pPr>
        <w:spacing w:line="360" w:lineRule="auto"/>
        <w:jc w:val="center"/>
        <w:rPr>
          <w:rFonts w:ascii="Times New Roman" w:hAnsi="Times New Roman" w:eastAsia="宋体" w:cs="Times New Roman"/>
          <w:bCs/>
          <w:sz w:val="30"/>
          <w:szCs w:val="30"/>
        </w:rPr>
      </w:pPr>
    </w:p>
    <w:p w14:paraId="20AD5E5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课程名称：教学实训</w:t>
      </w:r>
    </w:p>
    <w:p w14:paraId="0CADE88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2401067</w:t>
      </w:r>
    </w:p>
    <w:p w14:paraId="2F8448F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分：1</w:t>
      </w:r>
      <w:r>
        <w:rPr>
          <w:rFonts w:hint="eastAsia" w:ascii="Times New Roman" w:hAnsi="Times New Roman" w:eastAsia="宋体" w:cs="Times New Roman"/>
          <w:b/>
          <w:sz w:val="24"/>
          <w:szCs w:val="24"/>
        </w:rPr>
        <w:t>（不计入总学分）</w:t>
      </w:r>
    </w:p>
    <w:p w14:paraId="0F54E06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w:t>
      </w:r>
      <w:r>
        <w:rPr>
          <w:rFonts w:ascii="Times New Roman" w:hAnsi="Times New Roman" w:eastAsia="宋体" w:cs="Times New Roman"/>
          <w:b/>
          <w:sz w:val="24"/>
          <w:szCs w:val="24"/>
        </w:rPr>
        <w:t xml:space="preserve">    时：2</w:t>
      </w:r>
      <w:r>
        <w:rPr>
          <w:rFonts w:hint="eastAsia" w:ascii="Times New Roman" w:hAnsi="Times New Roman" w:eastAsia="宋体" w:cs="Times New Roman"/>
          <w:b/>
          <w:sz w:val="24"/>
          <w:szCs w:val="24"/>
        </w:rPr>
        <w:t>周</w:t>
      </w:r>
    </w:p>
    <w:p w14:paraId="1C22D2D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先修课程：无</w:t>
      </w:r>
    </w:p>
    <w:p w14:paraId="16F9259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适用专业：小学教育（文）、小学教育（理）</w:t>
      </w:r>
    </w:p>
    <w:p w14:paraId="48FF40C7">
      <w:pPr>
        <w:spacing w:line="360" w:lineRule="auto"/>
        <w:jc w:val="left"/>
        <w:rPr>
          <w:rFonts w:ascii="Times New Roman" w:hAnsi="Times New Roman" w:eastAsia="宋体" w:cs="Times New Roman"/>
          <w:b/>
          <w:sz w:val="24"/>
          <w:szCs w:val="24"/>
        </w:rPr>
      </w:pPr>
    </w:p>
    <w:p w14:paraId="564ACAA3">
      <w:pPr>
        <w:spacing w:line="360" w:lineRule="auto"/>
        <w:jc w:val="left"/>
        <w:outlineLvl w:val="0"/>
        <w:rPr>
          <w:rFonts w:ascii="Times New Roman" w:hAnsi="Times New Roman" w:eastAsia="宋体" w:cs="Times New Roman"/>
          <w:sz w:val="24"/>
          <w:szCs w:val="24"/>
        </w:rPr>
      </w:pPr>
      <w:bookmarkStart w:id="3181" w:name="_Toc3361"/>
      <w:bookmarkStart w:id="3182" w:name="_Toc25368"/>
      <w:bookmarkStart w:id="3183" w:name="_Toc21585"/>
      <w:bookmarkStart w:id="3184" w:name="_Toc12008"/>
      <w:bookmarkStart w:id="3185" w:name="_Toc18416"/>
      <w:bookmarkStart w:id="3186" w:name="_Toc19816"/>
      <w:bookmarkStart w:id="3187" w:name="_Toc4051"/>
      <w:r>
        <w:rPr>
          <w:rFonts w:hint="eastAsia" w:ascii="Times New Roman" w:hAnsi="Times New Roman" w:eastAsia="宋体" w:cs="Times New Roman"/>
          <w:b/>
          <w:sz w:val="24"/>
          <w:szCs w:val="24"/>
        </w:rPr>
        <w:t>一、课程简介</w:t>
      </w:r>
      <w:bookmarkEnd w:id="3181"/>
      <w:bookmarkEnd w:id="3182"/>
      <w:bookmarkEnd w:id="3183"/>
      <w:bookmarkEnd w:id="3184"/>
      <w:bookmarkEnd w:id="3185"/>
      <w:bookmarkEnd w:id="3186"/>
      <w:bookmarkEnd w:id="3187"/>
    </w:p>
    <w:p w14:paraId="0C5D67A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61B354F9">
      <w:pPr>
        <w:spacing w:line="360" w:lineRule="auto"/>
        <w:jc w:val="left"/>
        <w:outlineLvl w:val="0"/>
        <w:rPr>
          <w:rFonts w:ascii="Times New Roman" w:hAnsi="Times New Roman" w:eastAsia="宋体" w:cs="Times New Roman"/>
          <w:sz w:val="24"/>
          <w:szCs w:val="24"/>
        </w:rPr>
      </w:pPr>
      <w:bookmarkStart w:id="3188" w:name="_Toc14601"/>
      <w:bookmarkStart w:id="3189" w:name="_Toc24766"/>
      <w:bookmarkStart w:id="3190" w:name="_Toc22517"/>
      <w:bookmarkStart w:id="3191" w:name="_Toc11917"/>
      <w:bookmarkStart w:id="3192" w:name="_Toc14101"/>
      <w:bookmarkStart w:id="3193" w:name="_Toc28613"/>
      <w:bookmarkStart w:id="3194" w:name="_Toc8568"/>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3188"/>
      <w:bookmarkEnd w:id="3189"/>
      <w:bookmarkEnd w:id="3190"/>
      <w:bookmarkEnd w:id="3191"/>
      <w:bookmarkEnd w:id="3192"/>
      <w:bookmarkEnd w:id="3193"/>
      <w:bookmarkEnd w:id="3194"/>
    </w:p>
    <w:p w14:paraId="3E07DB4C">
      <w:pPr>
        <w:spacing w:line="360" w:lineRule="auto"/>
        <w:ind w:firstLine="422" w:firstLineChars="200"/>
        <w:outlineLvl w:val="1"/>
        <w:rPr>
          <w:rFonts w:ascii="宋体" w:hAnsi="宋体" w:eastAsia="宋体" w:cs="Times New Roman"/>
          <w:b/>
          <w:color w:val="000000"/>
          <w:szCs w:val="21"/>
        </w:rPr>
      </w:pPr>
      <w:bookmarkStart w:id="3195" w:name="_Toc10048"/>
      <w:r>
        <w:rPr>
          <w:rFonts w:hint="eastAsia" w:ascii="宋体" w:hAnsi="宋体" w:eastAsia="宋体" w:cs="Times New Roman"/>
          <w:b/>
          <w:color w:val="000000"/>
          <w:szCs w:val="21"/>
        </w:rPr>
        <w:t>（一）课程具体目标</w:t>
      </w:r>
      <w:bookmarkEnd w:id="3195"/>
    </w:p>
    <w:p w14:paraId="7E9621B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1.具备依据课程标准理念进行教学设计的能力，能够独立完成教学方案和说课稿</w:t>
      </w:r>
      <w:r>
        <w:rPr>
          <w:rFonts w:hint="eastAsia" w:ascii="Times New Roman" w:hAnsi="Times New Roman" w:eastAsia="宋体" w:cs="Times New Roman"/>
          <w:szCs w:val="21"/>
        </w:rPr>
        <w:t>的撰写</w:t>
      </w:r>
      <w:r>
        <w:rPr>
          <w:rFonts w:ascii="Times New Roman" w:hAnsi="Times New Roman" w:eastAsia="宋体" w:cs="Times New Roman"/>
          <w:szCs w:val="21"/>
        </w:rPr>
        <w:t>。</w:t>
      </w:r>
    </w:p>
    <w:p w14:paraId="3260C30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2.能够依据说课稿和教学方案进行说课和课堂教学，基本掌握说课与课堂教学的基本流程，形成基本的说课与课堂教学技能。</w:t>
      </w:r>
    </w:p>
    <w:p w14:paraId="588ABCD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3.能对自己的说课与课堂教学进行正确的评价</w:t>
      </w:r>
      <w:r>
        <w:rPr>
          <w:rFonts w:hint="eastAsia" w:ascii="Times New Roman" w:hAnsi="Times New Roman" w:eastAsia="宋体" w:cs="Times New Roman"/>
          <w:szCs w:val="21"/>
        </w:rPr>
        <w:t>，</w:t>
      </w:r>
      <w:r>
        <w:rPr>
          <w:rFonts w:ascii="Times New Roman" w:hAnsi="Times New Roman" w:eastAsia="宋体" w:cs="Times New Roman"/>
          <w:szCs w:val="21"/>
        </w:rPr>
        <w:t>并作出相应的</w:t>
      </w:r>
      <w:r>
        <w:rPr>
          <w:rFonts w:hint="eastAsia" w:ascii="Times New Roman" w:hAnsi="Times New Roman" w:eastAsia="宋体" w:cs="Times New Roman"/>
          <w:szCs w:val="21"/>
        </w:rPr>
        <w:t>反思和</w:t>
      </w:r>
      <w:r>
        <w:rPr>
          <w:rFonts w:ascii="Times New Roman" w:hAnsi="Times New Roman" w:eastAsia="宋体" w:cs="Times New Roman"/>
          <w:szCs w:val="21"/>
        </w:rPr>
        <w:t>改进，以提升自己的教学能力。</w:t>
      </w:r>
    </w:p>
    <w:p w14:paraId="75C529B7">
      <w:pPr>
        <w:spacing w:before="156" w:beforeLines="50" w:after="156" w:afterLines="50" w:line="360" w:lineRule="auto"/>
        <w:jc w:val="left"/>
        <w:outlineLvl w:val="1"/>
        <w:rPr>
          <w:rFonts w:ascii="Times New Roman" w:hAnsi="Times New Roman" w:eastAsia="宋体" w:cs="Times New Roman"/>
          <w:b/>
          <w:bCs/>
          <w:szCs w:val="21"/>
        </w:rPr>
      </w:pPr>
      <w:bookmarkStart w:id="3196" w:name="_Toc22728"/>
      <w:r>
        <w:rPr>
          <w:rFonts w:hint="eastAsia" w:ascii="Times New Roman" w:hAnsi="Times New Roman" w:eastAsia="宋体" w:cs="Times New Roman"/>
          <w:b/>
          <w:bCs/>
          <w:szCs w:val="21"/>
        </w:rPr>
        <w:t>（二）课程目标及其对毕业要求指标点的支撑</w:t>
      </w:r>
      <w:bookmarkEnd w:id="3196"/>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42"/>
        <w:gridCol w:w="6095"/>
        <w:gridCol w:w="1327"/>
      </w:tblGrid>
      <w:tr w14:paraId="2A12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154B71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37" w:type="dxa"/>
            <w:gridSpan w:val="2"/>
            <w:vAlign w:val="center"/>
          </w:tcPr>
          <w:p w14:paraId="42DA1FA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4E274E6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97D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restart"/>
            <w:vAlign w:val="center"/>
          </w:tcPr>
          <w:p w14:paraId="7D955BB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4：教学能力</w:t>
            </w:r>
          </w:p>
        </w:tc>
        <w:tc>
          <w:tcPr>
            <w:tcW w:w="6095" w:type="dxa"/>
            <w:vAlign w:val="center"/>
          </w:tcPr>
          <w:p w14:paraId="5B7A9E9A">
            <w:pPr>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4-2：【教学设计恰当】理解教材的编写逻辑和体系结构，合理掌握不同学段目标与内容的递进关系，具有依据课标进行教学的意识和习惯。能依据单元内容进行整体设计，科学合理地依据教学目标及内容设计。</w:t>
            </w:r>
          </w:p>
        </w:tc>
        <w:tc>
          <w:tcPr>
            <w:tcW w:w="1327" w:type="dxa"/>
            <w:vAlign w:val="center"/>
          </w:tcPr>
          <w:p w14:paraId="172C0CA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0596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Merge w:val="continue"/>
            <w:vAlign w:val="center"/>
          </w:tcPr>
          <w:p w14:paraId="7480C041">
            <w:pPr>
              <w:spacing w:line="276" w:lineRule="auto"/>
              <w:jc w:val="center"/>
              <w:rPr>
                <w:rFonts w:ascii="Times New Roman" w:hAnsi="Times New Roman" w:eastAsia="宋体" w:cs="Times New Roman"/>
                <w:szCs w:val="21"/>
              </w:rPr>
            </w:pPr>
          </w:p>
        </w:tc>
        <w:tc>
          <w:tcPr>
            <w:tcW w:w="6095" w:type="dxa"/>
            <w:vAlign w:val="center"/>
          </w:tcPr>
          <w:p w14:paraId="5A401B6F">
            <w:pPr>
              <w:spacing w:line="276" w:lineRule="auto"/>
              <w:jc w:val="left"/>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0D433D6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1CAB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vAlign w:val="center"/>
          </w:tcPr>
          <w:p w14:paraId="2F256C13">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学会反思</w:t>
            </w:r>
          </w:p>
        </w:tc>
        <w:tc>
          <w:tcPr>
            <w:tcW w:w="6095" w:type="dxa"/>
            <w:vAlign w:val="center"/>
          </w:tcPr>
          <w:p w14:paraId="122CD6F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7-3：【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224E79D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1C33D14E">
      <w:pPr>
        <w:spacing w:before="156" w:beforeLines="50" w:line="360" w:lineRule="auto"/>
        <w:jc w:val="left"/>
        <w:outlineLvl w:val="1"/>
        <w:rPr>
          <w:rFonts w:ascii="宋体" w:hAnsi="宋体" w:eastAsia="宋体" w:cs="Times New Roman"/>
          <w:b/>
          <w:color w:val="000000"/>
          <w:szCs w:val="21"/>
        </w:rPr>
      </w:pPr>
      <w:bookmarkStart w:id="3197" w:name="_Toc6583"/>
      <w:r>
        <w:rPr>
          <w:rFonts w:hint="eastAsia" w:ascii="宋体" w:hAnsi="宋体" w:eastAsia="宋体" w:cs="Times New Roman"/>
          <w:b/>
          <w:color w:val="000000"/>
          <w:szCs w:val="21"/>
        </w:rPr>
        <w:t>（三）课程思政目标</w:t>
      </w:r>
      <w:bookmarkEnd w:id="3197"/>
    </w:p>
    <w:p w14:paraId="3F2540DC">
      <w:pPr>
        <w:spacing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t>巩固专业思想，树立正确</w:t>
      </w:r>
      <w:r>
        <w:rPr>
          <w:rFonts w:hint="eastAsia" w:ascii="宋体" w:hAnsi="宋体" w:eastAsia="宋体" w:cs="Times New Roman"/>
          <w:color w:val="000000"/>
          <w:szCs w:val="21"/>
        </w:rPr>
        <w:t>的</w:t>
      </w:r>
      <w:r>
        <w:rPr>
          <w:rFonts w:ascii="宋体" w:hAnsi="宋体" w:eastAsia="宋体" w:cs="Times New Roman"/>
          <w:color w:val="000000"/>
          <w:szCs w:val="21"/>
        </w:rPr>
        <w:t>教育</w:t>
      </w:r>
      <w:r>
        <w:rPr>
          <w:rFonts w:hint="eastAsia" w:ascii="宋体" w:hAnsi="宋体" w:eastAsia="宋体" w:cs="Times New Roman"/>
          <w:color w:val="000000"/>
          <w:szCs w:val="21"/>
        </w:rPr>
        <w:t>理</w:t>
      </w:r>
      <w:r>
        <w:rPr>
          <w:rFonts w:ascii="宋体" w:hAnsi="宋体" w:eastAsia="宋体" w:cs="Times New Roman"/>
          <w:color w:val="000000"/>
          <w:szCs w:val="21"/>
        </w:rPr>
        <w:t>念</w:t>
      </w:r>
      <w:r>
        <w:rPr>
          <w:rFonts w:hint="eastAsia" w:ascii="宋体" w:hAnsi="宋体" w:eastAsia="宋体" w:cs="Times New Roman"/>
          <w:color w:val="000000"/>
          <w:szCs w:val="21"/>
        </w:rPr>
        <w:t>；增强</w:t>
      </w:r>
      <w:r>
        <w:rPr>
          <w:rFonts w:ascii="宋体" w:hAnsi="宋体" w:eastAsia="宋体" w:cs="Times New Roman"/>
          <w:color w:val="000000"/>
          <w:szCs w:val="21"/>
        </w:rPr>
        <w:t>社会责任感</w:t>
      </w:r>
      <w:r>
        <w:rPr>
          <w:rFonts w:hint="eastAsia" w:ascii="宋体" w:hAnsi="宋体" w:eastAsia="宋体" w:cs="Times New Roman"/>
          <w:color w:val="000000"/>
          <w:szCs w:val="21"/>
        </w:rPr>
        <w:t>和</w:t>
      </w:r>
      <w:r>
        <w:rPr>
          <w:rFonts w:ascii="宋体" w:hAnsi="宋体" w:eastAsia="宋体" w:cs="Times New Roman"/>
          <w:color w:val="000000"/>
          <w:szCs w:val="21"/>
        </w:rPr>
        <w:t>教育情怀</w:t>
      </w:r>
      <w:r>
        <w:rPr>
          <w:rFonts w:hint="eastAsia" w:ascii="宋体" w:hAnsi="宋体" w:eastAsia="宋体" w:cs="Times New Roman"/>
          <w:color w:val="000000"/>
          <w:szCs w:val="21"/>
        </w:rPr>
        <w:t>，养成虚心、严谨的学习态度，增强</w:t>
      </w:r>
      <w:r>
        <w:rPr>
          <w:rFonts w:ascii="宋体" w:hAnsi="宋体" w:eastAsia="宋体" w:cs="Times New Roman"/>
          <w:color w:val="000000"/>
          <w:szCs w:val="21"/>
        </w:rPr>
        <w:t>团队</w:t>
      </w:r>
      <w:r>
        <w:rPr>
          <w:rFonts w:hint="eastAsia" w:ascii="宋体" w:hAnsi="宋体" w:eastAsia="宋体" w:cs="Times New Roman"/>
          <w:color w:val="000000"/>
          <w:szCs w:val="21"/>
        </w:rPr>
        <w:t>合作意识；</w:t>
      </w:r>
      <w:r>
        <w:rPr>
          <w:rFonts w:ascii="宋体" w:hAnsi="宋体" w:eastAsia="宋体" w:cs="Times New Roman"/>
          <w:color w:val="000000"/>
          <w:szCs w:val="21"/>
        </w:rPr>
        <w:t>形成学科育人的意识，</w:t>
      </w:r>
      <w:r>
        <w:rPr>
          <w:rFonts w:hint="eastAsia" w:ascii="宋体" w:hAnsi="宋体" w:eastAsia="宋体" w:cs="Times New Roman"/>
          <w:color w:val="000000"/>
          <w:szCs w:val="21"/>
        </w:rPr>
        <w:t>初步</w:t>
      </w:r>
      <w:r>
        <w:rPr>
          <w:rFonts w:ascii="宋体" w:hAnsi="宋体" w:eastAsia="宋体" w:cs="Times New Roman"/>
          <w:color w:val="000000"/>
          <w:szCs w:val="21"/>
        </w:rPr>
        <w:t>掌握学科育人的方法。</w:t>
      </w:r>
    </w:p>
    <w:p w14:paraId="46DE2BC2">
      <w:pPr>
        <w:spacing w:line="360" w:lineRule="auto"/>
        <w:ind w:firstLine="482" w:firstLineChars="200"/>
        <w:jc w:val="left"/>
        <w:outlineLvl w:val="0"/>
        <w:rPr>
          <w:rFonts w:ascii="宋体" w:hAnsi="宋体" w:eastAsia="宋体" w:cs="Times New Roman"/>
          <w:b/>
          <w:color w:val="000000"/>
          <w:sz w:val="24"/>
          <w:szCs w:val="24"/>
        </w:rPr>
      </w:pPr>
      <w:bookmarkStart w:id="3198" w:name="_Toc29618"/>
      <w:bookmarkStart w:id="3199" w:name="_Toc587"/>
      <w:bookmarkStart w:id="3200" w:name="_Toc2244"/>
      <w:bookmarkStart w:id="3201" w:name="_Toc32262"/>
      <w:bookmarkStart w:id="3202" w:name="_Toc12323"/>
      <w:bookmarkStart w:id="3203" w:name="_Toc10405"/>
      <w:bookmarkStart w:id="3204" w:name="_Toc16840"/>
      <w:r>
        <w:rPr>
          <w:rFonts w:hint="eastAsia" w:ascii="宋体" w:hAnsi="宋体" w:eastAsia="宋体" w:cs="Times New Roman"/>
          <w:b/>
          <w:color w:val="000000"/>
          <w:sz w:val="24"/>
          <w:szCs w:val="24"/>
        </w:rPr>
        <w:t>三、教学内容与预期学习成效</w:t>
      </w:r>
      <w:bookmarkEnd w:id="3198"/>
      <w:bookmarkEnd w:id="3199"/>
      <w:bookmarkEnd w:id="3200"/>
      <w:bookmarkEnd w:id="3201"/>
      <w:bookmarkEnd w:id="3202"/>
      <w:bookmarkEnd w:id="3203"/>
      <w:bookmarkEnd w:id="3204"/>
    </w:p>
    <w:tbl>
      <w:tblPr>
        <w:tblStyle w:val="11"/>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7B7A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16D4FD93">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A1C791A">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4" w:type="dxa"/>
            <w:vAlign w:val="center"/>
          </w:tcPr>
          <w:p w14:paraId="463BD1E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5" w:type="dxa"/>
            <w:vAlign w:val="center"/>
          </w:tcPr>
          <w:p w14:paraId="55EA98A1">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4FA7DCE8">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6" w:type="dxa"/>
            <w:vAlign w:val="center"/>
          </w:tcPr>
          <w:p w14:paraId="20869ABC">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3" w:type="dxa"/>
            <w:vAlign w:val="center"/>
          </w:tcPr>
          <w:p w14:paraId="389B8A64">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42" w:type="dxa"/>
            <w:vAlign w:val="center"/>
          </w:tcPr>
          <w:p w14:paraId="738AADA0">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1056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51A14E7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教学设计实训</w:t>
            </w:r>
          </w:p>
        </w:tc>
        <w:tc>
          <w:tcPr>
            <w:tcW w:w="1704" w:type="dxa"/>
            <w:vAlign w:val="center"/>
          </w:tcPr>
          <w:p w14:paraId="783B9EC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选择不少于</w:t>
            </w:r>
            <w:r>
              <w:rPr>
                <w:rFonts w:ascii="宋体" w:hAnsi="宋体" w:eastAsia="宋体" w:cs="Times New Roman"/>
                <w:color w:val="000000"/>
                <w:szCs w:val="21"/>
              </w:rPr>
              <w:t>8个小学教学内容，在研读课程标准、认真钻研教材的基础上，进行教学设计。</w:t>
            </w:r>
          </w:p>
        </w:tc>
        <w:tc>
          <w:tcPr>
            <w:tcW w:w="1135" w:type="dxa"/>
            <w:vAlign w:val="center"/>
          </w:tcPr>
          <w:p w14:paraId="602A7E2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5ED72B1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1.完成不少于3个说课稿。</w:t>
            </w:r>
          </w:p>
          <w:p w14:paraId="28699E4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2.完成不少于8个教案。</w:t>
            </w:r>
          </w:p>
        </w:tc>
        <w:tc>
          <w:tcPr>
            <w:tcW w:w="1563" w:type="dxa"/>
            <w:vAlign w:val="center"/>
          </w:tcPr>
          <w:p w14:paraId="208C78D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1.集中训练</w:t>
            </w:r>
          </w:p>
          <w:p w14:paraId="78460A4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2.交流研讨</w:t>
            </w:r>
          </w:p>
          <w:p w14:paraId="0069107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15CA87FA">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天</w:t>
            </w:r>
          </w:p>
        </w:tc>
      </w:tr>
      <w:tr w14:paraId="6BDF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15741707">
            <w:pPr>
              <w:spacing w:line="264" w:lineRule="auto"/>
              <w:jc w:val="center"/>
              <w:rPr>
                <w:rFonts w:ascii="宋体" w:hAnsi="宋体" w:eastAsia="宋体" w:cs="Times New Roman"/>
                <w:color w:val="000000"/>
                <w:szCs w:val="21"/>
              </w:rPr>
            </w:pPr>
          </w:p>
        </w:tc>
        <w:tc>
          <w:tcPr>
            <w:tcW w:w="8110" w:type="dxa"/>
            <w:gridSpan w:val="5"/>
            <w:vAlign w:val="center"/>
          </w:tcPr>
          <w:p w14:paraId="433E380A">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巩固专业思想，树立正确的教育理念，增强社会责任感和教育情怀，养成虚心、严谨的学习态度，形成学科育人的意识，初步掌握学科育人的方法。</w:t>
            </w:r>
          </w:p>
        </w:tc>
      </w:tr>
      <w:tr w14:paraId="3BC9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0C1629E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说课实训</w:t>
            </w:r>
          </w:p>
        </w:tc>
        <w:tc>
          <w:tcPr>
            <w:tcW w:w="1704" w:type="dxa"/>
            <w:vAlign w:val="center"/>
          </w:tcPr>
          <w:p w14:paraId="5D9B05D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依据说课稿进行说课训练</w:t>
            </w:r>
          </w:p>
        </w:tc>
        <w:tc>
          <w:tcPr>
            <w:tcW w:w="1135" w:type="dxa"/>
            <w:vAlign w:val="center"/>
          </w:tcPr>
          <w:p w14:paraId="58F691B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02EF183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提交不少于</w:t>
            </w:r>
            <w:r>
              <w:rPr>
                <w:rFonts w:ascii="宋体" w:hAnsi="宋体" w:eastAsia="宋体" w:cs="Times New Roman"/>
                <w:color w:val="000000"/>
                <w:szCs w:val="21"/>
              </w:rPr>
              <w:t>2个说课视频。</w:t>
            </w:r>
          </w:p>
        </w:tc>
        <w:tc>
          <w:tcPr>
            <w:tcW w:w="1563" w:type="dxa"/>
            <w:vAlign w:val="center"/>
          </w:tcPr>
          <w:p w14:paraId="1A757BD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1.集中训练</w:t>
            </w:r>
          </w:p>
          <w:p w14:paraId="09700E6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2.交流研讨</w:t>
            </w:r>
          </w:p>
          <w:p w14:paraId="5E186E7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7F82D344">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天</w:t>
            </w:r>
          </w:p>
        </w:tc>
      </w:tr>
      <w:tr w14:paraId="6D46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56C274F7">
            <w:pPr>
              <w:spacing w:line="264" w:lineRule="auto"/>
              <w:jc w:val="center"/>
              <w:rPr>
                <w:rFonts w:ascii="宋体" w:hAnsi="宋体" w:eastAsia="宋体" w:cs="Times New Roman"/>
                <w:color w:val="000000"/>
                <w:szCs w:val="21"/>
              </w:rPr>
            </w:pPr>
          </w:p>
        </w:tc>
        <w:tc>
          <w:tcPr>
            <w:tcW w:w="8110" w:type="dxa"/>
            <w:gridSpan w:val="5"/>
            <w:vAlign w:val="center"/>
          </w:tcPr>
          <w:p w14:paraId="36742C2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养成虚心、严谨的学习态度，增强团队合作意识，形成学科育人的意识，初步掌握学科育人的方法。</w:t>
            </w:r>
          </w:p>
        </w:tc>
      </w:tr>
      <w:tr w14:paraId="2FA1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17618BF0">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等线" w:hAnsi="等线" w:eastAsia="等线" w:cs="Times New Roman"/>
                <w:szCs w:val="22"/>
              </w:rPr>
              <w:t xml:space="preserve"> 课堂教学实训</w:t>
            </w:r>
          </w:p>
        </w:tc>
        <w:tc>
          <w:tcPr>
            <w:tcW w:w="1704" w:type="dxa"/>
            <w:vAlign w:val="center"/>
          </w:tcPr>
          <w:p w14:paraId="3AC10C1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依据教学设计进行课堂教学（模拟教学）训练</w:t>
            </w:r>
          </w:p>
        </w:tc>
        <w:tc>
          <w:tcPr>
            <w:tcW w:w="1135" w:type="dxa"/>
            <w:vAlign w:val="center"/>
          </w:tcPr>
          <w:p w14:paraId="7A58F2A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r>
              <w:rPr>
                <w:rFonts w:hint="eastAsia" w:ascii="宋体" w:hAnsi="宋体" w:eastAsia="宋体" w:cs="Times New Roman"/>
                <w:color w:val="000000"/>
                <w:szCs w:val="21"/>
              </w:rPr>
              <w:t>、2、3</w:t>
            </w:r>
          </w:p>
        </w:tc>
        <w:tc>
          <w:tcPr>
            <w:tcW w:w="3266" w:type="dxa"/>
            <w:vAlign w:val="center"/>
          </w:tcPr>
          <w:p w14:paraId="7DB3D39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提交不少于</w:t>
            </w:r>
            <w:r>
              <w:rPr>
                <w:rFonts w:ascii="宋体" w:hAnsi="宋体" w:eastAsia="宋体" w:cs="Times New Roman"/>
                <w:color w:val="000000"/>
                <w:szCs w:val="21"/>
              </w:rPr>
              <w:t>5个课堂教学（模拟教学）视频。</w:t>
            </w:r>
          </w:p>
        </w:tc>
        <w:tc>
          <w:tcPr>
            <w:tcW w:w="1563" w:type="dxa"/>
            <w:vAlign w:val="center"/>
          </w:tcPr>
          <w:p w14:paraId="5B66BD5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1.集中训练</w:t>
            </w:r>
          </w:p>
          <w:p w14:paraId="04A5E28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2.交流研讨</w:t>
            </w:r>
          </w:p>
          <w:p w14:paraId="72045BD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0D08EF68">
            <w:pPr>
              <w:spacing w:line="269" w:lineRule="auto"/>
              <w:jc w:val="center"/>
              <w:rPr>
                <w:rFonts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1"/>
              </w:rPr>
              <w:t>天</w:t>
            </w:r>
          </w:p>
        </w:tc>
      </w:tr>
      <w:tr w14:paraId="3E5B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0371ACE8">
            <w:pPr>
              <w:spacing w:line="264" w:lineRule="auto"/>
              <w:jc w:val="center"/>
              <w:rPr>
                <w:rFonts w:ascii="宋体" w:hAnsi="宋体" w:eastAsia="宋体" w:cs="Times New Roman"/>
                <w:color w:val="000000"/>
                <w:szCs w:val="21"/>
              </w:rPr>
            </w:pPr>
          </w:p>
        </w:tc>
        <w:tc>
          <w:tcPr>
            <w:tcW w:w="8110" w:type="dxa"/>
            <w:gridSpan w:val="5"/>
            <w:vAlign w:val="center"/>
          </w:tcPr>
          <w:p w14:paraId="2BA0C0F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养成虚心、严谨的学习态度，增强团队合作意识，形成学科育人的意识，初步掌握学科育人的方法。</w:t>
            </w:r>
          </w:p>
        </w:tc>
      </w:tr>
      <w:tr w14:paraId="1843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2A8277F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等线" w:hAnsi="等线" w:eastAsia="等线" w:cs="Times New Roman"/>
                <w:szCs w:val="22"/>
              </w:rPr>
              <w:t xml:space="preserve"> </w:t>
            </w:r>
            <w:r>
              <w:rPr>
                <w:rFonts w:hint="eastAsia" w:ascii="宋体" w:hAnsi="宋体" w:eastAsia="宋体" w:cs="Times New Roman"/>
                <w:color w:val="000000"/>
                <w:szCs w:val="21"/>
              </w:rPr>
              <w:t>教学实训成果汇报</w:t>
            </w:r>
          </w:p>
        </w:tc>
        <w:tc>
          <w:tcPr>
            <w:tcW w:w="1704" w:type="dxa"/>
            <w:vAlign w:val="center"/>
          </w:tcPr>
          <w:p w14:paraId="50B14C1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开展教学实训成果汇报；总结交流教学实训情况</w:t>
            </w:r>
          </w:p>
        </w:tc>
        <w:tc>
          <w:tcPr>
            <w:tcW w:w="1135" w:type="dxa"/>
            <w:vAlign w:val="center"/>
          </w:tcPr>
          <w:p w14:paraId="4DBE1C1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6" w:type="dxa"/>
            <w:vAlign w:val="center"/>
          </w:tcPr>
          <w:p w14:paraId="22A8B38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完成教学实训汇报，提交</w:t>
            </w:r>
            <w:r>
              <w:rPr>
                <w:rFonts w:ascii="宋体" w:hAnsi="宋体" w:eastAsia="宋体" w:cs="Times New Roman"/>
                <w:color w:val="000000"/>
                <w:szCs w:val="21"/>
              </w:rPr>
              <w:t>1份教学实训总结</w:t>
            </w:r>
          </w:p>
        </w:tc>
        <w:tc>
          <w:tcPr>
            <w:tcW w:w="1563" w:type="dxa"/>
            <w:vAlign w:val="center"/>
          </w:tcPr>
          <w:p w14:paraId="241DB1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1.成果汇报</w:t>
            </w:r>
          </w:p>
          <w:p w14:paraId="2A0367F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2.交流研讨</w:t>
            </w:r>
          </w:p>
          <w:p w14:paraId="7D09DD6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.自主学习</w:t>
            </w:r>
          </w:p>
        </w:tc>
        <w:tc>
          <w:tcPr>
            <w:tcW w:w="442" w:type="dxa"/>
            <w:vAlign w:val="center"/>
          </w:tcPr>
          <w:p w14:paraId="23F8AF5C">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天</w:t>
            </w:r>
          </w:p>
        </w:tc>
      </w:tr>
      <w:tr w14:paraId="7C87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250271C4">
            <w:pPr>
              <w:spacing w:line="276" w:lineRule="auto"/>
              <w:jc w:val="center"/>
              <w:rPr>
                <w:rFonts w:ascii="宋体" w:hAnsi="宋体" w:eastAsia="宋体" w:cs="Times New Roman"/>
                <w:color w:val="000000"/>
                <w:szCs w:val="21"/>
              </w:rPr>
            </w:pPr>
          </w:p>
        </w:tc>
        <w:tc>
          <w:tcPr>
            <w:tcW w:w="8110" w:type="dxa"/>
            <w:gridSpan w:val="5"/>
            <w:vAlign w:val="center"/>
          </w:tcPr>
          <w:p w14:paraId="0EBAC8CF">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课程思政目标：进一步</w:t>
            </w:r>
            <w:r>
              <w:rPr>
                <w:rFonts w:hint="eastAsia" w:ascii="宋体" w:hAnsi="宋体" w:eastAsia="宋体" w:cs="Times New Roman"/>
                <w:color w:val="000000"/>
                <w:szCs w:val="21"/>
              </w:rPr>
              <w:t>巩固专业思想，增强社会责任感和教育情怀，养成虚心、严谨的学习态度，增强团队合作意识。</w:t>
            </w:r>
          </w:p>
        </w:tc>
      </w:tr>
    </w:tbl>
    <w:p w14:paraId="262A08CC">
      <w:pPr>
        <w:spacing w:line="360" w:lineRule="auto"/>
        <w:jc w:val="left"/>
        <w:rPr>
          <w:rFonts w:ascii="Times New Roman" w:hAnsi="Times New Roman" w:eastAsia="宋体" w:cs="Times New Roman"/>
          <w:sz w:val="24"/>
          <w:szCs w:val="24"/>
        </w:rPr>
      </w:pPr>
    </w:p>
    <w:p w14:paraId="02D5EA40">
      <w:pPr>
        <w:spacing w:line="360" w:lineRule="auto"/>
        <w:jc w:val="left"/>
        <w:outlineLvl w:val="0"/>
        <w:rPr>
          <w:rFonts w:ascii="Times New Roman" w:hAnsi="Times New Roman" w:eastAsia="宋体" w:cs="Times New Roman"/>
          <w:sz w:val="24"/>
          <w:szCs w:val="24"/>
        </w:rPr>
      </w:pPr>
      <w:bookmarkStart w:id="3205" w:name="_Toc17486"/>
      <w:bookmarkStart w:id="3206" w:name="_Toc7867"/>
      <w:bookmarkStart w:id="3207" w:name="_Toc8154"/>
      <w:bookmarkStart w:id="3208" w:name="_Toc21227"/>
      <w:bookmarkStart w:id="3209" w:name="_Toc9395"/>
      <w:bookmarkStart w:id="3210" w:name="_Toc12220"/>
      <w:bookmarkStart w:id="3211" w:name="_Toc18340"/>
      <w:r>
        <w:rPr>
          <w:rFonts w:hint="eastAsia" w:ascii="宋体" w:hAnsi="宋体" w:eastAsia="宋体" w:cs="Times New Roman"/>
          <w:b/>
          <w:color w:val="000000"/>
          <w:sz w:val="24"/>
          <w:szCs w:val="24"/>
        </w:rPr>
        <w:t>四、目标评价与成绩评定</w:t>
      </w:r>
      <w:bookmarkEnd w:id="3205"/>
      <w:bookmarkEnd w:id="3206"/>
      <w:bookmarkEnd w:id="3207"/>
      <w:bookmarkEnd w:id="3208"/>
      <w:bookmarkEnd w:id="3209"/>
      <w:bookmarkEnd w:id="3210"/>
      <w:bookmarkEnd w:id="3211"/>
    </w:p>
    <w:p w14:paraId="344E2D92">
      <w:pPr>
        <w:spacing w:line="360" w:lineRule="auto"/>
        <w:jc w:val="left"/>
        <w:outlineLvl w:val="1"/>
        <w:rPr>
          <w:rFonts w:ascii="Times New Roman" w:hAnsi="Times New Roman" w:eastAsia="宋体" w:cs="Times New Roman"/>
          <w:b/>
          <w:szCs w:val="21"/>
        </w:rPr>
      </w:pPr>
      <w:bookmarkStart w:id="3212" w:name="_Toc6932"/>
      <w:r>
        <w:rPr>
          <w:rFonts w:hint="eastAsia" w:ascii="Times New Roman" w:hAnsi="Times New Roman" w:eastAsia="宋体" w:cs="Times New Roman"/>
          <w:b/>
          <w:szCs w:val="21"/>
        </w:rPr>
        <w:t>（一）课程目标评价方式</w:t>
      </w:r>
      <w:bookmarkEnd w:id="3212"/>
    </w:p>
    <w:p w14:paraId="2B7A47B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3E1994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47"/>
        <w:gridCol w:w="29"/>
        <w:gridCol w:w="1218"/>
        <w:gridCol w:w="1248"/>
        <w:gridCol w:w="1247"/>
        <w:gridCol w:w="1248"/>
        <w:gridCol w:w="788"/>
      </w:tblGrid>
      <w:tr w14:paraId="7FAF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Merge w:val="restart"/>
            <w:vAlign w:val="center"/>
          </w:tcPr>
          <w:p w14:paraId="022A4916">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1276" w:type="dxa"/>
            <w:gridSpan w:val="2"/>
          </w:tcPr>
          <w:p w14:paraId="478B7C2B">
            <w:pPr>
              <w:spacing w:line="360" w:lineRule="auto"/>
              <w:jc w:val="center"/>
              <w:rPr>
                <w:rFonts w:hint="eastAsia" w:ascii="宋体" w:hAnsi="宋体" w:eastAsia="宋体" w:cs="Times New Roman"/>
                <w:szCs w:val="21"/>
              </w:rPr>
            </w:pPr>
          </w:p>
        </w:tc>
        <w:tc>
          <w:tcPr>
            <w:tcW w:w="4961" w:type="dxa"/>
            <w:gridSpan w:val="4"/>
            <w:vAlign w:val="center"/>
          </w:tcPr>
          <w:p w14:paraId="41782B14">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788" w:type="dxa"/>
            <w:vMerge w:val="restart"/>
            <w:vAlign w:val="center"/>
          </w:tcPr>
          <w:p w14:paraId="444649F8">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1961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71" w:type="dxa"/>
            <w:vMerge w:val="continue"/>
            <w:vAlign w:val="center"/>
          </w:tcPr>
          <w:p w14:paraId="1F5C4C44">
            <w:pPr>
              <w:spacing w:line="360" w:lineRule="auto"/>
              <w:jc w:val="center"/>
              <w:rPr>
                <w:rFonts w:ascii="宋体" w:hAnsi="宋体" w:eastAsia="宋体" w:cs="Times New Roman"/>
                <w:szCs w:val="21"/>
              </w:rPr>
            </w:pPr>
          </w:p>
        </w:tc>
        <w:tc>
          <w:tcPr>
            <w:tcW w:w="1247" w:type="dxa"/>
            <w:vAlign w:val="center"/>
          </w:tcPr>
          <w:p w14:paraId="573F7EB4">
            <w:pPr>
              <w:spacing w:line="360" w:lineRule="auto"/>
              <w:jc w:val="center"/>
              <w:rPr>
                <w:rFonts w:ascii="宋体" w:hAnsi="宋体" w:eastAsia="宋体" w:cs="Times New Roman"/>
                <w:szCs w:val="21"/>
              </w:rPr>
            </w:pPr>
            <w:r>
              <w:rPr>
                <w:rFonts w:hint="eastAsia" w:ascii="宋体" w:hAnsi="宋体" w:eastAsia="宋体" w:cs="Times New Roman"/>
                <w:szCs w:val="21"/>
              </w:rPr>
              <w:t>教学实训</w:t>
            </w:r>
          </w:p>
          <w:p w14:paraId="594FFB82">
            <w:pPr>
              <w:spacing w:line="360" w:lineRule="auto"/>
              <w:jc w:val="center"/>
              <w:rPr>
                <w:rFonts w:ascii="宋体" w:hAnsi="宋体" w:eastAsia="宋体" w:cs="Times New Roman"/>
                <w:szCs w:val="21"/>
              </w:rPr>
            </w:pPr>
            <w:r>
              <w:rPr>
                <w:rFonts w:hint="eastAsia" w:ascii="宋体" w:hAnsi="宋体" w:eastAsia="宋体" w:cs="Times New Roman"/>
                <w:szCs w:val="21"/>
              </w:rPr>
              <w:t>态度</w:t>
            </w:r>
          </w:p>
        </w:tc>
        <w:tc>
          <w:tcPr>
            <w:tcW w:w="1247" w:type="dxa"/>
            <w:gridSpan w:val="2"/>
            <w:vAlign w:val="center"/>
          </w:tcPr>
          <w:p w14:paraId="12E810EA">
            <w:pPr>
              <w:spacing w:line="360" w:lineRule="auto"/>
              <w:jc w:val="center"/>
              <w:rPr>
                <w:rFonts w:ascii="宋体" w:hAnsi="宋体" w:eastAsia="宋体" w:cs="Times New Roman"/>
                <w:szCs w:val="21"/>
              </w:rPr>
            </w:pPr>
            <w:r>
              <w:rPr>
                <w:rFonts w:hint="eastAsia" w:ascii="宋体" w:hAnsi="宋体" w:eastAsia="宋体" w:cs="Times New Roman"/>
                <w:szCs w:val="21"/>
              </w:rPr>
              <w:t>教学设计</w:t>
            </w:r>
          </w:p>
          <w:p w14:paraId="7E79947F">
            <w:pPr>
              <w:spacing w:line="360" w:lineRule="auto"/>
              <w:jc w:val="center"/>
              <w:rPr>
                <w:rFonts w:ascii="宋体" w:hAnsi="宋体" w:eastAsia="宋体" w:cs="Times New Roman"/>
                <w:szCs w:val="21"/>
              </w:rPr>
            </w:pPr>
            <w:r>
              <w:rPr>
                <w:rFonts w:hint="eastAsia" w:ascii="宋体" w:hAnsi="宋体" w:eastAsia="宋体" w:cs="Times New Roman"/>
                <w:szCs w:val="21"/>
              </w:rPr>
              <w:t>实训</w:t>
            </w:r>
          </w:p>
        </w:tc>
        <w:tc>
          <w:tcPr>
            <w:tcW w:w="1248" w:type="dxa"/>
            <w:vAlign w:val="center"/>
          </w:tcPr>
          <w:p w14:paraId="7E5E1CC7">
            <w:pPr>
              <w:spacing w:line="360" w:lineRule="auto"/>
              <w:jc w:val="center"/>
              <w:rPr>
                <w:rFonts w:ascii="宋体" w:hAnsi="宋体" w:eastAsia="宋体" w:cs="Times New Roman"/>
                <w:szCs w:val="21"/>
              </w:rPr>
            </w:pPr>
            <w:r>
              <w:rPr>
                <w:rFonts w:hint="eastAsia" w:ascii="宋体" w:hAnsi="宋体" w:eastAsia="宋体" w:cs="Times New Roman"/>
                <w:szCs w:val="21"/>
              </w:rPr>
              <w:t>说课实训</w:t>
            </w:r>
          </w:p>
        </w:tc>
        <w:tc>
          <w:tcPr>
            <w:tcW w:w="1247" w:type="dxa"/>
            <w:vAlign w:val="center"/>
          </w:tcPr>
          <w:p w14:paraId="4A8CF1B4">
            <w:pPr>
              <w:spacing w:line="360" w:lineRule="auto"/>
              <w:jc w:val="center"/>
              <w:rPr>
                <w:rFonts w:ascii="宋体" w:hAnsi="宋体" w:eastAsia="宋体" w:cs="Times New Roman"/>
                <w:szCs w:val="21"/>
              </w:rPr>
            </w:pPr>
            <w:r>
              <w:rPr>
                <w:rFonts w:hint="eastAsia" w:ascii="宋体" w:hAnsi="宋体" w:eastAsia="宋体" w:cs="Times New Roman"/>
                <w:szCs w:val="21"/>
              </w:rPr>
              <w:t>课堂教学</w:t>
            </w:r>
          </w:p>
          <w:p w14:paraId="75104F65">
            <w:pPr>
              <w:spacing w:line="360" w:lineRule="auto"/>
              <w:jc w:val="center"/>
              <w:rPr>
                <w:rFonts w:hint="eastAsia" w:ascii="宋体" w:hAnsi="宋体" w:eastAsia="宋体" w:cs="Times New Roman"/>
                <w:szCs w:val="21"/>
              </w:rPr>
            </w:pPr>
            <w:r>
              <w:rPr>
                <w:rFonts w:hint="eastAsia" w:ascii="宋体" w:hAnsi="宋体" w:eastAsia="宋体" w:cs="Times New Roman"/>
                <w:szCs w:val="21"/>
              </w:rPr>
              <w:t>实训</w:t>
            </w:r>
          </w:p>
        </w:tc>
        <w:tc>
          <w:tcPr>
            <w:tcW w:w="1248" w:type="dxa"/>
            <w:vAlign w:val="center"/>
          </w:tcPr>
          <w:p w14:paraId="05149FD0">
            <w:pPr>
              <w:spacing w:line="360" w:lineRule="auto"/>
              <w:jc w:val="center"/>
              <w:rPr>
                <w:rFonts w:ascii="宋体" w:hAnsi="宋体" w:eastAsia="宋体" w:cs="Times New Roman"/>
                <w:szCs w:val="21"/>
              </w:rPr>
            </w:pPr>
            <w:r>
              <w:rPr>
                <w:rFonts w:hint="eastAsia" w:ascii="宋体" w:hAnsi="宋体" w:eastAsia="宋体" w:cs="Times New Roman"/>
                <w:szCs w:val="21"/>
              </w:rPr>
              <w:t>教学实训</w:t>
            </w:r>
          </w:p>
          <w:p w14:paraId="2D36E529">
            <w:pPr>
              <w:spacing w:line="360" w:lineRule="auto"/>
              <w:jc w:val="center"/>
              <w:rPr>
                <w:rFonts w:ascii="宋体" w:hAnsi="宋体" w:eastAsia="宋体" w:cs="Times New Roman"/>
                <w:szCs w:val="21"/>
              </w:rPr>
            </w:pPr>
            <w:r>
              <w:rPr>
                <w:rFonts w:hint="eastAsia" w:ascii="宋体" w:hAnsi="宋体" w:eastAsia="宋体" w:cs="Times New Roman"/>
                <w:szCs w:val="21"/>
              </w:rPr>
              <w:t>成果汇报</w:t>
            </w:r>
          </w:p>
        </w:tc>
        <w:tc>
          <w:tcPr>
            <w:tcW w:w="788" w:type="dxa"/>
            <w:vMerge w:val="continue"/>
            <w:vAlign w:val="center"/>
          </w:tcPr>
          <w:p w14:paraId="5B1E6FF5">
            <w:pPr>
              <w:spacing w:line="360" w:lineRule="auto"/>
              <w:jc w:val="center"/>
              <w:rPr>
                <w:rFonts w:ascii="宋体" w:hAnsi="宋体" w:eastAsia="宋体" w:cs="Times New Roman"/>
                <w:szCs w:val="21"/>
              </w:rPr>
            </w:pPr>
          </w:p>
        </w:tc>
      </w:tr>
      <w:tr w14:paraId="25EE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330D7E05">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247" w:type="dxa"/>
            <w:vAlign w:val="center"/>
          </w:tcPr>
          <w:p w14:paraId="56DC443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7" w:type="dxa"/>
            <w:gridSpan w:val="2"/>
            <w:vAlign w:val="center"/>
          </w:tcPr>
          <w:p w14:paraId="6840EC8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285F2D8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7" w:type="dxa"/>
            <w:vAlign w:val="center"/>
          </w:tcPr>
          <w:p w14:paraId="18F6C35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2250367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88" w:type="dxa"/>
            <w:vAlign w:val="center"/>
          </w:tcPr>
          <w:p w14:paraId="0C40642A">
            <w:pPr>
              <w:spacing w:line="360" w:lineRule="auto"/>
              <w:jc w:val="center"/>
              <w:rPr>
                <w:rFonts w:ascii="宋体" w:hAnsi="宋体" w:eastAsia="宋体" w:cs="Times New Roman"/>
                <w:szCs w:val="21"/>
              </w:rPr>
            </w:pPr>
            <w:r>
              <w:rPr>
                <w:rFonts w:ascii="宋体" w:hAnsi="宋体" w:eastAsia="宋体" w:cs="Times New Roman"/>
                <w:szCs w:val="21"/>
              </w:rPr>
              <w:t>40</w:t>
            </w:r>
          </w:p>
        </w:tc>
      </w:tr>
      <w:tr w14:paraId="47DB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142DC6C3">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247" w:type="dxa"/>
            <w:vAlign w:val="center"/>
          </w:tcPr>
          <w:p w14:paraId="1E9D175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7" w:type="dxa"/>
            <w:gridSpan w:val="2"/>
            <w:vAlign w:val="center"/>
          </w:tcPr>
          <w:p w14:paraId="5D7D50C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174336C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7" w:type="dxa"/>
            <w:vAlign w:val="center"/>
          </w:tcPr>
          <w:p w14:paraId="25D7605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2BFA9DF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88" w:type="dxa"/>
            <w:vAlign w:val="center"/>
          </w:tcPr>
          <w:p w14:paraId="4C7B35E7">
            <w:pPr>
              <w:spacing w:line="360" w:lineRule="auto"/>
              <w:jc w:val="center"/>
              <w:rPr>
                <w:rFonts w:ascii="宋体" w:hAnsi="宋体" w:eastAsia="宋体" w:cs="Times New Roman"/>
                <w:szCs w:val="21"/>
              </w:rPr>
            </w:pPr>
            <w:r>
              <w:rPr>
                <w:rFonts w:ascii="宋体" w:hAnsi="宋体" w:eastAsia="宋体" w:cs="Times New Roman"/>
                <w:szCs w:val="21"/>
              </w:rPr>
              <w:t>40</w:t>
            </w:r>
          </w:p>
        </w:tc>
      </w:tr>
      <w:tr w14:paraId="7000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E58A57C">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247" w:type="dxa"/>
            <w:vAlign w:val="center"/>
          </w:tcPr>
          <w:p w14:paraId="01BBCD1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7" w:type="dxa"/>
            <w:gridSpan w:val="2"/>
            <w:vAlign w:val="center"/>
          </w:tcPr>
          <w:p w14:paraId="13294CF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5CBBCB8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7" w:type="dxa"/>
            <w:vAlign w:val="center"/>
          </w:tcPr>
          <w:p w14:paraId="3A49AD4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411FB6F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788" w:type="dxa"/>
            <w:vAlign w:val="center"/>
          </w:tcPr>
          <w:p w14:paraId="046DD3E3">
            <w:pPr>
              <w:spacing w:line="360" w:lineRule="auto"/>
              <w:jc w:val="center"/>
              <w:rPr>
                <w:rFonts w:ascii="宋体" w:hAnsi="宋体" w:eastAsia="宋体" w:cs="Times New Roman"/>
                <w:szCs w:val="21"/>
              </w:rPr>
            </w:pPr>
            <w:r>
              <w:rPr>
                <w:rFonts w:ascii="宋体" w:hAnsi="宋体" w:eastAsia="宋体" w:cs="Times New Roman"/>
                <w:szCs w:val="21"/>
              </w:rPr>
              <w:t>20</w:t>
            </w:r>
          </w:p>
        </w:tc>
      </w:tr>
      <w:tr w14:paraId="0F71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4FC6C72A">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247" w:type="dxa"/>
            <w:vAlign w:val="center"/>
          </w:tcPr>
          <w:p w14:paraId="5001077B">
            <w:pPr>
              <w:spacing w:line="360" w:lineRule="auto"/>
              <w:jc w:val="center"/>
              <w:rPr>
                <w:rFonts w:ascii="宋体" w:hAnsi="宋体" w:eastAsia="宋体" w:cs="Times New Roman"/>
                <w:szCs w:val="21"/>
              </w:rPr>
            </w:pPr>
            <w:r>
              <w:rPr>
                <w:rFonts w:ascii="宋体" w:hAnsi="宋体" w:eastAsia="宋体" w:cs="Times New Roman"/>
                <w:szCs w:val="21"/>
              </w:rPr>
              <w:t>10</w:t>
            </w:r>
          </w:p>
        </w:tc>
        <w:tc>
          <w:tcPr>
            <w:tcW w:w="1247" w:type="dxa"/>
            <w:gridSpan w:val="2"/>
            <w:vAlign w:val="center"/>
          </w:tcPr>
          <w:p w14:paraId="7C84E60E">
            <w:pPr>
              <w:spacing w:line="360" w:lineRule="auto"/>
              <w:jc w:val="center"/>
              <w:rPr>
                <w:rFonts w:ascii="宋体" w:hAnsi="宋体" w:eastAsia="宋体" w:cs="Times New Roman"/>
                <w:szCs w:val="21"/>
              </w:rPr>
            </w:pPr>
            <w:r>
              <w:rPr>
                <w:rFonts w:ascii="宋体" w:hAnsi="宋体" w:eastAsia="宋体" w:cs="Times New Roman"/>
                <w:szCs w:val="21"/>
              </w:rPr>
              <w:t>20</w:t>
            </w:r>
          </w:p>
        </w:tc>
        <w:tc>
          <w:tcPr>
            <w:tcW w:w="1248" w:type="dxa"/>
            <w:vAlign w:val="center"/>
          </w:tcPr>
          <w:p w14:paraId="6FD697A6">
            <w:pPr>
              <w:spacing w:line="360" w:lineRule="auto"/>
              <w:jc w:val="cente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1247" w:type="dxa"/>
            <w:vAlign w:val="center"/>
          </w:tcPr>
          <w:p w14:paraId="5074BF12">
            <w:pPr>
              <w:spacing w:line="360"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0</w:t>
            </w:r>
          </w:p>
        </w:tc>
        <w:tc>
          <w:tcPr>
            <w:tcW w:w="1248" w:type="dxa"/>
            <w:vAlign w:val="center"/>
          </w:tcPr>
          <w:p w14:paraId="1215694E">
            <w:pPr>
              <w:spacing w:line="360" w:lineRule="auto"/>
              <w:jc w:val="center"/>
              <w:rPr>
                <w:rFonts w:ascii="宋体" w:hAnsi="宋体" w:eastAsia="宋体" w:cs="Times New Roman"/>
                <w:szCs w:val="21"/>
              </w:rPr>
            </w:pPr>
            <w:r>
              <w:rPr>
                <w:rFonts w:ascii="宋体" w:hAnsi="宋体" w:eastAsia="宋体" w:cs="Times New Roman"/>
                <w:szCs w:val="21"/>
              </w:rPr>
              <w:t>10</w:t>
            </w:r>
          </w:p>
        </w:tc>
        <w:tc>
          <w:tcPr>
            <w:tcW w:w="788" w:type="dxa"/>
            <w:vAlign w:val="center"/>
          </w:tcPr>
          <w:p w14:paraId="0D199970">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35E94BD3">
      <w:pPr>
        <w:spacing w:before="156" w:beforeLines="50" w:line="360" w:lineRule="auto"/>
        <w:jc w:val="left"/>
        <w:outlineLvl w:val="1"/>
        <w:rPr>
          <w:rFonts w:ascii="Times New Roman" w:hAnsi="Times New Roman" w:eastAsia="宋体" w:cs="Times New Roman"/>
          <w:b/>
          <w:szCs w:val="21"/>
        </w:rPr>
      </w:pPr>
      <w:bookmarkStart w:id="3213" w:name="_Toc2341"/>
      <w:r>
        <w:rPr>
          <w:rFonts w:hint="eastAsia" w:ascii="Times New Roman" w:hAnsi="Times New Roman" w:eastAsia="宋体" w:cs="Times New Roman"/>
          <w:b/>
          <w:szCs w:val="21"/>
        </w:rPr>
        <w:t>（二）成绩评定细则</w:t>
      </w:r>
      <w:bookmarkEnd w:id="3213"/>
    </w:p>
    <w:p w14:paraId="1ACE67D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3C9B4E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3636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0D67D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3125147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BB81D1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593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15CDC5F9">
            <w:pPr>
              <w:snapToGrid w:val="0"/>
              <w:spacing w:line="276" w:lineRule="auto"/>
              <w:rPr>
                <w:rFonts w:ascii="宋体" w:hAnsi="宋体" w:eastAsia="宋体" w:cs="Times New Roman"/>
                <w:szCs w:val="21"/>
              </w:rPr>
            </w:pPr>
            <w:r>
              <w:rPr>
                <w:rFonts w:hint="eastAsia" w:ascii="宋体" w:hAnsi="宋体" w:eastAsia="宋体" w:cs="Times New Roman"/>
                <w:szCs w:val="21"/>
              </w:rPr>
              <w:t>教学实训态度</w:t>
            </w:r>
          </w:p>
        </w:tc>
        <w:tc>
          <w:tcPr>
            <w:tcW w:w="6924" w:type="dxa"/>
            <w:tcBorders>
              <w:top w:val="single" w:color="auto" w:sz="4" w:space="0"/>
              <w:left w:val="single" w:color="auto" w:sz="4" w:space="0"/>
              <w:bottom w:val="single" w:color="auto" w:sz="4" w:space="0"/>
              <w:right w:val="single" w:color="auto" w:sz="4" w:space="0"/>
            </w:tcBorders>
            <w:vAlign w:val="center"/>
          </w:tcPr>
          <w:p w14:paraId="72728741">
            <w:pPr>
              <w:snapToGrid w:val="0"/>
              <w:spacing w:line="276" w:lineRule="auto"/>
              <w:rPr>
                <w:rFonts w:ascii="宋体" w:hAnsi="宋体" w:eastAsia="宋体" w:cs="Times New Roman"/>
                <w:szCs w:val="21"/>
              </w:rPr>
            </w:pPr>
            <w:r>
              <w:rPr>
                <w:rFonts w:hint="eastAsia" w:ascii="宋体" w:hAnsi="宋体" w:eastAsia="宋体" w:cs="Times New Roman"/>
                <w:szCs w:val="21"/>
              </w:rPr>
              <w:t>根据学生出勤情况及实训</w:t>
            </w:r>
            <w:r>
              <w:rPr>
                <w:rFonts w:ascii="宋体" w:hAnsi="宋体" w:eastAsia="宋体" w:cs="Times New Roman"/>
                <w:szCs w:val="21"/>
              </w:rPr>
              <w:t>态度，</w:t>
            </w:r>
            <w:r>
              <w:rPr>
                <w:rFonts w:hint="eastAsia" w:ascii="宋体" w:hAnsi="宋体" w:eastAsia="宋体" w:cs="Times New Roman"/>
                <w:szCs w:val="21"/>
              </w:rPr>
              <w:t>遵守学校教学常规制度，教学实训手册填写等进行评分。采取学生自主和教师评价相结合的方式。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7EE91A26">
            <w:pPr>
              <w:snapToGrid w:val="0"/>
              <w:spacing w:line="276" w:lineRule="auto"/>
              <w:rPr>
                <w:rFonts w:ascii="宋体" w:hAnsi="宋体" w:eastAsia="宋体" w:cs="Times New Roman"/>
                <w:szCs w:val="21"/>
              </w:rPr>
            </w:pPr>
            <w:r>
              <w:rPr>
                <w:rFonts w:ascii="宋体" w:hAnsi="宋体" w:eastAsia="宋体" w:cs="Times New Roman"/>
                <w:szCs w:val="21"/>
              </w:rPr>
              <w:t>10%</w:t>
            </w:r>
          </w:p>
        </w:tc>
      </w:tr>
      <w:tr w14:paraId="55C7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4C3C693A">
            <w:pPr>
              <w:snapToGrid w:val="0"/>
              <w:spacing w:line="276" w:lineRule="auto"/>
              <w:rPr>
                <w:rFonts w:ascii="宋体" w:hAnsi="宋体" w:eastAsia="宋体" w:cs="Times New Roman"/>
                <w:szCs w:val="21"/>
              </w:rPr>
            </w:pPr>
            <w:r>
              <w:rPr>
                <w:rFonts w:hint="eastAsia" w:ascii="宋体" w:hAnsi="宋体" w:eastAsia="宋体" w:cs="Times New Roman"/>
                <w:szCs w:val="21"/>
              </w:rPr>
              <w:t>教学设计实训</w:t>
            </w:r>
          </w:p>
        </w:tc>
        <w:tc>
          <w:tcPr>
            <w:tcW w:w="6924" w:type="dxa"/>
            <w:tcBorders>
              <w:top w:val="single" w:color="auto" w:sz="4" w:space="0"/>
              <w:left w:val="single" w:color="auto" w:sz="4" w:space="0"/>
              <w:bottom w:val="single" w:color="auto" w:sz="4" w:space="0"/>
              <w:right w:val="single" w:color="auto" w:sz="4" w:space="0"/>
            </w:tcBorders>
            <w:vAlign w:val="center"/>
          </w:tcPr>
          <w:p w14:paraId="72E28D0A">
            <w:pPr>
              <w:snapToGrid w:val="0"/>
              <w:spacing w:line="276" w:lineRule="auto"/>
              <w:rPr>
                <w:rFonts w:ascii="宋体" w:hAnsi="宋体" w:eastAsia="宋体" w:cs="Times New Roman"/>
                <w:szCs w:val="21"/>
              </w:rPr>
            </w:pPr>
            <w:r>
              <w:rPr>
                <w:rFonts w:hint="eastAsia" w:ascii="宋体" w:hAnsi="宋体" w:eastAsia="宋体" w:cs="Times New Roman"/>
                <w:szCs w:val="21"/>
              </w:rPr>
              <w:t>根据教学方案、说课稿撰写情况进行评分。采取学生自主和教师评价相结合的方式。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7C98588E">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7DF0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77CE0E5E">
            <w:pPr>
              <w:snapToGrid w:val="0"/>
              <w:spacing w:line="276" w:lineRule="auto"/>
              <w:rPr>
                <w:rFonts w:ascii="宋体" w:hAnsi="宋体" w:eastAsia="宋体" w:cs="Times New Roman"/>
                <w:szCs w:val="21"/>
              </w:rPr>
            </w:pPr>
            <w:r>
              <w:rPr>
                <w:rFonts w:hint="eastAsia" w:ascii="宋体" w:hAnsi="宋体" w:eastAsia="宋体" w:cs="Times New Roman"/>
                <w:szCs w:val="21"/>
              </w:rPr>
              <w:t>说课实训</w:t>
            </w:r>
          </w:p>
        </w:tc>
        <w:tc>
          <w:tcPr>
            <w:tcW w:w="6924" w:type="dxa"/>
            <w:tcBorders>
              <w:top w:val="single" w:color="auto" w:sz="4" w:space="0"/>
              <w:left w:val="single" w:color="auto" w:sz="4" w:space="0"/>
              <w:bottom w:val="single" w:color="auto" w:sz="4" w:space="0"/>
              <w:right w:val="single" w:color="auto" w:sz="4" w:space="0"/>
            </w:tcBorders>
            <w:vAlign w:val="center"/>
          </w:tcPr>
          <w:p w14:paraId="3C9A0604">
            <w:pPr>
              <w:snapToGrid w:val="0"/>
              <w:spacing w:line="276" w:lineRule="auto"/>
              <w:rPr>
                <w:rFonts w:ascii="宋体" w:hAnsi="宋体" w:eastAsia="宋体" w:cs="Times New Roman"/>
                <w:szCs w:val="21"/>
              </w:rPr>
            </w:pPr>
            <w:r>
              <w:rPr>
                <w:rFonts w:hint="eastAsia" w:ascii="宋体" w:hAnsi="宋体" w:eastAsia="宋体" w:cs="Times New Roman"/>
                <w:szCs w:val="21"/>
              </w:rPr>
              <w:t>根据说课实际情况进行评分。采取学生自主和教师评价相结合的方式。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2376181D">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6DA4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6400A8EC">
            <w:pPr>
              <w:snapToGrid w:val="0"/>
              <w:spacing w:line="276" w:lineRule="auto"/>
              <w:rPr>
                <w:rFonts w:ascii="宋体" w:hAnsi="宋体" w:eastAsia="宋体" w:cs="Times New Roman"/>
                <w:szCs w:val="21"/>
              </w:rPr>
            </w:pPr>
            <w:r>
              <w:rPr>
                <w:rFonts w:hint="eastAsia" w:ascii="宋体" w:hAnsi="宋体" w:eastAsia="宋体" w:cs="Times New Roman"/>
                <w:szCs w:val="21"/>
              </w:rPr>
              <w:t>课堂教学实训</w:t>
            </w:r>
          </w:p>
        </w:tc>
        <w:tc>
          <w:tcPr>
            <w:tcW w:w="6924" w:type="dxa"/>
            <w:tcBorders>
              <w:top w:val="single" w:color="auto" w:sz="4" w:space="0"/>
              <w:left w:val="single" w:color="auto" w:sz="4" w:space="0"/>
              <w:bottom w:val="single" w:color="auto" w:sz="4" w:space="0"/>
              <w:right w:val="single" w:color="auto" w:sz="4" w:space="0"/>
            </w:tcBorders>
            <w:vAlign w:val="center"/>
          </w:tcPr>
          <w:p w14:paraId="6E52FEC0">
            <w:pPr>
              <w:snapToGrid w:val="0"/>
              <w:spacing w:line="276" w:lineRule="auto"/>
              <w:rPr>
                <w:rFonts w:ascii="宋体" w:hAnsi="宋体" w:eastAsia="宋体" w:cs="Times New Roman"/>
                <w:szCs w:val="21"/>
              </w:rPr>
            </w:pPr>
            <w:r>
              <w:rPr>
                <w:rFonts w:hint="eastAsia" w:ascii="宋体" w:hAnsi="宋体" w:eastAsia="宋体" w:cs="Times New Roman"/>
                <w:szCs w:val="21"/>
              </w:rPr>
              <w:t>根据课堂教学（模拟教学）实际情况进行评分。采取学生自主和教师评价相结合的方式。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28B53346">
            <w:pPr>
              <w:snapToGrid w:val="0"/>
              <w:spacing w:line="276" w:lineRule="auto"/>
              <w:rPr>
                <w:rFonts w:ascii="宋体" w:hAnsi="宋体" w:eastAsia="宋体" w:cs="Times New Roman"/>
                <w:szCs w:val="21"/>
              </w:rPr>
            </w:pPr>
            <w:r>
              <w:rPr>
                <w:rFonts w:ascii="宋体" w:hAnsi="宋体" w:eastAsia="宋体" w:cs="Times New Roman"/>
                <w:szCs w:val="21"/>
              </w:rPr>
              <w:t>40%</w:t>
            </w:r>
          </w:p>
        </w:tc>
      </w:tr>
      <w:tr w14:paraId="3160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14:paraId="0524CFA2">
            <w:pPr>
              <w:snapToGrid w:val="0"/>
              <w:spacing w:line="276" w:lineRule="auto"/>
              <w:rPr>
                <w:rFonts w:ascii="宋体" w:hAnsi="宋体" w:eastAsia="宋体" w:cs="Times New Roman"/>
                <w:szCs w:val="21"/>
              </w:rPr>
            </w:pPr>
            <w:r>
              <w:rPr>
                <w:rFonts w:hint="eastAsia" w:ascii="宋体" w:hAnsi="宋体" w:eastAsia="宋体" w:cs="Times New Roman"/>
                <w:szCs w:val="21"/>
              </w:rPr>
              <w:t>教学实训成果汇报</w:t>
            </w:r>
          </w:p>
        </w:tc>
        <w:tc>
          <w:tcPr>
            <w:tcW w:w="6924" w:type="dxa"/>
            <w:tcBorders>
              <w:top w:val="single" w:color="auto" w:sz="4" w:space="0"/>
              <w:left w:val="single" w:color="auto" w:sz="4" w:space="0"/>
              <w:bottom w:val="single" w:color="auto" w:sz="4" w:space="0"/>
              <w:right w:val="single" w:color="auto" w:sz="4" w:space="0"/>
            </w:tcBorders>
            <w:vAlign w:val="center"/>
          </w:tcPr>
          <w:p w14:paraId="63318D1F">
            <w:pPr>
              <w:snapToGrid w:val="0"/>
              <w:spacing w:line="276" w:lineRule="auto"/>
              <w:rPr>
                <w:rFonts w:ascii="宋体" w:hAnsi="宋体" w:eastAsia="宋体" w:cs="Times New Roman"/>
                <w:szCs w:val="21"/>
              </w:rPr>
            </w:pPr>
            <w:r>
              <w:rPr>
                <w:rFonts w:hint="eastAsia" w:ascii="宋体" w:hAnsi="宋体" w:eastAsia="宋体" w:cs="Times New Roman"/>
                <w:szCs w:val="21"/>
              </w:rPr>
              <w:t>根据学生的教学实训成果汇报情况进行评分。采取学生自主和教师评价相结合的方式。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7D70AF49">
            <w:pPr>
              <w:snapToGrid w:val="0"/>
              <w:spacing w:line="276" w:lineRule="auto"/>
              <w:rPr>
                <w:rFonts w:ascii="宋体" w:hAnsi="宋体" w:eastAsia="宋体" w:cs="Times New Roman"/>
                <w:szCs w:val="21"/>
              </w:rPr>
            </w:pPr>
            <w:r>
              <w:rPr>
                <w:rFonts w:ascii="宋体" w:hAnsi="宋体" w:eastAsia="宋体" w:cs="Times New Roman"/>
                <w:szCs w:val="21"/>
              </w:rPr>
              <w:t>10%</w:t>
            </w:r>
          </w:p>
        </w:tc>
      </w:tr>
      <w:tr w14:paraId="0689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582B90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9AAA65D">
            <w:pPr>
              <w:jc w:val="left"/>
              <w:rPr>
                <w:rFonts w:ascii="Times New Roman" w:hAnsi="Times New Roman" w:eastAsia="宋体" w:cs="Times New Roman"/>
                <w:szCs w:val="21"/>
              </w:rPr>
            </w:pPr>
          </w:p>
        </w:tc>
        <w:tc>
          <w:tcPr>
            <w:tcW w:w="0" w:type="auto"/>
            <w:vAlign w:val="center"/>
          </w:tcPr>
          <w:p w14:paraId="53D9CEA3">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5C8D8BD">
      <w:pPr>
        <w:spacing w:line="360" w:lineRule="auto"/>
        <w:jc w:val="left"/>
        <w:outlineLvl w:val="1"/>
        <w:rPr>
          <w:rFonts w:ascii="宋体" w:hAnsi="宋体" w:eastAsia="宋体" w:cs="Times New Roman"/>
          <w:b/>
          <w:color w:val="000000"/>
          <w:szCs w:val="21"/>
        </w:rPr>
      </w:pPr>
      <w:bookmarkStart w:id="3214" w:name="_Toc23046"/>
      <w:r>
        <w:rPr>
          <w:rFonts w:hint="eastAsia" w:ascii="宋体" w:hAnsi="宋体" w:eastAsia="宋体" w:cs="Times New Roman"/>
          <w:b/>
          <w:color w:val="000000"/>
          <w:szCs w:val="21"/>
        </w:rPr>
        <w:t>（三）课程目标达成度计算方法</w:t>
      </w:r>
      <w:bookmarkEnd w:id="3214"/>
    </w:p>
    <w:p w14:paraId="2BF2AC5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0124AF9">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85"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85" DrawAspect="Content" ObjectID="_1468075785" r:id="rId68">
            <o:LockedField>false</o:LockedField>
          </o:OLEObject>
        </w:object>
      </w:r>
    </w:p>
    <w:p w14:paraId="57B359F4">
      <w:pPr>
        <w:spacing w:before="156" w:beforeLines="50" w:line="360" w:lineRule="auto"/>
        <w:jc w:val="left"/>
        <w:outlineLvl w:val="0"/>
        <w:rPr>
          <w:rFonts w:ascii="Times New Roman" w:hAnsi="Times New Roman" w:eastAsia="宋体" w:cs="Times New Roman"/>
          <w:b/>
          <w:sz w:val="24"/>
          <w:szCs w:val="24"/>
        </w:rPr>
      </w:pPr>
      <w:bookmarkStart w:id="3215" w:name="_Toc10773"/>
      <w:bookmarkStart w:id="3216" w:name="_Toc5024"/>
      <w:bookmarkStart w:id="3217" w:name="_Toc17633"/>
      <w:bookmarkStart w:id="3218" w:name="_Toc19488"/>
      <w:bookmarkStart w:id="3219" w:name="_Toc25449"/>
      <w:bookmarkStart w:id="3220" w:name="_Toc6122"/>
      <w:bookmarkStart w:id="3221" w:name="_Toc25881"/>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课内实践</w:t>
      </w:r>
      <w:bookmarkEnd w:id="3215"/>
      <w:bookmarkEnd w:id="3216"/>
      <w:bookmarkEnd w:id="3217"/>
      <w:bookmarkEnd w:id="3218"/>
      <w:bookmarkEnd w:id="3219"/>
      <w:bookmarkEnd w:id="3220"/>
      <w:bookmarkEnd w:id="3221"/>
    </w:p>
    <w:p w14:paraId="242B01B7">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1B4961D4">
      <w:pPr>
        <w:spacing w:line="360" w:lineRule="auto"/>
        <w:jc w:val="left"/>
        <w:outlineLvl w:val="0"/>
        <w:rPr>
          <w:rFonts w:ascii="Times New Roman" w:hAnsi="Times New Roman" w:eastAsia="宋体" w:cs="Times New Roman"/>
          <w:b/>
          <w:bCs/>
          <w:sz w:val="24"/>
          <w:szCs w:val="24"/>
        </w:rPr>
      </w:pPr>
      <w:bookmarkStart w:id="3222" w:name="_Toc15747"/>
      <w:bookmarkStart w:id="3223" w:name="_Toc22926"/>
      <w:bookmarkStart w:id="3224" w:name="_Toc4225"/>
      <w:bookmarkStart w:id="3225" w:name="_Toc30208"/>
      <w:bookmarkStart w:id="3226" w:name="_Toc30818"/>
      <w:bookmarkStart w:id="3227" w:name="_Toc663"/>
      <w:bookmarkStart w:id="3228" w:name="_Toc8046"/>
      <w:r>
        <w:rPr>
          <w:rFonts w:hint="eastAsia" w:ascii="宋体" w:hAnsi="宋体" w:eastAsia="宋体" w:cs="Times New Roman"/>
          <w:b/>
          <w:color w:val="000000"/>
          <w:sz w:val="24"/>
          <w:szCs w:val="24"/>
        </w:rPr>
        <w:t>六、有关说明</w:t>
      </w:r>
      <w:bookmarkEnd w:id="3222"/>
      <w:bookmarkEnd w:id="3223"/>
      <w:bookmarkEnd w:id="3224"/>
      <w:bookmarkEnd w:id="3225"/>
      <w:bookmarkEnd w:id="3226"/>
      <w:bookmarkEnd w:id="3227"/>
      <w:bookmarkEnd w:id="3228"/>
    </w:p>
    <w:p w14:paraId="3FE802F0">
      <w:pPr>
        <w:spacing w:line="360" w:lineRule="auto"/>
        <w:ind w:firstLine="422" w:firstLineChars="200"/>
        <w:jc w:val="left"/>
        <w:outlineLvl w:val="1"/>
        <w:rPr>
          <w:rFonts w:ascii="Times New Roman" w:hAnsi="Times New Roman" w:eastAsia="宋体" w:cs="Times New Roman"/>
          <w:b/>
          <w:szCs w:val="21"/>
        </w:rPr>
      </w:pPr>
      <w:bookmarkStart w:id="3229" w:name="_Toc4461"/>
      <w:r>
        <w:rPr>
          <w:rFonts w:hint="eastAsia" w:ascii="Times New Roman" w:hAnsi="Times New Roman" w:eastAsia="宋体" w:cs="Times New Roman"/>
          <w:b/>
          <w:szCs w:val="21"/>
        </w:rPr>
        <w:t>（一）持续改进</w:t>
      </w:r>
      <w:bookmarkEnd w:id="3229"/>
    </w:p>
    <w:p w14:paraId="439EAA7C">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本课程根据学生实训情况、教学督导反馈等，及时对教学实训中的不足之处进行改进，并在下一轮课程实施中整改完善，确保相应毕业要求指标点达成。</w:t>
      </w:r>
    </w:p>
    <w:p w14:paraId="464C9264">
      <w:pPr>
        <w:spacing w:line="360" w:lineRule="auto"/>
        <w:ind w:firstLine="527" w:firstLineChars="250"/>
        <w:jc w:val="left"/>
        <w:outlineLvl w:val="1"/>
        <w:rPr>
          <w:rFonts w:ascii="Times New Roman" w:hAnsi="Times New Roman" w:eastAsia="宋体" w:cs="Times New Roman"/>
          <w:b/>
          <w:szCs w:val="21"/>
        </w:rPr>
      </w:pPr>
      <w:bookmarkStart w:id="3230" w:name="_Toc26444"/>
      <w:r>
        <w:rPr>
          <w:rFonts w:hint="eastAsia" w:ascii="Times New Roman" w:hAnsi="Times New Roman" w:eastAsia="宋体" w:cs="Times New Roman"/>
          <w:b/>
          <w:szCs w:val="21"/>
        </w:rPr>
        <w:t>（二）建议教材</w:t>
      </w:r>
      <w:bookmarkEnd w:id="3230"/>
    </w:p>
    <w:p w14:paraId="6173960F">
      <w:pPr>
        <w:spacing w:line="360" w:lineRule="auto"/>
        <w:ind w:firstLine="525" w:firstLineChars="250"/>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教学实训手册（自编）</w:t>
      </w:r>
    </w:p>
    <w:p w14:paraId="2B287EA3">
      <w:pPr>
        <w:spacing w:line="360" w:lineRule="auto"/>
        <w:ind w:firstLine="527" w:firstLineChars="250"/>
        <w:jc w:val="left"/>
        <w:outlineLvl w:val="1"/>
        <w:rPr>
          <w:rFonts w:ascii="Times New Roman" w:hAnsi="Times New Roman" w:eastAsia="宋体" w:cs="Times New Roman"/>
          <w:b/>
          <w:szCs w:val="21"/>
        </w:rPr>
      </w:pPr>
      <w:bookmarkStart w:id="3231" w:name="_Toc15403"/>
      <w:r>
        <w:rPr>
          <w:rFonts w:hint="eastAsia" w:ascii="Times New Roman" w:hAnsi="Times New Roman" w:eastAsia="宋体" w:cs="Times New Roman"/>
          <w:b/>
          <w:szCs w:val="21"/>
        </w:rPr>
        <w:t>（三）参考书目</w:t>
      </w:r>
      <w:bookmarkEnd w:id="3231"/>
    </w:p>
    <w:p w14:paraId="3EA6E5CF">
      <w:pPr>
        <w:spacing w:line="360" w:lineRule="auto"/>
        <w:ind w:firstLine="525" w:firstLineChars="250"/>
        <w:jc w:val="left"/>
        <w:rPr>
          <w:rFonts w:ascii="宋体" w:hAnsi="宋体" w:eastAsia="宋体" w:cs="Times New Roman"/>
          <w:szCs w:val="21"/>
        </w:rPr>
      </w:pPr>
      <w:r>
        <w:rPr>
          <w:rFonts w:ascii="宋体" w:hAnsi="宋体" w:eastAsia="宋体" w:cs="Times New Roman"/>
          <w:szCs w:val="21"/>
        </w:rPr>
        <w:t>1．相关学科课程标准</w:t>
      </w:r>
    </w:p>
    <w:p w14:paraId="5256072F">
      <w:pPr>
        <w:spacing w:line="360" w:lineRule="auto"/>
        <w:ind w:firstLine="525" w:firstLineChars="250"/>
        <w:jc w:val="left"/>
        <w:rPr>
          <w:rFonts w:ascii="宋体" w:hAnsi="宋体" w:eastAsia="宋体" w:cs="Times New Roman"/>
          <w:szCs w:val="21"/>
        </w:rPr>
      </w:pPr>
      <w:r>
        <w:rPr>
          <w:rFonts w:ascii="宋体" w:hAnsi="宋体" w:eastAsia="宋体" w:cs="Times New Roman"/>
          <w:szCs w:val="21"/>
        </w:rPr>
        <w:t>2．相关学科小学各年级教材。</w:t>
      </w:r>
    </w:p>
    <w:p w14:paraId="6A562791">
      <w:pPr>
        <w:rPr>
          <w:rFonts w:ascii="等线" w:hAnsi="等线" w:eastAsia="等线" w:cs="Times New Roman"/>
          <w:szCs w:val="22"/>
        </w:rPr>
      </w:pPr>
    </w:p>
    <w:p w14:paraId="7E92DBC6">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执 笔 人：谢国忠</w:t>
      </w:r>
    </w:p>
    <w:p w14:paraId="4F0D0E0E">
      <w:pPr>
        <w:wordWrap w:val="0"/>
        <w:spacing w:line="360" w:lineRule="auto"/>
        <w:ind w:right="144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定 人：王 健</w:t>
      </w:r>
    </w:p>
    <w:p w14:paraId="46D69B5D">
      <w:pPr>
        <w:spacing w:line="360" w:lineRule="auto"/>
        <w:ind w:right="1200"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0A8F6D35">
      <w:pPr>
        <w:spacing w:line="360" w:lineRule="auto"/>
        <w:ind w:firstLine="4800" w:firstLineChars="2000"/>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3E5CF214">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285EA814">
      <w:pPr>
        <w:pStyle w:val="2"/>
        <w:bidi w:val="0"/>
        <w:rPr>
          <w:rFonts w:hint="eastAsia"/>
          <w:lang w:val="en-US" w:eastAsia="zh-CN"/>
        </w:rPr>
      </w:pPr>
      <w:bookmarkStart w:id="3232" w:name="_Toc32732"/>
      <w:bookmarkStart w:id="3233" w:name="_Toc13284"/>
      <w:bookmarkStart w:id="3234" w:name="_Toc29356"/>
      <w:bookmarkStart w:id="3235" w:name="_Toc4240"/>
      <w:r>
        <w:rPr>
          <w:rFonts w:hint="eastAsia"/>
          <w:lang w:val="en-US" w:eastAsia="zh-CN"/>
        </w:rPr>
        <w:t>《教育实习I》课程教学大纲</w:t>
      </w:r>
      <w:bookmarkEnd w:id="3232"/>
      <w:bookmarkEnd w:id="3233"/>
      <w:bookmarkEnd w:id="3234"/>
      <w:bookmarkEnd w:id="3235"/>
    </w:p>
    <w:p w14:paraId="240132BD">
      <w:pPr>
        <w:pStyle w:val="2"/>
        <w:bidi w:val="0"/>
        <w:rPr>
          <w:rFonts w:hint="eastAsia"/>
          <w:lang w:val="en-US" w:eastAsia="zh-CN"/>
        </w:rPr>
      </w:pPr>
      <w:bookmarkStart w:id="3236" w:name="_Toc4137"/>
      <w:bookmarkStart w:id="3237" w:name="_Toc28261"/>
      <w:bookmarkStart w:id="3238" w:name="_Toc28327"/>
      <w:bookmarkStart w:id="3239" w:name="_Toc11288"/>
      <w:bookmarkStart w:id="3240" w:name="_Toc17545"/>
      <w:bookmarkStart w:id="3241" w:name="_Toc17671"/>
      <w:bookmarkStart w:id="3242" w:name="_Toc7095"/>
      <w:r>
        <w:rPr>
          <w:rFonts w:hint="eastAsia"/>
          <w:lang w:val="en-US" w:eastAsia="zh-CN"/>
        </w:rPr>
        <w:t>（Educational Practice I）</w:t>
      </w:r>
      <w:bookmarkEnd w:id="3236"/>
      <w:bookmarkEnd w:id="3237"/>
      <w:bookmarkEnd w:id="3238"/>
      <w:bookmarkEnd w:id="3239"/>
      <w:bookmarkEnd w:id="3240"/>
      <w:bookmarkEnd w:id="3241"/>
      <w:bookmarkEnd w:id="3242"/>
    </w:p>
    <w:p w14:paraId="2D4B690A">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课程名称：教育实习I</w:t>
      </w:r>
    </w:p>
    <w:p w14:paraId="21896A5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课程代码：2401050</w:t>
      </w:r>
    </w:p>
    <w:p w14:paraId="2E7A24A0">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分：2</w:t>
      </w:r>
    </w:p>
    <w:p w14:paraId="2180969F">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学    时：</w:t>
      </w:r>
      <w:r>
        <w:rPr>
          <w:rFonts w:hint="eastAsia" w:ascii="Times New Roman" w:hAnsi="Times New Roman" w:eastAsia="宋体" w:cs="Times New Roman"/>
          <w:b/>
          <w:sz w:val="24"/>
          <w:szCs w:val="24"/>
          <w:lang w:val="en-US" w:eastAsia="zh-CN"/>
        </w:rPr>
        <w:t>4周</w:t>
      </w:r>
    </w:p>
    <w:p w14:paraId="24B5EAA4">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先修课程：小学心理学、教育原理、中国教育史、书写技能、普通话训练、课程与教学论、教育心理学、</w:t>
      </w:r>
      <w:r>
        <w:rPr>
          <w:rFonts w:hint="eastAsia" w:ascii="Times New Roman" w:hAnsi="Times New Roman" w:eastAsia="宋体" w:cs="Times New Roman"/>
          <w:b/>
          <w:sz w:val="24"/>
          <w:szCs w:val="24"/>
          <w:lang w:val="en-US" w:eastAsia="zh-CN"/>
        </w:rPr>
        <w:t>认知实习、</w:t>
      </w:r>
      <w:r>
        <w:rPr>
          <w:rFonts w:hint="eastAsia" w:ascii="Times New Roman" w:hAnsi="Times New Roman" w:eastAsia="宋体" w:cs="Times New Roman"/>
          <w:b/>
          <w:sz w:val="24"/>
          <w:szCs w:val="24"/>
        </w:rPr>
        <w:t>教育见习等。</w:t>
      </w:r>
    </w:p>
    <w:p w14:paraId="0CEFA795">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0B135CAA">
      <w:pPr>
        <w:numPr>
          <w:ilvl w:val="0"/>
          <w:numId w:val="0"/>
        </w:numPr>
        <w:spacing w:line="360" w:lineRule="auto"/>
        <w:rPr>
          <w:rFonts w:hint="eastAsia" w:ascii="Times New Roman" w:hAnsi="Times New Roman" w:eastAsia="宋体" w:cs="Times New Roman"/>
          <w:b/>
          <w:sz w:val="24"/>
          <w:szCs w:val="24"/>
          <w:lang w:val="en-US" w:eastAsia="zh-CN"/>
        </w:rPr>
      </w:pPr>
    </w:p>
    <w:p w14:paraId="115F91F9">
      <w:pPr>
        <w:numPr>
          <w:ilvl w:val="0"/>
          <w:numId w:val="0"/>
        </w:numPr>
        <w:spacing w:line="360" w:lineRule="auto"/>
        <w:outlineLvl w:val="1"/>
        <w:rPr>
          <w:rFonts w:hint="eastAsia" w:ascii="Times New Roman" w:hAnsi="Times New Roman" w:eastAsia="宋体" w:cs="Times New Roman"/>
          <w:b/>
          <w:sz w:val="24"/>
          <w:szCs w:val="24"/>
          <w:lang w:val="en-US" w:eastAsia="zh-CN"/>
        </w:rPr>
      </w:pPr>
      <w:bookmarkStart w:id="3243" w:name="_Toc3942"/>
      <w:r>
        <w:rPr>
          <w:rFonts w:hint="eastAsia" w:ascii="Times New Roman" w:hAnsi="Times New Roman" w:eastAsia="宋体" w:cs="Times New Roman"/>
          <w:b/>
          <w:sz w:val="24"/>
          <w:szCs w:val="24"/>
          <w:lang w:val="en-US" w:eastAsia="zh-CN"/>
        </w:rPr>
        <w:t>一、课程简介</w:t>
      </w:r>
      <w:bookmarkEnd w:id="3243"/>
    </w:p>
    <w:p w14:paraId="5D1D23D6">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教育实习Ⅰ是小学教育专业重要的实践性环节。本课程旨在为师范生提供将教育理论转化为教育实践的平台。学生在教育实习活动中巩固和加深对教育教学理论知识的理解，磨练专业技能，形成良好的师生观念与教学观念，深厚从事教师职业的情感，初步具有独立从事教育、教学工作和教育科学研究的能力，完成由师范生向一名准教师的转变。</w:t>
      </w:r>
    </w:p>
    <w:p w14:paraId="08DC029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ascii="Times New Roman" w:hAnsi="Times New Roman" w:eastAsia="宋体" w:cs="Times New Roman"/>
          <w:b/>
          <w:bCs/>
          <w:sz w:val="28"/>
          <w:szCs w:val="28"/>
        </w:rPr>
      </w:pPr>
      <w:bookmarkStart w:id="3244" w:name="_Toc21705"/>
      <w:r>
        <w:rPr>
          <w:rFonts w:hint="eastAsia" w:ascii="Times New Roman" w:hAnsi="Times New Roman" w:eastAsia="宋体" w:cs="Times New Roman"/>
          <w:b/>
          <w:bCs/>
          <w:sz w:val="24"/>
          <w:szCs w:val="24"/>
        </w:rPr>
        <w:t>二、课程目标</w:t>
      </w:r>
      <w:bookmarkEnd w:id="3244"/>
    </w:p>
    <w:p w14:paraId="73596070">
      <w:pPr>
        <w:spacing w:line="360" w:lineRule="auto"/>
        <w:ind w:firstLine="422" w:firstLineChars="200"/>
        <w:outlineLvl w:val="2"/>
        <w:rPr>
          <w:rFonts w:ascii="Times New Roman" w:hAnsi="Times New Roman" w:eastAsia="宋体" w:cs="Times New Roman"/>
          <w:b/>
          <w:bCs/>
          <w:sz w:val="21"/>
          <w:szCs w:val="21"/>
        </w:rPr>
      </w:pPr>
      <w:bookmarkStart w:id="3245" w:name="_Toc10541"/>
      <w:r>
        <w:rPr>
          <w:rFonts w:hint="eastAsia" w:ascii="Times New Roman" w:hAnsi="Times New Roman" w:eastAsia="宋体" w:cs="Times New Roman"/>
          <w:b/>
          <w:bCs/>
          <w:sz w:val="21"/>
          <w:szCs w:val="21"/>
        </w:rPr>
        <w:t>（一）课程具体目标</w:t>
      </w:r>
      <w:bookmarkEnd w:id="3245"/>
    </w:p>
    <w:p w14:paraId="368E74EF">
      <w:pPr>
        <w:spacing w:line="360" w:lineRule="auto"/>
        <w:ind w:firstLine="420" w:firstLineChars="200"/>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目标1. 在实践中增进对儿童的认识，体验和感受教师职业的光荣感和责任感；接受职业道德教育和训练，自觉加强师德修养，养成和</w:t>
      </w:r>
      <w:r>
        <w:rPr>
          <w:rFonts w:hint="eastAsia" w:ascii="Times New Roman" w:hAnsi="Times New Roman" w:eastAsia="宋体" w:cs="Times New Roman"/>
          <w:b w:val="0"/>
          <w:bCs w:val="0"/>
          <w:sz w:val="21"/>
          <w:szCs w:val="21"/>
          <w:lang w:val="en-US" w:eastAsia="zh-CN"/>
        </w:rPr>
        <w:t>坚定</w:t>
      </w:r>
      <w:r>
        <w:rPr>
          <w:rFonts w:hint="eastAsia" w:ascii="Times New Roman" w:hAnsi="Times New Roman" w:eastAsia="宋体" w:cs="Times New Roman"/>
          <w:b w:val="0"/>
          <w:bCs w:val="0"/>
          <w:sz w:val="21"/>
          <w:szCs w:val="21"/>
        </w:rPr>
        <w:t>献身小学教育事业的专业</w:t>
      </w:r>
      <w:r>
        <w:rPr>
          <w:rFonts w:hint="eastAsia" w:ascii="Times New Roman" w:hAnsi="Times New Roman" w:eastAsia="宋体" w:cs="Times New Roman"/>
          <w:b w:val="0"/>
          <w:bCs w:val="0"/>
          <w:sz w:val="21"/>
          <w:szCs w:val="21"/>
          <w:lang w:val="en-US" w:eastAsia="zh-CN"/>
        </w:rPr>
        <w:t>信念</w:t>
      </w:r>
      <w:r>
        <w:rPr>
          <w:rFonts w:hint="eastAsia" w:ascii="Times New Roman" w:hAnsi="Times New Roman" w:eastAsia="宋体" w:cs="Times New Roman"/>
          <w:b w:val="0"/>
          <w:bCs w:val="0"/>
          <w:sz w:val="21"/>
          <w:szCs w:val="21"/>
        </w:rPr>
        <w:t>。</w:t>
      </w:r>
    </w:p>
    <w:p w14:paraId="00F30CB3">
      <w:pPr>
        <w:spacing w:line="360" w:lineRule="auto"/>
        <w:ind w:firstLine="420" w:firstLineChars="200"/>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目标2. 通过课堂教学实习，获得对教育实践情境的认知，将在理论课程中习得的文化科学知识、教育理论知识与实践</w:t>
      </w:r>
      <w:r>
        <w:rPr>
          <w:rFonts w:hint="eastAsia" w:ascii="Times New Roman" w:hAnsi="Times New Roman" w:eastAsia="宋体" w:cs="Times New Roman"/>
          <w:b w:val="0"/>
          <w:bCs w:val="0"/>
          <w:sz w:val="21"/>
          <w:szCs w:val="21"/>
          <w:lang w:val="en-US" w:eastAsia="zh-CN"/>
        </w:rPr>
        <w:t>相</w:t>
      </w:r>
      <w:r>
        <w:rPr>
          <w:rFonts w:hint="eastAsia" w:ascii="Times New Roman" w:hAnsi="Times New Roman" w:eastAsia="宋体" w:cs="Times New Roman"/>
          <w:b w:val="0"/>
          <w:bCs w:val="0"/>
          <w:sz w:val="21"/>
          <w:szCs w:val="21"/>
        </w:rPr>
        <w:t>融合</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进一步理解学科核心素养和学科课程独特的育人功能，在开展</w:t>
      </w:r>
      <w:r>
        <w:rPr>
          <w:rFonts w:hint="eastAsia" w:ascii="Times New Roman" w:hAnsi="Times New Roman" w:eastAsia="宋体" w:cs="Times New Roman"/>
          <w:b w:val="0"/>
          <w:bCs w:val="0"/>
          <w:sz w:val="21"/>
          <w:szCs w:val="21"/>
        </w:rPr>
        <w:t>教学设计、教学实施、教学评价</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教学反思的过程中</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提升</w:t>
      </w:r>
      <w:r>
        <w:rPr>
          <w:rFonts w:hint="eastAsia" w:ascii="Times New Roman" w:hAnsi="Times New Roman" w:eastAsia="宋体" w:cs="Times New Roman"/>
          <w:b w:val="0"/>
          <w:bCs w:val="0"/>
          <w:sz w:val="21"/>
          <w:szCs w:val="21"/>
        </w:rPr>
        <w:t>教育实践能力</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学科育人能力和教学研究能力</w:t>
      </w:r>
      <w:r>
        <w:rPr>
          <w:rFonts w:hint="eastAsia" w:ascii="Times New Roman" w:hAnsi="Times New Roman" w:eastAsia="宋体" w:cs="Times New Roman"/>
          <w:b w:val="0"/>
          <w:bCs w:val="0"/>
          <w:sz w:val="21"/>
          <w:szCs w:val="21"/>
        </w:rPr>
        <w:t>。</w:t>
      </w:r>
    </w:p>
    <w:p w14:paraId="6AEA8B14">
      <w:pPr>
        <w:spacing w:line="360" w:lineRule="auto"/>
        <w:ind w:firstLine="420" w:firstLineChars="200"/>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rPr>
        <w:t>目标3. 通过班队工作实习，</w:t>
      </w:r>
      <w:r>
        <w:rPr>
          <w:rFonts w:hint="eastAsia" w:ascii="Times New Roman" w:hAnsi="Times New Roman" w:eastAsia="宋体" w:cs="Times New Roman"/>
          <w:b w:val="0"/>
          <w:bCs w:val="0"/>
          <w:sz w:val="21"/>
          <w:szCs w:val="21"/>
          <w:lang w:val="en-US" w:eastAsia="zh-CN"/>
        </w:rPr>
        <w:t>进一步体会文化、活动的育人价值，</w:t>
      </w:r>
      <w:r>
        <w:rPr>
          <w:rFonts w:hint="eastAsia" w:ascii="Times New Roman" w:hAnsi="Times New Roman" w:eastAsia="宋体" w:cs="Times New Roman"/>
          <w:b w:val="0"/>
          <w:bCs w:val="0"/>
          <w:sz w:val="21"/>
          <w:szCs w:val="21"/>
        </w:rPr>
        <w:t>加深理解和综合运用小学班队组织与建设的工作规律与方法，学会处理日常教育教学工作中的突发性事件，具备独立从事班级管理的实践能力</w:t>
      </w:r>
      <w:r>
        <w:rPr>
          <w:rFonts w:hint="eastAsia" w:ascii="Times New Roman" w:hAnsi="Times New Roman" w:eastAsia="宋体" w:cs="Times New Roman"/>
          <w:b w:val="0"/>
          <w:bCs w:val="0"/>
          <w:sz w:val="21"/>
          <w:szCs w:val="21"/>
          <w:lang w:eastAsia="zh-CN"/>
        </w:rPr>
        <w:t>。</w:t>
      </w:r>
    </w:p>
    <w:p w14:paraId="2B9B20AB">
      <w:pPr>
        <w:spacing w:line="360" w:lineRule="auto"/>
        <w:ind w:firstLine="420" w:firstLineChars="200"/>
        <w:rPr>
          <w:rFonts w:hint="eastAsia" w:ascii="Times New Roman" w:hAnsi="Times New Roman" w:eastAsia="宋体" w:cs="Times New Roman"/>
          <w:b/>
          <w:bCs/>
          <w:sz w:val="21"/>
          <w:szCs w:val="21"/>
        </w:rPr>
      </w:pPr>
      <w:r>
        <w:rPr>
          <w:rFonts w:hint="eastAsia" w:ascii="Times New Roman" w:hAnsi="Times New Roman" w:eastAsia="宋体" w:cs="Times New Roman"/>
          <w:b w:val="0"/>
          <w:bCs w:val="0"/>
          <w:sz w:val="21"/>
          <w:szCs w:val="21"/>
          <w:lang w:val="en-US" w:eastAsia="zh-CN"/>
        </w:rPr>
        <w:t>目标4.</w:t>
      </w:r>
      <w:r>
        <w:rPr>
          <w:rFonts w:hint="eastAsia" w:ascii="Times New Roman" w:hAnsi="Times New Roman" w:eastAsia="宋体" w:cs="Times New Roman"/>
          <w:b w:val="0"/>
          <w:bCs w:val="0"/>
          <w:sz w:val="21"/>
          <w:szCs w:val="21"/>
        </w:rPr>
        <w:t>了解学校的文化建构、课程设置、教师日常工作的基本流程，认真观察并记录</w:t>
      </w:r>
      <w:r>
        <w:rPr>
          <w:rFonts w:hint="eastAsia" w:ascii="Times New Roman" w:hAnsi="Times New Roman" w:eastAsia="宋体" w:cs="Times New Roman"/>
          <w:b w:val="0"/>
          <w:bCs w:val="0"/>
          <w:sz w:val="21"/>
          <w:szCs w:val="21"/>
          <w:lang w:val="en-US" w:eastAsia="zh-CN"/>
        </w:rPr>
        <w:t>实习</w:t>
      </w:r>
      <w:r>
        <w:rPr>
          <w:rFonts w:hint="eastAsia" w:ascii="Times New Roman" w:hAnsi="Times New Roman" w:eastAsia="宋体" w:cs="Times New Roman"/>
          <w:b w:val="0"/>
          <w:bCs w:val="0"/>
          <w:sz w:val="21"/>
          <w:szCs w:val="21"/>
        </w:rPr>
        <w:t>学校中有关的教育教学现象，并有针对性的结合相关理论进行反思</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rPr>
        <w:t>习得与教师、学生、家长进行有效沟通技能和方法。</w:t>
      </w:r>
    </w:p>
    <w:p w14:paraId="1CF2BFD1">
      <w:pPr>
        <w:numPr>
          <w:ilvl w:val="0"/>
          <w:numId w:val="103"/>
        </w:numPr>
        <w:spacing w:line="360" w:lineRule="auto"/>
        <w:ind w:firstLine="482" w:firstLineChars="200"/>
        <w:outlineLvl w:val="2"/>
        <w:rPr>
          <w:rFonts w:hint="eastAsia" w:ascii="Times New Roman" w:hAnsi="Times New Roman" w:eastAsia="宋体" w:cs="Times New Roman"/>
          <w:b/>
          <w:bCs/>
          <w:sz w:val="24"/>
          <w:szCs w:val="28"/>
        </w:rPr>
      </w:pPr>
      <w:bookmarkStart w:id="3246" w:name="_Toc8904"/>
      <w:r>
        <w:rPr>
          <w:rFonts w:hint="eastAsia" w:ascii="Times New Roman" w:hAnsi="Times New Roman" w:eastAsia="宋体" w:cs="Times New Roman"/>
          <w:b/>
          <w:bCs/>
          <w:sz w:val="24"/>
          <w:szCs w:val="28"/>
        </w:rPr>
        <w:t>课程目标与专业毕业要求的关系</w:t>
      </w:r>
      <w:bookmarkEnd w:id="3246"/>
    </w:p>
    <w:tbl>
      <w:tblPr>
        <w:tblStyle w:val="10"/>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914"/>
        <w:gridCol w:w="1286"/>
      </w:tblGrid>
      <w:tr w14:paraId="15C0B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557F2A00">
            <w:pPr>
              <w:adjustRightInd w:val="0"/>
              <w:snapToGrid w:val="0"/>
              <w:spacing w:line="276" w:lineRule="auto"/>
              <w:jc w:val="center"/>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毕业要求</w:t>
            </w:r>
          </w:p>
        </w:tc>
        <w:tc>
          <w:tcPr>
            <w:tcW w:w="5914" w:type="dxa"/>
            <w:vAlign w:val="center"/>
          </w:tcPr>
          <w:p w14:paraId="5031F7D9">
            <w:pPr>
              <w:adjustRightInd w:val="0"/>
              <w:snapToGrid w:val="0"/>
              <w:spacing w:line="276" w:lineRule="auto"/>
              <w:jc w:val="center"/>
              <w:rPr>
                <w:rFonts w:hint="eastAsia" w:ascii="宋体" w:hAnsi="宋体" w:eastAsia="宋体" w:cs="Times New Roman"/>
                <w:b/>
                <w:bCs/>
                <w:szCs w:val="21"/>
                <w:lang w:val="en-US" w:eastAsia="zh-CN"/>
              </w:rPr>
            </w:pPr>
            <w:r>
              <w:rPr>
                <w:rFonts w:hint="eastAsia" w:ascii="宋体" w:hAnsi="宋体" w:eastAsia="宋体" w:cs="Times New Roman"/>
                <w:b/>
                <w:bCs/>
                <w:szCs w:val="21"/>
              </w:rPr>
              <w:t>毕业要求</w:t>
            </w:r>
            <w:r>
              <w:rPr>
                <w:rFonts w:hint="eastAsia" w:ascii="宋体" w:hAnsi="宋体" w:eastAsia="宋体" w:cs="Times New Roman"/>
                <w:b/>
                <w:bCs/>
                <w:szCs w:val="21"/>
                <w:lang w:val="en-US" w:eastAsia="zh-CN"/>
              </w:rPr>
              <w:t>指标点</w:t>
            </w:r>
          </w:p>
        </w:tc>
        <w:tc>
          <w:tcPr>
            <w:tcW w:w="1286" w:type="dxa"/>
            <w:vAlign w:val="center"/>
          </w:tcPr>
          <w:p w14:paraId="6EEEA859">
            <w:pPr>
              <w:adjustRightInd w:val="0"/>
              <w:snapToGrid w:val="0"/>
              <w:spacing w:line="276" w:lineRule="auto"/>
              <w:jc w:val="both"/>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课程目标</w:t>
            </w:r>
          </w:p>
        </w:tc>
      </w:tr>
      <w:tr w14:paraId="3B34A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E54DADF">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毕业要求1</w:t>
            </w:r>
          </w:p>
          <w:p w14:paraId="56915445">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师德规范</w:t>
            </w:r>
          </w:p>
        </w:tc>
        <w:tc>
          <w:tcPr>
            <w:tcW w:w="5914" w:type="dxa"/>
            <w:vAlign w:val="center"/>
          </w:tcPr>
          <w:p w14:paraId="1D0A9F41">
            <w:pPr>
              <w:adjustRightInd w:val="0"/>
              <w:snapToGrid w:val="0"/>
              <w:spacing w:line="276" w:lineRule="auto"/>
              <w:rPr>
                <w:rFonts w:hint="eastAsia" w:ascii="宋体" w:hAnsi="宋体" w:eastAsia="等线" w:cs="宋体"/>
                <w:szCs w:val="21"/>
              </w:rPr>
            </w:pPr>
            <w:r>
              <w:rPr>
                <w:rFonts w:hint="eastAsia" w:ascii="宋体" w:hAnsi="宋体" w:eastAsia="等线" w:cs="宋体"/>
                <w:kern w:val="0"/>
                <w:szCs w:val="21"/>
              </w:rPr>
              <w:t>指标点</w:t>
            </w:r>
            <w:r>
              <w:rPr>
                <w:rFonts w:hint="eastAsia" w:ascii="宋体" w:hAnsi="宋体" w:eastAsia="等线" w:cs="宋体"/>
                <w:szCs w:val="21"/>
              </w:rPr>
              <w:t>1-1：【理想信念坚定】了解我国国情及国际局势，深刻理解新时代中国特色社会主义思想内涵</w:t>
            </w:r>
            <w:r>
              <w:rPr>
                <w:rFonts w:hint="eastAsia" w:ascii="等线" w:hAnsi="等线" w:eastAsia="等线" w:cs="宋体"/>
                <w:szCs w:val="21"/>
              </w:rPr>
              <w:t>；</w:t>
            </w:r>
            <w:r>
              <w:rPr>
                <w:rFonts w:hint="eastAsia" w:ascii="宋体" w:hAnsi="宋体" w:eastAsia="等线" w:cs="宋体"/>
                <w:szCs w:val="21"/>
              </w:rPr>
              <w:t>认同中国特色社会主义，贯彻党的教育方针，自觉践行社会主义核心价值观</w:t>
            </w:r>
            <w:r>
              <w:rPr>
                <w:rFonts w:hint="eastAsia" w:ascii="等线" w:hAnsi="等线" w:eastAsia="等线" w:cs="宋体"/>
                <w:szCs w:val="21"/>
              </w:rPr>
              <w:t>；认同教师劳动的价值，</w:t>
            </w:r>
            <w:r>
              <w:rPr>
                <w:rFonts w:hint="eastAsia" w:ascii="宋体" w:hAnsi="宋体" w:eastAsia="等线" w:cs="宋体"/>
                <w:szCs w:val="21"/>
              </w:rPr>
              <w:t>树立职业理想，立志成为有理想信念、有道德情操、有扎实学识、有仁爱之心受学生爱戴的好老师。</w:t>
            </w:r>
          </w:p>
          <w:p w14:paraId="6AC54B52">
            <w:pPr>
              <w:adjustRightInd w:val="0"/>
              <w:snapToGrid w:val="0"/>
              <w:spacing w:line="276" w:lineRule="auto"/>
              <w:rPr>
                <w:rFonts w:hint="eastAsia" w:ascii="宋体" w:hAnsi="宋体" w:eastAsia="等线" w:cs="宋体"/>
                <w:szCs w:val="21"/>
                <w:lang w:eastAsia="zh-CN"/>
              </w:rPr>
            </w:pPr>
            <w:r>
              <w:rPr>
                <w:rFonts w:hint="eastAsia" w:ascii="宋体" w:hAnsi="宋体" w:eastAsia="等线" w:cs="宋体"/>
                <w:szCs w:val="21"/>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1DA34172">
            <w:pPr>
              <w:adjustRightInd w:val="0"/>
              <w:snapToGrid w:val="0"/>
              <w:spacing w:line="276" w:lineRule="auto"/>
              <w:jc w:val="left"/>
              <w:rPr>
                <w:rFonts w:hint="default" w:ascii="宋体" w:hAnsi="宋体"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lang w:val="en-US" w:eastAsia="zh-CN"/>
              </w:rPr>
              <w:t>课程目标1</w:t>
            </w:r>
          </w:p>
        </w:tc>
      </w:tr>
      <w:tr w14:paraId="2EF80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421D7EA0">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毕业要求2</w:t>
            </w:r>
          </w:p>
          <w:p w14:paraId="478C3A19">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教育情怀</w:t>
            </w:r>
          </w:p>
        </w:tc>
        <w:tc>
          <w:tcPr>
            <w:tcW w:w="5914" w:type="dxa"/>
            <w:vAlign w:val="center"/>
          </w:tcPr>
          <w:p w14:paraId="3D5198C1">
            <w:pPr>
              <w:adjustRightInd w:val="0"/>
              <w:snapToGrid w:val="0"/>
              <w:spacing w:line="276" w:lineRule="auto"/>
              <w:rPr>
                <w:rFonts w:hint="eastAsia" w:ascii="宋体" w:hAnsi="宋体" w:eastAsia="等线" w:cs="宋体"/>
                <w:szCs w:val="21"/>
                <w:lang w:eastAsia="zh-CN"/>
              </w:rPr>
            </w:pPr>
            <w:r>
              <w:rPr>
                <w:rFonts w:hint="eastAsia" w:ascii="宋体" w:hAnsi="宋体" w:eastAsia="等线" w:cs="宋体"/>
                <w:kern w:val="0"/>
                <w:szCs w:val="21"/>
              </w:rPr>
              <w:t>指标点</w:t>
            </w:r>
            <w:r>
              <w:rPr>
                <w:rFonts w:hint="eastAsia" w:ascii="宋体" w:hAnsi="宋体" w:eastAsia="等线" w:cs="宋体"/>
                <w:szCs w:val="21"/>
              </w:rPr>
              <w:t>2-2：【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ascii="等线" w:hAnsi="等线" w:eastAsia="等线" w:cs="宋体"/>
                <w:szCs w:val="21"/>
              </w:rPr>
              <w:t>，</w:t>
            </w:r>
            <w:r>
              <w:rPr>
                <w:rFonts w:hint="eastAsia" w:ascii="等线" w:hAnsi="等线" w:eastAsia="等线" w:cs="宋体"/>
                <w:kern w:val="0"/>
                <w:sz w:val="20"/>
                <w:szCs w:val="20"/>
                <w:lang w:bidi="ar"/>
              </w:rPr>
              <w:t>立志成为</w:t>
            </w:r>
            <w:r>
              <w:rPr>
                <w:rFonts w:hint="eastAsia" w:ascii="宋体" w:hAnsi="宋体" w:eastAsia="等线" w:cs="宋体"/>
                <w:kern w:val="0"/>
                <w:sz w:val="20"/>
                <w:szCs w:val="20"/>
                <w:lang w:bidi="ar"/>
              </w:rPr>
              <w:t>学生学习的促进者、道德品质和创新思维的培养者，奉献祖国的引路人</w:t>
            </w:r>
            <w:r>
              <w:rPr>
                <w:rFonts w:hint="eastAsia" w:ascii="等线" w:hAnsi="等线" w:eastAsia="等线" w:cs="宋体"/>
                <w:kern w:val="0"/>
                <w:sz w:val="20"/>
                <w:szCs w:val="20"/>
                <w:lang w:bidi="ar"/>
              </w:rPr>
              <w:t>。</w:t>
            </w:r>
          </w:p>
        </w:tc>
        <w:tc>
          <w:tcPr>
            <w:tcW w:w="1286" w:type="dxa"/>
            <w:vAlign w:val="center"/>
          </w:tcPr>
          <w:p w14:paraId="2EE0B6BF">
            <w:pPr>
              <w:adjustRightInd w:val="0"/>
              <w:snapToGrid w:val="0"/>
              <w:spacing w:line="276" w:lineRule="auto"/>
              <w:jc w:val="left"/>
              <w:rPr>
                <w:rFonts w:hint="default" w:ascii="宋体" w:hAnsi="宋体"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lang w:val="en-US" w:eastAsia="zh-CN"/>
              </w:rPr>
              <w:t>课程目标1</w:t>
            </w:r>
          </w:p>
        </w:tc>
      </w:tr>
      <w:tr w14:paraId="0A93A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C8076B3">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毕业要求3</w:t>
            </w:r>
          </w:p>
          <w:p w14:paraId="12A2CDD6">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学科素养</w:t>
            </w:r>
          </w:p>
        </w:tc>
        <w:tc>
          <w:tcPr>
            <w:tcW w:w="5914" w:type="dxa"/>
            <w:vAlign w:val="center"/>
          </w:tcPr>
          <w:p w14:paraId="35730153">
            <w:pPr>
              <w:adjustRightInd w:val="0"/>
              <w:snapToGrid w:val="0"/>
              <w:spacing w:line="276" w:lineRule="auto"/>
              <w:rPr>
                <w:rFonts w:hint="eastAsia" w:ascii="宋体" w:hAnsi="宋体" w:eastAsia="等线" w:cs="宋体"/>
                <w:kern w:val="0"/>
                <w:szCs w:val="21"/>
              </w:rPr>
            </w:pPr>
            <w:r>
              <w:rPr>
                <w:rFonts w:hint="eastAsia" w:ascii="宋体" w:hAnsi="宋体" w:eastAsia="等线" w:cs="宋体"/>
                <w:kern w:val="0"/>
                <w:szCs w:val="21"/>
              </w:rPr>
              <w:t>指标点3-3：【教育教学知识牢固】掌握教育教学基本理论知识，熟悉所教学科课程标准和教材、教学内容。在教育教学实践中，具有一定的教材解读能力，具有依据课标进行教学的意识和习惯。</w:t>
            </w:r>
          </w:p>
        </w:tc>
        <w:tc>
          <w:tcPr>
            <w:tcW w:w="1286" w:type="dxa"/>
            <w:vAlign w:val="center"/>
          </w:tcPr>
          <w:p w14:paraId="0CAC92E8">
            <w:pPr>
              <w:adjustRightInd w:val="0"/>
              <w:snapToGrid w:val="0"/>
              <w:spacing w:line="276" w:lineRule="auto"/>
              <w:jc w:val="left"/>
              <w:rPr>
                <w:rFonts w:hint="default" w:ascii="宋体" w:hAnsi="宋体"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lang w:val="en-US" w:eastAsia="zh-CN"/>
              </w:rPr>
              <w:t>课程目标2</w:t>
            </w:r>
          </w:p>
        </w:tc>
      </w:tr>
      <w:tr w14:paraId="601E0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3C2A6494">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毕业要求4</w:t>
            </w:r>
          </w:p>
          <w:p w14:paraId="40150164">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教学能力</w:t>
            </w:r>
          </w:p>
        </w:tc>
        <w:tc>
          <w:tcPr>
            <w:tcW w:w="5914" w:type="dxa"/>
            <w:shd w:val="clear" w:color="auto" w:fill="auto"/>
            <w:vAlign w:val="center"/>
          </w:tcPr>
          <w:p w14:paraId="0FC79803">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4-1：【教学设计恰当】理解教材的编写逻辑和体系结构，合理掌握不同学段目标与内容的递进关系，具有依据课标进行教学的意识和习惯。能依据单元内容进行整体设计，科学合理地依据教学目标及内容设计。</w:t>
            </w:r>
          </w:p>
          <w:p w14:paraId="55B75070">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p w14:paraId="4E39E4E1">
            <w:pPr>
              <w:adjustRightInd w:val="0"/>
              <w:snapToGrid w:val="0"/>
              <w:spacing w:line="276" w:lineRule="auto"/>
              <w:rPr>
                <w:rFonts w:hint="eastAsia" w:ascii="宋体" w:hAnsi="宋体" w:eastAsia="宋体" w:cs="Times New Roman"/>
                <w:color w:val="000000"/>
                <w:kern w:val="0"/>
                <w:sz w:val="21"/>
                <w:szCs w:val="21"/>
                <w:lang w:val="en-US" w:eastAsia="zh-CN" w:bidi="ar-SA"/>
              </w:rPr>
            </w:pPr>
            <w:r>
              <w:rPr>
                <w:rFonts w:ascii="等线" w:hAnsi="等线" w:eastAsia="等线" w:cs="Times New Roman"/>
                <w:color w:val="000000"/>
                <w:kern w:val="0"/>
                <w:szCs w:val="21"/>
              </w:rPr>
              <w:t>指标</w:t>
            </w:r>
            <w:r>
              <w:rPr>
                <w:rFonts w:hint="eastAsia" w:ascii="宋体" w:hAnsi="宋体" w:eastAsia="宋体" w:cs="Times New Roman"/>
                <w:szCs w:val="21"/>
              </w:rPr>
              <w:t>点4-3：</w:t>
            </w:r>
            <w:r>
              <w:rPr>
                <w:rFonts w:ascii="等线" w:hAnsi="等线" w:eastAsia="等线" w:cs="Times New Roman"/>
                <w:color w:val="000000"/>
                <w:szCs w:val="21"/>
              </w:rPr>
              <w:t>【具备教育研究能力】掌握教育研究的基本方法，结合小学教育教学实践进行研究，具有一定的教学研究能力。</w:t>
            </w:r>
          </w:p>
        </w:tc>
        <w:tc>
          <w:tcPr>
            <w:tcW w:w="1286" w:type="dxa"/>
            <w:shd w:val="clear" w:color="auto" w:fill="auto"/>
            <w:vAlign w:val="center"/>
          </w:tcPr>
          <w:p w14:paraId="282E0358">
            <w:pPr>
              <w:adjustRightInd w:val="0"/>
              <w:snapToGrid w:val="0"/>
              <w:spacing w:line="276" w:lineRule="auto"/>
              <w:jc w:val="left"/>
              <w:rPr>
                <w:rFonts w:hint="default"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课程目标2</w:t>
            </w:r>
          </w:p>
        </w:tc>
      </w:tr>
      <w:tr w14:paraId="66052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1FDD0E46">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毕业要求5</w:t>
            </w:r>
          </w:p>
          <w:p w14:paraId="519D0A72">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班级管理</w:t>
            </w:r>
          </w:p>
        </w:tc>
        <w:tc>
          <w:tcPr>
            <w:tcW w:w="5914" w:type="dxa"/>
            <w:shd w:val="clear" w:color="auto" w:fill="auto"/>
            <w:vAlign w:val="center"/>
          </w:tcPr>
          <w:p w14:paraId="16FCD075">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5-1：【擅长班队管理】具有小学德育工作体验，树立德育为先的理念，熟悉小学德育的基本原理与方法。获得小学班队组织与建设的体验。掌握小学班队组织与建设的工作规律和基本方法，具有班队建设和管理的基本能力。</w:t>
            </w:r>
          </w:p>
          <w:p w14:paraId="157A4AD0">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5-2：【重视心理健康教育】了解小学生身体、情感发展的特性和差异性，获得小学心理健康教育指导体验，在教育教学实践中，参与组织与指导对小学生心理健康教育的科普宣传及心理辅导，掌握小学心理健康教育的基本方法。</w:t>
            </w:r>
          </w:p>
        </w:tc>
        <w:tc>
          <w:tcPr>
            <w:tcW w:w="1286" w:type="dxa"/>
            <w:shd w:val="clear" w:color="auto" w:fill="auto"/>
            <w:vAlign w:val="center"/>
          </w:tcPr>
          <w:p w14:paraId="61740844">
            <w:pPr>
              <w:adjustRightInd w:val="0"/>
              <w:snapToGrid w:val="0"/>
              <w:spacing w:line="276" w:lineRule="auto"/>
              <w:jc w:val="left"/>
              <w:rPr>
                <w:rFonts w:hint="default"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课程目标3</w:t>
            </w:r>
          </w:p>
        </w:tc>
      </w:tr>
      <w:tr w14:paraId="2C364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212F40A2">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毕业要求6</w:t>
            </w:r>
          </w:p>
          <w:p w14:paraId="0B3BF61D">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综合育人</w:t>
            </w:r>
          </w:p>
        </w:tc>
        <w:tc>
          <w:tcPr>
            <w:tcW w:w="5914" w:type="dxa"/>
            <w:shd w:val="clear" w:color="auto" w:fill="auto"/>
            <w:vAlign w:val="center"/>
          </w:tcPr>
          <w:p w14:paraId="7C78DBBB">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指标点6-1：【遵循身心规律】了解不同年龄以及有特殊需要的小学生的身心发展特点和规律、不同年龄小学生学习的特点，掌握小学生良好行为习惯养成的知识。</w:t>
            </w:r>
          </w:p>
          <w:p w14:paraId="6473CC07">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指标点6-2：【胜任学科育人】具有教书育人的意识，理解学科核心素养和拟任教学科课程独特的育人功能，在教育教学实践中，具备结合学科教学进行育人的意识与能力，注重学科教学中思想政治教育的渗透。</w:t>
            </w:r>
          </w:p>
          <w:p w14:paraId="220901A1">
            <w:pPr>
              <w:adjustRightInd w:val="0"/>
              <w:snapToGrid w:val="0"/>
              <w:spacing w:line="276" w:lineRule="auto"/>
              <w:rPr>
                <w:rFonts w:hint="eastAsia" w:ascii="等线" w:hAnsi="等线" w:eastAsia="等线" w:cs="Times New Roman"/>
                <w:color w:val="000000"/>
                <w:kern w:val="0"/>
                <w:szCs w:val="21"/>
              </w:rPr>
            </w:pPr>
            <w:r>
              <w:rPr>
                <w:rFonts w:hint="eastAsia" w:ascii="宋体" w:hAnsi="宋体" w:eastAsia="等线" w:cs="宋体"/>
                <w:kern w:val="0"/>
                <w:szCs w:val="21"/>
              </w:rPr>
              <w:t>指标点</w:t>
            </w:r>
            <w:r>
              <w:rPr>
                <w:rFonts w:hint="eastAsia" w:ascii="宋体" w:hAnsi="宋体" w:eastAsia="等线" w:cs="宋体"/>
                <w:szCs w:val="21"/>
              </w:rPr>
              <w:t>6-3：【善于文化与活动育人】了解课外活动组织和管理知识，掌握学校文化和各类课外教育活动的育人内涵和方法，在教育教学实践中，参与组织主题教育、少先队活动和社团活动，促进小学生全面、健康发展。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shd w:val="clear" w:color="auto" w:fill="auto"/>
            <w:vAlign w:val="center"/>
          </w:tcPr>
          <w:p w14:paraId="3FB97AC7">
            <w:pPr>
              <w:adjustRightInd w:val="0"/>
              <w:snapToGrid w:val="0"/>
              <w:spacing w:line="276" w:lineRule="auto"/>
              <w:jc w:val="left"/>
              <w:rPr>
                <w:rFonts w:hint="eastAsia"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课程目标2</w:t>
            </w:r>
          </w:p>
          <w:p w14:paraId="4CB0C0D6">
            <w:pPr>
              <w:adjustRightInd w:val="0"/>
              <w:snapToGrid w:val="0"/>
              <w:spacing w:line="276" w:lineRule="auto"/>
              <w:jc w:val="left"/>
              <w:rPr>
                <w:rFonts w:hint="eastAsia"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kern w:val="0"/>
                <w:szCs w:val="21"/>
                <w:lang w:val="en-US" w:eastAsia="zh-CN"/>
              </w:rPr>
              <w:t>课程目标3</w:t>
            </w:r>
          </w:p>
        </w:tc>
      </w:tr>
      <w:tr w14:paraId="602B6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0559E3B6">
            <w:pPr>
              <w:adjustRightInd w:val="0"/>
              <w:snapToGrid w:val="0"/>
              <w:spacing w:line="276"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毕业要求7</w:t>
            </w:r>
          </w:p>
          <w:p w14:paraId="0E320485">
            <w:pPr>
              <w:adjustRightInd w:val="0"/>
              <w:snapToGrid w:val="0"/>
              <w:spacing w:line="276"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学会反思</w:t>
            </w:r>
          </w:p>
        </w:tc>
        <w:tc>
          <w:tcPr>
            <w:tcW w:w="5914" w:type="dxa"/>
            <w:vAlign w:val="center"/>
          </w:tcPr>
          <w:p w14:paraId="27021A05">
            <w:pPr>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3E4FBD1A">
            <w:pPr>
              <w:adjustRightInd w:val="0"/>
              <w:snapToGrid w:val="0"/>
              <w:spacing w:line="276" w:lineRule="auto"/>
              <w:jc w:val="left"/>
              <w:rPr>
                <w:rFonts w:hint="eastAsia"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课程目标2</w:t>
            </w:r>
          </w:p>
          <w:p w14:paraId="61B38184">
            <w:pPr>
              <w:adjustRightInd w:val="0"/>
              <w:snapToGrid w:val="0"/>
              <w:spacing w:line="276" w:lineRule="auto"/>
              <w:jc w:val="left"/>
              <w:rPr>
                <w:rFonts w:hint="eastAsia"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课程目标3</w:t>
            </w:r>
          </w:p>
          <w:p w14:paraId="4DE8D7C0">
            <w:pPr>
              <w:adjustRightInd w:val="0"/>
              <w:snapToGrid w:val="0"/>
              <w:spacing w:line="276" w:lineRule="auto"/>
              <w:jc w:val="left"/>
              <w:rPr>
                <w:rFonts w:hint="default"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课程目标4</w:t>
            </w:r>
          </w:p>
        </w:tc>
      </w:tr>
      <w:tr w14:paraId="107B9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64A9995A">
            <w:pPr>
              <w:adjustRightInd w:val="0"/>
              <w:snapToGrid w:val="0"/>
              <w:spacing w:line="276"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毕业要求8</w:t>
            </w:r>
          </w:p>
          <w:p w14:paraId="3428E7B6">
            <w:pPr>
              <w:adjustRightInd w:val="0"/>
              <w:snapToGrid w:val="0"/>
              <w:spacing w:line="276"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沟通能力</w:t>
            </w:r>
          </w:p>
        </w:tc>
        <w:tc>
          <w:tcPr>
            <w:tcW w:w="5914" w:type="dxa"/>
            <w:vAlign w:val="center"/>
          </w:tcPr>
          <w:p w14:paraId="295F7EAD">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szCs w:val="21"/>
              </w:rPr>
              <w:t>指标点8-1：【善于团队合作】理解学习共同体的本质和价值，掌握团队协作的基本策略，在课堂学习与教育实践中获得合作学习体验，形成团队协作精神。</w:t>
            </w:r>
          </w:p>
          <w:p w14:paraId="0D6AF1E7">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szCs w:val="21"/>
              </w:rPr>
              <w:t>指标点8-2：【学会沟通交流】掌握人际沟通合作技能与方法，能与学生和家长以及同行、同事、专家进行有效沟通与合作，实现共同发展。</w:t>
            </w:r>
          </w:p>
        </w:tc>
        <w:tc>
          <w:tcPr>
            <w:tcW w:w="1286" w:type="dxa"/>
            <w:vAlign w:val="center"/>
          </w:tcPr>
          <w:p w14:paraId="69A56259">
            <w:pPr>
              <w:shd w:val="clear" w:color="auto" w:fill="FFFFFF"/>
              <w:adjustRightInd w:val="0"/>
              <w:snapToGrid w:val="0"/>
              <w:spacing w:line="276" w:lineRule="auto"/>
              <w:jc w:val="left"/>
              <w:rPr>
                <w:rFonts w:hint="default" w:ascii="Times New Roman" w:hAnsi="Times New Roman" w:eastAsia="宋体" w:cs="Times New Roman"/>
                <w:color w:val="000000"/>
                <w:szCs w:val="23"/>
                <w:lang w:val="en-US" w:eastAsia="zh-CN"/>
              </w:rPr>
            </w:pPr>
            <w:r>
              <w:rPr>
                <w:rFonts w:hint="eastAsia" w:ascii="Times New Roman" w:hAnsi="Times New Roman" w:eastAsia="宋体" w:cs="Times New Roman"/>
                <w:color w:val="000000"/>
                <w:szCs w:val="23"/>
                <w:lang w:val="en-US" w:eastAsia="zh-CN"/>
              </w:rPr>
              <w:t>课程目标4</w:t>
            </w:r>
          </w:p>
        </w:tc>
      </w:tr>
    </w:tbl>
    <w:p w14:paraId="49DE4BFF">
      <w:pPr>
        <w:spacing w:line="360" w:lineRule="auto"/>
        <w:ind w:firstLine="482" w:firstLineChars="200"/>
        <w:outlineLvl w:val="2"/>
        <w:rPr>
          <w:rFonts w:ascii="Times New Roman" w:hAnsi="Times New Roman" w:eastAsia="宋体" w:cs="Times New Roman"/>
          <w:b/>
          <w:bCs/>
          <w:sz w:val="24"/>
          <w:szCs w:val="24"/>
        </w:rPr>
      </w:pPr>
      <w:bookmarkStart w:id="3247" w:name="_Toc25687"/>
      <w:r>
        <w:rPr>
          <w:rFonts w:hint="eastAsia" w:ascii="Times New Roman" w:hAnsi="Times New Roman" w:eastAsia="宋体" w:cs="Times New Roman"/>
          <w:b/>
          <w:bCs/>
          <w:sz w:val="24"/>
          <w:szCs w:val="24"/>
        </w:rPr>
        <w:t>（三）</w:t>
      </w:r>
      <w:r>
        <w:rPr>
          <w:rFonts w:hint="eastAsia" w:ascii="Times New Roman" w:hAnsi="Times New Roman" w:eastAsia="宋体" w:cs="Times New Roman"/>
          <w:b/>
          <w:bCs/>
          <w:sz w:val="24"/>
          <w:szCs w:val="24"/>
          <w:lang w:val="en-US" w:eastAsia="zh-CN"/>
        </w:rPr>
        <w:t>课程</w:t>
      </w:r>
      <w:r>
        <w:rPr>
          <w:rFonts w:hint="eastAsia" w:ascii="Times New Roman" w:hAnsi="Times New Roman" w:eastAsia="宋体" w:cs="Times New Roman"/>
          <w:b/>
          <w:bCs/>
          <w:sz w:val="24"/>
          <w:szCs w:val="24"/>
        </w:rPr>
        <w:t>思政目标</w:t>
      </w:r>
      <w:bookmarkEnd w:id="3247"/>
    </w:p>
    <w:p w14:paraId="22252911">
      <w:pPr>
        <w:spacing w:line="36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1"/>
          <w:szCs w:val="21"/>
          <w:lang w:val="en-US" w:eastAsia="zh-CN"/>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p w14:paraId="79B7D4DF">
      <w:pPr>
        <w:numPr>
          <w:ilvl w:val="0"/>
          <w:numId w:val="34"/>
        </w:num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教学内容与预期学习成效</w:t>
      </w:r>
    </w:p>
    <w:tbl>
      <w:tblPr>
        <w:tblStyle w:val="11"/>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676"/>
        <w:gridCol w:w="1250"/>
        <w:gridCol w:w="3325"/>
        <w:gridCol w:w="867"/>
        <w:gridCol w:w="438"/>
      </w:tblGrid>
      <w:tr w14:paraId="7A45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44537AB0">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32091DD2">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76" w:type="dxa"/>
            <w:vAlign w:val="center"/>
          </w:tcPr>
          <w:p w14:paraId="357627DB">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50" w:type="dxa"/>
            <w:vAlign w:val="center"/>
          </w:tcPr>
          <w:p w14:paraId="0314AD9F">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52673669">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25" w:type="dxa"/>
            <w:vAlign w:val="center"/>
          </w:tcPr>
          <w:p w14:paraId="7EA4AA54">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867" w:type="dxa"/>
            <w:vAlign w:val="center"/>
          </w:tcPr>
          <w:p w14:paraId="309C4C89">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w:t>
            </w:r>
          </w:p>
          <w:p w14:paraId="2B622FB9">
            <w:pPr>
              <w:jc w:val="center"/>
              <w:rPr>
                <w:rFonts w:ascii="宋体" w:hAnsi="宋体" w:eastAsia="宋体" w:cs="Times New Roman"/>
                <w:b/>
                <w:color w:val="000000"/>
                <w:szCs w:val="21"/>
              </w:rPr>
            </w:pPr>
            <w:r>
              <w:rPr>
                <w:rFonts w:hint="eastAsia" w:ascii="宋体" w:hAnsi="宋体" w:eastAsia="宋体" w:cs="Times New Roman"/>
                <w:b/>
                <w:color w:val="000000"/>
                <w:szCs w:val="21"/>
              </w:rPr>
              <w:t>环节</w:t>
            </w:r>
          </w:p>
        </w:tc>
        <w:tc>
          <w:tcPr>
            <w:tcW w:w="438" w:type="dxa"/>
            <w:vAlign w:val="center"/>
          </w:tcPr>
          <w:p w14:paraId="19A172C8">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6AF3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C65A4D1">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1.课堂教学实习</w:t>
            </w:r>
          </w:p>
        </w:tc>
        <w:tc>
          <w:tcPr>
            <w:tcW w:w="2676" w:type="dxa"/>
            <w:vAlign w:val="center"/>
          </w:tcPr>
          <w:p w14:paraId="494F9318">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jc w:val="left"/>
              <w:textAlignment w:val="auto"/>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在实习学校指导</w:t>
            </w:r>
            <w:r>
              <w:rPr>
                <w:rFonts w:hint="eastAsia" w:ascii="宋体" w:hAnsi="宋体" w:eastAsia="宋体" w:cs="Times New Roman"/>
                <w:color w:val="000000"/>
                <w:szCs w:val="21"/>
                <w:lang w:val="en-US" w:eastAsia="zh-CN"/>
              </w:rPr>
              <w:t>教</w:t>
            </w:r>
            <w:r>
              <w:rPr>
                <w:rFonts w:hint="default" w:ascii="宋体" w:hAnsi="宋体" w:eastAsia="宋体" w:cs="Times New Roman"/>
                <w:color w:val="000000"/>
                <w:szCs w:val="21"/>
                <w:lang w:val="en-US" w:eastAsia="zh-CN"/>
              </w:rPr>
              <w:t>师和本校带队老师的指导下，从事备课、上课、听课、评课、说课、课后辅导、批改作业与讲评、组织第二课堂活动、课件制作等教学工作实践。</w:t>
            </w:r>
          </w:p>
        </w:tc>
        <w:tc>
          <w:tcPr>
            <w:tcW w:w="1250" w:type="dxa"/>
            <w:vAlign w:val="center"/>
          </w:tcPr>
          <w:p w14:paraId="43FDF278">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2、4</w:t>
            </w:r>
          </w:p>
        </w:tc>
        <w:tc>
          <w:tcPr>
            <w:tcW w:w="3325" w:type="dxa"/>
            <w:vAlign w:val="center"/>
          </w:tcPr>
          <w:p w14:paraId="6B288A10">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每个实习生按照实习计划认真备课，独立编写教案，在上课前三天将教案递交指导师审阅，并通过反复试教再正式上课。要求保质保量地完成教学任务；</w:t>
            </w:r>
          </w:p>
          <w:p w14:paraId="569D0254">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2.听课不少于20节，并做好听课记录、评课记录、反思等相关材料，提交听课记录10节；</w:t>
            </w:r>
          </w:p>
          <w:p w14:paraId="01E8FA0E">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lang w:val="en-US" w:eastAsia="zh-CN"/>
              </w:rPr>
              <w:t>3.设计教案4份，试教至少4次，留有过程性材料。</w:t>
            </w:r>
          </w:p>
        </w:tc>
        <w:tc>
          <w:tcPr>
            <w:tcW w:w="867" w:type="dxa"/>
            <w:vAlign w:val="center"/>
          </w:tcPr>
          <w:p w14:paraId="65548100">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编写教案</w:t>
            </w:r>
          </w:p>
          <w:p w14:paraId="4AA7B6C0">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2.上课</w:t>
            </w:r>
          </w:p>
          <w:p w14:paraId="3416B9BC">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3.听课</w:t>
            </w:r>
          </w:p>
          <w:p w14:paraId="4923391A">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4.评课</w:t>
            </w:r>
          </w:p>
          <w:p w14:paraId="031BEB38">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5.教学反思</w:t>
            </w:r>
          </w:p>
          <w:p w14:paraId="07CB3CD3">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p>
        </w:tc>
        <w:tc>
          <w:tcPr>
            <w:tcW w:w="438" w:type="dxa"/>
            <w:vAlign w:val="center"/>
          </w:tcPr>
          <w:p w14:paraId="4A8AF7DA">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80</w:t>
            </w:r>
          </w:p>
        </w:tc>
      </w:tr>
      <w:tr w14:paraId="242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7B2F7E2A">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eastAsia="宋体" w:cs="Times New Roman"/>
                <w:color w:val="000000"/>
                <w:szCs w:val="21"/>
              </w:rPr>
            </w:pPr>
          </w:p>
        </w:tc>
        <w:tc>
          <w:tcPr>
            <w:tcW w:w="8556" w:type="dxa"/>
            <w:gridSpan w:val="5"/>
            <w:vAlign w:val="center"/>
          </w:tcPr>
          <w:p w14:paraId="1AB0E32D">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自觉践行社会主义核心价值观，进一步领会立德树人根本任务，增强学科育人</w:t>
            </w:r>
            <w:r>
              <w:rPr>
                <w:rFonts w:hint="eastAsia" w:ascii="宋体" w:hAnsi="宋体" w:eastAsia="宋体" w:cs="Times New Roman"/>
                <w:color w:val="000000"/>
                <w:szCs w:val="21"/>
                <w:lang w:val="en-US" w:eastAsia="zh-CN"/>
              </w:rPr>
              <w:t>的意识</w:t>
            </w:r>
            <w:r>
              <w:rPr>
                <w:rFonts w:hint="eastAsia" w:ascii="宋体" w:hAnsi="宋体" w:eastAsia="宋体" w:cs="Times New Roman"/>
                <w:color w:val="000000"/>
                <w:szCs w:val="21"/>
              </w:rPr>
              <w:t>；在实践中增进对儿童的认识，体验和感受教师职业的光荣感和责任感；接受职业道德教育和训练，自觉加强师德修养，养成和坚定献身小学教育事业的专业信念。</w:t>
            </w:r>
          </w:p>
        </w:tc>
      </w:tr>
      <w:tr w14:paraId="4C83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719632ED">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2.班队工作实习</w:t>
            </w:r>
          </w:p>
        </w:tc>
        <w:tc>
          <w:tcPr>
            <w:tcW w:w="2676" w:type="dxa"/>
            <w:vAlign w:val="center"/>
          </w:tcPr>
          <w:p w14:paraId="511B4697">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（1）在班主任和辅导员的指导下，根据班队计划，学做学生的思想工作，从事日常管理和组织班队活动等工作；</w:t>
            </w:r>
          </w:p>
          <w:p w14:paraId="69A789D1">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（2）主动配合实习学校开展各项活动。</w:t>
            </w:r>
          </w:p>
        </w:tc>
        <w:tc>
          <w:tcPr>
            <w:tcW w:w="1250" w:type="dxa"/>
            <w:vAlign w:val="center"/>
          </w:tcPr>
          <w:p w14:paraId="1B6C99F9">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25" w:type="dxa"/>
            <w:vAlign w:val="center"/>
          </w:tcPr>
          <w:p w14:paraId="48324BD5">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做好班队活动或班级管理观察记录4份</w:t>
            </w:r>
            <w:r>
              <w:rPr>
                <w:rFonts w:hint="eastAsia" w:ascii="宋体" w:hAnsi="宋体" w:eastAsia="宋体" w:cs="Times New Roman"/>
                <w:color w:val="000000"/>
                <w:szCs w:val="21"/>
                <w:lang w:eastAsia="zh-CN"/>
              </w:rPr>
              <w:t>；</w:t>
            </w:r>
          </w:p>
          <w:p w14:paraId="4BACF99C">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设计主题班会或班队活动2份，实施至少1次。</w:t>
            </w:r>
          </w:p>
        </w:tc>
        <w:tc>
          <w:tcPr>
            <w:tcW w:w="867" w:type="dxa"/>
            <w:vAlign w:val="center"/>
          </w:tcPr>
          <w:p w14:paraId="6ECCEFCD">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班队活动</w:t>
            </w:r>
          </w:p>
          <w:p w14:paraId="2989FF49">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班级日常管理</w:t>
            </w:r>
          </w:p>
        </w:tc>
        <w:tc>
          <w:tcPr>
            <w:tcW w:w="438" w:type="dxa"/>
            <w:vAlign w:val="center"/>
          </w:tcPr>
          <w:p w14:paraId="4F12722A">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60</w:t>
            </w:r>
          </w:p>
        </w:tc>
      </w:tr>
      <w:tr w14:paraId="7DFF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5F0D6616">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eastAsia="宋体" w:cs="Times New Roman"/>
                <w:color w:val="000000"/>
                <w:szCs w:val="21"/>
              </w:rPr>
            </w:pPr>
          </w:p>
        </w:tc>
        <w:tc>
          <w:tcPr>
            <w:tcW w:w="8556" w:type="dxa"/>
            <w:gridSpan w:val="5"/>
            <w:vAlign w:val="center"/>
          </w:tcPr>
          <w:p w14:paraId="7C591C3A">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自觉践行社会主义核心价值观，进一步领会立德树人根本任务，增强</w:t>
            </w:r>
            <w:r>
              <w:rPr>
                <w:rFonts w:hint="eastAsia" w:ascii="宋体" w:hAnsi="宋体" w:eastAsia="宋体" w:cs="Times New Roman"/>
                <w:b w:val="0"/>
                <w:bCs/>
                <w:color w:val="000000"/>
                <w:szCs w:val="21"/>
                <w:lang w:val="en-US" w:eastAsia="zh-CN"/>
              </w:rPr>
              <w:t>文化</w:t>
            </w:r>
            <w:r>
              <w:rPr>
                <w:rFonts w:hint="eastAsia" w:ascii="宋体" w:hAnsi="宋体" w:eastAsia="宋体" w:cs="Times New Roman"/>
                <w:b w:val="0"/>
                <w:bCs/>
                <w:color w:val="000000"/>
                <w:szCs w:val="21"/>
              </w:rPr>
              <w:t>育人</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lang w:val="en-US" w:eastAsia="zh-CN"/>
              </w:rPr>
              <w:t>活动育人的意识</w:t>
            </w:r>
            <w:r>
              <w:rPr>
                <w:rFonts w:hint="eastAsia" w:ascii="宋体" w:hAnsi="宋体" w:eastAsia="宋体" w:cs="Times New Roman"/>
                <w:b w:val="0"/>
                <w:bCs/>
                <w:color w:val="000000"/>
                <w:szCs w:val="21"/>
              </w:rPr>
              <w:t>；在实践中增进对儿童的认识，体验和感受教师职业的光荣感和责任感；接受职业道德教育和训练，自觉加强师德修养，养成和坚定献身小学教育事业的专业信念。</w:t>
            </w:r>
          </w:p>
        </w:tc>
      </w:tr>
      <w:tr w14:paraId="6402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1FBE61C1">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3教育调查</w:t>
            </w:r>
          </w:p>
        </w:tc>
        <w:tc>
          <w:tcPr>
            <w:tcW w:w="2676" w:type="dxa"/>
            <w:vAlign w:val="center"/>
          </w:tcPr>
          <w:p w14:paraId="2066000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（1）了解实习学校的历史、现状及贯彻党的教育方针和政策的情况。</w:t>
            </w:r>
          </w:p>
          <w:p w14:paraId="6206B6F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（2）调查优秀教师的先进事迹、教育教学经验及教育改革的情况。</w:t>
            </w:r>
          </w:p>
          <w:p w14:paraId="5152BEB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（3）研究教育对象的思想情况、心理特点、学习态度和方法、知识结构和智能水平等德智体</w:t>
            </w:r>
            <w:r>
              <w:rPr>
                <w:rFonts w:hint="eastAsia" w:ascii="宋体" w:hAnsi="宋体" w:eastAsia="宋体" w:cs="Times New Roman"/>
                <w:color w:val="000000"/>
                <w:szCs w:val="21"/>
                <w:lang w:val="en-US" w:eastAsia="zh-CN"/>
              </w:rPr>
              <w:t>美劳</w:t>
            </w:r>
            <w:r>
              <w:rPr>
                <w:rFonts w:hint="eastAsia" w:ascii="宋体" w:hAnsi="宋体" w:eastAsia="宋体" w:cs="Times New Roman"/>
                <w:color w:val="000000"/>
                <w:szCs w:val="21"/>
              </w:rPr>
              <w:t>情况。</w:t>
            </w:r>
          </w:p>
        </w:tc>
        <w:tc>
          <w:tcPr>
            <w:tcW w:w="1250" w:type="dxa"/>
            <w:vAlign w:val="center"/>
          </w:tcPr>
          <w:p w14:paraId="7A5C2F7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25" w:type="dxa"/>
            <w:vAlign w:val="center"/>
          </w:tcPr>
          <w:p w14:paraId="0B16F4C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结合以上调查的开展，撰写教育调查报告1份。</w:t>
            </w:r>
          </w:p>
        </w:tc>
        <w:tc>
          <w:tcPr>
            <w:tcW w:w="867" w:type="dxa"/>
            <w:vAlign w:val="center"/>
          </w:tcPr>
          <w:p w14:paraId="290D526F">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教育调查</w:t>
            </w:r>
          </w:p>
        </w:tc>
        <w:tc>
          <w:tcPr>
            <w:tcW w:w="438" w:type="dxa"/>
            <w:vAlign w:val="center"/>
          </w:tcPr>
          <w:p w14:paraId="43F870F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20</w:t>
            </w:r>
          </w:p>
        </w:tc>
      </w:tr>
      <w:tr w14:paraId="6696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738F430C">
            <w:pPr>
              <w:spacing w:line="264" w:lineRule="auto"/>
              <w:jc w:val="center"/>
              <w:rPr>
                <w:rFonts w:ascii="宋体" w:hAnsi="宋体" w:eastAsia="宋体" w:cs="Times New Roman"/>
                <w:color w:val="000000"/>
                <w:szCs w:val="21"/>
              </w:rPr>
            </w:pPr>
          </w:p>
        </w:tc>
        <w:tc>
          <w:tcPr>
            <w:tcW w:w="8556" w:type="dxa"/>
            <w:gridSpan w:val="5"/>
            <w:vAlign w:val="center"/>
          </w:tcPr>
          <w:p w14:paraId="54A5817A">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tc>
      </w:tr>
    </w:tbl>
    <w:p w14:paraId="3E1123D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sz w:val="28"/>
          <w:szCs w:val="28"/>
        </w:rPr>
      </w:pPr>
      <w:r>
        <w:rPr>
          <w:rFonts w:hint="eastAsia" w:ascii="Times New Roman" w:hAnsi="Times New Roman" w:eastAsia="宋体" w:cs="Times New Roman"/>
          <w:b/>
          <w:bCs/>
          <w:sz w:val="24"/>
          <w:szCs w:val="24"/>
        </w:rPr>
        <w:t>四、目标评价与成绩评定</w:t>
      </w:r>
    </w:p>
    <w:p w14:paraId="5B8C4BB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1BB45E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577568F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767"/>
        <w:gridCol w:w="1520"/>
        <w:gridCol w:w="1140"/>
      </w:tblGrid>
      <w:tr w14:paraId="5021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15B8AE4A">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2C321FAF">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3B85413B">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588E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56C513E2">
            <w:pPr>
              <w:spacing w:line="360" w:lineRule="auto"/>
              <w:jc w:val="center"/>
              <w:rPr>
                <w:rFonts w:ascii="宋体" w:hAnsi="宋体" w:eastAsia="宋体" w:cs="Times New Roman"/>
                <w:szCs w:val="21"/>
              </w:rPr>
            </w:pPr>
          </w:p>
        </w:tc>
        <w:tc>
          <w:tcPr>
            <w:tcW w:w="1525" w:type="dxa"/>
            <w:vAlign w:val="center"/>
          </w:tcPr>
          <w:p w14:paraId="2BE46F0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608" w:type="dxa"/>
            <w:vAlign w:val="center"/>
          </w:tcPr>
          <w:p w14:paraId="2C9E6AF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课堂教学实习</w:t>
            </w:r>
          </w:p>
        </w:tc>
        <w:tc>
          <w:tcPr>
            <w:tcW w:w="1767" w:type="dxa"/>
            <w:vAlign w:val="center"/>
          </w:tcPr>
          <w:p w14:paraId="7A24120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班主任工作实习</w:t>
            </w:r>
          </w:p>
        </w:tc>
        <w:tc>
          <w:tcPr>
            <w:tcW w:w="1520" w:type="dxa"/>
            <w:vAlign w:val="center"/>
          </w:tcPr>
          <w:p w14:paraId="7BBAB020">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教育调查报告</w:t>
            </w:r>
          </w:p>
        </w:tc>
        <w:tc>
          <w:tcPr>
            <w:tcW w:w="1140" w:type="dxa"/>
            <w:vMerge w:val="continue"/>
            <w:vAlign w:val="center"/>
          </w:tcPr>
          <w:p w14:paraId="4420957B">
            <w:pPr>
              <w:spacing w:line="360" w:lineRule="auto"/>
              <w:jc w:val="center"/>
              <w:rPr>
                <w:rFonts w:ascii="宋体" w:hAnsi="宋体" w:eastAsia="宋体" w:cs="Times New Roman"/>
                <w:szCs w:val="21"/>
              </w:rPr>
            </w:pPr>
          </w:p>
        </w:tc>
      </w:tr>
      <w:tr w14:paraId="550D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0C4052C">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525" w:type="dxa"/>
            <w:vAlign w:val="center"/>
          </w:tcPr>
          <w:p w14:paraId="063C01C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1142785E">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767" w:type="dxa"/>
            <w:shd w:val="clear" w:color="auto" w:fill="auto"/>
            <w:vAlign w:val="center"/>
          </w:tcPr>
          <w:p w14:paraId="04508F42">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520" w:type="dxa"/>
            <w:shd w:val="clear" w:color="auto" w:fill="auto"/>
            <w:vAlign w:val="center"/>
          </w:tcPr>
          <w:p w14:paraId="5C201A30">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2FDA8F8B">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w:t>
            </w:r>
          </w:p>
        </w:tc>
      </w:tr>
      <w:tr w14:paraId="1E91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29ECB3B">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525" w:type="dxa"/>
            <w:vAlign w:val="center"/>
          </w:tcPr>
          <w:p w14:paraId="2D6041A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2B945D01">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767" w:type="dxa"/>
            <w:shd w:val="clear" w:color="auto" w:fill="auto"/>
            <w:vAlign w:val="center"/>
          </w:tcPr>
          <w:p w14:paraId="2DF4AEE3">
            <w:pPr>
              <w:spacing w:line="360" w:lineRule="auto"/>
              <w:jc w:val="center"/>
              <w:rPr>
                <w:rFonts w:ascii="宋体" w:hAnsi="宋体" w:eastAsia="宋体" w:cs="Times New Roman"/>
                <w:kern w:val="2"/>
                <w:sz w:val="21"/>
                <w:szCs w:val="21"/>
                <w:lang w:val="en-US" w:eastAsia="zh-CN" w:bidi="ar-SA"/>
              </w:rPr>
            </w:pPr>
          </w:p>
        </w:tc>
        <w:tc>
          <w:tcPr>
            <w:tcW w:w="1520" w:type="dxa"/>
            <w:shd w:val="clear" w:color="auto" w:fill="auto"/>
            <w:vAlign w:val="center"/>
          </w:tcPr>
          <w:p w14:paraId="1FBCE6DA">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781B8FBD">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0</w:t>
            </w:r>
          </w:p>
        </w:tc>
      </w:tr>
      <w:tr w14:paraId="1FEE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86E9B82">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525" w:type="dxa"/>
            <w:vAlign w:val="center"/>
          </w:tcPr>
          <w:p w14:paraId="67E87E1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38BFDA6D">
            <w:pPr>
              <w:spacing w:line="360" w:lineRule="auto"/>
              <w:jc w:val="center"/>
              <w:rPr>
                <w:rFonts w:ascii="宋体" w:hAnsi="宋体" w:eastAsia="宋体" w:cs="Times New Roman"/>
                <w:kern w:val="2"/>
                <w:sz w:val="21"/>
                <w:szCs w:val="21"/>
                <w:lang w:val="en-US" w:eastAsia="zh-CN" w:bidi="ar-SA"/>
              </w:rPr>
            </w:pPr>
          </w:p>
        </w:tc>
        <w:tc>
          <w:tcPr>
            <w:tcW w:w="1767" w:type="dxa"/>
            <w:shd w:val="clear" w:color="auto" w:fill="auto"/>
            <w:vAlign w:val="center"/>
          </w:tcPr>
          <w:p w14:paraId="4958126E">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520" w:type="dxa"/>
            <w:shd w:val="clear" w:color="auto" w:fill="auto"/>
            <w:vAlign w:val="center"/>
          </w:tcPr>
          <w:p w14:paraId="02EF7250">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4AFB3984">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0</w:t>
            </w:r>
          </w:p>
        </w:tc>
      </w:tr>
      <w:tr w14:paraId="7892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9313E0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课程目标4</w:t>
            </w:r>
          </w:p>
        </w:tc>
        <w:tc>
          <w:tcPr>
            <w:tcW w:w="1525" w:type="dxa"/>
            <w:vAlign w:val="center"/>
          </w:tcPr>
          <w:p w14:paraId="45F10A5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0C875371">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767" w:type="dxa"/>
            <w:shd w:val="clear" w:color="auto" w:fill="auto"/>
            <w:vAlign w:val="center"/>
          </w:tcPr>
          <w:p w14:paraId="7BFADEE0">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520" w:type="dxa"/>
            <w:shd w:val="clear" w:color="auto" w:fill="auto"/>
            <w:vAlign w:val="center"/>
          </w:tcPr>
          <w:p w14:paraId="3B9DAD93">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47121EB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6EF7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9A853D7">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525" w:type="dxa"/>
            <w:vAlign w:val="center"/>
          </w:tcPr>
          <w:p w14:paraId="6FBBF59B">
            <w:pPr>
              <w:spacing w:line="360" w:lineRule="auto"/>
              <w:jc w:val="center"/>
              <w:rPr>
                <w:rFonts w:ascii="宋体" w:hAnsi="宋体" w:eastAsia="宋体" w:cs="Times New Roman"/>
                <w:szCs w:val="21"/>
              </w:rPr>
            </w:pPr>
          </w:p>
        </w:tc>
        <w:tc>
          <w:tcPr>
            <w:tcW w:w="1608" w:type="dxa"/>
            <w:vAlign w:val="center"/>
          </w:tcPr>
          <w:p w14:paraId="6B926801">
            <w:pPr>
              <w:spacing w:line="360" w:lineRule="auto"/>
              <w:jc w:val="center"/>
              <w:rPr>
                <w:rFonts w:ascii="宋体" w:hAnsi="宋体" w:eastAsia="宋体" w:cs="Times New Roman"/>
                <w:szCs w:val="21"/>
              </w:rPr>
            </w:pPr>
          </w:p>
        </w:tc>
        <w:tc>
          <w:tcPr>
            <w:tcW w:w="1767" w:type="dxa"/>
            <w:vAlign w:val="center"/>
          </w:tcPr>
          <w:p w14:paraId="43B78440">
            <w:pPr>
              <w:spacing w:line="360" w:lineRule="auto"/>
              <w:jc w:val="center"/>
              <w:rPr>
                <w:rFonts w:ascii="宋体" w:hAnsi="宋体" w:eastAsia="宋体" w:cs="Times New Roman"/>
                <w:szCs w:val="21"/>
              </w:rPr>
            </w:pPr>
          </w:p>
        </w:tc>
        <w:tc>
          <w:tcPr>
            <w:tcW w:w="1520" w:type="dxa"/>
            <w:vAlign w:val="center"/>
          </w:tcPr>
          <w:p w14:paraId="2B8F74B8">
            <w:pPr>
              <w:spacing w:line="360" w:lineRule="auto"/>
              <w:jc w:val="center"/>
              <w:rPr>
                <w:rFonts w:ascii="宋体" w:hAnsi="宋体" w:eastAsia="宋体" w:cs="Times New Roman"/>
                <w:szCs w:val="21"/>
              </w:rPr>
            </w:pPr>
          </w:p>
        </w:tc>
        <w:tc>
          <w:tcPr>
            <w:tcW w:w="1140" w:type="dxa"/>
            <w:vAlign w:val="center"/>
          </w:tcPr>
          <w:p w14:paraId="7FE59ED6">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B9FFED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D89953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BEB5D0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1F71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6D6EF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94C85B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408E16D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DDB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F098E2">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50A415F">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学生出勤情况及工作态度，遵守实习学校规章制度，各类实习报告填写等</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依据</w:t>
            </w:r>
            <w:r>
              <w:rPr>
                <w:rFonts w:hint="eastAsia" w:ascii="Times New Roman" w:hAnsi="Times New Roman" w:eastAsia="宋体" w:cs="Times New Roman"/>
                <w:szCs w:val="21"/>
                <w:lang w:eastAsia="zh-CN"/>
              </w:rPr>
              <w:t>学生的出勤情况，平时工作的进展情况，实习任务完成情况，实习日记、听课记录等实习手册填写</w:t>
            </w:r>
            <w:r>
              <w:rPr>
                <w:rFonts w:hint="eastAsia" w:ascii="Times New Roman" w:hAnsi="Times New Roman" w:eastAsia="宋体" w:cs="Times New Roman"/>
                <w:szCs w:val="21"/>
                <w:lang w:val="en-US" w:eastAsia="zh-CN"/>
              </w:rPr>
              <w:t>等进行评价。</w:t>
            </w:r>
          </w:p>
        </w:tc>
        <w:tc>
          <w:tcPr>
            <w:tcW w:w="1136" w:type="dxa"/>
            <w:vAlign w:val="center"/>
          </w:tcPr>
          <w:p w14:paraId="08731C1F">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067E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07C791BB">
            <w:pP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课堂教学实习</w:t>
            </w:r>
          </w:p>
        </w:tc>
        <w:tc>
          <w:tcPr>
            <w:tcW w:w="7141" w:type="dxa"/>
            <w:shd w:val="clear" w:color="auto" w:fill="auto"/>
            <w:vAlign w:val="center"/>
          </w:tcPr>
          <w:p w14:paraId="54B25BD1">
            <w:pPr>
              <w:widowControl/>
              <w:spacing w:line="264" w:lineRule="auto"/>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1136" w:type="dxa"/>
            <w:shd w:val="clear" w:color="auto" w:fill="auto"/>
            <w:vAlign w:val="center"/>
          </w:tcPr>
          <w:p w14:paraId="28B80998">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rPr>
              <w:t>0%</w:t>
            </w:r>
          </w:p>
        </w:tc>
      </w:tr>
      <w:tr w14:paraId="62BA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3D30DF0">
            <w:pP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班主任工作实习</w:t>
            </w:r>
          </w:p>
        </w:tc>
        <w:tc>
          <w:tcPr>
            <w:tcW w:w="7141" w:type="dxa"/>
            <w:shd w:val="clear" w:color="auto" w:fill="auto"/>
            <w:vAlign w:val="center"/>
          </w:tcPr>
          <w:p w14:paraId="5DA7D2A6">
            <w:pPr>
              <w:spacing w:line="264" w:lineRule="auto"/>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1136" w:type="dxa"/>
            <w:shd w:val="clear" w:color="auto" w:fill="auto"/>
            <w:vAlign w:val="center"/>
          </w:tcPr>
          <w:p w14:paraId="1227DD77">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23E4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25A59610">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教育调查报告</w:t>
            </w:r>
          </w:p>
        </w:tc>
        <w:tc>
          <w:tcPr>
            <w:tcW w:w="7141" w:type="dxa"/>
            <w:shd w:val="clear" w:color="auto" w:fill="auto"/>
            <w:vAlign w:val="center"/>
          </w:tcPr>
          <w:p w14:paraId="145A124B">
            <w:pPr>
              <w:widowControl/>
              <w:spacing w:line="264" w:lineRule="auto"/>
              <w:jc w:val="left"/>
              <w:rPr>
                <w:rFonts w:hint="default" w:ascii="Times New Roman" w:hAnsi="Times New Roman" w:eastAsia="宋体" w:cs="Times New Roman"/>
                <w:kern w:val="2"/>
                <w:sz w:val="21"/>
                <w:szCs w:val="21"/>
                <w:lang w:val="en-US" w:eastAsia="zh-CN" w:bidi="ar-SA"/>
              </w:rPr>
            </w:pPr>
            <w:r>
              <w:rPr>
                <w:rFonts w:hint="eastAsia" w:ascii="宋体" w:hAnsi="宋体" w:eastAsia="宋体" w:cs="宋体"/>
                <w:color w:val="000000"/>
                <w:kern w:val="0"/>
                <w:szCs w:val="21"/>
                <w:lang w:bidi="ar"/>
              </w:rPr>
              <w:t>学生根据对实习学校的调查研究，结合文献检索及查阅资料，写出调查报告。</w:t>
            </w:r>
            <w:r>
              <w:rPr>
                <w:rFonts w:hint="eastAsia" w:ascii="宋体" w:hAnsi="宋体" w:eastAsia="宋体" w:cs="宋体"/>
                <w:color w:val="000000"/>
                <w:kern w:val="0"/>
                <w:szCs w:val="21"/>
                <w:lang w:val="en-US" w:eastAsia="zh-CN" w:bidi="ar"/>
              </w:rPr>
              <w:t>本校带队教师根据</w:t>
            </w:r>
            <w:r>
              <w:rPr>
                <w:rFonts w:hint="eastAsia" w:ascii="宋体" w:hAnsi="宋体" w:eastAsia="宋体" w:cs="宋体"/>
                <w:color w:val="000000"/>
                <w:kern w:val="0"/>
                <w:szCs w:val="21"/>
                <w:lang w:bidi="ar"/>
              </w:rPr>
              <w:t>调查报告内容</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符合教育实习要求，能</w:t>
            </w:r>
            <w:r>
              <w:rPr>
                <w:rFonts w:hint="eastAsia" w:ascii="宋体" w:hAnsi="宋体" w:eastAsia="宋体" w:cs="宋体"/>
                <w:color w:val="000000"/>
                <w:kern w:val="0"/>
                <w:szCs w:val="21"/>
                <w:lang w:val="en-US" w:eastAsia="zh-CN" w:bidi="ar"/>
              </w:rPr>
              <w:t>否</w:t>
            </w:r>
            <w:r>
              <w:rPr>
                <w:rFonts w:hint="eastAsia" w:ascii="宋体" w:hAnsi="宋体" w:eastAsia="宋体" w:cs="宋体"/>
                <w:color w:val="000000"/>
                <w:kern w:val="0"/>
                <w:szCs w:val="21"/>
                <w:lang w:bidi="ar"/>
              </w:rPr>
              <w:t>就学校中的教育现象展开调查，内容</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明确，方法</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正确，条理</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清楚，</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有自己的观点</w:t>
            </w:r>
            <w:r>
              <w:rPr>
                <w:rFonts w:hint="eastAsia" w:ascii="宋体" w:hAnsi="宋体" w:eastAsia="宋体" w:cs="宋体"/>
                <w:color w:val="000000"/>
                <w:kern w:val="0"/>
                <w:szCs w:val="21"/>
                <w:lang w:val="en-US" w:eastAsia="zh-CN" w:bidi="ar"/>
              </w:rPr>
              <w:t>等进行评价。</w:t>
            </w:r>
          </w:p>
        </w:tc>
        <w:tc>
          <w:tcPr>
            <w:tcW w:w="1136" w:type="dxa"/>
            <w:shd w:val="clear" w:color="auto" w:fill="auto"/>
            <w:vAlign w:val="center"/>
          </w:tcPr>
          <w:p w14:paraId="367C9637">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w:t>
            </w:r>
          </w:p>
        </w:tc>
      </w:tr>
      <w:tr w14:paraId="0747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354416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65A7BBB3">
            <w:pPr>
              <w:jc w:val="left"/>
              <w:rPr>
                <w:rFonts w:ascii="Times New Roman" w:hAnsi="Times New Roman" w:eastAsia="宋体" w:cs="Times New Roman"/>
                <w:szCs w:val="21"/>
              </w:rPr>
            </w:pPr>
          </w:p>
        </w:tc>
        <w:tc>
          <w:tcPr>
            <w:tcW w:w="1136" w:type="dxa"/>
            <w:vAlign w:val="center"/>
          </w:tcPr>
          <w:p w14:paraId="1E89F21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31A526E">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6F6BC32">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DA5FD0E">
      <w:pPr>
        <w:spacing w:line="336" w:lineRule="auto"/>
        <w:ind w:firstLine="420" w:firstLineChars="200"/>
        <w:rPr>
          <w:rFonts w:hint="eastAsia" w:ascii="宋体" w:hAnsi="宋体" w:eastAsia="宋体" w:cs="Times New Roman"/>
          <w:b/>
          <w:color w:val="000000"/>
          <w:sz w:val="24"/>
          <w:szCs w:val="24"/>
        </w:rPr>
      </w:pPr>
      <w:r>
        <w:rPr>
          <w:rFonts w:ascii="宋体" w:hAnsi="宋体" w:eastAsia="宋体" w:cs="Times New Roman"/>
          <w:color w:val="000000"/>
          <w:szCs w:val="21"/>
        </w:rPr>
        <w:object>
          <v:shape id="_x0000_i1086" o:spt="75" type="#_x0000_t75" style="height:25.05pt;width:404.45pt;" o:ole="t" filled="f" o:preferrelative="t" stroked="f" coordsize="21600,21600">
            <v:path/>
            <v:fill on="f" focussize="0,0"/>
            <v:stroke on="f"/>
            <v:imagedata r:id="rId5" o:title=""/>
            <o:lock v:ext="edit" aspectratio="t"/>
            <w10:wrap type="none"/>
            <w10:anchorlock/>
          </v:shape>
          <o:OLEObject Type="Embed" ProgID="Equation.3" ShapeID="_x0000_i1086" DrawAspect="Content" ObjectID="_1468075786" r:id="rId69">
            <o:LockedField>false</o:LockedField>
          </o:OLEObject>
        </w:object>
      </w:r>
      <w:r>
        <w:rPr>
          <w:rFonts w:hint="eastAsia" w:ascii="宋体" w:hAnsi="宋体" w:eastAsia="宋体" w:cs="Times New Roman"/>
          <w:b/>
          <w:color w:val="000000"/>
          <w:sz w:val="24"/>
          <w:szCs w:val="24"/>
        </w:rPr>
        <w:t>五、课程参考书</w:t>
      </w:r>
    </w:p>
    <w:p w14:paraId="39859631">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1．义务教育各学科课程标准，2022</w:t>
      </w:r>
    </w:p>
    <w:p w14:paraId="30DE9A61">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2．部编版小学各年级教材。</w:t>
      </w:r>
    </w:p>
    <w:p w14:paraId="5CD01FA5">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3．苗凤华．教育实习指南．科学出版社，2018.</w:t>
      </w:r>
    </w:p>
    <w:p w14:paraId="44422446">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4. 侯宏业，薛微微.小学教育实习手册.南京大学出版社，2021.</w:t>
      </w:r>
    </w:p>
    <w:p w14:paraId="529C857C">
      <w:pPr>
        <w:autoSpaceDE w:val="0"/>
        <w:autoSpaceDN w:val="0"/>
        <w:adjustRightInd w:val="0"/>
        <w:spacing w:line="360" w:lineRule="auto"/>
        <w:jc w:val="right"/>
        <w:rPr>
          <w:rFonts w:ascii="宋体" w:hAnsi="宋体" w:eastAsia="宋体" w:cs="Times New Roman"/>
          <w:kern w:val="0"/>
          <w:sz w:val="24"/>
          <w:szCs w:val="21"/>
        </w:rPr>
      </w:pPr>
    </w:p>
    <w:p w14:paraId="74F483E2">
      <w:pPr>
        <w:autoSpaceDE w:val="0"/>
        <w:autoSpaceDN w:val="0"/>
        <w:adjustRightInd w:val="0"/>
        <w:spacing w:line="360" w:lineRule="auto"/>
        <w:jc w:val="right"/>
        <w:rPr>
          <w:rFonts w:ascii="宋体" w:hAnsi="宋体" w:eastAsia="宋体" w:cs="Times New Roman"/>
          <w:kern w:val="0"/>
          <w:sz w:val="24"/>
          <w:szCs w:val="21"/>
        </w:rPr>
      </w:pPr>
    </w:p>
    <w:p w14:paraId="08960BA8">
      <w:pPr>
        <w:autoSpaceDE w:val="0"/>
        <w:autoSpaceDN w:val="0"/>
        <w:adjustRightInd w:val="0"/>
        <w:spacing w:line="360" w:lineRule="auto"/>
        <w:jc w:val="right"/>
        <w:rPr>
          <w:rFonts w:hint="eastAsia" w:ascii="宋体" w:hAnsi="宋体" w:eastAsia="宋体" w:cs="Times New Roman"/>
          <w:kern w:val="0"/>
          <w:sz w:val="24"/>
          <w:szCs w:val="21"/>
          <w:lang w:eastAsia="zh-CN"/>
        </w:rPr>
      </w:pPr>
      <w:r>
        <w:rPr>
          <w:rFonts w:ascii="宋体" w:hAnsi="宋体" w:eastAsia="宋体" w:cs="Times New Roman"/>
          <w:kern w:val="0"/>
          <w:sz w:val="24"/>
          <w:szCs w:val="21"/>
        </w:rPr>
        <w:t>执笔人：</w:t>
      </w:r>
      <w:r>
        <w:rPr>
          <w:rFonts w:hint="eastAsia" w:ascii="宋体" w:hAnsi="宋体" w:eastAsia="宋体" w:cs="Times New Roman"/>
          <w:kern w:val="0"/>
          <w:sz w:val="24"/>
          <w:szCs w:val="21"/>
          <w:lang w:val="en-US" w:eastAsia="zh-CN"/>
        </w:rPr>
        <w:t>姚玉香</w:t>
      </w:r>
    </w:p>
    <w:p w14:paraId="1C66196B">
      <w:pPr>
        <w:autoSpaceDE w:val="0"/>
        <w:autoSpaceDN w:val="0"/>
        <w:adjustRightInd w:val="0"/>
        <w:spacing w:line="360" w:lineRule="auto"/>
        <w:jc w:val="right"/>
        <w:rPr>
          <w:rFonts w:ascii="宋体" w:hAnsi="宋体" w:eastAsia="宋体" w:cs="Times New Roman"/>
          <w:kern w:val="0"/>
          <w:sz w:val="24"/>
          <w:szCs w:val="21"/>
        </w:rPr>
      </w:pPr>
      <w:r>
        <w:rPr>
          <w:rFonts w:hint="eastAsia" w:ascii="宋体" w:hAnsi="宋体" w:eastAsia="宋体" w:cs="Times New Roman"/>
          <w:kern w:val="0"/>
          <w:sz w:val="24"/>
          <w:szCs w:val="21"/>
        </w:rPr>
        <w:t>审定人：王  健</w:t>
      </w:r>
    </w:p>
    <w:p w14:paraId="06ECD7EF">
      <w:pPr>
        <w:autoSpaceDE w:val="0"/>
        <w:autoSpaceDN w:val="0"/>
        <w:adjustRightInd w:val="0"/>
        <w:spacing w:line="360" w:lineRule="auto"/>
        <w:jc w:val="right"/>
        <w:rPr>
          <w:rFonts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7895CD07">
      <w:pPr>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4</w:t>
      </w:r>
      <w:r>
        <w:rPr>
          <w:rFonts w:hint="eastAsia" w:ascii="宋体" w:hAnsi="宋体" w:eastAsia="宋体" w:cs="Times New Roman"/>
          <w:kern w:val="0"/>
          <w:sz w:val="24"/>
          <w:szCs w:val="21"/>
        </w:rPr>
        <w:t>年</w:t>
      </w:r>
      <w:r>
        <w:rPr>
          <w:rFonts w:hint="eastAsia" w:ascii="宋体" w:hAnsi="宋体" w:eastAsia="宋体" w:cs="Times New Roman"/>
          <w:kern w:val="0"/>
          <w:sz w:val="24"/>
          <w:szCs w:val="21"/>
          <w:lang w:val="en-US" w:eastAsia="zh-CN"/>
        </w:rPr>
        <w:t>9</w:t>
      </w:r>
      <w:r>
        <w:rPr>
          <w:rFonts w:hint="eastAsia" w:ascii="宋体" w:hAnsi="宋体" w:eastAsia="宋体" w:cs="Times New Roman"/>
          <w:kern w:val="0"/>
          <w:sz w:val="24"/>
          <w:szCs w:val="21"/>
        </w:rPr>
        <w:t>月</w:t>
      </w:r>
      <w:r>
        <w:rPr>
          <w:rFonts w:hint="eastAsia" w:ascii="宋体" w:hAnsi="宋体" w:eastAsia="宋体" w:cs="Times New Roman"/>
          <w:kern w:val="0"/>
          <w:sz w:val="24"/>
          <w:szCs w:val="21"/>
          <w:lang w:val="en-US" w:eastAsia="zh-CN"/>
        </w:rPr>
        <w:t>1</w:t>
      </w:r>
      <w:r>
        <w:rPr>
          <w:rFonts w:hint="eastAsia" w:ascii="宋体" w:hAnsi="宋体" w:eastAsia="宋体" w:cs="Times New Roman"/>
          <w:kern w:val="0"/>
          <w:sz w:val="24"/>
          <w:szCs w:val="21"/>
        </w:rPr>
        <w:t>日</w:t>
      </w:r>
    </w:p>
    <w:p w14:paraId="23725CBC">
      <w:pPr>
        <w:rPr>
          <w:rFonts w:hint="eastAsia" w:ascii="Times New Roman" w:hAnsi="Times New Roman" w:eastAsia="宋体" w:cs="Times New Roman"/>
          <w:b/>
          <w:bCs/>
          <w:sz w:val="30"/>
          <w:szCs w:val="24"/>
        </w:rPr>
      </w:pPr>
      <w:bookmarkStart w:id="3248" w:name="_Toc57017207"/>
      <w:bookmarkStart w:id="3249" w:name="_Toc88424559"/>
      <w:r>
        <w:rPr>
          <w:rFonts w:hint="eastAsia" w:ascii="Times New Roman" w:hAnsi="Times New Roman" w:eastAsia="宋体" w:cs="Times New Roman"/>
          <w:b/>
          <w:bCs/>
          <w:sz w:val="30"/>
          <w:szCs w:val="24"/>
        </w:rPr>
        <w:br w:type="page"/>
      </w:r>
    </w:p>
    <w:p w14:paraId="0B60B7E3">
      <w:pPr>
        <w:pStyle w:val="2"/>
        <w:bidi w:val="0"/>
      </w:pPr>
      <w:bookmarkStart w:id="3250" w:name="_Toc28086"/>
      <w:r>
        <w:rPr>
          <w:rFonts w:hint="eastAsia"/>
          <w:lang w:eastAsia="zh-CN"/>
        </w:rPr>
        <w:t>《</w:t>
      </w:r>
      <w:r>
        <w:rPr>
          <w:rFonts w:hint="eastAsia"/>
        </w:rPr>
        <w:t>教育研习</w:t>
      </w:r>
      <w:r>
        <w:rPr>
          <w:rFonts w:hint="eastAsia"/>
          <w:lang w:eastAsia="zh-CN"/>
        </w:rPr>
        <w:t>》</w:t>
      </w:r>
      <w:r>
        <w:rPr>
          <w:rFonts w:hint="eastAsia"/>
        </w:rPr>
        <w:t>课程</w:t>
      </w:r>
      <w:r>
        <w:t>教学大纲</w:t>
      </w:r>
      <w:bookmarkEnd w:id="3248"/>
      <w:bookmarkEnd w:id="3249"/>
      <w:bookmarkEnd w:id="3250"/>
    </w:p>
    <w:p w14:paraId="32DAA6AD">
      <w:pPr>
        <w:pStyle w:val="2"/>
        <w:bidi w:val="0"/>
      </w:pPr>
      <w:bookmarkStart w:id="3251" w:name="_Toc20821"/>
      <w:bookmarkStart w:id="3252" w:name="_Toc1544"/>
      <w:r>
        <w:t>（Research in Education）</w:t>
      </w:r>
      <w:bookmarkEnd w:id="3251"/>
      <w:bookmarkEnd w:id="3252"/>
    </w:p>
    <w:p w14:paraId="1B5AD94B">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一、课程概况</w:t>
      </w:r>
    </w:p>
    <w:p w14:paraId="6D83E953">
      <w:pPr>
        <w:spacing w:line="360" w:lineRule="auto"/>
        <w:ind w:firstLine="482" w:firstLineChars="200"/>
        <w:rPr>
          <w:rFonts w:ascii="宋体" w:hAnsi="Times New Roman" w:eastAsia="宋体" w:cs="Times New Roman"/>
          <w:b/>
          <w:sz w:val="24"/>
          <w:szCs w:val="24"/>
        </w:rPr>
      </w:pPr>
      <w:r>
        <w:rPr>
          <w:rFonts w:hint="eastAsia" w:ascii="宋体" w:hAnsi="宋体" w:eastAsia="宋体" w:cs="Times New Roman"/>
          <w:b/>
          <w:bCs/>
          <w:kern w:val="0"/>
          <w:sz w:val="24"/>
          <w:szCs w:val="24"/>
        </w:rPr>
        <w:t>课程代码</w:t>
      </w:r>
      <w:r>
        <w:rPr>
          <w:rFonts w:hint="eastAsia" w:ascii="宋体" w:hAnsi="宋体" w:eastAsia="宋体" w:cs="Times New Roman"/>
          <w:b/>
          <w:kern w:val="0"/>
          <w:sz w:val="24"/>
          <w:szCs w:val="24"/>
        </w:rPr>
        <w:t>：24010</w:t>
      </w:r>
      <w:r>
        <w:rPr>
          <w:rFonts w:ascii="宋体" w:hAnsi="宋体" w:eastAsia="宋体" w:cs="Times New Roman"/>
          <w:b/>
          <w:kern w:val="0"/>
          <w:sz w:val="24"/>
          <w:szCs w:val="24"/>
        </w:rPr>
        <w:t>68</w:t>
      </w:r>
    </w:p>
    <w:p w14:paraId="3297B8F1">
      <w:pPr>
        <w:spacing w:line="360" w:lineRule="auto"/>
        <w:ind w:firstLine="482" w:firstLineChars="200"/>
        <w:rPr>
          <w:rFonts w:hint="eastAsia"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color w:val="000000"/>
          <w:kern w:val="0"/>
          <w:sz w:val="24"/>
          <w:szCs w:val="24"/>
        </w:rPr>
        <w:t>1</w:t>
      </w:r>
    </w:p>
    <w:p w14:paraId="15B8712F">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时：2周</w:t>
      </w:r>
    </w:p>
    <w:p w14:paraId="6BFC9233">
      <w:pPr>
        <w:spacing w:line="360" w:lineRule="auto"/>
        <w:ind w:firstLine="482" w:firstLineChars="200"/>
        <w:rPr>
          <w:rFonts w:ascii="宋体" w:hAnsi="Times New Roman" w:eastAsia="宋体" w:cs="Times New Roman"/>
          <w:color w:val="000000"/>
          <w:sz w:val="24"/>
          <w:szCs w:val="24"/>
        </w:rPr>
      </w:pPr>
      <w:r>
        <w:rPr>
          <w:rFonts w:hint="eastAsia" w:ascii="宋体" w:hAnsi="宋体" w:eastAsia="宋体" w:cs="Times New Roman"/>
          <w:b/>
          <w:bCs/>
          <w:color w:val="000000"/>
          <w:kern w:val="0"/>
          <w:sz w:val="24"/>
          <w:szCs w:val="24"/>
        </w:rPr>
        <w:t>先修课程：</w:t>
      </w:r>
      <w:r>
        <w:rPr>
          <w:rFonts w:ascii="宋体" w:hAnsi="宋体" w:eastAsia="宋体" w:cs="Times New Roman"/>
          <w:color w:val="000000"/>
          <w:kern w:val="0"/>
          <w:sz w:val="24"/>
          <w:szCs w:val="24"/>
        </w:rPr>
        <w:t>现代教育技术、教育哲学、教育社会学，以及部分数学/中文类课程</w:t>
      </w:r>
      <w:r>
        <w:rPr>
          <w:rFonts w:hint="eastAsia" w:ascii="宋体" w:hAnsi="宋体" w:eastAsia="宋体" w:cs="Times New Roman"/>
          <w:color w:val="000000"/>
          <w:kern w:val="0"/>
          <w:sz w:val="24"/>
          <w:szCs w:val="24"/>
        </w:rPr>
        <w:t>、教育研习Ⅰ、教育研习Ⅱ、教学实训等。</w:t>
      </w:r>
    </w:p>
    <w:p w14:paraId="482D9343">
      <w:pPr>
        <w:spacing w:line="360" w:lineRule="auto"/>
        <w:ind w:firstLine="482" w:firstLineChars="200"/>
        <w:rPr>
          <w:rFonts w:hint="eastAsia"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color w:val="000000"/>
          <w:kern w:val="0"/>
          <w:sz w:val="24"/>
          <w:szCs w:val="24"/>
        </w:rPr>
        <w:t>小学教育（文）、小学教育（理）</w:t>
      </w:r>
      <w:r>
        <w:rPr>
          <w:rFonts w:ascii="宋体" w:hAnsi="宋体" w:eastAsia="宋体" w:cs="Times New Roman"/>
          <w:color w:val="000000"/>
          <w:kern w:val="0"/>
          <w:sz w:val="24"/>
          <w:szCs w:val="24"/>
        </w:rPr>
        <w:t xml:space="preserve"> </w:t>
      </w:r>
    </w:p>
    <w:p w14:paraId="431B0541">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Cs/>
          <w:color w:val="000000"/>
          <w:kern w:val="0"/>
          <w:sz w:val="24"/>
          <w:szCs w:val="24"/>
        </w:rPr>
        <w:t>研习手册（自编）</w:t>
      </w:r>
    </w:p>
    <w:p w14:paraId="2DBFFB27">
      <w:pPr>
        <w:spacing w:line="360" w:lineRule="auto"/>
        <w:ind w:firstLine="482" w:firstLineChars="200"/>
        <w:rPr>
          <w:rFonts w:ascii="宋体" w:hAnsi="Times New Roman" w:eastAsia="宋体" w:cs="Times New Roman"/>
          <w:b/>
          <w:bCs/>
          <w:color w:val="000000"/>
          <w:kern w:val="0"/>
          <w:sz w:val="24"/>
          <w:szCs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bCs/>
          <w:color w:val="000000"/>
          <w:kern w:val="0"/>
          <w:sz w:val="24"/>
          <w:szCs w:val="24"/>
        </w:rPr>
        <w:t>师范</w:t>
      </w:r>
      <w:r>
        <w:rPr>
          <w:rFonts w:hint="eastAsia" w:ascii="宋体" w:hAnsi="宋体" w:eastAsia="宋体" w:cs="Times New Roman"/>
          <w:color w:val="000000"/>
          <w:kern w:val="0"/>
          <w:sz w:val="24"/>
          <w:szCs w:val="24"/>
        </w:rPr>
        <w:t>学院</w:t>
      </w:r>
    </w:p>
    <w:p w14:paraId="7DCEA0CE">
      <w:pPr>
        <w:spacing w:line="360" w:lineRule="auto"/>
        <w:ind w:firstLine="482" w:firstLineChars="200"/>
        <w:rPr>
          <w:rFonts w:hint="eastAsia" w:ascii="华文楷体" w:hAnsi="华文楷体" w:eastAsia="华文楷体" w:cs="宋体"/>
          <w:color w:val="000000" w:themeColor="text1"/>
          <w:kern w:val="0"/>
          <w:sz w:val="20"/>
          <w:szCs w:val="20"/>
          <w14:textFill>
            <w14:solidFill>
              <w14:schemeClr w14:val="tx1"/>
            </w14:solidFill>
          </w14:textFill>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color w:val="000000" w:themeColor="text1"/>
          <w:kern w:val="0"/>
          <w:sz w:val="24"/>
          <w:szCs w:val="24"/>
          <w14:textFill>
            <w14:solidFill>
              <w14:schemeClr w14:val="tx1"/>
            </w14:solidFill>
          </w14:textFill>
        </w:rPr>
        <w:t>教育研习是小学教育专业集中实践教学的一门可成。本课程的任务和目的是使学生全面获得教育教学体验，对教师职</w:t>
      </w:r>
      <w:r>
        <w:rPr>
          <w:rFonts w:ascii="宋体" w:hAnsi="宋体" w:eastAsia="宋体" w:cs="Times New Roman"/>
          <w:color w:val="000000" w:themeColor="text1"/>
          <w:kern w:val="0"/>
          <w:sz w:val="24"/>
          <w:szCs w:val="24"/>
          <w14:textFill>
            <w14:solidFill>
              <w14:schemeClr w14:val="tx1"/>
            </w14:solidFill>
          </w14:textFill>
        </w:rPr>
        <w:t>业的专业化过程中出现的有关问题进行分析、探讨和研究，在理论和实践的互动中提高反思能力和研究能力，进而提升自己的职业技能水平，以便更好地适应将来的教师工作。它是以实践为基础、以研究为主要特点的学习活动，贯穿在“实践中研究、在研究中实践”这一基本原则。</w:t>
      </w:r>
      <w:r>
        <w:rPr>
          <w:rFonts w:hint="eastAsia" w:ascii="宋体" w:hAnsi="宋体" w:eastAsia="宋体" w:cs="Times New Roman"/>
          <w:color w:val="000000" w:themeColor="text1"/>
          <w:kern w:val="0"/>
          <w:sz w:val="24"/>
          <w:szCs w:val="24"/>
          <w14:textFill>
            <w14:solidFill>
              <w14:schemeClr w14:val="tx1"/>
            </w14:solidFill>
          </w14:textFill>
        </w:rPr>
        <w:t>建立正确的教学评价观、团队协作观，坚持综合育人、全面发展的教育理念。</w:t>
      </w:r>
    </w:p>
    <w:p w14:paraId="5956D28D">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二、课程目标</w:t>
      </w:r>
    </w:p>
    <w:p w14:paraId="2676E4D3">
      <w:pPr>
        <w:spacing w:line="360" w:lineRule="auto"/>
        <w:ind w:firstLine="480" w:firstLineChars="200"/>
        <w:jc w:val="lef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 xml:space="preserve">1. </w:t>
      </w:r>
      <w:r>
        <w:rPr>
          <w:rFonts w:hint="eastAsia" w:ascii="宋体" w:hAnsi="宋体" w:eastAsia="宋体" w:cs="Times New Roman"/>
          <w:color w:val="000000" w:themeColor="text1"/>
          <w:sz w:val="24"/>
          <w:szCs w:val="24"/>
          <w14:textFill>
            <w14:solidFill>
              <w14:schemeClr w14:val="tx1"/>
            </w14:solidFill>
          </w14:textFill>
        </w:rPr>
        <w:t>通过教育研习，初步掌握反思方法与技能，具有一定创新意识，能够运用批判性思维方法</w:t>
      </w:r>
      <w:r>
        <w:rPr>
          <w:rFonts w:ascii="宋体" w:hAnsi="宋体" w:eastAsia="宋体" w:cs="Times New Roman"/>
          <w:color w:val="000000" w:themeColor="text1"/>
          <w:sz w:val="24"/>
          <w:szCs w:val="24"/>
          <w14:textFill>
            <w14:solidFill>
              <w14:schemeClr w14:val="tx1"/>
            </w14:solidFill>
          </w14:textFill>
        </w:rPr>
        <w:t>发现、分析和解决教育</w:t>
      </w:r>
      <w:r>
        <w:rPr>
          <w:rFonts w:hint="eastAsia" w:ascii="宋体" w:hAnsi="宋体" w:eastAsia="宋体" w:cs="Times New Roman"/>
          <w:color w:val="000000" w:themeColor="text1"/>
          <w:sz w:val="24"/>
          <w:szCs w:val="24"/>
          <w14:textFill>
            <w14:solidFill>
              <w14:schemeClr w14:val="tx1"/>
            </w14:solidFill>
          </w14:textFill>
        </w:rPr>
        <w:t>学习和</w:t>
      </w:r>
      <w:r>
        <w:rPr>
          <w:rFonts w:ascii="宋体" w:hAnsi="宋体" w:eastAsia="宋体" w:cs="Times New Roman"/>
          <w:color w:val="000000" w:themeColor="text1"/>
          <w:sz w:val="24"/>
          <w:szCs w:val="24"/>
          <w14:textFill>
            <w14:solidFill>
              <w14:schemeClr w14:val="tx1"/>
            </w14:solidFill>
          </w14:textFill>
        </w:rPr>
        <w:t>研习过程中小学教育教学中存在的实际问题。</w:t>
      </w:r>
    </w:p>
    <w:p w14:paraId="524D759B">
      <w:pPr>
        <w:spacing w:line="360" w:lineRule="auto"/>
        <w:ind w:firstLine="480" w:firstLineChars="200"/>
        <w:jc w:val="lef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2.</w:t>
      </w:r>
      <w:r>
        <w:rPr>
          <w:rFonts w:hint="eastAsia"/>
        </w:rPr>
        <w:t xml:space="preserve"> </w:t>
      </w:r>
      <w:r>
        <w:rPr>
          <w:rFonts w:hint="eastAsia" w:ascii="宋体" w:hAnsi="宋体" w:eastAsia="宋体" w:cs="Times New Roman"/>
          <w:color w:val="000000" w:themeColor="text1"/>
          <w:sz w:val="24"/>
          <w:szCs w:val="24"/>
          <w14:textFill>
            <w14:solidFill>
              <w14:schemeClr w14:val="tx1"/>
            </w14:solidFill>
          </w14:textFill>
        </w:rPr>
        <w:t>通过现场评课学会运用教育科研的基本方法，去分析和解决小学教育教学中出现的各种现实问题，掌握学科教学必备的知识与技能，在教材研读和教学设计上具备基本能力，乐于钻研教育教学问题。</w:t>
      </w:r>
    </w:p>
    <w:p w14:paraId="3424FFB1">
      <w:pPr>
        <w:spacing w:line="360" w:lineRule="auto"/>
        <w:ind w:firstLine="480" w:firstLineChars="200"/>
        <w:jc w:val="lef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3.</w:t>
      </w:r>
      <w:r>
        <w:rPr>
          <w:rFonts w:hint="eastAsia"/>
        </w:rPr>
        <w:t xml:space="preserve"> </w:t>
      </w:r>
      <w:r>
        <w:rPr>
          <w:rFonts w:hint="eastAsia" w:ascii="宋体" w:hAnsi="宋体" w:eastAsia="宋体" w:cs="Times New Roman"/>
          <w:color w:val="000000" w:themeColor="text1"/>
          <w:sz w:val="24"/>
          <w:szCs w:val="24"/>
          <w14:textFill>
            <w14:solidFill>
              <w14:schemeClr w14:val="tx1"/>
            </w14:solidFill>
          </w14:textFill>
        </w:rPr>
        <w:t>通过课堂教学和班队工作研习，使学生加深理解和综合运用所学的文化科学知识、教育理论知识和技能，初步掌握科学的教育教学方法和小学班队组织与建设的工作规律与方法，培养从事教学教育教学工作和班队建设与管理的能力。</w:t>
      </w:r>
    </w:p>
    <w:p w14:paraId="651FEA64">
      <w:pPr>
        <w:spacing w:line="360" w:lineRule="auto"/>
        <w:ind w:firstLine="480" w:firstLineChars="200"/>
        <w:jc w:val="lef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4.</w:t>
      </w:r>
      <w:r>
        <w:rPr>
          <w:rFonts w:hint="eastAsia"/>
        </w:rPr>
        <w:t xml:space="preserve"> </w:t>
      </w:r>
      <w:r>
        <w:rPr>
          <w:rFonts w:hint="eastAsia" w:ascii="宋体" w:hAnsi="宋体" w:eastAsia="宋体" w:cs="Times New Roman"/>
          <w:color w:val="000000" w:themeColor="text1"/>
          <w:sz w:val="24"/>
          <w:szCs w:val="24"/>
          <w14:textFill>
            <w14:solidFill>
              <w14:schemeClr w14:val="tx1"/>
            </w14:solidFill>
          </w14:textFill>
        </w:rPr>
        <w:t>通过教育研习</w:t>
      </w:r>
      <w:r>
        <w:rPr>
          <w:rFonts w:ascii="宋体" w:hAnsi="宋体" w:eastAsia="宋体" w:cs="Times New Roman"/>
          <w:color w:val="000000" w:themeColor="text1"/>
          <w:sz w:val="24"/>
          <w:szCs w:val="24"/>
          <w14:textFill>
            <w14:solidFill>
              <w14:schemeClr w14:val="tx1"/>
            </w14:solidFill>
          </w14:textFill>
        </w:rPr>
        <w:t>，使学生初步掌握小学教育工作规律，了解当前小学教育、教学改革动态，为今后投身教育改革和教育科研工作，提高教育教学质量打下基础。</w:t>
      </w:r>
    </w:p>
    <w:p w14:paraId="3C1537F6">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AED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E6F046B">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5688" w:type="dxa"/>
            <w:vAlign w:val="center"/>
          </w:tcPr>
          <w:p w14:paraId="49F4BAD7">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789A4E0C">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5B26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048E3B8">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 4 教学能力</w:t>
            </w:r>
          </w:p>
        </w:tc>
        <w:tc>
          <w:tcPr>
            <w:tcW w:w="5688" w:type="dxa"/>
            <w:vAlign w:val="center"/>
          </w:tcPr>
          <w:p w14:paraId="5B53F51B">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4-4：【教学研究能力好】掌握教育研究的基本方法，结合小学教育教学实践进行研究，具有一定的教学研究能力。</w:t>
            </w:r>
          </w:p>
        </w:tc>
        <w:tc>
          <w:tcPr>
            <w:tcW w:w="1191" w:type="dxa"/>
            <w:vAlign w:val="center"/>
          </w:tcPr>
          <w:p w14:paraId="771E8A93">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课程目标2、4</w:t>
            </w:r>
          </w:p>
        </w:tc>
      </w:tr>
      <w:tr w14:paraId="07DD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B22ACC7">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毕业要求7 学会反思</w:t>
            </w:r>
          </w:p>
        </w:tc>
        <w:tc>
          <w:tcPr>
            <w:tcW w:w="5688" w:type="dxa"/>
            <w:vAlign w:val="center"/>
          </w:tcPr>
          <w:p w14:paraId="6705A381">
            <w:pPr>
              <w:spacing w:line="276" w:lineRule="auto"/>
              <w:jc w:val="left"/>
              <w:rPr>
                <w:rFonts w:ascii="Times New Roman" w:hAnsi="Times New Roman" w:eastAsia="宋体" w:cs="Times New Roman"/>
                <w:kern w:val="0"/>
                <w:sz w:val="20"/>
                <w:szCs w:val="21"/>
              </w:rPr>
            </w:pPr>
            <w:r>
              <w:rPr>
                <w:rFonts w:hint="eastAsia" w:ascii="宋体" w:hAnsi="宋体" w:eastAsia="宋体" w:cs="Times New Roman"/>
                <w:color w:val="000000"/>
                <w:spacing w:val="2"/>
                <w:kern w:val="0"/>
                <w:sz w:val="20"/>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4E3C7A28">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w:t>
            </w:r>
          </w:p>
        </w:tc>
      </w:tr>
      <w:tr w14:paraId="7DE8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A4C7736">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毕业要求8沟通合作</w:t>
            </w:r>
          </w:p>
        </w:tc>
        <w:tc>
          <w:tcPr>
            <w:tcW w:w="5688" w:type="dxa"/>
            <w:vAlign w:val="center"/>
          </w:tcPr>
          <w:p w14:paraId="3306D4FB">
            <w:pPr>
              <w:spacing w:line="276" w:lineRule="auto"/>
              <w:jc w:val="left"/>
              <w:rPr>
                <w:rFonts w:ascii="Times New Roman" w:hAnsi="Times New Roman" w:eastAsia="宋体" w:cs="Times New Roman"/>
                <w:kern w:val="0"/>
                <w:sz w:val="20"/>
                <w:szCs w:val="21"/>
              </w:rPr>
            </w:pPr>
            <w:r>
              <w:rPr>
                <w:rFonts w:hint="eastAsia" w:ascii="宋体" w:hAnsi="宋体" w:eastAsia="宋体" w:cs="Times New Roman"/>
                <w:color w:val="000000"/>
                <w:spacing w:val="2"/>
                <w:kern w:val="0"/>
                <w:sz w:val="20"/>
                <w:szCs w:val="21"/>
              </w:rPr>
              <w:t>8-1：【善于团队合作】理解学习共同体的本质和价值，掌握团队协作的基本策略，在课堂学习与教育实践中获得合作学习体验，形成团队协作精神。</w:t>
            </w:r>
          </w:p>
        </w:tc>
        <w:tc>
          <w:tcPr>
            <w:tcW w:w="1191" w:type="dxa"/>
            <w:vAlign w:val="center"/>
          </w:tcPr>
          <w:p w14:paraId="6B837AE5">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bl>
    <w:p w14:paraId="3503FEA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998"/>
      </w:tblGrid>
      <w:tr w14:paraId="27B8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3005F65">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w:t>
            </w:r>
          </w:p>
          <w:p w14:paraId="5DA2CBC2">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单元</w:t>
            </w:r>
          </w:p>
        </w:tc>
        <w:tc>
          <w:tcPr>
            <w:tcW w:w="1701" w:type="dxa"/>
            <w:vAlign w:val="center"/>
          </w:tcPr>
          <w:p w14:paraId="0A94DF52">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知识点</w:t>
            </w:r>
          </w:p>
        </w:tc>
        <w:tc>
          <w:tcPr>
            <w:tcW w:w="1134" w:type="dxa"/>
            <w:vAlign w:val="center"/>
          </w:tcPr>
          <w:p w14:paraId="782F717D">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对应</w:t>
            </w:r>
          </w:p>
          <w:p w14:paraId="6F5F2576">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课程目标</w:t>
            </w:r>
          </w:p>
        </w:tc>
        <w:tc>
          <w:tcPr>
            <w:tcW w:w="3260" w:type="dxa"/>
            <w:vAlign w:val="center"/>
          </w:tcPr>
          <w:p w14:paraId="71F67A6A">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要求</w:t>
            </w:r>
          </w:p>
        </w:tc>
        <w:tc>
          <w:tcPr>
            <w:tcW w:w="1998" w:type="dxa"/>
            <w:vAlign w:val="center"/>
          </w:tcPr>
          <w:p w14:paraId="43BF1551">
            <w:pPr>
              <w:jc w:val="center"/>
              <w:rPr>
                <w:rFonts w:hint="eastAsia" w:ascii="宋体" w:hAnsi="宋体" w:eastAsia="宋体" w:cs="Times New Roman"/>
                <w:b/>
                <w:color w:val="000000"/>
                <w:kern w:val="0"/>
                <w:sz w:val="20"/>
                <w:szCs w:val="21"/>
              </w:rPr>
            </w:pPr>
            <w:r>
              <w:rPr>
                <w:rFonts w:hint="eastAsia" w:ascii="宋体" w:hAnsi="宋体" w:eastAsia="宋体" w:cs="Times New Roman"/>
                <w:b/>
                <w:color w:val="000000"/>
                <w:kern w:val="0"/>
                <w:sz w:val="20"/>
                <w:szCs w:val="21"/>
              </w:rPr>
              <w:t>预期学习成效</w:t>
            </w:r>
          </w:p>
        </w:tc>
      </w:tr>
      <w:tr w14:paraId="3DBE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1ED2A2B">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1教学工作研习</w:t>
            </w:r>
          </w:p>
        </w:tc>
        <w:tc>
          <w:tcPr>
            <w:tcW w:w="1701" w:type="dxa"/>
            <w:vAlign w:val="center"/>
          </w:tcPr>
          <w:p w14:paraId="5C3B419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（1）教学设计文本研习</w:t>
            </w:r>
          </w:p>
          <w:p w14:paraId="703AF3FE">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（2）课堂教学观察研习</w:t>
            </w:r>
          </w:p>
        </w:tc>
        <w:tc>
          <w:tcPr>
            <w:tcW w:w="1134" w:type="dxa"/>
            <w:vAlign w:val="center"/>
          </w:tcPr>
          <w:p w14:paraId="779B33D4">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课程目标2、3</w:t>
            </w:r>
          </w:p>
        </w:tc>
        <w:tc>
          <w:tcPr>
            <w:tcW w:w="3260" w:type="dxa"/>
            <w:vAlign w:val="center"/>
          </w:tcPr>
          <w:p w14:paraId="443D208C">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（1）掌握并钻研小学语文（数学）课程标准，分析研读相关教材，按照大纲要求结合事宜，认真研习教学设计文本。</w:t>
            </w:r>
          </w:p>
          <w:p w14:paraId="524D8417">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（2）听课不少于15节课，并做好听课记录、评课记录、反思等材料，其中提交听课记录10节，评课记录2节，认真研习教学理念与方法。</w:t>
            </w:r>
          </w:p>
          <w:p w14:paraId="34C66B90">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（3）以分组形式充分准备全面、深入、客观评价研讨对象，主动邀请指导教师参与，虚心接受指导教师意见。</w:t>
            </w:r>
          </w:p>
        </w:tc>
        <w:tc>
          <w:tcPr>
            <w:tcW w:w="1998" w:type="dxa"/>
            <w:vAlign w:val="center"/>
          </w:tcPr>
          <w:p w14:paraId="05FE469B">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（1）学会分析和评价教学设计文本，能发现教学设计文本中的不足并提出改进措施。</w:t>
            </w:r>
          </w:p>
          <w:p w14:paraId="603ABC5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（2）能够通过观摩课堂，对教师的教学理念和方法给出恰当的评估。</w:t>
            </w:r>
          </w:p>
          <w:p w14:paraId="27DEF5B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（3）能够初步掌握教学研究的基本原理和方法，教学研究能力得到提高</w:t>
            </w:r>
          </w:p>
          <w:p w14:paraId="03ECBE4C">
            <w:pPr>
              <w:spacing w:line="269" w:lineRule="auto"/>
              <w:jc w:val="center"/>
              <w:rPr>
                <w:rFonts w:hint="eastAsia" w:ascii="宋体" w:hAnsi="宋体" w:eastAsia="宋体" w:cs="Times New Roman"/>
                <w:color w:val="000000"/>
                <w:kern w:val="0"/>
                <w:sz w:val="20"/>
                <w:szCs w:val="21"/>
              </w:rPr>
            </w:pPr>
          </w:p>
        </w:tc>
      </w:tr>
      <w:tr w14:paraId="1F7F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378FAD">
            <w:pPr>
              <w:spacing w:line="264" w:lineRule="auto"/>
              <w:jc w:val="center"/>
              <w:rPr>
                <w:rFonts w:hint="eastAsia" w:ascii="宋体" w:hAnsi="宋体" w:eastAsia="宋体" w:cs="Times New Roman"/>
                <w:color w:val="000000"/>
                <w:kern w:val="0"/>
                <w:sz w:val="20"/>
                <w:szCs w:val="21"/>
              </w:rPr>
            </w:pPr>
          </w:p>
        </w:tc>
        <w:tc>
          <w:tcPr>
            <w:tcW w:w="8093" w:type="dxa"/>
            <w:gridSpan w:val="4"/>
            <w:vAlign w:val="center"/>
          </w:tcPr>
          <w:p w14:paraId="4427C6B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把“立德树人”教育目标融入实践过程中，领悟教师职业的价值，树立职业理想，立志成为有理想信念、有道德情操、有扎实学识、有仁爱之心的好教师。</w:t>
            </w:r>
          </w:p>
        </w:tc>
      </w:tr>
      <w:tr w14:paraId="3F9E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7550998">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2.班主任工作研习</w:t>
            </w:r>
          </w:p>
        </w:tc>
        <w:tc>
          <w:tcPr>
            <w:tcW w:w="1701" w:type="dxa"/>
            <w:vAlign w:val="center"/>
          </w:tcPr>
          <w:p w14:paraId="483B1D1A">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（1）优秀班主任成长经验研习</w:t>
            </w:r>
          </w:p>
          <w:p w14:paraId="34CB473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（2）班主任各班级管理方法研习</w:t>
            </w:r>
          </w:p>
          <w:p w14:paraId="1CC0D7F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（3）主题班会研习</w:t>
            </w:r>
          </w:p>
          <w:p w14:paraId="6C406C0F">
            <w:pPr>
              <w:spacing w:line="269" w:lineRule="auto"/>
              <w:jc w:val="left"/>
              <w:rPr>
                <w:rFonts w:hint="eastAsia" w:ascii="宋体" w:hAnsi="宋体" w:eastAsia="宋体" w:cs="Times New Roman"/>
                <w:color w:val="000000"/>
                <w:kern w:val="0"/>
                <w:sz w:val="20"/>
                <w:szCs w:val="21"/>
              </w:rPr>
            </w:pPr>
          </w:p>
        </w:tc>
        <w:tc>
          <w:tcPr>
            <w:tcW w:w="1134" w:type="dxa"/>
            <w:vAlign w:val="center"/>
          </w:tcPr>
          <w:p w14:paraId="06D3F7D2">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课程目标1、3、4</w:t>
            </w:r>
          </w:p>
        </w:tc>
        <w:tc>
          <w:tcPr>
            <w:tcW w:w="3260" w:type="dxa"/>
            <w:vAlign w:val="center"/>
          </w:tcPr>
          <w:p w14:paraId="387DCC62">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（1）研习生根据研习学校的工作安排和原班主任工作计划，制定班主任工作研习计划，计划需经过原班主任同意后执行。</w:t>
            </w:r>
          </w:p>
          <w:p w14:paraId="1A541513">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（2）研习生需虚心向原班主任学习，听取原班主任对个人成长经历经验、研习班级基本情况、学生思想和学习情况的介绍。</w:t>
            </w:r>
          </w:p>
          <w:p w14:paraId="2C093DB9">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（3）研习生在研习期间需参加至少2次主题班会，1个班级管理案例或少先队（班队）工作案例分析，了解主题班会的策划、组织和管理。</w:t>
            </w:r>
          </w:p>
          <w:p w14:paraId="54D1CD2B">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（4）研习生需每天深入班级，了解原班主任如何开展日常管理工作，如何处理班级发生的突发事件，维护班级正常的教学秩序。</w:t>
            </w:r>
          </w:p>
          <w:p w14:paraId="0C5D73FD">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（5）研习生在需要的时候应协助原班主任做好班主任日常管理工作。</w:t>
            </w:r>
          </w:p>
          <w:p w14:paraId="51857EA5">
            <w:pPr>
              <w:spacing w:line="269" w:lineRule="auto"/>
              <w:jc w:val="left"/>
              <w:rPr>
                <w:rFonts w:hint="eastAsia" w:ascii="宋体" w:hAnsi="宋体" w:eastAsia="宋体" w:cs="Times New Roman"/>
                <w:color w:val="000000"/>
                <w:kern w:val="0"/>
                <w:sz w:val="20"/>
                <w:szCs w:val="21"/>
              </w:rPr>
            </w:pPr>
          </w:p>
        </w:tc>
        <w:tc>
          <w:tcPr>
            <w:tcW w:w="1998" w:type="dxa"/>
            <w:vAlign w:val="center"/>
          </w:tcPr>
          <w:p w14:paraId="24D08FCB">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（1）能够通过优秀班主任成长经历获得具有启发性的思考，对班主任成长过程和成长规律具有一定的理性认识。</w:t>
            </w:r>
          </w:p>
          <w:p w14:paraId="45682B46">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（2）学会通过多种方法对班主任日常管理工作成效、主题班会成效进行评估，能够反思日常管理工作和主题班会中的问题并提出改进措施。</w:t>
            </w:r>
          </w:p>
          <w:p w14:paraId="7C2B5D6E">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（3）掌握班主任工作的一般规律和方法，初步具备班级管理能力。</w:t>
            </w:r>
          </w:p>
          <w:p w14:paraId="5801CF44">
            <w:pPr>
              <w:rPr>
                <w:rFonts w:ascii="Times New Roman" w:hAnsi="Times New Roman" w:eastAsia="宋体" w:cs="Times New Roman"/>
                <w:kern w:val="0"/>
                <w:sz w:val="20"/>
                <w:szCs w:val="20"/>
              </w:rPr>
            </w:pPr>
          </w:p>
        </w:tc>
      </w:tr>
      <w:tr w14:paraId="1C15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B4B518">
            <w:pPr>
              <w:spacing w:line="264" w:lineRule="auto"/>
              <w:jc w:val="center"/>
              <w:rPr>
                <w:rFonts w:hint="eastAsia" w:ascii="宋体" w:hAnsi="宋体" w:eastAsia="宋体" w:cs="Times New Roman"/>
                <w:color w:val="000000"/>
                <w:kern w:val="0"/>
                <w:sz w:val="20"/>
                <w:szCs w:val="21"/>
              </w:rPr>
            </w:pPr>
          </w:p>
        </w:tc>
        <w:tc>
          <w:tcPr>
            <w:tcW w:w="8093" w:type="dxa"/>
            <w:gridSpan w:val="4"/>
            <w:vAlign w:val="center"/>
          </w:tcPr>
          <w:p w14:paraId="28591AE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在教育实践中，坚持科学正确的教育观、学生观，充分尊重学生心理规律，实事求是，将理论知识与实践知识相结合，增进对专业的认知与认同。把立德树人作为教育使命，主动研究教育教学问题。</w:t>
            </w:r>
          </w:p>
        </w:tc>
      </w:tr>
      <w:tr w14:paraId="0DE7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1C65982">
            <w:pPr>
              <w:spacing w:line="264"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3.教育教学调研</w:t>
            </w:r>
          </w:p>
        </w:tc>
        <w:tc>
          <w:tcPr>
            <w:tcW w:w="1701" w:type="dxa"/>
            <w:vAlign w:val="center"/>
          </w:tcPr>
          <w:p w14:paraId="1D6221A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选其一</w:t>
            </w:r>
          </w:p>
          <w:p w14:paraId="0B878425">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（1）小学教育教学改革情况</w:t>
            </w:r>
          </w:p>
          <w:p w14:paraId="40796AF0">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（2）小学生素质教育实施情况。</w:t>
            </w:r>
          </w:p>
          <w:p w14:paraId="6A02491D">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（3）小学生思想、心理问题、行为问题等</w:t>
            </w:r>
          </w:p>
          <w:p w14:paraId="3AFC66A1">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（3）小学教师队伍建设、专业发展、教学方法、设计等状况。</w:t>
            </w:r>
          </w:p>
          <w:p w14:paraId="62A9FF45">
            <w:pPr>
              <w:spacing w:line="269" w:lineRule="auto"/>
              <w:jc w:val="left"/>
              <w:rPr>
                <w:rFonts w:hint="eastAsia" w:ascii="宋体" w:hAnsi="宋体" w:eastAsia="宋体" w:cs="Times New Roman"/>
                <w:color w:val="000000"/>
                <w:kern w:val="0"/>
                <w:sz w:val="20"/>
                <w:szCs w:val="21"/>
              </w:rPr>
            </w:pPr>
          </w:p>
        </w:tc>
        <w:tc>
          <w:tcPr>
            <w:tcW w:w="1134" w:type="dxa"/>
            <w:vAlign w:val="center"/>
          </w:tcPr>
          <w:p w14:paraId="02EE4CFB">
            <w:pPr>
              <w:spacing w:line="269"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2C3B43E9">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（1）根据任务点选择其中一个主题撰写调查报告</w:t>
            </w:r>
          </w:p>
          <w:p w14:paraId="4466D748">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（2）研习生认真设计问卷调查或访谈提纲。分组讨论问卷和访谈应包括那哪些内容和相关指标</w:t>
            </w:r>
          </w:p>
          <w:p w14:paraId="2F08B98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（3）研习生需要使用信息技术工具对调查数据进行整理分析，得出相关结论，并撰写调查报告。</w:t>
            </w:r>
          </w:p>
          <w:p w14:paraId="57BA8438">
            <w:pPr>
              <w:spacing w:line="269" w:lineRule="auto"/>
              <w:jc w:val="left"/>
              <w:rPr>
                <w:rFonts w:hint="eastAsia" w:ascii="宋体" w:hAnsi="宋体" w:eastAsia="宋体" w:cs="Times New Roman"/>
                <w:color w:val="000000"/>
                <w:kern w:val="0"/>
                <w:sz w:val="20"/>
                <w:szCs w:val="21"/>
              </w:rPr>
            </w:pPr>
          </w:p>
          <w:p w14:paraId="4DF62CDA">
            <w:pPr>
              <w:spacing w:line="269" w:lineRule="auto"/>
              <w:jc w:val="left"/>
              <w:rPr>
                <w:rFonts w:hint="eastAsia" w:ascii="宋体" w:hAnsi="宋体" w:eastAsia="宋体" w:cs="Times New Roman"/>
                <w:color w:val="000000"/>
                <w:kern w:val="0"/>
                <w:sz w:val="20"/>
                <w:szCs w:val="21"/>
              </w:rPr>
            </w:pPr>
          </w:p>
        </w:tc>
        <w:tc>
          <w:tcPr>
            <w:tcW w:w="1998" w:type="dxa"/>
            <w:vAlign w:val="center"/>
          </w:tcPr>
          <w:p w14:paraId="0ED314F6">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（1）学会在教育教学实践中发现有价值的问题，具有问题意思和反思精神。</w:t>
            </w:r>
          </w:p>
          <w:p w14:paraId="75C466FF">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（2）学会调查问卷、制作访谈，能够通过多种方法对相关问题进行调查，学会撰写调研报告。</w:t>
            </w:r>
          </w:p>
          <w:p w14:paraId="75C0324C">
            <w:pP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（3）学会与他人有效合作，共同展开教学研讨活动。</w:t>
            </w:r>
          </w:p>
          <w:p w14:paraId="00AC3C45">
            <w:pPr>
              <w:spacing w:line="269" w:lineRule="auto"/>
              <w:jc w:val="center"/>
              <w:rPr>
                <w:rFonts w:hint="eastAsia" w:ascii="宋体" w:hAnsi="宋体" w:eastAsia="宋体" w:cs="Times New Roman"/>
                <w:color w:val="000000"/>
                <w:kern w:val="0"/>
                <w:sz w:val="20"/>
                <w:szCs w:val="21"/>
              </w:rPr>
            </w:pPr>
          </w:p>
        </w:tc>
      </w:tr>
      <w:tr w14:paraId="11E9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FBFADC9">
            <w:pPr>
              <w:spacing w:line="264" w:lineRule="auto"/>
              <w:jc w:val="center"/>
              <w:rPr>
                <w:rFonts w:hint="eastAsia" w:ascii="宋体" w:hAnsi="宋体" w:eastAsia="宋体" w:cs="Times New Roman"/>
                <w:color w:val="000000"/>
                <w:kern w:val="0"/>
                <w:sz w:val="20"/>
                <w:szCs w:val="21"/>
              </w:rPr>
            </w:pPr>
          </w:p>
        </w:tc>
        <w:tc>
          <w:tcPr>
            <w:tcW w:w="8093" w:type="dxa"/>
            <w:gridSpan w:val="4"/>
            <w:vAlign w:val="center"/>
          </w:tcPr>
          <w:p w14:paraId="5EAD4F04">
            <w:pPr>
              <w:spacing w:line="269"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了解学生、教学等问题，促进学生在知识、技能与思想政治素养方面的协同发展，培养德智体美劳全面发展的社会主义建设者和接班人。</w:t>
            </w:r>
          </w:p>
        </w:tc>
      </w:tr>
      <w:tr w14:paraId="622D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CDCBF7E">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4.教育与人的发展</w:t>
            </w:r>
          </w:p>
        </w:tc>
        <w:tc>
          <w:tcPr>
            <w:tcW w:w="1701" w:type="dxa"/>
            <w:vAlign w:val="center"/>
          </w:tcPr>
          <w:p w14:paraId="77AFFCFE">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（1）研习经验交流、成果展览；</w:t>
            </w:r>
          </w:p>
          <w:p w14:paraId="03B324B4">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 xml:space="preserve">（2）召开专业教育实习交流会 </w:t>
            </w:r>
          </w:p>
        </w:tc>
        <w:tc>
          <w:tcPr>
            <w:tcW w:w="1134" w:type="dxa"/>
            <w:vAlign w:val="center"/>
          </w:tcPr>
          <w:p w14:paraId="0681A14E">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课程目标1、2、3、4</w:t>
            </w:r>
          </w:p>
        </w:tc>
        <w:tc>
          <w:tcPr>
            <w:tcW w:w="3260" w:type="dxa"/>
            <w:vAlign w:val="center"/>
          </w:tcPr>
          <w:p w14:paraId="6C32CFA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（1）以班级为单位，对研习总结、评课记录、教学后记、教学案例进行研习。</w:t>
            </w:r>
          </w:p>
          <w:p w14:paraId="0F8411D2">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（2）进行教育研习总结，提交图文并茂PPT一份。</w:t>
            </w:r>
          </w:p>
        </w:tc>
        <w:tc>
          <w:tcPr>
            <w:tcW w:w="1998" w:type="dxa"/>
            <w:vAlign w:val="center"/>
          </w:tcPr>
          <w:p w14:paraId="7C657696">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（1）学会用反思和批判思维总结教育研习收获与成果。</w:t>
            </w:r>
          </w:p>
          <w:p w14:paraId="270D6D04">
            <w:pPr>
              <w:spacing w:line="276" w:lineRule="auto"/>
              <w:jc w:val="center"/>
              <w:rPr>
                <w:rFonts w:hint="eastAsia" w:ascii="宋体" w:hAnsi="宋体" w:eastAsia="宋体" w:cs="Times New Roman"/>
                <w:color w:val="000000"/>
                <w:kern w:val="0"/>
                <w:sz w:val="20"/>
                <w:szCs w:val="21"/>
              </w:rPr>
            </w:pPr>
            <w:r>
              <w:rPr>
                <w:rFonts w:hint="eastAsia" w:ascii="宋体" w:hAnsi="宋体" w:eastAsia="宋体" w:cs="Times New Roman"/>
                <w:color w:val="000000"/>
                <w:kern w:val="0"/>
                <w:sz w:val="20"/>
                <w:szCs w:val="21"/>
              </w:rPr>
              <w:t>（2）掌握与他人交流和合作的技巧和能力。</w:t>
            </w:r>
          </w:p>
        </w:tc>
      </w:tr>
      <w:tr w14:paraId="6B0B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303B191">
            <w:pPr>
              <w:spacing w:line="276" w:lineRule="auto"/>
              <w:jc w:val="center"/>
              <w:rPr>
                <w:rFonts w:hint="eastAsia" w:ascii="宋体" w:hAnsi="宋体" w:eastAsia="宋体" w:cs="Times New Roman"/>
                <w:color w:val="000000"/>
                <w:kern w:val="0"/>
                <w:sz w:val="20"/>
                <w:szCs w:val="21"/>
              </w:rPr>
            </w:pPr>
          </w:p>
        </w:tc>
        <w:tc>
          <w:tcPr>
            <w:tcW w:w="8093" w:type="dxa"/>
            <w:gridSpan w:val="4"/>
            <w:vAlign w:val="center"/>
          </w:tcPr>
          <w:p w14:paraId="5A04FE4F">
            <w:pPr>
              <w:spacing w:line="276" w:lineRule="auto"/>
              <w:jc w:val="left"/>
              <w:rPr>
                <w:rFonts w:hint="eastAsia" w:ascii="宋体" w:hAnsi="宋体" w:eastAsia="宋体" w:cs="Times New Roman"/>
                <w:color w:val="000000"/>
                <w:kern w:val="0"/>
                <w:sz w:val="20"/>
                <w:szCs w:val="21"/>
              </w:rPr>
            </w:pPr>
            <w:r>
              <w:rPr>
                <w:rFonts w:hint="eastAsia" w:ascii="宋体" w:hAnsi="宋体" w:eastAsia="宋体" w:cs="Times New Roman"/>
                <w:b/>
                <w:color w:val="000000"/>
                <w:kern w:val="0"/>
                <w:sz w:val="20"/>
                <w:szCs w:val="21"/>
              </w:rPr>
              <w:t>课程思政目标：</w:t>
            </w:r>
            <w:r>
              <w:rPr>
                <w:rFonts w:hint="eastAsia" w:ascii="宋体" w:hAnsi="宋体" w:eastAsia="宋体" w:cs="Times New Roman"/>
                <w:color w:val="000000"/>
                <w:kern w:val="0"/>
                <w:sz w:val="20"/>
                <w:szCs w:val="21"/>
              </w:rPr>
              <w:t>理解培养全面发展的人这一教育理念，认识教育管理、班队活动的育人价值，提高教育修养，增强在教育过程中挖掘各个因素进行教育的意识和能力。</w:t>
            </w:r>
          </w:p>
        </w:tc>
      </w:tr>
    </w:tbl>
    <w:p w14:paraId="58771881">
      <w:pPr>
        <w:spacing w:line="360" w:lineRule="auto"/>
        <w:jc w:val="left"/>
        <w:rPr>
          <w:rFonts w:ascii="Times New Roman" w:hAnsi="Times New Roman" w:eastAsia="宋体" w:cs="Times New Roman"/>
          <w:sz w:val="24"/>
          <w:szCs w:val="24"/>
        </w:rPr>
      </w:pPr>
    </w:p>
    <w:p w14:paraId="1C012D85">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F926D9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6C1067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0EBB49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251"/>
        <w:gridCol w:w="1276"/>
        <w:gridCol w:w="1559"/>
        <w:gridCol w:w="1134"/>
        <w:gridCol w:w="1134"/>
        <w:gridCol w:w="788"/>
      </w:tblGrid>
      <w:tr w14:paraId="5765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6EA7EA8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354" w:type="dxa"/>
            <w:gridSpan w:val="5"/>
            <w:vAlign w:val="center"/>
          </w:tcPr>
          <w:p w14:paraId="54FD921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788" w:type="dxa"/>
            <w:vMerge w:val="restart"/>
            <w:vAlign w:val="center"/>
          </w:tcPr>
          <w:p w14:paraId="3A2A9FD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09DD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vAlign w:val="center"/>
          </w:tcPr>
          <w:p w14:paraId="516C8B78">
            <w:pPr>
              <w:spacing w:line="360" w:lineRule="auto"/>
              <w:jc w:val="center"/>
              <w:rPr>
                <w:rFonts w:hint="eastAsia" w:ascii="宋体" w:hAnsi="宋体" w:eastAsia="宋体" w:cs="Times New Roman"/>
                <w:kern w:val="0"/>
                <w:sz w:val="20"/>
                <w:szCs w:val="21"/>
              </w:rPr>
            </w:pPr>
          </w:p>
        </w:tc>
        <w:tc>
          <w:tcPr>
            <w:tcW w:w="1251" w:type="dxa"/>
            <w:vAlign w:val="center"/>
          </w:tcPr>
          <w:p w14:paraId="1B6BA94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平时成绩</w:t>
            </w:r>
          </w:p>
        </w:tc>
        <w:tc>
          <w:tcPr>
            <w:tcW w:w="1276" w:type="dxa"/>
            <w:vAlign w:val="center"/>
          </w:tcPr>
          <w:p w14:paraId="20E47DC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559" w:type="dxa"/>
            <w:vAlign w:val="center"/>
          </w:tcPr>
          <w:p w14:paraId="54CE7E9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w:t>
            </w:r>
          </w:p>
        </w:tc>
        <w:tc>
          <w:tcPr>
            <w:tcW w:w="1134" w:type="dxa"/>
            <w:vAlign w:val="center"/>
          </w:tcPr>
          <w:p w14:paraId="137631B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w:t>
            </w:r>
          </w:p>
        </w:tc>
        <w:tc>
          <w:tcPr>
            <w:tcW w:w="1134" w:type="dxa"/>
            <w:vAlign w:val="center"/>
          </w:tcPr>
          <w:p w14:paraId="725B760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研习态度</w:t>
            </w:r>
          </w:p>
        </w:tc>
        <w:tc>
          <w:tcPr>
            <w:tcW w:w="788" w:type="dxa"/>
            <w:vMerge w:val="continue"/>
            <w:vAlign w:val="center"/>
          </w:tcPr>
          <w:p w14:paraId="260638A8">
            <w:pPr>
              <w:spacing w:line="360" w:lineRule="auto"/>
              <w:jc w:val="center"/>
              <w:rPr>
                <w:rFonts w:hint="eastAsia" w:ascii="宋体" w:hAnsi="宋体" w:eastAsia="宋体" w:cs="Times New Roman"/>
                <w:kern w:val="0"/>
                <w:sz w:val="20"/>
                <w:szCs w:val="21"/>
              </w:rPr>
            </w:pPr>
          </w:p>
        </w:tc>
      </w:tr>
      <w:tr w14:paraId="7A03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4141A9E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51" w:type="dxa"/>
            <w:vAlign w:val="center"/>
          </w:tcPr>
          <w:p w14:paraId="16FB6EC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224DAC0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59" w:type="dxa"/>
            <w:vAlign w:val="center"/>
          </w:tcPr>
          <w:p w14:paraId="2C9069E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1BC66BE">
            <w:pPr>
              <w:spacing w:line="360" w:lineRule="auto"/>
              <w:jc w:val="center"/>
              <w:rPr>
                <w:rFonts w:hint="eastAsia" w:ascii="宋体" w:hAnsi="宋体" w:eastAsia="宋体" w:cs="Times New Roman"/>
                <w:kern w:val="0"/>
                <w:sz w:val="20"/>
                <w:szCs w:val="21"/>
              </w:rPr>
            </w:pPr>
          </w:p>
        </w:tc>
        <w:tc>
          <w:tcPr>
            <w:tcW w:w="1134" w:type="dxa"/>
            <w:vAlign w:val="center"/>
          </w:tcPr>
          <w:p w14:paraId="201B7C9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5A89E3E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476A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0165A4A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51" w:type="dxa"/>
            <w:vAlign w:val="center"/>
          </w:tcPr>
          <w:p w14:paraId="76FE10F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0663990D">
            <w:pPr>
              <w:spacing w:line="360" w:lineRule="auto"/>
              <w:jc w:val="center"/>
              <w:rPr>
                <w:rFonts w:hint="eastAsia" w:ascii="宋体" w:hAnsi="宋体" w:eastAsia="宋体" w:cs="Times New Roman"/>
                <w:kern w:val="0"/>
                <w:sz w:val="20"/>
                <w:szCs w:val="21"/>
              </w:rPr>
            </w:pPr>
          </w:p>
        </w:tc>
        <w:tc>
          <w:tcPr>
            <w:tcW w:w="1559" w:type="dxa"/>
            <w:vAlign w:val="center"/>
          </w:tcPr>
          <w:p w14:paraId="136129A0">
            <w:pPr>
              <w:spacing w:line="360" w:lineRule="auto"/>
              <w:jc w:val="center"/>
              <w:rPr>
                <w:rFonts w:hint="eastAsia" w:ascii="宋体" w:hAnsi="宋体" w:eastAsia="宋体" w:cs="Times New Roman"/>
                <w:kern w:val="0"/>
                <w:sz w:val="20"/>
                <w:szCs w:val="21"/>
              </w:rPr>
            </w:pPr>
          </w:p>
        </w:tc>
        <w:tc>
          <w:tcPr>
            <w:tcW w:w="1134" w:type="dxa"/>
            <w:vAlign w:val="center"/>
          </w:tcPr>
          <w:p w14:paraId="79E460D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03DF896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7283246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255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7AFD740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51" w:type="dxa"/>
            <w:vAlign w:val="center"/>
          </w:tcPr>
          <w:p w14:paraId="17F0422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400FF6F7">
            <w:pPr>
              <w:spacing w:line="360" w:lineRule="auto"/>
              <w:jc w:val="center"/>
              <w:rPr>
                <w:rFonts w:hint="eastAsia" w:ascii="宋体" w:hAnsi="宋体" w:eastAsia="宋体" w:cs="Times New Roman"/>
                <w:kern w:val="0"/>
                <w:sz w:val="20"/>
                <w:szCs w:val="21"/>
              </w:rPr>
            </w:pPr>
          </w:p>
        </w:tc>
        <w:tc>
          <w:tcPr>
            <w:tcW w:w="1559" w:type="dxa"/>
            <w:vAlign w:val="center"/>
          </w:tcPr>
          <w:p w14:paraId="534AD2D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5279C11E">
            <w:pPr>
              <w:spacing w:line="360" w:lineRule="auto"/>
              <w:jc w:val="center"/>
              <w:rPr>
                <w:rFonts w:hint="eastAsia" w:ascii="宋体" w:hAnsi="宋体" w:eastAsia="宋体" w:cs="Times New Roman"/>
                <w:kern w:val="0"/>
                <w:sz w:val="20"/>
                <w:szCs w:val="21"/>
              </w:rPr>
            </w:pPr>
          </w:p>
        </w:tc>
        <w:tc>
          <w:tcPr>
            <w:tcW w:w="1134" w:type="dxa"/>
            <w:vAlign w:val="center"/>
          </w:tcPr>
          <w:p w14:paraId="536C0E9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4458CCB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78C8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21C1C5D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51" w:type="dxa"/>
            <w:vAlign w:val="center"/>
          </w:tcPr>
          <w:p w14:paraId="5B94C5A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1FE72C9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59" w:type="dxa"/>
            <w:vAlign w:val="center"/>
          </w:tcPr>
          <w:p w14:paraId="6363E2F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2DB40EF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529289A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6717BA9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0613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60143CD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51" w:type="dxa"/>
            <w:vAlign w:val="center"/>
          </w:tcPr>
          <w:p w14:paraId="132632B5">
            <w:pPr>
              <w:spacing w:line="360" w:lineRule="auto"/>
              <w:jc w:val="center"/>
              <w:rPr>
                <w:rFonts w:hint="eastAsia" w:ascii="宋体" w:hAnsi="宋体" w:eastAsia="宋体" w:cs="Times New Roman"/>
                <w:kern w:val="0"/>
                <w:sz w:val="20"/>
                <w:szCs w:val="21"/>
              </w:rPr>
            </w:pPr>
          </w:p>
        </w:tc>
        <w:tc>
          <w:tcPr>
            <w:tcW w:w="1276" w:type="dxa"/>
            <w:vAlign w:val="center"/>
          </w:tcPr>
          <w:p w14:paraId="2F6A87B2">
            <w:pPr>
              <w:spacing w:line="360" w:lineRule="auto"/>
              <w:jc w:val="center"/>
              <w:rPr>
                <w:rFonts w:hint="eastAsia" w:ascii="宋体" w:hAnsi="宋体" w:eastAsia="宋体" w:cs="Times New Roman"/>
                <w:kern w:val="0"/>
                <w:sz w:val="20"/>
                <w:szCs w:val="21"/>
              </w:rPr>
            </w:pPr>
          </w:p>
        </w:tc>
        <w:tc>
          <w:tcPr>
            <w:tcW w:w="1559" w:type="dxa"/>
            <w:vAlign w:val="center"/>
          </w:tcPr>
          <w:p w14:paraId="3DBF5927">
            <w:pPr>
              <w:spacing w:line="360" w:lineRule="auto"/>
              <w:jc w:val="center"/>
              <w:rPr>
                <w:rFonts w:hint="eastAsia" w:ascii="宋体" w:hAnsi="宋体" w:eastAsia="宋体" w:cs="Times New Roman"/>
                <w:kern w:val="0"/>
                <w:sz w:val="20"/>
                <w:szCs w:val="21"/>
              </w:rPr>
            </w:pPr>
          </w:p>
        </w:tc>
        <w:tc>
          <w:tcPr>
            <w:tcW w:w="1134" w:type="dxa"/>
            <w:vAlign w:val="center"/>
          </w:tcPr>
          <w:p w14:paraId="7C428CDE">
            <w:pPr>
              <w:spacing w:line="360" w:lineRule="auto"/>
              <w:jc w:val="center"/>
              <w:rPr>
                <w:rFonts w:hint="eastAsia" w:ascii="宋体" w:hAnsi="宋体" w:eastAsia="宋体" w:cs="Times New Roman"/>
                <w:kern w:val="0"/>
                <w:sz w:val="20"/>
                <w:szCs w:val="21"/>
              </w:rPr>
            </w:pPr>
          </w:p>
        </w:tc>
        <w:tc>
          <w:tcPr>
            <w:tcW w:w="1134" w:type="dxa"/>
            <w:vAlign w:val="center"/>
          </w:tcPr>
          <w:p w14:paraId="7E052178">
            <w:pPr>
              <w:spacing w:line="360" w:lineRule="auto"/>
              <w:jc w:val="center"/>
              <w:rPr>
                <w:rFonts w:hint="eastAsia" w:ascii="宋体" w:hAnsi="宋体" w:eastAsia="宋体" w:cs="Times New Roman"/>
                <w:kern w:val="0"/>
                <w:sz w:val="20"/>
                <w:szCs w:val="21"/>
              </w:rPr>
            </w:pPr>
          </w:p>
        </w:tc>
        <w:tc>
          <w:tcPr>
            <w:tcW w:w="788" w:type="dxa"/>
            <w:vAlign w:val="center"/>
          </w:tcPr>
          <w:p w14:paraId="76DE6D9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68EDF874">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4197B4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4204C78">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 本课程设计成绩分优、良、中、及格和不及格五个档次。</w:t>
      </w:r>
    </w:p>
    <w:p w14:paraId="4B5AA8D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课程设计考核方式：采用研习平时表现、研习报告、教学工作研习、班主任工作研习、教育研习态度五个部分组成。</w:t>
      </w:r>
    </w:p>
    <w:p w14:paraId="661E8A4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其中，</w:t>
      </w:r>
      <w:r>
        <w:rPr>
          <w:rFonts w:ascii="Times New Roman" w:hAnsi="Times New Roman" w:eastAsia="宋体" w:cs="Times New Roman"/>
          <w:szCs w:val="21"/>
        </w:rPr>
        <w:t>平时</w:t>
      </w:r>
      <w:r>
        <w:rPr>
          <w:rFonts w:hint="eastAsia" w:ascii="Times New Roman" w:hAnsi="Times New Roman" w:eastAsia="宋体" w:cs="Times New Roman"/>
          <w:szCs w:val="21"/>
        </w:rPr>
        <w:t>表现的</w:t>
      </w:r>
      <w:r>
        <w:rPr>
          <w:rFonts w:ascii="Times New Roman" w:hAnsi="Times New Roman" w:eastAsia="宋体" w:cs="Times New Roman"/>
          <w:szCs w:val="21"/>
        </w:rPr>
        <w:t>成绩由我校</w:t>
      </w:r>
      <w:r>
        <w:rPr>
          <w:rFonts w:hint="eastAsia" w:ascii="Times New Roman" w:hAnsi="Times New Roman" w:eastAsia="宋体" w:cs="Times New Roman"/>
          <w:szCs w:val="21"/>
        </w:rPr>
        <w:t>学业导师综合研习</w:t>
      </w:r>
      <w:r>
        <w:rPr>
          <w:rFonts w:ascii="Times New Roman" w:hAnsi="Times New Roman" w:eastAsia="宋体" w:cs="Times New Roman"/>
          <w:szCs w:val="21"/>
        </w:rPr>
        <w:t>手册</w:t>
      </w:r>
      <w:r>
        <w:rPr>
          <w:rFonts w:hint="eastAsia" w:ascii="Times New Roman" w:hAnsi="Times New Roman" w:eastAsia="宋体" w:cs="Times New Roman"/>
          <w:szCs w:val="21"/>
        </w:rPr>
        <w:t>完成情况、实践导师反馈情况和日常巡视情况</w:t>
      </w:r>
      <w:r>
        <w:rPr>
          <w:rFonts w:ascii="Times New Roman" w:hAnsi="Times New Roman" w:eastAsia="宋体" w:cs="Times New Roman"/>
          <w:szCs w:val="21"/>
        </w:rPr>
        <w:t>进行考核</w:t>
      </w:r>
      <w:r>
        <w:rPr>
          <w:rFonts w:hint="eastAsia" w:ascii="Times New Roman" w:hAnsi="Times New Roman" w:eastAsia="宋体" w:cs="Times New Roman"/>
          <w:szCs w:val="21"/>
        </w:rPr>
        <w:t>评估，满分</w:t>
      </w:r>
      <w:r>
        <w:rPr>
          <w:rFonts w:ascii="Times New Roman" w:hAnsi="Times New Roman" w:eastAsia="宋体" w:cs="Times New Roman"/>
          <w:szCs w:val="21"/>
        </w:rPr>
        <w:t>100</w:t>
      </w:r>
      <w:r>
        <w:rPr>
          <w:rFonts w:hint="eastAsia" w:ascii="Times New Roman" w:hAnsi="Times New Roman" w:eastAsia="宋体" w:cs="Times New Roman"/>
          <w:szCs w:val="21"/>
        </w:rPr>
        <w:t>分；</w:t>
      </w:r>
    </w:p>
    <w:p w14:paraId="6F358E2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调查报告、教学工作研习、班主任工作研习、教育研习态度合计满分1</w:t>
      </w:r>
      <w:r>
        <w:rPr>
          <w:rFonts w:ascii="Times New Roman" w:hAnsi="Times New Roman" w:eastAsia="宋体" w:cs="Times New Roman"/>
          <w:szCs w:val="21"/>
        </w:rPr>
        <w:t>00</w:t>
      </w:r>
      <w:r>
        <w:rPr>
          <w:rFonts w:hint="eastAsia" w:ascii="Times New Roman" w:hAnsi="Times New Roman" w:eastAsia="宋体" w:cs="Times New Roman"/>
          <w:szCs w:val="21"/>
        </w:rPr>
        <w:t>分，调查报告成绩占比1</w:t>
      </w:r>
      <w:r>
        <w:rPr>
          <w:rFonts w:ascii="Times New Roman" w:hAnsi="Times New Roman" w:eastAsia="宋体" w:cs="Times New Roman"/>
          <w:szCs w:val="21"/>
        </w:rPr>
        <w:t>0%</w:t>
      </w:r>
      <w:r>
        <w:rPr>
          <w:rFonts w:hint="eastAsia" w:ascii="Times New Roman" w:hAnsi="Times New Roman" w:eastAsia="宋体" w:cs="Times New Roman"/>
          <w:szCs w:val="21"/>
        </w:rPr>
        <w:t>、</w:t>
      </w:r>
      <w:r>
        <w:rPr>
          <w:rFonts w:ascii="Times New Roman" w:hAnsi="Times New Roman" w:eastAsia="宋体" w:cs="Times New Roman"/>
          <w:szCs w:val="21"/>
        </w:rPr>
        <w:t>教学工作</w:t>
      </w:r>
      <w:r>
        <w:rPr>
          <w:rFonts w:hint="eastAsia" w:ascii="Times New Roman" w:hAnsi="Times New Roman" w:eastAsia="宋体" w:cs="Times New Roman"/>
          <w:szCs w:val="21"/>
        </w:rPr>
        <w:t>成绩占比3</w:t>
      </w:r>
      <w:r>
        <w:rPr>
          <w:rFonts w:ascii="Times New Roman" w:hAnsi="Times New Roman" w:eastAsia="宋体" w:cs="Times New Roman"/>
          <w:szCs w:val="21"/>
        </w:rPr>
        <w:t>0%</w:t>
      </w:r>
      <w:r>
        <w:rPr>
          <w:rFonts w:hint="eastAsia" w:ascii="Times New Roman" w:hAnsi="Times New Roman" w:eastAsia="宋体" w:cs="Times New Roman"/>
          <w:szCs w:val="21"/>
        </w:rPr>
        <w:t>，</w:t>
      </w:r>
      <w:r>
        <w:rPr>
          <w:rFonts w:ascii="Times New Roman" w:hAnsi="Times New Roman" w:eastAsia="宋体" w:cs="Times New Roman"/>
          <w:szCs w:val="21"/>
        </w:rPr>
        <w:t>班主任工作</w:t>
      </w:r>
      <w:r>
        <w:rPr>
          <w:rFonts w:hint="eastAsia" w:ascii="Times New Roman" w:hAnsi="Times New Roman" w:eastAsia="宋体" w:cs="Times New Roman"/>
          <w:szCs w:val="21"/>
        </w:rPr>
        <w:t>成绩占比3</w:t>
      </w:r>
      <w:r>
        <w:rPr>
          <w:rFonts w:ascii="Times New Roman" w:hAnsi="Times New Roman" w:eastAsia="宋体" w:cs="Times New Roman"/>
          <w:szCs w:val="21"/>
        </w:rPr>
        <w:t>0%</w:t>
      </w:r>
      <w:r>
        <w:rPr>
          <w:rFonts w:hint="eastAsia" w:ascii="Times New Roman" w:hAnsi="Times New Roman" w:eastAsia="宋体" w:cs="Times New Roman"/>
          <w:szCs w:val="21"/>
        </w:rPr>
        <w:t>，教育研习态度占比3</w:t>
      </w:r>
      <w:r>
        <w:rPr>
          <w:rFonts w:ascii="Times New Roman" w:hAnsi="Times New Roman" w:eastAsia="宋体" w:cs="Times New Roman"/>
          <w:szCs w:val="21"/>
        </w:rPr>
        <w:t>0%</w:t>
      </w:r>
      <w:r>
        <w:rPr>
          <w:rFonts w:hint="eastAsia" w:ascii="Times New Roman" w:hAnsi="Times New Roman" w:eastAsia="宋体" w:cs="Times New Roman"/>
          <w:szCs w:val="21"/>
        </w:rPr>
        <w:t>。</w:t>
      </w:r>
    </w:p>
    <w:p w14:paraId="6D3623A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课程总评成绩=平时成绩</w:t>
      </w:r>
      <w:r>
        <w:rPr>
          <w:rFonts w:ascii="Times New Roman" w:hAnsi="Times New Roman" w:eastAsia="宋体" w:cs="Times New Roman"/>
          <w:szCs w:val="21"/>
        </w:rPr>
        <w:t>30%+</w:t>
      </w:r>
      <w:r>
        <w:rPr>
          <w:rFonts w:hint="eastAsia" w:ascii="Times New Roman" w:hAnsi="Times New Roman" w:eastAsia="宋体" w:cs="Times New Roman"/>
          <w:szCs w:val="21"/>
        </w:rPr>
        <w:t>（报告+教学工作+班主任工作+研习态度）</w:t>
      </w:r>
      <w:r>
        <w:rPr>
          <w:rFonts w:ascii="Times New Roman" w:hAnsi="Times New Roman" w:eastAsia="宋体" w:cs="Times New Roman"/>
          <w:szCs w:val="21"/>
        </w:rPr>
        <w:t>70%</w:t>
      </w:r>
    </w:p>
    <w:p w14:paraId="1012811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具体</w:t>
      </w:r>
      <w:r>
        <w:rPr>
          <w:rFonts w:hint="eastAsia" w:ascii="Times New Roman" w:hAnsi="Times New Roman" w:eastAsia="宋体" w:cs="Times New Roman"/>
          <w:sz w:val="24"/>
          <w:szCs w:val="24"/>
        </w:rPr>
        <w:t>考核</w:t>
      </w:r>
      <w:r>
        <w:rPr>
          <w:rFonts w:ascii="Times New Roman" w:hAnsi="Times New Roman" w:eastAsia="宋体" w:cs="Times New Roman"/>
          <w:sz w:val="24"/>
          <w:szCs w:val="24"/>
        </w:rPr>
        <w:t>内容和比例</w:t>
      </w:r>
      <w:r>
        <w:rPr>
          <w:rFonts w:hint="eastAsia" w:ascii="Times New Roman" w:hAnsi="Times New Roman" w:eastAsia="宋体" w:cs="Times New Roman"/>
          <w:sz w:val="24"/>
          <w:szCs w:val="24"/>
        </w:rPr>
        <w:t>如表所示。</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2768"/>
        <w:gridCol w:w="3203"/>
        <w:gridCol w:w="810"/>
      </w:tblGrid>
      <w:tr w14:paraId="2184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022" w:type="pct"/>
            <w:tcBorders>
              <w:top w:val="single" w:color="auto" w:sz="4" w:space="0"/>
              <w:left w:val="single" w:color="auto" w:sz="4" w:space="0"/>
              <w:bottom w:val="single" w:color="auto" w:sz="4" w:space="0"/>
              <w:right w:val="single" w:color="auto" w:sz="4" w:space="0"/>
            </w:tcBorders>
            <w:shd w:val="clear" w:color="auto" w:fill="FFFFFF"/>
            <w:vAlign w:val="center"/>
          </w:tcPr>
          <w:p w14:paraId="588754D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1624" w:type="pct"/>
            <w:tcBorders>
              <w:top w:val="single" w:color="auto" w:sz="4" w:space="0"/>
              <w:left w:val="single" w:color="auto" w:sz="4" w:space="0"/>
              <w:bottom w:val="single" w:color="auto" w:sz="4" w:space="0"/>
              <w:right w:val="single" w:color="auto" w:sz="4" w:space="0"/>
            </w:tcBorders>
            <w:shd w:val="clear" w:color="auto" w:fill="FFFFFF"/>
            <w:vAlign w:val="center"/>
          </w:tcPr>
          <w:p w14:paraId="7EF2D8F2">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考核/评价环节</w:t>
            </w:r>
          </w:p>
        </w:tc>
        <w:tc>
          <w:tcPr>
            <w:tcW w:w="1879" w:type="pct"/>
            <w:tcBorders>
              <w:top w:val="single" w:color="auto" w:sz="4" w:space="0"/>
              <w:left w:val="single" w:color="auto" w:sz="4" w:space="0"/>
              <w:bottom w:val="single" w:color="auto" w:sz="4" w:space="0"/>
              <w:right w:val="single" w:color="auto" w:sz="4" w:space="0"/>
            </w:tcBorders>
            <w:shd w:val="clear" w:color="auto" w:fill="FFFFFF"/>
            <w:vAlign w:val="center"/>
          </w:tcPr>
          <w:p w14:paraId="1C4B283E">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考核/评价细则</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14:paraId="727DC24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权重</w:t>
            </w:r>
          </w:p>
        </w:tc>
      </w:tr>
      <w:tr w14:paraId="5F01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1022" w:type="pct"/>
            <w:tcBorders>
              <w:top w:val="single" w:color="auto" w:sz="4" w:space="0"/>
              <w:left w:val="single" w:color="auto" w:sz="4" w:space="0"/>
              <w:bottom w:val="single" w:color="auto" w:sz="4" w:space="0"/>
              <w:right w:val="single" w:color="auto" w:sz="4" w:space="0"/>
            </w:tcBorders>
            <w:vAlign w:val="center"/>
          </w:tcPr>
          <w:p w14:paraId="49C0508C">
            <w:pPr>
              <w:rPr>
                <w:rFonts w:ascii="Times New Roman" w:hAnsi="Times New Roman" w:eastAsia="宋体" w:cs="Times New Roman"/>
                <w:szCs w:val="21"/>
              </w:rPr>
            </w:pPr>
            <w:r>
              <w:rPr>
                <w:rFonts w:ascii="Times New Roman" w:hAnsi="Times New Roman" w:eastAsia="宋体" w:cs="Times New Roman"/>
                <w:szCs w:val="21"/>
              </w:rPr>
              <w:t>平时成绩</w:t>
            </w:r>
          </w:p>
        </w:tc>
        <w:tc>
          <w:tcPr>
            <w:tcW w:w="1624" w:type="pct"/>
            <w:tcBorders>
              <w:top w:val="single" w:color="auto" w:sz="4" w:space="0"/>
              <w:left w:val="single" w:color="auto" w:sz="4" w:space="0"/>
              <w:bottom w:val="single" w:color="auto" w:sz="4" w:space="0"/>
              <w:right w:val="single" w:color="auto" w:sz="4" w:space="0"/>
            </w:tcBorders>
            <w:vAlign w:val="center"/>
          </w:tcPr>
          <w:p w14:paraId="1C750CE5">
            <w:pPr>
              <w:rPr>
                <w:rFonts w:ascii="Times New Roman" w:hAnsi="Times New Roman" w:eastAsia="宋体" w:cs="Times New Roman"/>
                <w:szCs w:val="21"/>
              </w:rPr>
            </w:pPr>
            <w:r>
              <w:rPr>
                <w:rFonts w:hint="eastAsia" w:ascii="Times New Roman" w:hAnsi="Times New Roman" w:eastAsia="宋体" w:cs="Times New Roman"/>
                <w:szCs w:val="21"/>
              </w:rPr>
              <w:t>学生出勤情况</w:t>
            </w:r>
            <w:r>
              <w:rPr>
                <w:rFonts w:ascii="Times New Roman" w:hAnsi="Times New Roman" w:eastAsia="宋体" w:cs="Times New Roman"/>
                <w:szCs w:val="21"/>
              </w:rPr>
              <w:t>，</w:t>
            </w:r>
            <w:r>
              <w:rPr>
                <w:rFonts w:hint="eastAsia" w:ascii="Times New Roman" w:hAnsi="Times New Roman" w:eastAsia="宋体" w:cs="Times New Roman"/>
                <w:szCs w:val="21"/>
              </w:rPr>
              <w:t>遵守规章制度情况，各类研习报告材料填写情况</w:t>
            </w:r>
          </w:p>
        </w:tc>
        <w:tc>
          <w:tcPr>
            <w:tcW w:w="1879" w:type="pct"/>
            <w:tcBorders>
              <w:top w:val="single" w:color="auto" w:sz="4" w:space="0"/>
              <w:left w:val="single" w:color="auto" w:sz="4" w:space="0"/>
              <w:bottom w:val="single" w:color="auto" w:sz="4" w:space="0"/>
              <w:right w:val="single" w:color="auto" w:sz="4" w:space="0"/>
            </w:tcBorders>
            <w:vAlign w:val="center"/>
          </w:tcPr>
          <w:p w14:paraId="5B5A8D75">
            <w:pPr>
              <w:rPr>
                <w:rFonts w:ascii="Times New Roman" w:hAnsi="Times New Roman" w:eastAsia="宋体" w:cs="Times New Roman"/>
                <w:szCs w:val="21"/>
              </w:rPr>
            </w:pPr>
            <w:r>
              <w:rPr>
                <w:rFonts w:hint="eastAsia" w:ascii="Times New Roman" w:hAnsi="Times New Roman" w:eastAsia="宋体" w:cs="Times New Roman"/>
                <w:szCs w:val="21"/>
              </w:rPr>
              <w:t>按时</w:t>
            </w:r>
            <w:r>
              <w:rPr>
                <w:rFonts w:ascii="Times New Roman" w:hAnsi="Times New Roman" w:eastAsia="宋体" w:cs="Times New Roman"/>
                <w:szCs w:val="21"/>
              </w:rPr>
              <w:t>出勤</w:t>
            </w:r>
            <w:r>
              <w:rPr>
                <w:rFonts w:hint="eastAsia" w:ascii="Times New Roman" w:hAnsi="Times New Roman" w:eastAsia="宋体" w:cs="Times New Roman"/>
                <w:szCs w:val="21"/>
              </w:rPr>
              <w:t>，遵照研习学校安排开展研习，研习相关材料填写认真规范</w:t>
            </w:r>
            <w:r>
              <w:rPr>
                <w:rFonts w:ascii="Times New Roman" w:hAnsi="Times New Roman" w:eastAsia="宋体" w:cs="Times New Roman"/>
                <w:szCs w:val="21"/>
              </w:rPr>
              <w:t>。</w:t>
            </w:r>
          </w:p>
        </w:tc>
        <w:tc>
          <w:tcPr>
            <w:tcW w:w="475" w:type="pct"/>
            <w:tcBorders>
              <w:top w:val="single" w:color="auto" w:sz="4" w:space="0"/>
              <w:left w:val="single" w:color="auto" w:sz="4" w:space="0"/>
              <w:bottom w:val="single" w:color="auto" w:sz="4" w:space="0"/>
              <w:right w:val="single" w:color="auto" w:sz="4" w:space="0"/>
            </w:tcBorders>
            <w:vAlign w:val="center"/>
          </w:tcPr>
          <w:p w14:paraId="2BD84AFA">
            <w:pPr>
              <w:jc w:val="center"/>
              <w:rPr>
                <w:rFonts w:ascii="Times New Roman" w:hAnsi="Times New Roman" w:eastAsia="宋体" w:cs="Times New Roman"/>
                <w:szCs w:val="24"/>
              </w:rPr>
            </w:pPr>
            <w:r>
              <w:rPr>
                <w:rFonts w:ascii="Times New Roman" w:hAnsi="Times New Roman" w:eastAsia="宋体" w:cs="Times New Roman"/>
                <w:szCs w:val="21"/>
              </w:rPr>
              <w:t>30%</w:t>
            </w:r>
          </w:p>
        </w:tc>
      </w:tr>
      <w:tr w14:paraId="06B6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pct"/>
            <w:tcBorders>
              <w:top w:val="single" w:color="auto" w:sz="4" w:space="0"/>
              <w:left w:val="single" w:color="auto" w:sz="4" w:space="0"/>
              <w:bottom w:val="single" w:color="auto" w:sz="4" w:space="0"/>
              <w:right w:val="single" w:color="auto" w:sz="4" w:space="0"/>
            </w:tcBorders>
            <w:vAlign w:val="center"/>
          </w:tcPr>
          <w:p w14:paraId="61BDB57D">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调查报告</w:t>
            </w:r>
          </w:p>
        </w:tc>
        <w:tc>
          <w:tcPr>
            <w:tcW w:w="1624" w:type="pct"/>
            <w:tcBorders>
              <w:top w:val="single" w:color="auto" w:sz="4" w:space="0"/>
              <w:left w:val="single" w:color="auto" w:sz="4" w:space="0"/>
              <w:bottom w:val="single" w:color="auto" w:sz="4" w:space="0"/>
              <w:right w:val="single" w:color="auto" w:sz="4" w:space="0"/>
            </w:tcBorders>
            <w:vAlign w:val="center"/>
          </w:tcPr>
          <w:p w14:paraId="758574A3">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对研习学校开展研习研究，结合</w:t>
            </w:r>
            <w:r>
              <w:rPr>
                <w:rFonts w:ascii="Times New Roman" w:hAnsi="Times New Roman" w:eastAsia="宋体" w:cs="Times New Roman"/>
                <w:color w:val="000000" w:themeColor="text1"/>
                <w:szCs w:val="21"/>
                <w14:textFill>
                  <w14:solidFill>
                    <w14:schemeClr w14:val="tx1"/>
                  </w14:solidFill>
                </w14:textFill>
              </w:rPr>
              <w:t>文献资料</w:t>
            </w:r>
            <w:r>
              <w:rPr>
                <w:rFonts w:hint="eastAsia" w:ascii="Times New Roman" w:hAnsi="Times New Roman" w:eastAsia="宋体" w:cs="Times New Roman"/>
                <w:color w:val="000000" w:themeColor="text1"/>
                <w:szCs w:val="21"/>
                <w14:textFill>
                  <w14:solidFill>
                    <w14:schemeClr w14:val="tx1"/>
                  </w14:solidFill>
                </w14:textFill>
              </w:rPr>
              <w:t>，完成调查报告</w:t>
            </w:r>
          </w:p>
        </w:tc>
        <w:tc>
          <w:tcPr>
            <w:tcW w:w="1879" w:type="pct"/>
            <w:tcBorders>
              <w:top w:val="single" w:color="auto" w:sz="4" w:space="0"/>
              <w:left w:val="single" w:color="auto" w:sz="4" w:space="0"/>
              <w:bottom w:val="single" w:color="auto" w:sz="4" w:space="0"/>
              <w:right w:val="single" w:color="auto" w:sz="4" w:space="0"/>
            </w:tcBorders>
            <w:vAlign w:val="center"/>
          </w:tcPr>
          <w:p w14:paraId="418640B0">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选题属于教育领域，问题意识清晰、方法设计可行，资料充实，内容撰写结构合理，形成明确的结论与观点。</w:t>
            </w:r>
          </w:p>
        </w:tc>
        <w:tc>
          <w:tcPr>
            <w:tcW w:w="475" w:type="pct"/>
            <w:tcBorders>
              <w:top w:val="single" w:color="auto" w:sz="4" w:space="0"/>
              <w:left w:val="single" w:color="auto" w:sz="4" w:space="0"/>
              <w:bottom w:val="single" w:color="auto" w:sz="4" w:space="0"/>
              <w:right w:val="single" w:color="auto" w:sz="4" w:space="0"/>
            </w:tcBorders>
            <w:vAlign w:val="center"/>
          </w:tcPr>
          <w:p w14:paraId="67E9B531">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7%</w:t>
            </w:r>
          </w:p>
        </w:tc>
      </w:tr>
      <w:tr w14:paraId="0004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2" w:type="pct"/>
            <w:tcBorders>
              <w:top w:val="single" w:color="auto" w:sz="4" w:space="0"/>
              <w:left w:val="single" w:color="auto" w:sz="4" w:space="0"/>
              <w:bottom w:val="single" w:color="auto" w:sz="4" w:space="0"/>
              <w:right w:val="single" w:color="auto" w:sz="4" w:space="0"/>
            </w:tcBorders>
            <w:vAlign w:val="center"/>
          </w:tcPr>
          <w:p w14:paraId="0F4E61C8">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教学工作研习</w:t>
            </w:r>
          </w:p>
        </w:tc>
        <w:tc>
          <w:tcPr>
            <w:tcW w:w="1624" w:type="pct"/>
            <w:tcBorders>
              <w:top w:val="single" w:color="auto" w:sz="4" w:space="0"/>
              <w:left w:val="single" w:color="auto" w:sz="4" w:space="0"/>
              <w:bottom w:val="single" w:color="auto" w:sz="4" w:space="0"/>
              <w:right w:val="single" w:color="auto" w:sz="4" w:space="0"/>
            </w:tcBorders>
            <w:vAlign w:val="center"/>
          </w:tcPr>
          <w:p w14:paraId="10CE6D40">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进行教学观摩，撰写教学设计，了解兼教课程和多个课型的教学设计；参与评课等教研活动</w:t>
            </w:r>
          </w:p>
        </w:tc>
        <w:tc>
          <w:tcPr>
            <w:tcW w:w="1879" w:type="pct"/>
            <w:tcBorders>
              <w:top w:val="single" w:color="auto" w:sz="4" w:space="0"/>
              <w:left w:val="single" w:color="auto" w:sz="4" w:space="0"/>
              <w:bottom w:val="single" w:color="auto" w:sz="4" w:space="0"/>
              <w:right w:val="single" w:color="auto" w:sz="4" w:space="0"/>
            </w:tcBorders>
            <w:vAlign w:val="center"/>
          </w:tcPr>
          <w:p w14:paraId="00167591">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全面认识教学过程，熟练进行教学设计，教案规范合理，具备教学的体验；</w:t>
            </w:r>
          </w:p>
          <w:p w14:paraId="6CD3E2D4">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积极参与教研活动，积极了解其他相关学科知识，主动拓宽知识范围。</w:t>
            </w:r>
          </w:p>
        </w:tc>
        <w:tc>
          <w:tcPr>
            <w:tcW w:w="475" w:type="pct"/>
            <w:tcBorders>
              <w:top w:val="single" w:color="auto" w:sz="4" w:space="0"/>
              <w:left w:val="single" w:color="auto" w:sz="4" w:space="0"/>
              <w:bottom w:val="single" w:color="auto" w:sz="4" w:space="0"/>
              <w:right w:val="single" w:color="auto" w:sz="4" w:space="0"/>
            </w:tcBorders>
            <w:vAlign w:val="center"/>
          </w:tcPr>
          <w:p w14:paraId="3046B2AF">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21%</w:t>
            </w:r>
          </w:p>
        </w:tc>
      </w:tr>
      <w:tr w14:paraId="5E60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022" w:type="pct"/>
            <w:tcBorders>
              <w:top w:val="single" w:color="auto" w:sz="4" w:space="0"/>
              <w:left w:val="single" w:color="auto" w:sz="4" w:space="0"/>
              <w:bottom w:val="single" w:color="auto" w:sz="4" w:space="0"/>
              <w:right w:val="single" w:color="auto" w:sz="4" w:space="0"/>
            </w:tcBorders>
            <w:vAlign w:val="center"/>
          </w:tcPr>
          <w:p w14:paraId="53BCA5E1">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班主任工作研习</w:t>
            </w:r>
          </w:p>
        </w:tc>
        <w:tc>
          <w:tcPr>
            <w:tcW w:w="1624" w:type="pct"/>
            <w:tcBorders>
              <w:top w:val="single" w:color="auto" w:sz="4" w:space="0"/>
              <w:left w:val="single" w:color="auto" w:sz="4" w:space="0"/>
              <w:bottom w:val="single" w:color="auto" w:sz="4" w:space="0"/>
              <w:right w:val="single" w:color="auto" w:sz="4" w:space="0"/>
            </w:tcBorders>
            <w:vAlign w:val="center"/>
          </w:tcPr>
          <w:p w14:paraId="151CA1B3">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研习班主任（少先队）工作情况</w:t>
            </w:r>
          </w:p>
        </w:tc>
        <w:tc>
          <w:tcPr>
            <w:tcW w:w="1879" w:type="pct"/>
            <w:tcBorders>
              <w:top w:val="single" w:color="auto" w:sz="4" w:space="0"/>
              <w:left w:val="single" w:color="auto" w:sz="4" w:space="0"/>
              <w:bottom w:val="single" w:color="auto" w:sz="4" w:space="0"/>
              <w:right w:val="single" w:color="auto" w:sz="4" w:space="0"/>
            </w:tcBorders>
            <w:vAlign w:val="center"/>
          </w:tcPr>
          <w:p w14:paraId="33842D98">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熟悉小学班级管理事务，掌握小学生心理特点；</w:t>
            </w:r>
          </w:p>
          <w:p w14:paraId="0E6FBE94">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主动积累班级管理的经验，建立管理育人的观念。</w:t>
            </w:r>
          </w:p>
        </w:tc>
        <w:tc>
          <w:tcPr>
            <w:tcW w:w="475" w:type="pct"/>
            <w:tcBorders>
              <w:top w:val="single" w:color="auto" w:sz="4" w:space="0"/>
              <w:left w:val="single" w:color="auto" w:sz="4" w:space="0"/>
              <w:bottom w:val="single" w:color="auto" w:sz="4" w:space="0"/>
              <w:right w:val="single" w:color="auto" w:sz="4" w:space="0"/>
            </w:tcBorders>
            <w:vAlign w:val="center"/>
          </w:tcPr>
          <w:p w14:paraId="3D1BBBA2">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21%</w:t>
            </w:r>
          </w:p>
        </w:tc>
      </w:tr>
      <w:tr w14:paraId="5F10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022" w:type="pct"/>
            <w:tcBorders>
              <w:top w:val="single" w:color="auto" w:sz="4" w:space="0"/>
              <w:left w:val="single" w:color="auto" w:sz="4" w:space="0"/>
              <w:bottom w:val="single" w:color="auto" w:sz="4" w:space="0"/>
              <w:right w:val="single" w:color="auto" w:sz="4" w:space="0"/>
            </w:tcBorders>
            <w:vAlign w:val="center"/>
          </w:tcPr>
          <w:p w14:paraId="2A5776B9">
            <w:pPr>
              <w:rPr>
                <w:rFonts w:ascii="Times New Roman" w:hAnsi="Times New Roman" w:eastAsia="宋体" w:cs="Times New Roman"/>
                <w:szCs w:val="21"/>
              </w:rPr>
            </w:pPr>
            <w:r>
              <w:rPr>
                <w:rFonts w:hint="eastAsia" w:ascii="Times New Roman" w:hAnsi="Times New Roman" w:eastAsia="宋体" w:cs="Times New Roman"/>
                <w:szCs w:val="21"/>
              </w:rPr>
              <w:t>教育研习态度</w:t>
            </w:r>
          </w:p>
        </w:tc>
        <w:tc>
          <w:tcPr>
            <w:tcW w:w="1624" w:type="pct"/>
            <w:tcBorders>
              <w:top w:val="single" w:color="auto" w:sz="4" w:space="0"/>
              <w:left w:val="single" w:color="auto" w:sz="4" w:space="0"/>
              <w:bottom w:val="single" w:color="auto" w:sz="4" w:space="0"/>
              <w:right w:val="single" w:color="auto" w:sz="4" w:space="0"/>
            </w:tcBorders>
            <w:vAlign w:val="center"/>
          </w:tcPr>
          <w:p w14:paraId="47CDD6F6">
            <w:pPr>
              <w:rPr>
                <w:rFonts w:ascii="Times New Roman" w:hAnsi="Times New Roman" w:eastAsia="宋体" w:cs="Times New Roman"/>
                <w:szCs w:val="21"/>
              </w:rPr>
            </w:pPr>
            <w:r>
              <w:rPr>
                <w:rFonts w:hint="eastAsia" w:ascii="Times New Roman" w:hAnsi="Times New Roman" w:eastAsia="宋体" w:cs="Times New Roman"/>
                <w:szCs w:val="21"/>
              </w:rPr>
              <w:t>研习过程中的参与程度、主动学习情况等</w:t>
            </w:r>
          </w:p>
        </w:tc>
        <w:tc>
          <w:tcPr>
            <w:tcW w:w="1879" w:type="pct"/>
            <w:tcBorders>
              <w:top w:val="single" w:color="auto" w:sz="4" w:space="0"/>
              <w:left w:val="single" w:color="auto" w:sz="4" w:space="0"/>
              <w:bottom w:val="single" w:color="auto" w:sz="4" w:space="0"/>
              <w:right w:val="single" w:color="auto" w:sz="4" w:space="0"/>
            </w:tcBorders>
            <w:vAlign w:val="center"/>
          </w:tcPr>
          <w:p w14:paraId="661380B9">
            <w:pPr>
              <w:rPr>
                <w:rFonts w:ascii="Times New Roman" w:hAnsi="Times New Roman" w:eastAsia="宋体" w:cs="Times New Roman"/>
                <w:szCs w:val="21"/>
              </w:rPr>
            </w:pPr>
            <w:r>
              <w:rPr>
                <w:rFonts w:hint="eastAsia" w:ascii="Times New Roman" w:hAnsi="Times New Roman" w:eastAsia="宋体" w:cs="Times New Roman"/>
                <w:szCs w:val="21"/>
              </w:rPr>
              <w:t>按要求参加研习，思想端正，学习态度积极；主动参与教学和班级管理，能够虚心请教、勤恳好学；与小学生交往热情，关爱小学生；研习总结认真，形成对自身教育实践比较全面客观的认识。</w:t>
            </w:r>
          </w:p>
        </w:tc>
        <w:tc>
          <w:tcPr>
            <w:tcW w:w="475" w:type="pct"/>
            <w:tcBorders>
              <w:top w:val="single" w:color="auto" w:sz="4" w:space="0"/>
              <w:left w:val="single" w:color="auto" w:sz="4" w:space="0"/>
              <w:bottom w:val="single" w:color="auto" w:sz="4" w:space="0"/>
              <w:right w:val="single" w:color="auto" w:sz="4" w:space="0"/>
            </w:tcBorders>
            <w:vAlign w:val="center"/>
          </w:tcPr>
          <w:p w14:paraId="1C537A3C">
            <w:pPr>
              <w:jc w:val="center"/>
              <w:rPr>
                <w:rFonts w:ascii="Times New Roman" w:hAnsi="Times New Roman" w:eastAsia="宋体" w:cs="Times New Roman"/>
                <w:szCs w:val="24"/>
              </w:rPr>
            </w:pPr>
            <w:r>
              <w:rPr>
                <w:rFonts w:hint="eastAsia" w:ascii="Times New Roman" w:hAnsi="Times New Roman" w:eastAsia="宋体" w:cs="Times New Roman"/>
                <w:szCs w:val="21"/>
              </w:rPr>
              <w:t>2</w:t>
            </w:r>
            <w:r>
              <w:rPr>
                <w:rFonts w:ascii="Times New Roman" w:hAnsi="Times New Roman" w:eastAsia="宋体" w:cs="Times New Roman"/>
                <w:szCs w:val="21"/>
              </w:rPr>
              <w:t>1%</w:t>
            </w:r>
          </w:p>
        </w:tc>
      </w:tr>
    </w:tbl>
    <w:p w14:paraId="6C071D9D">
      <w:pPr>
        <w:spacing w:line="360" w:lineRule="auto"/>
        <w:jc w:val="left"/>
        <w:rPr>
          <w:rFonts w:hint="eastAsia" w:ascii="宋体" w:hAnsi="宋体" w:eastAsia="宋体" w:cs="Times New Roman"/>
          <w:b/>
          <w:bCs/>
          <w:color w:val="000000"/>
          <w:sz w:val="24"/>
          <w:szCs w:val="24"/>
        </w:rPr>
      </w:pPr>
    </w:p>
    <w:p w14:paraId="46BA45F7">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五、研习实施</w:t>
      </w:r>
    </w:p>
    <w:p w14:paraId="260287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（一）研习要求</w:t>
      </w:r>
    </w:p>
    <w:p w14:paraId="6A9CFE3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1.遵守研习学校各项规章制度，不迟到，不早退，虚心接受研习学校领导、指导教师的指导。</w:t>
      </w:r>
    </w:p>
    <w:p w14:paraId="179D482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2.文明礼貌，为人师表，爱护学生，尊重研习学校的师生员工，积极协助研习学校教师做力所能及的工作。</w:t>
      </w:r>
    </w:p>
    <w:p w14:paraId="7D6FB83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3.同学之间团结友爱，注意安全。认真完成各项研习任务，做好每次的研习笔记，认真填写《小学教育专业学生研习手册》。</w:t>
      </w:r>
    </w:p>
    <w:p w14:paraId="551AA49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4.研习组长负责与研习学校领导的联系以及研习活动的组织、考勤工作。所有学生必须全程参加研习活动，不得无故缺席。</w:t>
      </w:r>
    </w:p>
    <w:p w14:paraId="62454548">
      <w:pPr>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Cs/>
          <w:sz w:val="24"/>
          <w:szCs w:val="24"/>
        </w:rPr>
        <w:t>（二）</w:t>
      </w:r>
      <w:r>
        <w:rPr>
          <w:rFonts w:ascii="Times New Roman" w:hAnsi="Times New Roman" w:eastAsia="宋体" w:cs="Times New Roman"/>
          <w:bCs/>
          <w:sz w:val="24"/>
          <w:szCs w:val="24"/>
        </w:rPr>
        <w:t>主要</w:t>
      </w:r>
      <w:r>
        <w:rPr>
          <w:rFonts w:hint="eastAsia" w:ascii="Times New Roman" w:hAnsi="Times New Roman" w:eastAsia="宋体" w:cs="Times New Roman"/>
          <w:bCs/>
          <w:sz w:val="24"/>
          <w:szCs w:val="24"/>
        </w:rPr>
        <w:t>教学</w:t>
      </w:r>
      <w:r>
        <w:rPr>
          <w:rFonts w:ascii="Times New Roman" w:hAnsi="Times New Roman" w:eastAsia="宋体" w:cs="Times New Roman"/>
          <w:bCs/>
          <w:sz w:val="24"/>
          <w:szCs w:val="24"/>
        </w:rPr>
        <w:t>环节</w:t>
      </w:r>
      <w:r>
        <w:rPr>
          <w:rFonts w:hint="eastAsia" w:ascii="Times New Roman" w:hAnsi="Times New Roman" w:eastAsia="宋体" w:cs="Times New Roman"/>
          <w:bCs/>
          <w:sz w:val="24"/>
          <w:szCs w:val="24"/>
        </w:rPr>
        <w:t>的</w:t>
      </w:r>
      <w:r>
        <w:rPr>
          <w:rFonts w:ascii="Times New Roman" w:hAnsi="Times New Roman" w:eastAsia="宋体" w:cs="Times New Roman"/>
          <w:bCs/>
          <w:sz w:val="24"/>
          <w:szCs w:val="24"/>
        </w:rPr>
        <w:t>质量要求</w:t>
      </w:r>
      <w:r>
        <w:rPr>
          <w:rFonts w:hint="eastAsia" w:ascii="Times New Roman" w:hAnsi="Times New Roman" w:eastAsia="宋体" w:cs="Times New Roman"/>
          <w:bCs/>
          <w:sz w:val="24"/>
          <w:szCs w:val="24"/>
        </w:rPr>
        <w:t>如表所示</w:t>
      </w:r>
    </w:p>
    <w:tbl>
      <w:tblPr>
        <w:tblStyle w:val="10"/>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31"/>
        <w:gridCol w:w="7005"/>
      </w:tblGrid>
      <w:tr w14:paraId="471EA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301" w:type="dxa"/>
            <w:gridSpan w:val="2"/>
            <w:vAlign w:val="center"/>
          </w:tcPr>
          <w:p w14:paraId="150222FE">
            <w:pPr>
              <w:snapToGrid w:val="0"/>
              <w:jc w:val="center"/>
              <w:rPr>
                <w:rFonts w:ascii="Times New Roman" w:hAnsi="Times New Roman" w:eastAsia="宋体" w:cs="Times New Roman"/>
                <w:b/>
                <w:bCs/>
              </w:rPr>
            </w:pPr>
            <w:r>
              <w:rPr>
                <w:rFonts w:ascii="Times New Roman" w:hAnsi="Times New Roman" w:eastAsia="宋体" w:cs="Times New Roman"/>
                <w:b/>
                <w:bCs/>
              </w:rPr>
              <w:t>主要</w:t>
            </w:r>
            <w:r>
              <w:rPr>
                <w:rFonts w:hint="eastAsia" w:ascii="Times New Roman" w:hAnsi="Times New Roman" w:eastAsia="宋体" w:cs="Times New Roman"/>
                <w:b/>
                <w:bCs/>
              </w:rPr>
              <w:t>教学</w:t>
            </w:r>
            <w:r>
              <w:rPr>
                <w:rFonts w:ascii="Times New Roman" w:hAnsi="Times New Roman" w:eastAsia="宋体" w:cs="Times New Roman"/>
                <w:b/>
                <w:bCs/>
              </w:rPr>
              <w:t>环节</w:t>
            </w:r>
          </w:p>
        </w:tc>
        <w:tc>
          <w:tcPr>
            <w:tcW w:w="7005" w:type="dxa"/>
            <w:vAlign w:val="center"/>
          </w:tcPr>
          <w:p w14:paraId="00D53E2E">
            <w:pPr>
              <w:snapToGrid w:val="0"/>
              <w:jc w:val="center"/>
              <w:rPr>
                <w:rFonts w:ascii="Times New Roman" w:hAnsi="Times New Roman" w:eastAsia="宋体" w:cs="Times New Roman"/>
                <w:b/>
                <w:bCs/>
              </w:rPr>
            </w:pPr>
            <w:r>
              <w:rPr>
                <w:rFonts w:ascii="Times New Roman" w:hAnsi="Times New Roman" w:eastAsia="宋体" w:cs="Times New Roman"/>
                <w:b/>
                <w:bCs/>
              </w:rPr>
              <w:t>质量要求</w:t>
            </w:r>
          </w:p>
        </w:tc>
      </w:tr>
      <w:tr w14:paraId="2F715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70" w:type="dxa"/>
            <w:vMerge w:val="restart"/>
            <w:vAlign w:val="center"/>
          </w:tcPr>
          <w:p w14:paraId="75CBB502">
            <w:pPr>
              <w:jc w:val="center"/>
              <w:rPr>
                <w:rFonts w:ascii="Times New Roman" w:hAnsi="Times New Roman" w:eastAsia="宋体" w:cs="Times New Roman"/>
                <w:szCs w:val="21"/>
              </w:rPr>
            </w:pPr>
            <w:r>
              <w:rPr>
                <w:rFonts w:ascii="Times New Roman" w:hAnsi="Times New Roman" w:eastAsia="宋体" w:cs="Times New Roman"/>
                <w:szCs w:val="21"/>
              </w:rPr>
              <w:t>准备</w:t>
            </w:r>
          </w:p>
          <w:p w14:paraId="63FE726F">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059045F4">
            <w:pPr>
              <w:rPr>
                <w:rFonts w:ascii="Times New Roman" w:hAnsi="Times New Roman" w:eastAsia="宋体" w:cs="Times New Roman"/>
                <w:szCs w:val="21"/>
              </w:rPr>
            </w:pPr>
            <w:r>
              <w:rPr>
                <w:rFonts w:ascii="Times New Roman" w:hAnsi="Times New Roman" w:eastAsia="宋体" w:cs="Times New Roman"/>
                <w:szCs w:val="21"/>
              </w:rPr>
              <w:t>1.实践计划</w:t>
            </w:r>
          </w:p>
        </w:tc>
        <w:tc>
          <w:tcPr>
            <w:tcW w:w="7005" w:type="dxa"/>
            <w:vAlign w:val="center"/>
          </w:tcPr>
          <w:p w14:paraId="034DFB0E">
            <w:pPr>
              <w:rPr>
                <w:rFonts w:ascii="Times New Roman" w:hAnsi="Times New Roman" w:eastAsia="宋体" w:cs="Times New Roman"/>
                <w:szCs w:val="21"/>
              </w:rPr>
            </w:pPr>
            <w:r>
              <w:rPr>
                <w:rFonts w:ascii="Times New Roman" w:hAnsi="Times New Roman" w:eastAsia="宋体" w:cs="Times New Roman"/>
                <w:szCs w:val="21"/>
              </w:rPr>
              <w:t>根据学校要求及专业人才培养方案制定详实可行的</w:t>
            </w:r>
            <w:r>
              <w:rPr>
                <w:rFonts w:hint="eastAsia" w:ascii="Times New Roman" w:hAnsi="Times New Roman" w:eastAsia="宋体" w:cs="Times New Roman"/>
                <w:szCs w:val="21"/>
              </w:rPr>
              <w:t>研习</w:t>
            </w:r>
            <w:r>
              <w:rPr>
                <w:rFonts w:ascii="Times New Roman" w:hAnsi="Times New Roman" w:eastAsia="宋体" w:cs="Times New Roman"/>
                <w:szCs w:val="21"/>
              </w:rPr>
              <w:t>计划</w:t>
            </w:r>
            <w:r>
              <w:rPr>
                <w:rFonts w:hint="eastAsia" w:ascii="Times New Roman" w:hAnsi="Times New Roman" w:eastAsia="宋体" w:cs="Times New Roman"/>
                <w:szCs w:val="21"/>
              </w:rPr>
              <w:t>，选择相应的研习学校，并</w:t>
            </w:r>
            <w:r>
              <w:rPr>
                <w:rFonts w:ascii="Times New Roman" w:hAnsi="Times New Roman" w:eastAsia="宋体" w:cs="Times New Roman"/>
                <w:szCs w:val="21"/>
              </w:rPr>
              <w:t>在</w:t>
            </w:r>
            <w:r>
              <w:rPr>
                <w:rFonts w:hint="eastAsia" w:ascii="Times New Roman" w:hAnsi="Times New Roman" w:eastAsia="宋体" w:cs="Times New Roman"/>
                <w:szCs w:val="21"/>
              </w:rPr>
              <w:t>研习开始前制定研习方案</w:t>
            </w:r>
            <w:r>
              <w:rPr>
                <w:rFonts w:ascii="Times New Roman" w:hAnsi="Times New Roman" w:eastAsia="宋体" w:cs="Times New Roman"/>
                <w:szCs w:val="21"/>
              </w:rPr>
              <w:t>。</w:t>
            </w:r>
          </w:p>
        </w:tc>
      </w:tr>
      <w:tr w14:paraId="47F36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0" w:type="dxa"/>
            <w:vMerge w:val="continue"/>
            <w:vAlign w:val="center"/>
          </w:tcPr>
          <w:p w14:paraId="1A7AB1EB">
            <w:pPr>
              <w:jc w:val="center"/>
              <w:rPr>
                <w:rFonts w:ascii="Times New Roman" w:hAnsi="Times New Roman" w:eastAsia="宋体" w:cs="Times New Roman"/>
                <w:szCs w:val="21"/>
              </w:rPr>
            </w:pPr>
          </w:p>
        </w:tc>
        <w:tc>
          <w:tcPr>
            <w:tcW w:w="1431" w:type="dxa"/>
            <w:vAlign w:val="center"/>
          </w:tcPr>
          <w:p w14:paraId="1884B959">
            <w:pPr>
              <w:snapToGrid w:val="0"/>
              <w:rPr>
                <w:rFonts w:ascii="Times New Roman" w:hAnsi="Times New Roman" w:eastAsia="宋体" w:cs="Times New Roman"/>
                <w:szCs w:val="21"/>
              </w:rPr>
            </w:pPr>
            <w:r>
              <w:rPr>
                <w:rFonts w:ascii="Times New Roman" w:hAnsi="Times New Roman" w:eastAsia="宋体" w:cs="Times New Roman"/>
                <w:szCs w:val="21"/>
              </w:rPr>
              <w:t>2.指导老师</w:t>
            </w:r>
          </w:p>
        </w:tc>
        <w:tc>
          <w:tcPr>
            <w:tcW w:w="7005" w:type="dxa"/>
            <w:vAlign w:val="center"/>
          </w:tcPr>
          <w:p w14:paraId="243A074A">
            <w:pPr>
              <w:snapToGrid w:val="0"/>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w:t>
            </w:r>
            <w:r>
              <w:rPr>
                <w:rFonts w:ascii="Times New Roman" w:hAnsi="Times New Roman" w:eastAsia="宋体" w:cs="Times New Roman"/>
                <w:szCs w:val="21"/>
              </w:rPr>
              <w:t>指导教师</w:t>
            </w:r>
            <w:r>
              <w:rPr>
                <w:rFonts w:hint="eastAsia" w:ascii="Times New Roman" w:hAnsi="Times New Roman" w:eastAsia="宋体" w:cs="Times New Roman"/>
                <w:szCs w:val="21"/>
              </w:rPr>
              <w:t>在研习开始前开好研习动员大会，提出相应研习要求</w:t>
            </w:r>
            <w:r>
              <w:rPr>
                <w:rFonts w:ascii="Times New Roman" w:hAnsi="Times New Roman" w:eastAsia="宋体" w:cs="Times New Roman"/>
                <w:szCs w:val="21"/>
              </w:rPr>
              <w:t>。</w:t>
            </w:r>
          </w:p>
        </w:tc>
      </w:tr>
      <w:tr w14:paraId="449E7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70" w:type="dxa"/>
            <w:vMerge w:val="continue"/>
            <w:vAlign w:val="center"/>
          </w:tcPr>
          <w:p w14:paraId="403B7BCF">
            <w:pPr>
              <w:jc w:val="center"/>
              <w:rPr>
                <w:rFonts w:ascii="Times New Roman" w:hAnsi="Times New Roman" w:eastAsia="宋体" w:cs="Times New Roman"/>
                <w:szCs w:val="21"/>
              </w:rPr>
            </w:pPr>
          </w:p>
        </w:tc>
        <w:tc>
          <w:tcPr>
            <w:tcW w:w="1431" w:type="dxa"/>
            <w:vAlign w:val="center"/>
          </w:tcPr>
          <w:p w14:paraId="1EED44DD">
            <w:pPr>
              <w:snapToGrid w:val="0"/>
              <w:rPr>
                <w:rFonts w:ascii="Times New Roman" w:hAnsi="Times New Roman" w:eastAsia="宋体" w:cs="Times New Roman"/>
                <w:szCs w:val="21"/>
              </w:rPr>
            </w:pPr>
            <w:r>
              <w:rPr>
                <w:rFonts w:ascii="Times New Roman" w:hAnsi="Times New Roman" w:eastAsia="宋体" w:cs="Times New Roman"/>
                <w:szCs w:val="21"/>
              </w:rPr>
              <w:t>3.组织管理</w:t>
            </w:r>
          </w:p>
        </w:tc>
        <w:tc>
          <w:tcPr>
            <w:tcW w:w="7005" w:type="dxa"/>
            <w:vAlign w:val="center"/>
          </w:tcPr>
          <w:p w14:paraId="48765430">
            <w:pPr>
              <w:snapToGrid w:val="0"/>
              <w:rPr>
                <w:rFonts w:ascii="Times New Roman" w:hAnsi="Times New Roman" w:eastAsia="宋体" w:cs="Times New Roman"/>
                <w:szCs w:val="21"/>
              </w:rPr>
            </w:pPr>
            <w:r>
              <w:rPr>
                <w:rFonts w:hint="eastAsia" w:ascii="Times New Roman" w:hAnsi="Times New Roman" w:eastAsia="宋体" w:cs="Times New Roman"/>
                <w:szCs w:val="21"/>
              </w:rPr>
              <w:t>做好学生的分组工作，强调小组成员之间的合作沟通，对每位同学都提出明确的研习纪律和责任。</w:t>
            </w:r>
          </w:p>
        </w:tc>
      </w:tr>
      <w:tr w14:paraId="1F4CE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70" w:type="dxa"/>
            <w:vMerge w:val="restart"/>
            <w:vAlign w:val="center"/>
          </w:tcPr>
          <w:p w14:paraId="73377E1F">
            <w:pPr>
              <w:jc w:val="center"/>
              <w:rPr>
                <w:rFonts w:ascii="Times New Roman" w:hAnsi="Times New Roman" w:eastAsia="宋体" w:cs="Times New Roman"/>
                <w:szCs w:val="21"/>
              </w:rPr>
            </w:pPr>
            <w:r>
              <w:rPr>
                <w:rFonts w:ascii="Times New Roman" w:hAnsi="Times New Roman" w:eastAsia="宋体" w:cs="Times New Roman"/>
                <w:szCs w:val="21"/>
              </w:rPr>
              <w:t>实施</w:t>
            </w:r>
          </w:p>
          <w:p w14:paraId="007B5878">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1B3DB317">
            <w:pPr>
              <w:rPr>
                <w:rFonts w:ascii="Times New Roman" w:hAnsi="Times New Roman" w:eastAsia="宋体" w:cs="Times New Roman"/>
                <w:szCs w:val="21"/>
              </w:rPr>
            </w:pPr>
            <w:r>
              <w:rPr>
                <w:rFonts w:ascii="Times New Roman" w:hAnsi="Times New Roman" w:eastAsia="宋体" w:cs="Times New Roman"/>
                <w:szCs w:val="21"/>
              </w:rPr>
              <w:t>1.计划执行</w:t>
            </w:r>
          </w:p>
        </w:tc>
        <w:tc>
          <w:tcPr>
            <w:tcW w:w="7005" w:type="dxa"/>
            <w:vAlign w:val="center"/>
          </w:tcPr>
          <w:p w14:paraId="7EE579EC">
            <w:pPr>
              <w:rPr>
                <w:rFonts w:ascii="Times New Roman" w:hAnsi="Times New Roman" w:eastAsia="宋体" w:cs="Times New Roman"/>
                <w:szCs w:val="21"/>
              </w:rPr>
            </w:pPr>
            <w:r>
              <w:rPr>
                <w:rFonts w:hint="eastAsia" w:ascii="Times New Roman" w:hAnsi="Times New Roman" w:eastAsia="宋体" w:cs="Times New Roman"/>
                <w:szCs w:val="21"/>
              </w:rPr>
              <w:t>按照研习计划在校内和校外研习</w:t>
            </w:r>
            <w:r>
              <w:rPr>
                <w:rFonts w:ascii="Times New Roman" w:hAnsi="Times New Roman" w:eastAsia="宋体" w:cs="Times New Roman"/>
                <w:szCs w:val="21"/>
              </w:rPr>
              <w:t xml:space="preserve">。 </w:t>
            </w:r>
          </w:p>
        </w:tc>
      </w:tr>
      <w:tr w14:paraId="54240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64CF7763">
            <w:pPr>
              <w:jc w:val="center"/>
              <w:rPr>
                <w:rFonts w:ascii="Times New Roman" w:hAnsi="Times New Roman" w:eastAsia="宋体" w:cs="Times New Roman"/>
                <w:szCs w:val="21"/>
              </w:rPr>
            </w:pPr>
          </w:p>
        </w:tc>
        <w:tc>
          <w:tcPr>
            <w:tcW w:w="1431" w:type="dxa"/>
            <w:vAlign w:val="center"/>
          </w:tcPr>
          <w:p w14:paraId="105AAF0C">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7005" w:type="dxa"/>
            <w:vAlign w:val="center"/>
          </w:tcPr>
          <w:p w14:paraId="439ED85B">
            <w:pPr>
              <w:snapToGrid w:val="0"/>
              <w:rPr>
                <w:rFonts w:ascii="Times New Roman" w:hAnsi="Times New Roman" w:eastAsia="宋体" w:cs="Times New Roman"/>
                <w:szCs w:val="21"/>
              </w:rPr>
            </w:pPr>
            <w:r>
              <w:rPr>
                <w:rFonts w:hint="eastAsia" w:ascii="Times New Roman" w:hAnsi="Times New Roman" w:eastAsia="宋体" w:cs="Times New Roman"/>
                <w:szCs w:val="21"/>
              </w:rPr>
              <w:t>指导教师及时了解学生在校内和校外研习情况。</w:t>
            </w:r>
          </w:p>
        </w:tc>
      </w:tr>
      <w:tr w14:paraId="437AC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70" w:type="dxa"/>
            <w:vMerge w:val="continue"/>
            <w:vAlign w:val="center"/>
          </w:tcPr>
          <w:p w14:paraId="1E603210">
            <w:pPr>
              <w:jc w:val="center"/>
              <w:rPr>
                <w:rFonts w:ascii="Times New Roman" w:hAnsi="Times New Roman" w:eastAsia="宋体" w:cs="Times New Roman"/>
                <w:szCs w:val="21"/>
              </w:rPr>
            </w:pPr>
          </w:p>
        </w:tc>
        <w:tc>
          <w:tcPr>
            <w:tcW w:w="1431" w:type="dxa"/>
            <w:vAlign w:val="center"/>
          </w:tcPr>
          <w:p w14:paraId="3D5A2252">
            <w:pPr>
              <w:snapToGrid w:val="0"/>
              <w:rPr>
                <w:rFonts w:ascii="Times New Roman" w:hAnsi="Times New Roman" w:eastAsia="宋体" w:cs="Times New Roman"/>
                <w:szCs w:val="21"/>
              </w:rPr>
            </w:pPr>
            <w:r>
              <w:rPr>
                <w:rFonts w:ascii="Times New Roman" w:hAnsi="Times New Roman" w:eastAsia="宋体" w:cs="Times New Roman"/>
                <w:szCs w:val="21"/>
              </w:rPr>
              <w:t>3.学生管理</w:t>
            </w:r>
          </w:p>
        </w:tc>
        <w:tc>
          <w:tcPr>
            <w:tcW w:w="7005" w:type="dxa"/>
            <w:vAlign w:val="center"/>
          </w:tcPr>
          <w:p w14:paraId="6150AF7B">
            <w:pPr>
              <w:snapToGrid w:val="0"/>
              <w:rPr>
                <w:rFonts w:ascii="Times New Roman" w:hAnsi="Times New Roman" w:eastAsia="宋体" w:cs="Times New Roman"/>
                <w:szCs w:val="21"/>
              </w:rPr>
            </w:pPr>
            <w:r>
              <w:rPr>
                <w:rFonts w:ascii="Times New Roman" w:hAnsi="Times New Roman" w:eastAsia="宋体" w:cs="Times New Roman"/>
                <w:szCs w:val="21"/>
              </w:rPr>
              <w:t>严格进行考勤，认真记录</w:t>
            </w:r>
            <w:r>
              <w:rPr>
                <w:rFonts w:hint="eastAsia" w:ascii="Times New Roman" w:hAnsi="Times New Roman" w:eastAsia="宋体" w:cs="Times New Roman"/>
                <w:szCs w:val="21"/>
              </w:rPr>
              <w:t>学生工作</w:t>
            </w:r>
            <w:r>
              <w:rPr>
                <w:rFonts w:ascii="Times New Roman" w:hAnsi="Times New Roman" w:eastAsia="宋体" w:cs="Times New Roman"/>
                <w:szCs w:val="21"/>
              </w:rPr>
              <w:t>情况；对迟到、早退和无故缺勤等违纪情况及时处理。</w:t>
            </w:r>
          </w:p>
        </w:tc>
      </w:tr>
      <w:tr w14:paraId="433A1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48052D90">
            <w:pPr>
              <w:jc w:val="center"/>
              <w:rPr>
                <w:rFonts w:ascii="Times New Roman" w:hAnsi="Times New Roman" w:eastAsia="宋体" w:cs="Times New Roman"/>
                <w:szCs w:val="21"/>
              </w:rPr>
            </w:pPr>
          </w:p>
        </w:tc>
        <w:tc>
          <w:tcPr>
            <w:tcW w:w="1431" w:type="dxa"/>
            <w:vAlign w:val="center"/>
          </w:tcPr>
          <w:p w14:paraId="0C3C8112">
            <w:pPr>
              <w:snapToGrid w:val="0"/>
              <w:rPr>
                <w:rFonts w:ascii="Times New Roman" w:hAnsi="Times New Roman" w:eastAsia="宋体" w:cs="Times New Roman"/>
                <w:szCs w:val="21"/>
              </w:rPr>
            </w:pPr>
            <w:r>
              <w:rPr>
                <w:rFonts w:ascii="Times New Roman" w:hAnsi="Times New Roman" w:eastAsia="宋体" w:cs="Times New Roman"/>
                <w:szCs w:val="21"/>
              </w:rPr>
              <w:t>4.教学检查</w:t>
            </w:r>
          </w:p>
        </w:tc>
        <w:tc>
          <w:tcPr>
            <w:tcW w:w="7005" w:type="dxa"/>
            <w:vAlign w:val="center"/>
          </w:tcPr>
          <w:p w14:paraId="25691FBB">
            <w:pPr>
              <w:snapToGrid w:val="0"/>
              <w:rPr>
                <w:rFonts w:ascii="Times New Roman" w:hAnsi="Times New Roman" w:eastAsia="宋体" w:cs="Times New Roman"/>
                <w:szCs w:val="21"/>
              </w:rPr>
            </w:pPr>
            <w:r>
              <w:rPr>
                <w:rFonts w:ascii="Times New Roman" w:hAnsi="Times New Roman" w:eastAsia="宋体" w:cs="Times New Roman"/>
                <w:szCs w:val="21"/>
              </w:rPr>
              <w:t>学院有计划地开展督导检查，并及时反馈检查情况。</w:t>
            </w:r>
          </w:p>
        </w:tc>
      </w:tr>
      <w:tr w14:paraId="14A6E8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restart"/>
            <w:vAlign w:val="center"/>
          </w:tcPr>
          <w:p w14:paraId="016E1F3D">
            <w:pPr>
              <w:jc w:val="center"/>
              <w:rPr>
                <w:rFonts w:ascii="Times New Roman" w:hAnsi="Times New Roman" w:eastAsia="宋体" w:cs="Times New Roman"/>
                <w:szCs w:val="21"/>
              </w:rPr>
            </w:pPr>
            <w:r>
              <w:rPr>
                <w:rFonts w:ascii="Times New Roman" w:hAnsi="Times New Roman" w:eastAsia="宋体" w:cs="Times New Roman"/>
                <w:szCs w:val="21"/>
              </w:rPr>
              <w:t>总结</w:t>
            </w:r>
          </w:p>
          <w:p w14:paraId="4183F44D">
            <w:pPr>
              <w:jc w:val="center"/>
              <w:rPr>
                <w:rFonts w:ascii="Times New Roman" w:hAnsi="Times New Roman" w:eastAsia="宋体" w:cs="Times New Roman"/>
                <w:szCs w:val="21"/>
              </w:rPr>
            </w:pPr>
            <w:r>
              <w:rPr>
                <w:rFonts w:ascii="Times New Roman" w:hAnsi="Times New Roman" w:eastAsia="宋体" w:cs="Times New Roman"/>
                <w:szCs w:val="21"/>
              </w:rPr>
              <w:t>考核</w:t>
            </w:r>
          </w:p>
        </w:tc>
        <w:tc>
          <w:tcPr>
            <w:tcW w:w="1431" w:type="dxa"/>
            <w:vAlign w:val="center"/>
          </w:tcPr>
          <w:p w14:paraId="00AD871B">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研习</w:t>
            </w:r>
            <w:r>
              <w:rPr>
                <w:rFonts w:ascii="Times New Roman" w:hAnsi="Times New Roman" w:eastAsia="宋体" w:cs="Times New Roman"/>
                <w:szCs w:val="21"/>
              </w:rPr>
              <w:t>报告</w:t>
            </w:r>
          </w:p>
        </w:tc>
        <w:tc>
          <w:tcPr>
            <w:tcW w:w="7005" w:type="dxa"/>
            <w:vAlign w:val="center"/>
          </w:tcPr>
          <w:p w14:paraId="6518BA5F">
            <w:pPr>
              <w:rPr>
                <w:rFonts w:ascii="Times New Roman" w:hAnsi="Times New Roman" w:eastAsia="宋体" w:cs="Times New Roman"/>
                <w:szCs w:val="21"/>
              </w:rPr>
            </w:pPr>
            <w:r>
              <w:rPr>
                <w:rFonts w:ascii="Times New Roman" w:hAnsi="Times New Roman" w:eastAsia="宋体" w:cs="Times New Roman"/>
                <w:szCs w:val="21"/>
              </w:rPr>
              <w:t>结束后，及时按要求</w:t>
            </w:r>
            <w:r>
              <w:rPr>
                <w:rFonts w:hint="eastAsia" w:ascii="Times New Roman" w:hAnsi="Times New Roman" w:eastAsia="宋体" w:cs="Times New Roman"/>
                <w:szCs w:val="21"/>
              </w:rPr>
              <w:t>教育叙事、教育研习手册和研习考核表</w:t>
            </w:r>
            <w:r>
              <w:rPr>
                <w:rFonts w:ascii="Times New Roman" w:hAnsi="Times New Roman" w:eastAsia="宋体" w:cs="Times New Roman"/>
                <w:szCs w:val="21"/>
              </w:rPr>
              <w:t>。</w:t>
            </w:r>
          </w:p>
        </w:tc>
      </w:tr>
      <w:tr w14:paraId="7C20C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 w:type="dxa"/>
            <w:vMerge w:val="continue"/>
            <w:vAlign w:val="center"/>
          </w:tcPr>
          <w:p w14:paraId="73421B26">
            <w:pPr>
              <w:rPr>
                <w:rFonts w:ascii="Times New Roman" w:hAnsi="Times New Roman" w:eastAsia="宋体" w:cs="Times New Roman"/>
                <w:szCs w:val="21"/>
              </w:rPr>
            </w:pPr>
          </w:p>
        </w:tc>
        <w:tc>
          <w:tcPr>
            <w:tcW w:w="1431" w:type="dxa"/>
            <w:vAlign w:val="center"/>
          </w:tcPr>
          <w:p w14:paraId="0C3E03E1">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7005" w:type="dxa"/>
            <w:vAlign w:val="center"/>
          </w:tcPr>
          <w:p w14:paraId="02D8E53A">
            <w:pPr>
              <w:snapToGrid w:val="0"/>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研习情况</w:t>
            </w:r>
            <w:r>
              <w:rPr>
                <w:rFonts w:ascii="Times New Roman" w:hAnsi="Times New Roman" w:eastAsia="宋体" w:cs="Times New Roman"/>
                <w:szCs w:val="21"/>
              </w:rPr>
              <w:t>进行考核，合理评价，并按照学校有关规定登记成绩。</w:t>
            </w:r>
          </w:p>
        </w:tc>
      </w:tr>
      <w:tr w14:paraId="24B4D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2832EA29">
            <w:pPr>
              <w:rPr>
                <w:rFonts w:ascii="Times New Roman" w:hAnsi="Times New Roman" w:eastAsia="宋体" w:cs="Times New Roman"/>
                <w:szCs w:val="21"/>
              </w:rPr>
            </w:pPr>
          </w:p>
        </w:tc>
        <w:tc>
          <w:tcPr>
            <w:tcW w:w="1431" w:type="dxa"/>
            <w:vAlign w:val="center"/>
          </w:tcPr>
          <w:p w14:paraId="7D6B737A">
            <w:pPr>
              <w:snapToGrid w:val="0"/>
              <w:rPr>
                <w:rFonts w:ascii="Times New Roman" w:hAnsi="Times New Roman" w:eastAsia="宋体" w:cs="Times New Roman"/>
                <w:szCs w:val="21"/>
              </w:rPr>
            </w:pPr>
            <w:r>
              <w:rPr>
                <w:rFonts w:ascii="Times New Roman" w:hAnsi="Times New Roman" w:eastAsia="宋体" w:cs="Times New Roman"/>
                <w:szCs w:val="21"/>
              </w:rPr>
              <w:t>3.总结归档</w:t>
            </w:r>
          </w:p>
        </w:tc>
        <w:tc>
          <w:tcPr>
            <w:tcW w:w="7005" w:type="dxa"/>
            <w:vAlign w:val="center"/>
          </w:tcPr>
          <w:p w14:paraId="53B58791">
            <w:pPr>
              <w:snapToGrid w:val="0"/>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p>
        </w:tc>
      </w:tr>
    </w:tbl>
    <w:p w14:paraId="2C240795">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六</w:t>
      </w:r>
      <w:r>
        <w:rPr>
          <w:rFonts w:ascii="Times New Roman" w:hAnsi="Times New Roman" w:eastAsia="宋体" w:cs="Times New Roman"/>
          <w:b/>
          <w:sz w:val="28"/>
          <w:szCs w:val="28"/>
        </w:rPr>
        <w:t>、课程考核</w:t>
      </w:r>
    </w:p>
    <w:p w14:paraId="42DC2B60">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w:t>
      </w:r>
      <w:r>
        <w:rPr>
          <w:rFonts w:ascii="Times New Roman" w:hAnsi="Times New Roman" w:eastAsia="宋体" w:cs="Times New Roman"/>
          <w:b/>
          <w:color w:val="000000"/>
          <w:sz w:val="24"/>
          <w:szCs w:val="24"/>
        </w:rPr>
        <w:t>考核资料要求</w:t>
      </w:r>
    </w:p>
    <w:p w14:paraId="406FA529">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1.教育研习手册填写完整。</w:t>
      </w:r>
    </w:p>
    <w:p w14:paraId="22068A94">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2.教育研习案例分析报告一份。</w:t>
      </w:r>
    </w:p>
    <w:p w14:paraId="753B860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hint="eastAsia" w:ascii="Times New Roman" w:hAnsi="Times New Roman" w:eastAsia="宋体" w:cs="Times New Roman"/>
          <w:color w:val="000000"/>
          <w:sz w:val="24"/>
          <w:szCs w:val="24"/>
        </w:rPr>
        <w:t>教育研习总结P</w:t>
      </w:r>
      <w:r>
        <w:rPr>
          <w:rFonts w:ascii="Times New Roman" w:hAnsi="Times New Roman" w:eastAsia="宋体" w:cs="Times New Roman"/>
          <w:color w:val="000000"/>
          <w:sz w:val="24"/>
          <w:szCs w:val="24"/>
        </w:rPr>
        <w:t>PT</w:t>
      </w:r>
      <w:r>
        <w:rPr>
          <w:rFonts w:hint="eastAsia" w:ascii="Times New Roman" w:hAnsi="Times New Roman" w:eastAsia="宋体" w:cs="Times New Roman"/>
          <w:color w:val="000000"/>
          <w:sz w:val="24"/>
          <w:szCs w:val="24"/>
        </w:rPr>
        <w:t>一份。</w:t>
      </w:r>
    </w:p>
    <w:p w14:paraId="6B41AF2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hint="eastAsia" w:ascii="Times New Roman" w:hAnsi="Times New Roman" w:eastAsia="宋体" w:cs="Times New Roman"/>
          <w:color w:val="000000"/>
          <w:sz w:val="24"/>
          <w:szCs w:val="24"/>
        </w:rPr>
        <w:t>.教育研习鉴定表每人一份，</w:t>
      </w:r>
      <w:r>
        <w:rPr>
          <w:rFonts w:ascii="Times New Roman" w:hAnsi="Times New Roman" w:eastAsia="宋体" w:cs="Times New Roman"/>
          <w:color w:val="000000"/>
          <w:sz w:val="24"/>
          <w:szCs w:val="24"/>
        </w:rPr>
        <w:t>有</w:t>
      </w:r>
      <w:r>
        <w:rPr>
          <w:rFonts w:hint="eastAsia" w:ascii="Times New Roman" w:hAnsi="Times New Roman" w:eastAsia="宋体" w:cs="Times New Roman"/>
          <w:color w:val="000000"/>
          <w:sz w:val="24"/>
          <w:szCs w:val="24"/>
        </w:rPr>
        <w:t>研习</w:t>
      </w:r>
      <w:r>
        <w:rPr>
          <w:rFonts w:ascii="Times New Roman" w:hAnsi="Times New Roman" w:eastAsia="宋体" w:cs="Times New Roman"/>
          <w:color w:val="000000"/>
          <w:sz w:val="24"/>
          <w:szCs w:val="24"/>
        </w:rPr>
        <w:t>学校</w:t>
      </w:r>
      <w:r>
        <w:rPr>
          <w:rFonts w:hint="eastAsia" w:ascii="Times New Roman" w:hAnsi="Times New Roman" w:eastAsia="宋体" w:cs="Times New Roman"/>
          <w:color w:val="000000"/>
          <w:sz w:val="24"/>
          <w:szCs w:val="24"/>
        </w:rPr>
        <w:t>实践导师</w:t>
      </w:r>
      <w:r>
        <w:rPr>
          <w:rFonts w:ascii="Times New Roman" w:hAnsi="Times New Roman" w:eastAsia="宋体" w:cs="Times New Roman"/>
          <w:color w:val="000000"/>
          <w:sz w:val="24"/>
          <w:szCs w:val="24"/>
        </w:rPr>
        <w:t>和班主任的评语及打分，并有</w:t>
      </w:r>
      <w:r>
        <w:rPr>
          <w:rFonts w:hint="eastAsia" w:ascii="Times New Roman" w:hAnsi="Times New Roman" w:eastAsia="宋体" w:cs="Times New Roman"/>
          <w:color w:val="000000"/>
          <w:sz w:val="24"/>
          <w:szCs w:val="24"/>
        </w:rPr>
        <w:t>研习</w:t>
      </w:r>
      <w:r>
        <w:rPr>
          <w:rFonts w:ascii="Times New Roman" w:hAnsi="Times New Roman" w:eastAsia="宋体" w:cs="Times New Roman"/>
          <w:color w:val="000000"/>
          <w:sz w:val="24"/>
          <w:szCs w:val="24"/>
        </w:rPr>
        <w:t>学校的意见</w:t>
      </w:r>
      <w:r>
        <w:rPr>
          <w:rFonts w:hint="eastAsia" w:ascii="Times New Roman" w:hAnsi="Times New Roman" w:eastAsia="宋体" w:cs="Times New Roman"/>
          <w:color w:val="000000"/>
          <w:sz w:val="24"/>
          <w:szCs w:val="24"/>
        </w:rPr>
        <w:t>和</w:t>
      </w:r>
      <w:r>
        <w:rPr>
          <w:rFonts w:ascii="Times New Roman" w:hAnsi="Times New Roman" w:eastAsia="宋体" w:cs="Times New Roman"/>
          <w:color w:val="000000"/>
          <w:sz w:val="24"/>
          <w:szCs w:val="24"/>
        </w:rPr>
        <w:t>本校指导教师的</w:t>
      </w:r>
      <w:r>
        <w:rPr>
          <w:rFonts w:hint="eastAsia" w:ascii="Times New Roman" w:hAnsi="Times New Roman" w:eastAsia="宋体" w:cs="Times New Roman"/>
          <w:color w:val="000000"/>
          <w:sz w:val="24"/>
          <w:szCs w:val="24"/>
        </w:rPr>
        <w:t>评语评分</w:t>
      </w:r>
      <w:r>
        <w:rPr>
          <w:rFonts w:ascii="Times New Roman" w:hAnsi="Times New Roman" w:eastAsia="宋体" w:cs="Times New Roman"/>
          <w:color w:val="000000"/>
          <w:sz w:val="24"/>
          <w:szCs w:val="24"/>
        </w:rPr>
        <w:t>及签字。</w:t>
      </w:r>
    </w:p>
    <w:p w14:paraId="6CA45FD0">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（二）课程目标达成度计算方法</w:t>
      </w:r>
    </w:p>
    <w:p w14:paraId="499500C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80B6F9D">
      <w:pPr>
        <w:spacing w:before="156" w:beforeLines="50" w:line="360" w:lineRule="auto"/>
        <w:ind w:firstLine="420" w:firstLineChars="200"/>
        <w:jc w:val="left"/>
        <w:rPr>
          <w:rFonts w:hint="eastAsia" w:ascii="宋体" w:hAnsi="宋体" w:eastAsia="宋体" w:cs="Times New Roman"/>
          <w:color w:val="000000"/>
          <w:szCs w:val="21"/>
        </w:rPr>
      </w:pPr>
      <w:r>
        <w:rPr>
          <w:rFonts w:ascii="宋体" w:hAnsi="宋体" w:eastAsia="宋体" w:cs="Times New Roman"/>
          <w:color w:val="000000"/>
          <w:szCs w:val="21"/>
        </w:rPr>
        <w:object>
          <v:shape id="_x0000_i1087" o:spt="75" type="#_x0000_t75" style="height:25.05pt;width:404.65pt;" o:ole="t" filled="f" o:preferrelative="t" stroked="f" coordsize="21600,21600">
            <v:path/>
            <v:fill on="f" focussize="0,0"/>
            <v:stroke on="f" joinstyle="miter"/>
            <v:imagedata r:id="rId5" o:title=""/>
            <o:lock v:ext="edit" aspectratio="t"/>
            <w10:wrap type="none"/>
            <w10:anchorlock/>
          </v:shape>
          <o:OLEObject Type="Embed" ProgID="Equation.3" ShapeID="_x0000_i1087" DrawAspect="Content" ObjectID="_1468075787" r:id="rId70">
            <o:LockedField>false</o:LockedField>
          </o:OLEObject>
        </w:object>
      </w:r>
    </w:p>
    <w:p w14:paraId="7E230593">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七、有关说明</w:t>
      </w:r>
    </w:p>
    <w:p w14:paraId="1F67490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AF0C978">
      <w:pPr>
        <w:bidi w:val="0"/>
      </w:pPr>
      <w:r>
        <w:rPr>
          <w:rFonts w:hint="eastAsia"/>
        </w:rPr>
        <w:t>根据学生研习情况、研习学校反馈、学生作业、见习态度、调查报告、文本研读情况及时发现和改进教学中的不足之处，确保相应毕业要求指标点达成。</w:t>
      </w:r>
    </w:p>
    <w:p w14:paraId="68FEA38E">
      <w:pPr>
        <w:bidi w:val="0"/>
      </w:pPr>
      <w:r>
        <w:rPr>
          <w:rFonts w:hint="eastAsia"/>
          <w:b/>
          <w:bCs/>
        </w:rPr>
        <w:t>（二）建议教材</w:t>
      </w:r>
    </w:p>
    <w:p w14:paraId="0BE90053">
      <w:pPr>
        <w:bidi w:val="0"/>
        <w:rPr>
          <w:rFonts w:hint="eastAsia"/>
        </w:rPr>
      </w:pPr>
      <w:r>
        <w:t>1.</w:t>
      </w:r>
      <w:r>
        <w:rPr>
          <w:rFonts w:hint="eastAsia"/>
        </w:rPr>
        <w:t>义务教育小学语文/数学学科课程标准，最新版。</w:t>
      </w:r>
    </w:p>
    <w:p w14:paraId="698A0986">
      <w:pPr>
        <w:bidi w:val="0"/>
        <w:rPr>
          <w:rFonts w:hint="eastAsia"/>
        </w:rPr>
      </w:pPr>
      <w:r>
        <w:t>2.</w:t>
      </w:r>
      <w:r>
        <w:rPr>
          <w:rFonts w:hint="eastAsia"/>
        </w:rPr>
        <w:t>部编版小学语文/数学各年级教材。</w:t>
      </w:r>
    </w:p>
    <w:p w14:paraId="58EF8952">
      <w:pPr>
        <w:bidi w:val="0"/>
        <w:rPr>
          <w:rFonts w:hint="eastAsia"/>
        </w:rPr>
      </w:pPr>
      <w:r>
        <w:t>3.《中小学教育专业见习实习研习实用手册》，金建生、刘雄英编著, 上海 交大出版社，2020年12月.</w:t>
      </w:r>
    </w:p>
    <w:p w14:paraId="7FD5E651">
      <w:pPr>
        <w:spacing w:line="336" w:lineRule="auto"/>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4</w:t>
      </w:r>
      <w:r>
        <w:rPr>
          <w:rFonts w:ascii="Times New Roman" w:hAnsi="Times New Roman" w:eastAsia="宋体" w:cs="Times New Roman"/>
          <w:bCs/>
          <w:color w:val="000000"/>
          <w:szCs w:val="21"/>
        </w:rPr>
        <w:t>.陈国庆等编著. 教育研究方法[M].武汉：华中师范大学出版社，2018.</w:t>
      </w:r>
    </w:p>
    <w:p w14:paraId="5203AE39">
      <w:pPr>
        <w:adjustRightInd w:val="0"/>
        <w:snapToGrid w:val="0"/>
        <w:spacing w:line="480" w:lineRule="exact"/>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执笔人：</w:t>
      </w:r>
      <w:r>
        <w:rPr>
          <w:rFonts w:ascii="宋体" w:hAnsi="Times New Roman" w:eastAsia="宋体" w:cs="Times New Roman"/>
          <w:color w:val="000000"/>
          <w:sz w:val="24"/>
          <w:szCs w:val="24"/>
        </w:rPr>
        <w:t xml:space="preserve"> </w:t>
      </w:r>
      <w:r>
        <w:rPr>
          <w:rFonts w:hint="eastAsia" w:ascii="宋体" w:hAnsi="Times New Roman" w:eastAsia="宋体" w:cs="Times New Roman"/>
          <w:color w:val="000000"/>
          <w:sz w:val="24"/>
          <w:szCs w:val="24"/>
        </w:rPr>
        <w:t>刘 丽</w:t>
      </w:r>
    </w:p>
    <w:p w14:paraId="15E4EEC2">
      <w:pPr>
        <w:adjustRightInd w:val="0"/>
        <w:snapToGrid w:val="0"/>
        <w:spacing w:line="480" w:lineRule="exact"/>
        <w:rPr>
          <w:rFonts w:hint="eastAsia"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王健</w:t>
      </w:r>
    </w:p>
    <w:p w14:paraId="69BC6EC2">
      <w:pPr>
        <w:adjustRightInd w:val="0"/>
        <w:snapToGrid w:val="0"/>
        <w:spacing w:line="480" w:lineRule="exact"/>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w:t>
      </w:r>
      <w:r>
        <w:rPr>
          <w:rFonts w:ascii="宋体" w:hAnsi="Times New Roman" w:eastAsia="宋体" w:cs="Times New Roman"/>
          <w:color w:val="000000"/>
          <w:sz w:val="24"/>
          <w:szCs w:val="24"/>
        </w:rPr>
        <w:t xml:space="preserve"> </w:t>
      </w:r>
      <w:r>
        <w:rPr>
          <w:rFonts w:hint="eastAsia" w:ascii="宋体" w:hAnsi="Times New Roman" w:eastAsia="宋体" w:cs="Times New Roman"/>
          <w:color w:val="000000"/>
          <w:sz w:val="24"/>
          <w:szCs w:val="24"/>
        </w:rPr>
        <w:t>张志欣</w:t>
      </w:r>
    </w:p>
    <w:p w14:paraId="70A4EF83">
      <w:pPr>
        <w:bidi w:val="0"/>
        <w:rPr>
          <w:rFonts w:hint="eastAsia"/>
        </w:rPr>
      </w:pPr>
      <w:r>
        <w:t xml:space="preserve">                                           </w:t>
      </w:r>
      <w:r>
        <w:rPr>
          <w:rFonts w:hint="eastAsia"/>
          <w:sz w:val="24"/>
          <w:szCs w:val="24"/>
        </w:rPr>
        <w:t>批准时间：</w:t>
      </w:r>
      <w:r>
        <w:rPr>
          <w:sz w:val="24"/>
          <w:szCs w:val="24"/>
        </w:rPr>
        <w:t>202</w:t>
      </w:r>
      <w:r>
        <w:rPr>
          <w:rFonts w:hint="eastAsia"/>
          <w:sz w:val="24"/>
          <w:szCs w:val="24"/>
        </w:rPr>
        <w:t>4年8月</w:t>
      </w:r>
      <w:r>
        <w:rPr>
          <w:sz w:val="24"/>
          <w:szCs w:val="24"/>
        </w:rPr>
        <w:t>3</w:t>
      </w:r>
      <w:r>
        <w:rPr>
          <w:rFonts w:hint="eastAsia"/>
          <w:sz w:val="24"/>
          <w:szCs w:val="24"/>
        </w:rPr>
        <w:t>1日</w:t>
      </w:r>
    </w:p>
    <w:p w14:paraId="43FFEC69">
      <w:pPr>
        <w:jc w:val="right"/>
        <w:rPr>
          <w:rFonts w:hint="eastAsia" w:ascii="宋体" w:hAnsi="宋体" w:eastAsia="宋体" w:cs="Times New Roman"/>
          <w:kern w:val="0"/>
          <w:sz w:val="24"/>
          <w:szCs w:val="21"/>
        </w:rPr>
      </w:pPr>
    </w:p>
    <w:p w14:paraId="311A37DF">
      <w:pPr>
        <w:widowControl/>
        <w:ind w:left="5280" w:hanging="5280" w:hangingChars="2200"/>
        <w:jc w:val="left"/>
        <w:rPr>
          <w:rFonts w:ascii="宋体" w:hAnsi="宋体" w:eastAsia="宋体" w:cs="Times New Roman"/>
          <w:color w:val="000000"/>
          <w:sz w:val="24"/>
          <w:szCs w:val="24"/>
        </w:rPr>
      </w:pPr>
    </w:p>
    <w:p w14:paraId="0E7687CC">
      <w:pPr>
        <w:pStyle w:val="2"/>
        <w:bidi w:val="0"/>
      </w:pPr>
    </w:p>
    <w:p w14:paraId="02466E67">
      <w:pPr>
        <w:widowControl/>
        <w:jc w:val="left"/>
        <w:rPr>
          <w:rFonts w:ascii="宋体" w:hAnsi="宋体" w:eastAsia="宋体" w:cs="Times New Roman"/>
          <w:color w:val="000000"/>
          <w:sz w:val="24"/>
          <w:szCs w:val="24"/>
        </w:rPr>
      </w:pPr>
      <w:r>
        <w:rPr>
          <w:rFonts w:ascii="宋体" w:hAnsi="宋体" w:eastAsia="宋体" w:cs="Times New Roman"/>
          <w:color w:val="000000"/>
          <w:sz w:val="24"/>
          <w:szCs w:val="24"/>
        </w:rPr>
        <w:br w:type="page"/>
      </w:r>
    </w:p>
    <w:p w14:paraId="34E6FA67">
      <w:pPr>
        <w:pStyle w:val="2"/>
        <w:bidi w:val="0"/>
        <w:rPr>
          <w:rFonts w:hint="eastAsia"/>
          <w:lang w:val="en-US" w:eastAsia="zh-CN"/>
        </w:rPr>
      </w:pPr>
      <w:bookmarkStart w:id="3253" w:name="_Toc25298"/>
      <w:bookmarkStart w:id="3254" w:name="_Toc11951"/>
      <w:bookmarkStart w:id="3255" w:name="_Toc15800"/>
      <w:bookmarkStart w:id="3256" w:name="_Toc7286"/>
      <w:r>
        <w:rPr>
          <w:rFonts w:hint="eastAsia"/>
          <w:lang w:val="en-US" w:eastAsia="zh-CN"/>
        </w:rPr>
        <w:t>《教育实习II》课程教学大纲</w:t>
      </w:r>
      <w:bookmarkEnd w:id="3253"/>
      <w:bookmarkEnd w:id="3254"/>
      <w:bookmarkEnd w:id="3255"/>
      <w:bookmarkEnd w:id="3256"/>
    </w:p>
    <w:p w14:paraId="02F5D9FA">
      <w:pPr>
        <w:pStyle w:val="2"/>
        <w:bidi w:val="0"/>
        <w:rPr>
          <w:rFonts w:hint="eastAsia"/>
          <w:lang w:val="en-US" w:eastAsia="zh-CN"/>
        </w:rPr>
      </w:pPr>
      <w:bookmarkStart w:id="3257" w:name="_Toc9702"/>
      <w:bookmarkStart w:id="3258" w:name="_Toc23505"/>
      <w:bookmarkStart w:id="3259" w:name="_Toc15793"/>
      <w:bookmarkStart w:id="3260" w:name="_Toc19801"/>
      <w:bookmarkStart w:id="3261" w:name="_Toc21696"/>
      <w:bookmarkStart w:id="3262" w:name="_Toc25966"/>
      <w:bookmarkStart w:id="3263" w:name="_Toc14755"/>
      <w:r>
        <w:rPr>
          <w:rFonts w:hint="eastAsia"/>
          <w:lang w:val="en-US" w:eastAsia="zh-CN"/>
        </w:rPr>
        <w:t>（Educational Practice II）</w:t>
      </w:r>
      <w:bookmarkEnd w:id="3257"/>
      <w:bookmarkEnd w:id="3258"/>
      <w:bookmarkEnd w:id="3259"/>
      <w:bookmarkEnd w:id="3260"/>
      <w:bookmarkEnd w:id="3261"/>
      <w:bookmarkEnd w:id="3262"/>
      <w:bookmarkEnd w:id="3263"/>
    </w:p>
    <w:p w14:paraId="0D5AC984">
      <w:pPr>
        <w:spacing w:line="360" w:lineRule="auto"/>
        <w:ind w:firstLine="482" w:firstLineChars="200"/>
        <w:jc w:val="left"/>
        <w:rPr>
          <w:rFonts w:hint="eastAsia" w:ascii="Times New Roman" w:hAnsi="Times New Roman" w:eastAsia="宋体" w:cs="Times New Roman"/>
          <w:b/>
          <w:sz w:val="24"/>
          <w:szCs w:val="24"/>
          <w:lang w:val="en-US" w:eastAsia="zh-CN"/>
        </w:rPr>
      </w:pPr>
    </w:p>
    <w:p w14:paraId="2BC1883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课程名称：教育实习II</w:t>
      </w:r>
    </w:p>
    <w:p w14:paraId="669A18F9">
      <w:pPr>
        <w:spacing w:line="360" w:lineRule="auto"/>
        <w:ind w:firstLine="482" w:firstLineChars="200"/>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课程代码：240105</w:t>
      </w:r>
      <w:r>
        <w:rPr>
          <w:rFonts w:hint="eastAsia" w:ascii="Times New Roman" w:hAnsi="Times New Roman" w:eastAsia="宋体" w:cs="Times New Roman"/>
          <w:b/>
          <w:sz w:val="24"/>
          <w:szCs w:val="24"/>
          <w:lang w:val="en-US" w:eastAsia="zh-CN"/>
        </w:rPr>
        <w:t>1</w:t>
      </w:r>
    </w:p>
    <w:p w14:paraId="67FEEA4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分：2</w:t>
      </w:r>
    </w:p>
    <w:p w14:paraId="2441F1E9">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学    时：</w:t>
      </w:r>
      <w:r>
        <w:rPr>
          <w:rFonts w:hint="eastAsia" w:ascii="Times New Roman" w:hAnsi="Times New Roman" w:eastAsia="宋体" w:cs="Times New Roman"/>
          <w:b/>
          <w:sz w:val="24"/>
          <w:szCs w:val="24"/>
          <w:lang w:val="en-US" w:eastAsia="zh-CN"/>
        </w:rPr>
        <w:t>8周</w:t>
      </w:r>
    </w:p>
    <w:p w14:paraId="7F11694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先修课程：小学心理学、教育原理、中国教育史、书写技能、普通话训练、课程与教学论、教育心理学、教育见习Ⅰ、教育见习Ⅱ、教育实习Ⅰ等。</w:t>
      </w:r>
    </w:p>
    <w:p w14:paraId="2F6DCB8A">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适用专业：小学教育</w:t>
      </w:r>
    </w:p>
    <w:p w14:paraId="0FC7AC45">
      <w:pPr>
        <w:pStyle w:val="2"/>
        <w:bidi w:val="0"/>
        <w:rPr>
          <w:rFonts w:hint="eastAsia"/>
          <w:lang w:val="en-US" w:eastAsia="zh-CN"/>
        </w:rPr>
      </w:pPr>
    </w:p>
    <w:p w14:paraId="788A29CB">
      <w:pPr>
        <w:numPr>
          <w:ilvl w:val="0"/>
          <w:numId w:val="0"/>
        </w:numPr>
        <w:spacing w:line="360" w:lineRule="auto"/>
        <w:rPr>
          <w:rFonts w:hint="eastAsia" w:ascii="Times New Roman" w:hAnsi="Times New Roman" w:eastAsia="宋体" w:cs="Times New Roman"/>
          <w:b/>
          <w:sz w:val="24"/>
          <w:szCs w:val="24"/>
          <w:lang w:val="en-US" w:eastAsia="zh-CN"/>
        </w:rPr>
      </w:pPr>
    </w:p>
    <w:p w14:paraId="6478F6E2">
      <w:pPr>
        <w:numPr>
          <w:ilvl w:val="0"/>
          <w:numId w:val="0"/>
        </w:numPr>
        <w:spacing w:line="360" w:lineRule="auto"/>
        <w:outlineLvl w:val="0"/>
        <w:rPr>
          <w:rFonts w:hint="eastAsia" w:ascii="Times New Roman" w:hAnsi="Times New Roman" w:eastAsia="宋体" w:cs="Times New Roman"/>
          <w:b/>
          <w:sz w:val="24"/>
          <w:szCs w:val="24"/>
          <w:lang w:val="en-US" w:eastAsia="zh-CN"/>
        </w:rPr>
      </w:pPr>
      <w:bookmarkStart w:id="3264" w:name="_Toc8792"/>
      <w:bookmarkStart w:id="3265" w:name="_Toc70"/>
      <w:bookmarkStart w:id="3266" w:name="_Toc21829"/>
      <w:bookmarkStart w:id="3267" w:name="_Toc15268"/>
      <w:bookmarkStart w:id="3268" w:name="_Toc10652"/>
      <w:bookmarkStart w:id="3269" w:name="_Toc23923"/>
      <w:bookmarkStart w:id="3270" w:name="_Toc23443"/>
      <w:r>
        <w:rPr>
          <w:rFonts w:hint="eastAsia" w:ascii="Times New Roman" w:hAnsi="Times New Roman" w:eastAsia="宋体" w:cs="Times New Roman"/>
          <w:b/>
          <w:sz w:val="24"/>
          <w:szCs w:val="24"/>
          <w:lang w:val="en-US" w:eastAsia="zh-CN"/>
        </w:rPr>
        <w:t>一、课程简介</w:t>
      </w:r>
      <w:bookmarkEnd w:id="3264"/>
      <w:bookmarkEnd w:id="3265"/>
      <w:bookmarkEnd w:id="3266"/>
      <w:bookmarkEnd w:id="3267"/>
      <w:bookmarkEnd w:id="3268"/>
      <w:bookmarkEnd w:id="3269"/>
      <w:bookmarkEnd w:id="3270"/>
    </w:p>
    <w:p w14:paraId="1A9D2666">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教育实习Ⅱ是小学教育专业重要的实践性环节。本课程的任务和目的是通过本次教育实习，</w:t>
      </w:r>
      <w:r>
        <w:rPr>
          <w:rFonts w:hint="eastAsia" w:ascii="Times New Roman" w:hAnsi="Times New Roman" w:eastAsia="宋体" w:cs="Times New Roman"/>
          <w:kern w:val="0"/>
          <w:sz w:val="21"/>
          <w:szCs w:val="21"/>
          <w:lang w:val="en-US" w:eastAsia="zh-CN"/>
        </w:rPr>
        <w:t>学生能</w:t>
      </w:r>
      <w:r>
        <w:rPr>
          <w:rFonts w:hint="eastAsia" w:ascii="Times New Roman" w:hAnsi="Times New Roman" w:eastAsia="宋体" w:cs="Times New Roman"/>
          <w:kern w:val="0"/>
          <w:sz w:val="21"/>
          <w:szCs w:val="21"/>
        </w:rPr>
        <w:t>在活动中实现教学体验深刻化，教师角色的丰富化，专业与教育知识的情境化，教学基本技能的程序化，</w:t>
      </w:r>
      <w:r>
        <w:rPr>
          <w:rFonts w:hint="eastAsia" w:ascii="Times New Roman" w:hAnsi="Times New Roman" w:eastAsia="宋体" w:cs="Times New Roman"/>
          <w:kern w:val="0"/>
          <w:sz w:val="21"/>
          <w:szCs w:val="21"/>
          <w:lang w:val="en-US" w:eastAsia="zh-CN"/>
        </w:rPr>
        <w:t>提升</w:t>
      </w:r>
      <w:r>
        <w:rPr>
          <w:rFonts w:hint="eastAsia" w:ascii="Times New Roman" w:hAnsi="Times New Roman" w:eastAsia="宋体" w:cs="Times New Roman"/>
          <w:kern w:val="0"/>
          <w:sz w:val="21"/>
          <w:szCs w:val="21"/>
        </w:rPr>
        <w:t>独立从事教学、班级管理及科研的能力，增强专业认同感，完成由师范生向一名准教师的转变。</w:t>
      </w:r>
    </w:p>
    <w:p w14:paraId="26C7F20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0"/>
        <w:rPr>
          <w:rFonts w:ascii="Times New Roman" w:hAnsi="Times New Roman" w:eastAsia="宋体" w:cs="Times New Roman"/>
          <w:b/>
          <w:bCs/>
          <w:sz w:val="28"/>
          <w:szCs w:val="28"/>
        </w:rPr>
      </w:pPr>
      <w:bookmarkStart w:id="3271" w:name="_Toc30745"/>
      <w:bookmarkStart w:id="3272" w:name="_Toc32006"/>
      <w:bookmarkStart w:id="3273" w:name="_Toc6567"/>
      <w:bookmarkStart w:id="3274" w:name="_Toc650"/>
      <w:bookmarkStart w:id="3275" w:name="_Toc17165"/>
      <w:bookmarkStart w:id="3276" w:name="_Toc13389"/>
      <w:bookmarkStart w:id="3277" w:name="_Toc19948"/>
      <w:r>
        <w:rPr>
          <w:rFonts w:hint="eastAsia" w:ascii="Times New Roman" w:hAnsi="Times New Roman" w:eastAsia="宋体" w:cs="Times New Roman"/>
          <w:b/>
          <w:bCs/>
          <w:sz w:val="24"/>
          <w:szCs w:val="24"/>
        </w:rPr>
        <w:t>二、课程目标</w:t>
      </w:r>
      <w:bookmarkEnd w:id="3271"/>
      <w:bookmarkEnd w:id="3272"/>
      <w:bookmarkEnd w:id="3273"/>
      <w:bookmarkEnd w:id="3274"/>
      <w:bookmarkEnd w:id="3275"/>
      <w:bookmarkEnd w:id="3276"/>
      <w:bookmarkEnd w:id="3277"/>
    </w:p>
    <w:p w14:paraId="0AA91B09">
      <w:pPr>
        <w:spacing w:line="360" w:lineRule="auto"/>
        <w:ind w:firstLine="422" w:firstLineChars="200"/>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（一）课程具体目标</w:t>
      </w:r>
    </w:p>
    <w:p w14:paraId="12F33F85">
      <w:pPr>
        <w:spacing w:line="360" w:lineRule="auto"/>
        <w:ind w:firstLine="420" w:firstLineChars="200"/>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目标1. 通过参与式的实习，深刻了解小学生和小学教育工作，增强教育职业认同感</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坚定</w:t>
      </w:r>
      <w:r>
        <w:rPr>
          <w:rFonts w:hint="eastAsia" w:ascii="Times New Roman" w:hAnsi="Times New Roman" w:eastAsia="宋体" w:cs="Times New Roman"/>
          <w:b w:val="0"/>
          <w:bCs w:val="0"/>
          <w:sz w:val="21"/>
          <w:szCs w:val="21"/>
        </w:rPr>
        <w:t>献身小学教育事业的专业</w:t>
      </w:r>
      <w:r>
        <w:rPr>
          <w:rFonts w:hint="eastAsia" w:ascii="Times New Roman" w:hAnsi="Times New Roman" w:eastAsia="宋体" w:cs="Times New Roman"/>
          <w:b w:val="0"/>
          <w:bCs w:val="0"/>
          <w:sz w:val="21"/>
          <w:szCs w:val="21"/>
          <w:lang w:val="en-US" w:eastAsia="zh-CN"/>
        </w:rPr>
        <w:t>信念</w:t>
      </w:r>
      <w:r>
        <w:rPr>
          <w:rFonts w:hint="eastAsia" w:ascii="Times New Roman" w:hAnsi="Times New Roman" w:eastAsia="宋体" w:cs="Times New Roman"/>
          <w:b w:val="0"/>
          <w:bCs w:val="0"/>
          <w:sz w:val="21"/>
          <w:szCs w:val="21"/>
        </w:rPr>
        <w:t>。</w:t>
      </w:r>
    </w:p>
    <w:p w14:paraId="1972019C">
      <w:pPr>
        <w:spacing w:line="360" w:lineRule="auto"/>
        <w:ind w:firstLine="420" w:firstLineChars="200"/>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目标2. 在实习指导老师的指导下，进一步发展教学设计、教学实施、教学评价及教学反思能力。</w:t>
      </w:r>
    </w:p>
    <w:p w14:paraId="03F068A3">
      <w:pPr>
        <w:spacing w:line="360" w:lineRule="auto"/>
        <w:ind w:firstLine="420" w:firstLineChars="200"/>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rPr>
        <w:t>目标3. 通过参与班级管理活动，深入了解小学生班级管理的基本方法和规律，学会处理日常教育教学工作中的突发性事件，具备独立从事班级管理的实践能力和智慧，理解小学生德育途径，增强小学生心理健康教育意识。</w:t>
      </w:r>
    </w:p>
    <w:p w14:paraId="73321D9F">
      <w:pPr>
        <w:spacing w:line="360" w:lineRule="auto"/>
        <w:ind w:firstLine="420" w:firstLineChars="200"/>
        <w:rPr>
          <w:rFonts w:hint="eastAsia" w:ascii="Times New Roman" w:hAnsi="Times New Roman" w:eastAsia="宋体" w:cs="Times New Roman"/>
          <w:b/>
          <w:bCs/>
          <w:sz w:val="21"/>
          <w:szCs w:val="21"/>
        </w:rPr>
      </w:pPr>
      <w:r>
        <w:rPr>
          <w:rFonts w:hint="eastAsia" w:ascii="Times New Roman" w:hAnsi="Times New Roman" w:eastAsia="宋体" w:cs="Times New Roman"/>
          <w:b w:val="0"/>
          <w:bCs w:val="0"/>
          <w:sz w:val="21"/>
          <w:szCs w:val="21"/>
          <w:lang w:val="en-US" w:eastAsia="zh-CN"/>
        </w:rPr>
        <w:t>目标4.</w:t>
      </w:r>
      <w:r>
        <w:rPr>
          <w:rFonts w:hint="eastAsia" w:ascii="Times New Roman" w:hAnsi="Times New Roman" w:eastAsia="宋体" w:cs="Times New Roman"/>
          <w:b w:val="0"/>
          <w:bCs w:val="0"/>
          <w:sz w:val="21"/>
          <w:szCs w:val="21"/>
        </w:rPr>
        <w:t>了解学校的文化建构、课程设置、教师日常工作的基本流程，认真观察并记录</w:t>
      </w:r>
      <w:r>
        <w:rPr>
          <w:rFonts w:hint="eastAsia" w:ascii="Times New Roman" w:hAnsi="Times New Roman" w:eastAsia="宋体" w:cs="Times New Roman"/>
          <w:b w:val="0"/>
          <w:bCs w:val="0"/>
          <w:sz w:val="21"/>
          <w:szCs w:val="21"/>
          <w:lang w:val="en-US" w:eastAsia="zh-CN"/>
        </w:rPr>
        <w:t>实习</w:t>
      </w:r>
      <w:r>
        <w:rPr>
          <w:rFonts w:hint="eastAsia" w:ascii="Times New Roman" w:hAnsi="Times New Roman" w:eastAsia="宋体" w:cs="Times New Roman"/>
          <w:b w:val="0"/>
          <w:bCs w:val="0"/>
          <w:sz w:val="21"/>
          <w:szCs w:val="21"/>
        </w:rPr>
        <w:t>学校中有关的教育教学现象，并有针对性的结合相关理论进行反思</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并</w:t>
      </w:r>
      <w:r>
        <w:rPr>
          <w:rFonts w:hint="eastAsia" w:ascii="Times New Roman" w:hAnsi="Times New Roman" w:eastAsia="宋体" w:cs="Times New Roman"/>
          <w:b w:val="0"/>
          <w:bCs w:val="0"/>
          <w:sz w:val="21"/>
          <w:szCs w:val="21"/>
        </w:rPr>
        <w:t>习得与教师、学生、家长进行有效沟通技能和方法。</w:t>
      </w:r>
    </w:p>
    <w:p w14:paraId="69143A7E">
      <w:pPr>
        <w:numPr>
          <w:ilvl w:val="0"/>
          <w:numId w:val="103"/>
        </w:numPr>
        <w:spacing w:line="360" w:lineRule="auto"/>
        <w:ind w:firstLine="482" w:firstLineChars="200"/>
        <w:rPr>
          <w:rFonts w:hint="eastAsia" w:ascii="Times New Roman" w:hAnsi="Times New Roman" w:eastAsia="宋体" w:cs="Times New Roman"/>
          <w:b/>
          <w:bCs/>
          <w:sz w:val="24"/>
          <w:szCs w:val="28"/>
        </w:rPr>
      </w:pPr>
      <w:r>
        <w:rPr>
          <w:rFonts w:hint="eastAsia" w:ascii="Times New Roman" w:hAnsi="Times New Roman" w:eastAsia="宋体" w:cs="Times New Roman"/>
          <w:b/>
          <w:bCs/>
          <w:sz w:val="24"/>
          <w:szCs w:val="28"/>
        </w:rPr>
        <w:t>课程目标与专业毕业要求的关系</w:t>
      </w:r>
    </w:p>
    <w:tbl>
      <w:tblPr>
        <w:tblStyle w:val="10"/>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914"/>
        <w:gridCol w:w="1286"/>
      </w:tblGrid>
      <w:tr w14:paraId="25A0B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55CAB865">
            <w:pPr>
              <w:adjustRightInd w:val="0"/>
              <w:snapToGrid w:val="0"/>
              <w:spacing w:line="276" w:lineRule="auto"/>
              <w:jc w:val="center"/>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毕业要求</w:t>
            </w:r>
          </w:p>
        </w:tc>
        <w:tc>
          <w:tcPr>
            <w:tcW w:w="5914" w:type="dxa"/>
            <w:vAlign w:val="center"/>
          </w:tcPr>
          <w:p w14:paraId="74E178FC">
            <w:pPr>
              <w:adjustRightInd w:val="0"/>
              <w:snapToGrid w:val="0"/>
              <w:spacing w:line="276" w:lineRule="auto"/>
              <w:jc w:val="center"/>
              <w:rPr>
                <w:rFonts w:hint="eastAsia" w:ascii="宋体" w:hAnsi="宋体" w:eastAsia="宋体" w:cs="Times New Roman"/>
                <w:b/>
                <w:bCs/>
                <w:szCs w:val="21"/>
                <w:lang w:val="en-US" w:eastAsia="zh-CN"/>
              </w:rPr>
            </w:pPr>
            <w:r>
              <w:rPr>
                <w:rFonts w:hint="eastAsia" w:ascii="宋体" w:hAnsi="宋体" w:eastAsia="宋体" w:cs="Times New Roman"/>
                <w:b/>
                <w:bCs/>
                <w:szCs w:val="21"/>
              </w:rPr>
              <w:t>毕业要求</w:t>
            </w:r>
            <w:r>
              <w:rPr>
                <w:rFonts w:hint="eastAsia" w:ascii="宋体" w:hAnsi="宋体" w:eastAsia="宋体" w:cs="Times New Roman"/>
                <w:b/>
                <w:bCs/>
                <w:szCs w:val="21"/>
                <w:lang w:val="en-US" w:eastAsia="zh-CN"/>
              </w:rPr>
              <w:t>指标点</w:t>
            </w:r>
          </w:p>
        </w:tc>
        <w:tc>
          <w:tcPr>
            <w:tcW w:w="1286" w:type="dxa"/>
            <w:vAlign w:val="center"/>
          </w:tcPr>
          <w:p w14:paraId="3A2CB8C8">
            <w:pPr>
              <w:adjustRightInd w:val="0"/>
              <w:snapToGrid w:val="0"/>
              <w:spacing w:line="276" w:lineRule="auto"/>
              <w:jc w:val="both"/>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课程目标</w:t>
            </w:r>
          </w:p>
        </w:tc>
      </w:tr>
      <w:tr w14:paraId="1F728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C7A9D4D">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毕业要求1</w:t>
            </w:r>
          </w:p>
          <w:p w14:paraId="71A815A3">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师德规范</w:t>
            </w:r>
          </w:p>
        </w:tc>
        <w:tc>
          <w:tcPr>
            <w:tcW w:w="5914" w:type="dxa"/>
            <w:vAlign w:val="center"/>
          </w:tcPr>
          <w:p w14:paraId="3E644905">
            <w:pPr>
              <w:adjustRightInd w:val="0"/>
              <w:snapToGrid w:val="0"/>
              <w:spacing w:line="276" w:lineRule="auto"/>
              <w:rPr>
                <w:rFonts w:hint="eastAsia" w:ascii="宋体" w:hAnsi="宋体" w:eastAsia="等线" w:cs="宋体"/>
                <w:szCs w:val="21"/>
              </w:rPr>
            </w:pPr>
            <w:r>
              <w:rPr>
                <w:rFonts w:hint="eastAsia" w:ascii="宋体" w:hAnsi="宋体" w:eastAsia="等线" w:cs="宋体"/>
                <w:kern w:val="0"/>
                <w:szCs w:val="21"/>
              </w:rPr>
              <w:t>指标点</w:t>
            </w:r>
            <w:r>
              <w:rPr>
                <w:rFonts w:hint="eastAsia" w:ascii="宋体" w:hAnsi="宋体" w:eastAsia="等线" w:cs="宋体"/>
                <w:szCs w:val="21"/>
              </w:rPr>
              <w:t>1-1：【理想信念坚定】了解我国国情及国际局势，深刻理解新时代中国特色社会主义思想内涵</w:t>
            </w:r>
            <w:r>
              <w:rPr>
                <w:rFonts w:hint="eastAsia" w:ascii="等线" w:hAnsi="等线" w:eastAsia="等线" w:cs="宋体"/>
                <w:szCs w:val="21"/>
              </w:rPr>
              <w:t>；</w:t>
            </w:r>
            <w:r>
              <w:rPr>
                <w:rFonts w:hint="eastAsia" w:ascii="宋体" w:hAnsi="宋体" w:eastAsia="等线" w:cs="宋体"/>
                <w:szCs w:val="21"/>
              </w:rPr>
              <w:t>认同中国特色社会主义，贯彻党的教育方针，自觉践行社会主义核心价值观</w:t>
            </w:r>
            <w:r>
              <w:rPr>
                <w:rFonts w:hint="eastAsia" w:ascii="等线" w:hAnsi="等线" w:eastAsia="等线" w:cs="宋体"/>
                <w:szCs w:val="21"/>
              </w:rPr>
              <w:t>；认同教师劳动的价值，</w:t>
            </w:r>
            <w:r>
              <w:rPr>
                <w:rFonts w:hint="eastAsia" w:ascii="宋体" w:hAnsi="宋体" w:eastAsia="等线" w:cs="宋体"/>
                <w:szCs w:val="21"/>
              </w:rPr>
              <w:t>树立职业理想，立志成为有理想信念、有道德情操、有扎实学识、有仁爱之心受学生爱戴的好老师。</w:t>
            </w:r>
          </w:p>
          <w:p w14:paraId="6070D042">
            <w:pPr>
              <w:adjustRightInd w:val="0"/>
              <w:snapToGrid w:val="0"/>
              <w:spacing w:line="276" w:lineRule="auto"/>
              <w:rPr>
                <w:rFonts w:hint="eastAsia" w:ascii="宋体" w:hAnsi="宋体" w:eastAsia="等线" w:cs="宋体"/>
                <w:szCs w:val="21"/>
                <w:lang w:eastAsia="zh-CN"/>
              </w:rPr>
            </w:pPr>
            <w:r>
              <w:rPr>
                <w:rFonts w:hint="eastAsia" w:ascii="宋体" w:hAnsi="宋体" w:eastAsia="等线" w:cs="宋体"/>
                <w:szCs w:val="21"/>
                <w:lang w:eastAsia="zh-CN"/>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35640079">
            <w:pPr>
              <w:adjustRightInd w:val="0"/>
              <w:snapToGrid w:val="0"/>
              <w:spacing w:line="276" w:lineRule="auto"/>
              <w:jc w:val="left"/>
              <w:rPr>
                <w:rFonts w:hint="default" w:ascii="宋体" w:hAnsi="宋体"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lang w:val="en-US" w:eastAsia="zh-CN"/>
              </w:rPr>
              <w:t>课程目标1</w:t>
            </w:r>
          </w:p>
        </w:tc>
      </w:tr>
      <w:tr w14:paraId="30E27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A7DB811">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毕业要求2</w:t>
            </w:r>
          </w:p>
          <w:p w14:paraId="55C748ED">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教育情怀</w:t>
            </w:r>
          </w:p>
        </w:tc>
        <w:tc>
          <w:tcPr>
            <w:tcW w:w="5914" w:type="dxa"/>
            <w:vAlign w:val="center"/>
          </w:tcPr>
          <w:p w14:paraId="55CE7757">
            <w:pPr>
              <w:adjustRightInd w:val="0"/>
              <w:snapToGrid w:val="0"/>
              <w:spacing w:line="276" w:lineRule="auto"/>
              <w:rPr>
                <w:rFonts w:hint="eastAsia" w:ascii="宋体" w:hAnsi="宋体" w:eastAsia="等线" w:cs="宋体"/>
                <w:szCs w:val="21"/>
                <w:lang w:eastAsia="zh-CN"/>
              </w:rPr>
            </w:pPr>
            <w:r>
              <w:rPr>
                <w:rFonts w:hint="eastAsia" w:ascii="宋体" w:hAnsi="宋体" w:eastAsia="等线" w:cs="宋体"/>
                <w:kern w:val="0"/>
                <w:szCs w:val="21"/>
              </w:rPr>
              <w:t>指标点</w:t>
            </w:r>
            <w:r>
              <w:rPr>
                <w:rFonts w:hint="eastAsia" w:ascii="宋体" w:hAnsi="宋体" w:eastAsia="等线" w:cs="宋体"/>
                <w:szCs w:val="21"/>
              </w:rPr>
              <w:t>2-2：【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ascii="等线" w:hAnsi="等线" w:eastAsia="等线" w:cs="宋体"/>
                <w:szCs w:val="21"/>
              </w:rPr>
              <w:t>，</w:t>
            </w:r>
            <w:r>
              <w:rPr>
                <w:rFonts w:hint="eastAsia" w:ascii="等线" w:hAnsi="等线" w:eastAsia="等线" w:cs="宋体"/>
                <w:kern w:val="0"/>
                <w:sz w:val="20"/>
                <w:szCs w:val="20"/>
                <w:lang w:bidi="ar"/>
              </w:rPr>
              <w:t>立志成为</w:t>
            </w:r>
            <w:r>
              <w:rPr>
                <w:rFonts w:hint="eastAsia" w:ascii="宋体" w:hAnsi="宋体" w:eastAsia="等线" w:cs="宋体"/>
                <w:kern w:val="0"/>
                <w:sz w:val="20"/>
                <w:szCs w:val="20"/>
                <w:lang w:bidi="ar"/>
              </w:rPr>
              <w:t>学生学习的促进者、道德品质和创新思维的培养者，奉献祖国的引路人</w:t>
            </w:r>
            <w:r>
              <w:rPr>
                <w:rFonts w:hint="eastAsia" w:ascii="等线" w:hAnsi="等线" w:eastAsia="等线" w:cs="宋体"/>
                <w:kern w:val="0"/>
                <w:sz w:val="20"/>
                <w:szCs w:val="20"/>
                <w:lang w:bidi="ar"/>
              </w:rPr>
              <w:t>。</w:t>
            </w:r>
          </w:p>
        </w:tc>
        <w:tc>
          <w:tcPr>
            <w:tcW w:w="1286" w:type="dxa"/>
            <w:vAlign w:val="center"/>
          </w:tcPr>
          <w:p w14:paraId="20C9CE52">
            <w:pPr>
              <w:adjustRightInd w:val="0"/>
              <w:snapToGrid w:val="0"/>
              <w:spacing w:line="276" w:lineRule="auto"/>
              <w:jc w:val="left"/>
              <w:rPr>
                <w:rFonts w:hint="default" w:ascii="宋体" w:hAnsi="宋体"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lang w:val="en-US" w:eastAsia="zh-CN"/>
              </w:rPr>
              <w:t>课程目标1</w:t>
            </w:r>
          </w:p>
        </w:tc>
      </w:tr>
      <w:tr w14:paraId="4D174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EBC2E36">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毕业要求3</w:t>
            </w:r>
          </w:p>
          <w:p w14:paraId="6B2362B0">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学科素养</w:t>
            </w:r>
          </w:p>
        </w:tc>
        <w:tc>
          <w:tcPr>
            <w:tcW w:w="5914" w:type="dxa"/>
            <w:vAlign w:val="center"/>
          </w:tcPr>
          <w:p w14:paraId="44ADAB5E">
            <w:pPr>
              <w:adjustRightInd w:val="0"/>
              <w:snapToGrid w:val="0"/>
              <w:spacing w:line="276" w:lineRule="auto"/>
              <w:rPr>
                <w:rFonts w:hint="eastAsia" w:ascii="宋体" w:hAnsi="宋体" w:eastAsia="等线" w:cs="宋体"/>
                <w:kern w:val="0"/>
                <w:szCs w:val="21"/>
              </w:rPr>
            </w:pPr>
            <w:r>
              <w:rPr>
                <w:rFonts w:hint="eastAsia" w:ascii="宋体" w:hAnsi="宋体" w:eastAsia="等线" w:cs="宋体"/>
                <w:kern w:val="0"/>
                <w:szCs w:val="21"/>
              </w:rPr>
              <w:t>指标点3-3：【教育教学知识牢固】掌握教育教学基本理论知识，熟悉所教学科课程标准和教材、教学内容。在教育教学实践中，具有一定的教材解读能力，具有依据课标进行教学的意识和习惯。</w:t>
            </w:r>
          </w:p>
        </w:tc>
        <w:tc>
          <w:tcPr>
            <w:tcW w:w="1286" w:type="dxa"/>
            <w:vAlign w:val="center"/>
          </w:tcPr>
          <w:p w14:paraId="15D0F46D">
            <w:pPr>
              <w:adjustRightInd w:val="0"/>
              <w:snapToGrid w:val="0"/>
              <w:spacing w:line="276" w:lineRule="auto"/>
              <w:jc w:val="left"/>
              <w:rPr>
                <w:rFonts w:hint="default" w:ascii="宋体" w:hAnsi="宋体"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lang w:val="en-US" w:eastAsia="zh-CN"/>
              </w:rPr>
              <w:t>课程目标2</w:t>
            </w:r>
          </w:p>
        </w:tc>
      </w:tr>
      <w:tr w14:paraId="6A521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7E769D7F">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毕业要求4</w:t>
            </w:r>
          </w:p>
          <w:p w14:paraId="054C289C">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教学能力</w:t>
            </w:r>
          </w:p>
        </w:tc>
        <w:tc>
          <w:tcPr>
            <w:tcW w:w="5914" w:type="dxa"/>
            <w:shd w:val="clear" w:color="auto" w:fill="auto"/>
            <w:vAlign w:val="center"/>
          </w:tcPr>
          <w:p w14:paraId="484C692F">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4-1：【教学设计恰当】理解教材的编写逻辑和体系结构，合理掌握不同学段目标与内容的递进关系，具有依据课标进行教学的意识和习惯。能依据单元内容进行整体设计，科学合理地依据教学目标及内容设计。</w:t>
            </w:r>
          </w:p>
          <w:p w14:paraId="7B1309EB">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4-2：【教学实施与评价科学】掌握小学教师基本功技能，包括书写技能、沟通与表达技能、信息技术运用技能等。获得全面的小学教学体验，掌握学科教学的基本方法与策略，能独立进行教学设计、实施和评价。</w:t>
            </w:r>
          </w:p>
          <w:p w14:paraId="140773C5">
            <w:pPr>
              <w:adjustRightInd w:val="0"/>
              <w:snapToGrid w:val="0"/>
              <w:spacing w:line="276" w:lineRule="auto"/>
              <w:rPr>
                <w:rFonts w:hint="eastAsia" w:ascii="宋体" w:hAnsi="宋体" w:eastAsia="宋体" w:cs="Times New Roman"/>
                <w:color w:val="000000"/>
                <w:kern w:val="0"/>
                <w:sz w:val="21"/>
                <w:szCs w:val="21"/>
                <w:lang w:val="en-US" w:eastAsia="zh-CN" w:bidi="ar-SA"/>
              </w:rPr>
            </w:pPr>
            <w:r>
              <w:rPr>
                <w:rFonts w:ascii="等线" w:hAnsi="等线" w:eastAsia="等线" w:cs="Times New Roman"/>
                <w:color w:val="000000"/>
                <w:kern w:val="0"/>
                <w:szCs w:val="21"/>
              </w:rPr>
              <w:t>指标</w:t>
            </w:r>
            <w:r>
              <w:rPr>
                <w:rFonts w:hint="eastAsia" w:ascii="宋体" w:hAnsi="宋体" w:eastAsia="宋体" w:cs="Times New Roman"/>
                <w:szCs w:val="21"/>
              </w:rPr>
              <w:t>点4-3：</w:t>
            </w:r>
            <w:r>
              <w:rPr>
                <w:rFonts w:ascii="等线" w:hAnsi="等线" w:eastAsia="等线" w:cs="Times New Roman"/>
                <w:color w:val="000000"/>
                <w:szCs w:val="21"/>
              </w:rPr>
              <w:t>【具备教育研究能力】掌握教育研究的基本方法，结合小学教育教学实践进行研究，具有一定的教学研究能力。</w:t>
            </w:r>
          </w:p>
        </w:tc>
        <w:tc>
          <w:tcPr>
            <w:tcW w:w="1286" w:type="dxa"/>
            <w:shd w:val="clear" w:color="auto" w:fill="auto"/>
            <w:vAlign w:val="center"/>
          </w:tcPr>
          <w:p w14:paraId="21DB46E7">
            <w:pPr>
              <w:adjustRightInd w:val="0"/>
              <w:snapToGrid w:val="0"/>
              <w:spacing w:line="276" w:lineRule="auto"/>
              <w:jc w:val="left"/>
              <w:rPr>
                <w:rFonts w:hint="default"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课程目标2</w:t>
            </w:r>
          </w:p>
        </w:tc>
      </w:tr>
      <w:tr w14:paraId="720EF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0BA25E36">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毕业要求5</w:t>
            </w:r>
          </w:p>
          <w:p w14:paraId="02AFEE7C">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班级管理</w:t>
            </w:r>
          </w:p>
        </w:tc>
        <w:tc>
          <w:tcPr>
            <w:tcW w:w="5914" w:type="dxa"/>
            <w:shd w:val="clear" w:color="auto" w:fill="auto"/>
            <w:vAlign w:val="center"/>
          </w:tcPr>
          <w:p w14:paraId="1221BB26">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5-1：【擅长班队管理】具有小学德育工作体验，树立德育为先的理念，熟悉小学德育的基本原理与方法。获得小学班队组织与建设的体验。掌握小学班队组织与建设的工作规律和基本方法，具有班队建设和管理的基本能力。</w:t>
            </w:r>
          </w:p>
          <w:p w14:paraId="0D16C32B">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5-2：【重视心理健康教育】了解小学生身体、情感发展的特性和差异性，获得小学心理健康教育指导体验，在教育教学实践中，参与组织与指导对小学生心理健康教育的科普宣传及心理辅导，掌握小学心理健康教育的基本方法。</w:t>
            </w:r>
          </w:p>
        </w:tc>
        <w:tc>
          <w:tcPr>
            <w:tcW w:w="1286" w:type="dxa"/>
            <w:shd w:val="clear" w:color="auto" w:fill="auto"/>
            <w:vAlign w:val="center"/>
          </w:tcPr>
          <w:p w14:paraId="5EA8B4DA">
            <w:pPr>
              <w:adjustRightInd w:val="0"/>
              <w:snapToGrid w:val="0"/>
              <w:spacing w:line="276" w:lineRule="auto"/>
              <w:jc w:val="left"/>
              <w:rPr>
                <w:rFonts w:hint="default"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课程目标3</w:t>
            </w:r>
          </w:p>
        </w:tc>
      </w:tr>
      <w:tr w14:paraId="25684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4ED22E0F">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毕业要求6</w:t>
            </w:r>
          </w:p>
          <w:p w14:paraId="2C6E52A3">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综合育人</w:t>
            </w:r>
          </w:p>
        </w:tc>
        <w:tc>
          <w:tcPr>
            <w:tcW w:w="5914" w:type="dxa"/>
            <w:shd w:val="clear" w:color="auto" w:fill="auto"/>
            <w:vAlign w:val="center"/>
          </w:tcPr>
          <w:p w14:paraId="5FD491B4">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指标点6-1：【遵循身心规律】了解不同年龄以及有特殊需要的小学生的身心发展特点和规律、不同年龄小学生学习的特点，掌握小学生良好行为习惯养成的知识。</w:t>
            </w:r>
          </w:p>
          <w:p w14:paraId="38B3ADE4">
            <w:pPr>
              <w:adjustRightInd w:val="0"/>
              <w:snapToGrid w:val="0"/>
              <w:spacing w:line="276" w:lineRule="auto"/>
              <w:rPr>
                <w:rFonts w:hint="eastAsia" w:ascii="等线" w:hAnsi="等线" w:eastAsia="等线" w:cs="Times New Roman"/>
                <w:color w:val="000000"/>
                <w:kern w:val="0"/>
                <w:szCs w:val="21"/>
              </w:rPr>
            </w:pPr>
            <w:r>
              <w:rPr>
                <w:rFonts w:hint="eastAsia" w:ascii="等线" w:hAnsi="等线" w:eastAsia="等线" w:cs="Times New Roman"/>
                <w:color w:val="000000"/>
                <w:kern w:val="0"/>
                <w:szCs w:val="21"/>
              </w:rPr>
              <w:t>指标点6-2：【胜任学科育人】具有教书育人的意识，理解学科核心素养和拟任教学科课程独特的育人功能，在教育教学实践中，具备结合学科教学进行育人的意识与能力，注重学科教学中思想政治教育的渗透。</w:t>
            </w:r>
          </w:p>
          <w:p w14:paraId="6EE22C23">
            <w:pPr>
              <w:adjustRightInd w:val="0"/>
              <w:snapToGrid w:val="0"/>
              <w:spacing w:line="276" w:lineRule="auto"/>
              <w:rPr>
                <w:rFonts w:hint="eastAsia" w:ascii="等线" w:hAnsi="等线" w:eastAsia="等线" w:cs="Times New Roman"/>
                <w:color w:val="000000"/>
                <w:kern w:val="0"/>
                <w:szCs w:val="21"/>
              </w:rPr>
            </w:pPr>
            <w:r>
              <w:rPr>
                <w:rFonts w:hint="eastAsia" w:ascii="宋体" w:hAnsi="宋体" w:eastAsia="等线" w:cs="宋体"/>
                <w:kern w:val="0"/>
                <w:szCs w:val="21"/>
              </w:rPr>
              <w:t>指标点</w:t>
            </w:r>
            <w:r>
              <w:rPr>
                <w:rFonts w:hint="eastAsia" w:ascii="宋体" w:hAnsi="宋体" w:eastAsia="等线" w:cs="宋体"/>
                <w:szCs w:val="21"/>
              </w:rPr>
              <w:t>6-3：【善于文化与活动育人】了解课外活动组织和管理知识，掌握学校文化和各类课外教育活动的育人内涵和方法，在教育教学实践中，参与组织主题教育、少先队活动和社团活动，促进小学生全面、健康发展。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shd w:val="clear" w:color="auto" w:fill="auto"/>
            <w:vAlign w:val="center"/>
          </w:tcPr>
          <w:p w14:paraId="775E072E">
            <w:pPr>
              <w:adjustRightInd w:val="0"/>
              <w:snapToGrid w:val="0"/>
              <w:spacing w:line="276" w:lineRule="auto"/>
              <w:jc w:val="left"/>
              <w:rPr>
                <w:rFonts w:hint="eastAsia"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课程目标2</w:t>
            </w:r>
          </w:p>
          <w:p w14:paraId="682D11F5">
            <w:pPr>
              <w:adjustRightInd w:val="0"/>
              <w:snapToGrid w:val="0"/>
              <w:spacing w:line="276" w:lineRule="auto"/>
              <w:jc w:val="left"/>
              <w:rPr>
                <w:rFonts w:hint="eastAsia"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kern w:val="0"/>
                <w:szCs w:val="21"/>
                <w:lang w:val="en-US" w:eastAsia="zh-CN"/>
              </w:rPr>
              <w:t>课程目标3</w:t>
            </w:r>
          </w:p>
        </w:tc>
      </w:tr>
      <w:tr w14:paraId="589A8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5BBE5D2C">
            <w:pPr>
              <w:adjustRightInd w:val="0"/>
              <w:snapToGrid w:val="0"/>
              <w:spacing w:line="276"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毕业要求7</w:t>
            </w:r>
          </w:p>
          <w:p w14:paraId="63C9238A">
            <w:pPr>
              <w:adjustRightInd w:val="0"/>
              <w:snapToGrid w:val="0"/>
              <w:spacing w:line="276"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学会反思</w:t>
            </w:r>
          </w:p>
        </w:tc>
        <w:tc>
          <w:tcPr>
            <w:tcW w:w="5914" w:type="dxa"/>
            <w:vAlign w:val="center"/>
          </w:tcPr>
          <w:p w14:paraId="4F084682">
            <w:pPr>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629B5886">
            <w:pPr>
              <w:adjustRightInd w:val="0"/>
              <w:snapToGrid w:val="0"/>
              <w:spacing w:line="276" w:lineRule="auto"/>
              <w:jc w:val="left"/>
              <w:rPr>
                <w:rFonts w:hint="eastAsia"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课程目标2</w:t>
            </w:r>
          </w:p>
          <w:p w14:paraId="38E42286">
            <w:pPr>
              <w:adjustRightInd w:val="0"/>
              <w:snapToGrid w:val="0"/>
              <w:spacing w:line="276" w:lineRule="auto"/>
              <w:jc w:val="left"/>
              <w:rPr>
                <w:rFonts w:hint="eastAsia"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课程目标3</w:t>
            </w:r>
          </w:p>
          <w:p w14:paraId="566F35E2">
            <w:pPr>
              <w:adjustRightInd w:val="0"/>
              <w:snapToGrid w:val="0"/>
              <w:spacing w:line="276" w:lineRule="auto"/>
              <w:jc w:val="left"/>
              <w:rPr>
                <w:rFonts w:hint="default"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课程目标4</w:t>
            </w:r>
          </w:p>
        </w:tc>
      </w:tr>
      <w:tr w14:paraId="401C1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291F7522">
            <w:pPr>
              <w:adjustRightInd w:val="0"/>
              <w:snapToGrid w:val="0"/>
              <w:spacing w:line="276"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毕业要求8</w:t>
            </w:r>
          </w:p>
          <w:p w14:paraId="4AD6991C">
            <w:pPr>
              <w:adjustRightInd w:val="0"/>
              <w:snapToGrid w:val="0"/>
              <w:spacing w:line="276"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沟通能力</w:t>
            </w:r>
          </w:p>
        </w:tc>
        <w:tc>
          <w:tcPr>
            <w:tcW w:w="5914" w:type="dxa"/>
            <w:vAlign w:val="center"/>
          </w:tcPr>
          <w:p w14:paraId="13D1CAF2">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szCs w:val="21"/>
              </w:rPr>
              <w:t>指标点8-1：【善于团队合作】理解学习共同体的本质和价值，掌握团队协作的基本策略，在课堂学习与教育实践中获得合作学习体验，形成团队协作精神。</w:t>
            </w:r>
          </w:p>
          <w:p w14:paraId="524B2BDC">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szCs w:val="21"/>
              </w:rPr>
              <w:t>指标点8-2：【学会沟通交流】掌握人际沟通合作技能与方法，能与学生和家长以及同行、同事、专家进行有效沟通与合作，实现共同发展。</w:t>
            </w:r>
          </w:p>
        </w:tc>
        <w:tc>
          <w:tcPr>
            <w:tcW w:w="1286" w:type="dxa"/>
            <w:vAlign w:val="center"/>
          </w:tcPr>
          <w:p w14:paraId="7E0D3C09">
            <w:pPr>
              <w:shd w:val="clear" w:color="auto" w:fill="FFFFFF"/>
              <w:adjustRightInd w:val="0"/>
              <w:snapToGrid w:val="0"/>
              <w:spacing w:line="276" w:lineRule="auto"/>
              <w:jc w:val="left"/>
              <w:rPr>
                <w:rFonts w:hint="default" w:ascii="Times New Roman" w:hAnsi="Times New Roman" w:eastAsia="宋体" w:cs="Times New Roman"/>
                <w:color w:val="000000"/>
                <w:szCs w:val="23"/>
                <w:lang w:val="en-US" w:eastAsia="zh-CN"/>
              </w:rPr>
            </w:pPr>
            <w:r>
              <w:rPr>
                <w:rFonts w:hint="eastAsia" w:ascii="Times New Roman" w:hAnsi="Times New Roman" w:eastAsia="宋体" w:cs="Times New Roman"/>
                <w:color w:val="000000"/>
                <w:szCs w:val="23"/>
                <w:lang w:val="en-US" w:eastAsia="zh-CN"/>
              </w:rPr>
              <w:t>课程目标4</w:t>
            </w:r>
          </w:p>
        </w:tc>
      </w:tr>
    </w:tbl>
    <w:p w14:paraId="6D14505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w:t>
      </w:r>
      <w:r>
        <w:rPr>
          <w:rFonts w:hint="eastAsia" w:ascii="Times New Roman" w:hAnsi="Times New Roman" w:eastAsia="宋体" w:cs="Times New Roman"/>
          <w:b/>
          <w:bCs/>
          <w:sz w:val="24"/>
          <w:szCs w:val="24"/>
          <w:lang w:val="en-US" w:eastAsia="zh-CN"/>
        </w:rPr>
        <w:t>课程</w:t>
      </w:r>
      <w:r>
        <w:rPr>
          <w:rFonts w:hint="eastAsia" w:ascii="Times New Roman" w:hAnsi="Times New Roman" w:eastAsia="宋体" w:cs="Times New Roman"/>
          <w:b/>
          <w:bCs/>
          <w:sz w:val="24"/>
          <w:szCs w:val="24"/>
        </w:rPr>
        <w:t>思政目标</w:t>
      </w:r>
    </w:p>
    <w:p w14:paraId="4D059774">
      <w:pPr>
        <w:spacing w:line="36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1"/>
          <w:szCs w:val="21"/>
          <w:lang w:val="en-US" w:eastAsia="zh-CN"/>
        </w:rPr>
        <w:t>自觉践行社会主义核心价值观，进一步领会立德树人根本任务，增强学科育人、文化育人、活动育人意识；通过参与式的实习，深刻了解小学生和小学教育工作，增强教育职业认同感，坚定献身小学教育事业的专业信念。</w:t>
      </w:r>
    </w:p>
    <w:p w14:paraId="377DCFBE">
      <w:pPr>
        <w:numPr>
          <w:ilvl w:val="0"/>
          <w:numId w:val="34"/>
        </w:num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教学内容与预期学习成效</w:t>
      </w:r>
    </w:p>
    <w:tbl>
      <w:tblPr>
        <w:tblStyle w:val="11"/>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644"/>
        <w:gridCol w:w="1238"/>
        <w:gridCol w:w="3284"/>
        <w:gridCol w:w="865"/>
        <w:gridCol w:w="531"/>
      </w:tblGrid>
      <w:tr w14:paraId="0BC6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29AE8D21">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7E8730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76" w:type="dxa"/>
            <w:vAlign w:val="center"/>
          </w:tcPr>
          <w:p w14:paraId="46905D70">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50" w:type="dxa"/>
            <w:vAlign w:val="center"/>
          </w:tcPr>
          <w:p w14:paraId="43C7F9B0">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897A240">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25" w:type="dxa"/>
            <w:vAlign w:val="center"/>
          </w:tcPr>
          <w:p w14:paraId="6A926973">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867" w:type="dxa"/>
            <w:vAlign w:val="center"/>
          </w:tcPr>
          <w:p w14:paraId="6905316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w:t>
            </w:r>
          </w:p>
          <w:p w14:paraId="4314EF01">
            <w:pPr>
              <w:jc w:val="center"/>
              <w:rPr>
                <w:rFonts w:ascii="宋体" w:hAnsi="宋体" w:eastAsia="宋体" w:cs="Times New Roman"/>
                <w:b/>
                <w:color w:val="000000"/>
                <w:szCs w:val="21"/>
              </w:rPr>
            </w:pPr>
            <w:r>
              <w:rPr>
                <w:rFonts w:hint="eastAsia" w:ascii="宋体" w:hAnsi="宋体" w:eastAsia="宋体" w:cs="Times New Roman"/>
                <w:b/>
                <w:color w:val="000000"/>
                <w:szCs w:val="21"/>
              </w:rPr>
              <w:t>环节</w:t>
            </w:r>
          </w:p>
        </w:tc>
        <w:tc>
          <w:tcPr>
            <w:tcW w:w="438" w:type="dxa"/>
            <w:vAlign w:val="center"/>
          </w:tcPr>
          <w:p w14:paraId="78CE907A">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2D3C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0924864A">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1.课堂教学实习</w:t>
            </w:r>
          </w:p>
        </w:tc>
        <w:tc>
          <w:tcPr>
            <w:tcW w:w="2676" w:type="dxa"/>
            <w:vAlign w:val="center"/>
          </w:tcPr>
          <w:p w14:paraId="33F37842">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default" w:ascii="宋体" w:hAnsi="宋体" w:eastAsia="宋体" w:cs="Times New Roman"/>
                <w:color w:val="000000"/>
                <w:szCs w:val="21"/>
                <w:lang w:val="en-US" w:eastAsia="zh-CN"/>
              </w:rPr>
              <w:t>备课与教学设计；</w:t>
            </w:r>
          </w:p>
          <w:p w14:paraId="203E04BD">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default" w:ascii="宋体" w:hAnsi="宋体" w:eastAsia="宋体" w:cs="Times New Roman"/>
                <w:color w:val="000000"/>
                <w:szCs w:val="21"/>
                <w:lang w:val="en-US" w:eastAsia="zh-CN"/>
              </w:rPr>
              <w:t>说课；</w:t>
            </w:r>
          </w:p>
          <w:p w14:paraId="604E15A4">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lang w:val="en-US" w:eastAsia="zh-CN"/>
              </w:rPr>
              <w:t>试讲与磨课；</w:t>
            </w:r>
          </w:p>
          <w:p w14:paraId="13ED5D83">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lang w:val="en-US" w:eastAsia="zh-CN"/>
              </w:rPr>
              <w:t>上课；</w:t>
            </w:r>
          </w:p>
          <w:p w14:paraId="0C4B8FB7">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default" w:ascii="宋体" w:hAnsi="宋体" w:eastAsia="宋体" w:cs="Times New Roman"/>
                <w:color w:val="000000"/>
                <w:szCs w:val="21"/>
                <w:lang w:val="en-US" w:eastAsia="zh-CN"/>
              </w:rPr>
              <w:t>教育教学评价；</w:t>
            </w:r>
          </w:p>
          <w:p w14:paraId="19B3E790">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0"/>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r>
              <w:rPr>
                <w:rFonts w:hint="default" w:ascii="宋体" w:hAnsi="宋体" w:eastAsia="宋体" w:cs="Times New Roman"/>
                <w:color w:val="000000"/>
                <w:szCs w:val="21"/>
                <w:lang w:val="en-US" w:eastAsia="zh-CN"/>
              </w:rPr>
              <w:t>参加教研活动。</w:t>
            </w:r>
          </w:p>
        </w:tc>
        <w:tc>
          <w:tcPr>
            <w:tcW w:w="1250" w:type="dxa"/>
            <w:vAlign w:val="center"/>
          </w:tcPr>
          <w:p w14:paraId="0EEC2FEE">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2、4</w:t>
            </w:r>
          </w:p>
        </w:tc>
        <w:tc>
          <w:tcPr>
            <w:tcW w:w="3325" w:type="dxa"/>
            <w:vAlign w:val="center"/>
          </w:tcPr>
          <w:p w14:paraId="67397BBF">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每个实习生按照实习计划认真备课，独立编写教案，在上课前三天将教案递交指导师审阅，并通过反复试教再正式上课。要求保质保量地完成教学任务；</w:t>
            </w:r>
          </w:p>
          <w:p w14:paraId="3DEB43E8">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2.听课不少于40节，并做好听课记录、评课记录、反思等相关材料，提交课堂实录20节；</w:t>
            </w:r>
          </w:p>
          <w:p w14:paraId="2AD5070B">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3.说课稿4份；教育教学评价（试卷）1份；</w:t>
            </w:r>
          </w:p>
          <w:p w14:paraId="760B1B5B">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color w:val="000000"/>
                <w:szCs w:val="21"/>
                <w:lang w:val="en-US" w:eastAsia="zh-CN"/>
              </w:rPr>
              <w:t>4.参与或组织评课活动，交教研活动记录1篇。</w:t>
            </w:r>
          </w:p>
        </w:tc>
        <w:tc>
          <w:tcPr>
            <w:tcW w:w="867" w:type="dxa"/>
            <w:vAlign w:val="center"/>
          </w:tcPr>
          <w:p w14:paraId="0CC5B4FD">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编写教案</w:t>
            </w:r>
          </w:p>
          <w:p w14:paraId="0F2268A5">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2.说课上课</w:t>
            </w:r>
          </w:p>
          <w:p w14:paraId="433AA31A">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3.听课</w:t>
            </w:r>
          </w:p>
          <w:p w14:paraId="372F20C6">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4.评课</w:t>
            </w:r>
          </w:p>
          <w:p w14:paraId="56A265AB">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5.教学反思</w:t>
            </w:r>
          </w:p>
          <w:p w14:paraId="730B082E">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6.评阅作业试卷</w:t>
            </w:r>
          </w:p>
          <w:p w14:paraId="6AD97CDB">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p>
        </w:tc>
        <w:tc>
          <w:tcPr>
            <w:tcW w:w="438" w:type="dxa"/>
            <w:vAlign w:val="center"/>
          </w:tcPr>
          <w:p w14:paraId="0447C6C9">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160</w:t>
            </w:r>
          </w:p>
        </w:tc>
      </w:tr>
      <w:tr w14:paraId="5D1F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57E8702D">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eastAsia="宋体" w:cs="Times New Roman"/>
                <w:color w:val="000000"/>
                <w:szCs w:val="21"/>
              </w:rPr>
            </w:pPr>
          </w:p>
        </w:tc>
        <w:tc>
          <w:tcPr>
            <w:tcW w:w="8556" w:type="dxa"/>
            <w:gridSpan w:val="5"/>
            <w:vAlign w:val="center"/>
          </w:tcPr>
          <w:p w14:paraId="2EC31140">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自觉践行社会主义核心价值观，进一步领会立德树人根本任务，增强学科育人</w:t>
            </w:r>
            <w:r>
              <w:rPr>
                <w:rFonts w:hint="eastAsia" w:ascii="宋体" w:hAnsi="宋体" w:eastAsia="宋体" w:cs="Times New Roman"/>
                <w:color w:val="000000"/>
                <w:szCs w:val="21"/>
                <w:lang w:val="en-US" w:eastAsia="zh-CN"/>
              </w:rPr>
              <w:t>的意识</w:t>
            </w:r>
            <w:r>
              <w:rPr>
                <w:rFonts w:hint="eastAsia" w:ascii="宋体" w:hAnsi="宋体" w:eastAsia="宋体" w:cs="Times New Roman"/>
                <w:color w:val="000000"/>
                <w:szCs w:val="21"/>
              </w:rPr>
              <w:t>；在实践中增进对儿童的认识，体验和感受教师职业的光荣感和责任感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坚定献身小学教育事业的专业信念。</w:t>
            </w:r>
          </w:p>
        </w:tc>
      </w:tr>
      <w:tr w14:paraId="06B4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60A8E8C4">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2.班队工作实习</w:t>
            </w:r>
          </w:p>
        </w:tc>
        <w:tc>
          <w:tcPr>
            <w:tcW w:w="2676" w:type="dxa"/>
            <w:vAlign w:val="center"/>
          </w:tcPr>
          <w:p w14:paraId="6F490FC0">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（1）拟订班队方案；</w:t>
            </w:r>
          </w:p>
          <w:p w14:paraId="7E2C93D4">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（2）召开主题班会； </w:t>
            </w:r>
          </w:p>
          <w:p w14:paraId="6261F81E">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（3）开展班队活动；</w:t>
            </w:r>
          </w:p>
          <w:p w14:paraId="22525DA2">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（4）组织课外活动；</w:t>
            </w:r>
          </w:p>
          <w:p w14:paraId="592B53CF">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（5）掌握个别谈话技能；</w:t>
            </w:r>
          </w:p>
          <w:p w14:paraId="708248DF">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（6）学会家校合作。</w:t>
            </w:r>
          </w:p>
        </w:tc>
        <w:tc>
          <w:tcPr>
            <w:tcW w:w="1250" w:type="dxa"/>
            <w:vAlign w:val="center"/>
          </w:tcPr>
          <w:p w14:paraId="3CD9FA61">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25" w:type="dxa"/>
            <w:vAlign w:val="center"/>
          </w:tcPr>
          <w:p w14:paraId="3C0257F0">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班级活动方案1个；</w:t>
            </w:r>
          </w:p>
          <w:p w14:paraId="793A6DE3">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少先队活动方案1份；</w:t>
            </w:r>
          </w:p>
          <w:p w14:paraId="145D7144">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学生典型个案分析1篇；</w:t>
            </w:r>
          </w:p>
          <w:p w14:paraId="45F99387">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4.家校沟通</w:t>
            </w:r>
            <w:r>
              <w:rPr>
                <w:rFonts w:hint="eastAsia" w:ascii="宋体" w:hAnsi="宋体" w:eastAsia="宋体" w:cs="Times New Roman"/>
                <w:color w:val="000000"/>
                <w:szCs w:val="21"/>
              </w:rPr>
              <w:t>记录1份</w:t>
            </w:r>
            <w:r>
              <w:rPr>
                <w:rFonts w:hint="eastAsia" w:ascii="宋体" w:hAnsi="宋体" w:eastAsia="宋体" w:cs="Times New Roman"/>
                <w:color w:val="000000"/>
                <w:szCs w:val="21"/>
                <w:lang w:eastAsia="zh-CN"/>
              </w:rPr>
              <w:t>。</w:t>
            </w:r>
          </w:p>
        </w:tc>
        <w:tc>
          <w:tcPr>
            <w:tcW w:w="867" w:type="dxa"/>
            <w:vAlign w:val="center"/>
          </w:tcPr>
          <w:p w14:paraId="73045847">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班队活动</w:t>
            </w:r>
          </w:p>
          <w:p w14:paraId="1D6A51DC">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班级日常管理</w:t>
            </w:r>
          </w:p>
        </w:tc>
        <w:tc>
          <w:tcPr>
            <w:tcW w:w="438" w:type="dxa"/>
            <w:vAlign w:val="center"/>
          </w:tcPr>
          <w:p w14:paraId="0A70F30C">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120</w:t>
            </w:r>
          </w:p>
        </w:tc>
      </w:tr>
      <w:tr w14:paraId="3960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0786C07E">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ascii="宋体" w:hAnsi="宋体" w:eastAsia="宋体" w:cs="Times New Roman"/>
                <w:color w:val="000000"/>
                <w:szCs w:val="21"/>
              </w:rPr>
            </w:pPr>
          </w:p>
        </w:tc>
        <w:tc>
          <w:tcPr>
            <w:tcW w:w="8556" w:type="dxa"/>
            <w:gridSpan w:val="5"/>
            <w:vAlign w:val="center"/>
          </w:tcPr>
          <w:p w14:paraId="3E8AAEEA">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自觉践行社会主义核心价值观，进一步领会立德树人根本任务，增强</w:t>
            </w:r>
            <w:r>
              <w:rPr>
                <w:rFonts w:hint="eastAsia" w:ascii="宋体" w:hAnsi="宋体" w:eastAsia="宋体" w:cs="Times New Roman"/>
                <w:b w:val="0"/>
                <w:bCs/>
                <w:color w:val="000000"/>
                <w:szCs w:val="21"/>
                <w:lang w:val="en-US" w:eastAsia="zh-CN"/>
              </w:rPr>
              <w:t>文化</w:t>
            </w:r>
            <w:r>
              <w:rPr>
                <w:rFonts w:hint="eastAsia" w:ascii="宋体" w:hAnsi="宋体" w:eastAsia="宋体" w:cs="Times New Roman"/>
                <w:b w:val="0"/>
                <w:bCs/>
                <w:color w:val="000000"/>
                <w:szCs w:val="21"/>
              </w:rPr>
              <w:t>育人</w:t>
            </w:r>
            <w:r>
              <w:rPr>
                <w:rFonts w:hint="eastAsia" w:ascii="宋体" w:hAnsi="宋体" w:eastAsia="宋体" w:cs="Times New Roman"/>
                <w:b w:val="0"/>
                <w:bCs/>
                <w:color w:val="000000"/>
                <w:szCs w:val="21"/>
                <w:lang w:eastAsia="zh-CN"/>
              </w:rPr>
              <w:t>、</w:t>
            </w:r>
            <w:r>
              <w:rPr>
                <w:rFonts w:hint="eastAsia" w:ascii="宋体" w:hAnsi="宋体" w:eastAsia="宋体" w:cs="Times New Roman"/>
                <w:b w:val="0"/>
                <w:bCs/>
                <w:color w:val="000000"/>
                <w:szCs w:val="21"/>
                <w:lang w:val="en-US" w:eastAsia="zh-CN"/>
              </w:rPr>
              <w:t>活动育人的意识</w:t>
            </w:r>
            <w:r>
              <w:rPr>
                <w:rFonts w:hint="eastAsia" w:ascii="宋体" w:hAnsi="宋体" w:eastAsia="宋体" w:cs="Times New Roman"/>
                <w:b w:val="0"/>
                <w:bCs/>
                <w:color w:val="000000"/>
                <w:szCs w:val="21"/>
              </w:rPr>
              <w:t>；在实践中增进对儿童的认识，体验和感受教师职业的光荣感和责任感；坚定献身小学教育事业的专业信念。</w:t>
            </w:r>
          </w:p>
        </w:tc>
      </w:tr>
      <w:tr w14:paraId="39F7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33DBB17B">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3.实习成果汇报</w:t>
            </w:r>
          </w:p>
        </w:tc>
        <w:tc>
          <w:tcPr>
            <w:tcW w:w="2676" w:type="dxa"/>
            <w:vAlign w:val="center"/>
          </w:tcPr>
          <w:p w14:paraId="57992F2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（1）上实习汇报课；</w:t>
            </w:r>
          </w:p>
          <w:p w14:paraId="4F108DE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上班活动课</w:t>
            </w:r>
          </w:p>
          <w:p w14:paraId="2F0C158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做好教育调查。</w:t>
            </w:r>
          </w:p>
        </w:tc>
        <w:tc>
          <w:tcPr>
            <w:tcW w:w="1250" w:type="dxa"/>
            <w:vAlign w:val="center"/>
          </w:tcPr>
          <w:p w14:paraId="15DE538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25" w:type="dxa"/>
            <w:vAlign w:val="center"/>
          </w:tcPr>
          <w:p w14:paraId="493CE593">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提交汇报课教学活动设计、班队活动设计各1份，提供实习教学视频不少于4个（按要求上传系统）；提交调查报告1份。</w:t>
            </w:r>
          </w:p>
        </w:tc>
        <w:tc>
          <w:tcPr>
            <w:tcW w:w="867" w:type="dxa"/>
            <w:vAlign w:val="center"/>
          </w:tcPr>
          <w:p w14:paraId="0C2FD5EF">
            <w:pPr>
              <w:numPr>
                <w:ilvl w:val="0"/>
                <w:numId w:val="104"/>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课堂教学</w:t>
            </w:r>
          </w:p>
          <w:p w14:paraId="2E0A289C">
            <w:pPr>
              <w:numPr>
                <w:ilvl w:val="0"/>
                <w:numId w:val="104"/>
              </w:num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班队活动</w:t>
            </w:r>
          </w:p>
          <w:p w14:paraId="031B0D41">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3.教育调查</w:t>
            </w:r>
          </w:p>
        </w:tc>
        <w:tc>
          <w:tcPr>
            <w:tcW w:w="438" w:type="dxa"/>
            <w:vAlign w:val="center"/>
          </w:tcPr>
          <w:p w14:paraId="7E2B98CB">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40</w:t>
            </w:r>
          </w:p>
        </w:tc>
      </w:tr>
      <w:tr w14:paraId="365F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010B06FD">
            <w:pPr>
              <w:spacing w:line="264" w:lineRule="auto"/>
              <w:jc w:val="center"/>
              <w:rPr>
                <w:rFonts w:ascii="宋体" w:hAnsi="宋体" w:eastAsia="宋体" w:cs="Times New Roman"/>
                <w:color w:val="000000"/>
                <w:szCs w:val="21"/>
              </w:rPr>
            </w:pPr>
          </w:p>
        </w:tc>
        <w:tc>
          <w:tcPr>
            <w:tcW w:w="8556" w:type="dxa"/>
            <w:gridSpan w:val="5"/>
            <w:vAlign w:val="center"/>
          </w:tcPr>
          <w:p w14:paraId="58063AB0">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自觉践行社会主义核心价值观，进一步领会立德树人根本任务，增强学科育人、文化育人、活动育人意识；在实践中增进对儿童的认识，体验和感受教师职业的光荣感和责任感；坚定献身小学教育事业的专业信念。</w:t>
            </w:r>
          </w:p>
        </w:tc>
      </w:tr>
    </w:tbl>
    <w:p w14:paraId="7551E5F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sz w:val="28"/>
          <w:szCs w:val="28"/>
        </w:rPr>
      </w:pPr>
      <w:r>
        <w:rPr>
          <w:rFonts w:hint="eastAsia" w:ascii="Times New Roman" w:hAnsi="Times New Roman" w:eastAsia="宋体" w:cs="Times New Roman"/>
          <w:b/>
          <w:bCs/>
          <w:sz w:val="24"/>
          <w:szCs w:val="24"/>
        </w:rPr>
        <w:t>四、目标评价与成绩评定</w:t>
      </w:r>
    </w:p>
    <w:p w14:paraId="6825519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F8BFCF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EF8AB7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800"/>
        <w:gridCol w:w="1487"/>
        <w:gridCol w:w="1140"/>
      </w:tblGrid>
      <w:tr w14:paraId="5508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59478B7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72C8DA6E">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2526C9EA">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C64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702F05AA">
            <w:pPr>
              <w:spacing w:line="360" w:lineRule="auto"/>
              <w:jc w:val="center"/>
              <w:rPr>
                <w:rFonts w:ascii="宋体" w:hAnsi="宋体" w:eastAsia="宋体" w:cs="Times New Roman"/>
                <w:szCs w:val="21"/>
              </w:rPr>
            </w:pPr>
          </w:p>
        </w:tc>
        <w:tc>
          <w:tcPr>
            <w:tcW w:w="1525" w:type="dxa"/>
            <w:vAlign w:val="center"/>
          </w:tcPr>
          <w:p w14:paraId="5747D17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608" w:type="dxa"/>
            <w:vAlign w:val="center"/>
          </w:tcPr>
          <w:p w14:paraId="7505735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课堂教学实习</w:t>
            </w:r>
          </w:p>
        </w:tc>
        <w:tc>
          <w:tcPr>
            <w:tcW w:w="1800" w:type="dxa"/>
            <w:vAlign w:val="center"/>
          </w:tcPr>
          <w:p w14:paraId="6656100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班主任工作实习</w:t>
            </w:r>
          </w:p>
        </w:tc>
        <w:tc>
          <w:tcPr>
            <w:tcW w:w="1487" w:type="dxa"/>
            <w:vAlign w:val="center"/>
          </w:tcPr>
          <w:p w14:paraId="1368116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实习成果汇报</w:t>
            </w:r>
          </w:p>
        </w:tc>
        <w:tc>
          <w:tcPr>
            <w:tcW w:w="1140" w:type="dxa"/>
            <w:vMerge w:val="continue"/>
            <w:vAlign w:val="center"/>
          </w:tcPr>
          <w:p w14:paraId="0350AB38">
            <w:pPr>
              <w:spacing w:line="360" w:lineRule="auto"/>
              <w:jc w:val="center"/>
              <w:rPr>
                <w:rFonts w:ascii="宋体" w:hAnsi="宋体" w:eastAsia="宋体" w:cs="Times New Roman"/>
                <w:szCs w:val="21"/>
              </w:rPr>
            </w:pPr>
          </w:p>
        </w:tc>
      </w:tr>
      <w:tr w14:paraId="6938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799DB537">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525" w:type="dxa"/>
            <w:vAlign w:val="center"/>
          </w:tcPr>
          <w:p w14:paraId="3B5D1BE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04D6C3DD">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800" w:type="dxa"/>
            <w:shd w:val="clear" w:color="auto" w:fill="auto"/>
            <w:vAlign w:val="center"/>
          </w:tcPr>
          <w:p w14:paraId="79C27A0C">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487" w:type="dxa"/>
            <w:shd w:val="clear" w:color="auto" w:fill="auto"/>
            <w:vAlign w:val="center"/>
          </w:tcPr>
          <w:p w14:paraId="3B50D277">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73CEDEA0">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2</w:t>
            </w:r>
            <w:r>
              <w:rPr>
                <w:rFonts w:hint="eastAsia" w:ascii="宋体" w:hAnsi="宋体" w:eastAsia="宋体" w:cs="Times New Roman"/>
                <w:szCs w:val="21"/>
              </w:rPr>
              <w:t>0</w:t>
            </w:r>
          </w:p>
        </w:tc>
      </w:tr>
      <w:tr w14:paraId="2C75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4790BD6">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525" w:type="dxa"/>
            <w:vAlign w:val="center"/>
          </w:tcPr>
          <w:p w14:paraId="5DBE18A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0F0418D8">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800" w:type="dxa"/>
            <w:shd w:val="clear" w:color="auto" w:fill="auto"/>
            <w:vAlign w:val="center"/>
          </w:tcPr>
          <w:p w14:paraId="1EA54F8E">
            <w:pPr>
              <w:spacing w:line="360" w:lineRule="auto"/>
              <w:jc w:val="center"/>
              <w:rPr>
                <w:rFonts w:ascii="宋体" w:hAnsi="宋体" w:eastAsia="宋体" w:cs="Times New Roman"/>
                <w:kern w:val="2"/>
                <w:sz w:val="21"/>
                <w:szCs w:val="21"/>
                <w:lang w:val="en-US" w:eastAsia="zh-CN" w:bidi="ar-SA"/>
              </w:rPr>
            </w:pPr>
          </w:p>
        </w:tc>
        <w:tc>
          <w:tcPr>
            <w:tcW w:w="1487" w:type="dxa"/>
            <w:shd w:val="clear" w:color="auto" w:fill="auto"/>
            <w:vAlign w:val="center"/>
          </w:tcPr>
          <w:p w14:paraId="4DF6BE07">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1426DDCA">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0</w:t>
            </w:r>
          </w:p>
        </w:tc>
      </w:tr>
      <w:tr w14:paraId="3705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0B76CAE">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1525" w:type="dxa"/>
            <w:vAlign w:val="center"/>
          </w:tcPr>
          <w:p w14:paraId="6390437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1140A652">
            <w:pPr>
              <w:spacing w:line="360" w:lineRule="auto"/>
              <w:jc w:val="center"/>
              <w:rPr>
                <w:rFonts w:ascii="宋体" w:hAnsi="宋体" w:eastAsia="宋体" w:cs="Times New Roman"/>
                <w:kern w:val="2"/>
                <w:sz w:val="21"/>
                <w:szCs w:val="21"/>
                <w:lang w:val="en-US" w:eastAsia="zh-CN" w:bidi="ar-SA"/>
              </w:rPr>
            </w:pPr>
          </w:p>
        </w:tc>
        <w:tc>
          <w:tcPr>
            <w:tcW w:w="1800" w:type="dxa"/>
            <w:shd w:val="clear" w:color="auto" w:fill="auto"/>
            <w:vAlign w:val="center"/>
          </w:tcPr>
          <w:p w14:paraId="3ED31751">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487" w:type="dxa"/>
            <w:shd w:val="clear" w:color="auto" w:fill="auto"/>
            <w:vAlign w:val="center"/>
          </w:tcPr>
          <w:p w14:paraId="7E8A4C31">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5C89106E">
            <w:pPr>
              <w:spacing w:line="360" w:lineRule="auto"/>
              <w:jc w:val="center"/>
              <w:rPr>
                <w:rFonts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0</w:t>
            </w:r>
          </w:p>
        </w:tc>
      </w:tr>
      <w:tr w14:paraId="4892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463416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课程目标4</w:t>
            </w:r>
          </w:p>
        </w:tc>
        <w:tc>
          <w:tcPr>
            <w:tcW w:w="1525" w:type="dxa"/>
            <w:vAlign w:val="center"/>
          </w:tcPr>
          <w:p w14:paraId="5EAA3E6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608" w:type="dxa"/>
            <w:shd w:val="clear" w:color="auto" w:fill="auto"/>
            <w:vAlign w:val="center"/>
          </w:tcPr>
          <w:p w14:paraId="30AA9373">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800" w:type="dxa"/>
            <w:shd w:val="clear" w:color="auto" w:fill="auto"/>
            <w:vAlign w:val="center"/>
          </w:tcPr>
          <w:p w14:paraId="42450F90">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487" w:type="dxa"/>
            <w:shd w:val="clear" w:color="auto" w:fill="auto"/>
            <w:vAlign w:val="center"/>
          </w:tcPr>
          <w:p w14:paraId="6FF3C805">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140" w:type="dxa"/>
            <w:vAlign w:val="center"/>
          </w:tcPr>
          <w:p w14:paraId="140C9EB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3EF5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0B7342B">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1525" w:type="dxa"/>
            <w:vAlign w:val="center"/>
          </w:tcPr>
          <w:p w14:paraId="47DD5651">
            <w:pPr>
              <w:spacing w:line="360" w:lineRule="auto"/>
              <w:jc w:val="center"/>
              <w:rPr>
                <w:rFonts w:ascii="宋体" w:hAnsi="宋体" w:eastAsia="宋体" w:cs="Times New Roman"/>
                <w:szCs w:val="21"/>
              </w:rPr>
            </w:pPr>
          </w:p>
        </w:tc>
        <w:tc>
          <w:tcPr>
            <w:tcW w:w="1608" w:type="dxa"/>
            <w:vAlign w:val="center"/>
          </w:tcPr>
          <w:p w14:paraId="601D159C">
            <w:pPr>
              <w:spacing w:line="360" w:lineRule="auto"/>
              <w:jc w:val="center"/>
              <w:rPr>
                <w:rFonts w:ascii="宋体" w:hAnsi="宋体" w:eastAsia="宋体" w:cs="Times New Roman"/>
                <w:szCs w:val="21"/>
              </w:rPr>
            </w:pPr>
          </w:p>
        </w:tc>
        <w:tc>
          <w:tcPr>
            <w:tcW w:w="1800" w:type="dxa"/>
            <w:vAlign w:val="center"/>
          </w:tcPr>
          <w:p w14:paraId="0FB4FA83">
            <w:pPr>
              <w:spacing w:line="360" w:lineRule="auto"/>
              <w:jc w:val="center"/>
              <w:rPr>
                <w:rFonts w:ascii="宋体" w:hAnsi="宋体" w:eastAsia="宋体" w:cs="Times New Roman"/>
                <w:szCs w:val="21"/>
              </w:rPr>
            </w:pPr>
          </w:p>
        </w:tc>
        <w:tc>
          <w:tcPr>
            <w:tcW w:w="1487" w:type="dxa"/>
            <w:vAlign w:val="center"/>
          </w:tcPr>
          <w:p w14:paraId="778BE570">
            <w:pPr>
              <w:spacing w:line="360" w:lineRule="auto"/>
              <w:jc w:val="center"/>
              <w:rPr>
                <w:rFonts w:ascii="宋体" w:hAnsi="宋体" w:eastAsia="宋体" w:cs="Times New Roman"/>
                <w:szCs w:val="21"/>
              </w:rPr>
            </w:pPr>
          </w:p>
        </w:tc>
        <w:tc>
          <w:tcPr>
            <w:tcW w:w="1140" w:type="dxa"/>
            <w:vAlign w:val="center"/>
          </w:tcPr>
          <w:p w14:paraId="3B07253C">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54D887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9D0DFA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385956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72C8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C6A23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40FA3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1D574FC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66A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B32E56">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B9AB867">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学生出勤情况及工作态度，遵守实习学校规章制度，各类实习报告填写等</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依据</w:t>
            </w:r>
            <w:r>
              <w:rPr>
                <w:rFonts w:hint="eastAsia" w:ascii="Times New Roman" w:hAnsi="Times New Roman" w:eastAsia="宋体" w:cs="Times New Roman"/>
                <w:szCs w:val="21"/>
                <w:lang w:eastAsia="zh-CN"/>
              </w:rPr>
              <w:t>学生的出勤情况，平时工作的进展情况，实习任务完成情况，实习日记、听课记录等实习手册填写</w:t>
            </w:r>
            <w:r>
              <w:rPr>
                <w:rFonts w:hint="eastAsia" w:ascii="Times New Roman" w:hAnsi="Times New Roman" w:eastAsia="宋体" w:cs="Times New Roman"/>
                <w:szCs w:val="21"/>
                <w:lang w:val="en-US" w:eastAsia="zh-CN"/>
              </w:rPr>
              <w:t>等进行评价。</w:t>
            </w:r>
          </w:p>
        </w:tc>
        <w:tc>
          <w:tcPr>
            <w:tcW w:w="1136" w:type="dxa"/>
            <w:vAlign w:val="center"/>
          </w:tcPr>
          <w:p w14:paraId="218EC308">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726B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E102E31">
            <w:pP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课堂教学实习</w:t>
            </w:r>
          </w:p>
        </w:tc>
        <w:tc>
          <w:tcPr>
            <w:tcW w:w="7141" w:type="dxa"/>
            <w:shd w:val="clear" w:color="auto" w:fill="auto"/>
            <w:vAlign w:val="center"/>
          </w:tcPr>
          <w:p w14:paraId="1630E797">
            <w:pPr>
              <w:widowControl/>
              <w:spacing w:line="264" w:lineRule="auto"/>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1136" w:type="dxa"/>
            <w:shd w:val="clear" w:color="auto" w:fill="auto"/>
            <w:vAlign w:val="center"/>
          </w:tcPr>
          <w:p w14:paraId="50F22A5A">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0FE7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04E4BDDF">
            <w:pP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班主任工作实习</w:t>
            </w:r>
          </w:p>
        </w:tc>
        <w:tc>
          <w:tcPr>
            <w:tcW w:w="7141" w:type="dxa"/>
            <w:shd w:val="clear" w:color="auto" w:fill="auto"/>
            <w:vAlign w:val="center"/>
          </w:tcPr>
          <w:p w14:paraId="529C36A0">
            <w:pPr>
              <w:spacing w:line="264" w:lineRule="auto"/>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1136" w:type="dxa"/>
            <w:shd w:val="clear" w:color="auto" w:fill="auto"/>
            <w:vAlign w:val="center"/>
          </w:tcPr>
          <w:p w14:paraId="291DF8C9">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4A50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14:paraId="67315F6C">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教育调查报告</w:t>
            </w:r>
          </w:p>
        </w:tc>
        <w:tc>
          <w:tcPr>
            <w:tcW w:w="7141" w:type="dxa"/>
            <w:shd w:val="clear" w:color="auto" w:fill="auto"/>
            <w:vAlign w:val="center"/>
          </w:tcPr>
          <w:p w14:paraId="3CEFE09F">
            <w:pPr>
              <w:widowControl/>
              <w:spacing w:line="264" w:lineRule="auto"/>
              <w:jc w:val="left"/>
              <w:rPr>
                <w:rFonts w:hint="default" w:ascii="Times New Roman" w:hAnsi="Times New Roman" w:eastAsia="宋体" w:cs="Times New Roman"/>
                <w:kern w:val="2"/>
                <w:sz w:val="21"/>
                <w:szCs w:val="21"/>
                <w:lang w:val="en-US" w:eastAsia="zh-CN" w:bidi="ar-SA"/>
              </w:rPr>
            </w:pPr>
            <w:r>
              <w:rPr>
                <w:rFonts w:hint="eastAsia" w:ascii="宋体" w:hAnsi="宋体" w:eastAsia="宋体" w:cs="宋体"/>
                <w:color w:val="000000"/>
                <w:kern w:val="0"/>
                <w:szCs w:val="21"/>
                <w:lang w:bidi="ar"/>
              </w:rPr>
              <w:t>学生根据对实习学校的调查研究，结合文献检索及查阅资料，写出调查报告。</w:t>
            </w:r>
            <w:r>
              <w:rPr>
                <w:rFonts w:hint="eastAsia" w:ascii="宋体" w:hAnsi="宋体" w:eastAsia="宋体" w:cs="宋体"/>
                <w:color w:val="000000"/>
                <w:kern w:val="0"/>
                <w:szCs w:val="21"/>
                <w:lang w:val="en-US" w:eastAsia="zh-CN" w:bidi="ar"/>
              </w:rPr>
              <w:t>本校带队教师根据</w:t>
            </w:r>
            <w:r>
              <w:rPr>
                <w:rFonts w:hint="eastAsia" w:ascii="宋体" w:hAnsi="宋体" w:eastAsia="宋体" w:cs="宋体"/>
                <w:color w:val="000000"/>
                <w:kern w:val="0"/>
                <w:szCs w:val="21"/>
                <w:lang w:bidi="ar"/>
              </w:rPr>
              <w:t>调查报告内容</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符合教育实习要求，能</w:t>
            </w:r>
            <w:r>
              <w:rPr>
                <w:rFonts w:hint="eastAsia" w:ascii="宋体" w:hAnsi="宋体" w:eastAsia="宋体" w:cs="宋体"/>
                <w:color w:val="000000"/>
                <w:kern w:val="0"/>
                <w:szCs w:val="21"/>
                <w:lang w:val="en-US" w:eastAsia="zh-CN" w:bidi="ar"/>
              </w:rPr>
              <w:t>否</w:t>
            </w:r>
            <w:r>
              <w:rPr>
                <w:rFonts w:hint="eastAsia" w:ascii="宋体" w:hAnsi="宋体" w:eastAsia="宋体" w:cs="宋体"/>
                <w:color w:val="000000"/>
                <w:kern w:val="0"/>
                <w:szCs w:val="21"/>
                <w:lang w:bidi="ar"/>
              </w:rPr>
              <w:t>就学校中的教育现象展开调查，内容</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明确，方法</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正确，条理</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清楚，</w:t>
            </w:r>
            <w:r>
              <w:rPr>
                <w:rFonts w:hint="eastAsia" w:ascii="宋体" w:hAnsi="宋体" w:eastAsia="宋体" w:cs="宋体"/>
                <w:color w:val="000000"/>
                <w:kern w:val="0"/>
                <w:szCs w:val="21"/>
                <w:lang w:val="en-US" w:eastAsia="zh-CN" w:bidi="ar"/>
              </w:rPr>
              <w:t>是否</w:t>
            </w:r>
            <w:r>
              <w:rPr>
                <w:rFonts w:hint="eastAsia" w:ascii="宋体" w:hAnsi="宋体" w:eastAsia="宋体" w:cs="宋体"/>
                <w:color w:val="000000"/>
                <w:kern w:val="0"/>
                <w:szCs w:val="21"/>
                <w:lang w:bidi="ar"/>
              </w:rPr>
              <w:t>有自己的观点</w:t>
            </w:r>
            <w:r>
              <w:rPr>
                <w:rFonts w:hint="eastAsia" w:ascii="宋体" w:hAnsi="宋体" w:eastAsia="宋体" w:cs="宋体"/>
                <w:color w:val="000000"/>
                <w:kern w:val="0"/>
                <w:szCs w:val="21"/>
                <w:lang w:val="en-US" w:eastAsia="zh-CN" w:bidi="ar"/>
              </w:rPr>
              <w:t>等进行评价。</w:t>
            </w:r>
          </w:p>
        </w:tc>
        <w:tc>
          <w:tcPr>
            <w:tcW w:w="1136" w:type="dxa"/>
            <w:shd w:val="clear" w:color="auto" w:fill="auto"/>
            <w:vAlign w:val="center"/>
          </w:tcPr>
          <w:p w14:paraId="57DA8E61">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0%</w:t>
            </w:r>
          </w:p>
        </w:tc>
      </w:tr>
      <w:tr w14:paraId="35B2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4D9EA4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5A04B467">
            <w:pPr>
              <w:jc w:val="left"/>
              <w:rPr>
                <w:rFonts w:ascii="Times New Roman" w:hAnsi="Times New Roman" w:eastAsia="宋体" w:cs="Times New Roman"/>
                <w:szCs w:val="21"/>
              </w:rPr>
            </w:pPr>
          </w:p>
        </w:tc>
        <w:tc>
          <w:tcPr>
            <w:tcW w:w="1136" w:type="dxa"/>
            <w:vAlign w:val="center"/>
          </w:tcPr>
          <w:p w14:paraId="40C8ED2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14D104C">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01DC4C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B6BF968">
      <w:pPr>
        <w:spacing w:line="336" w:lineRule="auto"/>
        <w:ind w:firstLine="420" w:firstLineChars="200"/>
        <w:rPr>
          <w:rFonts w:hint="eastAsia" w:ascii="宋体" w:hAnsi="宋体" w:eastAsia="宋体" w:cs="Times New Roman"/>
          <w:b/>
          <w:color w:val="000000"/>
          <w:sz w:val="24"/>
          <w:szCs w:val="24"/>
        </w:rPr>
      </w:pPr>
      <w:r>
        <w:rPr>
          <w:rFonts w:ascii="宋体" w:hAnsi="宋体" w:eastAsia="宋体" w:cs="Times New Roman"/>
          <w:color w:val="000000"/>
          <w:szCs w:val="21"/>
        </w:rPr>
        <w:object>
          <v:shape id="_x0000_i1088" o:spt="75" type="#_x0000_t75" style="height:25.05pt;width:404.45pt;" o:ole="t" filled="f" o:preferrelative="t" stroked="f" coordsize="21600,21600">
            <v:path/>
            <v:fill on="f" focussize="0,0"/>
            <v:stroke on="f" joinstyle="miter"/>
            <v:imagedata r:id="rId5" o:title=""/>
            <o:lock v:ext="edit" aspectratio="t"/>
            <w10:wrap type="none"/>
            <w10:anchorlock/>
          </v:shape>
          <o:OLEObject Type="Embed" ProgID="Equation.3" ShapeID="_x0000_i1088" DrawAspect="Content" ObjectID="_1468075788" r:id="rId71">
            <o:LockedField>false</o:LockedField>
          </o:OLEObject>
        </w:object>
      </w:r>
      <w:r>
        <w:rPr>
          <w:rFonts w:hint="eastAsia" w:ascii="宋体" w:hAnsi="宋体" w:eastAsia="宋体" w:cs="Times New Roman"/>
          <w:b/>
          <w:color w:val="000000"/>
          <w:sz w:val="24"/>
          <w:szCs w:val="24"/>
        </w:rPr>
        <w:t>五、课程参考书</w:t>
      </w:r>
    </w:p>
    <w:p w14:paraId="76525032">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1．义务教育各学科课程标准，2022</w:t>
      </w:r>
    </w:p>
    <w:p w14:paraId="345ABBDF">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2．部编版小学各年级教材。</w:t>
      </w:r>
    </w:p>
    <w:p w14:paraId="448A69E8">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3．苗凤华．教育实习指南．科学出版社，2018.</w:t>
      </w:r>
    </w:p>
    <w:p w14:paraId="2204389B">
      <w:pPr>
        <w:spacing w:line="336" w:lineRule="auto"/>
        <w:ind w:firstLine="480" w:firstLineChars="200"/>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4. 侯宏业，薛微微.小学教育实习手册.南京大学出版社，2021.</w:t>
      </w:r>
    </w:p>
    <w:p w14:paraId="16B1747A">
      <w:pPr>
        <w:autoSpaceDE w:val="0"/>
        <w:autoSpaceDN w:val="0"/>
        <w:adjustRightInd w:val="0"/>
        <w:spacing w:line="360" w:lineRule="auto"/>
        <w:jc w:val="both"/>
        <w:rPr>
          <w:rFonts w:ascii="宋体" w:hAnsi="宋体" w:eastAsia="宋体" w:cs="Times New Roman"/>
          <w:kern w:val="0"/>
          <w:sz w:val="24"/>
          <w:szCs w:val="21"/>
        </w:rPr>
      </w:pPr>
    </w:p>
    <w:p w14:paraId="51D4244A">
      <w:pPr>
        <w:autoSpaceDE w:val="0"/>
        <w:autoSpaceDN w:val="0"/>
        <w:adjustRightInd w:val="0"/>
        <w:spacing w:line="360" w:lineRule="auto"/>
        <w:jc w:val="center"/>
        <w:rPr>
          <w:rFonts w:hint="eastAsia" w:ascii="宋体" w:hAnsi="宋体" w:eastAsia="宋体" w:cs="Times New Roman"/>
          <w:kern w:val="0"/>
          <w:sz w:val="24"/>
          <w:szCs w:val="21"/>
          <w:lang w:eastAsia="zh-CN"/>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执笔人：</w:t>
      </w:r>
      <w:r>
        <w:rPr>
          <w:rFonts w:hint="eastAsia" w:ascii="宋体" w:hAnsi="宋体" w:eastAsia="宋体" w:cs="Times New Roman"/>
          <w:kern w:val="0"/>
          <w:sz w:val="24"/>
          <w:szCs w:val="21"/>
          <w:lang w:val="en-US" w:eastAsia="zh-CN"/>
        </w:rPr>
        <w:t>姚玉香</w:t>
      </w:r>
    </w:p>
    <w:p w14:paraId="6F18EE5D">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审定人：王  健</w:t>
      </w:r>
    </w:p>
    <w:p w14:paraId="574417DD">
      <w:pPr>
        <w:autoSpaceDE w:val="0"/>
        <w:autoSpaceDN w:val="0"/>
        <w:adjustRightInd w:val="0"/>
        <w:spacing w:line="360" w:lineRule="auto"/>
        <w:jc w:val="right"/>
        <w:rPr>
          <w:rFonts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4CF4A314">
      <w:pPr>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4</w:t>
      </w:r>
      <w:r>
        <w:rPr>
          <w:rFonts w:hint="eastAsia" w:ascii="宋体" w:hAnsi="宋体" w:eastAsia="宋体" w:cs="Times New Roman"/>
          <w:kern w:val="0"/>
          <w:sz w:val="24"/>
          <w:szCs w:val="21"/>
        </w:rPr>
        <w:t>年</w:t>
      </w:r>
      <w:r>
        <w:rPr>
          <w:rFonts w:hint="eastAsia" w:ascii="宋体" w:hAnsi="宋体" w:eastAsia="宋体" w:cs="Times New Roman"/>
          <w:kern w:val="0"/>
          <w:sz w:val="24"/>
          <w:szCs w:val="21"/>
          <w:lang w:val="en-US" w:eastAsia="zh-CN"/>
        </w:rPr>
        <w:t>9</w:t>
      </w:r>
      <w:r>
        <w:rPr>
          <w:rFonts w:hint="eastAsia" w:ascii="宋体" w:hAnsi="宋体" w:eastAsia="宋体" w:cs="Times New Roman"/>
          <w:kern w:val="0"/>
          <w:sz w:val="24"/>
          <w:szCs w:val="21"/>
        </w:rPr>
        <w:t>月</w:t>
      </w:r>
      <w:r>
        <w:rPr>
          <w:rFonts w:hint="eastAsia" w:ascii="宋体" w:hAnsi="宋体" w:eastAsia="宋体" w:cs="Times New Roman"/>
          <w:kern w:val="0"/>
          <w:sz w:val="24"/>
          <w:szCs w:val="21"/>
          <w:lang w:val="en-US" w:eastAsia="zh-CN"/>
        </w:rPr>
        <w:t>1</w:t>
      </w:r>
      <w:r>
        <w:rPr>
          <w:rFonts w:hint="eastAsia" w:ascii="宋体" w:hAnsi="宋体" w:eastAsia="宋体" w:cs="Times New Roman"/>
          <w:kern w:val="0"/>
          <w:sz w:val="24"/>
          <w:szCs w:val="21"/>
        </w:rPr>
        <w:t>日</w:t>
      </w:r>
    </w:p>
    <w:p w14:paraId="19F98E3E">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1160D604">
      <w:pPr>
        <w:pStyle w:val="2"/>
        <w:bidi w:val="0"/>
        <w:rPr>
          <w:lang w:val="en-US" w:eastAsia="zh-CN"/>
        </w:rPr>
      </w:pPr>
      <w:bookmarkStart w:id="3278" w:name="_Toc88340369"/>
      <w:bookmarkStart w:id="3279" w:name="_Toc8479"/>
      <w:bookmarkStart w:id="3280" w:name="_Toc14227"/>
      <w:bookmarkStart w:id="3281" w:name="_Toc28306"/>
      <w:bookmarkStart w:id="3282" w:name="_Toc3403"/>
      <w:r>
        <w:rPr>
          <w:rFonts w:hint="eastAsia"/>
          <w:lang w:val="en-US" w:eastAsia="zh-CN"/>
        </w:rPr>
        <w:t>《毕业论文》课程教学大纲</w:t>
      </w:r>
      <w:bookmarkEnd w:id="3278"/>
      <w:bookmarkEnd w:id="3279"/>
      <w:bookmarkEnd w:id="3280"/>
      <w:bookmarkEnd w:id="3281"/>
      <w:bookmarkEnd w:id="3282"/>
    </w:p>
    <w:p w14:paraId="2C395CA5">
      <w:pPr>
        <w:pStyle w:val="2"/>
        <w:bidi w:val="0"/>
        <w:rPr>
          <w:lang w:val="en-US" w:eastAsia="zh-CN"/>
        </w:rPr>
      </w:pPr>
      <w:bookmarkStart w:id="3283" w:name="_Toc9745"/>
      <w:bookmarkStart w:id="3284" w:name="_Toc31193"/>
      <w:bookmarkStart w:id="3285" w:name="_Toc5964"/>
      <w:bookmarkStart w:id="3286" w:name="_Toc28133"/>
      <w:bookmarkStart w:id="3287" w:name="_Toc16746"/>
      <w:bookmarkStart w:id="3288" w:name="_Toc28960"/>
      <w:bookmarkStart w:id="3289" w:name="_Toc20309"/>
      <w:r>
        <w:rPr>
          <w:lang w:val="en-US" w:eastAsia="zh-CN"/>
        </w:rPr>
        <w:t>（Graduation T</w:t>
      </w:r>
      <w:r>
        <w:rPr>
          <w:rFonts w:hint="eastAsia"/>
          <w:lang w:val="en-US" w:eastAsia="zh-CN"/>
        </w:rPr>
        <w:t>hesis</w:t>
      </w:r>
      <w:r>
        <w:rPr>
          <w:lang w:val="en-US" w:eastAsia="zh-CN"/>
        </w:rPr>
        <w:t>）</w:t>
      </w:r>
      <w:bookmarkEnd w:id="3283"/>
      <w:bookmarkEnd w:id="3284"/>
      <w:bookmarkEnd w:id="3285"/>
      <w:bookmarkEnd w:id="3286"/>
      <w:bookmarkEnd w:id="3287"/>
      <w:bookmarkEnd w:id="3288"/>
      <w:bookmarkEnd w:id="3289"/>
    </w:p>
    <w:p w14:paraId="4F458E62">
      <w:pPr>
        <w:spacing w:line="360" w:lineRule="auto"/>
        <w:ind w:firstLine="482" w:firstLineChars="200"/>
        <w:jc w:val="left"/>
        <w:rPr>
          <w:rFonts w:hint="eastAsia" w:ascii="Times New Roman" w:hAnsi="Times New Roman" w:eastAsia="宋体" w:cs="Times New Roman"/>
          <w:b/>
          <w:sz w:val="24"/>
          <w:szCs w:val="24"/>
        </w:rPr>
      </w:pPr>
    </w:p>
    <w:p w14:paraId="5EA63296">
      <w:pPr>
        <w:spacing w:line="360" w:lineRule="auto"/>
        <w:ind w:firstLine="482" w:firstLineChars="200"/>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课程名称：</w:t>
      </w:r>
      <w:r>
        <w:rPr>
          <w:rFonts w:hint="eastAsia" w:ascii="Times New Roman" w:hAnsi="Times New Roman" w:eastAsia="宋体" w:cs="Times New Roman"/>
          <w:b/>
          <w:sz w:val="24"/>
          <w:szCs w:val="24"/>
          <w:lang w:val="en-US" w:eastAsia="zh-CN"/>
        </w:rPr>
        <w:t>毕业论文</w:t>
      </w:r>
    </w:p>
    <w:p w14:paraId="41FE974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课程代码：2401052</w:t>
      </w:r>
    </w:p>
    <w:p w14:paraId="1BC453B7">
      <w:pPr>
        <w:spacing w:line="360" w:lineRule="auto"/>
        <w:ind w:firstLine="482" w:firstLineChars="20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b/>
          <w:sz w:val="24"/>
          <w:szCs w:val="24"/>
          <w:lang w:val="en-US" w:eastAsia="zh-CN"/>
        </w:rPr>
        <w:t>8</w:t>
      </w:r>
    </w:p>
    <w:p w14:paraId="5B1EE6C3">
      <w:pPr>
        <w:spacing w:line="360" w:lineRule="auto"/>
        <w:ind w:firstLine="482"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b/>
          <w:sz w:val="24"/>
          <w:szCs w:val="24"/>
          <w:lang w:val="en-US" w:eastAsia="zh-CN"/>
        </w:rPr>
        <w:t>8周</w:t>
      </w:r>
    </w:p>
    <w:p w14:paraId="51816EB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先修课程：小学教育专业人才培养方案中的所有其他课程</w:t>
      </w:r>
    </w:p>
    <w:p w14:paraId="3C2E745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适用专业：小学教育</w:t>
      </w:r>
    </w:p>
    <w:p w14:paraId="4DA4A952">
      <w:pPr>
        <w:autoSpaceDE w:val="0"/>
        <w:autoSpaceDN w:val="0"/>
        <w:adjustRightInd w:val="0"/>
        <w:spacing w:line="348" w:lineRule="auto"/>
        <w:jc w:val="left"/>
        <w:rPr>
          <w:rFonts w:hint="eastAsia" w:ascii="Times New Roman" w:hAnsi="Times New Roman" w:eastAsia="宋体" w:cs="Times New Roman"/>
          <w:kern w:val="0"/>
          <w:sz w:val="24"/>
          <w:szCs w:val="24"/>
        </w:rPr>
      </w:pPr>
    </w:p>
    <w:p w14:paraId="297E7DE2">
      <w:pPr>
        <w:autoSpaceDE w:val="0"/>
        <w:autoSpaceDN w:val="0"/>
        <w:adjustRightInd w:val="0"/>
        <w:spacing w:line="348" w:lineRule="auto"/>
        <w:jc w:val="left"/>
        <w:outlineLvl w:val="0"/>
        <w:rPr>
          <w:rFonts w:hint="default" w:ascii="Times New Roman" w:hAnsi="Times New Roman" w:eastAsia="宋体" w:cs="Times New Roman"/>
          <w:b/>
          <w:bCs/>
          <w:kern w:val="0"/>
          <w:sz w:val="24"/>
          <w:szCs w:val="24"/>
          <w:lang w:val="en-US" w:eastAsia="zh-CN"/>
        </w:rPr>
      </w:pPr>
      <w:bookmarkStart w:id="3290" w:name="_Toc514"/>
      <w:bookmarkStart w:id="3291" w:name="_Toc11447"/>
      <w:bookmarkStart w:id="3292" w:name="_Toc30507"/>
      <w:bookmarkStart w:id="3293" w:name="_Toc28635"/>
      <w:bookmarkStart w:id="3294" w:name="_Toc29123"/>
      <w:bookmarkStart w:id="3295" w:name="_Toc8432"/>
      <w:bookmarkStart w:id="3296" w:name="_Toc6985"/>
      <w:r>
        <w:rPr>
          <w:rFonts w:hint="eastAsia" w:ascii="Times New Roman" w:hAnsi="Times New Roman" w:eastAsia="宋体" w:cs="Times New Roman"/>
          <w:b/>
          <w:bCs/>
          <w:kern w:val="0"/>
          <w:sz w:val="24"/>
          <w:szCs w:val="24"/>
          <w:lang w:val="en-US" w:eastAsia="zh-CN"/>
        </w:rPr>
        <w:t>一、课程简介</w:t>
      </w:r>
      <w:bookmarkEnd w:id="3290"/>
      <w:bookmarkEnd w:id="3291"/>
      <w:bookmarkEnd w:id="3292"/>
      <w:bookmarkEnd w:id="3293"/>
      <w:bookmarkEnd w:id="3294"/>
      <w:bookmarkEnd w:id="3295"/>
      <w:bookmarkEnd w:id="3296"/>
    </w:p>
    <w:p w14:paraId="06518A79">
      <w:pPr>
        <w:autoSpaceDE w:val="0"/>
        <w:autoSpaceDN w:val="0"/>
        <w:adjustRightInd w:val="0"/>
        <w:spacing w:line="348" w:lineRule="auto"/>
        <w:ind w:firstLine="420" w:firstLineChars="200"/>
        <w:jc w:val="left"/>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毕业论文工作是学生综合运用所学的基础理论、基本知识和基本技能，分析和解决教育教学、社会实践中的实际问题</w:t>
      </w:r>
      <w:r>
        <w:rPr>
          <w:rFonts w:hint="eastAsia" w:ascii="Times New Roman" w:hAnsi="Times New Roman" w:eastAsia="宋体" w:cs="Times New Roman"/>
          <w:kern w:val="0"/>
          <w:sz w:val="21"/>
          <w:szCs w:val="21"/>
          <w:lang w:val="en-US" w:eastAsia="zh-CN"/>
        </w:rPr>
        <w:t>的实践锻炼过程</w:t>
      </w:r>
      <w:r>
        <w:rPr>
          <w:rFonts w:hint="eastAsia"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也是学生在校学习期间学习成果的综合性总结，是整个人才培养过程中不可或缺的重要环节，对于培养学生的科学研究能力、创新能力具有重要意义。</w:t>
      </w:r>
    </w:p>
    <w:p w14:paraId="2C3145ED">
      <w:pPr>
        <w:spacing w:line="348" w:lineRule="auto"/>
        <w:outlineLvl w:val="0"/>
        <w:rPr>
          <w:rFonts w:ascii="Times New Roman" w:hAnsi="Times New Roman" w:eastAsia="宋体" w:cs="Times New Roman"/>
          <w:b/>
          <w:sz w:val="24"/>
          <w:szCs w:val="24"/>
        </w:rPr>
      </w:pPr>
      <w:bookmarkStart w:id="3297" w:name="_Toc21546"/>
      <w:bookmarkStart w:id="3298" w:name="_Toc22671"/>
      <w:bookmarkStart w:id="3299" w:name="_Toc14672"/>
      <w:bookmarkStart w:id="3300" w:name="_Toc1002"/>
      <w:bookmarkStart w:id="3301" w:name="_Toc20765"/>
      <w:bookmarkStart w:id="3302" w:name="_Toc16668"/>
      <w:bookmarkStart w:id="3303" w:name="_Toc16033"/>
      <w:r>
        <w:rPr>
          <w:rFonts w:hint="eastAsia" w:ascii="Times New Roman" w:hAnsi="Times New Roman" w:eastAsia="宋体" w:cs="Times New Roman"/>
          <w:b/>
          <w:sz w:val="24"/>
          <w:szCs w:val="24"/>
        </w:rPr>
        <w:t>二</w:t>
      </w:r>
      <w:r>
        <w:rPr>
          <w:rFonts w:ascii="Times New Roman" w:hAnsi="Times New Roman" w:eastAsia="宋体" w:cs="Times New Roman"/>
          <w:b/>
          <w:sz w:val="24"/>
          <w:szCs w:val="24"/>
        </w:rPr>
        <w:t>、课程目标</w:t>
      </w:r>
      <w:bookmarkEnd w:id="3297"/>
      <w:bookmarkEnd w:id="3298"/>
      <w:bookmarkEnd w:id="3299"/>
      <w:bookmarkEnd w:id="3300"/>
      <w:bookmarkEnd w:id="3301"/>
      <w:bookmarkEnd w:id="3302"/>
      <w:bookmarkEnd w:id="3303"/>
    </w:p>
    <w:p w14:paraId="7D497E63">
      <w:pPr>
        <w:spacing w:line="348" w:lineRule="auto"/>
        <w:jc w:val="left"/>
        <w:outlineLvl w:val="1"/>
        <w:rPr>
          <w:rFonts w:ascii="Times New Roman" w:hAnsi="Times New Roman" w:eastAsia="宋体" w:cs="Times New Roman"/>
          <w:b/>
          <w:bCs/>
          <w:sz w:val="21"/>
          <w:szCs w:val="21"/>
        </w:rPr>
      </w:pPr>
      <w:bookmarkStart w:id="3304" w:name="_Toc3334"/>
      <w:r>
        <w:rPr>
          <w:rFonts w:hint="eastAsia" w:ascii="Times New Roman" w:hAnsi="Times New Roman" w:eastAsia="宋体" w:cs="Times New Roman"/>
          <w:b/>
          <w:bCs/>
          <w:sz w:val="21"/>
          <w:szCs w:val="21"/>
        </w:rPr>
        <w:t>（一）课程具体目标</w:t>
      </w:r>
      <w:bookmarkEnd w:id="3304"/>
    </w:p>
    <w:p w14:paraId="7F819F54">
      <w:pPr>
        <w:spacing w:line="348" w:lineRule="auto"/>
        <w:ind w:firstLine="422" w:firstLineChars="200"/>
        <w:jc w:val="left"/>
        <w:rPr>
          <w:rFonts w:ascii="Times New Roman" w:hAnsi="Times New Roman" w:eastAsia="宋体" w:cs="Times New Roman"/>
          <w:sz w:val="21"/>
          <w:szCs w:val="21"/>
        </w:rPr>
      </w:pPr>
      <w:r>
        <w:rPr>
          <w:rFonts w:hint="eastAsia" w:ascii="Times New Roman" w:hAnsi="Times New Roman" w:eastAsia="宋体" w:cs="Times New Roman"/>
          <w:b/>
          <w:bCs/>
          <w:sz w:val="21"/>
          <w:szCs w:val="21"/>
        </w:rPr>
        <w:t>目标</w:t>
      </w:r>
      <w:r>
        <w:rPr>
          <w:rFonts w:ascii="Times New Roman" w:hAnsi="Times New Roman" w:eastAsia="宋体" w:cs="Times New Roman"/>
          <w:b/>
          <w:bCs/>
          <w:sz w:val="21"/>
          <w:szCs w:val="21"/>
        </w:rPr>
        <w:t>1.</w:t>
      </w:r>
      <w:r>
        <w:rPr>
          <w:rFonts w:hint="eastAsia" w:ascii="Times New Roman" w:hAnsi="Times New Roman" w:eastAsia="宋体" w:cs="Times New Roman"/>
          <w:sz w:val="21"/>
          <w:szCs w:val="21"/>
        </w:rPr>
        <w:t xml:space="preserve"> 通过大量的文献阅读，结合以往课程中教学观摩、</w:t>
      </w:r>
      <w:r>
        <w:rPr>
          <w:rFonts w:hint="eastAsia" w:ascii="Times New Roman" w:hAnsi="Times New Roman" w:eastAsia="宋体" w:cs="Times New Roman"/>
          <w:sz w:val="21"/>
          <w:szCs w:val="21"/>
          <w:lang w:val="en-US" w:eastAsia="zh-CN"/>
        </w:rPr>
        <w:t>教育见习实习</w:t>
      </w:r>
      <w:r>
        <w:rPr>
          <w:rFonts w:hint="eastAsia" w:ascii="Times New Roman" w:hAnsi="Times New Roman" w:eastAsia="宋体" w:cs="Times New Roman"/>
          <w:sz w:val="21"/>
          <w:szCs w:val="21"/>
        </w:rPr>
        <w:t>等经验，进一步综合已学习的小学</w:t>
      </w:r>
      <w:r>
        <w:rPr>
          <w:rFonts w:hint="eastAsia" w:ascii="Times New Roman" w:hAnsi="Times New Roman" w:eastAsia="宋体" w:cs="Times New Roman"/>
          <w:sz w:val="21"/>
          <w:szCs w:val="21"/>
          <w:lang w:val="en-US" w:eastAsia="zh-CN"/>
        </w:rPr>
        <w:t>教育</w:t>
      </w:r>
      <w:r>
        <w:rPr>
          <w:rFonts w:hint="eastAsia" w:ascii="Times New Roman" w:hAnsi="Times New Roman" w:eastAsia="宋体" w:cs="Times New Roman"/>
          <w:sz w:val="21"/>
          <w:szCs w:val="21"/>
        </w:rPr>
        <w:t>教学基本理论及学科教学知识等，确定有价值的研究问题，</w:t>
      </w:r>
      <w:r>
        <w:rPr>
          <w:rFonts w:hint="eastAsia" w:ascii="Times New Roman" w:hAnsi="Times New Roman" w:eastAsia="宋体" w:cs="Times New Roman"/>
          <w:sz w:val="21"/>
          <w:szCs w:val="21"/>
          <w:lang w:val="en-US" w:eastAsia="zh-CN"/>
        </w:rPr>
        <w:t>制定科学的研究计划</w:t>
      </w:r>
      <w:r>
        <w:rPr>
          <w:rFonts w:hint="eastAsia" w:ascii="Times New Roman" w:hAnsi="Times New Roman" w:eastAsia="宋体" w:cs="Times New Roman"/>
          <w:sz w:val="21"/>
          <w:szCs w:val="21"/>
        </w:rPr>
        <w:t>，在导师指导下，独立完成毕业论文的撰写。</w:t>
      </w:r>
    </w:p>
    <w:p w14:paraId="50D3DAC1">
      <w:pPr>
        <w:spacing w:line="348" w:lineRule="auto"/>
        <w:ind w:firstLine="422" w:firstLineChars="200"/>
        <w:jc w:val="left"/>
        <w:rPr>
          <w:rFonts w:ascii="Times New Roman" w:hAnsi="Times New Roman" w:eastAsia="宋体" w:cs="Times New Roman"/>
          <w:sz w:val="21"/>
          <w:szCs w:val="21"/>
        </w:rPr>
      </w:pPr>
      <w:r>
        <w:rPr>
          <w:rFonts w:hint="eastAsia" w:ascii="Times New Roman" w:hAnsi="Times New Roman" w:eastAsia="宋体" w:cs="Times New Roman"/>
          <w:b/>
          <w:bCs/>
          <w:sz w:val="21"/>
          <w:szCs w:val="21"/>
        </w:rPr>
        <w:t>目标</w:t>
      </w:r>
      <w:r>
        <w:rPr>
          <w:rFonts w:hint="eastAsia" w:ascii="Times New Roman" w:hAnsi="Times New Roman" w:eastAsia="宋体" w:cs="Times New Roman"/>
          <w:b/>
          <w:bCs/>
          <w:sz w:val="21"/>
          <w:szCs w:val="21"/>
          <w:lang w:val="en-US" w:eastAsia="zh-CN"/>
        </w:rPr>
        <w:t>2</w:t>
      </w:r>
      <w:r>
        <w:rPr>
          <w:rFonts w:ascii="Times New Roman" w:hAnsi="Times New Roman" w:eastAsia="宋体" w:cs="Times New Roman"/>
          <w:b/>
          <w:bCs/>
          <w:sz w:val="21"/>
          <w:szCs w:val="21"/>
        </w:rPr>
        <w:t xml:space="preserve">. </w:t>
      </w:r>
      <w:r>
        <w:rPr>
          <w:rFonts w:hint="eastAsia" w:ascii="Times New Roman" w:hAnsi="Times New Roman" w:eastAsia="宋体" w:cs="Times New Roman"/>
          <w:sz w:val="21"/>
          <w:szCs w:val="21"/>
        </w:rPr>
        <w:t>能够运用较科学的研究方法，设计逻辑清晰的研究过程，批判性分析小学教育、教学的问题，培养严谨的思维品质，</w:t>
      </w:r>
      <w:r>
        <w:rPr>
          <w:rFonts w:hint="eastAsia" w:ascii="Times New Roman" w:hAnsi="Times New Roman" w:eastAsia="宋体" w:cs="Times New Roman"/>
          <w:sz w:val="21"/>
          <w:szCs w:val="21"/>
          <w:lang w:val="en-US" w:eastAsia="zh-CN"/>
        </w:rPr>
        <w:t>提高反思意识以及</w:t>
      </w:r>
      <w:r>
        <w:rPr>
          <w:rFonts w:hint="eastAsia" w:ascii="Times New Roman" w:hAnsi="Times New Roman" w:eastAsia="宋体" w:cs="Times New Roman"/>
          <w:sz w:val="21"/>
          <w:szCs w:val="21"/>
        </w:rPr>
        <w:t>综合分析</w:t>
      </w:r>
      <w:r>
        <w:rPr>
          <w:rFonts w:hint="eastAsia" w:ascii="Times New Roman" w:hAnsi="Times New Roman" w:eastAsia="宋体" w:cs="Times New Roman"/>
          <w:sz w:val="21"/>
          <w:szCs w:val="21"/>
          <w:lang w:val="en-US" w:eastAsia="zh-CN"/>
        </w:rPr>
        <w:t>问题、解决问题的能力</w:t>
      </w:r>
      <w:r>
        <w:rPr>
          <w:rFonts w:hint="eastAsia" w:ascii="Times New Roman" w:hAnsi="Times New Roman" w:eastAsia="宋体" w:cs="Times New Roman"/>
          <w:sz w:val="21"/>
          <w:szCs w:val="21"/>
        </w:rPr>
        <w:t>。</w:t>
      </w:r>
    </w:p>
    <w:p w14:paraId="7E0CE1F1">
      <w:pPr>
        <w:spacing w:line="348" w:lineRule="auto"/>
        <w:ind w:firstLine="422" w:firstLineChars="200"/>
        <w:rPr>
          <w:rFonts w:hint="eastAsia" w:ascii="Times New Roman" w:hAnsi="Times New Roman" w:eastAsia="宋体" w:cs="Times New Roman"/>
          <w:sz w:val="21"/>
          <w:szCs w:val="21"/>
        </w:rPr>
      </w:pPr>
      <w:r>
        <w:rPr>
          <w:rFonts w:hint="eastAsia" w:ascii="Times New Roman" w:hAnsi="Times New Roman" w:eastAsia="宋体" w:cs="Times New Roman"/>
          <w:b/>
          <w:bCs/>
          <w:sz w:val="21"/>
          <w:szCs w:val="21"/>
        </w:rPr>
        <w:t>目标</w:t>
      </w:r>
      <w:r>
        <w:rPr>
          <w:rFonts w:hint="eastAsia" w:ascii="Times New Roman" w:hAnsi="Times New Roman" w:eastAsia="宋体" w:cs="Times New Roman"/>
          <w:b/>
          <w:bCs/>
          <w:sz w:val="21"/>
          <w:szCs w:val="21"/>
          <w:lang w:val="en-US" w:eastAsia="zh-CN"/>
        </w:rPr>
        <w:t>3</w:t>
      </w:r>
      <w:r>
        <w:rPr>
          <w:rFonts w:hint="eastAsia" w:ascii="Times New Roman" w:hAnsi="Times New Roman" w:eastAsia="宋体" w:cs="Times New Roman"/>
          <w:b/>
          <w:bCs/>
          <w:sz w:val="21"/>
          <w:szCs w:val="21"/>
        </w:rPr>
        <w:t>.</w:t>
      </w:r>
      <w:r>
        <w:rPr>
          <w:rFonts w:ascii="Times New Roman" w:hAnsi="Times New Roman" w:eastAsia="宋体" w:cs="Times New Roman"/>
          <w:b/>
          <w:bCs/>
          <w:sz w:val="21"/>
          <w:szCs w:val="21"/>
        </w:rPr>
        <w:t xml:space="preserve"> </w:t>
      </w:r>
      <w:r>
        <w:rPr>
          <w:rFonts w:hint="eastAsia" w:ascii="Times New Roman" w:hAnsi="Times New Roman" w:eastAsia="宋体" w:cs="Times New Roman"/>
          <w:sz w:val="21"/>
          <w:szCs w:val="21"/>
          <w:lang w:val="en-US" w:eastAsia="zh-CN"/>
        </w:rPr>
        <w:t>掌握信息获取和处理等方面的方法，具备</w:t>
      </w:r>
      <w:r>
        <w:rPr>
          <w:rFonts w:hint="eastAsia" w:ascii="Times New Roman" w:hAnsi="Times New Roman" w:eastAsia="宋体" w:cs="Times New Roman"/>
          <w:sz w:val="21"/>
          <w:szCs w:val="21"/>
        </w:rPr>
        <w:t>阅读理解、语言与文字表达、交流沟通</w:t>
      </w:r>
      <w:r>
        <w:rPr>
          <w:rFonts w:hint="eastAsia" w:ascii="Times New Roman" w:hAnsi="Times New Roman" w:eastAsia="宋体" w:cs="Times New Roman"/>
          <w:sz w:val="21"/>
          <w:szCs w:val="21"/>
          <w:lang w:val="en-US" w:eastAsia="zh-CN"/>
        </w:rPr>
        <w:t>的技能</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提升人际沟通能力</w:t>
      </w:r>
      <w:r>
        <w:rPr>
          <w:rFonts w:hint="eastAsia" w:ascii="Times New Roman" w:hAnsi="Times New Roman" w:eastAsia="宋体" w:cs="Times New Roman"/>
          <w:sz w:val="21"/>
          <w:szCs w:val="21"/>
        </w:rPr>
        <w:t>。</w:t>
      </w:r>
    </w:p>
    <w:p w14:paraId="08A708B9">
      <w:pPr>
        <w:spacing w:line="348" w:lineRule="auto"/>
        <w:ind w:firstLine="422"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 xml:space="preserve">目标4. </w:t>
      </w:r>
      <w:r>
        <w:rPr>
          <w:rFonts w:hint="eastAsia" w:ascii="Times New Roman" w:hAnsi="Times New Roman" w:eastAsia="宋体" w:cs="Times New Roman"/>
          <w:sz w:val="21"/>
          <w:szCs w:val="21"/>
          <w:lang w:val="en-US" w:eastAsia="zh-CN"/>
        </w:rPr>
        <w:t>理解教育研究的准则和规范，能够遵守研究伦理，恪守学术道德。</w:t>
      </w:r>
    </w:p>
    <w:p w14:paraId="4FBEDCEC">
      <w:pPr>
        <w:spacing w:before="156" w:beforeLines="50" w:after="156" w:afterLines="50" w:line="360" w:lineRule="auto"/>
        <w:jc w:val="left"/>
        <w:outlineLvl w:val="1"/>
        <w:rPr>
          <w:rFonts w:ascii="Times New Roman" w:hAnsi="Times New Roman" w:eastAsia="宋体" w:cs="Times New Roman"/>
          <w:b/>
          <w:bCs/>
          <w:szCs w:val="21"/>
        </w:rPr>
      </w:pPr>
      <w:bookmarkStart w:id="3305" w:name="_Toc24283"/>
      <w:r>
        <w:rPr>
          <w:rFonts w:hint="eastAsia" w:ascii="Times New Roman" w:hAnsi="Times New Roman" w:eastAsia="宋体" w:cs="Times New Roman"/>
          <w:b/>
          <w:bCs/>
          <w:szCs w:val="21"/>
        </w:rPr>
        <w:t>（二）课程目标及其对毕业要求指标点的支撑</w:t>
      </w:r>
      <w:bookmarkEnd w:id="3305"/>
    </w:p>
    <w:tbl>
      <w:tblPr>
        <w:tblStyle w:val="10"/>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914"/>
        <w:gridCol w:w="1286"/>
      </w:tblGrid>
      <w:tr w14:paraId="088FD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0D1FF455">
            <w:pPr>
              <w:adjustRightInd w:val="0"/>
              <w:snapToGrid w:val="0"/>
              <w:spacing w:line="276" w:lineRule="auto"/>
              <w:jc w:val="center"/>
              <w:rPr>
                <w:rFonts w:hint="default" w:ascii="宋体" w:hAnsi="宋体" w:eastAsia="宋体" w:cs="Times New Roman"/>
                <w:b/>
                <w:bCs/>
                <w:szCs w:val="21"/>
                <w:lang w:val="en-US" w:eastAsia="zh-CN"/>
              </w:rPr>
            </w:pPr>
            <w:r>
              <w:rPr>
                <w:rFonts w:hint="eastAsia" w:ascii="宋体" w:hAnsi="宋体" w:eastAsia="宋体" w:cs="Times New Roman"/>
                <w:b/>
                <w:bCs/>
                <w:szCs w:val="21"/>
                <w:lang w:val="en-US" w:eastAsia="zh-CN"/>
              </w:rPr>
              <w:t>毕业要求</w:t>
            </w:r>
          </w:p>
        </w:tc>
        <w:tc>
          <w:tcPr>
            <w:tcW w:w="5914" w:type="dxa"/>
            <w:vAlign w:val="center"/>
          </w:tcPr>
          <w:p w14:paraId="0E2BA22D">
            <w:pPr>
              <w:adjustRightInd w:val="0"/>
              <w:snapToGrid w:val="0"/>
              <w:spacing w:line="276" w:lineRule="auto"/>
              <w:jc w:val="center"/>
              <w:rPr>
                <w:rFonts w:hint="eastAsia" w:ascii="宋体" w:hAnsi="宋体" w:eastAsia="宋体" w:cs="Times New Roman"/>
                <w:b/>
                <w:bCs/>
                <w:szCs w:val="21"/>
                <w:lang w:val="en-US" w:eastAsia="zh-CN"/>
              </w:rPr>
            </w:pPr>
            <w:r>
              <w:rPr>
                <w:rFonts w:hint="eastAsia" w:ascii="宋体" w:hAnsi="宋体" w:eastAsia="宋体" w:cs="Times New Roman"/>
                <w:b/>
                <w:bCs/>
                <w:szCs w:val="21"/>
              </w:rPr>
              <w:t>毕业要求</w:t>
            </w:r>
            <w:r>
              <w:rPr>
                <w:rFonts w:hint="eastAsia" w:ascii="宋体" w:hAnsi="宋体" w:eastAsia="宋体" w:cs="Times New Roman"/>
                <w:b/>
                <w:bCs/>
                <w:szCs w:val="21"/>
                <w:lang w:val="en-US" w:eastAsia="zh-CN"/>
              </w:rPr>
              <w:t>指标点</w:t>
            </w:r>
          </w:p>
        </w:tc>
        <w:tc>
          <w:tcPr>
            <w:tcW w:w="1286" w:type="dxa"/>
            <w:vAlign w:val="center"/>
          </w:tcPr>
          <w:p w14:paraId="1E447569">
            <w:pPr>
              <w:adjustRightInd w:val="0"/>
              <w:snapToGrid w:val="0"/>
              <w:spacing w:line="276" w:lineRule="auto"/>
              <w:jc w:val="both"/>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课程目标</w:t>
            </w:r>
          </w:p>
        </w:tc>
      </w:tr>
      <w:tr w14:paraId="6EE83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9F0CC50">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毕业要求1</w:t>
            </w:r>
          </w:p>
          <w:p w14:paraId="29516D67">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师德规范</w:t>
            </w:r>
          </w:p>
        </w:tc>
        <w:tc>
          <w:tcPr>
            <w:tcW w:w="5914" w:type="dxa"/>
            <w:vAlign w:val="center"/>
          </w:tcPr>
          <w:p w14:paraId="06D28C67">
            <w:pPr>
              <w:adjustRightInd w:val="0"/>
              <w:snapToGrid w:val="0"/>
              <w:spacing w:line="276" w:lineRule="auto"/>
              <w:rPr>
                <w:rFonts w:hint="eastAsia" w:ascii="宋体" w:hAnsi="宋体" w:eastAsia="宋体" w:cs="Times New Roman"/>
                <w:color w:val="000000"/>
                <w:kern w:val="0"/>
                <w:szCs w:val="21"/>
                <w:lang w:eastAsia="zh-CN"/>
              </w:rPr>
            </w:pPr>
            <w:r>
              <w:rPr>
                <w:rFonts w:hint="eastAsia" w:ascii="宋体" w:hAnsi="宋体" w:eastAsia="等线" w:cs="宋体"/>
                <w:kern w:val="0"/>
                <w:szCs w:val="21"/>
              </w:rPr>
              <w:t>指标点</w:t>
            </w:r>
            <w:r>
              <w:rPr>
                <w:rFonts w:hint="eastAsia" w:ascii="宋体" w:hAnsi="宋体" w:eastAsia="等线" w:cs="宋体"/>
                <w:szCs w:val="21"/>
              </w:rPr>
              <w:t>1-1：【理想信念坚定】了解我国国情及国际局势，深刻理解新时代中国特色社会主义思想内涵</w:t>
            </w:r>
            <w:r>
              <w:rPr>
                <w:rFonts w:hint="eastAsia" w:ascii="等线" w:hAnsi="等线" w:eastAsia="等线" w:cs="宋体"/>
                <w:szCs w:val="21"/>
              </w:rPr>
              <w:t>；</w:t>
            </w:r>
            <w:r>
              <w:rPr>
                <w:rFonts w:hint="eastAsia" w:ascii="宋体" w:hAnsi="宋体" w:eastAsia="等线" w:cs="宋体"/>
                <w:szCs w:val="21"/>
              </w:rPr>
              <w:t>认同中国特色社会主义，贯彻党的教育方针，自觉践行社会主义核心价值观</w:t>
            </w:r>
            <w:r>
              <w:rPr>
                <w:rFonts w:hint="eastAsia" w:ascii="等线" w:hAnsi="等线" w:eastAsia="等线" w:cs="宋体"/>
                <w:szCs w:val="21"/>
              </w:rPr>
              <w:t>；认同教师劳动的价值，</w:t>
            </w:r>
            <w:r>
              <w:rPr>
                <w:rFonts w:hint="eastAsia" w:ascii="宋体" w:hAnsi="宋体" w:eastAsia="等线" w:cs="宋体"/>
                <w:szCs w:val="21"/>
              </w:rPr>
              <w:t>树立职业理想，立志成为有理想信念、有道德情操、有扎实学识、有仁爱之心受学生爱戴的好老师。</w:t>
            </w:r>
          </w:p>
        </w:tc>
        <w:tc>
          <w:tcPr>
            <w:tcW w:w="1286" w:type="dxa"/>
            <w:vAlign w:val="center"/>
          </w:tcPr>
          <w:p w14:paraId="6C37655B">
            <w:pPr>
              <w:adjustRightInd w:val="0"/>
              <w:snapToGrid w:val="0"/>
              <w:spacing w:line="276" w:lineRule="auto"/>
              <w:jc w:val="left"/>
              <w:rPr>
                <w:rFonts w:hint="default" w:ascii="宋体" w:hAnsi="宋体" w:eastAsia="宋体" w:cs="Times New Roman"/>
                <w:color w:val="000000"/>
                <w:spacing w:val="2"/>
                <w:kern w:val="0"/>
                <w:szCs w:val="21"/>
                <w:lang w:val="en-US" w:eastAsia="zh-CN"/>
              </w:rPr>
            </w:pPr>
            <w:r>
              <w:rPr>
                <w:rFonts w:hint="eastAsia" w:ascii="宋体" w:hAnsi="宋体" w:eastAsia="宋体" w:cs="Times New Roman"/>
                <w:color w:val="000000"/>
                <w:spacing w:val="2"/>
                <w:kern w:val="0"/>
                <w:szCs w:val="21"/>
                <w:lang w:val="en-US" w:eastAsia="zh-CN"/>
              </w:rPr>
              <w:t>课程目标4</w:t>
            </w:r>
          </w:p>
        </w:tc>
      </w:tr>
      <w:tr w14:paraId="68C79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shd w:val="clear" w:color="auto" w:fill="auto"/>
            <w:vAlign w:val="center"/>
          </w:tcPr>
          <w:p w14:paraId="354E9ADB">
            <w:pPr>
              <w:adjustRightInd w:val="0"/>
              <w:snapToGrid w:val="0"/>
              <w:spacing w:line="276"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毕业要求4</w:t>
            </w:r>
          </w:p>
          <w:p w14:paraId="3D03C93A">
            <w:pPr>
              <w:adjustRightInd w:val="0"/>
              <w:snapToGrid w:val="0"/>
              <w:spacing w:line="276"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教学能力</w:t>
            </w:r>
          </w:p>
        </w:tc>
        <w:tc>
          <w:tcPr>
            <w:tcW w:w="5914" w:type="dxa"/>
            <w:shd w:val="clear" w:color="auto" w:fill="auto"/>
            <w:vAlign w:val="center"/>
          </w:tcPr>
          <w:p w14:paraId="54EBE4F4">
            <w:pPr>
              <w:adjustRightInd w:val="0"/>
              <w:snapToGrid w:val="0"/>
              <w:spacing w:line="276" w:lineRule="auto"/>
              <w:rPr>
                <w:rFonts w:hint="eastAsia" w:ascii="宋体" w:hAnsi="宋体" w:eastAsia="宋体" w:cs="Times New Roman"/>
                <w:color w:val="000000"/>
                <w:kern w:val="0"/>
                <w:sz w:val="21"/>
                <w:szCs w:val="21"/>
                <w:lang w:val="en-US" w:eastAsia="zh-CN" w:bidi="ar-SA"/>
              </w:rPr>
            </w:pPr>
            <w:r>
              <w:rPr>
                <w:rFonts w:ascii="等线" w:hAnsi="等线" w:eastAsia="等线" w:cs="Times New Roman"/>
                <w:color w:val="000000"/>
                <w:kern w:val="0"/>
                <w:szCs w:val="21"/>
              </w:rPr>
              <w:t>指标</w:t>
            </w:r>
            <w:r>
              <w:rPr>
                <w:rFonts w:hint="eastAsia" w:ascii="宋体" w:hAnsi="宋体" w:eastAsia="宋体" w:cs="Times New Roman"/>
                <w:szCs w:val="21"/>
              </w:rPr>
              <w:t>点4-3：</w:t>
            </w:r>
            <w:r>
              <w:rPr>
                <w:rFonts w:ascii="等线" w:hAnsi="等线" w:eastAsia="等线" w:cs="Times New Roman"/>
                <w:color w:val="000000"/>
                <w:szCs w:val="21"/>
              </w:rPr>
              <w:t>【具备教育研究能力】掌握教育研究的基本方法，结合小学教育教学实践进行研究，具有一定的教学研究能力。</w:t>
            </w:r>
          </w:p>
        </w:tc>
        <w:tc>
          <w:tcPr>
            <w:tcW w:w="1286" w:type="dxa"/>
            <w:shd w:val="clear" w:color="auto" w:fill="auto"/>
            <w:vAlign w:val="center"/>
          </w:tcPr>
          <w:p w14:paraId="26E49EDB">
            <w:pPr>
              <w:adjustRightInd w:val="0"/>
              <w:snapToGrid w:val="0"/>
              <w:spacing w:line="276" w:lineRule="auto"/>
              <w:jc w:val="left"/>
              <w:rPr>
                <w:rFonts w:hint="eastAsia"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课程目标1</w:t>
            </w:r>
          </w:p>
          <w:p w14:paraId="175720FE">
            <w:pPr>
              <w:adjustRightInd w:val="0"/>
              <w:snapToGrid w:val="0"/>
              <w:spacing w:line="276" w:lineRule="auto"/>
              <w:jc w:val="left"/>
              <w:rPr>
                <w:rFonts w:hint="eastAsia"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课程目标2</w:t>
            </w:r>
          </w:p>
          <w:p w14:paraId="48E3CF26">
            <w:pPr>
              <w:adjustRightInd w:val="0"/>
              <w:snapToGrid w:val="0"/>
              <w:spacing w:line="276" w:lineRule="auto"/>
              <w:jc w:val="left"/>
              <w:rPr>
                <w:rFonts w:hint="default" w:ascii="宋体" w:hAnsi="宋体" w:eastAsia="宋体" w:cs="Times New Roman"/>
                <w:color w:val="000000"/>
                <w:spacing w:val="2"/>
                <w:kern w:val="0"/>
                <w:sz w:val="21"/>
                <w:szCs w:val="21"/>
                <w:lang w:val="en-US" w:eastAsia="zh-CN" w:bidi="ar-SA"/>
              </w:rPr>
            </w:pPr>
            <w:r>
              <w:rPr>
                <w:rFonts w:hint="eastAsia" w:ascii="宋体" w:hAnsi="宋体" w:eastAsia="宋体" w:cs="Times New Roman"/>
                <w:color w:val="000000"/>
                <w:spacing w:val="2"/>
                <w:kern w:val="0"/>
                <w:sz w:val="21"/>
                <w:szCs w:val="21"/>
                <w:lang w:val="en-US" w:eastAsia="zh-CN" w:bidi="ar-SA"/>
              </w:rPr>
              <w:t>课程目标3</w:t>
            </w:r>
          </w:p>
        </w:tc>
      </w:tr>
      <w:tr w14:paraId="02F61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6F3902F3">
            <w:pPr>
              <w:adjustRightInd w:val="0"/>
              <w:snapToGrid w:val="0"/>
              <w:spacing w:line="276"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毕业要求7</w:t>
            </w:r>
          </w:p>
          <w:p w14:paraId="18B34F07">
            <w:pPr>
              <w:adjustRightInd w:val="0"/>
              <w:snapToGrid w:val="0"/>
              <w:spacing w:line="276"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学会反思</w:t>
            </w:r>
          </w:p>
        </w:tc>
        <w:tc>
          <w:tcPr>
            <w:tcW w:w="5914" w:type="dxa"/>
            <w:vAlign w:val="center"/>
          </w:tcPr>
          <w:p w14:paraId="0BB925EF">
            <w:pPr>
              <w:adjustRightInd w:val="0"/>
              <w:snapToGrid w:val="0"/>
              <w:spacing w:line="276" w:lineRule="auto"/>
              <w:rPr>
                <w:rFonts w:hint="eastAsia" w:ascii="宋体" w:hAnsi="宋体" w:eastAsia="宋体" w:cs="Times New Roman"/>
                <w:szCs w:val="21"/>
              </w:rPr>
            </w:pPr>
            <w:r>
              <w:rPr>
                <w:rFonts w:hint="eastAsia" w:ascii="宋体" w:hAnsi="宋体" w:eastAsia="等线" w:cs="宋体"/>
                <w:kern w:val="0"/>
                <w:szCs w:val="21"/>
              </w:rPr>
              <w:t>指标点</w:t>
            </w:r>
            <w:r>
              <w:rPr>
                <w:rFonts w:hint="eastAsia" w:ascii="宋体" w:hAnsi="宋体" w:eastAsia="等线" w:cs="宋体"/>
                <w:szCs w:val="21"/>
              </w:rPr>
              <w:t>7-1：【教育视野开阔】积极参加基础教育领域的国内外交流，了解国内外基础教育改革发展的动态，具有宽广的教育视野，能够主动适应新时代和教育发展需求。</w:t>
            </w:r>
          </w:p>
          <w:p w14:paraId="04BC003C">
            <w:pPr>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286" w:type="dxa"/>
            <w:vAlign w:val="center"/>
          </w:tcPr>
          <w:p w14:paraId="4F97BB86">
            <w:pPr>
              <w:adjustRightInd w:val="0"/>
              <w:snapToGrid w:val="0"/>
              <w:spacing w:line="276" w:lineRule="auto"/>
              <w:jc w:val="left"/>
              <w:rPr>
                <w:rFonts w:hint="default"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课程目标2</w:t>
            </w:r>
          </w:p>
        </w:tc>
      </w:tr>
      <w:tr w14:paraId="28D20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53ADDED3">
            <w:pPr>
              <w:adjustRightInd w:val="0"/>
              <w:snapToGrid w:val="0"/>
              <w:spacing w:line="276" w:lineRule="auto"/>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毕业要求8</w:t>
            </w:r>
          </w:p>
          <w:p w14:paraId="4A97A0D7">
            <w:pPr>
              <w:adjustRightInd w:val="0"/>
              <w:snapToGrid w:val="0"/>
              <w:spacing w:line="276"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沟通能力</w:t>
            </w:r>
          </w:p>
        </w:tc>
        <w:tc>
          <w:tcPr>
            <w:tcW w:w="5914" w:type="dxa"/>
            <w:vAlign w:val="center"/>
          </w:tcPr>
          <w:p w14:paraId="0F2CCA9B">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szCs w:val="21"/>
              </w:rPr>
              <w:t>指标点8-2：【学会沟通交流】掌握人际沟通合作技能与方法，能与学生和家长以及同行、同事、专家进行有效沟通与合作，实现共同发展。</w:t>
            </w:r>
          </w:p>
        </w:tc>
        <w:tc>
          <w:tcPr>
            <w:tcW w:w="1286" w:type="dxa"/>
            <w:vAlign w:val="center"/>
          </w:tcPr>
          <w:p w14:paraId="4E67E4E7">
            <w:pPr>
              <w:shd w:val="clear" w:color="auto" w:fill="FFFFFF"/>
              <w:adjustRightInd w:val="0"/>
              <w:snapToGrid w:val="0"/>
              <w:spacing w:line="276" w:lineRule="auto"/>
              <w:jc w:val="left"/>
              <w:rPr>
                <w:rFonts w:hint="default" w:ascii="Times New Roman" w:hAnsi="Times New Roman" w:eastAsia="宋体" w:cs="Times New Roman"/>
                <w:color w:val="000000"/>
                <w:szCs w:val="23"/>
                <w:lang w:val="en-US" w:eastAsia="zh-CN"/>
              </w:rPr>
            </w:pPr>
            <w:r>
              <w:rPr>
                <w:rFonts w:hint="eastAsia" w:ascii="Times New Roman" w:hAnsi="Times New Roman" w:eastAsia="宋体" w:cs="Times New Roman"/>
                <w:color w:val="000000"/>
                <w:szCs w:val="23"/>
                <w:lang w:val="en-US" w:eastAsia="zh-CN"/>
              </w:rPr>
              <w:t>课程目标3</w:t>
            </w:r>
          </w:p>
        </w:tc>
      </w:tr>
    </w:tbl>
    <w:p w14:paraId="7297E6FD">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outlineLvl w:val="1"/>
        <w:rPr>
          <w:rFonts w:hint="eastAsia" w:ascii="宋体" w:hAnsi="宋体" w:eastAsia="宋体" w:cs="Times New Roman"/>
          <w:b/>
          <w:color w:val="000000"/>
          <w:sz w:val="24"/>
          <w:szCs w:val="24"/>
        </w:rPr>
      </w:pPr>
      <w:bookmarkStart w:id="3306" w:name="_Toc5628"/>
      <w:r>
        <w:rPr>
          <w:rFonts w:hint="eastAsia" w:ascii="宋体" w:hAnsi="宋体" w:eastAsia="宋体" w:cs="Times New Roman"/>
          <w:b/>
          <w:color w:val="000000"/>
          <w:sz w:val="21"/>
          <w:szCs w:val="21"/>
        </w:rPr>
        <w:t>（三）课程思政目标</w:t>
      </w:r>
      <w:bookmarkEnd w:id="3306"/>
    </w:p>
    <w:p w14:paraId="25655D44">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textAlignment w:val="auto"/>
        <w:rPr>
          <w:rFonts w:hint="eastAsia" w:ascii="Times New Roman" w:hAnsi="Times New Roman" w:eastAsia="宋体" w:cs="Times New Roman"/>
          <w:b w:val="0"/>
          <w:bCs/>
          <w:sz w:val="21"/>
          <w:szCs w:val="21"/>
        </w:rPr>
      </w:pPr>
      <w:r>
        <w:rPr>
          <w:rFonts w:hint="eastAsia" w:ascii="Times New Roman" w:hAnsi="Times New Roman" w:eastAsia="宋体" w:cs="Times New Roman"/>
          <w:b w:val="0"/>
          <w:bCs/>
          <w:sz w:val="21"/>
          <w:szCs w:val="21"/>
        </w:rPr>
        <w:t>坚定理想信念，自觉践行社会主义核心价值观</w:t>
      </w:r>
      <w:r>
        <w:rPr>
          <w:rFonts w:hint="eastAsia"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rPr>
        <w:t>坚守学术道德和科研伦理，践行学术规范，让学术道德和科学精神内化于心、外化于行，</w:t>
      </w:r>
      <w:r>
        <w:rPr>
          <w:rFonts w:hint="eastAsia" w:ascii="Times New Roman" w:hAnsi="Times New Roman" w:eastAsia="宋体" w:cs="Times New Roman"/>
          <w:b w:val="0"/>
          <w:bCs/>
          <w:sz w:val="21"/>
          <w:szCs w:val="21"/>
          <w:lang w:val="en-US" w:eastAsia="zh-CN"/>
        </w:rPr>
        <w:t>自觉维护</w:t>
      </w:r>
      <w:r>
        <w:rPr>
          <w:rFonts w:hint="eastAsia" w:ascii="Times New Roman" w:hAnsi="Times New Roman" w:eastAsia="宋体" w:cs="Times New Roman"/>
          <w:b w:val="0"/>
          <w:bCs/>
          <w:sz w:val="21"/>
          <w:szCs w:val="21"/>
        </w:rPr>
        <w:t>风清气正</w:t>
      </w:r>
      <w:r>
        <w:rPr>
          <w:rFonts w:hint="eastAsia"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rPr>
        <w:t>严谨求是的科研环境</w:t>
      </w:r>
      <w:r>
        <w:rPr>
          <w:rFonts w:hint="eastAsia" w:ascii="Times New Roman" w:hAnsi="Times New Roman" w:eastAsia="宋体" w:cs="Times New Roman"/>
          <w:b w:val="0"/>
          <w:bCs/>
          <w:sz w:val="21"/>
          <w:szCs w:val="21"/>
          <w:lang w:val="en-US" w:eastAsia="zh-CN"/>
        </w:rPr>
        <w:t>。</w:t>
      </w:r>
    </w:p>
    <w:p w14:paraId="60A8904E">
      <w:pPr>
        <w:spacing w:line="360" w:lineRule="auto"/>
        <w:jc w:val="left"/>
        <w:outlineLvl w:val="0"/>
        <w:rPr>
          <w:rFonts w:hint="eastAsia" w:ascii="宋体" w:hAnsi="宋体" w:eastAsia="宋体" w:cs="Times New Roman"/>
          <w:b/>
          <w:color w:val="000000"/>
          <w:sz w:val="24"/>
          <w:szCs w:val="24"/>
        </w:rPr>
      </w:pPr>
      <w:bookmarkStart w:id="3307" w:name="_Toc32681"/>
      <w:bookmarkStart w:id="3308" w:name="_Toc3758"/>
      <w:bookmarkStart w:id="3309" w:name="_Toc6538"/>
      <w:bookmarkStart w:id="3310" w:name="_Toc8451"/>
      <w:bookmarkStart w:id="3311" w:name="_Toc25756"/>
      <w:bookmarkStart w:id="3312" w:name="_Toc8155"/>
      <w:bookmarkStart w:id="3313" w:name="_Toc7979"/>
      <w:r>
        <w:rPr>
          <w:rFonts w:hint="eastAsia" w:ascii="宋体" w:hAnsi="宋体" w:eastAsia="宋体" w:cs="Times New Roman"/>
          <w:b/>
          <w:color w:val="000000"/>
          <w:sz w:val="24"/>
          <w:szCs w:val="24"/>
        </w:rPr>
        <w:t>三、教学内容与预期学习成效</w:t>
      </w:r>
      <w:bookmarkEnd w:id="3307"/>
      <w:bookmarkEnd w:id="3308"/>
      <w:bookmarkEnd w:id="3309"/>
      <w:bookmarkEnd w:id="3310"/>
      <w:bookmarkEnd w:id="3311"/>
      <w:bookmarkEnd w:id="3312"/>
      <w:bookmarkEnd w:id="3313"/>
    </w:p>
    <w:tbl>
      <w:tblPr>
        <w:tblStyle w:val="11"/>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531"/>
        <w:gridCol w:w="1304"/>
        <w:gridCol w:w="3372"/>
        <w:gridCol w:w="1516"/>
        <w:gridCol w:w="451"/>
      </w:tblGrid>
      <w:tr w14:paraId="4B63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8B5320D">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w:t>
            </w:r>
          </w:p>
          <w:p w14:paraId="6ECA832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单元</w:t>
            </w:r>
          </w:p>
        </w:tc>
        <w:tc>
          <w:tcPr>
            <w:tcW w:w="1531" w:type="dxa"/>
            <w:vAlign w:val="center"/>
          </w:tcPr>
          <w:p w14:paraId="680D8F7B">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知识点</w:t>
            </w:r>
          </w:p>
        </w:tc>
        <w:tc>
          <w:tcPr>
            <w:tcW w:w="1304" w:type="dxa"/>
            <w:vAlign w:val="center"/>
          </w:tcPr>
          <w:p w14:paraId="19FE935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对应</w:t>
            </w:r>
          </w:p>
          <w:p w14:paraId="2A261AB7">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372" w:type="dxa"/>
            <w:vAlign w:val="center"/>
          </w:tcPr>
          <w:p w14:paraId="533FC618">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16" w:type="dxa"/>
            <w:vAlign w:val="center"/>
          </w:tcPr>
          <w:p w14:paraId="20F4CCCC">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51" w:type="dxa"/>
            <w:vAlign w:val="center"/>
          </w:tcPr>
          <w:p w14:paraId="691692B2">
            <w:pPr>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学时</w:t>
            </w:r>
          </w:p>
        </w:tc>
      </w:tr>
      <w:tr w14:paraId="65DD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E8A0DF3">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选题</w:t>
            </w:r>
          </w:p>
        </w:tc>
        <w:tc>
          <w:tcPr>
            <w:tcW w:w="1531" w:type="dxa"/>
            <w:vAlign w:val="center"/>
          </w:tcPr>
          <w:p w14:paraId="7B06597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（1）毕业论文写作动员</w:t>
            </w:r>
          </w:p>
          <w:p w14:paraId="2FC3DF3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（2）学生选题，并填写毕业论文选题申报表</w:t>
            </w:r>
          </w:p>
          <w:p w14:paraId="0F7990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（3）文献检索</w:t>
            </w:r>
          </w:p>
        </w:tc>
        <w:tc>
          <w:tcPr>
            <w:tcW w:w="1304" w:type="dxa"/>
            <w:vAlign w:val="center"/>
          </w:tcPr>
          <w:p w14:paraId="45F1052C">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0E2D983F">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72" w:type="dxa"/>
            <w:vAlign w:val="center"/>
          </w:tcPr>
          <w:p w14:paraId="73CF7415">
            <w:pPr>
              <w:numPr>
                <w:ilvl w:val="0"/>
                <w:numId w:val="0"/>
              </w:num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明确毕业论文的重要性，选定指导教师</w:t>
            </w:r>
            <w:r>
              <w:rPr>
                <w:rFonts w:hint="eastAsia" w:ascii="宋体" w:hAnsi="宋体" w:eastAsia="宋体" w:cs="Times New Roman"/>
                <w:color w:val="000000"/>
                <w:szCs w:val="21"/>
                <w:lang w:eastAsia="zh-CN"/>
              </w:rPr>
              <w:t>；</w:t>
            </w:r>
          </w:p>
          <w:p w14:paraId="69DB5842">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与指导老师协商确定论文题目</w:t>
            </w:r>
            <w:r>
              <w:rPr>
                <w:rFonts w:hint="eastAsia" w:ascii="宋体" w:hAnsi="宋体" w:eastAsia="宋体" w:cs="Times New Roman"/>
                <w:color w:val="000000"/>
                <w:szCs w:val="21"/>
                <w:lang w:eastAsia="zh-CN"/>
              </w:rPr>
              <w:t>；</w:t>
            </w:r>
          </w:p>
          <w:p w14:paraId="2069059E">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题目确定后，按要求填报毕业论文选题申报表，并上传至学校毕业论文（设计）系统</w:t>
            </w:r>
            <w:r>
              <w:rPr>
                <w:rFonts w:hint="eastAsia" w:ascii="宋体" w:hAnsi="宋体" w:eastAsia="宋体" w:cs="Times New Roman"/>
                <w:color w:val="000000"/>
                <w:szCs w:val="21"/>
                <w:lang w:eastAsia="zh-CN"/>
              </w:rPr>
              <w:t>；</w:t>
            </w:r>
          </w:p>
          <w:p w14:paraId="408FBED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在指导教师指导下进行文献检索</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撰写文献综述</w:t>
            </w:r>
            <w:r>
              <w:rPr>
                <w:rFonts w:hint="eastAsia" w:ascii="宋体" w:hAnsi="宋体" w:eastAsia="宋体" w:cs="Times New Roman"/>
                <w:color w:val="000000"/>
                <w:szCs w:val="21"/>
              </w:rPr>
              <w:t>。</w:t>
            </w:r>
          </w:p>
        </w:tc>
        <w:tc>
          <w:tcPr>
            <w:tcW w:w="1516" w:type="dxa"/>
            <w:vAlign w:val="center"/>
          </w:tcPr>
          <w:p w14:paraId="49ACA990">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选题申报表</w:t>
            </w:r>
          </w:p>
          <w:p w14:paraId="07368ADB">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文献综述</w:t>
            </w:r>
          </w:p>
        </w:tc>
        <w:tc>
          <w:tcPr>
            <w:tcW w:w="451" w:type="dxa"/>
            <w:vAlign w:val="center"/>
          </w:tcPr>
          <w:p w14:paraId="5AD94643">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p>
        </w:tc>
      </w:tr>
      <w:tr w14:paraId="69EF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7464D9">
            <w:pPr>
              <w:spacing w:line="264" w:lineRule="auto"/>
              <w:jc w:val="center"/>
              <w:rPr>
                <w:rFonts w:hint="eastAsia" w:ascii="宋体" w:hAnsi="宋体" w:eastAsia="宋体" w:cs="Times New Roman"/>
                <w:color w:val="000000"/>
                <w:szCs w:val="21"/>
              </w:rPr>
            </w:pPr>
          </w:p>
        </w:tc>
        <w:tc>
          <w:tcPr>
            <w:tcW w:w="8174" w:type="dxa"/>
            <w:gridSpan w:val="5"/>
            <w:vAlign w:val="center"/>
          </w:tcPr>
          <w:p w14:paraId="109B7A84">
            <w:pPr>
              <w:spacing w:line="269" w:lineRule="auto"/>
              <w:jc w:val="left"/>
              <w:rPr>
                <w:rFonts w:hint="eastAsia" w:ascii="宋体" w:hAnsi="宋体" w:eastAsia="宋体" w:cs="Times New Roman"/>
                <w:color w:val="000000"/>
                <w:szCs w:val="21"/>
              </w:rPr>
            </w:pPr>
            <w:r>
              <w:rPr>
                <w:rFonts w:hint="eastAsia" w:ascii="宋体" w:hAnsi="宋体" w:eastAsia="宋体" w:cs="Times New Roman"/>
                <w:b w:val="0"/>
                <w:bCs/>
                <w:color w:val="000000"/>
                <w:szCs w:val="21"/>
              </w:rPr>
              <w:t>以习近平总书记关于教育工作的重要论述为指导，理解</w:t>
            </w:r>
            <w:r>
              <w:rPr>
                <w:rFonts w:hint="eastAsia" w:ascii="宋体" w:hAnsi="宋体" w:eastAsia="宋体" w:cs="Times New Roman"/>
                <w:b w:val="0"/>
                <w:bCs/>
                <w:color w:val="000000"/>
                <w:szCs w:val="21"/>
                <w:lang w:val="en-US" w:eastAsia="zh-CN"/>
              </w:rPr>
              <w:t>毕业</w:t>
            </w:r>
            <w:r>
              <w:rPr>
                <w:rFonts w:hint="eastAsia" w:ascii="宋体" w:hAnsi="宋体" w:eastAsia="宋体" w:cs="Times New Roman"/>
                <w:b w:val="0"/>
                <w:bCs/>
                <w:color w:val="000000"/>
                <w:szCs w:val="21"/>
              </w:rPr>
              <w:t>论文写作的价值和意义；坚持“立德树人”，树立正确的世界观、价值观和人生观；热爱小学教育，理解基础教育改革的意义，具有一定的创新意识，学会发现和分析教育实践中的问题和基础教育改革的热点和难点问题。</w:t>
            </w:r>
          </w:p>
        </w:tc>
      </w:tr>
      <w:tr w14:paraId="2BEE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6F41481">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开题</w:t>
            </w:r>
          </w:p>
        </w:tc>
        <w:tc>
          <w:tcPr>
            <w:tcW w:w="1531" w:type="dxa"/>
            <w:vAlign w:val="center"/>
          </w:tcPr>
          <w:p w14:paraId="27FDF7B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教师下达毕业论文任务书</w:t>
            </w:r>
          </w:p>
          <w:p w14:paraId="78DC9C8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（2）撰写开题报告</w:t>
            </w:r>
          </w:p>
          <w:p w14:paraId="5A1B929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（3）开题报告会</w:t>
            </w:r>
          </w:p>
        </w:tc>
        <w:tc>
          <w:tcPr>
            <w:tcW w:w="1304" w:type="dxa"/>
            <w:vAlign w:val="center"/>
          </w:tcPr>
          <w:p w14:paraId="62329AB7">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4A4E52C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72" w:type="dxa"/>
            <w:vAlign w:val="center"/>
          </w:tcPr>
          <w:p w14:paraId="432A7B6E">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学习领会</w:t>
            </w:r>
            <w:r>
              <w:rPr>
                <w:rFonts w:hint="eastAsia" w:ascii="宋体" w:hAnsi="宋体" w:eastAsia="宋体" w:cs="Times New Roman"/>
                <w:color w:val="000000"/>
                <w:szCs w:val="21"/>
              </w:rPr>
              <w:t>任务书，明确内容、任务和目标、研究进度及基本要求等</w:t>
            </w:r>
            <w:r>
              <w:rPr>
                <w:rFonts w:hint="eastAsia" w:ascii="宋体" w:hAnsi="宋体" w:eastAsia="宋体" w:cs="Times New Roman"/>
                <w:color w:val="000000"/>
                <w:szCs w:val="21"/>
                <w:lang w:eastAsia="zh-CN"/>
              </w:rPr>
              <w:t>；</w:t>
            </w:r>
          </w:p>
          <w:p w14:paraId="4537F0D7">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写出开题报告，做好开题</w:t>
            </w:r>
            <w:r>
              <w:rPr>
                <w:rFonts w:hint="eastAsia" w:ascii="宋体" w:hAnsi="宋体" w:eastAsia="宋体" w:cs="Times New Roman"/>
                <w:color w:val="000000"/>
                <w:szCs w:val="21"/>
                <w:lang w:val="en-US" w:eastAsia="zh-CN"/>
              </w:rPr>
              <w:t>准备</w:t>
            </w:r>
            <w:r>
              <w:rPr>
                <w:rFonts w:hint="eastAsia" w:ascii="宋体" w:hAnsi="宋体" w:eastAsia="宋体" w:cs="Times New Roman"/>
                <w:color w:val="000000"/>
                <w:szCs w:val="21"/>
                <w:lang w:eastAsia="zh-CN"/>
              </w:rPr>
              <w:t>；</w:t>
            </w:r>
          </w:p>
          <w:p w14:paraId="0FA885E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3.参加开题答辩，</w:t>
            </w:r>
            <w:r>
              <w:rPr>
                <w:rFonts w:hint="eastAsia" w:ascii="宋体" w:hAnsi="宋体" w:eastAsia="宋体" w:cs="Times New Roman"/>
                <w:color w:val="000000"/>
                <w:szCs w:val="21"/>
              </w:rPr>
              <w:t>根据答辩会上老师的意见进行修改，将修改后的开题报告上传至系统。</w:t>
            </w:r>
          </w:p>
        </w:tc>
        <w:tc>
          <w:tcPr>
            <w:tcW w:w="1516" w:type="dxa"/>
            <w:vAlign w:val="center"/>
          </w:tcPr>
          <w:p w14:paraId="77E7C4A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开题报告</w:t>
            </w:r>
          </w:p>
        </w:tc>
        <w:tc>
          <w:tcPr>
            <w:tcW w:w="451" w:type="dxa"/>
            <w:vAlign w:val="center"/>
          </w:tcPr>
          <w:p w14:paraId="0F6ECCAD">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p>
        </w:tc>
      </w:tr>
      <w:tr w14:paraId="47B6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85CFCBA">
            <w:pPr>
              <w:spacing w:line="264" w:lineRule="auto"/>
              <w:jc w:val="center"/>
              <w:rPr>
                <w:rFonts w:hint="eastAsia" w:ascii="宋体" w:hAnsi="宋体" w:eastAsia="宋体" w:cs="Times New Roman"/>
                <w:color w:val="000000"/>
                <w:szCs w:val="21"/>
              </w:rPr>
            </w:pPr>
          </w:p>
        </w:tc>
        <w:tc>
          <w:tcPr>
            <w:tcW w:w="8174" w:type="dxa"/>
            <w:gridSpan w:val="5"/>
            <w:vAlign w:val="center"/>
          </w:tcPr>
          <w:p w14:paraId="5339E6F9">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坚定理想信念，自觉践行社会主义核心价值观；虚心学习，实事求是</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坚守学术道德和科研伦理，践行学术规范</w:t>
            </w:r>
            <w:r>
              <w:rPr>
                <w:rFonts w:hint="eastAsia" w:ascii="宋体" w:hAnsi="宋体" w:eastAsia="宋体" w:cs="Times New Roman"/>
                <w:color w:val="000000"/>
                <w:szCs w:val="21"/>
                <w:lang w:eastAsia="zh-CN"/>
              </w:rPr>
              <w:t>。</w:t>
            </w:r>
          </w:p>
        </w:tc>
      </w:tr>
      <w:tr w14:paraId="1721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CFA628C">
            <w:pPr>
              <w:spacing w:line="264"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研究</w:t>
            </w:r>
          </w:p>
          <w:p w14:paraId="420DD6FB">
            <w:pPr>
              <w:spacing w:line="264"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实施</w:t>
            </w:r>
          </w:p>
        </w:tc>
        <w:tc>
          <w:tcPr>
            <w:tcW w:w="1531" w:type="dxa"/>
            <w:vAlign w:val="center"/>
          </w:tcPr>
          <w:p w14:paraId="02918C7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（1）研究方法的具体运用</w:t>
            </w:r>
          </w:p>
          <w:p w14:paraId="3BC9703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（2）数据的分析及整理</w:t>
            </w:r>
          </w:p>
        </w:tc>
        <w:tc>
          <w:tcPr>
            <w:tcW w:w="1304" w:type="dxa"/>
            <w:vAlign w:val="center"/>
          </w:tcPr>
          <w:p w14:paraId="5A7E0E68">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590EB73C">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2、3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72" w:type="dxa"/>
            <w:vAlign w:val="center"/>
          </w:tcPr>
          <w:p w14:paraId="229E441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1.根据研究计划，通过既定的研究方法，规范科学合理地展开研究；</w:t>
            </w:r>
          </w:p>
          <w:p w14:paraId="17661B9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对研究中搜集的数据进行分析整理；</w:t>
            </w:r>
          </w:p>
          <w:p w14:paraId="6AC24A3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在过程中及时与导师沟通。</w:t>
            </w:r>
          </w:p>
        </w:tc>
        <w:tc>
          <w:tcPr>
            <w:tcW w:w="1516" w:type="dxa"/>
            <w:vAlign w:val="center"/>
          </w:tcPr>
          <w:p w14:paraId="298F898C">
            <w:pPr>
              <w:spacing w:line="269" w:lineRule="auto"/>
              <w:jc w:val="left"/>
              <w:rPr>
                <w:rFonts w:hint="default" w:ascii="宋体" w:hAnsi="宋体" w:eastAsia="宋体" w:cs="Times New Roman"/>
                <w:color w:val="000000"/>
                <w:szCs w:val="21"/>
                <w:lang w:val="en-US" w:eastAsia="zh-CN"/>
              </w:rPr>
            </w:pP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研究过程性资料</w:t>
            </w:r>
          </w:p>
        </w:tc>
        <w:tc>
          <w:tcPr>
            <w:tcW w:w="451" w:type="dxa"/>
            <w:vAlign w:val="center"/>
          </w:tcPr>
          <w:p w14:paraId="33089042">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r>
      <w:tr w14:paraId="5F96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AC4291">
            <w:pPr>
              <w:spacing w:line="264" w:lineRule="auto"/>
              <w:jc w:val="center"/>
              <w:rPr>
                <w:rFonts w:hint="eastAsia" w:ascii="宋体" w:hAnsi="宋体" w:eastAsia="宋体" w:cs="Times New Roman"/>
                <w:color w:val="000000"/>
                <w:szCs w:val="21"/>
              </w:rPr>
            </w:pPr>
          </w:p>
        </w:tc>
        <w:tc>
          <w:tcPr>
            <w:tcW w:w="8174" w:type="dxa"/>
            <w:gridSpan w:val="5"/>
            <w:vAlign w:val="center"/>
          </w:tcPr>
          <w:p w14:paraId="3489856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坚定理想信念，自觉践行社会主义核心价值观；虚心学习，实事求是；坚守学术道德和科研伦理，践行学术规范</w:t>
            </w:r>
            <w:r>
              <w:rPr>
                <w:rFonts w:hint="eastAsia" w:ascii="宋体" w:hAnsi="宋体" w:eastAsia="宋体" w:cs="Times New Roman"/>
                <w:color w:val="000000"/>
                <w:szCs w:val="21"/>
                <w:lang w:eastAsia="zh-CN"/>
              </w:rPr>
              <w:t>，增强批判创新精神，形成科学严谨的工作作风。</w:t>
            </w:r>
          </w:p>
        </w:tc>
      </w:tr>
      <w:tr w14:paraId="3B74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668132C">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论文</w:t>
            </w:r>
          </w:p>
          <w:p w14:paraId="2318A81E">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撰写</w:t>
            </w:r>
          </w:p>
        </w:tc>
        <w:tc>
          <w:tcPr>
            <w:tcW w:w="1531" w:type="dxa"/>
            <w:vAlign w:val="center"/>
          </w:tcPr>
          <w:p w14:paraId="533E9CD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（1）毕业论文的基本构成要素</w:t>
            </w:r>
          </w:p>
          <w:p w14:paraId="51243A4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（2）毕业论文写作方法</w:t>
            </w:r>
          </w:p>
          <w:p w14:paraId="410EE44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（3）毕业论文撰写规范</w:t>
            </w:r>
          </w:p>
        </w:tc>
        <w:tc>
          <w:tcPr>
            <w:tcW w:w="1304" w:type="dxa"/>
            <w:vAlign w:val="center"/>
          </w:tcPr>
          <w:p w14:paraId="7DD743B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w:t>
            </w:r>
          </w:p>
          <w:p w14:paraId="6AD8773F">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1、2、3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72" w:type="dxa"/>
            <w:vAlign w:val="center"/>
          </w:tcPr>
          <w:p w14:paraId="27DD454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1.在教师的指导下按照毕业论文的基本构成要素和《常州工学院毕业设计说明书（论文）基本构成及要求》撰写毕业论文文本，完成一稿、二稿、三稿和定稿，并交指导教师修改、审定。同时上传至系统。</w:t>
            </w:r>
          </w:p>
          <w:p w14:paraId="2EEC5C0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（2）在论文撰写过程中，学生每周填写周进展情况，反思自己在写作过程中遇到的问题等</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并完成中期检查表</w:t>
            </w:r>
            <w:r>
              <w:rPr>
                <w:rFonts w:hint="eastAsia" w:ascii="宋体" w:hAnsi="宋体" w:eastAsia="宋体" w:cs="Times New Roman"/>
                <w:color w:val="000000"/>
                <w:szCs w:val="21"/>
              </w:rPr>
              <w:t>。</w:t>
            </w:r>
          </w:p>
          <w:p w14:paraId="515090E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）学生论文定稿完成后，按相关要求打印装订上交。</w:t>
            </w:r>
          </w:p>
        </w:tc>
        <w:tc>
          <w:tcPr>
            <w:tcW w:w="1516" w:type="dxa"/>
            <w:vAlign w:val="center"/>
          </w:tcPr>
          <w:p w14:paraId="2D26731C">
            <w:pPr>
              <w:spacing w:line="276" w:lineRule="auto"/>
              <w:jc w:val="left"/>
              <w:rPr>
                <w:rFonts w:hint="eastAsia" w:ascii="宋体" w:hAnsi="宋体" w:eastAsia="宋体" w:cs="Times New Roman"/>
                <w:color w:val="000000"/>
                <w:szCs w:val="21"/>
                <w:lang w:val="en-US" w:eastAsia="zh-CN"/>
              </w:rPr>
            </w:pP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中期检查表</w:t>
            </w:r>
          </w:p>
          <w:p w14:paraId="23A51653">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2.论文一稿、二稿、三稿、定稿</w:t>
            </w:r>
          </w:p>
        </w:tc>
        <w:tc>
          <w:tcPr>
            <w:tcW w:w="451" w:type="dxa"/>
            <w:vAlign w:val="center"/>
          </w:tcPr>
          <w:p w14:paraId="43D43160">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p>
        </w:tc>
      </w:tr>
      <w:tr w14:paraId="22E8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B0C87B">
            <w:pPr>
              <w:spacing w:line="276" w:lineRule="auto"/>
              <w:jc w:val="center"/>
              <w:rPr>
                <w:rFonts w:hint="eastAsia" w:ascii="宋体" w:hAnsi="宋体" w:eastAsia="宋体" w:cs="Times New Roman"/>
                <w:color w:val="000000"/>
                <w:szCs w:val="21"/>
              </w:rPr>
            </w:pPr>
          </w:p>
        </w:tc>
        <w:tc>
          <w:tcPr>
            <w:tcW w:w="8174" w:type="dxa"/>
            <w:gridSpan w:val="5"/>
            <w:vAlign w:val="center"/>
          </w:tcPr>
          <w:p w14:paraId="1B02A311">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增强</w:t>
            </w:r>
            <w:r>
              <w:rPr>
                <w:rFonts w:hint="eastAsia" w:ascii="宋体" w:hAnsi="宋体" w:eastAsia="宋体" w:cs="Times New Roman"/>
                <w:color w:val="000000"/>
                <w:szCs w:val="21"/>
              </w:rPr>
              <w:t>培养投身基础教育科学研究的责任感和使命感；形成诚信务实、脚踏实地、实事求是的科研素养；遵守学术规范，恪守学术诚信。</w:t>
            </w:r>
          </w:p>
        </w:tc>
      </w:tr>
      <w:tr w14:paraId="6EB7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950587E">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5.</w:t>
            </w:r>
            <w:r>
              <w:rPr>
                <w:rFonts w:hint="eastAsia" w:ascii="宋体" w:hAnsi="宋体" w:eastAsia="宋体" w:cs="Times New Roman"/>
                <w:color w:val="000000"/>
                <w:szCs w:val="21"/>
                <w:lang w:val="en-US" w:eastAsia="zh-CN"/>
              </w:rPr>
              <w:t>答辩</w:t>
            </w:r>
          </w:p>
        </w:tc>
        <w:tc>
          <w:tcPr>
            <w:tcW w:w="1531" w:type="dxa"/>
            <w:vAlign w:val="center"/>
          </w:tcPr>
          <w:p w14:paraId="4F020A3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（1）论文评阅</w:t>
            </w:r>
          </w:p>
          <w:p w14:paraId="5714A83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（2）论文答辩</w:t>
            </w:r>
          </w:p>
        </w:tc>
        <w:tc>
          <w:tcPr>
            <w:tcW w:w="1304" w:type="dxa"/>
            <w:vAlign w:val="center"/>
          </w:tcPr>
          <w:p w14:paraId="3E0BFC53">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p>
        </w:tc>
        <w:tc>
          <w:tcPr>
            <w:tcW w:w="3372" w:type="dxa"/>
            <w:vAlign w:val="center"/>
          </w:tcPr>
          <w:p w14:paraId="7772F5A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1.定稿论文交由指导教师和评阅教师分别进行审阅，写出评语和评分后交给答辩小组。</w:t>
            </w:r>
          </w:p>
          <w:p w14:paraId="369EC4C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参加</w:t>
            </w:r>
            <w:r>
              <w:rPr>
                <w:rFonts w:hint="eastAsia" w:ascii="宋体" w:hAnsi="宋体" w:eastAsia="宋体" w:cs="Times New Roman"/>
                <w:color w:val="000000"/>
                <w:szCs w:val="21"/>
              </w:rPr>
              <w:t>答辩，报告毕业论文主要内容，并回答答辩小组成员</w:t>
            </w:r>
            <w:r>
              <w:rPr>
                <w:rFonts w:hint="eastAsia" w:ascii="宋体" w:hAnsi="宋体" w:eastAsia="宋体" w:cs="Times New Roman"/>
                <w:color w:val="000000"/>
                <w:szCs w:val="21"/>
                <w:lang w:val="en-US" w:eastAsia="zh-CN"/>
              </w:rPr>
              <w:t>提出的</w:t>
            </w:r>
            <w:r>
              <w:rPr>
                <w:rFonts w:hint="eastAsia" w:ascii="宋体" w:hAnsi="宋体" w:eastAsia="宋体" w:cs="Times New Roman"/>
                <w:color w:val="000000"/>
                <w:szCs w:val="21"/>
              </w:rPr>
              <w:t>问题。</w:t>
            </w:r>
          </w:p>
        </w:tc>
        <w:tc>
          <w:tcPr>
            <w:tcW w:w="1516" w:type="dxa"/>
            <w:vAlign w:val="center"/>
          </w:tcPr>
          <w:p w14:paraId="77D26415">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1.</w:t>
            </w:r>
            <w:r>
              <w:rPr>
                <w:rFonts w:hint="eastAsia" w:ascii="宋体" w:hAnsi="宋体" w:eastAsia="宋体" w:cs="Times New Roman"/>
                <w:color w:val="000000"/>
                <w:szCs w:val="21"/>
                <w:lang w:val="en-US" w:eastAsia="zh-CN"/>
              </w:rPr>
              <w:t>答辩记录</w:t>
            </w:r>
          </w:p>
          <w:p w14:paraId="0DF52D57">
            <w:pPr>
              <w:spacing w:line="276" w:lineRule="auto"/>
              <w:jc w:val="left"/>
              <w:rPr>
                <w:rFonts w:hint="eastAsia" w:ascii="宋体" w:hAnsi="宋体" w:eastAsia="宋体" w:cs="Times New Roman"/>
                <w:color w:val="000000"/>
                <w:szCs w:val="21"/>
                <w:lang w:val="en-US" w:eastAsia="zh-CN"/>
              </w:rPr>
            </w:pPr>
            <w:r>
              <w:rPr>
                <w:rFonts w:ascii="宋体" w:hAnsi="宋体" w:eastAsia="宋体" w:cs="Times New Roman"/>
                <w:color w:val="000000"/>
                <w:szCs w:val="21"/>
              </w:rPr>
              <w:t>2.</w:t>
            </w:r>
            <w:r>
              <w:rPr>
                <w:rFonts w:hint="eastAsia" w:ascii="宋体" w:hAnsi="宋体" w:eastAsia="宋体" w:cs="Times New Roman"/>
                <w:color w:val="000000"/>
                <w:szCs w:val="21"/>
                <w:lang w:val="en-US" w:eastAsia="zh-CN"/>
              </w:rPr>
              <w:t>答辩情况登记表</w:t>
            </w:r>
          </w:p>
          <w:p w14:paraId="085F4848">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3.论文最终稿</w:t>
            </w:r>
          </w:p>
        </w:tc>
        <w:tc>
          <w:tcPr>
            <w:tcW w:w="451" w:type="dxa"/>
            <w:vAlign w:val="center"/>
          </w:tcPr>
          <w:p w14:paraId="77B476F1">
            <w:pPr>
              <w:spacing w:line="276"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1</w:t>
            </w:r>
          </w:p>
        </w:tc>
      </w:tr>
      <w:tr w14:paraId="6992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F813650">
            <w:pPr>
              <w:spacing w:line="276" w:lineRule="auto"/>
              <w:jc w:val="center"/>
              <w:rPr>
                <w:rFonts w:hint="eastAsia" w:ascii="宋体" w:hAnsi="宋体" w:eastAsia="宋体" w:cs="Times New Roman"/>
                <w:color w:val="000000"/>
                <w:szCs w:val="21"/>
              </w:rPr>
            </w:pPr>
          </w:p>
        </w:tc>
        <w:tc>
          <w:tcPr>
            <w:tcW w:w="8174" w:type="dxa"/>
            <w:gridSpan w:val="5"/>
            <w:vAlign w:val="center"/>
          </w:tcPr>
          <w:p w14:paraId="4375E70D">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虚心学习，实事求是，形成诚信务实、脚踏实地、实事求是的科研素养。</w:t>
            </w:r>
          </w:p>
        </w:tc>
      </w:tr>
    </w:tbl>
    <w:p w14:paraId="570CC2CF">
      <w:pPr>
        <w:spacing w:line="360" w:lineRule="auto"/>
        <w:jc w:val="left"/>
        <w:rPr>
          <w:rFonts w:ascii="Times New Roman" w:hAnsi="Times New Roman" w:eastAsia="宋体" w:cs="Times New Roman"/>
          <w:sz w:val="24"/>
          <w:szCs w:val="24"/>
        </w:rPr>
      </w:pPr>
    </w:p>
    <w:p w14:paraId="268D545D">
      <w:pPr>
        <w:spacing w:line="360" w:lineRule="auto"/>
        <w:jc w:val="left"/>
        <w:outlineLvl w:val="0"/>
        <w:rPr>
          <w:rFonts w:ascii="Times New Roman" w:hAnsi="Times New Roman" w:eastAsia="宋体" w:cs="Times New Roman"/>
          <w:sz w:val="24"/>
          <w:szCs w:val="24"/>
        </w:rPr>
      </w:pPr>
      <w:bookmarkStart w:id="3314" w:name="_Toc30944"/>
      <w:bookmarkStart w:id="3315" w:name="_Toc5798"/>
      <w:bookmarkStart w:id="3316" w:name="_Toc17091"/>
      <w:bookmarkStart w:id="3317" w:name="_Toc27984"/>
      <w:bookmarkStart w:id="3318" w:name="_Toc27244"/>
      <w:bookmarkStart w:id="3319" w:name="_Toc26294"/>
      <w:bookmarkStart w:id="3320" w:name="_Toc4575"/>
      <w:r>
        <w:rPr>
          <w:rFonts w:hint="eastAsia" w:ascii="宋体" w:hAnsi="宋体" w:eastAsia="宋体" w:cs="Times New Roman"/>
          <w:b/>
          <w:color w:val="000000"/>
          <w:sz w:val="24"/>
          <w:szCs w:val="24"/>
        </w:rPr>
        <w:t>四、目标评价与成绩评定</w:t>
      </w:r>
      <w:bookmarkEnd w:id="3314"/>
      <w:bookmarkEnd w:id="3315"/>
      <w:bookmarkEnd w:id="3316"/>
      <w:bookmarkEnd w:id="3317"/>
      <w:bookmarkEnd w:id="3318"/>
      <w:bookmarkEnd w:id="3319"/>
      <w:bookmarkEnd w:id="3320"/>
    </w:p>
    <w:p w14:paraId="6FDFBAC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BB6119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F8BC16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493"/>
        <w:gridCol w:w="2675"/>
        <w:gridCol w:w="1125"/>
      </w:tblGrid>
      <w:tr w14:paraId="30DB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938327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168" w:type="dxa"/>
            <w:gridSpan w:val="2"/>
            <w:vAlign w:val="center"/>
          </w:tcPr>
          <w:p w14:paraId="43DC86ED">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25" w:type="dxa"/>
            <w:vMerge w:val="restart"/>
            <w:vAlign w:val="center"/>
          </w:tcPr>
          <w:p w14:paraId="624FEEFE">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02E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14B6755">
            <w:pPr>
              <w:spacing w:line="360" w:lineRule="auto"/>
              <w:jc w:val="center"/>
              <w:rPr>
                <w:rFonts w:hint="eastAsia" w:ascii="宋体" w:hAnsi="宋体" w:eastAsia="宋体" w:cs="Times New Roman"/>
                <w:szCs w:val="21"/>
              </w:rPr>
            </w:pPr>
          </w:p>
        </w:tc>
        <w:tc>
          <w:tcPr>
            <w:tcW w:w="3493" w:type="dxa"/>
            <w:vAlign w:val="center"/>
          </w:tcPr>
          <w:p w14:paraId="77FBBBB9">
            <w:pPr>
              <w:spacing w:line="360" w:lineRule="auto"/>
              <w:jc w:val="center"/>
              <w:rPr>
                <w:rFonts w:hint="eastAsia" w:ascii="宋体" w:hAnsi="宋体" w:eastAsia="宋体" w:cs="Times New Roman"/>
                <w:szCs w:val="21"/>
                <w:lang w:eastAsia="zh-CN"/>
              </w:rPr>
            </w:pPr>
            <w:r>
              <w:rPr>
                <w:rFonts w:hint="eastAsia" w:ascii="宋体" w:hAnsi="宋体" w:eastAsia="宋体" w:cs="Times New Roman"/>
                <w:szCs w:val="21"/>
                <w:lang w:val="en-US" w:eastAsia="zh-CN"/>
              </w:rPr>
              <w:t>毕业论文</w:t>
            </w:r>
          </w:p>
        </w:tc>
        <w:tc>
          <w:tcPr>
            <w:tcW w:w="2675" w:type="dxa"/>
            <w:vAlign w:val="center"/>
          </w:tcPr>
          <w:p w14:paraId="1B9E73DB">
            <w:pPr>
              <w:spacing w:line="360" w:lineRule="auto"/>
              <w:jc w:val="center"/>
              <w:rPr>
                <w:rFonts w:hint="eastAsia" w:ascii="宋体" w:hAnsi="宋体" w:eastAsia="宋体" w:cs="Times New Roman"/>
                <w:szCs w:val="21"/>
                <w:lang w:eastAsia="zh-CN"/>
              </w:rPr>
            </w:pPr>
            <w:r>
              <w:rPr>
                <w:rFonts w:hint="eastAsia" w:ascii="宋体" w:hAnsi="宋体" w:eastAsia="宋体" w:cs="Times New Roman"/>
                <w:szCs w:val="21"/>
                <w:lang w:val="en-US" w:eastAsia="zh-CN"/>
              </w:rPr>
              <w:t>论文答辩</w:t>
            </w:r>
          </w:p>
        </w:tc>
        <w:tc>
          <w:tcPr>
            <w:tcW w:w="1125" w:type="dxa"/>
            <w:vMerge w:val="continue"/>
            <w:vAlign w:val="center"/>
          </w:tcPr>
          <w:p w14:paraId="7FBAB557">
            <w:pPr>
              <w:spacing w:line="360" w:lineRule="auto"/>
              <w:jc w:val="center"/>
              <w:rPr>
                <w:rFonts w:hint="eastAsia" w:ascii="宋体" w:hAnsi="宋体" w:eastAsia="宋体" w:cs="Times New Roman"/>
                <w:szCs w:val="21"/>
              </w:rPr>
            </w:pPr>
          </w:p>
        </w:tc>
      </w:tr>
      <w:tr w14:paraId="3BB4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A2ADA3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493" w:type="dxa"/>
            <w:vAlign w:val="center"/>
          </w:tcPr>
          <w:p w14:paraId="456AD0A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676A6FB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363A486D">
            <w:pPr>
              <w:spacing w:line="360" w:lineRule="auto"/>
              <w:jc w:val="center"/>
              <w:rPr>
                <w:rFonts w:hint="default" w:ascii="宋体" w:hAnsi="宋体" w:eastAsia="宋体" w:cs="Times New Roman"/>
                <w:szCs w:val="21"/>
                <w:lang w:val="en-US"/>
              </w:rPr>
            </w:pPr>
            <w:r>
              <w:rPr>
                <w:rFonts w:hint="eastAsia" w:ascii="宋体" w:hAnsi="宋体" w:eastAsia="宋体" w:cs="Times New Roman"/>
                <w:szCs w:val="21"/>
                <w:lang w:val="en-US" w:eastAsia="zh-CN"/>
              </w:rPr>
              <w:t>35</w:t>
            </w:r>
          </w:p>
        </w:tc>
      </w:tr>
      <w:tr w14:paraId="43DF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429569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493" w:type="dxa"/>
            <w:vAlign w:val="center"/>
          </w:tcPr>
          <w:p w14:paraId="285498A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65748CA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5301B5D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35</w:t>
            </w:r>
          </w:p>
        </w:tc>
      </w:tr>
      <w:tr w14:paraId="0665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CEB1E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93" w:type="dxa"/>
            <w:vAlign w:val="center"/>
          </w:tcPr>
          <w:p w14:paraId="4B1CA74C">
            <w:pPr>
              <w:spacing w:line="360" w:lineRule="auto"/>
              <w:jc w:val="center"/>
              <w:rPr>
                <w:rFonts w:hint="eastAsia" w:ascii="宋体" w:hAnsi="宋体" w:eastAsia="宋体" w:cs="Times New Roman"/>
                <w:szCs w:val="21"/>
              </w:rPr>
            </w:pPr>
          </w:p>
        </w:tc>
        <w:tc>
          <w:tcPr>
            <w:tcW w:w="2675" w:type="dxa"/>
            <w:vAlign w:val="center"/>
          </w:tcPr>
          <w:p w14:paraId="12CF149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054376E1">
            <w:pPr>
              <w:spacing w:line="360" w:lineRule="auto"/>
              <w:jc w:val="center"/>
              <w:rPr>
                <w:rFonts w:hint="default" w:ascii="宋体" w:hAnsi="宋体" w:eastAsia="宋体" w:cs="Times New Roman"/>
                <w:szCs w:val="21"/>
                <w:lang w:val="en-US"/>
              </w:rPr>
            </w:pPr>
            <w:r>
              <w:rPr>
                <w:rFonts w:hint="eastAsia" w:ascii="宋体" w:hAnsi="宋体" w:eastAsia="宋体" w:cs="Times New Roman"/>
                <w:szCs w:val="21"/>
                <w:lang w:val="en-US" w:eastAsia="zh-CN"/>
              </w:rPr>
              <w:t>15</w:t>
            </w:r>
          </w:p>
        </w:tc>
      </w:tr>
      <w:tr w14:paraId="2718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5D246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课程目标4</w:t>
            </w:r>
          </w:p>
        </w:tc>
        <w:tc>
          <w:tcPr>
            <w:tcW w:w="3493" w:type="dxa"/>
            <w:vAlign w:val="center"/>
          </w:tcPr>
          <w:p w14:paraId="0E21A05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059A1C72">
            <w:pPr>
              <w:spacing w:line="360" w:lineRule="auto"/>
              <w:jc w:val="center"/>
              <w:rPr>
                <w:rFonts w:hint="eastAsia" w:ascii="宋体" w:hAnsi="宋体" w:eastAsia="宋体" w:cs="Times New Roman"/>
                <w:szCs w:val="21"/>
              </w:rPr>
            </w:pPr>
          </w:p>
        </w:tc>
        <w:tc>
          <w:tcPr>
            <w:tcW w:w="1125" w:type="dxa"/>
            <w:vAlign w:val="center"/>
          </w:tcPr>
          <w:p w14:paraId="1390043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15</w:t>
            </w:r>
          </w:p>
        </w:tc>
      </w:tr>
      <w:tr w14:paraId="133B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CA4CF92">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3493" w:type="dxa"/>
            <w:vAlign w:val="center"/>
          </w:tcPr>
          <w:p w14:paraId="0CB39F86">
            <w:pPr>
              <w:spacing w:line="360" w:lineRule="auto"/>
              <w:jc w:val="center"/>
              <w:rPr>
                <w:rFonts w:hint="default" w:ascii="宋体" w:hAnsi="宋体" w:eastAsia="宋体" w:cs="Times New Roman"/>
                <w:szCs w:val="21"/>
                <w:lang w:val="en-US" w:eastAsia="zh-CN"/>
              </w:rPr>
            </w:pPr>
          </w:p>
        </w:tc>
        <w:tc>
          <w:tcPr>
            <w:tcW w:w="2675" w:type="dxa"/>
            <w:vAlign w:val="center"/>
          </w:tcPr>
          <w:p w14:paraId="18CC6A81">
            <w:pPr>
              <w:spacing w:line="360" w:lineRule="auto"/>
              <w:jc w:val="center"/>
              <w:rPr>
                <w:rFonts w:hint="default" w:ascii="宋体" w:hAnsi="宋体" w:eastAsia="宋体" w:cs="Times New Roman"/>
                <w:szCs w:val="21"/>
                <w:lang w:val="en-US" w:eastAsia="zh-CN"/>
              </w:rPr>
            </w:pPr>
          </w:p>
        </w:tc>
        <w:tc>
          <w:tcPr>
            <w:tcW w:w="1125" w:type="dxa"/>
            <w:vAlign w:val="center"/>
          </w:tcPr>
          <w:p w14:paraId="4E714A4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8A199F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6E8D52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EA752F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1"/>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332"/>
        <w:gridCol w:w="750"/>
      </w:tblGrid>
      <w:tr w14:paraId="3DF4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8813B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332" w:type="dxa"/>
            <w:vAlign w:val="center"/>
          </w:tcPr>
          <w:p w14:paraId="1F5A681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50" w:type="dxa"/>
            <w:vAlign w:val="center"/>
          </w:tcPr>
          <w:p w14:paraId="39EAAFF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5A4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04C0B8">
            <w:pP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毕业论文</w:t>
            </w:r>
          </w:p>
        </w:tc>
        <w:tc>
          <w:tcPr>
            <w:tcW w:w="7332" w:type="dxa"/>
            <w:vAlign w:val="center"/>
          </w:tcPr>
          <w:p w14:paraId="6B618DC2">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由指导教师和评阅教师对学生的毕业论文进行评价。</w:t>
            </w:r>
          </w:p>
          <w:p w14:paraId="4687E5DC">
            <w:pPr>
              <w:spacing w:line="264" w:lineRule="auto"/>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指导教师着重从学生的日常表现、独立工作能力和论文完成质量等方面给出考核评语和评定成绩（百分制），评阅成绩占毕业论文的60%；</w:t>
            </w:r>
          </w:p>
          <w:p w14:paraId="613F02E9">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评阅教师着重从毕业设计选题的意义和价值、论文的工作量和难度、学生论文完成的水平、论文的撰写质量等方面进行考评，并给出考核评语和评定成绩（百分制），评阅成绩占毕业论文的40%</w:t>
            </w:r>
          </w:p>
        </w:tc>
        <w:tc>
          <w:tcPr>
            <w:tcW w:w="750" w:type="dxa"/>
            <w:vAlign w:val="center"/>
          </w:tcPr>
          <w:p w14:paraId="2251F694">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5177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C65871">
            <w:pP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论文答辩</w:t>
            </w:r>
          </w:p>
        </w:tc>
        <w:tc>
          <w:tcPr>
            <w:tcW w:w="7332" w:type="dxa"/>
            <w:vAlign w:val="center"/>
          </w:tcPr>
          <w:p w14:paraId="6D0605D5">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由答辩委员会针对论文整体情况、学生陈述问题的清楚程度以及对专家提出问题的回答情况给出评阅成绩（百分制）。</w:t>
            </w:r>
          </w:p>
        </w:tc>
        <w:tc>
          <w:tcPr>
            <w:tcW w:w="750" w:type="dxa"/>
            <w:vAlign w:val="center"/>
          </w:tcPr>
          <w:p w14:paraId="788DFE5B">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1080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8CF091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332" w:type="dxa"/>
            <w:vAlign w:val="center"/>
          </w:tcPr>
          <w:p w14:paraId="117D181E">
            <w:pPr>
              <w:jc w:val="left"/>
              <w:rPr>
                <w:rFonts w:ascii="Times New Roman" w:hAnsi="Times New Roman" w:eastAsia="宋体" w:cs="Times New Roman"/>
                <w:szCs w:val="21"/>
              </w:rPr>
            </w:pPr>
          </w:p>
        </w:tc>
        <w:tc>
          <w:tcPr>
            <w:tcW w:w="750" w:type="dxa"/>
            <w:vAlign w:val="center"/>
          </w:tcPr>
          <w:p w14:paraId="36EC2C6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D05B842">
      <w:p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7814A8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F7DA246">
      <w:pPr>
        <w:spacing w:line="360" w:lineRule="auto"/>
        <w:jc w:val="left"/>
        <w:rPr>
          <w:rFonts w:ascii="Times New Roman" w:hAnsi="Times New Roman" w:eastAsia="宋体" w:cs="Times New Roman"/>
          <w:b/>
          <w:bCs/>
          <w:sz w:val="24"/>
          <w:szCs w:val="24"/>
        </w:rPr>
      </w:pPr>
      <w:r>
        <w:rPr>
          <w:rFonts w:ascii="宋体" w:hAnsi="宋体" w:eastAsia="宋体" w:cs="Times New Roman"/>
          <w:color w:val="000000"/>
          <w:szCs w:val="21"/>
        </w:rPr>
        <w:object>
          <v:shape id="_x0000_i1089" o:spt="75" type="#_x0000_t75" style="height:25pt;width:404.5pt;" o:ole="t" filled="f" o:preferrelative="t" stroked="f" coordsize="21600,21600">
            <v:path/>
            <v:fill on="f" focussize="0,0"/>
            <v:stroke on="f" joinstyle="miter"/>
            <v:imagedata r:id="rId5" o:title=""/>
            <o:lock v:ext="edit" aspectratio="t"/>
            <w10:wrap type="none"/>
            <w10:anchorlock/>
          </v:shape>
          <o:OLEObject Type="Embed" ProgID="Equation.3" ShapeID="_x0000_i1089" DrawAspect="Content" ObjectID="_1468075789" r:id="rId72">
            <o:LockedField>false</o:LockedField>
          </o:OLEObject>
        </w:object>
      </w: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、有关说明</w:t>
      </w:r>
    </w:p>
    <w:p w14:paraId="373DA36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0E7695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根据学生选题情况、论文写作过程中的情况、论文质量、答辩情况等，及时对毕业论文过程中的不足之处进行改进，并在下一轮教学中整改完善，确保相应毕业要求指标点的达成。</w:t>
      </w:r>
    </w:p>
    <w:p w14:paraId="0BF1395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157E34A8">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color w:val="000000"/>
          <w:szCs w:val="21"/>
        </w:rPr>
        <w:t>张肇丰.从实践到文本 中小学教师科研写作方法导论（第3版）.上海：华东师范大学出版社，2021.</w:t>
      </w:r>
    </w:p>
    <w:p w14:paraId="0201CA9B">
      <w:pPr>
        <w:tabs>
          <w:tab w:val="left" w:pos="374"/>
        </w:tabs>
        <w:spacing w:line="360" w:lineRule="auto"/>
        <w:jc w:val="left"/>
        <w:rPr>
          <w:rFonts w:hint="eastAsia" w:ascii="Times New Roman" w:hAnsi="Times New Roman" w:eastAsia="宋体" w:cs="Times New Roman"/>
          <w:b/>
          <w:szCs w:val="21"/>
          <w:lang w:val="en-US" w:eastAsia="zh-CN"/>
        </w:rPr>
      </w:pPr>
      <w:r>
        <w:rPr>
          <w:rFonts w:hint="eastAsia" w:ascii="Times New Roman" w:hAnsi="Times New Roman" w:eastAsia="宋体" w:cs="Times New Roman"/>
          <w:b/>
          <w:szCs w:val="21"/>
        </w:rPr>
        <w:t>（三）参考</w:t>
      </w:r>
      <w:r>
        <w:rPr>
          <w:rFonts w:hint="eastAsia" w:ascii="Times New Roman" w:hAnsi="Times New Roman" w:eastAsia="宋体" w:cs="Times New Roman"/>
          <w:b/>
          <w:szCs w:val="21"/>
          <w:lang w:val="en-US" w:eastAsia="zh-CN"/>
        </w:rPr>
        <w:t>书目</w:t>
      </w:r>
    </w:p>
    <w:p w14:paraId="0D5A6904">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1.</w:t>
      </w:r>
      <w:r>
        <w:rPr>
          <w:rFonts w:hint="eastAsia" w:ascii="Times New Roman" w:hAnsi="Times New Roman" w:eastAsia="宋体" w:cs="Times New Roman"/>
          <w:bCs/>
          <w:color w:val="000000"/>
          <w:szCs w:val="21"/>
        </w:rPr>
        <w:t>常州工学院毕业设计（论文）工作管理办法</w:t>
      </w:r>
    </w:p>
    <w:p w14:paraId="7085CDFF">
      <w:pPr>
        <w:ind w:firstLine="420" w:firstLineChars="20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lang w:val="en-US" w:eastAsia="zh-CN"/>
        </w:rPr>
        <w:t>2.</w:t>
      </w:r>
      <w:r>
        <w:rPr>
          <w:rFonts w:hint="eastAsia" w:ascii="Times New Roman" w:hAnsi="Times New Roman" w:eastAsia="宋体" w:cs="Times New Roman"/>
          <w:bCs/>
          <w:color w:val="000000"/>
          <w:szCs w:val="21"/>
        </w:rPr>
        <w:t>常州工学院教育与人文学院小学教育专业毕业论文指导书</w:t>
      </w:r>
    </w:p>
    <w:p w14:paraId="38F9A903">
      <w:pPr>
        <w:ind w:firstLine="420" w:firstLineChars="200"/>
        <w:rPr>
          <w:rFonts w:hint="eastAsia" w:ascii="等线" w:hAnsi="等线" w:eastAsia="等线" w:cs="Times New Roman"/>
          <w:szCs w:val="22"/>
        </w:rPr>
      </w:pPr>
      <w:r>
        <w:rPr>
          <w:rFonts w:hint="eastAsia" w:ascii="Times New Roman" w:hAnsi="Times New Roman" w:eastAsia="宋体" w:cs="Times New Roman"/>
          <w:bCs/>
          <w:color w:val="000000"/>
          <w:szCs w:val="21"/>
          <w:lang w:val="en-US" w:eastAsia="zh-CN"/>
        </w:rPr>
        <w:t>3.</w:t>
      </w:r>
      <w:r>
        <w:rPr>
          <w:rFonts w:hint="eastAsia" w:ascii="Times New Roman" w:hAnsi="Times New Roman" w:eastAsia="宋体" w:cs="Times New Roman"/>
          <w:bCs/>
          <w:color w:val="000000"/>
          <w:szCs w:val="21"/>
        </w:rPr>
        <w:t>其他资料由各指导教师根据题目给定</w:t>
      </w:r>
    </w:p>
    <w:p w14:paraId="25BEC91C">
      <w:pPr>
        <w:rPr>
          <w:rFonts w:hint="eastAsia" w:ascii="等线" w:hAnsi="等线" w:eastAsia="等线" w:cs="Times New Roman"/>
          <w:szCs w:val="22"/>
        </w:rPr>
      </w:pPr>
    </w:p>
    <w:p w14:paraId="34A8F83D">
      <w:pPr>
        <w:rPr>
          <w:rFonts w:hint="eastAsia" w:ascii="等线" w:hAnsi="等线" w:eastAsia="等线" w:cs="Times New Roman"/>
          <w:szCs w:val="22"/>
        </w:rPr>
      </w:pPr>
    </w:p>
    <w:p w14:paraId="71282112">
      <w:pPr>
        <w:rPr>
          <w:rFonts w:hint="eastAsia" w:ascii="等线" w:hAnsi="等线" w:eastAsia="等线" w:cs="Times New Roman"/>
          <w:szCs w:val="22"/>
        </w:rPr>
      </w:pPr>
    </w:p>
    <w:p w14:paraId="3C8505AF">
      <w:pPr>
        <w:spacing w:line="360" w:lineRule="auto"/>
        <w:ind w:right="1440"/>
        <w:jc w:val="righ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 xml:space="preserve">执 笔 人： </w:t>
      </w:r>
      <w:r>
        <w:rPr>
          <w:rFonts w:hint="eastAsia" w:ascii="Times New Roman" w:hAnsi="Times New Roman" w:eastAsia="宋体" w:cs="Times New Roman"/>
          <w:sz w:val="24"/>
          <w:szCs w:val="24"/>
          <w:lang w:val="en-US" w:eastAsia="zh-CN"/>
        </w:rPr>
        <w:t>姚玉香</w:t>
      </w:r>
    </w:p>
    <w:p w14:paraId="4C587A89">
      <w:pPr>
        <w:spacing w:line="360" w:lineRule="auto"/>
        <w:ind w:right="144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审 定 人： 王</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健</w:t>
      </w:r>
    </w:p>
    <w:p w14:paraId="2C93FEEA">
      <w:pPr>
        <w:spacing w:line="360" w:lineRule="auto"/>
        <w:ind w:right="14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 张志欣</w:t>
      </w:r>
    </w:p>
    <w:p w14:paraId="553384F5">
      <w:pPr>
        <w:spacing w:line="360" w:lineRule="auto"/>
        <w:ind w:right="24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58FC1BD0">
      <w:pPr>
        <w:rPr>
          <w:rFonts w:hint="eastAsia" w:ascii="等线" w:hAnsi="等线" w:eastAsia="等线" w:cs="Times New Roman"/>
          <w:kern w:val="0"/>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95A62"/>
    <w:multiLevelType w:val="singleLevel"/>
    <w:tmpl w:val="81E95A62"/>
    <w:lvl w:ilvl="0" w:tentative="0">
      <w:start w:val="1"/>
      <w:numFmt w:val="chineseCounting"/>
      <w:suff w:val="nothing"/>
      <w:lvlText w:val="%1、"/>
      <w:lvlJc w:val="left"/>
      <w:rPr>
        <w:rFonts w:hint="eastAsia"/>
      </w:rPr>
    </w:lvl>
  </w:abstractNum>
  <w:abstractNum w:abstractNumId="1">
    <w:nsid w:val="85624BFF"/>
    <w:multiLevelType w:val="singleLevel"/>
    <w:tmpl w:val="85624BFF"/>
    <w:lvl w:ilvl="0" w:tentative="0">
      <w:start w:val="1"/>
      <w:numFmt w:val="decimal"/>
      <w:lvlText w:val="%1."/>
      <w:lvlJc w:val="left"/>
      <w:pPr>
        <w:tabs>
          <w:tab w:val="left" w:pos="312"/>
        </w:tabs>
      </w:pPr>
    </w:lvl>
  </w:abstractNum>
  <w:abstractNum w:abstractNumId="2">
    <w:nsid w:val="8B7EFE20"/>
    <w:multiLevelType w:val="singleLevel"/>
    <w:tmpl w:val="8B7EFE20"/>
    <w:lvl w:ilvl="0" w:tentative="0">
      <w:start w:val="1"/>
      <w:numFmt w:val="decimal"/>
      <w:suff w:val="nothing"/>
      <w:lvlText w:val="（%1）"/>
      <w:lvlJc w:val="left"/>
    </w:lvl>
  </w:abstractNum>
  <w:abstractNum w:abstractNumId="3">
    <w:nsid w:val="8C6D6CD6"/>
    <w:multiLevelType w:val="singleLevel"/>
    <w:tmpl w:val="8C6D6CD6"/>
    <w:lvl w:ilvl="0" w:tentative="0">
      <w:start w:val="1"/>
      <w:numFmt w:val="decimal"/>
      <w:lvlText w:val="%1."/>
      <w:lvlJc w:val="left"/>
      <w:pPr>
        <w:tabs>
          <w:tab w:val="left" w:pos="312"/>
        </w:tabs>
      </w:pPr>
    </w:lvl>
  </w:abstractNum>
  <w:abstractNum w:abstractNumId="4">
    <w:nsid w:val="8DFA43CB"/>
    <w:multiLevelType w:val="singleLevel"/>
    <w:tmpl w:val="8DFA43CB"/>
    <w:lvl w:ilvl="0" w:tentative="0">
      <w:start w:val="1"/>
      <w:numFmt w:val="decimal"/>
      <w:lvlText w:val="%1."/>
      <w:lvlJc w:val="left"/>
      <w:pPr>
        <w:tabs>
          <w:tab w:val="left" w:pos="312"/>
        </w:tabs>
      </w:pPr>
    </w:lvl>
  </w:abstractNum>
  <w:abstractNum w:abstractNumId="5">
    <w:nsid w:val="92A17B83"/>
    <w:multiLevelType w:val="singleLevel"/>
    <w:tmpl w:val="92A17B83"/>
    <w:lvl w:ilvl="0" w:tentative="0">
      <w:start w:val="1"/>
      <w:numFmt w:val="decimal"/>
      <w:lvlText w:val="%1."/>
      <w:lvlJc w:val="left"/>
      <w:pPr>
        <w:tabs>
          <w:tab w:val="left" w:pos="312"/>
        </w:tabs>
      </w:pPr>
    </w:lvl>
  </w:abstractNum>
  <w:abstractNum w:abstractNumId="6">
    <w:nsid w:val="931BD83D"/>
    <w:multiLevelType w:val="singleLevel"/>
    <w:tmpl w:val="931BD83D"/>
    <w:lvl w:ilvl="0" w:tentative="0">
      <w:start w:val="1"/>
      <w:numFmt w:val="decimal"/>
      <w:suff w:val="nothing"/>
      <w:lvlText w:val="（%1）"/>
      <w:lvlJc w:val="left"/>
    </w:lvl>
  </w:abstractNum>
  <w:abstractNum w:abstractNumId="7">
    <w:nsid w:val="9440CD43"/>
    <w:multiLevelType w:val="singleLevel"/>
    <w:tmpl w:val="9440CD43"/>
    <w:lvl w:ilvl="0" w:tentative="0">
      <w:start w:val="1"/>
      <w:numFmt w:val="decimal"/>
      <w:suff w:val="nothing"/>
      <w:lvlText w:val="%1、"/>
      <w:lvlJc w:val="left"/>
    </w:lvl>
  </w:abstractNum>
  <w:abstractNum w:abstractNumId="8">
    <w:nsid w:val="96B481ED"/>
    <w:multiLevelType w:val="singleLevel"/>
    <w:tmpl w:val="96B481ED"/>
    <w:lvl w:ilvl="0" w:tentative="0">
      <w:start w:val="1"/>
      <w:numFmt w:val="decimal"/>
      <w:suff w:val="nothing"/>
      <w:lvlText w:val="（%1）"/>
      <w:lvlJc w:val="left"/>
    </w:lvl>
  </w:abstractNum>
  <w:abstractNum w:abstractNumId="9">
    <w:nsid w:val="96F3BB4A"/>
    <w:multiLevelType w:val="singleLevel"/>
    <w:tmpl w:val="96F3BB4A"/>
    <w:lvl w:ilvl="0" w:tentative="0">
      <w:start w:val="2"/>
      <w:numFmt w:val="chineseCounting"/>
      <w:suff w:val="nothing"/>
      <w:lvlText w:val="%1、"/>
      <w:lvlJc w:val="left"/>
      <w:rPr>
        <w:rFonts w:hint="eastAsia"/>
      </w:rPr>
    </w:lvl>
  </w:abstractNum>
  <w:abstractNum w:abstractNumId="10">
    <w:nsid w:val="A177FFB7"/>
    <w:multiLevelType w:val="singleLevel"/>
    <w:tmpl w:val="A177FFB7"/>
    <w:lvl w:ilvl="0" w:tentative="0">
      <w:start w:val="1"/>
      <w:numFmt w:val="decimal"/>
      <w:suff w:val="nothing"/>
      <w:lvlText w:val="（%1）"/>
      <w:lvlJc w:val="left"/>
    </w:lvl>
  </w:abstractNum>
  <w:abstractNum w:abstractNumId="11">
    <w:nsid w:val="A6962EEB"/>
    <w:multiLevelType w:val="singleLevel"/>
    <w:tmpl w:val="A6962EEB"/>
    <w:lvl w:ilvl="0" w:tentative="0">
      <w:start w:val="2"/>
      <w:numFmt w:val="chineseCounting"/>
      <w:suff w:val="nothing"/>
      <w:lvlText w:val="（%1）"/>
      <w:lvlJc w:val="left"/>
      <w:rPr>
        <w:rFonts w:hint="eastAsia"/>
      </w:rPr>
    </w:lvl>
  </w:abstractNum>
  <w:abstractNum w:abstractNumId="12">
    <w:nsid w:val="AA3F8CA6"/>
    <w:multiLevelType w:val="singleLevel"/>
    <w:tmpl w:val="AA3F8CA6"/>
    <w:lvl w:ilvl="0" w:tentative="0">
      <w:start w:val="1"/>
      <w:numFmt w:val="decimal"/>
      <w:suff w:val="nothing"/>
      <w:lvlText w:val="（%1）"/>
      <w:lvlJc w:val="left"/>
    </w:lvl>
  </w:abstractNum>
  <w:abstractNum w:abstractNumId="13">
    <w:nsid w:val="AE0F6C2F"/>
    <w:multiLevelType w:val="singleLevel"/>
    <w:tmpl w:val="AE0F6C2F"/>
    <w:lvl w:ilvl="0" w:tentative="0">
      <w:start w:val="2"/>
      <w:numFmt w:val="chineseCounting"/>
      <w:suff w:val="nothing"/>
      <w:lvlText w:val="（%1）"/>
      <w:lvlJc w:val="left"/>
      <w:rPr>
        <w:rFonts w:hint="eastAsia"/>
      </w:rPr>
    </w:lvl>
  </w:abstractNum>
  <w:abstractNum w:abstractNumId="14">
    <w:nsid w:val="AEB7DC9A"/>
    <w:multiLevelType w:val="singleLevel"/>
    <w:tmpl w:val="AEB7DC9A"/>
    <w:lvl w:ilvl="0" w:tentative="0">
      <w:start w:val="1"/>
      <w:numFmt w:val="decimal"/>
      <w:lvlText w:val="%1."/>
      <w:lvlJc w:val="left"/>
      <w:pPr>
        <w:tabs>
          <w:tab w:val="left" w:pos="312"/>
        </w:tabs>
      </w:pPr>
    </w:lvl>
  </w:abstractNum>
  <w:abstractNum w:abstractNumId="15">
    <w:nsid w:val="B003677F"/>
    <w:multiLevelType w:val="singleLevel"/>
    <w:tmpl w:val="B003677F"/>
    <w:lvl w:ilvl="0" w:tentative="0">
      <w:start w:val="1"/>
      <w:numFmt w:val="decimal"/>
      <w:lvlText w:val="%1."/>
      <w:lvlJc w:val="left"/>
      <w:pPr>
        <w:tabs>
          <w:tab w:val="left" w:pos="312"/>
        </w:tabs>
      </w:pPr>
    </w:lvl>
  </w:abstractNum>
  <w:abstractNum w:abstractNumId="16">
    <w:nsid w:val="B4795469"/>
    <w:multiLevelType w:val="singleLevel"/>
    <w:tmpl w:val="B4795469"/>
    <w:lvl w:ilvl="0" w:tentative="0">
      <w:start w:val="1"/>
      <w:numFmt w:val="decimal"/>
      <w:lvlText w:val="%1."/>
      <w:lvlJc w:val="left"/>
      <w:pPr>
        <w:tabs>
          <w:tab w:val="left" w:pos="312"/>
        </w:tabs>
      </w:pPr>
    </w:lvl>
  </w:abstractNum>
  <w:abstractNum w:abstractNumId="17">
    <w:nsid w:val="C1C8C849"/>
    <w:multiLevelType w:val="singleLevel"/>
    <w:tmpl w:val="C1C8C849"/>
    <w:lvl w:ilvl="0" w:tentative="0">
      <w:start w:val="1"/>
      <w:numFmt w:val="decimal"/>
      <w:lvlText w:val="%1."/>
      <w:lvlJc w:val="left"/>
      <w:pPr>
        <w:tabs>
          <w:tab w:val="left" w:pos="312"/>
        </w:tabs>
      </w:pPr>
    </w:lvl>
  </w:abstractNum>
  <w:abstractNum w:abstractNumId="18">
    <w:nsid w:val="C9423CA1"/>
    <w:multiLevelType w:val="singleLevel"/>
    <w:tmpl w:val="C9423CA1"/>
    <w:lvl w:ilvl="0" w:tentative="0">
      <w:start w:val="1"/>
      <w:numFmt w:val="decimal"/>
      <w:lvlText w:val="%1."/>
      <w:lvlJc w:val="left"/>
      <w:pPr>
        <w:tabs>
          <w:tab w:val="left" w:pos="312"/>
        </w:tabs>
      </w:pPr>
    </w:lvl>
  </w:abstractNum>
  <w:abstractNum w:abstractNumId="19">
    <w:nsid w:val="CF39D1F0"/>
    <w:multiLevelType w:val="singleLevel"/>
    <w:tmpl w:val="CF39D1F0"/>
    <w:lvl w:ilvl="0" w:tentative="0">
      <w:start w:val="1"/>
      <w:numFmt w:val="decimal"/>
      <w:suff w:val="nothing"/>
      <w:lvlText w:val="（%1）"/>
      <w:lvlJc w:val="left"/>
    </w:lvl>
  </w:abstractNum>
  <w:abstractNum w:abstractNumId="20">
    <w:nsid w:val="CF7EC5A9"/>
    <w:multiLevelType w:val="singleLevel"/>
    <w:tmpl w:val="CF7EC5A9"/>
    <w:lvl w:ilvl="0" w:tentative="0">
      <w:start w:val="3"/>
      <w:numFmt w:val="chineseCounting"/>
      <w:suff w:val="nothing"/>
      <w:lvlText w:val="%1、"/>
      <w:lvlJc w:val="left"/>
      <w:rPr>
        <w:rFonts w:hint="eastAsia"/>
      </w:rPr>
    </w:lvl>
  </w:abstractNum>
  <w:abstractNum w:abstractNumId="21">
    <w:nsid w:val="D0AED7A7"/>
    <w:multiLevelType w:val="singleLevel"/>
    <w:tmpl w:val="D0AED7A7"/>
    <w:lvl w:ilvl="0" w:tentative="0">
      <w:start w:val="1"/>
      <w:numFmt w:val="decimal"/>
      <w:lvlText w:val="%1."/>
      <w:lvlJc w:val="left"/>
      <w:pPr>
        <w:tabs>
          <w:tab w:val="left" w:pos="312"/>
        </w:tabs>
      </w:pPr>
    </w:lvl>
  </w:abstractNum>
  <w:abstractNum w:abstractNumId="22">
    <w:nsid w:val="D45A6C37"/>
    <w:multiLevelType w:val="singleLevel"/>
    <w:tmpl w:val="D45A6C37"/>
    <w:lvl w:ilvl="0" w:tentative="0">
      <w:start w:val="1"/>
      <w:numFmt w:val="decimal"/>
      <w:suff w:val="nothing"/>
      <w:lvlText w:val="（%1）"/>
      <w:lvlJc w:val="left"/>
    </w:lvl>
  </w:abstractNum>
  <w:abstractNum w:abstractNumId="23">
    <w:nsid w:val="D692B9DB"/>
    <w:multiLevelType w:val="singleLevel"/>
    <w:tmpl w:val="D692B9DB"/>
    <w:lvl w:ilvl="0" w:tentative="0">
      <w:start w:val="1"/>
      <w:numFmt w:val="decimal"/>
      <w:suff w:val="space"/>
      <w:lvlText w:val="%1."/>
      <w:lvlJc w:val="left"/>
    </w:lvl>
  </w:abstractNum>
  <w:abstractNum w:abstractNumId="24">
    <w:nsid w:val="DB4AD74D"/>
    <w:multiLevelType w:val="singleLevel"/>
    <w:tmpl w:val="DB4AD74D"/>
    <w:lvl w:ilvl="0" w:tentative="0">
      <w:start w:val="1"/>
      <w:numFmt w:val="decimal"/>
      <w:lvlText w:val="%1."/>
      <w:lvlJc w:val="left"/>
      <w:pPr>
        <w:tabs>
          <w:tab w:val="left" w:pos="312"/>
        </w:tabs>
      </w:pPr>
    </w:lvl>
  </w:abstractNum>
  <w:abstractNum w:abstractNumId="25">
    <w:nsid w:val="DFFE6490"/>
    <w:multiLevelType w:val="singleLevel"/>
    <w:tmpl w:val="DFFE6490"/>
    <w:lvl w:ilvl="0" w:tentative="0">
      <w:start w:val="1"/>
      <w:numFmt w:val="decimal"/>
      <w:suff w:val="nothing"/>
      <w:lvlText w:val="（%1）"/>
      <w:lvlJc w:val="left"/>
    </w:lvl>
  </w:abstractNum>
  <w:abstractNum w:abstractNumId="26">
    <w:nsid w:val="E209275A"/>
    <w:multiLevelType w:val="singleLevel"/>
    <w:tmpl w:val="E209275A"/>
    <w:lvl w:ilvl="0" w:tentative="0">
      <w:start w:val="1"/>
      <w:numFmt w:val="decimal"/>
      <w:suff w:val="nothing"/>
      <w:lvlText w:val="（%1）"/>
      <w:lvlJc w:val="left"/>
    </w:lvl>
  </w:abstractNum>
  <w:abstractNum w:abstractNumId="27">
    <w:nsid w:val="E5C46D5E"/>
    <w:multiLevelType w:val="singleLevel"/>
    <w:tmpl w:val="E5C46D5E"/>
    <w:lvl w:ilvl="0" w:tentative="0">
      <w:start w:val="1"/>
      <w:numFmt w:val="decimal"/>
      <w:suff w:val="nothing"/>
      <w:lvlText w:val="（%1）"/>
      <w:lvlJc w:val="left"/>
    </w:lvl>
  </w:abstractNum>
  <w:abstractNum w:abstractNumId="28">
    <w:nsid w:val="EF086861"/>
    <w:multiLevelType w:val="singleLevel"/>
    <w:tmpl w:val="EF086861"/>
    <w:lvl w:ilvl="0" w:tentative="0">
      <w:start w:val="1"/>
      <w:numFmt w:val="decimal"/>
      <w:lvlText w:val="%1."/>
      <w:lvlJc w:val="left"/>
      <w:pPr>
        <w:tabs>
          <w:tab w:val="left" w:pos="312"/>
        </w:tabs>
      </w:pPr>
    </w:lvl>
  </w:abstractNum>
  <w:abstractNum w:abstractNumId="29">
    <w:nsid w:val="EF3FA2B3"/>
    <w:multiLevelType w:val="singleLevel"/>
    <w:tmpl w:val="EF3FA2B3"/>
    <w:lvl w:ilvl="0" w:tentative="0">
      <w:start w:val="1"/>
      <w:numFmt w:val="decimal"/>
      <w:lvlText w:val="%1."/>
      <w:lvlJc w:val="left"/>
      <w:pPr>
        <w:tabs>
          <w:tab w:val="left" w:pos="312"/>
        </w:tabs>
      </w:pPr>
    </w:lvl>
  </w:abstractNum>
  <w:abstractNum w:abstractNumId="30">
    <w:nsid w:val="EF97219F"/>
    <w:multiLevelType w:val="singleLevel"/>
    <w:tmpl w:val="EF97219F"/>
    <w:lvl w:ilvl="0" w:tentative="0">
      <w:start w:val="1"/>
      <w:numFmt w:val="decimal"/>
      <w:lvlText w:val="%1."/>
      <w:lvlJc w:val="left"/>
      <w:pPr>
        <w:tabs>
          <w:tab w:val="left" w:pos="312"/>
        </w:tabs>
      </w:pPr>
    </w:lvl>
  </w:abstractNum>
  <w:abstractNum w:abstractNumId="31">
    <w:nsid w:val="F3AAB40E"/>
    <w:multiLevelType w:val="singleLevel"/>
    <w:tmpl w:val="F3AAB40E"/>
    <w:lvl w:ilvl="0" w:tentative="0">
      <w:start w:val="1"/>
      <w:numFmt w:val="chineseCounting"/>
      <w:suff w:val="nothing"/>
      <w:lvlText w:val="%1、"/>
      <w:lvlJc w:val="left"/>
      <w:pPr>
        <w:ind w:left="361" w:leftChars="0" w:firstLine="0" w:firstLineChars="0"/>
      </w:pPr>
      <w:rPr>
        <w:rFonts w:hint="eastAsia"/>
      </w:rPr>
    </w:lvl>
  </w:abstractNum>
  <w:abstractNum w:abstractNumId="32">
    <w:nsid w:val="F3BA6A46"/>
    <w:multiLevelType w:val="singleLevel"/>
    <w:tmpl w:val="F3BA6A46"/>
    <w:lvl w:ilvl="0" w:tentative="0">
      <w:start w:val="1"/>
      <w:numFmt w:val="decimal"/>
      <w:lvlText w:val="%1."/>
      <w:lvlJc w:val="left"/>
      <w:pPr>
        <w:tabs>
          <w:tab w:val="left" w:pos="312"/>
        </w:tabs>
      </w:pPr>
    </w:lvl>
  </w:abstractNum>
  <w:abstractNum w:abstractNumId="33">
    <w:nsid w:val="FA77ABB9"/>
    <w:multiLevelType w:val="singleLevel"/>
    <w:tmpl w:val="FA77ABB9"/>
    <w:lvl w:ilvl="0" w:tentative="0">
      <w:start w:val="1"/>
      <w:numFmt w:val="decimal"/>
      <w:lvlText w:val="%1."/>
      <w:lvlJc w:val="left"/>
      <w:pPr>
        <w:tabs>
          <w:tab w:val="left" w:pos="312"/>
        </w:tabs>
      </w:pPr>
    </w:lvl>
  </w:abstractNum>
  <w:abstractNum w:abstractNumId="34">
    <w:nsid w:val="FA8A2A73"/>
    <w:multiLevelType w:val="singleLevel"/>
    <w:tmpl w:val="FA8A2A73"/>
    <w:lvl w:ilvl="0" w:tentative="0">
      <w:start w:val="1"/>
      <w:numFmt w:val="decimal"/>
      <w:lvlText w:val="%1."/>
      <w:lvlJc w:val="left"/>
      <w:pPr>
        <w:tabs>
          <w:tab w:val="left" w:pos="312"/>
        </w:tabs>
      </w:pPr>
    </w:lvl>
  </w:abstractNum>
  <w:abstractNum w:abstractNumId="35">
    <w:nsid w:val="FBA0D4D7"/>
    <w:multiLevelType w:val="singleLevel"/>
    <w:tmpl w:val="FBA0D4D7"/>
    <w:lvl w:ilvl="0" w:tentative="0">
      <w:start w:val="1"/>
      <w:numFmt w:val="decimal"/>
      <w:suff w:val="nothing"/>
      <w:lvlText w:val="（%1）"/>
      <w:lvlJc w:val="left"/>
    </w:lvl>
  </w:abstractNum>
  <w:abstractNum w:abstractNumId="36">
    <w:nsid w:val="FF197DFC"/>
    <w:multiLevelType w:val="singleLevel"/>
    <w:tmpl w:val="FF197DFC"/>
    <w:lvl w:ilvl="0" w:tentative="0">
      <w:start w:val="1"/>
      <w:numFmt w:val="decimal"/>
      <w:suff w:val="nothing"/>
      <w:lvlText w:val="（%1）"/>
      <w:lvlJc w:val="left"/>
    </w:lvl>
  </w:abstractNum>
  <w:abstractNum w:abstractNumId="37">
    <w:nsid w:val="02ADC399"/>
    <w:multiLevelType w:val="singleLevel"/>
    <w:tmpl w:val="02ADC399"/>
    <w:lvl w:ilvl="0" w:tentative="0">
      <w:start w:val="1"/>
      <w:numFmt w:val="decimal"/>
      <w:lvlText w:val="%1."/>
      <w:lvlJc w:val="left"/>
      <w:pPr>
        <w:tabs>
          <w:tab w:val="left" w:pos="312"/>
        </w:tabs>
      </w:pPr>
    </w:lvl>
  </w:abstractNum>
  <w:abstractNum w:abstractNumId="38">
    <w:nsid w:val="05BECDBA"/>
    <w:multiLevelType w:val="singleLevel"/>
    <w:tmpl w:val="05BECDBA"/>
    <w:lvl w:ilvl="0" w:tentative="0">
      <w:start w:val="1"/>
      <w:numFmt w:val="decimal"/>
      <w:suff w:val="nothing"/>
      <w:lvlText w:val="（%1）"/>
      <w:lvlJc w:val="left"/>
    </w:lvl>
  </w:abstractNum>
  <w:abstractNum w:abstractNumId="39">
    <w:nsid w:val="0B946223"/>
    <w:multiLevelType w:val="multilevel"/>
    <w:tmpl w:val="0B946223"/>
    <w:lvl w:ilvl="0" w:tentative="0">
      <w:start w:val="1"/>
      <w:numFmt w:val="japaneseCounting"/>
      <w:lvlText w:val="%1、"/>
      <w:lvlJc w:val="left"/>
      <w:pPr>
        <w:ind w:left="500" w:hanging="50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0BCC431A"/>
    <w:multiLevelType w:val="multilevel"/>
    <w:tmpl w:val="0BCC431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0CF0E167"/>
    <w:multiLevelType w:val="singleLevel"/>
    <w:tmpl w:val="0CF0E167"/>
    <w:lvl w:ilvl="0" w:tentative="0">
      <w:start w:val="3"/>
      <w:numFmt w:val="chineseCounting"/>
      <w:suff w:val="nothing"/>
      <w:lvlText w:val="（%1）"/>
      <w:lvlJc w:val="left"/>
      <w:rPr>
        <w:rFonts w:hint="eastAsia"/>
      </w:rPr>
    </w:lvl>
  </w:abstractNum>
  <w:abstractNum w:abstractNumId="42">
    <w:nsid w:val="0E8E1EB3"/>
    <w:multiLevelType w:val="singleLevel"/>
    <w:tmpl w:val="0E8E1EB3"/>
    <w:lvl w:ilvl="0" w:tentative="0">
      <w:start w:val="1"/>
      <w:numFmt w:val="chineseCounting"/>
      <w:suff w:val="nothing"/>
      <w:lvlText w:val="%1、"/>
      <w:lvlJc w:val="left"/>
      <w:rPr>
        <w:rFonts w:hint="eastAsia"/>
      </w:rPr>
    </w:lvl>
  </w:abstractNum>
  <w:abstractNum w:abstractNumId="43">
    <w:nsid w:val="1219FB32"/>
    <w:multiLevelType w:val="singleLevel"/>
    <w:tmpl w:val="1219FB32"/>
    <w:lvl w:ilvl="0" w:tentative="0">
      <w:start w:val="1"/>
      <w:numFmt w:val="decimal"/>
      <w:suff w:val="nothing"/>
      <w:lvlText w:val="（%1）"/>
      <w:lvlJc w:val="left"/>
    </w:lvl>
  </w:abstractNum>
  <w:abstractNum w:abstractNumId="44">
    <w:nsid w:val="16236F6A"/>
    <w:multiLevelType w:val="multilevel"/>
    <w:tmpl w:val="16236F6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17BB3F12"/>
    <w:multiLevelType w:val="singleLevel"/>
    <w:tmpl w:val="17BB3F12"/>
    <w:lvl w:ilvl="0" w:tentative="0">
      <w:start w:val="1"/>
      <w:numFmt w:val="decimal"/>
      <w:suff w:val="nothing"/>
      <w:lvlText w:val="（%1）"/>
      <w:lvlJc w:val="left"/>
    </w:lvl>
  </w:abstractNum>
  <w:abstractNum w:abstractNumId="46">
    <w:nsid w:val="19C092FC"/>
    <w:multiLevelType w:val="singleLevel"/>
    <w:tmpl w:val="19C092FC"/>
    <w:lvl w:ilvl="0" w:tentative="0">
      <w:start w:val="1"/>
      <w:numFmt w:val="decimal"/>
      <w:lvlText w:val="%1."/>
      <w:lvlJc w:val="left"/>
      <w:pPr>
        <w:tabs>
          <w:tab w:val="left" w:pos="312"/>
        </w:tabs>
      </w:pPr>
    </w:lvl>
  </w:abstractNum>
  <w:abstractNum w:abstractNumId="47">
    <w:nsid w:val="1A64FCA8"/>
    <w:multiLevelType w:val="singleLevel"/>
    <w:tmpl w:val="1A64FCA8"/>
    <w:lvl w:ilvl="0" w:tentative="0">
      <w:start w:val="3"/>
      <w:numFmt w:val="chineseCounting"/>
      <w:suff w:val="nothing"/>
      <w:lvlText w:val="（%1）"/>
      <w:lvlJc w:val="left"/>
      <w:rPr>
        <w:rFonts w:hint="eastAsia"/>
      </w:rPr>
    </w:lvl>
  </w:abstractNum>
  <w:abstractNum w:abstractNumId="48">
    <w:nsid w:val="1C7FB586"/>
    <w:multiLevelType w:val="singleLevel"/>
    <w:tmpl w:val="1C7FB586"/>
    <w:lvl w:ilvl="0" w:tentative="0">
      <w:start w:val="1"/>
      <w:numFmt w:val="decimal"/>
      <w:suff w:val="nothing"/>
      <w:lvlText w:val="（%1）"/>
      <w:lvlJc w:val="left"/>
    </w:lvl>
  </w:abstractNum>
  <w:abstractNum w:abstractNumId="49">
    <w:nsid w:val="1CCDDCBC"/>
    <w:multiLevelType w:val="singleLevel"/>
    <w:tmpl w:val="1CCDDCBC"/>
    <w:lvl w:ilvl="0" w:tentative="0">
      <w:start w:val="1"/>
      <w:numFmt w:val="decimal"/>
      <w:lvlText w:val="%1."/>
      <w:lvlJc w:val="left"/>
      <w:pPr>
        <w:tabs>
          <w:tab w:val="left" w:pos="312"/>
        </w:tabs>
      </w:pPr>
    </w:lvl>
  </w:abstractNum>
  <w:abstractNum w:abstractNumId="50">
    <w:nsid w:val="1F169693"/>
    <w:multiLevelType w:val="singleLevel"/>
    <w:tmpl w:val="1F169693"/>
    <w:lvl w:ilvl="0" w:tentative="0">
      <w:start w:val="1"/>
      <w:numFmt w:val="decimal"/>
      <w:suff w:val="nothing"/>
      <w:lvlText w:val="（%1）"/>
      <w:lvlJc w:val="left"/>
    </w:lvl>
  </w:abstractNum>
  <w:abstractNum w:abstractNumId="51">
    <w:nsid w:val="1F763C74"/>
    <w:multiLevelType w:val="multilevel"/>
    <w:tmpl w:val="1F763C74"/>
    <w:lvl w:ilvl="0" w:tentative="0">
      <w:start w:val="1"/>
      <w:numFmt w:val="decimal"/>
      <w:lvlText w:val="%1."/>
      <w:lvlJc w:val="left"/>
      <w:pPr>
        <w:ind w:left="220" w:hanging="2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2">
    <w:nsid w:val="24371659"/>
    <w:multiLevelType w:val="multilevel"/>
    <w:tmpl w:val="24371659"/>
    <w:lvl w:ilvl="0" w:tentative="0">
      <w:start w:val="1"/>
      <w:numFmt w:val="decimal"/>
      <w:lvlText w:val="%1."/>
      <w:lvlJc w:val="left"/>
      <w:pPr>
        <w:tabs>
          <w:tab w:val="left" w:pos="720"/>
        </w:tabs>
        <w:ind w:left="720" w:hanging="360"/>
      </w:pPr>
      <w:rPr>
        <w:b w:val="0"/>
        <w:bC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27E88C8B"/>
    <w:multiLevelType w:val="singleLevel"/>
    <w:tmpl w:val="27E88C8B"/>
    <w:lvl w:ilvl="0" w:tentative="0">
      <w:start w:val="1"/>
      <w:numFmt w:val="decimal"/>
      <w:lvlText w:val="%1."/>
      <w:lvlJc w:val="left"/>
      <w:pPr>
        <w:tabs>
          <w:tab w:val="left" w:pos="312"/>
        </w:tabs>
      </w:pPr>
    </w:lvl>
  </w:abstractNum>
  <w:abstractNum w:abstractNumId="54">
    <w:nsid w:val="2FAA56B4"/>
    <w:multiLevelType w:val="singleLevel"/>
    <w:tmpl w:val="2FAA56B4"/>
    <w:lvl w:ilvl="0" w:tentative="0">
      <w:start w:val="1"/>
      <w:numFmt w:val="decimal"/>
      <w:suff w:val="nothing"/>
      <w:lvlText w:val="（%1）"/>
      <w:lvlJc w:val="left"/>
    </w:lvl>
  </w:abstractNum>
  <w:abstractNum w:abstractNumId="55">
    <w:nsid w:val="3226597C"/>
    <w:multiLevelType w:val="singleLevel"/>
    <w:tmpl w:val="3226597C"/>
    <w:lvl w:ilvl="0" w:tentative="0">
      <w:start w:val="3"/>
      <w:numFmt w:val="chineseCounting"/>
      <w:suff w:val="nothing"/>
      <w:lvlText w:val="%1、"/>
      <w:lvlJc w:val="left"/>
      <w:rPr>
        <w:rFonts w:hint="eastAsia"/>
      </w:rPr>
    </w:lvl>
  </w:abstractNum>
  <w:abstractNum w:abstractNumId="56">
    <w:nsid w:val="322B4A87"/>
    <w:multiLevelType w:val="multilevel"/>
    <w:tmpl w:val="322B4A8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7">
    <w:nsid w:val="332E31B3"/>
    <w:multiLevelType w:val="multilevel"/>
    <w:tmpl w:val="332E31B3"/>
    <w:lvl w:ilvl="0" w:tentative="0">
      <w:start w:val="1"/>
      <w:numFmt w:val="japaneseCounting"/>
      <w:lvlText w:val="%1、"/>
      <w:lvlJc w:val="left"/>
      <w:pPr>
        <w:ind w:left="500" w:hanging="50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8">
    <w:nsid w:val="3376E823"/>
    <w:multiLevelType w:val="singleLevel"/>
    <w:tmpl w:val="3376E823"/>
    <w:lvl w:ilvl="0" w:tentative="0">
      <w:start w:val="1"/>
      <w:numFmt w:val="decimal"/>
      <w:suff w:val="nothing"/>
      <w:lvlText w:val="（%1）"/>
      <w:lvlJc w:val="left"/>
    </w:lvl>
  </w:abstractNum>
  <w:abstractNum w:abstractNumId="59">
    <w:nsid w:val="3444C6D4"/>
    <w:multiLevelType w:val="singleLevel"/>
    <w:tmpl w:val="3444C6D4"/>
    <w:lvl w:ilvl="0" w:tentative="0">
      <w:start w:val="1"/>
      <w:numFmt w:val="decimal"/>
      <w:suff w:val="nothing"/>
      <w:lvlText w:val="（%1）"/>
      <w:lvlJc w:val="left"/>
    </w:lvl>
  </w:abstractNum>
  <w:abstractNum w:abstractNumId="60">
    <w:nsid w:val="34875858"/>
    <w:multiLevelType w:val="multilevel"/>
    <w:tmpl w:val="34875858"/>
    <w:lvl w:ilvl="0" w:tentative="0">
      <w:start w:val="1"/>
      <w:numFmt w:val="decimal"/>
      <w:lvlText w:val="%1."/>
      <w:lvlJc w:val="left"/>
      <w:pPr>
        <w:ind w:left="220" w:hanging="2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1">
    <w:nsid w:val="35E2AB5D"/>
    <w:multiLevelType w:val="singleLevel"/>
    <w:tmpl w:val="35E2AB5D"/>
    <w:lvl w:ilvl="0" w:tentative="0">
      <w:start w:val="1"/>
      <w:numFmt w:val="decimal"/>
      <w:suff w:val="nothing"/>
      <w:lvlText w:val="（%1）"/>
      <w:lvlJc w:val="left"/>
    </w:lvl>
  </w:abstractNum>
  <w:abstractNum w:abstractNumId="62">
    <w:nsid w:val="372E232D"/>
    <w:multiLevelType w:val="multilevel"/>
    <w:tmpl w:val="372E232D"/>
    <w:lvl w:ilvl="0" w:tentative="0">
      <w:start w:val="1"/>
      <w:numFmt w:val="decimal"/>
      <w:lvlText w:val="%1."/>
      <w:lvlJc w:val="left"/>
      <w:pPr>
        <w:ind w:left="220" w:hanging="2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3">
    <w:nsid w:val="3756C913"/>
    <w:multiLevelType w:val="singleLevel"/>
    <w:tmpl w:val="3756C913"/>
    <w:lvl w:ilvl="0" w:tentative="0">
      <w:start w:val="2"/>
      <w:numFmt w:val="chineseCounting"/>
      <w:suff w:val="nothing"/>
      <w:lvlText w:val="（%1）"/>
      <w:lvlJc w:val="left"/>
      <w:rPr>
        <w:rFonts w:hint="eastAsia"/>
      </w:rPr>
    </w:lvl>
  </w:abstractNum>
  <w:abstractNum w:abstractNumId="64">
    <w:nsid w:val="38F69340"/>
    <w:multiLevelType w:val="singleLevel"/>
    <w:tmpl w:val="38F69340"/>
    <w:lvl w:ilvl="0" w:tentative="0">
      <w:start w:val="1"/>
      <w:numFmt w:val="decimal"/>
      <w:suff w:val="nothing"/>
      <w:lvlText w:val="（%1）"/>
      <w:lvlJc w:val="left"/>
    </w:lvl>
  </w:abstractNum>
  <w:abstractNum w:abstractNumId="65">
    <w:nsid w:val="3D936859"/>
    <w:multiLevelType w:val="singleLevel"/>
    <w:tmpl w:val="3D936859"/>
    <w:lvl w:ilvl="0" w:tentative="0">
      <w:start w:val="1"/>
      <w:numFmt w:val="decimal"/>
      <w:suff w:val="nothing"/>
      <w:lvlText w:val="（%1）"/>
      <w:lvlJc w:val="left"/>
    </w:lvl>
  </w:abstractNum>
  <w:abstractNum w:abstractNumId="66">
    <w:nsid w:val="3DC49CC1"/>
    <w:multiLevelType w:val="singleLevel"/>
    <w:tmpl w:val="3DC49CC1"/>
    <w:lvl w:ilvl="0" w:tentative="0">
      <w:start w:val="2"/>
      <w:numFmt w:val="chineseCounting"/>
      <w:suff w:val="nothing"/>
      <w:lvlText w:val="（%1）"/>
      <w:lvlJc w:val="left"/>
      <w:rPr>
        <w:rFonts w:hint="eastAsia"/>
      </w:rPr>
    </w:lvl>
  </w:abstractNum>
  <w:abstractNum w:abstractNumId="67">
    <w:nsid w:val="3F0F2547"/>
    <w:multiLevelType w:val="singleLevel"/>
    <w:tmpl w:val="3F0F2547"/>
    <w:lvl w:ilvl="0" w:tentative="0">
      <w:start w:val="1"/>
      <w:numFmt w:val="decimal"/>
      <w:suff w:val="nothing"/>
      <w:lvlText w:val="（%1）"/>
      <w:lvlJc w:val="left"/>
    </w:lvl>
  </w:abstractNum>
  <w:abstractNum w:abstractNumId="68">
    <w:nsid w:val="3F3C2B2E"/>
    <w:multiLevelType w:val="multilevel"/>
    <w:tmpl w:val="3F3C2B2E"/>
    <w:lvl w:ilvl="0" w:tentative="0">
      <w:start w:val="2"/>
      <w:numFmt w:val="japaneseCounting"/>
      <w:lvlText w:val="%1、"/>
      <w:lvlJc w:val="left"/>
      <w:pPr>
        <w:ind w:left="420" w:hanging="4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9">
    <w:nsid w:val="43889757"/>
    <w:multiLevelType w:val="singleLevel"/>
    <w:tmpl w:val="43889757"/>
    <w:lvl w:ilvl="0" w:tentative="0">
      <w:start w:val="1"/>
      <w:numFmt w:val="decimal"/>
      <w:suff w:val="nothing"/>
      <w:lvlText w:val="（%1）"/>
      <w:lvlJc w:val="left"/>
    </w:lvl>
  </w:abstractNum>
  <w:abstractNum w:abstractNumId="70">
    <w:nsid w:val="4389B54A"/>
    <w:multiLevelType w:val="singleLevel"/>
    <w:tmpl w:val="4389B54A"/>
    <w:lvl w:ilvl="0" w:tentative="0">
      <w:start w:val="1"/>
      <w:numFmt w:val="decimal"/>
      <w:lvlText w:val="%1."/>
      <w:lvlJc w:val="left"/>
      <w:pPr>
        <w:tabs>
          <w:tab w:val="left" w:pos="312"/>
        </w:tabs>
      </w:pPr>
    </w:lvl>
  </w:abstractNum>
  <w:abstractNum w:abstractNumId="71">
    <w:nsid w:val="44D60AEF"/>
    <w:multiLevelType w:val="multilevel"/>
    <w:tmpl w:val="44D60AE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2">
    <w:nsid w:val="45674FB3"/>
    <w:multiLevelType w:val="multilevel"/>
    <w:tmpl w:val="45674FB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3">
    <w:nsid w:val="45C67782"/>
    <w:multiLevelType w:val="multilevel"/>
    <w:tmpl w:val="45C67782"/>
    <w:lvl w:ilvl="0" w:tentative="0">
      <w:start w:val="1"/>
      <w:numFmt w:val="decimal"/>
      <w:lvlText w:val="%1."/>
      <w:lvlJc w:val="left"/>
      <w:pPr>
        <w:ind w:left="220" w:hanging="2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4">
    <w:nsid w:val="468C8BD2"/>
    <w:multiLevelType w:val="singleLevel"/>
    <w:tmpl w:val="468C8BD2"/>
    <w:lvl w:ilvl="0" w:tentative="0">
      <w:start w:val="1"/>
      <w:numFmt w:val="decimal"/>
      <w:suff w:val="nothing"/>
      <w:lvlText w:val="（%1）"/>
      <w:lvlJc w:val="left"/>
    </w:lvl>
  </w:abstractNum>
  <w:abstractNum w:abstractNumId="75">
    <w:nsid w:val="47C47CFC"/>
    <w:multiLevelType w:val="multilevel"/>
    <w:tmpl w:val="47C47CF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4B5A5194"/>
    <w:multiLevelType w:val="singleLevel"/>
    <w:tmpl w:val="4B5A5194"/>
    <w:lvl w:ilvl="0" w:tentative="0">
      <w:start w:val="1"/>
      <w:numFmt w:val="decimal"/>
      <w:lvlText w:val="%1."/>
      <w:lvlJc w:val="left"/>
      <w:pPr>
        <w:tabs>
          <w:tab w:val="left" w:pos="312"/>
        </w:tabs>
      </w:pPr>
    </w:lvl>
  </w:abstractNum>
  <w:abstractNum w:abstractNumId="77">
    <w:nsid w:val="513F77D0"/>
    <w:multiLevelType w:val="singleLevel"/>
    <w:tmpl w:val="513F77D0"/>
    <w:lvl w:ilvl="0" w:tentative="0">
      <w:start w:val="4"/>
      <w:numFmt w:val="chineseCounting"/>
      <w:suff w:val="nothing"/>
      <w:lvlText w:val="%1、"/>
      <w:lvlJc w:val="left"/>
      <w:rPr>
        <w:rFonts w:hint="eastAsia"/>
      </w:rPr>
    </w:lvl>
  </w:abstractNum>
  <w:abstractNum w:abstractNumId="78">
    <w:nsid w:val="53730CC6"/>
    <w:multiLevelType w:val="singleLevel"/>
    <w:tmpl w:val="53730CC6"/>
    <w:lvl w:ilvl="0" w:tentative="0">
      <w:start w:val="1"/>
      <w:numFmt w:val="decimal"/>
      <w:suff w:val="nothing"/>
      <w:lvlText w:val="（%1）"/>
      <w:lvlJc w:val="left"/>
    </w:lvl>
  </w:abstractNum>
  <w:abstractNum w:abstractNumId="79">
    <w:nsid w:val="56CE6F58"/>
    <w:multiLevelType w:val="multilevel"/>
    <w:tmpl w:val="56CE6F58"/>
    <w:lvl w:ilvl="0" w:tentative="0">
      <w:start w:val="1"/>
      <w:numFmt w:val="decimal"/>
      <w:lvlText w:val="%1."/>
      <w:lvlJc w:val="left"/>
      <w:pPr>
        <w:ind w:left="220" w:hanging="2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0">
    <w:nsid w:val="5B5B09BE"/>
    <w:multiLevelType w:val="multilevel"/>
    <w:tmpl w:val="5B5B09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1">
    <w:nsid w:val="5DF08EC2"/>
    <w:multiLevelType w:val="singleLevel"/>
    <w:tmpl w:val="5DF08EC2"/>
    <w:lvl w:ilvl="0" w:tentative="0">
      <w:start w:val="3"/>
      <w:numFmt w:val="chineseCounting"/>
      <w:suff w:val="nothing"/>
      <w:lvlText w:val="（%1）"/>
      <w:lvlJc w:val="left"/>
      <w:rPr>
        <w:rFonts w:hint="eastAsia"/>
      </w:rPr>
    </w:lvl>
  </w:abstractNum>
  <w:abstractNum w:abstractNumId="82">
    <w:nsid w:val="5EB1EC58"/>
    <w:multiLevelType w:val="singleLevel"/>
    <w:tmpl w:val="5EB1EC58"/>
    <w:lvl w:ilvl="0" w:tentative="0">
      <w:start w:val="1"/>
      <w:numFmt w:val="decimal"/>
      <w:suff w:val="nothing"/>
      <w:lvlText w:val="（%1）"/>
      <w:lvlJc w:val="left"/>
    </w:lvl>
  </w:abstractNum>
  <w:abstractNum w:abstractNumId="83">
    <w:nsid w:val="5EF28268"/>
    <w:multiLevelType w:val="singleLevel"/>
    <w:tmpl w:val="5EF28268"/>
    <w:lvl w:ilvl="0" w:tentative="0">
      <w:start w:val="1"/>
      <w:numFmt w:val="decimal"/>
      <w:lvlText w:val="%1."/>
      <w:lvlJc w:val="left"/>
      <w:pPr>
        <w:tabs>
          <w:tab w:val="left" w:pos="312"/>
        </w:tabs>
      </w:pPr>
    </w:lvl>
  </w:abstractNum>
  <w:abstractNum w:abstractNumId="84">
    <w:nsid w:val="5FB1098B"/>
    <w:multiLevelType w:val="singleLevel"/>
    <w:tmpl w:val="5FB1098B"/>
    <w:lvl w:ilvl="0" w:tentative="0">
      <w:start w:val="2"/>
      <w:numFmt w:val="chineseCounting"/>
      <w:suff w:val="nothing"/>
      <w:lvlText w:val="（%1）"/>
      <w:lvlJc w:val="left"/>
      <w:rPr>
        <w:rFonts w:hint="eastAsia"/>
      </w:rPr>
    </w:lvl>
  </w:abstractNum>
  <w:abstractNum w:abstractNumId="85">
    <w:nsid w:val="5FEAA70E"/>
    <w:multiLevelType w:val="singleLevel"/>
    <w:tmpl w:val="5FEAA70E"/>
    <w:lvl w:ilvl="0" w:tentative="0">
      <w:start w:val="1"/>
      <w:numFmt w:val="decimal"/>
      <w:suff w:val="nothing"/>
      <w:lvlText w:val="（%1）"/>
      <w:lvlJc w:val="left"/>
    </w:lvl>
  </w:abstractNum>
  <w:abstractNum w:abstractNumId="86">
    <w:nsid w:val="60E53B28"/>
    <w:multiLevelType w:val="singleLevel"/>
    <w:tmpl w:val="60E53B28"/>
    <w:lvl w:ilvl="0" w:tentative="0">
      <w:start w:val="1"/>
      <w:numFmt w:val="chineseCounting"/>
      <w:suff w:val="nothing"/>
      <w:lvlText w:val="（%1）"/>
      <w:lvlJc w:val="left"/>
      <w:rPr>
        <w:rFonts w:hint="eastAsia"/>
      </w:rPr>
    </w:lvl>
  </w:abstractNum>
  <w:abstractNum w:abstractNumId="87">
    <w:nsid w:val="617517EE"/>
    <w:multiLevelType w:val="singleLevel"/>
    <w:tmpl w:val="617517EE"/>
    <w:lvl w:ilvl="0" w:tentative="0">
      <w:start w:val="5"/>
      <w:numFmt w:val="chineseCounting"/>
      <w:suff w:val="nothing"/>
      <w:lvlText w:val="（%1）"/>
      <w:lvlJc w:val="left"/>
    </w:lvl>
  </w:abstractNum>
  <w:abstractNum w:abstractNumId="88">
    <w:nsid w:val="617518BA"/>
    <w:multiLevelType w:val="singleLevel"/>
    <w:tmpl w:val="617518BA"/>
    <w:lvl w:ilvl="0" w:tentative="0">
      <w:start w:val="2"/>
      <w:numFmt w:val="decimal"/>
      <w:suff w:val="nothing"/>
      <w:lvlText w:val="（%1）"/>
      <w:lvlJc w:val="left"/>
    </w:lvl>
  </w:abstractNum>
  <w:abstractNum w:abstractNumId="89">
    <w:nsid w:val="617518F6"/>
    <w:multiLevelType w:val="singleLevel"/>
    <w:tmpl w:val="617518F6"/>
    <w:lvl w:ilvl="0" w:tentative="0">
      <w:start w:val="2"/>
      <w:numFmt w:val="decimal"/>
      <w:suff w:val="nothing"/>
      <w:lvlText w:val="%1."/>
      <w:lvlJc w:val="left"/>
    </w:lvl>
  </w:abstractNum>
  <w:abstractNum w:abstractNumId="90">
    <w:nsid w:val="625B0479"/>
    <w:multiLevelType w:val="multilevel"/>
    <w:tmpl w:val="625B0479"/>
    <w:lvl w:ilvl="0" w:tentative="0">
      <w:start w:val="1"/>
      <w:numFmt w:val="decimal"/>
      <w:lvlText w:val="%1."/>
      <w:lvlJc w:val="left"/>
      <w:pPr>
        <w:ind w:left="220" w:hanging="2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1">
    <w:nsid w:val="63364F8F"/>
    <w:multiLevelType w:val="singleLevel"/>
    <w:tmpl w:val="63364F8F"/>
    <w:lvl w:ilvl="0" w:tentative="0">
      <w:start w:val="1"/>
      <w:numFmt w:val="chineseCounting"/>
      <w:suff w:val="nothing"/>
      <w:lvlText w:val="%1、"/>
      <w:lvlJc w:val="left"/>
      <w:rPr>
        <w:rFonts w:hint="eastAsia"/>
      </w:rPr>
    </w:lvl>
  </w:abstractNum>
  <w:abstractNum w:abstractNumId="92">
    <w:nsid w:val="668A618C"/>
    <w:multiLevelType w:val="singleLevel"/>
    <w:tmpl w:val="668A618C"/>
    <w:lvl w:ilvl="0" w:tentative="0">
      <w:start w:val="1"/>
      <w:numFmt w:val="decimal"/>
      <w:lvlText w:val="%1."/>
      <w:lvlJc w:val="left"/>
      <w:pPr>
        <w:tabs>
          <w:tab w:val="left" w:pos="312"/>
        </w:tabs>
      </w:pPr>
    </w:lvl>
  </w:abstractNum>
  <w:abstractNum w:abstractNumId="93">
    <w:nsid w:val="6A7E319D"/>
    <w:multiLevelType w:val="singleLevel"/>
    <w:tmpl w:val="6A7E319D"/>
    <w:lvl w:ilvl="0" w:tentative="0">
      <w:start w:val="1"/>
      <w:numFmt w:val="decimal"/>
      <w:suff w:val="nothing"/>
      <w:lvlText w:val="（%1）"/>
      <w:lvlJc w:val="left"/>
    </w:lvl>
  </w:abstractNum>
  <w:abstractNum w:abstractNumId="94">
    <w:nsid w:val="6C53CEBE"/>
    <w:multiLevelType w:val="singleLevel"/>
    <w:tmpl w:val="6C53CEBE"/>
    <w:lvl w:ilvl="0" w:tentative="0">
      <w:start w:val="1"/>
      <w:numFmt w:val="decimal"/>
      <w:lvlText w:val="%1."/>
      <w:lvlJc w:val="left"/>
      <w:pPr>
        <w:tabs>
          <w:tab w:val="left" w:pos="312"/>
        </w:tabs>
      </w:pPr>
    </w:lvl>
  </w:abstractNum>
  <w:abstractNum w:abstractNumId="95">
    <w:nsid w:val="6DCF9BE4"/>
    <w:multiLevelType w:val="singleLevel"/>
    <w:tmpl w:val="6DCF9BE4"/>
    <w:lvl w:ilvl="0" w:tentative="0">
      <w:start w:val="3"/>
      <w:numFmt w:val="chineseCounting"/>
      <w:suff w:val="nothing"/>
      <w:lvlText w:val="（%1）"/>
      <w:lvlJc w:val="left"/>
      <w:rPr>
        <w:rFonts w:hint="eastAsia"/>
      </w:rPr>
    </w:lvl>
  </w:abstractNum>
  <w:abstractNum w:abstractNumId="96">
    <w:nsid w:val="6EF85D3B"/>
    <w:multiLevelType w:val="multilevel"/>
    <w:tmpl w:val="6EF85D3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7">
    <w:nsid w:val="6FD1ABA6"/>
    <w:multiLevelType w:val="singleLevel"/>
    <w:tmpl w:val="6FD1ABA6"/>
    <w:lvl w:ilvl="0" w:tentative="0">
      <w:start w:val="1"/>
      <w:numFmt w:val="decimal"/>
      <w:lvlText w:val="%1."/>
      <w:lvlJc w:val="left"/>
      <w:pPr>
        <w:tabs>
          <w:tab w:val="left" w:pos="312"/>
        </w:tabs>
      </w:pPr>
    </w:lvl>
  </w:abstractNum>
  <w:abstractNum w:abstractNumId="98">
    <w:nsid w:val="70BE6B66"/>
    <w:multiLevelType w:val="singleLevel"/>
    <w:tmpl w:val="70BE6B66"/>
    <w:lvl w:ilvl="0" w:tentative="0">
      <w:start w:val="2"/>
      <w:numFmt w:val="chineseCounting"/>
      <w:suff w:val="nothing"/>
      <w:lvlText w:val="（%1）"/>
      <w:lvlJc w:val="left"/>
      <w:rPr>
        <w:rFonts w:hint="eastAsia"/>
      </w:rPr>
    </w:lvl>
  </w:abstractNum>
  <w:abstractNum w:abstractNumId="99">
    <w:nsid w:val="74C85B62"/>
    <w:multiLevelType w:val="multilevel"/>
    <w:tmpl w:val="74C85B6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0">
    <w:nsid w:val="77F9537C"/>
    <w:multiLevelType w:val="multilevel"/>
    <w:tmpl w:val="77F9537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1">
    <w:nsid w:val="7975CFAC"/>
    <w:multiLevelType w:val="singleLevel"/>
    <w:tmpl w:val="7975CFAC"/>
    <w:lvl w:ilvl="0" w:tentative="0">
      <w:start w:val="3"/>
      <w:numFmt w:val="chineseCounting"/>
      <w:suff w:val="nothing"/>
      <w:lvlText w:val="（%1）"/>
      <w:lvlJc w:val="left"/>
      <w:rPr>
        <w:rFonts w:hint="eastAsia"/>
      </w:rPr>
    </w:lvl>
  </w:abstractNum>
  <w:abstractNum w:abstractNumId="102">
    <w:nsid w:val="7C7BCEDD"/>
    <w:multiLevelType w:val="singleLevel"/>
    <w:tmpl w:val="7C7BCEDD"/>
    <w:lvl w:ilvl="0" w:tentative="0">
      <w:start w:val="1"/>
      <w:numFmt w:val="decimal"/>
      <w:suff w:val="nothing"/>
      <w:lvlText w:val="（%1）"/>
      <w:lvlJc w:val="left"/>
    </w:lvl>
  </w:abstractNum>
  <w:abstractNum w:abstractNumId="103">
    <w:nsid w:val="7E27EFB5"/>
    <w:multiLevelType w:val="singleLevel"/>
    <w:tmpl w:val="7E27EFB5"/>
    <w:lvl w:ilvl="0" w:tentative="0">
      <w:start w:val="1"/>
      <w:numFmt w:val="decimal"/>
      <w:lvlText w:val="%1."/>
      <w:lvlJc w:val="left"/>
      <w:pPr>
        <w:tabs>
          <w:tab w:val="left" w:pos="312"/>
        </w:tabs>
      </w:pPr>
    </w:lvl>
  </w:abstractNum>
  <w:num w:numId="1">
    <w:abstractNumId w:val="57"/>
  </w:num>
  <w:num w:numId="2">
    <w:abstractNumId w:val="42"/>
  </w:num>
  <w:num w:numId="3">
    <w:abstractNumId w:val="28"/>
  </w:num>
  <w:num w:numId="4">
    <w:abstractNumId w:val="86"/>
  </w:num>
  <w:num w:numId="5">
    <w:abstractNumId w:val="100"/>
  </w:num>
  <w:num w:numId="6">
    <w:abstractNumId w:val="44"/>
  </w:num>
  <w:num w:numId="7">
    <w:abstractNumId w:val="96"/>
  </w:num>
  <w:num w:numId="8">
    <w:abstractNumId w:val="71"/>
  </w:num>
  <w:num w:numId="9">
    <w:abstractNumId w:val="40"/>
  </w:num>
  <w:num w:numId="10">
    <w:abstractNumId w:val="99"/>
  </w:num>
  <w:num w:numId="11">
    <w:abstractNumId w:val="80"/>
  </w:num>
  <w:num w:numId="12">
    <w:abstractNumId w:val="68"/>
  </w:num>
  <w:num w:numId="13">
    <w:abstractNumId w:val="51"/>
  </w:num>
  <w:num w:numId="14">
    <w:abstractNumId w:val="90"/>
  </w:num>
  <w:num w:numId="15">
    <w:abstractNumId w:val="73"/>
  </w:num>
  <w:num w:numId="16">
    <w:abstractNumId w:val="62"/>
  </w:num>
  <w:num w:numId="17">
    <w:abstractNumId w:val="79"/>
  </w:num>
  <w:num w:numId="18">
    <w:abstractNumId w:val="60"/>
  </w:num>
  <w:num w:numId="19">
    <w:abstractNumId w:val="75"/>
  </w:num>
  <w:num w:numId="20">
    <w:abstractNumId w:val="66"/>
  </w:num>
  <w:num w:numId="21">
    <w:abstractNumId w:val="77"/>
  </w:num>
  <w:num w:numId="22">
    <w:abstractNumId w:val="102"/>
  </w:num>
  <w:num w:numId="23">
    <w:abstractNumId w:val="22"/>
  </w:num>
  <w:num w:numId="24">
    <w:abstractNumId w:val="58"/>
  </w:num>
  <w:num w:numId="25">
    <w:abstractNumId w:val="61"/>
  </w:num>
  <w:num w:numId="26">
    <w:abstractNumId w:val="25"/>
  </w:num>
  <w:num w:numId="27">
    <w:abstractNumId w:val="59"/>
  </w:num>
  <w:num w:numId="28">
    <w:abstractNumId w:val="65"/>
  </w:num>
  <w:num w:numId="29">
    <w:abstractNumId w:val="26"/>
  </w:num>
  <w:num w:numId="30">
    <w:abstractNumId w:val="36"/>
  </w:num>
  <w:num w:numId="31">
    <w:abstractNumId w:val="7"/>
  </w:num>
  <w:num w:numId="32">
    <w:abstractNumId w:val="84"/>
  </w:num>
  <w:num w:numId="33">
    <w:abstractNumId w:val="11"/>
  </w:num>
  <w:num w:numId="34">
    <w:abstractNumId w:val="20"/>
  </w:num>
  <w:num w:numId="35">
    <w:abstractNumId w:val="82"/>
  </w:num>
  <w:num w:numId="36">
    <w:abstractNumId w:val="19"/>
  </w:num>
  <w:num w:numId="37">
    <w:abstractNumId w:val="2"/>
  </w:num>
  <w:num w:numId="38">
    <w:abstractNumId w:val="47"/>
  </w:num>
  <w:num w:numId="39">
    <w:abstractNumId w:val="23"/>
  </w:num>
  <w:num w:numId="40">
    <w:abstractNumId w:val="12"/>
  </w:num>
  <w:num w:numId="41">
    <w:abstractNumId w:val="69"/>
  </w:num>
  <w:num w:numId="42">
    <w:abstractNumId w:val="74"/>
  </w:num>
  <w:num w:numId="43">
    <w:abstractNumId w:val="8"/>
  </w:num>
  <w:num w:numId="44">
    <w:abstractNumId w:val="78"/>
  </w:num>
  <w:num w:numId="45">
    <w:abstractNumId w:val="91"/>
  </w:num>
  <w:num w:numId="46">
    <w:abstractNumId w:val="95"/>
  </w:num>
  <w:num w:numId="47">
    <w:abstractNumId w:val="101"/>
  </w:num>
  <w:num w:numId="48">
    <w:abstractNumId w:val="35"/>
  </w:num>
  <w:num w:numId="49">
    <w:abstractNumId w:val="85"/>
  </w:num>
  <w:num w:numId="50">
    <w:abstractNumId w:val="54"/>
  </w:num>
  <w:num w:numId="51">
    <w:abstractNumId w:val="48"/>
  </w:num>
  <w:num w:numId="52">
    <w:abstractNumId w:val="50"/>
  </w:num>
  <w:num w:numId="53">
    <w:abstractNumId w:val="27"/>
  </w:num>
  <w:num w:numId="54">
    <w:abstractNumId w:val="6"/>
  </w:num>
  <w:num w:numId="55">
    <w:abstractNumId w:val="38"/>
  </w:num>
  <w:num w:numId="56">
    <w:abstractNumId w:val="93"/>
  </w:num>
  <w:num w:numId="57">
    <w:abstractNumId w:val="43"/>
  </w:num>
  <w:num w:numId="58">
    <w:abstractNumId w:val="10"/>
  </w:num>
  <w:num w:numId="59">
    <w:abstractNumId w:val="67"/>
  </w:num>
  <w:num w:numId="60">
    <w:abstractNumId w:val="64"/>
  </w:num>
  <w:num w:numId="61">
    <w:abstractNumId w:val="63"/>
  </w:num>
  <w:num w:numId="62">
    <w:abstractNumId w:val="39"/>
  </w:num>
  <w:num w:numId="63">
    <w:abstractNumId w:val="81"/>
  </w:num>
  <w:num w:numId="64">
    <w:abstractNumId w:val="92"/>
  </w:num>
  <w:num w:numId="65">
    <w:abstractNumId w:val="88"/>
  </w:num>
  <w:num w:numId="66">
    <w:abstractNumId w:val="89"/>
  </w:num>
  <w:num w:numId="67">
    <w:abstractNumId w:val="87"/>
  </w:num>
  <w:num w:numId="68">
    <w:abstractNumId w:val="13"/>
  </w:num>
  <w:num w:numId="69">
    <w:abstractNumId w:val="55"/>
  </w:num>
  <w:num w:numId="70">
    <w:abstractNumId w:val="15"/>
  </w:num>
  <w:num w:numId="71">
    <w:abstractNumId w:val="16"/>
  </w:num>
  <w:num w:numId="72">
    <w:abstractNumId w:val="14"/>
  </w:num>
  <w:num w:numId="73">
    <w:abstractNumId w:val="49"/>
  </w:num>
  <w:num w:numId="74">
    <w:abstractNumId w:val="46"/>
  </w:num>
  <w:num w:numId="75">
    <w:abstractNumId w:val="76"/>
  </w:num>
  <w:num w:numId="76">
    <w:abstractNumId w:val="1"/>
  </w:num>
  <w:num w:numId="77">
    <w:abstractNumId w:val="24"/>
  </w:num>
  <w:num w:numId="78">
    <w:abstractNumId w:val="32"/>
  </w:num>
  <w:num w:numId="79">
    <w:abstractNumId w:val="5"/>
  </w:num>
  <w:num w:numId="80">
    <w:abstractNumId w:val="70"/>
  </w:num>
  <w:num w:numId="81">
    <w:abstractNumId w:val="21"/>
  </w:num>
  <w:num w:numId="82">
    <w:abstractNumId w:val="18"/>
  </w:num>
  <w:num w:numId="83">
    <w:abstractNumId w:val="29"/>
  </w:num>
  <w:num w:numId="84">
    <w:abstractNumId w:val="30"/>
  </w:num>
  <w:num w:numId="85">
    <w:abstractNumId w:val="56"/>
  </w:num>
  <w:num w:numId="86">
    <w:abstractNumId w:val="41"/>
  </w:num>
  <w:num w:numId="87">
    <w:abstractNumId w:val="52"/>
  </w:num>
  <w:num w:numId="88">
    <w:abstractNumId w:val="72"/>
  </w:num>
  <w:num w:numId="89">
    <w:abstractNumId w:val="31"/>
  </w:num>
  <w:num w:numId="90">
    <w:abstractNumId w:val="37"/>
  </w:num>
  <w:num w:numId="91">
    <w:abstractNumId w:val="53"/>
  </w:num>
  <w:num w:numId="92">
    <w:abstractNumId w:val="45"/>
  </w:num>
  <w:num w:numId="93">
    <w:abstractNumId w:val="103"/>
  </w:num>
  <w:num w:numId="94">
    <w:abstractNumId w:val="83"/>
  </w:num>
  <w:num w:numId="95">
    <w:abstractNumId w:val="94"/>
  </w:num>
  <w:num w:numId="96">
    <w:abstractNumId w:val="97"/>
  </w:num>
  <w:num w:numId="97">
    <w:abstractNumId w:val="9"/>
  </w:num>
  <w:num w:numId="98">
    <w:abstractNumId w:val="0"/>
  </w:num>
  <w:num w:numId="99">
    <w:abstractNumId w:val="4"/>
  </w:num>
  <w:num w:numId="100">
    <w:abstractNumId w:val="34"/>
  </w:num>
  <w:num w:numId="101">
    <w:abstractNumId w:val="17"/>
  </w:num>
  <w:num w:numId="102">
    <w:abstractNumId w:val="33"/>
  </w:num>
  <w:num w:numId="103">
    <w:abstractNumId w:val="98"/>
  </w:num>
  <w:num w:numId="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8E7847"/>
    <w:rsid w:val="00D974E9"/>
    <w:rsid w:val="028E7847"/>
    <w:rsid w:val="02EA2241"/>
    <w:rsid w:val="034465A8"/>
    <w:rsid w:val="0CAB13B5"/>
    <w:rsid w:val="12A2595A"/>
    <w:rsid w:val="15973875"/>
    <w:rsid w:val="15BE4C17"/>
    <w:rsid w:val="1E802971"/>
    <w:rsid w:val="1E8A4196"/>
    <w:rsid w:val="203F7912"/>
    <w:rsid w:val="264A156F"/>
    <w:rsid w:val="27CB2E92"/>
    <w:rsid w:val="2A9668FD"/>
    <w:rsid w:val="2F7C539A"/>
    <w:rsid w:val="365E41FC"/>
    <w:rsid w:val="3CC64312"/>
    <w:rsid w:val="425F7631"/>
    <w:rsid w:val="472D35B8"/>
    <w:rsid w:val="48566025"/>
    <w:rsid w:val="4B107A36"/>
    <w:rsid w:val="4B4A0F33"/>
    <w:rsid w:val="4DF1455C"/>
    <w:rsid w:val="4E107BBE"/>
    <w:rsid w:val="50573F85"/>
    <w:rsid w:val="52597BF2"/>
    <w:rsid w:val="579F1BB9"/>
    <w:rsid w:val="57AB345D"/>
    <w:rsid w:val="5A9525FB"/>
    <w:rsid w:val="5D042D30"/>
    <w:rsid w:val="5DF036DF"/>
    <w:rsid w:val="5F494BF7"/>
    <w:rsid w:val="63071B51"/>
    <w:rsid w:val="769A6C15"/>
    <w:rsid w:val="78A522D0"/>
    <w:rsid w:val="7E93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qFormat/>
    <w:uiPriority w:val="0"/>
    <w:pPr>
      <w:keepNext/>
      <w:keepLines/>
      <w:spacing w:before="340" w:beforeLines="0" w:beforeAutospacing="0" w:after="330" w:afterLines="0" w:afterAutospacing="0" w:line="850" w:lineRule="exact"/>
      <w:jc w:val="center"/>
      <w:outlineLvl w:val="0"/>
    </w:pPr>
    <w:rPr>
      <w:rFonts w:ascii="Times New Roman" w:hAnsi="Times New Roman" w:eastAsia="宋体"/>
      <w:kern w:val="44"/>
      <w:sz w:val="44"/>
      <w:szCs w:val="28"/>
    </w:rPr>
  </w:style>
  <w:style w:type="paragraph" w:styleId="4">
    <w:name w:val="heading 5"/>
    <w:basedOn w:val="1"/>
    <w:next w:val="1"/>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0"/>
    <w:pPr>
      <w:spacing w:before="240" w:after="60"/>
      <w:jc w:val="center"/>
      <w:outlineLvl w:val="0"/>
    </w:pPr>
    <w:rPr>
      <w:rFonts w:ascii="Arial" w:hAnsi="Arial"/>
      <w:b/>
      <w:sz w:val="32"/>
    </w:rPr>
  </w:style>
  <w:style w:type="paragraph" w:styleId="5">
    <w:name w:val="Body Text Indent"/>
    <w:basedOn w:val="1"/>
    <w:qFormat/>
    <w:uiPriority w:val="0"/>
    <w:pPr>
      <w:spacing w:line="360" w:lineRule="auto"/>
      <w:ind w:firstLine="420" w:firstLineChars="200"/>
    </w:pPr>
    <w:rPr>
      <w:rFonts w:ascii="Calibri" w:hAnsi="Calibri" w:eastAsia="宋体" w:cs="Times New Roman"/>
      <w:lang w:val="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Normal (Web)"/>
    <w:basedOn w:val="1"/>
    <w:qFormat/>
    <w:uiPriority w:val="0"/>
    <w:rPr>
      <w:sz w:val="24"/>
    </w:rPr>
  </w:style>
  <w:style w:type="table" w:styleId="11">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Hyperlink"/>
    <w:qFormat/>
    <w:uiPriority w:val="99"/>
    <w:rPr>
      <w:color w:val="262626"/>
      <w:sz w:val="18"/>
      <w:szCs w:val="18"/>
      <w:u w:val="none"/>
    </w:rPr>
  </w:style>
  <w:style w:type="table" w:customStyle="1" w:styleId="15">
    <w:name w:val="网格型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unhideWhenUsed/>
    <w:qFormat/>
    <w:uiPriority w:val="0"/>
    <w:tblPr>
      <w:tblCellMar>
        <w:top w:w="0" w:type="dxa"/>
        <w:left w:w="0" w:type="dxa"/>
        <w:bottom w:w="0" w:type="dxa"/>
        <w:right w:w="0" w:type="dxa"/>
      </w:tblCellMar>
    </w:tblPr>
  </w:style>
  <w:style w:type="table" w:customStyle="1" w:styleId="17">
    <w:name w:val="网格型1"/>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网格型1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网格型17"/>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网格型18"/>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网格型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网格型21"/>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网格型2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网格型23"/>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网格型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
    <w:name w:val="网格型2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Table"/>
    <w:semiHidden/>
    <w:unhideWhenUsed/>
    <w:qFormat/>
    <w:uiPriority w:val="0"/>
    <w:pPr>
      <w:spacing w:after="200"/>
    </w:pPr>
    <w:rPr>
      <w:rFonts w:ascii="等线" w:hAnsi="等线" w:eastAsia="等线" w:cs="Times New Roman"/>
      <w:sz w:val="24"/>
      <w:szCs w:val="24"/>
      <w:lang w:eastAsia="en-US"/>
    </w:rPr>
    <w:tblPr>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29">
    <w:name w:val="在表格内文字"/>
    <w:basedOn w:val="1"/>
    <w:qFormat/>
    <w:uiPriority w:val="0"/>
    <w:rPr>
      <w:rFonts w:eastAsia="楷体"/>
    </w:rPr>
  </w:style>
  <w:style w:type="paragraph" w:styleId="30">
    <w:name w:val="List Paragraph"/>
    <w:basedOn w:val="1"/>
    <w:unhideWhenUsed/>
    <w:qFormat/>
    <w:uiPriority w:val="99"/>
    <w:pPr>
      <w:ind w:firstLine="420" w:firstLineChars="200"/>
    </w:pPr>
  </w:style>
  <w:style w:type="character" w:customStyle="1" w:styleId="31">
    <w:name w:val="font-symbol"/>
    <w:basedOn w:val="12"/>
    <w:qFormat/>
    <w:uiPriority w:val="0"/>
  </w:style>
  <w:style w:type="paragraph" w:customStyle="1" w:styleId="32">
    <w:name w:val="列出段落1"/>
    <w:basedOn w:val="1"/>
    <w:qFormat/>
    <w:uiPriority w:val="99"/>
    <w:pPr>
      <w:ind w:firstLine="420" w:firstLineChars="200"/>
    </w:pPr>
    <w:rPr>
      <w:rFonts w:ascii="Calibri" w:hAnsi="Calibri" w:eastAsia="宋体" w:cs="Times New Roman"/>
    </w:rPr>
  </w:style>
  <w:style w:type="paragraph" w:customStyle="1" w:styleId="33">
    <w:name w:val="Table Text"/>
    <w:basedOn w:val="1"/>
    <w:semiHidden/>
    <w:qFormat/>
    <w:uiPriority w:val="0"/>
    <w:pPr>
      <w:widowControl/>
      <w:kinsoku w:val="0"/>
      <w:autoSpaceDE w:val="0"/>
      <w:autoSpaceDN w:val="0"/>
      <w:adjustRightInd w:val="0"/>
      <w:snapToGrid w:val="0"/>
      <w:spacing w:after="160"/>
      <w:jc w:val="left"/>
      <w:textAlignment w:val="baseline"/>
    </w:pPr>
    <w:rPr>
      <w:rFonts w:ascii="宋体" w:hAnsi="宋体" w:eastAsia="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oleObject" Target="embeddings/oleObject3.bin"/><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oleObject" Target="embeddings/oleObject65.bin"/><Relationship Id="rId71" Type="http://schemas.openxmlformats.org/officeDocument/2006/relationships/oleObject" Target="embeddings/oleObject64.bin"/><Relationship Id="rId70" Type="http://schemas.openxmlformats.org/officeDocument/2006/relationships/oleObject" Target="embeddings/oleObject63.bin"/><Relationship Id="rId7" Type="http://schemas.openxmlformats.org/officeDocument/2006/relationships/image" Target="media/image2.wmf"/><Relationship Id="rId69" Type="http://schemas.openxmlformats.org/officeDocument/2006/relationships/oleObject" Target="embeddings/oleObject62.bin"/><Relationship Id="rId68" Type="http://schemas.openxmlformats.org/officeDocument/2006/relationships/oleObject" Target="embeddings/oleObject61.bin"/><Relationship Id="rId67" Type="http://schemas.openxmlformats.org/officeDocument/2006/relationships/oleObject" Target="embeddings/oleObject60.bin"/><Relationship Id="rId66" Type="http://schemas.openxmlformats.org/officeDocument/2006/relationships/oleObject" Target="embeddings/oleObject59.bin"/><Relationship Id="rId65" Type="http://schemas.openxmlformats.org/officeDocument/2006/relationships/oleObject" Target="embeddings/oleObject58.bin"/><Relationship Id="rId64" Type="http://schemas.openxmlformats.org/officeDocument/2006/relationships/oleObject" Target="embeddings/oleObject57.bin"/><Relationship Id="rId63" Type="http://schemas.openxmlformats.org/officeDocument/2006/relationships/oleObject" Target="embeddings/oleObject56.bin"/><Relationship Id="rId62" Type="http://schemas.openxmlformats.org/officeDocument/2006/relationships/oleObject" Target="embeddings/oleObject55.bin"/><Relationship Id="rId61" Type="http://schemas.openxmlformats.org/officeDocument/2006/relationships/oleObject" Target="embeddings/oleObject54.bin"/><Relationship Id="rId60" Type="http://schemas.openxmlformats.org/officeDocument/2006/relationships/oleObject" Target="embeddings/oleObject53.bin"/><Relationship Id="rId6" Type="http://schemas.openxmlformats.org/officeDocument/2006/relationships/oleObject" Target="embeddings/oleObject2.bin"/><Relationship Id="rId59" Type="http://schemas.openxmlformats.org/officeDocument/2006/relationships/oleObject" Target="embeddings/oleObject52.bin"/><Relationship Id="rId58" Type="http://schemas.openxmlformats.org/officeDocument/2006/relationships/oleObject" Target="embeddings/oleObject51.bin"/><Relationship Id="rId57" Type="http://schemas.openxmlformats.org/officeDocument/2006/relationships/oleObject" Target="embeddings/oleObject50.bin"/><Relationship Id="rId56" Type="http://schemas.openxmlformats.org/officeDocument/2006/relationships/oleObject" Target="embeddings/oleObject49.bin"/><Relationship Id="rId55" Type="http://schemas.openxmlformats.org/officeDocument/2006/relationships/oleObject" Target="embeddings/oleObject48.bin"/><Relationship Id="rId54" Type="http://schemas.openxmlformats.org/officeDocument/2006/relationships/oleObject" Target="embeddings/oleObject47.bin"/><Relationship Id="rId53" Type="http://schemas.openxmlformats.org/officeDocument/2006/relationships/oleObject" Target="embeddings/oleObject46.bin"/><Relationship Id="rId52" Type="http://schemas.openxmlformats.org/officeDocument/2006/relationships/oleObject" Target="embeddings/oleObject45.bin"/><Relationship Id="rId51" Type="http://schemas.openxmlformats.org/officeDocument/2006/relationships/oleObject" Target="embeddings/oleObject44.bin"/><Relationship Id="rId50" Type="http://schemas.openxmlformats.org/officeDocument/2006/relationships/oleObject" Target="embeddings/oleObject43.bin"/><Relationship Id="rId5" Type="http://schemas.openxmlformats.org/officeDocument/2006/relationships/image" Target="media/image1.wmf"/><Relationship Id="rId49" Type="http://schemas.openxmlformats.org/officeDocument/2006/relationships/oleObject" Target="embeddings/oleObject42.bin"/><Relationship Id="rId48" Type="http://schemas.openxmlformats.org/officeDocument/2006/relationships/oleObject" Target="embeddings/oleObject41.bin"/><Relationship Id="rId47" Type="http://schemas.openxmlformats.org/officeDocument/2006/relationships/oleObject" Target="embeddings/oleObject40.bin"/><Relationship Id="rId46" Type="http://schemas.openxmlformats.org/officeDocument/2006/relationships/oleObject" Target="embeddings/oleObject39.bin"/><Relationship Id="rId45" Type="http://schemas.openxmlformats.org/officeDocument/2006/relationships/oleObject" Target="embeddings/oleObject38.bin"/><Relationship Id="rId44" Type="http://schemas.openxmlformats.org/officeDocument/2006/relationships/oleObject" Target="embeddings/oleObject37.bin"/><Relationship Id="rId43" Type="http://schemas.openxmlformats.org/officeDocument/2006/relationships/oleObject" Target="embeddings/oleObject36.bin"/><Relationship Id="rId42" Type="http://schemas.openxmlformats.org/officeDocument/2006/relationships/oleObject" Target="embeddings/oleObject35.bin"/><Relationship Id="rId41" Type="http://schemas.openxmlformats.org/officeDocument/2006/relationships/oleObject" Target="embeddings/oleObject34.bin"/><Relationship Id="rId40" Type="http://schemas.openxmlformats.org/officeDocument/2006/relationships/oleObject" Target="embeddings/oleObject33.bin"/><Relationship Id="rId4" Type="http://schemas.openxmlformats.org/officeDocument/2006/relationships/oleObject" Target="embeddings/oleObject1.bin"/><Relationship Id="rId39" Type="http://schemas.openxmlformats.org/officeDocument/2006/relationships/oleObject" Target="embeddings/oleObject32.bin"/><Relationship Id="rId38" Type="http://schemas.openxmlformats.org/officeDocument/2006/relationships/oleObject" Target="embeddings/oleObject31.bin"/><Relationship Id="rId37" Type="http://schemas.openxmlformats.org/officeDocument/2006/relationships/oleObject" Target="embeddings/oleObject30.bin"/><Relationship Id="rId36" Type="http://schemas.openxmlformats.org/officeDocument/2006/relationships/oleObject" Target="embeddings/oleObject29.bin"/><Relationship Id="rId35" Type="http://schemas.openxmlformats.org/officeDocument/2006/relationships/oleObject" Target="embeddings/oleObject28.bin"/><Relationship Id="rId34" Type="http://schemas.openxmlformats.org/officeDocument/2006/relationships/oleObject" Target="embeddings/oleObject27.bin"/><Relationship Id="rId33" Type="http://schemas.openxmlformats.org/officeDocument/2006/relationships/oleObject" Target="embeddings/oleObject26.bin"/><Relationship Id="rId32" Type="http://schemas.openxmlformats.org/officeDocument/2006/relationships/oleObject" Target="embeddings/oleObject25.bin"/><Relationship Id="rId31" Type="http://schemas.openxmlformats.org/officeDocument/2006/relationships/oleObject" Target="embeddings/oleObject24.bin"/><Relationship Id="rId30" Type="http://schemas.openxmlformats.org/officeDocument/2006/relationships/oleObject" Target="embeddings/oleObject23.bin"/><Relationship Id="rId3" Type="http://schemas.openxmlformats.org/officeDocument/2006/relationships/theme" Target="theme/theme1.xml"/><Relationship Id="rId29" Type="http://schemas.openxmlformats.org/officeDocument/2006/relationships/oleObject" Target="embeddings/oleObject22.bin"/><Relationship Id="rId28" Type="http://schemas.openxmlformats.org/officeDocument/2006/relationships/oleObject" Target="embeddings/oleObject21.bin"/><Relationship Id="rId27" Type="http://schemas.openxmlformats.org/officeDocument/2006/relationships/oleObject" Target="embeddings/oleObject20.bin"/><Relationship Id="rId26" Type="http://schemas.openxmlformats.org/officeDocument/2006/relationships/oleObject" Target="embeddings/oleObject19.bin"/><Relationship Id="rId25" Type="http://schemas.openxmlformats.org/officeDocument/2006/relationships/oleObject" Target="embeddings/oleObject18.bin"/><Relationship Id="rId24" Type="http://schemas.openxmlformats.org/officeDocument/2006/relationships/oleObject" Target="embeddings/oleObject17.bin"/><Relationship Id="rId23" Type="http://schemas.openxmlformats.org/officeDocument/2006/relationships/oleObject" Target="embeddings/oleObject16.bin"/><Relationship Id="rId22" Type="http://schemas.openxmlformats.org/officeDocument/2006/relationships/oleObject" Target="embeddings/oleObject15.bin"/><Relationship Id="rId21" Type="http://schemas.openxmlformats.org/officeDocument/2006/relationships/oleObject" Target="embeddings/oleObject14.bin"/><Relationship Id="rId20" Type="http://schemas.openxmlformats.org/officeDocument/2006/relationships/oleObject" Target="embeddings/oleObject13.bin"/><Relationship Id="rId2" Type="http://schemas.openxmlformats.org/officeDocument/2006/relationships/settings" Target="settings.xml"/><Relationship Id="rId19" Type="http://schemas.openxmlformats.org/officeDocument/2006/relationships/oleObject" Target="embeddings/oleObject12.bin"/><Relationship Id="rId18" Type="http://schemas.openxmlformats.org/officeDocument/2006/relationships/oleObject" Target="embeddings/oleObject11.bin"/><Relationship Id="rId17" Type="http://schemas.openxmlformats.org/officeDocument/2006/relationships/oleObject" Target="embeddings/oleObject10.bin"/><Relationship Id="rId16" Type="http://schemas.openxmlformats.org/officeDocument/2006/relationships/oleObject" Target="embeddings/oleObject9.bin"/><Relationship Id="rId15" Type="http://schemas.openxmlformats.org/officeDocument/2006/relationships/image" Target="media/image4.png"/><Relationship Id="rId14" Type="http://schemas.openxmlformats.org/officeDocument/2006/relationships/oleObject" Target="embeddings/oleObject8.bin"/><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jpeg"/><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622</Pages>
  <Words>3943</Words>
  <Characters>4196</Characters>
  <Lines>0</Lines>
  <Paragraphs>0</Paragraphs>
  <TotalTime>5</TotalTime>
  <ScaleCrop>false</ScaleCrop>
  <LinksUpToDate>false</LinksUpToDate>
  <CharactersWithSpaces>4316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2025-04-07T08:09:00Z</dcterms:created>
  <dc:creator>灿宝努力又争气</dc:creator>
  <cp:lastModifiedBy>香</cp:lastModifiedBy>
  <dcterms:modified xsi:type="dcterms:W3CDTF">2025-09-08T06:11:20Z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eyJoZGlkIjoiMzEwNTM5NzYwMDRjMzkwZTVkZjY2ODkwMGIxNGU0OTUiLCJ1c2VySWQiOiI1MjQ3MDA0MjIifQ==</vt:lpwstr>
  </property>
  <property fmtid="{D5CDD505-2E9C-101B-9397-08002B2CF9AE}" pid="4" name="ICV">
    <vt:lpwstr>5E0089F706C44613AE625432F1488B0C_13</vt:lpwstr>
  </property>
</Properties>
</file>